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rFonts w:ascii="Times New Roman"/>
          <w:sz w:val="20"/>
        </w:rPr>
      </w:pPr>
      <w:bookmarkStart w:id="831" w:name="_GoBack"/>
      <w:bookmarkEnd w:id="831"/>
    </w:p>
    <w:p>
      <w:pPr>
        <w:pStyle w:val="9"/>
        <w:rPr>
          <w:rFonts w:ascii="Times New Roman"/>
          <w:sz w:val="20"/>
        </w:rPr>
      </w:pPr>
    </w:p>
    <w:p>
      <w:pPr>
        <w:pStyle w:val="9"/>
        <w:rPr>
          <w:rFonts w:ascii="Times New Roman"/>
          <w:sz w:val="20"/>
        </w:rPr>
      </w:pPr>
    </w:p>
    <w:p>
      <w:pPr>
        <w:pStyle w:val="9"/>
        <w:spacing w:before="2"/>
        <w:rPr>
          <w:rFonts w:ascii="Times New Roman"/>
          <w:sz w:val="18"/>
        </w:rPr>
      </w:pPr>
    </w:p>
    <w:p>
      <w:pPr>
        <w:spacing w:before="21" w:line="364" w:lineRule="auto"/>
        <w:ind w:left="333" w:right="330" w:firstLine="0"/>
        <w:jc w:val="center"/>
        <w:rPr>
          <w:sz w:val="56"/>
        </w:rPr>
      </w:pPr>
      <w:r>
        <w:rPr>
          <w:spacing w:val="-41"/>
          <w:w w:val="95"/>
          <w:sz w:val="56"/>
        </w:rPr>
        <w:t>双鸭山盟度矿业有限责任公司（</w:t>
      </w:r>
      <w:r>
        <w:rPr>
          <w:spacing w:val="-26"/>
          <w:w w:val="95"/>
          <w:sz w:val="56"/>
        </w:rPr>
        <w:t>原双鸭</w:t>
      </w:r>
      <w:r>
        <w:rPr>
          <w:spacing w:val="-38"/>
          <w:sz w:val="56"/>
        </w:rPr>
        <w:t>山双兴时代矿业有限责任公司</w:t>
      </w:r>
    </w:p>
    <w:p>
      <w:pPr>
        <w:spacing w:before="0" w:line="716" w:lineRule="exact"/>
        <w:ind w:left="330" w:right="330" w:firstLine="0"/>
        <w:jc w:val="center"/>
        <w:rPr>
          <w:sz w:val="56"/>
        </w:rPr>
      </w:pPr>
      <w:r>
        <w:rPr>
          <w:sz w:val="56"/>
        </w:rPr>
        <w:t>第二煤矿）资源整合项目</w:t>
      </w:r>
    </w:p>
    <w:p>
      <w:pPr>
        <w:pStyle w:val="9"/>
        <w:spacing w:before="6"/>
        <w:rPr>
          <w:sz w:val="70"/>
        </w:rPr>
      </w:pPr>
    </w:p>
    <w:p>
      <w:pPr>
        <w:spacing w:before="0"/>
        <w:ind w:left="312" w:right="330" w:firstLine="0"/>
        <w:jc w:val="center"/>
        <w:rPr>
          <w:b/>
          <w:sz w:val="96"/>
        </w:rPr>
      </w:pPr>
      <w:r>
        <w:rPr>
          <w:b/>
          <w:sz w:val="96"/>
        </w:rPr>
        <w:t>环境影响报告书</w:t>
      </w:r>
    </w:p>
    <w:p>
      <w:pPr>
        <w:pStyle w:val="9"/>
        <w:rPr>
          <w:b/>
          <w:sz w:val="96"/>
        </w:rPr>
      </w:pPr>
    </w:p>
    <w:p>
      <w:pPr>
        <w:pStyle w:val="9"/>
        <w:spacing w:before="2"/>
        <w:rPr>
          <w:b/>
          <w:sz w:val="120"/>
        </w:rPr>
      </w:pPr>
    </w:p>
    <w:p>
      <w:pPr>
        <w:spacing w:before="1"/>
        <w:ind w:left="1497" w:right="0" w:firstLine="0"/>
        <w:jc w:val="left"/>
        <w:rPr>
          <w:sz w:val="32"/>
        </w:rPr>
      </w:pPr>
      <w:r>
        <w:rPr>
          <w:sz w:val="32"/>
        </w:rPr>
        <w:t>建设单位：双鸭山盟度矿业有限责任公司</w:t>
      </w:r>
    </w:p>
    <w:p>
      <w:pPr>
        <w:pStyle w:val="9"/>
        <w:rPr>
          <w:sz w:val="32"/>
        </w:rPr>
      </w:pPr>
    </w:p>
    <w:p>
      <w:pPr>
        <w:pStyle w:val="9"/>
        <w:rPr>
          <w:sz w:val="32"/>
        </w:rPr>
      </w:pPr>
    </w:p>
    <w:p>
      <w:pPr>
        <w:pStyle w:val="9"/>
        <w:spacing w:before="10"/>
        <w:rPr>
          <w:sz w:val="38"/>
        </w:rPr>
      </w:pPr>
    </w:p>
    <w:p>
      <w:pPr>
        <w:spacing w:before="1"/>
        <w:ind w:left="1497" w:right="0" w:firstLine="0"/>
        <w:jc w:val="left"/>
        <w:rPr>
          <w:sz w:val="32"/>
        </w:rPr>
      </w:pPr>
      <w:r>
        <w:rPr>
          <w:sz w:val="32"/>
        </w:rPr>
        <w:t>编制单位：黑龙江科大欣欣环保科技有限公司</w:t>
      </w:r>
    </w:p>
    <w:p>
      <w:pPr>
        <w:pStyle w:val="9"/>
        <w:rPr>
          <w:sz w:val="32"/>
        </w:rPr>
      </w:pPr>
    </w:p>
    <w:p>
      <w:pPr>
        <w:pStyle w:val="9"/>
        <w:rPr>
          <w:sz w:val="32"/>
        </w:rPr>
      </w:pPr>
    </w:p>
    <w:p>
      <w:pPr>
        <w:pStyle w:val="9"/>
        <w:rPr>
          <w:sz w:val="32"/>
        </w:rPr>
      </w:pPr>
    </w:p>
    <w:p>
      <w:pPr>
        <w:pStyle w:val="9"/>
        <w:spacing w:before="1"/>
        <w:rPr>
          <w:sz w:val="28"/>
        </w:rPr>
      </w:pPr>
    </w:p>
    <w:p>
      <w:pPr>
        <w:spacing w:before="0"/>
        <w:ind w:left="293" w:right="330" w:firstLine="0"/>
        <w:jc w:val="center"/>
        <w:rPr>
          <w:sz w:val="30"/>
        </w:rPr>
      </w:pPr>
      <w:r>
        <w:rPr>
          <w:rFonts w:ascii="Times New Roman" w:eastAsia="Times New Roman"/>
          <w:sz w:val="30"/>
        </w:rPr>
        <w:t xml:space="preserve">2020 </w:t>
      </w:r>
      <w:r>
        <w:rPr>
          <w:sz w:val="30"/>
        </w:rPr>
        <w:t xml:space="preserve">年 </w:t>
      </w:r>
      <w:r>
        <w:rPr>
          <w:rFonts w:ascii="Times New Roman" w:eastAsia="Times New Roman"/>
          <w:sz w:val="30"/>
        </w:rPr>
        <w:t xml:space="preserve">10 </w:t>
      </w:r>
      <w:r>
        <w:rPr>
          <w:sz w:val="30"/>
        </w:rPr>
        <w:t>月</w:t>
      </w:r>
    </w:p>
    <w:p>
      <w:pPr>
        <w:spacing w:after="0"/>
        <w:jc w:val="center"/>
        <w:rPr>
          <w:sz w:val="30"/>
        </w:rPr>
        <w:sectPr>
          <w:type w:val="continuous"/>
          <w:pgSz w:w="11910" w:h="16840"/>
          <w:pgMar w:top="1580" w:right="1160" w:bottom="280" w:left="1200" w:header="720" w:footer="720" w:gutter="0"/>
        </w:sectPr>
      </w:pPr>
    </w:p>
    <w:p>
      <w:pPr>
        <w:spacing w:before="3"/>
        <w:ind w:left="288" w:right="330" w:firstLine="0"/>
        <w:jc w:val="center"/>
        <w:rPr>
          <w:b/>
          <w:sz w:val="56"/>
        </w:rPr>
      </w:pPr>
      <w:r>
        <w:rPr>
          <w:b/>
          <w:sz w:val="56"/>
        </w:rPr>
        <w:t>目录</w:t>
      </w:r>
    </w:p>
    <w:p>
      <w:pPr>
        <w:spacing w:after="0"/>
        <w:jc w:val="center"/>
        <w:rPr>
          <w:sz w:val="56"/>
        </w:rPr>
        <w:sectPr>
          <w:pgSz w:w="11910" w:h="16840"/>
          <w:pgMar w:top="1400" w:right="1160" w:bottom="1474" w:left="1200" w:header="720" w:footer="720" w:gutter="0"/>
        </w:sectPr>
      </w:pPr>
    </w:p>
    <w:sdt>
      <w:sdtPr>
        <w:id w:val="0"/>
        <w:docPartObj>
          <w:docPartGallery w:val="Table of Contents"/>
          <w:docPartUnique/>
        </w:docPartObj>
      </w:sdtPr>
      <w:sdtContent>
        <w:p>
          <w:pPr>
            <w:pStyle w:val="12"/>
            <w:tabs>
              <w:tab w:val="left" w:leader="dot" w:pos="8918"/>
            </w:tabs>
            <w:spacing w:before="651"/>
            <w:ind w:left="0" w:right="38" w:firstLine="0"/>
            <w:jc w:val="center"/>
            <w:rPr>
              <w:rFonts w:ascii="Times New Roman" w:eastAsia="Times New Roman"/>
            </w:rPr>
          </w:pPr>
          <w:r>
            <w:fldChar w:fldCharType="begin"/>
          </w:r>
          <w:r>
            <w:instrText xml:space="preserve"> HYPERLINK \l "_bookmark0" </w:instrText>
          </w:r>
          <w:r>
            <w:fldChar w:fldCharType="separate"/>
          </w:r>
          <w:r>
            <w:t>概述</w:t>
          </w:r>
          <w:r>
            <w:tab/>
          </w:r>
          <w:r>
            <w:rPr>
              <w:rFonts w:ascii="Times New Roman" w:eastAsia="Times New Roman"/>
            </w:rPr>
            <w:t>1</w:t>
          </w:r>
          <w:r>
            <w:rPr>
              <w:rFonts w:ascii="Times New Roman" w:eastAsia="Times New Roman"/>
            </w:rPr>
            <w:fldChar w:fldCharType="end"/>
          </w:r>
        </w:p>
        <w:p>
          <w:pPr>
            <w:pStyle w:val="10"/>
            <w:tabs>
              <w:tab w:val="left" w:leader="dot" w:pos="9146"/>
            </w:tabs>
            <w:spacing w:before="123"/>
            <w:rPr>
              <w:rFonts w:ascii="Calibri" w:eastAsia="Calibri"/>
            </w:rPr>
          </w:pPr>
          <w:r>
            <w:fldChar w:fldCharType="begin"/>
          </w:r>
          <w:r>
            <w:instrText xml:space="preserve"> HYPERLINK \l "_bookmark1" </w:instrText>
          </w:r>
          <w:r>
            <w:fldChar w:fldCharType="separate"/>
          </w:r>
          <w:r>
            <w:t>一</w:t>
          </w:r>
          <w:r>
            <w:rPr>
              <w:spacing w:val="-3"/>
            </w:rPr>
            <w:t>、</w:t>
          </w:r>
          <w:r>
            <w:t>建设</w:t>
          </w:r>
          <w:r>
            <w:rPr>
              <w:spacing w:val="-3"/>
            </w:rPr>
            <w:t>项</w:t>
          </w:r>
          <w:r>
            <w:t>目概况</w:t>
          </w:r>
          <w:r>
            <w:tab/>
          </w:r>
          <w:r>
            <w:rPr>
              <w:rFonts w:ascii="Calibri" w:eastAsia="Calibri"/>
            </w:rPr>
            <w:t>1</w:t>
          </w:r>
          <w:r>
            <w:rPr>
              <w:rFonts w:ascii="Calibri" w:eastAsia="Calibri"/>
            </w:rPr>
            <w:fldChar w:fldCharType="end"/>
          </w:r>
        </w:p>
        <w:p>
          <w:pPr>
            <w:pStyle w:val="10"/>
            <w:tabs>
              <w:tab w:val="left" w:leader="dot" w:pos="9146"/>
            </w:tabs>
            <w:spacing w:before="143"/>
            <w:rPr>
              <w:rFonts w:ascii="Calibri" w:eastAsia="Calibri"/>
            </w:rPr>
          </w:pPr>
          <w:r>
            <w:fldChar w:fldCharType="begin"/>
          </w:r>
          <w:r>
            <w:instrText xml:space="preserve"> HYPERLINK \l "_bookmark2" </w:instrText>
          </w:r>
          <w:r>
            <w:fldChar w:fldCharType="separate"/>
          </w:r>
          <w:r>
            <w:t>二</w:t>
          </w:r>
          <w:r>
            <w:rPr>
              <w:spacing w:val="-3"/>
            </w:rPr>
            <w:t>、</w:t>
          </w:r>
          <w:r>
            <w:t>环境</w:t>
          </w:r>
          <w:r>
            <w:rPr>
              <w:spacing w:val="-3"/>
            </w:rPr>
            <w:t>影</w:t>
          </w:r>
          <w:r>
            <w:t>响评</w:t>
          </w:r>
          <w:r>
            <w:rPr>
              <w:spacing w:val="-3"/>
            </w:rPr>
            <w:t>价</w:t>
          </w:r>
          <w:r>
            <w:t>工作</w:t>
          </w:r>
          <w:r>
            <w:rPr>
              <w:spacing w:val="-3"/>
            </w:rPr>
            <w:t>过</w:t>
          </w:r>
          <w:r>
            <w:t>程</w:t>
          </w:r>
          <w:r>
            <w:tab/>
          </w:r>
          <w:r>
            <w:rPr>
              <w:rFonts w:ascii="Calibri" w:eastAsia="Calibri"/>
            </w:rPr>
            <w:t>2</w:t>
          </w:r>
          <w:r>
            <w:rPr>
              <w:rFonts w:ascii="Calibri" w:eastAsia="Calibri"/>
            </w:rPr>
            <w:fldChar w:fldCharType="end"/>
          </w:r>
        </w:p>
        <w:p>
          <w:pPr>
            <w:pStyle w:val="10"/>
            <w:tabs>
              <w:tab w:val="left" w:leader="dot" w:pos="9146"/>
            </w:tabs>
            <w:spacing w:before="140"/>
            <w:rPr>
              <w:rFonts w:ascii="Calibri" w:eastAsia="Calibri"/>
            </w:rPr>
          </w:pPr>
          <w:r>
            <w:fldChar w:fldCharType="begin"/>
          </w:r>
          <w:r>
            <w:instrText xml:space="preserve"> HYPERLINK \l "_bookmark3" </w:instrText>
          </w:r>
          <w:r>
            <w:fldChar w:fldCharType="separate"/>
          </w:r>
          <w:r>
            <w:t>三</w:t>
          </w:r>
          <w:r>
            <w:rPr>
              <w:spacing w:val="-3"/>
            </w:rPr>
            <w:t>、</w:t>
          </w:r>
          <w:r>
            <w:t>建设</w:t>
          </w:r>
          <w:r>
            <w:rPr>
              <w:spacing w:val="-3"/>
            </w:rPr>
            <w:t>项</w:t>
          </w:r>
          <w:r>
            <w:t>目特点</w:t>
          </w:r>
          <w:r>
            <w:tab/>
          </w:r>
          <w:r>
            <w:rPr>
              <w:rFonts w:ascii="Calibri" w:eastAsia="Calibri"/>
            </w:rPr>
            <w:t>4</w:t>
          </w:r>
          <w:r>
            <w:rPr>
              <w:rFonts w:ascii="Calibri" w:eastAsia="Calibri"/>
            </w:rPr>
            <w:fldChar w:fldCharType="end"/>
          </w:r>
        </w:p>
        <w:p>
          <w:pPr>
            <w:pStyle w:val="10"/>
            <w:tabs>
              <w:tab w:val="left" w:leader="dot" w:pos="9146"/>
            </w:tabs>
            <w:rPr>
              <w:rFonts w:ascii="Calibri" w:eastAsia="Calibri"/>
            </w:rPr>
          </w:pPr>
          <w:r>
            <w:fldChar w:fldCharType="begin"/>
          </w:r>
          <w:r>
            <w:instrText xml:space="preserve"> HYPERLINK \l "_bookmark4" </w:instrText>
          </w:r>
          <w:r>
            <w:fldChar w:fldCharType="separate"/>
          </w:r>
          <w:r>
            <w:t>四</w:t>
          </w:r>
          <w:r>
            <w:rPr>
              <w:spacing w:val="-3"/>
            </w:rPr>
            <w:t>、</w:t>
          </w:r>
          <w:r>
            <w:t>关注</w:t>
          </w:r>
          <w:r>
            <w:rPr>
              <w:spacing w:val="-3"/>
            </w:rPr>
            <w:t>的</w:t>
          </w:r>
          <w:r>
            <w:t>主要</w:t>
          </w:r>
          <w:r>
            <w:rPr>
              <w:spacing w:val="-3"/>
            </w:rPr>
            <w:t>环</w:t>
          </w:r>
          <w:r>
            <w:t>境问</w:t>
          </w:r>
          <w:r>
            <w:rPr>
              <w:spacing w:val="-3"/>
            </w:rPr>
            <w:t>题</w:t>
          </w:r>
          <w:r>
            <w:t>与环</w:t>
          </w:r>
          <w:r>
            <w:rPr>
              <w:spacing w:val="-3"/>
            </w:rPr>
            <w:t>境</w:t>
          </w:r>
          <w:r>
            <w:t>影响</w:t>
          </w:r>
          <w:r>
            <w:tab/>
          </w:r>
          <w:r>
            <w:rPr>
              <w:rFonts w:ascii="Calibri" w:eastAsia="Calibri"/>
            </w:rPr>
            <w:t>5</w:t>
          </w:r>
          <w:r>
            <w:rPr>
              <w:rFonts w:ascii="Calibri" w:eastAsia="Calibri"/>
            </w:rPr>
            <w:fldChar w:fldCharType="end"/>
          </w:r>
        </w:p>
        <w:p>
          <w:pPr>
            <w:pStyle w:val="10"/>
            <w:tabs>
              <w:tab w:val="left" w:leader="dot" w:pos="9004"/>
            </w:tabs>
            <w:spacing w:before="142"/>
            <w:rPr>
              <w:rFonts w:ascii="Calibri" w:eastAsia="Calibri"/>
            </w:rPr>
          </w:pPr>
          <w:r>
            <w:fldChar w:fldCharType="begin"/>
          </w:r>
          <w:r>
            <w:instrText xml:space="preserve"> HYPERLINK \l "_bookmark5" </w:instrText>
          </w:r>
          <w:r>
            <w:fldChar w:fldCharType="separate"/>
          </w:r>
          <w:r>
            <w:t>五</w:t>
          </w:r>
          <w:r>
            <w:rPr>
              <w:spacing w:val="-3"/>
            </w:rPr>
            <w:t>、</w:t>
          </w:r>
          <w:r>
            <w:t>环境</w:t>
          </w:r>
          <w:r>
            <w:rPr>
              <w:spacing w:val="-3"/>
            </w:rPr>
            <w:t>影</w:t>
          </w:r>
          <w:r>
            <w:t>响评</w:t>
          </w:r>
          <w:r>
            <w:rPr>
              <w:spacing w:val="-3"/>
            </w:rPr>
            <w:t>价</w:t>
          </w:r>
          <w:r>
            <w:t>主要</w:t>
          </w:r>
          <w:r>
            <w:rPr>
              <w:spacing w:val="-3"/>
            </w:rPr>
            <w:t>结</w:t>
          </w:r>
          <w:r>
            <w:t>论</w:t>
          </w:r>
          <w:r>
            <w:tab/>
          </w:r>
          <w:r>
            <w:rPr>
              <w:rFonts w:ascii="Calibri" w:eastAsia="Calibri"/>
            </w:rPr>
            <w:t>23</w:t>
          </w:r>
          <w:r>
            <w:rPr>
              <w:rFonts w:ascii="Calibri" w:eastAsia="Calibri"/>
            </w:rPr>
            <w:fldChar w:fldCharType="end"/>
          </w:r>
        </w:p>
        <w:p>
          <w:pPr>
            <w:pStyle w:val="12"/>
            <w:tabs>
              <w:tab w:val="left" w:pos="825"/>
              <w:tab w:val="left" w:leader="dot" w:pos="8769"/>
            </w:tabs>
            <w:ind w:left="0" w:right="36" w:firstLine="0"/>
            <w:jc w:val="center"/>
            <w:rPr>
              <w:rFonts w:ascii="Times New Roman" w:eastAsia="Times New Roman"/>
            </w:rPr>
          </w:pPr>
          <w:r>
            <w:fldChar w:fldCharType="begin"/>
          </w:r>
          <w:r>
            <w:instrText xml:space="preserve"> HYPERLINK \l "_bookmark6" </w:instrText>
          </w:r>
          <w:r>
            <w:fldChar w:fldCharType="separate"/>
          </w:r>
          <w:r>
            <w:rPr>
              <w:rFonts w:ascii="Times New Roman" w:eastAsia="Times New Roman"/>
            </w:rPr>
            <w:t>1.</w:t>
          </w:r>
          <w:r>
            <w:t>总</w:t>
          </w:r>
          <w:r>
            <w:tab/>
          </w:r>
          <w:r>
            <w:t>论</w:t>
          </w:r>
          <w:r>
            <w:tab/>
          </w:r>
          <w:r>
            <w:rPr>
              <w:rFonts w:ascii="Times New Roman" w:eastAsia="Times New Roman"/>
            </w:rPr>
            <w:t>24</w:t>
          </w:r>
          <w:r>
            <w:rPr>
              <w:rFonts w:ascii="Times New Roman" w:eastAsia="Times New Roman"/>
            </w:rPr>
            <w:fldChar w:fldCharType="end"/>
          </w:r>
        </w:p>
        <w:p>
          <w:pPr>
            <w:pStyle w:val="10"/>
            <w:numPr>
              <w:ilvl w:val="1"/>
              <w:numId w:val="1"/>
            </w:numPr>
            <w:tabs>
              <w:tab w:val="left" w:pos="1198"/>
              <w:tab w:val="left" w:leader="dot" w:pos="9004"/>
            </w:tabs>
            <w:spacing w:before="123" w:after="0" w:line="240" w:lineRule="auto"/>
            <w:ind w:left="1197" w:right="0" w:hanging="421"/>
            <w:jc w:val="left"/>
            <w:rPr>
              <w:rFonts w:ascii="Calibri" w:eastAsia="Calibri"/>
            </w:rPr>
          </w:pPr>
          <w:r>
            <w:fldChar w:fldCharType="begin"/>
          </w:r>
          <w:r>
            <w:instrText xml:space="preserve"> HYPERLINK \l "_bookmark7" </w:instrText>
          </w:r>
          <w:r>
            <w:fldChar w:fldCharType="separate"/>
          </w:r>
          <w:r>
            <w:t>评</w:t>
          </w:r>
          <w:r>
            <w:rPr>
              <w:spacing w:val="-3"/>
            </w:rPr>
            <w:t>价</w:t>
          </w:r>
          <w:r>
            <w:t>目的</w:t>
          </w:r>
          <w:r>
            <w:rPr>
              <w:spacing w:val="-3"/>
            </w:rPr>
            <w:t>及</w:t>
          </w:r>
          <w:r>
            <w:t>原则</w:t>
          </w:r>
          <w:r>
            <w:tab/>
          </w:r>
          <w:r>
            <w:rPr>
              <w:rFonts w:ascii="Calibri" w:eastAsia="Calibri"/>
            </w:rPr>
            <w:t>24</w:t>
          </w:r>
          <w:r>
            <w:rPr>
              <w:rFonts w:ascii="Calibri" w:eastAsia="Calibri"/>
            </w:rPr>
            <w:fldChar w:fldCharType="end"/>
          </w:r>
        </w:p>
        <w:p>
          <w:pPr>
            <w:pStyle w:val="10"/>
            <w:numPr>
              <w:ilvl w:val="1"/>
              <w:numId w:val="1"/>
            </w:numPr>
            <w:tabs>
              <w:tab w:val="left" w:pos="1198"/>
              <w:tab w:val="left" w:leader="dot" w:pos="9004"/>
            </w:tabs>
            <w:spacing w:before="141" w:after="0" w:line="240" w:lineRule="auto"/>
            <w:ind w:left="1197" w:right="0" w:hanging="421"/>
            <w:jc w:val="left"/>
            <w:rPr>
              <w:rFonts w:ascii="Calibri" w:eastAsia="Calibri"/>
            </w:rPr>
          </w:pPr>
          <w:r>
            <w:fldChar w:fldCharType="begin"/>
          </w:r>
          <w:r>
            <w:instrText xml:space="preserve"> HYPERLINK \l "_bookmark8" </w:instrText>
          </w:r>
          <w:r>
            <w:fldChar w:fldCharType="separate"/>
          </w:r>
          <w:r>
            <w:t>编</w:t>
          </w:r>
          <w:r>
            <w:rPr>
              <w:spacing w:val="-3"/>
            </w:rPr>
            <w:t>制</w:t>
          </w:r>
          <w:r>
            <w:t>依据</w:t>
          </w:r>
          <w:r>
            <w:tab/>
          </w:r>
          <w:r>
            <w:rPr>
              <w:rFonts w:ascii="Calibri" w:eastAsia="Calibri"/>
            </w:rPr>
            <w:t>25</w:t>
          </w:r>
          <w:r>
            <w:rPr>
              <w:rFonts w:ascii="Calibri" w:eastAsia="Calibri"/>
            </w:rPr>
            <w:fldChar w:fldCharType="end"/>
          </w:r>
        </w:p>
        <w:p>
          <w:pPr>
            <w:pStyle w:val="10"/>
            <w:numPr>
              <w:ilvl w:val="1"/>
              <w:numId w:val="1"/>
            </w:numPr>
            <w:tabs>
              <w:tab w:val="left" w:pos="1198"/>
              <w:tab w:val="left" w:leader="dot" w:pos="9004"/>
            </w:tabs>
            <w:spacing w:before="143" w:after="0" w:line="240" w:lineRule="auto"/>
            <w:ind w:left="1197" w:right="0" w:hanging="421"/>
            <w:jc w:val="left"/>
            <w:rPr>
              <w:rFonts w:ascii="Calibri" w:eastAsia="Calibri"/>
            </w:rPr>
          </w:pPr>
          <w:r>
            <w:fldChar w:fldCharType="begin"/>
          </w:r>
          <w:r>
            <w:instrText xml:space="preserve"> HYPERLINK \l "_bookmark9" </w:instrText>
          </w:r>
          <w:r>
            <w:fldChar w:fldCharType="separate"/>
          </w:r>
          <w:r>
            <w:t>评</w:t>
          </w:r>
          <w:r>
            <w:rPr>
              <w:spacing w:val="-3"/>
            </w:rPr>
            <w:t>价</w:t>
          </w:r>
          <w:r>
            <w:t>标准</w:t>
          </w:r>
          <w:r>
            <w:tab/>
          </w:r>
          <w:r>
            <w:rPr>
              <w:rFonts w:ascii="Calibri" w:eastAsia="Calibri"/>
            </w:rPr>
            <w:t>25</w:t>
          </w:r>
          <w:r>
            <w:rPr>
              <w:rFonts w:ascii="Calibri" w:eastAsia="Calibri"/>
            </w:rPr>
            <w:fldChar w:fldCharType="end"/>
          </w:r>
        </w:p>
        <w:p>
          <w:pPr>
            <w:pStyle w:val="10"/>
            <w:numPr>
              <w:ilvl w:val="1"/>
              <w:numId w:val="1"/>
            </w:numPr>
            <w:tabs>
              <w:tab w:val="left" w:pos="1198"/>
              <w:tab w:val="left" w:leader="dot" w:pos="9004"/>
            </w:tabs>
            <w:spacing w:before="140" w:after="0" w:line="240" w:lineRule="auto"/>
            <w:ind w:left="1197" w:right="0" w:hanging="421"/>
            <w:jc w:val="left"/>
            <w:rPr>
              <w:rFonts w:ascii="Calibri" w:eastAsia="Calibri"/>
            </w:rPr>
          </w:pPr>
          <w:r>
            <w:fldChar w:fldCharType="begin"/>
          </w:r>
          <w:r>
            <w:instrText xml:space="preserve"> HYPERLINK \l "_bookmark10" </w:instrText>
          </w:r>
          <w:r>
            <w:fldChar w:fldCharType="separate"/>
          </w:r>
          <w:r>
            <w:t>评</w:t>
          </w:r>
          <w:r>
            <w:rPr>
              <w:spacing w:val="-3"/>
            </w:rPr>
            <w:t>价</w:t>
          </w:r>
          <w:r>
            <w:t>工作</w:t>
          </w:r>
          <w:r>
            <w:rPr>
              <w:spacing w:val="-3"/>
            </w:rPr>
            <w:t>等</w:t>
          </w:r>
          <w:r>
            <w:t>级</w:t>
          </w:r>
          <w:r>
            <w:tab/>
          </w:r>
          <w:r>
            <w:rPr>
              <w:rFonts w:ascii="Calibri" w:eastAsia="Calibri"/>
            </w:rPr>
            <w:t>35</w:t>
          </w:r>
          <w:r>
            <w:rPr>
              <w:rFonts w:ascii="Calibri" w:eastAsia="Calibri"/>
            </w:rPr>
            <w:fldChar w:fldCharType="end"/>
          </w:r>
        </w:p>
        <w:p>
          <w:pPr>
            <w:pStyle w:val="10"/>
            <w:numPr>
              <w:ilvl w:val="1"/>
              <w:numId w:val="1"/>
            </w:numPr>
            <w:tabs>
              <w:tab w:val="left" w:pos="1198"/>
              <w:tab w:val="left" w:leader="dot" w:pos="9004"/>
            </w:tabs>
            <w:spacing w:before="141" w:after="0" w:line="240" w:lineRule="auto"/>
            <w:ind w:left="1197" w:right="0" w:hanging="421"/>
            <w:jc w:val="left"/>
            <w:rPr>
              <w:rFonts w:ascii="Calibri" w:eastAsia="Calibri"/>
            </w:rPr>
          </w:pPr>
          <w:r>
            <w:fldChar w:fldCharType="begin"/>
          </w:r>
          <w:r>
            <w:instrText xml:space="preserve"> HYPERLINK \l "_bookmark11" </w:instrText>
          </w:r>
          <w:r>
            <w:fldChar w:fldCharType="separate"/>
          </w:r>
          <w:r>
            <w:t>评</w:t>
          </w:r>
          <w:r>
            <w:rPr>
              <w:spacing w:val="-3"/>
            </w:rPr>
            <w:t>价</w:t>
          </w:r>
          <w:r>
            <w:t>范围</w:t>
          </w:r>
          <w:r>
            <w:tab/>
          </w:r>
          <w:r>
            <w:rPr>
              <w:rFonts w:ascii="Calibri" w:eastAsia="Calibri"/>
            </w:rPr>
            <w:t>42</w:t>
          </w:r>
          <w:r>
            <w:rPr>
              <w:rFonts w:ascii="Calibri" w:eastAsia="Calibri"/>
            </w:rPr>
            <w:fldChar w:fldCharType="end"/>
          </w:r>
        </w:p>
        <w:p>
          <w:pPr>
            <w:pStyle w:val="14"/>
            <w:numPr>
              <w:ilvl w:val="1"/>
              <w:numId w:val="1"/>
            </w:numPr>
            <w:tabs>
              <w:tab w:val="left" w:pos="1198"/>
              <w:tab w:val="left" w:leader="dot" w:pos="8227"/>
            </w:tabs>
            <w:spacing w:before="142" w:after="0" w:line="240" w:lineRule="auto"/>
            <w:ind w:left="1197" w:right="255" w:hanging="1198"/>
            <w:jc w:val="right"/>
            <w:rPr>
              <w:rFonts w:ascii="Calibri" w:eastAsia="Calibri"/>
            </w:rPr>
          </w:pPr>
          <w:r>
            <w:fldChar w:fldCharType="begin"/>
          </w:r>
          <w:r>
            <w:instrText xml:space="preserve"> HYPERLINK \l "_bookmark12" </w:instrText>
          </w:r>
          <w:r>
            <w:fldChar w:fldCharType="separate"/>
          </w:r>
          <w:r>
            <w:t>控</w:t>
          </w:r>
          <w:r>
            <w:rPr>
              <w:spacing w:val="-3"/>
            </w:rPr>
            <w:t>制</w:t>
          </w:r>
          <w:r>
            <w:t>污染</w:t>
          </w:r>
          <w:r>
            <w:rPr>
              <w:spacing w:val="-3"/>
            </w:rPr>
            <w:t>与</w:t>
          </w:r>
          <w:r>
            <w:t>环境</w:t>
          </w:r>
          <w:r>
            <w:rPr>
              <w:spacing w:val="-3"/>
            </w:rPr>
            <w:t>保</w:t>
          </w:r>
          <w:r>
            <w:t>护目标</w:t>
          </w:r>
          <w:r>
            <w:tab/>
          </w:r>
          <w:r>
            <w:rPr>
              <w:rFonts w:ascii="Calibri" w:eastAsia="Calibri"/>
              <w:spacing w:val="-1"/>
            </w:rPr>
            <w:t>43</w:t>
          </w:r>
          <w:r>
            <w:rPr>
              <w:rFonts w:ascii="Calibri" w:eastAsia="Calibri"/>
              <w:spacing w:val="-1"/>
            </w:rPr>
            <w:fldChar w:fldCharType="end"/>
          </w:r>
        </w:p>
        <w:p>
          <w:pPr>
            <w:pStyle w:val="12"/>
            <w:numPr>
              <w:ilvl w:val="0"/>
              <w:numId w:val="2"/>
            </w:numPr>
            <w:tabs>
              <w:tab w:val="left" w:pos="228"/>
              <w:tab w:val="left" w:leader="dot" w:pos="8769"/>
            </w:tabs>
            <w:spacing w:before="22" w:after="0" w:line="240" w:lineRule="auto"/>
            <w:ind w:left="445" w:right="254" w:hanging="446"/>
            <w:jc w:val="right"/>
            <w:rPr>
              <w:rFonts w:ascii="Times New Roman" w:eastAsia="Times New Roman"/>
            </w:rPr>
          </w:pPr>
          <w:r>
            <w:fldChar w:fldCharType="begin"/>
          </w:r>
          <w:r>
            <w:instrText xml:space="preserve"> HYPERLINK \l "_bookmark14" </w:instrText>
          </w:r>
          <w:r>
            <w:fldChar w:fldCharType="separate"/>
          </w:r>
          <w:r>
            <w:t>项目概况与工程分析</w:t>
          </w:r>
          <w:r>
            <w:tab/>
          </w:r>
          <w:r>
            <w:rPr>
              <w:rFonts w:ascii="Times New Roman" w:eastAsia="Times New Roman"/>
            </w:rPr>
            <w:t>45</w:t>
          </w:r>
          <w:r>
            <w:rPr>
              <w:rFonts w:ascii="Times New Roman" w:eastAsia="Times New Roman"/>
            </w:rPr>
            <w:fldChar w:fldCharType="end"/>
          </w:r>
        </w:p>
        <w:p>
          <w:pPr>
            <w:pStyle w:val="14"/>
            <w:numPr>
              <w:ilvl w:val="1"/>
              <w:numId w:val="2"/>
            </w:numPr>
            <w:tabs>
              <w:tab w:val="left" w:pos="420"/>
              <w:tab w:val="left" w:leader="dot" w:pos="8227"/>
            </w:tabs>
            <w:spacing w:before="123" w:after="0" w:line="240" w:lineRule="auto"/>
            <w:ind w:left="1197" w:right="255" w:hanging="1198"/>
            <w:jc w:val="right"/>
            <w:rPr>
              <w:rFonts w:ascii="Calibri" w:eastAsia="Calibri"/>
            </w:rPr>
          </w:pPr>
          <w:r>
            <w:fldChar w:fldCharType="begin"/>
          </w:r>
          <w:r>
            <w:instrText xml:space="preserve"> HYPERLINK \l "_bookmark13" </w:instrText>
          </w:r>
          <w:r>
            <w:fldChar w:fldCharType="separate"/>
          </w:r>
          <w:r>
            <w:t>原</w:t>
          </w:r>
          <w:r>
            <w:rPr>
              <w:spacing w:val="-3"/>
            </w:rPr>
            <w:t>有</w:t>
          </w:r>
          <w:r>
            <w:t>工程</w:t>
          </w:r>
          <w:r>
            <w:rPr>
              <w:spacing w:val="-3"/>
            </w:rPr>
            <w:t>概</w:t>
          </w:r>
          <w:r>
            <w:t>况</w:t>
          </w:r>
          <w:r>
            <w:tab/>
          </w:r>
          <w:r>
            <w:rPr>
              <w:rFonts w:ascii="Calibri" w:eastAsia="Calibri"/>
              <w:spacing w:val="-1"/>
            </w:rPr>
            <w:t>45</w:t>
          </w:r>
          <w:r>
            <w:rPr>
              <w:rFonts w:ascii="Calibri" w:eastAsia="Calibri"/>
              <w:spacing w:val="-1"/>
            </w:rPr>
            <w:fldChar w:fldCharType="end"/>
          </w:r>
        </w:p>
        <w:p>
          <w:pPr>
            <w:pStyle w:val="14"/>
            <w:numPr>
              <w:ilvl w:val="1"/>
              <w:numId w:val="2"/>
            </w:numPr>
            <w:tabs>
              <w:tab w:val="left" w:pos="490"/>
              <w:tab w:val="left" w:leader="dot" w:pos="8227"/>
            </w:tabs>
            <w:spacing w:before="143" w:after="0" w:line="240" w:lineRule="auto"/>
            <w:ind w:left="1267" w:right="255" w:hanging="1268"/>
            <w:jc w:val="right"/>
            <w:rPr>
              <w:rFonts w:ascii="Calibri" w:eastAsia="Calibri"/>
            </w:rPr>
          </w:pPr>
          <w:r>
            <w:fldChar w:fldCharType="begin"/>
          </w:r>
          <w:r>
            <w:instrText xml:space="preserve"> HYPERLINK \l "_bookmark15" </w:instrText>
          </w:r>
          <w:r>
            <w:fldChar w:fldCharType="separate"/>
          </w:r>
          <w:r>
            <w:t>改</w:t>
          </w:r>
          <w:r>
            <w:rPr>
              <w:spacing w:val="-3"/>
            </w:rPr>
            <w:t>扩</w:t>
          </w:r>
          <w:r>
            <w:t>建生</w:t>
          </w:r>
          <w:r>
            <w:rPr>
              <w:spacing w:val="-3"/>
            </w:rPr>
            <w:t>产</w:t>
          </w:r>
          <w:r>
            <w:t>项目</w:t>
          </w:r>
          <w:r>
            <w:rPr>
              <w:spacing w:val="-3"/>
            </w:rPr>
            <w:t>概</w:t>
          </w:r>
          <w:r>
            <w:t>况</w:t>
          </w:r>
          <w:r>
            <w:tab/>
          </w:r>
          <w:r>
            <w:rPr>
              <w:rFonts w:ascii="Calibri" w:eastAsia="Calibri"/>
              <w:spacing w:val="-1"/>
            </w:rPr>
            <w:t>46</w:t>
          </w:r>
          <w:r>
            <w:rPr>
              <w:rFonts w:ascii="Calibri" w:eastAsia="Calibri"/>
              <w:spacing w:val="-1"/>
            </w:rPr>
            <w:fldChar w:fldCharType="end"/>
          </w:r>
        </w:p>
        <w:p>
          <w:pPr>
            <w:pStyle w:val="10"/>
            <w:numPr>
              <w:ilvl w:val="1"/>
              <w:numId w:val="2"/>
            </w:numPr>
            <w:tabs>
              <w:tab w:val="left" w:pos="1268"/>
              <w:tab w:val="left" w:leader="dot" w:pos="9004"/>
            </w:tabs>
            <w:spacing w:before="141" w:after="0" w:line="240" w:lineRule="auto"/>
            <w:ind w:left="1267" w:right="0" w:hanging="491"/>
            <w:jc w:val="left"/>
            <w:rPr>
              <w:rFonts w:ascii="Calibri" w:eastAsia="Calibri"/>
            </w:rPr>
          </w:pPr>
          <w:r>
            <w:fldChar w:fldCharType="begin"/>
          </w:r>
          <w:r>
            <w:instrText xml:space="preserve"> HYPERLINK \l "_bookmark16" </w:instrText>
          </w:r>
          <w:r>
            <w:fldChar w:fldCharType="separate"/>
          </w:r>
          <w:r>
            <w:t>工</w:t>
          </w:r>
          <w:r>
            <w:rPr>
              <w:spacing w:val="-3"/>
            </w:rPr>
            <w:t>程</w:t>
          </w:r>
          <w:r>
            <w:t>分析</w:t>
          </w:r>
          <w:r>
            <w:tab/>
          </w:r>
          <w:r>
            <w:rPr>
              <w:rFonts w:ascii="Calibri" w:eastAsia="Calibri"/>
            </w:rPr>
            <w:t>53</w:t>
          </w:r>
          <w:r>
            <w:rPr>
              <w:rFonts w:ascii="Calibri" w:eastAsia="Calibri"/>
            </w:rPr>
            <w:fldChar w:fldCharType="end"/>
          </w:r>
        </w:p>
        <w:p>
          <w:pPr>
            <w:pStyle w:val="14"/>
            <w:numPr>
              <w:ilvl w:val="1"/>
              <w:numId w:val="2"/>
            </w:numPr>
            <w:tabs>
              <w:tab w:val="left" w:pos="490"/>
              <w:tab w:val="left" w:leader="dot" w:pos="8227"/>
            </w:tabs>
            <w:spacing w:before="140" w:after="0" w:line="240" w:lineRule="auto"/>
            <w:ind w:left="1267" w:right="255" w:hanging="1268"/>
            <w:jc w:val="right"/>
            <w:rPr>
              <w:rFonts w:ascii="Calibri" w:eastAsia="Calibri"/>
            </w:rPr>
          </w:pPr>
          <w:r>
            <w:fldChar w:fldCharType="begin"/>
          </w:r>
          <w:r>
            <w:instrText xml:space="preserve"> HYPERLINK \l "_bookmark17" </w:instrText>
          </w:r>
          <w:r>
            <w:fldChar w:fldCharType="separate"/>
          </w:r>
          <w:r>
            <w:t>污</w:t>
          </w:r>
          <w:r>
            <w:rPr>
              <w:spacing w:val="-3"/>
            </w:rPr>
            <w:t>染</w:t>
          </w:r>
          <w:r>
            <w:t>源及</w:t>
          </w:r>
          <w:r>
            <w:rPr>
              <w:spacing w:val="-3"/>
            </w:rPr>
            <w:t>环</w:t>
          </w:r>
          <w:r>
            <w:t>境影</w:t>
          </w:r>
          <w:r>
            <w:rPr>
              <w:spacing w:val="-3"/>
            </w:rPr>
            <w:t>响</w:t>
          </w:r>
          <w:r>
            <w:t>因素</w:t>
          </w:r>
          <w:r>
            <w:rPr>
              <w:spacing w:val="-3"/>
            </w:rPr>
            <w:t>分</w:t>
          </w:r>
          <w:r>
            <w:t>析</w:t>
          </w:r>
          <w:r>
            <w:tab/>
          </w:r>
          <w:r>
            <w:rPr>
              <w:rFonts w:ascii="Calibri" w:eastAsia="Calibri"/>
              <w:spacing w:val="-1"/>
            </w:rPr>
            <w:t>70</w:t>
          </w:r>
          <w:r>
            <w:rPr>
              <w:rFonts w:ascii="Calibri" w:eastAsia="Calibri"/>
              <w:spacing w:val="-1"/>
            </w:rPr>
            <w:fldChar w:fldCharType="end"/>
          </w:r>
        </w:p>
        <w:p>
          <w:pPr>
            <w:pStyle w:val="14"/>
            <w:numPr>
              <w:ilvl w:val="1"/>
              <w:numId w:val="2"/>
            </w:numPr>
            <w:tabs>
              <w:tab w:val="left" w:pos="420"/>
              <w:tab w:val="left" w:leader="dot" w:pos="8227"/>
            </w:tabs>
            <w:spacing w:before="143" w:after="0" w:line="240" w:lineRule="auto"/>
            <w:ind w:left="1197" w:right="255" w:hanging="1198"/>
            <w:jc w:val="right"/>
            <w:rPr>
              <w:rFonts w:ascii="Calibri" w:hAnsi="Calibri" w:eastAsia="Calibri"/>
            </w:rPr>
          </w:pPr>
          <w:r>
            <w:fldChar w:fldCharType="begin"/>
          </w:r>
          <w:r>
            <w:instrText xml:space="preserve"> HYPERLINK \l "_bookmark18" </w:instrText>
          </w:r>
          <w:r>
            <w:fldChar w:fldCharType="separate"/>
          </w:r>
          <w:r>
            <w:t>本</w:t>
          </w:r>
          <w:r>
            <w:rPr>
              <w:spacing w:val="-3"/>
            </w:rPr>
            <w:t>工</w:t>
          </w:r>
          <w:r>
            <w:t>程</w:t>
          </w:r>
          <w:r>
            <w:rPr>
              <w:rFonts w:ascii="Times New Roman" w:hAnsi="Times New Roman" w:eastAsia="Times New Roman"/>
            </w:rPr>
            <w:t>“</w:t>
          </w:r>
          <w:r>
            <w:t>以</w:t>
          </w:r>
          <w:r>
            <w:rPr>
              <w:spacing w:val="-3"/>
            </w:rPr>
            <w:t>新</w:t>
          </w:r>
          <w:r>
            <w:t>带</w:t>
          </w:r>
          <w:r>
            <w:rPr>
              <w:spacing w:val="-3"/>
            </w:rPr>
            <w:t>老</w:t>
          </w:r>
          <w:r>
            <w:rPr>
              <w:rFonts w:ascii="Times New Roman" w:hAnsi="Times New Roman" w:eastAsia="Times New Roman"/>
            </w:rPr>
            <w:t>”</w:t>
          </w:r>
          <w:r>
            <w:t>环</w:t>
          </w:r>
          <w:r>
            <w:rPr>
              <w:spacing w:val="-3"/>
            </w:rPr>
            <w:t>境</w:t>
          </w:r>
          <w:r>
            <w:t>保护</w:t>
          </w:r>
          <w:r>
            <w:rPr>
              <w:spacing w:val="-3"/>
            </w:rPr>
            <w:t>措</w:t>
          </w:r>
          <w:r>
            <w:t>施</w:t>
          </w:r>
          <w:r>
            <w:tab/>
          </w:r>
          <w:r>
            <w:rPr>
              <w:rFonts w:ascii="Calibri" w:hAnsi="Calibri" w:eastAsia="Calibri"/>
              <w:spacing w:val="-1"/>
            </w:rPr>
            <w:t>87</w:t>
          </w:r>
          <w:r>
            <w:rPr>
              <w:rFonts w:ascii="Calibri" w:hAnsi="Calibri" w:eastAsia="Calibri"/>
              <w:spacing w:val="-1"/>
            </w:rPr>
            <w:fldChar w:fldCharType="end"/>
          </w:r>
        </w:p>
        <w:p>
          <w:pPr>
            <w:pStyle w:val="12"/>
            <w:numPr>
              <w:ilvl w:val="0"/>
              <w:numId w:val="2"/>
            </w:numPr>
            <w:tabs>
              <w:tab w:val="left" w:pos="228"/>
              <w:tab w:val="left" w:leader="dot" w:pos="8769"/>
            </w:tabs>
            <w:spacing w:before="22" w:after="0" w:line="240" w:lineRule="auto"/>
            <w:ind w:left="445" w:right="254" w:hanging="446"/>
            <w:jc w:val="right"/>
            <w:rPr>
              <w:rFonts w:ascii="Times New Roman" w:eastAsia="Times New Roman"/>
            </w:rPr>
          </w:pPr>
          <w:r>
            <w:fldChar w:fldCharType="begin"/>
          </w:r>
          <w:r>
            <w:instrText xml:space="preserve"> HYPERLINK \l "_bookmark19" </w:instrText>
          </w:r>
          <w:r>
            <w:fldChar w:fldCharType="separate"/>
          </w:r>
          <w:r>
            <w:t>项目所在区域环境概况</w:t>
          </w:r>
          <w:r>
            <w:tab/>
          </w:r>
          <w:r>
            <w:rPr>
              <w:rFonts w:ascii="Times New Roman" w:eastAsia="Times New Roman"/>
            </w:rPr>
            <w:t>91</w:t>
          </w:r>
          <w:r>
            <w:rPr>
              <w:rFonts w:ascii="Times New Roman" w:eastAsia="Times New Roman"/>
            </w:rPr>
            <w:fldChar w:fldCharType="end"/>
          </w:r>
        </w:p>
        <w:p>
          <w:pPr>
            <w:pStyle w:val="14"/>
            <w:numPr>
              <w:ilvl w:val="1"/>
              <w:numId w:val="2"/>
            </w:numPr>
            <w:tabs>
              <w:tab w:val="left" w:pos="420"/>
              <w:tab w:val="left" w:leader="dot" w:pos="8227"/>
            </w:tabs>
            <w:spacing w:before="123" w:after="0" w:line="240" w:lineRule="auto"/>
            <w:ind w:left="1197" w:right="255" w:hanging="1198"/>
            <w:jc w:val="right"/>
            <w:rPr>
              <w:rFonts w:ascii="Calibri" w:eastAsia="Calibri"/>
            </w:rPr>
          </w:pPr>
          <w:r>
            <w:fldChar w:fldCharType="begin"/>
          </w:r>
          <w:r>
            <w:instrText xml:space="preserve"> HYPERLINK \l "_bookmark20" </w:instrText>
          </w:r>
          <w:r>
            <w:fldChar w:fldCharType="separate"/>
          </w:r>
          <w:r>
            <w:t>自</w:t>
          </w:r>
          <w:r>
            <w:rPr>
              <w:spacing w:val="-3"/>
            </w:rPr>
            <w:t>然</w:t>
          </w:r>
          <w:r>
            <w:t>环境</w:t>
          </w:r>
          <w:r>
            <w:rPr>
              <w:spacing w:val="-3"/>
            </w:rPr>
            <w:t>概</w:t>
          </w:r>
          <w:r>
            <w:t>况</w:t>
          </w:r>
          <w:r>
            <w:tab/>
          </w:r>
          <w:r>
            <w:rPr>
              <w:rFonts w:ascii="Calibri" w:eastAsia="Calibri"/>
              <w:spacing w:val="-1"/>
            </w:rPr>
            <w:t>91</w:t>
          </w:r>
          <w:r>
            <w:rPr>
              <w:rFonts w:ascii="Calibri" w:eastAsia="Calibri"/>
              <w:spacing w:val="-1"/>
            </w:rPr>
            <w:fldChar w:fldCharType="end"/>
          </w:r>
        </w:p>
        <w:p>
          <w:pPr>
            <w:pStyle w:val="14"/>
            <w:numPr>
              <w:ilvl w:val="1"/>
              <w:numId w:val="2"/>
            </w:numPr>
            <w:tabs>
              <w:tab w:val="left" w:pos="420"/>
              <w:tab w:val="left" w:leader="dot" w:pos="8227"/>
            </w:tabs>
            <w:spacing w:before="140" w:after="0" w:line="240" w:lineRule="auto"/>
            <w:ind w:left="1197" w:right="255" w:hanging="1198"/>
            <w:jc w:val="right"/>
            <w:rPr>
              <w:rFonts w:ascii="Calibri" w:eastAsia="Calibri"/>
            </w:rPr>
          </w:pPr>
          <w:r>
            <w:fldChar w:fldCharType="begin"/>
          </w:r>
          <w:r>
            <w:instrText xml:space="preserve"> HYPERLINK \l "_bookmark21" </w:instrText>
          </w:r>
          <w:r>
            <w:fldChar w:fldCharType="separate"/>
          </w:r>
          <w:r>
            <w:t>敏</w:t>
          </w:r>
          <w:r>
            <w:rPr>
              <w:spacing w:val="-3"/>
            </w:rPr>
            <w:t>感</w:t>
          </w:r>
          <w:r>
            <w:t>目标</w:t>
          </w:r>
          <w:r>
            <w:rPr>
              <w:spacing w:val="-3"/>
            </w:rPr>
            <w:t>调</w:t>
          </w:r>
          <w:r>
            <w:t>查</w:t>
          </w:r>
          <w:r>
            <w:tab/>
          </w:r>
          <w:r>
            <w:rPr>
              <w:rFonts w:ascii="Calibri" w:eastAsia="Calibri"/>
              <w:spacing w:val="-1"/>
            </w:rPr>
            <w:t>95</w:t>
          </w:r>
          <w:r>
            <w:rPr>
              <w:rFonts w:ascii="Calibri" w:eastAsia="Calibri"/>
              <w:spacing w:val="-1"/>
            </w:rPr>
            <w:fldChar w:fldCharType="end"/>
          </w:r>
        </w:p>
        <w:p>
          <w:pPr>
            <w:pStyle w:val="12"/>
            <w:numPr>
              <w:ilvl w:val="0"/>
              <w:numId w:val="2"/>
            </w:numPr>
            <w:tabs>
              <w:tab w:val="left" w:pos="228"/>
              <w:tab w:val="left" w:leader="dot" w:pos="8769"/>
            </w:tabs>
            <w:spacing w:before="25" w:after="0" w:line="240" w:lineRule="auto"/>
            <w:ind w:left="445" w:right="254" w:hanging="446"/>
            <w:jc w:val="right"/>
            <w:rPr>
              <w:rFonts w:ascii="Times New Roman" w:eastAsia="Times New Roman"/>
            </w:rPr>
          </w:pPr>
          <w:r>
            <w:fldChar w:fldCharType="begin"/>
          </w:r>
          <w:r>
            <w:instrText xml:space="preserve"> HYPERLINK \l "_bookmark22" </w:instrText>
          </w:r>
          <w:r>
            <w:fldChar w:fldCharType="separate"/>
          </w:r>
          <w:r>
            <w:t>地表沉陷预测及生态影响评价</w:t>
          </w:r>
          <w:r>
            <w:tab/>
          </w:r>
          <w:r>
            <w:rPr>
              <w:rFonts w:ascii="Times New Roman" w:eastAsia="Times New Roman"/>
            </w:rPr>
            <w:t>97</w:t>
          </w:r>
          <w:r>
            <w:rPr>
              <w:rFonts w:ascii="Times New Roman" w:eastAsia="Times New Roman"/>
            </w:rPr>
            <w:fldChar w:fldCharType="end"/>
          </w:r>
        </w:p>
        <w:p>
          <w:pPr>
            <w:pStyle w:val="14"/>
            <w:numPr>
              <w:ilvl w:val="1"/>
              <w:numId w:val="3"/>
            </w:numPr>
            <w:tabs>
              <w:tab w:val="left" w:pos="490"/>
              <w:tab w:val="left" w:leader="dot" w:pos="8227"/>
            </w:tabs>
            <w:spacing w:before="122" w:after="0" w:line="240" w:lineRule="auto"/>
            <w:ind w:left="1267" w:right="255" w:hanging="1268"/>
            <w:jc w:val="right"/>
            <w:rPr>
              <w:rFonts w:ascii="Calibri" w:eastAsia="Calibri"/>
            </w:rPr>
          </w:pPr>
          <w:r>
            <w:fldChar w:fldCharType="begin"/>
          </w:r>
          <w:r>
            <w:instrText xml:space="preserve"> HYPERLINK \l "_bookmark23" </w:instrText>
          </w:r>
          <w:r>
            <w:fldChar w:fldCharType="separate"/>
          </w:r>
          <w:r>
            <w:t>地</w:t>
          </w:r>
          <w:r>
            <w:rPr>
              <w:spacing w:val="-3"/>
            </w:rPr>
            <w:t>表</w:t>
          </w:r>
          <w:r>
            <w:t>沉陷</w:t>
          </w:r>
          <w:r>
            <w:rPr>
              <w:spacing w:val="-3"/>
            </w:rPr>
            <w:t>影</w:t>
          </w:r>
          <w:r>
            <w:t>响预</w:t>
          </w:r>
          <w:r>
            <w:rPr>
              <w:spacing w:val="-3"/>
            </w:rPr>
            <w:t>测</w:t>
          </w:r>
          <w:r>
            <w:t>与分析</w:t>
          </w:r>
          <w:r>
            <w:tab/>
          </w:r>
          <w:r>
            <w:rPr>
              <w:rFonts w:ascii="Calibri" w:eastAsia="Calibri"/>
              <w:spacing w:val="-1"/>
            </w:rPr>
            <w:t>99</w:t>
          </w:r>
          <w:r>
            <w:rPr>
              <w:rFonts w:ascii="Calibri" w:eastAsia="Calibri"/>
              <w:spacing w:val="-1"/>
            </w:rPr>
            <w:fldChar w:fldCharType="end"/>
          </w:r>
        </w:p>
        <w:p>
          <w:pPr>
            <w:pStyle w:val="14"/>
            <w:numPr>
              <w:ilvl w:val="1"/>
              <w:numId w:val="3"/>
            </w:numPr>
            <w:tabs>
              <w:tab w:val="left" w:pos="490"/>
              <w:tab w:val="left" w:leader="dot" w:pos="8085"/>
            </w:tabs>
            <w:spacing w:before="141" w:after="0" w:line="240" w:lineRule="auto"/>
            <w:ind w:left="1267" w:right="255" w:hanging="1268"/>
            <w:jc w:val="right"/>
            <w:rPr>
              <w:rFonts w:ascii="Calibri" w:eastAsia="Calibri"/>
            </w:rPr>
          </w:pPr>
          <w:r>
            <w:fldChar w:fldCharType="begin"/>
          </w:r>
          <w:r>
            <w:instrText xml:space="preserve"> HYPERLINK \l "_bookmark24" </w:instrText>
          </w:r>
          <w:r>
            <w:fldChar w:fldCharType="separate"/>
          </w:r>
          <w:r>
            <w:t>地</w:t>
          </w:r>
          <w:r>
            <w:rPr>
              <w:spacing w:val="-3"/>
            </w:rPr>
            <w:t>表</w:t>
          </w:r>
          <w:r>
            <w:t>沉陷</w:t>
          </w:r>
          <w:r>
            <w:rPr>
              <w:spacing w:val="-3"/>
            </w:rPr>
            <w:t>区</w:t>
          </w:r>
          <w:r>
            <w:t>治理</w:t>
          </w:r>
          <w:r>
            <w:rPr>
              <w:spacing w:val="-3"/>
            </w:rPr>
            <w:t>与</w:t>
          </w:r>
          <w:r>
            <w:t>生态</w:t>
          </w:r>
          <w:r>
            <w:rPr>
              <w:spacing w:val="-3"/>
            </w:rPr>
            <w:t>环</w:t>
          </w:r>
          <w:r>
            <w:t>境综</w:t>
          </w:r>
          <w:r>
            <w:rPr>
              <w:spacing w:val="-3"/>
            </w:rPr>
            <w:t>合</w:t>
          </w:r>
          <w:r>
            <w:t>整治</w:t>
          </w:r>
          <w:r>
            <w:tab/>
          </w:r>
          <w:r>
            <w:rPr>
              <w:rFonts w:ascii="Calibri" w:eastAsia="Calibri"/>
              <w:spacing w:val="-1"/>
            </w:rPr>
            <w:t>102</w:t>
          </w:r>
          <w:r>
            <w:rPr>
              <w:rFonts w:ascii="Calibri" w:eastAsia="Calibri"/>
              <w:spacing w:val="-1"/>
            </w:rPr>
            <w:fldChar w:fldCharType="end"/>
          </w:r>
        </w:p>
        <w:p>
          <w:pPr>
            <w:pStyle w:val="14"/>
            <w:numPr>
              <w:ilvl w:val="1"/>
              <w:numId w:val="3"/>
            </w:numPr>
            <w:tabs>
              <w:tab w:val="left" w:pos="490"/>
              <w:tab w:val="left" w:leader="dot" w:pos="8085"/>
            </w:tabs>
            <w:spacing w:before="140" w:after="152" w:line="240" w:lineRule="auto"/>
            <w:ind w:left="1267" w:right="255" w:hanging="1268"/>
            <w:jc w:val="right"/>
            <w:rPr>
              <w:rFonts w:ascii="Calibri" w:eastAsia="Calibri"/>
            </w:rPr>
          </w:pPr>
          <w:r>
            <w:fldChar w:fldCharType="begin"/>
          </w:r>
          <w:r>
            <w:instrText xml:space="preserve"> HYPERLINK \l "_bookmark25" </w:instrText>
          </w:r>
          <w:r>
            <w:fldChar w:fldCharType="separate"/>
          </w:r>
          <w:r>
            <w:t>生</w:t>
          </w:r>
          <w:r>
            <w:rPr>
              <w:spacing w:val="-3"/>
            </w:rPr>
            <w:t>态</w:t>
          </w:r>
          <w:r>
            <w:t>管理</w:t>
          </w:r>
          <w:r>
            <w:rPr>
              <w:spacing w:val="-3"/>
            </w:rPr>
            <w:t>与</w:t>
          </w:r>
          <w:r>
            <w:t>监控</w:t>
          </w:r>
          <w:r>
            <w:tab/>
          </w:r>
          <w:r>
            <w:rPr>
              <w:rFonts w:ascii="Calibri" w:eastAsia="Calibri"/>
              <w:spacing w:val="-1"/>
            </w:rPr>
            <w:t>105</w:t>
          </w:r>
          <w:r>
            <w:rPr>
              <w:rFonts w:ascii="Calibri" w:eastAsia="Calibri"/>
              <w:spacing w:val="-1"/>
            </w:rPr>
            <w:fldChar w:fldCharType="end"/>
          </w:r>
        </w:p>
        <w:p>
          <w:pPr>
            <w:pStyle w:val="12"/>
            <w:numPr>
              <w:ilvl w:val="0"/>
              <w:numId w:val="2"/>
            </w:numPr>
            <w:tabs>
              <w:tab w:val="left" w:pos="228"/>
              <w:tab w:val="left" w:leader="dot" w:pos="8618"/>
            </w:tabs>
            <w:spacing w:before="44" w:after="0" w:line="240" w:lineRule="auto"/>
            <w:ind w:left="445" w:right="257" w:hanging="446"/>
            <w:jc w:val="right"/>
            <w:rPr>
              <w:rFonts w:ascii="Times New Roman" w:eastAsia="Times New Roman"/>
            </w:rPr>
          </w:pPr>
          <w:r>
            <w:fldChar w:fldCharType="begin"/>
          </w:r>
          <w:r>
            <w:instrText xml:space="preserve"> HYPERLINK \l "_bookmark26" </w:instrText>
          </w:r>
          <w:r>
            <w:fldChar w:fldCharType="separate"/>
          </w:r>
          <w:r>
            <w:t>地下水环境影响评价</w:t>
          </w:r>
          <w:r>
            <w:tab/>
          </w:r>
          <w:r>
            <w:rPr>
              <w:rFonts w:ascii="Times New Roman" w:eastAsia="Times New Roman"/>
              <w:spacing w:val="-1"/>
            </w:rPr>
            <w:t>106</w:t>
          </w:r>
          <w:r>
            <w:rPr>
              <w:rFonts w:ascii="Times New Roman" w:eastAsia="Times New Roman"/>
              <w:spacing w:val="-1"/>
            </w:rPr>
            <w:fldChar w:fldCharType="end"/>
          </w:r>
        </w:p>
        <w:p>
          <w:pPr>
            <w:pStyle w:val="14"/>
            <w:numPr>
              <w:ilvl w:val="1"/>
              <w:numId w:val="2"/>
            </w:numPr>
            <w:tabs>
              <w:tab w:val="left" w:pos="420"/>
              <w:tab w:val="left" w:leader="dot" w:pos="8085"/>
            </w:tabs>
            <w:spacing w:before="122" w:after="0" w:line="240" w:lineRule="auto"/>
            <w:ind w:left="1197" w:right="255" w:hanging="1198"/>
            <w:jc w:val="right"/>
            <w:rPr>
              <w:rFonts w:ascii="Calibri" w:eastAsia="Calibri"/>
            </w:rPr>
          </w:pPr>
          <w:r>
            <w:fldChar w:fldCharType="begin"/>
          </w:r>
          <w:r>
            <w:instrText xml:space="preserve"> HYPERLINK \l "_bookmark27" </w:instrText>
          </w:r>
          <w:r>
            <w:fldChar w:fldCharType="separate"/>
          </w:r>
          <w:r>
            <w:t>地</w:t>
          </w:r>
          <w:r>
            <w:rPr>
              <w:spacing w:val="-3"/>
            </w:rPr>
            <w:t>层</w:t>
          </w:r>
          <w:r>
            <w:t>与构造</w:t>
          </w:r>
          <w:r>
            <w:tab/>
          </w:r>
          <w:r>
            <w:rPr>
              <w:rFonts w:ascii="Calibri" w:eastAsia="Calibri"/>
              <w:spacing w:val="-1"/>
            </w:rPr>
            <w:t>106</w:t>
          </w:r>
          <w:r>
            <w:rPr>
              <w:rFonts w:ascii="Calibri" w:eastAsia="Calibri"/>
              <w:spacing w:val="-1"/>
            </w:rPr>
            <w:fldChar w:fldCharType="end"/>
          </w:r>
        </w:p>
        <w:p>
          <w:pPr>
            <w:pStyle w:val="14"/>
            <w:numPr>
              <w:ilvl w:val="1"/>
              <w:numId w:val="2"/>
            </w:numPr>
            <w:tabs>
              <w:tab w:val="left" w:pos="420"/>
              <w:tab w:val="left" w:leader="dot" w:pos="8085"/>
            </w:tabs>
            <w:spacing w:before="141" w:after="0" w:line="240" w:lineRule="auto"/>
            <w:ind w:left="1197" w:right="255" w:hanging="1198"/>
            <w:jc w:val="right"/>
            <w:rPr>
              <w:rFonts w:ascii="Calibri" w:eastAsia="Calibri"/>
            </w:rPr>
          </w:pPr>
          <w:r>
            <w:fldChar w:fldCharType="begin"/>
          </w:r>
          <w:r>
            <w:instrText xml:space="preserve"> HYPERLINK \l "_bookmark28" </w:instrText>
          </w:r>
          <w:r>
            <w:fldChar w:fldCharType="separate"/>
          </w:r>
          <w:r>
            <w:t>水</w:t>
          </w:r>
          <w:r>
            <w:rPr>
              <w:spacing w:val="-3"/>
            </w:rPr>
            <w:t>文</w:t>
          </w:r>
          <w:r>
            <w:t>地质</w:t>
          </w:r>
          <w:r>
            <w:rPr>
              <w:spacing w:val="-3"/>
            </w:rPr>
            <w:t>条</w:t>
          </w:r>
          <w:r>
            <w:t>件</w:t>
          </w:r>
          <w:r>
            <w:tab/>
          </w:r>
          <w:r>
            <w:rPr>
              <w:rFonts w:ascii="Calibri" w:eastAsia="Calibri"/>
              <w:spacing w:val="-1"/>
            </w:rPr>
            <w:t>109</w:t>
          </w:r>
          <w:r>
            <w:rPr>
              <w:rFonts w:ascii="Calibri" w:eastAsia="Calibri"/>
              <w:spacing w:val="-1"/>
            </w:rPr>
            <w:fldChar w:fldCharType="end"/>
          </w:r>
        </w:p>
        <w:p>
          <w:pPr>
            <w:pStyle w:val="14"/>
            <w:numPr>
              <w:ilvl w:val="1"/>
              <w:numId w:val="2"/>
            </w:numPr>
            <w:tabs>
              <w:tab w:val="left" w:pos="420"/>
              <w:tab w:val="left" w:leader="dot" w:pos="8085"/>
            </w:tabs>
            <w:spacing w:before="140" w:after="0" w:line="240" w:lineRule="auto"/>
            <w:ind w:left="1197" w:right="255" w:hanging="1198"/>
            <w:jc w:val="right"/>
            <w:rPr>
              <w:rFonts w:ascii="Calibri" w:eastAsia="Calibri"/>
            </w:rPr>
          </w:pPr>
          <w:r>
            <w:fldChar w:fldCharType="begin"/>
          </w:r>
          <w:r>
            <w:instrText xml:space="preserve"> HYPERLINK \l "_bookmark29" </w:instrText>
          </w:r>
          <w:r>
            <w:fldChar w:fldCharType="separate"/>
          </w:r>
          <w:r>
            <w:t>地</w:t>
          </w:r>
          <w:r>
            <w:rPr>
              <w:spacing w:val="-3"/>
            </w:rPr>
            <w:t>下</w:t>
          </w:r>
          <w:r>
            <w:t>水环</w:t>
          </w:r>
          <w:r>
            <w:rPr>
              <w:spacing w:val="-3"/>
            </w:rPr>
            <w:t>境</w:t>
          </w:r>
          <w:r>
            <w:t>质量</w:t>
          </w:r>
          <w:r>
            <w:rPr>
              <w:spacing w:val="-3"/>
            </w:rPr>
            <w:t>现</w:t>
          </w:r>
          <w:r>
            <w:t>状评价</w:t>
          </w:r>
          <w:r>
            <w:tab/>
          </w:r>
          <w:r>
            <w:rPr>
              <w:rFonts w:ascii="Calibri" w:eastAsia="Calibri"/>
              <w:spacing w:val="-1"/>
            </w:rPr>
            <w:t>110</w:t>
          </w:r>
          <w:r>
            <w:rPr>
              <w:rFonts w:ascii="Calibri" w:eastAsia="Calibri"/>
              <w:spacing w:val="-1"/>
            </w:rPr>
            <w:fldChar w:fldCharType="end"/>
          </w:r>
        </w:p>
        <w:p>
          <w:pPr>
            <w:pStyle w:val="14"/>
            <w:numPr>
              <w:ilvl w:val="1"/>
              <w:numId w:val="2"/>
            </w:numPr>
            <w:tabs>
              <w:tab w:val="left" w:pos="420"/>
              <w:tab w:val="left" w:leader="dot" w:pos="8085"/>
            </w:tabs>
            <w:spacing w:before="143" w:after="0" w:line="240" w:lineRule="auto"/>
            <w:ind w:left="1197" w:right="255" w:hanging="1198"/>
            <w:jc w:val="right"/>
            <w:rPr>
              <w:rFonts w:ascii="Calibri" w:eastAsia="Calibri"/>
            </w:rPr>
          </w:pPr>
          <w:r>
            <w:fldChar w:fldCharType="begin"/>
          </w:r>
          <w:r>
            <w:instrText xml:space="preserve"> HYPERLINK \l "_bookmark30" </w:instrText>
          </w:r>
          <w:r>
            <w:fldChar w:fldCharType="separate"/>
          </w:r>
          <w:r>
            <w:t>建</w:t>
          </w:r>
          <w:r>
            <w:rPr>
              <w:spacing w:val="-3"/>
            </w:rPr>
            <w:t>设</w:t>
          </w:r>
          <w:r>
            <w:t>期地</w:t>
          </w:r>
          <w:r>
            <w:rPr>
              <w:spacing w:val="-3"/>
            </w:rPr>
            <w:t>下</w:t>
          </w:r>
          <w:r>
            <w:t>水环</w:t>
          </w:r>
          <w:r>
            <w:rPr>
              <w:spacing w:val="-3"/>
            </w:rPr>
            <w:t>境</w:t>
          </w:r>
          <w:r>
            <w:t>影响</w:t>
          </w:r>
          <w:r>
            <w:rPr>
              <w:spacing w:val="-3"/>
            </w:rPr>
            <w:t>分</w:t>
          </w:r>
          <w:r>
            <w:t>析与</w:t>
          </w:r>
          <w:r>
            <w:rPr>
              <w:spacing w:val="-3"/>
            </w:rPr>
            <w:t>防</w:t>
          </w:r>
          <w:r>
            <w:t>治措施</w:t>
          </w:r>
          <w:r>
            <w:tab/>
          </w:r>
          <w:r>
            <w:rPr>
              <w:rFonts w:ascii="Calibri" w:eastAsia="Calibri"/>
              <w:spacing w:val="-1"/>
            </w:rPr>
            <w:t>116</w:t>
          </w:r>
          <w:r>
            <w:rPr>
              <w:rFonts w:ascii="Calibri" w:eastAsia="Calibri"/>
              <w:spacing w:val="-1"/>
            </w:rPr>
            <w:fldChar w:fldCharType="end"/>
          </w:r>
        </w:p>
        <w:p>
          <w:pPr>
            <w:pStyle w:val="14"/>
            <w:numPr>
              <w:ilvl w:val="1"/>
              <w:numId w:val="2"/>
            </w:numPr>
            <w:tabs>
              <w:tab w:val="left" w:pos="420"/>
              <w:tab w:val="left" w:leader="dot" w:pos="8085"/>
            </w:tabs>
            <w:spacing w:before="141" w:after="0" w:line="240" w:lineRule="auto"/>
            <w:ind w:left="1197" w:right="255" w:hanging="1198"/>
            <w:jc w:val="right"/>
            <w:rPr>
              <w:rFonts w:ascii="Calibri" w:eastAsia="Calibri"/>
            </w:rPr>
          </w:pPr>
          <w:r>
            <w:fldChar w:fldCharType="begin"/>
          </w:r>
          <w:r>
            <w:instrText xml:space="preserve"> HYPERLINK \l "_bookmark31" </w:instrText>
          </w:r>
          <w:r>
            <w:fldChar w:fldCharType="separate"/>
          </w:r>
          <w:r>
            <w:t>煤</w:t>
          </w:r>
          <w:r>
            <w:rPr>
              <w:spacing w:val="-3"/>
            </w:rPr>
            <w:t>炭</w:t>
          </w:r>
          <w:r>
            <w:t>开采</w:t>
          </w:r>
          <w:r>
            <w:rPr>
              <w:spacing w:val="-3"/>
            </w:rPr>
            <w:t>对</w:t>
          </w:r>
          <w:r>
            <w:t>地下</w:t>
          </w:r>
          <w:r>
            <w:rPr>
              <w:spacing w:val="-3"/>
            </w:rPr>
            <w:t>水</w:t>
          </w:r>
          <w:r>
            <w:t>环境</w:t>
          </w:r>
          <w:r>
            <w:rPr>
              <w:spacing w:val="-3"/>
            </w:rPr>
            <w:t>的</w:t>
          </w:r>
          <w:r>
            <w:t>影响</w:t>
          </w:r>
          <w:r>
            <w:rPr>
              <w:spacing w:val="-3"/>
            </w:rPr>
            <w:t>分</w:t>
          </w:r>
          <w:r>
            <w:t>析</w:t>
          </w:r>
          <w:r>
            <w:tab/>
          </w:r>
          <w:r>
            <w:rPr>
              <w:rFonts w:ascii="Calibri" w:eastAsia="Calibri"/>
              <w:spacing w:val="-1"/>
            </w:rPr>
            <w:t>116</w:t>
          </w:r>
          <w:r>
            <w:rPr>
              <w:rFonts w:ascii="Calibri" w:eastAsia="Calibri"/>
              <w:spacing w:val="-1"/>
            </w:rPr>
            <w:fldChar w:fldCharType="end"/>
          </w:r>
        </w:p>
        <w:p>
          <w:pPr>
            <w:pStyle w:val="14"/>
            <w:numPr>
              <w:ilvl w:val="1"/>
              <w:numId w:val="2"/>
            </w:numPr>
            <w:tabs>
              <w:tab w:val="left" w:pos="420"/>
              <w:tab w:val="left" w:leader="dot" w:pos="8085"/>
            </w:tabs>
            <w:spacing w:before="140" w:after="0" w:line="240" w:lineRule="auto"/>
            <w:ind w:left="1197" w:right="255" w:hanging="1198"/>
            <w:jc w:val="right"/>
            <w:rPr>
              <w:rFonts w:ascii="Calibri" w:eastAsia="Calibri"/>
            </w:rPr>
          </w:pPr>
          <w:r>
            <w:fldChar w:fldCharType="begin"/>
          </w:r>
          <w:r>
            <w:instrText xml:space="preserve"> HYPERLINK \l "_bookmark32" </w:instrText>
          </w:r>
          <w:r>
            <w:fldChar w:fldCharType="separate"/>
          </w:r>
          <w:r>
            <w:t>地</w:t>
          </w:r>
          <w:r>
            <w:rPr>
              <w:spacing w:val="-3"/>
            </w:rPr>
            <w:t>下</w:t>
          </w:r>
          <w:r>
            <w:t>水环</w:t>
          </w:r>
          <w:r>
            <w:rPr>
              <w:spacing w:val="-3"/>
            </w:rPr>
            <w:t>境</w:t>
          </w:r>
          <w:r>
            <w:t>保护</w:t>
          </w:r>
          <w:r>
            <w:rPr>
              <w:spacing w:val="-3"/>
            </w:rPr>
            <w:t>措</w:t>
          </w:r>
          <w:r>
            <w:t>施</w:t>
          </w:r>
          <w:r>
            <w:tab/>
          </w:r>
          <w:r>
            <w:rPr>
              <w:rFonts w:ascii="Calibri" w:eastAsia="Calibri"/>
              <w:spacing w:val="-1"/>
            </w:rPr>
            <w:t>121</w:t>
          </w:r>
          <w:r>
            <w:rPr>
              <w:rFonts w:ascii="Calibri" w:eastAsia="Calibri"/>
              <w:spacing w:val="-1"/>
            </w:rPr>
            <w:fldChar w:fldCharType="end"/>
          </w:r>
        </w:p>
        <w:p>
          <w:pPr>
            <w:pStyle w:val="12"/>
            <w:numPr>
              <w:ilvl w:val="0"/>
              <w:numId w:val="2"/>
            </w:numPr>
            <w:tabs>
              <w:tab w:val="left" w:pos="228"/>
              <w:tab w:val="left" w:leader="dot" w:pos="8618"/>
            </w:tabs>
            <w:spacing w:before="24" w:after="0" w:line="240" w:lineRule="auto"/>
            <w:ind w:left="445" w:right="257" w:hanging="446"/>
            <w:jc w:val="right"/>
            <w:rPr>
              <w:rFonts w:ascii="Times New Roman" w:eastAsia="Times New Roman"/>
            </w:rPr>
          </w:pPr>
          <w:r>
            <w:fldChar w:fldCharType="begin"/>
          </w:r>
          <w:r>
            <w:instrText xml:space="preserve"> HYPERLINK \l "_bookmark33" </w:instrText>
          </w:r>
          <w:r>
            <w:fldChar w:fldCharType="separate"/>
          </w:r>
          <w:r>
            <w:t>地表水环境影响分析</w:t>
          </w:r>
          <w:r>
            <w:tab/>
          </w:r>
          <w:r>
            <w:rPr>
              <w:rFonts w:ascii="Times New Roman" w:eastAsia="Times New Roman"/>
              <w:spacing w:val="-1"/>
            </w:rPr>
            <w:t>126</w:t>
          </w:r>
          <w:r>
            <w:rPr>
              <w:rFonts w:ascii="Times New Roman" w:eastAsia="Times New Roman"/>
              <w:spacing w:val="-1"/>
            </w:rPr>
            <w:fldChar w:fldCharType="end"/>
          </w:r>
        </w:p>
        <w:p>
          <w:pPr>
            <w:pStyle w:val="14"/>
            <w:numPr>
              <w:ilvl w:val="1"/>
              <w:numId w:val="2"/>
            </w:numPr>
            <w:tabs>
              <w:tab w:val="left" w:pos="420"/>
              <w:tab w:val="left" w:leader="dot" w:pos="8085"/>
            </w:tabs>
            <w:spacing w:before="123" w:after="0" w:line="240" w:lineRule="auto"/>
            <w:ind w:left="1197" w:right="255" w:hanging="1198"/>
            <w:jc w:val="right"/>
            <w:rPr>
              <w:rFonts w:ascii="Calibri" w:eastAsia="Calibri"/>
            </w:rPr>
          </w:pPr>
          <w:r>
            <w:fldChar w:fldCharType="begin"/>
          </w:r>
          <w:r>
            <w:instrText xml:space="preserve"> HYPERLINK \l "_bookmark34" </w:instrText>
          </w:r>
          <w:r>
            <w:fldChar w:fldCharType="separate"/>
          </w:r>
          <w:r>
            <w:t>地</w:t>
          </w:r>
          <w:r>
            <w:rPr>
              <w:spacing w:val="-3"/>
            </w:rPr>
            <w:t>表</w:t>
          </w:r>
          <w:r>
            <w:t>水环</w:t>
          </w:r>
          <w:r>
            <w:rPr>
              <w:spacing w:val="-3"/>
            </w:rPr>
            <w:t>境</w:t>
          </w:r>
          <w:r>
            <w:t>污染</w:t>
          </w:r>
          <w:r>
            <w:rPr>
              <w:spacing w:val="-3"/>
            </w:rPr>
            <w:t>源</w:t>
          </w:r>
          <w:r>
            <w:t>现状</w:t>
          </w:r>
          <w:r>
            <w:rPr>
              <w:spacing w:val="-3"/>
            </w:rPr>
            <w:t>调</w:t>
          </w:r>
          <w:r>
            <w:t>查</w:t>
          </w:r>
          <w:r>
            <w:tab/>
          </w:r>
          <w:r>
            <w:rPr>
              <w:rFonts w:ascii="Calibri" w:eastAsia="Calibri"/>
              <w:spacing w:val="-1"/>
            </w:rPr>
            <w:t>126</w:t>
          </w:r>
          <w:r>
            <w:rPr>
              <w:rFonts w:ascii="Calibri" w:eastAsia="Calibri"/>
              <w:spacing w:val="-1"/>
            </w:rPr>
            <w:fldChar w:fldCharType="end"/>
          </w:r>
        </w:p>
        <w:p>
          <w:pPr>
            <w:pStyle w:val="14"/>
            <w:numPr>
              <w:ilvl w:val="1"/>
              <w:numId w:val="2"/>
            </w:numPr>
            <w:tabs>
              <w:tab w:val="left" w:pos="420"/>
              <w:tab w:val="left" w:leader="dot" w:pos="8085"/>
            </w:tabs>
            <w:spacing w:before="141" w:after="0" w:line="240" w:lineRule="auto"/>
            <w:ind w:left="1197" w:right="255" w:hanging="1198"/>
            <w:jc w:val="right"/>
            <w:rPr>
              <w:rFonts w:ascii="Calibri" w:eastAsia="Calibri"/>
            </w:rPr>
          </w:pPr>
          <w:r>
            <w:fldChar w:fldCharType="begin"/>
          </w:r>
          <w:r>
            <w:instrText xml:space="preserve"> HYPERLINK \l "_bookmark35" </w:instrText>
          </w:r>
          <w:r>
            <w:fldChar w:fldCharType="separate"/>
          </w:r>
          <w:r>
            <w:t>地</w:t>
          </w:r>
          <w:r>
            <w:rPr>
              <w:spacing w:val="-3"/>
            </w:rPr>
            <w:t>表</w:t>
          </w:r>
          <w:r>
            <w:t>水环</w:t>
          </w:r>
          <w:r>
            <w:rPr>
              <w:spacing w:val="-3"/>
            </w:rPr>
            <w:t>境</w:t>
          </w:r>
          <w:r>
            <w:t>质量</w:t>
          </w:r>
          <w:r>
            <w:rPr>
              <w:spacing w:val="-3"/>
            </w:rPr>
            <w:t>现</w:t>
          </w:r>
          <w:r>
            <w:t>状监</w:t>
          </w:r>
          <w:r>
            <w:rPr>
              <w:spacing w:val="-3"/>
            </w:rPr>
            <w:t>测</w:t>
          </w:r>
          <w:r>
            <w:t>与评价</w:t>
          </w:r>
          <w:r>
            <w:tab/>
          </w:r>
          <w:r>
            <w:rPr>
              <w:rFonts w:ascii="Calibri" w:eastAsia="Calibri"/>
              <w:spacing w:val="-1"/>
            </w:rPr>
            <w:t>126</w:t>
          </w:r>
          <w:r>
            <w:rPr>
              <w:rFonts w:ascii="Calibri" w:eastAsia="Calibri"/>
              <w:spacing w:val="-1"/>
            </w:rPr>
            <w:fldChar w:fldCharType="end"/>
          </w:r>
        </w:p>
        <w:p>
          <w:pPr>
            <w:pStyle w:val="14"/>
            <w:numPr>
              <w:ilvl w:val="1"/>
              <w:numId w:val="2"/>
            </w:numPr>
            <w:tabs>
              <w:tab w:val="left" w:pos="420"/>
              <w:tab w:val="left" w:leader="dot" w:pos="8085"/>
            </w:tabs>
            <w:spacing w:before="140" w:after="0" w:line="240" w:lineRule="auto"/>
            <w:ind w:left="1197" w:right="255" w:hanging="1198"/>
            <w:jc w:val="right"/>
            <w:rPr>
              <w:rFonts w:ascii="Calibri" w:eastAsia="Calibri"/>
            </w:rPr>
          </w:pPr>
          <w:r>
            <w:fldChar w:fldCharType="begin"/>
          </w:r>
          <w:r>
            <w:instrText xml:space="preserve"> HYPERLINK \l "_bookmark36" </w:instrText>
          </w:r>
          <w:r>
            <w:fldChar w:fldCharType="separate"/>
          </w:r>
          <w:r>
            <w:t>建</w:t>
          </w:r>
          <w:r>
            <w:rPr>
              <w:spacing w:val="-3"/>
            </w:rPr>
            <w:t>设</w:t>
          </w:r>
          <w:r>
            <w:t>期地</w:t>
          </w:r>
          <w:r>
            <w:rPr>
              <w:spacing w:val="-3"/>
            </w:rPr>
            <w:t>表</w:t>
          </w:r>
          <w:r>
            <w:t>水环</w:t>
          </w:r>
          <w:r>
            <w:rPr>
              <w:spacing w:val="-3"/>
            </w:rPr>
            <w:t>境</w:t>
          </w:r>
          <w:r>
            <w:t>影响</w:t>
          </w:r>
          <w:r>
            <w:rPr>
              <w:spacing w:val="-3"/>
            </w:rPr>
            <w:t>分</w:t>
          </w:r>
          <w:r>
            <w:t>析与</w:t>
          </w:r>
          <w:r>
            <w:rPr>
              <w:spacing w:val="-3"/>
            </w:rPr>
            <w:t>防</w:t>
          </w:r>
          <w:r>
            <w:t>治措施</w:t>
          </w:r>
          <w:r>
            <w:tab/>
          </w:r>
          <w:r>
            <w:rPr>
              <w:rFonts w:ascii="Calibri" w:eastAsia="Calibri"/>
              <w:spacing w:val="-1"/>
            </w:rPr>
            <w:t>130</w:t>
          </w:r>
          <w:r>
            <w:rPr>
              <w:rFonts w:ascii="Calibri" w:eastAsia="Calibri"/>
              <w:spacing w:val="-1"/>
            </w:rPr>
            <w:fldChar w:fldCharType="end"/>
          </w:r>
        </w:p>
        <w:p>
          <w:pPr>
            <w:pStyle w:val="14"/>
            <w:numPr>
              <w:ilvl w:val="1"/>
              <w:numId w:val="2"/>
            </w:numPr>
            <w:tabs>
              <w:tab w:val="left" w:pos="420"/>
              <w:tab w:val="left" w:leader="dot" w:pos="8085"/>
            </w:tabs>
            <w:spacing w:before="143" w:after="0" w:line="240" w:lineRule="auto"/>
            <w:ind w:left="1197" w:right="255" w:hanging="1198"/>
            <w:jc w:val="right"/>
            <w:rPr>
              <w:rFonts w:ascii="Calibri" w:eastAsia="Calibri"/>
            </w:rPr>
          </w:pPr>
          <w:r>
            <w:fldChar w:fldCharType="begin"/>
          </w:r>
          <w:r>
            <w:instrText xml:space="preserve"> HYPERLINK \l "_bookmark37" </w:instrText>
          </w:r>
          <w:r>
            <w:fldChar w:fldCharType="separate"/>
          </w:r>
          <w:r>
            <w:t>运</w:t>
          </w:r>
          <w:r>
            <w:rPr>
              <w:spacing w:val="-3"/>
            </w:rPr>
            <w:t>营</w:t>
          </w:r>
          <w:r>
            <w:t>期地</w:t>
          </w:r>
          <w:r>
            <w:rPr>
              <w:spacing w:val="-3"/>
            </w:rPr>
            <w:t>表</w:t>
          </w:r>
          <w:r>
            <w:t>水环</w:t>
          </w:r>
          <w:r>
            <w:rPr>
              <w:spacing w:val="-3"/>
            </w:rPr>
            <w:t>境</w:t>
          </w:r>
          <w:r>
            <w:t>影响</w:t>
          </w:r>
          <w:r>
            <w:rPr>
              <w:spacing w:val="-3"/>
            </w:rPr>
            <w:t>预</w:t>
          </w:r>
          <w:r>
            <w:t>测与</w:t>
          </w:r>
          <w:r>
            <w:rPr>
              <w:spacing w:val="-3"/>
            </w:rPr>
            <w:t>评</w:t>
          </w:r>
          <w:r>
            <w:t>价</w:t>
          </w:r>
          <w:r>
            <w:tab/>
          </w:r>
          <w:r>
            <w:rPr>
              <w:rFonts w:ascii="Calibri" w:eastAsia="Calibri"/>
              <w:spacing w:val="-1"/>
            </w:rPr>
            <w:t>130</w:t>
          </w:r>
          <w:r>
            <w:rPr>
              <w:rFonts w:ascii="Calibri" w:eastAsia="Calibri"/>
              <w:spacing w:val="-1"/>
            </w:rPr>
            <w:fldChar w:fldCharType="end"/>
          </w:r>
        </w:p>
        <w:p>
          <w:pPr>
            <w:pStyle w:val="14"/>
            <w:numPr>
              <w:ilvl w:val="1"/>
              <w:numId w:val="2"/>
            </w:numPr>
            <w:tabs>
              <w:tab w:val="left" w:pos="420"/>
              <w:tab w:val="left" w:leader="dot" w:pos="8085"/>
            </w:tabs>
            <w:spacing w:before="140" w:after="0" w:line="240" w:lineRule="auto"/>
            <w:ind w:left="1197" w:right="255" w:hanging="1198"/>
            <w:jc w:val="right"/>
            <w:rPr>
              <w:rFonts w:ascii="Calibri" w:eastAsia="Calibri"/>
            </w:rPr>
          </w:pPr>
          <w:r>
            <w:fldChar w:fldCharType="begin"/>
          </w:r>
          <w:r>
            <w:instrText xml:space="preserve"> HYPERLINK \l "_bookmark38" </w:instrText>
          </w:r>
          <w:r>
            <w:fldChar w:fldCharType="separate"/>
          </w:r>
          <w:r>
            <w:t>水</w:t>
          </w:r>
          <w:r>
            <w:rPr>
              <w:spacing w:val="-3"/>
            </w:rPr>
            <w:t>资</w:t>
          </w:r>
          <w:r>
            <w:t>源利</w:t>
          </w:r>
          <w:r>
            <w:rPr>
              <w:spacing w:val="-3"/>
            </w:rPr>
            <w:t>用</w:t>
          </w:r>
          <w:r>
            <w:t>及水</w:t>
          </w:r>
          <w:r>
            <w:rPr>
              <w:spacing w:val="-3"/>
            </w:rPr>
            <w:t>污</w:t>
          </w:r>
          <w:r>
            <w:t>染物</w:t>
          </w:r>
          <w:r>
            <w:rPr>
              <w:spacing w:val="-3"/>
            </w:rPr>
            <w:t>防</w:t>
          </w:r>
          <w:r>
            <w:t>治措</w:t>
          </w:r>
          <w:r>
            <w:rPr>
              <w:spacing w:val="-3"/>
            </w:rPr>
            <w:t>施</w:t>
          </w:r>
          <w:r>
            <w:t>可行</w:t>
          </w:r>
          <w:r>
            <w:rPr>
              <w:spacing w:val="-3"/>
            </w:rPr>
            <w:t>性</w:t>
          </w:r>
          <w:r>
            <w:t>分析</w:t>
          </w:r>
          <w:r>
            <w:tab/>
          </w:r>
          <w:r>
            <w:rPr>
              <w:rFonts w:ascii="Calibri" w:eastAsia="Calibri"/>
              <w:spacing w:val="-1"/>
            </w:rPr>
            <w:t>132</w:t>
          </w:r>
          <w:r>
            <w:rPr>
              <w:rFonts w:ascii="Calibri" w:eastAsia="Calibri"/>
              <w:spacing w:val="-1"/>
            </w:rPr>
            <w:fldChar w:fldCharType="end"/>
          </w:r>
        </w:p>
        <w:p>
          <w:pPr>
            <w:pStyle w:val="12"/>
            <w:numPr>
              <w:ilvl w:val="0"/>
              <w:numId w:val="2"/>
            </w:numPr>
            <w:tabs>
              <w:tab w:val="left" w:pos="228"/>
              <w:tab w:val="left" w:leader="dot" w:pos="8618"/>
            </w:tabs>
            <w:spacing w:before="22" w:after="0" w:line="240" w:lineRule="auto"/>
            <w:ind w:left="445" w:right="257" w:hanging="446"/>
            <w:jc w:val="right"/>
            <w:rPr>
              <w:rFonts w:ascii="Times New Roman" w:eastAsia="Times New Roman"/>
            </w:rPr>
          </w:pPr>
          <w:r>
            <w:fldChar w:fldCharType="begin"/>
          </w:r>
          <w:r>
            <w:instrText xml:space="preserve"> HYPERLINK \l "_bookmark39" </w:instrText>
          </w:r>
          <w:r>
            <w:fldChar w:fldCharType="separate"/>
          </w:r>
          <w:r>
            <w:t>大气环境影响分析</w:t>
          </w:r>
          <w:r>
            <w:tab/>
          </w:r>
          <w:r>
            <w:rPr>
              <w:rFonts w:ascii="Times New Roman" w:eastAsia="Times New Roman"/>
              <w:spacing w:val="-1"/>
            </w:rPr>
            <w:t>134</w:t>
          </w:r>
          <w:r>
            <w:rPr>
              <w:rFonts w:ascii="Times New Roman" w:eastAsia="Times New Roman"/>
              <w:spacing w:val="-1"/>
            </w:rPr>
            <w:fldChar w:fldCharType="end"/>
          </w:r>
        </w:p>
        <w:p>
          <w:pPr>
            <w:pStyle w:val="14"/>
            <w:numPr>
              <w:ilvl w:val="1"/>
              <w:numId w:val="2"/>
            </w:numPr>
            <w:tabs>
              <w:tab w:val="left" w:pos="420"/>
              <w:tab w:val="left" w:leader="dot" w:pos="8085"/>
            </w:tabs>
            <w:spacing w:before="123" w:after="0" w:line="240" w:lineRule="auto"/>
            <w:ind w:left="1197" w:right="255" w:hanging="1198"/>
            <w:jc w:val="right"/>
            <w:rPr>
              <w:rFonts w:ascii="Calibri" w:eastAsia="Calibri"/>
            </w:rPr>
          </w:pPr>
          <w:r>
            <w:fldChar w:fldCharType="begin"/>
          </w:r>
          <w:r>
            <w:instrText xml:space="preserve"> HYPERLINK \l "_bookmark40" </w:instrText>
          </w:r>
          <w:r>
            <w:fldChar w:fldCharType="separate"/>
          </w:r>
          <w:r>
            <w:t>环</w:t>
          </w:r>
          <w:r>
            <w:rPr>
              <w:spacing w:val="-3"/>
            </w:rPr>
            <w:t>境</w:t>
          </w:r>
          <w:r>
            <w:t>空气</w:t>
          </w:r>
          <w:r>
            <w:rPr>
              <w:spacing w:val="-3"/>
            </w:rPr>
            <w:t>质</w:t>
          </w:r>
          <w:r>
            <w:t>量现</w:t>
          </w:r>
          <w:r>
            <w:rPr>
              <w:spacing w:val="-3"/>
            </w:rPr>
            <w:t>状</w:t>
          </w:r>
          <w:r>
            <w:t>评价</w:t>
          </w:r>
          <w:r>
            <w:tab/>
          </w:r>
          <w:r>
            <w:rPr>
              <w:rFonts w:ascii="Calibri" w:eastAsia="Calibri"/>
              <w:spacing w:val="-1"/>
            </w:rPr>
            <w:t>134</w:t>
          </w:r>
          <w:r>
            <w:rPr>
              <w:rFonts w:ascii="Calibri" w:eastAsia="Calibri"/>
              <w:spacing w:val="-1"/>
            </w:rPr>
            <w:fldChar w:fldCharType="end"/>
          </w:r>
        </w:p>
        <w:p>
          <w:pPr>
            <w:pStyle w:val="14"/>
            <w:numPr>
              <w:ilvl w:val="1"/>
              <w:numId w:val="2"/>
            </w:numPr>
            <w:tabs>
              <w:tab w:val="left" w:pos="420"/>
              <w:tab w:val="left" w:leader="dot" w:pos="8085"/>
            </w:tabs>
            <w:spacing w:before="143" w:after="0" w:line="240" w:lineRule="auto"/>
            <w:ind w:left="1197" w:right="255" w:hanging="1198"/>
            <w:jc w:val="right"/>
            <w:rPr>
              <w:rFonts w:ascii="Calibri" w:eastAsia="Calibri"/>
            </w:rPr>
          </w:pPr>
          <w:r>
            <w:fldChar w:fldCharType="begin"/>
          </w:r>
          <w:r>
            <w:instrText xml:space="preserve"> HYPERLINK \l "_bookmark41" </w:instrText>
          </w:r>
          <w:r>
            <w:fldChar w:fldCharType="separate"/>
          </w:r>
          <w:r>
            <w:t>建</w:t>
          </w:r>
          <w:r>
            <w:rPr>
              <w:spacing w:val="-3"/>
            </w:rPr>
            <w:t>设</w:t>
          </w:r>
          <w:r>
            <w:t>期大</w:t>
          </w:r>
          <w:r>
            <w:rPr>
              <w:spacing w:val="-3"/>
            </w:rPr>
            <w:t>气</w:t>
          </w:r>
          <w:r>
            <w:t>环境</w:t>
          </w:r>
          <w:r>
            <w:rPr>
              <w:spacing w:val="-3"/>
            </w:rPr>
            <w:t>影</w:t>
          </w:r>
          <w:r>
            <w:t>响及</w:t>
          </w:r>
          <w:r>
            <w:rPr>
              <w:spacing w:val="-3"/>
            </w:rPr>
            <w:t>防</w:t>
          </w:r>
          <w:r>
            <w:t>治措施</w:t>
          </w:r>
          <w:r>
            <w:tab/>
          </w:r>
          <w:r>
            <w:rPr>
              <w:rFonts w:ascii="Calibri" w:eastAsia="Calibri"/>
              <w:spacing w:val="-1"/>
            </w:rPr>
            <w:t>137</w:t>
          </w:r>
          <w:r>
            <w:rPr>
              <w:rFonts w:ascii="Calibri" w:eastAsia="Calibri"/>
              <w:spacing w:val="-1"/>
            </w:rPr>
            <w:fldChar w:fldCharType="end"/>
          </w:r>
        </w:p>
        <w:p>
          <w:pPr>
            <w:pStyle w:val="14"/>
            <w:numPr>
              <w:ilvl w:val="1"/>
              <w:numId w:val="2"/>
            </w:numPr>
            <w:tabs>
              <w:tab w:val="left" w:pos="420"/>
              <w:tab w:val="left" w:leader="dot" w:pos="8085"/>
            </w:tabs>
            <w:spacing w:before="141" w:after="0" w:line="240" w:lineRule="auto"/>
            <w:ind w:left="1197" w:right="255" w:hanging="1198"/>
            <w:jc w:val="right"/>
            <w:rPr>
              <w:rFonts w:ascii="Calibri" w:eastAsia="Calibri"/>
            </w:rPr>
          </w:pPr>
          <w:r>
            <w:fldChar w:fldCharType="begin"/>
          </w:r>
          <w:r>
            <w:instrText xml:space="preserve"> HYPERLINK \l "_bookmark42" </w:instrText>
          </w:r>
          <w:r>
            <w:fldChar w:fldCharType="separate"/>
          </w:r>
          <w:r>
            <w:t>运</w:t>
          </w:r>
          <w:r>
            <w:rPr>
              <w:spacing w:val="-3"/>
            </w:rPr>
            <w:t>营</w:t>
          </w:r>
          <w:r>
            <w:t>期大</w:t>
          </w:r>
          <w:r>
            <w:rPr>
              <w:spacing w:val="-3"/>
            </w:rPr>
            <w:t>气</w:t>
          </w:r>
          <w:r>
            <w:t>环境</w:t>
          </w:r>
          <w:r>
            <w:rPr>
              <w:spacing w:val="-3"/>
            </w:rPr>
            <w:t>影</w:t>
          </w:r>
          <w:r>
            <w:t>响预</w:t>
          </w:r>
          <w:r>
            <w:rPr>
              <w:spacing w:val="-3"/>
            </w:rPr>
            <w:t>测</w:t>
          </w:r>
          <w:r>
            <w:t>与评价</w:t>
          </w:r>
          <w:r>
            <w:tab/>
          </w:r>
          <w:r>
            <w:rPr>
              <w:rFonts w:ascii="Calibri" w:eastAsia="Calibri"/>
              <w:spacing w:val="-1"/>
            </w:rPr>
            <w:t>137</w:t>
          </w:r>
          <w:r>
            <w:rPr>
              <w:rFonts w:ascii="Calibri" w:eastAsia="Calibri"/>
              <w:spacing w:val="-1"/>
            </w:rPr>
            <w:fldChar w:fldCharType="end"/>
          </w:r>
        </w:p>
        <w:p>
          <w:pPr>
            <w:pStyle w:val="14"/>
            <w:tabs>
              <w:tab w:val="left" w:leader="dot" w:pos="8085"/>
            </w:tabs>
            <w:ind w:left="0" w:firstLine="0"/>
            <w:rPr>
              <w:rFonts w:ascii="Calibri" w:eastAsia="Calibri"/>
            </w:rPr>
          </w:pPr>
          <w:r>
            <w:fldChar w:fldCharType="begin"/>
          </w:r>
          <w:r>
            <w:instrText xml:space="preserve"> HYPERLINK \l "_bookmark43" </w:instrText>
          </w:r>
          <w:r>
            <w:fldChar w:fldCharType="separate"/>
          </w:r>
          <w:r>
            <w:rPr>
              <w:rFonts w:ascii="Times New Roman" w:eastAsia="Times New Roman"/>
            </w:rPr>
            <w:t>7.6</w:t>
          </w:r>
          <w:r>
            <w:rPr>
              <w:rFonts w:ascii="Times New Roman" w:eastAsia="Times New Roman"/>
              <w:spacing w:val="-2"/>
            </w:rPr>
            <w:t xml:space="preserve"> </w:t>
          </w:r>
          <w:r>
            <w:t>排</w:t>
          </w:r>
          <w:r>
            <w:rPr>
              <w:spacing w:val="-3"/>
            </w:rPr>
            <w:t>放</w:t>
          </w:r>
          <w:r>
            <w:t>量核算</w:t>
          </w:r>
          <w:r>
            <w:tab/>
          </w:r>
          <w:r>
            <w:rPr>
              <w:rFonts w:ascii="Calibri" w:eastAsia="Calibri"/>
              <w:spacing w:val="-1"/>
            </w:rPr>
            <w:t>146</w:t>
          </w:r>
          <w:r>
            <w:rPr>
              <w:rFonts w:ascii="Calibri" w:eastAsia="Calibri"/>
              <w:spacing w:val="-1"/>
            </w:rPr>
            <w:fldChar w:fldCharType="end"/>
          </w:r>
        </w:p>
        <w:p>
          <w:pPr>
            <w:pStyle w:val="12"/>
            <w:numPr>
              <w:ilvl w:val="0"/>
              <w:numId w:val="2"/>
            </w:numPr>
            <w:tabs>
              <w:tab w:val="left" w:pos="228"/>
              <w:tab w:val="left" w:leader="dot" w:pos="8618"/>
            </w:tabs>
            <w:spacing w:before="25" w:after="0" w:line="240" w:lineRule="auto"/>
            <w:ind w:left="445" w:right="257" w:hanging="446"/>
            <w:jc w:val="right"/>
            <w:rPr>
              <w:rFonts w:ascii="Times New Roman" w:eastAsia="Times New Roman"/>
            </w:rPr>
          </w:pPr>
          <w:r>
            <w:fldChar w:fldCharType="begin"/>
          </w:r>
          <w:r>
            <w:instrText xml:space="preserve"> HYPERLINK \l "_bookmark44" </w:instrText>
          </w:r>
          <w:r>
            <w:fldChar w:fldCharType="separate"/>
          </w:r>
          <w:r>
            <w:t>声环境影响分析</w:t>
          </w:r>
          <w:r>
            <w:tab/>
          </w:r>
          <w:r>
            <w:rPr>
              <w:rFonts w:ascii="Times New Roman" w:eastAsia="Times New Roman"/>
              <w:spacing w:val="-1"/>
            </w:rPr>
            <w:t>147</w:t>
          </w:r>
          <w:r>
            <w:rPr>
              <w:rFonts w:ascii="Times New Roman" w:eastAsia="Times New Roman"/>
              <w:spacing w:val="-1"/>
            </w:rPr>
            <w:fldChar w:fldCharType="end"/>
          </w:r>
        </w:p>
        <w:p>
          <w:pPr>
            <w:pStyle w:val="14"/>
            <w:numPr>
              <w:ilvl w:val="1"/>
              <w:numId w:val="2"/>
            </w:numPr>
            <w:tabs>
              <w:tab w:val="left" w:pos="420"/>
              <w:tab w:val="left" w:leader="dot" w:pos="8085"/>
            </w:tabs>
            <w:spacing w:before="122" w:after="0" w:line="240" w:lineRule="auto"/>
            <w:ind w:left="1197" w:right="255" w:hanging="1198"/>
            <w:jc w:val="right"/>
            <w:rPr>
              <w:rFonts w:ascii="Calibri" w:eastAsia="Calibri"/>
            </w:rPr>
          </w:pPr>
          <w:r>
            <w:fldChar w:fldCharType="begin"/>
          </w:r>
          <w:r>
            <w:instrText xml:space="preserve"> HYPERLINK \l "_bookmark45" </w:instrText>
          </w:r>
          <w:r>
            <w:fldChar w:fldCharType="separate"/>
          </w:r>
          <w:r>
            <w:t>声</w:t>
          </w:r>
          <w:r>
            <w:rPr>
              <w:spacing w:val="-3"/>
            </w:rPr>
            <w:t>环</w:t>
          </w:r>
          <w:r>
            <w:t>境现</w:t>
          </w:r>
          <w:r>
            <w:rPr>
              <w:spacing w:val="-3"/>
            </w:rPr>
            <w:t>状</w:t>
          </w:r>
          <w:r>
            <w:t>监测</w:t>
          </w:r>
          <w:r>
            <w:rPr>
              <w:spacing w:val="-3"/>
            </w:rPr>
            <w:t>与</w:t>
          </w:r>
          <w:r>
            <w:t>评价</w:t>
          </w:r>
          <w:r>
            <w:tab/>
          </w:r>
          <w:r>
            <w:rPr>
              <w:rFonts w:ascii="Calibri" w:eastAsia="Calibri"/>
              <w:spacing w:val="-1"/>
            </w:rPr>
            <w:t>147</w:t>
          </w:r>
          <w:r>
            <w:rPr>
              <w:rFonts w:ascii="Calibri" w:eastAsia="Calibri"/>
              <w:spacing w:val="-1"/>
            </w:rPr>
            <w:fldChar w:fldCharType="end"/>
          </w:r>
        </w:p>
        <w:p>
          <w:pPr>
            <w:pStyle w:val="14"/>
            <w:numPr>
              <w:ilvl w:val="1"/>
              <w:numId w:val="2"/>
            </w:numPr>
            <w:tabs>
              <w:tab w:val="left" w:pos="420"/>
              <w:tab w:val="left" w:leader="dot" w:pos="8085"/>
            </w:tabs>
            <w:spacing w:before="141" w:after="0" w:line="240" w:lineRule="auto"/>
            <w:ind w:left="1197" w:right="255" w:hanging="1198"/>
            <w:jc w:val="right"/>
            <w:rPr>
              <w:rFonts w:ascii="Calibri" w:eastAsia="Calibri"/>
            </w:rPr>
          </w:pPr>
          <w:r>
            <w:fldChar w:fldCharType="begin"/>
          </w:r>
          <w:r>
            <w:instrText xml:space="preserve"> HYPERLINK \l "_bookmark46" </w:instrText>
          </w:r>
          <w:r>
            <w:fldChar w:fldCharType="separate"/>
          </w:r>
          <w:r>
            <w:t>建</w:t>
          </w:r>
          <w:r>
            <w:rPr>
              <w:spacing w:val="-3"/>
            </w:rPr>
            <w:t>设</w:t>
          </w:r>
          <w:r>
            <w:t>期声</w:t>
          </w:r>
          <w:r>
            <w:rPr>
              <w:spacing w:val="-3"/>
            </w:rPr>
            <w:t>环</w:t>
          </w:r>
          <w:r>
            <w:t>境影</w:t>
          </w:r>
          <w:r>
            <w:rPr>
              <w:spacing w:val="-3"/>
            </w:rPr>
            <w:t>响</w:t>
          </w:r>
          <w:r>
            <w:t>及防</w:t>
          </w:r>
          <w:r>
            <w:rPr>
              <w:spacing w:val="-3"/>
            </w:rPr>
            <w:t>治</w:t>
          </w:r>
          <w:r>
            <w:t>措施</w:t>
          </w:r>
          <w:r>
            <w:tab/>
          </w:r>
          <w:r>
            <w:rPr>
              <w:rFonts w:ascii="Calibri" w:eastAsia="Calibri"/>
              <w:spacing w:val="-1"/>
            </w:rPr>
            <w:t>148</w:t>
          </w:r>
          <w:r>
            <w:rPr>
              <w:rFonts w:ascii="Calibri" w:eastAsia="Calibri"/>
              <w:spacing w:val="-1"/>
            </w:rPr>
            <w:fldChar w:fldCharType="end"/>
          </w:r>
        </w:p>
        <w:p>
          <w:pPr>
            <w:pStyle w:val="14"/>
            <w:numPr>
              <w:ilvl w:val="1"/>
              <w:numId w:val="2"/>
            </w:numPr>
            <w:tabs>
              <w:tab w:val="left" w:pos="420"/>
              <w:tab w:val="left" w:leader="dot" w:pos="8085"/>
            </w:tabs>
            <w:spacing w:before="140" w:after="0" w:line="240" w:lineRule="auto"/>
            <w:ind w:left="1197" w:right="255" w:hanging="1198"/>
            <w:jc w:val="right"/>
            <w:rPr>
              <w:rFonts w:ascii="Calibri" w:eastAsia="Calibri"/>
            </w:rPr>
          </w:pPr>
          <w:r>
            <w:fldChar w:fldCharType="begin"/>
          </w:r>
          <w:r>
            <w:instrText xml:space="preserve"> HYPERLINK \l "_bookmark47" </w:instrText>
          </w:r>
          <w:r>
            <w:fldChar w:fldCharType="separate"/>
          </w:r>
          <w:r>
            <w:t>运</w:t>
          </w:r>
          <w:r>
            <w:rPr>
              <w:spacing w:val="-3"/>
            </w:rPr>
            <w:t>营</w:t>
          </w:r>
          <w:r>
            <w:t>期声</w:t>
          </w:r>
          <w:r>
            <w:rPr>
              <w:spacing w:val="-3"/>
            </w:rPr>
            <w:t>环</w:t>
          </w:r>
          <w:r>
            <w:t>境影</w:t>
          </w:r>
          <w:r>
            <w:rPr>
              <w:spacing w:val="-3"/>
            </w:rPr>
            <w:t>响</w:t>
          </w:r>
          <w:r>
            <w:t>预测</w:t>
          </w:r>
          <w:r>
            <w:rPr>
              <w:spacing w:val="-3"/>
            </w:rPr>
            <w:t>与</w:t>
          </w:r>
          <w:r>
            <w:t>评价</w:t>
          </w:r>
          <w:r>
            <w:tab/>
          </w:r>
          <w:r>
            <w:rPr>
              <w:rFonts w:ascii="Calibri" w:eastAsia="Calibri"/>
              <w:spacing w:val="-1"/>
            </w:rPr>
            <w:t>150</w:t>
          </w:r>
          <w:r>
            <w:rPr>
              <w:rFonts w:ascii="Calibri" w:eastAsia="Calibri"/>
              <w:spacing w:val="-1"/>
            </w:rPr>
            <w:fldChar w:fldCharType="end"/>
          </w:r>
        </w:p>
        <w:p>
          <w:pPr>
            <w:pStyle w:val="14"/>
            <w:numPr>
              <w:ilvl w:val="1"/>
              <w:numId w:val="2"/>
            </w:numPr>
            <w:tabs>
              <w:tab w:val="left" w:pos="420"/>
              <w:tab w:val="left" w:leader="dot" w:pos="8085"/>
            </w:tabs>
            <w:spacing w:before="143" w:after="0" w:line="240" w:lineRule="auto"/>
            <w:ind w:left="1197" w:right="255" w:hanging="1198"/>
            <w:jc w:val="right"/>
            <w:rPr>
              <w:rFonts w:ascii="Calibri" w:eastAsia="Calibri"/>
            </w:rPr>
          </w:pPr>
          <w:r>
            <w:fldChar w:fldCharType="begin"/>
          </w:r>
          <w:r>
            <w:instrText xml:space="preserve"> HYPERLINK \l "_bookmark48" </w:instrText>
          </w:r>
          <w:r>
            <w:fldChar w:fldCharType="separate"/>
          </w:r>
          <w:r>
            <w:t>声</w:t>
          </w:r>
          <w:r>
            <w:rPr>
              <w:spacing w:val="-3"/>
            </w:rPr>
            <w:t>环</w:t>
          </w:r>
          <w:r>
            <w:t>境污</w:t>
          </w:r>
          <w:r>
            <w:rPr>
              <w:spacing w:val="-3"/>
            </w:rPr>
            <w:t>染</w:t>
          </w:r>
          <w:r>
            <w:t>防治</w:t>
          </w:r>
          <w:r>
            <w:rPr>
              <w:spacing w:val="-3"/>
            </w:rPr>
            <w:t>措</w:t>
          </w:r>
          <w:r>
            <w:t>施</w:t>
          </w:r>
          <w:r>
            <w:tab/>
          </w:r>
          <w:r>
            <w:rPr>
              <w:rFonts w:ascii="Calibri" w:eastAsia="Calibri"/>
              <w:spacing w:val="-1"/>
            </w:rPr>
            <w:t>155</w:t>
          </w:r>
          <w:r>
            <w:rPr>
              <w:rFonts w:ascii="Calibri" w:eastAsia="Calibri"/>
              <w:spacing w:val="-1"/>
            </w:rPr>
            <w:fldChar w:fldCharType="end"/>
          </w:r>
        </w:p>
        <w:p>
          <w:pPr>
            <w:pStyle w:val="12"/>
            <w:numPr>
              <w:ilvl w:val="0"/>
              <w:numId w:val="2"/>
            </w:numPr>
            <w:tabs>
              <w:tab w:val="left" w:pos="375"/>
              <w:tab w:val="left" w:leader="dot" w:pos="8618"/>
            </w:tabs>
            <w:spacing w:before="22" w:after="0" w:line="240" w:lineRule="auto"/>
            <w:ind w:left="592" w:right="257" w:hanging="593"/>
            <w:jc w:val="right"/>
            <w:rPr>
              <w:rFonts w:ascii="Times New Roman" w:eastAsia="Times New Roman"/>
            </w:rPr>
          </w:pPr>
          <w:r>
            <w:fldChar w:fldCharType="begin"/>
          </w:r>
          <w:r>
            <w:instrText xml:space="preserve"> HYPERLINK \l "_bookmark50" </w:instrText>
          </w:r>
          <w:r>
            <w:fldChar w:fldCharType="separate"/>
          </w:r>
          <w:r>
            <w:t>土壤环境影响评价</w:t>
          </w:r>
          <w:r>
            <w:tab/>
          </w:r>
          <w:r>
            <w:rPr>
              <w:rFonts w:ascii="Times New Roman" w:eastAsia="Times New Roman"/>
              <w:spacing w:val="-1"/>
            </w:rPr>
            <w:t>156</w:t>
          </w:r>
          <w:r>
            <w:rPr>
              <w:rFonts w:ascii="Times New Roman" w:eastAsia="Times New Roman"/>
              <w:spacing w:val="-1"/>
            </w:rPr>
            <w:fldChar w:fldCharType="end"/>
          </w:r>
        </w:p>
        <w:p>
          <w:pPr>
            <w:pStyle w:val="10"/>
            <w:tabs>
              <w:tab w:val="left" w:leader="dot" w:pos="8863"/>
            </w:tabs>
            <w:spacing w:before="123"/>
            <w:rPr>
              <w:rFonts w:ascii="Calibri" w:eastAsia="Calibri"/>
            </w:rPr>
          </w:pPr>
          <w:r>
            <w:fldChar w:fldCharType="begin"/>
          </w:r>
          <w:r>
            <w:instrText xml:space="preserve"> HYPERLINK \l "_bookmark49" </w:instrText>
          </w:r>
          <w:r>
            <w:fldChar w:fldCharType="separate"/>
          </w:r>
          <w:r>
            <w:rPr>
              <w:rFonts w:ascii="Times New Roman" w:eastAsia="Times New Roman"/>
            </w:rPr>
            <w:t>9.1</w:t>
          </w:r>
          <w:r>
            <w:rPr>
              <w:rFonts w:ascii="Times New Roman" w:eastAsia="Times New Roman"/>
              <w:spacing w:val="67"/>
            </w:rPr>
            <w:t xml:space="preserve"> </w:t>
          </w:r>
          <w:r>
            <w:t>概述</w:t>
          </w:r>
          <w:r>
            <w:tab/>
          </w:r>
          <w:r>
            <w:rPr>
              <w:rFonts w:ascii="Calibri" w:eastAsia="Calibri"/>
            </w:rPr>
            <w:t>156</w:t>
          </w:r>
          <w:r>
            <w:rPr>
              <w:rFonts w:ascii="Calibri" w:eastAsia="Calibri"/>
            </w:rPr>
            <w:fldChar w:fldCharType="end"/>
          </w:r>
        </w:p>
        <w:p>
          <w:pPr>
            <w:pStyle w:val="10"/>
            <w:numPr>
              <w:ilvl w:val="1"/>
              <w:numId w:val="4"/>
            </w:numPr>
            <w:tabs>
              <w:tab w:val="left" w:pos="1268"/>
              <w:tab w:val="left" w:leader="dot" w:pos="8863"/>
            </w:tabs>
            <w:spacing w:before="143" w:after="0" w:line="240" w:lineRule="auto"/>
            <w:ind w:left="1267" w:right="0" w:hanging="491"/>
            <w:jc w:val="left"/>
            <w:rPr>
              <w:rFonts w:ascii="Calibri" w:eastAsia="Calibri"/>
            </w:rPr>
          </w:pPr>
          <w:r>
            <w:fldChar w:fldCharType="begin"/>
          </w:r>
          <w:r>
            <w:instrText xml:space="preserve"> HYPERLINK \l "_bookmark51" </w:instrText>
          </w:r>
          <w:r>
            <w:fldChar w:fldCharType="separate"/>
          </w:r>
          <w:r>
            <w:t>土</w:t>
          </w:r>
          <w:r>
            <w:rPr>
              <w:spacing w:val="-3"/>
            </w:rPr>
            <w:t>壤</w:t>
          </w:r>
          <w:r>
            <w:t>环境</w:t>
          </w:r>
          <w:r>
            <w:rPr>
              <w:spacing w:val="-3"/>
            </w:rPr>
            <w:t>评</w:t>
          </w:r>
          <w:r>
            <w:t>价等</w:t>
          </w:r>
          <w:r>
            <w:rPr>
              <w:spacing w:val="-3"/>
            </w:rPr>
            <w:t>级</w:t>
          </w:r>
          <w:r>
            <w:t>、评</w:t>
          </w:r>
          <w:r>
            <w:rPr>
              <w:spacing w:val="-3"/>
            </w:rPr>
            <w:t>价</w:t>
          </w:r>
          <w:r>
            <w:t>范围</w:t>
          </w:r>
          <w:r>
            <w:rPr>
              <w:spacing w:val="-3"/>
            </w:rPr>
            <w:t>确</w:t>
          </w:r>
          <w:r>
            <w:t>定及</w:t>
          </w:r>
          <w:r>
            <w:rPr>
              <w:spacing w:val="-3"/>
            </w:rPr>
            <w:t>敏</w:t>
          </w:r>
          <w:r>
            <w:t>感目标</w:t>
          </w:r>
          <w:r>
            <w:tab/>
          </w:r>
          <w:r>
            <w:rPr>
              <w:rFonts w:ascii="Calibri" w:eastAsia="Calibri"/>
            </w:rPr>
            <w:t>157</w:t>
          </w:r>
          <w:r>
            <w:rPr>
              <w:rFonts w:ascii="Calibri" w:eastAsia="Calibri"/>
            </w:rPr>
            <w:fldChar w:fldCharType="end"/>
          </w:r>
        </w:p>
        <w:p>
          <w:pPr>
            <w:pStyle w:val="10"/>
            <w:numPr>
              <w:ilvl w:val="1"/>
              <w:numId w:val="4"/>
            </w:numPr>
            <w:tabs>
              <w:tab w:val="left" w:pos="1268"/>
              <w:tab w:val="left" w:leader="dot" w:pos="8863"/>
            </w:tabs>
            <w:spacing w:before="140" w:after="0" w:line="240" w:lineRule="auto"/>
            <w:ind w:left="1267" w:right="0" w:hanging="491"/>
            <w:jc w:val="left"/>
            <w:rPr>
              <w:rFonts w:ascii="Calibri" w:eastAsia="Calibri"/>
            </w:rPr>
          </w:pPr>
          <w:r>
            <w:fldChar w:fldCharType="begin"/>
          </w:r>
          <w:r>
            <w:instrText xml:space="preserve"> HYPERLINK \l "_bookmark52" </w:instrText>
          </w:r>
          <w:r>
            <w:fldChar w:fldCharType="separate"/>
          </w:r>
          <w:r>
            <w:t>土</w:t>
          </w:r>
          <w:r>
            <w:rPr>
              <w:spacing w:val="-3"/>
            </w:rPr>
            <w:t>壤</w:t>
          </w:r>
          <w:r>
            <w:t>环境</w:t>
          </w:r>
          <w:r>
            <w:rPr>
              <w:spacing w:val="-3"/>
            </w:rPr>
            <w:t>质</w:t>
          </w:r>
          <w:r>
            <w:t>量现</w:t>
          </w:r>
          <w:r>
            <w:rPr>
              <w:spacing w:val="-3"/>
            </w:rPr>
            <w:t>状</w:t>
          </w:r>
          <w:r>
            <w:t>监测</w:t>
          </w:r>
          <w:r>
            <w:rPr>
              <w:spacing w:val="-3"/>
            </w:rPr>
            <w:t>与</w:t>
          </w:r>
          <w:r>
            <w:t>评价</w:t>
          </w:r>
          <w:r>
            <w:tab/>
          </w:r>
          <w:r>
            <w:rPr>
              <w:rFonts w:ascii="Calibri" w:eastAsia="Calibri"/>
            </w:rPr>
            <w:t>158</w:t>
          </w:r>
          <w:r>
            <w:rPr>
              <w:rFonts w:ascii="Calibri" w:eastAsia="Calibri"/>
            </w:rPr>
            <w:fldChar w:fldCharType="end"/>
          </w:r>
        </w:p>
        <w:p>
          <w:pPr>
            <w:pStyle w:val="10"/>
            <w:tabs>
              <w:tab w:val="left" w:leader="dot" w:pos="8863"/>
            </w:tabs>
            <w:rPr>
              <w:rFonts w:ascii="Calibri" w:eastAsia="Calibri"/>
            </w:rPr>
          </w:pPr>
          <w:r>
            <w:fldChar w:fldCharType="begin"/>
          </w:r>
          <w:r>
            <w:instrText xml:space="preserve"> HYPERLINK \l "_bookmark53" </w:instrText>
          </w:r>
          <w:r>
            <w:fldChar w:fldCharType="separate"/>
          </w:r>
          <w:r>
            <w:rPr>
              <w:rFonts w:ascii="Times New Roman" w:eastAsia="Times New Roman"/>
            </w:rPr>
            <w:t>9.5</w:t>
          </w:r>
          <w:r>
            <w:rPr>
              <w:rFonts w:ascii="Times New Roman" w:eastAsia="Times New Roman"/>
              <w:spacing w:val="68"/>
            </w:rPr>
            <w:t xml:space="preserve"> </w:t>
          </w:r>
          <w:r>
            <w:t>保</w:t>
          </w:r>
          <w:r>
            <w:rPr>
              <w:spacing w:val="-3"/>
            </w:rPr>
            <w:t>护</w:t>
          </w:r>
          <w:r>
            <w:t>措施</w:t>
          </w:r>
          <w:r>
            <w:rPr>
              <w:spacing w:val="-3"/>
            </w:rPr>
            <w:t>及</w:t>
          </w:r>
          <w:r>
            <w:t>对策</w:t>
          </w:r>
          <w:r>
            <w:tab/>
          </w:r>
          <w:r>
            <w:rPr>
              <w:rFonts w:ascii="Calibri" w:eastAsia="Calibri"/>
            </w:rPr>
            <w:t>171</w:t>
          </w:r>
          <w:r>
            <w:rPr>
              <w:rFonts w:ascii="Calibri" w:eastAsia="Calibri"/>
            </w:rPr>
            <w:fldChar w:fldCharType="end"/>
          </w:r>
        </w:p>
        <w:p>
          <w:pPr>
            <w:pStyle w:val="10"/>
            <w:tabs>
              <w:tab w:val="left" w:leader="dot" w:pos="8863"/>
            </w:tabs>
            <w:spacing w:before="143" w:after="20"/>
            <w:rPr>
              <w:rFonts w:ascii="Calibri" w:eastAsia="Calibri"/>
            </w:rPr>
          </w:pPr>
          <w:r>
            <w:fldChar w:fldCharType="begin"/>
          </w:r>
          <w:r>
            <w:instrText xml:space="preserve"> HYPERLINK \l "_bookmark54" </w:instrText>
          </w:r>
          <w:r>
            <w:fldChar w:fldCharType="separate"/>
          </w:r>
          <w:r>
            <w:rPr>
              <w:rFonts w:ascii="Times New Roman" w:eastAsia="Times New Roman"/>
            </w:rPr>
            <w:t>9.6</w:t>
          </w:r>
          <w:r>
            <w:rPr>
              <w:rFonts w:ascii="Times New Roman" w:eastAsia="Times New Roman"/>
              <w:spacing w:val="67"/>
            </w:rPr>
            <w:t xml:space="preserve"> </w:t>
          </w:r>
          <w:r>
            <w:t>结论</w:t>
          </w:r>
          <w:r>
            <w:tab/>
          </w:r>
          <w:r>
            <w:rPr>
              <w:rFonts w:ascii="Calibri" w:eastAsia="Calibri"/>
            </w:rPr>
            <w:t>171</w:t>
          </w:r>
          <w:r>
            <w:rPr>
              <w:rFonts w:ascii="Calibri" w:eastAsia="Calibri"/>
            </w:rPr>
            <w:fldChar w:fldCharType="end"/>
          </w:r>
        </w:p>
        <w:p>
          <w:pPr>
            <w:pStyle w:val="12"/>
            <w:numPr>
              <w:ilvl w:val="0"/>
              <w:numId w:val="2"/>
            </w:numPr>
            <w:tabs>
              <w:tab w:val="left" w:pos="526"/>
              <w:tab w:val="left" w:leader="dot" w:pos="8618"/>
            </w:tabs>
            <w:spacing w:before="44" w:after="0" w:line="240" w:lineRule="auto"/>
            <w:ind w:left="744" w:right="257" w:hanging="744"/>
            <w:jc w:val="right"/>
            <w:rPr>
              <w:rFonts w:ascii="Times New Roman" w:eastAsia="Times New Roman"/>
            </w:rPr>
          </w:pPr>
          <w:r>
            <w:fldChar w:fldCharType="begin"/>
          </w:r>
          <w:r>
            <w:instrText xml:space="preserve"> HYPERLINK \l "_bookmark55" </w:instrText>
          </w:r>
          <w:r>
            <w:fldChar w:fldCharType="separate"/>
          </w:r>
          <w:r>
            <w:t>固体废物环境影响分析</w:t>
          </w:r>
          <w:r>
            <w:tab/>
          </w:r>
          <w:r>
            <w:rPr>
              <w:rFonts w:ascii="Times New Roman" w:eastAsia="Times New Roman"/>
              <w:spacing w:val="-1"/>
            </w:rPr>
            <w:t>172</w:t>
          </w:r>
          <w:r>
            <w:rPr>
              <w:rFonts w:ascii="Times New Roman" w:eastAsia="Times New Roman"/>
              <w:spacing w:val="-1"/>
            </w:rPr>
            <w:fldChar w:fldCharType="end"/>
          </w:r>
        </w:p>
        <w:p>
          <w:pPr>
            <w:pStyle w:val="14"/>
            <w:numPr>
              <w:ilvl w:val="1"/>
              <w:numId w:val="2"/>
            </w:numPr>
            <w:tabs>
              <w:tab w:val="left" w:pos="632"/>
              <w:tab w:val="left" w:leader="dot" w:pos="8085"/>
            </w:tabs>
            <w:spacing w:before="122" w:after="0" w:line="240" w:lineRule="auto"/>
            <w:ind w:left="1408" w:right="255" w:hanging="1409"/>
            <w:jc w:val="right"/>
            <w:rPr>
              <w:rFonts w:ascii="Calibri" w:eastAsia="Calibri"/>
            </w:rPr>
          </w:pPr>
          <w:r>
            <w:fldChar w:fldCharType="begin"/>
          </w:r>
          <w:r>
            <w:instrText xml:space="preserve"> HYPERLINK \l "_bookmark56" </w:instrText>
          </w:r>
          <w:r>
            <w:fldChar w:fldCharType="separate"/>
          </w:r>
          <w:r>
            <w:t>施</w:t>
          </w:r>
          <w:r>
            <w:rPr>
              <w:spacing w:val="-3"/>
            </w:rPr>
            <w:t>工</w:t>
          </w:r>
          <w:r>
            <w:t>期固</w:t>
          </w:r>
          <w:r>
            <w:rPr>
              <w:spacing w:val="-3"/>
            </w:rPr>
            <w:t>体</w:t>
          </w:r>
          <w:r>
            <w:t>废物</w:t>
          </w:r>
          <w:r>
            <w:rPr>
              <w:spacing w:val="-3"/>
            </w:rPr>
            <w:t>的</w:t>
          </w:r>
          <w:r>
            <w:t>处置</w:t>
          </w:r>
          <w:r>
            <w:tab/>
          </w:r>
          <w:r>
            <w:rPr>
              <w:rFonts w:ascii="Calibri" w:eastAsia="Calibri"/>
              <w:spacing w:val="-1"/>
            </w:rPr>
            <w:t>172</w:t>
          </w:r>
          <w:r>
            <w:rPr>
              <w:rFonts w:ascii="Calibri" w:eastAsia="Calibri"/>
              <w:spacing w:val="-1"/>
            </w:rPr>
            <w:fldChar w:fldCharType="end"/>
          </w:r>
        </w:p>
        <w:p>
          <w:pPr>
            <w:pStyle w:val="14"/>
            <w:numPr>
              <w:ilvl w:val="1"/>
              <w:numId w:val="2"/>
            </w:numPr>
            <w:tabs>
              <w:tab w:val="left" w:pos="632"/>
              <w:tab w:val="left" w:leader="dot" w:pos="8085"/>
            </w:tabs>
            <w:spacing w:before="141" w:after="0" w:line="240" w:lineRule="auto"/>
            <w:ind w:left="1408" w:right="255" w:hanging="1409"/>
            <w:jc w:val="right"/>
            <w:rPr>
              <w:rFonts w:ascii="Calibri" w:eastAsia="Calibri"/>
            </w:rPr>
          </w:pPr>
          <w:r>
            <w:fldChar w:fldCharType="begin"/>
          </w:r>
          <w:r>
            <w:instrText xml:space="preserve"> HYPERLINK \l "_bookmark57" </w:instrText>
          </w:r>
          <w:r>
            <w:fldChar w:fldCharType="separate"/>
          </w:r>
          <w:r>
            <w:t>运</w:t>
          </w:r>
          <w:r>
            <w:rPr>
              <w:spacing w:val="-3"/>
            </w:rPr>
            <w:t>营</w:t>
          </w:r>
          <w:r>
            <w:t>期固</w:t>
          </w:r>
          <w:r>
            <w:rPr>
              <w:spacing w:val="-3"/>
            </w:rPr>
            <w:t>体</w:t>
          </w:r>
          <w:r>
            <w:t>废物</w:t>
          </w:r>
          <w:r>
            <w:rPr>
              <w:spacing w:val="-3"/>
            </w:rPr>
            <w:t>排</w:t>
          </w:r>
          <w:r>
            <w:t>放情</w:t>
          </w:r>
          <w:r>
            <w:rPr>
              <w:spacing w:val="-3"/>
            </w:rPr>
            <w:t>况</w:t>
          </w:r>
          <w:r>
            <w:t>与处</w:t>
          </w:r>
          <w:r>
            <w:rPr>
              <w:spacing w:val="-3"/>
            </w:rPr>
            <w:t>置</w:t>
          </w:r>
          <w:r>
            <w:t>措施</w:t>
          </w:r>
          <w:r>
            <w:rPr>
              <w:spacing w:val="-3"/>
            </w:rPr>
            <w:t>分</w:t>
          </w:r>
          <w:r>
            <w:t>析</w:t>
          </w:r>
          <w:r>
            <w:tab/>
          </w:r>
          <w:r>
            <w:rPr>
              <w:rFonts w:ascii="Calibri" w:eastAsia="Calibri"/>
              <w:spacing w:val="-1"/>
            </w:rPr>
            <w:t>173</w:t>
          </w:r>
          <w:r>
            <w:rPr>
              <w:rFonts w:ascii="Calibri" w:eastAsia="Calibri"/>
              <w:spacing w:val="-1"/>
            </w:rPr>
            <w:fldChar w:fldCharType="end"/>
          </w:r>
        </w:p>
        <w:p>
          <w:pPr>
            <w:pStyle w:val="14"/>
            <w:numPr>
              <w:ilvl w:val="1"/>
              <w:numId w:val="2"/>
            </w:numPr>
            <w:tabs>
              <w:tab w:val="left" w:pos="632"/>
              <w:tab w:val="left" w:leader="dot" w:pos="8085"/>
            </w:tabs>
            <w:spacing w:before="140" w:after="0" w:line="240" w:lineRule="auto"/>
            <w:ind w:left="1408" w:right="255" w:hanging="1409"/>
            <w:jc w:val="right"/>
            <w:rPr>
              <w:rFonts w:ascii="Calibri" w:eastAsia="Calibri"/>
            </w:rPr>
          </w:pPr>
          <w:r>
            <w:fldChar w:fldCharType="begin"/>
          </w:r>
          <w:r>
            <w:instrText xml:space="preserve"> HYPERLINK \l "_bookmark58" </w:instrText>
          </w:r>
          <w:r>
            <w:fldChar w:fldCharType="separate"/>
          </w:r>
          <w:r>
            <w:t>固</w:t>
          </w:r>
          <w:r>
            <w:rPr>
              <w:spacing w:val="-3"/>
            </w:rPr>
            <w:t>体</w:t>
          </w:r>
          <w:r>
            <w:t>废物</w:t>
          </w:r>
          <w:r>
            <w:rPr>
              <w:spacing w:val="-3"/>
            </w:rPr>
            <w:t>环</w:t>
          </w:r>
          <w:r>
            <w:t>境的</w:t>
          </w:r>
          <w:r>
            <w:rPr>
              <w:spacing w:val="-3"/>
            </w:rPr>
            <w:t>影</w:t>
          </w:r>
          <w:r>
            <w:t>响分析</w:t>
          </w:r>
          <w:r>
            <w:tab/>
          </w:r>
          <w:r>
            <w:rPr>
              <w:rFonts w:ascii="Calibri" w:eastAsia="Calibri"/>
              <w:spacing w:val="-1"/>
            </w:rPr>
            <w:t>173</w:t>
          </w:r>
          <w:r>
            <w:rPr>
              <w:rFonts w:ascii="Calibri" w:eastAsia="Calibri"/>
              <w:spacing w:val="-1"/>
            </w:rPr>
            <w:fldChar w:fldCharType="end"/>
          </w:r>
        </w:p>
        <w:p>
          <w:pPr>
            <w:pStyle w:val="14"/>
            <w:numPr>
              <w:ilvl w:val="1"/>
              <w:numId w:val="2"/>
            </w:numPr>
            <w:tabs>
              <w:tab w:val="left" w:pos="632"/>
              <w:tab w:val="left" w:leader="dot" w:pos="8085"/>
            </w:tabs>
            <w:spacing w:before="143" w:after="0" w:line="240" w:lineRule="auto"/>
            <w:ind w:left="1408" w:right="255" w:hanging="1409"/>
            <w:jc w:val="right"/>
            <w:rPr>
              <w:rFonts w:ascii="Calibri" w:eastAsia="Calibri"/>
            </w:rPr>
          </w:pPr>
          <w:r>
            <w:fldChar w:fldCharType="begin"/>
          </w:r>
          <w:r>
            <w:instrText xml:space="preserve"> HYPERLINK \l "_bookmark59" </w:instrText>
          </w:r>
          <w:r>
            <w:fldChar w:fldCharType="separate"/>
          </w:r>
          <w:r>
            <w:t>排</w:t>
          </w:r>
          <w:r>
            <w:rPr>
              <w:spacing w:val="-3"/>
            </w:rPr>
            <w:t>矸</w:t>
          </w:r>
          <w:r>
            <w:t>场污</w:t>
          </w:r>
          <w:r>
            <w:rPr>
              <w:spacing w:val="-3"/>
            </w:rPr>
            <w:t>染</w:t>
          </w:r>
          <w:r>
            <w:t>防治</w:t>
          </w:r>
          <w:r>
            <w:rPr>
              <w:spacing w:val="-3"/>
            </w:rPr>
            <w:t>和</w:t>
          </w:r>
          <w:r>
            <w:t>复垦</w:t>
          </w:r>
          <w:r>
            <w:rPr>
              <w:spacing w:val="-3"/>
            </w:rPr>
            <w:t>措</w:t>
          </w:r>
          <w:r>
            <w:t>施</w:t>
          </w:r>
          <w:r>
            <w:tab/>
          </w:r>
          <w:r>
            <w:rPr>
              <w:rFonts w:ascii="Calibri" w:eastAsia="Calibri"/>
              <w:spacing w:val="-1"/>
            </w:rPr>
            <w:t>175</w:t>
          </w:r>
          <w:r>
            <w:rPr>
              <w:rFonts w:ascii="Calibri" w:eastAsia="Calibri"/>
              <w:spacing w:val="-1"/>
            </w:rPr>
            <w:fldChar w:fldCharType="end"/>
          </w:r>
        </w:p>
        <w:p>
          <w:pPr>
            <w:pStyle w:val="12"/>
            <w:numPr>
              <w:ilvl w:val="0"/>
              <w:numId w:val="2"/>
            </w:numPr>
            <w:tabs>
              <w:tab w:val="left" w:pos="526"/>
              <w:tab w:val="left" w:leader="dot" w:pos="8618"/>
            </w:tabs>
            <w:spacing w:before="22" w:after="0" w:line="240" w:lineRule="auto"/>
            <w:ind w:left="744" w:right="257" w:hanging="744"/>
            <w:jc w:val="right"/>
            <w:rPr>
              <w:rFonts w:ascii="Times New Roman" w:eastAsia="Times New Roman"/>
            </w:rPr>
          </w:pPr>
          <w:r>
            <w:fldChar w:fldCharType="begin"/>
          </w:r>
          <w:r>
            <w:instrText xml:space="preserve"> HYPERLINK \l "_bookmark61" </w:instrText>
          </w:r>
          <w:r>
            <w:fldChar w:fldCharType="separate"/>
          </w:r>
          <w:r>
            <w:t>环境风险影响分析</w:t>
          </w:r>
          <w:r>
            <w:tab/>
          </w:r>
          <w:r>
            <w:rPr>
              <w:rFonts w:ascii="Times New Roman" w:eastAsia="Times New Roman"/>
              <w:spacing w:val="-1"/>
            </w:rPr>
            <w:t>175</w:t>
          </w:r>
          <w:r>
            <w:rPr>
              <w:rFonts w:ascii="Times New Roman" w:eastAsia="Times New Roman"/>
              <w:spacing w:val="-1"/>
            </w:rPr>
            <w:fldChar w:fldCharType="end"/>
          </w:r>
        </w:p>
        <w:p>
          <w:pPr>
            <w:pStyle w:val="10"/>
            <w:numPr>
              <w:ilvl w:val="1"/>
              <w:numId w:val="2"/>
            </w:numPr>
            <w:tabs>
              <w:tab w:val="left" w:pos="1397"/>
              <w:tab w:val="left" w:leader="dot" w:pos="8860"/>
            </w:tabs>
            <w:spacing w:before="123" w:after="0" w:line="240" w:lineRule="auto"/>
            <w:ind w:left="1396" w:right="0" w:hanging="620"/>
            <w:jc w:val="left"/>
            <w:rPr>
              <w:rFonts w:ascii="Calibri" w:eastAsia="Calibri"/>
            </w:rPr>
          </w:pPr>
          <w:r>
            <w:fldChar w:fldCharType="begin"/>
          </w:r>
          <w:r>
            <w:instrText xml:space="preserve"> HYPERLINK \l "_bookmark60" </w:instrText>
          </w:r>
          <w:r>
            <w:fldChar w:fldCharType="separate"/>
          </w:r>
          <w:r>
            <w:t>评</w:t>
          </w:r>
          <w:r>
            <w:rPr>
              <w:spacing w:val="-3"/>
            </w:rPr>
            <w:t>价</w:t>
          </w:r>
          <w:r>
            <w:t>依据</w:t>
          </w:r>
          <w:r>
            <w:tab/>
          </w:r>
          <w:r>
            <w:rPr>
              <w:rFonts w:ascii="Calibri" w:eastAsia="Calibri"/>
            </w:rPr>
            <w:t>175</w:t>
          </w:r>
          <w:r>
            <w:rPr>
              <w:rFonts w:ascii="Calibri" w:eastAsia="Calibri"/>
            </w:rPr>
            <w:fldChar w:fldCharType="end"/>
          </w:r>
        </w:p>
        <w:p>
          <w:pPr>
            <w:pStyle w:val="10"/>
            <w:numPr>
              <w:ilvl w:val="1"/>
              <w:numId w:val="2"/>
            </w:numPr>
            <w:tabs>
              <w:tab w:val="left" w:pos="1397"/>
              <w:tab w:val="left" w:leader="dot" w:pos="8860"/>
            </w:tabs>
            <w:spacing w:before="140" w:after="0" w:line="240" w:lineRule="auto"/>
            <w:ind w:left="1396" w:right="0" w:hanging="620"/>
            <w:jc w:val="left"/>
            <w:rPr>
              <w:rFonts w:ascii="Calibri" w:eastAsia="Calibri"/>
            </w:rPr>
          </w:pPr>
          <w:r>
            <w:fldChar w:fldCharType="begin"/>
          </w:r>
          <w:r>
            <w:instrText xml:space="preserve"> HYPERLINK \l "_bookmark62" </w:instrText>
          </w:r>
          <w:r>
            <w:fldChar w:fldCharType="separate"/>
          </w:r>
          <w:r>
            <w:t>环</w:t>
          </w:r>
          <w:r>
            <w:rPr>
              <w:spacing w:val="-3"/>
            </w:rPr>
            <w:t>境</w:t>
          </w:r>
          <w:r>
            <w:t>敏感</w:t>
          </w:r>
          <w:r>
            <w:rPr>
              <w:spacing w:val="-3"/>
            </w:rPr>
            <w:t>目</w:t>
          </w:r>
          <w:r>
            <w:t>标调查</w:t>
          </w:r>
          <w:r>
            <w:tab/>
          </w:r>
          <w:r>
            <w:rPr>
              <w:rFonts w:ascii="Calibri" w:eastAsia="Calibri"/>
            </w:rPr>
            <w:t>176</w:t>
          </w:r>
          <w:r>
            <w:rPr>
              <w:rFonts w:ascii="Calibri" w:eastAsia="Calibri"/>
            </w:rPr>
            <w:fldChar w:fldCharType="end"/>
          </w:r>
        </w:p>
        <w:p>
          <w:pPr>
            <w:pStyle w:val="10"/>
            <w:numPr>
              <w:ilvl w:val="1"/>
              <w:numId w:val="2"/>
            </w:numPr>
            <w:tabs>
              <w:tab w:val="left" w:pos="1397"/>
              <w:tab w:val="left" w:leader="dot" w:pos="8860"/>
            </w:tabs>
            <w:spacing w:before="143" w:after="0" w:line="240" w:lineRule="auto"/>
            <w:ind w:left="1396" w:right="0" w:hanging="620"/>
            <w:jc w:val="left"/>
            <w:rPr>
              <w:rFonts w:ascii="Calibri" w:eastAsia="Calibri"/>
            </w:rPr>
          </w:pPr>
          <w:r>
            <w:fldChar w:fldCharType="begin"/>
          </w:r>
          <w:r>
            <w:instrText xml:space="preserve"> HYPERLINK \l "_bookmark63" </w:instrText>
          </w:r>
          <w:r>
            <w:fldChar w:fldCharType="separate"/>
          </w:r>
          <w:r>
            <w:t>环</w:t>
          </w:r>
          <w:r>
            <w:rPr>
              <w:spacing w:val="-3"/>
            </w:rPr>
            <w:t>境</w:t>
          </w:r>
          <w:r>
            <w:t>风险</w:t>
          </w:r>
          <w:r>
            <w:rPr>
              <w:spacing w:val="-3"/>
            </w:rPr>
            <w:t>识</w:t>
          </w:r>
          <w:r>
            <w:t>别</w:t>
          </w:r>
          <w:r>
            <w:tab/>
          </w:r>
          <w:r>
            <w:rPr>
              <w:rFonts w:ascii="Calibri" w:eastAsia="Calibri"/>
            </w:rPr>
            <w:t>177</w:t>
          </w:r>
          <w:r>
            <w:rPr>
              <w:rFonts w:ascii="Calibri" w:eastAsia="Calibri"/>
            </w:rPr>
            <w:fldChar w:fldCharType="end"/>
          </w:r>
        </w:p>
        <w:p>
          <w:pPr>
            <w:pStyle w:val="10"/>
            <w:numPr>
              <w:ilvl w:val="1"/>
              <w:numId w:val="2"/>
            </w:numPr>
            <w:tabs>
              <w:tab w:val="left" w:pos="1397"/>
              <w:tab w:val="left" w:leader="dot" w:pos="8860"/>
            </w:tabs>
            <w:spacing w:before="141" w:after="0" w:line="240" w:lineRule="auto"/>
            <w:ind w:left="1396" w:right="0" w:hanging="620"/>
            <w:jc w:val="left"/>
            <w:rPr>
              <w:rFonts w:ascii="Calibri" w:eastAsia="Calibri"/>
            </w:rPr>
          </w:pPr>
          <w:r>
            <w:fldChar w:fldCharType="begin"/>
          </w:r>
          <w:r>
            <w:instrText xml:space="preserve"> HYPERLINK \l "_bookmark64" </w:instrText>
          </w:r>
          <w:r>
            <w:fldChar w:fldCharType="separate"/>
          </w:r>
          <w:r>
            <w:t>环</w:t>
          </w:r>
          <w:r>
            <w:rPr>
              <w:spacing w:val="-3"/>
            </w:rPr>
            <w:t>境</w:t>
          </w:r>
          <w:r>
            <w:t>风险</w:t>
          </w:r>
          <w:r>
            <w:rPr>
              <w:spacing w:val="-3"/>
            </w:rPr>
            <w:t>分</w:t>
          </w:r>
          <w:r>
            <w:t>析</w:t>
          </w:r>
          <w:r>
            <w:tab/>
          </w:r>
          <w:r>
            <w:rPr>
              <w:rFonts w:ascii="Calibri" w:eastAsia="Calibri"/>
            </w:rPr>
            <w:t>177</w:t>
          </w:r>
          <w:r>
            <w:rPr>
              <w:rFonts w:ascii="Calibri" w:eastAsia="Calibri"/>
            </w:rPr>
            <w:fldChar w:fldCharType="end"/>
          </w:r>
        </w:p>
        <w:p>
          <w:pPr>
            <w:pStyle w:val="10"/>
            <w:numPr>
              <w:ilvl w:val="1"/>
              <w:numId w:val="2"/>
            </w:numPr>
            <w:tabs>
              <w:tab w:val="left" w:pos="1328"/>
              <w:tab w:val="left" w:leader="dot" w:pos="8860"/>
            </w:tabs>
            <w:spacing w:before="140" w:after="0" w:line="240" w:lineRule="auto"/>
            <w:ind w:left="1327" w:right="0" w:hanging="551"/>
            <w:jc w:val="left"/>
            <w:rPr>
              <w:rFonts w:ascii="Calibri" w:eastAsia="Calibri"/>
            </w:rPr>
          </w:pPr>
          <w:r>
            <w:fldChar w:fldCharType="begin"/>
          </w:r>
          <w:r>
            <w:instrText xml:space="preserve"> HYPERLINK \l "_bookmark65" </w:instrText>
          </w:r>
          <w:r>
            <w:fldChar w:fldCharType="separate"/>
          </w:r>
          <w:r>
            <w:t>环</w:t>
          </w:r>
          <w:r>
            <w:rPr>
              <w:spacing w:val="-3"/>
            </w:rPr>
            <w:t>境</w:t>
          </w:r>
          <w:r>
            <w:t>风险</w:t>
          </w:r>
          <w:r>
            <w:rPr>
              <w:spacing w:val="-3"/>
            </w:rPr>
            <w:t>防</w:t>
          </w:r>
          <w:r>
            <w:t>范措</w:t>
          </w:r>
          <w:r>
            <w:rPr>
              <w:spacing w:val="-3"/>
            </w:rPr>
            <w:t>施</w:t>
          </w:r>
          <w:r>
            <w:t>及环</w:t>
          </w:r>
          <w:r>
            <w:rPr>
              <w:spacing w:val="-3"/>
            </w:rPr>
            <w:t>应</w:t>
          </w:r>
          <w:r>
            <w:t>急要求</w:t>
          </w:r>
          <w:r>
            <w:tab/>
          </w:r>
          <w:r>
            <w:rPr>
              <w:rFonts w:ascii="Calibri" w:eastAsia="Calibri"/>
            </w:rPr>
            <w:t>178</w:t>
          </w:r>
          <w:r>
            <w:rPr>
              <w:rFonts w:ascii="Calibri" w:eastAsia="Calibri"/>
            </w:rPr>
            <w:fldChar w:fldCharType="end"/>
          </w:r>
        </w:p>
        <w:p>
          <w:pPr>
            <w:pStyle w:val="10"/>
            <w:numPr>
              <w:ilvl w:val="1"/>
              <w:numId w:val="2"/>
            </w:numPr>
            <w:tabs>
              <w:tab w:val="left" w:pos="1397"/>
              <w:tab w:val="left" w:leader="dot" w:pos="8860"/>
            </w:tabs>
            <w:spacing w:before="143" w:after="0" w:line="240" w:lineRule="auto"/>
            <w:ind w:left="1396" w:right="0" w:hanging="620"/>
            <w:jc w:val="left"/>
            <w:rPr>
              <w:rFonts w:ascii="Calibri" w:eastAsia="Calibri"/>
            </w:rPr>
          </w:pPr>
          <w:r>
            <w:fldChar w:fldCharType="begin"/>
          </w:r>
          <w:r>
            <w:instrText xml:space="preserve"> HYPERLINK \l "_bookmark66" </w:instrText>
          </w:r>
          <w:r>
            <w:fldChar w:fldCharType="separate"/>
          </w:r>
          <w:r>
            <w:t>分</w:t>
          </w:r>
          <w:r>
            <w:rPr>
              <w:spacing w:val="-3"/>
            </w:rPr>
            <w:t>析</w:t>
          </w:r>
          <w:r>
            <w:t>结论</w:t>
          </w:r>
          <w:r>
            <w:tab/>
          </w:r>
          <w:r>
            <w:rPr>
              <w:rFonts w:ascii="Calibri" w:eastAsia="Calibri"/>
            </w:rPr>
            <w:t>181</w:t>
          </w:r>
          <w:r>
            <w:rPr>
              <w:rFonts w:ascii="Calibri" w:eastAsia="Calibri"/>
            </w:rPr>
            <w:fldChar w:fldCharType="end"/>
          </w:r>
        </w:p>
        <w:p>
          <w:pPr>
            <w:pStyle w:val="12"/>
            <w:numPr>
              <w:ilvl w:val="0"/>
              <w:numId w:val="2"/>
            </w:numPr>
            <w:tabs>
              <w:tab w:val="left" w:pos="376"/>
              <w:tab w:val="left" w:leader="dot" w:pos="8618"/>
            </w:tabs>
            <w:spacing w:before="22" w:after="0" w:line="240" w:lineRule="auto"/>
            <w:ind w:left="594" w:right="257" w:hanging="595"/>
            <w:jc w:val="right"/>
            <w:rPr>
              <w:rFonts w:ascii="Times New Roman" w:eastAsia="Times New Roman"/>
            </w:rPr>
          </w:pPr>
          <w:r>
            <w:fldChar w:fldCharType="begin"/>
          </w:r>
          <w:r>
            <w:instrText xml:space="preserve"> HYPERLINK \l "_bookmark67" </w:instrText>
          </w:r>
          <w:r>
            <w:fldChar w:fldCharType="separate"/>
          </w:r>
          <w:r>
            <w:t>资源综合利用与清洁生产评价</w:t>
          </w:r>
          <w:r>
            <w:tab/>
          </w:r>
          <w:r>
            <w:rPr>
              <w:rFonts w:ascii="Times New Roman" w:eastAsia="Times New Roman"/>
              <w:spacing w:val="-1"/>
            </w:rPr>
            <w:t>182</w:t>
          </w:r>
          <w:r>
            <w:rPr>
              <w:rFonts w:ascii="Times New Roman" w:eastAsia="Times New Roman"/>
              <w:spacing w:val="-1"/>
            </w:rPr>
            <w:fldChar w:fldCharType="end"/>
          </w:r>
        </w:p>
        <w:p>
          <w:pPr>
            <w:pStyle w:val="14"/>
            <w:numPr>
              <w:ilvl w:val="1"/>
              <w:numId w:val="2"/>
            </w:numPr>
            <w:tabs>
              <w:tab w:val="left" w:pos="560"/>
              <w:tab w:val="left" w:leader="dot" w:pos="8085"/>
            </w:tabs>
            <w:spacing w:before="123" w:after="0" w:line="240" w:lineRule="auto"/>
            <w:ind w:left="1336" w:right="255" w:hanging="1337"/>
            <w:jc w:val="right"/>
            <w:rPr>
              <w:rFonts w:ascii="Calibri" w:eastAsia="Calibri"/>
            </w:rPr>
          </w:pPr>
          <w:r>
            <w:fldChar w:fldCharType="begin"/>
          </w:r>
          <w:r>
            <w:instrText xml:space="preserve"> HYPERLINK \l "_bookmark68" </w:instrText>
          </w:r>
          <w:r>
            <w:fldChar w:fldCharType="separate"/>
          </w:r>
          <w:r>
            <w:t>资</w:t>
          </w:r>
          <w:r>
            <w:rPr>
              <w:spacing w:val="-3"/>
            </w:rPr>
            <w:t>源</w:t>
          </w:r>
          <w:r>
            <w:t>综合</w:t>
          </w:r>
          <w:r>
            <w:rPr>
              <w:spacing w:val="-3"/>
            </w:rPr>
            <w:t>利</w:t>
          </w:r>
          <w:r>
            <w:t>用</w:t>
          </w:r>
          <w:r>
            <w:tab/>
          </w:r>
          <w:r>
            <w:rPr>
              <w:rFonts w:ascii="Calibri" w:eastAsia="Calibri"/>
              <w:spacing w:val="-1"/>
            </w:rPr>
            <w:t>182</w:t>
          </w:r>
          <w:r>
            <w:rPr>
              <w:rFonts w:ascii="Calibri" w:eastAsia="Calibri"/>
              <w:spacing w:val="-1"/>
            </w:rPr>
            <w:fldChar w:fldCharType="end"/>
          </w:r>
        </w:p>
        <w:p>
          <w:pPr>
            <w:pStyle w:val="14"/>
            <w:numPr>
              <w:ilvl w:val="1"/>
              <w:numId w:val="2"/>
            </w:numPr>
            <w:tabs>
              <w:tab w:val="left" w:pos="560"/>
              <w:tab w:val="left" w:leader="dot" w:pos="8085"/>
            </w:tabs>
            <w:spacing w:before="140" w:after="0" w:line="240" w:lineRule="auto"/>
            <w:ind w:left="1336" w:right="255" w:hanging="1337"/>
            <w:jc w:val="right"/>
            <w:rPr>
              <w:rFonts w:ascii="Calibri" w:eastAsia="Calibri"/>
            </w:rPr>
          </w:pPr>
          <w:r>
            <w:fldChar w:fldCharType="begin"/>
          </w:r>
          <w:r>
            <w:instrText xml:space="preserve"> HYPERLINK \l "_bookmark69" </w:instrText>
          </w:r>
          <w:r>
            <w:fldChar w:fldCharType="separate"/>
          </w:r>
          <w:r>
            <w:t>清</w:t>
          </w:r>
          <w:r>
            <w:rPr>
              <w:spacing w:val="-3"/>
            </w:rPr>
            <w:t>洁</w:t>
          </w:r>
          <w:r>
            <w:t>生产</w:t>
          </w:r>
          <w:r>
            <w:rPr>
              <w:spacing w:val="-3"/>
            </w:rPr>
            <w:t>分</w:t>
          </w:r>
          <w:r>
            <w:t>析</w:t>
          </w:r>
          <w:r>
            <w:tab/>
          </w:r>
          <w:r>
            <w:rPr>
              <w:rFonts w:ascii="Calibri" w:eastAsia="Calibri"/>
              <w:spacing w:val="-1"/>
            </w:rPr>
            <w:t>185</w:t>
          </w:r>
          <w:r>
            <w:rPr>
              <w:rFonts w:ascii="Calibri" w:eastAsia="Calibri"/>
              <w:spacing w:val="-1"/>
            </w:rPr>
            <w:fldChar w:fldCharType="end"/>
          </w:r>
        </w:p>
        <w:p>
          <w:pPr>
            <w:pStyle w:val="14"/>
            <w:numPr>
              <w:ilvl w:val="1"/>
              <w:numId w:val="2"/>
            </w:numPr>
            <w:tabs>
              <w:tab w:val="left" w:pos="560"/>
              <w:tab w:val="left" w:leader="dot" w:pos="8085"/>
            </w:tabs>
            <w:spacing w:before="143" w:after="0" w:line="240" w:lineRule="auto"/>
            <w:ind w:left="1336" w:right="255" w:hanging="1337"/>
            <w:jc w:val="right"/>
            <w:rPr>
              <w:rFonts w:ascii="Calibri" w:eastAsia="Calibri"/>
            </w:rPr>
          </w:pPr>
          <w:r>
            <w:fldChar w:fldCharType="begin"/>
          </w:r>
          <w:r>
            <w:instrText xml:space="preserve"> HYPERLINK \l "_bookmark70" </w:instrText>
          </w:r>
          <w:r>
            <w:fldChar w:fldCharType="separate"/>
          </w:r>
          <w:r>
            <w:t>清</w:t>
          </w:r>
          <w:r>
            <w:rPr>
              <w:spacing w:val="-3"/>
            </w:rPr>
            <w:t>洁</w:t>
          </w:r>
          <w:r>
            <w:t>生产</w:t>
          </w:r>
          <w:r>
            <w:rPr>
              <w:spacing w:val="-3"/>
            </w:rPr>
            <w:t>管</w:t>
          </w:r>
          <w:r>
            <w:t>理体</w:t>
          </w:r>
          <w:r>
            <w:rPr>
              <w:spacing w:val="-3"/>
            </w:rPr>
            <w:t>系</w:t>
          </w:r>
          <w:r>
            <w:t>建设</w:t>
          </w:r>
          <w:r>
            <w:tab/>
          </w:r>
          <w:r>
            <w:rPr>
              <w:rFonts w:ascii="Calibri" w:eastAsia="Calibri"/>
              <w:spacing w:val="-1"/>
            </w:rPr>
            <w:t>193</w:t>
          </w:r>
          <w:r>
            <w:rPr>
              <w:rFonts w:ascii="Calibri" w:eastAsia="Calibri"/>
              <w:spacing w:val="-1"/>
            </w:rPr>
            <w:fldChar w:fldCharType="end"/>
          </w:r>
        </w:p>
        <w:p>
          <w:pPr>
            <w:pStyle w:val="14"/>
            <w:numPr>
              <w:ilvl w:val="1"/>
              <w:numId w:val="2"/>
            </w:numPr>
            <w:tabs>
              <w:tab w:val="left" w:pos="560"/>
              <w:tab w:val="left" w:leader="dot" w:pos="8085"/>
            </w:tabs>
            <w:spacing w:before="141" w:after="0" w:line="240" w:lineRule="auto"/>
            <w:ind w:left="1336" w:right="255" w:hanging="1337"/>
            <w:jc w:val="right"/>
            <w:rPr>
              <w:rFonts w:ascii="Calibri" w:eastAsia="Calibri"/>
            </w:rPr>
          </w:pPr>
          <w:r>
            <w:fldChar w:fldCharType="begin"/>
          </w:r>
          <w:r>
            <w:instrText xml:space="preserve"> HYPERLINK \l "_bookmark71" </w:instrText>
          </w:r>
          <w:r>
            <w:fldChar w:fldCharType="separate"/>
          </w:r>
          <w:r>
            <w:t>清</w:t>
          </w:r>
          <w:r>
            <w:rPr>
              <w:spacing w:val="-3"/>
            </w:rPr>
            <w:t>洁</w:t>
          </w:r>
          <w:r>
            <w:t>生产</w:t>
          </w:r>
          <w:r>
            <w:rPr>
              <w:spacing w:val="-3"/>
            </w:rPr>
            <w:t>总</w:t>
          </w:r>
          <w:r>
            <w:t>体评价</w:t>
          </w:r>
          <w:r>
            <w:tab/>
          </w:r>
          <w:r>
            <w:rPr>
              <w:rFonts w:ascii="Calibri" w:eastAsia="Calibri"/>
              <w:spacing w:val="-1"/>
            </w:rPr>
            <w:t>193</w:t>
          </w:r>
          <w:r>
            <w:rPr>
              <w:rFonts w:ascii="Calibri" w:eastAsia="Calibri"/>
              <w:spacing w:val="-1"/>
            </w:rPr>
            <w:fldChar w:fldCharType="end"/>
          </w:r>
        </w:p>
        <w:p>
          <w:pPr>
            <w:pStyle w:val="14"/>
            <w:numPr>
              <w:ilvl w:val="1"/>
              <w:numId w:val="2"/>
            </w:numPr>
            <w:tabs>
              <w:tab w:val="left" w:pos="560"/>
              <w:tab w:val="left" w:leader="dot" w:pos="8085"/>
            </w:tabs>
            <w:spacing w:before="140" w:after="0" w:line="240" w:lineRule="auto"/>
            <w:ind w:left="1336" w:right="255" w:hanging="1337"/>
            <w:jc w:val="right"/>
            <w:rPr>
              <w:rFonts w:ascii="Calibri" w:eastAsia="Calibri"/>
            </w:rPr>
          </w:pPr>
          <w:r>
            <w:fldChar w:fldCharType="begin"/>
          </w:r>
          <w:r>
            <w:instrText xml:space="preserve"> HYPERLINK \l "_bookmark72" </w:instrText>
          </w:r>
          <w:r>
            <w:fldChar w:fldCharType="separate"/>
          </w:r>
          <w:r>
            <w:t>清</w:t>
          </w:r>
          <w:r>
            <w:rPr>
              <w:spacing w:val="-3"/>
            </w:rPr>
            <w:t>洁</w:t>
          </w:r>
          <w:r>
            <w:t>生产</w:t>
          </w:r>
          <w:r>
            <w:rPr>
              <w:spacing w:val="-3"/>
            </w:rPr>
            <w:t>建</w:t>
          </w:r>
          <w:r>
            <w:t>议</w:t>
          </w:r>
          <w:r>
            <w:tab/>
          </w:r>
          <w:r>
            <w:rPr>
              <w:rFonts w:ascii="Calibri" w:eastAsia="Calibri"/>
              <w:spacing w:val="-1"/>
            </w:rPr>
            <w:t>194</w:t>
          </w:r>
          <w:r>
            <w:rPr>
              <w:rFonts w:ascii="Calibri" w:eastAsia="Calibri"/>
              <w:spacing w:val="-1"/>
            </w:rPr>
            <w:fldChar w:fldCharType="end"/>
          </w:r>
        </w:p>
        <w:p>
          <w:pPr>
            <w:pStyle w:val="12"/>
            <w:numPr>
              <w:ilvl w:val="0"/>
              <w:numId w:val="2"/>
            </w:numPr>
            <w:tabs>
              <w:tab w:val="left" w:pos="376"/>
              <w:tab w:val="left" w:leader="dot" w:pos="6357"/>
            </w:tabs>
            <w:spacing w:before="25" w:after="0" w:line="240" w:lineRule="auto"/>
            <w:ind w:left="594" w:right="258" w:hanging="595"/>
            <w:jc w:val="right"/>
          </w:pPr>
          <w:r>
            <w:t>项目选址可行性分析</w:t>
          </w:r>
          <w:r>
            <w:tab/>
          </w:r>
          <w:r>
            <w:rPr>
              <w:w w:val="95"/>
            </w:rPr>
            <w:t>错误！未定义书签。</w:t>
          </w:r>
        </w:p>
        <w:p>
          <w:pPr>
            <w:pStyle w:val="11"/>
            <w:numPr>
              <w:ilvl w:val="1"/>
              <w:numId w:val="2"/>
            </w:numPr>
            <w:tabs>
              <w:tab w:val="left" w:pos="632"/>
              <w:tab w:val="left" w:leader="dot" w:pos="5980"/>
            </w:tabs>
            <w:spacing w:before="122" w:after="0" w:line="240" w:lineRule="auto"/>
            <w:ind w:left="1408" w:right="255" w:hanging="1409"/>
            <w:jc w:val="right"/>
            <w:rPr>
              <w:i w:val="0"/>
              <w:sz w:val="28"/>
            </w:rPr>
          </w:pPr>
          <w:r>
            <w:rPr>
              <w:b w:val="0"/>
              <w:i w:val="0"/>
              <w:sz w:val="28"/>
            </w:rPr>
            <w:t>场</w:t>
          </w:r>
          <w:r>
            <w:rPr>
              <w:b w:val="0"/>
              <w:i w:val="0"/>
              <w:spacing w:val="-3"/>
              <w:sz w:val="28"/>
            </w:rPr>
            <w:t>址</w:t>
          </w:r>
          <w:r>
            <w:rPr>
              <w:b w:val="0"/>
              <w:i w:val="0"/>
              <w:sz w:val="28"/>
            </w:rPr>
            <w:t>方案</w:t>
          </w:r>
          <w:r>
            <w:rPr>
              <w:b w:val="0"/>
              <w:i w:val="0"/>
              <w:spacing w:val="-3"/>
              <w:sz w:val="28"/>
            </w:rPr>
            <w:t>概</w:t>
          </w:r>
          <w:r>
            <w:rPr>
              <w:b w:val="0"/>
              <w:i w:val="0"/>
              <w:sz w:val="28"/>
            </w:rPr>
            <w:t>述</w:t>
          </w:r>
          <w:r>
            <w:rPr>
              <w:b w:val="0"/>
              <w:i w:val="0"/>
              <w:sz w:val="28"/>
            </w:rPr>
            <w:tab/>
          </w:r>
          <w:r>
            <w:rPr>
              <w:i w:val="0"/>
              <w:spacing w:val="-1"/>
              <w:w w:val="95"/>
              <w:sz w:val="28"/>
            </w:rPr>
            <w:t>错误！未定</w:t>
          </w:r>
          <w:r>
            <w:rPr>
              <w:i w:val="0"/>
              <w:w w:val="95"/>
              <w:sz w:val="28"/>
            </w:rPr>
            <w:t>义书签。</w:t>
          </w:r>
        </w:p>
        <w:p>
          <w:pPr>
            <w:pStyle w:val="11"/>
            <w:numPr>
              <w:ilvl w:val="1"/>
              <w:numId w:val="2"/>
            </w:numPr>
            <w:tabs>
              <w:tab w:val="left" w:pos="632"/>
              <w:tab w:val="left" w:leader="dot" w:pos="5980"/>
            </w:tabs>
            <w:spacing w:before="141" w:after="0" w:line="240" w:lineRule="auto"/>
            <w:ind w:left="1408" w:right="255" w:hanging="1409"/>
            <w:jc w:val="right"/>
            <w:rPr>
              <w:i w:val="0"/>
              <w:sz w:val="28"/>
            </w:rPr>
          </w:pPr>
          <w:r>
            <w:rPr>
              <w:b w:val="0"/>
              <w:i w:val="0"/>
              <w:sz w:val="28"/>
            </w:rPr>
            <w:t>厂</w:t>
          </w:r>
          <w:r>
            <w:rPr>
              <w:b w:val="0"/>
              <w:i w:val="0"/>
              <w:spacing w:val="-3"/>
              <w:sz w:val="28"/>
            </w:rPr>
            <w:t>址</w:t>
          </w:r>
          <w:r>
            <w:rPr>
              <w:b w:val="0"/>
              <w:i w:val="0"/>
              <w:sz w:val="28"/>
            </w:rPr>
            <w:t>方案</w:t>
          </w:r>
          <w:r>
            <w:rPr>
              <w:b w:val="0"/>
              <w:i w:val="0"/>
              <w:spacing w:val="-3"/>
              <w:sz w:val="28"/>
            </w:rPr>
            <w:t>的</w:t>
          </w:r>
          <w:r>
            <w:rPr>
              <w:b w:val="0"/>
              <w:i w:val="0"/>
              <w:sz w:val="28"/>
            </w:rPr>
            <w:t>技术</w:t>
          </w:r>
          <w:r>
            <w:rPr>
              <w:b w:val="0"/>
              <w:i w:val="0"/>
              <w:spacing w:val="-3"/>
              <w:sz w:val="28"/>
            </w:rPr>
            <w:t>经</w:t>
          </w:r>
          <w:r>
            <w:rPr>
              <w:b w:val="0"/>
              <w:i w:val="0"/>
              <w:sz w:val="28"/>
            </w:rPr>
            <w:t>济比较</w:t>
          </w:r>
          <w:r>
            <w:rPr>
              <w:b w:val="0"/>
              <w:i w:val="0"/>
              <w:sz w:val="28"/>
            </w:rPr>
            <w:tab/>
          </w:r>
          <w:r>
            <w:rPr>
              <w:i w:val="0"/>
              <w:spacing w:val="-1"/>
              <w:w w:val="95"/>
              <w:sz w:val="28"/>
            </w:rPr>
            <w:t>错误！未定</w:t>
          </w:r>
          <w:r>
            <w:rPr>
              <w:i w:val="0"/>
              <w:w w:val="95"/>
              <w:sz w:val="28"/>
            </w:rPr>
            <w:t>义书签。</w:t>
          </w:r>
        </w:p>
        <w:p>
          <w:pPr>
            <w:pStyle w:val="11"/>
            <w:numPr>
              <w:ilvl w:val="1"/>
              <w:numId w:val="2"/>
            </w:numPr>
            <w:tabs>
              <w:tab w:val="left" w:pos="632"/>
              <w:tab w:val="left" w:leader="dot" w:pos="5980"/>
            </w:tabs>
            <w:spacing w:before="140" w:after="0" w:line="240" w:lineRule="auto"/>
            <w:ind w:left="1408" w:right="255" w:hanging="1409"/>
            <w:jc w:val="right"/>
            <w:rPr>
              <w:i w:val="0"/>
              <w:sz w:val="28"/>
            </w:rPr>
          </w:pPr>
          <w:r>
            <w:rPr>
              <w:b w:val="0"/>
              <w:i w:val="0"/>
              <w:sz w:val="28"/>
            </w:rPr>
            <w:t>设</w:t>
          </w:r>
          <w:r>
            <w:rPr>
              <w:b w:val="0"/>
              <w:i w:val="0"/>
              <w:spacing w:val="-3"/>
              <w:sz w:val="28"/>
            </w:rPr>
            <w:t>计</w:t>
          </w:r>
          <w:r>
            <w:rPr>
              <w:b w:val="0"/>
              <w:i w:val="0"/>
              <w:sz w:val="28"/>
            </w:rPr>
            <w:t>场地</w:t>
          </w:r>
          <w:r>
            <w:rPr>
              <w:b w:val="0"/>
              <w:i w:val="0"/>
              <w:spacing w:val="-3"/>
              <w:sz w:val="28"/>
            </w:rPr>
            <w:t>环</w:t>
          </w:r>
          <w:r>
            <w:rPr>
              <w:b w:val="0"/>
              <w:i w:val="0"/>
              <w:sz w:val="28"/>
            </w:rPr>
            <w:t>境制</w:t>
          </w:r>
          <w:r>
            <w:rPr>
              <w:b w:val="0"/>
              <w:i w:val="0"/>
              <w:spacing w:val="-3"/>
              <w:sz w:val="28"/>
            </w:rPr>
            <w:t>约</w:t>
          </w:r>
          <w:r>
            <w:rPr>
              <w:b w:val="0"/>
              <w:i w:val="0"/>
              <w:sz w:val="28"/>
            </w:rPr>
            <w:t>因素</w:t>
          </w:r>
          <w:r>
            <w:rPr>
              <w:b w:val="0"/>
              <w:i w:val="0"/>
              <w:spacing w:val="-3"/>
              <w:sz w:val="28"/>
            </w:rPr>
            <w:t>分</w:t>
          </w:r>
          <w:r>
            <w:rPr>
              <w:b w:val="0"/>
              <w:i w:val="0"/>
              <w:sz w:val="28"/>
            </w:rPr>
            <w:t>析</w:t>
          </w:r>
          <w:r>
            <w:rPr>
              <w:b w:val="0"/>
              <w:i w:val="0"/>
              <w:sz w:val="28"/>
            </w:rPr>
            <w:tab/>
          </w:r>
          <w:r>
            <w:rPr>
              <w:i w:val="0"/>
              <w:spacing w:val="-1"/>
              <w:w w:val="95"/>
              <w:sz w:val="28"/>
            </w:rPr>
            <w:t>错误！未定</w:t>
          </w:r>
          <w:r>
            <w:rPr>
              <w:i w:val="0"/>
              <w:w w:val="95"/>
              <w:sz w:val="28"/>
            </w:rPr>
            <w:t>义书签。</w:t>
          </w:r>
        </w:p>
        <w:p>
          <w:pPr>
            <w:pStyle w:val="11"/>
            <w:numPr>
              <w:ilvl w:val="1"/>
              <w:numId w:val="2"/>
            </w:numPr>
            <w:tabs>
              <w:tab w:val="left" w:pos="560"/>
              <w:tab w:val="left" w:leader="dot" w:pos="5980"/>
            </w:tabs>
            <w:spacing w:before="143" w:after="0" w:line="240" w:lineRule="auto"/>
            <w:ind w:left="1336" w:right="255" w:hanging="1337"/>
            <w:jc w:val="right"/>
            <w:rPr>
              <w:i w:val="0"/>
              <w:sz w:val="28"/>
            </w:rPr>
          </w:pPr>
          <w:r>
            <w:rPr>
              <w:b w:val="0"/>
              <w:i w:val="0"/>
              <w:sz w:val="28"/>
            </w:rPr>
            <w:t>排</w:t>
          </w:r>
          <w:r>
            <w:rPr>
              <w:b w:val="0"/>
              <w:i w:val="0"/>
              <w:spacing w:val="-3"/>
              <w:sz w:val="28"/>
            </w:rPr>
            <w:t>矸</w:t>
          </w:r>
          <w:r>
            <w:rPr>
              <w:b w:val="0"/>
              <w:i w:val="0"/>
              <w:sz w:val="28"/>
            </w:rPr>
            <w:t>场的</w:t>
          </w:r>
          <w:r>
            <w:rPr>
              <w:b w:val="0"/>
              <w:i w:val="0"/>
              <w:spacing w:val="-3"/>
              <w:sz w:val="28"/>
            </w:rPr>
            <w:t>环</w:t>
          </w:r>
          <w:r>
            <w:rPr>
              <w:b w:val="0"/>
              <w:i w:val="0"/>
              <w:sz w:val="28"/>
            </w:rPr>
            <w:t>境可</w:t>
          </w:r>
          <w:r>
            <w:rPr>
              <w:b w:val="0"/>
              <w:i w:val="0"/>
              <w:spacing w:val="-3"/>
              <w:sz w:val="28"/>
            </w:rPr>
            <w:t>行</w:t>
          </w:r>
          <w:r>
            <w:rPr>
              <w:b w:val="0"/>
              <w:i w:val="0"/>
              <w:sz w:val="28"/>
            </w:rPr>
            <w:t>性</w:t>
          </w:r>
          <w:r>
            <w:rPr>
              <w:b w:val="0"/>
              <w:i w:val="0"/>
              <w:sz w:val="28"/>
            </w:rPr>
            <w:tab/>
          </w:r>
          <w:r>
            <w:rPr>
              <w:i w:val="0"/>
              <w:spacing w:val="-1"/>
              <w:w w:val="95"/>
              <w:sz w:val="28"/>
            </w:rPr>
            <w:t>错误！未定</w:t>
          </w:r>
          <w:r>
            <w:rPr>
              <w:i w:val="0"/>
              <w:w w:val="95"/>
              <w:sz w:val="28"/>
            </w:rPr>
            <w:t>义书签。</w:t>
          </w:r>
        </w:p>
        <w:p>
          <w:pPr>
            <w:pStyle w:val="11"/>
            <w:numPr>
              <w:ilvl w:val="1"/>
              <w:numId w:val="2"/>
            </w:numPr>
            <w:tabs>
              <w:tab w:val="left" w:pos="560"/>
              <w:tab w:val="left" w:leader="dot" w:pos="5980"/>
            </w:tabs>
            <w:spacing w:before="141" w:after="0" w:line="240" w:lineRule="auto"/>
            <w:ind w:left="1336" w:right="255" w:hanging="1337"/>
            <w:jc w:val="right"/>
            <w:rPr>
              <w:i w:val="0"/>
              <w:sz w:val="28"/>
            </w:rPr>
          </w:pPr>
          <w:r>
            <w:rPr>
              <w:b w:val="0"/>
              <w:i w:val="0"/>
              <w:sz w:val="28"/>
            </w:rPr>
            <w:t>项</w:t>
          </w:r>
          <w:r>
            <w:rPr>
              <w:b w:val="0"/>
              <w:i w:val="0"/>
              <w:spacing w:val="-3"/>
              <w:sz w:val="28"/>
            </w:rPr>
            <w:t>目</w:t>
          </w:r>
          <w:r>
            <w:rPr>
              <w:b w:val="0"/>
              <w:i w:val="0"/>
              <w:sz w:val="28"/>
            </w:rPr>
            <w:t>选址</w:t>
          </w:r>
          <w:r>
            <w:rPr>
              <w:b w:val="0"/>
              <w:i w:val="0"/>
              <w:spacing w:val="-3"/>
              <w:sz w:val="28"/>
            </w:rPr>
            <w:t>环</w:t>
          </w:r>
          <w:r>
            <w:rPr>
              <w:b w:val="0"/>
              <w:i w:val="0"/>
              <w:sz w:val="28"/>
            </w:rPr>
            <w:t>境可</w:t>
          </w:r>
          <w:r>
            <w:rPr>
              <w:b w:val="0"/>
              <w:i w:val="0"/>
              <w:spacing w:val="-3"/>
              <w:sz w:val="28"/>
            </w:rPr>
            <w:t>行</w:t>
          </w:r>
          <w:r>
            <w:rPr>
              <w:b w:val="0"/>
              <w:i w:val="0"/>
              <w:sz w:val="28"/>
            </w:rPr>
            <w:t>性综</w:t>
          </w:r>
          <w:r>
            <w:rPr>
              <w:b w:val="0"/>
              <w:i w:val="0"/>
              <w:spacing w:val="-3"/>
              <w:sz w:val="28"/>
            </w:rPr>
            <w:t>合</w:t>
          </w:r>
          <w:r>
            <w:rPr>
              <w:b w:val="0"/>
              <w:i w:val="0"/>
              <w:sz w:val="28"/>
            </w:rPr>
            <w:t>分析</w:t>
          </w:r>
          <w:r>
            <w:rPr>
              <w:b w:val="0"/>
              <w:i w:val="0"/>
              <w:sz w:val="28"/>
            </w:rPr>
            <w:tab/>
          </w:r>
          <w:r>
            <w:rPr>
              <w:i w:val="0"/>
              <w:spacing w:val="-1"/>
              <w:w w:val="95"/>
              <w:sz w:val="28"/>
            </w:rPr>
            <w:t>错误！未定</w:t>
          </w:r>
          <w:r>
            <w:rPr>
              <w:i w:val="0"/>
              <w:w w:val="95"/>
              <w:sz w:val="28"/>
            </w:rPr>
            <w:t>义书签。</w:t>
          </w:r>
        </w:p>
        <w:p>
          <w:pPr>
            <w:pStyle w:val="12"/>
            <w:numPr>
              <w:ilvl w:val="0"/>
              <w:numId w:val="2"/>
            </w:numPr>
            <w:tabs>
              <w:tab w:val="left" w:pos="376"/>
              <w:tab w:val="right" w:leader="dot" w:pos="9068"/>
            </w:tabs>
            <w:spacing w:before="24" w:after="0" w:line="240" w:lineRule="auto"/>
            <w:ind w:left="594" w:right="257" w:hanging="595"/>
            <w:jc w:val="right"/>
            <w:rPr>
              <w:rFonts w:ascii="Times New Roman" w:eastAsia="Times New Roman"/>
            </w:rPr>
          </w:pPr>
          <w:r>
            <w:fldChar w:fldCharType="begin"/>
          </w:r>
          <w:r>
            <w:instrText xml:space="preserve"> HYPERLINK \l "_bookmark73" </w:instrText>
          </w:r>
          <w:r>
            <w:fldChar w:fldCharType="separate"/>
          </w:r>
          <w:r>
            <w:t>环境管理与环境监测计划</w:t>
          </w:r>
          <w:r>
            <w:tab/>
          </w:r>
          <w:r>
            <w:rPr>
              <w:rFonts w:ascii="Times New Roman" w:eastAsia="Times New Roman"/>
            </w:rPr>
            <w:t>195</w:t>
          </w:r>
          <w:r>
            <w:rPr>
              <w:rFonts w:ascii="Times New Roman" w:eastAsia="Times New Roman"/>
            </w:rPr>
            <w:fldChar w:fldCharType="end"/>
          </w:r>
        </w:p>
        <w:p>
          <w:pPr>
            <w:pStyle w:val="14"/>
            <w:numPr>
              <w:ilvl w:val="1"/>
              <w:numId w:val="2"/>
            </w:numPr>
            <w:tabs>
              <w:tab w:val="left" w:pos="560"/>
              <w:tab w:val="right" w:leader="dot" w:pos="8511"/>
            </w:tabs>
            <w:spacing w:before="123" w:after="0" w:line="240" w:lineRule="auto"/>
            <w:ind w:left="1336" w:right="255" w:hanging="1337"/>
            <w:jc w:val="right"/>
            <w:rPr>
              <w:rFonts w:ascii="Calibri" w:eastAsia="Calibri"/>
            </w:rPr>
          </w:pPr>
          <w:r>
            <w:fldChar w:fldCharType="begin"/>
          </w:r>
          <w:r>
            <w:instrText xml:space="preserve"> HYPERLINK \l "_bookmark74" </w:instrText>
          </w:r>
          <w:r>
            <w:fldChar w:fldCharType="separate"/>
          </w:r>
          <w:r>
            <w:t>施</w:t>
          </w:r>
          <w:r>
            <w:rPr>
              <w:spacing w:val="-3"/>
            </w:rPr>
            <w:t>工</w:t>
          </w:r>
          <w:r>
            <w:t>期环</w:t>
          </w:r>
          <w:r>
            <w:rPr>
              <w:spacing w:val="-3"/>
            </w:rPr>
            <w:t>境</w:t>
          </w:r>
          <w:r>
            <w:t>管理</w:t>
          </w:r>
          <w:r>
            <w:rPr>
              <w:spacing w:val="-3"/>
            </w:rPr>
            <w:t>和</w:t>
          </w:r>
          <w:r>
            <w:t>环境</w:t>
          </w:r>
          <w:r>
            <w:rPr>
              <w:spacing w:val="-3"/>
            </w:rPr>
            <w:t>监</w:t>
          </w:r>
          <w:r>
            <w:t>理</w:t>
          </w:r>
          <w:r>
            <w:tab/>
          </w:r>
          <w:r>
            <w:rPr>
              <w:rFonts w:ascii="Calibri" w:eastAsia="Calibri"/>
            </w:rPr>
            <w:t>195</w:t>
          </w:r>
          <w:r>
            <w:rPr>
              <w:rFonts w:ascii="Calibri" w:eastAsia="Calibri"/>
            </w:rPr>
            <w:fldChar w:fldCharType="end"/>
          </w:r>
        </w:p>
        <w:p>
          <w:pPr>
            <w:pStyle w:val="14"/>
            <w:numPr>
              <w:ilvl w:val="1"/>
              <w:numId w:val="2"/>
            </w:numPr>
            <w:tabs>
              <w:tab w:val="left" w:pos="560"/>
              <w:tab w:val="right" w:leader="dot" w:pos="8511"/>
            </w:tabs>
            <w:spacing w:before="140" w:after="0" w:line="240" w:lineRule="auto"/>
            <w:ind w:left="1336" w:right="255" w:hanging="1337"/>
            <w:jc w:val="right"/>
            <w:rPr>
              <w:rFonts w:ascii="Calibri" w:eastAsia="Calibri"/>
            </w:rPr>
          </w:pPr>
          <w:r>
            <w:fldChar w:fldCharType="begin"/>
          </w:r>
          <w:r>
            <w:instrText xml:space="preserve"> HYPERLINK \l "_bookmark75" </w:instrText>
          </w:r>
          <w:r>
            <w:fldChar w:fldCharType="separate"/>
          </w:r>
          <w:r>
            <w:t>环</w:t>
          </w:r>
          <w:r>
            <w:rPr>
              <w:spacing w:val="-3"/>
            </w:rPr>
            <w:t>境</w:t>
          </w:r>
          <w:r>
            <w:t>管理</w:t>
          </w:r>
          <w:r>
            <w:rPr>
              <w:spacing w:val="-3"/>
            </w:rPr>
            <w:t>机</w:t>
          </w:r>
          <w:r>
            <w:t>构及</w:t>
          </w:r>
          <w:r>
            <w:rPr>
              <w:spacing w:val="-3"/>
            </w:rPr>
            <w:t>职</w:t>
          </w:r>
          <w:r>
            <w:t>责</w:t>
          </w:r>
          <w:r>
            <w:tab/>
          </w:r>
          <w:r>
            <w:rPr>
              <w:rFonts w:ascii="Calibri" w:eastAsia="Calibri"/>
            </w:rPr>
            <w:t>196</w:t>
          </w:r>
          <w:r>
            <w:rPr>
              <w:rFonts w:ascii="Calibri" w:eastAsia="Calibri"/>
            </w:rPr>
            <w:fldChar w:fldCharType="end"/>
          </w:r>
        </w:p>
        <w:p>
          <w:pPr>
            <w:pStyle w:val="14"/>
            <w:numPr>
              <w:ilvl w:val="1"/>
              <w:numId w:val="2"/>
            </w:numPr>
            <w:tabs>
              <w:tab w:val="left" w:pos="560"/>
              <w:tab w:val="right" w:leader="dot" w:pos="8511"/>
            </w:tabs>
            <w:spacing w:before="141" w:after="0" w:line="240" w:lineRule="auto"/>
            <w:ind w:left="1336" w:right="255" w:hanging="1337"/>
            <w:jc w:val="right"/>
            <w:rPr>
              <w:rFonts w:ascii="Calibri" w:eastAsia="Calibri"/>
            </w:rPr>
          </w:pPr>
          <w:r>
            <w:fldChar w:fldCharType="begin"/>
          </w:r>
          <w:r>
            <w:instrText xml:space="preserve"> HYPERLINK \l "_bookmark76" </w:instrText>
          </w:r>
          <w:r>
            <w:fldChar w:fldCharType="separate"/>
          </w:r>
          <w:r>
            <w:t>污</w:t>
          </w:r>
          <w:r>
            <w:rPr>
              <w:spacing w:val="-3"/>
            </w:rPr>
            <w:t>染</w:t>
          </w:r>
          <w:r>
            <w:t>物排</w:t>
          </w:r>
          <w:r>
            <w:rPr>
              <w:spacing w:val="-3"/>
            </w:rPr>
            <w:t>放</w:t>
          </w:r>
          <w:r>
            <w:t>管理</w:t>
          </w:r>
          <w:r>
            <w:rPr>
              <w:spacing w:val="-3"/>
            </w:rPr>
            <w:t>要</w:t>
          </w:r>
          <w:r>
            <w:t>求</w:t>
          </w:r>
          <w:r>
            <w:tab/>
          </w:r>
          <w:r>
            <w:rPr>
              <w:rFonts w:ascii="Calibri" w:eastAsia="Calibri"/>
            </w:rPr>
            <w:t>199</w:t>
          </w:r>
          <w:r>
            <w:rPr>
              <w:rFonts w:ascii="Calibri" w:eastAsia="Calibri"/>
            </w:rPr>
            <w:fldChar w:fldCharType="end"/>
          </w:r>
        </w:p>
        <w:p>
          <w:pPr>
            <w:pStyle w:val="14"/>
            <w:numPr>
              <w:ilvl w:val="1"/>
              <w:numId w:val="2"/>
            </w:numPr>
            <w:tabs>
              <w:tab w:val="left" w:pos="560"/>
              <w:tab w:val="right" w:leader="dot" w:pos="8511"/>
            </w:tabs>
            <w:spacing w:before="143" w:after="20" w:line="240" w:lineRule="auto"/>
            <w:ind w:left="1336" w:right="255" w:hanging="1337"/>
            <w:jc w:val="right"/>
            <w:rPr>
              <w:rFonts w:ascii="Calibri" w:eastAsia="Calibri"/>
            </w:rPr>
          </w:pPr>
          <w:r>
            <w:fldChar w:fldCharType="begin"/>
          </w:r>
          <w:r>
            <w:instrText xml:space="preserve"> HYPERLINK \l "_bookmark77" </w:instrText>
          </w:r>
          <w:r>
            <w:fldChar w:fldCharType="separate"/>
          </w:r>
          <w:r>
            <w:t>环</w:t>
          </w:r>
          <w:r>
            <w:rPr>
              <w:spacing w:val="-3"/>
            </w:rPr>
            <w:t>境</w:t>
          </w:r>
          <w:r>
            <w:t>监测</w:t>
          </w:r>
          <w:r>
            <w:rPr>
              <w:spacing w:val="-3"/>
            </w:rPr>
            <w:t>计</w:t>
          </w:r>
          <w:r>
            <w:t>划</w:t>
          </w:r>
          <w:r>
            <w:tab/>
          </w:r>
          <w:r>
            <w:rPr>
              <w:rFonts w:ascii="Calibri" w:eastAsia="Calibri"/>
            </w:rPr>
            <w:t>200</w:t>
          </w:r>
          <w:r>
            <w:rPr>
              <w:rFonts w:ascii="Calibri" w:eastAsia="Calibri"/>
            </w:rPr>
            <w:fldChar w:fldCharType="end"/>
          </w:r>
        </w:p>
        <w:p>
          <w:pPr>
            <w:pStyle w:val="14"/>
            <w:numPr>
              <w:ilvl w:val="1"/>
              <w:numId w:val="2"/>
            </w:numPr>
            <w:tabs>
              <w:tab w:val="left" w:pos="560"/>
              <w:tab w:val="right" w:leader="dot" w:pos="8511"/>
            </w:tabs>
            <w:spacing w:before="160" w:after="0" w:line="240" w:lineRule="auto"/>
            <w:ind w:left="1336" w:right="255" w:hanging="1337"/>
            <w:jc w:val="right"/>
            <w:rPr>
              <w:rFonts w:ascii="Calibri" w:eastAsia="Calibri"/>
            </w:rPr>
          </w:pPr>
          <w:r>
            <w:fldChar w:fldCharType="begin"/>
          </w:r>
          <w:r>
            <w:instrText xml:space="preserve"> HYPERLINK \l "_bookmark78" </w:instrText>
          </w:r>
          <w:r>
            <w:fldChar w:fldCharType="separate"/>
          </w:r>
          <w:r>
            <w:t>排</w:t>
          </w:r>
          <w:r>
            <w:rPr>
              <w:spacing w:val="-3"/>
            </w:rPr>
            <w:t>污</w:t>
          </w:r>
          <w:r>
            <w:t>口规</w:t>
          </w:r>
          <w:r>
            <w:rPr>
              <w:spacing w:val="-3"/>
            </w:rPr>
            <w:t>范</w:t>
          </w:r>
          <w:r>
            <w:t>化管理</w:t>
          </w:r>
          <w:r>
            <w:tab/>
          </w:r>
          <w:r>
            <w:rPr>
              <w:rFonts w:ascii="Calibri" w:eastAsia="Calibri"/>
            </w:rPr>
            <w:t>204</w:t>
          </w:r>
          <w:r>
            <w:rPr>
              <w:rFonts w:ascii="Calibri" w:eastAsia="Calibri"/>
            </w:rPr>
            <w:fldChar w:fldCharType="end"/>
          </w:r>
        </w:p>
        <w:p>
          <w:pPr>
            <w:pStyle w:val="14"/>
            <w:numPr>
              <w:ilvl w:val="1"/>
              <w:numId w:val="2"/>
            </w:numPr>
            <w:tabs>
              <w:tab w:val="left" w:pos="560"/>
              <w:tab w:val="right" w:leader="dot" w:pos="8511"/>
            </w:tabs>
            <w:spacing w:before="143" w:after="0" w:line="240" w:lineRule="auto"/>
            <w:ind w:left="1336" w:right="255" w:hanging="1337"/>
            <w:jc w:val="right"/>
            <w:rPr>
              <w:rFonts w:ascii="Calibri" w:eastAsia="Calibri"/>
            </w:rPr>
          </w:pPr>
          <w:r>
            <w:fldChar w:fldCharType="begin"/>
          </w:r>
          <w:r>
            <w:instrText xml:space="preserve"> HYPERLINK \l "_bookmark79" </w:instrText>
          </w:r>
          <w:r>
            <w:fldChar w:fldCharType="separate"/>
          </w:r>
          <w:r>
            <w:t>环</w:t>
          </w:r>
          <w:r>
            <w:rPr>
              <w:spacing w:val="-3"/>
            </w:rPr>
            <w:t>境</w:t>
          </w:r>
          <w:r>
            <w:t>保护</w:t>
          </w:r>
          <w:r>
            <w:rPr>
              <w:spacing w:val="-3"/>
            </w:rPr>
            <w:t>竣</w:t>
          </w:r>
          <w:r>
            <w:t>工验收</w:t>
          </w:r>
          <w:r>
            <w:tab/>
          </w:r>
          <w:r>
            <w:rPr>
              <w:rFonts w:ascii="Calibri" w:eastAsia="Calibri"/>
            </w:rPr>
            <w:t>205</w:t>
          </w:r>
          <w:r>
            <w:rPr>
              <w:rFonts w:ascii="Calibri" w:eastAsia="Calibri"/>
            </w:rPr>
            <w:fldChar w:fldCharType="end"/>
          </w:r>
        </w:p>
        <w:p>
          <w:pPr>
            <w:pStyle w:val="12"/>
            <w:numPr>
              <w:ilvl w:val="0"/>
              <w:numId w:val="2"/>
            </w:numPr>
            <w:tabs>
              <w:tab w:val="left" w:pos="376"/>
              <w:tab w:val="right" w:leader="dot" w:pos="9068"/>
            </w:tabs>
            <w:spacing w:before="22" w:after="0" w:line="240" w:lineRule="auto"/>
            <w:ind w:left="594" w:right="257" w:hanging="595"/>
            <w:jc w:val="right"/>
            <w:rPr>
              <w:rFonts w:ascii="Times New Roman" w:eastAsia="Times New Roman"/>
            </w:rPr>
          </w:pPr>
          <w:r>
            <w:fldChar w:fldCharType="begin"/>
          </w:r>
          <w:r>
            <w:instrText xml:space="preserve"> HYPERLINK \l "_bookmark80" </w:instrText>
          </w:r>
          <w:r>
            <w:fldChar w:fldCharType="separate"/>
          </w:r>
          <w:r>
            <w:t>环境经济损益分析</w:t>
          </w:r>
          <w:r>
            <w:tab/>
          </w:r>
          <w:r>
            <w:rPr>
              <w:rFonts w:ascii="Times New Roman" w:eastAsia="Times New Roman"/>
            </w:rPr>
            <w:t>208</w:t>
          </w:r>
          <w:r>
            <w:rPr>
              <w:rFonts w:ascii="Times New Roman" w:eastAsia="Times New Roman"/>
            </w:rPr>
            <w:fldChar w:fldCharType="end"/>
          </w:r>
        </w:p>
        <w:p>
          <w:pPr>
            <w:pStyle w:val="14"/>
            <w:numPr>
              <w:ilvl w:val="1"/>
              <w:numId w:val="2"/>
            </w:numPr>
            <w:tabs>
              <w:tab w:val="left" w:pos="560"/>
              <w:tab w:val="right" w:leader="dot" w:pos="8511"/>
            </w:tabs>
            <w:spacing w:before="123" w:after="0" w:line="240" w:lineRule="auto"/>
            <w:ind w:left="1336" w:right="255" w:hanging="1337"/>
            <w:jc w:val="right"/>
            <w:rPr>
              <w:rFonts w:ascii="Calibri" w:eastAsia="Calibri"/>
            </w:rPr>
          </w:pPr>
          <w:r>
            <w:fldChar w:fldCharType="begin"/>
          </w:r>
          <w:r>
            <w:instrText xml:space="preserve"> HYPERLINK \l "_bookmark81" </w:instrText>
          </w:r>
          <w:r>
            <w:fldChar w:fldCharType="separate"/>
          </w:r>
          <w:r>
            <w:t>环</w:t>
          </w:r>
          <w:r>
            <w:rPr>
              <w:spacing w:val="-3"/>
            </w:rPr>
            <w:t>境</w:t>
          </w:r>
          <w:r>
            <w:t>保护</w:t>
          </w:r>
          <w:r>
            <w:rPr>
              <w:spacing w:val="-3"/>
            </w:rPr>
            <w:t>工</w:t>
          </w:r>
          <w:r>
            <w:t>程投</w:t>
          </w:r>
          <w:r>
            <w:rPr>
              <w:spacing w:val="-3"/>
            </w:rPr>
            <w:t>资</w:t>
          </w:r>
          <w:r>
            <w:t>分析</w:t>
          </w:r>
          <w:r>
            <w:tab/>
          </w:r>
          <w:r>
            <w:rPr>
              <w:rFonts w:ascii="Calibri" w:eastAsia="Calibri"/>
            </w:rPr>
            <w:t>208</w:t>
          </w:r>
          <w:r>
            <w:rPr>
              <w:rFonts w:ascii="Calibri" w:eastAsia="Calibri"/>
            </w:rPr>
            <w:fldChar w:fldCharType="end"/>
          </w:r>
        </w:p>
        <w:p>
          <w:pPr>
            <w:pStyle w:val="14"/>
            <w:numPr>
              <w:ilvl w:val="1"/>
              <w:numId w:val="2"/>
            </w:numPr>
            <w:tabs>
              <w:tab w:val="left" w:pos="560"/>
              <w:tab w:val="right" w:leader="dot" w:pos="8511"/>
            </w:tabs>
            <w:spacing w:before="143" w:after="0" w:line="240" w:lineRule="auto"/>
            <w:ind w:left="1336" w:right="255" w:hanging="1337"/>
            <w:jc w:val="right"/>
            <w:rPr>
              <w:rFonts w:ascii="Calibri" w:eastAsia="Calibri"/>
            </w:rPr>
          </w:pPr>
          <w:r>
            <w:fldChar w:fldCharType="begin"/>
          </w:r>
          <w:r>
            <w:instrText xml:space="preserve"> HYPERLINK \l "_bookmark82" </w:instrText>
          </w:r>
          <w:r>
            <w:fldChar w:fldCharType="separate"/>
          </w:r>
          <w:r>
            <w:t>环</w:t>
          </w:r>
          <w:r>
            <w:rPr>
              <w:spacing w:val="-3"/>
            </w:rPr>
            <w:t>境</w:t>
          </w:r>
          <w:r>
            <w:t>经济</w:t>
          </w:r>
          <w:r>
            <w:rPr>
              <w:spacing w:val="-3"/>
            </w:rPr>
            <w:t>效</w:t>
          </w:r>
          <w:r>
            <w:t>益分</w:t>
          </w:r>
          <w:r>
            <w:rPr>
              <w:spacing w:val="-3"/>
            </w:rPr>
            <w:t>析</w:t>
          </w:r>
          <w:r>
            <w:t>与评价</w:t>
          </w:r>
          <w:r>
            <w:tab/>
          </w:r>
          <w:r>
            <w:rPr>
              <w:rFonts w:ascii="Calibri" w:eastAsia="Calibri"/>
            </w:rPr>
            <w:t>208</w:t>
          </w:r>
          <w:r>
            <w:rPr>
              <w:rFonts w:ascii="Calibri" w:eastAsia="Calibri"/>
            </w:rPr>
            <w:fldChar w:fldCharType="end"/>
          </w:r>
        </w:p>
        <w:p>
          <w:pPr>
            <w:pStyle w:val="14"/>
            <w:numPr>
              <w:ilvl w:val="1"/>
              <w:numId w:val="2"/>
            </w:numPr>
            <w:tabs>
              <w:tab w:val="left" w:pos="560"/>
              <w:tab w:val="right" w:leader="dot" w:pos="8511"/>
            </w:tabs>
            <w:spacing w:before="141" w:after="0" w:line="240" w:lineRule="auto"/>
            <w:ind w:left="1336" w:right="255" w:hanging="1337"/>
            <w:jc w:val="right"/>
            <w:rPr>
              <w:rFonts w:ascii="Calibri" w:eastAsia="Calibri"/>
            </w:rPr>
          </w:pPr>
          <w:r>
            <w:fldChar w:fldCharType="begin"/>
          </w:r>
          <w:r>
            <w:instrText xml:space="preserve"> HYPERLINK \l "_bookmark83" </w:instrText>
          </w:r>
          <w:r>
            <w:fldChar w:fldCharType="separate"/>
          </w:r>
          <w:r>
            <w:t>环</w:t>
          </w:r>
          <w:r>
            <w:rPr>
              <w:spacing w:val="-3"/>
            </w:rPr>
            <w:t>境</w:t>
          </w:r>
          <w:r>
            <w:t>经济</w:t>
          </w:r>
          <w:r>
            <w:rPr>
              <w:spacing w:val="-3"/>
            </w:rPr>
            <w:t>损</w:t>
          </w:r>
          <w:r>
            <w:t>益简</w:t>
          </w:r>
          <w:r>
            <w:rPr>
              <w:spacing w:val="-3"/>
            </w:rPr>
            <w:t>要</w:t>
          </w:r>
          <w:r>
            <w:t>分析</w:t>
          </w:r>
          <w:r>
            <w:tab/>
          </w:r>
          <w:r>
            <w:rPr>
              <w:rFonts w:ascii="Calibri" w:eastAsia="Calibri"/>
            </w:rPr>
            <w:t>209</w:t>
          </w:r>
          <w:r>
            <w:rPr>
              <w:rFonts w:ascii="Calibri" w:eastAsia="Calibri"/>
            </w:rPr>
            <w:fldChar w:fldCharType="end"/>
          </w:r>
        </w:p>
        <w:p>
          <w:pPr>
            <w:pStyle w:val="14"/>
            <w:numPr>
              <w:ilvl w:val="1"/>
              <w:numId w:val="2"/>
            </w:numPr>
            <w:tabs>
              <w:tab w:val="left" w:pos="560"/>
              <w:tab w:val="right" w:leader="dot" w:pos="8511"/>
            </w:tabs>
            <w:spacing w:before="140" w:after="0" w:line="240" w:lineRule="auto"/>
            <w:ind w:left="1336" w:right="255" w:hanging="1337"/>
            <w:jc w:val="right"/>
            <w:rPr>
              <w:rFonts w:ascii="Calibri" w:eastAsia="Calibri"/>
            </w:rPr>
          </w:pPr>
          <w:r>
            <w:fldChar w:fldCharType="begin"/>
          </w:r>
          <w:r>
            <w:instrText xml:space="preserve"> HYPERLINK \l "_bookmark84" </w:instrText>
          </w:r>
          <w:r>
            <w:fldChar w:fldCharType="separate"/>
          </w:r>
          <w:r>
            <w:t>环</w:t>
          </w:r>
          <w:r>
            <w:rPr>
              <w:spacing w:val="-3"/>
            </w:rPr>
            <w:t>境</w:t>
          </w:r>
          <w:r>
            <w:t>保护</w:t>
          </w:r>
          <w:r>
            <w:rPr>
              <w:spacing w:val="-3"/>
            </w:rPr>
            <w:t>工</w:t>
          </w:r>
          <w:r>
            <w:t>程的</w:t>
          </w:r>
          <w:r>
            <w:rPr>
              <w:spacing w:val="-3"/>
            </w:rPr>
            <w:t>经</w:t>
          </w:r>
          <w:r>
            <w:t>济效</w:t>
          </w:r>
          <w:r>
            <w:rPr>
              <w:spacing w:val="-3"/>
            </w:rPr>
            <w:t>益</w:t>
          </w:r>
          <w:r>
            <w:t>分析</w:t>
          </w:r>
          <w:r>
            <w:tab/>
          </w:r>
          <w:r>
            <w:rPr>
              <w:rFonts w:ascii="Calibri" w:eastAsia="Calibri"/>
            </w:rPr>
            <w:t>211</w:t>
          </w:r>
          <w:r>
            <w:rPr>
              <w:rFonts w:ascii="Calibri" w:eastAsia="Calibri"/>
            </w:rPr>
            <w:fldChar w:fldCharType="end"/>
          </w:r>
        </w:p>
        <w:p>
          <w:pPr>
            <w:pStyle w:val="14"/>
            <w:numPr>
              <w:ilvl w:val="1"/>
              <w:numId w:val="2"/>
            </w:numPr>
            <w:tabs>
              <w:tab w:val="left" w:pos="560"/>
              <w:tab w:val="right" w:leader="dot" w:pos="8511"/>
            </w:tabs>
            <w:spacing w:before="143" w:after="0" w:line="240" w:lineRule="auto"/>
            <w:ind w:left="1336" w:right="255" w:hanging="1337"/>
            <w:jc w:val="right"/>
            <w:rPr>
              <w:rFonts w:ascii="Calibri" w:eastAsia="Calibri"/>
            </w:rPr>
          </w:pPr>
          <w:r>
            <w:fldChar w:fldCharType="begin"/>
          </w:r>
          <w:r>
            <w:instrText xml:space="preserve"> HYPERLINK \l "_bookmark85" </w:instrText>
          </w:r>
          <w:r>
            <w:fldChar w:fldCharType="separate"/>
          </w:r>
          <w:r>
            <w:t>环</w:t>
          </w:r>
          <w:r>
            <w:rPr>
              <w:spacing w:val="-3"/>
            </w:rPr>
            <w:t>境</w:t>
          </w:r>
          <w:r>
            <w:t>经济</w:t>
          </w:r>
          <w:r>
            <w:rPr>
              <w:spacing w:val="-3"/>
            </w:rPr>
            <w:t>分</w:t>
          </w:r>
          <w:r>
            <w:t>析结论</w:t>
          </w:r>
          <w:r>
            <w:tab/>
          </w:r>
          <w:r>
            <w:rPr>
              <w:rFonts w:ascii="Calibri" w:eastAsia="Calibri"/>
            </w:rPr>
            <w:t>212</w:t>
          </w:r>
          <w:r>
            <w:rPr>
              <w:rFonts w:ascii="Calibri" w:eastAsia="Calibri"/>
            </w:rPr>
            <w:fldChar w:fldCharType="end"/>
          </w:r>
        </w:p>
        <w:p>
          <w:pPr>
            <w:pStyle w:val="12"/>
            <w:numPr>
              <w:ilvl w:val="0"/>
              <w:numId w:val="5"/>
            </w:numPr>
            <w:tabs>
              <w:tab w:val="left" w:pos="375"/>
              <w:tab w:val="left" w:leader="dot" w:pos="6359"/>
            </w:tabs>
            <w:spacing w:before="22" w:after="0" w:line="240" w:lineRule="auto"/>
            <w:ind w:left="592" w:right="256" w:hanging="593"/>
            <w:jc w:val="right"/>
          </w:pPr>
          <w:r>
            <w:t>规划符合性分析</w:t>
          </w:r>
          <w:r>
            <w:tab/>
          </w:r>
          <w:r>
            <w:rPr>
              <w:w w:val="95"/>
            </w:rPr>
            <w:t>错误！未定义书签。</w:t>
          </w:r>
        </w:p>
        <w:p>
          <w:pPr>
            <w:pStyle w:val="11"/>
            <w:numPr>
              <w:ilvl w:val="1"/>
              <w:numId w:val="5"/>
            </w:numPr>
            <w:tabs>
              <w:tab w:val="left" w:pos="560"/>
              <w:tab w:val="left" w:leader="dot" w:pos="5980"/>
            </w:tabs>
            <w:spacing w:before="123" w:after="0" w:line="240" w:lineRule="auto"/>
            <w:ind w:left="1336" w:right="255" w:hanging="1337"/>
            <w:jc w:val="right"/>
            <w:rPr>
              <w:i w:val="0"/>
              <w:sz w:val="28"/>
            </w:rPr>
          </w:pPr>
          <w:r>
            <w:rPr>
              <w:b w:val="0"/>
              <w:i w:val="0"/>
              <w:sz w:val="28"/>
            </w:rPr>
            <w:t>与</w:t>
          </w:r>
          <w:r>
            <w:rPr>
              <w:b w:val="0"/>
              <w:i w:val="0"/>
              <w:spacing w:val="-3"/>
              <w:sz w:val="28"/>
            </w:rPr>
            <w:t>国</w:t>
          </w:r>
          <w:r>
            <w:rPr>
              <w:b w:val="0"/>
              <w:i w:val="0"/>
              <w:sz w:val="28"/>
            </w:rPr>
            <w:t>家产</w:t>
          </w:r>
          <w:r>
            <w:rPr>
              <w:b w:val="0"/>
              <w:i w:val="0"/>
              <w:spacing w:val="-3"/>
              <w:sz w:val="28"/>
            </w:rPr>
            <w:t>业</w:t>
          </w:r>
          <w:r>
            <w:rPr>
              <w:b w:val="0"/>
              <w:i w:val="0"/>
              <w:sz w:val="28"/>
            </w:rPr>
            <w:t>政策</w:t>
          </w:r>
          <w:r>
            <w:rPr>
              <w:b w:val="0"/>
              <w:i w:val="0"/>
              <w:spacing w:val="-3"/>
              <w:sz w:val="28"/>
            </w:rPr>
            <w:t>符</w:t>
          </w:r>
          <w:r>
            <w:rPr>
              <w:b w:val="0"/>
              <w:i w:val="0"/>
              <w:sz w:val="28"/>
            </w:rPr>
            <w:t>合性</w:t>
          </w:r>
          <w:r>
            <w:rPr>
              <w:b w:val="0"/>
              <w:i w:val="0"/>
              <w:spacing w:val="-3"/>
              <w:sz w:val="28"/>
            </w:rPr>
            <w:t>分</w:t>
          </w:r>
          <w:r>
            <w:rPr>
              <w:b w:val="0"/>
              <w:i w:val="0"/>
              <w:sz w:val="28"/>
            </w:rPr>
            <w:t>析</w:t>
          </w:r>
          <w:r>
            <w:rPr>
              <w:b w:val="0"/>
              <w:i w:val="0"/>
              <w:sz w:val="28"/>
            </w:rPr>
            <w:tab/>
          </w:r>
          <w:r>
            <w:rPr>
              <w:i w:val="0"/>
              <w:spacing w:val="-1"/>
              <w:w w:val="95"/>
              <w:sz w:val="28"/>
            </w:rPr>
            <w:t>错误！未定</w:t>
          </w:r>
          <w:r>
            <w:rPr>
              <w:i w:val="0"/>
              <w:w w:val="95"/>
              <w:sz w:val="28"/>
            </w:rPr>
            <w:t>义书签。</w:t>
          </w:r>
        </w:p>
        <w:p>
          <w:pPr>
            <w:pStyle w:val="11"/>
            <w:numPr>
              <w:ilvl w:val="1"/>
              <w:numId w:val="5"/>
            </w:numPr>
            <w:tabs>
              <w:tab w:val="left" w:pos="560"/>
              <w:tab w:val="left" w:leader="dot" w:pos="5980"/>
            </w:tabs>
            <w:spacing w:before="140" w:after="0" w:line="240" w:lineRule="auto"/>
            <w:ind w:left="1336" w:right="255" w:hanging="1337"/>
            <w:jc w:val="right"/>
            <w:rPr>
              <w:i w:val="0"/>
              <w:sz w:val="28"/>
            </w:rPr>
          </w:pPr>
          <w:r>
            <w:rPr>
              <w:b w:val="0"/>
              <w:i w:val="0"/>
              <w:spacing w:val="-1"/>
              <w:sz w:val="28"/>
            </w:rPr>
            <w:t>与</w:t>
          </w:r>
          <w:r>
            <w:rPr>
              <w:b w:val="0"/>
              <w:i w:val="0"/>
              <w:spacing w:val="-3"/>
              <w:sz w:val="28"/>
            </w:rPr>
            <w:t>黑</w:t>
          </w:r>
          <w:r>
            <w:rPr>
              <w:b w:val="0"/>
              <w:i w:val="0"/>
              <w:spacing w:val="-1"/>
              <w:sz w:val="28"/>
            </w:rPr>
            <w:t>龙江</w:t>
          </w:r>
          <w:r>
            <w:rPr>
              <w:b w:val="0"/>
              <w:i w:val="0"/>
              <w:spacing w:val="-3"/>
              <w:sz w:val="28"/>
            </w:rPr>
            <w:t>省</w:t>
          </w:r>
          <w:r>
            <w:rPr>
              <w:b w:val="0"/>
              <w:i w:val="0"/>
              <w:spacing w:val="-1"/>
              <w:sz w:val="28"/>
            </w:rPr>
            <w:t>矿产</w:t>
          </w:r>
          <w:r>
            <w:rPr>
              <w:b w:val="0"/>
              <w:i w:val="0"/>
              <w:spacing w:val="-3"/>
              <w:sz w:val="28"/>
            </w:rPr>
            <w:t>资</w:t>
          </w:r>
          <w:r>
            <w:rPr>
              <w:b w:val="0"/>
              <w:i w:val="0"/>
              <w:spacing w:val="-1"/>
              <w:sz w:val="28"/>
            </w:rPr>
            <w:t>源总</w:t>
          </w:r>
          <w:r>
            <w:rPr>
              <w:b w:val="0"/>
              <w:i w:val="0"/>
              <w:spacing w:val="-3"/>
              <w:sz w:val="28"/>
            </w:rPr>
            <w:t>体</w:t>
          </w:r>
          <w:r>
            <w:rPr>
              <w:b w:val="0"/>
              <w:i w:val="0"/>
              <w:spacing w:val="-1"/>
              <w:sz w:val="28"/>
            </w:rPr>
            <w:t>规划</w:t>
          </w:r>
          <w:r>
            <w:rPr>
              <w:b w:val="0"/>
              <w:i w:val="0"/>
              <w:spacing w:val="-3"/>
              <w:sz w:val="28"/>
            </w:rPr>
            <w:t>协</w:t>
          </w:r>
          <w:r>
            <w:rPr>
              <w:b w:val="0"/>
              <w:i w:val="0"/>
              <w:spacing w:val="-1"/>
              <w:sz w:val="28"/>
            </w:rPr>
            <w:t>调性</w:t>
          </w:r>
          <w:r>
            <w:rPr>
              <w:b w:val="0"/>
              <w:i w:val="0"/>
              <w:spacing w:val="-3"/>
              <w:sz w:val="28"/>
            </w:rPr>
            <w:t>分</w:t>
          </w:r>
          <w:r>
            <w:rPr>
              <w:b w:val="0"/>
              <w:i w:val="0"/>
              <w:sz w:val="28"/>
            </w:rPr>
            <w:t>析</w:t>
          </w:r>
          <w:r>
            <w:rPr>
              <w:b w:val="0"/>
              <w:i w:val="0"/>
              <w:sz w:val="28"/>
            </w:rPr>
            <w:tab/>
          </w:r>
          <w:r>
            <w:rPr>
              <w:i w:val="0"/>
              <w:spacing w:val="-1"/>
              <w:w w:val="95"/>
              <w:sz w:val="28"/>
            </w:rPr>
            <w:t>错误！未定</w:t>
          </w:r>
          <w:r>
            <w:rPr>
              <w:i w:val="0"/>
              <w:w w:val="95"/>
              <w:sz w:val="28"/>
            </w:rPr>
            <w:t>义书签。</w:t>
          </w:r>
        </w:p>
        <w:p>
          <w:pPr>
            <w:pStyle w:val="11"/>
            <w:numPr>
              <w:ilvl w:val="1"/>
              <w:numId w:val="5"/>
            </w:numPr>
            <w:tabs>
              <w:tab w:val="left" w:pos="560"/>
              <w:tab w:val="left" w:leader="dot" w:pos="5980"/>
            </w:tabs>
            <w:spacing w:before="143" w:after="0" w:line="240" w:lineRule="auto"/>
            <w:ind w:left="1336" w:right="255" w:hanging="1337"/>
            <w:jc w:val="right"/>
            <w:rPr>
              <w:i w:val="0"/>
              <w:sz w:val="28"/>
            </w:rPr>
          </w:pPr>
          <w:r>
            <w:rPr>
              <w:b w:val="0"/>
              <w:i w:val="0"/>
              <w:sz w:val="28"/>
            </w:rPr>
            <w:t>与</w:t>
          </w:r>
          <w:r>
            <w:rPr>
              <w:b w:val="0"/>
              <w:i w:val="0"/>
              <w:spacing w:val="-3"/>
              <w:sz w:val="28"/>
            </w:rPr>
            <w:t>矿</w:t>
          </w:r>
          <w:r>
            <w:rPr>
              <w:b w:val="0"/>
              <w:i w:val="0"/>
              <w:sz w:val="28"/>
            </w:rPr>
            <w:t>区规</w:t>
          </w:r>
          <w:r>
            <w:rPr>
              <w:b w:val="0"/>
              <w:i w:val="0"/>
              <w:spacing w:val="-3"/>
              <w:sz w:val="28"/>
            </w:rPr>
            <w:t>划</w:t>
          </w:r>
          <w:r>
            <w:rPr>
              <w:b w:val="0"/>
              <w:i w:val="0"/>
              <w:sz w:val="28"/>
            </w:rPr>
            <w:t>环评</w:t>
          </w:r>
          <w:r>
            <w:rPr>
              <w:b w:val="0"/>
              <w:i w:val="0"/>
              <w:spacing w:val="-3"/>
              <w:sz w:val="28"/>
            </w:rPr>
            <w:t>协</w:t>
          </w:r>
          <w:r>
            <w:rPr>
              <w:b w:val="0"/>
              <w:i w:val="0"/>
              <w:sz w:val="28"/>
            </w:rPr>
            <w:t>调性</w:t>
          </w:r>
          <w:r>
            <w:rPr>
              <w:b w:val="0"/>
              <w:i w:val="0"/>
              <w:spacing w:val="-3"/>
              <w:sz w:val="28"/>
            </w:rPr>
            <w:t>分</w:t>
          </w:r>
          <w:r>
            <w:rPr>
              <w:b w:val="0"/>
              <w:i w:val="0"/>
              <w:sz w:val="28"/>
            </w:rPr>
            <w:t>析</w:t>
          </w:r>
          <w:r>
            <w:rPr>
              <w:b w:val="0"/>
              <w:i w:val="0"/>
              <w:sz w:val="28"/>
            </w:rPr>
            <w:tab/>
          </w:r>
          <w:r>
            <w:rPr>
              <w:i w:val="0"/>
              <w:spacing w:val="-1"/>
              <w:w w:val="95"/>
              <w:sz w:val="28"/>
            </w:rPr>
            <w:t>错误！未定</w:t>
          </w:r>
          <w:r>
            <w:rPr>
              <w:i w:val="0"/>
              <w:w w:val="95"/>
              <w:sz w:val="28"/>
            </w:rPr>
            <w:t>义书签。</w:t>
          </w:r>
        </w:p>
        <w:p>
          <w:pPr>
            <w:pStyle w:val="11"/>
            <w:numPr>
              <w:ilvl w:val="1"/>
              <w:numId w:val="5"/>
            </w:numPr>
            <w:tabs>
              <w:tab w:val="left" w:pos="560"/>
              <w:tab w:val="left" w:leader="dot" w:pos="5980"/>
            </w:tabs>
            <w:spacing w:before="140" w:after="0" w:line="240" w:lineRule="auto"/>
            <w:ind w:left="1336" w:right="255" w:hanging="1337"/>
            <w:jc w:val="right"/>
            <w:rPr>
              <w:i w:val="0"/>
              <w:sz w:val="28"/>
            </w:rPr>
          </w:pPr>
          <w:r>
            <w:rPr>
              <w:b w:val="0"/>
              <w:i w:val="0"/>
              <w:spacing w:val="-1"/>
              <w:sz w:val="28"/>
            </w:rPr>
            <w:t>与</w:t>
          </w:r>
          <w:r>
            <w:rPr>
              <w:b w:val="0"/>
              <w:i w:val="0"/>
              <w:spacing w:val="-3"/>
              <w:sz w:val="28"/>
            </w:rPr>
            <w:t>黑</w:t>
          </w:r>
          <w:r>
            <w:rPr>
              <w:b w:val="0"/>
              <w:i w:val="0"/>
              <w:spacing w:val="-1"/>
              <w:sz w:val="28"/>
            </w:rPr>
            <w:t>龙江</w:t>
          </w:r>
          <w:r>
            <w:rPr>
              <w:b w:val="0"/>
              <w:i w:val="0"/>
              <w:spacing w:val="-3"/>
              <w:sz w:val="28"/>
            </w:rPr>
            <w:t>省</w:t>
          </w:r>
          <w:r>
            <w:rPr>
              <w:b w:val="0"/>
              <w:i w:val="0"/>
              <w:spacing w:val="-1"/>
              <w:sz w:val="28"/>
            </w:rPr>
            <w:t>主体</w:t>
          </w:r>
          <w:r>
            <w:rPr>
              <w:b w:val="0"/>
              <w:i w:val="0"/>
              <w:spacing w:val="-3"/>
              <w:sz w:val="28"/>
            </w:rPr>
            <w:t>功</w:t>
          </w:r>
          <w:r>
            <w:rPr>
              <w:b w:val="0"/>
              <w:i w:val="0"/>
              <w:spacing w:val="-1"/>
              <w:sz w:val="28"/>
            </w:rPr>
            <w:t>能区</w:t>
          </w:r>
          <w:r>
            <w:rPr>
              <w:b w:val="0"/>
              <w:i w:val="0"/>
              <w:spacing w:val="-3"/>
              <w:sz w:val="28"/>
            </w:rPr>
            <w:t>规</w:t>
          </w:r>
          <w:r>
            <w:rPr>
              <w:b w:val="0"/>
              <w:i w:val="0"/>
              <w:spacing w:val="-1"/>
              <w:sz w:val="28"/>
            </w:rPr>
            <w:t>划的</w:t>
          </w:r>
          <w:r>
            <w:rPr>
              <w:b w:val="0"/>
              <w:i w:val="0"/>
              <w:spacing w:val="-3"/>
              <w:sz w:val="28"/>
            </w:rPr>
            <w:t>协</w:t>
          </w:r>
          <w:r>
            <w:rPr>
              <w:b w:val="0"/>
              <w:i w:val="0"/>
              <w:spacing w:val="-1"/>
              <w:sz w:val="28"/>
            </w:rPr>
            <w:t>调性</w:t>
          </w:r>
          <w:r>
            <w:rPr>
              <w:b w:val="0"/>
              <w:i w:val="0"/>
              <w:spacing w:val="-3"/>
              <w:sz w:val="28"/>
            </w:rPr>
            <w:t>分</w:t>
          </w:r>
          <w:r>
            <w:rPr>
              <w:b w:val="0"/>
              <w:i w:val="0"/>
              <w:sz w:val="28"/>
            </w:rPr>
            <w:t>析</w:t>
          </w:r>
          <w:r>
            <w:rPr>
              <w:b w:val="0"/>
              <w:i w:val="0"/>
              <w:sz w:val="28"/>
            </w:rPr>
            <w:tab/>
          </w:r>
          <w:r>
            <w:rPr>
              <w:i w:val="0"/>
              <w:spacing w:val="-1"/>
              <w:w w:val="95"/>
              <w:sz w:val="28"/>
            </w:rPr>
            <w:t>错误！未定</w:t>
          </w:r>
          <w:r>
            <w:rPr>
              <w:i w:val="0"/>
              <w:w w:val="95"/>
              <w:sz w:val="28"/>
            </w:rPr>
            <w:t>义书签。</w:t>
          </w:r>
        </w:p>
        <w:p>
          <w:pPr>
            <w:pStyle w:val="11"/>
            <w:numPr>
              <w:ilvl w:val="1"/>
              <w:numId w:val="5"/>
            </w:numPr>
            <w:tabs>
              <w:tab w:val="left" w:pos="560"/>
              <w:tab w:val="left" w:leader="dot" w:pos="5980"/>
            </w:tabs>
            <w:spacing w:before="141" w:after="0" w:line="240" w:lineRule="auto"/>
            <w:ind w:left="1336" w:right="255" w:hanging="1337"/>
            <w:jc w:val="right"/>
            <w:rPr>
              <w:i w:val="0"/>
              <w:sz w:val="28"/>
            </w:rPr>
          </w:pPr>
          <w:r>
            <w:rPr>
              <w:rFonts w:ascii="Times New Roman" w:hAnsi="Times New Roman" w:eastAsia="Times New Roman"/>
              <w:b w:val="0"/>
              <w:i w:val="0"/>
              <w:sz w:val="28"/>
            </w:rPr>
            <w:t>“</w:t>
          </w:r>
          <w:r>
            <w:rPr>
              <w:b w:val="0"/>
              <w:i w:val="0"/>
              <w:sz w:val="28"/>
            </w:rPr>
            <w:t>三</w:t>
          </w:r>
          <w:r>
            <w:rPr>
              <w:b w:val="0"/>
              <w:i w:val="0"/>
              <w:spacing w:val="-3"/>
              <w:sz w:val="28"/>
            </w:rPr>
            <w:t>线</w:t>
          </w:r>
          <w:r>
            <w:rPr>
              <w:b w:val="0"/>
              <w:i w:val="0"/>
              <w:sz w:val="28"/>
            </w:rPr>
            <w:t>一单</w:t>
          </w:r>
          <w:r>
            <w:rPr>
              <w:rFonts w:ascii="Times New Roman" w:hAnsi="Times New Roman" w:eastAsia="Times New Roman"/>
              <w:b w:val="0"/>
              <w:i w:val="0"/>
              <w:spacing w:val="-3"/>
              <w:sz w:val="28"/>
            </w:rPr>
            <w:t>”</w:t>
          </w:r>
          <w:r>
            <w:rPr>
              <w:b w:val="0"/>
              <w:i w:val="0"/>
              <w:sz w:val="28"/>
            </w:rPr>
            <w:t>相</w:t>
          </w:r>
          <w:r>
            <w:rPr>
              <w:b w:val="0"/>
              <w:i w:val="0"/>
              <w:spacing w:val="-3"/>
              <w:sz w:val="28"/>
            </w:rPr>
            <w:t>关</w:t>
          </w:r>
          <w:r>
            <w:rPr>
              <w:b w:val="0"/>
              <w:i w:val="0"/>
              <w:sz w:val="28"/>
            </w:rPr>
            <w:t>管控</w:t>
          </w:r>
          <w:r>
            <w:rPr>
              <w:b w:val="0"/>
              <w:i w:val="0"/>
              <w:spacing w:val="-3"/>
              <w:sz w:val="28"/>
            </w:rPr>
            <w:t>要</w:t>
          </w:r>
          <w:r>
            <w:rPr>
              <w:b w:val="0"/>
              <w:i w:val="0"/>
              <w:sz w:val="28"/>
            </w:rPr>
            <w:t>求</w:t>
          </w:r>
          <w:r>
            <w:rPr>
              <w:b w:val="0"/>
              <w:i w:val="0"/>
              <w:sz w:val="28"/>
            </w:rPr>
            <w:tab/>
          </w:r>
          <w:r>
            <w:rPr>
              <w:i w:val="0"/>
              <w:spacing w:val="-1"/>
              <w:w w:val="95"/>
              <w:sz w:val="28"/>
            </w:rPr>
            <w:t>错误！未定</w:t>
          </w:r>
          <w:r>
            <w:rPr>
              <w:i w:val="0"/>
              <w:w w:val="95"/>
              <w:sz w:val="28"/>
            </w:rPr>
            <w:t>义书签。</w:t>
          </w:r>
        </w:p>
        <w:p>
          <w:pPr>
            <w:pStyle w:val="13"/>
            <w:numPr>
              <w:ilvl w:val="0"/>
              <w:numId w:val="6"/>
            </w:numPr>
            <w:tabs>
              <w:tab w:val="left" w:pos="744"/>
              <w:tab w:val="left" w:leader="dot" w:pos="8836"/>
            </w:tabs>
            <w:spacing w:before="24" w:after="0" w:line="240" w:lineRule="auto"/>
            <w:ind w:left="744" w:right="0" w:hanging="526"/>
            <w:jc w:val="left"/>
            <w:rPr>
              <w:rFonts w:ascii="Times New Roman" w:eastAsia="Times New Roman"/>
            </w:rPr>
          </w:pPr>
          <w:r>
            <w:fldChar w:fldCharType="begin"/>
          </w:r>
          <w:r>
            <w:instrText xml:space="preserve"> HYPERLINK \l "_bookmark86" </w:instrText>
          </w:r>
          <w:r>
            <w:fldChar w:fldCharType="separate"/>
          </w:r>
          <w:r>
            <w:t>结论与建议</w:t>
          </w:r>
          <w:r>
            <w:tab/>
          </w:r>
          <w:r>
            <w:rPr>
              <w:rFonts w:ascii="Times New Roman" w:eastAsia="Times New Roman"/>
            </w:rPr>
            <w:t>213</w:t>
          </w:r>
          <w:r>
            <w:rPr>
              <w:rFonts w:ascii="Times New Roman" w:eastAsia="Times New Roman"/>
            </w:rPr>
            <w:fldChar w:fldCharType="end"/>
          </w:r>
        </w:p>
        <w:p>
          <w:pPr>
            <w:pStyle w:val="10"/>
            <w:numPr>
              <w:ilvl w:val="1"/>
              <w:numId w:val="6"/>
            </w:numPr>
            <w:tabs>
              <w:tab w:val="left" w:pos="1409"/>
              <w:tab w:val="left" w:leader="dot" w:pos="8863"/>
            </w:tabs>
            <w:spacing w:before="123" w:after="0" w:line="240" w:lineRule="auto"/>
            <w:ind w:left="1408" w:right="0" w:hanging="632"/>
            <w:jc w:val="left"/>
            <w:rPr>
              <w:rFonts w:ascii="Calibri" w:eastAsia="Calibri"/>
            </w:rPr>
          </w:pPr>
          <w:r>
            <w:fldChar w:fldCharType="begin"/>
          </w:r>
          <w:r>
            <w:instrText xml:space="preserve"> HYPERLINK \l "_bookmark87" </w:instrText>
          </w:r>
          <w:r>
            <w:fldChar w:fldCharType="separate"/>
          </w:r>
          <w:r>
            <w:t>项</w:t>
          </w:r>
          <w:r>
            <w:rPr>
              <w:spacing w:val="-3"/>
            </w:rPr>
            <w:t>目</w:t>
          </w:r>
          <w:r>
            <w:t>概况</w:t>
          </w:r>
          <w:r>
            <w:rPr>
              <w:spacing w:val="-3"/>
            </w:rPr>
            <w:t>及</w:t>
          </w:r>
          <w:r>
            <w:t>主要</w:t>
          </w:r>
          <w:r>
            <w:rPr>
              <w:spacing w:val="-3"/>
            </w:rPr>
            <w:t>建</w:t>
          </w:r>
          <w:r>
            <w:t>设内</w:t>
          </w:r>
          <w:r>
            <w:rPr>
              <w:spacing w:val="-3"/>
            </w:rPr>
            <w:t>容</w:t>
          </w:r>
          <w:r>
            <w:t>结论</w:t>
          </w:r>
          <w:r>
            <w:tab/>
          </w:r>
          <w:r>
            <w:rPr>
              <w:rFonts w:ascii="Calibri" w:eastAsia="Calibri"/>
            </w:rPr>
            <w:t>213</w:t>
          </w:r>
          <w:r>
            <w:rPr>
              <w:rFonts w:ascii="Calibri" w:eastAsia="Calibri"/>
            </w:rPr>
            <w:fldChar w:fldCharType="end"/>
          </w:r>
        </w:p>
        <w:p>
          <w:pPr>
            <w:pStyle w:val="10"/>
            <w:numPr>
              <w:ilvl w:val="1"/>
              <w:numId w:val="6"/>
            </w:numPr>
            <w:tabs>
              <w:tab w:val="left" w:pos="1409"/>
              <w:tab w:val="left" w:leader="dot" w:pos="8863"/>
            </w:tabs>
            <w:spacing w:before="141" w:after="0" w:line="240" w:lineRule="auto"/>
            <w:ind w:left="1408" w:right="0" w:hanging="632"/>
            <w:jc w:val="left"/>
            <w:rPr>
              <w:rFonts w:ascii="Calibri" w:eastAsia="Calibri"/>
            </w:rPr>
          </w:pPr>
          <w:r>
            <w:fldChar w:fldCharType="begin"/>
          </w:r>
          <w:r>
            <w:instrText xml:space="preserve"> HYPERLINK \l "_bookmark88" </w:instrText>
          </w:r>
          <w:r>
            <w:fldChar w:fldCharType="separate"/>
          </w:r>
          <w:r>
            <w:t>环</w:t>
          </w:r>
          <w:r>
            <w:rPr>
              <w:spacing w:val="-3"/>
            </w:rPr>
            <w:t>境</w:t>
          </w:r>
          <w:r>
            <w:t>质量</w:t>
          </w:r>
          <w:r>
            <w:rPr>
              <w:spacing w:val="-3"/>
            </w:rPr>
            <w:t>现</w:t>
          </w:r>
          <w:r>
            <w:t>状</w:t>
          </w:r>
          <w:r>
            <w:tab/>
          </w:r>
          <w:r>
            <w:rPr>
              <w:rFonts w:ascii="Calibri" w:eastAsia="Calibri"/>
            </w:rPr>
            <w:t>214</w:t>
          </w:r>
          <w:r>
            <w:rPr>
              <w:rFonts w:ascii="Calibri" w:eastAsia="Calibri"/>
            </w:rPr>
            <w:fldChar w:fldCharType="end"/>
          </w:r>
        </w:p>
        <w:p>
          <w:pPr>
            <w:pStyle w:val="10"/>
            <w:numPr>
              <w:ilvl w:val="1"/>
              <w:numId w:val="6"/>
            </w:numPr>
            <w:tabs>
              <w:tab w:val="left" w:pos="1409"/>
              <w:tab w:val="left" w:leader="dot" w:pos="8863"/>
            </w:tabs>
            <w:spacing w:before="140" w:after="0" w:line="240" w:lineRule="auto"/>
            <w:ind w:left="1408" w:right="0" w:hanging="632"/>
            <w:jc w:val="left"/>
            <w:rPr>
              <w:rFonts w:ascii="Calibri" w:eastAsia="Calibri"/>
            </w:rPr>
          </w:pPr>
          <w:r>
            <w:fldChar w:fldCharType="begin"/>
          </w:r>
          <w:r>
            <w:instrText xml:space="preserve"> HYPERLINK \l "_bookmark89" </w:instrText>
          </w:r>
          <w:r>
            <w:fldChar w:fldCharType="separate"/>
          </w:r>
          <w:r>
            <w:t>环</w:t>
          </w:r>
          <w:r>
            <w:rPr>
              <w:spacing w:val="-3"/>
            </w:rPr>
            <w:t>境</w:t>
          </w:r>
          <w:r>
            <w:t>保护</w:t>
          </w:r>
          <w:r>
            <w:rPr>
              <w:spacing w:val="-3"/>
            </w:rPr>
            <w:t>措</w:t>
          </w:r>
          <w:r>
            <w:t>施</w:t>
          </w:r>
          <w:r>
            <w:tab/>
          </w:r>
          <w:r>
            <w:rPr>
              <w:rFonts w:ascii="Calibri" w:eastAsia="Calibri"/>
            </w:rPr>
            <w:t>215</w:t>
          </w:r>
          <w:r>
            <w:rPr>
              <w:rFonts w:ascii="Calibri" w:eastAsia="Calibri"/>
            </w:rPr>
            <w:fldChar w:fldCharType="end"/>
          </w:r>
        </w:p>
        <w:p>
          <w:pPr>
            <w:pStyle w:val="10"/>
            <w:numPr>
              <w:ilvl w:val="1"/>
              <w:numId w:val="6"/>
            </w:numPr>
            <w:tabs>
              <w:tab w:val="left" w:pos="1409"/>
              <w:tab w:val="left" w:leader="dot" w:pos="8863"/>
            </w:tabs>
            <w:spacing w:before="143" w:after="0" w:line="240" w:lineRule="auto"/>
            <w:ind w:left="1408" w:right="0" w:hanging="632"/>
            <w:jc w:val="left"/>
            <w:rPr>
              <w:rFonts w:ascii="Calibri" w:eastAsia="Calibri"/>
            </w:rPr>
          </w:pPr>
          <w:r>
            <w:fldChar w:fldCharType="begin"/>
          </w:r>
          <w:r>
            <w:instrText xml:space="preserve"> HYPERLINK \l "_bookmark90" </w:instrText>
          </w:r>
          <w:r>
            <w:fldChar w:fldCharType="separate"/>
          </w:r>
          <w:r>
            <w:t>主</w:t>
          </w:r>
          <w:r>
            <w:rPr>
              <w:spacing w:val="-3"/>
            </w:rPr>
            <w:t>要</w:t>
          </w:r>
          <w:r>
            <w:t>环境</w:t>
          </w:r>
          <w:r>
            <w:rPr>
              <w:spacing w:val="-3"/>
            </w:rPr>
            <w:t>影</w:t>
          </w:r>
          <w:r>
            <w:t>响</w:t>
          </w:r>
          <w:r>
            <w:tab/>
          </w:r>
          <w:r>
            <w:rPr>
              <w:rFonts w:ascii="Calibri" w:eastAsia="Calibri"/>
            </w:rPr>
            <w:t>217</w:t>
          </w:r>
          <w:r>
            <w:rPr>
              <w:rFonts w:ascii="Calibri" w:eastAsia="Calibri"/>
            </w:rPr>
            <w:fldChar w:fldCharType="end"/>
          </w:r>
        </w:p>
        <w:p>
          <w:pPr>
            <w:pStyle w:val="10"/>
            <w:numPr>
              <w:ilvl w:val="1"/>
              <w:numId w:val="6"/>
            </w:numPr>
            <w:tabs>
              <w:tab w:val="left" w:pos="1409"/>
              <w:tab w:val="left" w:leader="dot" w:pos="8863"/>
            </w:tabs>
            <w:spacing w:before="140" w:after="0" w:line="240" w:lineRule="auto"/>
            <w:ind w:left="1408" w:right="0" w:hanging="632"/>
            <w:jc w:val="left"/>
            <w:rPr>
              <w:rFonts w:ascii="Calibri" w:eastAsia="Calibri"/>
            </w:rPr>
          </w:pPr>
          <w:r>
            <w:fldChar w:fldCharType="begin"/>
          </w:r>
          <w:r>
            <w:instrText xml:space="preserve"> HYPERLINK \l "_bookmark91" </w:instrText>
          </w:r>
          <w:r>
            <w:fldChar w:fldCharType="separate"/>
          </w:r>
          <w:r>
            <w:t>污</w:t>
          </w:r>
          <w:r>
            <w:rPr>
              <w:spacing w:val="-3"/>
            </w:rPr>
            <w:t>染</w:t>
          </w:r>
          <w:r>
            <w:t>物排</w:t>
          </w:r>
          <w:r>
            <w:rPr>
              <w:spacing w:val="-3"/>
            </w:rPr>
            <w:t>放</w:t>
          </w:r>
          <w:r>
            <w:t>情况</w:t>
          </w:r>
          <w:r>
            <w:tab/>
          </w:r>
          <w:r>
            <w:rPr>
              <w:rFonts w:ascii="Calibri" w:eastAsia="Calibri"/>
            </w:rPr>
            <w:t>218</w:t>
          </w:r>
          <w:r>
            <w:rPr>
              <w:rFonts w:ascii="Calibri" w:eastAsia="Calibri"/>
            </w:rPr>
            <w:fldChar w:fldCharType="end"/>
          </w:r>
        </w:p>
        <w:p>
          <w:pPr>
            <w:pStyle w:val="10"/>
            <w:numPr>
              <w:ilvl w:val="1"/>
              <w:numId w:val="6"/>
            </w:numPr>
            <w:tabs>
              <w:tab w:val="left" w:pos="1409"/>
              <w:tab w:val="left" w:leader="dot" w:pos="8863"/>
            </w:tabs>
            <w:spacing w:before="141" w:after="0" w:line="240" w:lineRule="auto"/>
            <w:ind w:left="1408" w:right="0" w:hanging="632"/>
            <w:jc w:val="left"/>
            <w:rPr>
              <w:rFonts w:ascii="Calibri" w:eastAsia="Calibri"/>
            </w:rPr>
          </w:pPr>
          <w:r>
            <w:fldChar w:fldCharType="begin"/>
          </w:r>
          <w:r>
            <w:instrText xml:space="preserve"> HYPERLINK \l "_bookmark92" </w:instrText>
          </w:r>
          <w:r>
            <w:fldChar w:fldCharType="separate"/>
          </w:r>
          <w:r>
            <w:t>公</w:t>
          </w:r>
          <w:r>
            <w:rPr>
              <w:spacing w:val="-3"/>
            </w:rPr>
            <w:t>众</w:t>
          </w:r>
          <w:r>
            <w:t>意见</w:t>
          </w:r>
          <w:r>
            <w:rPr>
              <w:spacing w:val="-3"/>
            </w:rPr>
            <w:t>采</w:t>
          </w:r>
          <w:r>
            <w:t>纳情况</w:t>
          </w:r>
          <w:r>
            <w:tab/>
          </w:r>
          <w:r>
            <w:rPr>
              <w:rFonts w:ascii="Calibri" w:eastAsia="Calibri"/>
            </w:rPr>
            <w:t>218</w:t>
          </w:r>
          <w:r>
            <w:rPr>
              <w:rFonts w:ascii="Calibri" w:eastAsia="Calibri"/>
            </w:rPr>
            <w:fldChar w:fldCharType="end"/>
          </w:r>
        </w:p>
        <w:p>
          <w:pPr>
            <w:pStyle w:val="10"/>
            <w:numPr>
              <w:ilvl w:val="1"/>
              <w:numId w:val="6"/>
            </w:numPr>
            <w:tabs>
              <w:tab w:val="left" w:pos="1409"/>
              <w:tab w:val="left" w:leader="dot" w:pos="8863"/>
            </w:tabs>
            <w:spacing w:before="143" w:after="0" w:line="240" w:lineRule="auto"/>
            <w:ind w:left="1408" w:right="0" w:hanging="632"/>
            <w:jc w:val="left"/>
            <w:rPr>
              <w:rFonts w:ascii="Calibri" w:eastAsia="Calibri"/>
            </w:rPr>
          </w:pPr>
          <w:r>
            <w:fldChar w:fldCharType="begin"/>
          </w:r>
          <w:r>
            <w:instrText xml:space="preserve"> HYPERLINK \l "_bookmark93" </w:instrText>
          </w:r>
          <w:r>
            <w:fldChar w:fldCharType="separate"/>
          </w:r>
          <w:r>
            <w:t>综</w:t>
          </w:r>
          <w:r>
            <w:rPr>
              <w:spacing w:val="-3"/>
            </w:rPr>
            <w:t>合</w:t>
          </w:r>
          <w:r>
            <w:t>评价</w:t>
          </w:r>
          <w:r>
            <w:rPr>
              <w:spacing w:val="-3"/>
            </w:rPr>
            <w:t>结</w:t>
          </w:r>
          <w:r>
            <w:t>论</w:t>
          </w:r>
          <w:r>
            <w:tab/>
          </w:r>
          <w:r>
            <w:rPr>
              <w:rFonts w:ascii="Calibri" w:eastAsia="Calibri"/>
            </w:rPr>
            <w:t>218</w:t>
          </w:r>
          <w:r>
            <w:rPr>
              <w:rFonts w:ascii="Calibri" w:eastAsia="Calibri"/>
            </w:rPr>
            <w:fldChar w:fldCharType="end"/>
          </w:r>
        </w:p>
      </w:sdtContent>
    </w:sdt>
    <w:p>
      <w:pPr>
        <w:spacing w:after="0" w:line="240" w:lineRule="auto"/>
        <w:jc w:val="left"/>
        <w:rPr>
          <w:rFonts w:ascii="Calibri" w:eastAsia="Calibri"/>
        </w:rPr>
        <w:sectPr>
          <w:type w:val="continuous"/>
          <w:pgSz w:w="11910" w:h="16840"/>
          <w:pgMar w:top="1379" w:right="1160" w:bottom="1474" w:left="1200" w:header="720" w:footer="720" w:gutter="0"/>
        </w:sectPr>
      </w:pPr>
    </w:p>
    <w:p>
      <w:pPr>
        <w:pStyle w:val="9"/>
        <w:spacing w:before="4"/>
        <w:rPr>
          <w:rFonts w:ascii="Calibri"/>
          <w:sz w:val="34"/>
        </w:rPr>
      </w:pPr>
    </w:p>
    <w:p>
      <w:pPr>
        <w:spacing w:before="0"/>
        <w:ind w:left="218" w:right="0" w:firstLine="0"/>
        <w:jc w:val="left"/>
        <w:rPr>
          <w:b/>
          <w:sz w:val="21"/>
        </w:rPr>
      </w:pPr>
      <w:r>
        <w:rPr>
          <w:b/>
          <w:sz w:val="21"/>
        </w:rPr>
        <w:t>附表</w:t>
      </w:r>
    </w:p>
    <w:p>
      <w:pPr>
        <w:pStyle w:val="9"/>
        <w:spacing w:before="10"/>
        <w:rPr>
          <w:b/>
          <w:sz w:val="14"/>
        </w:rPr>
      </w:pPr>
    </w:p>
    <w:p>
      <w:pPr>
        <w:spacing w:before="0"/>
        <w:ind w:left="218" w:right="0" w:firstLine="0"/>
        <w:jc w:val="left"/>
        <w:rPr>
          <w:sz w:val="21"/>
        </w:rPr>
      </w:pPr>
      <w:r>
        <w:rPr>
          <w:sz w:val="21"/>
        </w:rPr>
        <w:t xml:space="preserve">附表 </w:t>
      </w:r>
      <w:r>
        <w:rPr>
          <w:rFonts w:ascii="Times New Roman" w:eastAsia="Times New Roman"/>
          <w:sz w:val="21"/>
        </w:rPr>
        <w:t>1</w:t>
      </w:r>
      <w:r>
        <w:rPr>
          <w:sz w:val="21"/>
        </w:rPr>
        <w:t>：建设项目环评审批基础信息表</w:t>
      </w:r>
    </w:p>
    <w:p>
      <w:pPr>
        <w:spacing w:before="192" w:line="410" w:lineRule="auto"/>
        <w:ind w:left="218" w:right="5180" w:firstLine="0"/>
        <w:jc w:val="left"/>
        <w:rPr>
          <w:sz w:val="21"/>
        </w:rPr>
      </w:pPr>
      <w:r>
        <w:rPr>
          <w:spacing w:val="-16"/>
          <w:sz w:val="21"/>
        </w:rPr>
        <w:t xml:space="preserve">附表 </w:t>
      </w:r>
      <w:r>
        <w:rPr>
          <w:rFonts w:ascii="Times New Roman" w:eastAsia="Times New Roman"/>
          <w:sz w:val="21"/>
        </w:rPr>
        <w:t>2</w:t>
      </w:r>
      <w:r>
        <w:rPr>
          <w:sz w:val="21"/>
        </w:rPr>
        <w:t xml:space="preserve">：建设项目大气环境影响评价自查表 </w:t>
      </w:r>
      <w:r>
        <w:rPr>
          <w:spacing w:val="-21"/>
          <w:sz w:val="21"/>
        </w:rPr>
        <w:t xml:space="preserve">附表 </w:t>
      </w:r>
      <w:r>
        <w:rPr>
          <w:rFonts w:ascii="Times New Roman" w:eastAsia="Times New Roman"/>
          <w:sz w:val="21"/>
        </w:rPr>
        <w:t>3</w:t>
      </w:r>
      <w:r>
        <w:rPr>
          <w:sz w:val="21"/>
        </w:rPr>
        <w:t>：建设项目地表水环境影响评价自查表</w:t>
      </w:r>
      <w:r>
        <w:rPr>
          <w:spacing w:val="-18"/>
          <w:sz w:val="21"/>
        </w:rPr>
        <w:t xml:space="preserve">附表 </w:t>
      </w:r>
      <w:r>
        <w:rPr>
          <w:rFonts w:ascii="Times New Roman" w:eastAsia="Times New Roman"/>
          <w:sz w:val="21"/>
        </w:rPr>
        <w:t>4</w:t>
      </w:r>
      <w:r>
        <w:rPr>
          <w:sz w:val="21"/>
        </w:rPr>
        <w:t>：环境风险评价自查表</w:t>
      </w:r>
    </w:p>
    <w:p>
      <w:pPr>
        <w:spacing w:before="0" w:line="269" w:lineRule="exact"/>
        <w:ind w:left="218" w:right="0" w:firstLine="0"/>
        <w:jc w:val="left"/>
        <w:rPr>
          <w:sz w:val="21"/>
        </w:rPr>
      </w:pPr>
      <w:r>
        <w:rPr>
          <w:sz w:val="21"/>
        </w:rPr>
        <w:t xml:space="preserve">附表 </w:t>
      </w:r>
      <w:r>
        <w:rPr>
          <w:rFonts w:ascii="Times New Roman" w:eastAsia="Times New Roman"/>
          <w:sz w:val="21"/>
        </w:rPr>
        <w:t>5</w:t>
      </w:r>
      <w:r>
        <w:rPr>
          <w:sz w:val="21"/>
        </w:rPr>
        <w:t>：土壤环境影响评价自查表</w:t>
      </w:r>
    </w:p>
    <w:p>
      <w:pPr>
        <w:spacing w:after="0" w:line="269" w:lineRule="exact"/>
        <w:jc w:val="left"/>
        <w:rPr>
          <w:sz w:val="21"/>
        </w:rPr>
        <w:sectPr>
          <w:type w:val="continuous"/>
          <w:pgSz w:w="11910" w:h="16840"/>
          <w:pgMar w:top="1460" w:right="1160" w:bottom="280" w:left="1200" w:header="720" w:footer="720" w:gutter="0"/>
        </w:sectPr>
      </w:pPr>
    </w:p>
    <w:p>
      <w:pPr>
        <w:spacing w:before="58"/>
        <w:ind w:left="218" w:right="0" w:firstLine="0"/>
        <w:jc w:val="left"/>
        <w:rPr>
          <w:b/>
          <w:sz w:val="21"/>
        </w:rPr>
      </w:pPr>
      <w:r>
        <w:rPr>
          <w:b/>
          <w:sz w:val="21"/>
        </w:rPr>
        <w:t>附件</w:t>
      </w:r>
    </w:p>
    <w:p>
      <w:pPr>
        <w:pStyle w:val="9"/>
        <w:spacing w:before="10"/>
        <w:rPr>
          <w:b/>
          <w:sz w:val="14"/>
        </w:rPr>
      </w:pPr>
    </w:p>
    <w:p>
      <w:pPr>
        <w:spacing w:before="0" w:line="271" w:lineRule="auto"/>
        <w:ind w:left="218" w:right="7425" w:firstLine="0"/>
        <w:jc w:val="left"/>
        <w:rPr>
          <w:sz w:val="21"/>
        </w:rPr>
      </w:pPr>
      <w:r>
        <w:rPr>
          <w:sz w:val="21"/>
        </w:rPr>
        <w:t xml:space="preserve">附件 </w:t>
      </w:r>
      <w:r>
        <w:rPr>
          <w:rFonts w:ascii="Times New Roman" w:eastAsia="Times New Roman"/>
          <w:sz w:val="21"/>
        </w:rPr>
        <w:t>1</w:t>
      </w:r>
      <w:r>
        <w:rPr>
          <w:sz w:val="21"/>
        </w:rPr>
        <w:t xml:space="preserve">：营业执照附件 </w:t>
      </w:r>
      <w:r>
        <w:rPr>
          <w:rFonts w:ascii="Times New Roman" w:eastAsia="Times New Roman"/>
          <w:sz w:val="21"/>
        </w:rPr>
        <w:t>2</w:t>
      </w:r>
      <w:r>
        <w:rPr>
          <w:sz w:val="21"/>
        </w:rPr>
        <w:t>：采矿许可证</w:t>
      </w:r>
    </w:p>
    <w:p>
      <w:pPr>
        <w:spacing w:before="124" w:line="410" w:lineRule="auto"/>
        <w:ind w:left="218" w:right="152" w:firstLine="0"/>
        <w:jc w:val="left"/>
        <w:rPr>
          <w:sz w:val="21"/>
        </w:rPr>
      </w:pPr>
      <w:r>
        <w:rPr>
          <w:spacing w:val="-20"/>
          <w:sz w:val="21"/>
        </w:rPr>
        <w:t xml:space="preserve">附件 </w:t>
      </w:r>
      <w:r>
        <w:rPr>
          <w:rFonts w:ascii="Times New Roman" w:eastAsia="Times New Roman"/>
          <w:spacing w:val="-24"/>
          <w:sz w:val="21"/>
        </w:rPr>
        <w:t>3</w:t>
      </w:r>
      <w:r>
        <w:rPr>
          <w:spacing w:val="-13"/>
          <w:sz w:val="21"/>
        </w:rPr>
        <w:t xml:space="preserve">：《关于全省 </w:t>
      </w:r>
      <w:r>
        <w:rPr>
          <w:rFonts w:ascii="Times New Roman" w:eastAsia="Times New Roman"/>
          <w:sz w:val="21"/>
        </w:rPr>
        <w:t xml:space="preserve">167 </w:t>
      </w:r>
      <w:r>
        <w:rPr>
          <w:spacing w:val="-3"/>
          <w:sz w:val="21"/>
        </w:rPr>
        <w:t>处煤矿进入规划升级改造核准程序名单的批复》</w:t>
      </w:r>
      <w:r>
        <w:rPr>
          <w:sz w:val="21"/>
        </w:rPr>
        <w:t>（黑煤整治办发</w:t>
      </w:r>
      <w:r>
        <w:rPr>
          <w:rFonts w:ascii="Times New Roman" w:eastAsia="Times New Roman"/>
          <w:sz w:val="21"/>
        </w:rPr>
        <w:t xml:space="preserve">[2020]7 </w:t>
      </w:r>
      <w:r>
        <w:rPr>
          <w:sz w:val="21"/>
        </w:rPr>
        <w:t xml:space="preserve">号） </w:t>
      </w:r>
      <w:r>
        <w:rPr>
          <w:spacing w:val="-16"/>
          <w:sz w:val="21"/>
        </w:rPr>
        <w:t xml:space="preserve">附件 </w:t>
      </w:r>
      <w:r>
        <w:rPr>
          <w:rFonts w:ascii="Times New Roman" w:eastAsia="Times New Roman"/>
          <w:sz w:val="21"/>
        </w:rPr>
        <w:t>4</w:t>
      </w:r>
      <w:r>
        <w:rPr>
          <w:spacing w:val="-3"/>
          <w:sz w:val="21"/>
        </w:rPr>
        <w:t xml:space="preserve">：《关于进一步加大关闭淘汰力度严格办理全省 </w:t>
      </w:r>
      <w:r>
        <w:rPr>
          <w:rFonts w:ascii="Times New Roman" w:eastAsia="Times New Roman"/>
          <w:sz w:val="21"/>
        </w:rPr>
        <w:t xml:space="preserve">167 </w:t>
      </w:r>
      <w:r>
        <w:rPr>
          <w:sz w:val="21"/>
        </w:rPr>
        <w:t>处进入规划升级改造核准程序煤矿审批手续的通知》（黑煤整治办法</w:t>
      </w:r>
      <w:r>
        <w:rPr>
          <w:rFonts w:ascii="Times New Roman" w:eastAsia="Times New Roman"/>
          <w:sz w:val="21"/>
        </w:rPr>
        <w:t xml:space="preserve">[2020]8 </w:t>
      </w:r>
      <w:r>
        <w:rPr>
          <w:sz w:val="21"/>
        </w:rPr>
        <w:t>号）</w:t>
      </w:r>
    </w:p>
    <w:p>
      <w:pPr>
        <w:spacing w:before="0" w:line="410" w:lineRule="auto"/>
        <w:ind w:left="218" w:right="771" w:firstLine="0"/>
        <w:jc w:val="left"/>
        <w:rPr>
          <w:sz w:val="21"/>
        </w:rPr>
      </w:pPr>
      <w:r>
        <w:rPr>
          <w:spacing w:val="-20"/>
          <w:sz w:val="21"/>
        </w:rPr>
        <w:t xml:space="preserve">附件 </w:t>
      </w:r>
      <w:r>
        <w:rPr>
          <w:rFonts w:ascii="Times New Roman" w:eastAsia="Times New Roman"/>
          <w:sz w:val="21"/>
        </w:rPr>
        <w:t>5</w:t>
      </w:r>
      <w:r>
        <w:rPr>
          <w:spacing w:val="-3"/>
          <w:sz w:val="21"/>
        </w:rPr>
        <w:t xml:space="preserve">：关于双鸭山双兴时代矿业有限责任公司一井等 </w:t>
      </w:r>
      <w:r>
        <w:rPr>
          <w:rFonts w:ascii="Times New Roman" w:eastAsia="Times New Roman"/>
          <w:sz w:val="21"/>
        </w:rPr>
        <w:t xml:space="preserve">2 </w:t>
      </w:r>
      <w:r>
        <w:rPr>
          <w:sz w:val="21"/>
        </w:rPr>
        <w:t>处升级改造项目名称变更情况的说明</w:t>
      </w:r>
      <w:r>
        <w:rPr>
          <w:spacing w:val="-18"/>
          <w:sz w:val="21"/>
        </w:rPr>
        <w:t xml:space="preserve">附件 </w:t>
      </w:r>
      <w:r>
        <w:rPr>
          <w:rFonts w:ascii="Times New Roman" w:eastAsia="Times New Roman"/>
          <w:sz w:val="21"/>
        </w:rPr>
        <w:t>6</w:t>
      </w:r>
      <w:r>
        <w:rPr>
          <w:sz w:val="21"/>
        </w:rPr>
        <w:t>：划定矿区范围批复（双自然</w:t>
      </w:r>
      <w:r>
        <w:rPr>
          <w:rFonts w:ascii="Times New Roman" w:eastAsia="Times New Roman"/>
          <w:sz w:val="21"/>
        </w:rPr>
        <w:t xml:space="preserve">[2020]005 </w:t>
      </w:r>
      <w:r>
        <w:rPr>
          <w:sz w:val="21"/>
        </w:rPr>
        <w:t>号）</w:t>
      </w:r>
    </w:p>
    <w:p>
      <w:pPr>
        <w:spacing w:before="1"/>
        <w:ind w:left="218" w:right="0" w:firstLine="0"/>
        <w:jc w:val="left"/>
        <w:rPr>
          <w:rFonts w:ascii="Times New Roman" w:eastAsia="Times New Roman"/>
          <w:sz w:val="21"/>
        </w:rPr>
      </w:pPr>
      <w:r>
        <w:rPr>
          <w:sz w:val="21"/>
        </w:rPr>
        <w:t xml:space="preserve">附件 </w:t>
      </w:r>
      <w:r>
        <w:rPr>
          <w:rFonts w:ascii="Times New Roman" w:eastAsia="Times New Roman"/>
          <w:sz w:val="21"/>
        </w:rPr>
        <w:t>7</w:t>
      </w:r>
      <w:r>
        <w:rPr>
          <w:sz w:val="21"/>
        </w:rPr>
        <w:t>：关于《双鸭山市煤炭淘汰落后产能升级改造专项规划环境影响报告书》（双环函</w:t>
      </w:r>
      <w:r>
        <w:rPr>
          <w:rFonts w:ascii="Times New Roman" w:eastAsia="Times New Roman"/>
          <w:sz w:val="21"/>
        </w:rPr>
        <w:t>[2020]63</w:t>
      </w:r>
    </w:p>
    <w:p>
      <w:pPr>
        <w:spacing w:before="190"/>
        <w:ind w:left="218" w:right="0" w:firstLine="0"/>
        <w:jc w:val="left"/>
        <w:rPr>
          <w:sz w:val="21"/>
        </w:rPr>
      </w:pPr>
      <w:r>
        <w:rPr>
          <w:sz w:val="21"/>
        </w:rPr>
        <w:t>号）</w:t>
      </w:r>
    </w:p>
    <w:p>
      <w:pPr>
        <w:pStyle w:val="9"/>
        <w:spacing w:before="12"/>
        <w:rPr>
          <w:sz w:val="14"/>
        </w:rPr>
      </w:pPr>
    </w:p>
    <w:p>
      <w:pPr>
        <w:spacing w:before="0" w:line="410" w:lineRule="auto"/>
        <w:ind w:left="218" w:right="1979" w:firstLine="0"/>
        <w:jc w:val="left"/>
        <w:rPr>
          <w:sz w:val="21"/>
        </w:rPr>
      </w:pPr>
      <w:r>
        <w:rPr>
          <w:spacing w:val="-20"/>
          <w:sz w:val="21"/>
        </w:rPr>
        <w:t xml:space="preserve">附件 </w:t>
      </w:r>
      <w:r>
        <w:rPr>
          <w:rFonts w:ascii="Times New Roman" w:eastAsia="Times New Roman"/>
          <w:sz w:val="21"/>
        </w:rPr>
        <w:t>8</w:t>
      </w:r>
      <w:r>
        <w:rPr>
          <w:sz w:val="21"/>
        </w:rPr>
        <w:t>：黑煤生产发</w:t>
      </w:r>
      <w:r>
        <w:rPr>
          <w:rFonts w:ascii="Times New Roman" w:eastAsia="Times New Roman"/>
          <w:sz w:val="21"/>
        </w:rPr>
        <w:t xml:space="preserve">[2019]6 </w:t>
      </w:r>
      <w:r>
        <w:rPr>
          <w:sz w:val="21"/>
        </w:rPr>
        <w:t>号</w:t>
      </w:r>
      <w:r>
        <w:rPr>
          <w:rFonts w:ascii="Times New Roman" w:eastAsia="Times New Roman"/>
          <w:sz w:val="21"/>
        </w:rPr>
        <w:t>-</w:t>
      </w:r>
      <w:r>
        <w:rPr>
          <w:spacing w:val="-11"/>
          <w:sz w:val="21"/>
        </w:rPr>
        <w:t xml:space="preserve">关于印发 </w:t>
      </w:r>
      <w:r>
        <w:rPr>
          <w:rFonts w:ascii="Times New Roman" w:eastAsia="Times New Roman"/>
          <w:sz w:val="21"/>
        </w:rPr>
        <w:t xml:space="preserve">2018 </w:t>
      </w:r>
      <w:r>
        <w:rPr>
          <w:sz w:val="21"/>
        </w:rPr>
        <w:t>年度矿井瓦斯等级鉴定结果的通知</w:t>
      </w:r>
      <w:r>
        <w:rPr>
          <w:spacing w:val="-18"/>
          <w:sz w:val="21"/>
        </w:rPr>
        <w:t xml:space="preserve">附件 </w:t>
      </w:r>
      <w:r>
        <w:rPr>
          <w:rFonts w:ascii="Times New Roman" w:eastAsia="Times New Roman"/>
          <w:sz w:val="21"/>
        </w:rPr>
        <w:t>9</w:t>
      </w:r>
      <w:r>
        <w:rPr>
          <w:sz w:val="21"/>
        </w:rPr>
        <w:t>：煤层自燃倾向性及煤尘爆炸性检测报告</w:t>
      </w:r>
    </w:p>
    <w:p>
      <w:pPr>
        <w:spacing w:before="0" w:line="410" w:lineRule="auto"/>
        <w:ind w:left="218" w:right="256" w:firstLine="0"/>
        <w:jc w:val="left"/>
        <w:rPr>
          <w:sz w:val="21"/>
        </w:rPr>
      </w:pPr>
      <w:r>
        <w:rPr>
          <w:sz w:val="21"/>
        </w:rPr>
        <w:t xml:space="preserve">附件 </w:t>
      </w:r>
      <w:r>
        <w:rPr>
          <w:rFonts w:ascii="Times New Roman" w:eastAsia="Times New Roman"/>
          <w:sz w:val="21"/>
        </w:rPr>
        <w:t>10</w:t>
      </w:r>
      <w:r>
        <w:rPr>
          <w:sz w:val="21"/>
        </w:rPr>
        <w:t>：黑龙江省自然资源厅 黑龙江省林业和草原局联合呈报黑龙江省生态保护红线评估调整和自然保护地整合优化阶段性成果报告</w:t>
      </w:r>
    </w:p>
    <w:p>
      <w:pPr>
        <w:spacing w:before="0"/>
        <w:ind w:left="218" w:right="0" w:firstLine="0"/>
        <w:jc w:val="left"/>
        <w:rPr>
          <w:b/>
          <w:sz w:val="21"/>
        </w:rPr>
      </w:pPr>
      <w:r>
        <w:rPr>
          <w:b/>
          <w:sz w:val="21"/>
        </w:rPr>
        <w:t>附图</w:t>
      </w:r>
    </w:p>
    <w:p>
      <w:pPr>
        <w:pStyle w:val="9"/>
        <w:spacing w:before="10"/>
        <w:rPr>
          <w:b/>
          <w:sz w:val="14"/>
        </w:rPr>
      </w:pPr>
    </w:p>
    <w:p>
      <w:pPr>
        <w:spacing w:before="0"/>
        <w:ind w:left="218" w:right="0" w:firstLine="0"/>
        <w:jc w:val="left"/>
        <w:rPr>
          <w:sz w:val="21"/>
        </w:rPr>
      </w:pPr>
      <w:r>
        <w:rPr>
          <w:sz w:val="21"/>
        </w:rPr>
        <w:t xml:space="preserve">附图 </w:t>
      </w:r>
      <w:r>
        <w:rPr>
          <w:rFonts w:ascii="Times New Roman" w:eastAsia="Times New Roman"/>
          <w:sz w:val="21"/>
        </w:rPr>
        <w:t>1</w:t>
      </w:r>
      <w:r>
        <w:rPr>
          <w:sz w:val="21"/>
        </w:rPr>
        <w:t>：地理位置图</w:t>
      </w:r>
    </w:p>
    <w:p>
      <w:pPr>
        <w:spacing w:before="192" w:line="410" w:lineRule="auto"/>
        <w:ind w:left="218" w:right="3225" w:firstLine="0"/>
        <w:jc w:val="left"/>
        <w:rPr>
          <w:sz w:val="21"/>
        </w:rPr>
      </w:pPr>
      <w:r>
        <w:rPr>
          <w:sz w:val="21"/>
        </w:rPr>
        <w:t xml:space="preserve">附图 </w:t>
      </w:r>
      <w:r>
        <w:rPr>
          <w:rFonts w:ascii="Times New Roman" w:eastAsia="Times New Roman"/>
          <w:sz w:val="21"/>
        </w:rPr>
        <w:t>2</w:t>
      </w:r>
      <w:r>
        <w:rPr>
          <w:sz w:val="21"/>
        </w:rPr>
        <w:t xml:space="preserve">：项目大气、土壤、生态、地下水评价范围及敏感点分布图附图 </w:t>
      </w:r>
      <w:r>
        <w:rPr>
          <w:rFonts w:ascii="Times New Roman" w:eastAsia="Times New Roman"/>
          <w:sz w:val="21"/>
        </w:rPr>
        <w:t>3</w:t>
      </w:r>
      <w:r>
        <w:rPr>
          <w:sz w:val="21"/>
        </w:rPr>
        <w:t>：主井工业广场平面布置图</w:t>
      </w:r>
    </w:p>
    <w:p>
      <w:pPr>
        <w:spacing w:before="0" w:line="410" w:lineRule="auto"/>
        <w:ind w:left="218" w:right="6229" w:firstLine="0"/>
        <w:jc w:val="left"/>
        <w:rPr>
          <w:sz w:val="21"/>
        </w:rPr>
      </w:pPr>
      <w:r>
        <w:rPr>
          <w:spacing w:val="-20"/>
          <w:sz w:val="21"/>
        </w:rPr>
        <w:t xml:space="preserve">附图 </w:t>
      </w:r>
      <w:r>
        <w:rPr>
          <w:rFonts w:ascii="Times New Roman" w:eastAsia="Times New Roman"/>
          <w:sz w:val="21"/>
        </w:rPr>
        <w:t>4</w:t>
      </w:r>
      <w:r>
        <w:rPr>
          <w:spacing w:val="-1"/>
          <w:sz w:val="21"/>
        </w:rPr>
        <w:t>：副井工业广场平面布置图</w:t>
      </w:r>
      <w:r>
        <w:rPr>
          <w:spacing w:val="-18"/>
          <w:sz w:val="21"/>
        </w:rPr>
        <w:t xml:space="preserve">附图 </w:t>
      </w:r>
      <w:r>
        <w:rPr>
          <w:rFonts w:ascii="Times New Roman" w:eastAsia="Times New Roman"/>
          <w:sz w:val="21"/>
        </w:rPr>
        <w:t>5</w:t>
      </w:r>
      <w:r>
        <w:rPr>
          <w:sz w:val="21"/>
        </w:rPr>
        <w:t>：监测点位示意图</w:t>
      </w:r>
    </w:p>
    <w:p>
      <w:pPr>
        <w:spacing w:before="1"/>
        <w:ind w:left="218" w:right="0" w:firstLine="0"/>
        <w:jc w:val="left"/>
        <w:rPr>
          <w:sz w:val="21"/>
        </w:rPr>
      </w:pPr>
      <w:r>
        <w:rPr>
          <w:spacing w:val="-21"/>
          <w:sz w:val="21"/>
        </w:rPr>
        <w:t xml:space="preserve">附图 </w:t>
      </w:r>
      <w:r>
        <w:rPr>
          <w:rFonts w:ascii="Times New Roman" w:eastAsia="Times New Roman"/>
          <w:sz w:val="21"/>
        </w:rPr>
        <w:t>6</w:t>
      </w:r>
      <w:r>
        <w:rPr>
          <w:sz w:val="21"/>
        </w:rPr>
        <w:t>：区域地表水系图</w:t>
      </w:r>
    </w:p>
    <w:p>
      <w:pPr>
        <w:spacing w:before="189" w:line="410" w:lineRule="auto"/>
        <w:ind w:left="218" w:right="5536" w:firstLine="0"/>
        <w:jc w:val="left"/>
        <w:rPr>
          <w:sz w:val="21"/>
        </w:rPr>
      </w:pPr>
      <w:r>
        <w:rPr>
          <w:sz w:val="21"/>
        </w:rPr>
        <w:t xml:space="preserve">附图 </w:t>
      </w:r>
      <w:r>
        <w:rPr>
          <w:rFonts w:ascii="Times New Roman" w:eastAsia="Times New Roman"/>
          <w:sz w:val="21"/>
        </w:rPr>
        <w:t>7</w:t>
      </w:r>
      <w:r>
        <w:rPr>
          <w:sz w:val="21"/>
        </w:rPr>
        <w:t xml:space="preserve">：采区巷道布置及机械配备平面图附图 </w:t>
      </w:r>
      <w:r>
        <w:rPr>
          <w:rFonts w:ascii="Times New Roman" w:eastAsia="Times New Roman"/>
          <w:sz w:val="21"/>
        </w:rPr>
        <w:t>8</w:t>
      </w:r>
      <w:r>
        <w:rPr>
          <w:sz w:val="21"/>
        </w:rPr>
        <w:t>：井田开拓方式平面图</w:t>
      </w:r>
    </w:p>
    <w:p>
      <w:pPr>
        <w:spacing w:before="1" w:line="408" w:lineRule="auto"/>
        <w:ind w:left="218" w:right="6483" w:firstLine="0"/>
        <w:jc w:val="left"/>
        <w:rPr>
          <w:sz w:val="21"/>
        </w:rPr>
      </w:pPr>
      <w:r>
        <w:rPr>
          <w:sz w:val="21"/>
        </w:rPr>
        <w:t xml:space="preserve">附图 </w:t>
      </w:r>
      <w:r>
        <w:rPr>
          <w:rFonts w:ascii="Times New Roman" w:eastAsia="Times New Roman"/>
          <w:sz w:val="21"/>
        </w:rPr>
        <w:t>9</w:t>
      </w:r>
      <w:r>
        <w:rPr>
          <w:sz w:val="21"/>
        </w:rPr>
        <w:t xml:space="preserve">：井田开拓方式剖面图附图 </w:t>
      </w:r>
      <w:r>
        <w:rPr>
          <w:rFonts w:ascii="Times New Roman" w:eastAsia="Times New Roman"/>
          <w:sz w:val="21"/>
        </w:rPr>
        <w:t>10</w:t>
      </w:r>
      <w:r>
        <w:rPr>
          <w:sz w:val="21"/>
        </w:rPr>
        <w:t>：矿井综合水文地质图</w:t>
      </w:r>
    </w:p>
    <w:p>
      <w:pPr>
        <w:spacing w:before="0" w:line="282" w:lineRule="exact"/>
        <w:ind w:left="218" w:right="0" w:firstLine="0"/>
        <w:jc w:val="left"/>
        <w:rPr>
          <w:sz w:val="24"/>
        </w:rPr>
      </w:pPr>
      <w:r>
        <w:rPr>
          <w:sz w:val="21"/>
        </w:rPr>
        <w:t xml:space="preserve">附图 </w:t>
      </w:r>
      <w:r>
        <w:rPr>
          <w:rFonts w:ascii="Times New Roman" w:eastAsia="Times New Roman"/>
          <w:sz w:val="21"/>
        </w:rPr>
        <w:t>11</w:t>
      </w:r>
      <w:r>
        <w:rPr>
          <w:sz w:val="21"/>
        </w:rPr>
        <w:t>：</w:t>
      </w:r>
      <w:r>
        <w:rPr>
          <w:sz w:val="24"/>
        </w:rPr>
        <w:t>矿区与黑龙江青山国家森林公园位置性关系图</w:t>
      </w:r>
    </w:p>
    <w:p>
      <w:pPr>
        <w:spacing w:before="184" w:line="410" w:lineRule="auto"/>
        <w:ind w:left="218" w:right="6546" w:firstLine="0"/>
        <w:jc w:val="both"/>
        <w:rPr>
          <w:sz w:val="21"/>
        </w:rPr>
      </w:pPr>
      <w:r>
        <w:rPr>
          <w:spacing w:val="-20"/>
          <w:sz w:val="21"/>
        </w:rPr>
        <w:t xml:space="preserve">附图 </w:t>
      </w:r>
      <w:r>
        <w:rPr>
          <w:rFonts w:ascii="Times New Roman" w:eastAsia="Times New Roman"/>
          <w:sz w:val="21"/>
        </w:rPr>
        <w:t>12</w:t>
      </w:r>
      <w:r>
        <w:rPr>
          <w:spacing w:val="-2"/>
          <w:sz w:val="21"/>
        </w:rPr>
        <w:t>：矿区土地利用现状图</w:t>
      </w:r>
      <w:r>
        <w:rPr>
          <w:spacing w:val="-20"/>
          <w:sz w:val="21"/>
        </w:rPr>
        <w:t xml:space="preserve">附图 </w:t>
      </w:r>
      <w:r>
        <w:rPr>
          <w:rFonts w:ascii="Times New Roman" w:eastAsia="Times New Roman"/>
          <w:sz w:val="21"/>
        </w:rPr>
        <w:t>13</w:t>
      </w:r>
      <w:r>
        <w:rPr>
          <w:spacing w:val="-2"/>
          <w:sz w:val="21"/>
        </w:rPr>
        <w:t>：矿区土地损毁预测图</w:t>
      </w:r>
      <w:r>
        <w:rPr>
          <w:spacing w:val="-20"/>
          <w:sz w:val="21"/>
        </w:rPr>
        <w:t xml:space="preserve">附图 </w:t>
      </w:r>
      <w:r>
        <w:rPr>
          <w:rFonts w:ascii="Times New Roman" w:eastAsia="Times New Roman"/>
          <w:sz w:val="21"/>
        </w:rPr>
        <w:t>14</w:t>
      </w:r>
      <w:r>
        <w:rPr>
          <w:spacing w:val="-2"/>
          <w:sz w:val="21"/>
        </w:rPr>
        <w:t>：矿区土地复垦规划图</w:t>
      </w:r>
      <w:r>
        <w:rPr>
          <w:spacing w:val="-20"/>
          <w:sz w:val="21"/>
        </w:rPr>
        <w:t xml:space="preserve">附图 </w:t>
      </w:r>
      <w:r>
        <w:rPr>
          <w:rFonts w:ascii="Times New Roman" w:eastAsia="Times New Roman"/>
          <w:sz w:val="21"/>
        </w:rPr>
        <w:t>15</w:t>
      </w:r>
      <w:r>
        <w:rPr>
          <w:spacing w:val="-2"/>
          <w:sz w:val="21"/>
        </w:rPr>
        <w:t>：地质环境问题现状图</w:t>
      </w:r>
    </w:p>
    <w:p>
      <w:pPr>
        <w:spacing w:after="0" w:line="410" w:lineRule="auto"/>
        <w:jc w:val="both"/>
        <w:rPr>
          <w:sz w:val="21"/>
        </w:rPr>
        <w:sectPr>
          <w:pgSz w:w="11910" w:h="16840"/>
          <w:pgMar w:top="1500" w:right="1160" w:bottom="280" w:left="1200" w:header="720" w:footer="720" w:gutter="0"/>
        </w:sectPr>
      </w:pPr>
    </w:p>
    <w:p>
      <w:pPr>
        <w:spacing w:before="58"/>
        <w:ind w:left="218" w:right="0" w:firstLine="0"/>
        <w:jc w:val="left"/>
        <w:rPr>
          <w:sz w:val="21"/>
        </w:rPr>
      </w:pPr>
      <w:r>
        <w:rPr>
          <w:sz w:val="21"/>
        </w:rPr>
        <w:t xml:space="preserve">附图 </w:t>
      </w:r>
      <w:r>
        <w:rPr>
          <w:rFonts w:ascii="Times New Roman" w:eastAsia="Times New Roman"/>
          <w:sz w:val="21"/>
        </w:rPr>
        <w:t>16</w:t>
      </w:r>
      <w:r>
        <w:rPr>
          <w:sz w:val="21"/>
        </w:rPr>
        <w:t>：地质环境治理工程部署图</w:t>
      </w:r>
    </w:p>
    <w:p>
      <w:pPr>
        <w:spacing w:after="0"/>
        <w:jc w:val="left"/>
        <w:rPr>
          <w:sz w:val="21"/>
        </w:rPr>
        <w:sectPr>
          <w:pgSz w:w="11910" w:h="16840"/>
          <w:pgMar w:top="1500" w:right="1160" w:bottom="280" w:left="1200" w:header="720" w:footer="720" w:gutter="0"/>
        </w:sectPr>
      </w:pPr>
    </w:p>
    <w:p>
      <w:pPr>
        <w:pStyle w:val="2"/>
        <w:ind w:right="330" w:firstLine="0"/>
        <w:jc w:val="center"/>
      </w:pPr>
      <w:bookmarkStart w:id="0" w:name="概述"/>
      <w:bookmarkEnd w:id="0"/>
      <w:bookmarkStart w:id="1" w:name="_bookmark0"/>
      <w:bookmarkEnd w:id="1"/>
      <w:r>
        <w:t>概述</w:t>
      </w:r>
    </w:p>
    <w:p>
      <w:pPr>
        <w:pStyle w:val="9"/>
        <w:spacing w:before="3"/>
        <w:rPr>
          <w:b/>
          <w:sz w:val="17"/>
        </w:rPr>
      </w:pPr>
    </w:p>
    <w:p>
      <w:pPr>
        <w:pStyle w:val="5"/>
        <w:spacing w:before="70"/>
        <w:ind w:left="218" w:firstLine="0"/>
      </w:pPr>
      <w:bookmarkStart w:id="2" w:name="1、建设项目概况"/>
      <w:bookmarkEnd w:id="2"/>
      <w:bookmarkStart w:id="3" w:name="_bookmark1"/>
      <w:bookmarkEnd w:id="3"/>
      <w:r>
        <w:rPr>
          <w:rFonts w:ascii="Times New Roman" w:eastAsia="Times New Roman"/>
        </w:rPr>
        <w:t>1</w:t>
      </w:r>
      <w:r>
        <w:t>、建设项目概况</w:t>
      </w:r>
    </w:p>
    <w:p>
      <w:pPr>
        <w:pStyle w:val="9"/>
        <w:spacing w:before="199" w:line="364" w:lineRule="auto"/>
        <w:ind w:left="218" w:right="275" w:firstLine="518"/>
        <w:jc w:val="both"/>
      </w:pPr>
      <w:r>
        <w:t>双鸭山盟度矿业有限责任公司（ 原双鸭山双兴时代矿业有限责任公司第二煤矿）位于盟度公司位于岭东区七道坝，距双鸭山市 35km，矿井行政区划属双鸭山市岭东区管辖。</w:t>
      </w:r>
    </w:p>
    <w:p>
      <w:pPr>
        <w:pStyle w:val="9"/>
        <w:spacing w:line="364" w:lineRule="auto"/>
        <w:ind w:left="218" w:right="137" w:firstLine="480"/>
      </w:pPr>
      <w:r>
        <w:rPr>
          <w:spacing w:val="3"/>
        </w:rPr>
        <w:t>盟度公司原为双鸭山市煤炭工业管理局所属的地方国营煤矿，原为双桦二井，于</w:t>
      </w:r>
      <w:r>
        <w:rPr>
          <w:rFonts w:ascii="Times New Roman" w:hAnsi="Times New Roman" w:eastAsia="Times New Roman"/>
          <w:spacing w:val="3"/>
        </w:rPr>
        <w:t xml:space="preserve">1980 </w:t>
      </w:r>
      <w:r>
        <w:t>年筹建，</w:t>
      </w:r>
      <w:r>
        <w:rPr>
          <w:rFonts w:ascii="Times New Roman" w:hAnsi="Times New Roman" w:eastAsia="Times New Roman"/>
        </w:rPr>
        <w:t xml:space="preserve">1983 </w:t>
      </w:r>
      <w:r>
        <w:rPr>
          <w:spacing w:val="-5"/>
        </w:rPr>
        <w:t xml:space="preserve">年建成投产，生产规模 </w:t>
      </w:r>
      <w:r>
        <w:rPr>
          <w:rFonts w:ascii="Times New Roman" w:hAnsi="Times New Roman" w:eastAsia="Times New Roman"/>
        </w:rPr>
        <w:t xml:space="preserve">9.00 </w:t>
      </w:r>
      <w:r>
        <w:rPr>
          <w:spacing w:val="-27"/>
        </w:rPr>
        <w:t xml:space="preserve">万 </w:t>
      </w:r>
      <w:r>
        <w:rPr>
          <w:rFonts w:ascii="Times New Roman" w:hAnsi="Times New Roman" w:eastAsia="Times New Roman"/>
        </w:rPr>
        <w:t>t/</w:t>
      </w:r>
      <w:r>
        <w:t>年；由于煤炭市场不景气，煤矿连</w:t>
      </w:r>
      <w:r>
        <w:rPr>
          <w:spacing w:val="-8"/>
        </w:rPr>
        <w:t xml:space="preserve">年亏损，上世纪 </w:t>
      </w:r>
      <w:r>
        <w:rPr>
          <w:rFonts w:ascii="Times New Roman" w:hAnsi="Times New Roman" w:eastAsia="Times New Roman"/>
        </w:rPr>
        <w:t xml:space="preserve">90 </w:t>
      </w:r>
      <w:r>
        <w:t>年代后期报停，</w:t>
      </w:r>
      <w:r>
        <w:rPr>
          <w:rFonts w:ascii="Times New Roman" w:hAnsi="Times New Roman" w:eastAsia="Times New Roman"/>
        </w:rPr>
        <w:t xml:space="preserve">2003 </w:t>
      </w:r>
      <w:r>
        <w:t>年双鸭山市双兴时代矿业有限公司收购该矿。</w:t>
      </w:r>
      <w:r>
        <w:rPr>
          <w:spacing w:val="-14"/>
        </w:rPr>
        <w:t xml:space="preserve">目前证照齐全，开拓方式为片盘斜井，通风方式为中央并列式。各大生产系统运转正常， </w:t>
      </w:r>
      <w:r>
        <w:rPr>
          <w:spacing w:val="-11"/>
        </w:rPr>
        <w:t xml:space="preserve">主井全长 </w:t>
      </w:r>
      <w:r>
        <w:rPr>
          <w:rFonts w:ascii="Times New Roman" w:hAnsi="Times New Roman" w:eastAsia="Times New Roman"/>
        </w:rPr>
        <w:t xml:space="preserve">870m </w:t>
      </w:r>
      <w:r>
        <w:rPr>
          <w:spacing w:val="-6"/>
        </w:rPr>
        <w:t xml:space="preserve">左右，主井平均断面 </w:t>
      </w:r>
      <w:r>
        <w:rPr>
          <w:rFonts w:ascii="Times New Roman" w:hAnsi="Times New Roman" w:eastAsia="Times New Roman"/>
        </w:rPr>
        <w:t xml:space="preserve">5.9 </w:t>
      </w:r>
      <w:r>
        <w:rPr>
          <w:spacing w:val="-6"/>
        </w:rPr>
        <w:t xml:space="preserve">㎡，风井平均断面 </w:t>
      </w:r>
      <w:r>
        <w:rPr>
          <w:rFonts w:ascii="Times New Roman" w:hAnsi="Times New Roman" w:eastAsia="Times New Roman"/>
        </w:rPr>
        <w:t xml:space="preserve">7 </w:t>
      </w:r>
      <w:r>
        <w:t>㎡，两条井筒平行，坡度</w:t>
      </w:r>
      <w:r>
        <w:rPr>
          <w:spacing w:val="-21"/>
        </w:rPr>
        <w:t xml:space="preserve">均为 </w:t>
      </w:r>
      <w:r>
        <w:rPr>
          <w:rFonts w:ascii="Times New Roman" w:hAnsi="Times New Roman" w:eastAsia="Times New Roman"/>
        </w:rPr>
        <w:t>23</w:t>
      </w:r>
      <w:r>
        <w:t>°。井底标高</w:t>
      </w:r>
      <w:r>
        <w:rPr>
          <w:rFonts w:ascii="Times New Roman" w:hAnsi="Times New Roman" w:eastAsia="Times New Roman"/>
        </w:rPr>
        <w:t>-31m</w:t>
      </w:r>
      <w:r>
        <w:t>，</w:t>
      </w:r>
      <w:r>
        <w:rPr>
          <w:color w:val="FF0000"/>
          <w:spacing w:val="17"/>
        </w:rPr>
        <w:t>未进行环境影响评价，现已停产。</w:t>
      </w:r>
    </w:p>
    <w:p>
      <w:pPr>
        <w:pStyle w:val="9"/>
        <w:spacing w:line="364" w:lineRule="auto"/>
        <w:ind w:left="218" w:right="253" w:firstLine="480"/>
        <w:jc w:val="both"/>
      </w:pPr>
      <w:r>
        <w:rPr>
          <w:spacing w:val="-2"/>
        </w:rPr>
        <w:t xml:space="preserve">弘泰第六煤矿原为双鸭山车站二矿，于 </w:t>
      </w:r>
      <w:r>
        <w:rPr>
          <w:rFonts w:ascii="Times New Roman" w:hAnsi="Times New Roman" w:eastAsia="Times New Roman"/>
        </w:rPr>
        <w:t xml:space="preserve">1998 </w:t>
      </w:r>
      <w:r>
        <w:t>年建井，当年建成投产。设计生产能</w:t>
      </w:r>
      <w:r>
        <w:rPr>
          <w:spacing w:val="-21"/>
        </w:rPr>
        <w:t xml:space="preserve">力为 </w:t>
      </w:r>
      <w:r>
        <w:rPr>
          <w:rFonts w:ascii="Times New Roman" w:hAnsi="Times New Roman" w:eastAsia="Times New Roman"/>
        </w:rPr>
        <w:t xml:space="preserve">4 </w:t>
      </w:r>
      <w:r>
        <w:rPr>
          <w:spacing w:val="-31"/>
        </w:rPr>
        <w:t xml:space="preserve">万 </w:t>
      </w:r>
      <w:r>
        <w:rPr>
          <w:rFonts w:ascii="Times New Roman" w:hAnsi="Times New Roman" w:eastAsia="Times New Roman"/>
        </w:rPr>
        <w:t>t/</w:t>
      </w:r>
      <w:r>
        <w:rPr>
          <w:spacing w:val="-1"/>
        </w:rPr>
        <w:t>年。开拓方式片盘斜井，中央并列式通风，串车提升、集中排水。主井长度</w:t>
      </w:r>
      <w:r>
        <w:rPr>
          <w:rFonts w:ascii="Times New Roman" w:hAnsi="Times New Roman" w:eastAsia="Times New Roman"/>
        </w:rPr>
        <w:t>860m</w:t>
      </w:r>
      <w:r>
        <w:rPr>
          <w:spacing w:val="-16"/>
        </w:rPr>
        <w:t xml:space="preserve">，坡度 </w:t>
      </w:r>
      <w:r>
        <w:rPr>
          <w:rFonts w:ascii="Times New Roman" w:hAnsi="Times New Roman" w:eastAsia="Times New Roman"/>
        </w:rPr>
        <w:t>19</w:t>
      </w:r>
      <w:r>
        <w:rPr>
          <w:spacing w:val="-12"/>
        </w:rPr>
        <w:t xml:space="preserve">°，断面 </w:t>
      </w:r>
      <w:r>
        <w:rPr>
          <w:rFonts w:ascii="Times New Roman" w:hAnsi="Times New Roman" w:eastAsia="Times New Roman"/>
        </w:rPr>
        <w:t xml:space="preserve">7.0 </w:t>
      </w:r>
      <w:r>
        <w:rPr>
          <w:spacing w:val="-9"/>
        </w:rPr>
        <w:t xml:space="preserve">㎡。风井长度 </w:t>
      </w:r>
      <w:r>
        <w:rPr>
          <w:rFonts w:ascii="Times New Roman" w:hAnsi="Times New Roman" w:eastAsia="Times New Roman"/>
        </w:rPr>
        <w:t>680m</w:t>
      </w:r>
      <w:r>
        <w:rPr>
          <w:spacing w:val="-16"/>
        </w:rPr>
        <w:t xml:space="preserve">，坡度 </w:t>
      </w:r>
      <w:r>
        <w:rPr>
          <w:rFonts w:ascii="Times New Roman" w:hAnsi="Times New Roman" w:eastAsia="Times New Roman"/>
        </w:rPr>
        <w:t>20</w:t>
      </w:r>
      <w:r>
        <w:rPr>
          <w:spacing w:val="-12"/>
        </w:rPr>
        <w:t xml:space="preserve">°，断面 </w:t>
      </w:r>
      <w:r>
        <w:rPr>
          <w:rFonts w:ascii="Times New Roman" w:hAnsi="Times New Roman" w:eastAsia="Times New Roman"/>
        </w:rPr>
        <w:t xml:space="preserve">7.0 </w:t>
      </w:r>
      <w:r>
        <w:rPr>
          <w:spacing w:val="-3"/>
        </w:rPr>
        <w:t>㎡。两条井筒平</w:t>
      </w:r>
      <w:r>
        <w:t>行，井底标高为</w:t>
      </w:r>
      <w:r>
        <w:rPr>
          <w:rFonts w:ascii="Times New Roman" w:hAnsi="Times New Roman" w:eastAsia="Times New Roman"/>
        </w:rPr>
        <w:t>+125m</w:t>
      </w:r>
      <w:r>
        <w:t>。</w:t>
      </w:r>
      <w:r>
        <w:rPr>
          <w:color w:val="FF0000"/>
          <w:spacing w:val="1"/>
        </w:rPr>
        <w:t>经省政府批准被列为整合关闭矿井，现已停产。</w:t>
      </w:r>
    </w:p>
    <w:p>
      <w:pPr>
        <w:pStyle w:val="9"/>
        <w:spacing w:line="364" w:lineRule="auto"/>
        <w:ind w:left="218" w:right="251" w:firstLine="480"/>
        <w:jc w:val="both"/>
      </w:pPr>
      <w:r>
        <w:t>依据《黑龙江省人民政府关于印发</w:t>
      </w:r>
      <w:r>
        <w:rPr>
          <w:rFonts w:ascii="Times New Roman" w:hAnsi="Times New Roman" w:eastAsia="Times New Roman"/>
        </w:rPr>
        <w:t>&lt;</w:t>
      </w:r>
      <w:r>
        <w:t>黑龙江省煤炭行业淘汰落后产能化解过剩产能专项整治工作方案</w:t>
      </w:r>
      <w:r>
        <w:rPr>
          <w:rFonts w:ascii="Times New Roman" w:hAnsi="Times New Roman" w:eastAsia="Times New Roman"/>
        </w:rPr>
        <w:t>&gt;</w:t>
      </w:r>
      <w:r>
        <w:rPr>
          <w:spacing w:val="-1"/>
        </w:rPr>
        <w:t>的通知》</w:t>
      </w:r>
      <w:r>
        <w:t>（黑政规〔</w:t>
      </w:r>
      <w:r>
        <w:rPr>
          <w:rFonts w:ascii="Times New Roman" w:hAnsi="Times New Roman" w:eastAsia="Times New Roman"/>
        </w:rPr>
        <w:t>2018</w:t>
      </w:r>
      <w:r>
        <w:rPr>
          <w:spacing w:val="-3"/>
        </w:rPr>
        <w:t>〕</w:t>
      </w:r>
      <w:r>
        <w:rPr>
          <w:rFonts w:ascii="Times New Roman" w:hAnsi="Times New Roman" w:eastAsia="Times New Roman"/>
        </w:rPr>
        <w:t xml:space="preserve">13 </w:t>
      </w:r>
      <w:r>
        <w:t>号</w:t>
      </w:r>
      <w:r>
        <w:rPr>
          <w:spacing w:val="-3"/>
        </w:rPr>
        <w:t>）</w:t>
      </w:r>
      <w:r>
        <w:rPr>
          <w:spacing w:val="-2"/>
        </w:rPr>
        <w:t>文件及双鸭山市煤炭生产安全管</w:t>
      </w:r>
      <w:r>
        <w:rPr>
          <w:spacing w:val="-9"/>
        </w:rPr>
        <w:t>理局《双鸭山市煤炭生产安全管理局关于组织上报淘汰落后产能化解过剩产能保留煤矿</w:t>
      </w:r>
      <w:r>
        <w:t>项目方案的通知》（双煤发〔</w:t>
      </w:r>
      <w:r>
        <w:rPr>
          <w:rFonts w:ascii="Times New Roman" w:hAnsi="Times New Roman" w:eastAsia="Times New Roman"/>
        </w:rPr>
        <w:t>2018</w:t>
      </w:r>
      <w:r>
        <w:t>〕</w:t>
      </w:r>
      <w:r>
        <w:rPr>
          <w:rFonts w:ascii="Times New Roman" w:hAnsi="Times New Roman" w:eastAsia="Times New Roman"/>
        </w:rPr>
        <w:t xml:space="preserve">124 </w:t>
      </w:r>
      <w:r>
        <w:t>号）</w:t>
      </w:r>
      <w:r>
        <w:rPr>
          <w:spacing w:val="-1"/>
        </w:rPr>
        <w:t>等有关文件的指导精神，双鸭山盟度矿业</w:t>
      </w:r>
      <w:r>
        <w:rPr>
          <w:spacing w:val="-4"/>
        </w:rPr>
        <w:t xml:space="preserve">有限责任公司拟资源整合至 </w:t>
      </w:r>
      <w:r>
        <w:rPr>
          <w:rFonts w:ascii="Times New Roman" w:hAnsi="Times New Roman" w:eastAsia="Times New Roman"/>
        </w:rPr>
        <w:t xml:space="preserve">30 </w:t>
      </w:r>
      <w:r>
        <w:t>万吨</w:t>
      </w:r>
      <w:r>
        <w:rPr>
          <w:rFonts w:ascii="Times New Roman" w:hAnsi="Times New Roman" w:eastAsia="Times New Roman"/>
        </w:rPr>
        <w:t>/</w:t>
      </w:r>
      <w:r>
        <w:t>年生产规模，本矿业升级改造方案经省</w:t>
      </w:r>
      <w:r>
        <w:rPr>
          <w:rFonts w:ascii="Times New Roman" w:hAnsi="Times New Roman" w:eastAsia="Times New Roman"/>
        </w:rPr>
        <w:t>“</w:t>
      </w:r>
      <w:r>
        <w:t>淘化</w:t>
      </w:r>
      <w:r>
        <w:rPr>
          <w:rFonts w:ascii="Times New Roman" w:hAnsi="Times New Roman" w:eastAsia="Times New Roman"/>
        </w:rPr>
        <w:t>”</w:t>
      </w:r>
      <w:r>
        <w:t>小组</w:t>
      </w:r>
    </w:p>
    <w:p>
      <w:pPr>
        <w:pStyle w:val="9"/>
        <w:spacing w:line="364" w:lineRule="auto"/>
        <w:ind w:left="218" w:right="257"/>
        <w:jc w:val="both"/>
      </w:pPr>
      <w:r>
        <w:t xml:space="preserve">办公室审查后，以《关于全省 </w:t>
      </w:r>
      <w:r>
        <w:rPr>
          <w:rFonts w:ascii="Times New Roman" w:eastAsia="Times New Roman"/>
        </w:rPr>
        <w:t xml:space="preserve">167 </w:t>
      </w:r>
      <w:r>
        <w:t>处煤矿进入规划升级改造核准程序名单的批复》</w:t>
      </w:r>
      <w:r>
        <w:rPr>
          <w:rFonts w:ascii="Times New Roman" w:eastAsia="Times New Roman"/>
        </w:rPr>
        <w:t>(</w:t>
      </w:r>
      <w:r>
        <w:t>黑煤整治办</w:t>
      </w:r>
      <w:r>
        <w:rPr>
          <w:rFonts w:ascii="Times New Roman" w:eastAsia="Times New Roman"/>
        </w:rPr>
        <w:t xml:space="preserve">(2020)7 </w:t>
      </w:r>
      <w:r>
        <w:t>号</w:t>
      </w:r>
      <w:r>
        <w:rPr>
          <w:rFonts w:ascii="Times New Roman" w:eastAsia="Times New Roman"/>
        </w:rPr>
        <w:t>)</w:t>
      </w:r>
      <w:r>
        <w:t>批复同意该项目进入核准程序。</w:t>
      </w:r>
    </w:p>
    <w:p>
      <w:pPr>
        <w:pStyle w:val="9"/>
        <w:spacing w:line="364" w:lineRule="auto"/>
        <w:ind w:left="218" w:right="257" w:firstLine="480"/>
        <w:jc w:val="both"/>
      </w:pPr>
      <w:r>
        <w:rPr>
          <w:spacing w:val="-8"/>
        </w:rPr>
        <w:t xml:space="preserve">根据《中华人民共和国环境保护法》和国务院第 </w:t>
      </w:r>
      <w:r>
        <w:rPr>
          <w:rFonts w:ascii="Times New Roman" w:eastAsia="Times New Roman"/>
        </w:rPr>
        <w:t xml:space="preserve">253 </w:t>
      </w:r>
      <w:r>
        <w:rPr>
          <w:spacing w:val="-6"/>
        </w:rPr>
        <w:t>号令《建设项目环境保护管理</w:t>
      </w:r>
      <w:r>
        <w:rPr>
          <w:spacing w:val="-8"/>
        </w:rPr>
        <w:t>条例》中有关规定，受双鸭山盟度矿业有限责任公司的委托，黑龙江科大欣欣环保科技</w:t>
      </w:r>
      <w:r>
        <w:rPr>
          <w:spacing w:val="-3"/>
        </w:rPr>
        <w:t>有限公司承担了双鸭山盟度矿业有限责任公司煤矿改扩建项目的环境影响评价工作。接</w:t>
      </w:r>
      <w:r>
        <w:rPr>
          <w:spacing w:val="-8"/>
        </w:rPr>
        <w:t>受委托后，评价单位组成了课题组，课题组评价人员对现场进行了实地踏查并收集了相关资料，经工程分析、环境影响识别等工作，按照环境影响评价导则以及国家、地方的</w:t>
      </w:r>
      <w:r>
        <w:t>有关环境保护法律、法规的规定，制定了环境影响评价工作方案。</w:t>
      </w:r>
    </w:p>
    <w:p>
      <w:pPr>
        <w:pStyle w:val="9"/>
        <w:spacing w:line="304" w:lineRule="exact"/>
        <w:ind w:left="698"/>
      </w:pPr>
      <w:r>
        <w:t>根据环境影响评价工作方案确定的工作内容，进行了公众参与以及污染源调查。课</w:t>
      </w:r>
    </w:p>
    <w:p>
      <w:pPr>
        <w:spacing w:after="0" w:line="304" w:lineRule="exact"/>
        <w:sectPr>
          <w:footerReference r:id="rId3" w:type="default"/>
          <w:pgSz w:w="11910" w:h="16840"/>
          <w:pgMar w:top="1380" w:right="1160" w:bottom="1180" w:left="1200" w:header="0" w:footer="993" w:gutter="0"/>
          <w:pgNumType w:start="1"/>
        </w:sectPr>
      </w:pPr>
    </w:p>
    <w:p>
      <w:pPr>
        <w:pStyle w:val="9"/>
        <w:spacing w:before="41"/>
        <w:ind w:left="218"/>
      </w:pPr>
      <w:r>
        <w:t>题组经过资料整理、模式计算及统计分析，编制出该工程的环境影响报告书。</w:t>
      </w:r>
    </w:p>
    <w:p>
      <w:pPr>
        <w:spacing w:before="159"/>
        <w:ind w:left="218" w:right="0" w:firstLine="0"/>
        <w:jc w:val="left"/>
        <w:rPr>
          <w:b/>
          <w:sz w:val="28"/>
        </w:rPr>
      </w:pPr>
      <w:bookmarkStart w:id="4" w:name="2、项目建设的必要性"/>
      <w:bookmarkEnd w:id="4"/>
      <w:bookmarkStart w:id="5" w:name="_bookmark2"/>
      <w:bookmarkEnd w:id="5"/>
      <w:r>
        <w:rPr>
          <w:rFonts w:ascii="Times New Roman" w:eastAsia="Times New Roman"/>
          <w:b/>
          <w:color w:val="FF0000"/>
          <w:sz w:val="28"/>
        </w:rPr>
        <w:t>2</w:t>
      </w:r>
      <w:r>
        <w:rPr>
          <w:b/>
          <w:color w:val="FF0000"/>
          <w:sz w:val="28"/>
        </w:rPr>
        <w:t>、项目建设的必要性</w:t>
      </w:r>
    </w:p>
    <w:p>
      <w:pPr>
        <w:pStyle w:val="9"/>
        <w:spacing w:before="185" w:line="364" w:lineRule="auto"/>
        <w:ind w:left="218" w:right="107" w:firstLine="480"/>
      </w:pPr>
      <w:r>
        <w:rPr>
          <w:color w:val="FF0000"/>
          <w:spacing w:val="-6"/>
        </w:rPr>
        <w:t>目前，我国正处于煤炭产业结构调整的关键时期，针对当前煤炭产业存在的突出矛</w:t>
      </w:r>
      <w:r>
        <w:rPr>
          <w:color w:val="FF0000"/>
          <w:spacing w:val="-7"/>
        </w:rPr>
        <w:t>盾，为了加快煤炭工业结构的调整，引导煤炭工业持续快速健康的发展，根据国务院颁</w:t>
      </w:r>
      <w:r>
        <w:rPr>
          <w:color w:val="FF0000"/>
          <w:spacing w:val="-9"/>
        </w:rPr>
        <w:t>发的《国务院办公厅关于进一步加强煤矿安全生产工作的意见》</w:t>
      </w:r>
      <w:r>
        <w:rPr>
          <w:color w:val="FF0000"/>
        </w:rPr>
        <w:t>（国办发</w:t>
      </w:r>
      <w:r>
        <w:rPr>
          <w:rFonts w:ascii="Times New Roman" w:hAnsi="Times New Roman" w:eastAsia="Times New Roman"/>
          <w:color w:val="FF0000"/>
        </w:rPr>
        <w:t xml:space="preserve">[2013]99 </w:t>
      </w:r>
      <w:r>
        <w:rPr>
          <w:color w:val="FF0000"/>
        </w:rPr>
        <w:t>号</w:t>
      </w:r>
      <w:r>
        <w:rPr>
          <w:color w:val="FF0000"/>
          <w:spacing w:val="-32"/>
        </w:rPr>
        <w:t>）</w:t>
      </w:r>
      <w:r>
        <w:rPr>
          <w:color w:val="FF0000"/>
          <w:spacing w:val="-15"/>
        </w:rPr>
        <w:t>、</w:t>
      </w:r>
      <w:r>
        <w:rPr>
          <w:color w:val="FF0000"/>
          <w:spacing w:val="-5"/>
        </w:rPr>
        <w:t>国家安全监管总局颁发的《国家安全监管总局等十二部门关于加快落后小煤矿关闭退出</w:t>
      </w:r>
      <w:r>
        <w:rPr>
          <w:color w:val="FF0000"/>
          <w:spacing w:val="-6"/>
        </w:rPr>
        <w:t>工作的通知》</w:t>
      </w:r>
      <w:r>
        <w:rPr>
          <w:rFonts w:ascii="Times New Roman" w:hAnsi="Times New Roman" w:eastAsia="Times New Roman"/>
          <w:color w:val="FF0000"/>
        </w:rPr>
        <w:t>(</w:t>
      </w:r>
      <w:r>
        <w:rPr>
          <w:color w:val="FF0000"/>
          <w:spacing w:val="-2"/>
        </w:rPr>
        <w:t>安监总煤监〔</w:t>
      </w:r>
      <w:r>
        <w:rPr>
          <w:rFonts w:ascii="Times New Roman" w:hAnsi="Times New Roman" w:eastAsia="Times New Roman"/>
          <w:color w:val="FF0000"/>
        </w:rPr>
        <w:t>2014</w:t>
      </w:r>
      <w:r>
        <w:rPr>
          <w:color w:val="FF0000"/>
          <w:spacing w:val="-5"/>
        </w:rPr>
        <w:t>〕</w:t>
      </w:r>
      <w:r>
        <w:rPr>
          <w:rFonts w:ascii="Times New Roman" w:hAnsi="Times New Roman" w:eastAsia="Times New Roman"/>
          <w:color w:val="FF0000"/>
        </w:rPr>
        <w:t xml:space="preserve">44 </w:t>
      </w:r>
      <w:r>
        <w:rPr>
          <w:color w:val="FF0000"/>
        </w:rPr>
        <w:t>号</w:t>
      </w:r>
      <w:r>
        <w:rPr>
          <w:rFonts w:ascii="Times New Roman" w:hAnsi="Times New Roman" w:eastAsia="Times New Roman"/>
          <w:color w:val="FF0000"/>
        </w:rPr>
        <w:t>)</w:t>
      </w:r>
      <w:r>
        <w:rPr>
          <w:color w:val="FF0000"/>
          <w:spacing w:val="-3"/>
        </w:rPr>
        <w:t>、黑龙江省政府发布的《黑龙江省人民政府办公厅关于黑龙江煤矿整顿关闭工作的指导意见》（黑政办法【</w:t>
      </w:r>
      <w:r>
        <w:rPr>
          <w:rFonts w:ascii="Times New Roman" w:hAnsi="Times New Roman" w:eastAsia="Times New Roman"/>
          <w:color w:val="FF0000"/>
          <w:spacing w:val="-3"/>
        </w:rPr>
        <w:t xml:space="preserve">2013 </w:t>
      </w:r>
      <w:r>
        <w:rPr>
          <w:rFonts w:ascii="Times New Roman" w:hAnsi="Times New Roman" w:eastAsia="Times New Roman"/>
          <w:color w:val="FF0000"/>
        </w:rPr>
        <w:t xml:space="preserve">99 </w:t>
      </w:r>
      <w:r>
        <w:rPr>
          <w:color w:val="FF0000"/>
        </w:rPr>
        <w:t>号】）等文件的</w:t>
      </w:r>
      <w:r>
        <w:rPr>
          <w:color w:val="FF0000"/>
          <w:spacing w:val="-6"/>
        </w:rPr>
        <w:t>有关精神，双鸭山市按照全省矿产资源统一要求，针对地方煤矿规模小、数量多、布局</w:t>
      </w:r>
      <w:r>
        <w:rPr>
          <w:color w:val="FF0000"/>
          <w:spacing w:val="-10"/>
        </w:rPr>
        <w:t>不合理的状况，从矿产资源和实际开发利用现状出发，编制了《资源整合方案》，重新</w:t>
      </w:r>
      <w:r>
        <w:rPr>
          <w:color w:val="FF0000"/>
          <w:spacing w:val="-13"/>
        </w:rPr>
        <w:t>调整和划定了矿产资源的开采区、限采区和禁采区，进一步明确这次资源整合的总体要</w:t>
      </w:r>
      <w:r>
        <w:rPr>
          <w:color w:val="FF0000"/>
          <w:spacing w:val="-12"/>
        </w:rPr>
        <w:t>求和目标。在资源整合过程中，按照</w:t>
      </w:r>
      <w:r>
        <w:rPr>
          <w:rFonts w:ascii="Times New Roman" w:hAnsi="Times New Roman" w:eastAsia="Times New Roman"/>
          <w:color w:val="FF0000"/>
        </w:rPr>
        <w:t>“</w:t>
      </w:r>
      <w:r>
        <w:rPr>
          <w:color w:val="FF0000"/>
          <w:spacing w:val="-8"/>
        </w:rPr>
        <w:t>鼓励一批、限制一批、关闭一批</w:t>
      </w:r>
      <w:r>
        <w:rPr>
          <w:rFonts w:ascii="Times New Roman" w:hAnsi="Times New Roman" w:eastAsia="Times New Roman"/>
          <w:color w:val="FF0000"/>
        </w:rPr>
        <w:t>”</w:t>
      </w:r>
      <w:r>
        <w:rPr>
          <w:color w:val="FF0000"/>
          <w:spacing w:val="-6"/>
        </w:rPr>
        <w:t>的原则，有计划、</w:t>
      </w:r>
      <w:r>
        <w:rPr>
          <w:color w:val="FF0000"/>
          <w:spacing w:val="-17"/>
        </w:rPr>
        <w:t xml:space="preserve">有步骤地扎实推进。对储量大、易于规划、适合规模开采和有发展前景的煤矿实施整合， </w:t>
      </w:r>
      <w:r>
        <w:rPr>
          <w:color w:val="FF0000"/>
          <w:spacing w:val="-11"/>
        </w:rPr>
        <w:t>鼓励集约利用，做大做强。按照</w:t>
      </w:r>
      <w:r>
        <w:rPr>
          <w:rFonts w:ascii="Times New Roman" w:hAnsi="Times New Roman" w:eastAsia="Times New Roman"/>
          <w:color w:val="FF0000"/>
        </w:rPr>
        <w:t>“</w:t>
      </w:r>
      <w:r>
        <w:rPr>
          <w:color w:val="FF0000"/>
          <w:spacing w:val="-1"/>
        </w:rPr>
        <w:t>以小并大、以优并劣</w:t>
      </w:r>
      <w:r>
        <w:rPr>
          <w:rFonts w:ascii="Times New Roman" w:hAnsi="Times New Roman" w:eastAsia="Times New Roman"/>
          <w:color w:val="FF0000"/>
        </w:rPr>
        <w:t>”</w:t>
      </w:r>
      <w:r>
        <w:rPr>
          <w:color w:val="FF0000"/>
          <w:spacing w:val="-4"/>
        </w:rPr>
        <w:t>原则，实施矿山资源整合，减少</w:t>
      </w:r>
      <w:r>
        <w:rPr>
          <w:color w:val="FF0000"/>
          <w:spacing w:val="-9"/>
        </w:rPr>
        <w:t>矿井数量，提高生产规模。改扩建后的矿井只保留一个法人主体，一套生产系统，达到国家和省有关规定的标准。</w:t>
      </w:r>
    </w:p>
    <w:p>
      <w:pPr>
        <w:pStyle w:val="9"/>
        <w:spacing w:line="364" w:lineRule="auto"/>
        <w:ind w:left="218" w:right="257" w:firstLine="480"/>
        <w:jc w:val="both"/>
      </w:pPr>
      <w:r>
        <w:rPr>
          <w:color w:val="FF0000"/>
          <w:spacing w:val="-4"/>
        </w:rPr>
        <w:t>本项目符合国家的一系列的产业调整措施，为积极推进国家产业政策的落实起到了</w:t>
      </w:r>
      <w:r>
        <w:rPr>
          <w:color w:val="FF0000"/>
          <w:spacing w:val="-8"/>
        </w:rPr>
        <w:t>推动作用。此外，通过本次改扩建，增加矿井年生产能力，可加大对矿产资源的回收利</w:t>
      </w:r>
      <w:r>
        <w:rPr>
          <w:color w:val="FF0000"/>
          <w:spacing w:val="-7"/>
        </w:rPr>
        <w:t>用，可以使分散式生产转换为集约式生产，能够极大地降低电能的消耗，可以极大地促</w:t>
      </w:r>
      <w:r>
        <w:rPr>
          <w:color w:val="FF0000"/>
        </w:rPr>
        <w:t>进循环经济的发展。</w:t>
      </w:r>
    </w:p>
    <w:p>
      <w:pPr>
        <w:pStyle w:val="9"/>
        <w:spacing w:line="364" w:lineRule="auto"/>
        <w:ind w:left="218" w:right="257" w:firstLine="480"/>
        <w:jc w:val="both"/>
      </w:pPr>
      <w:r>
        <w:rPr>
          <w:color w:val="FF0000"/>
          <w:spacing w:val="-7"/>
        </w:rPr>
        <w:t>目前，双鸭山市辖区煤矿原煤产量不足，随着本市煤化工企业逐步达产，对原煤的需求量将急剧增加。本矿井原煤煤质为低灰分，低硫、低磷，发热量中等动力用煤，矿</w:t>
      </w:r>
      <w:r>
        <w:rPr>
          <w:color w:val="FF0000"/>
        </w:rPr>
        <w:t>井可通过进一步筛分，提高煤质，从而增加产品市场竞争力。</w:t>
      </w:r>
    </w:p>
    <w:p>
      <w:pPr>
        <w:pStyle w:val="9"/>
        <w:spacing w:line="364" w:lineRule="auto"/>
        <w:ind w:left="218" w:right="137" w:firstLine="480"/>
      </w:pPr>
      <w:r>
        <w:rPr>
          <w:color w:val="FF0000"/>
          <w:spacing w:val="-4"/>
        </w:rPr>
        <w:t>本井田煤种为不粘煤和贫煤，主要用作动力用煤，少量可做炼焦用煤，煤炭销售市</w:t>
      </w:r>
      <w:r>
        <w:rPr>
          <w:color w:val="FF0000"/>
          <w:spacing w:val="-16"/>
        </w:rPr>
        <w:t xml:space="preserve">场前景广阔。因此，本矿井启动后可大大缓解本地区煤供不应求的局面。本项目的实施， </w:t>
      </w:r>
      <w:r>
        <w:rPr>
          <w:color w:val="FF0000"/>
          <w:spacing w:val="-4"/>
        </w:rPr>
        <w:t>有利于当地财政收入的增加，因此有利于工薪阶层增加收入。因项目建设所导致的从业</w:t>
      </w:r>
      <w:r>
        <w:rPr>
          <w:color w:val="FF0000"/>
          <w:spacing w:val="-9"/>
        </w:rPr>
        <w:t>人员的增加，其消费、娱乐等的需求，必将带动二、三产业的发展，使从事这些行业的</w:t>
      </w:r>
      <w:r>
        <w:rPr>
          <w:color w:val="FF0000"/>
          <w:spacing w:val="-12"/>
        </w:rPr>
        <w:t>当地居民增加收入。从整体方面来说，项目的建成，有利于企业本身的发展，有利于带动周边企业的发展，有利于带动当地经济的发展，有利于当地居民的经济发展。</w:t>
      </w:r>
    </w:p>
    <w:p>
      <w:pPr>
        <w:pStyle w:val="9"/>
        <w:spacing w:line="306" w:lineRule="exact"/>
        <w:ind w:left="698"/>
      </w:pPr>
      <w:r>
        <w:rPr>
          <w:color w:val="FF0000"/>
        </w:rPr>
        <w:t>综上所述，从自身因素到社会需求，双鸭山盟度矿业有限责任公司进行改扩建生产</w:t>
      </w:r>
    </w:p>
    <w:p>
      <w:pPr>
        <w:spacing w:after="0" w:line="306" w:lineRule="exact"/>
        <w:sectPr>
          <w:pgSz w:w="11910" w:h="16840"/>
          <w:pgMar w:top="1360" w:right="1160" w:bottom="1180" w:left="1200" w:header="0" w:footer="993" w:gutter="0"/>
        </w:sectPr>
      </w:pPr>
    </w:p>
    <w:p>
      <w:pPr>
        <w:pStyle w:val="9"/>
        <w:spacing w:before="41"/>
        <w:ind w:left="218"/>
      </w:pPr>
      <w:r>
        <w:rPr>
          <w:color w:val="FF0000"/>
        </w:rPr>
        <w:t>建设都是十分必要的。</w:t>
      </w:r>
    </w:p>
    <w:p>
      <w:pPr>
        <w:pStyle w:val="5"/>
        <w:spacing w:before="161"/>
        <w:ind w:left="218" w:firstLine="0"/>
      </w:pPr>
      <w:bookmarkStart w:id="6" w:name="3、环境影响评价工作过程"/>
      <w:bookmarkEnd w:id="6"/>
      <w:r>
        <w:rPr>
          <w:rFonts w:ascii="Times New Roman" w:eastAsia="Times New Roman"/>
        </w:rPr>
        <w:t>3</w:t>
      </w:r>
      <w:r>
        <w:t>、环境影响评价工作过程</w:t>
      </w:r>
    </w:p>
    <w:p>
      <w:pPr>
        <w:pStyle w:val="9"/>
        <w:spacing w:before="198" w:line="364" w:lineRule="auto"/>
        <w:ind w:left="218" w:right="251" w:firstLine="480"/>
        <w:jc w:val="both"/>
      </w:pPr>
      <w:r>
        <w:rPr>
          <w:spacing w:val="-8"/>
        </w:rPr>
        <w:t>根据《中华人民共和国环境保护法》、《中华人民共和国环境影响评价法》及《建</w:t>
      </w:r>
      <w:r>
        <w:rPr>
          <w:spacing w:val="-6"/>
        </w:rPr>
        <w:t>设项目环境保护管理条例》等有关规定，双鸭山盟度矿业有限责任公司委托黑龙江科大</w:t>
      </w:r>
      <w:r>
        <w:rPr>
          <w:spacing w:val="-4"/>
        </w:rPr>
        <w:t>欣欣环保科技有限公司开展本项目的环境影响评价工作，根据《建设项目环境影响评价</w:t>
      </w:r>
      <w:r>
        <w:rPr>
          <w:spacing w:val="-7"/>
        </w:rPr>
        <w:t>分类管理名录》</w:t>
      </w:r>
      <w:r>
        <w:t>（</w:t>
      </w:r>
      <w:r>
        <w:rPr>
          <w:spacing w:val="-10"/>
        </w:rPr>
        <w:t xml:space="preserve">生态环境部 </w:t>
      </w:r>
      <w:r>
        <w:rPr>
          <w:rFonts w:ascii="Times New Roman" w:eastAsia="Times New Roman"/>
        </w:rPr>
        <w:t xml:space="preserve">2018 </w:t>
      </w:r>
      <w:r>
        <w:rPr>
          <w:spacing w:val="-20"/>
        </w:rPr>
        <w:t xml:space="preserve">年第 </w:t>
      </w:r>
      <w:r>
        <w:rPr>
          <w:rFonts w:ascii="Times New Roman" w:eastAsia="Times New Roman"/>
        </w:rPr>
        <w:t xml:space="preserve">1 </w:t>
      </w:r>
      <w:r>
        <w:rPr>
          <w:spacing w:val="-1"/>
        </w:rPr>
        <w:t>号令修改，</w:t>
      </w:r>
      <w:r>
        <w:rPr>
          <w:rFonts w:ascii="Times New Roman" w:eastAsia="Times New Roman"/>
          <w:spacing w:val="-5"/>
        </w:rPr>
        <w:t>2018</w:t>
      </w:r>
      <w:r>
        <w:rPr>
          <w:rFonts w:ascii="Times New Roman" w:eastAsia="Times New Roman"/>
        </w:rPr>
        <w:t xml:space="preserve"> </w:t>
      </w:r>
      <w:r>
        <w:rPr>
          <w:spacing w:val="-30"/>
        </w:rPr>
        <w:t xml:space="preserve">年 </w:t>
      </w:r>
      <w:r>
        <w:rPr>
          <w:rFonts w:ascii="Times New Roman" w:eastAsia="Times New Roman"/>
        </w:rPr>
        <w:t xml:space="preserve">4 </w:t>
      </w:r>
      <w:r>
        <w:rPr>
          <w:spacing w:val="-30"/>
        </w:rPr>
        <w:t xml:space="preserve">月 </w:t>
      </w:r>
      <w:r>
        <w:rPr>
          <w:rFonts w:ascii="Times New Roman" w:eastAsia="Times New Roman"/>
        </w:rPr>
        <w:t>28</w:t>
      </w:r>
      <w:r>
        <w:rPr>
          <w:rFonts w:ascii="Times New Roman" w:eastAsia="Times New Roman"/>
          <w:spacing w:val="1"/>
        </w:rPr>
        <w:t xml:space="preserve"> </w:t>
      </w:r>
      <w:r>
        <w:t>日</w:t>
      </w:r>
      <w:r>
        <w:rPr>
          <w:spacing w:val="-22"/>
        </w:rPr>
        <w:t>），</w:t>
      </w:r>
      <w:r>
        <w:rPr>
          <w:spacing w:val="-3"/>
        </w:rPr>
        <w:t>本项目类别</w:t>
      </w:r>
    </w:p>
    <w:p>
      <w:pPr>
        <w:pStyle w:val="9"/>
        <w:spacing w:line="362" w:lineRule="auto"/>
        <w:ind w:left="698" w:right="256" w:hanging="480"/>
      </w:pPr>
      <w:r>
        <w:t>为</w:t>
      </w:r>
      <w:r>
        <w:rPr>
          <w:rFonts w:ascii="Times New Roman" w:hAnsi="Times New Roman" w:eastAsia="Times New Roman"/>
        </w:rPr>
        <w:t>“</w:t>
      </w:r>
      <w:r>
        <w:rPr>
          <w:spacing w:val="-5"/>
        </w:rPr>
        <w:t xml:space="preserve">四十一、煤炭开采和洗选业 </w:t>
      </w:r>
      <w:r>
        <w:rPr>
          <w:rFonts w:ascii="Times New Roman" w:hAnsi="Times New Roman" w:eastAsia="Times New Roman"/>
        </w:rPr>
        <w:t xml:space="preserve">128 </w:t>
      </w:r>
      <w:r>
        <w:t>煤炭开采</w:t>
      </w:r>
      <w:r>
        <w:rPr>
          <w:rFonts w:ascii="Times New Roman" w:hAnsi="Times New Roman" w:eastAsia="Times New Roman"/>
        </w:rPr>
        <w:t>”</w:t>
      </w:r>
      <w:r>
        <w:t>，因此本项目需编制环境影响报告书。依据《环境影响评价技术导则总纲》（</w:t>
      </w:r>
      <w:r>
        <w:rPr>
          <w:rFonts w:ascii="Times New Roman" w:hAnsi="Times New Roman" w:eastAsia="Times New Roman"/>
        </w:rPr>
        <w:t>HJ2.1-2016</w:t>
      </w:r>
      <w:r>
        <w:t>）</w:t>
      </w:r>
      <w:r>
        <w:rPr>
          <w:spacing w:val="-1"/>
        </w:rPr>
        <w:t>要求，本次环评工作分为三个</w:t>
      </w:r>
    </w:p>
    <w:p>
      <w:pPr>
        <w:pStyle w:val="9"/>
        <w:spacing w:before="3"/>
        <w:ind w:left="218"/>
      </w:pPr>
      <w:r>
        <w:t>阶段进行。</w:t>
      </w:r>
    </w:p>
    <w:p>
      <w:pPr>
        <w:pStyle w:val="9"/>
        <w:spacing w:before="158" w:line="364" w:lineRule="auto"/>
        <w:ind w:left="218" w:right="257" w:firstLine="480"/>
        <w:jc w:val="both"/>
      </w:pPr>
      <w:r>
        <w:rPr>
          <w:rFonts w:ascii="Times New Roman" w:eastAsia="Times New Roman"/>
        </w:rPr>
        <w:t>1</w:t>
      </w:r>
      <w:r>
        <w:t>、在研究相关技术及其他有关文件基础上进行初步工程分析，开展了初步环境现</w:t>
      </w:r>
      <w:r>
        <w:rPr>
          <w:spacing w:val="-7"/>
        </w:rPr>
        <w:t>状调查，进行了环境影响识别和评价因子筛选。明确了评价重点为环境空气影响和环境风险评价，确定了保护目标，进一步确定评价工作等级、范围及评价标准，制定出相应</w:t>
      </w:r>
      <w:r>
        <w:t>工作方案。</w:t>
      </w:r>
    </w:p>
    <w:p>
      <w:pPr>
        <w:pStyle w:val="9"/>
        <w:spacing w:line="362" w:lineRule="auto"/>
        <w:ind w:left="218" w:right="256" w:firstLine="480"/>
      </w:pPr>
      <w:r>
        <w:rPr>
          <w:rFonts w:ascii="Times New Roman" w:eastAsia="Times New Roman"/>
        </w:rPr>
        <w:t>2</w:t>
      </w:r>
      <w:r>
        <w:t>、根据第一阶段工作成果，对环境现状进行了监测与评价，详细进行工程分析， 对各环境要素影响进行预测与分析。</w:t>
      </w:r>
    </w:p>
    <w:p>
      <w:pPr>
        <w:pStyle w:val="9"/>
        <w:spacing w:before="3" w:line="364" w:lineRule="auto"/>
        <w:ind w:left="218" w:right="137" w:firstLine="480"/>
      </w:pPr>
      <w:r>
        <w:rPr>
          <w:rFonts w:ascii="Times New Roman" w:eastAsia="Times New Roman"/>
        </w:rPr>
        <w:t>3</w:t>
      </w:r>
      <w:r>
        <w:t>、提出环境保护措施，进行经济技术可行性论证，给出污染物排放清单，并给出</w:t>
      </w:r>
      <w:r>
        <w:rPr>
          <w:spacing w:val="-15"/>
        </w:rPr>
        <w:t>评价结论。为工程设计、环保决策提供科学依据。本项目环境影响评价工作程序见下图。</w:t>
      </w:r>
    </w:p>
    <w:p>
      <w:pPr>
        <w:spacing w:after="0" w:line="364" w:lineRule="auto"/>
        <w:sectPr>
          <w:pgSz w:w="11910" w:h="16840"/>
          <w:pgMar w:top="1360" w:right="1160" w:bottom="1180" w:left="1200" w:header="0" w:footer="993" w:gutter="0"/>
        </w:sectPr>
      </w:pPr>
    </w:p>
    <w:p>
      <w:pPr>
        <w:pStyle w:val="9"/>
        <w:ind w:left="638"/>
        <w:rPr>
          <w:sz w:val="20"/>
        </w:rPr>
      </w:pPr>
      <w:r>
        <w:rPr>
          <w:sz w:val="20"/>
        </w:rPr>
        <w:drawing>
          <wp:inline distT="0" distB="0" distL="0" distR="0">
            <wp:extent cx="5582285" cy="518414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34" cstate="print"/>
                    <a:stretch>
                      <a:fillRect/>
                    </a:stretch>
                  </pic:blipFill>
                  <pic:spPr>
                    <a:xfrm>
                      <a:off x="0" y="0"/>
                      <a:ext cx="5582285" cy="5184648"/>
                    </a:xfrm>
                    <a:prstGeom prst="rect">
                      <a:avLst/>
                    </a:prstGeom>
                  </pic:spPr>
                </pic:pic>
              </a:graphicData>
            </a:graphic>
          </wp:inline>
        </w:drawing>
      </w:r>
    </w:p>
    <w:p>
      <w:pPr>
        <w:pStyle w:val="9"/>
        <w:spacing w:before="2"/>
        <w:rPr>
          <w:sz w:val="6"/>
        </w:rPr>
      </w:pPr>
    </w:p>
    <w:p>
      <w:pPr>
        <w:spacing w:after="0"/>
        <w:rPr>
          <w:sz w:val="6"/>
        </w:rPr>
        <w:sectPr>
          <w:pgSz w:w="11910" w:h="16840"/>
          <w:pgMar w:top="1400" w:right="1160" w:bottom="1180" w:left="1200" w:header="0" w:footer="993" w:gutter="0"/>
        </w:sectPr>
      </w:pPr>
    </w:p>
    <w:p>
      <w:pPr>
        <w:pStyle w:val="9"/>
        <w:spacing w:before="11"/>
        <w:rPr>
          <w:sz w:val="37"/>
        </w:rPr>
      </w:pPr>
    </w:p>
    <w:p>
      <w:pPr>
        <w:pStyle w:val="5"/>
        <w:spacing w:before="1"/>
        <w:ind w:left="218" w:firstLine="0"/>
      </w:pPr>
      <w:bookmarkStart w:id="7" w:name="_bookmark3"/>
      <w:bookmarkEnd w:id="7"/>
      <w:bookmarkStart w:id="8" w:name="4、建设项目特点"/>
      <w:bookmarkEnd w:id="8"/>
      <w:r>
        <w:rPr>
          <w:rFonts w:ascii="Times New Roman" w:eastAsia="Times New Roman"/>
        </w:rPr>
        <w:t>4</w:t>
      </w:r>
      <w:r>
        <w:t>、建设项目特点</w:t>
      </w:r>
    </w:p>
    <w:p>
      <w:pPr>
        <w:spacing w:before="76"/>
        <w:ind w:left="218" w:right="0" w:firstLine="0"/>
        <w:jc w:val="left"/>
        <w:rPr>
          <w:b/>
          <w:sz w:val="21"/>
        </w:rPr>
      </w:pPr>
      <w:r>
        <w:br w:type="column"/>
      </w:r>
      <w:r>
        <w:rPr>
          <w:b/>
          <w:sz w:val="21"/>
        </w:rPr>
        <w:t xml:space="preserve">图 </w:t>
      </w:r>
      <w:r>
        <w:rPr>
          <w:rFonts w:ascii="Times New Roman" w:eastAsia="Times New Roman"/>
          <w:b/>
          <w:sz w:val="21"/>
        </w:rPr>
        <w:t xml:space="preserve">1 </w:t>
      </w:r>
      <w:r>
        <w:rPr>
          <w:b/>
          <w:sz w:val="21"/>
        </w:rPr>
        <w:t>环境影响评价工作程序</w:t>
      </w:r>
    </w:p>
    <w:p>
      <w:pPr>
        <w:spacing w:after="0"/>
        <w:jc w:val="left"/>
        <w:rPr>
          <w:sz w:val="21"/>
        </w:rPr>
        <w:sectPr>
          <w:type w:val="continuous"/>
          <w:pgSz w:w="11910" w:h="16840"/>
          <w:pgMar w:top="1580" w:right="1160" w:bottom="280" w:left="1200" w:header="720" w:footer="720" w:gutter="0"/>
          <w:cols w:equalWidth="0" w:num="2">
            <w:col w:w="2515" w:space="944"/>
            <w:col w:w="6091"/>
          </w:cols>
        </w:sectPr>
      </w:pPr>
    </w:p>
    <w:p>
      <w:pPr>
        <w:pStyle w:val="9"/>
        <w:spacing w:before="4"/>
        <w:rPr>
          <w:b/>
          <w:sz w:val="10"/>
        </w:rPr>
      </w:pPr>
    </w:p>
    <w:p>
      <w:pPr>
        <w:pStyle w:val="9"/>
        <w:spacing w:before="66" w:line="362" w:lineRule="auto"/>
        <w:ind w:left="218" w:right="205" w:firstLine="480"/>
      </w:pPr>
      <w:r>
        <w:t>双鸭山双兴时代矿业有限责任公司（原双鸭山双兴时代矿业有限责任公司一井</w:t>
      </w:r>
      <w:r>
        <w:rPr>
          <w:spacing w:val="-9"/>
        </w:rPr>
        <w:t xml:space="preserve">）， </w:t>
      </w:r>
      <w:r>
        <w:rPr>
          <w:spacing w:val="-5"/>
        </w:rPr>
        <w:t xml:space="preserve">改扩建后矿井生产能力为 </w:t>
      </w:r>
      <w:r>
        <w:rPr>
          <w:rFonts w:ascii="Times New Roman" w:eastAsia="Times New Roman"/>
        </w:rPr>
        <w:t xml:space="preserve">30 </w:t>
      </w:r>
      <w:r>
        <w:rPr>
          <w:spacing w:val="-30"/>
        </w:rPr>
        <w:t xml:space="preserve">万 </w:t>
      </w:r>
      <w:r>
        <w:rPr>
          <w:rFonts w:ascii="Times New Roman" w:eastAsia="Times New Roman"/>
        </w:rPr>
        <w:t>t/a</w:t>
      </w:r>
      <w:r>
        <w:rPr>
          <w:spacing w:val="-5"/>
        </w:rPr>
        <w:t xml:space="preserve">，矿井扩储后矿区范围后面积 </w:t>
      </w:r>
      <w:r>
        <w:rPr>
          <w:rFonts w:ascii="Times New Roman" w:eastAsia="Times New Roman"/>
        </w:rPr>
        <w:t>6.1999km</w:t>
      </w:r>
      <w:r>
        <w:rPr>
          <w:rFonts w:ascii="Times New Roman" w:eastAsia="Times New Roman"/>
          <w:position w:val="8"/>
          <w:sz w:val="15"/>
        </w:rPr>
        <w:t>2</w:t>
      </w:r>
      <w:r>
        <w:t>。</w:t>
      </w:r>
    </w:p>
    <w:p>
      <w:pPr>
        <w:pStyle w:val="18"/>
        <w:numPr>
          <w:ilvl w:val="0"/>
          <w:numId w:val="7"/>
        </w:numPr>
        <w:tabs>
          <w:tab w:val="left" w:pos="1304"/>
        </w:tabs>
        <w:spacing w:before="5" w:after="0" w:line="364" w:lineRule="auto"/>
        <w:ind w:left="218" w:right="258" w:firstLine="480"/>
        <w:jc w:val="left"/>
        <w:rPr>
          <w:sz w:val="24"/>
        </w:rPr>
      </w:pPr>
      <w:r>
        <w:rPr>
          <w:sz w:val="24"/>
        </w:rPr>
        <w:t>本项目属于煤矿资源整合项目，采用井工开采，井田境界外围不存在生态恢复问题。</w:t>
      </w:r>
    </w:p>
    <w:p>
      <w:pPr>
        <w:pStyle w:val="18"/>
        <w:numPr>
          <w:ilvl w:val="0"/>
          <w:numId w:val="7"/>
        </w:numPr>
        <w:tabs>
          <w:tab w:val="left" w:pos="1304"/>
        </w:tabs>
        <w:spacing w:before="0" w:after="0" w:line="364" w:lineRule="auto"/>
        <w:ind w:left="218" w:right="257" w:firstLine="480"/>
        <w:jc w:val="both"/>
        <w:rPr>
          <w:sz w:val="24"/>
        </w:rPr>
      </w:pPr>
      <w:r>
        <w:rPr>
          <w:sz w:val="24"/>
        </w:rPr>
        <w:t>矿井建设期，矸石全部用于工业场地和场外道路路基的填筑料。矿井生产期</w:t>
      </w:r>
      <w:r>
        <w:rPr>
          <w:spacing w:val="-6"/>
          <w:sz w:val="24"/>
        </w:rPr>
        <w:t>无永久矸石山，井下矸石及时运出，只有小部分存在矸石临时堆放场，全部用于修路及</w:t>
      </w:r>
      <w:r>
        <w:rPr>
          <w:sz w:val="24"/>
        </w:rPr>
        <w:t>回填采空区。</w:t>
      </w:r>
    </w:p>
    <w:p>
      <w:pPr>
        <w:pStyle w:val="18"/>
        <w:numPr>
          <w:ilvl w:val="0"/>
          <w:numId w:val="7"/>
        </w:numPr>
        <w:tabs>
          <w:tab w:val="left" w:pos="1300"/>
        </w:tabs>
        <w:spacing w:before="0" w:after="0" w:line="307" w:lineRule="exact"/>
        <w:ind w:left="1299" w:right="0" w:hanging="602"/>
        <w:jc w:val="left"/>
        <w:rPr>
          <w:sz w:val="24"/>
        </w:rPr>
      </w:pPr>
      <w:r>
        <w:rPr>
          <w:sz w:val="24"/>
        </w:rPr>
        <w:t>项目开采范围内无居民分布，不涉及居民搬迁。</w:t>
      </w:r>
    </w:p>
    <w:p>
      <w:pPr>
        <w:pStyle w:val="18"/>
        <w:numPr>
          <w:ilvl w:val="0"/>
          <w:numId w:val="7"/>
        </w:numPr>
        <w:tabs>
          <w:tab w:val="left" w:pos="1300"/>
        </w:tabs>
        <w:spacing w:before="157" w:after="0" w:line="362" w:lineRule="auto"/>
        <w:ind w:left="218" w:right="128" w:firstLine="480"/>
        <w:jc w:val="left"/>
        <w:rPr>
          <w:sz w:val="24"/>
        </w:rPr>
      </w:pPr>
      <w:r>
        <w:rPr>
          <w:spacing w:val="-2"/>
          <w:sz w:val="24"/>
        </w:rPr>
        <w:t>本项目供热锅炉采用生物质热水锅炉，产生的废气经布袋除尘器处理后排放，</w:t>
      </w:r>
      <w:r>
        <w:rPr>
          <w:spacing w:val="-12"/>
          <w:position w:val="2"/>
          <w:sz w:val="24"/>
        </w:rPr>
        <w:t>排放浓度满足《锅炉大气污染物排放标准</w:t>
      </w:r>
      <w:r>
        <w:rPr>
          <w:spacing w:val="-238"/>
          <w:position w:val="2"/>
          <w:sz w:val="24"/>
        </w:rPr>
        <w:t>》</w:t>
      </w:r>
      <w:r>
        <w:rPr>
          <w:spacing w:val="-3"/>
          <w:position w:val="2"/>
          <w:sz w:val="24"/>
        </w:rPr>
        <w:t>（</w:t>
      </w:r>
      <w:r>
        <w:rPr>
          <w:rFonts w:ascii="Times New Roman" w:eastAsia="Times New Roman"/>
          <w:spacing w:val="-1"/>
          <w:position w:val="2"/>
          <w:sz w:val="24"/>
        </w:rPr>
        <w:t>G</w:t>
      </w:r>
      <w:r>
        <w:rPr>
          <w:rFonts w:ascii="Times New Roman" w:eastAsia="Times New Roman"/>
          <w:spacing w:val="-2"/>
          <w:position w:val="2"/>
          <w:sz w:val="24"/>
        </w:rPr>
        <w:t>B</w:t>
      </w:r>
      <w:r>
        <w:rPr>
          <w:rFonts w:ascii="Times New Roman" w:eastAsia="Times New Roman"/>
          <w:position w:val="2"/>
          <w:sz w:val="24"/>
        </w:rPr>
        <w:t>13271</w:t>
      </w:r>
      <w:r>
        <w:rPr>
          <w:rFonts w:ascii="Times New Roman" w:eastAsia="Times New Roman"/>
          <w:spacing w:val="1"/>
          <w:position w:val="2"/>
          <w:sz w:val="24"/>
        </w:rPr>
        <w:t>-</w:t>
      </w:r>
      <w:r>
        <w:rPr>
          <w:rFonts w:ascii="Times New Roman" w:eastAsia="Times New Roman"/>
          <w:position w:val="2"/>
          <w:sz w:val="24"/>
        </w:rPr>
        <w:t>2014</w:t>
      </w:r>
      <w:r>
        <w:rPr>
          <w:spacing w:val="-120"/>
          <w:position w:val="2"/>
          <w:sz w:val="24"/>
        </w:rPr>
        <w:t>）</w:t>
      </w:r>
      <w:r>
        <w:rPr>
          <w:spacing w:val="19"/>
          <w:position w:val="2"/>
          <w:sz w:val="24"/>
        </w:rPr>
        <w:t>烟尘</w:t>
      </w:r>
      <w:r>
        <w:rPr>
          <w:rFonts w:ascii="Times New Roman" w:eastAsia="Times New Roman"/>
          <w:position w:val="2"/>
          <w:sz w:val="24"/>
        </w:rPr>
        <w:t>50m</w:t>
      </w:r>
      <w:r>
        <w:rPr>
          <w:rFonts w:ascii="Times New Roman" w:eastAsia="Times New Roman"/>
          <w:spacing w:val="-3"/>
          <w:position w:val="2"/>
          <w:sz w:val="24"/>
        </w:rPr>
        <w:t>g</w:t>
      </w:r>
      <w:r>
        <w:rPr>
          <w:rFonts w:ascii="Times New Roman" w:eastAsia="Times New Roman"/>
          <w:position w:val="2"/>
          <w:sz w:val="24"/>
        </w:rPr>
        <w:t>/</w:t>
      </w:r>
      <w:r>
        <w:rPr>
          <w:rFonts w:ascii="Times New Roman" w:eastAsia="Times New Roman"/>
          <w:spacing w:val="2"/>
          <w:position w:val="2"/>
          <w:sz w:val="24"/>
        </w:rPr>
        <w:t>m</w:t>
      </w:r>
      <w:r>
        <w:rPr>
          <w:rFonts w:ascii="Times New Roman" w:eastAsia="Times New Roman"/>
          <w:spacing w:val="-2"/>
          <w:w w:val="103"/>
          <w:position w:val="2"/>
          <w:sz w:val="24"/>
          <w:vertAlign w:val="superscript"/>
        </w:rPr>
        <w:t>3</w:t>
      </w:r>
      <w:r>
        <w:rPr>
          <w:spacing w:val="-120"/>
          <w:position w:val="2"/>
          <w:sz w:val="24"/>
          <w:vertAlign w:val="baseline"/>
        </w:rPr>
        <w:t>、</w:t>
      </w:r>
      <w:r>
        <w:rPr>
          <w:rFonts w:ascii="Times New Roman" w:eastAsia="Times New Roman"/>
          <w:position w:val="2"/>
          <w:sz w:val="24"/>
          <w:vertAlign w:val="baseline"/>
        </w:rPr>
        <w:t>S</w:t>
      </w:r>
      <w:r>
        <w:rPr>
          <w:rFonts w:ascii="Times New Roman" w:eastAsia="Times New Roman"/>
          <w:spacing w:val="-1"/>
          <w:position w:val="2"/>
          <w:sz w:val="24"/>
          <w:vertAlign w:val="baseline"/>
        </w:rPr>
        <w:t>O</w:t>
      </w:r>
      <w:r>
        <w:rPr>
          <w:rFonts w:ascii="Times New Roman" w:eastAsia="Times New Roman"/>
          <w:spacing w:val="-2"/>
          <w:w w:val="103"/>
          <w:position w:val="2"/>
          <w:sz w:val="24"/>
          <w:vertAlign w:val="subscript"/>
        </w:rPr>
        <w:t>2</w:t>
      </w:r>
      <w:r>
        <w:rPr>
          <w:rFonts w:ascii="Times New Roman" w:eastAsia="Times New Roman"/>
          <w:position w:val="2"/>
          <w:sz w:val="24"/>
          <w:vertAlign w:val="baseline"/>
        </w:rPr>
        <w:t>300m</w:t>
      </w:r>
      <w:r>
        <w:rPr>
          <w:rFonts w:ascii="Times New Roman" w:eastAsia="Times New Roman"/>
          <w:spacing w:val="-3"/>
          <w:position w:val="2"/>
          <w:sz w:val="24"/>
          <w:vertAlign w:val="baseline"/>
        </w:rPr>
        <w:t>g</w:t>
      </w:r>
      <w:r>
        <w:rPr>
          <w:rFonts w:ascii="Times New Roman" w:eastAsia="Times New Roman"/>
          <w:position w:val="2"/>
          <w:sz w:val="24"/>
          <w:vertAlign w:val="baseline"/>
        </w:rPr>
        <w:t>/</w:t>
      </w:r>
      <w:r>
        <w:rPr>
          <w:rFonts w:ascii="Times New Roman" w:eastAsia="Times New Roman"/>
          <w:spacing w:val="2"/>
          <w:position w:val="2"/>
          <w:sz w:val="24"/>
          <w:vertAlign w:val="baseline"/>
        </w:rPr>
        <w:t>m</w:t>
      </w:r>
      <w:r>
        <w:rPr>
          <w:rFonts w:ascii="Times New Roman" w:eastAsia="Times New Roman"/>
          <w:spacing w:val="-2"/>
          <w:w w:val="103"/>
          <w:position w:val="2"/>
          <w:sz w:val="24"/>
          <w:vertAlign w:val="superscript"/>
        </w:rPr>
        <w:t>3</w:t>
      </w:r>
      <w:r>
        <w:rPr>
          <w:spacing w:val="-13"/>
          <w:position w:val="2"/>
          <w:sz w:val="24"/>
          <w:vertAlign w:val="baseline"/>
        </w:rPr>
        <w:t>、</w:t>
      </w:r>
    </w:p>
    <w:p>
      <w:pPr>
        <w:spacing w:after="0" w:line="362" w:lineRule="auto"/>
        <w:jc w:val="left"/>
        <w:rPr>
          <w:sz w:val="24"/>
        </w:rPr>
        <w:sectPr>
          <w:type w:val="continuous"/>
          <w:pgSz w:w="11910" w:h="16840"/>
          <w:pgMar w:top="1580" w:right="1160" w:bottom="280" w:left="1200" w:header="720" w:footer="720" w:gutter="0"/>
        </w:sectPr>
      </w:pPr>
    </w:p>
    <w:p>
      <w:pPr>
        <w:pStyle w:val="9"/>
        <w:spacing w:before="58" w:line="362" w:lineRule="auto"/>
        <w:ind w:left="218" w:right="128"/>
      </w:pPr>
      <w:r>
        <w:rPr>
          <w:rFonts w:ascii="Times New Roman" w:eastAsia="Times New Roman"/>
          <w:position w:val="2"/>
        </w:rPr>
        <w:t>NO</w:t>
      </w:r>
      <w:r>
        <w:rPr>
          <w:rFonts w:ascii="Times New Roman" w:eastAsia="Times New Roman"/>
          <w:position w:val="2"/>
          <w:vertAlign w:val="subscript"/>
        </w:rPr>
        <w:t>x</w:t>
      </w:r>
      <w:r>
        <w:rPr>
          <w:rFonts w:ascii="Times New Roman" w:eastAsia="Times New Roman"/>
          <w:position w:val="2"/>
          <w:vertAlign w:val="baseline"/>
        </w:rPr>
        <w:t>300mg/m</w:t>
      </w:r>
      <w:r>
        <w:rPr>
          <w:rFonts w:ascii="Times New Roman" w:eastAsia="Times New Roman"/>
          <w:position w:val="2"/>
          <w:vertAlign w:val="superscript"/>
        </w:rPr>
        <w:t>3</w:t>
      </w:r>
      <w:r>
        <w:rPr>
          <w:rFonts w:ascii="Times New Roman" w:eastAsia="Times New Roman"/>
          <w:position w:val="2"/>
          <w:vertAlign w:val="baseline"/>
        </w:rPr>
        <w:t xml:space="preserve"> </w:t>
      </w:r>
      <w:r>
        <w:rPr>
          <w:spacing w:val="-7"/>
          <w:position w:val="2"/>
          <w:vertAlign w:val="baseline"/>
        </w:rPr>
        <w:t>的标准限值要求；井筒加热采用热风炉，产生的废气经布袋除尘器处理后</w:t>
      </w:r>
      <w:r>
        <w:rPr>
          <w:spacing w:val="-7"/>
          <w:vertAlign w:val="baseline"/>
        </w:rPr>
        <w:t>排放，热风炉污染物排放浓度满足《工业炉窑大气污染物排放</w:t>
      </w:r>
      <w:r>
        <w:rPr>
          <w:spacing w:val="-10"/>
          <w:sz w:val="21"/>
          <w:vertAlign w:val="baseline"/>
        </w:rPr>
        <w:t>标准》</w:t>
      </w:r>
      <w:r>
        <w:rPr>
          <w:sz w:val="21"/>
          <w:vertAlign w:val="baseline"/>
        </w:rPr>
        <w:t>（</w:t>
      </w:r>
      <w:r>
        <w:rPr>
          <w:rFonts w:ascii="Times New Roman" w:eastAsia="Times New Roman"/>
          <w:sz w:val="21"/>
          <w:vertAlign w:val="baseline"/>
        </w:rPr>
        <w:t>GB9078-1996</w:t>
      </w:r>
      <w:r>
        <w:rPr>
          <w:sz w:val="21"/>
          <w:vertAlign w:val="baseline"/>
        </w:rPr>
        <w:t xml:space="preserve">）中表 </w:t>
      </w:r>
      <w:r>
        <w:rPr>
          <w:rFonts w:ascii="Times New Roman" w:eastAsia="Times New Roman"/>
          <w:position w:val="2"/>
          <w:sz w:val="21"/>
          <w:vertAlign w:val="baseline"/>
        </w:rPr>
        <w:t xml:space="preserve">2 </w:t>
      </w:r>
      <w:r>
        <w:rPr>
          <w:spacing w:val="-13"/>
          <w:position w:val="2"/>
          <w:sz w:val="21"/>
          <w:vertAlign w:val="baseline"/>
        </w:rPr>
        <w:t xml:space="preserve">及表 </w:t>
      </w:r>
      <w:r>
        <w:rPr>
          <w:rFonts w:ascii="Times New Roman" w:eastAsia="Times New Roman"/>
          <w:position w:val="2"/>
          <w:sz w:val="21"/>
          <w:vertAlign w:val="baseline"/>
        </w:rPr>
        <w:t xml:space="preserve">4 </w:t>
      </w:r>
      <w:r>
        <w:rPr>
          <w:spacing w:val="4"/>
          <w:position w:val="2"/>
          <w:sz w:val="21"/>
          <w:vertAlign w:val="baseline"/>
        </w:rPr>
        <w:t>中</w:t>
      </w:r>
      <w:r>
        <w:rPr>
          <w:spacing w:val="-17"/>
          <w:position w:val="2"/>
          <w:vertAlign w:val="baseline"/>
        </w:rPr>
        <w:t xml:space="preserve">烟尘 </w:t>
      </w:r>
      <w:r>
        <w:rPr>
          <w:rFonts w:ascii="Times New Roman" w:eastAsia="Times New Roman"/>
          <w:position w:val="2"/>
          <w:vertAlign w:val="baseline"/>
        </w:rPr>
        <w:t>200mg/m</w:t>
      </w:r>
      <w:r>
        <w:rPr>
          <w:rFonts w:ascii="Times New Roman" w:eastAsia="Times New Roman"/>
          <w:position w:val="2"/>
          <w:vertAlign w:val="superscript"/>
        </w:rPr>
        <w:t>3</w:t>
      </w:r>
      <w:r>
        <w:rPr>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850mg/m</w:t>
      </w:r>
      <w:r>
        <w:rPr>
          <w:rFonts w:ascii="Times New Roman" w:eastAsia="Times New Roman"/>
          <w:position w:val="2"/>
          <w:vertAlign w:val="superscript"/>
        </w:rPr>
        <w:t>3</w:t>
      </w:r>
      <w:r>
        <w:rPr>
          <w:rFonts w:ascii="Times New Roman" w:eastAsia="Times New Roman"/>
          <w:position w:val="2"/>
          <w:vertAlign w:val="baseline"/>
        </w:rPr>
        <w:t xml:space="preserve"> </w:t>
      </w:r>
      <w:r>
        <w:rPr>
          <w:position w:val="2"/>
          <w:vertAlign w:val="baseline"/>
        </w:rPr>
        <w:t>的标准限值要求。</w:t>
      </w:r>
      <w:r>
        <w:rPr>
          <w:color w:val="FF0000"/>
          <w:position w:val="2"/>
          <w:vertAlign w:val="baseline"/>
        </w:rPr>
        <w:t>筛分车间排放浓度满足《煤</w:t>
      </w:r>
      <w:r>
        <w:rPr>
          <w:color w:val="FF0000"/>
          <w:spacing w:val="-4"/>
          <w:vertAlign w:val="baseline"/>
        </w:rPr>
        <w:t>炭工业污染物排放标准》</w:t>
      </w:r>
      <w:r>
        <w:rPr>
          <w:color w:val="FF0000"/>
          <w:vertAlign w:val="baseline"/>
        </w:rPr>
        <w:t>（</w:t>
      </w:r>
      <w:r>
        <w:rPr>
          <w:rFonts w:ascii="Times New Roman" w:eastAsia="Times New Roman"/>
          <w:color w:val="FF0000"/>
          <w:vertAlign w:val="baseline"/>
        </w:rPr>
        <w:t>GB20426-2006</w:t>
      </w:r>
      <w:r>
        <w:rPr>
          <w:color w:val="FF0000"/>
          <w:vertAlign w:val="baseline"/>
        </w:rPr>
        <w:t>）</w:t>
      </w:r>
      <w:r>
        <w:rPr>
          <w:color w:val="FF0000"/>
          <w:spacing w:val="-32"/>
          <w:vertAlign w:val="baseline"/>
        </w:rPr>
        <w:t xml:space="preserve">表 </w:t>
      </w:r>
      <w:r>
        <w:rPr>
          <w:rFonts w:ascii="Times New Roman" w:eastAsia="Times New Roman"/>
          <w:color w:val="FF0000"/>
          <w:vertAlign w:val="baseline"/>
        </w:rPr>
        <w:t xml:space="preserve">4 </w:t>
      </w:r>
      <w:r>
        <w:rPr>
          <w:color w:val="FF0000"/>
          <w:spacing w:val="-11"/>
          <w:vertAlign w:val="baseline"/>
        </w:rPr>
        <w:t xml:space="preserve">标准限值，颗粒物 </w:t>
      </w:r>
      <w:r>
        <w:rPr>
          <w:rFonts w:ascii="Times New Roman" w:eastAsia="Times New Roman"/>
          <w:color w:val="FF0000"/>
          <w:vertAlign w:val="baseline"/>
        </w:rPr>
        <w:t>80mg/m</w:t>
      </w:r>
      <w:r>
        <w:rPr>
          <w:rFonts w:ascii="Times New Roman" w:eastAsia="Times New Roman"/>
          <w:color w:val="FF0000"/>
          <w:position w:val="8"/>
          <w:sz w:val="15"/>
          <w:vertAlign w:val="baseline"/>
        </w:rPr>
        <w:t>3</w:t>
      </w:r>
      <w:r>
        <w:rPr>
          <w:color w:val="FF0000"/>
          <w:spacing w:val="-4"/>
          <w:vertAlign w:val="baseline"/>
        </w:rPr>
        <w:t>。本项目矸</w:t>
      </w:r>
      <w:r>
        <w:rPr>
          <w:color w:val="FF0000"/>
          <w:spacing w:val="1"/>
          <w:vertAlign w:val="baseline"/>
        </w:rPr>
        <w:t>石暂存场满足《煤炭工业污染物排放标准》</w:t>
      </w:r>
      <w:r>
        <w:rPr>
          <w:color w:val="FF0000"/>
          <w:vertAlign w:val="baseline"/>
        </w:rPr>
        <w:t>（</w:t>
      </w:r>
      <w:r>
        <w:rPr>
          <w:rFonts w:ascii="Times New Roman" w:eastAsia="Times New Roman"/>
          <w:color w:val="FF0000"/>
          <w:vertAlign w:val="baseline"/>
        </w:rPr>
        <w:t>GB20426-2006</w:t>
      </w:r>
      <w:r>
        <w:rPr>
          <w:color w:val="FF0000"/>
          <w:vertAlign w:val="baseline"/>
        </w:rPr>
        <w:t>）</w:t>
      </w:r>
      <w:r>
        <w:rPr>
          <w:color w:val="FF0000"/>
          <w:spacing w:val="-28"/>
          <w:vertAlign w:val="baseline"/>
        </w:rPr>
        <w:t xml:space="preserve">表 </w:t>
      </w:r>
      <w:r>
        <w:rPr>
          <w:rFonts w:ascii="Times New Roman" w:eastAsia="Times New Roman"/>
          <w:color w:val="FF0000"/>
          <w:vertAlign w:val="baseline"/>
        </w:rPr>
        <w:t xml:space="preserve">5 </w:t>
      </w:r>
      <w:r>
        <w:rPr>
          <w:color w:val="FF0000"/>
          <w:spacing w:val="2"/>
          <w:vertAlign w:val="baseline"/>
        </w:rPr>
        <w:t>标准限值，颗粒物</w:t>
      </w:r>
      <w:r>
        <w:rPr>
          <w:rFonts w:ascii="Times New Roman" w:eastAsia="Times New Roman"/>
          <w:color w:val="FF0000"/>
          <w:spacing w:val="2"/>
          <w:position w:val="2"/>
          <w:vertAlign w:val="baseline"/>
        </w:rPr>
        <w:t>1.0mg/m</w:t>
      </w:r>
      <w:r>
        <w:rPr>
          <w:rFonts w:ascii="Times New Roman" w:eastAsia="Times New Roman"/>
          <w:color w:val="FF0000"/>
          <w:spacing w:val="2"/>
          <w:position w:val="2"/>
          <w:vertAlign w:val="superscript"/>
        </w:rPr>
        <w:t>3</w:t>
      </w:r>
      <w:r>
        <w:rPr>
          <w:color w:val="FF0000"/>
          <w:spacing w:val="-12"/>
          <w:position w:val="2"/>
          <w:vertAlign w:val="baseline"/>
        </w:rPr>
        <w:t>、</w:t>
      </w:r>
      <w:r>
        <w:rPr>
          <w:rFonts w:ascii="Times New Roman" w:eastAsia="Times New Roman"/>
          <w:color w:val="FF0000"/>
          <w:position w:val="2"/>
          <w:vertAlign w:val="baseline"/>
        </w:rPr>
        <w:t>SO</w:t>
      </w:r>
      <w:r>
        <w:rPr>
          <w:rFonts w:ascii="Times New Roman" w:eastAsia="Times New Roman"/>
          <w:color w:val="FF0000"/>
          <w:position w:val="2"/>
          <w:vertAlign w:val="subscript"/>
        </w:rPr>
        <w:t>2</w:t>
      </w:r>
      <w:r>
        <w:rPr>
          <w:rFonts w:ascii="Times New Roman" w:eastAsia="Times New Roman"/>
          <w:color w:val="FF0000"/>
          <w:position w:val="2"/>
          <w:vertAlign w:val="baseline"/>
        </w:rPr>
        <w:t>0.4mg/m</w:t>
      </w:r>
      <w:r>
        <w:rPr>
          <w:rFonts w:ascii="Times New Roman" w:eastAsia="Times New Roman"/>
          <w:color w:val="FF0000"/>
          <w:position w:val="2"/>
          <w:vertAlign w:val="superscript"/>
        </w:rPr>
        <w:t>3</w:t>
      </w:r>
      <w:r>
        <w:rPr>
          <w:color w:val="FF0000"/>
          <w:spacing w:val="-8"/>
          <w:position w:val="2"/>
          <w:vertAlign w:val="baseline"/>
        </w:rPr>
        <w:t>。氨、硫化氢浓度满足《恶臭污染物排放标准》</w:t>
      </w:r>
      <w:r>
        <w:rPr>
          <w:color w:val="FF0000"/>
          <w:spacing w:val="-3"/>
          <w:position w:val="2"/>
          <w:vertAlign w:val="baseline"/>
        </w:rPr>
        <w:t>（</w:t>
      </w:r>
      <w:r>
        <w:rPr>
          <w:rFonts w:ascii="Times New Roman" w:eastAsia="Times New Roman"/>
          <w:color w:val="FF0000"/>
          <w:spacing w:val="-3"/>
          <w:position w:val="2"/>
          <w:vertAlign w:val="baseline"/>
        </w:rPr>
        <w:t>GB14554-93</w:t>
      </w:r>
      <w:r>
        <w:rPr>
          <w:color w:val="FF0000"/>
          <w:spacing w:val="-3"/>
          <w:position w:val="2"/>
          <w:vertAlign w:val="baseline"/>
        </w:rPr>
        <w:t xml:space="preserve">） </w:t>
      </w:r>
      <w:r>
        <w:rPr>
          <w:color w:val="FF0000"/>
          <w:spacing w:val="-30"/>
          <w:vertAlign w:val="baseline"/>
        </w:rPr>
        <w:t xml:space="preserve">表 </w:t>
      </w:r>
      <w:r>
        <w:rPr>
          <w:rFonts w:ascii="Times New Roman" w:eastAsia="Times New Roman"/>
          <w:color w:val="FF0000"/>
          <w:vertAlign w:val="baseline"/>
        </w:rPr>
        <w:t xml:space="preserve">1 </w:t>
      </w:r>
      <w:r>
        <w:rPr>
          <w:color w:val="FF0000"/>
          <w:vertAlign w:val="baseline"/>
        </w:rPr>
        <w:t>中的二级标准。</w:t>
      </w:r>
    </w:p>
    <w:p>
      <w:pPr>
        <w:pStyle w:val="18"/>
        <w:numPr>
          <w:ilvl w:val="0"/>
          <w:numId w:val="7"/>
        </w:numPr>
        <w:tabs>
          <w:tab w:val="left" w:pos="1304"/>
        </w:tabs>
        <w:spacing w:before="8" w:after="0" w:line="364" w:lineRule="auto"/>
        <w:ind w:left="218" w:right="257" w:firstLine="480"/>
        <w:jc w:val="both"/>
        <w:rPr>
          <w:sz w:val="24"/>
        </w:rPr>
      </w:pPr>
      <w:r>
        <w:rPr>
          <w:sz w:val="24"/>
        </w:rPr>
        <w:t>生活污水处理达标后全部回用于井下生产、临时排矸场抑尘及道路洒水；采</w:t>
      </w:r>
      <w:r>
        <w:rPr>
          <w:spacing w:val="-5"/>
          <w:sz w:val="24"/>
        </w:rPr>
        <w:t>煤废水经过矿井水处理站处理后，部分回用于井下生产用水、洗浴用水、洗衣用水和锅</w:t>
      </w:r>
      <w:r>
        <w:rPr>
          <w:sz w:val="24"/>
        </w:rPr>
        <w:t>炉补水等非饮用生活用水，</w:t>
      </w:r>
      <w:r>
        <w:rPr>
          <w:color w:val="FF0000"/>
          <w:sz w:val="24"/>
        </w:rPr>
        <w:t>剩余部分出售给黑龙江建龙钢铁有限公司综合利用。</w:t>
      </w:r>
    </w:p>
    <w:p>
      <w:pPr>
        <w:pStyle w:val="9"/>
        <w:spacing w:line="364" w:lineRule="auto"/>
        <w:ind w:left="218" w:right="256" w:firstLine="480"/>
      </w:pPr>
      <w:r>
        <w:t>本项目在严格按照本报告所提各项环保措施建设后，不会对周围环境造成较大影响。</w:t>
      </w:r>
    </w:p>
    <w:p>
      <w:pPr>
        <w:pStyle w:val="5"/>
        <w:ind w:left="218" w:firstLine="0"/>
      </w:pPr>
      <w:bookmarkStart w:id="9" w:name="_bookmark4"/>
      <w:bookmarkEnd w:id="9"/>
      <w:bookmarkStart w:id="10" w:name="5、关注的主要环境问题与环境影响"/>
      <w:bookmarkEnd w:id="10"/>
      <w:r>
        <w:rPr>
          <w:rFonts w:ascii="Times New Roman" w:eastAsia="Times New Roman"/>
        </w:rPr>
        <w:t>5</w:t>
      </w:r>
      <w:r>
        <w:t>、关注的主要环境问题与环境影响</w:t>
      </w:r>
    </w:p>
    <w:p>
      <w:pPr>
        <w:pStyle w:val="9"/>
        <w:spacing w:before="197" w:line="362" w:lineRule="auto"/>
        <w:ind w:left="218" w:right="256" w:firstLine="480"/>
      </w:pPr>
      <w:r>
        <w:t>本次评价主要关注的环境问题是建设项目建设过程及投入营运后主要污染物的产生、控制。</w:t>
      </w:r>
      <w:r>
        <w:rPr>
          <w:color w:val="FF0000"/>
        </w:rPr>
        <w:t>需关注的主要环境问题包括：</w:t>
      </w:r>
    </w:p>
    <w:p>
      <w:pPr>
        <w:pStyle w:val="18"/>
        <w:numPr>
          <w:ilvl w:val="0"/>
          <w:numId w:val="8"/>
        </w:numPr>
        <w:tabs>
          <w:tab w:val="left" w:pos="1300"/>
        </w:tabs>
        <w:spacing w:before="3" w:after="0" w:line="240" w:lineRule="auto"/>
        <w:ind w:left="1299" w:right="0" w:hanging="602"/>
        <w:jc w:val="left"/>
        <w:rPr>
          <w:sz w:val="24"/>
        </w:rPr>
      </w:pPr>
      <w:r>
        <w:rPr>
          <w:color w:val="FF0000"/>
          <w:sz w:val="24"/>
        </w:rPr>
        <w:t>生态影响</w:t>
      </w:r>
    </w:p>
    <w:p>
      <w:pPr>
        <w:pStyle w:val="9"/>
        <w:spacing w:before="160"/>
        <w:ind w:left="698"/>
      </w:pPr>
      <w:r>
        <w:rPr>
          <w:color w:val="FF0000"/>
        </w:rPr>
        <w:t>煤层开采会造成地表变形，对井田范围内的生态环境有一定的影响。</w:t>
      </w:r>
    </w:p>
    <w:p>
      <w:pPr>
        <w:pStyle w:val="18"/>
        <w:numPr>
          <w:ilvl w:val="0"/>
          <w:numId w:val="8"/>
        </w:numPr>
        <w:tabs>
          <w:tab w:val="left" w:pos="1300"/>
        </w:tabs>
        <w:spacing w:before="161" w:after="0" w:line="240" w:lineRule="auto"/>
        <w:ind w:left="1299" w:right="0" w:hanging="602"/>
        <w:jc w:val="left"/>
        <w:rPr>
          <w:sz w:val="24"/>
        </w:rPr>
      </w:pPr>
      <w:r>
        <w:rPr>
          <w:color w:val="FF0000"/>
          <w:sz w:val="24"/>
        </w:rPr>
        <w:t>废气</w:t>
      </w:r>
    </w:p>
    <w:p>
      <w:pPr>
        <w:pStyle w:val="9"/>
        <w:spacing w:before="158" w:line="364" w:lineRule="auto"/>
        <w:ind w:left="218" w:right="257" w:firstLine="480"/>
        <w:jc w:val="both"/>
      </w:pPr>
      <w:r>
        <w:rPr>
          <w:color w:val="FF0000"/>
          <w:spacing w:val="-4"/>
        </w:rPr>
        <w:t>项目大气污染源将涉及有组织排放源及无组织排放源，有组织排放源主要为生活采</w:t>
      </w:r>
      <w:r>
        <w:rPr>
          <w:color w:val="FF0000"/>
          <w:spacing w:val="-7"/>
        </w:rPr>
        <w:t>暖锅炉、热风炉及筛分车间排气筒，无组织源主要为筛分车间无组织排放、矸石临时堆</w:t>
      </w:r>
      <w:r>
        <w:rPr>
          <w:color w:val="FF0000"/>
          <w:spacing w:val="-8"/>
        </w:rPr>
        <w:t>放场、物料转运、装卸等，有组织排放源及无组织排放源排放的废气对周围大气环境有</w:t>
      </w:r>
      <w:r>
        <w:rPr>
          <w:color w:val="FF0000"/>
        </w:rPr>
        <w:t>一定的影响。</w:t>
      </w:r>
    </w:p>
    <w:p>
      <w:pPr>
        <w:pStyle w:val="18"/>
        <w:numPr>
          <w:ilvl w:val="0"/>
          <w:numId w:val="8"/>
        </w:numPr>
        <w:tabs>
          <w:tab w:val="left" w:pos="1300"/>
        </w:tabs>
        <w:spacing w:before="0" w:after="0" w:line="305" w:lineRule="exact"/>
        <w:ind w:left="1299" w:right="0" w:hanging="602"/>
        <w:jc w:val="left"/>
        <w:rPr>
          <w:sz w:val="24"/>
        </w:rPr>
      </w:pPr>
      <w:r>
        <w:rPr>
          <w:color w:val="FF0000"/>
          <w:sz w:val="24"/>
        </w:rPr>
        <w:t>废水</w:t>
      </w:r>
    </w:p>
    <w:p>
      <w:pPr>
        <w:pStyle w:val="9"/>
        <w:spacing w:before="161" w:line="364" w:lineRule="auto"/>
        <w:ind w:left="218" w:right="257" w:firstLine="480"/>
        <w:jc w:val="both"/>
      </w:pPr>
      <w:r>
        <w:rPr>
          <w:color w:val="FF0000"/>
          <w:spacing w:val="-4"/>
        </w:rPr>
        <w:t>项目废水主要包括采煤废水及生活污水，生活污水全部回用不外排，根据生态环境</w:t>
      </w:r>
      <w:r>
        <w:rPr>
          <w:color w:val="FF0000"/>
          <w:spacing w:val="-7"/>
        </w:rPr>
        <w:t>行政主管部门要求，采煤废水部分回用，剩余部分出售给黑龙江建龙钢铁有限公司综合</w:t>
      </w:r>
      <w:r>
        <w:rPr>
          <w:color w:val="FF0000"/>
        </w:rPr>
        <w:t>利用。</w:t>
      </w:r>
    </w:p>
    <w:p>
      <w:pPr>
        <w:pStyle w:val="18"/>
        <w:numPr>
          <w:ilvl w:val="0"/>
          <w:numId w:val="8"/>
        </w:numPr>
        <w:tabs>
          <w:tab w:val="left" w:pos="1300"/>
        </w:tabs>
        <w:spacing w:before="0" w:after="0" w:line="304" w:lineRule="exact"/>
        <w:ind w:left="1299" w:right="0" w:hanging="602"/>
        <w:jc w:val="left"/>
        <w:rPr>
          <w:sz w:val="24"/>
        </w:rPr>
      </w:pPr>
      <w:r>
        <w:rPr>
          <w:color w:val="FF0000"/>
          <w:sz w:val="24"/>
        </w:rPr>
        <w:t>噪声</w:t>
      </w:r>
    </w:p>
    <w:p>
      <w:pPr>
        <w:pStyle w:val="9"/>
        <w:spacing w:before="160" w:line="364" w:lineRule="auto"/>
        <w:ind w:left="218" w:right="257" w:firstLine="480"/>
        <w:jc w:val="both"/>
      </w:pPr>
      <w:r>
        <w:rPr>
          <w:color w:val="FF0000"/>
          <w:spacing w:val="-4"/>
        </w:rPr>
        <w:t>井工开采的噪声主要来自井下噪声源及地面噪声源，井下噪声源一般只对井下工人</w:t>
      </w:r>
      <w:r>
        <w:rPr>
          <w:color w:val="FF0000"/>
          <w:spacing w:val="-6"/>
        </w:rPr>
        <w:t>造成一定的影响，对井上基本无影响，噪声对环境的影响主要来自地面噪声源，来自空</w:t>
      </w:r>
      <w:r>
        <w:rPr>
          <w:color w:val="FF0000"/>
        </w:rPr>
        <w:t>压机、风机、运输车辆等。</w:t>
      </w:r>
    </w:p>
    <w:p>
      <w:pPr>
        <w:spacing w:after="0" w:line="364" w:lineRule="auto"/>
        <w:jc w:val="both"/>
        <w:sectPr>
          <w:pgSz w:w="11910" w:h="16840"/>
          <w:pgMar w:top="1340" w:right="1160" w:bottom="1180" w:left="1200" w:header="0" w:footer="993" w:gutter="0"/>
        </w:sectPr>
      </w:pPr>
    </w:p>
    <w:p>
      <w:pPr>
        <w:pStyle w:val="18"/>
        <w:numPr>
          <w:ilvl w:val="0"/>
          <w:numId w:val="8"/>
        </w:numPr>
        <w:tabs>
          <w:tab w:val="left" w:pos="1300"/>
        </w:tabs>
        <w:spacing w:before="61" w:after="0" w:line="240" w:lineRule="auto"/>
        <w:ind w:left="1299" w:right="0" w:hanging="602"/>
        <w:jc w:val="left"/>
        <w:rPr>
          <w:sz w:val="24"/>
        </w:rPr>
      </w:pPr>
      <w:r>
        <w:rPr>
          <w:color w:val="FF0000"/>
          <w:sz w:val="24"/>
        </w:rPr>
        <w:t>固体废物</w:t>
      </w:r>
    </w:p>
    <w:p>
      <w:pPr>
        <w:pStyle w:val="9"/>
        <w:spacing w:before="158" w:line="364" w:lineRule="auto"/>
        <w:ind w:left="218" w:right="133" w:firstLine="480"/>
      </w:pPr>
      <w:r>
        <w:rPr>
          <w:color w:val="FF0000"/>
          <w:spacing w:val="-10"/>
        </w:rPr>
        <w:t xml:space="preserve">固体废物主要包括煤矿开采产生的煤矸石、煤泥、生活垃圾、废机油、锅炉灰渣等， </w:t>
      </w:r>
      <w:r>
        <w:rPr>
          <w:color w:val="FF0000"/>
        </w:rPr>
        <w:t>固体废物种类包括危险废物、一般工业固体废物及生活垃圾三类。</w:t>
      </w:r>
    </w:p>
    <w:p>
      <w:pPr>
        <w:pStyle w:val="18"/>
        <w:numPr>
          <w:ilvl w:val="0"/>
          <w:numId w:val="8"/>
        </w:numPr>
        <w:tabs>
          <w:tab w:val="left" w:pos="1300"/>
        </w:tabs>
        <w:spacing w:before="1" w:after="0" w:line="240" w:lineRule="auto"/>
        <w:ind w:left="1299" w:right="0" w:hanging="602"/>
        <w:jc w:val="left"/>
        <w:rPr>
          <w:sz w:val="24"/>
        </w:rPr>
      </w:pPr>
      <w:r>
        <w:rPr>
          <w:color w:val="FF0000"/>
          <w:sz w:val="24"/>
        </w:rPr>
        <w:t>地下水</w:t>
      </w:r>
    </w:p>
    <w:p>
      <w:pPr>
        <w:pStyle w:val="9"/>
        <w:spacing w:before="158" w:line="364" w:lineRule="auto"/>
        <w:ind w:left="218" w:right="205" w:firstLine="480"/>
      </w:pPr>
      <w:r>
        <w:rPr>
          <w:color w:val="FF0000"/>
        </w:rPr>
        <w:t>对地下水的影响主要包括煤层开采及矿井涌水排出对区域含水层及水资源的影响， 以及地面工业场地污染源对地下水水质的影响。</w:t>
      </w:r>
    </w:p>
    <w:p>
      <w:pPr>
        <w:pStyle w:val="18"/>
        <w:numPr>
          <w:ilvl w:val="0"/>
          <w:numId w:val="8"/>
        </w:numPr>
        <w:tabs>
          <w:tab w:val="left" w:pos="1300"/>
        </w:tabs>
        <w:spacing w:before="0" w:after="0" w:line="306" w:lineRule="exact"/>
        <w:ind w:left="1299" w:right="0" w:hanging="602"/>
        <w:jc w:val="left"/>
        <w:rPr>
          <w:sz w:val="24"/>
        </w:rPr>
      </w:pPr>
      <w:r>
        <w:rPr>
          <w:color w:val="FF0000"/>
          <w:sz w:val="24"/>
        </w:rPr>
        <w:t>环境风险</w:t>
      </w:r>
    </w:p>
    <w:p>
      <w:pPr>
        <w:pStyle w:val="9"/>
        <w:spacing w:before="161" w:line="364" w:lineRule="auto"/>
        <w:ind w:left="218" w:right="257" w:firstLine="480"/>
        <w:jc w:val="both"/>
      </w:pPr>
      <w:r>
        <w:rPr>
          <w:color w:val="FF0000"/>
          <w:spacing w:val="-5"/>
        </w:rPr>
        <w:t>本项目为高瓦斯矿井，现有瓦斯泵站直接抽排，矿区不设置瓦斯存储设施，瓦斯综</w:t>
      </w:r>
      <w:r>
        <w:rPr>
          <w:color w:val="FF0000"/>
          <w:spacing w:val="-4"/>
        </w:rPr>
        <w:t>合利用部分另外开展环境影响评价工作，不在本项目内进行论述。项目开采过程中涉及</w:t>
      </w:r>
      <w:r>
        <w:rPr>
          <w:color w:val="FF0000"/>
        </w:rPr>
        <w:t>的环境风险主要来自炸药爆炸事故风险、油脂泄漏风险及危险废物泄露风险等。</w:t>
      </w:r>
    </w:p>
    <w:p>
      <w:pPr>
        <w:pStyle w:val="5"/>
        <w:spacing w:line="384" w:lineRule="exact"/>
        <w:ind w:left="218" w:firstLine="0"/>
      </w:pPr>
      <w:bookmarkStart w:id="11" w:name="6、分析判定相关情况"/>
      <w:bookmarkEnd w:id="11"/>
      <w:r>
        <w:rPr>
          <w:rFonts w:ascii="Times New Roman" w:eastAsia="Times New Roman"/>
          <w:color w:val="FF0000"/>
        </w:rPr>
        <w:t>6</w:t>
      </w:r>
      <w:r>
        <w:rPr>
          <w:color w:val="FF0000"/>
        </w:rPr>
        <w:t>、分析判定相关情况</w:t>
      </w:r>
    </w:p>
    <w:p>
      <w:pPr>
        <w:pStyle w:val="18"/>
        <w:numPr>
          <w:ilvl w:val="1"/>
          <w:numId w:val="9"/>
        </w:numPr>
        <w:tabs>
          <w:tab w:val="left" w:pos="668"/>
        </w:tabs>
        <w:spacing w:before="198" w:after="0" w:line="240" w:lineRule="auto"/>
        <w:ind w:left="667" w:right="0" w:hanging="450"/>
        <w:jc w:val="left"/>
        <w:rPr>
          <w:b/>
          <w:sz w:val="32"/>
        </w:rPr>
      </w:pPr>
      <w:bookmarkStart w:id="12" w:name="6.1规划符合性分析"/>
      <w:bookmarkEnd w:id="12"/>
      <w:bookmarkStart w:id="13" w:name="6.1规划符合性分析"/>
      <w:bookmarkEnd w:id="13"/>
      <w:r>
        <w:rPr>
          <w:b/>
          <w:color w:val="FF0000"/>
          <w:sz w:val="32"/>
        </w:rPr>
        <w:t>规划符合性分析</w:t>
      </w:r>
    </w:p>
    <w:p>
      <w:pPr>
        <w:pStyle w:val="18"/>
        <w:numPr>
          <w:ilvl w:val="2"/>
          <w:numId w:val="9"/>
        </w:numPr>
        <w:tabs>
          <w:tab w:val="left" w:pos="848"/>
        </w:tabs>
        <w:spacing w:before="213" w:after="0" w:line="240" w:lineRule="auto"/>
        <w:ind w:left="847" w:right="0" w:hanging="630"/>
        <w:jc w:val="left"/>
        <w:rPr>
          <w:b/>
          <w:sz w:val="28"/>
        </w:rPr>
      </w:pPr>
      <w:bookmarkStart w:id="14" w:name="6.1.1与国家产业政策符合性分析"/>
      <w:bookmarkEnd w:id="14"/>
      <w:bookmarkStart w:id="15" w:name="6.1.1与国家产业政策符合性分析"/>
      <w:bookmarkEnd w:id="15"/>
      <w:r>
        <w:rPr>
          <w:b/>
          <w:color w:val="FF0000"/>
          <w:sz w:val="28"/>
        </w:rPr>
        <w:t>与国家产业政策符合性分析</w:t>
      </w:r>
    </w:p>
    <w:p>
      <w:pPr>
        <w:pStyle w:val="18"/>
        <w:numPr>
          <w:ilvl w:val="3"/>
          <w:numId w:val="9"/>
        </w:numPr>
        <w:tabs>
          <w:tab w:val="left" w:pos="1300"/>
        </w:tabs>
        <w:spacing w:before="185" w:after="0" w:line="364" w:lineRule="auto"/>
        <w:ind w:left="218" w:right="253" w:firstLine="480"/>
        <w:jc w:val="both"/>
        <w:rPr>
          <w:sz w:val="24"/>
        </w:rPr>
      </w:pPr>
      <w:r>
        <w:rPr>
          <w:color w:val="FF0000"/>
          <w:spacing w:val="-7"/>
          <w:sz w:val="24"/>
        </w:rPr>
        <w:t xml:space="preserve">本项目生产规模为 </w:t>
      </w:r>
      <w:r>
        <w:rPr>
          <w:rFonts w:ascii="Times New Roman" w:eastAsia="Times New Roman"/>
          <w:color w:val="FF0000"/>
          <w:sz w:val="24"/>
        </w:rPr>
        <w:t>30</w:t>
      </w:r>
      <w:r>
        <w:rPr>
          <w:rFonts w:ascii="Times New Roman" w:eastAsia="Times New Roman"/>
          <w:color w:val="FF0000"/>
          <w:spacing w:val="-1"/>
          <w:sz w:val="24"/>
        </w:rPr>
        <w:t xml:space="preserve"> </w:t>
      </w:r>
      <w:r>
        <w:rPr>
          <w:color w:val="FF0000"/>
          <w:sz w:val="24"/>
        </w:rPr>
        <w:t>万吨</w:t>
      </w:r>
      <w:r>
        <w:rPr>
          <w:rFonts w:ascii="Times New Roman" w:eastAsia="Times New Roman"/>
          <w:color w:val="FF0000"/>
          <w:sz w:val="24"/>
        </w:rPr>
        <w:t>/</w:t>
      </w:r>
      <w:r>
        <w:rPr>
          <w:color w:val="FF0000"/>
          <w:spacing w:val="-8"/>
          <w:sz w:val="24"/>
        </w:rPr>
        <w:t xml:space="preserve">年的小型煤矿，采用走向长壁后退式采煤方法， </w:t>
      </w:r>
      <w:r>
        <w:rPr>
          <w:color w:val="FF0000"/>
          <w:spacing w:val="-9"/>
          <w:sz w:val="24"/>
        </w:rPr>
        <w:t xml:space="preserve">全部垮落法管理顶板。装备先进，回采率达 </w:t>
      </w:r>
      <w:r>
        <w:rPr>
          <w:rFonts w:ascii="Times New Roman" w:eastAsia="Times New Roman"/>
          <w:color w:val="FF0000"/>
          <w:sz w:val="24"/>
        </w:rPr>
        <w:t>85%</w:t>
      </w:r>
      <w:r>
        <w:rPr>
          <w:color w:val="FF0000"/>
          <w:spacing w:val="-5"/>
          <w:sz w:val="24"/>
        </w:rPr>
        <w:t>以上。从国家的产业政策上看，本项目</w:t>
      </w:r>
      <w:r>
        <w:rPr>
          <w:color w:val="FF0000"/>
          <w:spacing w:val="-4"/>
          <w:sz w:val="24"/>
        </w:rPr>
        <w:t>煤矿的建设规模、开采工艺符合高产、高效、高技术含量的现代化生产煤矿的要求。</w:t>
      </w:r>
    </w:p>
    <w:p>
      <w:pPr>
        <w:pStyle w:val="18"/>
        <w:numPr>
          <w:ilvl w:val="3"/>
          <w:numId w:val="9"/>
        </w:numPr>
        <w:tabs>
          <w:tab w:val="left" w:pos="1300"/>
        </w:tabs>
        <w:spacing w:before="0" w:after="0" w:line="362" w:lineRule="auto"/>
        <w:ind w:left="218" w:right="253" w:firstLine="480"/>
        <w:jc w:val="both"/>
        <w:rPr>
          <w:sz w:val="24"/>
        </w:rPr>
      </w:pPr>
      <w:r>
        <w:rPr>
          <w:color w:val="FF0000"/>
          <w:spacing w:val="-4"/>
          <w:sz w:val="24"/>
        </w:rPr>
        <w:t>本项目开采的煤层煤质为低灰分，低硫、低磷，中</w:t>
      </w:r>
      <w:r>
        <w:rPr>
          <w:rFonts w:ascii="Times New Roman" w:hAnsi="Times New Roman" w:eastAsia="Times New Roman"/>
          <w:color w:val="FF0000"/>
          <w:sz w:val="24"/>
        </w:rPr>
        <w:t>-</w:t>
      </w:r>
      <w:r>
        <w:rPr>
          <w:color w:val="FF0000"/>
          <w:sz w:val="24"/>
        </w:rPr>
        <w:t>中高</w:t>
      </w:r>
      <w:r>
        <w:rPr>
          <w:rFonts w:ascii="Times New Roman" w:hAnsi="Times New Roman" w:eastAsia="Times New Roman"/>
          <w:color w:val="FF0000"/>
          <w:sz w:val="24"/>
        </w:rPr>
        <w:t>-</w:t>
      </w:r>
      <w:r>
        <w:rPr>
          <w:color w:val="FF0000"/>
          <w:spacing w:val="-4"/>
          <w:sz w:val="24"/>
        </w:rPr>
        <w:t>特高发热量煤，动力</w:t>
      </w:r>
      <w:r>
        <w:rPr>
          <w:color w:val="FF0000"/>
          <w:spacing w:val="-5"/>
          <w:sz w:val="24"/>
        </w:rPr>
        <w:t>用煤。符合国务院</w:t>
      </w:r>
      <w:r>
        <w:rPr>
          <w:rFonts w:ascii="Times New Roman" w:hAnsi="Times New Roman" w:eastAsia="Times New Roman"/>
          <w:color w:val="FF0000"/>
          <w:sz w:val="24"/>
        </w:rPr>
        <w:t>[1998]5</w:t>
      </w:r>
      <w:r>
        <w:rPr>
          <w:rFonts w:ascii="Times New Roman" w:hAnsi="Times New Roman" w:eastAsia="Times New Roman"/>
          <w:color w:val="FF0000"/>
          <w:spacing w:val="-3"/>
          <w:sz w:val="24"/>
        </w:rPr>
        <w:t xml:space="preserve"> </w:t>
      </w:r>
      <w:r>
        <w:rPr>
          <w:color w:val="FF0000"/>
          <w:sz w:val="24"/>
        </w:rPr>
        <w:t>号文</w:t>
      </w:r>
      <w:r>
        <w:rPr>
          <w:rFonts w:ascii="Times New Roman" w:hAnsi="Times New Roman" w:eastAsia="Times New Roman"/>
          <w:color w:val="FF0000"/>
          <w:sz w:val="24"/>
        </w:rPr>
        <w:t>“</w:t>
      </w:r>
      <w:r>
        <w:rPr>
          <w:color w:val="FF0000"/>
          <w:spacing w:val="-5"/>
          <w:sz w:val="24"/>
        </w:rPr>
        <w:t xml:space="preserve">禁止新建煤层含硫量大于 </w:t>
      </w:r>
      <w:r>
        <w:rPr>
          <w:rFonts w:ascii="Times New Roman" w:hAnsi="Times New Roman" w:eastAsia="Times New Roman"/>
          <w:color w:val="FF0000"/>
          <w:sz w:val="24"/>
        </w:rPr>
        <w:t>3%</w:t>
      </w:r>
      <w:r>
        <w:rPr>
          <w:color w:val="FF0000"/>
          <w:sz w:val="24"/>
        </w:rPr>
        <w:t>的煤矿</w:t>
      </w:r>
      <w:r>
        <w:rPr>
          <w:rFonts w:ascii="Times New Roman" w:hAnsi="Times New Roman" w:eastAsia="Times New Roman"/>
          <w:color w:val="FF0000"/>
          <w:sz w:val="24"/>
        </w:rPr>
        <w:t>”</w:t>
      </w:r>
      <w:r>
        <w:rPr>
          <w:color w:val="FF0000"/>
          <w:spacing w:val="-2"/>
          <w:sz w:val="24"/>
        </w:rPr>
        <w:t>的国家环境保护政</w:t>
      </w:r>
      <w:r>
        <w:rPr>
          <w:color w:val="FF0000"/>
          <w:sz w:val="24"/>
        </w:rPr>
        <w:t>策要求。</w:t>
      </w:r>
    </w:p>
    <w:p>
      <w:pPr>
        <w:pStyle w:val="18"/>
        <w:numPr>
          <w:ilvl w:val="3"/>
          <w:numId w:val="9"/>
        </w:numPr>
        <w:tabs>
          <w:tab w:val="left" w:pos="1300"/>
        </w:tabs>
        <w:spacing w:before="6" w:after="0" w:line="240" w:lineRule="auto"/>
        <w:ind w:left="1299" w:right="0" w:hanging="602"/>
        <w:jc w:val="left"/>
        <w:rPr>
          <w:sz w:val="24"/>
        </w:rPr>
      </w:pPr>
      <w:r>
        <w:rPr>
          <w:color w:val="FF0000"/>
          <w:spacing w:val="-2"/>
          <w:sz w:val="24"/>
        </w:rPr>
        <w:t>建设期掘进矸石全部用于铺路及回填矿坑，符合《煤矸石综合利用管理办法》</w:t>
      </w:r>
    </w:p>
    <w:p>
      <w:pPr>
        <w:pStyle w:val="18"/>
        <w:numPr>
          <w:ilvl w:val="3"/>
          <w:numId w:val="9"/>
        </w:numPr>
        <w:tabs>
          <w:tab w:val="left" w:pos="1300"/>
        </w:tabs>
        <w:spacing w:before="158" w:after="0" w:line="364" w:lineRule="auto"/>
        <w:ind w:left="218" w:right="256" w:firstLine="480"/>
        <w:jc w:val="left"/>
        <w:rPr>
          <w:sz w:val="24"/>
        </w:rPr>
      </w:pPr>
      <w:r>
        <w:rPr>
          <w:color w:val="FF0000"/>
          <w:sz w:val="24"/>
        </w:rPr>
        <w:t>根据《产业结构调整指导目录（</w:t>
      </w:r>
      <w:r>
        <w:rPr>
          <w:rFonts w:ascii="Times New Roman" w:hAnsi="Times New Roman" w:eastAsia="Times New Roman"/>
          <w:color w:val="FF0000"/>
          <w:sz w:val="24"/>
        </w:rPr>
        <w:t>2019</w:t>
      </w:r>
      <w:r>
        <w:rPr>
          <w:rFonts w:ascii="Times New Roman" w:hAnsi="Times New Roman" w:eastAsia="Times New Roman"/>
          <w:color w:val="FF0000"/>
          <w:spacing w:val="5"/>
          <w:sz w:val="24"/>
        </w:rPr>
        <w:t xml:space="preserve"> </w:t>
      </w:r>
      <w:r>
        <w:rPr>
          <w:color w:val="FF0000"/>
          <w:sz w:val="24"/>
        </w:rPr>
        <w:t>年本）</w:t>
      </w:r>
      <w:r>
        <w:rPr>
          <w:color w:val="FF0000"/>
          <w:spacing w:val="-2"/>
          <w:sz w:val="24"/>
        </w:rPr>
        <w:t>》，本项目不属于限制类及淘汰</w:t>
      </w:r>
      <w:r>
        <w:rPr>
          <w:color w:val="FF0000"/>
          <w:sz w:val="24"/>
        </w:rPr>
        <w:t>类产业项目，为</w:t>
      </w:r>
      <w:r>
        <w:rPr>
          <w:rFonts w:ascii="Times New Roman" w:hAnsi="Times New Roman" w:eastAsia="Times New Roman"/>
          <w:color w:val="FF0000"/>
          <w:sz w:val="24"/>
        </w:rPr>
        <w:t>“</w:t>
      </w:r>
      <w:r>
        <w:rPr>
          <w:color w:val="FF0000"/>
          <w:sz w:val="24"/>
        </w:rPr>
        <w:t>允许类</w:t>
      </w:r>
      <w:r>
        <w:rPr>
          <w:rFonts w:ascii="Times New Roman" w:hAnsi="Times New Roman" w:eastAsia="Times New Roman"/>
          <w:color w:val="FF0000"/>
          <w:sz w:val="24"/>
        </w:rPr>
        <w:t>”</w:t>
      </w:r>
      <w:r>
        <w:rPr>
          <w:color w:val="FF0000"/>
          <w:sz w:val="24"/>
        </w:rPr>
        <w:t>。</w:t>
      </w:r>
    </w:p>
    <w:p>
      <w:pPr>
        <w:pStyle w:val="9"/>
        <w:spacing w:before="1"/>
        <w:ind w:left="698"/>
      </w:pPr>
      <w:r>
        <w:rPr>
          <w:color w:val="FF0000"/>
        </w:rPr>
        <w:t>综合上述分析，本项目的规模、工艺、产品及资源利用均符合相关产业政策要求。</w:t>
      </w:r>
    </w:p>
    <w:p>
      <w:pPr>
        <w:pStyle w:val="5"/>
        <w:numPr>
          <w:ilvl w:val="2"/>
          <w:numId w:val="9"/>
        </w:numPr>
        <w:tabs>
          <w:tab w:val="left" w:pos="848"/>
        </w:tabs>
        <w:spacing w:before="161" w:after="0" w:line="240" w:lineRule="auto"/>
        <w:ind w:left="847" w:right="0" w:hanging="630"/>
        <w:jc w:val="left"/>
      </w:pPr>
      <w:bookmarkStart w:id="16" w:name="6.1.2与黑龙江省矿产资源总体规划协调性分析"/>
      <w:bookmarkEnd w:id="16"/>
      <w:bookmarkStart w:id="17" w:name="6.1.2与黑龙江省矿产资源总体规划协调性分析"/>
      <w:bookmarkEnd w:id="17"/>
      <w:r>
        <w:rPr>
          <w:color w:val="FF0000"/>
        </w:rPr>
        <w:t>与黑龙江省矿产资源总体规划协调性分析</w:t>
      </w:r>
    </w:p>
    <w:p>
      <w:pPr>
        <w:pStyle w:val="9"/>
        <w:spacing w:before="196" w:line="364" w:lineRule="auto"/>
        <w:ind w:left="218" w:right="253" w:firstLine="480"/>
      </w:pPr>
      <w:r>
        <w:rPr>
          <w:color w:val="FF0000"/>
        </w:rPr>
        <w:t>《黑龙江省矿产资源总体规划（</w:t>
      </w:r>
      <w:r>
        <w:rPr>
          <w:rFonts w:ascii="Times New Roman" w:hAnsi="Times New Roman" w:eastAsia="Times New Roman"/>
          <w:color w:val="FF0000"/>
        </w:rPr>
        <w:t xml:space="preserve">2016-2020 </w:t>
      </w:r>
      <w:r>
        <w:rPr>
          <w:color w:val="FF0000"/>
        </w:rPr>
        <w:t>年）》（黑政规〔</w:t>
      </w:r>
      <w:r>
        <w:rPr>
          <w:rFonts w:ascii="Times New Roman" w:hAnsi="Times New Roman" w:eastAsia="Times New Roman"/>
          <w:color w:val="FF0000"/>
        </w:rPr>
        <w:t>2018</w:t>
      </w:r>
      <w:r>
        <w:rPr>
          <w:color w:val="FF0000"/>
        </w:rPr>
        <w:t>〕</w:t>
      </w:r>
      <w:r>
        <w:rPr>
          <w:rFonts w:ascii="Times New Roman" w:hAnsi="Times New Roman" w:eastAsia="Times New Roman"/>
          <w:color w:val="FF0000"/>
        </w:rPr>
        <w:t>1</w:t>
      </w:r>
      <w:r>
        <w:rPr>
          <w:rFonts w:ascii="Times New Roman" w:hAnsi="Times New Roman" w:eastAsia="Times New Roman"/>
          <w:color w:val="FF0000"/>
          <w:spacing w:val="2"/>
        </w:rPr>
        <w:t xml:space="preserve"> </w:t>
      </w:r>
      <w:r>
        <w:rPr>
          <w:color w:val="FF0000"/>
        </w:rPr>
        <w:t>号）指出</w:t>
      </w:r>
      <w:r>
        <w:rPr>
          <w:rFonts w:ascii="Times New Roman" w:hAnsi="Times New Roman" w:eastAsia="Times New Roman"/>
          <w:color w:val="FF0000"/>
        </w:rPr>
        <w:t>“</w:t>
      </w:r>
      <w:r>
        <w:rPr>
          <w:color w:val="FF0000"/>
          <w:spacing w:val="-14"/>
        </w:rPr>
        <w:t>我</w:t>
      </w:r>
      <w:r>
        <w:rPr>
          <w:color w:val="FF0000"/>
          <w:spacing w:val="-6"/>
        </w:rPr>
        <w:t xml:space="preserve">省是矿产资源大省，资源种类较多。截至 </w:t>
      </w:r>
      <w:r>
        <w:rPr>
          <w:rFonts w:ascii="Times New Roman" w:hAnsi="Times New Roman" w:eastAsia="Times New Roman"/>
          <w:color w:val="FF0000"/>
        </w:rPr>
        <w:t>2015</w:t>
      </w:r>
      <w:r>
        <w:rPr>
          <w:rFonts w:ascii="Times New Roman" w:hAnsi="Times New Roman" w:eastAsia="Times New Roman"/>
          <w:color w:val="FF0000"/>
          <w:spacing w:val="2"/>
        </w:rPr>
        <w:t xml:space="preserve"> </w:t>
      </w:r>
      <w:r>
        <w:rPr>
          <w:color w:val="FF0000"/>
          <w:spacing w:val="-7"/>
        </w:rPr>
        <w:t xml:space="preserve">年底，全省共发现各类矿产 </w:t>
      </w:r>
      <w:r>
        <w:rPr>
          <w:rFonts w:ascii="Times New Roman" w:hAnsi="Times New Roman" w:eastAsia="Times New Roman"/>
          <w:color w:val="FF0000"/>
        </w:rPr>
        <w:t>135</w:t>
      </w:r>
      <w:r>
        <w:rPr>
          <w:rFonts w:ascii="Times New Roman" w:hAnsi="Times New Roman" w:eastAsia="Times New Roman"/>
          <w:color w:val="FF0000"/>
          <w:spacing w:val="1"/>
        </w:rPr>
        <w:t xml:space="preserve"> </w:t>
      </w:r>
      <w:r>
        <w:rPr>
          <w:color w:val="FF0000"/>
        </w:rPr>
        <w:t>种</w:t>
      </w:r>
      <w:r>
        <w:rPr>
          <w:rFonts w:ascii="Times New Roman" w:hAnsi="Times New Roman" w:eastAsia="Times New Roman"/>
          <w:color w:val="FF0000"/>
        </w:rPr>
        <w:t>(</w:t>
      </w:r>
      <w:r>
        <w:rPr>
          <w:color w:val="FF0000"/>
          <w:spacing w:val="-8"/>
        </w:rPr>
        <w:t>含亚</w:t>
      </w:r>
    </w:p>
    <w:p>
      <w:pPr>
        <w:pStyle w:val="9"/>
        <w:spacing w:line="306" w:lineRule="exact"/>
        <w:ind w:left="218"/>
      </w:pPr>
      <w:r>
        <w:rPr>
          <w:color w:val="FF0000"/>
        </w:rPr>
        <w:t>矿种，下同</w:t>
      </w:r>
      <w:r>
        <w:rPr>
          <w:rFonts w:ascii="Times New Roman" w:eastAsia="Times New Roman"/>
          <w:color w:val="FF0000"/>
        </w:rPr>
        <w:t>)</w:t>
      </w:r>
      <w:r>
        <w:rPr>
          <w:color w:val="FF0000"/>
          <w:spacing w:val="-6"/>
        </w:rPr>
        <w:t xml:space="preserve">，其中探明储量的有 </w:t>
      </w:r>
      <w:r>
        <w:rPr>
          <w:rFonts w:ascii="Times New Roman" w:eastAsia="Times New Roman"/>
          <w:color w:val="FF0000"/>
        </w:rPr>
        <w:t>84</w:t>
      </w:r>
      <w:r>
        <w:rPr>
          <w:rFonts w:ascii="Times New Roman" w:eastAsia="Times New Roman"/>
          <w:color w:val="FF0000"/>
          <w:spacing w:val="9"/>
        </w:rPr>
        <w:t xml:space="preserve"> </w:t>
      </w:r>
      <w:r>
        <w:rPr>
          <w:color w:val="FF0000"/>
          <w:spacing w:val="-5"/>
        </w:rPr>
        <w:t xml:space="preserve">种，正在开发利用的有 </w:t>
      </w:r>
      <w:r>
        <w:rPr>
          <w:rFonts w:ascii="Times New Roman" w:eastAsia="Times New Roman"/>
          <w:color w:val="FF0000"/>
        </w:rPr>
        <w:t>59</w:t>
      </w:r>
      <w:r>
        <w:rPr>
          <w:rFonts w:ascii="Times New Roman" w:eastAsia="Times New Roman"/>
          <w:color w:val="FF0000"/>
          <w:spacing w:val="7"/>
        </w:rPr>
        <w:t xml:space="preserve"> </w:t>
      </w:r>
      <w:r>
        <w:rPr>
          <w:color w:val="FF0000"/>
        </w:rPr>
        <w:t>种。</w:t>
      </w:r>
      <w:r>
        <w:rPr>
          <w:rFonts w:ascii="Times New Roman" w:eastAsia="Times New Roman"/>
          <w:color w:val="FF0000"/>
        </w:rPr>
        <w:t>2015</w:t>
      </w:r>
      <w:r>
        <w:rPr>
          <w:rFonts w:ascii="Times New Roman" w:eastAsia="Times New Roman"/>
          <w:color w:val="FF0000"/>
          <w:spacing w:val="7"/>
        </w:rPr>
        <w:t xml:space="preserve"> </w:t>
      </w:r>
      <w:r>
        <w:rPr>
          <w:color w:val="FF0000"/>
        </w:rPr>
        <w:t>年，我省位居</w:t>
      </w:r>
    </w:p>
    <w:p>
      <w:pPr>
        <w:pStyle w:val="9"/>
        <w:spacing w:before="161"/>
        <w:ind w:left="218"/>
        <w:rPr>
          <w:rFonts w:ascii="Times New Roman" w:eastAsia="Times New Roman"/>
        </w:rPr>
      </w:pPr>
      <w:r>
        <w:rPr>
          <w:color w:val="FF0000"/>
          <w:spacing w:val="-6"/>
        </w:rPr>
        <w:t xml:space="preserve">全国前十位的矿产有 </w:t>
      </w:r>
      <w:r>
        <w:rPr>
          <w:rFonts w:ascii="Times New Roman" w:eastAsia="Times New Roman"/>
          <w:color w:val="FF0000"/>
        </w:rPr>
        <w:t>50</w:t>
      </w:r>
      <w:r>
        <w:rPr>
          <w:rFonts w:ascii="Times New Roman" w:eastAsia="Times New Roman"/>
          <w:color w:val="FF0000"/>
          <w:spacing w:val="9"/>
        </w:rPr>
        <w:t xml:space="preserve"> </w:t>
      </w:r>
      <w:r>
        <w:rPr>
          <w:color w:val="FF0000"/>
          <w:spacing w:val="-4"/>
        </w:rPr>
        <w:t xml:space="preserve">种，其中石墨和水泥用大理岩等列第 </w:t>
      </w:r>
      <w:r>
        <w:rPr>
          <w:rFonts w:ascii="Times New Roman" w:eastAsia="Times New Roman"/>
          <w:color w:val="FF0000"/>
        </w:rPr>
        <w:t>1</w:t>
      </w:r>
      <w:r>
        <w:rPr>
          <w:rFonts w:ascii="Times New Roman" w:eastAsia="Times New Roman"/>
          <w:color w:val="FF0000"/>
          <w:spacing w:val="9"/>
        </w:rPr>
        <w:t xml:space="preserve"> </w:t>
      </w:r>
      <w:r>
        <w:rPr>
          <w:color w:val="FF0000"/>
          <w:spacing w:val="1"/>
        </w:rPr>
        <w:t>位，石油、金矿</w:t>
      </w:r>
      <w:r>
        <w:rPr>
          <w:rFonts w:ascii="Times New Roman" w:eastAsia="Times New Roman"/>
          <w:color w:val="FF0000"/>
          <w:spacing w:val="4"/>
        </w:rPr>
        <w:t>(</w:t>
      </w:r>
      <w:r>
        <w:rPr>
          <w:color w:val="FF0000"/>
          <w:spacing w:val="2"/>
        </w:rPr>
        <w:t>砂金</w:t>
      </w:r>
      <w:r>
        <w:rPr>
          <w:rFonts w:ascii="Times New Roman" w:eastAsia="Times New Roman"/>
          <w:color w:val="FF0000"/>
        </w:rPr>
        <w:t>)</w:t>
      </w:r>
    </w:p>
    <w:p>
      <w:pPr>
        <w:pStyle w:val="9"/>
        <w:spacing w:before="158"/>
        <w:ind w:left="218"/>
      </w:pPr>
      <w:r>
        <w:rPr>
          <w:color w:val="FF0000"/>
          <w:spacing w:val="-30"/>
        </w:rPr>
        <w:t xml:space="preserve">等 </w:t>
      </w:r>
      <w:r>
        <w:rPr>
          <w:rFonts w:ascii="Times New Roman" w:eastAsia="Times New Roman"/>
          <w:color w:val="FF0000"/>
        </w:rPr>
        <w:t xml:space="preserve">4 </w:t>
      </w:r>
      <w:r>
        <w:rPr>
          <w:color w:val="FF0000"/>
          <w:spacing w:val="-15"/>
        </w:rPr>
        <w:t xml:space="preserve">种列第 </w:t>
      </w:r>
      <w:r>
        <w:rPr>
          <w:rFonts w:ascii="Times New Roman" w:eastAsia="Times New Roman"/>
          <w:color w:val="FF0000"/>
        </w:rPr>
        <w:t xml:space="preserve">2 </w:t>
      </w:r>
      <w:r>
        <w:rPr>
          <w:color w:val="FF0000"/>
          <w:spacing w:val="-13"/>
        </w:rPr>
        <w:t xml:space="preserve">位，钼矿、铂族金属等 </w:t>
      </w:r>
      <w:r>
        <w:rPr>
          <w:rFonts w:ascii="Times New Roman" w:eastAsia="Times New Roman"/>
          <w:color w:val="FF0000"/>
        </w:rPr>
        <w:t xml:space="preserve">4 </w:t>
      </w:r>
      <w:r>
        <w:rPr>
          <w:color w:val="FF0000"/>
          <w:spacing w:val="-15"/>
        </w:rPr>
        <w:t xml:space="preserve">种列第 </w:t>
      </w:r>
      <w:r>
        <w:rPr>
          <w:rFonts w:ascii="Times New Roman" w:eastAsia="Times New Roman"/>
          <w:color w:val="FF0000"/>
        </w:rPr>
        <w:t xml:space="preserve">3  </w:t>
      </w:r>
      <w:r>
        <w:rPr>
          <w:color w:val="FF0000"/>
          <w:spacing w:val="-8"/>
        </w:rPr>
        <w:t>位。第二轮矿产资源规划实施以来，矿</w:t>
      </w:r>
    </w:p>
    <w:p>
      <w:pPr>
        <w:spacing w:after="0"/>
        <w:sectPr>
          <w:pgSz w:w="11910" w:h="16840"/>
          <w:pgMar w:top="1340" w:right="1160" w:bottom="1180" w:left="1200" w:header="0" w:footer="993" w:gutter="0"/>
        </w:sectPr>
      </w:pPr>
    </w:p>
    <w:p>
      <w:pPr>
        <w:pStyle w:val="9"/>
        <w:spacing w:before="61" w:line="364" w:lineRule="auto"/>
        <w:ind w:left="218" w:right="137"/>
      </w:pPr>
      <w:r>
        <w:rPr>
          <w:color w:val="FF0000"/>
        </w:rPr>
        <w:t>业成为我省重点推进的</w:t>
      </w:r>
      <w:r>
        <w:rPr>
          <w:rFonts w:ascii="Times New Roman" w:hAnsi="Times New Roman" w:eastAsia="Times New Roman"/>
          <w:color w:val="FF0000"/>
        </w:rPr>
        <w:t>“</w:t>
      </w:r>
      <w:r>
        <w:rPr>
          <w:color w:val="FF0000"/>
        </w:rPr>
        <w:t>十大产业</w:t>
      </w:r>
      <w:r>
        <w:rPr>
          <w:rFonts w:ascii="Times New Roman" w:hAnsi="Times New Roman" w:eastAsia="Times New Roman"/>
          <w:color w:val="FF0000"/>
        </w:rPr>
        <w:t>”</w:t>
      </w:r>
      <w:r>
        <w:rPr>
          <w:color w:val="FF0000"/>
          <w:spacing w:val="-4"/>
        </w:rPr>
        <w:t xml:space="preserve">之一，累计投入地质勘查经费 </w:t>
      </w:r>
      <w:r>
        <w:rPr>
          <w:rFonts w:ascii="Times New Roman" w:hAnsi="Times New Roman" w:eastAsia="Times New Roman"/>
          <w:color w:val="FF0000"/>
        </w:rPr>
        <w:t xml:space="preserve">96.25 </w:t>
      </w:r>
      <w:r>
        <w:rPr>
          <w:color w:val="FF0000"/>
        </w:rPr>
        <w:t>亿元，基础地质</w:t>
      </w:r>
      <w:r>
        <w:rPr>
          <w:color w:val="FF0000"/>
          <w:spacing w:val="-14"/>
        </w:rPr>
        <w:t xml:space="preserve">工作程度全面提高，矿产资源勘查成果丰富，发现并探明了一批具有重要影响的矿产地， </w:t>
      </w:r>
      <w:r>
        <w:rPr>
          <w:color w:val="FF0000"/>
          <w:spacing w:val="-4"/>
        </w:rPr>
        <w:t>开发利用取得长足发展，形成了以能源矿产为主、金属非金属水气矿产为辅的矿业发展格局，奠定了我省现代矿业发展基础，为全省经济发展作出了重要贡献</w:t>
      </w:r>
      <w:r>
        <w:rPr>
          <w:rFonts w:ascii="Times New Roman" w:hAnsi="Times New Roman" w:eastAsia="Times New Roman"/>
          <w:color w:val="FF0000"/>
          <w:spacing w:val="-4"/>
        </w:rPr>
        <w:t>”</w:t>
      </w:r>
      <w:r>
        <w:rPr>
          <w:color w:val="FF0000"/>
          <w:spacing w:val="-4"/>
        </w:rPr>
        <w:t>。</w:t>
      </w:r>
    </w:p>
    <w:p>
      <w:pPr>
        <w:pStyle w:val="9"/>
        <w:spacing w:line="364" w:lineRule="auto"/>
        <w:ind w:left="218" w:right="255" w:firstLine="480"/>
        <w:jc w:val="both"/>
      </w:pPr>
      <w:r>
        <w:rPr>
          <w:color w:val="FF0000"/>
          <w:spacing w:val="-2"/>
        </w:rPr>
        <w:t>本项目的建设贯彻黑龙江省矿产资源总体规划的思想，以建立</w:t>
      </w:r>
      <w:r>
        <w:rPr>
          <w:rFonts w:ascii="Times New Roman" w:hAnsi="Times New Roman" w:eastAsia="Times New Roman"/>
          <w:color w:val="FF0000"/>
        </w:rPr>
        <w:t>“</w:t>
      </w:r>
      <w:r>
        <w:rPr>
          <w:color w:val="FF0000"/>
          <w:spacing w:val="-4"/>
        </w:rPr>
        <w:t>高效、安全、优质</w:t>
      </w:r>
      <w:r>
        <w:rPr>
          <w:rFonts w:ascii="Times New Roman" w:hAnsi="Times New Roman" w:eastAsia="Times New Roman"/>
          <w:color w:val="FF0000"/>
          <w:spacing w:val="-15"/>
        </w:rPr>
        <w:t xml:space="preserve">” </w:t>
      </w:r>
      <w:r>
        <w:rPr>
          <w:color w:val="FF0000"/>
          <w:spacing w:val="-6"/>
        </w:rPr>
        <w:t>煤矿为重点，促进矿区可持续发展，所以，本项目的建设符合黑龙江省矿产资源总体规</w:t>
      </w:r>
      <w:r>
        <w:rPr>
          <w:color w:val="FF0000"/>
        </w:rPr>
        <w:t>划。</w:t>
      </w:r>
    </w:p>
    <w:p>
      <w:pPr>
        <w:pStyle w:val="5"/>
        <w:numPr>
          <w:ilvl w:val="2"/>
          <w:numId w:val="9"/>
        </w:numPr>
        <w:tabs>
          <w:tab w:val="left" w:pos="848"/>
        </w:tabs>
        <w:spacing w:before="0" w:after="0" w:line="384" w:lineRule="exact"/>
        <w:ind w:left="847" w:right="0" w:hanging="630"/>
        <w:jc w:val="left"/>
      </w:pPr>
      <w:bookmarkStart w:id="18" w:name="6.1.3与矿区规划环评协调性分析"/>
      <w:bookmarkEnd w:id="18"/>
      <w:bookmarkStart w:id="19" w:name="6.1.3与矿区规划环评协调性分析"/>
      <w:bookmarkEnd w:id="19"/>
      <w:r>
        <w:rPr>
          <w:color w:val="FF0000"/>
        </w:rPr>
        <w:t>与矿区规划环评协调性分析</w:t>
      </w:r>
    </w:p>
    <w:p>
      <w:pPr>
        <w:pStyle w:val="9"/>
        <w:spacing w:before="197"/>
        <w:ind w:right="256"/>
        <w:jc w:val="right"/>
      </w:pPr>
      <w:r>
        <w:rPr>
          <w:color w:val="FF0000"/>
          <w:spacing w:val="-3"/>
        </w:rPr>
        <w:t xml:space="preserve">双鸭山市煤炭生产安全管理局 </w:t>
      </w:r>
      <w:r>
        <w:rPr>
          <w:rFonts w:ascii="Times New Roman" w:eastAsia="Times New Roman"/>
          <w:color w:val="FF0000"/>
        </w:rPr>
        <w:t>2020</w:t>
      </w:r>
      <w:r>
        <w:rPr>
          <w:rFonts w:ascii="Times New Roman" w:eastAsia="Times New Roman"/>
          <w:color w:val="FF0000"/>
          <w:spacing w:val="31"/>
        </w:rPr>
        <w:t xml:space="preserve"> </w:t>
      </w:r>
      <w:r>
        <w:rPr>
          <w:color w:val="FF0000"/>
        </w:rPr>
        <w:t>年组织编制了《双鸭山市煤炭淘汰落后产能升</w:t>
      </w:r>
    </w:p>
    <w:p>
      <w:pPr>
        <w:pStyle w:val="9"/>
        <w:spacing w:before="158"/>
        <w:ind w:right="256"/>
        <w:jc w:val="right"/>
      </w:pPr>
      <w:r>
        <w:rPr>
          <w:color w:val="FF0000"/>
          <w:spacing w:val="-5"/>
        </w:rPr>
        <w:t xml:space="preserve">级改造专项规划》，于 </w:t>
      </w:r>
      <w:r>
        <w:rPr>
          <w:rFonts w:ascii="Times New Roman" w:eastAsia="Times New Roman"/>
          <w:color w:val="FF0000"/>
        </w:rPr>
        <w:t>2020</w:t>
      </w:r>
      <w:r>
        <w:rPr>
          <w:rFonts w:ascii="Times New Roman" w:eastAsia="Times New Roman"/>
          <w:color w:val="FF0000"/>
          <w:spacing w:val="15"/>
        </w:rPr>
        <w:t xml:space="preserve"> </w:t>
      </w:r>
      <w:r>
        <w:rPr>
          <w:color w:val="FF0000"/>
          <w:spacing w:val="-23"/>
        </w:rPr>
        <w:t xml:space="preserve">年 </w:t>
      </w:r>
      <w:r>
        <w:rPr>
          <w:rFonts w:ascii="Times New Roman" w:eastAsia="Times New Roman"/>
          <w:color w:val="FF0000"/>
        </w:rPr>
        <w:t>9</w:t>
      </w:r>
      <w:r>
        <w:rPr>
          <w:rFonts w:ascii="Times New Roman" w:eastAsia="Times New Roman"/>
          <w:color w:val="FF0000"/>
          <w:spacing w:val="15"/>
        </w:rPr>
        <w:t xml:space="preserve"> </w:t>
      </w:r>
      <w:r>
        <w:rPr>
          <w:color w:val="FF0000"/>
        </w:rPr>
        <w:t>月完成了《双鸭山市煤炭淘汰落后产能升级改造专项</w:t>
      </w:r>
    </w:p>
    <w:p>
      <w:pPr>
        <w:pStyle w:val="9"/>
        <w:spacing w:before="160"/>
        <w:ind w:left="218"/>
      </w:pPr>
      <w:r>
        <w:rPr>
          <w:color w:val="FF0000"/>
        </w:rPr>
        <w:t xml:space="preserve">规划环境影响报告书》，双鸭山市生态环境局于 </w:t>
      </w:r>
      <w:r>
        <w:rPr>
          <w:rFonts w:ascii="Times New Roman" w:eastAsia="Times New Roman"/>
          <w:color w:val="FF0000"/>
        </w:rPr>
        <w:t xml:space="preserve">2020 </w:t>
      </w:r>
      <w:r>
        <w:rPr>
          <w:color w:val="FF0000"/>
        </w:rPr>
        <w:t xml:space="preserve">年 </w:t>
      </w:r>
      <w:r>
        <w:rPr>
          <w:rFonts w:ascii="Times New Roman" w:eastAsia="Times New Roman"/>
          <w:color w:val="FF0000"/>
        </w:rPr>
        <w:t xml:space="preserve">9 </w:t>
      </w:r>
      <w:r>
        <w:rPr>
          <w:color w:val="FF0000"/>
        </w:rPr>
        <w:t>月出具了审查意见。</w:t>
      </w:r>
    </w:p>
    <w:p>
      <w:pPr>
        <w:pStyle w:val="9"/>
        <w:spacing w:before="161" w:line="362" w:lineRule="auto"/>
        <w:ind w:left="218" w:right="258" w:firstLine="480"/>
      </w:pPr>
      <w:r>
        <w:rPr>
          <w:color w:val="FF0000"/>
        </w:rPr>
        <w:t>《双鸭山市煤炭淘汰落后产能升级改造专项规划》规划中提出了各项规划方案如下：</w:t>
      </w:r>
    </w:p>
    <w:p>
      <w:pPr>
        <w:pStyle w:val="9"/>
        <w:spacing w:before="5"/>
        <w:ind w:left="698"/>
      </w:pPr>
      <w:r>
        <w:rPr>
          <w:color w:val="FF0000"/>
        </w:rPr>
        <w:t xml:space="preserve">①规模：专项规划中本项目规划能力为 </w:t>
      </w:r>
      <w:r>
        <w:rPr>
          <w:rFonts w:ascii="Times New Roman" w:hAnsi="Times New Roman" w:eastAsia="Times New Roman"/>
          <w:color w:val="FF0000"/>
        </w:rPr>
        <w:t xml:space="preserve">30 </w:t>
      </w:r>
      <w:r>
        <w:rPr>
          <w:color w:val="FF0000"/>
        </w:rPr>
        <w:t xml:space="preserve">万 </w:t>
      </w:r>
      <w:r>
        <w:rPr>
          <w:rFonts w:ascii="Times New Roman" w:hAnsi="Times New Roman" w:eastAsia="Times New Roman"/>
          <w:color w:val="FF0000"/>
        </w:rPr>
        <w:t>t/a</w:t>
      </w:r>
      <w:r>
        <w:rPr>
          <w:color w:val="FF0000"/>
        </w:rPr>
        <w:t>。</w:t>
      </w:r>
    </w:p>
    <w:p>
      <w:pPr>
        <w:pStyle w:val="9"/>
        <w:spacing w:before="158" w:line="364" w:lineRule="auto"/>
        <w:ind w:left="218" w:right="257" w:firstLine="480"/>
        <w:jc w:val="both"/>
      </w:pPr>
      <w:r>
        <w:rPr>
          <w:color w:val="FF0000"/>
          <w:spacing w:val="-7"/>
        </w:rPr>
        <w:t>②矿区供热规划：为全面落实《国务院关于印发打赢蓝天保卫战三年行动计划的通</w:t>
      </w:r>
      <w:r>
        <w:rPr>
          <w:color w:val="FF0000"/>
          <w:spacing w:val="-14"/>
        </w:rPr>
        <w:t>知》</w:t>
      </w:r>
      <w:r>
        <w:rPr>
          <w:color w:val="FF0000"/>
          <w:spacing w:val="-3"/>
        </w:rPr>
        <w:t>（</w:t>
      </w:r>
      <w:r>
        <w:rPr>
          <w:color w:val="FF0000"/>
          <w:spacing w:val="-4"/>
        </w:rPr>
        <w:t>国发〔</w:t>
      </w:r>
      <w:r>
        <w:rPr>
          <w:rFonts w:ascii="Times New Roman" w:hAnsi="Times New Roman" w:eastAsia="Times New Roman"/>
          <w:color w:val="FF0000"/>
        </w:rPr>
        <w:t>2018</w:t>
      </w:r>
      <w:r>
        <w:rPr>
          <w:color w:val="FF0000"/>
          <w:spacing w:val="-15"/>
        </w:rPr>
        <w:t>〕</w:t>
      </w:r>
      <w:r>
        <w:rPr>
          <w:rFonts w:ascii="Times New Roman" w:hAnsi="Times New Roman" w:eastAsia="Times New Roman"/>
          <w:color w:val="FF0000"/>
        </w:rPr>
        <w:t xml:space="preserve">22 </w:t>
      </w:r>
      <w:r>
        <w:rPr>
          <w:color w:val="FF0000"/>
        </w:rPr>
        <w:t>号</w:t>
      </w:r>
      <w:r>
        <w:rPr>
          <w:color w:val="FF0000"/>
          <w:spacing w:val="-15"/>
        </w:rPr>
        <w:t>）</w:t>
      </w:r>
      <w:r>
        <w:rPr>
          <w:color w:val="FF0000"/>
          <w:spacing w:val="-6"/>
        </w:rPr>
        <w:t>要求，持续改善环境空气质量，打赢蓝天保卫战，黑龙江省人民政府印发的《黑龙江省打赢蓝天保卫战三年行动计划》要求，严格控制煤炭消费总</w:t>
      </w:r>
      <w:r>
        <w:rPr>
          <w:color w:val="FF0000"/>
          <w:spacing w:val="-8"/>
        </w:rPr>
        <w:t>量，按照煤炭集中使用、清洁利用的原则，重点削减非电力用煤，推进电能替代燃煤和燃油；加强散煤管控，推广清洁高效燃煤锅炉，实施生物质替换的，必须使用生物质专用锅炉、燃用生物质成型燃料、安装高效除尘设备；稳步推进清洁取暖，推进煤炭清洁</w:t>
      </w:r>
      <w:r>
        <w:rPr>
          <w:color w:val="FF0000"/>
          <w:spacing w:val="-6"/>
        </w:rPr>
        <w:t>化利用和清洁能源利用，宜并则并，宜气则气，宜电则电，因地制宜发展生物质等可再</w:t>
      </w:r>
      <w:r>
        <w:rPr>
          <w:color w:val="FF0000"/>
        </w:rPr>
        <w:t>生能源清洁供暖，加快提高清洁供暖比重。</w:t>
      </w:r>
    </w:p>
    <w:p>
      <w:pPr>
        <w:pStyle w:val="9"/>
        <w:spacing w:line="364" w:lineRule="auto"/>
        <w:ind w:left="218" w:right="137" w:firstLine="480"/>
      </w:pPr>
      <w:r>
        <w:rPr>
          <w:color w:val="FF0000"/>
          <w:spacing w:val="-5"/>
        </w:rPr>
        <w:t>③矸石综合利用规划：煤矸石可用于建筑材料、填沟造地、充填沉陷区、制砖、回</w:t>
      </w:r>
      <w:r>
        <w:rPr>
          <w:color w:val="FF0000"/>
          <w:spacing w:val="-17"/>
        </w:rPr>
        <w:t>填井下等，洗选矸石可用于发电等，具体综合利用途径需根据矿区煤矸石成分进行确定。</w:t>
      </w:r>
    </w:p>
    <w:p>
      <w:pPr>
        <w:pStyle w:val="9"/>
        <w:spacing w:line="364" w:lineRule="auto"/>
        <w:ind w:left="218" w:right="205" w:firstLine="480"/>
        <w:jc w:val="both"/>
      </w:pPr>
      <w:r>
        <w:rPr>
          <w:color w:val="FF0000"/>
          <w:spacing w:val="-5"/>
        </w:rPr>
        <w:t>④矿区水综合利用规划：在各矿井建相应规模的矿井水处理站，经絮凝、沉淀、过</w:t>
      </w:r>
      <w:r>
        <w:rPr>
          <w:color w:val="FF0000"/>
          <w:spacing w:val="-6"/>
        </w:rPr>
        <w:t>滤、澄清等工艺处理后回用于井下生产用水，消防洒水，灌浆用水；地面洗衣、洗浴、</w:t>
      </w:r>
      <w:r>
        <w:rPr>
          <w:color w:val="FF0000"/>
          <w:spacing w:val="-7"/>
        </w:rPr>
        <w:t>锅炉、植被绿化用水等。多余部分优先供给附近煤炭综合利用企业生产用水或经深度处理后作为矿井生活用水等进行资源化利用。</w:t>
      </w:r>
    </w:p>
    <w:p>
      <w:pPr>
        <w:pStyle w:val="9"/>
        <w:spacing w:line="362" w:lineRule="auto"/>
        <w:ind w:left="218" w:right="253" w:firstLine="480"/>
        <w:jc w:val="both"/>
      </w:pPr>
      <w:r>
        <w:rPr>
          <w:color w:val="FF0000"/>
          <w:spacing w:val="-7"/>
        </w:rPr>
        <w:t xml:space="preserve">本项目开采规模为 </w:t>
      </w:r>
      <w:r>
        <w:rPr>
          <w:rFonts w:ascii="Times New Roman" w:eastAsia="Times New Roman"/>
          <w:color w:val="FF0000"/>
        </w:rPr>
        <w:t xml:space="preserve">30 </w:t>
      </w:r>
      <w:r>
        <w:rPr>
          <w:color w:val="FF0000"/>
          <w:spacing w:val="-29"/>
        </w:rPr>
        <w:t xml:space="preserve">万 </w:t>
      </w:r>
      <w:r>
        <w:rPr>
          <w:rFonts w:ascii="Times New Roman" w:eastAsia="Times New Roman"/>
          <w:color w:val="FF0000"/>
        </w:rPr>
        <w:t>t/a</w:t>
      </w:r>
      <w:r>
        <w:rPr>
          <w:color w:val="FF0000"/>
          <w:spacing w:val="-1"/>
        </w:rPr>
        <w:t>，与专项规划中规模一致；项目采用生物质锅炉，锅炉</w:t>
      </w:r>
      <w:r>
        <w:rPr>
          <w:color w:val="FF0000"/>
          <w:spacing w:val="-5"/>
        </w:rPr>
        <w:t>配套安装布袋除尘器，与专项规划中供热规划一致；项目矸石主要用于回填井下，与专</w:t>
      </w:r>
    </w:p>
    <w:p>
      <w:pPr>
        <w:spacing w:after="0" w:line="362" w:lineRule="auto"/>
        <w:jc w:val="both"/>
        <w:sectPr>
          <w:pgSz w:w="11910" w:h="16840"/>
          <w:pgMar w:top="1340" w:right="1160" w:bottom="1180" w:left="1200" w:header="0" w:footer="993" w:gutter="0"/>
        </w:sectPr>
      </w:pPr>
    </w:p>
    <w:p>
      <w:pPr>
        <w:pStyle w:val="9"/>
        <w:spacing w:before="41" w:line="362" w:lineRule="auto"/>
        <w:ind w:left="218" w:right="194"/>
      </w:pPr>
      <w:r>
        <w:rPr>
          <w:color w:val="FF0000"/>
        </w:rPr>
        <w:t>项规划中矸石综合利用规划一致；项目矿井涌水部分回用，剩余部分出售给黑龙江建龙钢铁有限公司综合利用，与专项规划中矿区水综合利用规划基本一致。综上，本项目与</w:t>
      </w:r>
    </w:p>
    <w:p>
      <w:pPr>
        <w:pStyle w:val="9"/>
        <w:spacing w:before="5" w:line="364" w:lineRule="auto"/>
        <w:ind w:left="218" w:right="194"/>
      </w:pPr>
      <w:r>
        <w:rPr>
          <w:color w:val="FF0000"/>
        </w:rPr>
        <w:t>《双鸭山市煤炭淘汰落后产能升级改造专项规划环境影响报告书》及其审查意见是相符的。</w:t>
      </w:r>
    </w:p>
    <w:p>
      <w:pPr>
        <w:pStyle w:val="5"/>
        <w:numPr>
          <w:ilvl w:val="2"/>
          <w:numId w:val="9"/>
        </w:numPr>
        <w:tabs>
          <w:tab w:val="left" w:pos="848"/>
        </w:tabs>
        <w:spacing w:before="1" w:after="0" w:line="240" w:lineRule="auto"/>
        <w:ind w:left="847" w:right="0" w:hanging="630"/>
        <w:jc w:val="left"/>
      </w:pPr>
      <w:bookmarkStart w:id="20" w:name="6.1.4与黑龙江省主体功能区规划的协调性分析"/>
      <w:bookmarkEnd w:id="20"/>
      <w:bookmarkStart w:id="21" w:name="6.1.4与黑龙江省主体功能区规划的协调性分析"/>
      <w:bookmarkEnd w:id="21"/>
      <w:r>
        <w:rPr>
          <w:color w:val="FF0000"/>
        </w:rPr>
        <w:t>与黑龙江省主体功能区规划的协调性分析</w:t>
      </w:r>
    </w:p>
    <w:p>
      <w:pPr>
        <w:pStyle w:val="9"/>
        <w:spacing w:before="197"/>
        <w:ind w:left="698"/>
      </w:pPr>
      <w:r>
        <w:rPr>
          <w:color w:val="FF0000"/>
        </w:rPr>
        <w:t>根据《黑龙江省主体功能区规划》，双鸭山所在区域属省级重点开发区域。</w:t>
      </w:r>
    </w:p>
    <w:p>
      <w:pPr>
        <w:pStyle w:val="9"/>
        <w:spacing w:before="160" w:line="364" w:lineRule="auto"/>
        <w:ind w:left="218" w:right="257" w:firstLine="480"/>
        <w:jc w:val="both"/>
      </w:pPr>
      <w:r>
        <w:rPr>
          <w:color w:val="FF0000"/>
          <w:spacing w:val="-2"/>
        </w:rPr>
        <w:t>省级重点开发区域包括东部煤电化基地城市群、绥化市建成区及部分县</w:t>
      </w:r>
      <w:r>
        <w:rPr>
          <w:color w:val="FF0000"/>
        </w:rPr>
        <w:t>（市</w:t>
      </w:r>
      <w:r>
        <w:rPr>
          <w:color w:val="FF0000"/>
          <w:spacing w:val="-17"/>
        </w:rPr>
        <w:t>）</w:t>
      </w:r>
      <w:r>
        <w:rPr>
          <w:color w:val="FF0000"/>
          <w:spacing w:val="-9"/>
        </w:rPr>
        <w:t>重点</w:t>
      </w:r>
      <w:r>
        <w:rPr>
          <w:color w:val="FF0000"/>
          <w:spacing w:val="-8"/>
        </w:rPr>
        <w:t>开发区、园区所在乡镇，省级重点开发区域主要包括佳木斯市辖区、鸡西市辖区、鹤岗</w:t>
      </w:r>
      <w:r>
        <w:rPr>
          <w:color w:val="FF0000"/>
          <w:spacing w:val="-6"/>
        </w:rPr>
        <w:t>市辖区、双鸭山市辖区、七台河市辖区、绥化市建成区以及部分县</w:t>
      </w:r>
      <w:r>
        <w:rPr>
          <w:color w:val="FF0000"/>
        </w:rPr>
        <w:t>（市</w:t>
      </w:r>
      <w:r>
        <w:rPr>
          <w:color w:val="FF0000"/>
          <w:spacing w:val="-10"/>
        </w:rPr>
        <w:t>）</w:t>
      </w:r>
      <w:r>
        <w:rPr>
          <w:color w:val="FF0000"/>
          <w:spacing w:val="-3"/>
        </w:rPr>
        <w:t>城关镇和重点</w:t>
      </w:r>
      <w:r>
        <w:rPr>
          <w:color w:val="FF0000"/>
          <w:spacing w:val="-5"/>
        </w:rPr>
        <w:t>开发区园区所在乡镇，区域内煤炭等矿产资源丰富、城市相对密集、煤电化产业基础良</w:t>
      </w:r>
      <w:r>
        <w:rPr>
          <w:color w:val="FF0000"/>
          <w:spacing w:val="-2"/>
        </w:rPr>
        <w:t xml:space="preserve">好、农业较为发达、生态环境优良、对外合作前景广阔。共有 </w:t>
      </w:r>
      <w:r>
        <w:rPr>
          <w:rFonts w:ascii="Times New Roman" w:eastAsia="Times New Roman"/>
          <w:color w:val="FF0000"/>
        </w:rPr>
        <w:t xml:space="preserve">51 </w:t>
      </w:r>
      <w:r>
        <w:rPr>
          <w:color w:val="FF0000"/>
        </w:rPr>
        <w:t>个区、镇（乡）。区</w:t>
      </w:r>
    </w:p>
    <w:p>
      <w:pPr>
        <w:pStyle w:val="9"/>
        <w:spacing w:line="364" w:lineRule="auto"/>
        <w:ind w:left="218" w:right="253"/>
        <w:jc w:val="both"/>
      </w:pPr>
      <w:r>
        <w:rPr>
          <w:color w:val="FF0000"/>
          <w:spacing w:val="-13"/>
        </w:rPr>
        <w:t xml:space="preserve">域总面积 </w:t>
      </w:r>
      <w:r>
        <w:rPr>
          <w:rFonts w:ascii="Times New Roman" w:eastAsia="Times New Roman"/>
          <w:color w:val="FF0000"/>
        </w:rPr>
        <w:t xml:space="preserve">2.20 </w:t>
      </w:r>
      <w:r>
        <w:rPr>
          <w:color w:val="FF0000"/>
          <w:spacing w:val="-6"/>
        </w:rPr>
        <w:t xml:space="preserve">万平方公里，占全省的 </w:t>
      </w:r>
      <w:r>
        <w:rPr>
          <w:rFonts w:ascii="Times New Roman" w:eastAsia="Times New Roman"/>
          <w:color w:val="FF0000"/>
        </w:rPr>
        <w:t>4.6%</w:t>
      </w:r>
      <w:r>
        <w:rPr>
          <w:color w:val="FF0000"/>
          <w:spacing w:val="-4"/>
        </w:rPr>
        <w:t xml:space="preserve">；除去基本农田后重点开发区域面积为 </w:t>
      </w:r>
      <w:r>
        <w:rPr>
          <w:rFonts w:ascii="Times New Roman" w:eastAsia="Times New Roman"/>
          <w:color w:val="FF0000"/>
        </w:rPr>
        <w:t xml:space="preserve">1.63 </w:t>
      </w:r>
      <w:r>
        <w:rPr>
          <w:color w:val="FF0000"/>
          <w:spacing w:val="-8"/>
        </w:rPr>
        <w:t xml:space="preserve">万平方公里，占全省总面积的 </w:t>
      </w:r>
      <w:r>
        <w:rPr>
          <w:rFonts w:ascii="Times New Roman" w:eastAsia="Times New Roman"/>
          <w:color w:val="FF0000"/>
          <w:spacing w:val="-3"/>
        </w:rPr>
        <w:t>3.45%</w:t>
      </w:r>
      <w:r>
        <w:rPr>
          <w:color w:val="FF0000"/>
          <w:spacing w:val="-3"/>
        </w:rPr>
        <w:t>；</w:t>
      </w:r>
      <w:r>
        <w:rPr>
          <w:rFonts w:ascii="Times New Roman" w:eastAsia="Times New Roman"/>
          <w:color w:val="FF0000"/>
          <w:spacing w:val="-3"/>
        </w:rPr>
        <w:t xml:space="preserve">2010 </w:t>
      </w:r>
      <w:r>
        <w:rPr>
          <w:color w:val="FF0000"/>
          <w:spacing w:val="-12"/>
        </w:rPr>
        <w:t xml:space="preserve">年总人口 </w:t>
      </w:r>
      <w:r>
        <w:rPr>
          <w:rFonts w:ascii="Times New Roman" w:eastAsia="Times New Roman"/>
          <w:color w:val="FF0000"/>
        </w:rPr>
        <w:t xml:space="preserve">564 </w:t>
      </w:r>
      <w:r>
        <w:rPr>
          <w:color w:val="FF0000"/>
          <w:spacing w:val="-12"/>
        </w:rPr>
        <w:t xml:space="preserve">万人，占全省的 </w:t>
      </w:r>
      <w:r>
        <w:rPr>
          <w:rFonts w:ascii="Times New Roman" w:eastAsia="Times New Roman"/>
          <w:color w:val="FF0000"/>
          <w:spacing w:val="-6"/>
        </w:rPr>
        <w:t>14%</w:t>
      </w:r>
      <w:r>
        <w:rPr>
          <w:color w:val="FF0000"/>
          <w:spacing w:val="-6"/>
        </w:rPr>
        <w:t>，城镇人</w:t>
      </w:r>
      <w:r>
        <w:rPr>
          <w:color w:val="FF0000"/>
          <w:spacing w:val="-27"/>
        </w:rPr>
        <w:t xml:space="preserve">口 </w:t>
      </w:r>
      <w:r>
        <w:rPr>
          <w:rFonts w:ascii="Times New Roman" w:eastAsia="Times New Roman"/>
          <w:color w:val="FF0000"/>
        </w:rPr>
        <w:t xml:space="preserve">424 </w:t>
      </w:r>
      <w:r>
        <w:rPr>
          <w:color w:val="FF0000"/>
          <w:spacing w:val="-7"/>
        </w:rPr>
        <w:t xml:space="preserve">万人，城镇化率 </w:t>
      </w:r>
      <w:r>
        <w:rPr>
          <w:rFonts w:ascii="Times New Roman" w:eastAsia="Times New Roman"/>
          <w:color w:val="FF0000"/>
        </w:rPr>
        <w:t>75.23%</w:t>
      </w:r>
      <w:r>
        <w:rPr>
          <w:color w:val="FF0000"/>
          <w:spacing w:val="-7"/>
        </w:rPr>
        <w:t xml:space="preserve">，地区生产总值 </w:t>
      </w:r>
      <w:r>
        <w:rPr>
          <w:rFonts w:ascii="Times New Roman" w:eastAsia="Times New Roman"/>
          <w:color w:val="FF0000"/>
        </w:rPr>
        <w:t xml:space="preserve">1346.75 </w:t>
      </w:r>
      <w:r>
        <w:rPr>
          <w:color w:val="FF0000"/>
          <w:spacing w:val="-7"/>
        </w:rPr>
        <w:t xml:space="preserve">亿元，占全省的 </w:t>
      </w:r>
      <w:r>
        <w:rPr>
          <w:rFonts w:ascii="Times New Roman" w:eastAsia="Times New Roman"/>
          <w:color w:val="FF0000"/>
        </w:rPr>
        <w:t>12.99%</w:t>
      </w:r>
      <w:r>
        <w:rPr>
          <w:color w:val="FF0000"/>
          <w:spacing w:val="1"/>
        </w:rPr>
        <w:t>，人均</w:t>
      </w:r>
      <w:r>
        <w:rPr>
          <w:color w:val="FF0000"/>
          <w:spacing w:val="-8"/>
        </w:rPr>
        <w:t xml:space="preserve">地区生产总值 </w:t>
      </w:r>
      <w:r>
        <w:rPr>
          <w:rFonts w:ascii="Times New Roman" w:eastAsia="Times New Roman"/>
          <w:color w:val="FF0000"/>
        </w:rPr>
        <w:t xml:space="preserve">23879 </w:t>
      </w:r>
      <w:r>
        <w:rPr>
          <w:color w:val="FF0000"/>
        </w:rPr>
        <w:t>元。</w:t>
      </w:r>
    </w:p>
    <w:p>
      <w:pPr>
        <w:pStyle w:val="9"/>
        <w:spacing w:line="364" w:lineRule="auto"/>
        <w:ind w:left="218" w:right="205" w:firstLine="480"/>
      </w:pPr>
      <w:r>
        <w:rPr>
          <w:color w:val="FF0000"/>
        </w:rPr>
        <w:t>功能定位：全省重要的能源、电力和煤化工基地，区域性的农产品加工和生物产业基地，东北对外开放的重要地区和物流基地，重要的绿色特色农产品生产及加工基地。</w:t>
      </w:r>
    </w:p>
    <w:p>
      <w:pPr>
        <w:pStyle w:val="9"/>
        <w:spacing w:line="364" w:lineRule="auto"/>
        <w:ind w:left="218" w:right="257" w:firstLine="480"/>
        <w:jc w:val="both"/>
      </w:pPr>
      <w:r>
        <w:rPr>
          <w:rFonts w:ascii="Times New Roman" w:hAnsi="Times New Roman" w:eastAsia="Times New Roman"/>
          <w:color w:val="FF0000"/>
        </w:rPr>
        <w:t>——</w:t>
      </w:r>
      <w:r>
        <w:rPr>
          <w:color w:val="FF0000"/>
          <w:spacing w:val="-5"/>
        </w:rPr>
        <w:t>建设煤电化产业基地，加强煤炭资源接续能力建设，合理开发和有效保护煤炭</w:t>
      </w:r>
      <w:r>
        <w:rPr>
          <w:color w:val="FF0000"/>
          <w:spacing w:val="-8"/>
        </w:rPr>
        <w:t>资源，增强煤化工产业集聚能力和竞争力，积极发展新材料、冶金、装备制造、生物等</w:t>
      </w:r>
      <w:r>
        <w:rPr>
          <w:color w:val="FF0000"/>
        </w:rPr>
        <w:t>替代产业和现代服务业。</w:t>
      </w:r>
    </w:p>
    <w:p>
      <w:pPr>
        <w:pStyle w:val="9"/>
        <w:spacing w:line="364" w:lineRule="auto"/>
        <w:ind w:left="218" w:right="137" w:firstLine="480"/>
      </w:pPr>
      <w:r>
        <w:rPr>
          <w:rFonts w:ascii="Times New Roman" w:hAnsi="Times New Roman" w:eastAsia="Times New Roman"/>
          <w:color w:val="FF0000"/>
        </w:rPr>
        <w:t>——</w:t>
      </w:r>
      <w:r>
        <w:rPr>
          <w:color w:val="FF0000"/>
          <w:spacing w:val="-12"/>
        </w:rPr>
        <w:t xml:space="preserve">发挥生态优势和资源优势，发展绿色特色农产品生产及加工，推动规模化经营， </w:t>
      </w:r>
      <w:r>
        <w:rPr>
          <w:color w:val="FF0000"/>
        </w:rPr>
        <w:t>提高农产品精深加工和农副产品综合利用水平。</w:t>
      </w:r>
    </w:p>
    <w:p>
      <w:pPr>
        <w:pStyle w:val="9"/>
        <w:spacing w:line="364" w:lineRule="auto"/>
        <w:ind w:left="218" w:right="194" w:firstLine="480"/>
      </w:pPr>
      <w:r>
        <w:rPr>
          <w:rFonts w:ascii="Times New Roman" w:hAnsi="Times New Roman" w:eastAsia="Times New Roman"/>
          <w:color w:val="FF0000"/>
        </w:rPr>
        <w:t>——</w:t>
      </w:r>
      <w:r>
        <w:rPr>
          <w:color w:val="FF0000"/>
        </w:rPr>
        <w:t>强化节能减排，加强水资源开发利用保护和节约，加快植树造林步伐，加强水土流失预防和治理，开展三江平原湿地保护和修复。</w:t>
      </w:r>
    </w:p>
    <w:p>
      <w:pPr>
        <w:pStyle w:val="9"/>
        <w:spacing w:line="306" w:lineRule="exact"/>
        <w:ind w:left="698"/>
      </w:pPr>
      <w:r>
        <w:rPr>
          <w:color w:val="FF0000"/>
        </w:rPr>
        <w:t>一、东部煤电化基地</w:t>
      </w:r>
    </w:p>
    <w:p>
      <w:pPr>
        <w:pStyle w:val="9"/>
        <w:spacing w:before="151" w:line="362" w:lineRule="auto"/>
        <w:ind w:left="218" w:right="257" w:firstLine="480"/>
      </w:pPr>
      <w:r>
        <w:rPr>
          <w:color w:val="FF0000"/>
          <w:spacing w:val="-8"/>
        </w:rPr>
        <w:t>以佳木斯、鸡西、双鸭山、鹤岗、七台河为区域中心城市，以能源与煤化工及其相</w:t>
      </w:r>
      <w:r>
        <w:rPr>
          <w:color w:val="FF0000"/>
        </w:rPr>
        <w:t>关产业为主导，建设我省东部重要经济增长极。</w:t>
      </w:r>
    </w:p>
    <w:p>
      <w:pPr>
        <w:pStyle w:val="9"/>
        <w:spacing w:before="5"/>
        <w:ind w:left="698"/>
      </w:pPr>
      <w:r>
        <w:rPr>
          <w:color w:val="FF0000"/>
        </w:rPr>
        <w:t>（一）双鸭山</w:t>
      </w:r>
    </w:p>
    <w:p>
      <w:pPr>
        <w:pStyle w:val="9"/>
        <w:spacing w:before="161"/>
        <w:ind w:left="698"/>
      </w:pPr>
      <w:r>
        <w:rPr>
          <w:color w:val="FF0000"/>
        </w:rPr>
        <w:t>主要指双鸭山市辖区，包括尖山区、岭东区、四方台区和宝山区。</w:t>
      </w:r>
    </w:p>
    <w:p>
      <w:pPr>
        <w:pStyle w:val="9"/>
        <w:spacing w:before="158"/>
        <w:ind w:left="698"/>
      </w:pPr>
      <w:r>
        <w:rPr>
          <w:color w:val="FF0000"/>
        </w:rPr>
        <w:t>功能定位：全省重要的能源、煤电化基地和钢铁生产基地，安全优质农畜产品生产</w:t>
      </w:r>
    </w:p>
    <w:p>
      <w:pPr>
        <w:spacing w:after="0"/>
        <w:sectPr>
          <w:pgSz w:w="11910" w:h="16840"/>
          <w:pgMar w:top="1360" w:right="1160" w:bottom="1180" w:left="1200" w:header="0" w:footer="993" w:gutter="0"/>
        </w:sectPr>
      </w:pPr>
    </w:p>
    <w:p>
      <w:pPr>
        <w:pStyle w:val="9"/>
        <w:spacing w:before="41"/>
        <w:ind w:left="218"/>
      </w:pPr>
      <w:r>
        <w:rPr>
          <w:color w:val="FF0000"/>
        </w:rPr>
        <w:t>加工基地。</w:t>
      </w:r>
    </w:p>
    <w:p>
      <w:pPr>
        <w:pStyle w:val="9"/>
        <w:spacing w:before="158" w:line="364" w:lineRule="auto"/>
        <w:ind w:left="218" w:right="205" w:firstLine="480"/>
        <w:jc w:val="both"/>
      </w:pPr>
      <w:r>
        <w:rPr>
          <w:color w:val="FF0000"/>
          <w:spacing w:val="-1"/>
        </w:rPr>
        <w:t>产业发展方向及布局：发展煤炭、电力、煤化工、钢铁、农畜产品加工、新建材、新能源等七大主导产业。煤化工产业重点发展煤炭气化、液化为路径的甲醇、合成氨、</w:t>
      </w:r>
      <w:r>
        <w:rPr>
          <w:color w:val="FF0000"/>
          <w:spacing w:val="-3"/>
        </w:rPr>
        <w:t>尿素等石化替代产业及其下游产品开发、石油和天然气的开发利用。钢铁产业重点发展</w:t>
      </w:r>
      <w:r>
        <w:rPr>
          <w:color w:val="FF0000"/>
          <w:spacing w:val="-4"/>
        </w:rPr>
        <w:t>优质特种钢和铸造、机械加工等产业。发展绿色食品精深加工、生物质能、生物化工、</w:t>
      </w:r>
      <w:r>
        <w:rPr>
          <w:color w:val="FF0000"/>
          <w:spacing w:val="-1"/>
        </w:rPr>
        <w:t>新建材、新能源等产业。尖山区重点发展现代服务业；岭东区重点发展煤炭、煤化工、</w:t>
      </w:r>
      <w:r>
        <w:rPr>
          <w:color w:val="FF0000"/>
          <w:spacing w:val="-8"/>
        </w:rPr>
        <w:t>冶金、建材产业；四方台区重点发展煤炭、煤炭深加工、建材、特种物流业以及煤化工产业配套行业；宝山区重点发展煤炭、电力以及能源综合利用产业。</w:t>
      </w:r>
    </w:p>
    <w:p>
      <w:pPr>
        <w:pStyle w:val="9"/>
        <w:spacing w:line="364" w:lineRule="auto"/>
        <w:ind w:left="218" w:right="257" w:firstLine="480"/>
        <w:jc w:val="both"/>
      </w:pPr>
      <w:r>
        <w:rPr>
          <w:color w:val="FF0000"/>
          <w:spacing w:val="-7"/>
        </w:rPr>
        <w:t>生态建设：加强水土流失预防和治理。开展重点矿区生态修复、环境治理和水资源</w:t>
      </w:r>
      <w:r>
        <w:rPr>
          <w:color w:val="FF0000"/>
          <w:spacing w:val="-8"/>
        </w:rPr>
        <w:t>保护，加强煤矸石、粉煤灰、钢渣等废弃物和采煤沉陷区综合治理，提高矿区土地复垦</w:t>
      </w:r>
      <w:r>
        <w:rPr>
          <w:color w:val="FF0000"/>
        </w:rPr>
        <w:t>和采煤废水回收利用率。</w:t>
      </w:r>
    </w:p>
    <w:p>
      <w:pPr>
        <w:pStyle w:val="9"/>
        <w:spacing w:line="364" w:lineRule="auto"/>
        <w:ind w:left="218" w:right="257" w:firstLine="480"/>
        <w:jc w:val="both"/>
      </w:pPr>
      <w:r>
        <w:rPr>
          <w:color w:val="FF0000"/>
          <w:spacing w:val="-6"/>
        </w:rPr>
        <w:t>基础设施建设：提升城市总体功能，完善各类产业园区的外部配套基础设施，加快</w:t>
      </w:r>
      <w:r>
        <w:rPr>
          <w:color w:val="FF0000"/>
          <w:spacing w:val="-8"/>
        </w:rPr>
        <w:t>东部煤、粮、钢等大宗物品的仓储物流以及运输通道建设，逐步实施城市中心区扩大工</w:t>
      </w:r>
      <w:r>
        <w:rPr>
          <w:color w:val="FF0000"/>
        </w:rPr>
        <w:t>程。</w:t>
      </w:r>
    </w:p>
    <w:p>
      <w:pPr>
        <w:pStyle w:val="9"/>
        <w:spacing w:line="307" w:lineRule="exact"/>
        <w:ind w:left="698"/>
      </w:pPr>
      <w:r>
        <w:rPr>
          <w:color w:val="FF0000"/>
        </w:rPr>
        <w:t>（二）重点开发城镇。</w:t>
      </w:r>
    </w:p>
    <w:p>
      <w:pPr>
        <w:pStyle w:val="9"/>
        <w:spacing w:before="155" w:line="364" w:lineRule="auto"/>
        <w:ind w:left="218" w:right="257" w:firstLine="480"/>
        <w:jc w:val="both"/>
      </w:pPr>
      <w:r>
        <w:rPr>
          <w:color w:val="FF0000"/>
          <w:spacing w:val="-1"/>
        </w:rPr>
        <w:t>主要指东部煤电化基地周边部分县</w:t>
      </w:r>
      <w:r>
        <w:rPr>
          <w:color w:val="FF0000"/>
        </w:rPr>
        <w:t>（市</w:t>
      </w:r>
      <w:r>
        <w:rPr>
          <w:color w:val="FF0000"/>
          <w:spacing w:val="-12"/>
        </w:rPr>
        <w:t>）</w:t>
      </w:r>
      <w:r>
        <w:rPr>
          <w:color w:val="FF0000"/>
          <w:spacing w:val="-5"/>
        </w:rPr>
        <w:t>重点开发区、园区所在乡镇，包括宝清县</w:t>
      </w:r>
      <w:r>
        <w:rPr>
          <w:color w:val="FF0000"/>
          <w:spacing w:val="-8"/>
        </w:rPr>
        <w:t>宝清镇、朝阳乡和七星泡镇，集贤县福利镇和集贤镇，鸡东县永安镇和永和镇，勃利县</w:t>
      </w:r>
      <w:r>
        <w:rPr>
          <w:color w:val="FF0000"/>
          <w:spacing w:val="-7"/>
        </w:rPr>
        <w:t xml:space="preserve">勃利镇和青山乡等 </w:t>
      </w:r>
      <w:r>
        <w:rPr>
          <w:rFonts w:ascii="Times New Roman" w:eastAsia="Times New Roman"/>
          <w:color w:val="FF0000"/>
        </w:rPr>
        <w:t xml:space="preserve">9 </w:t>
      </w:r>
      <w:r>
        <w:rPr>
          <w:color w:val="FF0000"/>
        </w:rPr>
        <w:t>个镇（乡）。</w:t>
      </w:r>
    </w:p>
    <w:p>
      <w:pPr>
        <w:pStyle w:val="9"/>
        <w:spacing w:line="364" w:lineRule="auto"/>
        <w:ind w:left="218" w:right="257" w:firstLine="480"/>
      </w:pPr>
      <w:r>
        <w:rPr>
          <w:color w:val="FF0000"/>
          <w:spacing w:val="-7"/>
        </w:rPr>
        <w:t>功能定位：东部煤电化基地中心城市产业辐射和转移的重要承接区，县域经济发展</w:t>
      </w:r>
      <w:r>
        <w:rPr>
          <w:color w:val="FF0000"/>
        </w:rPr>
        <w:t>的核心区和引导区，周边农业人口转移的集散区。</w:t>
      </w:r>
    </w:p>
    <w:p>
      <w:pPr>
        <w:pStyle w:val="9"/>
        <w:spacing w:line="364" w:lineRule="auto"/>
        <w:ind w:left="218" w:right="205" w:firstLine="480"/>
        <w:jc w:val="both"/>
      </w:pPr>
      <w:r>
        <w:rPr>
          <w:color w:val="FF0000"/>
          <w:spacing w:val="-1"/>
        </w:rPr>
        <w:t xml:space="preserve">产业发展方向与布局：以城关镇为基础，以各类经济开发园区和对外口岸为依托， </w:t>
      </w:r>
      <w:r>
        <w:rPr>
          <w:color w:val="FF0000"/>
          <w:spacing w:val="-4"/>
        </w:rPr>
        <w:t>承接区域内中心城市特色产业。以煤电化产业为主导，发挥区位和资源优势，合理开发</w:t>
      </w:r>
      <w:r>
        <w:rPr>
          <w:color w:val="FF0000"/>
          <w:spacing w:val="-8"/>
        </w:rPr>
        <w:t>和有效保护煤炭资源，大力发展循环经济，积极发展非煤支柱产业和对外贸易，重点发展冶金、新材料、新能源、农产品加工、装备制造、生物工程等产业。</w:t>
      </w:r>
    </w:p>
    <w:p>
      <w:pPr>
        <w:pStyle w:val="9"/>
        <w:spacing w:line="364" w:lineRule="auto"/>
        <w:ind w:left="218" w:right="137" w:firstLine="480"/>
      </w:pPr>
      <w:r>
        <w:rPr>
          <w:color w:val="FF0000"/>
          <w:spacing w:val="-14"/>
        </w:rPr>
        <w:t xml:space="preserve">生态建设：大力发展循环经济和生态农业，加强生态建设，实施退耕还林还草还湿， </w:t>
      </w:r>
      <w:r>
        <w:rPr>
          <w:color w:val="FF0000"/>
          <w:spacing w:val="-4"/>
        </w:rPr>
        <w:t>加强水土流失预防和治理，开展重点矿区生态修复、环境治理和水资源保护治理，提高矿区土地复垦和采煤废水利用率。</w:t>
      </w:r>
    </w:p>
    <w:p>
      <w:pPr>
        <w:pStyle w:val="9"/>
        <w:spacing w:line="364" w:lineRule="auto"/>
        <w:ind w:left="218" w:right="253" w:firstLine="480"/>
      </w:pPr>
      <w:r>
        <w:rPr>
          <w:color w:val="FF0000"/>
          <w:spacing w:val="-7"/>
        </w:rPr>
        <w:t>基础设施建设：完善城镇和矿区基础设施，构建综合交通网络，优化居住环境，提</w:t>
      </w:r>
      <w:r>
        <w:rPr>
          <w:color w:val="FF0000"/>
        </w:rPr>
        <w:t>升服务水平。</w:t>
      </w:r>
    </w:p>
    <w:p>
      <w:pPr>
        <w:pStyle w:val="9"/>
        <w:spacing w:line="306" w:lineRule="exact"/>
        <w:ind w:left="698"/>
      </w:pPr>
      <w:r>
        <w:rPr>
          <w:color w:val="FF0000"/>
        </w:rPr>
        <w:t>（三）其他重点开发城镇</w:t>
      </w:r>
    </w:p>
    <w:p>
      <w:pPr>
        <w:spacing w:after="0" w:line="306" w:lineRule="exact"/>
        <w:sectPr>
          <w:pgSz w:w="11910" w:h="16840"/>
          <w:pgMar w:top="1360" w:right="1160" w:bottom="1180" w:left="1200" w:header="0" w:footer="993" w:gutter="0"/>
        </w:sectPr>
      </w:pPr>
    </w:p>
    <w:p>
      <w:pPr>
        <w:pStyle w:val="9"/>
        <w:spacing w:before="41" w:line="364" w:lineRule="auto"/>
        <w:ind w:left="218" w:right="257" w:firstLine="480"/>
        <w:jc w:val="right"/>
      </w:pPr>
      <w:r>
        <w:rPr>
          <w:color w:val="FF0000"/>
          <w:spacing w:val="-1"/>
        </w:rPr>
        <w:t>主要指国家农产品主产区中部分县</w:t>
      </w:r>
      <w:r>
        <w:rPr>
          <w:color w:val="FF0000"/>
        </w:rPr>
        <w:t>（市</w:t>
      </w:r>
      <w:r>
        <w:rPr>
          <w:color w:val="FF0000"/>
          <w:spacing w:val="-12"/>
        </w:rPr>
        <w:t>）</w:t>
      </w:r>
      <w:r>
        <w:rPr>
          <w:color w:val="FF0000"/>
          <w:spacing w:val="-5"/>
        </w:rPr>
        <w:t>重点开发区、园区所在乡镇，包括桦南县</w:t>
      </w:r>
      <w:r>
        <w:rPr>
          <w:color w:val="FF0000"/>
          <w:spacing w:val="-8"/>
        </w:rPr>
        <w:t>桦南镇、桦川县悦来镇、汤原县汤原镇、友谊县友谊镇、萝北县名山镇和环山乡、绥化</w:t>
      </w:r>
      <w:r>
        <w:rPr>
          <w:color w:val="FF0000"/>
          <w:spacing w:val="-5"/>
        </w:rPr>
        <w:t>市北林区四方台镇和秦家镇、海伦市海伦镇和海北镇、望奎县望奎镇和先锋镇、兰西县</w:t>
      </w:r>
      <w:r>
        <w:rPr>
          <w:color w:val="FF0000"/>
          <w:spacing w:val="-2"/>
        </w:rPr>
        <w:t xml:space="preserve">榆林镇和兰西镇、明水县明水镇和双兴乡、青冈县青冈镇和柞岗乡等 </w:t>
      </w:r>
      <w:r>
        <w:rPr>
          <w:rFonts w:ascii="Times New Roman" w:eastAsia="Times New Roman"/>
          <w:color w:val="FF0000"/>
        </w:rPr>
        <w:t xml:space="preserve">18 </w:t>
      </w:r>
      <w:r>
        <w:rPr>
          <w:color w:val="FF0000"/>
        </w:rPr>
        <w:t>个镇（乡）。</w:t>
      </w:r>
      <w:r>
        <w:rPr>
          <w:color w:val="FF0000"/>
          <w:spacing w:val="-6"/>
        </w:rPr>
        <w:t>功能定位：优质农产品生产加工基地，县域经济发展的核心区和引导区，特色优势</w:t>
      </w:r>
    </w:p>
    <w:p>
      <w:pPr>
        <w:pStyle w:val="9"/>
        <w:spacing w:line="306" w:lineRule="exact"/>
        <w:ind w:left="218"/>
      </w:pPr>
      <w:r>
        <w:rPr>
          <w:color w:val="FF0000"/>
        </w:rPr>
        <w:t>产业的集聚区，周边农业人口转移的集散区。</w:t>
      </w:r>
    </w:p>
    <w:p>
      <w:pPr>
        <w:pStyle w:val="9"/>
        <w:spacing w:before="158" w:line="364" w:lineRule="auto"/>
        <w:ind w:left="218" w:right="205" w:firstLine="480"/>
      </w:pPr>
      <w:r>
        <w:rPr>
          <w:color w:val="FF0000"/>
        </w:rPr>
        <w:t>产业发展方向与布局：因地制宜发展优势特色产业，重点发展农畜产品精深加工、食品加工、轻纺、新材料、新能源、生物、旅游等产业。</w:t>
      </w:r>
    </w:p>
    <w:p>
      <w:pPr>
        <w:pStyle w:val="9"/>
        <w:spacing w:line="364" w:lineRule="auto"/>
        <w:ind w:left="218" w:right="257" w:firstLine="480"/>
        <w:jc w:val="both"/>
      </w:pPr>
      <w:r>
        <w:rPr>
          <w:color w:val="FF0000"/>
          <w:spacing w:val="-6"/>
        </w:rPr>
        <w:t>生态和农业建设：积极保护耕地，保障粮食生产，大力发展生态农业，积极推广应</w:t>
      </w:r>
      <w:r>
        <w:rPr>
          <w:color w:val="FF0000"/>
          <w:spacing w:val="-5"/>
        </w:rPr>
        <w:t>用保护性耕作技术，治理水土流失，实施退耕还林还草还湿，强化西部地区的防风固沙</w:t>
      </w:r>
      <w:r>
        <w:rPr>
          <w:color w:val="FF0000"/>
        </w:rPr>
        <w:t>功能，加强水资源保护治理。</w:t>
      </w:r>
    </w:p>
    <w:p>
      <w:pPr>
        <w:pStyle w:val="9"/>
        <w:spacing w:line="362" w:lineRule="auto"/>
        <w:ind w:left="218" w:right="253" w:firstLine="480"/>
      </w:pPr>
      <w:r>
        <w:rPr>
          <w:color w:val="FF0000"/>
          <w:spacing w:val="-8"/>
        </w:rPr>
        <w:t>基础设施建设：完善城镇各类道路、供水、电力、通信、交通等基础设施，优化居</w:t>
      </w:r>
      <w:r>
        <w:rPr>
          <w:color w:val="FF0000"/>
        </w:rPr>
        <w:t>住环境，提升服务水平。</w:t>
      </w:r>
    </w:p>
    <w:p>
      <w:pPr>
        <w:spacing w:before="3"/>
        <w:ind w:left="746" w:right="0" w:firstLine="0"/>
        <w:jc w:val="left"/>
        <w:rPr>
          <w:b/>
          <w:sz w:val="24"/>
        </w:rPr>
      </w:pPr>
      <w:r>
        <w:rPr>
          <w:b/>
          <w:color w:val="FF0000"/>
          <w:sz w:val="24"/>
        </w:rPr>
        <w:t>符合性分析：</w:t>
      </w:r>
    </w:p>
    <w:p>
      <w:pPr>
        <w:pStyle w:val="9"/>
        <w:spacing w:before="161" w:line="364" w:lineRule="auto"/>
        <w:ind w:left="218" w:right="205" w:firstLine="480"/>
        <w:jc w:val="both"/>
      </w:pPr>
      <w:r>
        <w:rPr>
          <w:color w:val="FF0000"/>
        </w:rPr>
        <w:t>随着黑龙江省的经济快速增长，现有省内的煤炭产量仍满足不了经济发展的需要。随着双鸭山市煤炭矿区各个矿的相继建成投产，在一定程度上缓解了省内外煤炭供应紧张的局面，为国民经济的发展贡献力量。</w:t>
      </w:r>
    </w:p>
    <w:p>
      <w:pPr>
        <w:pStyle w:val="9"/>
        <w:spacing w:line="364" w:lineRule="auto"/>
        <w:ind w:left="218" w:right="205" w:firstLine="480"/>
        <w:jc w:val="both"/>
      </w:pPr>
      <w:r>
        <w:rPr>
          <w:color w:val="FF0000"/>
        </w:rPr>
        <w:t>本项目对采煤废水、煤矸石、土地复垦等采取了合理的环境治理和生态保护措施。规划符合《黑龙江省主体功能区规划》省级重点开发区域功能定位，产业发展方向及布局以及生态建设要求，因此， 本项目符合《黑龙江省主体功能区规划》的要求。</w:t>
      </w:r>
    </w:p>
    <w:p>
      <w:pPr>
        <w:pStyle w:val="5"/>
        <w:numPr>
          <w:ilvl w:val="2"/>
          <w:numId w:val="9"/>
        </w:numPr>
        <w:tabs>
          <w:tab w:val="left" w:pos="848"/>
        </w:tabs>
        <w:spacing w:before="0" w:after="0" w:line="240" w:lineRule="auto"/>
        <w:ind w:left="847" w:right="0" w:hanging="630"/>
        <w:jc w:val="left"/>
      </w:pPr>
      <w:bookmarkStart w:id="22" w:name="6.1.5与相关政策的协调性分析"/>
      <w:bookmarkEnd w:id="22"/>
      <w:bookmarkStart w:id="23" w:name="6.1.5与相关政策的协调性分析"/>
      <w:bookmarkEnd w:id="23"/>
      <w:r>
        <w:rPr>
          <w:color w:val="FF0000"/>
        </w:rPr>
        <w:t>与相关政策的协调性分析</w:t>
      </w:r>
    </w:p>
    <w:p>
      <w:pPr>
        <w:pStyle w:val="18"/>
        <w:numPr>
          <w:ilvl w:val="0"/>
          <w:numId w:val="10"/>
        </w:numPr>
        <w:tabs>
          <w:tab w:val="left" w:pos="1300"/>
        </w:tabs>
        <w:spacing w:before="193" w:after="0" w:line="240" w:lineRule="auto"/>
        <w:ind w:left="1299" w:right="0" w:hanging="602"/>
        <w:jc w:val="left"/>
        <w:rPr>
          <w:sz w:val="24"/>
        </w:rPr>
      </w:pPr>
      <w:r>
        <w:rPr>
          <w:color w:val="FF0000"/>
          <w:sz w:val="24"/>
        </w:rPr>
        <w:t>与《矿山生态环境保护与污染防治技术政策》的符合性</w:t>
      </w:r>
    </w:p>
    <w:p>
      <w:pPr>
        <w:pStyle w:val="9"/>
        <w:rPr>
          <w:sz w:val="26"/>
        </w:rPr>
      </w:pPr>
    </w:p>
    <w:p>
      <w:pPr>
        <w:pStyle w:val="9"/>
        <w:spacing w:before="10"/>
        <w:rPr>
          <w:sz w:val="18"/>
        </w:rPr>
      </w:pPr>
    </w:p>
    <w:p>
      <w:pPr>
        <w:pStyle w:val="9"/>
        <w:ind w:left="698"/>
      </w:pPr>
      <w:r>
        <w:rPr>
          <w:color w:val="FF0000"/>
        </w:rPr>
        <w:t>本项目与《矿山生态环境保护与污染防治技术政策》逐条对比分析结果见下表。</w:t>
      </w:r>
    </w:p>
    <w:p>
      <w:pPr>
        <w:spacing w:before="159"/>
        <w:ind w:left="312" w:right="330" w:firstLine="0"/>
        <w:jc w:val="center"/>
        <w:rPr>
          <w:b/>
          <w:sz w:val="21"/>
        </w:rPr>
      </w:pPr>
      <w:r>
        <w:rPr>
          <w:b/>
          <w:color w:val="FF0000"/>
          <w:sz w:val="21"/>
        </w:rPr>
        <w:t xml:space="preserve">表 </w:t>
      </w:r>
      <w:r>
        <w:rPr>
          <w:rFonts w:ascii="Times New Roman" w:eastAsia="Times New Roman"/>
          <w:b/>
          <w:color w:val="FF0000"/>
          <w:sz w:val="21"/>
        </w:rPr>
        <w:t xml:space="preserve">1 </w:t>
      </w:r>
      <w:r>
        <w:rPr>
          <w:b/>
          <w:color w:val="FF0000"/>
          <w:sz w:val="21"/>
        </w:rPr>
        <w:t>本项目与矿山生态环境保护与污染防治技术政策对比分析一览表</w:t>
      </w:r>
    </w:p>
    <w:p>
      <w:pPr>
        <w:pStyle w:val="9"/>
        <w:spacing w:before="11"/>
        <w:rPr>
          <w:b/>
          <w:sz w:val="10"/>
        </w:rPr>
      </w:pPr>
    </w:p>
    <w:tbl>
      <w:tblPr>
        <w:tblStyle w:val="15"/>
        <w:tblW w:w="0" w:type="auto"/>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9"/>
        <w:gridCol w:w="3220"/>
        <w:gridCol w:w="4370"/>
        <w:gridCol w:w="6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54" w:hRule="atLeast"/>
        </w:trPr>
        <w:tc>
          <w:tcPr>
            <w:tcW w:w="649" w:type="dxa"/>
            <w:tcBorders>
              <w:bottom w:val="single" w:color="000000" w:sz="4" w:space="0"/>
              <w:right w:val="single" w:color="000000" w:sz="4" w:space="0"/>
            </w:tcBorders>
          </w:tcPr>
          <w:p>
            <w:pPr>
              <w:pStyle w:val="19"/>
              <w:spacing w:before="165"/>
              <w:ind w:left="92" w:right="82"/>
              <w:rPr>
                <w:sz w:val="21"/>
              </w:rPr>
            </w:pPr>
            <w:r>
              <w:rPr>
                <w:color w:val="FF0000"/>
                <w:sz w:val="21"/>
              </w:rPr>
              <w:t>编号</w:t>
            </w:r>
          </w:p>
        </w:tc>
        <w:tc>
          <w:tcPr>
            <w:tcW w:w="3220" w:type="dxa"/>
            <w:tcBorders>
              <w:left w:val="single" w:color="000000" w:sz="4" w:space="0"/>
              <w:bottom w:val="single" w:color="000000" w:sz="4" w:space="0"/>
              <w:right w:val="single" w:color="000000" w:sz="4" w:space="0"/>
            </w:tcBorders>
          </w:tcPr>
          <w:p>
            <w:pPr>
              <w:pStyle w:val="19"/>
              <w:spacing w:before="2"/>
              <w:ind w:left="122" w:right="107"/>
              <w:rPr>
                <w:sz w:val="21"/>
              </w:rPr>
            </w:pPr>
            <w:r>
              <w:rPr>
                <w:color w:val="FF0000"/>
                <w:sz w:val="21"/>
              </w:rPr>
              <w:t>矿山生态环境保护与污染防治技</w:t>
            </w:r>
          </w:p>
          <w:p>
            <w:pPr>
              <w:pStyle w:val="19"/>
              <w:spacing w:before="55"/>
              <w:ind w:left="122" w:right="102"/>
              <w:rPr>
                <w:sz w:val="21"/>
              </w:rPr>
            </w:pPr>
            <w:r>
              <w:rPr>
                <w:color w:val="FF0000"/>
                <w:sz w:val="21"/>
              </w:rPr>
              <w:t>术政策</w:t>
            </w:r>
          </w:p>
        </w:tc>
        <w:tc>
          <w:tcPr>
            <w:tcW w:w="4370" w:type="dxa"/>
            <w:tcBorders>
              <w:left w:val="single" w:color="000000" w:sz="4" w:space="0"/>
              <w:bottom w:val="single" w:color="000000" w:sz="4" w:space="0"/>
              <w:right w:val="single" w:color="000000" w:sz="4" w:space="0"/>
            </w:tcBorders>
          </w:tcPr>
          <w:p>
            <w:pPr>
              <w:pStyle w:val="19"/>
              <w:spacing w:before="165"/>
              <w:ind w:left="383" w:right="367"/>
              <w:rPr>
                <w:sz w:val="21"/>
              </w:rPr>
            </w:pPr>
            <w:r>
              <w:rPr>
                <w:color w:val="FF0000"/>
                <w:sz w:val="21"/>
              </w:rPr>
              <w:t>本项目</w:t>
            </w:r>
          </w:p>
        </w:tc>
        <w:tc>
          <w:tcPr>
            <w:tcW w:w="669" w:type="dxa"/>
            <w:tcBorders>
              <w:left w:val="single" w:color="000000" w:sz="4" w:space="0"/>
              <w:bottom w:val="single" w:color="000000" w:sz="4" w:space="0"/>
            </w:tcBorders>
          </w:tcPr>
          <w:p>
            <w:pPr>
              <w:pStyle w:val="19"/>
              <w:spacing w:before="165"/>
              <w:ind w:left="128"/>
              <w:jc w:val="left"/>
              <w:rPr>
                <w:sz w:val="21"/>
              </w:rPr>
            </w:pPr>
            <w:r>
              <w:rPr>
                <w:color w:val="FF0000"/>
                <w:sz w:val="21"/>
              </w:rPr>
              <w:t>评价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7" w:hRule="atLeast"/>
        </w:trPr>
        <w:tc>
          <w:tcPr>
            <w:tcW w:w="649" w:type="dxa"/>
            <w:tcBorders>
              <w:top w:val="single" w:color="000000" w:sz="4" w:space="0"/>
              <w:right w:val="single" w:color="000000" w:sz="4" w:space="0"/>
            </w:tcBorders>
          </w:tcPr>
          <w:p>
            <w:pPr>
              <w:pStyle w:val="19"/>
              <w:spacing w:before="10"/>
              <w:jc w:val="left"/>
              <w:rPr>
                <w:b/>
                <w:sz w:val="26"/>
              </w:rPr>
            </w:pPr>
          </w:p>
          <w:p>
            <w:pPr>
              <w:pStyle w:val="19"/>
              <w:ind w:left="14"/>
              <w:rPr>
                <w:rFonts w:ascii="Times New Roman"/>
                <w:sz w:val="21"/>
              </w:rPr>
            </w:pPr>
            <w:r>
              <w:rPr>
                <w:rFonts w:ascii="Times New Roman"/>
                <w:color w:val="FF0000"/>
                <w:w w:val="99"/>
                <w:sz w:val="21"/>
              </w:rPr>
              <w:t>1</w:t>
            </w:r>
          </w:p>
        </w:tc>
        <w:tc>
          <w:tcPr>
            <w:tcW w:w="3220" w:type="dxa"/>
            <w:tcBorders>
              <w:top w:val="single" w:color="000000" w:sz="4" w:space="0"/>
              <w:left w:val="single" w:color="000000" w:sz="4" w:space="0"/>
              <w:right w:val="single" w:color="000000" w:sz="4" w:space="0"/>
            </w:tcBorders>
          </w:tcPr>
          <w:p>
            <w:pPr>
              <w:pStyle w:val="19"/>
              <w:ind w:left="249"/>
              <w:jc w:val="left"/>
              <w:rPr>
                <w:sz w:val="21"/>
              </w:rPr>
            </w:pPr>
            <w:r>
              <w:rPr>
                <w:color w:val="FF0000"/>
                <w:sz w:val="21"/>
              </w:rPr>
              <w:t>禁止在依法划定的自然保护区</w:t>
            </w:r>
          </w:p>
          <w:p>
            <w:pPr>
              <w:pStyle w:val="19"/>
              <w:spacing w:before="7" w:line="320" w:lineRule="atLeast"/>
              <w:ind w:left="143" w:right="126"/>
              <w:jc w:val="left"/>
              <w:rPr>
                <w:sz w:val="21"/>
              </w:rPr>
            </w:pPr>
            <w:r>
              <w:rPr>
                <w:color w:val="FF0000"/>
                <w:sz w:val="21"/>
              </w:rPr>
              <w:t>（核心区、缓冲区）、风景名胜区、森林公园、饮用水水源保护</w:t>
            </w:r>
          </w:p>
        </w:tc>
        <w:tc>
          <w:tcPr>
            <w:tcW w:w="4370" w:type="dxa"/>
            <w:tcBorders>
              <w:top w:val="single" w:color="000000" w:sz="4" w:space="0"/>
              <w:left w:val="single" w:color="000000" w:sz="4" w:space="0"/>
              <w:right w:val="single" w:color="000000" w:sz="4" w:space="0"/>
            </w:tcBorders>
          </w:tcPr>
          <w:p>
            <w:pPr>
              <w:pStyle w:val="19"/>
              <w:ind w:left="113"/>
              <w:jc w:val="left"/>
              <w:rPr>
                <w:sz w:val="21"/>
              </w:rPr>
            </w:pPr>
            <w:r>
              <w:rPr>
                <w:color w:val="FF0000"/>
                <w:spacing w:val="-4"/>
                <w:w w:val="95"/>
                <w:sz w:val="21"/>
              </w:rPr>
              <w:t>本项目矿区与自然保护区、风景名胜区、生态</w:t>
            </w:r>
          </w:p>
          <w:p>
            <w:pPr>
              <w:pStyle w:val="19"/>
              <w:spacing w:before="7" w:line="320" w:lineRule="atLeast"/>
              <w:ind w:left="113" w:right="46"/>
              <w:jc w:val="left"/>
              <w:rPr>
                <w:sz w:val="21"/>
              </w:rPr>
            </w:pPr>
            <w:r>
              <w:rPr>
                <w:color w:val="FF0000"/>
                <w:w w:val="95"/>
                <w:sz w:val="21"/>
              </w:rPr>
              <w:t xml:space="preserve">保护红线、禁止开发区边界（包括地质公园、 </w:t>
            </w:r>
            <w:r>
              <w:rPr>
                <w:color w:val="FF0000"/>
                <w:spacing w:val="-5"/>
                <w:sz w:val="21"/>
              </w:rPr>
              <w:t>风景名胜区、森林公园、湿地公园、世界自然</w:t>
            </w:r>
          </w:p>
        </w:tc>
        <w:tc>
          <w:tcPr>
            <w:tcW w:w="669" w:type="dxa"/>
            <w:tcBorders>
              <w:top w:val="single" w:color="000000" w:sz="4" w:space="0"/>
              <w:left w:val="single" w:color="000000" w:sz="4" w:space="0"/>
            </w:tcBorders>
          </w:tcPr>
          <w:p>
            <w:pPr>
              <w:pStyle w:val="19"/>
              <w:spacing w:before="6"/>
              <w:jc w:val="left"/>
              <w:rPr>
                <w:b/>
                <w:sz w:val="25"/>
              </w:rPr>
            </w:pPr>
          </w:p>
          <w:p>
            <w:pPr>
              <w:pStyle w:val="19"/>
              <w:ind w:left="128"/>
              <w:jc w:val="left"/>
              <w:rPr>
                <w:sz w:val="21"/>
              </w:rPr>
            </w:pPr>
            <w:r>
              <w:rPr>
                <w:color w:val="FF0000"/>
                <w:sz w:val="21"/>
              </w:rPr>
              <w:t>符合</w:t>
            </w:r>
          </w:p>
        </w:tc>
      </w:tr>
    </w:tbl>
    <w:p>
      <w:pPr>
        <w:spacing w:after="0"/>
        <w:jc w:val="left"/>
        <w:rPr>
          <w:sz w:val="21"/>
        </w:rPr>
        <w:sectPr>
          <w:footerReference r:id="rId4" w:type="default"/>
          <w:pgSz w:w="11910" w:h="16840"/>
          <w:pgMar w:top="1360" w:right="1160" w:bottom="1100" w:left="1200" w:header="0" w:footer="913" w:gutter="0"/>
          <w:pgNumType w:start="10"/>
        </w:sectPr>
      </w:pPr>
    </w:p>
    <w:tbl>
      <w:tblPr>
        <w:tblStyle w:val="15"/>
        <w:tblW w:w="0" w:type="auto"/>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9"/>
        <w:gridCol w:w="3220"/>
        <w:gridCol w:w="4370"/>
        <w:gridCol w:w="6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0" w:hRule="atLeast"/>
        </w:trPr>
        <w:tc>
          <w:tcPr>
            <w:tcW w:w="649" w:type="dxa"/>
            <w:vMerge w:val="restart"/>
            <w:tcBorders>
              <w:bottom w:val="single" w:color="000000" w:sz="4" w:space="0"/>
              <w:right w:val="single" w:color="000000" w:sz="4" w:space="0"/>
            </w:tcBorders>
          </w:tcPr>
          <w:p>
            <w:pPr>
              <w:pStyle w:val="19"/>
              <w:jc w:val="left"/>
              <w:rPr>
                <w:rFonts w:ascii="Times New Roman"/>
                <w:sz w:val="20"/>
              </w:rPr>
            </w:pPr>
          </w:p>
        </w:tc>
        <w:tc>
          <w:tcPr>
            <w:tcW w:w="3220" w:type="dxa"/>
            <w:tcBorders>
              <w:left w:val="single" w:color="000000" w:sz="4" w:space="0"/>
              <w:bottom w:val="single" w:color="000000" w:sz="4" w:space="0"/>
              <w:right w:val="single" w:color="000000" w:sz="4" w:space="0"/>
            </w:tcBorders>
          </w:tcPr>
          <w:p>
            <w:pPr>
              <w:pStyle w:val="19"/>
              <w:spacing w:line="290" w:lineRule="auto"/>
              <w:ind w:left="143" w:right="126"/>
              <w:rPr>
                <w:sz w:val="21"/>
              </w:rPr>
            </w:pPr>
            <w:r>
              <w:rPr>
                <w:color w:val="FF0000"/>
                <w:w w:val="95"/>
                <w:sz w:val="21"/>
              </w:rPr>
              <w:t>区、重要湖泊周边、文物古迹所在地、地质遗迹保护区、基本农</w:t>
            </w:r>
          </w:p>
          <w:p>
            <w:pPr>
              <w:pStyle w:val="19"/>
              <w:ind w:left="122" w:right="107"/>
              <w:rPr>
                <w:sz w:val="21"/>
              </w:rPr>
            </w:pPr>
            <w:r>
              <w:rPr>
                <w:color w:val="FF0000"/>
                <w:sz w:val="21"/>
              </w:rPr>
              <w:t>田保护区等区域内采矿</w:t>
            </w:r>
          </w:p>
        </w:tc>
        <w:tc>
          <w:tcPr>
            <w:tcW w:w="4370" w:type="dxa"/>
            <w:tcBorders>
              <w:left w:val="single" w:color="000000" w:sz="4" w:space="0"/>
              <w:bottom w:val="single" w:color="000000" w:sz="4" w:space="0"/>
              <w:right w:val="single" w:color="000000" w:sz="4" w:space="0"/>
            </w:tcBorders>
          </w:tcPr>
          <w:p>
            <w:pPr>
              <w:pStyle w:val="19"/>
              <w:spacing w:line="290" w:lineRule="auto"/>
              <w:ind w:left="113" w:right="-15"/>
              <w:jc w:val="left"/>
              <w:rPr>
                <w:sz w:val="21"/>
              </w:rPr>
            </w:pPr>
            <w:r>
              <w:rPr>
                <w:color w:val="FF0000"/>
                <w:spacing w:val="-14"/>
                <w:w w:val="95"/>
                <w:sz w:val="21"/>
              </w:rPr>
              <w:t xml:space="preserve">遗产、水产种质资源保护区、饮用水源保护区、 </w:t>
            </w:r>
            <w:r>
              <w:rPr>
                <w:color w:val="FF0000"/>
                <w:spacing w:val="-12"/>
                <w:sz w:val="21"/>
              </w:rPr>
              <w:t>重要湖泊周边、文物古迹所在地、地质遗迹保</w:t>
            </w:r>
          </w:p>
          <w:p>
            <w:pPr>
              <w:pStyle w:val="19"/>
              <w:ind w:left="615"/>
              <w:jc w:val="left"/>
              <w:rPr>
                <w:sz w:val="21"/>
              </w:rPr>
            </w:pPr>
            <w:r>
              <w:rPr>
                <w:color w:val="FF0000"/>
                <w:sz w:val="21"/>
              </w:rPr>
              <w:t>护区、基本农田保护区等）无重叠</w:t>
            </w:r>
          </w:p>
        </w:tc>
        <w:tc>
          <w:tcPr>
            <w:tcW w:w="669" w:type="dxa"/>
            <w:tcBorders>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649" w:type="dxa"/>
            <w:vMerge w:val="continue"/>
            <w:tcBorders>
              <w:top w:val="nil"/>
              <w:bottom w:val="single" w:color="000000" w:sz="4" w:space="0"/>
              <w:right w:val="single" w:color="000000" w:sz="4" w:space="0"/>
            </w:tcBorders>
          </w:tcPr>
          <w:p>
            <w:pPr>
              <w:rPr>
                <w:sz w:val="2"/>
                <w:szCs w:val="2"/>
              </w:rPr>
            </w:pPr>
          </w:p>
        </w:tc>
        <w:tc>
          <w:tcPr>
            <w:tcW w:w="3220" w:type="dxa"/>
            <w:tcBorders>
              <w:top w:val="single" w:color="000000" w:sz="4" w:space="0"/>
              <w:left w:val="single" w:color="000000" w:sz="4" w:space="0"/>
              <w:bottom w:val="single" w:color="000000" w:sz="4" w:space="0"/>
              <w:right w:val="single" w:color="000000" w:sz="4" w:space="0"/>
            </w:tcBorders>
          </w:tcPr>
          <w:p>
            <w:pPr>
              <w:pStyle w:val="19"/>
              <w:spacing w:before="1"/>
              <w:ind w:left="122" w:right="107"/>
              <w:rPr>
                <w:sz w:val="21"/>
              </w:rPr>
            </w:pPr>
            <w:r>
              <w:rPr>
                <w:color w:val="FF0000"/>
                <w:sz w:val="21"/>
              </w:rPr>
              <w:t>禁止在铁路、国道、省道两侧的</w:t>
            </w:r>
          </w:p>
          <w:p>
            <w:pPr>
              <w:pStyle w:val="19"/>
              <w:spacing w:before="57"/>
              <w:ind w:left="122" w:right="105"/>
              <w:rPr>
                <w:sz w:val="21"/>
              </w:rPr>
            </w:pPr>
            <w:r>
              <w:rPr>
                <w:color w:val="FF0000"/>
                <w:sz w:val="21"/>
              </w:rPr>
              <w:t>直观可视范围内进行露天开采</w:t>
            </w:r>
          </w:p>
        </w:tc>
        <w:tc>
          <w:tcPr>
            <w:tcW w:w="4370" w:type="dxa"/>
            <w:tcBorders>
              <w:top w:val="single" w:color="000000" w:sz="4" w:space="0"/>
              <w:left w:val="single" w:color="000000" w:sz="4" w:space="0"/>
              <w:bottom w:val="single" w:color="000000" w:sz="4" w:space="0"/>
              <w:right w:val="single" w:color="000000" w:sz="4" w:space="0"/>
            </w:tcBorders>
          </w:tcPr>
          <w:p>
            <w:pPr>
              <w:pStyle w:val="19"/>
              <w:spacing w:before="164"/>
              <w:ind w:left="383" w:right="367"/>
              <w:rPr>
                <w:sz w:val="21"/>
              </w:rPr>
            </w:pPr>
            <w:r>
              <w:rPr>
                <w:color w:val="FF0000"/>
                <w:sz w:val="21"/>
              </w:rPr>
              <w:t>本项目开采方式为地下开采</w:t>
            </w:r>
          </w:p>
        </w:tc>
        <w:tc>
          <w:tcPr>
            <w:tcW w:w="669" w:type="dxa"/>
            <w:tcBorders>
              <w:top w:val="single" w:color="000000" w:sz="4" w:space="0"/>
              <w:left w:val="single" w:color="000000" w:sz="4" w:space="0"/>
              <w:bottom w:val="single" w:color="000000" w:sz="4" w:space="0"/>
            </w:tcBorders>
          </w:tcPr>
          <w:p>
            <w:pPr>
              <w:pStyle w:val="19"/>
              <w:spacing w:before="164"/>
              <w:ind w:left="128"/>
              <w:jc w:val="left"/>
              <w:rPr>
                <w:sz w:val="21"/>
              </w:rPr>
            </w:pPr>
            <w:r>
              <w:rPr>
                <w:color w:val="FF0000"/>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649" w:type="dxa"/>
            <w:vMerge w:val="continue"/>
            <w:tcBorders>
              <w:top w:val="nil"/>
              <w:bottom w:val="single" w:color="000000" w:sz="4" w:space="0"/>
              <w:right w:val="single" w:color="000000" w:sz="4" w:space="0"/>
            </w:tcBorders>
          </w:tcPr>
          <w:p>
            <w:pPr>
              <w:rPr>
                <w:sz w:val="2"/>
                <w:szCs w:val="2"/>
              </w:rPr>
            </w:pPr>
          </w:p>
        </w:tc>
        <w:tc>
          <w:tcPr>
            <w:tcW w:w="3220" w:type="dxa"/>
            <w:tcBorders>
              <w:top w:val="single" w:color="000000" w:sz="4" w:space="0"/>
              <w:left w:val="single" w:color="000000" w:sz="4" w:space="0"/>
              <w:bottom w:val="single" w:color="000000" w:sz="4" w:space="0"/>
              <w:right w:val="single" w:color="000000" w:sz="4" w:space="0"/>
            </w:tcBorders>
          </w:tcPr>
          <w:p>
            <w:pPr>
              <w:pStyle w:val="19"/>
              <w:spacing w:before="2"/>
              <w:ind w:left="122" w:right="107"/>
              <w:rPr>
                <w:sz w:val="21"/>
              </w:rPr>
            </w:pPr>
            <w:r>
              <w:rPr>
                <w:color w:val="FF0000"/>
                <w:sz w:val="21"/>
              </w:rPr>
              <w:t>禁止在地质灾害危险区开采矿产</w:t>
            </w:r>
          </w:p>
          <w:p>
            <w:pPr>
              <w:pStyle w:val="19"/>
              <w:spacing w:before="55"/>
              <w:ind w:left="122" w:right="107"/>
              <w:rPr>
                <w:sz w:val="21"/>
              </w:rPr>
            </w:pPr>
            <w:r>
              <w:rPr>
                <w:color w:val="FF0000"/>
                <w:sz w:val="21"/>
              </w:rPr>
              <w:t>资源</w:t>
            </w:r>
          </w:p>
        </w:tc>
        <w:tc>
          <w:tcPr>
            <w:tcW w:w="4370" w:type="dxa"/>
            <w:tcBorders>
              <w:top w:val="single" w:color="000000" w:sz="4" w:space="0"/>
              <w:left w:val="single" w:color="000000" w:sz="4" w:space="0"/>
              <w:bottom w:val="single" w:color="000000" w:sz="4" w:space="0"/>
              <w:right w:val="single" w:color="000000" w:sz="4" w:space="0"/>
            </w:tcBorders>
          </w:tcPr>
          <w:p>
            <w:pPr>
              <w:pStyle w:val="19"/>
              <w:spacing w:before="165"/>
              <w:ind w:left="383" w:right="367"/>
              <w:rPr>
                <w:sz w:val="21"/>
              </w:rPr>
            </w:pPr>
            <w:r>
              <w:rPr>
                <w:color w:val="FF0000"/>
                <w:sz w:val="21"/>
              </w:rPr>
              <w:t>本项目所在区域不属于地质灾害易发区</w:t>
            </w:r>
          </w:p>
        </w:tc>
        <w:tc>
          <w:tcPr>
            <w:tcW w:w="669" w:type="dxa"/>
            <w:tcBorders>
              <w:top w:val="single" w:color="000000" w:sz="4" w:space="0"/>
              <w:left w:val="single" w:color="000000" w:sz="4" w:space="0"/>
              <w:bottom w:val="single" w:color="000000" w:sz="4" w:space="0"/>
            </w:tcBorders>
          </w:tcPr>
          <w:p>
            <w:pPr>
              <w:pStyle w:val="19"/>
              <w:spacing w:before="165"/>
              <w:ind w:left="128"/>
              <w:jc w:val="left"/>
              <w:rPr>
                <w:sz w:val="21"/>
              </w:rPr>
            </w:pPr>
            <w:r>
              <w:rPr>
                <w:color w:val="FF0000"/>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4" w:hRule="atLeast"/>
        </w:trPr>
        <w:tc>
          <w:tcPr>
            <w:tcW w:w="649" w:type="dxa"/>
            <w:vMerge w:val="restart"/>
            <w:tcBorders>
              <w:top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5"/>
              </w:rPr>
            </w:pPr>
          </w:p>
          <w:p>
            <w:pPr>
              <w:pStyle w:val="19"/>
              <w:ind w:left="14"/>
              <w:rPr>
                <w:rFonts w:ascii="Times New Roman"/>
                <w:sz w:val="21"/>
              </w:rPr>
            </w:pPr>
            <w:r>
              <w:rPr>
                <w:rFonts w:ascii="Times New Roman"/>
                <w:color w:val="FF0000"/>
                <w:w w:val="99"/>
                <w:sz w:val="21"/>
              </w:rPr>
              <w:t>2</w:t>
            </w:r>
          </w:p>
        </w:tc>
        <w:tc>
          <w:tcPr>
            <w:tcW w:w="3220"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3"/>
              <w:jc w:val="left"/>
              <w:rPr>
                <w:b/>
                <w:sz w:val="18"/>
              </w:rPr>
            </w:pPr>
          </w:p>
          <w:p>
            <w:pPr>
              <w:pStyle w:val="19"/>
              <w:spacing w:line="290" w:lineRule="auto"/>
              <w:ind w:left="143" w:right="126"/>
              <w:jc w:val="left"/>
              <w:rPr>
                <w:sz w:val="21"/>
              </w:rPr>
            </w:pPr>
            <w:r>
              <w:rPr>
                <w:color w:val="FF0000"/>
                <w:sz w:val="21"/>
              </w:rPr>
              <w:t>限制在生态功能保护区和自然保护区（过渡区）内开采矿产资源</w:t>
            </w:r>
          </w:p>
        </w:tc>
        <w:tc>
          <w:tcPr>
            <w:tcW w:w="4370" w:type="dxa"/>
            <w:tcBorders>
              <w:top w:val="single" w:color="000000" w:sz="4" w:space="0"/>
              <w:left w:val="single" w:color="000000" w:sz="4" w:space="0"/>
              <w:bottom w:val="single" w:color="000000" w:sz="4" w:space="0"/>
              <w:right w:val="single" w:color="000000" w:sz="4" w:space="0"/>
            </w:tcBorders>
          </w:tcPr>
          <w:p>
            <w:pPr>
              <w:pStyle w:val="19"/>
              <w:spacing w:line="290" w:lineRule="auto"/>
              <w:ind w:left="113" w:right="46"/>
              <w:jc w:val="both"/>
              <w:rPr>
                <w:sz w:val="21"/>
              </w:rPr>
            </w:pPr>
            <w:r>
              <w:rPr>
                <w:color w:val="FF0000"/>
                <w:spacing w:val="-4"/>
                <w:sz w:val="21"/>
              </w:rPr>
              <w:t>本项目矿区与自然保护区、风景名胜区、生态</w:t>
            </w:r>
            <w:r>
              <w:rPr>
                <w:color w:val="FF0000"/>
                <w:spacing w:val="-4"/>
                <w:w w:val="95"/>
                <w:sz w:val="21"/>
              </w:rPr>
              <w:t xml:space="preserve">保护红线、禁止开发区边界（包括地质公园、 </w:t>
            </w:r>
            <w:r>
              <w:rPr>
                <w:color w:val="FF0000"/>
                <w:spacing w:val="-8"/>
                <w:sz w:val="21"/>
              </w:rPr>
              <w:t>风景名胜区、森林公园、湿地公园、世界自然遗产、水产种质资源保护区、饮用水源保护区</w:t>
            </w:r>
          </w:p>
          <w:p>
            <w:pPr>
              <w:pStyle w:val="19"/>
              <w:spacing w:before="3"/>
              <w:ind w:left="383" w:right="367"/>
              <w:rPr>
                <w:sz w:val="21"/>
              </w:rPr>
            </w:pPr>
            <w:r>
              <w:rPr>
                <w:color w:val="FF0000"/>
                <w:sz w:val="21"/>
              </w:rPr>
              <w:t>等）无重叠</w:t>
            </w:r>
          </w:p>
        </w:tc>
        <w:tc>
          <w:tcPr>
            <w:tcW w:w="669" w:type="dxa"/>
            <w:tcBorders>
              <w:top w:val="single" w:color="000000" w:sz="4" w:space="0"/>
              <w:left w:val="single" w:color="000000" w:sz="4" w:space="0"/>
              <w:bottom w:val="single" w:color="000000" w:sz="4" w:space="0"/>
            </w:tcBorders>
          </w:tcPr>
          <w:p>
            <w:pPr>
              <w:pStyle w:val="19"/>
              <w:jc w:val="left"/>
              <w:rPr>
                <w:b/>
                <w:sz w:val="20"/>
              </w:rPr>
            </w:pPr>
          </w:p>
          <w:p>
            <w:pPr>
              <w:pStyle w:val="19"/>
              <w:jc w:val="left"/>
              <w:rPr>
                <w:b/>
                <w:sz w:val="20"/>
              </w:rPr>
            </w:pPr>
          </w:p>
          <w:p>
            <w:pPr>
              <w:pStyle w:val="19"/>
              <w:spacing w:before="140"/>
              <w:ind w:left="128"/>
              <w:jc w:val="left"/>
              <w:rPr>
                <w:sz w:val="21"/>
              </w:rPr>
            </w:pPr>
            <w:r>
              <w:rPr>
                <w:color w:val="FF0000"/>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649" w:type="dxa"/>
            <w:vMerge w:val="continue"/>
            <w:tcBorders>
              <w:top w:val="nil"/>
              <w:bottom w:val="single" w:color="000000" w:sz="4" w:space="0"/>
              <w:right w:val="single" w:color="000000" w:sz="4" w:space="0"/>
            </w:tcBorders>
          </w:tcPr>
          <w:p>
            <w:pPr>
              <w:rPr>
                <w:sz w:val="2"/>
                <w:szCs w:val="2"/>
              </w:rPr>
            </w:pPr>
          </w:p>
        </w:tc>
        <w:tc>
          <w:tcPr>
            <w:tcW w:w="3220" w:type="dxa"/>
            <w:tcBorders>
              <w:top w:val="single" w:color="000000" w:sz="4" w:space="0"/>
              <w:left w:val="single" w:color="000000" w:sz="4" w:space="0"/>
              <w:bottom w:val="single" w:color="000000" w:sz="4" w:space="0"/>
              <w:right w:val="single" w:color="000000" w:sz="4" w:space="0"/>
            </w:tcBorders>
          </w:tcPr>
          <w:p>
            <w:pPr>
              <w:pStyle w:val="19"/>
              <w:ind w:left="143"/>
              <w:jc w:val="left"/>
              <w:rPr>
                <w:sz w:val="21"/>
              </w:rPr>
            </w:pPr>
            <w:r>
              <w:rPr>
                <w:color w:val="FF0000"/>
                <w:sz w:val="21"/>
              </w:rPr>
              <w:t>限制在地质灾害易发区、水土流</w:t>
            </w:r>
          </w:p>
          <w:p>
            <w:pPr>
              <w:pStyle w:val="19"/>
              <w:spacing w:before="6" w:line="320" w:lineRule="atLeast"/>
              <w:ind w:left="1194" w:right="126" w:hanging="1052"/>
              <w:jc w:val="left"/>
              <w:rPr>
                <w:sz w:val="21"/>
              </w:rPr>
            </w:pPr>
            <w:r>
              <w:rPr>
                <w:color w:val="FF0000"/>
                <w:w w:val="95"/>
                <w:sz w:val="21"/>
              </w:rPr>
              <w:t>失严重区域等生态脆弱区内开采</w:t>
            </w:r>
            <w:r>
              <w:rPr>
                <w:color w:val="FF0000"/>
                <w:sz w:val="21"/>
              </w:rPr>
              <w:t>矿产资源</w:t>
            </w:r>
          </w:p>
        </w:tc>
        <w:tc>
          <w:tcPr>
            <w:tcW w:w="4370" w:type="dxa"/>
            <w:tcBorders>
              <w:top w:val="single" w:color="000000" w:sz="4" w:space="0"/>
              <w:left w:val="single" w:color="000000" w:sz="4" w:space="0"/>
              <w:bottom w:val="single" w:color="000000" w:sz="4" w:space="0"/>
              <w:right w:val="single" w:color="000000" w:sz="4" w:space="0"/>
            </w:tcBorders>
          </w:tcPr>
          <w:p>
            <w:pPr>
              <w:pStyle w:val="19"/>
              <w:spacing w:before="163" w:line="290" w:lineRule="auto"/>
              <w:ind w:left="1140" w:right="174" w:hanging="946"/>
              <w:jc w:val="left"/>
              <w:rPr>
                <w:sz w:val="21"/>
              </w:rPr>
            </w:pPr>
            <w:r>
              <w:rPr>
                <w:color w:val="FF0000"/>
                <w:w w:val="95"/>
                <w:sz w:val="21"/>
              </w:rPr>
              <w:t>本项目不涉及地质灾害危险易发区水土流失</w:t>
            </w:r>
            <w:r>
              <w:rPr>
                <w:color w:val="FF0000"/>
                <w:sz w:val="21"/>
              </w:rPr>
              <w:t>严重区域等生态脆弱区</w:t>
            </w:r>
          </w:p>
        </w:tc>
        <w:tc>
          <w:tcPr>
            <w:tcW w:w="669" w:type="dxa"/>
            <w:tcBorders>
              <w:top w:val="single" w:color="000000" w:sz="4" w:space="0"/>
              <w:left w:val="single" w:color="000000" w:sz="4" w:space="0"/>
              <w:bottom w:val="single" w:color="000000" w:sz="4" w:space="0"/>
            </w:tcBorders>
          </w:tcPr>
          <w:p>
            <w:pPr>
              <w:pStyle w:val="19"/>
              <w:spacing w:before="6"/>
              <w:jc w:val="left"/>
              <w:rPr>
                <w:b/>
                <w:sz w:val="25"/>
              </w:rPr>
            </w:pPr>
          </w:p>
          <w:p>
            <w:pPr>
              <w:pStyle w:val="19"/>
              <w:ind w:left="128"/>
              <w:jc w:val="left"/>
              <w:rPr>
                <w:sz w:val="21"/>
              </w:rPr>
            </w:pPr>
            <w:r>
              <w:rPr>
                <w:color w:val="FF0000"/>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6" w:hRule="atLeast"/>
        </w:trPr>
        <w:tc>
          <w:tcPr>
            <w:tcW w:w="649" w:type="dxa"/>
            <w:vMerge w:val="restart"/>
            <w:tcBorders>
              <w:top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spacing w:before="156"/>
              <w:ind w:left="14"/>
              <w:rPr>
                <w:rFonts w:ascii="Times New Roman"/>
                <w:sz w:val="21"/>
              </w:rPr>
            </w:pPr>
            <w:r>
              <w:rPr>
                <w:rFonts w:ascii="Times New Roman"/>
                <w:color w:val="FF0000"/>
                <w:w w:val="99"/>
                <w:sz w:val="21"/>
              </w:rPr>
              <w:t>3</w:t>
            </w:r>
          </w:p>
        </w:tc>
        <w:tc>
          <w:tcPr>
            <w:tcW w:w="3220" w:type="dxa"/>
            <w:tcBorders>
              <w:top w:val="single" w:color="000000" w:sz="4" w:space="0"/>
              <w:left w:val="single" w:color="000000" w:sz="4" w:space="0"/>
              <w:bottom w:val="single" w:color="000000" w:sz="4" w:space="0"/>
              <w:right w:val="single" w:color="000000" w:sz="4" w:space="0"/>
            </w:tcBorders>
          </w:tcPr>
          <w:p>
            <w:pPr>
              <w:pStyle w:val="19"/>
              <w:spacing w:before="7"/>
              <w:jc w:val="left"/>
              <w:rPr>
                <w:b/>
                <w:sz w:val="25"/>
              </w:rPr>
            </w:pPr>
          </w:p>
          <w:p>
            <w:pPr>
              <w:pStyle w:val="19"/>
              <w:spacing w:line="288" w:lineRule="auto"/>
              <w:ind w:left="249" w:right="126" w:hanging="106"/>
              <w:jc w:val="left"/>
              <w:rPr>
                <w:sz w:val="21"/>
              </w:rPr>
            </w:pPr>
            <w:r>
              <w:rPr>
                <w:color w:val="FF0000"/>
                <w:sz w:val="21"/>
              </w:rPr>
              <w:t>矿井水、和矿山其它外排水应统筹规划、分类管理、综合利用</w:t>
            </w:r>
          </w:p>
        </w:tc>
        <w:tc>
          <w:tcPr>
            <w:tcW w:w="4370" w:type="dxa"/>
            <w:tcBorders>
              <w:top w:val="single" w:color="000000" w:sz="4" w:space="0"/>
              <w:left w:val="single" w:color="000000" w:sz="4" w:space="0"/>
              <w:bottom w:val="single" w:color="000000" w:sz="4" w:space="0"/>
              <w:right w:val="single" w:color="000000" w:sz="4" w:space="0"/>
            </w:tcBorders>
          </w:tcPr>
          <w:p>
            <w:pPr>
              <w:pStyle w:val="19"/>
              <w:spacing w:before="1" w:line="290" w:lineRule="auto"/>
              <w:ind w:left="113" w:right="92" w:firstLine="420"/>
              <w:jc w:val="both"/>
              <w:rPr>
                <w:sz w:val="21"/>
              </w:rPr>
            </w:pPr>
            <w:r>
              <w:rPr>
                <w:color w:val="FF0000"/>
                <w:spacing w:val="-4"/>
                <w:w w:val="95"/>
                <w:sz w:val="21"/>
              </w:rPr>
              <w:t>采煤废水经矿井水处理站处理后，部分回</w:t>
            </w:r>
            <w:r>
              <w:rPr>
                <w:color w:val="FF0000"/>
                <w:spacing w:val="-9"/>
                <w:w w:val="95"/>
                <w:sz w:val="21"/>
              </w:rPr>
              <w:t xml:space="preserve">用于井下生产用水、洗浴用水、洗衣用水和锅 </w:t>
            </w:r>
            <w:r>
              <w:rPr>
                <w:color w:val="FF0000"/>
                <w:spacing w:val="-12"/>
                <w:w w:val="95"/>
                <w:sz w:val="21"/>
              </w:rPr>
              <w:t>炉补水等非饮用生活用水，剩余部分出售给黑</w:t>
            </w:r>
          </w:p>
          <w:p>
            <w:pPr>
              <w:pStyle w:val="19"/>
              <w:spacing w:before="3"/>
              <w:ind w:left="113"/>
              <w:jc w:val="left"/>
              <w:rPr>
                <w:sz w:val="21"/>
              </w:rPr>
            </w:pPr>
            <w:r>
              <w:rPr>
                <w:color w:val="FF0000"/>
                <w:sz w:val="21"/>
              </w:rPr>
              <w:t>龙江建龙钢铁有限公司综合利用。</w:t>
            </w:r>
          </w:p>
        </w:tc>
        <w:tc>
          <w:tcPr>
            <w:tcW w:w="669" w:type="dxa"/>
            <w:tcBorders>
              <w:top w:val="single" w:color="000000" w:sz="4" w:space="0"/>
              <w:left w:val="single" w:color="000000" w:sz="4" w:space="0"/>
              <w:bottom w:val="single" w:color="000000" w:sz="4" w:space="0"/>
            </w:tcBorders>
          </w:tcPr>
          <w:p>
            <w:pPr>
              <w:pStyle w:val="19"/>
              <w:jc w:val="left"/>
              <w:rPr>
                <w:b/>
                <w:sz w:val="20"/>
              </w:rPr>
            </w:pPr>
          </w:p>
          <w:p>
            <w:pPr>
              <w:pStyle w:val="19"/>
              <w:spacing w:before="4"/>
              <w:jc w:val="left"/>
              <w:rPr>
                <w:b/>
                <w:sz w:val="18"/>
              </w:rPr>
            </w:pPr>
          </w:p>
          <w:p>
            <w:pPr>
              <w:pStyle w:val="19"/>
              <w:ind w:left="128"/>
              <w:jc w:val="left"/>
              <w:rPr>
                <w:sz w:val="21"/>
              </w:rPr>
            </w:pPr>
            <w:r>
              <w:rPr>
                <w:color w:val="FF0000"/>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1" w:hRule="atLeast"/>
        </w:trPr>
        <w:tc>
          <w:tcPr>
            <w:tcW w:w="649" w:type="dxa"/>
            <w:vMerge w:val="continue"/>
            <w:tcBorders>
              <w:top w:val="nil"/>
              <w:bottom w:val="single" w:color="000000" w:sz="4" w:space="0"/>
              <w:right w:val="single" w:color="000000" w:sz="4" w:space="0"/>
            </w:tcBorders>
          </w:tcPr>
          <w:p>
            <w:pPr>
              <w:rPr>
                <w:sz w:val="2"/>
                <w:szCs w:val="2"/>
              </w:rPr>
            </w:pPr>
          </w:p>
        </w:tc>
        <w:tc>
          <w:tcPr>
            <w:tcW w:w="3220" w:type="dxa"/>
            <w:tcBorders>
              <w:top w:val="single" w:color="000000" w:sz="4" w:space="0"/>
              <w:left w:val="single" w:color="000000" w:sz="4" w:space="0"/>
              <w:bottom w:val="single" w:color="000000" w:sz="4" w:space="0"/>
              <w:right w:val="single" w:color="000000" w:sz="4" w:space="0"/>
            </w:tcBorders>
          </w:tcPr>
          <w:p>
            <w:pPr>
              <w:pStyle w:val="19"/>
              <w:spacing w:before="2" w:line="288" w:lineRule="auto"/>
              <w:ind w:left="143" w:right="126"/>
              <w:rPr>
                <w:sz w:val="21"/>
              </w:rPr>
            </w:pPr>
            <w:r>
              <w:rPr>
                <w:color w:val="FF0000"/>
                <w:w w:val="95"/>
                <w:sz w:val="21"/>
              </w:rPr>
              <w:t>地面运输系统设计时，宜考虑采用封闭运输通道运输矿物和固体</w:t>
            </w:r>
          </w:p>
          <w:p>
            <w:pPr>
              <w:pStyle w:val="19"/>
              <w:spacing w:before="7"/>
              <w:ind w:left="122" w:right="107"/>
              <w:rPr>
                <w:sz w:val="21"/>
              </w:rPr>
            </w:pPr>
            <w:r>
              <w:rPr>
                <w:color w:val="FF0000"/>
                <w:sz w:val="21"/>
              </w:rPr>
              <w:t>废物</w:t>
            </w:r>
          </w:p>
        </w:tc>
        <w:tc>
          <w:tcPr>
            <w:tcW w:w="4370" w:type="dxa"/>
            <w:tcBorders>
              <w:top w:val="single" w:color="000000" w:sz="4" w:space="0"/>
              <w:left w:val="single" w:color="000000" w:sz="4" w:space="0"/>
              <w:bottom w:val="single" w:color="000000" w:sz="4" w:space="0"/>
              <w:right w:val="single" w:color="000000" w:sz="4" w:space="0"/>
            </w:tcBorders>
          </w:tcPr>
          <w:p>
            <w:pPr>
              <w:pStyle w:val="19"/>
              <w:spacing w:before="5"/>
              <w:jc w:val="left"/>
              <w:rPr>
                <w:b/>
                <w:sz w:val="25"/>
              </w:rPr>
            </w:pPr>
          </w:p>
          <w:p>
            <w:pPr>
              <w:pStyle w:val="19"/>
              <w:spacing w:before="1"/>
              <w:ind w:left="383" w:right="365"/>
              <w:rPr>
                <w:sz w:val="21"/>
              </w:rPr>
            </w:pPr>
            <w:r>
              <w:rPr>
                <w:color w:val="FF0000"/>
                <w:sz w:val="21"/>
              </w:rPr>
              <w:t>本项目运输车辆均采用封闭式运输</w:t>
            </w:r>
          </w:p>
        </w:tc>
        <w:tc>
          <w:tcPr>
            <w:tcW w:w="669" w:type="dxa"/>
            <w:tcBorders>
              <w:top w:val="single" w:color="000000" w:sz="4" w:space="0"/>
              <w:left w:val="single" w:color="000000" w:sz="4" w:space="0"/>
              <w:bottom w:val="single" w:color="000000" w:sz="4" w:space="0"/>
            </w:tcBorders>
          </w:tcPr>
          <w:p>
            <w:pPr>
              <w:pStyle w:val="19"/>
              <w:spacing w:before="5"/>
              <w:jc w:val="left"/>
              <w:rPr>
                <w:b/>
                <w:sz w:val="25"/>
              </w:rPr>
            </w:pPr>
          </w:p>
          <w:p>
            <w:pPr>
              <w:pStyle w:val="19"/>
              <w:spacing w:before="1"/>
              <w:ind w:left="128"/>
              <w:jc w:val="left"/>
              <w:rPr>
                <w:sz w:val="21"/>
              </w:rPr>
            </w:pPr>
            <w:r>
              <w:rPr>
                <w:color w:val="FF0000"/>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7" w:hRule="atLeast"/>
        </w:trPr>
        <w:tc>
          <w:tcPr>
            <w:tcW w:w="649" w:type="dxa"/>
            <w:tcBorders>
              <w:top w:val="single" w:color="000000" w:sz="4" w:space="0"/>
              <w:bottom w:val="single" w:color="000000" w:sz="4" w:space="0"/>
              <w:right w:val="single" w:color="000000" w:sz="4" w:space="0"/>
            </w:tcBorders>
          </w:tcPr>
          <w:p>
            <w:pPr>
              <w:pStyle w:val="19"/>
              <w:jc w:val="left"/>
              <w:rPr>
                <w:b/>
                <w:sz w:val="22"/>
              </w:rPr>
            </w:pPr>
          </w:p>
          <w:p>
            <w:pPr>
              <w:pStyle w:val="19"/>
              <w:spacing w:before="6"/>
              <w:jc w:val="left"/>
              <w:rPr>
                <w:b/>
                <w:sz w:val="17"/>
              </w:rPr>
            </w:pPr>
          </w:p>
          <w:p>
            <w:pPr>
              <w:pStyle w:val="19"/>
              <w:ind w:left="271"/>
              <w:jc w:val="left"/>
              <w:rPr>
                <w:rFonts w:ascii="Times New Roman"/>
                <w:sz w:val="21"/>
              </w:rPr>
            </w:pPr>
            <w:r>
              <w:rPr>
                <w:rFonts w:ascii="Times New Roman"/>
                <w:color w:val="FF0000"/>
                <w:w w:val="99"/>
                <w:sz w:val="21"/>
              </w:rPr>
              <w:t>4</w:t>
            </w:r>
          </w:p>
        </w:tc>
        <w:tc>
          <w:tcPr>
            <w:tcW w:w="3220" w:type="dxa"/>
            <w:tcBorders>
              <w:top w:val="single" w:color="000000" w:sz="4" w:space="0"/>
              <w:left w:val="single" w:color="000000" w:sz="4" w:space="0"/>
              <w:bottom w:val="single" w:color="000000" w:sz="4" w:space="0"/>
              <w:right w:val="single" w:color="000000" w:sz="4" w:space="0"/>
            </w:tcBorders>
          </w:tcPr>
          <w:p>
            <w:pPr>
              <w:pStyle w:val="19"/>
              <w:spacing w:before="6"/>
              <w:jc w:val="left"/>
              <w:rPr>
                <w:b/>
                <w:sz w:val="25"/>
              </w:rPr>
            </w:pPr>
          </w:p>
          <w:p>
            <w:pPr>
              <w:pStyle w:val="19"/>
              <w:spacing w:line="290" w:lineRule="auto"/>
              <w:ind w:left="355" w:right="126" w:hanging="212"/>
              <w:jc w:val="left"/>
              <w:rPr>
                <w:sz w:val="21"/>
              </w:rPr>
            </w:pPr>
            <w:r>
              <w:rPr>
                <w:color w:val="FF0000"/>
                <w:sz w:val="21"/>
              </w:rPr>
              <w:t>鼓励将矿坑水优先利用为生产用水，作为辅助水源加以利用</w:t>
            </w:r>
          </w:p>
        </w:tc>
        <w:tc>
          <w:tcPr>
            <w:tcW w:w="4370" w:type="dxa"/>
            <w:tcBorders>
              <w:top w:val="single" w:color="000000" w:sz="4" w:space="0"/>
              <w:left w:val="single" w:color="000000" w:sz="4" w:space="0"/>
              <w:bottom w:val="single" w:color="000000" w:sz="4" w:space="0"/>
              <w:right w:val="single" w:color="000000" w:sz="4" w:space="0"/>
            </w:tcBorders>
          </w:tcPr>
          <w:p>
            <w:pPr>
              <w:pStyle w:val="19"/>
              <w:spacing w:line="290" w:lineRule="auto"/>
              <w:ind w:left="113" w:right="92"/>
              <w:jc w:val="both"/>
              <w:rPr>
                <w:sz w:val="21"/>
              </w:rPr>
            </w:pPr>
            <w:r>
              <w:rPr>
                <w:color w:val="FF0000"/>
                <w:spacing w:val="-4"/>
                <w:w w:val="95"/>
                <w:sz w:val="21"/>
              </w:rPr>
              <w:t xml:space="preserve">采煤废水经矿井水处理站处理后，部分回用于 </w:t>
            </w:r>
            <w:r>
              <w:rPr>
                <w:color w:val="FF0000"/>
                <w:spacing w:val="-9"/>
                <w:w w:val="95"/>
                <w:sz w:val="21"/>
              </w:rPr>
              <w:t xml:space="preserve">井下生产用水、洗浴用水、洗衣用水和锅炉补 </w:t>
            </w:r>
            <w:r>
              <w:rPr>
                <w:color w:val="FF0000"/>
                <w:spacing w:val="-11"/>
                <w:w w:val="95"/>
                <w:sz w:val="21"/>
              </w:rPr>
              <w:t>水等非饮用生活用水，剩余部分出售给黑龙江</w:t>
            </w:r>
          </w:p>
          <w:p>
            <w:pPr>
              <w:pStyle w:val="19"/>
              <w:spacing w:before="2"/>
              <w:ind w:left="823"/>
              <w:jc w:val="left"/>
              <w:rPr>
                <w:sz w:val="21"/>
              </w:rPr>
            </w:pPr>
            <w:r>
              <w:rPr>
                <w:color w:val="FF0000"/>
                <w:sz w:val="21"/>
              </w:rPr>
              <w:t>建龙钢铁有限公司综合利用。</w:t>
            </w:r>
          </w:p>
        </w:tc>
        <w:tc>
          <w:tcPr>
            <w:tcW w:w="669" w:type="dxa"/>
            <w:tcBorders>
              <w:top w:val="single" w:color="000000" w:sz="4" w:space="0"/>
              <w:left w:val="single" w:color="000000" w:sz="4" w:space="0"/>
              <w:bottom w:val="single" w:color="000000" w:sz="4" w:space="0"/>
            </w:tcBorders>
          </w:tcPr>
          <w:p>
            <w:pPr>
              <w:pStyle w:val="19"/>
              <w:jc w:val="left"/>
              <w:rPr>
                <w:b/>
                <w:sz w:val="20"/>
              </w:rPr>
            </w:pPr>
          </w:p>
          <w:p>
            <w:pPr>
              <w:pStyle w:val="19"/>
              <w:spacing w:before="2"/>
              <w:jc w:val="left"/>
              <w:rPr>
                <w:b/>
                <w:sz w:val="18"/>
              </w:rPr>
            </w:pPr>
          </w:p>
          <w:p>
            <w:pPr>
              <w:pStyle w:val="19"/>
              <w:ind w:left="128"/>
              <w:jc w:val="left"/>
              <w:rPr>
                <w:sz w:val="21"/>
              </w:rPr>
            </w:pPr>
            <w:r>
              <w:rPr>
                <w:color w:val="FF0000"/>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649" w:type="dxa"/>
            <w:tcBorders>
              <w:top w:val="single" w:color="000000" w:sz="4" w:space="0"/>
              <w:bottom w:val="single" w:color="000000" w:sz="4" w:space="0"/>
              <w:right w:val="single" w:color="000000" w:sz="4" w:space="0"/>
            </w:tcBorders>
          </w:tcPr>
          <w:p>
            <w:pPr>
              <w:pStyle w:val="19"/>
              <w:spacing w:before="12"/>
              <w:jc w:val="left"/>
              <w:rPr>
                <w:b/>
                <w:sz w:val="26"/>
              </w:rPr>
            </w:pPr>
          </w:p>
          <w:p>
            <w:pPr>
              <w:pStyle w:val="19"/>
              <w:ind w:left="271"/>
              <w:jc w:val="left"/>
              <w:rPr>
                <w:rFonts w:ascii="Times New Roman"/>
                <w:sz w:val="21"/>
              </w:rPr>
            </w:pPr>
            <w:r>
              <w:rPr>
                <w:rFonts w:ascii="Times New Roman"/>
                <w:color w:val="FF0000"/>
                <w:w w:val="99"/>
                <w:sz w:val="21"/>
              </w:rPr>
              <w:t>5</w:t>
            </w:r>
          </w:p>
        </w:tc>
        <w:tc>
          <w:tcPr>
            <w:tcW w:w="3220" w:type="dxa"/>
            <w:tcBorders>
              <w:top w:val="single" w:color="000000" w:sz="4" w:space="0"/>
              <w:left w:val="single" w:color="000000" w:sz="4" w:space="0"/>
              <w:bottom w:val="single" w:color="000000" w:sz="4" w:space="0"/>
              <w:right w:val="single" w:color="000000" w:sz="4" w:space="0"/>
            </w:tcBorders>
          </w:tcPr>
          <w:p>
            <w:pPr>
              <w:pStyle w:val="19"/>
              <w:ind w:left="143"/>
              <w:jc w:val="left"/>
              <w:rPr>
                <w:sz w:val="21"/>
              </w:rPr>
            </w:pPr>
            <w:r>
              <w:rPr>
                <w:color w:val="FF0000"/>
                <w:sz w:val="21"/>
              </w:rPr>
              <w:t>推广利用采矿固体废物加工生产</w:t>
            </w:r>
          </w:p>
          <w:p>
            <w:pPr>
              <w:pStyle w:val="19"/>
              <w:spacing w:before="7" w:line="320" w:lineRule="atLeast"/>
              <w:ind w:left="880" w:right="126" w:hanging="737"/>
              <w:jc w:val="left"/>
              <w:rPr>
                <w:sz w:val="21"/>
              </w:rPr>
            </w:pPr>
            <w:r>
              <w:rPr>
                <w:color w:val="FF0000"/>
                <w:sz w:val="21"/>
              </w:rPr>
              <w:t>建筑材料及制品技术，如生产辅路材料、制砖等</w:t>
            </w:r>
          </w:p>
        </w:tc>
        <w:tc>
          <w:tcPr>
            <w:tcW w:w="4370" w:type="dxa"/>
            <w:tcBorders>
              <w:top w:val="single" w:color="000000" w:sz="4" w:space="0"/>
              <w:left w:val="single" w:color="000000" w:sz="4" w:space="0"/>
              <w:bottom w:val="single" w:color="000000" w:sz="4" w:space="0"/>
              <w:right w:val="single" w:color="000000" w:sz="4" w:space="0"/>
            </w:tcBorders>
          </w:tcPr>
          <w:p>
            <w:pPr>
              <w:pStyle w:val="19"/>
              <w:spacing w:before="163" w:line="290" w:lineRule="auto"/>
              <w:ind w:left="1769" w:right="92" w:hanging="1656"/>
              <w:jc w:val="left"/>
              <w:rPr>
                <w:sz w:val="21"/>
              </w:rPr>
            </w:pPr>
            <w:r>
              <w:rPr>
                <w:color w:val="FF0000"/>
                <w:spacing w:val="-4"/>
                <w:w w:val="95"/>
                <w:sz w:val="21"/>
              </w:rPr>
              <w:t xml:space="preserve">煤矸石堆存于矸石临时堆场，用于回填采空区 </w:t>
            </w:r>
            <w:r>
              <w:rPr>
                <w:color w:val="FF0000"/>
                <w:spacing w:val="-4"/>
                <w:sz w:val="21"/>
              </w:rPr>
              <w:t>及铺路等</w:t>
            </w:r>
          </w:p>
        </w:tc>
        <w:tc>
          <w:tcPr>
            <w:tcW w:w="669" w:type="dxa"/>
            <w:tcBorders>
              <w:top w:val="single" w:color="000000" w:sz="4" w:space="0"/>
              <w:left w:val="single" w:color="000000" w:sz="4" w:space="0"/>
              <w:bottom w:val="single" w:color="000000" w:sz="4" w:space="0"/>
            </w:tcBorders>
          </w:tcPr>
          <w:p>
            <w:pPr>
              <w:pStyle w:val="19"/>
              <w:spacing w:before="6"/>
              <w:jc w:val="left"/>
              <w:rPr>
                <w:b/>
                <w:sz w:val="25"/>
              </w:rPr>
            </w:pPr>
          </w:p>
          <w:p>
            <w:pPr>
              <w:pStyle w:val="19"/>
              <w:ind w:left="128"/>
              <w:jc w:val="left"/>
              <w:rPr>
                <w:sz w:val="21"/>
              </w:rPr>
            </w:pPr>
            <w:r>
              <w:rPr>
                <w:color w:val="FF0000"/>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9" w:hRule="atLeast"/>
        </w:trPr>
        <w:tc>
          <w:tcPr>
            <w:tcW w:w="649" w:type="dxa"/>
            <w:tcBorders>
              <w:top w:val="single" w:color="000000" w:sz="4" w:space="0"/>
              <w:right w:val="single" w:color="000000" w:sz="4" w:space="0"/>
            </w:tcBorders>
          </w:tcPr>
          <w:p>
            <w:pPr>
              <w:pStyle w:val="19"/>
              <w:spacing w:before="10"/>
              <w:jc w:val="left"/>
              <w:rPr>
                <w:b/>
                <w:sz w:val="26"/>
              </w:rPr>
            </w:pPr>
          </w:p>
          <w:p>
            <w:pPr>
              <w:pStyle w:val="19"/>
              <w:ind w:left="271"/>
              <w:jc w:val="left"/>
              <w:rPr>
                <w:rFonts w:ascii="Times New Roman"/>
                <w:sz w:val="21"/>
              </w:rPr>
            </w:pPr>
            <w:r>
              <w:rPr>
                <w:rFonts w:ascii="Times New Roman"/>
                <w:color w:val="FF0000"/>
                <w:w w:val="99"/>
                <w:sz w:val="21"/>
              </w:rPr>
              <w:t>6</w:t>
            </w:r>
          </w:p>
        </w:tc>
        <w:tc>
          <w:tcPr>
            <w:tcW w:w="3220" w:type="dxa"/>
            <w:tcBorders>
              <w:top w:val="single" w:color="000000" w:sz="4" w:space="0"/>
              <w:left w:val="single" w:color="000000" w:sz="4" w:space="0"/>
              <w:right w:val="single" w:color="000000" w:sz="4" w:space="0"/>
            </w:tcBorders>
          </w:tcPr>
          <w:p>
            <w:pPr>
              <w:pStyle w:val="19"/>
              <w:ind w:left="143"/>
              <w:jc w:val="left"/>
              <w:rPr>
                <w:sz w:val="21"/>
              </w:rPr>
            </w:pPr>
            <w:r>
              <w:rPr>
                <w:color w:val="FF0000"/>
                <w:sz w:val="21"/>
              </w:rPr>
              <w:t>废石场等固废堆场服务期满后，</w:t>
            </w:r>
          </w:p>
          <w:p>
            <w:pPr>
              <w:pStyle w:val="19"/>
              <w:spacing w:before="7" w:line="320" w:lineRule="atLeast"/>
              <w:ind w:left="669" w:right="126" w:hanging="526"/>
              <w:jc w:val="left"/>
              <w:rPr>
                <w:sz w:val="21"/>
              </w:rPr>
            </w:pPr>
            <w:r>
              <w:rPr>
                <w:color w:val="FF0000"/>
                <w:sz w:val="21"/>
              </w:rPr>
              <w:t>应及时封场和恢复植被，防止水土流失及风蚀扬尘等</w:t>
            </w:r>
          </w:p>
        </w:tc>
        <w:tc>
          <w:tcPr>
            <w:tcW w:w="4370" w:type="dxa"/>
            <w:tcBorders>
              <w:top w:val="single" w:color="000000" w:sz="4" w:space="0"/>
              <w:left w:val="single" w:color="000000" w:sz="4" w:space="0"/>
              <w:right w:val="single" w:color="000000" w:sz="4" w:space="0"/>
            </w:tcBorders>
          </w:tcPr>
          <w:p>
            <w:pPr>
              <w:pStyle w:val="19"/>
              <w:ind w:left="113"/>
              <w:jc w:val="left"/>
              <w:rPr>
                <w:sz w:val="21"/>
              </w:rPr>
            </w:pPr>
            <w:r>
              <w:rPr>
                <w:color w:val="FF0000"/>
                <w:sz w:val="21"/>
              </w:rPr>
              <w:t>本项目矿山服务期满后，对工业场地等项目用</w:t>
            </w:r>
          </w:p>
          <w:p>
            <w:pPr>
              <w:pStyle w:val="19"/>
              <w:spacing w:before="7" w:line="320" w:lineRule="atLeast"/>
              <w:ind w:left="720" w:right="94" w:hanging="608"/>
              <w:jc w:val="left"/>
              <w:rPr>
                <w:sz w:val="21"/>
              </w:rPr>
            </w:pPr>
            <w:r>
              <w:rPr>
                <w:color w:val="FF0000"/>
                <w:spacing w:val="-5"/>
                <w:w w:val="95"/>
                <w:sz w:val="21"/>
              </w:rPr>
              <w:t xml:space="preserve">地进行恢复植被绿化，对环境的不利影响将逐 </w:t>
            </w:r>
            <w:r>
              <w:rPr>
                <w:color w:val="FF0000"/>
                <w:spacing w:val="-5"/>
                <w:sz w:val="21"/>
              </w:rPr>
              <w:t>步消失，景观也将逐步得以改变</w:t>
            </w:r>
          </w:p>
        </w:tc>
        <w:tc>
          <w:tcPr>
            <w:tcW w:w="669" w:type="dxa"/>
            <w:tcBorders>
              <w:top w:val="single" w:color="000000" w:sz="4" w:space="0"/>
              <w:left w:val="single" w:color="000000" w:sz="4" w:space="0"/>
            </w:tcBorders>
          </w:tcPr>
          <w:p>
            <w:pPr>
              <w:pStyle w:val="19"/>
              <w:spacing w:before="6"/>
              <w:jc w:val="left"/>
              <w:rPr>
                <w:b/>
                <w:sz w:val="25"/>
              </w:rPr>
            </w:pPr>
          </w:p>
          <w:p>
            <w:pPr>
              <w:pStyle w:val="19"/>
              <w:spacing w:before="1"/>
              <w:ind w:left="128"/>
              <w:jc w:val="left"/>
              <w:rPr>
                <w:sz w:val="21"/>
              </w:rPr>
            </w:pPr>
            <w:r>
              <w:rPr>
                <w:color w:val="FF0000"/>
                <w:sz w:val="21"/>
              </w:rPr>
              <w:t>符合</w:t>
            </w:r>
          </w:p>
        </w:tc>
      </w:tr>
    </w:tbl>
    <w:p>
      <w:pPr>
        <w:pStyle w:val="9"/>
        <w:spacing w:before="3"/>
        <w:ind w:left="698"/>
      </w:pPr>
      <w:r>
        <w:rPr>
          <w:color w:val="FF0000"/>
        </w:rPr>
        <w:t>综上所述，本项目建设符合《矿山生态环境保护与污染防治技术政策》相关要求。</w:t>
      </w:r>
    </w:p>
    <w:p>
      <w:pPr>
        <w:pStyle w:val="18"/>
        <w:numPr>
          <w:ilvl w:val="0"/>
          <w:numId w:val="10"/>
        </w:numPr>
        <w:tabs>
          <w:tab w:val="left" w:pos="1300"/>
        </w:tabs>
        <w:spacing w:before="158" w:after="0" w:line="240" w:lineRule="auto"/>
        <w:ind w:left="1299" w:right="0" w:hanging="602"/>
        <w:jc w:val="left"/>
        <w:rPr>
          <w:sz w:val="24"/>
        </w:rPr>
      </w:pPr>
      <w:r>
        <w:rPr>
          <w:color w:val="FF0000"/>
          <w:sz w:val="24"/>
        </w:rPr>
        <w:t>与《煤炭采选建设项目环境影响评价文件审批原则》的符合性</w:t>
      </w:r>
    </w:p>
    <w:p>
      <w:pPr>
        <w:pStyle w:val="9"/>
        <w:spacing w:before="158"/>
        <w:ind w:left="698"/>
      </w:pPr>
      <w:r>
        <w:rPr>
          <w:color w:val="FF0000"/>
        </w:rPr>
        <w:t>本项目与《煤炭采选建设项目环境影响评价文件审批原则》的符合性分析见下表。</w:t>
      </w:r>
    </w:p>
    <w:p>
      <w:pPr>
        <w:spacing w:before="160"/>
        <w:ind w:left="300" w:right="330" w:firstLine="0"/>
        <w:jc w:val="center"/>
        <w:rPr>
          <w:b/>
          <w:sz w:val="21"/>
        </w:rPr>
      </w:pPr>
      <w:r>
        <w:rPr>
          <w:b/>
          <w:color w:val="FF0000"/>
          <w:spacing w:val="-26"/>
          <w:sz w:val="21"/>
        </w:rPr>
        <w:t xml:space="preserve">表 </w:t>
      </w:r>
      <w:r>
        <w:rPr>
          <w:rFonts w:ascii="Times New Roman" w:eastAsia="Times New Roman"/>
          <w:b/>
          <w:color w:val="FF0000"/>
          <w:sz w:val="21"/>
        </w:rPr>
        <w:t>2</w:t>
      </w:r>
      <w:r>
        <w:rPr>
          <w:rFonts w:ascii="Times New Roman" w:eastAsia="Times New Roman"/>
          <w:b/>
          <w:color w:val="FF0000"/>
          <w:spacing w:val="52"/>
          <w:sz w:val="21"/>
        </w:rPr>
        <w:t xml:space="preserve"> </w:t>
      </w:r>
      <w:r>
        <w:rPr>
          <w:b/>
          <w:color w:val="FF0000"/>
          <w:sz w:val="21"/>
        </w:rPr>
        <w:t>本项目与审批原则对比分析一览表</w:t>
      </w:r>
    </w:p>
    <w:p>
      <w:pPr>
        <w:pStyle w:val="9"/>
        <w:spacing w:before="11"/>
        <w:rPr>
          <w:b/>
          <w:sz w:val="10"/>
        </w:rPr>
      </w:pPr>
    </w:p>
    <w:tbl>
      <w:tblPr>
        <w:tblStyle w:val="15"/>
        <w:tblW w:w="0" w:type="auto"/>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9"/>
        <w:gridCol w:w="3712"/>
        <w:gridCol w:w="3878"/>
        <w:gridCol w:w="6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649" w:type="dxa"/>
            <w:tcBorders>
              <w:bottom w:val="single" w:color="000000" w:sz="4" w:space="0"/>
              <w:right w:val="single" w:color="000000" w:sz="4" w:space="0"/>
            </w:tcBorders>
          </w:tcPr>
          <w:p>
            <w:pPr>
              <w:pStyle w:val="19"/>
              <w:spacing w:before="164"/>
              <w:ind w:left="92" w:right="82"/>
              <w:rPr>
                <w:sz w:val="21"/>
              </w:rPr>
            </w:pPr>
            <w:r>
              <w:rPr>
                <w:color w:val="FF0000"/>
                <w:sz w:val="21"/>
              </w:rPr>
              <w:t>序号</w:t>
            </w:r>
          </w:p>
        </w:tc>
        <w:tc>
          <w:tcPr>
            <w:tcW w:w="3712" w:type="dxa"/>
            <w:tcBorders>
              <w:left w:val="single" w:color="000000" w:sz="4" w:space="0"/>
              <w:bottom w:val="single" w:color="000000" w:sz="4" w:space="0"/>
              <w:right w:val="single" w:color="000000" w:sz="4" w:space="0"/>
            </w:tcBorders>
          </w:tcPr>
          <w:p>
            <w:pPr>
              <w:pStyle w:val="19"/>
              <w:spacing w:before="1"/>
              <w:ind w:left="107" w:right="92"/>
              <w:rPr>
                <w:sz w:val="21"/>
              </w:rPr>
            </w:pPr>
            <w:r>
              <w:rPr>
                <w:color w:val="FF0000"/>
                <w:sz w:val="21"/>
              </w:rPr>
              <w:t>煤炭采选建设项目环境影响评价文件</w:t>
            </w:r>
          </w:p>
          <w:p>
            <w:pPr>
              <w:pStyle w:val="19"/>
              <w:spacing w:before="58"/>
              <w:ind w:left="107" w:right="92"/>
              <w:rPr>
                <w:sz w:val="21"/>
              </w:rPr>
            </w:pPr>
            <w:r>
              <w:rPr>
                <w:color w:val="FF0000"/>
                <w:sz w:val="21"/>
              </w:rPr>
              <w:t>审批原则</w:t>
            </w:r>
          </w:p>
        </w:tc>
        <w:tc>
          <w:tcPr>
            <w:tcW w:w="3878" w:type="dxa"/>
            <w:tcBorders>
              <w:left w:val="single" w:color="000000" w:sz="4" w:space="0"/>
              <w:bottom w:val="single" w:color="000000" w:sz="4" w:space="0"/>
              <w:right w:val="single" w:color="000000" w:sz="4" w:space="0"/>
            </w:tcBorders>
          </w:tcPr>
          <w:p>
            <w:pPr>
              <w:pStyle w:val="19"/>
              <w:spacing w:before="164"/>
              <w:ind w:left="80" w:right="64"/>
              <w:rPr>
                <w:sz w:val="21"/>
              </w:rPr>
            </w:pPr>
            <w:r>
              <w:rPr>
                <w:color w:val="FF0000"/>
                <w:sz w:val="21"/>
              </w:rPr>
              <w:t>本项目</w:t>
            </w:r>
          </w:p>
        </w:tc>
        <w:tc>
          <w:tcPr>
            <w:tcW w:w="669" w:type="dxa"/>
            <w:tcBorders>
              <w:left w:val="single" w:color="000000" w:sz="4" w:space="0"/>
              <w:bottom w:val="single" w:color="000000" w:sz="4" w:space="0"/>
            </w:tcBorders>
          </w:tcPr>
          <w:p>
            <w:pPr>
              <w:pStyle w:val="19"/>
              <w:spacing w:before="164"/>
              <w:ind w:left="128"/>
              <w:jc w:val="left"/>
              <w:rPr>
                <w:sz w:val="21"/>
              </w:rPr>
            </w:pPr>
            <w:r>
              <w:rPr>
                <w:color w:val="FF0000"/>
                <w:sz w:val="21"/>
              </w:rPr>
              <w:t>评价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0" w:hRule="atLeast"/>
        </w:trPr>
        <w:tc>
          <w:tcPr>
            <w:tcW w:w="649" w:type="dxa"/>
            <w:tcBorders>
              <w:top w:val="single" w:color="000000" w:sz="4" w:space="0"/>
              <w:right w:val="single" w:color="000000" w:sz="4" w:space="0"/>
            </w:tcBorders>
          </w:tcPr>
          <w:p>
            <w:pPr>
              <w:pStyle w:val="19"/>
              <w:spacing w:before="179"/>
              <w:ind w:left="14"/>
              <w:rPr>
                <w:rFonts w:ascii="Times New Roman"/>
                <w:sz w:val="21"/>
              </w:rPr>
            </w:pPr>
            <w:r>
              <w:rPr>
                <w:rFonts w:ascii="Times New Roman"/>
                <w:color w:val="FF0000"/>
                <w:w w:val="99"/>
                <w:sz w:val="21"/>
              </w:rPr>
              <w:t>1</w:t>
            </w:r>
          </w:p>
        </w:tc>
        <w:tc>
          <w:tcPr>
            <w:tcW w:w="3712" w:type="dxa"/>
            <w:tcBorders>
              <w:top w:val="single" w:color="000000" w:sz="4" w:space="0"/>
              <w:left w:val="single" w:color="000000" w:sz="4" w:space="0"/>
              <w:right w:val="single" w:color="000000" w:sz="4" w:space="0"/>
            </w:tcBorders>
          </w:tcPr>
          <w:p>
            <w:pPr>
              <w:pStyle w:val="19"/>
              <w:spacing w:line="269" w:lineRule="exact"/>
              <w:ind w:left="107" w:right="92"/>
              <w:rPr>
                <w:sz w:val="21"/>
              </w:rPr>
            </w:pPr>
            <w:r>
              <w:rPr>
                <w:color w:val="FF0000"/>
                <w:sz w:val="21"/>
              </w:rPr>
              <w:t>本原则适用于煤炭采选工程建设项目</w:t>
            </w:r>
          </w:p>
          <w:p>
            <w:pPr>
              <w:pStyle w:val="19"/>
              <w:spacing w:before="57"/>
              <w:ind w:left="107" w:right="92"/>
              <w:rPr>
                <w:sz w:val="21"/>
              </w:rPr>
            </w:pPr>
            <w:r>
              <w:rPr>
                <w:color w:val="FF0000"/>
                <w:sz w:val="21"/>
              </w:rPr>
              <w:t>环境影响评价文件的审批。</w:t>
            </w:r>
          </w:p>
        </w:tc>
        <w:tc>
          <w:tcPr>
            <w:tcW w:w="3878" w:type="dxa"/>
            <w:tcBorders>
              <w:top w:val="single" w:color="000000" w:sz="4" w:space="0"/>
              <w:left w:val="single" w:color="000000" w:sz="4" w:space="0"/>
              <w:right w:val="single" w:color="000000" w:sz="4" w:space="0"/>
            </w:tcBorders>
          </w:tcPr>
          <w:p>
            <w:pPr>
              <w:pStyle w:val="19"/>
              <w:spacing w:before="163"/>
              <w:ind w:left="80" w:right="64"/>
              <w:rPr>
                <w:sz w:val="21"/>
              </w:rPr>
            </w:pPr>
            <w:r>
              <w:rPr>
                <w:color w:val="FF0000"/>
                <w:sz w:val="21"/>
              </w:rPr>
              <w:t>本项目为煤炭开采工程。</w:t>
            </w:r>
          </w:p>
        </w:tc>
        <w:tc>
          <w:tcPr>
            <w:tcW w:w="669" w:type="dxa"/>
            <w:tcBorders>
              <w:top w:val="single" w:color="000000" w:sz="4" w:space="0"/>
              <w:left w:val="single" w:color="000000" w:sz="4" w:space="0"/>
            </w:tcBorders>
          </w:tcPr>
          <w:p>
            <w:pPr>
              <w:pStyle w:val="19"/>
              <w:spacing w:before="163"/>
              <w:ind w:left="128"/>
              <w:jc w:val="left"/>
              <w:rPr>
                <w:sz w:val="21"/>
              </w:rPr>
            </w:pPr>
            <w:r>
              <w:rPr>
                <w:color w:val="FF0000"/>
                <w:sz w:val="21"/>
              </w:rPr>
              <w:t>符合</w:t>
            </w:r>
          </w:p>
        </w:tc>
      </w:tr>
    </w:tbl>
    <w:p>
      <w:pPr>
        <w:spacing w:after="0"/>
        <w:jc w:val="left"/>
        <w:rPr>
          <w:sz w:val="21"/>
        </w:rPr>
        <w:sectPr>
          <w:pgSz w:w="11910" w:h="16840"/>
          <w:pgMar w:top="1400" w:right="1160" w:bottom="1180" w:left="1200" w:header="0" w:footer="913" w:gutter="0"/>
        </w:sectPr>
      </w:pPr>
    </w:p>
    <w:tbl>
      <w:tblPr>
        <w:tblStyle w:val="15"/>
        <w:tblW w:w="0" w:type="auto"/>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9"/>
        <w:gridCol w:w="3712"/>
        <w:gridCol w:w="3878"/>
        <w:gridCol w:w="6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22" w:hRule="atLeast"/>
        </w:trPr>
        <w:tc>
          <w:tcPr>
            <w:tcW w:w="649" w:type="dxa"/>
            <w:tcBorders>
              <w:bottom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9"/>
              <w:jc w:val="left"/>
              <w:rPr>
                <w:b/>
                <w:sz w:val="31"/>
              </w:rPr>
            </w:pPr>
          </w:p>
          <w:p>
            <w:pPr>
              <w:pStyle w:val="19"/>
              <w:ind w:left="271"/>
              <w:jc w:val="left"/>
              <w:rPr>
                <w:rFonts w:ascii="Times New Roman"/>
                <w:sz w:val="21"/>
              </w:rPr>
            </w:pPr>
            <w:r>
              <w:rPr>
                <w:rFonts w:ascii="Times New Roman"/>
                <w:color w:val="FF0000"/>
                <w:w w:val="99"/>
                <w:sz w:val="21"/>
              </w:rPr>
              <w:t>2</w:t>
            </w:r>
          </w:p>
        </w:tc>
        <w:tc>
          <w:tcPr>
            <w:tcW w:w="3712" w:type="dxa"/>
            <w:tcBorders>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spacing w:before="7"/>
              <w:jc w:val="left"/>
              <w:rPr>
                <w:b/>
                <w:sz w:val="16"/>
              </w:rPr>
            </w:pPr>
          </w:p>
          <w:p>
            <w:pPr>
              <w:pStyle w:val="19"/>
              <w:spacing w:line="290" w:lineRule="auto"/>
              <w:ind w:left="112" w:right="92" w:hanging="3"/>
              <w:rPr>
                <w:sz w:val="21"/>
              </w:rPr>
            </w:pPr>
            <w:r>
              <w:rPr>
                <w:color w:val="FF0000"/>
                <w:sz w:val="21"/>
              </w:rPr>
              <w:t>项目符合环境保护相关法律法规和政</w:t>
            </w:r>
            <w:r>
              <w:rPr>
                <w:color w:val="FF0000"/>
                <w:spacing w:val="-9"/>
                <w:w w:val="95"/>
                <w:sz w:val="21"/>
              </w:rPr>
              <w:t>策要求，符合煤炭行业化解过剩产能相</w:t>
            </w:r>
            <w:r>
              <w:rPr>
                <w:color w:val="FF0000"/>
                <w:spacing w:val="-11"/>
                <w:w w:val="95"/>
                <w:sz w:val="21"/>
              </w:rPr>
              <w:t>关要求，新建煤矿应同步建设配套的煤</w:t>
            </w:r>
            <w:r>
              <w:rPr>
                <w:color w:val="FF0000"/>
                <w:spacing w:val="-12"/>
                <w:w w:val="95"/>
                <w:sz w:val="21"/>
              </w:rPr>
              <w:t>炭洗选设施。特殊和稀缺煤开发利用应</w:t>
            </w:r>
            <w:r>
              <w:rPr>
                <w:color w:val="FF0000"/>
                <w:spacing w:val="-10"/>
                <w:w w:val="95"/>
                <w:sz w:val="21"/>
              </w:rPr>
              <w:t>符合《特殊和稀缺煤类开发利用管理暂</w:t>
            </w:r>
            <w:r>
              <w:rPr>
                <w:color w:val="FF0000"/>
                <w:spacing w:val="-10"/>
                <w:sz w:val="21"/>
              </w:rPr>
              <w:t>行规定》要求。</w:t>
            </w:r>
          </w:p>
        </w:tc>
        <w:tc>
          <w:tcPr>
            <w:tcW w:w="3878" w:type="dxa"/>
            <w:tcBorders>
              <w:left w:val="single" w:color="000000" w:sz="4" w:space="0"/>
              <w:bottom w:val="single" w:color="000000" w:sz="4" w:space="0"/>
              <w:right w:val="single" w:color="000000" w:sz="4" w:space="0"/>
            </w:tcBorders>
          </w:tcPr>
          <w:p>
            <w:pPr>
              <w:pStyle w:val="19"/>
              <w:spacing w:before="2" w:line="290" w:lineRule="auto"/>
              <w:ind w:left="113" w:right="-15" w:firstLine="103"/>
              <w:jc w:val="left"/>
              <w:rPr>
                <w:sz w:val="21"/>
              </w:rPr>
            </w:pPr>
            <w:r>
              <w:rPr>
                <w:color w:val="FF0000"/>
                <w:sz w:val="21"/>
              </w:rPr>
              <w:t>根据黑龙江省政府办公厅</w:t>
            </w:r>
            <w:r>
              <w:rPr>
                <w:rFonts w:ascii="Times New Roman" w:hAnsi="Times New Roman" w:eastAsia="Times New Roman"/>
                <w:color w:val="FF0000"/>
                <w:sz w:val="21"/>
              </w:rPr>
              <w:t>“</w:t>
            </w:r>
            <w:r>
              <w:rPr>
                <w:color w:val="FF0000"/>
                <w:sz w:val="21"/>
              </w:rPr>
              <w:t>黑龙江省人 民政府关于印发《黑龙江省煤炭行业淘汰落后产能化解过剩产能专项整治工作方案》的通知</w:t>
            </w:r>
            <w:r>
              <w:rPr>
                <w:rFonts w:ascii="Times New Roman" w:hAnsi="Times New Roman" w:eastAsia="Times New Roman"/>
                <w:color w:val="FF0000"/>
                <w:sz w:val="21"/>
              </w:rPr>
              <w:t>”</w:t>
            </w:r>
            <w:r>
              <w:rPr>
                <w:color w:val="FF0000"/>
                <w:sz w:val="21"/>
              </w:rPr>
              <w:t>，双鸭山市对辖区内不符合产业政策的、布局不合理的、不具备安全生产条件的小煤炭矿井全部予以取缔关停。对现有矿井进行整合建设，以提高矿区生产能力，已经完成落后小煤矿的淘汰工作。本项目属于《关于全省</w:t>
            </w:r>
            <w:r>
              <w:rPr>
                <w:rFonts w:ascii="Times New Roman" w:hAnsi="Times New Roman" w:eastAsia="Times New Roman"/>
                <w:color w:val="FF0000"/>
                <w:sz w:val="21"/>
              </w:rPr>
              <w:t>167</w:t>
            </w:r>
            <w:r>
              <w:rPr>
                <w:rFonts w:ascii="Times New Roman" w:hAnsi="Times New Roman" w:eastAsia="Times New Roman"/>
                <w:color w:val="FF0000"/>
                <w:spacing w:val="43"/>
                <w:sz w:val="21"/>
              </w:rPr>
              <w:t xml:space="preserve"> </w:t>
            </w:r>
            <w:r>
              <w:rPr>
                <w:color w:val="FF0000"/>
                <w:sz w:val="21"/>
              </w:rPr>
              <w:t>处煤矿进入规划升级改造核准程序</w:t>
            </w:r>
            <w:r>
              <w:rPr>
                <w:color w:val="FF0000"/>
                <w:spacing w:val="-17"/>
                <w:sz w:val="21"/>
              </w:rPr>
              <w:t>名单的批复》</w:t>
            </w:r>
            <w:r>
              <w:rPr>
                <w:color w:val="FF0000"/>
                <w:sz w:val="21"/>
              </w:rPr>
              <w:t>（黑煤整治办发</w:t>
            </w:r>
            <w:r>
              <w:rPr>
                <w:rFonts w:ascii="Times New Roman" w:hAnsi="Times New Roman" w:eastAsia="Times New Roman"/>
                <w:color w:val="FF0000"/>
                <w:sz w:val="21"/>
              </w:rPr>
              <w:t>[2020]7</w:t>
            </w:r>
            <w:r>
              <w:rPr>
                <w:rFonts w:ascii="Times New Roman" w:hAnsi="Times New Roman" w:eastAsia="Times New Roman"/>
                <w:color w:val="FF0000"/>
                <w:spacing w:val="-3"/>
                <w:sz w:val="21"/>
              </w:rPr>
              <w:t xml:space="preserve"> </w:t>
            </w:r>
            <w:r>
              <w:rPr>
                <w:color w:val="FF0000"/>
                <w:sz w:val="21"/>
              </w:rPr>
              <w:t>号</w:t>
            </w:r>
            <w:r>
              <w:rPr>
                <w:color w:val="FF0000"/>
                <w:spacing w:val="-13"/>
                <w:sz w:val="21"/>
              </w:rPr>
              <w:t>）</w:t>
            </w:r>
          </w:p>
          <w:p>
            <w:pPr>
              <w:pStyle w:val="19"/>
              <w:spacing w:before="11"/>
              <w:ind w:left="684"/>
              <w:jc w:val="left"/>
              <w:rPr>
                <w:sz w:val="21"/>
              </w:rPr>
            </w:pPr>
            <w:r>
              <w:rPr>
                <w:color w:val="FF0000"/>
                <w:sz w:val="21"/>
              </w:rPr>
              <w:t xml:space="preserve">文件中的 </w:t>
            </w:r>
            <w:r>
              <w:rPr>
                <w:rFonts w:ascii="Times New Roman" w:eastAsia="Times New Roman"/>
                <w:color w:val="FF0000"/>
                <w:sz w:val="21"/>
              </w:rPr>
              <w:t xml:space="preserve">167 </w:t>
            </w:r>
            <w:r>
              <w:rPr>
                <w:color w:val="FF0000"/>
                <w:sz w:val="21"/>
              </w:rPr>
              <w:t>处煤矿之一。</w:t>
            </w:r>
          </w:p>
        </w:tc>
        <w:tc>
          <w:tcPr>
            <w:tcW w:w="669" w:type="dxa"/>
            <w:tcBorders>
              <w:left w:val="single" w:color="000000" w:sz="4" w:space="0"/>
              <w:bottom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3"/>
              <w:jc w:val="left"/>
              <w:rPr>
                <w:b/>
                <w:sz w:val="20"/>
              </w:rPr>
            </w:pPr>
          </w:p>
          <w:p>
            <w:pPr>
              <w:pStyle w:val="19"/>
              <w:ind w:left="128"/>
              <w:jc w:val="left"/>
              <w:rPr>
                <w:sz w:val="21"/>
              </w:rPr>
            </w:pPr>
            <w:r>
              <w:rPr>
                <w:color w:val="FF0000"/>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41" w:hRule="atLeast"/>
        </w:trPr>
        <w:tc>
          <w:tcPr>
            <w:tcW w:w="649" w:type="dxa"/>
            <w:tcBorders>
              <w:top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195"/>
              <w:ind w:left="271"/>
              <w:jc w:val="left"/>
              <w:rPr>
                <w:rFonts w:ascii="Times New Roman"/>
                <w:sz w:val="21"/>
              </w:rPr>
            </w:pPr>
            <w:r>
              <w:rPr>
                <w:rFonts w:ascii="Times New Roman"/>
                <w:color w:val="FF0000"/>
                <w:w w:val="99"/>
                <w:sz w:val="21"/>
              </w:rPr>
              <w:t>3</w:t>
            </w:r>
          </w:p>
        </w:tc>
        <w:tc>
          <w:tcPr>
            <w:tcW w:w="3712" w:type="dxa"/>
            <w:tcBorders>
              <w:top w:val="single" w:color="000000" w:sz="4" w:space="0"/>
              <w:left w:val="single" w:color="000000" w:sz="4" w:space="0"/>
              <w:bottom w:val="single" w:color="000000" w:sz="4" w:space="0"/>
              <w:right w:val="single" w:color="000000" w:sz="4" w:space="0"/>
            </w:tcBorders>
          </w:tcPr>
          <w:p>
            <w:pPr>
              <w:pStyle w:val="19"/>
              <w:spacing w:before="4"/>
              <w:jc w:val="left"/>
              <w:rPr>
                <w:b/>
                <w:sz w:val="25"/>
              </w:rPr>
            </w:pPr>
          </w:p>
          <w:p>
            <w:pPr>
              <w:pStyle w:val="19"/>
              <w:spacing w:before="1" w:line="290" w:lineRule="auto"/>
              <w:ind w:left="112" w:right="92"/>
              <w:rPr>
                <w:sz w:val="21"/>
              </w:rPr>
            </w:pPr>
            <w:r>
              <w:rPr>
                <w:color w:val="FF0000"/>
                <w:spacing w:val="-5"/>
                <w:w w:val="95"/>
                <w:sz w:val="21"/>
              </w:rPr>
              <w:t>项目符合所在煤炭矿区总体规划、规划</w:t>
            </w:r>
            <w:r>
              <w:rPr>
                <w:color w:val="FF0000"/>
                <w:spacing w:val="-10"/>
                <w:w w:val="95"/>
                <w:sz w:val="21"/>
              </w:rPr>
              <w:t>环评及其审查意见的相关要求，符合项</w:t>
            </w:r>
            <w:r>
              <w:rPr>
                <w:color w:val="FF0000"/>
                <w:spacing w:val="-10"/>
                <w:sz w:val="21"/>
              </w:rPr>
              <w:t>目所在区域生态保护红线要求。</w:t>
            </w:r>
          </w:p>
          <w:p>
            <w:pPr>
              <w:pStyle w:val="19"/>
              <w:spacing w:before="4" w:line="290" w:lineRule="auto"/>
              <w:ind w:left="112" w:right="92" w:hanging="1"/>
              <w:rPr>
                <w:sz w:val="21"/>
              </w:rPr>
            </w:pPr>
            <w:r>
              <w:rPr>
                <w:color w:val="FF0000"/>
                <w:spacing w:val="-25"/>
                <w:w w:val="95"/>
                <w:sz w:val="21"/>
              </w:rPr>
              <w:t>井</w:t>
            </w:r>
            <w:r>
              <w:rPr>
                <w:color w:val="FF0000"/>
                <w:w w:val="95"/>
                <w:sz w:val="21"/>
              </w:rPr>
              <w:t>（矿</w:t>
            </w:r>
            <w:r>
              <w:rPr>
                <w:color w:val="FF0000"/>
                <w:spacing w:val="-25"/>
                <w:w w:val="95"/>
                <w:sz w:val="21"/>
              </w:rPr>
              <w:t>）</w:t>
            </w:r>
            <w:r>
              <w:rPr>
                <w:color w:val="FF0000"/>
                <w:spacing w:val="-5"/>
                <w:w w:val="95"/>
                <w:sz w:val="21"/>
              </w:rPr>
              <w:t>田开采范围、各类占地范围不</w:t>
            </w:r>
            <w:r>
              <w:rPr>
                <w:color w:val="FF0000"/>
                <w:spacing w:val="-11"/>
                <w:w w:val="95"/>
                <w:sz w:val="21"/>
              </w:rPr>
              <w:t>得涉及自然保护区、风景名胜区、饮用</w:t>
            </w:r>
            <w:r>
              <w:rPr>
                <w:color w:val="FF0000"/>
                <w:spacing w:val="-11"/>
                <w:sz w:val="21"/>
              </w:rPr>
              <w:t>水水源保护区等法律法规明令禁止采矿和占用的区域。</w:t>
            </w:r>
          </w:p>
        </w:tc>
        <w:tc>
          <w:tcPr>
            <w:tcW w:w="3878" w:type="dxa"/>
            <w:tcBorders>
              <w:top w:val="single" w:color="000000" w:sz="4" w:space="0"/>
              <w:left w:val="single" w:color="000000" w:sz="4" w:space="0"/>
              <w:bottom w:val="single" w:color="000000" w:sz="4" w:space="0"/>
              <w:right w:val="single" w:color="000000" w:sz="4" w:space="0"/>
            </w:tcBorders>
          </w:tcPr>
          <w:p>
            <w:pPr>
              <w:pStyle w:val="19"/>
              <w:spacing w:before="1"/>
              <w:ind w:left="82" w:right="64"/>
              <w:rPr>
                <w:sz w:val="21"/>
              </w:rPr>
            </w:pPr>
            <w:r>
              <w:rPr>
                <w:color w:val="FF0000"/>
                <w:sz w:val="21"/>
              </w:rPr>
              <w:t>本项目符合《双鸭山市矿产资源规划</w:t>
            </w:r>
          </w:p>
          <w:p>
            <w:pPr>
              <w:pStyle w:val="19"/>
              <w:spacing w:before="55" w:line="292" w:lineRule="auto"/>
              <w:ind w:left="85" w:right="64"/>
              <w:rPr>
                <w:sz w:val="21"/>
              </w:rPr>
            </w:pPr>
            <w:r>
              <w:rPr>
                <w:color w:val="FF0000"/>
                <w:sz w:val="21"/>
              </w:rPr>
              <w:t>（</w:t>
            </w:r>
            <w:r>
              <w:rPr>
                <w:rFonts w:ascii="Times New Roman" w:eastAsia="Times New Roman"/>
                <w:color w:val="FF0000"/>
                <w:sz w:val="21"/>
              </w:rPr>
              <w:t xml:space="preserve">2016-2020 </w:t>
            </w:r>
            <w:r>
              <w:rPr>
                <w:color w:val="FF0000"/>
                <w:sz w:val="21"/>
              </w:rPr>
              <w:t>年）》、《双鸭山市煤炭淘汰落后产能升级改造专项规划环境影响报告书》及其审查意见的要求。</w:t>
            </w:r>
          </w:p>
          <w:p>
            <w:pPr>
              <w:pStyle w:val="19"/>
              <w:spacing w:line="290" w:lineRule="auto"/>
              <w:ind w:left="159" w:right="138"/>
              <w:jc w:val="both"/>
              <w:rPr>
                <w:sz w:val="21"/>
              </w:rPr>
            </w:pPr>
            <w:r>
              <w:rPr>
                <w:color w:val="FF0000"/>
                <w:w w:val="95"/>
                <w:sz w:val="21"/>
              </w:rPr>
              <w:t>本项目井田开采范围内，各类占地范围</w:t>
            </w:r>
            <w:r>
              <w:rPr>
                <w:color w:val="FF0000"/>
                <w:sz w:val="21"/>
              </w:rPr>
              <w:t>不涉及自然保护区、风景名胜区、饮用水水源保护区等法律法规明令禁止采矿和占用的区域，符合生态红线的相关要</w:t>
            </w:r>
          </w:p>
          <w:p>
            <w:pPr>
              <w:pStyle w:val="19"/>
              <w:spacing w:before="2"/>
              <w:ind w:left="80" w:right="64"/>
              <w:rPr>
                <w:sz w:val="21"/>
              </w:rPr>
            </w:pPr>
            <w:r>
              <w:rPr>
                <w:color w:val="FF0000"/>
                <w:sz w:val="21"/>
              </w:rPr>
              <w:t>求。</w:t>
            </w:r>
          </w:p>
        </w:tc>
        <w:tc>
          <w:tcPr>
            <w:tcW w:w="669" w:type="dxa"/>
            <w:tcBorders>
              <w:top w:val="single" w:color="000000" w:sz="4" w:space="0"/>
              <w:left w:val="single" w:color="000000" w:sz="4" w:space="0"/>
              <w:bottom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12"/>
              <w:jc w:val="left"/>
              <w:rPr>
                <w:b/>
                <w:sz w:val="21"/>
              </w:rPr>
            </w:pPr>
          </w:p>
          <w:p>
            <w:pPr>
              <w:pStyle w:val="19"/>
              <w:ind w:left="128"/>
              <w:jc w:val="left"/>
              <w:rPr>
                <w:sz w:val="21"/>
              </w:rPr>
            </w:pPr>
            <w:r>
              <w:rPr>
                <w:color w:val="FF0000"/>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6" w:hRule="atLeast"/>
        </w:trPr>
        <w:tc>
          <w:tcPr>
            <w:tcW w:w="649" w:type="dxa"/>
            <w:tcBorders>
              <w:top w:val="single" w:color="000000" w:sz="4" w:space="0"/>
              <w:bottom w:val="single" w:color="000000" w:sz="4" w:space="0"/>
              <w:right w:val="single" w:color="000000" w:sz="4" w:space="0"/>
            </w:tcBorders>
          </w:tcPr>
          <w:p>
            <w:pPr>
              <w:pStyle w:val="19"/>
              <w:jc w:val="left"/>
              <w:rPr>
                <w:b/>
                <w:sz w:val="22"/>
              </w:rPr>
            </w:pPr>
          </w:p>
          <w:p>
            <w:pPr>
              <w:pStyle w:val="19"/>
              <w:spacing w:before="8"/>
              <w:jc w:val="left"/>
              <w:rPr>
                <w:b/>
                <w:sz w:val="17"/>
              </w:rPr>
            </w:pPr>
          </w:p>
          <w:p>
            <w:pPr>
              <w:pStyle w:val="19"/>
              <w:ind w:left="271"/>
              <w:jc w:val="left"/>
              <w:rPr>
                <w:rFonts w:ascii="Times New Roman"/>
                <w:sz w:val="21"/>
              </w:rPr>
            </w:pPr>
            <w:r>
              <w:rPr>
                <w:rFonts w:ascii="Times New Roman"/>
                <w:color w:val="FF0000"/>
                <w:w w:val="99"/>
                <w:sz w:val="21"/>
              </w:rPr>
              <w:t>4</w:t>
            </w:r>
          </w:p>
        </w:tc>
        <w:tc>
          <w:tcPr>
            <w:tcW w:w="3712" w:type="dxa"/>
            <w:tcBorders>
              <w:top w:val="single" w:color="000000" w:sz="4" w:space="0"/>
              <w:left w:val="single" w:color="000000" w:sz="4" w:space="0"/>
              <w:bottom w:val="single" w:color="000000" w:sz="4" w:space="0"/>
              <w:right w:val="single" w:color="000000" w:sz="4" w:space="0"/>
            </w:tcBorders>
          </w:tcPr>
          <w:p>
            <w:pPr>
              <w:pStyle w:val="19"/>
              <w:spacing w:before="2" w:line="290" w:lineRule="auto"/>
              <w:ind w:left="115" w:right="92" w:hanging="3"/>
              <w:jc w:val="both"/>
              <w:rPr>
                <w:sz w:val="21"/>
              </w:rPr>
            </w:pPr>
            <w:r>
              <w:rPr>
                <w:color w:val="FF0000"/>
                <w:spacing w:val="-9"/>
                <w:w w:val="95"/>
                <w:sz w:val="21"/>
              </w:rPr>
              <w:t>新建、改扩建项目应满足《清洁生产标</w:t>
            </w:r>
            <w:r>
              <w:rPr>
                <w:color w:val="FF0000"/>
                <w:spacing w:val="-10"/>
                <w:sz w:val="21"/>
              </w:rPr>
              <w:t>准 煤炭采选业》</w:t>
            </w:r>
            <w:r>
              <w:rPr>
                <w:color w:val="FF0000"/>
                <w:spacing w:val="-4"/>
                <w:sz w:val="21"/>
              </w:rPr>
              <w:t>（</w:t>
            </w:r>
            <w:r>
              <w:rPr>
                <w:rFonts w:ascii="Times New Roman" w:eastAsia="Times New Roman"/>
                <w:color w:val="FF0000"/>
                <w:spacing w:val="-4"/>
                <w:sz w:val="21"/>
              </w:rPr>
              <w:t>HJ446</w:t>
            </w:r>
            <w:r>
              <w:rPr>
                <w:color w:val="FF0000"/>
                <w:spacing w:val="-4"/>
                <w:sz w:val="21"/>
              </w:rPr>
              <w:t>）</w:t>
            </w:r>
            <w:r>
              <w:rPr>
                <w:color w:val="FF0000"/>
                <w:spacing w:val="-6"/>
                <w:sz w:val="21"/>
              </w:rPr>
              <w:t>要求。主要污染物排放总量满足国家和地方相关</w:t>
            </w:r>
          </w:p>
          <w:p>
            <w:pPr>
              <w:pStyle w:val="19"/>
              <w:spacing w:before="2"/>
              <w:ind w:left="109" w:right="92"/>
              <w:rPr>
                <w:sz w:val="21"/>
              </w:rPr>
            </w:pPr>
            <w:r>
              <w:rPr>
                <w:color w:val="FF0000"/>
                <w:sz w:val="21"/>
              </w:rPr>
              <w:t>要求。</w:t>
            </w:r>
          </w:p>
        </w:tc>
        <w:tc>
          <w:tcPr>
            <w:tcW w:w="3878" w:type="dxa"/>
            <w:tcBorders>
              <w:top w:val="single" w:color="000000" w:sz="4" w:space="0"/>
              <w:left w:val="single" w:color="000000" w:sz="4" w:space="0"/>
              <w:bottom w:val="single" w:color="000000" w:sz="4" w:space="0"/>
              <w:right w:val="single" w:color="000000" w:sz="4" w:space="0"/>
            </w:tcBorders>
          </w:tcPr>
          <w:p>
            <w:pPr>
              <w:pStyle w:val="19"/>
              <w:spacing w:before="2" w:line="290" w:lineRule="auto"/>
              <w:ind w:left="159" w:right="-15" w:hanging="46"/>
              <w:jc w:val="left"/>
              <w:rPr>
                <w:sz w:val="21"/>
              </w:rPr>
            </w:pPr>
            <w:r>
              <w:rPr>
                <w:color w:val="FF0000"/>
                <w:spacing w:val="-4"/>
                <w:w w:val="95"/>
                <w:sz w:val="21"/>
              </w:rPr>
              <w:t>由《煤炭采选业清洁生产评价指标体系》</w:t>
            </w:r>
            <w:r>
              <w:rPr>
                <w:color w:val="FF0000"/>
                <w:spacing w:val="-4"/>
                <w:sz w:val="21"/>
              </w:rPr>
              <w:t>可知，本项目清洁生产水平为Ⅱ级，达到国内清洁生产先进水平，污染物排放</w:t>
            </w:r>
          </w:p>
          <w:p>
            <w:pPr>
              <w:pStyle w:val="19"/>
              <w:spacing w:before="2"/>
              <w:ind w:left="999"/>
              <w:jc w:val="left"/>
              <w:rPr>
                <w:sz w:val="21"/>
              </w:rPr>
            </w:pPr>
            <w:r>
              <w:rPr>
                <w:color w:val="FF0000"/>
                <w:sz w:val="21"/>
              </w:rPr>
              <w:t>总量满足地方要求。</w:t>
            </w:r>
          </w:p>
        </w:tc>
        <w:tc>
          <w:tcPr>
            <w:tcW w:w="669" w:type="dxa"/>
            <w:tcBorders>
              <w:top w:val="single" w:color="000000" w:sz="4" w:space="0"/>
              <w:left w:val="single" w:color="000000" w:sz="4" w:space="0"/>
              <w:bottom w:val="single" w:color="000000" w:sz="4" w:space="0"/>
            </w:tcBorders>
          </w:tcPr>
          <w:p>
            <w:pPr>
              <w:pStyle w:val="19"/>
              <w:jc w:val="left"/>
              <w:rPr>
                <w:b/>
                <w:sz w:val="20"/>
              </w:rPr>
            </w:pPr>
          </w:p>
          <w:p>
            <w:pPr>
              <w:pStyle w:val="19"/>
              <w:spacing w:before="4"/>
              <w:jc w:val="left"/>
              <w:rPr>
                <w:b/>
                <w:sz w:val="18"/>
              </w:rPr>
            </w:pPr>
          </w:p>
          <w:p>
            <w:pPr>
              <w:pStyle w:val="19"/>
              <w:spacing w:before="1"/>
              <w:ind w:left="128"/>
              <w:jc w:val="left"/>
              <w:rPr>
                <w:sz w:val="21"/>
              </w:rPr>
            </w:pPr>
            <w:r>
              <w:rPr>
                <w:color w:val="FF0000"/>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7" w:hRule="atLeast"/>
        </w:trPr>
        <w:tc>
          <w:tcPr>
            <w:tcW w:w="649" w:type="dxa"/>
            <w:tcBorders>
              <w:top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spacing w:before="152"/>
              <w:ind w:left="271"/>
              <w:jc w:val="left"/>
              <w:rPr>
                <w:rFonts w:ascii="Times New Roman"/>
                <w:sz w:val="21"/>
              </w:rPr>
            </w:pPr>
            <w:r>
              <w:rPr>
                <w:rFonts w:ascii="Times New Roman"/>
                <w:color w:val="FF0000"/>
                <w:w w:val="99"/>
                <w:sz w:val="21"/>
              </w:rPr>
              <w:t>5</w:t>
            </w:r>
          </w:p>
        </w:tc>
        <w:tc>
          <w:tcPr>
            <w:tcW w:w="3712" w:type="dxa"/>
            <w:tcBorders>
              <w:top w:val="single" w:color="000000" w:sz="4" w:space="0"/>
              <w:left w:val="single" w:color="000000" w:sz="4" w:space="0"/>
              <w:bottom w:val="single" w:color="000000" w:sz="4" w:space="0"/>
              <w:right w:val="single" w:color="000000" w:sz="4" w:space="0"/>
            </w:tcBorders>
          </w:tcPr>
          <w:p>
            <w:pPr>
              <w:pStyle w:val="19"/>
              <w:spacing w:line="290" w:lineRule="auto"/>
              <w:ind w:left="112" w:right="18" w:hanging="77"/>
              <w:rPr>
                <w:sz w:val="21"/>
              </w:rPr>
            </w:pPr>
            <w:r>
              <w:rPr>
                <w:color w:val="FF0000"/>
                <w:sz w:val="21"/>
              </w:rPr>
              <w:t xml:space="preserve">对井工开采项目的沉陷区及临时排矸 </w:t>
            </w:r>
            <w:r>
              <w:rPr>
                <w:color w:val="FF0000"/>
                <w:w w:val="95"/>
                <w:sz w:val="21"/>
              </w:rPr>
              <w:t xml:space="preserve">场、露天开采项目的采掘场及排土场， </w:t>
            </w:r>
            <w:r>
              <w:rPr>
                <w:color w:val="FF0000"/>
                <w:spacing w:val="-7"/>
                <w:sz w:val="21"/>
              </w:rPr>
              <w:t>应明确生态恢复目标，提出施工期、运</w:t>
            </w:r>
            <w:r>
              <w:rPr>
                <w:color w:val="FF0000"/>
                <w:spacing w:val="-10"/>
                <w:sz w:val="21"/>
              </w:rPr>
              <w:t>行期、闭矿期合理可行的生态保护与恢复措施。对受煤炭开采影响的居民住 宅、地面重要基础设施等环境保护目</w:t>
            </w:r>
          </w:p>
          <w:p>
            <w:pPr>
              <w:pStyle w:val="19"/>
              <w:spacing w:before="8"/>
              <w:ind w:left="112" w:right="92"/>
              <w:rPr>
                <w:sz w:val="21"/>
              </w:rPr>
            </w:pPr>
            <w:r>
              <w:rPr>
                <w:color w:val="FF0000"/>
                <w:sz w:val="21"/>
              </w:rPr>
              <w:t>标，应提出相应的保护措施。</w:t>
            </w:r>
          </w:p>
        </w:tc>
        <w:tc>
          <w:tcPr>
            <w:tcW w:w="3878"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spacing w:before="9"/>
              <w:jc w:val="left"/>
              <w:rPr>
                <w:b/>
                <w:sz w:val="23"/>
              </w:rPr>
            </w:pPr>
          </w:p>
          <w:p>
            <w:pPr>
              <w:pStyle w:val="19"/>
              <w:spacing w:line="290" w:lineRule="auto"/>
              <w:ind w:left="1733" w:right="140" w:hanging="1575"/>
              <w:jc w:val="left"/>
              <w:rPr>
                <w:sz w:val="21"/>
              </w:rPr>
            </w:pPr>
            <w:r>
              <w:rPr>
                <w:color w:val="FF0000"/>
                <w:w w:val="95"/>
                <w:sz w:val="21"/>
              </w:rPr>
              <w:t>本项目已对生态保护与恢复提出相应措</w:t>
            </w:r>
            <w:r>
              <w:rPr>
                <w:color w:val="FF0000"/>
                <w:sz w:val="21"/>
              </w:rPr>
              <w:t>施。</w:t>
            </w:r>
          </w:p>
        </w:tc>
        <w:tc>
          <w:tcPr>
            <w:tcW w:w="669" w:type="dxa"/>
            <w:tcBorders>
              <w:top w:val="single" w:color="000000" w:sz="4" w:space="0"/>
              <w:left w:val="single" w:color="000000" w:sz="4" w:space="0"/>
              <w:bottom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spacing w:before="8"/>
              <w:jc w:val="left"/>
              <w:rPr>
                <w:b/>
                <w:sz w:val="16"/>
              </w:rPr>
            </w:pPr>
          </w:p>
          <w:p>
            <w:pPr>
              <w:pStyle w:val="19"/>
              <w:ind w:left="128"/>
              <w:jc w:val="left"/>
              <w:rPr>
                <w:sz w:val="21"/>
              </w:rPr>
            </w:pPr>
            <w:r>
              <w:rPr>
                <w:color w:val="FF0000"/>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5" w:hRule="atLeast"/>
        </w:trPr>
        <w:tc>
          <w:tcPr>
            <w:tcW w:w="649" w:type="dxa"/>
            <w:tcBorders>
              <w:top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2"/>
              <w:jc w:val="left"/>
              <w:rPr>
                <w:b/>
                <w:sz w:val="28"/>
              </w:rPr>
            </w:pPr>
          </w:p>
          <w:p>
            <w:pPr>
              <w:pStyle w:val="19"/>
              <w:spacing w:before="1"/>
              <w:ind w:left="271"/>
              <w:jc w:val="left"/>
              <w:rPr>
                <w:rFonts w:ascii="Times New Roman"/>
                <w:sz w:val="21"/>
              </w:rPr>
            </w:pPr>
            <w:r>
              <w:rPr>
                <w:rFonts w:ascii="Times New Roman"/>
                <w:color w:val="FF0000"/>
                <w:w w:val="99"/>
                <w:sz w:val="21"/>
              </w:rPr>
              <w:t>6</w:t>
            </w:r>
          </w:p>
        </w:tc>
        <w:tc>
          <w:tcPr>
            <w:tcW w:w="3712" w:type="dxa"/>
            <w:tcBorders>
              <w:top w:val="single" w:color="000000" w:sz="4" w:space="0"/>
              <w:left w:val="single" w:color="000000" w:sz="4" w:space="0"/>
              <w:right w:val="single" w:color="000000" w:sz="4" w:space="0"/>
            </w:tcBorders>
          </w:tcPr>
          <w:p>
            <w:pPr>
              <w:pStyle w:val="19"/>
              <w:spacing w:before="1" w:line="290" w:lineRule="auto"/>
              <w:ind w:left="112" w:right="18" w:hanging="75"/>
              <w:rPr>
                <w:sz w:val="21"/>
              </w:rPr>
            </w:pPr>
            <w:r>
              <w:rPr>
                <w:color w:val="FF0000"/>
                <w:spacing w:val="-6"/>
                <w:sz w:val="21"/>
              </w:rPr>
              <w:t>煤炭开采可能对自然保护区、风景名胜</w:t>
            </w:r>
            <w:r>
              <w:rPr>
                <w:color w:val="FF0000"/>
                <w:spacing w:val="-10"/>
                <w:sz w:val="21"/>
              </w:rPr>
              <w:t xml:space="preserve">区、饮用水水源保护区的重要环境敏感目标造成不利影响的，应提出禁止开 </w:t>
            </w:r>
            <w:r>
              <w:rPr>
                <w:color w:val="FF0000"/>
                <w:spacing w:val="-10"/>
                <w:w w:val="95"/>
                <w:sz w:val="21"/>
              </w:rPr>
              <w:t xml:space="preserve">采、限制开采、充填开采等保护措施； </w:t>
            </w:r>
            <w:r>
              <w:rPr>
                <w:color w:val="FF0000"/>
                <w:spacing w:val="-14"/>
                <w:sz w:val="21"/>
              </w:rPr>
              <w:t>涉及其他敏感区域保护目标的，应明确</w:t>
            </w:r>
            <w:r>
              <w:rPr>
                <w:color w:val="FF0000"/>
                <w:spacing w:val="-14"/>
                <w:w w:val="95"/>
                <w:sz w:val="21"/>
              </w:rPr>
              <w:t xml:space="preserve">提出设置禁采区、限采区、限高开采、 </w:t>
            </w:r>
            <w:r>
              <w:rPr>
                <w:color w:val="FF0000"/>
                <w:spacing w:val="-14"/>
                <w:sz w:val="21"/>
              </w:rPr>
              <w:t>充填开采、条带开采等措施。</w:t>
            </w:r>
          </w:p>
          <w:p>
            <w:pPr>
              <w:pStyle w:val="19"/>
              <w:spacing w:before="9"/>
              <w:ind w:left="109" w:right="92"/>
              <w:rPr>
                <w:sz w:val="21"/>
              </w:rPr>
            </w:pPr>
            <w:r>
              <w:rPr>
                <w:color w:val="FF0000"/>
                <w:spacing w:val="-5"/>
                <w:w w:val="95"/>
                <w:sz w:val="21"/>
              </w:rPr>
              <w:t>煤炭开采对具有供水意义的含水层、集</w:t>
            </w:r>
          </w:p>
          <w:p>
            <w:pPr>
              <w:pStyle w:val="19"/>
              <w:spacing w:before="6" w:line="320" w:lineRule="atLeast"/>
              <w:ind w:left="112" w:right="92" w:hanging="3"/>
              <w:rPr>
                <w:sz w:val="21"/>
              </w:rPr>
            </w:pPr>
            <w:r>
              <w:rPr>
                <w:color w:val="FF0000"/>
                <w:sz w:val="21"/>
              </w:rPr>
              <w:t>中式与分散式供水水源的地下水资源</w:t>
            </w:r>
            <w:r>
              <w:rPr>
                <w:color w:val="FF0000"/>
                <w:spacing w:val="-9"/>
                <w:w w:val="95"/>
                <w:sz w:val="21"/>
              </w:rPr>
              <w:t>可能造成影响的，应提出保水采煤等措</w:t>
            </w:r>
          </w:p>
        </w:tc>
        <w:tc>
          <w:tcPr>
            <w:tcW w:w="3878" w:type="dxa"/>
            <w:tcBorders>
              <w:top w:val="single" w:color="000000" w:sz="4" w:space="0"/>
              <w:left w:val="single" w:color="000000" w:sz="4" w:space="0"/>
              <w:right w:val="single" w:color="000000" w:sz="4" w:space="0"/>
            </w:tcBorders>
          </w:tcPr>
          <w:p>
            <w:pPr>
              <w:pStyle w:val="19"/>
              <w:jc w:val="left"/>
              <w:rPr>
                <w:b/>
                <w:sz w:val="20"/>
              </w:rPr>
            </w:pPr>
          </w:p>
          <w:p>
            <w:pPr>
              <w:pStyle w:val="19"/>
              <w:jc w:val="left"/>
              <w:rPr>
                <w:b/>
                <w:sz w:val="20"/>
              </w:rPr>
            </w:pPr>
          </w:p>
          <w:p>
            <w:pPr>
              <w:pStyle w:val="19"/>
              <w:spacing w:before="10"/>
              <w:jc w:val="left"/>
              <w:rPr>
                <w:b/>
                <w:sz w:val="23"/>
              </w:rPr>
            </w:pPr>
          </w:p>
          <w:p>
            <w:pPr>
              <w:pStyle w:val="19"/>
              <w:spacing w:line="290" w:lineRule="auto"/>
              <w:ind w:left="113" w:right="-15"/>
              <w:rPr>
                <w:sz w:val="21"/>
              </w:rPr>
            </w:pPr>
            <w:r>
              <w:rPr>
                <w:color w:val="FF0000"/>
                <w:spacing w:val="-2"/>
                <w:w w:val="95"/>
                <w:sz w:val="21"/>
              </w:rPr>
              <w:t>煤炭开采不在自然保护区、风景名胜区、</w:t>
            </w:r>
            <w:r>
              <w:rPr>
                <w:color w:val="FF0000"/>
                <w:spacing w:val="-2"/>
                <w:sz w:val="21"/>
              </w:rPr>
              <w:t>饮用水水源保护区范围内。</w:t>
            </w:r>
          </w:p>
          <w:p>
            <w:pPr>
              <w:pStyle w:val="19"/>
              <w:spacing w:before="2" w:line="290" w:lineRule="auto"/>
              <w:ind w:left="159" w:right="138"/>
              <w:rPr>
                <w:sz w:val="21"/>
              </w:rPr>
            </w:pPr>
            <w:r>
              <w:rPr>
                <w:color w:val="FF0000"/>
                <w:w w:val="95"/>
                <w:sz w:val="21"/>
              </w:rPr>
              <w:t>本项目提出了污染防治措施和废物综合利用方案，对周围地表水、地下水的影</w:t>
            </w:r>
            <w:r>
              <w:rPr>
                <w:color w:val="FF0000"/>
                <w:sz w:val="21"/>
              </w:rPr>
              <w:t>响轻微，满足环境功能要求。</w:t>
            </w:r>
          </w:p>
        </w:tc>
        <w:tc>
          <w:tcPr>
            <w:tcW w:w="669" w:type="dxa"/>
            <w:tcBorders>
              <w:top w:val="single" w:color="000000" w:sz="4" w:space="0"/>
              <w:lef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9"/>
              <w:jc w:val="left"/>
              <w:rPr>
                <w:b/>
                <w:sz w:val="14"/>
              </w:rPr>
            </w:pPr>
          </w:p>
          <w:p>
            <w:pPr>
              <w:pStyle w:val="19"/>
              <w:ind w:left="128"/>
              <w:jc w:val="left"/>
              <w:rPr>
                <w:sz w:val="21"/>
              </w:rPr>
            </w:pPr>
            <w:r>
              <w:rPr>
                <w:color w:val="FF0000"/>
                <w:sz w:val="21"/>
              </w:rPr>
              <w:t>符合</w:t>
            </w:r>
          </w:p>
        </w:tc>
      </w:tr>
    </w:tbl>
    <w:p>
      <w:pPr>
        <w:spacing w:after="0"/>
        <w:jc w:val="left"/>
        <w:rPr>
          <w:sz w:val="21"/>
        </w:rPr>
        <w:sectPr>
          <w:pgSz w:w="11910" w:h="16840"/>
          <w:pgMar w:top="1400" w:right="1160" w:bottom="1100" w:left="1200" w:header="0" w:footer="913" w:gutter="0"/>
        </w:sectPr>
      </w:pPr>
    </w:p>
    <w:tbl>
      <w:tblPr>
        <w:tblStyle w:val="15"/>
        <w:tblW w:w="0" w:type="auto"/>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9"/>
        <w:gridCol w:w="3712"/>
        <w:gridCol w:w="3878"/>
        <w:gridCol w:w="6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0" w:hRule="atLeast"/>
        </w:trPr>
        <w:tc>
          <w:tcPr>
            <w:tcW w:w="649" w:type="dxa"/>
            <w:tcBorders>
              <w:bottom w:val="single" w:color="000000" w:sz="4" w:space="0"/>
              <w:right w:val="single" w:color="000000" w:sz="4" w:space="0"/>
            </w:tcBorders>
          </w:tcPr>
          <w:p>
            <w:pPr>
              <w:pStyle w:val="19"/>
              <w:jc w:val="left"/>
              <w:rPr>
                <w:rFonts w:ascii="Times New Roman"/>
                <w:sz w:val="20"/>
              </w:rPr>
            </w:pPr>
          </w:p>
        </w:tc>
        <w:tc>
          <w:tcPr>
            <w:tcW w:w="3712" w:type="dxa"/>
            <w:tcBorders>
              <w:left w:val="single" w:color="000000" w:sz="4" w:space="0"/>
              <w:bottom w:val="single" w:color="000000" w:sz="4" w:space="0"/>
              <w:right w:val="single" w:color="000000" w:sz="4" w:space="0"/>
            </w:tcBorders>
          </w:tcPr>
          <w:p>
            <w:pPr>
              <w:pStyle w:val="19"/>
              <w:spacing w:line="290" w:lineRule="auto"/>
              <w:ind w:left="112" w:right="92"/>
              <w:rPr>
                <w:sz w:val="21"/>
              </w:rPr>
            </w:pPr>
            <w:r>
              <w:rPr>
                <w:color w:val="FF0000"/>
                <w:spacing w:val="-6"/>
                <w:w w:val="95"/>
                <w:sz w:val="21"/>
              </w:rPr>
              <w:t>施并制定长期供水替代方案；对地下水</w:t>
            </w:r>
            <w:r>
              <w:rPr>
                <w:color w:val="FF0000"/>
                <w:spacing w:val="-6"/>
                <w:sz w:val="21"/>
              </w:rPr>
              <w:t>水质可能造成污染影响的应提出防渗</w:t>
            </w:r>
          </w:p>
          <w:p>
            <w:pPr>
              <w:pStyle w:val="19"/>
              <w:ind w:left="107" w:right="92"/>
              <w:rPr>
                <w:sz w:val="21"/>
              </w:rPr>
            </w:pPr>
            <w:r>
              <w:rPr>
                <w:color w:val="FF0000"/>
                <w:sz w:val="21"/>
              </w:rPr>
              <w:t>等污染防治措施。</w:t>
            </w:r>
          </w:p>
        </w:tc>
        <w:tc>
          <w:tcPr>
            <w:tcW w:w="3878" w:type="dxa"/>
            <w:tcBorders>
              <w:left w:val="single" w:color="000000" w:sz="4" w:space="0"/>
              <w:bottom w:val="single" w:color="000000" w:sz="4" w:space="0"/>
              <w:right w:val="single" w:color="000000" w:sz="4" w:space="0"/>
            </w:tcBorders>
          </w:tcPr>
          <w:p>
            <w:pPr>
              <w:pStyle w:val="19"/>
              <w:jc w:val="left"/>
              <w:rPr>
                <w:rFonts w:ascii="Times New Roman"/>
                <w:sz w:val="20"/>
              </w:rPr>
            </w:pPr>
          </w:p>
        </w:tc>
        <w:tc>
          <w:tcPr>
            <w:tcW w:w="669" w:type="dxa"/>
            <w:tcBorders>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42" w:hRule="atLeast"/>
        </w:trPr>
        <w:tc>
          <w:tcPr>
            <w:tcW w:w="649" w:type="dxa"/>
            <w:tcBorders>
              <w:top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5"/>
              <w:jc w:val="left"/>
              <w:rPr>
                <w:b/>
                <w:sz w:val="15"/>
              </w:rPr>
            </w:pPr>
          </w:p>
          <w:p>
            <w:pPr>
              <w:pStyle w:val="19"/>
              <w:spacing w:before="1"/>
              <w:ind w:left="14"/>
              <w:rPr>
                <w:rFonts w:ascii="Times New Roman"/>
                <w:sz w:val="21"/>
              </w:rPr>
            </w:pPr>
            <w:r>
              <w:rPr>
                <w:rFonts w:ascii="Times New Roman"/>
                <w:color w:val="FF0000"/>
                <w:w w:val="99"/>
                <w:sz w:val="21"/>
              </w:rPr>
              <w:t>7</w:t>
            </w:r>
          </w:p>
        </w:tc>
        <w:tc>
          <w:tcPr>
            <w:tcW w:w="3712" w:type="dxa"/>
            <w:tcBorders>
              <w:top w:val="single" w:color="000000" w:sz="4" w:space="0"/>
              <w:left w:val="single" w:color="000000" w:sz="4" w:space="0"/>
              <w:bottom w:val="single" w:color="000000" w:sz="4" w:space="0"/>
              <w:right w:val="single" w:color="000000" w:sz="4" w:space="0"/>
            </w:tcBorders>
          </w:tcPr>
          <w:p>
            <w:pPr>
              <w:pStyle w:val="19"/>
              <w:spacing w:before="7"/>
              <w:jc w:val="left"/>
              <w:rPr>
                <w:b/>
                <w:sz w:val="25"/>
              </w:rPr>
            </w:pPr>
          </w:p>
          <w:p>
            <w:pPr>
              <w:pStyle w:val="19"/>
              <w:spacing w:line="290" w:lineRule="auto"/>
              <w:ind w:left="112" w:right="92" w:hanging="1"/>
              <w:rPr>
                <w:sz w:val="21"/>
              </w:rPr>
            </w:pPr>
            <w:r>
              <w:rPr>
                <w:color w:val="FF0000"/>
                <w:spacing w:val="-3"/>
                <w:w w:val="95"/>
                <w:sz w:val="21"/>
              </w:rPr>
              <w:t>项目应配套建设矿井</w:t>
            </w:r>
            <w:r>
              <w:rPr>
                <w:color w:val="FF0000"/>
                <w:w w:val="95"/>
                <w:sz w:val="21"/>
              </w:rPr>
              <w:t>（坑</w:t>
            </w:r>
            <w:r>
              <w:rPr>
                <w:color w:val="FF0000"/>
                <w:spacing w:val="-25"/>
                <w:w w:val="95"/>
                <w:sz w:val="21"/>
              </w:rPr>
              <w:t>）</w:t>
            </w:r>
            <w:r>
              <w:rPr>
                <w:color w:val="FF0000"/>
                <w:spacing w:val="-6"/>
                <w:w w:val="95"/>
                <w:sz w:val="21"/>
              </w:rPr>
              <w:t>水、生活污</w:t>
            </w:r>
            <w:r>
              <w:rPr>
                <w:color w:val="FF0000"/>
                <w:spacing w:val="-10"/>
                <w:w w:val="95"/>
                <w:sz w:val="21"/>
              </w:rPr>
              <w:t>水、生产废水处理设施，处理后的废水</w:t>
            </w:r>
            <w:r>
              <w:rPr>
                <w:color w:val="FF0000"/>
                <w:spacing w:val="-13"/>
                <w:w w:val="95"/>
                <w:sz w:val="21"/>
              </w:rPr>
              <w:t>应立足综合利用，生活污水、生产废水</w:t>
            </w:r>
            <w:r>
              <w:rPr>
                <w:color w:val="FF0000"/>
                <w:spacing w:val="-14"/>
                <w:w w:val="95"/>
                <w:sz w:val="21"/>
              </w:rPr>
              <w:t>等原则上不得外排。选煤厂煤泥水应实</w:t>
            </w:r>
            <w:r>
              <w:rPr>
                <w:color w:val="FF0000"/>
                <w:spacing w:val="-13"/>
                <w:w w:val="95"/>
                <w:sz w:val="21"/>
              </w:rPr>
              <w:t>现闭路循环，工业场地初期雨水应收集</w:t>
            </w:r>
            <w:r>
              <w:rPr>
                <w:color w:val="FF0000"/>
                <w:spacing w:val="-10"/>
                <w:w w:val="95"/>
                <w:sz w:val="21"/>
              </w:rPr>
              <w:t>处理。无法全部综合利用的废水，应满</w:t>
            </w:r>
            <w:r>
              <w:rPr>
                <w:color w:val="FF0000"/>
                <w:spacing w:val="-10"/>
                <w:sz w:val="21"/>
              </w:rPr>
              <w:t>足相关排放标准要求后排放。</w:t>
            </w:r>
          </w:p>
        </w:tc>
        <w:tc>
          <w:tcPr>
            <w:tcW w:w="3878" w:type="dxa"/>
            <w:tcBorders>
              <w:top w:val="single" w:color="000000" w:sz="4" w:space="0"/>
              <w:left w:val="single" w:color="000000" w:sz="4" w:space="0"/>
              <w:bottom w:val="single" w:color="000000" w:sz="4" w:space="0"/>
              <w:right w:val="single" w:color="000000" w:sz="4" w:space="0"/>
            </w:tcBorders>
          </w:tcPr>
          <w:p>
            <w:pPr>
              <w:pStyle w:val="19"/>
              <w:spacing w:before="1" w:line="290" w:lineRule="auto"/>
              <w:ind w:left="113" w:right="92" w:firstLine="420"/>
              <w:jc w:val="both"/>
              <w:rPr>
                <w:sz w:val="21"/>
              </w:rPr>
            </w:pPr>
            <w:r>
              <w:rPr>
                <w:color w:val="FF0000"/>
                <w:w w:val="95"/>
                <w:sz w:val="21"/>
              </w:rPr>
              <w:t>本项目设置矿井水、生活污水、初期雨水收集及处理设施，生活污水经污水处理站处理达标后全部回用于井下生产、临时排矸场抑尘及道路洒水；采煤废水经矿井水处理站处理后，部分回用于井下生产用水、洗浴用水、洗衣用水和锅炉补水等非饮用生活用水，剩余部分出售给黑龙江建龙钢铁有限公司综合</w:t>
            </w:r>
          </w:p>
          <w:p>
            <w:pPr>
              <w:pStyle w:val="19"/>
              <w:spacing w:before="9"/>
              <w:ind w:left="113"/>
              <w:jc w:val="left"/>
              <w:rPr>
                <w:sz w:val="21"/>
              </w:rPr>
            </w:pPr>
            <w:r>
              <w:rPr>
                <w:color w:val="FF0000"/>
                <w:sz w:val="21"/>
              </w:rPr>
              <w:t>利用。</w:t>
            </w:r>
          </w:p>
        </w:tc>
        <w:tc>
          <w:tcPr>
            <w:tcW w:w="669" w:type="dxa"/>
            <w:tcBorders>
              <w:top w:val="single" w:color="000000" w:sz="4" w:space="0"/>
              <w:left w:val="single" w:color="000000" w:sz="4" w:space="0"/>
              <w:bottom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2"/>
              <w:jc w:val="left"/>
              <w:rPr>
                <w:b/>
                <w:sz w:val="22"/>
              </w:rPr>
            </w:pPr>
          </w:p>
          <w:p>
            <w:pPr>
              <w:pStyle w:val="19"/>
              <w:ind w:left="128"/>
              <w:jc w:val="left"/>
              <w:rPr>
                <w:sz w:val="21"/>
              </w:rPr>
            </w:pPr>
            <w:r>
              <w:rPr>
                <w:color w:val="FF0000"/>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7" w:hRule="atLeast"/>
        </w:trPr>
        <w:tc>
          <w:tcPr>
            <w:tcW w:w="649" w:type="dxa"/>
            <w:tcBorders>
              <w:top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2"/>
              <w:jc w:val="left"/>
              <w:rPr>
                <w:b/>
                <w:sz w:val="28"/>
              </w:rPr>
            </w:pPr>
          </w:p>
          <w:p>
            <w:pPr>
              <w:pStyle w:val="19"/>
              <w:ind w:left="14"/>
              <w:rPr>
                <w:rFonts w:ascii="Times New Roman"/>
                <w:sz w:val="21"/>
              </w:rPr>
            </w:pPr>
            <w:r>
              <w:rPr>
                <w:rFonts w:ascii="Times New Roman"/>
                <w:color w:val="FF0000"/>
                <w:w w:val="99"/>
                <w:sz w:val="21"/>
              </w:rPr>
              <w:t>8</w:t>
            </w:r>
          </w:p>
        </w:tc>
        <w:tc>
          <w:tcPr>
            <w:tcW w:w="3712" w:type="dxa"/>
            <w:tcBorders>
              <w:top w:val="single" w:color="000000" w:sz="4" w:space="0"/>
              <w:left w:val="single" w:color="000000" w:sz="4" w:space="0"/>
              <w:bottom w:val="single" w:color="000000" w:sz="4" w:space="0"/>
              <w:right w:val="single" w:color="000000" w:sz="4" w:space="0"/>
            </w:tcBorders>
          </w:tcPr>
          <w:p>
            <w:pPr>
              <w:pStyle w:val="19"/>
              <w:spacing w:before="1" w:line="290" w:lineRule="auto"/>
              <w:ind w:left="112" w:right="18" w:hanging="75"/>
              <w:rPr>
                <w:sz w:val="21"/>
              </w:rPr>
            </w:pPr>
            <w:r>
              <w:rPr>
                <w:color w:val="FF0000"/>
                <w:spacing w:val="-5"/>
                <w:sz w:val="21"/>
              </w:rPr>
              <w:t>煤矸石等固体废物应优先综合利用，明</w:t>
            </w:r>
            <w:r>
              <w:rPr>
                <w:color w:val="FF0000"/>
                <w:spacing w:val="-10"/>
                <w:sz w:val="21"/>
              </w:rPr>
              <w:t>确煤矸石综合利用途径和处置方式，满</w:t>
            </w:r>
            <w:r>
              <w:rPr>
                <w:color w:val="FF0000"/>
                <w:spacing w:val="-9"/>
                <w:sz w:val="21"/>
              </w:rPr>
              <w:t>足《煤矸石综合利用管理办法》相关要</w:t>
            </w:r>
            <w:r>
              <w:rPr>
                <w:color w:val="FF0000"/>
                <w:spacing w:val="-10"/>
                <w:sz w:val="21"/>
              </w:rPr>
              <w:t>求。暂不具备综合利用条件的，排至临</w:t>
            </w:r>
            <w:r>
              <w:rPr>
                <w:color w:val="FF0000"/>
                <w:spacing w:val="-13"/>
                <w:sz w:val="21"/>
              </w:rPr>
              <w:t>时矸石堆放场</w:t>
            </w:r>
            <w:r>
              <w:rPr>
                <w:color w:val="FF0000"/>
                <w:sz w:val="21"/>
              </w:rPr>
              <w:t>（库</w:t>
            </w:r>
            <w:r>
              <w:rPr>
                <w:color w:val="FF0000"/>
                <w:spacing w:val="-25"/>
                <w:sz w:val="21"/>
              </w:rPr>
              <w:t>）</w:t>
            </w:r>
            <w:r>
              <w:rPr>
                <w:color w:val="FF0000"/>
                <w:spacing w:val="-5"/>
                <w:sz w:val="21"/>
              </w:rPr>
              <w:t>储存，储存规模不</w:t>
            </w:r>
            <w:r>
              <w:rPr>
                <w:color w:val="FF0000"/>
                <w:spacing w:val="-22"/>
                <w:sz w:val="21"/>
              </w:rPr>
              <w:t xml:space="preserve">超过 </w:t>
            </w:r>
            <w:r>
              <w:rPr>
                <w:rFonts w:ascii="Times New Roman" w:eastAsia="Times New Roman"/>
                <w:color w:val="FF0000"/>
                <w:sz w:val="21"/>
              </w:rPr>
              <w:t xml:space="preserve">3 </w:t>
            </w:r>
            <w:r>
              <w:rPr>
                <w:color w:val="FF0000"/>
                <w:spacing w:val="-9"/>
                <w:sz w:val="21"/>
              </w:rPr>
              <w:t>年储矸量，且必须有后续综合利</w:t>
            </w:r>
            <w:r>
              <w:rPr>
                <w:color w:val="FF0000"/>
                <w:spacing w:val="-9"/>
                <w:w w:val="95"/>
                <w:sz w:val="21"/>
              </w:rPr>
              <w:t xml:space="preserve">用方案。临时矸石堆放场（库）选址、 </w:t>
            </w:r>
            <w:r>
              <w:rPr>
                <w:color w:val="FF0000"/>
                <w:spacing w:val="-12"/>
                <w:sz w:val="21"/>
              </w:rPr>
              <w:t>建设和运行应满足《一般工业固体废物贮存、处置场污染控制标准》</w:t>
            </w:r>
          </w:p>
          <w:p>
            <w:pPr>
              <w:pStyle w:val="19"/>
              <w:spacing w:before="10"/>
              <w:ind w:left="109" w:right="92"/>
              <w:rPr>
                <w:sz w:val="21"/>
              </w:rPr>
            </w:pPr>
            <w:r>
              <w:rPr>
                <w:color w:val="FF0000"/>
                <w:sz w:val="21"/>
              </w:rPr>
              <w:t>（</w:t>
            </w:r>
            <w:r>
              <w:rPr>
                <w:rFonts w:ascii="Times New Roman" w:eastAsia="Times New Roman"/>
                <w:color w:val="FF0000"/>
                <w:sz w:val="21"/>
              </w:rPr>
              <w:t>GB18599</w:t>
            </w:r>
            <w:r>
              <w:rPr>
                <w:color w:val="FF0000"/>
                <w:sz w:val="21"/>
              </w:rPr>
              <w:t>）要求。</w:t>
            </w:r>
          </w:p>
        </w:tc>
        <w:tc>
          <w:tcPr>
            <w:tcW w:w="3878" w:type="dxa"/>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spacing w:before="10"/>
              <w:jc w:val="left"/>
              <w:rPr>
                <w:b/>
                <w:sz w:val="19"/>
              </w:rPr>
            </w:pPr>
          </w:p>
          <w:p>
            <w:pPr>
              <w:pStyle w:val="19"/>
              <w:spacing w:line="290" w:lineRule="auto"/>
              <w:ind w:left="159" w:right="138" w:hanging="1"/>
              <w:rPr>
                <w:sz w:val="21"/>
              </w:rPr>
            </w:pPr>
            <w:r>
              <w:rPr>
                <w:color w:val="FF0000"/>
                <w:w w:val="95"/>
                <w:sz w:val="21"/>
              </w:rPr>
              <w:t>本项目在厂内设置煤矸石临时堆场，煤矸石暂存于矸石临时堆场，用于铺路及回填采空区，矸石临时堆场满足《一般工业固体废物贮存、处置场污染控制标</w:t>
            </w:r>
            <w:r>
              <w:rPr>
                <w:color w:val="FF0000"/>
                <w:sz w:val="21"/>
              </w:rPr>
              <w:t>准》（</w:t>
            </w:r>
            <w:r>
              <w:rPr>
                <w:rFonts w:ascii="Times New Roman" w:eastAsia="Times New Roman"/>
                <w:color w:val="FF0000"/>
                <w:sz w:val="21"/>
              </w:rPr>
              <w:t>GB18599</w:t>
            </w:r>
            <w:r>
              <w:rPr>
                <w:color w:val="FF0000"/>
                <w:sz w:val="21"/>
              </w:rPr>
              <w:t>）要求。</w:t>
            </w:r>
          </w:p>
        </w:tc>
        <w:tc>
          <w:tcPr>
            <w:tcW w:w="669" w:type="dxa"/>
            <w:tcBorders>
              <w:top w:val="single" w:color="000000" w:sz="4" w:space="0"/>
              <w:left w:val="single" w:color="000000" w:sz="4" w:space="0"/>
              <w:bottom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9"/>
              <w:jc w:val="left"/>
              <w:rPr>
                <w:b/>
                <w:sz w:val="14"/>
              </w:rPr>
            </w:pPr>
          </w:p>
          <w:p>
            <w:pPr>
              <w:pStyle w:val="19"/>
              <w:ind w:left="128"/>
              <w:jc w:val="left"/>
              <w:rPr>
                <w:sz w:val="21"/>
              </w:rPr>
            </w:pPr>
            <w:r>
              <w:rPr>
                <w:color w:val="FF0000"/>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56" w:hRule="atLeast"/>
        </w:trPr>
        <w:tc>
          <w:tcPr>
            <w:tcW w:w="649" w:type="dxa"/>
            <w:tcBorders>
              <w:top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4"/>
              <w:jc w:val="left"/>
              <w:rPr>
                <w:b/>
                <w:sz w:val="29"/>
              </w:rPr>
            </w:pPr>
          </w:p>
          <w:p>
            <w:pPr>
              <w:pStyle w:val="19"/>
              <w:spacing w:before="1"/>
              <w:ind w:left="14"/>
              <w:rPr>
                <w:rFonts w:ascii="Times New Roman"/>
                <w:sz w:val="21"/>
              </w:rPr>
            </w:pPr>
            <w:r>
              <w:rPr>
                <w:rFonts w:ascii="Times New Roman"/>
                <w:color w:val="FF0000"/>
                <w:w w:val="99"/>
                <w:sz w:val="21"/>
              </w:rPr>
              <w:t>9</w:t>
            </w:r>
          </w:p>
        </w:tc>
        <w:tc>
          <w:tcPr>
            <w:tcW w:w="3712" w:type="dxa"/>
            <w:tcBorders>
              <w:top w:val="single" w:color="000000" w:sz="4" w:space="0"/>
              <w:left w:val="single" w:color="000000" w:sz="4" w:space="0"/>
              <w:bottom w:val="single" w:color="000000" w:sz="4" w:space="0"/>
              <w:right w:val="single" w:color="000000" w:sz="4" w:space="0"/>
            </w:tcBorders>
          </w:tcPr>
          <w:p>
            <w:pPr>
              <w:pStyle w:val="19"/>
              <w:spacing w:line="290" w:lineRule="auto"/>
              <w:ind w:left="112" w:right="-15" w:hanging="106"/>
              <w:rPr>
                <w:sz w:val="21"/>
              </w:rPr>
            </w:pPr>
            <w:r>
              <w:rPr>
                <w:color w:val="FF0000"/>
                <w:spacing w:val="-9"/>
                <w:sz w:val="21"/>
              </w:rPr>
              <w:t xml:space="preserve">煤矿地面储、装、运及生产系统各产尘 </w:t>
            </w:r>
            <w:r>
              <w:rPr>
                <w:color w:val="FF0000"/>
                <w:spacing w:val="-13"/>
                <w:sz w:val="21"/>
              </w:rPr>
              <w:t xml:space="preserve">环节应采取有效抑尘措施。涉及环境敏 </w:t>
            </w:r>
            <w:r>
              <w:rPr>
                <w:color w:val="FF0000"/>
                <w:spacing w:val="-16"/>
                <w:sz w:val="21"/>
              </w:rPr>
              <w:t xml:space="preserve">感区或区域颗粒物超标地区的项目，应 </w:t>
            </w:r>
            <w:r>
              <w:rPr>
                <w:color w:val="FF0000"/>
                <w:spacing w:val="-13"/>
                <w:sz w:val="21"/>
              </w:rPr>
              <w:t xml:space="preserve">封闭储煤，厂界无组织排放满足相关标 </w:t>
            </w:r>
            <w:r>
              <w:rPr>
                <w:color w:val="FF0000"/>
                <w:spacing w:val="-16"/>
                <w:w w:val="95"/>
                <w:sz w:val="21"/>
              </w:rPr>
              <w:t xml:space="preserve">准要求。优先采用依托热源、水源热泵、 </w:t>
            </w:r>
            <w:r>
              <w:rPr>
                <w:color w:val="FF0000"/>
                <w:spacing w:val="-13"/>
                <w:sz w:val="21"/>
              </w:rPr>
              <w:t xml:space="preserve">气源热泵、清洁能源等供热形式，确需 </w:t>
            </w:r>
            <w:r>
              <w:rPr>
                <w:color w:val="FF0000"/>
                <w:spacing w:val="-14"/>
                <w:sz w:val="21"/>
              </w:rPr>
              <w:t xml:space="preserve">建设燃煤锅炉的，应符合《大气污染防 </w:t>
            </w:r>
            <w:r>
              <w:rPr>
                <w:color w:val="FF0000"/>
                <w:spacing w:val="-13"/>
                <w:sz w:val="21"/>
              </w:rPr>
              <w:t xml:space="preserve">治行动计划》等相关要求，采取高效烟 </w:t>
            </w:r>
            <w:r>
              <w:rPr>
                <w:color w:val="FF0000"/>
                <w:spacing w:val="-12"/>
                <w:sz w:val="21"/>
              </w:rPr>
              <w:t>气脱硫、脱硝和除尘措施，并安装烟气 在线监系统，污染物排放应满足相关排 放标准要求。</w:t>
            </w:r>
          </w:p>
          <w:p>
            <w:pPr>
              <w:pStyle w:val="19"/>
              <w:spacing w:before="13" w:line="292" w:lineRule="auto"/>
              <w:ind w:left="112" w:right="92"/>
              <w:jc w:val="both"/>
              <w:rPr>
                <w:sz w:val="21"/>
              </w:rPr>
            </w:pPr>
            <w:r>
              <w:rPr>
                <w:color w:val="FF0000"/>
                <w:spacing w:val="-8"/>
                <w:w w:val="95"/>
                <w:sz w:val="21"/>
              </w:rPr>
              <w:t>高浓度瓦斯禁止排放，应配套建设瓦斯</w:t>
            </w:r>
            <w:r>
              <w:rPr>
                <w:color w:val="FF0000"/>
                <w:spacing w:val="-13"/>
                <w:w w:val="95"/>
                <w:sz w:val="21"/>
              </w:rPr>
              <w:t>利用设施或提出瓦斯综合利用方案；积</w:t>
            </w:r>
            <w:r>
              <w:rPr>
                <w:color w:val="FF0000"/>
                <w:spacing w:val="-16"/>
                <w:w w:val="95"/>
                <w:sz w:val="21"/>
              </w:rPr>
              <w:t>极开展低浓度瓦斯综合利用工作，鼓励</w:t>
            </w:r>
            <w:r>
              <w:rPr>
                <w:color w:val="FF0000"/>
                <w:spacing w:val="-16"/>
                <w:sz w:val="21"/>
              </w:rPr>
              <w:t>风排瓦斯综合利用。瓦斯排放应满足</w:t>
            </w:r>
          </w:p>
          <w:p>
            <w:pPr>
              <w:pStyle w:val="19"/>
              <w:spacing w:line="264" w:lineRule="exact"/>
              <w:ind w:left="164" w:right="37"/>
              <w:rPr>
                <w:sz w:val="21"/>
              </w:rPr>
            </w:pPr>
            <w:r>
              <w:rPr>
                <w:color w:val="FF0000"/>
                <w:spacing w:val="-23"/>
                <w:w w:val="95"/>
                <w:sz w:val="21"/>
              </w:rPr>
              <w:t>《煤层气</w:t>
            </w:r>
            <w:r>
              <w:rPr>
                <w:color w:val="FF0000"/>
                <w:w w:val="95"/>
                <w:sz w:val="21"/>
              </w:rPr>
              <w:t>（煤矿瓦斯</w:t>
            </w:r>
            <w:r>
              <w:rPr>
                <w:color w:val="FF0000"/>
                <w:spacing w:val="-94"/>
                <w:w w:val="95"/>
                <w:sz w:val="21"/>
              </w:rPr>
              <w:t>）</w:t>
            </w:r>
            <w:r>
              <w:rPr>
                <w:color w:val="FF0000"/>
                <w:spacing w:val="-23"/>
                <w:w w:val="95"/>
                <w:sz w:val="21"/>
              </w:rPr>
              <w:t>排放标准</w:t>
            </w:r>
            <w:r>
              <w:rPr>
                <w:color w:val="FF0000"/>
                <w:w w:val="95"/>
                <w:sz w:val="21"/>
              </w:rPr>
              <w:t>（暂行</w:t>
            </w:r>
            <w:r>
              <w:rPr>
                <w:color w:val="FF0000"/>
                <w:spacing w:val="-104"/>
                <w:w w:val="95"/>
                <w:sz w:val="21"/>
              </w:rPr>
              <w:t>）</w:t>
            </w:r>
            <w:r>
              <w:rPr>
                <w:color w:val="FF0000"/>
                <w:w w:val="95"/>
                <w:sz w:val="21"/>
              </w:rPr>
              <w:t>》</w:t>
            </w:r>
          </w:p>
          <w:p>
            <w:pPr>
              <w:pStyle w:val="19"/>
              <w:spacing w:before="57"/>
              <w:ind w:left="109" w:right="92"/>
              <w:rPr>
                <w:sz w:val="21"/>
              </w:rPr>
            </w:pPr>
            <w:r>
              <w:rPr>
                <w:color w:val="FF0000"/>
                <w:sz w:val="21"/>
              </w:rPr>
              <w:t>要求。</w:t>
            </w:r>
          </w:p>
        </w:tc>
        <w:tc>
          <w:tcPr>
            <w:tcW w:w="3878"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1"/>
              <w:jc w:val="left"/>
              <w:rPr>
                <w:b/>
                <w:sz w:val="18"/>
              </w:rPr>
            </w:pPr>
          </w:p>
          <w:p>
            <w:pPr>
              <w:pStyle w:val="19"/>
              <w:spacing w:before="1" w:line="290" w:lineRule="auto"/>
              <w:ind w:left="113" w:right="-15" w:hanging="109"/>
              <w:rPr>
                <w:sz w:val="21"/>
              </w:rPr>
            </w:pPr>
            <w:r>
              <w:rPr>
                <w:color w:val="FF0000"/>
                <w:sz w:val="21"/>
              </w:rPr>
              <w:t xml:space="preserve">本项目储煤场设有防尘设施，矸石暂存 场地四周设置防风抑尘网。无组织颗粒 </w:t>
            </w:r>
            <w:r>
              <w:rPr>
                <w:color w:val="FF0000"/>
                <w:spacing w:val="-3"/>
                <w:w w:val="95"/>
                <w:sz w:val="21"/>
              </w:rPr>
              <w:t>物排放满足《煤炭工业污染物排放标准》</w:t>
            </w:r>
          </w:p>
          <w:p>
            <w:pPr>
              <w:pStyle w:val="19"/>
              <w:spacing w:before="2" w:line="292" w:lineRule="auto"/>
              <w:ind w:left="135" w:right="116"/>
              <w:rPr>
                <w:sz w:val="21"/>
              </w:rPr>
            </w:pPr>
            <w:r>
              <w:rPr>
                <w:color w:val="FF0000"/>
                <w:w w:val="95"/>
                <w:sz w:val="21"/>
              </w:rPr>
              <w:t>（</w:t>
            </w:r>
            <w:r>
              <w:rPr>
                <w:rFonts w:ascii="Times New Roman" w:eastAsia="Times New Roman"/>
                <w:color w:val="FF0000"/>
                <w:w w:val="95"/>
                <w:sz w:val="21"/>
              </w:rPr>
              <w:t>GB20426-2006</w:t>
            </w:r>
            <w:r>
              <w:rPr>
                <w:color w:val="FF0000"/>
                <w:w w:val="95"/>
                <w:sz w:val="21"/>
              </w:rPr>
              <w:t>）的要求。供热采用生</w:t>
            </w:r>
            <w:r>
              <w:rPr>
                <w:color w:val="FF0000"/>
                <w:sz w:val="21"/>
              </w:rPr>
              <w:t>物质锅炉供热，配套安装布袋除尘器， 处理后污染物排放满足《锅炉大气污染物排放标准》（</w:t>
            </w:r>
            <w:r>
              <w:rPr>
                <w:rFonts w:ascii="Times New Roman" w:eastAsia="Times New Roman"/>
                <w:color w:val="FF0000"/>
                <w:sz w:val="21"/>
              </w:rPr>
              <w:t>GB13271-2014</w:t>
            </w:r>
            <w:r>
              <w:rPr>
                <w:color w:val="FF0000"/>
                <w:sz w:val="21"/>
              </w:rPr>
              <w:t xml:space="preserve">）中表 </w:t>
            </w:r>
            <w:r>
              <w:rPr>
                <w:rFonts w:ascii="Times New Roman" w:eastAsia="Times New Roman"/>
                <w:color w:val="FF0000"/>
                <w:sz w:val="21"/>
              </w:rPr>
              <w:t xml:space="preserve">2 </w:t>
            </w:r>
            <w:r>
              <w:rPr>
                <w:color w:val="FF0000"/>
                <w:sz w:val="21"/>
              </w:rPr>
              <w:t>燃煤锅炉标准限值要求。</w:t>
            </w:r>
          </w:p>
          <w:p>
            <w:pPr>
              <w:pStyle w:val="19"/>
              <w:spacing w:line="290" w:lineRule="auto"/>
              <w:ind w:left="149" w:right="128"/>
              <w:jc w:val="both"/>
              <w:rPr>
                <w:sz w:val="21"/>
              </w:rPr>
            </w:pPr>
            <w:r>
              <w:rPr>
                <w:color w:val="FF0000"/>
                <w:spacing w:val="-4"/>
                <w:sz w:val="21"/>
              </w:rPr>
              <w:t xml:space="preserve">本项目为高瓦斯井，瓦斯浓度为 </w:t>
            </w:r>
            <w:r>
              <w:rPr>
                <w:rFonts w:ascii="Times New Roman" w:eastAsia="Times New Roman"/>
                <w:color w:val="FF0000"/>
                <w:spacing w:val="-3"/>
                <w:sz w:val="21"/>
              </w:rPr>
              <w:t>20%</w:t>
            </w:r>
            <w:r>
              <w:rPr>
                <w:color w:val="FF0000"/>
                <w:spacing w:val="-3"/>
                <w:sz w:val="21"/>
              </w:rPr>
              <w:t xml:space="preserve">＜ </w:t>
            </w:r>
            <w:r>
              <w:rPr>
                <w:rFonts w:ascii="Times New Roman" w:eastAsia="Times New Roman"/>
                <w:color w:val="FF0000"/>
                <w:w w:val="95"/>
                <w:sz w:val="21"/>
              </w:rPr>
              <w:t>30%,</w:t>
            </w:r>
            <w:r>
              <w:rPr>
                <w:color w:val="FF0000"/>
                <w:w w:val="95"/>
                <w:sz w:val="21"/>
              </w:rPr>
              <w:t>非高浓度瓦斯，瓦斯排放满足《煤</w:t>
            </w:r>
            <w:r>
              <w:rPr>
                <w:color w:val="FF0000"/>
                <w:sz w:val="21"/>
              </w:rPr>
              <w:t>层气（煤矿瓦斯）排放标准（暂行）》要求。积极开展低浓度瓦斯综合利用工作，瓦斯综合利用部分另外开展环境影响评价工作，不在本项目内进行论述。</w:t>
            </w:r>
          </w:p>
        </w:tc>
        <w:tc>
          <w:tcPr>
            <w:tcW w:w="669" w:type="dxa"/>
            <w:tcBorders>
              <w:top w:val="single" w:color="000000" w:sz="4" w:space="0"/>
              <w:left w:val="single" w:color="000000" w:sz="4" w:space="0"/>
              <w:bottom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1"/>
              <w:jc w:val="left"/>
              <w:rPr>
                <w:b/>
                <w:sz w:val="24"/>
              </w:rPr>
            </w:pPr>
          </w:p>
          <w:p>
            <w:pPr>
              <w:pStyle w:val="19"/>
              <w:ind w:left="128"/>
              <w:jc w:val="left"/>
              <w:rPr>
                <w:sz w:val="21"/>
              </w:rPr>
            </w:pPr>
            <w:r>
              <w:rPr>
                <w:color w:val="FF0000"/>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7" w:hRule="atLeast"/>
        </w:trPr>
        <w:tc>
          <w:tcPr>
            <w:tcW w:w="649" w:type="dxa"/>
            <w:tcBorders>
              <w:top w:val="single" w:color="000000" w:sz="4" w:space="0"/>
              <w:right w:val="single" w:color="000000" w:sz="4" w:space="0"/>
            </w:tcBorders>
          </w:tcPr>
          <w:p>
            <w:pPr>
              <w:pStyle w:val="19"/>
              <w:spacing w:before="10"/>
              <w:jc w:val="left"/>
              <w:rPr>
                <w:b/>
                <w:sz w:val="26"/>
              </w:rPr>
            </w:pPr>
          </w:p>
          <w:p>
            <w:pPr>
              <w:pStyle w:val="19"/>
              <w:spacing w:before="1"/>
              <w:ind w:left="92" w:right="78"/>
              <w:rPr>
                <w:rFonts w:ascii="Times New Roman"/>
                <w:sz w:val="21"/>
              </w:rPr>
            </w:pPr>
            <w:r>
              <w:rPr>
                <w:rFonts w:ascii="Times New Roman"/>
                <w:color w:val="FF0000"/>
                <w:sz w:val="21"/>
              </w:rPr>
              <w:t>10</w:t>
            </w:r>
          </w:p>
        </w:tc>
        <w:tc>
          <w:tcPr>
            <w:tcW w:w="3712" w:type="dxa"/>
            <w:tcBorders>
              <w:top w:val="single" w:color="000000" w:sz="4" w:space="0"/>
              <w:left w:val="single" w:color="000000" w:sz="4" w:space="0"/>
              <w:right w:val="single" w:color="000000" w:sz="4" w:space="0"/>
            </w:tcBorders>
          </w:tcPr>
          <w:p>
            <w:pPr>
              <w:pStyle w:val="19"/>
              <w:spacing w:before="1" w:line="288" w:lineRule="auto"/>
              <w:ind w:left="112" w:right="92"/>
              <w:jc w:val="left"/>
              <w:rPr>
                <w:sz w:val="21"/>
              </w:rPr>
            </w:pPr>
            <w:r>
              <w:rPr>
                <w:color w:val="FF0000"/>
                <w:spacing w:val="-9"/>
                <w:w w:val="95"/>
                <w:sz w:val="21"/>
              </w:rPr>
              <w:t>选择低噪声设备、优化场地布局并采取</w:t>
            </w:r>
            <w:r>
              <w:rPr>
                <w:color w:val="FF0000"/>
                <w:spacing w:val="-11"/>
                <w:w w:val="95"/>
                <w:sz w:val="21"/>
              </w:rPr>
              <w:t>隔声、消声、减振等措施有效控制噪声</w:t>
            </w:r>
          </w:p>
          <w:p>
            <w:pPr>
              <w:pStyle w:val="19"/>
              <w:spacing w:before="7"/>
              <w:ind w:left="112"/>
              <w:jc w:val="left"/>
              <w:rPr>
                <w:sz w:val="21"/>
              </w:rPr>
            </w:pPr>
            <w:r>
              <w:rPr>
                <w:color w:val="FF0000"/>
                <w:spacing w:val="-10"/>
                <w:w w:val="95"/>
                <w:sz w:val="21"/>
              </w:rPr>
              <w:t>影响，厂界噪声应满足《工业企业厂界</w:t>
            </w:r>
          </w:p>
        </w:tc>
        <w:tc>
          <w:tcPr>
            <w:tcW w:w="3878" w:type="dxa"/>
            <w:tcBorders>
              <w:top w:val="single" w:color="000000" w:sz="4" w:space="0"/>
              <w:left w:val="single" w:color="000000" w:sz="4" w:space="0"/>
              <w:right w:val="single" w:color="000000" w:sz="4" w:space="0"/>
            </w:tcBorders>
          </w:tcPr>
          <w:p>
            <w:pPr>
              <w:pStyle w:val="19"/>
              <w:spacing w:before="1" w:line="288" w:lineRule="auto"/>
              <w:ind w:left="159" w:right="138"/>
              <w:jc w:val="left"/>
              <w:rPr>
                <w:sz w:val="21"/>
              </w:rPr>
            </w:pPr>
            <w:r>
              <w:rPr>
                <w:color w:val="FF0000"/>
                <w:spacing w:val="-1"/>
                <w:sz w:val="21"/>
              </w:rPr>
              <w:t>选择低噪声设备、优化场地布局并采取</w:t>
            </w:r>
            <w:r>
              <w:rPr>
                <w:color w:val="FF0000"/>
                <w:spacing w:val="-1"/>
                <w:w w:val="95"/>
                <w:sz w:val="21"/>
              </w:rPr>
              <w:t>隔声、消声、减振等措施有效控制噪声</w:t>
            </w:r>
          </w:p>
          <w:p>
            <w:pPr>
              <w:pStyle w:val="19"/>
              <w:spacing w:before="7"/>
              <w:ind w:left="159"/>
              <w:jc w:val="left"/>
              <w:rPr>
                <w:sz w:val="21"/>
              </w:rPr>
            </w:pPr>
            <w:r>
              <w:rPr>
                <w:color w:val="FF0000"/>
                <w:w w:val="95"/>
                <w:sz w:val="21"/>
              </w:rPr>
              <w:t>影响，厂界噪声满足《工业企业厂界环</w:t>
            </w:r>
          </w:p>
        </w:tc>
        <w:tc>
          <w:tcPr>
            <w:tcW w:w="669" w:type="dxa"/>
            <w:tcBorders>
              <w:top w:val="single" w:color="000000" w:sz="4" w:space="0"/>
              <w:left w:val="single" w:color="000000" w:sz="4" w:space="0"/>
            </w:tcBorders>
          </w:tcPr>
          <w:p>
            <w:pPr>
              <w:pStyle w:val="19"/>
              <w:spacing w:before="4"/>
              <w:jc w:val="left"/>
              <w:rPr>
                <w:b/>
                <w:sz w:val="25"/>
              </w:rPr>
            </w:pPr>
          </w:p>
          <w:p>
            <w:pPr>
              <w:pStyle w:val="19"/>
              <w:spacing w:before="1"/>
              <w:ind w:left="128"/>
              <w:jc w:val="left"/>
              <w:rPr>
                <w:sz w:val="21"/>
              </w:rPr>
            </w:pPr>
            <w:r>
              <w:rPr>
                <w:color w:val="FF0000"/>
                <w:sz w:val="21"/>
              </w:rPr>
              <w:t>符合</w:t>
            </w:r>
          </w:p>
        </w:tc>
      </w:tr>
    </w:tbl>
    <w:p>
      <w:pPr>
        <w:spacing w:after="0"/>
        <w:jc w:val="left"/>
        <w:rPr>
          <w:sz w:val="21"/>
        </w:rPr>
        <w:sectPr>
          <w:pgSz w:w="11910" w:h="16840"/>
          <w:pgMar w:top="1400" w:right="1160" w:bottom="1100" w:left="1200" w:header="0" w:footer="913" w:gutter="0"/>
        </w:sectPr>
      </w:pPr>
    </w:p>
    <w:tbl>
      <w:tblPr>
        <w:tblStyle w:val="15"/>
        <w:tblW w:w="0" w:type="auto"/>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49"/>
        <w:gridCol w:w="3712"/>
        <w:gridCol w:w="3878"/>
        <w:gridCol w:w="6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4" w:hRule="atLeast"/>
        </w:trPr>
        <w:tc>
          <w:tcPr>
            <w:tcW w:w="649" w:type="dxa"/>
            <w:tcBorders>
              <w:bottom w:val="single" w:color="000000" w:sz="4" w:space="0"/>
              <w:right w:val="single" w:color="000000" w:sz="4" w:space="0"/>
            </w:tcBorders>
          </w:tcPr>
          <w:p>
            <w:pPr>
              <w:pStyle w:val="19"/>
              <w:jc w:val="left"/>
              <w:rPr>
                <w:rFonts w:ascii="Times New Roman"/>
                <w:sz w:val="22"/>
              </w:rPr>
            </w:pPr>
          </w:p>
        </w:tc>
        <w:tc>
          <w:tcPr>
            <w:tcW w:w="3712" w:type="dxa"/>
            <w:tcBorders>
              <w:left w:val="single" w:color="000000" w:sz="4" w:space="0"/>
              <w:bottom w:val="single" w:color="000000" w:sz="4" w:space="0"/>
              <w:right w:val="single" w:color="000000" w:sz="4" w:space="0"/>
            </w:tcBorders>
          </w:tcPr>
          <w:p>
            <w:pPr>
              <w:pStyle w:val="19"/>
              <w:spacing w:line="259" w:lineRule="exact"/>
              <w:ind w:left="112" w:right="-15"/>
              <w:jc w:val="left"/>
              <w:rPr>
                <w:sz w:val="21"/>
              </w:rPr>
            </w:pPr>
            <w:r>
              <w:rPr>
                <w:color w:val="FF0000"/>
                <w:spacing w:val="-12"/>
                <w:w w:val="95"/>
                <w:sz w:val="21"/>
              </w:rPr>
              <w:t>环境噪声排放标准》</w:t>
            </w:r>
            <w:r>
              <w:rPr>
                <w:color w:val="FF0000"/>
                <w:spacing w:val="-6"/>
                <w:w w:val="95"/>
                <w:sz w:val="21"/>
              </w:rPr>
              <w:t>（</w:t>
            </w:r>
            <w:r>
              <w:rPr>
                <w:rFonts w:ascii="Times New Roman" w:eastAsia="Times New Roman"/>
                <w:color w:val="FF0000"/>
                <w:spacing w:val="-6"/>
                <w:w w:val="95"/>
                <w:sz w:val="21"/>
              </w:rPr>
              <w:t>GB12348</w:t>
            </w:r>
            <w:r>
              <w:rPr>
                <w:color w:val="FF0000"/>
                <w:spacing w:val="-6"/>
                <w:w w:val="95"/>
                <w:sz w:val="21"/>
              </w:rPr>
              <w:t>）</w:t>
            </w:r>
            <w:r>
              <w:rPr>
                <w:color w:val="FF0000"/>
                <w:w w:val="95"/>
                <w:sz w:val="21"/>
              </w:rPr>
              <w:t>要求。</w:t>
            </w:r>
          </w:p>
        </w:tc>
        <w:tc>
          <w:tcPr>
            <w:tcW w:w="3878" w:type="dxa"/>
            <w:tcBorders>
              <w:left w:val="single" w:color="000000" w:sz="4" w:space="0"/>
              <w:bottom w:val="single" w:color="000000" w:sz="4" w:space="0"/>
              <w:right w:val="single" w:color="000000" w:sz="4" w:space="0"/>
            </w:tcBorders>
          </w:tcPr>
          <w:p>
            <w:pPr>
              <w:pStyle w:val="19"/>
              <w:spacing w:line="259" w:lineRule="exact"/>
              <w:ind w:left="40" w:right="64"/>
              <w:rPr>
                <w:sz w:val="21"/>
              </w:rPr>
            </w:pPr>
            <w:r>
              <w:rPr>
                <w:color w:val="FF0000"/>
                <w:sz w:val="21"/>
              </w:rPr>
              <w:t>境噪声排放标准》（</w:t>
            </w:r>
            <w:r>
              <w:rPr>
                <w:rFonts w:ascii="Times New Roman" w:eastAsia="Times New Roman"/>
                <w:color w:val="FF0000"/>
                <w:sz w:val="21"/>
              </w:rPr>
              <w:t>GB12348-2008</w:t>
            </w:r>
            <w:r>
              <w:rPr>
                <w:color w:val="FF0000"/>
                <w:sz w:val="21"/>
              </w:rPr>
              <w:t>）中</w:t>
            </w:r>
          </w:p>
          <w:p>
            <w:pPr>
              <w:pStyle w:val="19"/>
              <w:spacing w:before="57"/>
              <w:ind w:left="80" w:right="64"/>
              <w:rPr>
                <w:sz w:val="21"/>
              </w:rPr>
            </w:pPr>
            <w:r>
              <w:rPr>
                <w:rFonts w:ascii="Times New Roman" w:eastAsia="Times New Roman"/>
                <w:color w:val="FF0000"/>
                <w:sz w:val="21"/>
              </w:rPr>
              <w:t xml:space="preserve">2 </w:t>
            </w:r>
            <w:r>
              <w:rPr>
                <w:color w:val="FF0000"/>
                <w:sz w:val="21"/>
              </w:rPr>
              <w:t>类标准要求。</w:t>
            </w:r>
          </w:p>
        </w:tc>
        <w:tc>
          <w:tcPr>
            <w:tcW w:w="669" w:type="dxa"/>
            <w:tcBorders>
              <w:left w:val="single" w:color="000000" w:sz="4" w:space="0"/>
              <w:bottom w:val="single" w:color="000000" w:sz="4" w:space="0"/>
            </w:tcBorders>
          </w:tcPr>
          <w:p>
            <w:pPr>
              <w:pStyle w:val="19"/>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649" w:type="dxa"/>
            <w:tcBorders>
              <w:top w:val="single" w:color="000000" w:sz="4" w:space="0"/>
              <w:bottom w:val="single" w:color="000000" w:sz="4" w:space="0"/>
              <w:right w:val="single" w:color="000000" w:sz="4" w:space="0"/>
            </w:tcBorders>
          </w:tcPr>
          <w:p>
            <w:pPr>
              <w:pStyle w:val="19"/>
              <w:spacing w:before="10"/>
              <w:jc w:val="left"/>
              <w:rPr>
                <w:b/>
                <w:sz w:val="26"/>
              </w:rPr>
            </w:pPr>
          </w:p>
          <w:p>
            <w:pPr>
              <w:pStyle w:val="19"/>
              <w:ind w:left="221"/>
              <w:jc w:val="left"/>
              <w:rPr>
                <w:rFonts w:ascii="Times New Roman"/>
                <w:sz w:val="21"/>
              </w:rPr>
            </w:pPr>
            <w:r>
              <w:rPr>
                <w:rFonts w:ascii="Times New Roman"/>
                <w:color w:val="FF0000"/>
                <w:sz w:val="21"/>
              </w:rPr>
              <w:t>11</w:t>
            </w:r>
          </w:p>
        </w:tc>
        <w:tc>
          <w:tcPr>
            <w:tcW w:w="3712" w:type="dxa"/>
            <w:tcBorders>
              <w:top w:val="single" w:color="000000" w:sz="4" w:space="0"/>
              <w:left w:val="single" w:color="000000" w:sz="4" w:space="0"/>
              <w:bottom w:val="single" w:color="000000" w:sz="4" w:space="0"/>
              <w:right w:val="single" w:color="000000" w:sz="4" w:space="0"/>
            </w:tcBorders>
          </w:tcPr>
          <w:p>
            <w:pPr>
              <w:pStyle w:val="19"/>
              <w:spacing w:line="290" w:lineRule="auto"/>
              <w:ind w:left="112" w:right="92"/>
              <w:rPr>
                <w:sz w:val="21"/>
              </w:rPr>
            </w:pPr>
            <w:r>
              <w:rPr>
                <w:color w:val="FF0000"/>
                <w:w w:val="95"/>
                <w:sz w:val="21"/>
              </w:rPr>
              <w:t>改、扩建（兼并重组）项目应全面梳理</w:t>
            </w:r>
            <w:r>
              <w:rPr>
                <w:color w:val="FF0000"/>
                <w:sz w:val="21"/>
              </w:rPr>
              <w:t>现有工程存在的环保问题，提出</w:t>
            </w:r>
            <w:r>
              <w:rPr>
                <w:rFonts w:ascii="Times New Roman" w:hAnsi="Times New Roman" w:eastAsia="Times New Roman"/>
                <w:color w:val="FF0000"/>
                <w:sz w:val="21"/>
              </w:rPr>
              <w:t>“</w:t>
            </w:r>
            <w:r>
              <w:rPr>
                <w:color w:val="FF0000"/>
                <w:sz w:val="21"/>
              </w:rPr>
              <w:t>以新</w:t>
            </w:r>
          </w:p>
          <w:p>
            <w:pPr>
              <w:pStyle w:val="19"/>
              <w:spacing w:before="2"/>
              <w:ind w:left="107" w:right="92"/>
              <w:rPr>
                <w:sz w:val="21"/>
              </w:rPr>
            </w:pPr>
            <w:r>
              <w:rPr>
                <w:color w:val="FF0000"/>
                <w:sz w:val="21"/>
              </w:rPr>
              <w:t>带老</w:t>
            </w:r>
            <w:r>
              <w:rPr>
                <w:rFonts w:ascii="Times New Roman" w:hAnsi="Times New Roman" w:eastAsia="Times New Roman"/>
                <w:color w:val="FF0000"/>
                <w:sz w:val="21"/>
              </w:rPr>
              <w:t>”</w:t>
            </w:r>
            <w:r>
              <w:rPr>
                <w:color w:val="FF0000"/>
                <w:sz w:val="21"/>
              </w:rPr>
              <w:t>整改方案。</w:t>
            </w:r>
          </w:p>
        </w:tc>
        <w:tc>
          <w:tcPr>
            <w:tcW w:w="3878" w:type="dxa"/>
            <w:tcBorders>
              <w:top w:val="single" w:color="000000" w:sz="4" w:space="0"/>
              <w:left w:val="single" w:color="000000" w:sz="4" w:space="0"/>
              <w:bottom w:val="single" w:color="000000" w:sz="4" w:space="0"/>
              <w:right w:val="single" w:color="000000" w:sz="4" w:space="0"/>
            </w:tcBorders>
          </w:tcPr>
          <w:p>
            <w:pPr>
              <w:pStyle w:val="19"/>
              <w:spacing w:before="164" w:line="288" w:lineRule="auto"/>
              <w:ind w:left="1313" w:right="138" w:hanging="1155"/>
              <w:jc w:val="left"/>
              <w:rPr>
                <w:sz w:val="21"/>
              </w:rPr>
            </w:pPr>
            <w:r>
              <w:rPr>
                <w:color w:val="FF0000"/>
                <w:w w:val="95"/>
                <w:sz w:val="21"/>
              </w:rPr>
              <w:t>本项目已对现有工程进行梳理，并提出</w:t>
            </w:r>
            <w:r>
              <w:rPr>
                <w:color w:val="FF0000"/>
                <w:sz w:val="21"/>
              </w:rPr>
              <w:t>了相应措施。</w:t>
            </w:r>
          </w:p>
        </w:tc>
        <w:tc>
          <w:tcPr>
            <w:tcW w:w="669" w:type="dxa"/>
            <w:tcBorders>
              <w:top w:val="single" w:color="000000" w:sz="4" w:space="0"/>
              <w:left w:val="single" w:color="000000" w:sz="4" w:space="0"/>
              <w:bottom w:val="single" w:color="000000" w:sz="4" w:space="0"/>
            </w:tcBorders>
          </w:tcPr>
          <w:p>
            <w:pPr>
              <w:pStyle w:val="19"/>
              <w:spacing w:before="6"/>
              <w:jc w:val="left"/>
              <w:rPr>
                <w:b/>
                <w:sz w:val="25"/>
              </w:rPr>
            </w:pPr>
          </w:p>
          <w:p>
            <w:pPr>
              <w:pStyle w:val="19"/>
              <w:spacing w:before="1"/>
              <w:ind w:left="128"/>
              <w:jc w:val="left"/>
              <w:rPr>
                <w:sz w:val="21"/>
              </w:rPr>
            </w:pPr>
            <w:r>
              <w:rPr>
                <w:color w:val="FF0000"/>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15" w:hRule="atLeast"/>
        </w:trPr>
        <w:tc>
          <w:tcPr>
            <w:tcW w:w="649" w:type="dxa"/>
            <w:tcBorders>
              <w:top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spacing w:before="10"/>
              <w:jc w:val="left"/>
              <w:rPr>
                <w:b/>
                <w:sz w:val="24"/>
              </w:rPr>
            </w:pPr>
          </w:p>
          <w:p>
            <w:pPr>
              <w:pStyle w:val="19"/>
              <w:ind w:left="219"/>
              <w:jc w:val="left"/>
              <w:rPr>
                <w:rFonts w:ascii="Times New Roman"/>
                <w:sz w:val="21"/>
              </w:rPr>
            </w:pPr>
            <w:r>
              <w:rPr>
                <w:rFonts w:ascii="Times New Roman"/>
                <w:color w:val="FF0000"/>
                <w:sz w:val="21"/>
              </w:rPr>
              <w:t>12</w:t>
            </w:r>
          </w:p>
        </w:tc>
        <w:tc>
          <w:tcPr>
            <w:tcW w:w="3712" w:type="dxa"/>
            <w:tcBorders>
              <w:top w:val="single" w:color="000000" w:sz="4" w:space="0"/>
              <w:left w:val="single" w:color="000000" w:sz="4" w:space="0"/>
              <w:bottom w:val="single" w:color="000000" w:sz="4" w:space="0"/>
              <w:right w:val="single" w:color="000000" w:sz="4" w:space="0"/>
            </w:tcBorders>
          </w:tcPr>
          <w:p>
            <w:pPr>
              <w:pStyle w:val="19"/>
              <w:spacing w:before="2" w:line="290" w:lineRule="auto"/>
              <w:ind w:left="112" w:right="92"/>
              <w:rPr>
                <w:sz w:val="21"/>
              </w:rPr>
            </w:pPr>
            <w:r>
              <w:rPr>
                <w:color w:val="FF0000"/>
                <w:spacing w:val="-10"/>
                <w:w w:val="95"/>
                <w:sz w:val="21"/>
              </w:rPr>
              <w:t>制定了生态、地下水、地表水等环境要</w:t>
            </w:r>
            <w:r>
              <w:rPr>
                <w:color w:val="FF0000"/>
                <w:spacing w:val="-13"/>
                <w:w w:val="95"/>
                <w:sz w:val="21"/>
              </w:rPr>
              <w:t>素的跟踪监测计划，明确监测网点的布</w:t>
            </w:r>
            <w:r>
              <w:rPr>
                <w:color w:val="FF0000"/>
                <w:spacing w:val="-10"/>
                <w:w w:val="95"/>
                <w:sz w:val="21"/>
              </w:rPr>
              <w:t>设、监测因子、监测频次和信息公开等</w:t>
            </w:r>
            <w:r>
              <w:rPr>
                <w:color w:val="FF0000"/>
                <w:spacing w:val="-11"/>
                <w:w w:val="95"/>
                <w:sz w:val="21"/>
              </w:rPr>
              <w:t>要求，提出了采煤沉陷区长期地表岩移</w:t>
            </w:r>
            <w:r>
              <w:rPr>
                <w:color w:val="FF0000"/>
                <w:spacing w:val="-12"/>
                <w:w w:val="95"/>
                <w:sz w:val="21"/>
              </w:rPr>
              <w:t>观测要求，提出了有效的环境风险防范</w:t>
            </w:r>
            <w:r>
              <w:rPr>
                <w:color w:val="FF0000"/>
                <w:spacing w:val="-12"/>
                <w:sz w:val="21"/>
              </w:rPr>
              <w:t>措施及突发环境事件应急预案编制要</w:t>
            </w:r>
            <w:r>
              <w:rPr>
                <w:color w:val="FF0000"/>
                <w:spacing w:val="-10"/>
                <w:w w:val="95"/>
                <w:sz w:val="21"/>
              </w:rPr>
              <w:t>求，纳入区域突发环境事件应急联动机</w:t>
            </w:r>
          </w:p>
          <w:p>
            <w:pPr>
              <w:pStyle w:val="19"/>
              <w:spacing w:before="8"/>
              <w:ind w:left="109" w:right="92"/>
              <w:rPr>
                <w:sz w:val="21"/>
              </w:rPr>
            </w:pPr>
            <w:r>
              <w:rPr>
                <w:color w:val="FF0000"/>
                <w:sz w:val="21"/>
              </w:rPr>
              <w:t>制。</w:t>
            </w:r>
          </w:p>
        </w:tc>
        <w:tc>
          <w:tcPr>
            <w:tcW w:w="3878" w:type="dxa"/>
            <w:tcBorders>
              <w:top w:val="single" w:color="000000" w:sz="4" w:space="0"/>
              <w:left w:val="single" w:color="000000" w:sz="4" w:space="0"/>
              <w:bottom w:val="single" w:color="000000" w:sz="4" w:space="0"/>
              <w:right w:val="single" w:color="000000" w:sz="4" w:space="0"/>
            </w:tcBorders>
          </w:tcPr>
          <w:p>
            <w:pPr>
              <w:pStyle w:val="19"/>
              <w:spacing w:before="2" w:line="290" w:lineRule="auto"/>
              <w:ind w:left="159" w:right="138"/>
              <w:jc w:val="both"/>
              <w:rPr>
                <w:sz w:val="21"/>
              </w:rPr>
            </w:pPr>
            <w:r>
              <w:rPr>
                <w:color w:val="FF0000"/>
                <w:sz w:val="21"/>
              </w:rPr>
              <w:t>本项目制定了生态、地下水、地表水等环境要素的跟踪监测计划，明确监测网点的布设、监测因子、监测频次和信息公开等要求，提出了采煤沉陷区长期地表岩移观测要求，提出了有效的环境风险防范措施及突发环境事件应急预案编制要求，纳入区域突发环境事件应急联</w:t>
            </w:r>
          </w:p>
          <w:p>
            <w:pPr>
              <w:pStyle w:val="19"/>
              <w:spacing w:before="8"/>
              <w:ind w:left="83" w:right="64"/>
              <w:rPr>
                <w:sz w:val="21"/>
              </w:rPr>
            </w:pPr>
            <w:r>
              <w:rPr>
                <w:color w:val="FF0000"/>
                <w:sz w:val="21"/>
              </w:rPr>
              <w:t>动机制。</w:t>
            </w:r>
          </w:p>
        </w:tc>
        <w:tc>
          <w:tcPr>
            <w:tcW w:w="669" w:type="dxa"/>
            <w:tcBorders>
              <w:top w:val="single" w:color="000000" w:sz="4" w:space="0"/>
              <w:left w:val="single" w:color="000000" w:sz="4" w:space="0"/>
              <w:bottom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spacing w:before="4"/>
              <w:jc w:val="left"/>
              <w:rPr>
                <w:b/>
                <w:sz w:val="29"/>
              </w:rPr>
            </w:pPr>
          </w:p>
          <w:p>
            <w:pPr>
              <w:pStyle w:val="19"/>
              <w:ind w:left="128"/>
              <w:jc w:val="left"/>
              <w:rPr>
                <w:sz w:val="21"/>
              </w:rPr>
            </w:pPr>
            <w:r>
              <w:rPr>
                <w:color w:val="FF0000"/>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14" w:hRule="atLeast"/>
        </w:trPr>
        <w:tc>
          <w:tcPr>
            <w:tcW w:w="649" w:type="dxa"/>
            <w:tcBorders>
              <w:top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spacing w:before="8"/>
              <w:jc w:val="left"/>
              <w:rPr>
                <w:b/>
                <w:sz w:val="24"/>
              </w:rPr>
            </w:pPr>
          </w:p>
          <w:p>
            <w:pPr>
              <w:pStyle w:val="19"/>
              <w:ind w:left="219"/>
              <w:jc w:val="left"/>
              <w:rPr>
                <w:rFonts w:ascii="Times New Roman"/>
                <w:sz w:val="21"/>
              </w:rPr>
            </w:pPr>
            <w:r>
              <w:rPr>
                <w:rFonts w:ascii="Times New Roman"/>
                <w:color w:val="FF0000"/>
                <w:sz w:val="21"/>
              </w:rPr>
              <w:t>13</w:t>
            </w:r>
          </w:p>
        </w:tc>
        <w:tc>
          <w:tcPr>
            <w:tcW w:w="3712" w:type="dxa"/>
            <w:tcBorders>
              <w:top w:val="single" w:color="000000" w:sz="4" w:space="0"/>
              <w:left w:val="single" w:color="000000" w:sz="4" w:space="0"/>
              <w:bottom w:val="single" w:color="000000" w:sz="4" w:space="0"/>
              <w:right w:val="single" w:color="000000" w:sz="4" w:space="0"/>
            </w:tcBorders>
          </w:tcPr>
          <w:p>
            <w:pPr>
              <w:pStyle w:val="19"/>
              <w:spacing w:line="292" w:lineRule="auto"/>
              <w:ind w:left="112" w:right="18"/>
              <w:jc w:val="left"/>
              <w:rPr>
                <w:sz w:val="21"/>
              </w:rPr>
            </w:pPr>
            <w:r>
              <w:rPr>
                <w:color w:val="FF0000"/>
                <w:w w:val="95"/>
                <w:sz w:val="21"/>
              </w:rPr>
              <w:t xml:space="preserve">涉及放射性污染影响的煤炭采选项目， </w:t>
            </w:r>
            <w:r>
              <w:rPr>
                <w:color w:val="FF0000"/>
                <w:spacing w:val="-9"/>
                <w:sz w:val="21"/>
              </w:rPr>
              <w:t>参照《矿产资源开发利用辐射环境监督</w:t>
            </w:r>
            <w:r>
              <w:rPr>
                <w:color w:val="FF0000"/>
                <w:spacing w:val="-17"/>
                <w:sz w:val="21"/>
              </w:rPr>
              <w:t>管理名录》</w:t>
            </w:r>
            <w:r>
              <w:rPr>
                <w:color w:val="FF0000"/>
                <w:sz w:val="21"/>
              </w:rPr>
              <w:t>（第一批</w:t>
            </w:r>
            <w:r>
              <w:rPr>
                <w:color w:val="FF0000"/>
                <w:spacing w:val="-25"/>
                <w:sz w:val="21"/>
              </w:rPr>
              <w:t>）</w:t>
            </w:r>
            <w:r>
              <w:rPr>
                <w:color w:val="FF0000"/>
                <w:sz w:val="21"/>
              </w:rPr>
              <w:t>中石煤行业相关</w:t>
            </w:r>
            <w:r>
              <w:rPr>
                <w:color w:val="FF0000"/>
                <w:spacing w:val="-10"/>
                <w:sz w:val="21"/>
              </w:rPr>
              <w:t>要求，原煤、产品煤、矸石或其他残留</w:t>
            </w:r>
            <w:r>
              <w:rPr>
                <w:color w:val="FF0000"/>
                <w:spacing w:val="-22"/>
                <w:sz w:val="21"/>
              </w:rPr>
              <w:t>物铀</w:t>
            </w:r>
            <w:r>
              <w:rPr>
                <w:color w:val="FF0000"/>
                <w:sz w:val="21"/>
              </w:rPr>
              <w:t>（钍</w:t>
            </w:r>
            <w:r>
              <w:rPr>
                <w:color w:val="FF0000"/>
                <w:spacing w:val="-37"/>
                <w:sz w:val="21"/>
              </w:rPr>
              <w:t>）</w:t>
            </w:r>
            <w:r>
              <w:rPr>
                <w:color w:val="FF0000"/>
                <w:spacing w:val="-6"/>
                <w:sz w:val="21"/>
              </w:rPr>
              <w:t xml:space="preserve">系单个核素含量超过 </w:t>
            </w:r>
            <w:r>
              <w:rPr>
                <w:rFonts w:ascii="Times New Roman" w:eastAsia="Times New Roman"/>
                <w:color w:val="FF0000"/>
                <w:sz w:val="21"/>
              </w:rPr>
              <w:t>1</w:t>
            </w:r>
            <w:r>
              <w:rPr>
                <w:rFonts w:ascii="Times New Roman" w:eastAsia="Times New Roman"/>
                <w:color w:val="FF0000"/>
                <w:spacing w:val="-3"/>
                <w:sz w:val="21"/>
              </w:rPr>
              <w:t xml:space="preserve"> </w:t>
            </w:r>
            <w:r>
              <w:rPr>
                <w:color w:val="FF0000"/>
                <w:sz w:val="21"/>
              </w:rPr>
              <w:t>贝可</w:t>
            </w:r>
          </w:p>
          <w:p>
            <w:pPr>
              <w:pStyle w:val="19"/>
              <w:spacing w:line="262" w:lineRule="exact"/>
              <w:ind w:left="112" w:right="-15"/>
              <w:jc w:val="left"/>
              <w:rPr>
                <w:sz w:val="21"/>
              </w:rPr>
            </w:pPr>
            <w:r>
              <w:rPr>
                <w:rFonts w:ascii="Times New Roman" w:eastAsia="Times New Roman"/>
                <w:color w:val="FF0000"/>
                <w:w w:val="95"/>
                <w:sz w:val="21"/>
              </w:rPr>
              <w:t>/</w:t>
            </w:r>
            <w:r>
              <w:rPr>
                <w:color w:val="FF0000"/>
                <w:spacing w:val="-5"/>
                <w:w w:val="95"/>
                <w:sz w:val="21"/>
              </w:rPr>
              <w:t>克</w:t>
            </w:r>
            <w:r>
              <w:rPr>
                <w:color w:val="FF0000"/>
                <w:w w:val="95"/>
                <w:sz w:val="21"/>
              </w:rPr>
              <w:t>（</w:t>
            </w:r>
            <w:r>
              <w:rPr>
                <w:rFonts w:ascii="Times New Roman" w:eastAsia="Times New Roman"/>
                <w:color w:val="FF0000"/>
                <w:w w:val="95"/>
                <w:sz w:val="21"/>
              </w:rPr>
              <w:t>1Bq/g</w:t>
            </w:r>
            <w:r>
              <w:rPr>
                <w:color w:val="FF0000"/>
                <w:w w:val="95"/>
                <w:sz w:val="21"/>
              </w:rPr>
              <w:t>）</w:t>
            </w:r>
            <w:r>
              <w:rPr>
                <w:color w:val="FF0000"/>
                <w:spacing w:val="-1"/>
                <w:w w:val="95"/>
                <w:sz w:val="21"/>
              </w:rPr>
              <w:t>的项目，应开展辐射环境</w:t>
            </w:r>
          </w:p>
          <w:p>
            <w:pPr>
              <w:pStyle w:val="19"/>
              <w:spacing w:before="6" w:line="320" w:lineRule="atLeast"/>
              <w:ind w:left="179" w:right="-15" w:hanging="68"/>
              <w:jc w:val="left"/>
              <w:rPr>
                <w:sz w:val="21"/>
              </w:rPr>
            </w:pPr>
            <w:r>
              <w:rPr>
                <w:color w:val="FF0000"/>
                <w:spacing w:val="-14"/>
                <w:w w:val="95"/>
                <w:sz w:val="21"/>
              </w:rPr>
              <w:t xml:space="preserve">污染评价。开采高砷、高铝煤矿等项目， </w:t>
            </w:r>
            <w:r>
              <w:rPr>
                <w:color w:val="FF0000"/>
                <w:spacing w:val="-14"/>
                <w:sz w:val="21"/>
              </w:rPr>
              <w:t>提出了产品煤去向及环境管理要求。</w:t>
            </w:r>
          </w:p>
        </w:tc>
        <w:tc>
          <w:tcPr>
            <w:tcW w:w="3878"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spacing w:before="5"/>
              <w:jc w:val="left"/>
              <w:rPr>
                <w:b/>
                <w:sz w:val="16"/>
              </w:rPr>
            </w:pPr>
          </w:p>
          <w:p>
            <w:pPr>
              <w:pStyle w:val="19"/>
              <w:spacing w:line="290" w:lineRule="auto"/>
              <w:ind w:left="1524" w:right="140" w:hanging="1366"/>
              <w:jc w:val="left"/>
              <w:rPr>
                <w:sz w:val="21"/>
              </w:rPr>
            </w:pPr>
            <w:r>
              <w:rPr>
                <w:color w:val="FF0000"/>
                <w:w w:val="95"/>
                <w:sz w:val="21"/>
              </w:rPr>
              <w:t>本项目不涉及放射性污染影响的煤炭采</w:t>
            </w:r>
            <w:r>
              <w:rPr>
                <w:color w:val="FF0000"/>
                <w:sz w:val="21"/>
              </w:rPr>
              <w:t>选项目。</w:t>
            </w:r>
          </w:p>
        </w:tc>
        <w:tc>
          <w:tcPr>
            <w:tcW w:w="669" w:type="dxa"/>
            <w:tcBorders>
              <w:top w:val="single" w:color="000000" w:sz="4" w:space="0"/>
              <w:left w:val="single" w:color="000000" w:sz="4" w:space="0"/>
              <w:bottom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spacing w:before="2"/>
              <w:jc w:val="left"/>
              <w:rPr>
                <w:b/>
                <w:sz w:val="29"/>
              </w:rPr>
            </w:pPr>
          </w:p>
          <w:p>
            <w:pPr>
              <w:pStyle w:val="19"/>
              <w:ind w:left="128"/>
              <w:jc w:val="left"/>
              <w:rPr>
                <w:sz w:val="21"/>
              </w:rPr>
            </w:pPr>
            <w:r>
              <w:rPr>
                <w:color w:val="FF0000"/>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649" w:type="dxa"/>
            <w:tcBorders>
              <w:top w:val="single" w:color="000000" w:sz="4" w:space="0"/>
              <w:bottom w:val="single" w:color="000000" w:sz="4" w:space="0"/>
              <w:right w:val="single" w:color="000000" w:sz="4" w:space="0"/>
            </w:tcBorders>
          </w:tcPr>
          <w:p>
            <w:pPr>
              <w:pStyle w:val="19"/>
              <w:spacing w:before="181"/>
              <w:ind w:left="219"/>
              <w:jc w:val="left"/>
              <w:rPr>
                <w:rFonts w:ascii="Times New Roman"/>
                <w:sz w:val="21"/>
              </w:rPr>
            </w:pPr>
            <w:r>
              <w:rPr>
                <w:rFonts w:ascii="Times New Roman"/>
                <w:color w:val="FF0000"/>
                <w:sz w:val="21"/>
              </w:rPr>
              <w:t>14</w:t>
            </w:r>
          </w:p>
        </w:tc>
        <w:tc>
          <w:tcPr>
            <w:tcW w:w="3712" w:type="dxa"/>
            <w:tcBorders>
              <w:top w:val="single" w:color="000000" w:sz="4" w:space="0"/>
              <w:left w:val="single" w:color="000000" w:sz="4" w:space="0"/>
              <w:bottom w:val="single" w:color="000000" w:sz="4" w:space="0"/>
              <w:right w:val="single" w:color="000000" w:sz="4" w:space="0"/>
            </w:tcBorders>
          </w:tcPr>
          <w:p>
            <w:pPr>
              <w:pStyle w:val="19"/>
              <w:spacing w:before="2"/>
              <w:ind w:left="107" w:right="92"/>
              <w:rPr>
                <w:sz w:val="21"/>
              </w:rPr>
            </w:pPr>
            <w:r>
              <w:rPr>
                <w:color w:val="FF0000"/>
                <w:sz w:val="21"/>
              </w:rPr>
              <w:t>按相关规定开展了信息公开和公众参</w:t>
            </w:r>
          </w:p>
          <w:p>
            <w:pPr>
              <w:pStyle w:val="19"/>
              <w:spacing w:before="57"/>
              <w:ind w:left="109" w:right="92"/>
              <w:rPr>
                <w:sz w:val="21"/>
              </w:rPr>
            </w:pPr>
            <w:r>
              <w:rPr>
                <w:color w:val="FF0000"/>
                <w:sz w:val="21"/>
              </w:rPr>
              <w:t>与。</w:t>
            </w:r>
          </w:p>
        </w:tc>
        <w:tc>
          <w:tcPr>
            <w:tcW w:w="3878" w:type="dxa"/>
            <w:tcBorders>
              <w:top w:val="single" w:color="000000" w:sz="4" w:space="0"/>
              <w:left w:val="single" w:color="000000" w:sz="4" w:space="0"/>
              <w:bottom w:val="single" w:color="000000" w:sz="4" w:space="0"/>
              <w:right w:val="single" w:color="000000" w:sz="4" w:space="0"/>
            </w:tcBorders>
          </w:tcPr>
          <w:p>
            <w:pPr>
              <w:pStyle w:val="19"/>
              <w:spacing w:before="2"/>
              <w:ind w:left="82" w:right="64"/>
              <w:rPr>
                <w:sz w:val="21"/>
              </w:rPr>
            </w:pPr>
            <w:r>
              <w:rPr>
                <w:color w:val="FF0000"/>
                <w:sz w:val="21"/>
              </w:rPr>
              <w:t>本项目已按《环境影响评价公众参与办</w:t>
            </w:r>
          </w:p>
          <w:p>
            <w:pPr>
              <w:pStyle w:val="19"/>
              <w:spacing w:before="57"/>
              <w:ind w:left="80" w:right="64"/>
              <w:rPr>
                <w:sz w:val="21"/>
              </w:rPr>
            </w:pPr>
            <w:r>
              <w:rPr>
                <w:color w:val="FF0000"/>
                <w:sz w:val="21"/>
              </w:rPr>
              <w:t>法》开展了信息公开和公众参与。</w:t>
            </w:r>
          </w:p>
        </w:tc>
        <w:tc>
          <w:tcPr>
            <w:tcW w:w="669" w:type="dxa"/>
            <w:tcBorders>
              <w:top w:val="single" w:color="000000" w:sz="4" w:space="0"/>
              <w:left w:val="single" w:color="000000" w:sz="4" w:space="0"/>
              <w:bottom w:val="single" w:color="000000" w:sz="4" w:space="0"/>
            </w:tcBorders>
          </w:tcPr>
          <w:p>
            <w:pPr>
              <w:pStyle w:val="19"/>
              <w:spacing w:before="165"/>
              <w:ind w:left="128"/>
              <w:jc w:val="left"/>
              <w:rPr>
                <w:sz w:val="21"/>
              </w:rPr>
            </w:pPr>
            <w:r>
              <w:rPr>
                <w:color w:val="FF0000"/>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649" w:type="dxa"/>
            <w:tcBorders>
              <w:top w:val="single" w:color="000000" w:sz="4" w:space="0"/>
              <w:right w:val="single" w:color="000000" w:sz="4" w:space="0"/>
            </w:tcBorders>
          </w:tcPr>
          <w:p>
            <w:pPr>
              <w:pStyle w:val="19"/>
              <w:spacing w:before="179"/>
              <w:ind w:left="219"/>
              <w:jc w:val="left"/>
              <w:rPr>
                <w:rFonts w:ascii="Times New Roman"/>
                <w:sz w:val="21"/>
              </w:rPr>
            </w:pPr>
            <w:r>
              <w:rPr>
                <w:rFonts w:ascii="Times New Roman"/>
                <w:color w:val="FF0000"/>
                <w:sz w:val="21"/>
              </w:rPr>
              <w:t>15</w:t>
            </w:r>
          </w:p>
        </w:tc>
        <w:tc>
          <w:tcPr>
            <w:tcW w:w="3712" w:type="dxa"/>
            <w:tcBorders>
              <w:top w:val="single" w:color="000000" w:sz="4" w:space="0"/>
              <w:left w:val="single" w:color="000000" w:sz="4" w:space="0"/>
              <w:right w:val="single" w:color="000000" w:sz="4" w:space="0"/>
            </w:tcBorders>
          </w:tcPr>
          <w:p>
            <w:pPr>
              <w:pStyle w:val="19"/>
              <w:ind w:left="54" w:right="37"/>
              <w:rPr>
                <w:sz w:val="21"/>
              </w:rPr>
            </w:pPr>
            <w:r>
              <w:rPr>
                <w:color w:val="FF0000"/>
                <w:sz w:val="21"/>
              </w:rPr>
              <w:t>环境影响评价文件编制规范，符合资质</w:t>
            </w:r>
          </w:p>
          <w:p>
            <w:pPr>
              <w:pStyle w:val="19"/>
              <w:spacing w:before="57"/>
              <w:ind w:left="109" w:right="92"/>
              <w:rPr>
                <w:sz w:val="21"/>
              </w:rPr>
            </w:pPr>
            <w:r>
              <w:rPr>
                <w:color w:val="FF0000"/>
                <w:sz w:val="21"/>
              </w:rPr>
              <w:t>管理规定和环评技术标准要求。</w:t>
            </w:r>
          </w:p>
        </w:tc>
        <w:tc>
          <w:tcPr>
            <w:tcW w:w="3878" w:type="dxa"/>
            <w:tcBorders>
              <w:top w:val="single" w:color="000000" w:sz="4" w:space="0"/>
              <w:left w:val="single" w:color="000000" w:sz="4" w:space="0"/>
              <w:right w:val="single" w:color="000000" w:sz="4" w:space="0"/>
            </w:tcBorders>
          </w:tcPr>
          <w:p>
            <w:pPr>
              <w:pStyle w:val="19"/>
              <w:ind w:left="159"/>
              <w:jc w:val="left"/>
              <w:rPr>
                <w:sz w:val="21"/>
              </w:rPr>
            </w:pPr>
            <w:r>
              <w:rPr>
                <w:color w:val="FF0000"/>
                <w:w w:val="95"/>
                <w:sz w:val="21"/>
              </w:rPr>
              <w:t>目前本项目处于开展环评工作阶段，符</w:t>
            </w:r>
          </w:p>
          <w:p>
            <w:pPr>
              <w:pStyle w:val="19"/>
              <w:spacing w:before="57"/>
              <w:ind w:left="159"/>
              <w:jc w:val="left"/>
              <w:rPr>
                <w:sz w:val="21"/>
              </w:rPr>
            </w:pPr>
            <w:r>
              <w:rPr>
                <w:color w:val="FF0000"/>
                <w:w w:val="95"/>
                <w:sz w:val="21"/>
              </w:rPr>
              <w:t>合资质管理规定和环评技术标准要求。</w:t>
            </w:r>
          </w:p>
        </w:tc>
        <w:tc>
          <w:tcPr>
            <w:tcW w:w="669" w:type="dxa"/>
            <w:tcBorders>
              <w:top w:val="single" w:color="000000" w:sz="4" w:space="0"/>
              <w:left w:val="single" w:color="000000" w:sz="4" w:space="0"/>
            </w:tcBorders>
          </w:tcPr>
          <w:p>
            <w:pPr>
              <w:pStyle w:val="19"/>
              <w:spacing w:before="163"/>
              <w:ind w:left="128"/>
              <w:jc w:val="left"/>
              <w:rPr>
                <w:sz w:val="21"/>
              </w:rPr>
            </w:pPr>
            <w:r>
              <w:rPr>
                <w:color w:val="FF0000"/>
                <w:sz w:val="21"/>
              </w:rPr>
              <w:t>符合</w:t>
            </w:r>
          </w:p>
        </w:tc>
      </w:tr>
    </w:tbl>
    <w:p>
      <w:pPr>
        <w:pStyle w:val="5"/>
        <w:numPr>
          <w:ilvl w:val="2"/>
          <w:numId w:val="9"/>
        </w:numPr>
        <w:tabs>
          <w:tab w:val="left" w:pos="848"/>
        </w:tabs>
        <w:spacing w:before="3" w:after="0" w:line="240" w:lineRule="auto"/>
        <w:ind w:left="847" w:right="0" w:hanging="630"/>
        <w:jc w:val="left"/>
      </w:pPr>
      <w:bookmarkStart w:id="24" w:name="6.1.6与相关环境保护规划符合性分析"/>
      <w:bookmarkEnd w:id="24"/>
      <w:bookmarkStart w:id="25" w:name="6.1.6与相关环境保护规划符合性分析"/>
      <w:bookmarkEnd w:id="25"/>
      <w:r>
        <w:rPr>
          <w:color w:val="FF0000"/>
        </w:rPr>
        <w:t>与相关环境保护规划符合性分析</w:t>
      </w:r>
    </w:p>
    <w:p>
      <w:pPr>
        <w:pStyle w:val="18"/>
        <w:numPr>
          <w:ilvl w:val="0"/>
          <w:numId w:val="11"/>
        </w:numPr>
        <w:tabs>
          <w:tab w:val="left" w:pos="1300"/>
        </w:tabs>
        <w:spacing w:before="199" w:after="0" w:line="240" w:lineRule="auto"/>
        <w:ind w:left="1299" w:right="0" w:hanging="602"/>
        <w:jc w:val="left"/>
        <w:rPr>
          <w:sz w:val="24"/>
        </w:rPr>
      </w:pPr>
      <w:r>
        <w:rPr>
          <w:color w:val="FF0000"/>
          <w:sz w:val="24"/>
        </w:rPr>
        <w:t>与《黑龙江省水污染防治工作方案》的符合性</w:t>
      </w:r>
    </w:p>
    <w:p>
      <w:pPr>
        <w:pStyle w:val="9"/>
        <w:spacing w:before="158" w:line="364" w:lineRule="auto"/>
        <w:ind w:left="218" w:right="257" w:firstLine="480"/>
        <w:jc w:val="both"/>
      </w:pPr>
      <w:r>
        <w:rPr>
          <w:rFonts w:ascii="Times New Roman" w:hAnsi="Times New Roman" w:eastAsia="Times New Roman"/>
          <w:color w:val="FF0000"/>
        </w:rPr>
        <w:t>2016</w:t>
      </w:r>
      <w:r>
        <w:rPr>
          <w:rFonts w:ascii="Times New Roman" w:hAnsi="Times New Roman" w:eastAsia="Times New Roman"/>
          <w:color w:val="FF0000"/>
          <w:spacing w:val="1"/>
        </w:rPr>
        <w:t xml:space="preserve"> </w:t>
      </w:r>
      <w:r>
        <w:rPr>
          <w:color w:val="FF0000"/>
          <w:spacing w:val="-30"/>
        </w:rPr>
        <w:t xml:space="preserve">年 </w:t>
      </w:r>
      <w:r>
        <w:rPr>
          <w:rFonts w:ascii="Times New Roman" w:hAnsi="Times New Roman" w:eastAsia="Times New Roman"/>
          <w:color w:val="FF0000"/>
        </w:rPr>
        <w:t>1</w:t>
      </w:r>
      <w:r>
        <w:rPr>
          <w:rFonts w:ascii="Times New Roman" w:hAnsi="Times New Roman" w:eastAsia="Times New Roman"/>
          <w:color w:val="FF0000"/>
          <w:spacing w:val="2"/>
        </w:rPr>
        <w:t xml:space="preserve"> </w:t>
      </w:r>
      <w:r>
        <w:rPr>
          <w:color w:val="FF0000"/>
          <w:spacing w:val="-30"/>
        </w:rPr>
        <w:t xml:space="preserve">月 </w:t>
      </w:r>
      <w:r>
        <w:rPr>
          <w:rFonts w:ascii="Times New Roman" w:hAnsi="Times New Roman" w:eastAsia="Times New Roman"/>
          <w:color w:val="FF0000"/>
        </w:rPr>
        <w:t>10</w:t>
      </w:r>
      <w:r>
        <w:rPr>
          <w:rFonts w:ascii="Times New Roman" w:hAnsi="Times New Roman" w:eastAsia="Times New Roman"/>
          <w:color w:val="FF0000"/>
          <w:spacing w:val="2"/>
        </w:rPr>
        <w:t xml:space="preserve"> </w:t>
      </w:r>
      <w:r>
        <w:rPr>
          <w:color w:val="FF0000"/>
          <w:spacing w:val="-1"/>
        </w:rPr>
        <w:t>日黑龙江省人民政府印发了《关于印发黑龙江省水污染防治工作方</w:t>
      </w:r>
      <w:r>
        <w:rPr>
          <w:color w:val="FF0000"/>
        </w:rPr>
        <w:t>案的通知》（黑政发〔</w:t>
      </w:r>
      <w:r>
        <w:rPr>
          <w:rFonts w:ascii="Times New Roman" w:hAnsi="Times New Roman" w:eastAsia="Times New Roman"/>
          <w:color w:val="FF0000"/>
        </w:rPr>
        <w:t>2016</w:t>
      </w:r>
      <w:r>
        <w:rPr>
          <w:color w:val="FF0000"/>
        </w:rPr>
        <w:t>〕</w:t>
      </w:r>
      <w:r>
        <w:rPr>
          <w:rFonts w:ascii="Times New Roman" w:hAnsi="Times New Roman" w:eastAsia="Times New Roman"/>
          <w:color w:val="FF0000"/>
        </w:rPr>
        <w:t>3</w:t>
      </w:r>
      <w:r>
        <w:rPr>
          <w:rFonts w:ascii="Times New Roman" w:hAnsi="Times New Roman" w:eastAsia="Times New Roman"/>
          <w:color w:val="FF0000"/>
          <w:spacing w:val="5"/>
        </w:rPr>
        <w:t xml:space="preserve"> </w:t>
      </w:r>
      <w:r>
        <w:rPr>
          <w:color w:val="FF0000"/>
        </w:rPr>
        <w:t>号），</w:t>
      </w:r>
      <w:r>
        <w:rPr>
          <w:color w:val="FF0000"/>
          <w:spacing w:val="-1"/>
        </w:rPr>
        <w:t>《黑龙江省水污染防治工作方案》中提出“推进</w:t>
      </w:r>
      <w:r>
        <w:rPr>
          <w:color w:val="FF0000"/>
          <w:spacing w:val="-7"/>
        </w:rPr>
        <w:t>循环发展。加强工业水循环利用。以龙煤集团为重点，大力推进矿井水综合利用，满足</w:t>
      </w:r>
      <w:r>
        <w:rPr>
          <w:color w:val="FF0000"/>
          <w:spacing w:val="-11"/>
        </w:rPr>
        <w:t xml:space="preserve">周边农业、高耗水工业和缺水地区居民生活用水需求。加强洗煤废水循环利用。到 </w:t>
      </w:r>
      <w:r>
        <w:rPr>
          <w:rFonts w:ascii="Times New Roman" w:hAnsi="Times New Roman" w:eastAsia="Times New Roman"/>
          <w:color w:val="FF0000"/>
          <w:spacing w:val="-5"/>
        </w:rPr>
        <w:t xml:space="preserve">2020 </w:t>
      </w:r>
      <w:r>
        <w:rPr>
          <w:color w:val="FF0000"/>
          <w:spacing w:val="-10"/>
        </w:rPr>
        <w:t xml:space="preserve">年，国有重点煤矿矿井水综合利用率达到 </w:t>
      </w:r>
      <w:r>
        <w:rPr>
          <w:rFonts w:ascii="Times New Roman" w:hAnsi="Times New Roman" w:eastAsia="Times New Roman"/>
          <w:color w:val="FF0000"/>
        </w:rPr>
        <w:t>75</w:t>
      </w:r>
      <w:r>
        <w:rPr>
          <w:color w:val="FF0000"/>
          <w:spacing w:val="-9"/>
        </w:rPr>
        <w:t>％。鼓励高耗水企业废水深度处理回用，到</w:t>
      </w:r>
      <w:r>
        <w:rPr>
          <w:rFonts w:ascii="Times New Roman" w:hAnsi="Times New Roman" w:eastAsia="Times New Roman"/>
          <w:color w:val="FF0000"/>
        </w:rPr>
        <w:t xml:space="preserve">2020 </w:t>
      </w:r>
      <w:r>
        <w:rPr>
          <w:color w:val="FF0000"/>
          <w:spacing w:val="-4"/>
        </w:rPr>
        <w:t xml:space="preserve">年，全省工业用水重复利用率不低于 </w:t>
      </w:r>
      <w:r>
        <w:rPr>
          <w:rFonts w:ascii="Times New Roman" w:hAnsi="Times New Roman" w:eastAsia="Times New Roman"/>
          <w:color w:val="FF0000"/>
        </w:rPr>
        <w:t>95</w:t>
      </w:r>
      <w:r>
        <w:rPr>
          <w:color w:val="FF0000"/>
        </w:rPr>
        <w:t>％。”</w:t>
      </w:r>
    </w:p>
    <w:p>
      <w:pPr>
        <w:pStyle w:val="9"/>
        <w:spacing w:line="364" w:lineRule="auto"/>
        <w:ind w:left="218" w:right="257" w:firstLine="420"/>
        <w:jc w:val="both"/>
      </w:pPr>
      <w:r>
        <w:rPr>
          <w:color w:val="FF0000"/>
          <w:spacing w:val="2"/>
          <w:sz w:val="21"/>
        </w:rPr>
        <w:t>本项目</w:t>
      </w:r>
      <w:r>
        <w:rPr>
          <w:color w:val="FF0000"/>
        </w:rPr>
        <w:t>生活污水经污水处理站处理达标后全部回用于井下生产、临时排矸场抑尘及</w:t>
      </w:r>
      <w:r>
        <w:rPr>
          <w:color w:val="FF0000"/>
          <w:spacing w:val="-7"/>
        </w:rPr>
        <w:t>道路洒水；采煤废水经矿井水处理站处理后，部分回用于井下生产用水、洗浴用水、洗</w:t>
      </w:r>
      <w:r>
        <w:rPr>
          <w:color w:val="FF0000"/>
          <w:spacing w:val="-4"/>
        </w:rPr>
        <w:t>衣用水和锅炉补水等非饮用生活用水，剩余部分出售给黑龙江建龙钢铁有限公司综合利</w:t>
      </w:r>
      <w:r>
        <w:rPr>
          <w:color w:val="FF0000"/>
        </w:rPr>
        <w:t>用。</w:t>
      </w:r>
    </w:p>
    <w:p>
      <w:pPr>
        <w:spacing w:after="0" w:line="364" w:lineRule="auto"/>
        <w:jc w:val="both"/>
        <w:sectPr>
          <w:pgSz w:w="11910" w:h="16840"/>
          <w:pgMar w:top="1400" w:right="1160" w:bottom="1100" w:left="1200" w:header="0" w:footer="913" w:gutter="0"/>
        </w:sectPr>
      </w:pPr>
    </w:p>
    <w:p>
      <w:pPr>
        <w:pStyle w:val="9"/>
        <w:spacing w:before="41"/>
        <w:ind w:left="698"/>
      </w:pPr>
      <w:r>
        <w:rPr>
          <w:color w:val="FF0000"/>
        </w:rPr>
        <w:t>本项目符合《黑龙江省水污染防治工作方案》中关于矿井水综合利用的要求。</w:t>
      </w:r>
    </w:p>
    <w:p>
      <w:pPr>
        <w:pStyle w:val="18"/>
        <w:numPr>
          <w:ilvl w:val="0"/>
          <w:numId w:val="11"/>
        </w:numPr>
        <w:tabs>
          <w:tab w:val="left" w:pos="1300"/>
        </w:tabs>
        <w:spacing w:before="158" w:after="0" w:line="240" w:lineRule="auto"/>
        <w:ind w:left="1299" w:right="0" w:hanging="602"/>
        <w:jc w:val="left"/>
        <w:rPr>
          <w:sz w:val="24"/>
        </w:rPr>
      </w:pPr>
      <w:r>
        <w:rPr>
          <w:color w:val="FF0000"/>
          <w:sz w:val="24"/>
        </w:rPr>
        <w:t>与《黑龙江省土壤污染防治实施方案》的符合性分析</w:t>
      </w:r>
    </w:p>
    <w:p>
      <w:pPr>
        <w:pStyle w:val="9"/>
        <w:spacing w:before="161" w:line="364" w:lineRule="auto"/>
        <w:ind w:left="218" w:right="145" w:firstLine="480"/>
        <w:rPr>
          <w:rFonts w:ascii="Times New Roman" w:hAnsi="Times New Roman" w:eastAsia="Times New Roman"/>
        </w:rPr>
      </w:pPr>
      <w:r>
        <w:rPr>
          <w:rFonts w:ascii="Times New Roman" w:hAnsi="Times New Roman" w:eastAsia="Times New Roman"/>
          <w:color w:val="FF0000"/>
        </w:rPr>
        <w:t xml:space="preserve">2016 </w:t>
      </w:r>
      <w:r>
        <w:rPr>
          <w:color w:val="FF0000"/>
          <w:spacing w:val="-30"/>
        </w:rPr>
        <w:t xml:space="preserve">年 </w:t>
      </w:r>
      <w:r>
        <w:rPr>
          <w:rFonts w:ascii="Times New Roman" w:hAnsi="Times New Roman" w:eastAsia="Times New Roman"/>
          <w:color w:val="FF0000"/>
        </w:rPr>
        <w:t xml:space="preserve">12 </w:t>
      </w:r>
      <w:r>
        <w:rPr>
          <w:color w:val="FF0000"/>
          <w:spacing w:val="-30"/>
        </w:rPr>
        <w:t xml:space="preserve">月 </w:t>
      </w:r>
      <w:r>
        <w:rPr>
          <w:rFonts w:ascii="Times New Roman" w:hAnsi="Times New Roman" w:eastAsia="Times New Roman"/>
          <w:color w:val="FF0000"/>
        </w:rPr>
        <w:t xml:space="preserve">30 </w:t>
      </w:r>
      <w:r>
        <w:rPr>
          <w:color w:val="FF0000"/>
          <w:spacing w:val="-10"/>
        </w:rPr>
        <w:t>日黑龙江省人民政府印发了《关于印发黑龙江省土壤污染防治实施方案的通知》（黑政发〔</w:t>
      </w:r>
      <w:r>
        <w:rPr>
          <w:rFonts w:ascii="Times New Roman" w:hAnsi="Times New Roman" w:eastAsia="Times New Roman"/>
          <w:color w:val="FF0000"/>
          <w:spacing w:val="-10"/>
        </w:rPr>
        <w:t>2016</w:t>
      </w:r>
      <w:r>
        <w:rPr>
          <w:color w:val="FF0000"/>
          <w:spacing w:val="-10"/>
        </w:rPr>
        <w:t>〕</w:t>
      </w:r>
      <w:r>
        <w:rPr>
          <w:rFonts w:ascii="Times New Roman" w:hAnsi="Times New Roman" w:eastAsia="Times New Roman"/>
          <w:color w:val="FF0000"/>
          <w:spacing w:val="-10"/>
        </w:rPr>
        <w:t xml:space="preserve">46 </w:t>
      </w:r>
      <w:r>
        <w:rPr>
          <w:color w:val="FF0000"/>
        </w:rPr>
        <w:t>号），</w:t>
      </w:r>
      <w:r>
        <w:rPr>
          <w:color w:val="FF0000"/>
          <w:spacing w:val="-1"/>
        </w:rPr>
        <w:t xml:space="preserve">《黑龙江省土壤污染防治实施方案》中提出： </w:t>
      </w:r>
      <w:r>
        <w:rPr>
          <w:rFonts w:ascii="Times New Roman" w:hAnsi="Times New Roman" w:eastAsia="Times New Roman"/>
          <w:color w:val="FF0000"/>
        </w:rPr>
        <w:t>“</w:t>
      </w:r>
      <w:r>
        <w:rPr>
          <w:color w:val="FF0000"/>
        </w:rPr>
        <w:t>加强工业废物处理处置。全面整治尾矿、煤矸石、工业副产石膏、粉煤灰、冶炼渣、</w:t>
      </w:r>
      <w:r>
        <w:rPr>
          <w:color w:val="FF0000"/>
          <w:spacing w:val="-8"/>
        </w:rPr>
        <w:t>电石渣、铬渣、砷渣以及脱硫、脱硝、除尘产生固体废物的堆存场所，完善防扬散、防</w:t>
      </w:r>
      <w:r>
        <w:rPr>
          <w:color w:val="FF0000"/>
          <w:spacing w:val="-9"/>
        </w:rPr>
        <w:t>流失、防渗漏等设施，制定整治方案并有序实施。加强工业固体废物综合利用。对电子废物、废轮胎、废塑料等再生利用活动进行清理整顿，引导有关企业采用先进适用加工工艺、集聚发展，集中建设和运营污染治理设施，防止污染土壤和地下水。</w:t>
      </w:r>
      <w:r>
        <w:rPr>
          <w:rFonts w:ascii="Times New Roman" w:hAnsi="Times New Roman" w:eastAsia="Times New Roman"/>
          <w:color w:val="FF0000"/>
          <w:spacing w:val="-9"/>
        </w:rPr>
        <w:t>”</w:t>
      </w:r>
    </w:p>
    <w:p>
      <w:pPr>
        <w:pStyle w:val="9"/>
        <w:spacing w:line="364" w:lineRule="auto"/>
        <w:ind w:left="218" w:right="205" w:firstLine="480"/>
        <w:jc w:val="both"/>
      </w:pPr>
      <w:r>
        <w:rPr>
          <w:color w:val="FF0000"/>
        </w:rPr>
        <w:t>本项目不设置煤矸石永久堆场，煤矸石临时堆场位于厂区内，采取地面硬化措施， 四周设置防风抑尘网，防止污染土壤和地下水，因此本项目与《黑龙江省土壤污染防治实施方案》相符。</w:t>
      </w:r>
    </w:p>
    <w:p>
      <w:pPr>
        <w:pStyle w:val="18"/>
        <w:numPr>
          <w:ilvl w:val="0"/>
          <w:numId w:val="11"/>
        </w:numPr>
        <w:tabs>
          <w:tab w:val="left" w:pos="1300"/>
        </w:tabs>
        <w:spacing w:before="0" w:after="0" w:line="304" w:lineRule="exact"/>
        <w:ind w:left="1299" w:right="0" w:hanging="602"/>
        <w:jc w:val="left"/>
        <w:rPr>
          <w:sz w:val="24"/>
        </w:rPr>
      </w:pPr>
      <w:r>
        <w:rPr>
          <w:color w:val="FF0000"/>
          <w:sz w:val="24"/>
        </w:rPr>
        <w:t>与《黑龙江省打赢蓝天保卫战三年行动计划》的符合性分析</w:t>
      </w:r>
    </w:p>
    <w:p>
      <w:pPr>
        <w:pStyle w:val="9"/>
        <w:spacing w:before="157" w:line="364" w:lineRule="auto"/>
        <w:ind w:left="218" w:right="205" w:firstLine="480"/>
        <w:jc w:val="both"/>
      </w:pPr>
      <w:r>
        <w:rPr>
          <w:rFonts w:ascii="Times New Roman" w:hAnsi="Times New Roman" w:eastAsia="Times New Roman"/>
          <w:color w:val="FF0000"/>
        </w:rPr>
        <w:t xml:space="preserve">2018 </w:t>
      </w:r>
      <w:r>
        <w:rPr>
          <w:color w:val="FF0000"/>
          <w:spacing w:val="-30"/>
        </w:rPr>
        <w:t xml:space="preserve">年 </w:t>
      </w:r>
      <w:r>
        <w:rPr>
          <w:rFonts w:ascii="Times New Roman" w:hAnsi="Times New Roman" w:eastAsia="Times New Roman"/>
          <w:color w:val="FF0000"/>
          <w:spacing w:val="-5"/>
        </w:rPr>
        <w:t>11</w:t>
      </w:r>
      <w:r>
        <w:rPr>
          <w:rFonts w:ascii="Times New Roman" w:hAnsi="Times New Roman" w:eastAsia="Times New Roman"/>
          <w:color w:val="FF0000"/>
        </w:rPr>
        <w:t xml:space="preserve"> </w:t>
      </w:r>
      <w:r>
        <w:rPr>
          <w:color w:val="FF0000"/>
          <w:spacing w:val="-30"/>
        </w:rPr>
        <w:t xml:space="preserve">月 </w:t>
      </w:r>
      <w:r>
        <w:rPr>
          <w:rFonts w:ascii="Times New Roman" w:hAnsi="Times New Roman" w:eastAsia="Times New Roman"/>
          <w:color w:val="FF0000"/>
        </w:rPr>
        <w:t xml:space="preserve">17 </w:t>
      </w:r>
      <w:r>
        <w:rPr>
          <w:color w:val="FF0000"/>
          <w:spacing w:val="-9"/>
        </w:rPr>
        <w:t>日黑龙江省人民政府印发了《关于印发黑龙江省打赢蓝天保卫战三</w:t>
      </w:r>
      <w:r>
        <w:rPr>
          <w:color w:val="FF0000"/>
          <w:spacing w:val="-12"/>
        </w:rPr>
        <w:t>年行动计划的通知》</w:t>
      </w:r>
      <w:r>
        <w:rPr>
          <w:color w:val="FF0000"/>
        </w:rPr>
        <w:t>（</w:t>
      </w:r>
      <w:r>
        <w:rPr>
          <w:color w:val="FF0000"/>
          <w:spacing w:val="-5"/>
        </w:rPr>
        <w:t>黑政规〔</w:t>
      </w:r>
      <w:r>
        <w:rPr>
          <w:rFonts w:ascii="Times New Roman" w:hAnsi="Times New Roman" w:eastAsia="Times New Roman"/>
          <w:color w:val="FF0000"/>
        </w:rPr>
        <w:t>2018</w:t>
      </w:r>
      <w:r>
        <w:rPr>
          <w:color w:val="FF0000"/>
          <w:spacing w:val="-15"/>
        </w:rPr>
        <w:t>〕</w:t>
      </w:r>
      <w:r>
        <w:rPr>
          <w:rFonts w:ascii="Times New Roman" w:hAnsi="Times New Roman" w:eastAsia="Times New Roman"/>
          <w:color w:val="FF0000"/>
        </w:rPr>
        <w:t xml:space="preserve">19 </w:t>
      </w:r>
      <w:r>
        <w:rPr>
          <w:color w:val="FF0000"/>
        </w:rPr>
        <w:t>号</w:t>
      </w:r>
      <w:r>
        <w:rPr>
          <w:color w:val="FF0000"/>
          <w:spacing w:val="-25"/>
        </w:rPr>
        <w:t>）</w:t>
      </w:r>
      <w:r>
        <w:rPr>
          <w:color w:val="FF0000"/>
          <w:spacing w:val="-5"/>
        </w:rPr>
        <w:t>，《黑龙江省打赢蓝天保卫战三年行动计</w:t>
      </w:r>
      <w:r>
        <w:rPr>
          <w:color w:val="FF0000"/>
          <w:spacing w:val="-9"/>
        </w:rPr>
        <w:t>划》中提出：“加快淘汰落后产能。利用法律手段倒逼钢铁、水泥、煤炭行业落后产能</w:t>
      </w:r>
      <w:r>
        <w:rPr>
          <w:color w:val="FF0000"/>
          <w:spacing w:val="-10"/>
        </w:rPr>
        <w:t>加速退出。严防“地条钢”死灰复燃。加大执法检查力度，重点排查未列入钢铁、水泥</w:t>
      </w:r>
      <w:r>
        <w:rPr>
          <w:color w:val="FF0000"/>
          <w:spacing w:val="-13"/>
        </w:rPr>
        <w:t>行业规范管理的生产企业和项目，关停退出使用淘汰类工艺技术与装备产能。对达不到</w:t>
      </w:r>
      <w:r>
        <w:rPr>
          <w:color w:val="FF0000"/>
          <w:spacing w:val="-14"/>
        </w:rPr>
        <w:t>标准要求的，限期整改，不整改或整改后仍达不到标准要求的，要依法依规关停退出。</w:t>
      </w:r>
      <w:r>
        <w:rPr>
          <w:color w:val="FF0000"/>
          <w:spacing w:val="-6"/>
        </w:rPr>
        <w:t>对生产、销售不符合国家强制性标准钢铁、水泥产品和无生产许可证的生产企业，依法</w:t>
      </w:r>
      <w:r>
        <w:rPr>
          <w:color w:val="FF0000"/>
          <w:spacing w:val="-13"/>
        </w:rPr>
        <w:t xml:space="preserve">查处并责令停产整改，在 </w:t>
      </w:r>
      <w:r>
        <w:rPr>
          <w:rFonts w:ascii="Times New Roman" w:hAnsi="Times New Roman" w:eastAsia="Times New Roman"/>
          <w:color w:val="FF0000"/>
        </w:rPr>
        <w:t xml:space="preserve">6 </w:t>
      </w:r>
      <w:r>
        <w:rPr>
          <w:color w:val="FF0000"/>
          <w:spacing w:val="-3"/>
        </w:rPr>
        <w:t>个月内未整改或未达到整改要求的，依法关停退出。对于原</w:t>
      </w:r>
      <w:r>
        <w:rPr>
          <w:color w:val="FF0000"/>
          <w:spacing w:val="-6"/>
        </w:rPr>
        <w:t>国家安全监管总局等部门确定的１３类小煤矿，以及开采范围与自然保护区、风景名胜</w:t>
      </w:r>
      <w:r>
        <w:rPr>
          <w:color w:val="FF0000"/>
          <w:spacing w:val="-7"/>
        </w:rPr>
        <w:t>区、饮用水水源地保护区等区域重叠的煤矿，生产高硫分高灰分等劣质煤的煤矿以及产</w:t>
      </w:r>
      <w:r>
        <w:rPr>
          <w:color w:val="FF0000"/>
          <w:spacing w:val="-25"/>
        </w:rPr>
        <w:t xml:space="preserve">能在 </w:t>
      </w:r>
      <w:r>
        <w:rPr>
          <w:rFonts w:ascii="Times New Roman" w:hAnsi="Times New Roman" w:eastAsia="Times New Roman"/>
          <w:color w:val="FF0000"/>
        </w:rPr>
        <w:t>30</w:t>
      </w:r>
      <w:r>
        <w:rPr>
          <w:rFonts w:ascii="Times New Roman" w:hAnsi="Times New Roman" w:eastAsia="Times New Roman"/>
          <w:color w:val="FF0000"/>
          <w:spacing w:val="1"/>
        </w:rPr>
        <w:t xml:space="preserve"> </w:t>
      </w:r>
      <w:r>
        <w:rPr>
          <w:color w:val="FF0000"/>
        </w:rPr>
        <w:t>万吨</w:t>
      </w:r>
      <w:r>
        <w:rPr>
          <w:rFonts w:ascii="Times New Roman" w:hAnsi="Times New Roman" w:eastAsia="Times New Roman"/>
          <w:color w:val="FF0000"/>
        </w:rPr>
        <w:t>/</w:t>
      </w:r>
      <w:r>
        <w:rPr>
          <w:color w:val="FF0000"/>
        </w:rPr>
        <w:t>年及以下的“僵尸企业”等落后产能，坚决予以淘汰退出。”“开展燃煤</w:t>
      </w:r>
    </w:p>
    <w:p>
      <w:pPr>
        <w:pStyle w:val="9"/>
        <w:spacing w:line="364" w:lineRule="auto"/>
        <w:ind w:left="218" w:right="257"/>
        <w:jc w:val="both"/>
      </w:pPr>
      <w:r>
        <w:rPr>
          <w:color w:val="FF0000"/>
          <w:spacing w:val="-2"/>
        </w:rPr>
        <w:t xml:space="preserve">锅炉综合整治。开展地级及以上城市建成区每小时 </w:t>
      </w:r>
      <w:r>
        <w:rPr>
          <w:rFonts w:ascii="Times New Roman" w:hAnsi="Times New Roman" w:eastAsia="Times New Roman"/>
          <w:color w:val="FF0000"/>
        </w:rPr>
        <w:t>10</w:t>
      </w:r>
      <w:r>
        <w:rPr>
          <w:rFonts w:ascii="Times New Roman" w:hAnsi="Times New Roman" w:eastAsia="Times New Roman"/>
          <w:color w:val="FF0000"/>
          <w:spacing w:val="25"/>
        </w:rPr>
        <w:t xml:space="preserve"> </w:t>
      </w:r>
      <w:r>
        <w:rPr>
          <w:color w:val="FF0000"/>
        </w:rPr>
        <w:t>蒸吨及以下燃煤锅炉“清零”行动。</w:t>
      </w:r>
      <w:r>
        <w:rPr>
          <w:rFonts w:ascii="Times New Roman" w:hAnsi="Times New Roman" w:eastAsia="Times New Roman"/>
          <w:color w:val="FF0000"/>
        </w:rPr>
        <w:t>2020</w:t>
      </w:r>
      <w:r>
        <w:rPr>
          <w:rFonts w:ascii="Times New Roman" w:hAnsi="Times New Roman" w:eastAsia="Times New Roman"/>
          <w:color w:val="FF0000"/>
          <w:spacing w:val="1"/>
        </w:rPr>
        <w:t xml:space="preserve"> </w:t>
      </w:r>
      <w:r>
        <w:rPr>
          <w:color w:val="FF0000"/>
          <w:spacing w:val="-3"/>
        </w:rPr>
        <w:t xml:space="preserve">年底前，县级及以上城市建成区基本淘汰每小时 </w:t>
      </w:r>
      <w:r>
        <w:rPr>
          <w:rFonts w:ascii="Times New Roman" w:hAnsi="Times New Roman" w:eastAsia="Times New Roman"/>
          <w:color w:val="FF0000"/>
        </w:rPr>
        <w:t>10</w:t>
      </w:r>
      <w:r>
        <w:rPr>
          <w:rFonts w:ascii="Times New Roman" w:hAnsi="Times New Roman" w:eastAsia="Times New Roman"/>
          <w:color w:val="FF0000"/>
          <w:spacing w:val="4"/>
        </w:rPr>
        <w:t xml:space="preserve"> </w:t>
      </w:r>
      <w:r>
        <w:rPr>
          <w:color w:val="FF0000"/>
          <w:spacing w:val="-2"/>
        </w:rPr>
        <w:t>蒸吨及以下燃煤锅炉及茶</w:t>
      </w:r>
      <w:r>
        <w:rPr>
          <w:color w:val="FF0000"/>
          <w:spacing w:val="-1"/>
        </w:rPr>
        <w:t xml:space="preserve">水炉、经营性炉灶、储粮燃煤烘干设备等燃煤设施，原则上不再新建每小时 </w:t>
      </w:r>
      <w:r>
        <w:rPr>
          <w:rFonts w:ascii="Times New Roman" w:hAnsi="Times New Roman" w:eastAsia="Times New Roman"/>
          <w:color w:val="FF0000"/>
        </w:rPr>
        <w:t>35</w:t>
      </w:r>
      <w:r>
        <w:rPr>
          <w:rFonts w:ascii="Times New Roman" w:hAnsi="Times New Roman" w:eastAsia="Times New Roman"/>
          <w:color w:val="FF0000"/>
          <w:spacing w:val="31"/>
        </w:rPr>
        <w:t xml:space="preserve"> </w:t>
      </w:r>
      <w:r>
        <w:rPr>
          <w:color w:val="FF0000"/>
        </w:rPr>
        <w:t>蒸吨以</w:t>
      </w:r>
    </w:p>
    <w:p>
      <w:pPr>
        <w:pStyle w:val="9"/>
        <w:spacing w:line="364" w:lineRule="auto"/>
        <w:ind w:left="218" w:right="257"/>
        <w:jc w:val="both"/>
      </w:pPr>
      <w:r>
        <w:rPr>
          <w:color w:val="FF0000"/>
          <w:spacing w:val="-2"/>
        </w:rPr>
        <w:t xml:space="preserve">下的燃煤锅炉，其他地区原则上不再新建每小时 </w:t>
      </w:r>
      <w:r>
        <w:rPr>
          <w:rFonts w:ascii="Times New Roman" w:eastAsia="Times New Roman"/>
          <w:color w:val="FF0000"/>
        </w:rPr>
        <w:t>10</w:t>
      </w:r>
      <w:r>
        <w:rPr>
          <w:rFonts w:ascii="Times New Roman" w:eastAsia="Times New Roman"/>
          <w:color w:val="FF0000"/>
          <w:spacing w:val="26"/>
        </w:rPr>
        <w:t xml:space="preserve"> </w:t>
      </w:r>
      <w:r>
        <w:rPr>
          <w:color w:val="FF0000"/>
        </w:rPr>
        <w:t>蒸吨以下的燃煤锅炉。环境空气质</w:t>
      </w:r>
      <w:r>
        <w:rPr>
          <w:color w:val="FF0000"/>
          <w:spacing w:val="-3"/>
        </w:rPr>
        <w:t>量未达标城市应根据本地实际进一步扩大淘汰范围。</w:t>
      </w:r>
      <w:r>
        <w:rPr>
          <w:rFonts w:ascii="Times New Roman" w:eastAsia="Times New Roman"/>
          <w:color w:val="FF0000"/>
        </w:rPr>
        <w:t xml:space="preserve">2020 </w:t>
      </w:r>
      <w:r>
        <w:rPr>
          <w:color w:val="FF0000"/>
          <w:spacing w:val="-9"/>
        </w:rPr>
        <w:t>年底前，哈尔滨市城市建成区</w:t>
      </w:r>
      <w:r>
        <w:rPr>
          <w:color w:val="FF0000"/>
          <w:spacing w:val="-8"/>
        </w:rPr>
        <w:t xml:space="preserve">基本淘汰每小时 </w:t>
      </w:r>
      <w:r>
        <w:rPr>
          <w:rFonts w:ascii="Times New Roman" w:eastAsia="Times New Roman"/>
          <w:color w:val="FF0000"/>
        </w:rPr>
        <w:t xml:space="preserve">35 </w:t>
      </w:r>
      <w:r>
        <w:rPr>
          <w:color w:val="FF0000"/>
          <w:spacing w:val="-9"/>
        </w:rPr>
        <w:t xml:space="preserve">蒸吨以下燃煤锅炉，具备条件的每小时 </w:t>
      </w:r>
      <w:r>
        <w:rPr>
          <w:rFonts w:ascii="Times New Roman" w:eastAsia="Times New Roman"/>
          <w:color w:val="FF0000"/>
        </w:rPr>
        <w:t xml:space="preserve">65 </w:t>
      </w:r>
      <w:r>
        <w:rPr>
          <w:color w:val="FF0000"/>
          <w:spacing w:val="-2"/>
        </w:rPr>
        <w:t>蒸吨及以上燃煤锅炉全部</w:t>
      </w:r>
    </w:p>
    <w:p>
      <w:pPr>
        <w:spacing w:after="0" w:line="364" w:lineRule="auto"/>
        <w:jc w:val="both"/>
        <w:sectPr>
          <w:pgSz w:w="11910" w:h="16840"/>
          <w:pgMar w:top="1360" w:right="1160" w:bottom="1180" w:left="1200" w:header="0" w:footer="913" w:gutter="0"/>
        </w:sectPr>
      </w:pPr>
    </w:p>
    <w:p>
      <w:pPr>
        <w:pStyle w:val="9"/>
        <w:spacing w:before="41" w:line="364" w:lineRule="auto"/>
        <w:ind w:left="218" w:right="133"/>
      </w:pPr>
      <w:r>
        <w:rPr>
          <w:color w:val="FF0000"/>
          <w:spacing w:val="-4"/>
        </w:rPr>
        <w:t>实现节能和超低排放，燃气锅炉基本完成低氮改造。加大对纯凝机组和热电联产机组技</w:t>
      </w:r>
      <w:r>
        <w:rPr>
          <w:color w:val="FF0000"/>
          <w:spacing w:val="-8"/>
        </w:rPr>
        <w:t>术改造力度，加快供热管网建设，充分释放和提高供热能力，淘汰管网覆盖范围内的燃</w:t>
      </w:r>
      <w:r>
        <w:rPr>
          <w:color w:val="FF0000"/>
          <w:spacing w:val="-10"/>
        </w:rPr>
        <w:t>煤锅炉和散煤。在不具备热电联产集中供热条件的地区，现有多台燃煤小锅炉的，可按</w:t>
      </w:r>
      <w:r>
        <w:rPr>
          <w:color w:val="FF0000"/>
          <w:spacing w:val="-14"/>
        </w:rPr>
        <w:t>照等容量替代原则建设大容量燃煤锅炉。”“加强扬尘综合整治。大力推进道路清扫保</w:t>
      </w:r>
      <w:r>
        <w:rPr>
          <w:color w:val="FF0000"/>
          <w:spacing w:val="-13"/>
        </w:rPr>
        <w:t>洁机械化作业，提高道路机械化清扫率，</w:t>
      </w:r>
      <w:r>
        <w:rPr>
          <w:rFonts w:ascii="Times New Roman" w:hAnsi="Times New Roman" w:eastAsia="Times New Roman"/>
          <w:color w:val="FF0000"/>
          <w:spacing w:val="-12"/>
        </w:rPr>
        <w:t xml:space="preserve">2020 </w:t>
      </w:r>
      <w:r>
        <w:rPr>
          <w:color w:val="FF0000"/>
          <w:spacing w:val="-11"/>
        </w:rPr>
        <w:t xml:space="preserve">年底前，地级及以上城市建成区达到 </w:t>
      </w:r>
      <w:r>
        <w:rPr>
          <w:rFonts w:ascii="Times New Roman" w:hAnsi="Times New Roman" w:eastAsia="Times New Roman"/>
          <w:color w:val="FF0000"/>
        </w:rPr>
        <w:t>70</w:t>
      </w:r>
      <w:r>
        <w:rPr>
          <w:color w:val="FF0000"/>
        </w:rPr>
        <w:t xml:space="preserve">％ </w:t>
      </w:r>
      <w:r>
        <w:rPr>
          <w:color w:val="FF0000"/>
          <w:spacing w:val="-13"/>
        </w:rPr>
        <w:t xml:space="preserve">以上，县城达到 </w:t>
      </w:r>
      <w:r>
        <w:rPr>
          <w:rFonts w:ascii="Times New Roman" w:hAnsi="Times New Roman" w:eastAsia="Times New Roman"/>
          <w:color w:val="FF0000"/>
        </w:rPr>
        <w:t>60</w:t>
      </w:r>
      <w:r>
        <w:rPr>
          <w:color w:val="FF0000"/>
          <w:spacing w:val="-10"/>
        </w:rPr>
        <w:t>％以上。严格落实煤炭、商品混凝土、粉煤灰等工业企业物料堆场抑</w:t>
      </w:r>
      <w:r>
        <w:rPr>
          <w:color w:val="FF0000"/>
          <w:spacing w:val="-15"/>
        </w:rPr>
        <w:t>尘措施，配套建设收尘和密封物料仓库，建设围墙、喷淋、覆盖和围挡等防风抑尘措施。</w:t>
      </w:r>
      <w:r>
        <w:rPr>
          <w:color w:val="FF0000"/>
          <w:spacing w:val="-4"/>
        </w:rPr>
        <w:t>采用密闭输送设备作业的，必须在装卸处配备吸尘、喷淋等防尘设施，并保持防尘设施的正常使用，严禁露天装卸作业和物料干法作业。”</w:t>
      </w:r>
    </w:p>
    <w:p>
      <w:pPr>
        <w:pStyle w:val="9"/>
        <w:spacing w:line="364" w:lineRule="auto"/>
        <w:ind w:left="218" w:right="137" w:firstLine="480"/>
      </w:pPr>
      <w:r>
        <w:rPr>
          <w:color w:val="FF0000"/>
        </w:rPr>
        <w:t>根据黑龙江省政府办公厅</w:t>
      </w:r>
      <w:r>
        <w:rPr>
          <w:rFonts w:ascii="Times New Roman" w:hAnsi="Times New Roman" w:eastAsia="Times New Roman"/>
          <w:color w:val="FF0000"/>
        </w:rPr>
        <w:t>“</w:t>
      </w:r>
      <w:r>
        <w:rPr>
          <w:color w:val="FF0000"/>
        </w:rPr>
        <w:t>黑龙江省人民政府关于印发《黑龙江省煤炭行业淘汰落后产能化解过剩产能专项整治工作方案》的通知</w:t>
      </w:r>
      <w:r>
        <w:rPr>
          <w:rFonts w:ascii="Times New Roman" w:hAnsi="Times New Roman" w:eastAsia="Times New Roman"/>
          <w:color w:val="FF0000"/>
          <w:spacing w:val="2"/>
        </w:rPr>
        <w:t>”</w:t>
      </w:r>
      <w:r>
        <w:rPr>
          <w:color w:val="FF0000"/>
        </w:rPr>
        <w:t>，双鸭山市对辖区内不符合产业政策</w:t>
      </w:r>
      <w:r>
        <w:rPr>
          <w:color w:val="FF0000"/>
          <w:spacing w:val="-7"/>
        </w:rPr>
        <w:t>的、布局不合理的、不具备安全生产条件的小煤炭矿井全部予以取缔关停。对现有矿井</w:t>
      </w:r>
      <w:r>
        <w:rPr>
          <w:color w:val="FF0000"/>
          <w:spacing w:val="-19"/>
        </w:rPr>
        <w:t>进行整合建设，以提高矿区生产能力，已经完成落后小煤矿的淘汰工作。本项目属于《关</w:t>
      </w:r>
      <w:r>
        <w:rPr>
          <w:color w:val="FF0000"/>
          <w:spacing w:val="-30"/>
        </w:rPr>
        <w:t xml:space="preserve">于全省 </w:t>
      </w:r>
      <w:r>
        <w:rPr>
          <w:rFonts w:ascii="Times New Roman" w:hAnsi="Times New Roman" w:eastAsia="Times New Roman"/>
          <w:color w:val="FF0000"/>
        </w:rPr>
        <w:t xml:space="preserve">167 </w:t>
      </w:r>
      <w:r>
        <w:rPr>
          <w:color w:val="FF0000"/>
          <w:spacing w:val="-2"/>
        </w:rPr>
        <w:t>处煤矿进入规划升级改造核准程序名单的批复》</w:t>
      </w:r>
      <w:r>
        <w:rPr>
          <w:color w:val="FF0000"/>
        </w:rPr>
        <w:t>（黑煤整治办发</w:t>
      </w:r>
      <w:r>
        <w:rPr>
          <w:rFonts w:ascii="Times New Roman" w:hAnsi="Times New Roman" w:eastAsia="Times New Roman"/>
          <w:color w:val="FF0000"/>
        </w:rPr>
        <w:t xml:space="preserve">[2020]7 </w:t>
      </w:r>
      <w:r>
        <w:rPr>
          <w:color w:val="FF0000"/>
        </w:rPr>
        <w:t>号</w:t>
      </w:r>
      <w:r>
        <w:rPr>
          <w:color w:val="FF0000"/>
          <w:spacing w:val="-16"/>
        </w:rPr>
        <w:t xml:space="preserve">） </w:t>
      </w:r>
      <w:r>
        <w:rPr>
          <w:color w:val="FF0000"/>
          <w:spacing w:val="-12"/>
        </w:rPr>
        <w:t xml:space="preserve">文件中的 </w:t>
      </w:r>
      <w:r>
        <w:rPr>
          <w:rFonts w:ascii="Times New Roman" w:hAnsi="Times New Roman" w:eastAsia="Times New Roman"/>
          <w:color w:val="FF0000"/>
        </w:rPr>
        <w:t xml:space="preserve">167 </w:t>
      </w:r>
      <w:r>
        <w:rPr>
          <w:color w:val="FF0000"/>
          <w:spacing w:val="-6"/>
        </w:rPr>
        <w:t>处煤矿之一。本项目锅炉及热风炉采用生物质专用锅炉，并配备布袋除尘</w:t>
      </w:r>
      <w:r>
        <w:rPr>
          <w:color w:val="FF0000"/>
          <w:spacing w:val="-8"/>
        </w:rPr>
        <w:t>器；原煤堆场采取抑尘措施，矸石暂存场设有降尘设施。综上分析，本项目与《黑龙江省打赢蓝天保卫战三年行动计划》相符。</w:t>
      </w:r>
    </w:p>
    <w:p>
      <w:pPr>
        <w:pStyle w:val="18"/>
        <w:numPr>
          <w:ilvl w:val="0"/>
          <w:numId w:val="11"/>
        </w:numPr>
        <w:tabs>
          <w:tab w:val="left" w:pos="1300"/>
        </w:tabs>
        <w:spacing w:before="0" w:after="0" w:line="303" w:lineRule="exact"/>
        <w:ind w:left="1299" w:right="0" w:hanging="602"/>
        <w:jc w:val="left"/>
        <w:rPr>
          <w:sz w:val="24"/>
        </w:rPr>
      </w:pPr>
      <w:r>
        <w:rPr>
          <w:color w:val="FF0000"/>
          <w:sz w:val="24"/>
        </w:rPr>
        <w:t>与《双鸭山市水污染防治工作方案》的符合性</w:t>
      </w:r>
    </w:p>
    <w:p>
      <w:pPr>
        <w:pStyle w:val="9"/>
        <w:spacing w:before="154" w:line="364" w:lineRule="auto"/>
        <w:ind w:left="218" w:right="251" w:firstLine="480"/>
        <w:jc w:val="both"/>
      </w:pPr>
      <w:r>
        <w:rPr>
          <w:rFonts w:ascii="Times New Roman" w:hAnsi="Times New Roman" w:eastAsia="Times New Roman"/>
          <w:color w:val="FF0000"/>
        </w:rPr>
        <w:t xml:space="preserve">2016 </w:t>
      </w:r>
      <w:r>
        <w:rPr>
          <w:color w:val="FF0000"/>
          <w:spacing w:val="-30"/>
        </w:rPr>
        <w:t xml:space="preserve">年 </w:t>
      </w:r>
      <w:r>
        <w:rPr>
          <w:rFonts w:ascii="Times New Roman" w:hAnsi="Times New Roman" w:eastAsia="Times New Roman"/>
          <w:color w:val="FF0000"/>
        </w:rPr>
        <w:t xml:space="preserve">3 </w:t>
      </w:r>
      <w:r>
        <w:rPr>
          <w:color w:val="FF0000"/>
          <w:spacing w:val="-29"/>
        </w:rPr>
        <w:t xml:space="preserve">月 </w:t>
      </w:r>
      <w:r>
        <w:rPr>
          <w:rFonts w:ascii="Times New Roman" w:hAnsi="Times New Roman" w:eastAsia="Times New Roman"/>
          <w:color w:val="FF0000"/>
        </w:rPr>
        <w:t xml:space="preserve">25 </w:t>
      </w:r>
      <w:r>
        <w:rPr>
          <w:color w:val="FF0000"/>
          <w:spacing w:val="-1"/>
        </w:rPr>
        <w:t>日双鸭山市人民政府印发了《关于印发双鸭山市水污染防治工作方</w:t>
      </w:r>
      <w:r>
        <w:rPr>
          <w:color w:val="FF0000"/>
          <w:spacing w:val="-5"/>
        </w:rPr>
        <w:t>案的通知》</w:t>
      </w:r>
      <w:r>
        <w:rPr>
          <w:color w:val="FF0000"/>
        </w:rPr>
        <w:t>（</w:t>
      </w:r>
      <w:r>
        <w:rPr>
          <w:color w:val="FF0000"/>
          <w:spacing w:val="-3"/>
        </w:rPr>
        <w:t>双政办发〔</w:t>
      </w:r>
      <w:r>
        <w:rPr>
          <w:rFonts w:ascii="Times New Roman" w:hAnsi="Times New Roman" w:eastAsia="Times New Roman"/>
          <w:color w:val="FF0000"/>
        </w:rPr>
        <w:t>2016</w:t>
      </w:r>
      <w:r>
        <w:rPr>
          <w:color w:val="FF0000"/>
          <w:spacing w:val="-12"/>
        </w:rPr>
        <w:t>〕</w:t>
      </w:r>
      <w:r>
        <w:rPr>
          <w:rFonts w:ascii="Times New Roman" w:hAnsi="Times New Roman" w:eastAsia="Times New Roman"/>
          <w:color w:val="FF0000"/>
        </w:rPr>
        <w:t xml:space="preserve">13 </w:t>
      </w:r>
      <w:r>
        <w:rPr>
          <w:color w:val="FF0000"/>
        </w:rPr>
        <w:t>号</w:t>
      </w:r>
      <w:r>
        <w:rPr>
          <w:color w:val="FF0000"/>
          <w:spacing w:val="-20"/>
        </w:rPr>
        <w:t>）</w:t>
      </w:r>
      <w:r>
        <w:rPr>
          <w:color w:val="FF0000"/>
          <w:spacing w:val="-8"/>
        </w:rPr>
        <w:t>，《双鸭山市水污染防治工作方案》中提出“推</w:t>
      </w:r>
      <w:r>
        <w:rPr>
          <w:color w:val="FF0000"/>
          <w:spacing w:val="-6"/>
        </w:rPr>
        <w:t>进循环发展。加强工业水循环利用。以龙煤双鸭山矿业公司为重点，大力推进矿井水综</w:t>
      </w:r>
      <w:r>
        <w:rPr>
          <w:color w:val="FF0000"/>
          <w:spacing w:val="-8"/>
        </w:rPr>
        <w:t>合利用，满足周边农业、高耗水工业和缺水地区居民生活用水需求。加强洗煤废水循环</w:t>
      </w:r>
      <w:r>
        <w:rPr>
          <w:color w:val="FF0000"/>
          <w:spacing w:val="-12"/>
        </w:rPr>
        <w:t xml:space="preserve">利用。到 </w:t>
      </w:r>
      <w:r>
        <w:rPr>
          <w:rFonts w:ascii="Times New Roman" w:hAnsi="Times New Roman" w:eastAsia="Times New Roman"/>
          <w:color w:val="FF0000"/>
        </w:rPr>
        <w:t xml:space="preserve">2020 </w:t>
      </w:r>
      <w:r>
        <w:rPr>
          <w:color w:val="FF0000"/>
          <w:spacing w:val="-4"/>
        </w:rPr>
        <w:t xml:space="preserve">年，国有重点煤矿矿井水综合利用率达到 </w:t>
      </w:r>
      <w:r>
        <w:rPr>
          <w:rFonts w:ascii="Times New Roman" w:hAnsi="Times New Roman" w:eastAsia="Times New Roman"/>
          <w:color w:val="FF0000"/>
        </w:rPr>
        <w:t>75</w:t>
      </w:r>
      <w:r>
        <w:rPr>
          <w:color w:val="FF0000"/>
        </w:rPr>
        <w:t>％。鼓励高耗水企业废水深</w:t>
      </w:r>
      <w:r>
        <w:rPr>
          <w:color w:val="FF0000"/>
          <w:spacing w:val="-8"/>
        </w:rPr>
        <w:t xml:space="preserve">度处理回用，到 </w:t>
      </w:r>
      <w:r>
        <w:rPr>
          <w:rFonts w:ascii="Times New Roman" w:hAnsi="Times New Roman" w:eastAsia="Times New Roman"/>
          <w:color w:val="FF0000"/>
        </w:rPr>
        <w:t xml:space="preserve">2020 </w:t>
      </w:r>
      <w:r>
        <w:rPr>
          <w:color w:val="FF0000"/>
          <w:spacing w:val="-4"/>
        </w:rPr>
        <w:t xml:space="preserve">年，全市工业用水重复利用率不低于 </w:t>
      </w:r>
      <w:r>
        <w:rPr>
          <w:rFonts w:ascii="Times New Roman" w:hAnsi="Times New Roman" w:eastAsia="Times New Roman"/>
          <w:color w:val="FF0000"/>
        </w:rPr>
        <w:t>95</w:t>
      </w:r>
      <w:r>
        <w:rPr>
          <w:color w:val="FF0000"/>
        </w:rPr>
        <w:t>％。”</w:t>
      </w:r>
    </w:p>
    <w:p>
      <w:pPr>
        <w:pStyle w:val="9"/>
        <w:spacing w:line="364" w:lineRule="auto"/>
        <w:ind w:left="218" w:right="257" w:firstLine="420"/>
        <w:jc w:val="both"/>
      </w:pPr>
      <w:r>
        <w:rPr>
          <w:color w:val="FF0000"/>
          <w:spacing w:val="2"/>
          <w:sz w:val="21"/>
        </w:rPr>
        <w:t>本项目</w:t>
      </w:r>
      <w:r>
        <w:rPr>
          <w:color w:val="FF0000"/>
        </w:rPr>
        <w:t>生活污水经污水处理站处理达标后全部回用于井下生产、临时排矸场抑尘及</w:t>
      </w:r>
      <w:r>
        <w:rPr>
          <w:color w:val="FF0000"/>
          <w:spacing w:val="-7"/>
        </w:rPr>
        <w:t>道路洒水；采煤废水经矿井水处理站处理后，部分回用于井下生产用水、洗浴用水、洗</w:t>
      </w:r>
      <w:r>
        <w:rPr>
          <w:color w:val="FF0000"/>
          <w:spacing w:val="-4"/>
        </w:rPr>
        <w:t>衣用水和锅炉补水等非饮用生活用水，剩余部分出售给黑龙江建龙钢铁有限公司综合利</w:t>
      </w:r>
      <w:r>
        <w:rPr>
          <w:color w:val="FF0000"/>
        </w:rPr>
        <w:t>用。</w:t>
      </w:r>
    </w:p>
    <w:p>
      <w:pPr>
        <w:pStyle w:val="9"/>
        <w:spacing w:line="305" w:lineRule="exact"/>
        <w:ind w:left="698"/>
      </w:pPr>
      <w:r>
        <w:rPr>
          <w:color w:val="FF0000"/>
        </w:rPr>
        <w:t>本项目符合《双鸭山市水污染防治工作方案》中关于矿井水综合利用的要求。</w:t>
      </w:r>
    </w:p>
    <w:p>
      <w:pPr>
        <w:pStyle w:val="18"/>
        <w:numPr>
          <w:ilvl w:val="0"/>
          <w:numId w:val="11"/>
        </w:numPr>
        <w:tabs>
          <w:tab w:val="left" w:pos="1300"/>
        </w:tabs>
        <w:spacing w:before="157" w:after="0" w:line="240" w:lineRule="auto"/>
        <w:ind w:left="1299" w:right="0" w:hanging="602"/>
        <w:jc w:val="left"/>
        <w:rPr>
          <w:sz w:val="24"/>
        </w:rPr>
      </w:pPr>
      <w:r>
        <w:rPr>
          <w:color w:val="FF0000"/>
          <w:sz w:val="24"/>
        </w:rPr>
        <w:t>与《双鸭山市土壤污染防治实施方案》的符合性分析</w:t>
      </w:r>
    </w:p>
    <w:p>
      <w:pPr>
        <w:spacing w:after="0" w:line="240" w:lineRule="auto"/>
        <w:jc w:val="left"/>
        <w:rPr>
          <w:sz w:val="24"/>
        </w:rPr>
        <w:sectPr>
          <w:pgSz w:w="11910" w:h="16840"/>
          <w:pgMar w:top="1360" w:right="1160" w:bottom="1180" w:left="1200" w:header="0" w:footer="913" w:gutter="0"/>
        </w:sectPr>
      </w:pPr>
    </w:p>
    <w:p>
      <w:pPr>
        <w:pStyle w:val="9"/>
        <w:spacing w:before="61" w:line="364" w:lineRule="auto"/>
        <w:ind w:left="218" w:right="131" w:firstLine="480"/>
        <w:rPr>
          <w:rFonts w:ascii="Times New Roman" w:hAnsi="Times New Roman" w:eastAsia="Times New Roman"/>
        </w:rPr>
      </w:pPr>
      <w:r>
        <w:rPr>
          <w:rFonts w:ascii="Times New Roman" w:hAnsi="Times New Roman" w:eastAsia="Times New Roman"/>
          <w:color w:val="FF0000"/>
        </w:rPr>
        <w:t xml:space="preserve">2017 </w:t>
      </w:r>
      <w:r>
        <w:rPr>
          <w:color w:val="FF0000"/>
          <w:spacing w:val="-30"/>
        </w:rPr>
        <w:t xml:space="preserve">年 </w:t>
      </w:r>
      <w:r>
        <w:rPr>
          <w:rFonts w:ascii="Times New Roman" w:hAnsi="Times New Roman" w:eastAsia="Times New Roman"/>
          <w:color w:val="FF0000"/>
        </w:rPr>
        <w:t xml:space="preserve">5 </w:t>
      </w:r>
      <w:r>
        <w:rPr>
          <w:color w:val="FF0000"/>
          <w:spacing w:val="-30"/>
        </w:rPr>
        <w:t xml:space="preserve">月 </w:t>
      </w:r>
      <w:r>
        <w:rPr>
          <w:rFonts w:ascii="Times New Roman" w:hAnsi="Times New Roman" w:eastAsia="Times New Roman"/>
          <w:color w:val="FF0000"/>
        </w:rPr>
        <w:t xml:space="preserve">15 </w:t>
      </w:r>
      <w:r>
        <w:rPr>
          <w:color w:val="FF0000"/>
        </w:rPr>
        <w:t>日双鸭山市人民政府印发了《关于印发双鸭山市土壤污染防治实施</w:t>
      </w:r>
      <w:r>
        <w:rPr>
          <w:color w:val="FF0000"/>
          <w:spacing w:val="-13"/>
        </w:rPr>
        <w:t>方案的通知》</w:t>
      </w:r>
      <w:r>
        <w:rPr>
          <w:color w:val="FF0000"/>
        </w:rPr>
        <w:t>（</w:t>
      </w:r>
      <w:r>
        <w:rPr>
          <w:color w:val="FF0000"/>
          <w:spacing w:val="-9"/>
        </w:rPr>
        <w:t>双政规〔</w:t>
      </w:r>
      <w:r>
        <w:rPr>
          <w:rFonts w:ascii="Times New Roman" w:hAnsi="Times New Roman" w:eastAsia="Times New Roman"/>
          <w:color w:val="FF0000"/>
        </w:rPr>
        <w:t>2017</w:t>
      </w:r>
      <w:r>
        <w:rPr>
          <w:color w:val="FF0000"/>
          <w:spacing w:val="-39"/>
        </w:rPr>
        <w:t>〕</w:t>
      </w:r>
      <w:r>
        <w:rPr>
          <w:rFonts w:ascii="Times New Roman" w:hAnsi="Times New Roman" w:eastAsia="Times New Roman"/>
          <w:color w:val="FF0000"/>
        </w:rPr>
        <w:t xml:space="preserve">5 </w:t>
      </w:r>
      <w:r>
        <w:rPr>
          <w:color w:val="FF0000"/>
        </w:rPr>
        <w:t>号</w:t>
      </w:r>
      <w:r>
        <w:rPr>
          <w:color w:val="FF0000"/>
          <w:spacing w:val="-56"/>
        </w:rPr>
        <w:t>）</w:t>
      </w:r>
      <w:r>
        <w:rPr>
          <w:color w:val="FF0000"/>
          <w:spacing w:val="-11"/>
        </w:rPr>
        <w:t>，《双鸭山市土壤污染防治实施方案》中提出：</w:t>
      </w:r>
      <w:r>
        <w:rPr>
          <w:rFonts w:ascii="Times New Roman" w:hAnsi="Times New Roman" w:eastAsia="Times New Roman"/>
          <w:color w:val="FF0000"/>
          <w:spacing w:val="-19"/>
        </w:rPr>
        <w:t>“</w:t>
      </w:r>
      <w:r>
        <w:rPr>
          <w:color w:val="FF0000"/>
        </w:rPr>
        <w:t>加</w:t>
      </w:r>
      <w:r>
        <w:rPr>
          <w:color w:val="FF0000"/>
          <w:spacing w:val="-6"/>
        </w:rPr>
        <w:t>强工业废物处理处置。全面整治尾矿、煤矸石、工业副产石膏、粉煤灰、冶炼渣、电石</w:t>
      </w:r>
      <w:r>
        <w:rPr>
          <w:color w:val="FF0000"/>
          <w:spacing w:val="-15"/>
        </w:rPr>
        <w:t>渣、铬渣、砷渣以及脱硫、脱硝、除尘产生固体废物的堆存场所，完善防扬散、防流失、</w:t>
      </w:r>
      <w:r>
        <w:rPr>
          <w:color w:val="FF0000"/>
        </w:rPr>
        <w:t>防渗漏等设施，制定整治方案并有序实施。加强工业固体废物综合利用，对电子废物、废轮胎、废塑料等再生利用活动进行清理整顿，引导有关企业采用先进适用加工工艺、集聚发展，集中建设和运营污染治理设施，防止污染土壤和地下水。</w:t>
      </w:r>
      <w:r>
        <w:rPr>
          <w:rFonts w:ascii="Times New Roman" w:hAnsi="Times New Roman" w:eastAsia="Times New Roman"/>
          <w:color w:val="FF0000"/>
        </w:rPr>
        <w:t>”</w:t>
      </w:r>
    </w:p>
    <w:p>
      <w:pPr>
        <w:pStyle w:val="9"/>
        <w:spacing w:line="364" w:lineRule="auto"/>
        <w:ind w:left="218" w:right="205" w:firstLine="480"/>
        <w:jc w:val="both"/>
      </w:pPr>
      <w:r>
        <w:rPr>
          <w:color w:val="FF0000"/>
        </w:rPr>
        <w:t>本项目不设置煤矸石永久堆场，煤矸石临时堆场位于厂区内，采取地面硬化措施， 四周设置防风抑尘网，防止污染土壤和地下水，因此本项目与《双鸭山市土壤污染防治实施方案》相符。</w:t>
      </w:r>
    </w:p>
    <w:p>
      <w:pPr>
        <w:pStyle w:val="18"/>
        <w:numPr>
          <w:ilvl w:val="0"/>
          <w:numId w:val="11"/>
        </w:numPr>
        <w:tabs>
          <w:tab w:val="left" w:pos="1300"/>
        </w:tabs>
        <w:spacing w:before="0" w:after="0" w:line="305" w:lineRule="exact"/>
        <w:ind w:left="1299" w:right="0" w:hanging="602"/>
        <w:jc w:val="left"/>
        <w:rPr>
          <w:sz w:val="24"/>
        </w:rPr>
      </w:pPr>
      <w:r>
        <w:rPr>
          <w:color w:val="FF0000"/>
          <w:sz w:val="24"/>
        </w:rPr>
        <w:t>与《双鸭山市打赢蓝天保卫战三年行动计划》的符合性分析</w:t>
      </w:r>
    </w:p>
    <w:p>
      <w:pPr>
        <w:pStyle w:val="9"/>
        <w:spacing w:before="158" w:line="364" w:lineRule="auto"/>
        <w:ind w:left="218" w:right="205" w:firstLine="480"/>
        <w:jc w:val="both"/>
      </w:pPr>
      <w:r>
        <w:rPr>
          <w:rFonts w:ascii="Times New Roman" w:hAnsi="Times New Roman" w:eastAsia="Times New Roman"/>
          <w:color w:val="FF0000"/>
        </w:rPr>
        <w:t xml:space="preserve">2018 </w:t>
      </w:r>
      <w:r>
        <w:rPr>
          <w:color w:val="FF0000"/>
          <w:spacing w:val="-30"/>
        </w:rPr>
        <w:t xml:space="preserve">年 </w:t>
      </w:r>
      <w:r>
        <w:rPr>
          <w:rFonts w:ascii="Times New Roman" w:hAnsi="Times New Roman" w:eastAsia="Times New Roman"/>
          <w:color w:val="FF0000"/>
        </w:rPr>
        <w:t xml:space="preserve">12 </w:t>
      </w:r>
      <w:r>
        <w:rPr>
          <w:color w:val="FF0000"/>
          <w:spacing w:val="-30"/>
        </w:rPr>
        <w:t xml:space="preserve">月 </w:t>
      </w:r>
      <w:r>
        <w:rPr>
          <w:rFonts w:ascii="Times New Roman" w:hAnsi="Times New Roman" w:eastAsia="Times New Roman"/>
          <w:color w:val="FF0000"/>
        </w:rPr>
        <w:t xml:space="preserve">29 </w:t>
      </w:r>
      <w:r>
        <w:rPr>
          <w:color w:val="FF0000"/>
          <w:spacing w:val="-10"/>
        </w:rPr>
        <w:t>日双鸭山市人民政府印发了《关于印发双鸭山市打赢蓝天保卫战三</w:t>
      </w:r>
      <w:r>
        <w:rPr>
          <w:color w:val="FF0000"/>
          <w:spacing w:val="-13"/>
        </w:rPr>
        <w:t>年行动计划的通知》</w:t>
      </w:r>
      <w:r>
        <w:rPr>
          <w:color w:val="FF0000"/>
        </w:rPr>
        <w:t>（</w:t>
      </w:r>
      <w:r>
        <w:rPr>
          <w:color w:val="FF0000"/>
          <w:spacing w:val="-5"/>
        </w:rPr>
        <w:t>双政规〔</w:t>
      </w:r>
      <w:r>
        <w:rPr>
          <w:rFonts w:ascii="Times New Roman" w:hAnsi="Times New Roman" w:eastAsia="Times New Roman"/>
          <w:color w:val="FF0000"/>
        </w:rPr>
        <w:t>2018</w:t>
      </w:r>
      <w:r>
        <w:rPr>
          <w:color w:val="FF0000"/>
          <w:spacing w:val="-15"/>
        </w:rPr>
        <w:t>〕</w:t>
      </w:r>
      <w:r>
        <w:rPr>
          <w:rFonts w:ascii="Times New Roman" w:hAnsi="Times New Roman" w:eastAsia="Times New Roman"/>
          <w:color w:val="FF0000"/>
        </w:rPr>
        <w:t xml:space="preserve">12 </w:t>
      </w:r>
      <w:r>
        <w:rPr>
          <w:color w:val="FF0000"/>
        </w:rPr>
        <w:t>号</w:t>
      </w:r>
      <w:r>
        <w:rPr>
          <w:color w:val="FF0000"/>
          <w:spacing w:val="-25"/>
        </w:rPr>
        <w:t>）</w:t>
      </w:r>
      <w:r>
        <w:rPr>
          <w:color w:val="FF0000"/>
          <w:spacing w:val="-5"/>
        </w:rPr>
        <w:t>，《双鸭山市打赢蓝天保卫战三年行动计</w:t>
      </w:r>
      <w:r>
        <w:rPr>
          <w:color w:val="FF0000"/>
          <w:spacing w:val="-9"/>
        </w:rPr>
        <w:t>划》中提出：“加快淘汰落后产能。利用法律手段倒逼钢铁、水泥、煤炭行业落后产能</w:t>
      </w:r>
      <w:r>
        <w:rPr>
          <w:color w:val="FF0000"/>
          <w:spacing w:val="-10"/>
        </w:rPr>
        <w:t>加速退出。严防“地条钢”死灰复燃。加大执法检查力度，重点排查未列入钢铁、水泥</w:t>
      </w:r>
      <w:r>
        <w:rPr>
          <w:color w:val="FF0000"/>
          <w:spacing w:val="-13"/>
        </w:rPr>
        <w:t>行业规范管理的生产企业和项目，关停退出使用淘汰类工艺技术与装备产能。对达不到</w:t>
      </w:r>
      <w:r>
        <w:rPr>
          <w:color w:val="FF0000"/>
          <w:spacing w:val="-14"/>
        </w:rPr>
        <w:t>标准要求的，限期整改，不整改或整改后仍达不到标准要求的，要依法依规关停退出。</w:t>
      </w:r>
      <w:r>
        <w:rPr>
          <w:color w:val="FF0000"/>
          <w:spacing w:val="-6"/>
        </w:rPr>
        <w:t>对生产、销售不符合国家强制性标准钢铁、水泥产品和无生产许可证的生产企业，依法</w:t>
      </w:r>
      <w:r>
        <w:rPr>
          <w:color w:val="FF0000"/>
          <w:spacing w:val="-13"/>
        </w:rPr>
        <w:t xml:space="preserve">查处并责令停产整改，在 </w:t>
      </w:r>
      <w:r>
        <w:rPr>
          <w:rFonts w:ascii="Times New Roman" w:hAnsi="Times New Roman" w:eastAsia="Times New Roman"/>
          <w:color w:val="FF0000"/>
        </w:rPr>
        <w:t xml:space="preserve">6 </w:t>
      </w:r>
      <w:r>
        <w:rPr>
          <w:color w:val="FF0000"/>
          <w:spacing w:val="-3"/>
        </w:rPr>
        <w:t>个月内未整改或未达到整改要求的，依法关停退出。对于原</w:t>
      </w:r>
    </w:p>
    <w:p>
      <w:pPr>
        <w:pStyle w:val="9"/>
        <w:spacing w:line="364" w:lineRule="auto"/>
        <w:ind w:left="218" w:right="257"/>
        <w:jc w:val="both"/>
      </w:pPr>
      <w:r>
        <w:rPr>
          <w:color w:val="FF0000"/>
          <w:spacing w:val="-3"/>
        </w:rPr>
        <w:t xml:space="preserve">国家安全监管总局等部门确定的 </w:t>
      </w:r>
      <w:r>
        <w:rPr>
          <w:rFonts w:ascii="Times New Roman" w:hAnsi="Times New Roman" w:eastAsia="Times New Roman"/>
          <w:color w:val="FF0000"/>
        </w:rPr>
        <w:t>13</w:t>
      </w:r>
      <w:r>
        <w:rPr>
          <w:rFonts w:ascii="Times New Roman" w:hAnsi="Times New Roman" w:eastAsia="Times New Roman"/>
          <w:color w:val="FF0000"/>
          <w:spacing w:val="27"/>
        </w:rPr>
        <w:t xml:space="preserve"> </w:t>
      </w:r>
      <w:r>
        <w:rPr>
          <w:color w:val="FF0000"/>
        </w:rPr>
        <w:t>类小煤矿，以及开采范围与自然保护区、风景名胜</w:t>
      </w:r>
      <w:r>
        <w:rPr>
          <w:color w:val="FF0000"/>
          <w:spacing w:val="-8"/>
        </w:rPr>
        <w:t>区、饮用水水源地保护区等区域重叠的煤矿，生产高硫分高灰分等劣质煤的煤矿以及产</w:t>
      </w:r>
      <w:r>
        <w:rPr>
          <w:color w:val="FF0000"/>
          <w:spacing w:val="-20"/>
        </w:rPr>
        <w:t xml:space="preserve">能在 </w:t>
      </w:r>
      <w:r>
        <w:rPr>
          <w:rFonts w:ascii="Times New Roman" w:hAnsi="Times New Roman" w:eastAsia="Times New Roman"/>
          <w:color w:val="FF0000"/>
        </w:rPr>
        <w:t>30</w:t>
      </w:r>
      <w:r>
        <w:rPr>
          <w:rFonts w:ascii="Times New Roman" w:hAnsi="Times New Roman" w:eastAsia="Times New Roman"/>
          <w:color w:val="FF0000"/>
          <w:spacing w:val="1"/>
        </w:rPr>
        <w:t xml:space="preserve"> </w:t>
      </w:r>
      <w:r>
        <w:rPr>
          <w:color w:val="FF0000"/>
        </w:rPr>
        <w:t>万吨</w:t>
      </w:r>
      <w:r>
        <w:rPr>
          <w:rFonts w:ascii="Times New Roman" w:hAnsi="Times New Roman" w:eastAsia="Times New Roman"/>
          <w:color w:val="FF0000"/>
        </w:rPr>
        <w:t>/</w:t>
      </w:r>
      <w:r>
        <w:rPr>
          <w:color w:val="FF0000"/>
          <w:spacing w:val="-1"/>
        </w:rPr>
        <w:t>年及以下的“僵尸企业”等落后产能，坚决予以淘汰退出。”“开展燃煤</w:t>
      </w:r>
    </w:p>
    <w:p>
      <w:pPr>
        <w:pStyle w:val="9"/>
        <w:spacing w:line="307" w:lineRule="exact"/>
        <w:ind w:left="218"/>
        <w:jc w:val="both"/>
        <w:rPr>
          <w:rFonts w:ascii="Times New Roman" w:hAnsi="Times New Roman" w:eastAsia="Times New Roman"/>
        </w:rPr>
      </w:pPr>
      <w:r>
        <w:rPr>
          <w:color w:val="FF0000"/>
          <w:spacing w:val="-10"/>
        </w:rPr>
        <w:t xml:space="preserve">锅炉综合整治。开展地级城市建成区每小时 </w:t>
      </w:r>
      <w:r>
        <w:rPr>
          <w:rFonts w:ascii="Times New Roman" w:hAnsi="Times New Roman" w:eastAsia="Times New Roman"/>
          <w:color w:val="FF0000"/>
        </w:rPr>
        <w:t xml:space="preserve">10 </w:t>
      </w:r>
      <w:r>
        <w:rPr>
          <w:color w:val="FF0000"/>
          <w:spacing w:val="-11"/>
        </w:rPr>
        <w:t>蒸吨及以下燃煤锅炉“清零”行动。</w:t>
      </w:r>
      <w:r>
        <w:rPr>
          <w:rFonts w:ascii="Times New Roman" w:hAnsi="Times New Roman" w:eastAsia="Times New Roman"/>
          <w:color w:val="FF0000"/>
        </w:rPr>
        <w:t>2020</w:t>
      </w:r>
    </w:p>
    <w:p>
      <w:pPr>
        <w:pStyle w:val="9"/>
        <w:spacing w:before="153"/>
        <w:ind w:left="218"/>
        <w:jc w:val="both"/>
      </w:pPr>
      <w:r>
        <w:rPr>
          <w:color w:val="FF0000"/>
          <w:spacing w:val="-2"/>
        </w:rPr>
        <w:t xml:space="preserve">年底前，县级及以上城市建成区基本淘汰每小时 </w:t>
      </w:r>
      <w:r>
        <w:rPr>
          <w:rFonts w:ascii="Times New Roman" w:eastAsia="Times New Roman"/>
          <w:color w:val="FF0000"/>
        </w:rPr>
        <w:t>10</w:t>
      </w:r>
      <w:r>
        <w:rPr>
          <w:rFonts w:ascii="Times New Roman" w:eastAsia="Times New Roman"/>
          <w:color w:val="FF0000"/>
          <w:spacing w:val="30"/>
        </w:rPr>
        <w:t xml:space="preserve"> </w:t>
      </w:r>
      <w:r>
        <w:rPr>
          <w:color w:val="FF0000"/>
        </w:rPr>
        <w:t>蒸吨及以下燃煤锅炉及茶水炉、经</w:t>
      </w:r>
    </w:p>
    <w:p>
      <w:pPr>
        <w:pStyle w:val="9"/>
        <w:spacing w:before="160"/>
        <w:ind w:left="218"/>
        <w:jc w:val="both"/>
      </w:pPr>
      <w:r>
        <w:rPr>
          <w:color w:val="FF0000"/>
          <w:spacing w:val="-2"/>
        </w:rPr>
        <w:t xml:space="preserve">营性炉灶、储粮燃煤烘干设备等燃煤设施，原则上不再新建每小时 </w:t>
      </w:r>
      <w:r>
        <w:rPr>
          <w:rFonts w:ascii="Times New Roman" w:eastAsia="Times New Roman"/>
          <w:color w:val="FF0000"/>
        </w:rPr>
        <w:t>35</w:t>
      </w:r>
      <w:r>
        <w:rPr>
          <w:rFonts w:ascii="Times New Roman" w:eastAsia="Times New Roman"/>
          <w:color w:val="FF0000"/>
          <w:spacing w:val="31"/>
        </w:rPr>
        <w:t xml:space="preserve"> </w:t>
      </w:r>
      <w:r>
        <w:rPr>
          <w:color w:val="FF0000"/>
        </w:rPr>
        <w:t>蒸吨以下的燃煤</w:t>
      </w:r>
    </w:p>
    <w:p>
      <w:pPr>
        <w:pStyle w:val="9"/>
        <w:spacing w:before="158" w:line="364" w:lineRule="auto"/>
        <w:ind w:left="218" w:right="257"/>
        <w:jc w:val="both"/>
      </w:pPr>
      <w:r>
        <w:rPr>
          <w:color w:val="FF0000"/>
          <w:spacing w:val="-2"/>
        </w:rPr>
        <w:t xml:space="preserve">锅炉，其他地区原则上不再新建每小时 </w:t>
      </w:r>
      <w:r>
        <w:rPr>
          <w:rFonts w:ascii="Times New Roman" w:hAnsi="Times New Roman" w:eastAsia="Times New Roman"/>
          <w:color w:val="FF0000"/>
        </w:rPr>
        <w:t>10</w:t>
      </w:r>
      <w:r>
        <w:rPr>
          <w:rFonts w:ascii="Times New Roman" w:hAnsi="Times New Roman" w:eastAsia="Times New Roman"/>
          <w:color w:val="FF0000"/>
          <w:spacing w:val="25"/>
        </w:rPr>
        <w:t xml:space="preserve"> </w:t>
      </w:r>
      <w:r>
        <w:rPr>
          <w:color w:val="FF0000"/>
        </w:rPr>
        <w:t>蒸吨以下的燃煤锅炉，保留的燃煤锅炉必须</w:t>
      </w:r>
      <w:r>
        <w:rPr>
          <w:color w:val="FF0000"/>
          <w:spacing w:val="-6"/>
        </w:rPr>
        <w:t>实现达标排放。加大对纯凝机组和热电联产机组技术改造力度，加快供热管网建设，充</w:t>
      </w:r>
      <w:r>
        <w:rPr>
          <w:color w:val="FF0000"/>
          <w:spacing w:val="-5"/>
        </w:rPr>
        <w:t>分释放和提高供热能力，淘汰管网覆盖范围内的燃煤锅炉和散煤。在不具备热电联查集</w:t>
      </w:r>
      <w:r>
        <w:rPr>
          <w:color w:val="FF0000"/>
          <w:spacing w:val="-6"/>
        </w:rPr>
        <w:t>中供热条件的地区，现有多台燃煤小锅炉的，可按照等容量替代原则建设大容量燃煤锅</w:t>
      </w:r>
      <w:r>
        <w:rPr>
          <w:color w:val="FF0000"/>
          <w:spacing w:val="-9"/>
        </w:rPr>
        <w:t>炉。”“加强扬尘综合整治。大力推进道路清扫保洁机械化作业，提高道路机械化清扫</w:t>
      </w:r>
    </w:p>
    <w:p>
      <w:pPr>
        <w:spacing w:after="0" w:line="364" w:lineRule="auto"/>
        <w:jc w:val="both"/>
        <w:sectPr>
          <w:pgSz w:w="11910" w:h="16840"/>
          <w:pgMar w:top="1340" w:right="1160" w:bottom="1180" w:left="1200" w:header="0" w:footer="913" w:gutter="0"/>
        </w:sectPr>
      </w:pPr>
    </w:p>
    <w:p>
      <w:pPr>
        <w:pStyle w:val="9"/>
        <w:spacing w:before="61" w:line="364" w:lineRule="auto"/>
        <w:ind w:left="218" w:right="253"/>
        <w:jc w:val="both"/>
      </w:pPr>
      <w:r>
        <w:rPr>
          <w:color w:val="FF0000"/>
        </w:rPr>
        <w:t>率，</w:t>
      </w:r>
      <w:r>
        <w:rPr>
          <w:rFonts w:ascii="Times New Roman" w:hAnsi="Times New Roman" w:eastAsia="Times New Roman"/>
          <w:color w:val="FF0000"/>
        </w:rPr>
        <w:t xml:space="preserve">2020 </w:t>
      </w:r>
      <w:r>
        <w:rPr>
          <w:color w:val="FF0000"/>
          <w:spacing w:val="-4"/>
        </w:rPr>
        <w:t xml:space="preserve">年底前，城市建成区达到 </w:t>
      </w:r>
      <w:r>
        <w:rPr>
          <w:rFonts w:ascii="Times New Roman" w:hAnsi="Times New Roman" w:eastAsia="Times New Roman"/>
          <w:color w:val="FF0000"/>
        </w:rPr>
        <w:t>70%</w:t>
      </w:r>
      <w:r>
        <w:rPr>
          <w:color w:val="FF0000"/>
          <w:spacing w:val="-6"/>
        </w:rPr>
        <w:t xml:space="preserve">以上，县城达到 </w:t>
      </w:r>
      <w:r>
        <w:rPr>
          <w:rFonts w:ascii="Times New Roman" w:hAnsi="Times New Roman" w:eastAsia="Times New Roman"/>
          <w:color w:val="FF0000"/>
        </w:rPr>
        <w:t>60%</w:t>
      </w:r>
      <w:r>
        <w:rPr>
          <w:color w:val="FF0000"/>
        </w:rPr>
        <w:t>以上。严格落实煤炭、商</w:t>
      </w:r>
      <w:r>
        <w:rPr>
          <w:color w:val="FF0000"/>
          <w:spacing w:val="-7"/>
        </w:rPr>
        <w:t>品混凝土、粉煤灰等工业企业物料堆场抑尘措施，配套建设收尘和密封物料仓库，建设</w:t>
      </w:r>
      <w:r>
        <w:rPr>
          <w:color w:val="FF0000"/>
          <w:spacing w:val="-9"/>
        </w:rPr>
        <w:t>围墙、喷淋、覆盖和围挡等防风抑尘措施。采用密闭输送设备作业的，必须在装卸处配</w:t>
      </w:r>
      <w:r>
        <w:rPr>
          <w:color w:val="FF0000"/>
          <w:spacing w:val="-8"/>
        </w:rPr>
        <w:t>备吸尘、喷淋等防尘设施，并保持防尘设施的正常使用，严禁露天装卸作业和物料干法</w:t>
      </w:r>
      <w:r>
        <w:rPr>
          <w:color w:val="FF0000"/>
        </w:rPr>
        <w:t>作业。”</w:t>
      </w:r>
    </w:p>
    <w:p>
      <w:pPr>
        <w:pStyle w:val="9"/>
        <w:spacing w:line="364" w:lineRule="auto"/>
        <w:ind w:left="218" w:right="137" w:firstLine="480"/>
      </w:pPr>
      <w:r>
        <w:rPr>
          <w:color w:val="FF0000"/>
        </w:rPr>
        <w:t>根据黑龙江省政府办公厅</w:t>
      </w:r>
      <w:r>
        <w:rPr>
          <w:rFonts w:ascii="Times New Roman" w:hAnsi="Times New Roman" w:eastAsia="Times New Roman"/>
          <w:color w:val="FF0000"/>
        </w:rPr>
        <w:t>“</w:t>
      </w:r>
      <w:r>
        <w:rPr>
          <w:color w:val="FF0000"/>
        </w:rPr>
        <w:t>黑龙江省人民政府关于印发《黑龙江省煤炭行业淘汰落后产能化解过剩产能专项整治工作方案》的通知</w:t>
      </w:r>
      <w:r>
        <w:rPr>
          <w:rFonts w:ascii="Times New Roman" w:hAnsi="Times New Roman" w:eastAsia="Times New Roman"/>
          <w:color w:val="FF0000"/>
          <w:spacing w:val="2"/>
        </w:rPr>
        <w:t>”</w:t>
      </w:r>
      <w:r>
        <w:rPr>
          <w:color w:val="FF0000"/>
        </w:rPr>
        <w:t>，双鸭山市对辖区内不符合产业政策</w:t>
      </w:r>
      <w:r>
        <w:rPr>
          <w:color w:val="FF0000"/>
          <w:spacing w:val="-7"/>
        </w:rPr>
        <w:t>的、布局不合理的、不具备安全生产条件的小煤炭矿井全部予以取缔关停。对现有矿井</w:t>
      </w:r>
      <w:r>
        <w:rPr>
          <w:color w:val="FF0000"/>
          <w:spacing w:val="-19"/>
        </w:rPr>
        <w:t>进行整合建设，以提高矿区生产能力，已经完成落后小煤矿的淘汰工作。本项目属于《关</w:t>
      </w:r>
      <w:r>
        <w:rPr>
          <w:color w:val="FF0000"/>
          <w:spacing w:val="-30"/>
        </w:rPr>
        <w:t xml:space="preserve">于全省 </w:t>
      </w:r>
      <w:r>
        <w:rPr>
          <w:rFonts w:ascii="Times New Roman" w:hAnsi="Times New Roman" w:eastAsia="Times New Roman"/>
          <w:color w:val="FF0000"/>
        </w:rPr>
        <w:t xml:space="preserve">167 </w:t>
      </w:r>
      <w:r>
        <w:rPr>
          <w:color w:val="FF0000"/>
          <w:spacing w:val="-2"/>
        </w:rPr>
        <w:t>处煤矿进入规划升级改造核准程序名单的批复》</w:t>
      </w:r>
      <w:r>
        <w:rPr>
          <w:color w:val="FF0000"/>
        </w:rPr>
        <w:t>（黑煤整治办发</w:t>
      </w:r>
      <w:r>
        <w:rPr>
          <w:rFonts w:ascii="Times New Roman" w:hAnsi="Times New Roman" w:eastAsia="Times New Roman"/>
          <w:color w:val="FF0000"/>
        </w:rPr>
        <w:t xml:space="preserve">[2020]7 </w:t>
      </w:r>
      <w:r>
        <w:rPr>
          <w:color w:val="FF0000"/>
        </w:rPr>
        <w:t>号</w:t>
      </w:r>
      <w:r>
        <w:rPr>
          <w:color w:val="FF0000"/>
          <w:spacing w:val="-16"/>
        </w:rPr>
        <w:t xml:space="preserve">） </w:t>
      </w:r>
      <w:r>
        <w:rPr>
          <w:color w:val="FF0000"/>
          <w:spacing w:val="-12"/>
        </w:rPr>
        <w:t xml:space="preserve">文件中的 </w:t>
      </w:r>
      <w:r>
        <w:rPr>
          <w:rFonts w:ascii="Times New Roman" w:hAnsi="Times New Roman" w:eastAsia="Times New Roman"/>
          <w:color w:val="FF0000"/>
        </w:rPr>
        <w:t xml:space="preserve">167 </w:t>
      </w:r>
      <w:r>
        <w:rPr>
          <w:color w:val="FF0000"/>
          <w:spacing w:val="-6"/>
        </w:rPr>
        <w:t>处煤矿之一。本项目锅炉及热风炉采用生物质专用锅炉，并配备布袋除尘</w:t>
      </w:r>
      <w:r>
        <w:rPr>
          <w:color w:val="FF0000"/>
          <w:spacing w:val="-8"/>
        </w:rPr>
        <w:t>器；原煤堆场采取抑尘措施，矸石暂存场设有降尘设施。综上分析，本项目与《双鸭山市打赢蓝天保卫战三年行动计划》相符。</w:t>
      </w:r>
    </w:p>
    <w:p>
      <w:pPr>
        <w:pStyle w:val="18"/>
        <w:numPr>
          <w:ilvl w:val="2"/>
          <w:numId w:val="9"/>
        </w:numPr>
        <w:tabs>
          <w:tab w:val="left" w:pos="780"/>
        </w:tabs>
        <w:spacing w:before="114" w:after="0" w:line="240" w:lineRule="auto"/>
        <w:ind w:left="779" w:right="0" w:hanging="562"/>
        <w:jc w:val="left"/>
        <w:rPr>
          <w:b/>
          <w:sz w:val="28"/>
        </w:rPr>
      </w:pPr>
      <w:bookmarkStart w:id="26" w:name="6.1.7“三线一单”相关管控要求"/>
      <w:bookmarkEnd w:id="26"/>
      <w:bookmarkStart w:id="27" w:name="6.1.7“三线一单”相关管控要求"/>
      <w:bookmarkEnd w:id="27"/>
      <w:r>
        <w:rPr>
          <w:rFonts w:ascii="Times New Roman" w:hAnsi="Times New Roman" w:eastAsia="Times New Roman"/>
          <w:b/>
          <w:color w:val="FF0000"/>
          <w:sz w:val="28"/>
        </w:rPr>
        <w:t>“</w:t>
      </w:r>
      <w:r>
        <w:rPr>
          <w:b/>
          <w:color w:val="FF0000"/>
          <w:sz w:val="28"/>
        </w:rPr>
        <w:t>三线一单</w:t>
      </w:r>
      <w:r>
        <w:rPr>
          <w:rFonts w:ascii="Times New Roman" w:hAnsi="Times New Roman" w:eastAsia="Times New Roman"/>
          <w:b/>
          <w:color w:val="FF0000"/>
          <w:sz w:val="28"/>
        </w:rPr>
        <w:t>”</w:t>
      </w:r>
      <w:r>
        <w:rPr>
          <w:b/>
          <w:color w:val="FF0000"/>
          <w:sz w:val="28"/>
        </w:rPr>
        <w:t>相关管控要求</w:t>
      </w:r>
    </w:p>
    <w:p>
      <w:pPr>
        <w:pStyle w:val="9"/>
        <w:spacing w:before="11"/>
        <w:rPr>
          <w:b/>
          <w:sz w:val="23"/>
        </w:rPr>
      </w:pPr>
    </w:p>
    <w:p>
      <w:pPr>
        <w:pStyle w:val="9"/>
        <w:spacing w:line="362" w:lineRule="auto"/>
        <w:ind w:left="218" w:right="253" w:firstLine="480"/>
      </w:pPr>
      <w:r>
        <w:rPr>
          <w:color w:val="FF0000"/>
          <w:spacing w:val="-12"/>
        </w:rPr>
        <w:t>根据国家《关于以改善环境质量为核心加强环境影响评价管理的通知》要求落实</w:t>
      </w:r>
      <w:r>
        <w:rPr>
          <w:rFonts w:ascii="Times New Roman" w:hAnsi="Times New Roman" w:eastAsia="Times New Roman"/>
          <w:color w:val="FF0000"/>
        </w:rPr>
        <w:t>“</w:t>
      </w:r>
      <w:r>
        <w:rPr>
          <w:color w:val="FF0000"/>
          <w:spacing w:val="-15"/>
        </w:rPr>
        <w:t>生</w:t>
      </w:r>
      <w:r>
        <w:rPr>
          <w:color w:val="FF0000"/>
        </w:rPr>
        <w:t>态保护红线、环境质量底线、资源利用上线和环境准入负面清单</w:t>
      </w:r>
      <w:r>
        <w:rPr>
          <w:rFonts w:ascii="Times New Roman" w:hAnsi="Times New Roman" w:eastAsia="Times New Roman"/>
          <w:color w:val="FF0000"/>
        </w:rPr>
        <w:t>”</w:t>
      </w:r>
      <w:r>
        <w:rPr>
          <w:color w:val="FF0000"/>
        </w:rPr>
        <w:t>。</w:t>
      </w:r>
    </w:p>
    <w:p>
      <w:pPr>
        <w:pStyle w:val="18"/>
        <w:numPr>
          <w:ilvl w:val="0"/>
          <w:numId w:val="12"/>
        </w:numPr>
        <w:tabs>
          <w:tab w:val="left" w:pos="1300"/>
        </w:tabs>
        <w:spacing w:before="5" w:after="0" w:line="240" w:lineRule="auto"/>
        <w:ind w:left="1299" w:right="0" w:hanging="602"/>
        <w:jc w:val="left"/>
        <w:rPr>
          <w:sz w:val="24"/>
        </w:rPr>
      </w:pPr>
      <w:r>
        <w:rPr>
          <w:color w:val="FF0000"/>
          <w:sz w:val="24"/>
        </w:rPr>
        <w:t>生态保护红线</w:t>
      </w:r>
    </w:p>
    <w:p>
      <w:pPr>
        <w:pStyle w:val="9"/>
        <w:spacing w:before="158" w:line="364" w:lineRule="auto"/>
        <w:ind w:left="218" w:right="257" w:firstLine="480"/>
        <w:jc w:val="both"/>
      </w:pPr>
      <w:r>
        <w:rPr>
          <w:color w:val="FF0000"/>
          <w:spacing w:val="-11"/>
        </w:rPr>
        <w:t xml:space="preserve">根据《关于全省 </w:t>
      </w:r>
      <w:r>
        <w:rPr>
          <w:rFonts w:ascii="Times New Roman" w:eastAsia="Times New Roman"/>
          <w:color w:val="FF0000"/>
        </w:rPr>
        <w:t xml:space="preserve">167 </w:t>
      </w:r>
      <w:r>
        <w:rPr>
          <w:color w:val="FF0000"/>
          <w:spacing w:val="-2"/>
        </w:rPr>
        <w:t>处煤矿进入规划升级改造核准程序名单的批复》</w:t>
      </w:r>
      <w:r>
        <w:rPr>
          <w:color w:val="FF0000"/>
        </w:rPr>
        <w:t>（</w:t>
      </w:r>
      <w:r>
        <w:rPr>
          <w:color w:val="FF0000"/>
          <w:spacing w:val="-4"/>
        </w:rPr>
        <w:t>黑煤整治办</w:t>
      </w:r>
      <w:r>
        <w:rPr>
          <w:color w:val="FF0000"/>
        </w:rPr>
        <w:t>发</w:t>
      </w:r>
      <w:r>
        <w:rPr>
          <w:rFonts w:ascii="Times New Roman" w:eastAsia="Times New Roman"/>
          <w:color w:val="FF0000"/>
        </w:rPr>
        <w:t xml:space="preserve">[2020]7 </w:t>
      </w:r>
      <w:r>
        <w:rPr>
          <w:color w:val="FF0000"/>
        </w:rPr>
        <w:t>号）文件，本项目经过省发改委、人社厅、自然资源厅、生态环境厅、林业和草原局、煤管局、煤矿安监局等中省直七个部门联合审查通过。</w:t>
      </w:r>
    </w:p>
    <w:p>
      <w:pPr>
        <w:pStyle w:val="9"/>
        <w:spacing w:line="307" w:lineRule="exact"/>
        <w:ind w:left="698"/>
      </w:pPr>
      <w:r>
        <w:rPr>
          <w:color w:val="FF0000"/>
        </w:rPr>
        <w:t>本项目满足生态保护红线要求。</w:t>
      </w:r>
    </w:p>
    <w:p>
      <w:pPr>
        <w:pStyle w:val="18"/>
        <w:numPr>
          <w:ilvl w:val="0"/>
          <w:numId w:val="12"/>
        </w:numPr>
        <w:tabs>
          <w:tab w:val="left" w:pos="1300"/>
        </w:tabs>
        <w:spacing w:before="160" w:after="0" w:line="240" w:lineRule="auto"/>
        <w:ind w:left="1299" w:right="0" w:hanging="602"/>
        <w:jc w:val="left"/>
        <w:rPr>
          <w:sz w:val="24"/>
        </w:rPr>
      </w:pPr>
      <w:r>
        <w:rPr>
          <w:color w:val="FF0000"/>
          <w:sz w:val="24"/>
        </w:rPr>
        <w:t>环境质量底线</w:t>
      </w:r>
    </w:p>
    <w:p>
      <w:pPr>
        <w:pStyle w:val="9"/>
        <w:spacing w:before="158"/>
        <w:ind w:left="698"/>
      </w:pPr>
      <w:r>
        <w:rPr>
          <w:color w:val="FF0000"/>
        </w:rPr>
        <w:t>双鸭山市环境质量底线需达到以下要求：</w:t>
      </w:r>
    </w:p>
    <w:p>
      <w:pPr>
        <w:pStyle w:val="9"/>
        <w:spacing w:before="159" w:line="364" w:lineRule="auto"/>
        <w:ind w:left="218" w:right="253" w:firstLine="480"/>
      </w:pPr>
      <w:r>
        <w:rPr>
          <w:color w:val="FF0000"/>
          <w:spacing w:val="-12"/>
        </w:rPr>
        <w:t>根据国家《关于以改善环境质量为核心加强环境影响评价管理的通知》要求落实</w:t>
      </w:r>
      <w:r>
        <w:rPr>
          <w:rFonts w:ascii="Times New Roman" w:hAnsi="Times New Roman" w:eastAsia="Times New Roman"/>
          <w:color w:val="FF0000"/>
        </w:rPr>
        <w:t>“</w:t>
      </w:r>
      <w:r>
        <w:rPr>
          <w:color w:val="FF0000"/>
          <w:spacing w:val="-15"/>
        </w:rPr>
        <w:t>生</w:t>
      </w:r>
      <w:r>
        <w:rPr>
          <w:color w:val="FF0000"/>
        </w:rPr>
        <w:t>态保护红线、环境质量底线、资源利用上线和环境准入负面清单</w:t>
      </w:r>
      <w:r>
        <w:rPr>
          <w:rFonts w:ascii="Times New Roman" w:hAnsi="Times New Roman" w:eastAsia="Times New Roman"/>
          <w:color w:val="FF0000"/>
        </w:rPr>
        <w:t>”</w:t>
      </w:r>
      <w:r>
        <w:rPr>
          <w:color w:val="FF0000"/>
        </w:rPr>
        <w:t>。</w:t>
      </w:r>
    </w:p>
    <w:p>
      <w:pPr>
        <w:pStyle w:val="18"/>
        <w:numPr>
          <w:ilvl w:val="0"/>
          <w:numId w:val="13"/>
        </w:numPr>
        <w:tabs>
          <w:tab w:val="left" w:pos="1300"/>
        </w:tabs>
        <w:spacing w:before="1" w:after="0" w:line="240" w:lineRule="auto"/>
        <w:ind w:left="1299" w:right="0" w:hanging="602"/>
        <w:jc w:val="left"/>
        <w:rPr>
          <w:sz w:val="24"/>
        </w:rPr>
      </w:pPr>
      <w:r>
        <w:rPr>
          <w:color w:val="FF0000"/>
          <w:sz w:val="24"/>
        </w:rPr>
        <w:t>生态保护红线</w:t>
      </w:r>
    </w:p>
    <w:p>
      <w:pPr>
        <w:pStyle w:val="9"/>
        <w:spacing w:before="158" w:line="364" w:lineRule="auto"/>
        <w:ind w:left="218" w:right="257" w:firstLine="480"/>
        <w:jc w:val="both"/>
      </w:pPr>
      <w:r>
        <w:rPr>
          <w:color w:val="FF0000"/>
          <w:spacing w:val="-11"/>
        </w:rPr>
        <w:t xml:space="preserve">根据《关于全省 </w:t>
      </w:r>
      <w:r>
        <w:rPr>
          <w:rFonts w:ascii="Times New Roman" w:eastAsia="Times New Roman"/>
          <w:color w:val="FF0000"/>
        </w:rPr>
        <w:t xml:space="preserve">167 </w:t>
      </w:r>
      <w:r>
        <w:rPr>
          <w:color w:val="FF0000"/>
          <w:spacing w:val="-2"/>
        </w:rPr>
        <w:t>处煤矿进入规划升级改造核准程序名单的批复》</w:t>
      </w:r>
      <w:r>
        <w:rPr>
          <w:color w:val="FF0000"/>
        </w:rPr>
        <w:t>（</w:t>
      </w:r>
      <w:r>
        <w:rPr>
          <w:color w:val="FF0000"/>
          <w:spacing w:val="-4"/>
        </w:rPr>
        <w:t>黑煤整治办</w:t>
      </w:r>
      <w:r>
        <w:rPr>
          <w:color w:val="FF0000"/>
        </w:rPr>
        <w:t>发</w:t>
      </w:r>
      <w:r>
        <w:rPr>
          <w:rFonts w:ascii="Times New Roman" w:eastAsia="Times New Roman"/>
          <w:color w:val="FF0000"/>
        </w:rPr>
        <w:t xml:space="preserve">[2020]7 </w:t>
      </w:r>
      <w:r>
        <w:rPr>
          <w:color w:val="FF0000"/>
        </w:rPr>
        <w:t>号）文件，本项目经过省发改委、人社厅、自然资源厅、生态环境厅、林业和草原局、煤管局、煤矿安监局等中省直七个部门联合审查通过。</w:t>
      </w:r>
    </w:p>
    <w:p>
      <w:pPr>
        <w:spacing w:after="0" w:line="364" w:lineRule="auto"/>
        <w:jc w:val="both"/>
        <w:sectPr>
          <w:pgSz w:w="11910" w:h="16840"/>
          <w:pgMar w:top="1340" w:right="1160" w:bottom="1180" w:left="1200" w:header="0" w:footer="913" w:gutter="0"/>
        </w:sectPr>
      </w:pPr>
    </w:p>
    <w:p>
      <w:pPr>
        <w:pStyle w:val="9"/>
        <w:spacing w:before="41" w:line="364" w:lineRule="auto"/>
        <w:ind w:left="218" w:right="257" w:firstLine="480"/>
        <w:jc w:val="both"/>
      </w:pPr>
      <w:r>
        <w:rPr>
          <w:color w:val="FF0000"/>
        </w:rPr>
        <w:t>根据黑龙江省自然资源厅黑龙江省林业和草原局联合呈报黑龙江省生态保护红线评估调整和自然保护地整合优化阶段性报告（黑自然资发〔2020〕229 号），本项目不在黑龙江省青山国家森林公园范围内。</w:t>
      </w:r>
    </w:p>
    <w:p>
      <w:pPr>
        <w:pStyle w:val="9"/>
        <w:spacing w:line="307" w:lineRule="exact"/>
        <w:ind w:left="698"/>
      </w:pPr>
      <w:r>
        <w:rPr>
          <w:color w:val="FF0000"/>
        </w:rPr>
        <w:t>本项目满足生态保护红线要求。</w:t>
      </w:r>
    </w:p>
    <w:p>
      <w:pPr>
        <w:pStyle w:val="18"/>
        <w:numPr>
          <w:ilvl w:val="0"/>
          <w:numId w:val="13"/>
        </w:numPr>
        <w:tabs>
          <w:tab w:val="left" w:pos="1300"/>
        </w:tabs>
        <w:spacing w:before="158" w:after="0" w:line="240" w:lineRule="auto"/>
        <w:ind w:left="1299" w:right="0" w:hanging="602"/>
        <w:jc w:val="left"/>
        <w:rPr>
          <w:sz w:val="24"/>
        </w:rPr>
      </w:pPr>
      <w:r>
        <w:rPr>
          <w:color w:val="FF0000"/>
          <w:sz w:val="24"/>
        </w:rPr>
        <w:t>环境质量底线</w:t>
      </w:r>
    </w:p>
    <w:p>
      <w:pPr>
        <w:pStyle w:val="9"/>
        <w:spacing w:before="161"/>
        <w:ind w:left="698"/>
      </w:pPr>
      <w:r>
        <w:rPr>
          <w:color w:val="FF0000"/>
        </w:rPr>
        <w:t>双鸭山市环境质量底线需达到以下要求：</w:t>
      </w:r>
    </w:p>
    <w:p>
      <w:pPr>
        <w:spacing w:before="157"/>
        <w:ind w:left="578" w:right="191" w:firstLine="0"/>
        <w:jc w:val="center"/>
        <w:rPr>
          <w:b/>
          <w:sz w:val="21"/>
        </w:rPr>
      </w:pPr>
      <w:r>
        <w:rPr>
          <w:b/>
          <w:color w:val="FF0000"/>
          <w:sz w:val="21"/>
        </w:rPr>
        <w:t xml:space="preserve">表 </w:t>
      </w:r>
      <w:r>
        <w:rPr>
          <w:rFonts w:ascii="Times New Roman" w:eastAsia="Times New Roman"/>
          <w:b/>
          <w:color w:val="FF0000"/>
          <w:sz w:val="21"/>
        </w:rPr>
        <w:t xml:space="preserve">3  </w:t>
      </w:r>
      <w:r>
        <w:rPr>
          <w:b/>
          <w:color w:val="FF0000"/>
          <w:sz w:val="21"/>
        </w:rPr>
        <w:t>规划环境质量底线清单</w:t>
      </w:r>
    </w:p>
    <w:p>
      <w:pPr>
        <w:pStyle w:val="9"/>
        <w:spacing w:before="11"/>
        <w:rPr>
          <w:b/>
          <w:sz w:val="10"/>
        </w:rPr>
      </w:pP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77"/>
        <w:gridCol w:w="3027"/>
        <w:gridCol w:w="40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7" w:hRule="atLeast"/>
        </w:trPr>
        <w:tc>
          <w:tcPr>
            <w:tcW w:w="1477" w:type="dxa"/>
            <w:tcBorders>
              <w:bottom w:val="single" w:color="000000" w:sz="4" w:space="0"/>
              <w:right w:val="single" w:color="000000" w:sz="4" w:space="0"/>
            </w:tcBorders>
          </w:tcPr>
          <w:p>
            <w:pPr>
              <w:pStyle w:val="19"/>
              <w:spacing w:before="1"/>
              <w:ind w:left="188" w:right="179"/>
              <w:rPr>
                <w:sz w:val="21"/>
              </w:rPr>
            </w:pPr>
            <w:r>
              <w:rPr>
                <w:color w:val="FF0000"/>
                <w:sz w:val="21"/>
              </w:rPr>
              <w:t>环境要素</w:t>
            </w:r>
          </w:p>
        </w:tc>
        <w:tc>
          <w:tcPr>
            <w:tcW w:w="7043" w:type="dxa"/>
            <w:gridSpan w:val="2"/>
            <w:tcBorders>
              <w:left w:val="single" w:color="000000" w:sz="4" w:space="0"/>
              <w:bottom w:val="single" w:color="000000" w:sz="4" w:space="0"/>
            </w:tcBorders>
          </w:tcPr>
          <w:p>
            <w:pPr>
              <w:pStyle w:val="19"/>
              <w:spacing w:before="1"/>
              <w:ind w:left="491" w:right="28"/>
              <w:rPr>
                <w:sz w:val="21"/>
              </w:rPr>
            </w:pPr>
            <w:r>
              <w:rPr>
                <w:color w:val="FF0000"/>
                <w:sz w:val="21"/>
              </w:rPr>
              <w:t>环境质量底线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52" w:hRule="atLeast"/>
        </w:trPr>
        <w:tc>
          <w:tcPr>
            <w:tcW w:w="1477" w:type="dxa"/>
            <w:tcBorders>
              <w:top w:val="single" w:color="000000" w:sz="4" w:space="0"/>
              <w:bottom w:val="single" w:color="000000" w:sz="4" w:space="0"/>
              <w:right w:val="single" w:color="000000" w:sz="4" w:space="0"/>
            </w:tcBorders>
          </w:tcPr>
          <w:p>
            <w:pPr>
              <w:pStyle w:val="19"/>
              <w:spacing w:before="163"/>
              <w:ind w:left="188" w:right="179"/>
              <w:rPr>
                <w:sz w:val="21"/>
              </w:rPr>
            </w:pPr>
            <w:r>
              <w:rPr>
                <w:color w:val="FF0000"/>
                <w:sz w:val="21"/>
              </w:rPr>
              <w:t>环境空气</w:t>
            </w:r>
          </w:p>
        </w:tc>
        <w:tc>
          <w:tcPr>
            <w:tcW w:w="7043" w:type="dxa"/>
            <w:gridSpan w:val="2"/>
            <w:tcBorders>
              <w:top w:val="single" w:color="000000" w:sz="4" w:space="0"/>
              <w:left w:val="single" w:color="000000" w:sz="4" w:space="0"/>
              <w:bottom w:val="single" w:color="000000" w:sz="4" w:space="0"/>
            </w:tcBorders>
          </w:tcPr>
          <w:p>
            <w:pPr>
              <w:pStyle w:val="19"/>
              <w:ind w:left="491" w:right="45"/>
              <w:rPr>
                <w:sz w:val="21"/>
              </w:rPr>
            </w:pPr>
            <w:r>
              <w:rPr>
                <w:color w:val="FF0000"/>
                <w:sz w:val="21"/>
              </w:rPr>
              <w:t>矿区范围内：《环境空气质量标准》（</w:t>
            </w:r>
            <w:r>
              <w:rPr>
                <w:rFonts w:ascii="Times New Roman" w:eastAsia="Times New Roman"/>
                <w:color w:val="FF0000"/>
                <w:sz w:val="21"/>
              </w:rPr>
              <w:t>GB3095-2012</w:t>
            </w:r>
            <w:r>
              <w:rPr>
                <w:color w:val="FF0000"/>
                <w:sz w:val="21"/>
              </w:rPr>
              <w:t>）二类环境空气质</w:t>
            </w:r>
          </w:p>
          <w:p>
            <w:pPr>
              <w:pStyle w:val="19"/>
              <w:spacing w:before="57"/>
              <w:ind w:left="64" w:right="45"/>
              <w:rPr>
                <w:sz w:val="21"/>
              </w:rPr>
            </w:pPr>
            <w:r>
              <w:rPr>
                <w:color w:val="FF0000"/>
                <w:sz w:val="21"/>
              </w:rPr>
              <w:t>量功能区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1477" w:type="dxa"/>
            <w:tcBorders>
              <w:top w:val="single" w:color="000000" w:sz="4" w:space="0"/>
              <w:bottom w:val="single" w:color="000000" w:sz="4" w:space="0"/>
              <w:right w:val="single" w:color="000000" w:sz="4" w:space="0"/>
            </w:tcBorders>
          </w:tcPr>
          <w:p>
            <w:pPr>
              <w:pStyle w:val="19"/>
              <w:spacing w:before="164"/>
              <w:ind w:left="193" w:right="179"/>
              <w:rPr>
                <w:sz w:val="21"/>
              </w:rPr>
            </w:pPr>
            <w:r>
              <w:rPr>
                <w:color w:val="FF0000"/>
                <w:sz w:val="21"/>
              </w:rPr>
              <w:t>地表水环境</w:t>
            </w:r>
          </w:p>
        </w:tc>
        <w:tc>
          <w:tcPr>
            <w:tcW w:w="3027" w:type="dxa"/>
            <w:tcBorders>
              <w:top w:val="single" w:color="000000" w:sz="4" w:space="0"/>
              <w:left w:val="single" w:color="000000" w:sz="4" w:space="0"/>
              <w:bottom w:val="single" w:color="000000" w:sz="4" w:space="0"/>
              <w:right w:val="single" w:color="000000" w:sz="4" w:space="0"/>
            </w:tcBorders>
          </w:tcPr>
          <w:p>
            <w:pPr>
              <w:pStyle w:val="19"/>
              <w:spacing w:before="1"/>
              <w:ind w:left="341" w:right="326"/>
              <w:rPr>
                <w:sz w:val="21"/>
              </w:rPr>
            </w:pPr>
            <w:r>
              <w:rPr>
                <w:color w:val="FF0000"/>
                <w:sz w:val="21"/>
              </w:rPr>
              <w:t>《地表水环境质量标准》</w:t>
            </w:r>
          </w:p>
          <w:p>
            <w:pPr>
              <w:pStyle w:val="19"/>
              <w:spacing w:before="58"/>
              <w:ind w:left="341" w:right="321"/>
              <w:rPr>
                <w:sz w:val="21"/>
              </w:rPr>
            </w:pPr>
            <w:r>
              <w:rPr>
                <w:color w:val="FF0000"/>
                <w:sz w:val="21"/>
              </w:rPr>
              <w:t>（</w:t>
            </w:r>
            <w:r>
              <w:rPr>
                <w:rFonts w:ascii="Times New Roman" w:hAnsi="Times New Roman" w:eastAsia="Times New Roman"/>
                <w:color w:val="FF0000"/>
                <w:sz w:val="21"/>
              </w:rPr>
              <w:t>GB3838-2002</w:t>
            </w:r>
            <w:r>
              <w:rPr>
                <w:color w:val="FF0000"/>
                <w:sz w:val="21"/>
              </w:rPr>
              <w:t>）Ⅱ类</w:t>
            </w:r>
          </w:p>
        </w:tc>
        <w:tc>
          <w:tcPr>
            <w:tcW w:w="4016" w:type="dxa"/>
            <w:tcBorders>
              <w:top w:val="single" w:color="000000" w:sz="4" w:space="0"/>
              <w:left w:val="single" w:color="000000" w:sz="4" w:space="0"/>
              <w:bottom w:val="single" w:color="000000" w:sz="4" w:space="0"/>
            </w:tcBorders>
          </w:tcPr>
          <w:p>
            <w:pPr>
              <w:pStyle w:val="19"/>
              <w:spacing w:before="164"/>
              <w:ind w:left="507"/>
              <w:jc w:val="left"/>
              <w:rPr>
                <w:sz w:val="21"/>
              </w:rPr>
            </w:pPr>
            <w:r>
              <w:rPr>
                <w:color w:val="FF0000"/>
                <w:sz w:val="21"/>
              </w:rPr>
              <w:t>安邦河（源头</w:t>
            </w:r>
            <w:r>
              <w:rPr>
                <w:rFonts w:ascii="Times New Roman" w:eastAsia="Times New Roman"/>
                <w:color w:val="FF0000"/>
                <w:sz w:val="21"/>
              </w:rPr>
              <w:t>-</w:t>
            </w:r>
            <w:r>
              <w:rPr>
                <w:color w:val="FF0000"/>
                <w:sz w:val="21"/>
              </w:rPr>
              <w:t>寒葱沟水库库尾）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6" w:hRule="atLeast"/>
        </w:trPr>
        <w:tc>
          <w:tcPr>
            <w:tcW w:w="1477" w:type="dxa"/>
            <w:tcBorders>
              <w:top w:val="single" w:color="000000" w:sz="4" w:space="0"/>
              <w:bottom w:val="single" w:color="000000" w:sz="4" w:space="0"/>
              <w:right w:val="single" w:color="000000" w:sz="4" w:space="0"/>
            </w:tcBorders>
          </w:tcPr>
          <w:p>
            <w:pPr>
              <w:pStyle w:val="19"/>
              <w:ind w:left="193" w:right="179"/>
              <w:rPr>
                <w:sz w:val="21"/>
              </w:rPr>
            </w:pPr>
            <w:r>
              <w:rPr>
                <w:color w:val="FF0000"/>
                <w:sz w:val="21"/>
              </w:rPr>
              <w:t>地下水环境</w:t>
            </w:r>
          </w:p>
        </w:tc>
        <w:tc>
          <w:tcPr>
            <w:tcW w:w="7043" w:type="dxa"/>
            <w:gridSpan w:val="2"/>
            <w:tcBorders>
              <w:top w:val="single" w:color="000000" w:sz="4" w:space="0"/>
              <w:left w:val="single" w:color="000000" w:sz="4" w:space="0"/>
              <w:bottom w:val="single" w:color="000000" w:sz="4" w:space="0"/>
            </w:tcBorders>
          </w:tcPr>
          <w:p>
            <w:pPr>
              <w:pStyle w:val="19"/>
              <w:ind w:left="489" w:right="45"/>
              <w:rPr>
                <w:sz w:val="21"/>
              </w:rPr>
            </w:pPr>
            <w:r>
              <w:rPr>
                <w:color w:val="FF0000"/>
                <w:sz w:val="21"/>
              </w:rPr>
              <w:t>矿区范围内：《地下水质量标准》（</w:t>
            </w:r>
            <w:r>
              <w:rPr>
                <w:rFonts w:ascii="Times New Roman" w:hAnsi="Times New Roman" w:eastAsia="Times New Roman"/>
                <w:color w:val="FF0000"/>
                <w:sz w:val="21"/>
              </w:rPr>
              <w:t>GB/T14848-2017</w:t>
            </w:r>
            <w:r>
              <w:rPr>
                <w:color w:val="FF0000"/>
                <w:sz w:val="21"/>
              </w:rPr>
              <w:t>）Ⅲ类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477" w:type="dxa"/>
            <w:tcBorders>
              <w:top w:val="single" w:color="000000" w:sz="4" w:space="0"/>
              <w:bottom w:val="single" w:color="000000" w:sz="4" w:space="0"/>
              <w:right w:val="single" w:color="000000" w:sz="4" w:space="0"/>
            </w:tcBorders>
          </w:tcPr>
          <w:p>
            <w:pPr>
              <w:pStyle w:val="19"/>
              <w:spacing w:line="268" w:lineRule="exact"/>
              <w:ind w:left="190" w:right="179"/>
              <w:rPr>
                <w:sz w:val="21"/>
              </w:rPr>
            </w:pPr>
            <w:r>
              <w:rPr>
                <w:color w:val="FF0000"/>
                <w:sz w:val="21"/>
              </w:rPr>
              <w:t>声环境</w:t>
            </w:r>
          </w:p>
        </w:tc>
        <w:tc>
          <w:tcPr>
            <w:tcW w:w="7043" w:type="dxa"/>
            <w:gridSpan w:val="2"/>
            <w:tcBorders>
              <w:top w:val="single" w:color="000000" w:sz="4" w:space="0"/>
              <w:left w:val="single" w:color="000000" w:sz="4" w:space="0"/>
              <w:bottom w:val="single" w:color="000000" w:sz="4" w:space="0"/>
            </w:tcBorders>
          </w:tcPr>
          <w:p>
            <w:pPr>
              <w:pStyle w:val="19"/>
              <w:spacing w:line="268" w:lineRule="exact"/>
              <w:ind w:left="491" w:right="45"/>
              <w:rPr>
                <w:sz w:val="21"/>
              </w:rPr>
            </w:pPr>
            <w:r>
              <w:rPr>
                <w:color w:val="FF0000"/>
                <w:sz w:val="21"/>
              </w:rPr>
              <w:t>《声环境质量标准》（</w:t>
            </w:r>
            <w:r>
              <w:rPr>
                <w:rFonts w:ascii="Times New Roman" w:eastAsia="Times New Roman"/>
                <w:color w:val="FF0000"/>
                <w:sz w:val="21"/>
              </w:rPr>
              <w:t>GB3096-2008</w:t>
            </w:r>
            <w:r>
              <w:rPr>
                <w:color w:val="FF0000"/>
                <w:sz w:val="21"/>
              </w:rPr>
              <w:t>）</w:t>
            </w:r>
            <w:r>
              <w:rPr>
                <w:rFonts w:ascii="Times New Roman" w:eastAsia="Times New Roman"/>
                <w:color w:val="FF0000"/>
                <w:sz w:val="21"/>
              </w:rPr>
              <w:t xml:space="preserve">2 </w:t>
            </w:r>
            <w:r>
              <w:rPr>
                <w:color w:val="FF0000"/>
                <w:sz w:val="21"/>
              </w:rPr>
              <w:t>类标准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7" w:hRule="atLeast"/>
        </w:trPr>
        <w:tc>
          <w:tcPr>
            <w:tcW w:w="1477" w:type="dxa"/>
            <w:tcBorders>
              <w:top w:val="single" w:color="000000" w:sz="4" w:space="0"/>
              <w:right w:val="single" w:color="000000" w:sz="4" w:space="0"/>
            </w:tcBorders>
          </w:tcPr>
          <w:p>
            <w:pPr>
              <w:pStyle w:val="19"/>
              <w:jc w:val="left"/>
              <w:rPr>
                <w:b/>
                <w:sz w:val="20"/>
              </w:rPr>
            </w:pPr>
          </w:p>
          <w:p>
            <w:pPr>
              <w:pStyle w:val="19"/>
              <w:spacing w:before="4"/>
              <w:jc w:val="left"/>
              <w:rPr>
                <w:b/>
                <w:sz w:val="18"/>
              </w:rPr>
            </w:pPr>
          </w:p>
          <w:p>
            <w:pPr>
              <w:pStyle w:val="19"/>
              <w:ind w:left="188" w:right="179"/>
              <w:rPr>
                <w:sz w:val="21"/>
              </w:rPr>
            </w:pPr>
            <w:r>
              <w:rPr>
                <w:color w:val="FF0000"/>
                <w:sz w:val="21"/>
              </w:rPr>
              <w:t>土壤环境</w:t>
            </w:r>
          </w:p>
        </w:tc>
        <w:tc>
          <w:tcPr>
            <w:tcW w:w="7043" w:type="dxa"/>
            <w:gridSpan w:val="2"/>
            <w:tcBorders>
              <w:top w:val="single" w:color="000000" w:sz="4" w:space="0"/>
              <w:left w:val="single" w:color="000000" w:sz="4" w:space="0"/>
            </w:tcBorders>
          </w:tcPr>
          <w:p>
            <w:pPr>
              <w:pStyle w:val="19"/>
              <w:spacing w:before="1" w:line="290" w:lineRule="auto"/>
              <w:ind w:left="1549" w:right="520" w:hanging="584"/>
              <w:jc w:val="left"/>
              <w:rPr>
                <w:sz w:val="21"/>
              </w:rPr>
            </w:pPr>
            <w:r>
              <w:rPr>
                <w:color w:val="FF0000"/>
                <w:w w:val="95"/>
                <w:sz w:val="21"/>
              </w:rPr>
              <w:t>《土壤环境质量农用地土壤污染风险管控标准（试行）（</w:t>
            </w:r>
            <w:r>
              <w:rPr>
                <w:rFonts w:ascii="Times New Roman" w:eastAsia="Times New Roman"/>
                <w:color w:val="FF0000"/>
                <w:w w:val="95"/>
                <w:sz w:val="21"/>
              </w:rPr>
              <w:t xml:space="preserve">GB </w:t>
            </w:r>
            <w:r>
              <w:rPr>
                <w:rFonts w:ascii="Times New Roman" w:eastAsia="Times New Roman"/>
                <w:color w:val="FF0000"/>
                <w:sz w:val="21"/>
              </w:rPr>
              <w:t>15618-2018</w:t>
            </w:r>
            <w:r>
              <w:rPr>
                <w:color w:val="FF0000"/>
                <w:sz w:val="21"/>
              </w:rPr>
              <w:t>）》农用地土壤污染风险筛选值</w:t>
            </w:r>
          </w:p>
          <w:p>
            <w:pPr>
              <w:pStyle w:val="19"/>
              <w:spacing w:before="2"/>
              <w:ind w:left="860"/>
              <w:jc w:val="left"/>
              <w:rPr>
                <w:rFonts w:ascii="Times New Roman" w:eastAsia="Times New Roman"/>
                <w:sz w:val="21"/>
              </w:rPr>
            </w:pPr>
            <w:r>
              <w:rPr>
                <w:color w:val="FF0000"/>
                <w:sz w:val="21"/>
              </w:rPr>
              <w:t>《土壤环境质量建设用地土壤污染风险管控标准（试行）（</w:t>
            </w:r>
            <w:r>
              <w:rPr>
                <w:rFonts w:ascii="Times New Roman" w:eastAsia="Times New Roman"/>
                <w:color w:val="FF0000"/>
                <w:sz w:val="21"/>
              </w:rPr>
              <w:t>GB</w:t>
            </w:r>
          </w:p>
          <w:p>
            <w:pPr>
              <w:pStyle w:val="19"/>
              <w:spacing w:before="57"/>
              <w:ind w:left="1969"/>
              <w:jc w:val="left"/>
              <w:rPr>
                <w:sz w:val="21"/>
              </w:rPr>
            </w:pPr>
            <w:r>
              <w:rPr>
                <w:rFonts w:ascii="Times New Roman" w:eastAsia="Times New Roman"/>
                <w:color w:val="FF0000"/>
                <w:sz w:val="21"/>
              </w:rPr>
              <w:t>36600-2018</w:t>
            </w:r>
            <w:r>
              <w:rPr>
                <w:color w:val="FF0000"/>
                <w:sz w:val="21"/>
              </w:rPr>
              <w:t>）》第二类用地筛选值</w:t>
            </w:r>
          </w:p>
        </w:tc>
      </w:tr>
    </w:tbl>
    <w:p>
      <w:pPr>
        <w:pStyle w:val="9"/>
        <w:spacing w:before="2" w:line="364" w:lineRule="auto"/>
        <w:ind w:left="218" w:right="253" w:firstLine="480"/>
        <w:jc w:val="both"/>
      </w:pPr>
      <w:r>
        <w:rPr>
          <w:color w:val="FF0000"/>
          <w:spacing w:val="-3"/>
        </w:rPr>
        <w:t>矿井锅炉污染物排放浓度满足《锅炉大气污染物排放标准》</w:t>
      </w:r>
      <w:r>
        <w:rPr>
          <w:rFonts w:ascii="Times New Roman" w:eastAsia="Times New Roman"/>
          <w:color w:val="FF0000"/>
        </w:rPr>
        <w:t>(GB13271-2014)</w:t>
      </w:r>
      <w:r>
        <w:rPr>
          <w:color w:val="FF0000"/>
          <w:spacing w:val="-5"/>
        </w:rPr>
        <w:t>标准限</w:t>
      </w:r>
      <w:r>
        <w:rPr>
          <w:color w:val="FF0000"/>
          <w:spacing w:val="-7"/>
        </w:rPr>
        <w:t>值要求。本项目生活污水处理后全部回用，采煤废水处理后部分利用，无法回用部分出</w:t>
      </w:r>
      <w:r>
        <w:rPr>
          <w:color w:val="FF0000"/>
          <w:spacing w:val="-4"/>
        </w:rPr>
        <w:t>售给黑龙江建龙钢铁有限公司综合利用；投产后四周厂界噪声预测值满足《工业企业厂</w:t>
      </w:r>
      <w:r>
        <w:rPr>
          <w:color w:val="FF0000"/>
          <w:spacing w:val="-6"/>
        </w:rPr>
        <w:t>界环境噪声排放标准》</w:t>
      </w:r>
      <w:r>
        <w:rPr>
          <w:color w:val="FF0000"/>
          <w:spacing w:val="-3"/>
        </w:rPr>
        <w:t>（</w:t>
      </w:r>
      <w:r>
        <w:rPr>
          <w:rFonts w:ascii="Times New Roman" w:eastAsia="Times New Roman"/>
          <w:color w:val="FF0000"/>
          <w:spacing w:val="-3"/>
        </w:rPr>
        <w:t>GB12348-2008</w:t>
      </w:r>
      <w:r>
        <w:rPr>
          <w:color w:val="FF0000"/>
          <w:spacing w:val="-3"/>
        </w:rPr>
        <w:t>）</w:t>
      </w:r>
      <w:r>
        <w:rPr>
          <w:color w:val="FF0000"/>
          <w:spacing w:val="-19"/>
        </w:rPr>
        <w:t xml:space="preserve">中的 </w:t>
      </w:r>
      <w:r>
        <w:rPr>
          <w:rFonts w:ascii="Times New Roman" w:eastAsia="Times New Roman"/>
          <w:color w:val="FF0000"/>
        </w:rPr>
        <w:t xml:space="preserve">2 </w:t>
      </w:r>
      <w:r>
        <w:rPr>
          <w:color w:val="FF0000"/>
          <w:spacing w:val="-5"/>
        </w:rPr>
        <w:t>类排放标准要求；本项目产生的固体废</w:t>
      </w:r>
      <w:r>
        <w:rPr>
          <w:color w:val="FF0000"/>
          <w:spacing w:val="-2"/>
        </w:rPr>
        <w:t xml:space="preserve">物通过相应的处理措施后，处置效率可达到 </w:t>
      </w:r>
      <w:r>
        <w:rPr>
          <w:rFonts w:ascii="Times New Roman" w:eastAsia="Times New Roman"/>
          <w:color w:val="FF0000"/>
        </w:rPr>
        <w:t>100%</w:t>
      </w:r>
      <w:r>
        <w:rPr>
          <w:color w:val="FF0000"/>
        </w:rPr>
        <w:t>。经预测，本项目运营期所排放的污染物经各类污染防治措施处理后，均能达标排放，符合环境质量底线要求。</w:t>
      </w:r>
    </w:p>
    <w:p>
      <w:pPr>
        <w:pStyle w:val="18"/>
        <w:numPr>
          <w:ilvl w:val="0"/>
          <w:numId w:val="13"/>
        </w:numPr>
        <w:tabs>
          <w:tab w:val="left" w:pos="1300"/>
        </w:tabs>
        <w:spacing w:before="0" w:after="0" w:line="304" w:lineRule="exact"/>
        <w:ind w:left="1299" w:right="0" w:hanging="602"/>
        <w:jc w:val="left"/>
        <w:rPr>
          <w:sz w:val="24"/>
        </w:rPr>
      </w:pPr>
      <w:r>
        <w:rPr>
          <w:color w:val="FF0000"/>
          <w:sz w:val="24"/>
        </w:rPr>
        <w:t>资源利用上线</w:t>
      </w:r>
    </w:p>
    <w:p>
      <w:pPr>
        <w:pStyle w:val="9"/>
        <w:spacing w:before="158" w:line="364" w:lineRule="auto"/>
        <w:ind w:left="218" w:right="194" w:firstLine="480"/>
      </w:pPr>
      <w:r>
        <w:rPr>
          <w:color w:val="FF0000"/>
        </w:rPr>
        <w:t>资源利用上线是促进资源能源节约，保障水、土地、能源等资源高效利用不应突破的最高限值。本项目各项资源量均在区域的可承受范围内，不逾越资源利用上线。</w:t>
      </w:r>
    </w:p>
    <w:p>
      <w:pPr>
        <w:pStyle w:val="18"/>
        <w:numPr>
          <w:ilvl w:val="0"/>
          <w:numId w:val="13"/>
        </w:numPr>
        <w:tabs>
          <w:tab w:val="left" w:pos="1300"/>
        </w:tabs>
        <w:spacing w:before="1" w:after="0" w:line="240" w:lineRule="auto"/>
        <w:ind w:left="1299" w:right="0" w:hanging="602"/>
        <w:jc w:val="left"/>
        <w:rPr>
          <w:sz w:val="24"/>
        </w:rPr>
      </w:pPr>
      <w:r>
        <w:rPr>
          <w:color w:val="FF0000"/>
          <w:sz w:val="24"/>
        </w:rPr>
        <w:t>环境准入负面清单</w:t>
      </w:r>
    </w:p>
    <w:p>
      <w:pPr>
        <w:pStyle w:val="9"/>
        <w:spacing w:before="159" w:line="364" w:lineRule="auto"/>
        <w:ind w:left="218" w:right="137" w:firstLine="480"/>
        <w:jc w:val="both"/>
      </w:pPr>
      <w:r>
        <w:rPr>
          <w:color w:val="FF0000"/>
          <w:spacing w:val="-3"/>
        </w:rPr>
        <w:t>目前项目所在区域尚未正式发布环境准入负面清单，本项目不属于《产业结构调整指导目录</w:t>
      </w:r>
      <w:r>
        <w:rPr>
          <w:rFonts w:ascii="Times New Roman" w:hAnsi="Times New Roman" w:eastAsia="Times New Roman"/>
          <w:color w:val="FF0000"/>
          <w:spacing w:val="-3"/>
        </w:rPr>
        <w:t xml:space="preserve">(2019 </w:t>
      </w:r>
      <w:r>
        <w:rPr>
          <w:color w:val="FF0000"/>
        </w:rPr>
        <w:t>年本</w:t>
      </w:r>
      <w:r>
        <w:rPr>
          <w:rFonts w:ascii="Times New Roman" w:hAnsi="Times New Roman" w:eastAsia="Times New Roman"/>
          <w:color w:val="FF0000"/>
        </w:rPr>
        <w:t>)</w:t>
      </w:r>
      <w:r>
        <w:rPr>
          <w:color w:val="FF0000"/>
          <w:spacing w:val="-1"/>
        </w:rPr>
        <w:t>》中的</w:t>
      </w:r>
      <w:r>
        <w:rPr>
          <w:rFonts w:ascii="Times New Roman" w:hAnsi="Times New Roman" w:eastAsia="Times New Roman"/>
          <w:color w:val="FF0000"/>
        </w:rPr>
        <w:t>“</w:t>
      </w:r>
      <w:r>
        <w:rPr>
          <w:color w:val="FF0000"/>
        </w:rPr>
        <w:t>限制类</w:t>
      </w:r>
      <w:r>
        <w:rPr>
          <w:rFonts w:ascii="Times New Roman" w:hAnsi="Times New Roman" w:eastAsia="Times New Roman"/>
          <w:color w:val="FF0000"/>
        </w:rPr>
        <w:t>”</w:t>
      </w:r>
      <w:r>
        <w:rPr>
          <w:color w:val="FF0000"/>
        </w:rPr>
        <w:t>和</w:t>
      </w:r>
      <w:r>
        <w:rPr>
          <w:rFonts w:ascii="Times New Roman" w:hAnsi="Times New Roman" w:eastAsia="Times New Roman"/>
          <w:color w:val="FF0000"/>
        </w:rPr>
        <w:t>“</w:t>
      </w:r>
      <w:r>
        <w:rPr>
          <w:color w:val="FF0000"/>
        </w:rPr>
        <w:t>淘汰类</w:t>
      </w:r>
      <w:r>
        <w:rPr>
          <w:rFonts w:ascii="Times New Roman" w:hAnsi="Times New Roman" w:eastAsia="Times New Roman"/>
          <w:color w:val="FF0000"/>
        </w:rPr>
        <w:t>”</w:t>
      </w:r>
      <w:r>
        <w:rPr>
          <w:color w:val="FF0000"/>
        </w:rPr>
        <w:t>项目，未使用国家淘汰和限制使用的工</w:t>
      </w:r>
      <w:r>
        <w:rPr>
          <w:color w:val="FF0000"/>
          <w:spacing w:val="-8"/>
        </w:rPr>
        <w:t>艺及设备，符合国家产业政策；同时本项目不在《市场准入负面清单</w:t>
      </w:r>
      <w:r>
        <w:rPr>
          <w:color w:val="FF0000"/>
        </w:rPr>
        <w:t>（</w:t>
      </w:r>
      <w:r>
        <w:rPr>
          <w:rFonts w:ascii="Times New Roman" w:hAnsi="Times New Roman" w:eastAsia="Times New Roman"/>
          <w:color w:val="FF0000"/>
        </w:rPr>
        <w:t xml:space="preserve">2018 </w:t>
      </w:r>
      <w:r>
        <w:rPr>
          <w:color w:val="FF0000"/>
        </w:rPr>
        <w:t>年版</w:t>
      </w:r>
      <w:r>
        <w:rPr>
          <w:color w:val="FF0000"/>
          <w:spacing w:val="-20"/>
        </w:rPr>
        <w:t>）</w:t>
      </w:r>
      <w:r>
        <w:rPr>
          <w:color w:val="FF0000"/>
          <w:spacing w:val="-9"/>
        </w:rPr>
        <w:t>》中</w:t>
      </w:r>
      <w:r>
        <w:rPr>
          <w:color w:val="FF0000"/>
          <w:spacing w:val="-18"/>
        </w:rPr>
        <w:t>禁止准入事项采取有效的三废治理措施，具备污染集中控制的条件，符合产业政策要求。</w:t>
      </w:r>
    </w:p>
    <w:p>
      <w:pPr>
        <w:spacing w:after="0" w:line="364" w:lineRule="auto"/>
        <w:jc w:val="both"/>
        <w:sectPr>
          <w:pgSz w:w="11910" w:h="16840"/>
          <w:pgMar w:top="1360" w:right="1160" w:bottom="1180" w:left="1200" w:header="0" w:footer="913" w:gutter="0"/>
        </w:sectPr>
      </w:pPr>
    </w:p>
    <w:p>
      <w:pPr>
        <w:pStyle w:val="5"/>
        <w:numPr>
          <w:ilvl w:val="1"/>
          <w:numId w:val="9"/>
        </w:numPr>
        <w:tabs>
          <w:tab w:val="left" w:pos="668"/>
        </w:tabs>
        <w:spacing w:before="44" w:after="0" w:line="240" w:lineRule="auto"/>
        <w:ind w:left="667" w:right="0" w:hanging="450"/>
        <w:jc w:val="left"/>
      </w:pPr>
      <w:bookmarkStart w:id="28" w:name="6.2选址合理性分析"/>
      <w:bookmarkEnd w:id="28"/>
      <w:bookmarkStart w:id="29" w:name="6.2选址合理性分析"/>
      <w:bookmarkEnd w:id="29"/>
      <w:r>
        <w:rPr>
          <w:color w:val="FF0000"/>
        </w:rPr>
        <w:t>选址合理性分析</w:t>
      </w:r>
    </w:p>
    <w:p>
      <w:pPr>
        <w:pStyle w:val="18"/>
        <w:numPr>
          <w:ilvl w:val="2"/>
          <w:numId w:val="9"/>
        </w:numPr>
        <w:tabs>
          <w:tab w:val="left" w:pos="1409"/>
        </w:tabs>
        <w:spacing w:before="197" w:after="0" w:line="240" w:lineRule="auto"/>
        <w:ind w:left="1408" w:right="0" w:hanging="632"/>
        <w:jc w:val="left"/>
        <w:rPr>
          <w:b/>
          <w:sz w:val="28"/>
        </w:rPr>
      </w:pPr>
      <w:bookmarkStart w:id="30" w:name="6.2.1场址方案概述"/>
      <w:bookmarkEnd w:id="30"/>
      <w:bookmarkStart w:id="31" w:name="6.2.1场址方案概述"/>
      <w:bookmarkEnd w:id="31"/>
      <w:r>
        <w:rPr>
          <w:b/>
          <w:color w:val="FF0000"/>
          <w:sz w:val="28"/>
        </w:rPr>
        <w:t>场址方案概述</w:t>
      </w:r>
    </w:p>
    <w:p>
      <w:pPr>
        <w:pStyle w:val="9"/>
        <w:spacing w:before="185" w:line="364" w:lineRule="auto"/>
        <w:ind w:left="218" w:right="205" w:firstLine="480"/>
      </w:pPr>
      <w:bookmarkStart w:id="32" w:name="项目建设地点位于双鸭山市岭东区七道坝，土地权属为双鸭山林业局安邦河林场，利用原有"/>
      <w:bookmarkEnd w:id="32"/>
      <w:r>
        <w:rPr>
          <w:color w:val="FF0000"/>
        </w:rPr>
        <w:t>项目建设地点位于双鸭山市岭东区七道坝，土地权属为双鸭山林业局安邦河林场， 利用原有工业场地。</w:t>
      </w:r>
    </w:p>
    <w:p>
      <w:pPr>
        <w:pStyle w:val="9"/>
        <w:spacing w:line="364" w:lineRule="auto"/>
        <w:ind w:left="218" w:right="251" w:firstLine="480"/>
        <w:jc w:val="both"/>
      </w:pPr>
      <w:bookmarkStart w:id="33" w:name="项目在选址过程中，依据《煤炭工程项目建设用地指标—矿井、选煤厂、筛选厂及矿区辅助"/>
      <w:bookmarkEnd w:id="33"/>
      <w:r>
        <w:rPr>
          <w:color w:val="FF0000"/>
          <w:spacing w:val="-6"/>
        </w:rPr>
        <w:t>项目在选址过程中，依据《煤炭工程项目建设用地指标—矿井、选煤厂、筛选厂及</w:t>
      </w:r>
      <w:r>
        <w:rPr>
          <w:color w:val="FF0000"/>
          <w:spacing w:val="-3"/>
        </w:rPr>
        <w:t>矿区辅助设施部分》</w:t>
      </w:r>
      <w:r>
        <w:rPr>
          <w:rFonts w:ascii="Times New Roman" w:hAnsi="Times New Roman" w:eastAsia="Times New Roman"/>
          <w:color w:val="FF0000"/>
        </w:rPr>
        <w:t>(</w:t>
      </w:r>
      <w:r>
        <w:rPr>
          <w:color w:val="FF0000"/>
        </w:rPr>
        <w:t>建标</w:t>
      </w:r>
      <w:r>
        <w:rPr>
          <w:rFonts w:ascii="Times New Roman" w:hAnsi="Times New Roman" w:eastAsia="Times New Roman"/>
          <w:color w:val="FF0000"/>
        </w:rPr>
        <w:t xml:space="preserve">[2008]233 </w:t>
      </w:r>
      <w:r>
        <w:rPr>
          <w:color w:val="FF0000"/>
        </w:rPr>
        <w:t>号</w:t>
      </w:r>
      <w:r>
        <w:rPr>
          <w:rFonts w:ascii="Times New Roman" w:hAnsi="Times New Roman" w:eastAsia="Times New Roman"/>
          <w:color w:val="FF0000"/>
        </w:rPr>
        <w:t>)</w:t>
      </w:r>
      <w:r>
        <w:rPr>
          <w:color w:val="FF0000"/>
          <w:spacing w:val="-7"/>
        </w:rPr>
        <w:t>及《煤炭工程项目建设用地指标—露天矿、露天</w:t>
      </w:r>
      <w:r>
        <w:rPr>
          <w:color w:val="FF0000"/>
        </w:rPr>
        <w:t>矿区辅助设施部分》</w:t>
      </w:r>
      <w:r>
        <w:rPr>
          <w:color w:val="FF0000"/>
          <w:spacing w:val="4"/>
        </w:rPr>
        <w:t>（</w:t>
      </w:r>
      <w:r>
        <w:rPr>
          <w:color w:val="FF0000"/>
        </w:rPr>
        <w:t>建标</w:t>
      </w:r>
      <w:r>
        <w:rPr>
          <w:rFonts w:ascii="Times New Roman" w:hAnsi="Times New Roman" w:eastAsia="Times New Roman"/>
          <w:color w:val="FF0000"/>
        </w:rPr>
        <w:t xml:space="preserve">[2011]145 </w:t>
      </w:r>
      <w:r>
        <w:rPr>
          <w:color w:val="FF0000"/>
        </w:rPr>
        <w:t>号</w:t>
      </w:r>
      <w:r>
        <w:rPr>
          <w:color w:val="FF0000"/>
          <w:spacing w:val="4"/>
        </w:rPr>
        <w:t>）</w:t>
      </w:r>
      <w:r>
        <w:rPr>
          <w:color w:val="FF0000"/>
        </w:rPr>
        <w:t>的规定，坚持节约集约用地原则，尽量与当地土地利用总体规划和城市规划相衔接。</w:t>
      </w:r>
    </w:p>
    <w:p>
      <w:pPr>
        <w:pStyle w:val="18"/>
        <w:numPr>
          <w:ilvl w:val="2"/>
          <w:numId w:val="9"/>
        </w:numPr>
        <w:tabs>
          <w:tab w:val="left" w:pos="1409"/>
        </w:tabs>
        <w:spacing w:before="0" w:after="0" w:line="357" w:lineRule="exact"/>
        <w:ind w:left="1408" w:right="0" w:hanging="632"/>
        <w:jc w:val="left"/>
        <w:rPr>
          <w:b/>
          <w:sz w:val="28"/>
        </w:rPr>
      </w:pPr>
      <w:bookmarkStart w:id="34" w:name="6.2.2厂址方案的技术经济比较"/>
      <w:bookmarkEnd w:id="34"/>
      <w:bookmarkStart w:id="35" w:name="6.2.2厂址方案的技术经济比较"/>
      <w:bookmarkEnd w:id="35"/>
      <w:r>
        <w:rPr>
          <w:b/>
          <w:color w:val="FF0000"/>
          <w:sz w:val="28"/>
        </w:rPr>
        <w:t>厂址方案的技术经济比较</w:t>
      </w:r>
    </w:p>
    <w:p>
      <w:pPr>
        <w:pStyle w:val="9"/>
        <w:spacing w:before="184" w:line="364" w:lineRule="auto"/>
        <w:ind w:left="218" w:right="194" w:firstLine="480"/>
      </w:pPr>
      <w:bookmarkStart w:id="36" w:name="本项目利用原有工业广场进行改造，工程地质条件、水文地质条件、公用工程等条件满足项"/>
      <w:bookmarkEnd w:id="36"/>
      <w:r>
        <w:rPr>
          <w:color w:val="FF0000"/>
        </w:rPr>
        <w:t>本项目利用原有工业广场进行改造，工程地质条件、水文地质条件、公用工程等条件满足项目建设需要和环保要求，该场址满足项目建设要求，是本项目的理想场地。</w:t>
      </w:r>
    </w:p>
    <w:p>
      <w:pPr>
        <w:pStyle w:val="18"/>
        <w:numPr>
          <w:ilvl w:val="2"/>
          <w:numId w:val="9"/>
        </w:numPr>
        <w:tabs>
          <w:tab w:val="left" w:pos="1409"/>
        </w:tabs>
        <w:spacing w:before="0" w:after="0" w:line="358" w:lineRule="exact"/>
        <w:ind w:left="1408" w:right="0" w:hanging="632"/>
        <w:jc w:val="left"/>
        <w:rPr>
          <w:b/>
          <w:sz w:val="28"/>
        </w:rPr>
      </w:pPr>
      <w:bookmarkStart w:id="37" w:name="6.2.3设计场地环境制约因素分析"/>
      <w:bookmarkEnd w:id="37"/>
      <w:bookmarkStart w:id="38" w:name="6.2.3设计场地环境制约因素分析"/>
      <w:bookmarkEnd w:id="38"/>
      <w:r>
        <w:rPr>
          <w:b/>
          <w:color w:val="FF0000"/>
          <w:sz w:val="28"/>
        </w:rPr>
        <w:t>设计场地环境制约因素分析</w:t>
      </w:r>
    </w:p>
    <w:p>
      <w:pPr>
        <w:pStyle w:val="9"/>
        <w:spacing w:before="185"/>
        <w:ind w:left="698"/>
      </w:pPr>
      <w:r>
        <w:rPr>
          <w:color w:val="FF0000"/>
        </w:rPr>
        <w:t>场地所在地区为农村地区，环境空气属二类功能区，执行《环境空气质量标准》</w:t>
      </w:r>
    </w:p>
    <w:p>
      <w:pPr>
        <w:pStyle w:val="9"/>
        <w:spacing w:before="161" w:line="364" w:lineRule="auto"/>
        <w:ind w:left="218" w:right="152"/>
      </w:pPr>
      <w:r>
        <w:rPr>
          <w:color w:val="FF0000"/>
        </w:rPr>
        <w:t>（</w:t>
      </w:r>
      <w:r>
        <w:rPr>
          <w:rFonts w:ascii="Times New Roman" w:hAnsi="Times New Roman" w:eastAsia="Times New Roman"/>
          <w:color w:val="FF0000"/>
        </w:rPr>
        <w:t>GB3095</w:t>
      </w:r>
      <w:r>
        <w:rPr>
          <w:color w:val="FF0000"/>
        </w:rPr>
        <w:t>－</w:t>
      </w:r>
      <w:r>
        <w:rPr>
          <w:rFonts w:ascii="Times New Roman" w:hAnsi="Times New Roman" w:eastAsia="Times New Roman"/>
          <w:color w:val="FF0000"/>
        </w:rPr>
        <w:t>2012</w:t>
      </w:r>
      <w:r>
        <w:rPr>
          <w:color w:val="FF0000"/>
        </w:rPr>
        <w:t>）二级标准；该地区工业污染源较少，项目所在地区域环境空气质量本底较好，具有一定的环境容量。根据《全国重要江河湖泊水功能区划</w:t>
      </w:r>
      <w:r>
        <w:rPr>
          <w:rFonts w:ascii="Times New Roman" w:hAnsi="Times New Roman" w:eastAsia="Times New Roman"/>
          <w:color w:val="FF0000"/>
        </w:rPr>
        <w:t xml:space="preserve">(2011-2030 </w:t>
      </w:r>
      <w:r>
        <w:rPr>
          <w:color w:val="FF0000"/>
        </w:rPr>
        <w:t>年</w:t>
      </w:r>
      <w:r>
        <w:rPr>
          <w:rFonts w:ascii="Times New Roman" w:hAnsi="Times New Roman" w:eastAsia="Times New Roman"/>
          <w:color w:val="FF0000"/>
        </w:rPr>
        <w:t>)</w:t>
      </w:r>
      <w:r>
        <w:rPr>
          <w:color w:val="FF0000"/>
        </w:rPr>
        <w:t>》安邦河水体功能划分结果，本项目为《地表水环境质量标准》（</w:t>
      </w:r>
      <w:r>
        <w:rPr>
          <w:rFonts w:ascii="Times New Roman" w:hAnsi="Times New Roman" w:eastAsia="Times New Roman"/>
          <w:color w:val="FF0000"/>
        </w:rPr>
        <w:t>GB3838</w:t>
      </w:r>
      <w:r>
        <w:rPr>
          <w:color w:val="FF0000"/>
        </w:rPr>
        <w:t>－</w:t>
      </w:r>
      <w:r>
        <w:rPr>
          <w:rFonts w:ascii="Times New Roman" w:hAnsi="Times New Roman" w:eastAsia="Times New Roman"/>
          <w:color w:val="FF0000"/>
        </w:rPr>
        <w:t>2002</w:t>
      </w:r>
      <w:r>
        <w:rPr>
          <w:color w:val="FF0000"/>
        </w:rPr>
        <w:t>）中的Ⅱ类区。</w:t>
      </w:r>
    </w:p>
    <w:p>
      <w:pPr>
        <w:pStyle w:val="9"/>
        <w:spacing w:line="364" w:lineRule="auto"/>
        <w:ind w:left="218" w:right="257" w:firstLine="480"/>
        <w:jc w:val="both"/>
      </w:pPr>
      <w:r>
        <w:rPr>
          <w:color w:val="FF0000"/>
          <w:spacing w:val="-7"/>
        </w:rPr>
        <w:t>项目生活、生产废水经综合污水处理厂处理后全部回用，不外排；采煤废水经矿井</w:t>
      </w:r>
      <w:r>
        <w:rPr>
          <w:color w:val="FF0000"/>
          <w:spacing w:val="-6"/>
        </w:rPr>
        <w:t>水处理站处理后，部分回用于井下生产用水、洗浴用水、洗衣用水和锅炉补水等非饮用</w:t>
      </w:r>
      <w:r>
        <w:rPr>
          <w:color w:val="FF0000"/>
        </w:rPr>
        <w:t>生活用水，剩余部分出售给黑龙江建龙钢铁有限公司综合利用。</w:t>
      </w:r>
    </w:p>
    <w:p>
      <w:pPr>
        <w:pStyle w:val="18"/>
        <w:numPr>
          <w:ilvl w:val="2"/>
          <w:numId w:val="9"/>
        </w:numPr>
        <w:tabs>
          <w:tab w:val="left" w:pos="1409"/>
        </w:tabs>
        <w:spacing w:before="0" w:after="0" w:line="240" w:lineRule="auto"/>
        <w:ind w:left="1408" w:right="0" w:hanging="632"/>
        <w:jc w:val="left"/>
        <w:rPr>
          <w:b/>
          <w:sz w:val="28"/>
        </w:rPr>
      </w:pPr>
      <w:bookmarkStart w:id="39" w:name="6.2.4矿区选址合理性分析"/>
      <w:bookmarkEnd w:id="39"/>
      <w:bookmarkStart w:id="40" w:name="6.2.4矿区选址合理性分析"/>
      <w:bookmarkEnd w:id="40"/>
      <w:r>
        <w:rPr>
          <w:b/>
          <w:color w:val="FF0000"/>
          <w:sz w:val="28"/>
        </w:rPr>
        <w:t>矿区选址合理性分析</w:t>
      </w:r>
    </w:p>
    <w:p>
      <w:pPr>
        <w:pStyle w:val="9"/>
        <w:spacing w:before="183" w:line="364" w:lineRule="auto"/>
        <w:ind w:left="218" w:right="253" w:firstLine="480"/>
        <w:jc w:val="both"/>
      </w:pPr>
      <w:r>
        <w:rPr>
          <w:color w:val="FF0000"/>
          <w:spacing w:val="-5"/>
        </w:rPr>
        <w:t>本矿井位于双鸭山市，符合《黑龙江省矿产资源总体规划</w:t>
      </w:r>
      <w:r>
        <w:rPr>
          <w:rFonts w:ascii="Times New Roman" w:eastAsia="Times New Roman"/>
          <w:color w:val="FF0000"/>
        </w:rPr>
        <w:t xml:space="preserve">(2016-2020 </w:t>
      </w:r>
      <w:r>
        <w:rPr>
          <w:color w:val="FF0000"/>
        </w:rPr>
        <w:t>年</w:t>
      </w:r>
      <w:r>
        <w:rPr>
          <w:rFonts w:ascii="Times New Roman" w:eastAsia="Times New Roman"/>
          <w:color w:val="FF0000"/>
        </w:rPr>
        <w:t>)</w:t>
      </w:r>
      <w:r>
        <w:rPr>
          <w:color w:val="FF0000"/>
          <w:spacing w:val="-17"/>
        </w:rPr>
        <w:t>》、《双鸭</w:t>
      </w:r>
      <w:r>
        <w:rPr>
          <w:color w:val="FF0000"/>
        </w:rPr>
        <w:t>山市矿产资源总体规划（</w:t>
      </w:r>
      <w:r>
        <w:rPr>
          <w:rFonts w:ascii="Times New Roman" w:eastAsia="Times New Roman"/>
          <w:color w:val="FF0000"/>
        </w:rPr>
        <w:t xml:space="preserve">2016-2020 </w:t>
      </w:r>
      <w:r>
        <w:rPr>
          <w:color w:val="FF0000"/>
        </w:rPr>
        <w:t>年）》，属于限制开采区内的保留矿山。本项目采场选址分析如下表所示：</w:t>
      </w:r>
    </w:p>
    <w:p>
      <w:pPr>
        <w:spacing w:before="0" w:line="265" w:lineRule="exact"/>
        <w:ind w:left="578" w:right="196" w:firstLine="0"/>
        <w:jc w:val="center"/>
        <w:rPr>
          <w:b/>
          <w:sz w:val="21"/>
        </w:rPr>
      </w:pPr>
      <w:r>
        <w:rPr>
          <w:b/>
          <w:color w:val="FF0000"/>
          <w:spacing w:val="-26"/>
          <w:sz w:val="21"/>
        </w:rPr>
        <w:t xml:space="preserve">表 </w:t>
      </w:r>
      <w:r>
        <w:rPr>
          <w:rFonts w:ascii="Times New Roman" w:eastAsia="Times New Roman"/>
          <w:b/>
          <w:color w:val="FF0000"/>
          <w:sz w:val="21"/>
        </w:rPr>
        <w:t>4</w:t>
      </w:r>
      <w:r>
        <w:rPr>
          <w:rFonts w:ascii="Times New Roman" w:eastAsia="Times New Roman"/>
          <w:b/>
          <w:color w:val="FF0000"/>
          <w:spacing w:val="52"/>
          <w:sz w:val="21"/>
        </w:rPr>
        <w:t xml:space="preserve"> </w:t>
      </w:r>
      <w:r>
        <w:rPr>
          <w:b/>
          <w:color w:val="FF0000"/>
          <w:sz w:val="21"/>
        </w:rPr>
        <w:t>采场选址合理性分析</w:t>
      </w:r>
    </w:p>
    <w:p>
      <w:pPr>
        <w:pStyle w:val="9"/>
        <w:spacing w:before="10" w:after="1"/>
        <w:rPr>
          <w:b/>
          <w:sz w:val="10"/>
        </w:rPr>
      </w:pPr>
    </w:p>
    <w:tbl>
      <w:tblPr>
        <w:tblStyle w:val="15"/>
        <w:tblW w:w="0" w:type="auto"/>
        <w:tblInd w:w="5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3"/>
        <w:gridCol w:w="4065"/>
        <w:gridCol w:w="2924"/>
        <w:gridCol w:w="8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tcBorders>
              <w:bottom w:val="single" w:color="000000" w:sz="4" w:space="0"/>
              <w:right w:val="single" w:color="000000" w:sz="4" w:space="0"/>
            </w:tcBorders>
          </w:tcPr>
          <w:p>
            <w:pPr>
              <w:pStyle w:val="19"/>
              <w:spacing w:before="2"/>
              <w:ind w:left="103" w:right="95"/>
              <w:rPr>
                <w:sz w:val="21"/>
              </w:rPr>
            </w:pPr>
            <w:r>
              <w:rPr>
                <w:color w:val="FF0000"/>
                <w:sz w:val="21"/>
              </w:rPr>
              <w:t>序号</w:t>
            </w:r>
          </w:p>
        </w:tc>
        <w:tc>
          <w:tcPr>
            <w:tcW w:w="4065" w:type="dxa"/>
            <w:tcBorders>
              <w:left w:val="single" w:color="000000" w:sz="4" w:space="0"/>
              <w:bottom w:val="single" w:color="000000" w:sz="4" w:space="0"/>
              <w:right w:val="single" w:color="000000" w:sz="4" w:space="0"/>
            </w:tcBorders>
          </w:tcPr>
          <w:p>
            <w:pPr>
              <w:pStyle w:val="19"/>
              <w:spacing w:before="2"/>
              <w:ind w:left="1302"/>
              <w:jc w:val="left"/>
              <w:rPr>
                <w:sz w:val="21"/>
              </w:rPr>
            </w:pPr>
            <w:r>
              <w:rPr>
                <w:color w:val="FF0000"/>
                <w:sz w:val="21"/>
              </w:rPr>
              <w:t>相关规划及内容</w:t>
            </w:r>
          </w:p>
        </w:tc>
        <w:tc>
          <w:tcPr>
            <w:tcW w:w="2924" w:type="dxa"/>
            <w:tcBorders>
              <w:left w:val="single" w:color="000000" w:sz="4" w:space="0"/>
              <w:bottom w:val="single" w:color="000000" w:sz="4" w:space="0"/>
              <w:right w:val="single" w:color="000000" w:sz="4" w:space="0"/>
            </w:tcBorders>
          </w:tcPr>
          <w:p>
            <w:pPr>
              <w:pStyle w:val="19"/>
              <w:spacing w:before="2"/>
              <w:ind w:left="107" w:right="92"/>
              <w:rPr>
                <w:sz w:val="21"/>
              </w:rPr>
            </w:pPr>
            <w:r>
              <w:rPr>
                <w:color w:val="FF0000"/>
                <w:sz w:val="21"/>
              </w:rPr>
              <w:t>采场选址</w:t>
            </w:r>
          </w:p>
        </w:tc>
        <w:tc>
          <w:tcPr>
            <w:tcW w:w="860" w:type="dxa"/>
            <w:tcBorders>
              <w:left w:val="single" w:color="000000" w:sz="4" w:space="0"/>
              <w:bottom w:val="single" w:color="000000" w:sz="4" w:space="0"/>
            </w:tcBorders>
          </w:tcPr>
          <w:p>
            <w:pPr>
              <w:pStyle w:val="19"/>
              <w:spacing w:before="2"/>
              <w:ind w:left="98" w:right="77"/>
              <w:rPr>
                <w:sz w:val="21"/>
              </w:rPr>
            </w:pPr>
            <w:r>
              <w:rPr>
                <w:color w:val="FF0000"/>
                <w:sz w:val="21"/>
              </w:rPr>
              <w:t>符合性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5" w:hRule="atLeast"/>
        </w:trPr>
        <w:tc>
          <w:tcPr>
            <w:tcW w:w="673" w:type="dxa"/>
            <w:tcBorders>
              <w:top w:val="single" w:color="000000" w:sz="4" w:space="0"/>
              <w:right w:val="single" w:color="000000" w:sz="4" w:space="0"/>
            </w:tcBorders>
          </w:tcPr>
          <w:p>
            <w:pPr>
              <w:pStyle w:val="19"/>
              <w:jc w:val="left"/>
              <w:rPr>
                <w:b/>
                <w:sz w:val="22"/>
              </w:rPr>
            </w:pPr>
          </w:p>
          <w:p>
            <w:pPr>
              <w:pStyle w:val="19"/>
              <w:spacing w:before="9"/>
              <w:jc w:val="left"/>
              <w:rPr>
                <w:b/>
                <w:sz w:val="17"/>
              </w:rPr>
            </w:pPr>
          </w:p>
          <w:p>
            <w:pPr>
              <w:pStyle w:val="19"/>
              <w:ind w:left="12"/>
              <w:rPr>
                <w:rFonts w:ascii="Times New Roman"/>
                <w:sz w:val="21"/>
              </w:rPr>
            </w:pPr>
            <w:r>
              <w:rPr>
                <w:rFonts w:ascii="Times New Roman"/>
                <w:color w:val="FF0000"/>
                <w:w w:val="99"/>
                <w:sz w:val="21"/>
              </w:rPr>
              <w:t>1</w:t>
            </w:r>
          </w:p>
        </w:tc>
        <w:tc>
          <w:tcPr>
            <w:tcW w:w="4065" w:type="dxa"/>
            <w:tcBorders>
              <w:top w:val="single" w:color="000000" w:sz="4" w:space="0"/>
              <w:left w:val="single" w:color="000000" w:sz="4" w:space="0"/>
              <w:right w:val="single" w:color="000000" w:sz="4" w:space="0"/>
            </w:tcBorders>
          </w:tcPr>
          <w:p>
            <w:pPr>
              <w:pStyle w:val="19"/>
              <w:spacing w:before="164" w:line="290" w:lineRule="auto"/>
              <w:ind w:left="183" w:right="160"/>
              <w:rPr>
                <w:sz w:val="21"/>
              </w:rPr>
            </w:pPr>
            <w:r>
              <w:rPr>
                <w:color w:val="FF0000"/>
                <w:w w:val="95"/>
                <w:sz w:val="21"/>
              </w:rPr>
              <w:t>《黑龙江省矿产资源总体规划</w:t>
            </w:r>
            <w:r>
              <w:rPr>
                <w:rFonts w:ascii="Times New Roman" w:eastAsia="Times New Roman"/>
                <w:color w:val="FF0000"/>
                <w:w w:val="95"/>
                <w:sz w:val="21"/>
              </w:rPr>
              <w:t xml:space="preserve">(2016-2020 </w:t>
            </w:r>
            <w:r>
              <w:rPr>
                <w:color w:val="FF0000"/>
                <w:sz w:val="21"/>
              </w:rPr>
              <w:t>年</w:t>
            </w:r>
            <w:r>
              <w:rPr>
                <w:rFonts w:ascii="Times New Roman" w:eastAsia="Times New Roman"/>
                <w:color w:val="FF0000"/>
                <w:sz w:val="21"/>
              </w:rPr>
              <w:t>)</w:t>
            </w:r>
            <w:r>
              <w:rPr>
                <w:color w:val="FF0000"/>
                <w:sz w:val="21"/>
              </w:rPr>
              <w:t>》、《双鸭山市矿产资源总体规划</w:t>
            </w:r>
          </w:p>
          <w:p>
            <w:pPr>
              <w:pStyle w:val="19"/>
              <w:spacing w:before="1"/>
              <w:ind w:left="177" w:right="160"/>
              <w:rPr>
                <w:sz w:val="21"/>
              </w:rPr>
            </w:pPr>
            <w:r>
              <w:rPr>
                <w:color w:val="FF0000"/>
                <w:sz w:val="21"/>
              </w:rPr>
              <w:t>（</w:t>
            </w:r>
            <w:r>
              <w:rPr>
                <w:rFonts w:ascii="Times New Roman" w:eastAsia="Times New Roman"/>
                <w:color w:val="FF0000"/>
                <w:sz w:val="21"/>
              </w:rPr>
              <w:t xml:space="preserve">2016-2020 </w:t>
            </w:r>
            <w:r>
              <w:rPr>
                <w:color w:val="FF0000"/>
                <w:sz w:val="21"/>
              </w:rPr>
              <w:t>年）》</w:t>
            </w:r>
          </w:p>
        </w:tc>
        <w:tc>
          <w:tcPr>
            <w:tcW w:w="2924" w:type="dxa"/>
            <w:tcBorders>
              <w:top w:val="single" w:color="000000" w:sz="4" w:space="0"/>
              <w:left w:val="single" w:color="000000" w:sz="4" w:space="0"/>
              <w:right w:val="single" w:color="000000" w:sz="4" w:space="0"/>
            </w:tcBorders>
          </w:tcPr>
          <w:p>
            <w:pPr>
              <w:pStyle w:val="19"/>
              <w:spacing w:line="290" w:lineRule="auto"/>
              <w:ind w:left="112" w:right="92"/>
              <w:rPr>
                <w:sz w:val="21"/>
              </w:rPr>
            </w:pPr>
            <w:r>
              <w:rPr>
                <w:color w:val="FF0000"/>
                <w:spacing w:val="-10"/>
                <w:sz w:val="21"/>
              </w:rPr>
              <w:t xml:space="preserve">本项目属于《关于全省 </w:t>
            </w:r>
            <w:r>
              <w:rPr>
                <w:rFonts w:ascii="Times New Roman" w:eastAsia="Times New Roman"/>
                <w:color w:val="FF0000"/>
                <w:sz w:val="21"/>
              </w:rPr>
              <w:t>167</w:t>
            </w:r>
            <w:r>
              <w:rPr>
                <w:rFonts w:ascii="Times New Roman" w:eastAsia="Times New Roman"/>
                <w:color w:val="FF0000"/>
                <w:spacing w:val="-3"/>
                <w:sz w:val="21"/>
              </w:rPr>
              <w:t xml:space="preserve"> </w:t>
            </w:r>
            <w:r>
              <w:rPr>
                <w:color w:val="FF0000"/>
                <w:spacing w:val="-13"/>
                <w:sz w:val="21"/>
              </w:rPr>
              <w:t>处</w:t>
            </w:r>
            <w:r>
              <w:rPr>
                <w:color w:val="FF0000"/>
                <w:sz w:val="21"/>
              </w:rPr>
              <w:t>煤矿进入规划升级改造核准</w:t>
            </w:r>
            <w:r>
              <w:rPr>
                <w:color w:val="FF0000"/>
                <w:spacing w:val="-3"/>
                <w:w w:val="95"/>
                <w:sz w:val="21"/>
              </w:rPr>
              <w:t>程序名单的批复》</w:t>
            </w:r>
            <w:r>
              <w:rPr>
                <w:color w:val="FF0000"/>
                <w:w w:val="95"/>
                <w:sz w:val="21"/>
              </w:rPr>
              <w:t>（黑煤整治</w:t>
            </w:r>
          </w:p>
          <w:p>
            <w:pPr>
              <w:pStyle w:val="19"/>
              <w:spacing w:before="3"/>
              <w:ind w:left="97" w:right="76"/>
              <w:rPr>
                <w:rFonts w:ascii="Times New Roman" w:eastAsia="Times New Roman"/>
                <w:sz w:val="21"/>
              </w:rPr>
            </w:pPr>
            <w:r>
              <w:rPr>
                <w:color w:val="FF0000"/>
                <w:sz w:val="21"/>
              </w:rPr>
              <w:t>办发</w:t>
            </w:r>
            <w:r>
              <w:rPr>
                <w:rFonts w:ascii="Times New Roman" w:eastAsia="Times New Roman"/>
                <w:color w:val="FF0000"/>
                <w:sz w:val="21"/>
              </w:rPr>
              <w:t>[2020]7</w:t>
            </w:r>
            <w:r>
              <w:rPr>
                <w:rFonts w:ascii="Times New Roman" w:eastAsia="Times New Roman"/>
                <w:color w:val="FF0000"/>
                <w:spacing w:val="-6"/>
                <w:sz w:val="21"/>
              </w:rPr>
              <w:t xml:space="preserve"> </w:t>
            </w:r>
            <w:r>
              <w:rPr>
                <w:color w:val="FF0000"/>
                <w:sz w:val="21"/>
              </w:rPr>
              <w:t>号</w:t>
            </w:r>
            <w:r>
              <w:rPr>
                <w:color w:val="FF0000"/>
                <w:spacing w:val="-56"/>
                <w:sz w:val="21"/>
              </w:rPr>
              <w:t>）</w:t>
            </w:r>
            <w:r>
              <w:rPr>
                <w:color w:val="FF0000"/>
                <w:spacing w:val="-11"/>
                <w:sz w:val="21"/>
              </w:rPr>
              <w:t xml:space="preserve">文件中的 </w:t>
            </w:r>
            <w:r>
              <w:rPr>
                <w:rFonts w:ascii="Times New Roman" w:eastAsia="Times New Roman"/>
                <w:color w:val="FF0000"/>
                <w:sz w:val="21"/>
              </w:rPr>
              <w:t>167</w:t>
            </w:r>
          </w:p>
        </w:tc>
        <w:tc>
          <w:tcPr>
            <w:tcW w:w="860" w:type="dxa"/>
            <w:tcBorders>
              <w:top w:val="single" w:color="000000" w:sz="4" w:space="0"/>
              <w:left w:val="single" w:color="000000" w:sz="4" w:space="0"/>
            </w:tcBorders>
          </w:tcPr>
          <w:p>
            <w:pPr>
              <w:pStyle w:val="19"/>
              <w:jc w:val="left"/>
              <w:rPr>
                <w:b/>
                <w:sz w:val="20"/>
              </w:rPr>
            </w:pPr>
          </w:p>
          <w:p>
            <w:pPr>
              <w:pStyle w:val="19"/>
              <w:spacing w:before="3"/>
              <w:jc w:val="left"/>
              <w:rPr>
                <w:b/>
                <w:sz w:val="18"/>
              </w:rPr>
            </w:pPr>
          </w:p>
          <w:p>
            <w:pPr>
              <w:pStyle w:val="19"/>
              <w:ind w:left="98" w:right="77"/>
              <w:rPr>
                <w:sz w:val="21"/>
              </w:rPr>
            </w:pPr>
            <w:r>
              <w:rPr>
                <w:color w:val="FF0000"/>
                <w:sz w:val="21"/>
              </w:rPr>
              <w:t>符合</w:t>
            </w:r>
          </w:p>
        </w:tc>
      </w:tr>
    </w:tbl>
    <w:p>
      <w:pPr>
        <w:spacing w:after="0"/>
        <w:rPr>
          <w:sz w:val="21"/>
        </w:rPr>
        <w:sectPr>
          <w:footerReference r:id="rId5" w:type="default"/>
          <w:pgSz w:w="11910" w:h="16840"/>
          <w:pgMar w:top="1360" w:right="1160" w:bottom="1180" w:left="1200" w:header="0" w:footer="993" w:gutter="0"/>
          <w:pgNumType w:start="20"/>
        </w:sectPr>
      </w:pPr>
    </w:p>
    <w:tbl>
      <w:tblPr>
        <w:tblStyle w:val="15"/>
        <w:tblW w:w="0" w:type="auto"/>
        <w:tblInd w:w="5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3"/>
        <w:gridCol w:w="915"/>
        <w:gridCol w:w="3150"/>
        <w:gridCol w:w="2924"/>
        <w:gridCol w:w="8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0" w:hRule="atLeast"/>
        </w:trPr>
        <w:tc>
          <w:tcPr>
            <w:tcW w:w="673" w:type="dxa"/>
            <w:tcBorders>
              <w:bottom w:val="single" w:color="000000" w:sz="4" w:space="0"/>
              <w:right w:val="single" w:color="000000" w:sz="4" w:space="0"/>
            </w:tcBorders>
          </w:tcPr>
          <w:p>
            <w:pPr>
              <w:pStyle w:val="19"/>
              <w:jc w:val="left"/>
              <w:rPr>
                <w:rFonts w:ascii="Times New Roman"/>
                <w:sz w:val="22"/>
              </w:rPr>
            </w:pPr>
          </w:p>
        </w:tc>
        <w:tc>
          <w:tcPr>
            <w:tcW w:w="4065" w:type="dxa"/>
            <w:gridSpan w:val="2"/>
            <w:tcBorders>
              <w:left w:val="single" w:color="000000" w:sz="4" w:space="0"/>
              <w:bottom w:val="single" w:color="000000" w:sz="4" w:space="0"/>
              <w:right w:val="single" w:color="000000" w:sz="4" w:space="0"/>
            </w:tcBorders>
          </w:tcPr>
          <w:p>
            <w:pPr>
              <w:pStyle w:val="19"/>
              <w:jc w:val="left"/>
              <w:rPr>
                <w:rFonts w:ascii="Times New Roman"/>
                <w:sz w:val="22"/>
              </w:rPr>
            </w:pPr>
          </w:p>
        </w:tc>
        <w:tc>
          <w:tcPr>
            <w:tcW w:w="2924" w:type="dxa"/>
            <w:tcBorders>
              <w:left w:val="single" w:color="000000" w:sz="4" w:space="0"/>
              <w:bottom w:val="single" w:color="000000" w:sz="4" w:space="0"/>
              <w:right w:val="single" w:color="000000" w:sz="4" w:space="0"/>
            </w:tcBorders>
          </w:tcPr>
          <w:p>
            <w:pPr>
              <w:pStyle w:val="19"/>
              <w:spacing w:line="290" w:lineRule="auto"/>
              <w:ind w:left="112" w:right="92" w:hanging="1"/>
              <w:rPr>
                <w:sz w:val="21"/>
              </w:rPr>
            </w:pPr>
            <w:r>
              <w:rPr>
                <w:color w:val="FF0000"/>
                <w:spacing w:val="-5"/>
                <w:sz w:val="21"/>
              </w:rPr>
              <w:t>处煤矿之一，项目矿山为保留</w:t>
            </w:r>
            <w:r>
              <w:rPr>
                <w:color w:val="FF0000"/>
                <w:spacing w:val="-6"/>
                <w:sz w:val="21"/>
              </w:rPr>
              <w:t>矿山，与黑龙江省和双鸭山市</w:t>
            </w:r>
          </w:p>
          <w:p>
            <w:pPr>
              <w:pStyle w:val="19"/>
              <w:ind w:left="107" w:right="92"/>
              <w:rPr>
                <w:sz w:val="21"/>
              </w:rPr>
            </w:pPr>
            <w:r>
              <w:rPr>
                <w:color w:val="FF0000"/>
                <w:sz w:val="21"/>
              </w:rPr>
              <w:t>有关规划不相违背</w:t>
            </w:r>
          </w:p>
        </w:tc>
        <w:tc>
          <w:tcPr>
            <w:tcW w:w="860" w:type="dxa"/>
            <w:tcBorders>
              <w:left w:val="single" w:color="000000" w:sz="4" w:space="0"/>
              <w:bottom w:val="single" w:color="000000" w:sz="4" w:space="0"/>
            </w:tcBorders>
          </w:tcPr>
          <w:p>
            <w:pPr>
              <w:pStyle w:val="19"/>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5" w:hRule="atLeast"/>
        </w:trPr>
        <w:tc>
          <w:tcPr>
            <w:tcW w:w="673" w:type="dxa"/>
            <w:vMerge w:val="restart"/>
            <w:tcBorders>
              <w:top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31"/>
              </w:rPr>
            </w:pPr>
          </w:p>
          <w:p>
            <w:pPr>
              <w:pStyle w:val="19"/>
              <w:ind w:left="12"/>
              <w:rPr>
                <w:rFonts w:ascii="Times New Roman"/>
                <w:sz w:val="21"/>
              </w:rPr>
            </w:pPr>
            <w:r>
              <w:rPr>
                <w:rFonts w:ascii="Times New Roman"/>
                <w:color w:val="FF0000"/>
                <w:w w:val="99"/>
                <w:sz w:val="21"/>
              </w:rPr>
              <w:t>2</w:t>
            </w:r>
          </w:p>
        </w:tc>
        <w:tc>
          <w:tcPr>
            <w:tcW w:w="915"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140" w:line="290" w:lineRule="auto"/>
              <w:ind w:left="147" w:right="126"/>
              <w:rPr>
                <w:sz w:val="21"/>
              </w:rPr>
            </w:pPr>
            <w:r>
              <w:rPr>
                <w:color w:val="FF0000"/>
                <w:sz w:val="21"/>
              </w:rPr>
              <w:t>《中华人民共和国矿产资源法》， 不得在下列地区开采矿产资源</w:t>
            </w:r>
          </w:p>
        </w:tc>
        <w:tc>
          <w:tcPr>
            <w:tcW w:w="3150" w:type="dxa"/>
            <w:tcBorders>
              <w:top w:val="single" w:color="000000" w:sz="4" w:space="0"/>
              <w:left w:val="single" w:color="000000" w:sz="4" w:space="0"/>
              <w:bottom w:val="single" w:color="000000" w:sz="4" w:space="0"/>
              <w:right w:val="single" w:color="000000" w:sz="4" w:space="0"/>
            </w:tcBorders>
          </w:tcPr>
          <w:p>
            <w:pPr>
              <w:pStyle w:val="19"/>
              <w:spacing w:before="164" w:line="290" w:lineRule="auto"/>
              <w:ind w:left="113" w:right="91" w:hanging="3"/>
              <w:rPr>
                <w:sz w:val="21"/>
              </w:rPr>
            </w:pPr>
            <w:r>
              <w:rPr>
                <w:color w:val="FF0000"/>
                <w:spacing w:val="-2"/>
                <w:w w:val="95"/>
                <w:sz w:val="21"/>
              </w:rPr>
              <w:t>港口、机场、国防工程圈定地区</w:t>
            </w:r>
            <w:r>
              <w:rPr>
                <w:color w:val="FF0000"/>
                <w:spacing w:val="-4"/>
                <w:w w:val="95"/>
                <w:sz w:val="21"/>
              </w:rPr>
              <w:t>以内；重要工业区、大型水利工</w:t>
            </w:r>
            <w:r>
              <w:rPr>
                <w:color w:val="FF0000"/>
                <w:spacing w:val="-2"/>
                <w:w w:val="95"/>
                <w:sz w:val="21"/>
              </w:rPr>
              <w:t>程设施、城市市政工程设施附近</w:t>
            </w:r>
            <w:r>
              <w:rPr>
                <w:color w:val="FF0000"/>
                <w:spacing w:val="-2"/>
                <w:sz w:val="21"/>
              </w:rPr>
              <w:t>一定距离以内</w:t>
            </w:r>
          </w:p>
        </w:tc>
        <w:tc>
          <w:tcPr>
            <w:tcW w:w="2924" w:type="dxa"/>
            <w:tcBorders>
              <w:top w:val="single" w:color="000000" w:sz="4" w:space="0"/>
              <w:left w:val="single" w:color="000000" w:sz="4" w:space="0"/>
              <w:bottom w:val="single" w:color="000000" w:sz="4" w:space="0"/>
              <w:right w:val="single" w:color="000000" w:sz="4" w:space="0"/>
            </w:tcBorders>
          </w:tcPr>
          <w:p>
            <w:pPr>
              <w:pStyle w:val="19"/>
              <w:spacing w:before="1" w:line="290" w:lineRule="auto"/>
              <w:ind w:left="112" w:right="94"/>
              <w:jc w:val="both"/>
              <w:rPr>
                <w:sz w:val="21"/>
              </w:rPr>
            </w:pPr>
            <w:r>
              <w:rPr>
                <w:color w:val="FF0000"/>
                <w:spacing w:val="-4"/>
                <w:sz w:val="21"/>
              </w:rPr>
              <w:t>本项目不在港口、机场、国防工程圈定地区以内；重要工业</w:t>
            </w:r>
            <w:r>
              <w:rPr>
                <w:color w:val="FF0000"/>
                <w:spacing w:val="-5"/>
                <w:sz w:val="21"/>
              </w:rPr>
              <w:t>区、大型水利工程设施、城市</w:t>
            </w:r>
            <w:r>
              <w:rPr>
                <w:color w:val="FF0000"/>
                <w:sz w:val="21"/>
              </w:rPr>
              <w:t>市政工程设施附近一定距离</w:t>
            </w:r>
          </w:p>
          <w:p>
            <w:pPr>
              <w:pStyle w:val="19"/>
              <w:spacing w:before="6"/>
              <w:ind w:left="109" w:right="92"/>
              <w:rPr>
                <w:sz w:val="21"/>
              </w:rPr>
            </w:pPr>
            <w:r>
              <w:rPr>
                <w:color w:val="FF0000"/>
                <w:sz w:val="21"/>
              </w:rPr>
              <w:t>以内</w:t>
            </w:r>
          </w:p>
        </w:tc>
        <w:tc>
          <w:tcPr>
            <w:tcW w:w="860" w:type="dxa"/>
            <w:tcBorders>
              <w:top w:val="single" w:color="000000" w:sz="4" w:space="0"/>
              <w:left w:val="single" w:color="000000" w:sz="4" w:space="0"/>
              <w:bottom w:val="single" w:color="000000" w:sz="4" w:space="0"/>
            </w:tcBorders>
          </w:tcPr>
          <w:p>
            <w:pPr>
              <w:pStyle w:val="19"/>
              <w:jc w:val="left"/>
              <w:rPr>
                <w:b/>
                <w:sz w:val="20"/>
              </w:rPr>
            </w:pPr>
          </w:p>
          <w:p>
            <w:pPr>
              <w:pStyle w:val="19"/>
              <w:jc w:val="left"/>
              <w:rPr>
                <w:b/>
                <w:sz w:val="20"/>
              </w:rPr>
            </w:pPr>
          </w:p>
          <w:p>
            <w:pPr>
              <w:pStyle w:val="19"/>
              <w:spacing w:before="141"/>
              <w:ind w:left="98" w:right="77"/>
              <w:rPr>
                <w:sz w:val="21"/>
              </w:rPr>
            </w:pPr>
            <w:r>
              <w:rPr>
                <w:color w:val="FF0000"/>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673" w:type="dxa"/>
            <w:vMerge w:val="continue"/>
            <w:tcBorders>
              <w:top w:val="nil"/>
              <w:bottom w:val="single" w:color="000000" w:sz="4" w:space="0"/>
              <w:right w:val="single" w:color="000000" w:sz="4" w:space="0"/>
            </w:tcBorders>
          </w:tcPr>
          <w:p>
            <w:pPr>
              <w:rPr>
                <w:sz w:val="2"/>
                <w:szCs w:val="2"/>
              </w:rPr>
            </w:pPr>
          </w:p>
        </w:tc>
        <w:tc>
          <w:tcPr>
            <w:tcW w:w="915" w:type="dxa"/>
            <w:vMerge w:val="continue"/>
            <w:tcBorders>
              <w:top w:val="nil"/>
              <w:left w:val="single" w:color="000000" w:sz="4" w:space="0"/>
              <w:bottom w:val="single" w:color="000000" w:sz="4" w:space="0"/>
              <w:right w:val="single" w:color="000000" w:sz="4" w:space="0"/>
            </w:tcBorders>
          </w:tcPr>
          <w:p>
            <w:pPr>
              <w:rPr>
                <w:sz w:val="2"/>
                <w:szCs w:val="2"/>
              </w:rPr>
            </w:pPr>
          </w:p>
        </w:tc>
        <w:tc>
          <w:tcPr>
            <w:tcW w:w="3150" w:type="dxa"/>
            <w:tcBorders>
              <w:top w:val="single" w:color="000000" w:sz="4" w:space="0"/>
              <w:left w:val="single" w:color="000000" w:sz="4" w:space="0"/>
              <w:bottom w:val="single" w:color="000000" w:sz="4" w:space="0"/>
              <w:right w:val="single" w:color="000000" w:sz="4" w:space="0"/>
            </w:tcBorders>
          </w:tcPr>
          <w:p>
            <w:pPr>
              <w:pStyle w:val="19"/>
              <w:spacing w:before="163" w:line="290" w:lineRule="auto"/>
              <w:ind w:left="1474" w:right="49" w:hanging="1361"/>
              <w:jc w:val="left"/>
              <w:rPr>
                <w:sz w:val="21"/>
              </w:rPr>
            </w:pPr>
            <w:r>
              <w:rPr>
                <w:color w:val="FF0000"/>
                <w:sz w:val="21"/>
              </w:rPr>
              <w:t>铁路、重要公路两侧一定距离以内</w:t>
            </w:r>
          </w:p>
        </w:tc>
        <w:tc>
          <w:tcPr>
            <w:tcW w:w="2924" w:type="dxa"/>
            <w:tcBorders>
              <w:top w:val="single" w:color="000000" w:sz="4" w:space="0"/>
              <w:left w:val="single" w:color="000000" w:sz="4" w:space="0"/>
              <w:bottom w:val="single" w:color="000000" w:sz="4" w:space="0"/>
              <w:right w:val="single" w:color="000000" w:sz="4" w:space="0"/>
            </w:tcBorders>
          </w:tcPr>
          <w:p>
            <w:pPr>
              <w:pStyle w:val="19"/>
              <w:spacing w:line="290" w:lineRule="auto"/>
              <w:ind w:left="112" w:right="94"/>
              <w:rPr>
                <w:sz w:val="21"/>
              </w:rPr>
            </w:pPr>
            <w:r>
              <w:rPr>
                <w:color w:val="FF0000"/>
                <w:w w:val="95"/>
                <w:sz w:val="21"/>
              </w:rPr>
              <w:t>本项目为井工开采，项目开采</w:t>
            </w:r>
            <w:r>
              <w:rPr>
                <w:color w:val="FF0000"/>
                <w:sz w:val="21"/>
              </w:rPr>
              <w:t>区与铁路、重要公路距离较</w:t>
            </w:r>
          </w:p>
          <w:p>
            <w:pPr>
              <w:pStyle w:val="19"/>
              <w:spacing w:before="2"/>
              <w:ind w:left="109" w:right="92"/>
              <w:rPr>
                <w:sz w:val="21"/>
              </w:rPr>
            </w:pPr>
            <w:r>
              <w:rPr>
                <w:color w:val="FF0000"/>
                <w:sz w:val="21"/>
              </w:rPr>
              <w:t>远，因此本项目满足要求</w:t>
            </w:r>
          </w:p>
        </w:tc>
        <w:tc>
          <w:tcPr>
            <w:tcW w:w="860" w:type="dxa"/>
            <w:tcBorders>
              <w:top w:val="single" w:color="000000" w:sz="4" w:space="0"/>
              <w:left w:val="single" w:color="000000" w:sz="4" w:space="0"/>
              <w:bottom w:val="single" w:color="000000" w:sz="4" w:space="0"/>
            </w:tcBorders>
          </w:tcPr>
          <w:p>
            <w:pPr>
              <w:pStyle w:val="19"/>
              <w:spacing w:before="6"/>
              <w:jc w:val="left"/>
              <w:rPr>
                <w:b/>
                <w:sz w:val="25"/>
              </w:rPr>
            </w:pPr>
          </w:p>
          <w:p>
            <w:pPr>
              <w:pStyle w:val="19"/>
              <w:ind w:left="98" w:right="77"/>
              <w:rPr>
                <w:sz w:val="21"/>
              </w:rPr>
            </w:pPr>
            <w:r>
              <w:rPr>
                <w:color w:val="FF0000"/>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673" w:type="dxa"/>
            <w:vMerge w:val="continue"/>
            <w:tcBorders>
              <w:top w:val="nil"/>
              <w:bottom w:val="single" w:color="000000" w:sz="4" w:space="0"/>
              <w:right w:val="single" w:color="000000" w:sz="4" w:space="0"/>
            </w:tcBorders>
          </w:tcPr>
          <w:p>
            <w:pPr>
              <w:rPr>
                <w:sz w:val="2"/>
                <w:szCs w:val="2"/>
              </w:rPr>
            </w:pPr>
          </w:p>
        </w:tc>
        <w:tc>
          <w:tcPr>
            <w:tcW w:w="915" w:type="dxa"/>
            <w:vMerge w:val="continue"/>
            <w:tcBorders>
              <w:top w:val="nil"/>
              <w:left w:val="single" w:color="000000" w:sz="4" w:space="0"/>
              <w:bottom w:val="single" w:color="000000" w:sz="4" w:space="0"/>
              <w:right w:val="single" w:color="000000" w:sz="4" w:space="0"/>
            </w:tcBorders>
          </w:tcPr>
          <w:p>
            <w:pPr>
              <w:rPr>
                <w:sz w:val="2"/>
                <w:szCs w:val="2"/>
              </w:rPr>
            </w:pPr>
          </w:p>
        </w:tc>
        <w:tc>
          <w:tcPr>
            <w:tcW w:w="3150" w:type="dxa"/>
            <w:tcBorders>
              <w:top w:val="single" w:color="000000" w:sz="4" w:space="0"/>
              <w:left w:val="single" w:color="000000" w:sz="4" w:space="0"/>
              <w:bottom w:val="single" w:color="000000" w:sz="4" w:space="0"/>
              <w:right w:val="single" w:color="000000" w:sz="4" w:space="0"/>
            </w:tcBorders>
          </w:tcPr>
          <w:p>
            <w:pPr>
              <w:pStyle w:val="19"/>
              <w:spacing w:line="268" w:lineRule="exact"/>
              <w:ind w:left="89" w:right="70"/>
              <w:rPr>
                <w:sz w:val="21"/>
              </w:rPr>
            </w:pPr>
            <w:r>
              <w:rPr>
                <w:color w:val="FF0000"/>
                <w:sz w:val="21"/>
              </w:rPr>
              <w:t>重要河流、堤坝两侧一定距离以</w:t>
            </w:r>
          </w:p>
          <w:p>
            <w:pPr>
              <w:pStyle w:val="19"/>
              <w:spacing w:before="57"/>
              <w:ind w:left="17"/>
              <w:rPr>
                <w:sz w:val="21"/>
              </w:rPr>
            </w:pPr>
            <w:r>
              <w:rPr>
                <w:color w:val="FF0000"/>
                <w:w w:val="99"/>
                <w:sz w:val="21"/>
              </w:rPr>
              <w:t>内</w:t>
            </w:r>
          </w:p>
        </w:tc>
        <w:tc>
          <w:tcPr>
            <w:tcW w:w="2924" w:type="dxa"/>
            <w:tcBorders>
              <w:top w:val="single" w:color="000000" w:sz="4" w:space="0"/>
              <w:left w:val="single" w:color="000000" w:sz="4" w:space="0"/>
              <w:bottom w:val="single" w:color="000000" w:sz="4" w:space="0"/>
              <w:right w:val="single" w:color="000000" w:sz="4" w:space="0"/>
            </w:tcBorders>
          </w:tcPr>
          <w:p>
            <w:pPr>
              <w:pStyle w:val="19"/>
              <w:spacing w:before="162"/>
              <w:ind w:left="109" w:right="92"/>
              <w:rPr>
                <w:sz w:val="21"/>
              </w:rPr>
            </w:pPr>
            <w:r>
              <w:rPr>
                <w:color w:val="FF0000"/>
                <w:sz w:val="21"/>
              </w:rPr>
              <w:t>本项目不涉及</w:t>
            </w:r>
          </w:p>
        </w:tc>
        <w:tc>
          <w:tcPr>
            <w:tcW w:w="860" w:type="dxa"/>
            <w:tcBorders>
              <w:top w:val="single" w:color="000000" w:sz="4" w:space="0"/>
              <w:left w:val="single" w:color="000000" w:sz="4" w:space="0"/>
              <w:bottom w:val="single" w:color="000000" w:sz="4" w:space="0"/>
            </w:tcBorders>
          </w:tcPr>
          <w:p>
            <w:pPr>
              <w:pStyle w:val="19"/>
              <w:spacing w:before="162"/>
              <w:ind w:left="98" w:right="77"/>
              <w:rPr>
                <w:sz w:val="21"/>
              </w:rPr>
            </w:pPr>
            <w:r>
              <w:rPr>
                <w:color w:val="FF0000"/>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3" w:hRule="atLeast"/>
        </w:trPr>
        <w:tc>
          <w:tcPr>
            <w:tcW w:w="673" w:type="dxa"/>
            <w:vMerge w:val="continue"/>
            <w:tcBorders>
              <w:top w:val="nil"/>
              <w:bottom w:val="single" w:color="000000" w:sz="4" w:space="0"/>
              <w:right w:val="single" w:color="000000" w:sz="4" w:space="0"/>
            </w:tcBorders>
          </w:tcPr>
          <w:p>
            <w:pPr>
              <w:rPr>
                <w:sz w:val="2"/>
                <w:szCs w:val="2"/>
              </w:rPr>
            </w:pPr>
          </w:p>
        </w:tc>
        <w:tc>
          <w:tcPr>
            <w:tcW w:w="915" w:type="dxa"/>
            <w:vMerge w:val="continue"/>
            <w:tcBorders>
              <w:top w:val="nil"/>
              <w:left w:val="single" w:color="000000" w:sz="4" w:space="0"/>
              <w:bottom w:val="single" w:color="000000" w:sz="4" w:space="0"/>
              <w:right w:val="single" w:color="000000" w:sz="4" w:space="0"/>
            </w:tcBorders>
          </w:tcPr>
          <w:p>
            <w:pPr>
              <w:rPr>
                <w:sz w:val="2"/>
                <w:szCs w:val="2"/>
              </w:rPr>
            </w:pPr>
          </w:p>
        </w:tc>
        <w:tc>
          <w:tcPr>
            <w:tcW w:w="3150" w:type="dxa"/>
            <w:tcBorders>
              <w:top w:val="single" w:color="000000" w:sz="4" w:space="0"/>
              <w:left w:val="single" w:color="000000" w:sz="4" w:space="0"/>
              <w:bottom w:val="single" w:color="000000" w:sz="4" w:space="0"/>
              <w:right w:val="single" w:color="000000" w:sz="4" w:space="0"/>
            </w:tcBorders>
          </w:tcPr>
          <w:p>
            <w:pPr>
              <w:pStyle w:val="19"/>
              <w:spacing w:before="5"/>
              <w:jc w:val="left"/>
              <w:rPr>
                <w:b/>
                <w:sz w:val="25"/>
              </w:rPr>
            </w:pPr>
          </w:p>
          <w:p>
            <w:pPr>
              <w:pStyle w:val="19"/>
              <w:spacing w:before="1" w:line="290" w:lineRule="auto"/>
              <w:ind w:left="113" w:right="91"/>
              <w:rPr>
                <w:sz w:val="21"/>
              </w:rPr>
            </w:pPr>
            <w:r>
              <w:rPr>
                <w:color w:val="FF0000"/>
                <w:w w:val="95"/>
                <w:sz w:val="21"/>
              </w:rPr>
              <w:t>国家划定的自然保护区、重要风景区、国家重点保护不能移动的</w:t>
            </w:r>
            <w:r>
              <w:rPr>
                <w:color w:val="FF0000"/>
                <w:sz w:val="21"/>
              </w:rPr>
              <w:t>历史文物和名胜古迹所在地</w:t>
            </w:r>
          </w:p>
        </w:tc>
        <w:tc>
          <w:tcPr>
            <w:tcW w:w="2924" w:type="dxa"/>
            <w:tcBorders>
              <w:top w:val="single" w:color="000000" w:sz="4" w:space="0"/>
              <w:left w:val="single" w:color="000000" w:sz="4" w:space="0"/>
              <w:bottom w:val="single" w:color="000000" w:sz="4" w:space="0"/>
              <w:right w:val="single" w:color="000000" w:sz="4" w:space="0"/>
            </w:tcBorders>
          </w:tcPr>
          <w:p>
            <w:pPr>
              <w:pStyle w:val="19"/>
              <w:spacing w:line="290" w:lineRule="auto"/>
              <w:ind w:left="112" w:right="92"/>
              <w:rPr>
                <w:sz w:val="21"/>
              </w:rPr>
            </w:pPr>
            <w:r>
              <w:rPr>
                <w:color w:val="FF0000"/>
                <w:sz w:val="21"/>
              </w:rPr>
              <w:t>本项目矿区及工业广场与国</w:t>
            </w:r>
            <w:r>
              <w:rPr>
                <w:color w:val="FF0000"/>
                <w:spacing w:val="-4"/>
                <w:sz w:val="21"/>
              </w:rPr>
              <w:t>家划定的自然保护区、重要风</w:t>
            </w:r>
            <w:r>
              <w:rPr>
                <w:color w:val="FF0000"/>
                <w:spacing w:val="-5"/>
                <w:w w:val="95"/>
                <w:sz w:val="21"/>
              </w:rPr>
              <w:t>景区、国家重点保护不能移动</w:t>
            </w:r>
            <w:r>
              <w:rPr>
                <w:color w:val="FF0000"/>
                <w:spacing w:val="-5"/>
                <w:sz w:val="21"/>
              </w:rPr>
              <w:t>的历史文物和名胜古迹所在</w:t>
            </w:r>
          </w:p>
          <w:p>
            <w:pPr>
              <w:pStyle w:val="19"/>
              <w:spacing w:before="5"/>
              <w:ind w:left="109" w:right="92"/>
              <w:rPr>
                <w:sz w:val="21"/>
              </w:rPr>
            </w:pPr>
            <w:r>
              <w:rPr>
                <w:color w:val="FF0000"/>
                <w:sz w:val="21"/>
              </w:rPr>
              <w:t>地不重叠</w:t>
            </w:r>
          </w:p>
        </w:tc>
        <w:tc>
          <w:tcPr>
            <w:tcW w:w="860" w:type="dxa"/>
            <w:tcBorders>
              <w:top w:val="single" w:color="000000" w:sz="4" w:space="0"/>
              <w:left w:val="single" w:color="000000" w:sz="4" w:space="0"/>
              <w:bottom w:val="single" w:color="000000" w:sz="4" w:space="0"/>
            </w:tcBorders>
          </w:tcPr>
          <w:p>
            <w:pPr>
              <w:pStyle w:val="19"/>
              <w:jc w:val="left"/>
              <w:rPr>
                <w:b/>
                <w:sz w:val="20"/>
              </w:rPr>
            </w:pPr>
          </w:p>
          <w:p>
            <w:pPr>
              <w:pStyle w:val="19"/>
              <w:jc w:val="left"/>
              <w:rPr>
                <w:b/>
                <w:sz w:val="20"/>
              </w:rPr>
            </w:pPr>
          </w:p>
          <w:p>
            <w:pPr>
              <w:pStyle w:val="19"/>
              <w:spacing w:before="140"/>
              <w:ind w:left="98" w:right="77"/>
              <w:rPr>
                <w:sz w:val="21"/>
              </w:rPr>
            </w:pPr>
            <w:r>
              <w:rPr>
                <w:color w:val="FF0000"/>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673" w:type="dxa"/>
            <w:vMerge w:val="continue"/>
            <w:tcBorders>
              <w:top w:val="nil"/>
              <w:bottom w:val="single" w:color="000000" w:sz="4" w:space="0"/>
              <w:right w:val="single" w:color="000000" w:sz="4" w:space="0"/>
            </w:tcBorders>
          </w:tcPr>
          <w:p>
            <w:pPr>
              <w:rPr>
                <w:sz w:val="2"/>
                <w:szCs w:val="2"/>
              </w:rPr>
            </w:pPr>
          </w:p>
        </w:tc>
        <w:tc>
          <w:tcPr>
            <w:tcW w:w="915" w:type="dxa"/>
            <w:vMerge w:val="continue"/>
            <w:tcBorders>
              <w:top w:val="nil"/>
              <w:left w:val="single" w:color="000000" w:sz="4" w:space="0"/>
              <w:bottom w:val="single" w:color="000000" w:sz="4" w:space="0"/>
              <w:right w:val="single" w:color="000000" w:sz="4" w:space="0"/>
            </w:tcBorders>
          </w:tcPr>
          <w:p>
            <w:pPr>
              <w:rPr>
                <w:sz w:val="2"/>
                <w:szCs w:val="2"/>
              </w:rPr>
            </w:pPr>
          </w:p>
        </w:tc>
        <w:tc>
          <w:tcPr>
            <w:tcW w:w="3150" w:type="dxa"/>
            <w:tcBorders>
              <w:top w:val="single" w:color="000000" w:sz="4" w:space="0"/>
              <w:left w:val="single" w:color="000000" w:sz="4" w:space="0"/>
              <w:bottom w:val="single" w:color="000000" w:sz="4" w:space="0"/>
              <w:right w:val="single" w:color="000000" w:sz="4" w:space="0"/>
            </w:tcBorders>
          </w:tcPr>
          <w:p>
            <w:pPr>
              <w:pStyle w:val="19"/>
              <w:ind w:left="87" w:right="70"/>
              <w:rPr>
                <w:sz w:val="21"/>
              </w:rPr>
            </w:pPr>
            <w:r>
              <w:rPr>
                <w:color w:val="FF0000"/>
                <w:sz w:val="21"/>
              </w:rPr>
              <w:t>国家规定不得开采矿产资源的</w:t>
            </w:r>
          </w:p>
          <w:p>
            <w:pPr>
              <w:pStyle w:val="19"/>
              <w:spacing w:before="57"/>
              <w:ind w:left="87" w:right="70"/>
              <w:rPr>
                <w:sz w:val="21"/>
              </w:rPr>
            </w:pPr>
            <w:r>
              <w:rPr>
                <w:color w:val="FF0000"/>
                <w:sz w:val="21"/>
              </w:rPr>
              <w:t>其它地区</w:t>
            </w:r>
          </w:p>
        </w:tc>
        <w:tc>
          <w:tcPr>
            <w:tcW w:w="2924" w:type="dxa"/>
            <w:tcBorders>
              <w:top w:val="single" w:color="000000" w:sz="4" w:space="0"/>
              <w:left w:val="single" w:color="000000" w:sz="4" w:space="0"/>
              <w:bottom w:val="single" w:color="000000" w:sz="4" w:space="0"/>
              <w:right w:val="single" w:color="000000" w:sz="4" w:space="0"/>
            </w:tcBorders>
          </w:tcPr>
          <w:p>
            <w:pPr>
              <w:pStyle w:val="19"/>
              <w:spacing w:before="163"/>
              <w:ind w:left="20"/>
              <w:rPr>
                <w:sz w:val="21"/>
              </w:rPr>
            </w:pPr>
            <w:r>
              <w:rPr>
                <w:color w:val="FF0000"/>
                <w:w w:val="99"/>
                <w:sz w:val="21"/>
              </w:rPr>
              <w:t>无</w:t>
            </w:r>
          </w:p>
        </w:tc>
        <w:tc>
          <w:tcPr>
            <w:tcW w:w="860" w:type="dxa"/>
            <w:tcBorders>
              <w:top w:val="single" w:color="000000" w:sz="4" w:space="0"/>
              <w:left w:val="single" w:color="000000" w:sz="4" w:space="0"/>
              <w:bottom w:val="single" w:color="000000" w:sz="4" w:space="0"/>
            </w:tcBorders>
          </w:tcPr>
          <w:p>
            <w:pPr>
              <w:pStyle w:val="19"/>
              <w:spacing w:before="163"/>
              <w:ind w:left="98" w:right="77"/>
              <w:rPr>
                <w:sz w:val="21"/>
              </w:rPr>
            </w:pPr>
            <w:r>
              <w:rPr>
                <w:color w:val="FF0000"/>
                <w:sz w:val="21"/>
              </w:rPr>
              <w:t>符合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673" w:type="dxa"/>
            <w:tcBorders>
              <w:top w:val="single" w:color="000000" w:sz="4" w:space="0"/>
              <w:right w:val="single" w:color="000000" w:sz="4" w:space="0"/>
            </w:tcBorders>
          </w:tcPr>
          <w:p>
            <w:pPr>
              <w:pStyle w:val="19"/>
              <w:spacing w:before="11"/>
              <w:jc w:val="left"/>
              <w:rPr>
                <w:b/>
                <w:sz w:val="26"/>
              </w:rPr>
            </w:pPr>
          </w:p>
          <w:p>
            <w:pPr>
              <w:pStyle w:val="19"/>
              <w:ind w:left="12"/>
              <w:rPr>
                <w:rFonts w:ascii="Times New Roman"/>
                <w:sz w:val="21"/>
              </w:rPr>
            </w:pPr>
            <w:r>
              <w:rPr>
                <w:rFonts w:ascii="Times New Roman"/>
                <w:color w:val="FF0000"/>
                <w:w w:val="99"/>
                <w:sz w:val="21"/>
              </w:rPr>
              <w:t>3</w:t>
            </w:r>
          </w:p>
        </w:tc>
        <w:tc>
          <w:tcPr>
            <w:tcW w:w="4065" w:type="dxa"/>
            <w:gridSpan w:val="2"/>
            <w:tcBorders>
              <w:top w:val="single" w:color="000000" w:sz="4" w:space="0"/>
              <w:left w:val="single" w:color="000000" w:sz="4" w:space="0"/>
              <w:right w:val="single" w:color="000000" w:sz="4" w:space="0"/>
            </w:tcBorders>
          </w:tcPr>
          <w:p>
            <w:pPr>
              <w:pStyle w:val="19"/>
              <w:spacing w:before="164" w:line="290" w:lineRule="auto"/>
              <w:ind w:left="838" w:right="233" w:hanging="588"/>
              <w:jc w:val="left"/>
              <w:rPr>
                <w:sz w:val="21"/>
              </w:rPr>
            </w:pPr>
            <w:r>
              <w:rPr>
                <w:color w:val="FF0000"/>
                <w:w w:val="95"/>
                <w:sz w:val="21"/>
              </w:rPr>
              <w:t>《矿山生态环境保护与污染防治技术政</w:t>
            </w:r>
            <w:r>
              <w:rPr>
                <w:color w:val="FF0000"/>
                <w:sz w:val="21"/>
              </w:rPr>
              <w:t>策》（环发</w:t>
            </w:r>
            <w:r>
              <w:rPr>
                <w:rFonts w:ascii="Times New Roman" w:eastAsia="Times New Roman"/>
                <w:color w:val="FF0000"/>
                <w:sz w:val="21"/>
              </w:rPr>
              <w:t xml:space="preserve">[2005]109 </w:t>
            </w:r>
            <w:r>
              <w:rPr>
                <w:color w:val="FF0000"/>
                <w:sz w:val="21"/>
              </w:rPr>
              <w:t>号）</w:t>
            </w:r>
          </w:p>
        </w:tc>
        <w:tc>
          <w:tcPr>
            <w:tcW w:w="2924" w:type="dxa"/>
            <w:tcBorders>
              <w:top w:val="single" w:color="000000" w:sz="4" w:space="0"/>
              <w:left w:val="single" w:color="000000" w:sz="4" w:space="0"/>
              <w:right w:val="single" w:color="000000" w:sz="4" w:space="0"/>
            </w:tcBorders>
          </w:tcPr>
          <w:p>
            <w:pPr>
              <w:pStyle w:val="19"/>
              <w:spacing w:before="1"/>
              <w:ind w:left="112"/>
              <w:jc w:val="left"/>
              <w:rPr>
                <w:sz w:val="21"/>
              </w:rPr>
            </w:pPr>
            <w:r>
              <w:rPr>
                <w:color w:val="FF0000"/>
                <w:sz w:val="21"/>
              </w:rPr>
              <w:t>本项目建设符合《矿山生态环</w:t>
            </w:r>
          </w:p>
          <w:p>
            <w:pPr>
              <w:pStyle w:val="19"/>
              <w:spacing w:before="7" w:line="320" w:lineRule="atLeast"/>
              <w:ind w:left="1045" w:right="70" w:hanging="934"/>
              <w:jc w:val="left"/>
              <w:rPr>
                <w:sz w:val="21"/>
              </w:rPr>
            </w:pPr>
            <w:r>
              <w:rPr>
                <w:color w:val="FF0000"/>
                <w:sz w:val="21"/>
              </w:rPr>
              <w:t>境保护与污染防治技术政策》相关要求</w:t>
            </w:r>
          </w:p>
        </w:tc>
        <w:tc>
          <w:tcPr>
            <w:tcW w:w="860" w:type="dxa"/>
            <w:tcBorders>
              <w:top w:val="single" w:color="000000" w:sz="4" w:space="0"/>
              <w:left w:val="single" w:color="000000" w:sz="4" w:space="0"/>
            </w:tcBorders>
          </w:tcPr>
          <w:p>
            <w:pPr>
              <w:pStyle w:val="19"/>
              <w:spacing w:before="7"/>
              <w:jc w:val="left"/>
              <w:rPr>
                <w:b/>
                <w:sz w:val="25"/>
              </w:rPr>
            </w:pPr>
          </w:p>
          <w:p>
            <w:pPr>
              <w:pStyle w:val="19"/>
              <w:ind w:left="98" w:right="77"/>
              <w:rPr>
                <w:sz w:val="21"/>
              </w:rPr>
            </w:pPr>
            <w:r>
              <w:rPr>
                <w:color w:val="FF0000"/>
                <w:sz w:val="21"/>
              </w:rPr>
              <w:t>符合</w:t>
            </w:r>
          </w:p>
        </w:tc>
      </w:tr>
    </w:tbl>
    <w:p>
      <w:pPr>
        <w:pStyle w:val="9"/>
        <w:spacing w:before="1" w:line="364" w:lineRule="auto"/>
        <w:ind w:left="218" w:right="205" w:firstLine="480"/>
      </w:pPr>
      <w:r>
        <w:rPr>
          <w:color w:val="FF0000"/>
        </w:rPr>
        <w:t>根据上表所述，本项目选址符合《中华人民共和国矿产资源法》的相关要求，满足黑龙江省及双鸭山市矿产资源规划，也不在《矿山生态环境保护与污染防治技术政策》</w:t>
      </w:r>
    </w:p>
    <w:p>
      <w:pPr>
        <w:pStyle w:val="9"/>
        <w:spacing w:before="1"/>
        <w:ind w:left="218"/>
      </w:pPr>
      <w:r>
        <w:rPr>
          <w:color w:val="FF0000"/>
        </w:rPr>
        <w:t>（环发</w:t>
      </w:r>
      <w:r>
        <w:rPr>
          <w:rFonts w:ascii="Times New Roman" w:eastAsia="Times New Roman"/>
          <w:color w:val="FF0000"/>
        </w:rPr>
        <w:t xml:space="preserve">[2005]109 </w:t>
      </w:r>
      <w:r>
        <w:rPr>
          <w:color w:val="FF0000"/>
        </w:rPr>
        <w:t>号）中禁止和限制区域类采矿。因此，本项目选址较为合理。</w:t>
      </w:r>
    </w:p>
    <w:p>
      <w:pPr>
        <w:pStyle w:val="5"/>
        <w:numPr>
          <w:ilvl w:val="2"/>
          <w:numId w:val="9"/>
        </w:numPr>
        <w:tabs>
          <w:tab w:val="left" w:pos="1409"/>
        </w:tabs>
        <w:spacing w:before="160" w:after="0" w:line="240" w:lineRule="auto"/>
        <w:ind w:left="1408" w:right="0" w:hanging="632"/>
        <w:jc w:val="left"/>
      </w:pPr>
      <w:bookmarkStart w:id="41" w:name="6.2.5矸石暂存场的环境可行性"/>
      <w:bookmarkEnd w:id="41"/>
      <w:bookmarkStart w:id="42" w:name="6.2.5矸石暂存场的环境可行性"/>
      <w:bookmarkEnd w:id="42"/>
      <w:r>
        <w:rPr>
          <w:color w:val="FF0000"/>
        </w:rPr>
        <w:t>矸石暂存场的环境可行性</w:t>
      </w:r>
    </w:p>
    <w:p>
      <w:pPr>
        <w:pStyle w:val="9"/>
        <w:spacing w:before="197"/>
        <w:ind w:left="698"/>
      </w:pPr>
      <w:r>
        <w:rPr>
          <w:color w:val="FF0000"/>
        </w:rPr>
        <w:t>本项目不设煤矸石永久堆场，在厂区内设置煤矸石临时堆场。</w:t>
      </w:r>
    </w:p>
    <w:p>
      <w:pPr>
        <w:pStyle w:val="9"/>
        <w:spacing w:before="160"/>
        <w:ind w:left="698"/>
      </w:pPr>
      <w:r>
        <w:rPr>
          <w:color w:val="FF0000"/>
        </w:rPr>
        <w:t>本项目矸石浸出液中各分析指标均远远小于《危险废物鉴别标准</w:t>
      </w:r>
      <w:r>
        <w:rPr>
          <w:rFonts w:ascii="Times New Roman" w:eastAsia="Times New Roman"/>
          <w:color w:val="FF0000"/>
        </w:rPr>
        <w:t>-</w:t>
      </w:r>
      <w:r>
        <w:rPr>
          <w:color w:val="FF0000"/>
        </w:rPr>
        <w:t>浸出毒性鉴别》</w:t>
      </w:r>
    </w:p>
    <w:p>
      <w:pPr>
        <w:pStyle w:val="9"/>
        <w:spacing w:before="158" w:line="364" w:lineRule="auto"/>
        <w:ind w:left="218" w:right="253"/>
        <w:jc w:val="both"/>
      </w:pPr>
      <w:r>
        <w:rPr>
          <w:color w:val="FF0000"/>
        </w:rPr>
        <w:t>（</w:t>
      </w:r>
      <w:r>
        <w:rPr>
          <w:rFonts w:ascii="Times New Roman" w:hAnsi="Times New Roman" w:eastAsia="Times New Roman"/>
          <w:color w:val="FF0000"/>
        </w:rPr>
        <w:t>GB5085.3-2007</w:t>
      </w:r>
      <w:r>
        <w:rPr>
          <w:color w:val="FF0000"/>
        </w:rPr>
        <w:t>）中的各项指标，任何一种污染物的浓度均未超过《污水综合排放标</w:t>
      </w:r>
      <w:r>
        <w:rPr>
          <w:color w:val="FF0000"/>
          <w:spacing w:val="-20"/>
        </w:rPr>
        <w:t>准》</w:t>
      </w:r>
      <w:r>
        <w:rPr>
          <w:color w:val="FF0000"/>
        </w:rPr>
        <w:t>（</w:t>
      </w:r>
      <w:r>
        <w:rPr>
          <w:rFonts w:ascii="Times New Roman" w:hAnsi="Times New Roman" w:eastAsia="Times New Roman"/>
          <w:color w:val="FF0000"/>
        </w:rPr>
        <w:t>GB8978-1996</w:t>
      </w:r>
      <w:r>
        <w:rPr>
          <w:color w:val="FF0000"/>
        </w:rPr>
        <w:t>）</w:t>
      </w:r>
      <w:r>
        <w:rPr>
          <w:color w:val="FF0000"/>
          <w:spacing w:val="-9"/>
        </w:rPr>
        <w:t xml:space="preserve">最高允许排放浓度，及 </w:t>
      </w:r>
      <w:r>
        <w:rPr>
          <w:rFonts w:ascii="Times New Roman" w:hAnsi="Times New Roman" w:eastAsia="Times New Roman"/>
          <w:color w:val="FF0000"/>
        </w:rPr>
        <w:t xml:space="preserve">pH </w:t>
      </w:r>
      <w:r>
        <w:rPr>
          <w:color w:val="FF0000"/>
          <w:spacing w:val="-32"/>
        </w:rPr>
        <w:t xml:space="preserve">在 </w:t>
      </w:r>
      <w:r>
        <w:rPr>
          <w:rFonts w:ascii="Times New Roman" w:hAnsi="Times New Roman" w:eastAsia="Times New Roman"/>
          <w:color w:val="FF0000"/>
          <w:sz w:val="21"/>
        </w:rPr>
        <w:t xml:space="preserve">6~9 </w:t>
      </w:r>
      <w:r>
        <w:rPr>
          <w:color w:val="FF0000"/>
          <w:spacing w:val="-7"/>
        </w:rPr>
        <w:t>范围之间，根据《一般工业固体</w:t>
      </w:r>
      <w:r>
        <w:rPr>
          <w:color w:val="FF0000"/>
          <w:spacing w:val="-9"/>
        </w:rPr>
        <w:t>废物贮存、处置场污染控制标准》</w:t>
      </w:r>
      <w:r>
        <w:rPr>
          <w:color w:val="FF0000"/>
        </w:rPr>
        <w:t>（</w:t>
      </w:r>
      <w:r>
        <w:rPr>
          <w:rFonts w:ascii="Times New Roman" w:hAnsi="Times New Roman" w:eastAsia="Times New Roman"/>
          <w:color w:val="FF0000"/>
        </w:rPr>
        <w:t>GB18599-2001</w:t>
      </w:r>
      <w:r>
        <w:rPr>
          <w:color w:val="FF0000"/>
        </w:rPr>
        <w:t>）</w:t>
      </w:r>
      <w:r>
        <w:rPr>
          <w:color w:val="FF0000"/>
          <w:spacing w:val="-6"/>
        </w:rPr>
        <w:t>规定，本项目矸石判定为第Ⅰ类一</w:t>
      </w:r>
      <w:r>
        <w:rPr>
          <w:color w:val="FF0000"/>
        </w:rPr>
        <w:t>般工业固体废物。</w:t>
      </w:r>
    </w:p>
    <w:p>
      <w:pPr>
        <w:pStyle w:val="9"/>
        <w:spacing w:line="362" w:lineRule="auto"/>
        <w:ind w:left="218" w:right="253" w:firstLine="480"/>
      </w:pPr>
      <w:r>
        <w:rPr>
          <w:color w:val="FF0000"/>
          <w:spacing w:val="-9"/>
        </w:rPr>
        <w:t>对照《一般工业固体废物贮存、处置场污染控制标准》</w:t>
      </w:r>
      <w:r>
        <w:rPr>
          <w:color w:val="FF0000"/>
        </w:rPr>
        <w:t>（</w:t>
      </w:r>
      <w:r>
        <w:rPr>
          <w:rFonts w:ascii="Times New Roman" w:eastAsia="Times New Roman"/>
          <w:color w:val="FF0000"/>
        </w:rPr>
        <w:t>GB18599-2001</w:t>
      </w:r>
      <w:r>
        <w:rPr>
          <w:color w:val="FF0000"/>
        </w:rPr>
        <w:t>）</w:t>
      </w:r>
      <w:r>
        <w:rPr>
          <w:color w:val="FF0000"/>
          <w:spacing w:val="-4"/>
        </w:rPr>
        <w:t>选址要求</w:t>
      </w:r>
      <w:r>
        <w:rPr>
          <w:color w:val="FF0000"/>
        </w:rPr>
        <w:t>分析如下：</w:t>
      </w:r>
    </w:p>
    <w:p>
      <w:pPr>
        <w:spacing w:after="0" w:line="362" w:lineRule="auto"/>
        <w:sectPr>
          <w:pgSz w:w="11910" w:h="16840"/>
          <w:pgMar w:top="1400" w:right="1160" w:bottom="1180" w:left="1200" w:header="0" w:footer="993" w:gutter="0"/>
        </w:sectPr>
      </w:pPr>
    </w:p>
    <w:p>
      <w:pPr>
        <w:spacing w:before="60"/>
        <w:ind w:left="578" w:right="193" w:firstLine="0"/>
        <w:jc w:val="center"/>
        <w:rPr>
          <w:b/>
          <w:sz w:val="21"/>
        </w:rPr>
      </w:pPr>
      <w:r>
        <w:rPr>
          <w:b/>
          <w:color w:val="FF0000"/>
          <w:spacing w:val="-26"/>
          <w:sz w:val="21"/>
        </w:rPr>
        <w:t xml:space="preserve">表 </w:t>
      </w:r>
      <w:r>
        <w:rPr>
          <w:rFonts w:ascii="Times New Roman" w:eastAsia="Times New Roman"/>
          <w:b/>
          <w:color w:val="FF0000"/>
          <w:sz w:val="21"/>
        </w:rPr>
        <w:t>5</w:t>
      </w:r>
      <w:r>
        <w:rPr>
          <w:rFonts w:ascii="Times New Roman" w:eastAsia="Times New Roman"/>
          <w:b/>
          <w:color w:val="FF0000"/>
          <w:spacing w:val="52"/>
          <w:sz w:val="21"/>
        </w:rPr>
        <w:t xml:space="preserve"> </w:t>
      </w:r>
      <w:r>
        <w:rPr>
          <w:b/>
          <w:color w:val="FF0000"/>
          <w:sz w:val="21"/>
        </w:rPr>
        <w:t>煤矸石堆场选址合理性对照表</w:t>
      </w:r>
    </w:p>
    <w:p>
      <w:pPr>
        <w:pStyle w:val="9"/>
        <w:spacing w:before="11" w:after="1"/>
        <w:rPr>
          <w:b/>
          <w:sz w:val="10"/>
        </w:rPr>
      </w:pP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96"/>
        <w:gridCol w:w="2815"/>
        <w:gridCol w:w="3062"/>
        <w:gridCol w:w="825"/>
        <w:gridCol w:w="112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696" w:type="dxa"/>
            <w:tcBorders>
              <w:bottom w:val="single" w:color="000000" w:sz="4" w:space="0"/>
              <w:right w:val="single" w:color="000000" w:sz="4" w:space="0"/>
            </w:tcBorders>
          </w:tcPr>
          <w:p>
            <w:pPr>
              <w:pStyle w:val="19"/>
              <w:spacing w:before="164"/>
              <w:ind w:left="113" w:right="103"/>
              <w:rPr>
                <w:sz w:val="21"/>
              </w:rPr>
            </w:pPr>
            <w:r>
              <w:rPr>
                <w:color w:val="FF0000"/>
                <w:sz w:val="21"/>
              </w:rPr>
              <w:t>序号</w:t>
            </w:r>
          </w:p>
        </w:tc>
        <w:tc>
          <w:tcPr>
            <w:tcW w:w="2815" w:type="dxa"/>
            <w:tcBorders>
              <w:left w:val="single" w:color="000000" w:sz="4" w:space="0"/>
              <w:bottom w:val="single" w:color="000000" w:sz="4" w:space="0"/>
              <w:right w:val="single" w:color="000000" w:sz="4" w:space="0"/>
            </w:tcBorders>
          </w:tcPr>
          <w:p>
            <w:pPr>
              <w:pStyle w:val="19"/>
              <w:spacing w:before="164"/>
              <w:ind w:left="130" w:right="115"/>
              <w:rPr>
                <w:sz w:val="21"/>
              </w:rPr>
            </w:pPr>
            <w:r>
              <w:rPr>
                <w:color w:val="FF0000"/>
                <w:sz w:val="21"/>
              </w:rPr>
              <w:t>项目和内容</w:t>
            </w:r>
          </w:p>
        </w:tc>
        <w:tc>
          <w:tcPr>
            <w:tcW w:w="3062" w:type="dxa"/>
            <w:tcBorders>
              <w:left w:val="single" w:color="000000" w:sz="4" w:space="0"/>
              <w:bottom w:val="single" w:color="000000" w:sz="4" w:space="0"/>
              <w:right w:val="single" w:color="000000" w:sz="4" w:space="0"/>
            </w:tcBorders>
          </w:tcPr>
          <w:p>
            <w:pPr>
              <w:pStyle w:val="19"/>
              <w:spacing w:before="164"/>
              <w:ind w:left="43" w:right="27"/>
              <w:rPr>
                <w:sz w:val="21"/>
              </w:rPr>
            </w:pPr>
            <w:r>
              <w:rPr>
                <w:color w:val="FF0000"/>
                <w:sz w:val="21"/>
              </w:rPr>
              <w:t>煤矸石堆场场址选择</w:t>
            </w:r>
          </w:p>
        </w:tc>
        <w:tc>
          <w:tcPr>
            <w:tcW w:w="825" w:type="dxa"/>
            <w:tcBorders>
              <w:left w:val="single" w:color="000000" w:sz="4" w:space="0"/>
              <w:bottom w:val="single" w:color="000000" w:sz="4" w:space="0"/>
              <w:right w:val="single" w:color="000000" w:sz="4" w:space="0"/>
            </w:tcBorders>
          </w:tcPr>
          <w:p>
            <w:pPr>
              <w:pStyle w:val="19"/>
              <w:spacing w:before="1"/>
              <w:ind w:left="186" w:right="169"/>
              <w:rPr>
                <w:sz w:val="21"/>
              </w:rPr>
            </w:pPr>
            <w:r>
              <w:rPr>
                <w:color w:val="FF0000"/>
                <w:sz w:val="21"/>
              </w:rPr>
              <w:t>符合</w:t>
            </w:r>
          </w:p>
          <w:p>
            <w:pPr>
              <w:pStyle w:val="19"/>
              <w:spacing w:before="55"/>
              <w:ind w:left="14"/>
              <w:rPr>
                <w:sz w:val="21"/>
              </w:rPr>
            </w:pPr>
            <w:r>
              <w:rPr>
                <w:color w:val="FF0000"/>
                <w:w w:val="99"/>
                <w:sz w:val="21"/>
              </w:rPr>
              <w:t>性</w:t>
            </w:r>
          </w:p>
        </w:tc>
        <w:tc>
          <w:tcPr>
            <w:tcW w:w="1124" w:type="dxa"/>
            <w:tcBorders>
              <w:left w:val="single" w:color="000000" w:sz="4" w:space="0"/>
              <w:bottom w:val="single" w:color="000000" w:sz="4" w:space="0"/>
            </w:tcBorders>
          </w:tcPr>
          <w:p>
            <w:pPr>
              <w:pStyle w:val="19"/>
              <w:spacing w:before="164"/>
              <w:ind w:left="145"/>
              <w:jc w:val="left"/>
              <w:rPr>
                <w:sz w:val="21"/>
              </w:rPr>
            </w:pPr>
            <w:r>
              <w:rPr>
                <w:color w:val="FF0000"/>
                <w:sz w:val="21"/>
              </w:rPr>
              <w:t>标准依据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696" w:type="dxa"/>
            <w:tcBorders>
              <w:top w:val="single" w:color="000000" w:sz="4" w:space="0"/>
              <w:bottom w:val="single" w:color="000000" w:sz="4" w:space="0"/>
              <w:right w:val="single" w:color="000000" w:sz="4" w:space="0"/>
            </w:tcBorders>
          </w:tcPr>
          <w:p>
            <w:pPr>
              <w:pStyle w:val="19"/>
              <w:spacing w:before="12"/>
              <w:jc w:val="left"/>
              <w:rPr>
                <w:b/>
                <w:sz w:val="26"/>
              </w:rPr>
            </w:pPr>
          </w:p>
          <w:p>
            <w:pPr>
              <w:pStyle w:val="19"/>
              <w:ind w:left="13"/>
              <w:rPr>
                <w:rFonts w:ascii="Times New Roman"/>
                <w:sz w:val="21"/>
              </w:rPr>
            </w:pPr>
            <w:r>
              <w:rPr>
                <w:rFonts w:ascii="Times New Roman"/>
                <w:color w:val="FF0000"/>
                <w:w w:val="99"/>
                <w:sz w:val="21"/>
              </w:rPr>
              <w:t>1</w:t>
            </w:r>
          </w:p>
        </w:tc>
        <w:tc>
          <w:tcPr>
            <w:tcW w:w="2815" w:type="dxa"/>
            <w:tcBorders>
              <w:top w:val="single" w:color="000000" w:sz="4" w:space="0"/>
              <w:left w:val="single" w:color="000000" w:sz="4" w:space="0"/>
              <w:bottom w:val="single" w:color="000000" w:sz="4" w:space="0"/>
              <w:right w:val="single" w:color="000000" w:sz="4" w:space="0"/>
            </w:tcBorders>
          </w:tcPr>
          <w:p>
            <w:pPr>
              <w:pStyle w:val="19"/>
              <w:spacing w:before="163" w:line="290" w:lineRule="auto"/>
              <w:ind w:left="676" w:right="133" w:hanging="526"/>
              <w:jc w:val="left"/>
              <w:rPr>
                <w:sz w:val="21"/>
              </w:rPr>
            </w:pPr>
            <w:r>
              <w:rPr>
                <w:color w:val="FF0000"/>
                <w:sz w:val="21"/>
              </w:rPr>
              <w:t>所选厂址应符合当地城乡建设总体规划要求</w:t>
            </w:r>
          </w:p>
        </w:tc>
        <w:tc>
          <w:tcPr>
            <w:tcW w:w="3062" w:type="dxa"/>
            <w:tcBorders>
              <w:top w:val="single" w:color="000000" w:sz="4" w:space="0"/>
              <w:left w:val="single" w:color="000000" w:sz="4" w:space="0"/>
              <w:bottom w:val="single" w:color="000000" w:sz="4" w:space="0"/>
              <w:right w:val="single" w:color="000000" w:sz="4" w:space="0"/>
            </w:tcBorders>
          </w:tcPr>
          <w:p>
            <w:pPr>
              <w:pStyle w:val="19"/>
              <w:ind w:left="113" w:firstLine="57"/>
              <w:jc w:val="left"/>
              <w:rPr>
                <w:sz w:val="21"/>
              </w:rPr>
            </w:pPr>
            <w:r>
              <w:rPr>
                <w:color w:val="FF0000"/>
                <w:w w:val="95"/>
                <w:sz w:val="21"/>
              </w:rPr>
              <w:t>本项目煤矸石位于工业场地范</w:t>
            </w:r>
          </w:p>
          <w:p>
            <w:pPr>
              <w:pStyle w:val="19"/>
              <w:spacing w:before="6" w:line="320" w:lineRule="atLeast"/>
              <w:ind w:left="170" w:right="92" w:hanging="58"/>
              <w:jc w:val="left"/>
              <w:rPr>
                <w:sz w:val="21"/>
              </w:rPr>
            </w:pPr>
            <w:r>
              <w:rPr>
                <w:color w:val="FF0000"/>
                <w:spacing w:val="-10"/>
                <w:sz w:val="21"/>
              </w:rPr>
              <w:t>围内，占地为独立工矿用地，符</w:t>
            </w:r>
            <w:r>
              <w:rPr>
                <w:color w:val="FF0000"/>
                <w:sz w:val="21"/>
              </w:rPr>
              <w:t>合当地城乡建设总体规划要求</w:t>
            </w:r>
          </w:p>
        </w:tc>
        <w:tc>
          <w:tcPr>
            <w:tcW w:w="825" w:type="dxa"/>
            <w:tcBorders>
              <w:top w:val="single" w:color="000000" w:sz="4" w:space="0"/>
              <w:left w:val="single" w:color="000000" w:sz="4" w:space="0"/>
              <w:bottom w:val="single" w:color="000000" w:sz="4" w:space="0"/>
              <w:right w:val="single" w:color="000000" w:sz="4" w:space="0"/>
            </w:tcBorders>
          </w:tcPr>
          <w:p>
            <w:pPr>
              <w:pStyle w:val="19"/>
              <w:spacing w:before="6"/>
              <w:jc w:val="left"/>
              <w:rPr>
                <w:b/>
                <w:sz w:val="25"/>
              </w:rPr>
            </w:pPr>
          </w:p>
          <w:p>
            <w:pPr>
              <w:pStyle w:val="19"/>
              <w:ind w:left="207"/>
              <w:jc w:val="left"/>
              <w:rPr>
                <w:sz w:val="21"/>
              </w:rPr>
            </w:pPr>
            <w:r>
              <w:rPr>
                <w:color w:val="FF0000"/>
                <w:sz w:val="21"/>
              </w:rPr>
              <w:t>符合</w:t>
            </w:r>
          </w:p>
        </w:tc>
        <w:tc>
          <w:tcPr>
            <w:tcW w:w="1124" w:type="dxa"/>
            <w:tcBorders>
              <w:top w:val="single" w:color="000000" w:sz="4" w:space="0"/>
              <w:left w:val="single" w:color="000000" w:sz="4" w:space="0"/>
              <w:bottom w:val="nil"/>
            </w:tcBorders>
          </w:tcPr>
          <w:p>
            <w:pPr>
              <w:pStyle w:val="19"/>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8" w:hRule="atLeast"/>
        </w:trPr>
        <w:tc>
          <w:tcPr>
            <w:tcW w:w="696" w:type="dxa"/>
            <w:tcBorders>
              <w:top w:val="single" w:color="000000" w:sz="4" w:space="0"/>
              <w:bottom w:val="nil"/>
              <w:right w:val="single" w:color="000000" w:sz="4" w:space="0"/>
            </w:tcBorders>
          </w:tcPr>
          <w:p>
            <w:pPr>
              <w:pStyle w:val="19"/>
              <w:jc w:val="left"/>
              <w:rPr>
                <w:rFonts w:ascii="Times New Roman"/>
                <w:sz w:val="22"/>
              </w:rPr>
            </w:pPr>
          </w:p>
        </w:tc>
        <w:tc>
          <w:tcPr>
            <w:tcW w:w="2815" w:type="dxa"/>
            <w:tcBorders>
              <w:top w:val="single" w:color="000000" w:sz="4" w:space="0"/>
              <w:left w:val="single" w:color="000000" w:sz="4" w:space="0"/>
              <w:bottom w:val="nil"/>
              <w:right w:val="single" w:color="000000" w:sz="4" w:space="0"/>
            </w:tcBorders>
          </w:tcPr>
          <w:p>
            <w:pPr>
              <w:pStyle w:val="19"/>
              <w:ind w:left="130" w:right="115"/>
              <w:rPr>
                <w:sz w:val="21"/>
              </w:rPr>
            </w:pPr>
            <w:r>
              <w:rPr>
                <w:color w:val="FF0000"/>
                <w:sz w:val="21"/>
              </w:rPr>
              <w:t>应依据环境影响评价结论确</w:t>
            </w:r>
          </w:p>
        </w:tc>
        <w:tc>
          <w:tcPr>
            <w:tcW w:w="3062" w:type="dxa"/>
            <w:tcBorders>
              <w:top w:val="single" w:color="000000" w:sz="4" w:space="0"/>
              <w:left w:val="single" w:color="000000" w:sz="4" w:space="0"/>
              <w:bottom w:val="nil"/>
              <w:right w:val="single" w:color="000000" w:sz="4" w:space="0"/>
            </w:tcBorders>
          </w:tcPr>
          <w:p>
            <w:pPr>
              <w:pStyle w:val="19"/>
              <w:jc w:val="left"/>
              <w:rPr>
                <w:rFonts w:ascii="Times New Roman"/>
                <w:sz w:val="22"/>
              </w:rPr>
            </w:pPr>
          </w:p>
        </w:tc>
        <w:tc>
          <w:tcPr>
            <w:tcW w:w="825" w:type="dxa"/>
            <w:tcBorders>
              <w:top w:val="single" w:color="000000" w:sz="4" w:space="0"/>
              <w:left w:val="single" w:color="000000" w:sz="4" w:space="0"/>
              <w:bottom w:val="nil"/>
              <w:right w:val="single" w:color="000000" w:sz="4" w:space="0"/>
            </w:tcBorders>
          </w:tcPr>
          <w:p>
            <w:pPr>
              <w:pStyle w:val="19"/>
              <w:jc w:val="left"/>
              <w:rPr>
                <w:rFonts w:ascii="Times New Roman"/>
                <w:sz w:val="22"/>
              </w:rPr>
            </w:pPr>
          </w:p>
        </w:tc>
        <w:tc>
          <w:tcPr>
            <w:tcW w:w="1124" w:type="dxa"/>
            <w:tcBorders>
              <w:top w:val="nil"/>
              <w:left w:val="single" w:color="000000" w:sz="4" w:space="0"/>
              <w:bottom w:val="nil"/>
            </w:tcBorders>
          </w:tcPr>
          <w:p>
            <w:pPr>
              <w:pStyle w:val="19"/>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696" w:type="dxa"/>
            <w:tcBorders>
              <w:top w:val="nil"/>
              <w:bottom w:val="nil"/>
              <w:right w:val="single" w:color="000000" w:sz="4" w:space="0"/>
            </w:tcBorders>
          </w:tcPr>
          <w:p>
            <w:pPr>
              <w:pStyle w:val="19"/>
              <w:jc w:val="left"/>
              <w:rPr>
                <w:rFonts w:ascii="Times New Roman"/>
                <w:sz w:val="22"/>
              </w:rPr>
            </w:pPr>
          </w:p>
        </w:tc>
        <w:tc>
          <w:tcPr>
            <w:tcW w:w="2815" w:type="dxa"/>
            <w:tcBorders>
              <w:top w:val="nil"/>
              <w:left w:val="single" w:color="000000" w:sz="4" w:space="0"/>
              <w:bottom w:val="nil"/>
              <w:right w:val="single" w:color="000000" w:sz="4" w:space="0"/>
            </w:tcBorders>
          </w:tcPr>
          <w:p>
            <w:pPr>
              <w:pStyle w:val="19"/>
              <w:spacing w:before="28"/>
              <w:ind w:left="130" w:right="115"/>
              <w:rPr>
                <w:sz w:val="21"/>
              </w:rPr>
            </w:pPr>
            <w:r>
              <w:rPr>
                <w:color w:val="FF0000"/>
                <w:sz w:val="21"/>
              </w:rPr>
              <w:t>定场址的位置及其与周围居</w:t>
            </w:r>
          </w:p>
        </w:tc>
        <w:tc>
          <w:tcPr>
            <w:tcW w:w="3062" w:type="dxa"/>
            <w:tcBorders>
              <w:top w:val="nil"/>
              <w:left w:val="single" w:color="000000" w:sz="4" w:space="0"/>
              <w:bottom w:val="nil"/>
              <w:right w:val="single" w:color="000000" w:sz="4" w:space="0"/>
            </w:tcBorders>
          </w:tcPr>
          <w:p>
            <w:pPr>
              <w:pStyle w:val="19"/>
              <w:jc w:val="left"/>
              <w:rPr>
                <w:rFonts w:ascii="Times New Roman"/>
                <w:sz w:val="22"/>
              </w:rPr>
            </w:pPr>
          </w:p>
        </w:tc>
        <w:tc>
          <w:tcPr>
            <w:tcW w:w="825" w:type="dxa"/>
            <w:tcBorders>
              <w:top w:val="nil"/>
              <w:left w:val="single" w:color="000000" w:sz="4" w:space="0"/>
              <w:bottom w:val="nil"/>
              <w:right w:val="single" w:color="000000" w:sz="4" w:space="0"/>
            </w:tcBorders>
          </w:tcPr>
          <w:p>
            <w:pPr>
              <w:pStyle w:val="19"/>
              <w:jc w:val="left"/>
              <w:rPr>
                <w:rFonts w:ascii="Times New Roman"/>
                <w:sz w:val="22"/>
              </w:rPr>
            </w:pPr>
          </w:p>
        </w:tc>
        <w:tc>
          <w:tcPr>
            <w:tcW w:w="1124" w:type="dxa"/>
            <w:tcBorders>
              <w:top w:val="nil"/>
              <w:left w:val="single" w:color="000000" w:sz="4" w:space="0"/>
              <w:bottom w:val="nil"/>
            </w:tcBorders>
          </w:tcPr>
          <w:p>
            <w:pPr>
              <w:pStyle w:val="19"/>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696" w:type="dxa"/>
            <w:tcBorders>
              <w:top w:val="nil"/>
              <w:bottom w:val="nil"/>
              <w:right w:val="single" w:color="000000" w:sz="4" w:space="0"/>
            </w:tcBorders>
          </w:tcPr>
          <w:p>
            <w:pPr>
              <w:pStyle w:val="19"/>
              <w:spacing w:before="2"/>
              <w:jc w:val="left"/>
              <w:rPr>
                <w:b/>
                <w:sz w:val="16"/>
              </w:rPr>
            </w:pPr>
          </w:p>
          <w:p>
            <w:pPr>
              <w:pStyle w:val="19"/>
              <w:spacing w:before="1"/>
              <w:ind w:left="13"/>
              <w:rPr>
                <w:rFonts w:ascii="Times New Roman"/>
                <w:sz w:val="21"/>
              </w:rPr>
            </w:pPr>
            <w:r>
              <w:rPr>
                <w:rFonts w:ascii="Times New Roman"/>
                <w:color w:val="FF0000"/>
                <w:w w:val="99"/>
                <w:sz w:val="21"/>
              </w:rPr>
              <w:t>2</w:t>
            </w:r>
          </w:p>
        </w:tc>
        <w:tc>
          <w:tcPr>
            <w:tcW w:w="2815" w:type="dxa"/>
            <w:tcBorders>
              <w:top w:val="nil"/>
              <w:left w:val="single" w:color="000000" w:sz="4" w:space="0"/>
              <w:bottom w:val="nil"/>
              <w:right w:val="single" w:color="000000" w:sz="4" w:space="0"/>
            </w:tcBorders>
          </w:tcPr>
          <w:p>
            <w:pPr>
              <w:pStyle w:val="19"/>
              <w:spacing w:before="28"/>
              <w:ind w:left="151"/>
              <w:jc w:val="left"/>
              <w:rPr>
                <w:sz w:val="21"/>
              </w:rPr>
            </w:pPr>
            <w:r>
              <w:rPr>
                <w:color w:val="FF0000"/>
                <w:w w:val="95"/>
                <w:sz w:val="21"/>
              </w:rPr>
              <w:t>民集中区的距离，并经具有</w:t>
            </w:r>
          </w:p>
          <w:p>
            <w:pPr>
              <w:pStyle w:val="19"/>
              <w:spacing w:before="57"/>
              <w:ind w:left="151"/>
              <w:jc w:val="left"/>
              <w:rPr>
                <w:sz w:val="21"/>
              </w:rPr>
            </w:pPr>
            <w:r>
              <w:rPr>
                <w:color w:val="FF0000"/>
                <w:w w:val="95"/>
                <w:sz w:val="21"/>
              </w:rPr>
              <w:t>审批权的环境保护行政主管</w:t>
            </w:r>
          </w:p>
        </w:tc>
        <w:tc>
          <w:tcPr>
            <w:tcW w:w="3062" w:type="dxa"/>
            <w:tcBorders>
              <w:top w:val="nil"/>
              <w:left w:val="single" w:color="000000" w:sz="4" w:space="0"/>
              <w:bottom w:val="nil"/>
              <w:right w:val="single" w:color="000000" w:sz="4" w:space="0"/>
            </w:tcBorders>
          </w:tcPr>
          <w:p>
            <w:pPr>
              <w:pStyle w:val="19"/>
              <w:spacing w:before="28"/>
              <w:ind w:left="45" w:right="27"/>
              <w:rPr>
                <w:sz w:val="21"/>
              </w:rPr>
            </w:pPr>
            <w:r>
              <w:rPr>
                <w:color w:val="FF0000"/>
                <w:sz w:val="21"/>
              </w:rPr>
              <w:t>根据前文计算结果，煤矸石堆场</w:t>
            </w:r>
          </w:p>
          <w:p>
            <w:pPr>
              <w:pStyle w:val="19"/>
              <w:spacing w:before="57"/>
              <w:ind w:left="45" w:right="27"/>
              <w:rPr>
                <w:sz w:val="21"/>
              </w:rPr>
            </w:pPr>
            <w:r>
              <w:rPr>
                <w:color w:val="FF0000"/>
                <w:sz w:val="21"/>
              </w:rPr>
              <w:t>不需设置大气环境防护距离</w:t>
            </w:r>
          </w:p>
        </w:tc>
        <w:tc>
          <w:tcPr>
            <w:tcW w:w="825" w:type="dxa"/>
            <w:tcBorders>
              <w:top w:val="nil"/>
              <w:left w:val="single" w:color="000000" w:sz="4" w:space="0"/>
              <w:bottom w:val="nil"/>
              <w:right w:val="single" w:color="000000" w:sz="4" w:space="0"/>
            </w:tcBorders>
          </w:tcPr>
          <w:p>
            <w:pPr>
              <w:pStyle w:val="19"/>
              <w:spacing w:before="12"/>
              <w:jc w:val="left"/>
              <w:rPr>
                <w:b/>
                <w:sz w:val="14"/>
              </w:rPr>
            </w:pPr>
          </w:p>
          <w:p>
            <w:pPr>
              <w:pStyle w:val="19"/>
              <w:ind w:left="207"/>
              <w:jc w:val="left"/>
              <w:rPr>
                <w:sz w:val="21"/>
              </w:rPr>
            </w:pPr>
            <w:r>
              <w:rPr>
                <w:color w:val="FF0000"/>
                <w:sz w:val="21"/>
              </w:rPr>
              <w:t>符合</w:t>
            </w:r>
          </w:p>
        </w:tc>
        <w:tc>
          <w:tcPr>
            <w:tcW w:w="1124" w:type="dxa"/>
            <w:tcBorders>
              <w:top w:val="nil"/>
              <w:left w:val="single" w:color="000000" w:sz="4" w:space="0"/>
              <w:bottom w:val="nil"/>
            </w:tcBorders>
          </w:tcPr>
          <w:p>
            <w:pPr>
              <w:pStyle w:val="19"/>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96" w:type="dxa"/>
            <w:tcBorders>
              <w:top w:val="nil"/>
              <w:bottom w:val="nil"/>
              <w:right w:val="single" w:color="000000" w:sz="4" w:space="0"/>
            </w:tcBorders>
          </w:tcPr>
          <w:p>
            <w:pPr>
              <w:pStyle w:val="19"/>
              <w:jc w:val="left"/>
              <w:rPr>
                <w:rFonts w:ascii="Times New Roman"/>
                <w:sz w:val="22"/>
              </w:rPr>
            </w:pPr>
          </w:p>
        </w:tc>
        <w:tc>
          <w:tcPr>
            <w:tcW w:w="2815" w:type="dxa"/>
            <w:tcBorders>
              <w:top w:val="nil"/>
              <w:left w:val="single" w:color="000000" w:sz="4" w:space="0"/>
              <w:bottom w:val="nil"/>
              <w:right w:val="single" w:color="000000" w:sz="4" w:space="0"/>
            </w:tcBorders>
          </w:tcPr>
          <w:p>
            <w:pPr>
              <w:pStyle w:val="19"/>
              <w:spacing w:before="28"/>
              <w:ind w:left="130" w:right="115"/>
              <w:rPr>
                <w:sz w:val="21"/>
              </w:rPr>
            </w:pPr>
            <w:r>
              <w:rPr>
                <w:color w:val="FF0000"/>
                <w:sz w:val="21"/>
              </w:rPr>
              <w:t>部门批准，并可作为规划控</w:t>
            </w:r>
          </w:p>
        </w:tc>
        <w:tc>
          <w:tcPr>
            <w:tcW w:w="3062" w:type="dxa"/>
            <w:tcBorders>
              <w:top w:val="nil"/>
              <w:left w:val="single" w:color="000000" w:sz="4" w:space="0"/>
              <w:bottom w:val="nil"/>
              <w:right w:val="single" w:color="000000" w:sz="4" w:space="0"/>
            </w:tcBorders>
          </w:tcPr>
          <w:p>
            <w:pPr>
              <w:pStyle w:val="19"/>
              <w:jc w:val="left"/>
              <w:rPr>
                <w:rFonts w:ascii="Times New Roman"/>
                <w:sz w:val="22"/>
              </w:rPr>
            </w:pPr>
          </w:p>
        </w:tc>
        <w:tc>
          <w:tcPr>
            <w:tcW w:w="825" w:type="dxa"/>
            <w:tcBorders>
              <w:top w:val="nil"/>
              <w:left w:val="single" w:color="000000" w:sz="4" w:space="0"/>
              <w:bottom w:val="nil"/>
              <w:right w:val="single" w:color="000000" w:sz="4" w:space="0"/>
            </w:tcBorders>
          </w:tcPr>
          <w:p>
            <w:pPr>
              <w:pStyle w:val="19"/>
              <w:jc w:val="left"/>
              <w:rPr>
                <w:rFonts w:ascii="Times New Roman"/>
                <w:sz w:val="22"/>
              </w:rPr>
            </w:pPr>
          </w:p>
        </w:tc>
        <w:tc>
          <w:tcPr>
            <w:tcW w:w="1124" w:type="dxa"/>
            <w:tcBorders>
              <w:top w:val="nil"/>
              <w:left w:val="single" w:color="000000" w:sz="4" w:space="0"/>
              <w:bottom w:val="nil"/>
            </w:tcBorders>
          </w:tcPr>
          <w:p>
            <w:pPr>
              <w:pStyle w:val="19"/>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696" w:type="dxa"/>
            <w:tcBorders>
              <w:top w:val="nil"/>
              <w:bottom w:val="nil"/>
              <w:right w:val="single" w:color="000000" w:sz="4" w:space="0"/>
            </w:tcBorders>
          </w:tcPr>
          <w:p>
            <w:pPr>
              <w:pStyle w:val="19"/>
              <w:jc w:val="left"/>
              <w:rPr>
                <w:rFonts w:ascii="Times New Roman"/>
                <w:sz w:val="20"/>
              </w:rPr>
            </w:pPr>
          </w:p>
        </w:tc>
        <w:tc>
          <w:tcPr>
            <w:tcW w:w="2815" w:type="dxa"/>
            <w:tcBorders>
              <w:top w:val="nil"/>
              <w:left w:val="single" w:color="000000" w:sz="4" w:space="0"/>
              <w:bottom w:val="nil"/>
              <w:right w:val="single" w:color="000000" w:sz="4" w:space="0"/>
            </w:tcBorders>
          </w:tcPr>
          <w:p>
            <w:pPr>
              <w:pStyle w:val="19"/>
              <w:spacing w:before="29" w:line="222" w:lineRule="exact"/>
              <w:ind w:left="130" w:right="115"/>
              <w:rPr>
                <w:sz w:val="21"/>
              </w:rPr>
            </w:pPr>
            <w:r>
              <w:rPr>
                <w:color w:val="FF0000"/>
                <w:sz w:val="21"/>
              </w:rPr>
              <w:t>制的依据</w:t>
            </w:r>
          </w:p>
        </w:tc>
        <w:tc>
          <w:tcPr>
            <w:tcW w:w="3062" w:type="dxa"/>
            <w:tcBorders>
              <w:top w:val="nil"/>
              <w:left w:val="single" w:color="000000" w:sz="4" w:space="0"/>
              <w:bottom w:val="nil"/>
              <w:right w:val="single" w:color="000000" w:sz="4" w:space="0"/>
            </w:tcBorders>
          </w:tcPr>
          <w:p>
            <w:pPr>
              <w:pStyle w:val="19"/>
              <w:jc w:val="left"/>
              <w:rPr>
                <w:rFonts w:ascii="Times New Roman"/>
                <w:sz w:val="20"/>
              </w:rPr>
            </w:pPr>
          </w:p>
        </w:tc>
        <w:tc>
          <w:tcPr>
            <w:tcW w:w="825" w:type="dxa"/>
            <w:tcBorders>
              <w:top w:val="nil"/>
              <w:left w:val="single" w:color="000000" w:sz="4" w:space="0"/>
              <w:bottom w:val="nil"/>
              <w:right w:val="single" w:color="000000" w:sz="4" w:space="0"/>
            </w:tcBorders>
          </w:tcPr>
          <w:p>
            <w:pPr>
              <w:pStyle w:val="19"/>
              <w:jc w:val="left"/>
              <w:rPr>
                <w:rFonts w:ascii="Times New Roman"/>
                <w:sz w:val="20"/>
              </w:rPr>
            </w:pPr>
          </w:p>
        </w:tc>
        <w:tc>
          <w:tcPr>
            <w:tcW w:w="1124" w:type="dxa"/>
            <w:tcBorders>
              <w:top w:val="nil"/>
              <w:left w:val="single" w:color="000000" w:sz="4" w:space="0"/>
              <w:bottom w:val="nil"/>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 w:hRule="atLeast"/>
        </w:trPr>
        <w:tc>
          <w:tcPr>
            <w:tcW w:w="696" w:type="dxa"/>
            <w:tcBorders>
              <w:top w:val="nil"/>
              <w:bottom w:val="single" w:color="000000" w:sz="4" w:space="0"/>
              <w:right w:val="single" w:color="000000" w:sz="4" w:space="0"/>
            </w:tcBorders>
          </w:tcPr>
          <w:p>
            <w:pPr>
              <w:pStyle w:val="19"/>
              <w:jc w:val="left"/>
              <w:rPr>
                <w:rFonts w:ascii="Times New Roman"/>
                <w:sz w:val="2"/>
              </w:rPr>
            </w:pPr>
          </w:p>
        </w:tc>
        <w:tc>
          <w:tcPr>
            <w:tcW w:w="2815" w:type="dxa"/>
            <w:tcBorders>
              <w:top w:val="nil"/>
              <w:left w:val="single" w:color="000000" w:sz="4" w:space="0"/>
              <w:bottom w:val="single" w:color="000000" w:sz="4" w:space="0"/>
              <w:right w:val="single" w:color="000000" w:sz="4" w:space="0"/>
            </w:tcBorders>
          </w:tcPr>
          <w:p>
            <w:pPr>
              <w:pStyle w:val="19"/>
              <w:jc w:val="left"/>
              <w:rPr>
                <w:rFonts w:ascii="Times New Roman"/>
                <w:sz w:val="2"/>
              </w:rPr>
            </w:pPr>
          </w:p>
        </w:tc>
        <w:tc>
          <w:tcPr>
            <w:tcW w:w="3062" w:type="dxa"/>
            <w:tcBorders>
              <w:top w:val="nil"/>
              <w:left w:val="single" w:color="000000" w:sz="4" w:space="0"/>
              <w:bottom w:val="single" w:color="000000" w:sz="4" w:space="0"/>
              <w:right w:val="single" w:color="000000" w:sz="4" w:space="0"/>
            </w:tcBorders>
          </w:tcPr>
          <w:p>
            <w:pPr>
              <w:pStyle w:val="19"/>
              <w:jc w:val="left"/>
              <w:rPr>
                <w:rFonts w:ascii="Times New Roman"/>
                <w:sz w:val="2"/>
              </w:rPr>
            </w:pPr>
          </w:p>
        </w:tc>
        <w:tc>
          <w:tcPr>
            <w:tcW w:w="825" w:type="dxa"/>
            <w:tcBorders>
              <w:top w:val="nil"/>
              <w:left w:val="single" w:color="000000" w:sz="4" w:space="0"/>
              <w:bottom w:val="single" w:color="000000" w:sz="4" w:space="0"/>
              <w:right w:val="single" w:color="000000" w:sz="4" w:space="0"/>
            </w:tcBorders>
          </w:tcPr>
          <w:p>
            <w:pPr>
              <w:pStyle w:val="19"/>
              <w:jc w:val="left"/>
              <w:rPr>
                <w:rFonts w:ascii="Times New Roman"/>
                <w:sz w:val="2"/>
              </w:rPr>
            </w:pPr>
          </w:p>
        </w:tc>
        <w:tc>
          <w:tcPr>
            <w:tcW w:w="1124" w:type="dxa"/>
            <w:vMerge w:val="restart"/>
            <w:tcBorders>
              <w:top w:val="nil"/>
              <w:left w:val="single" w:color="000000" w:sz="4" w:space="0"/>
              <w:bottom w:val="nil"/>
            </w:tcBorders>
          </w:tcPr>
          <w:p>
            <w:pPr>
              <w:pStyle w:val="19"/>
              <w:spacing w:line="241" w:lineRule="exact"/>
              <w:ind w:left="145"/>
              <w:jc w:val="left"/>
              <w:rPr>
                <w:sz w:val="21"/>
              </w:rPr>
            </w:pPr>
            <w:r>
              <w:rPr>
                <w:color w:val="FF0000"/>
                <w:w w:val="95"/>
                <w:sz w:val="21"/>
              </w:rPr>
              <w:t>《一般工</w:t>
            </w:r>
          </w:p>
          <w:p>
            <w:pPr>
              <w:pStyle w:val="19"/>
              <w:spacing w:before="57" w:line="292" w:lineRule="auto"/>
              <w:ind w:left="145" w:right="123"/>
              <w:jc w:val="both"/>
              <w:rPr>
                <w:sz w:val="21"/>
              </w:rPr>
            </w:pPr>
            <w:r>
              <w:rPr>
                <w:color w:val="FF0000"/>
                <w:spacing w:val="-4"/>
                <w:sz w:val="21"/>
              </w:rPr>
              <w:t>业固体废物贮存、</w:t>
            </w:r>
            <w:r>
              <w:rPr>
                <w:color w:val="FF0000"/>
                <w:spacing w:val="-4"/>
                <w:w w:val="95"/>
                <w:sz w:val="21"/>
              </w:rPr>
              <w:t>处置场污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4" w:hRule="atLeast"/>
        </w:trPr>
        <w:tc>
          <w:tcPr>
            <w:tcW w:w="696" w:type="dxa"/>
            <w:vMerge w:val="restart"/>
            <w:tcBorders>
              <w:top w:val="single" w:color="000000" w:sz="4" w:space="0"/>
              <w:bottom w:val="nil"/>
              <w:right w:val="single" w:color="000000" w:sz="4" w:space="0"/>
            </w:tcBorders>
          </w:tcPr>
          <w:p>
            <w:pPr>
              <w:pStyle w:val="19"/>
              <w:jc w:val="left"/>
              <w:rPr>
                <w:b/>
                <w:sz w:val="22"/>
              </w:rPr>
            </w:pPr>
          </w:p>
          <w:p>
            <w:pPr>
              <w:pStyle w:val="19"/>
              <w:spacing w:before="7"/>
              <w:jc w:val="left"/>
              <w:rPr>
                <w:b/>
                <w:sz w:val="17"/>
              </w:rPr>
            </w:pPr>
          </w:p>
          <w:p>
            <w:pPr>
              <w:pStyle w:val="19"/>
              <w:ind w:left="13"/>
              <w:rPr>
                <w:rFonts w:ascii="Times New Roman"/>
                <w:sz w:val="21"/>
              </w:rPr>
            </w:pPr>
            <w:r>
              <w:rPr>
                <w:rFonts w:ascii="Times New Roman"/>
                <w:color w:val="FF0000"/>
                <w:w w:val="99"/>
                <w:sz w:val="21"/>
              </w:rPr>
              <w:t>3</w:t>
            </w:r>
          </w:p>
        </w:tc>
        <w:tc>
          <w:tcPr>
            <w:tcW w:w="2815" w:type="dxa"/>
            <w:vMerge w:val="restart"/>
            <w:tcBorders>
              <w:top w:val="single" w:color="000000" w:sz="4" w:space="0"/>
              <w:left w:val="single" w:color="000000" w:sz="4" w:space="0"/>
              <w:bottom w:val="nil"/>
              <w:right w:val="single" w:color="000000" w:sz="4" w:space="0"/>
            </w:tcBorders>
          </w:tcPr>
          <w:p>
            <w:pPr>
              <w:pStyle w:val="19"/>
              <w:spacing w:before="1" w:line="290" w:lineRule="auto"/>
              <w:ind w:left="151" w:right="133"/>
              <w:jc w:val="both"/>
              <w:rPr>
                <w:sz w:val="21"/>
              </w:rPr>
            </w:pPr>
            <w:r>
              <w:rPr>
                <w:color w:val="FF0000"/>
                <w:sz w:val="21"/>
              </w:rPr>
              <w:t>应选在满足承载力要求的地基上，以避免地基下沉的影响，特别是不均匀或局部下</w:t>
            </w:r>
          </w:p>
          <w:p>
            <w:pPr>
              <w:pStyle w:val="19"/>
              <w:spacing w:before="2"/>
              <w:ind w:left="130" w:right="115"/>
              <w:rPr>
                <w:sz w:val="21"/>
              </w:rPr>
            </w:pPr>
            <w:r>
              <w:rPr>
                <w:color w:val="FF0000"/>
                <w:sz w:val="21"/>
              </w:rPr>
              <w:t>沉的影响</w:t>
            </w:r>
          </w:p>
        </w:tc>
        <w:tc>
          <w:tcPr>
            <w:tcW w:w="3062" w:type="dxa"/>
            <w:vMerge w:val="restart"/>
            <w:tcBorders>
              <w:top w:val="single" w:color="000000" w:sz="4" w:space="0"/>
              <w:left w:val="single" w:color="000000" w:sz="4" w:space="0"/>
              <w:bottom w:val="nil"/>
              <w:right w:val="single" w:color="000000" w:sz="4" w:space="0"/>
            </w:tcBorders>
          </w:tcPr>
          <w:p>
            <w:pPr>
              <w:pStyle w:val="19"/>
              <w:spacing w:before="164" w:line="290" w:lineRule="auto"/>
              <w:ind w:left="170" w:right="150" w:hanging="3"/>
              <w:rPr>
                <w:sz w:val="21"/>
              </w:rPr>
            </w:pPr>
            <w:r>
              <w:rPr>
                <w:color w:val="FF0000"/>
                <w:w w:val="95"/>
                <w:sz w:val="21"/>
              </w:rPr>
              <w:t>煤矸石堆场位于工业场地范围内，所选位置地下岩层结构稳</w:t>
            </w:r>
            <w:r>
              <w:rPr>
                <w:color w:val="FF0000"/>
                <w:sz w:val="21"/>
              </w:rPr>
              <w:t>定，可满足承载力要求</w:t>
            </w:r>
          </w:p>
        </w:tc>
        <w:tc>
          <w:tcPr>
            <w:tcW w:w="825" w:type="dxa"/>
            <w:vMerge w:val="restart"/>
            <w:tcBorders>
              <w:top w:val="single" w:color="000000" w:sz="4" w:space="0"/>
              <w:left w:val="single" w:color="000000" w:sz="4" w:space="0"/>
              <w:bottom w:val="nil"/>
              <w:right w:val="single" w:color="000000" w:sz="4" w:space="0"/>
            </w:tcBorders>
          </w:tcPr>
          <w:p>
            <w:pPr>
              <w:pStyle w:val="19"/>
              <w:jc w:val="left"/>
              <w:rPr>
                <w:b/>
                <w:sz w:val="20"/>
              </w:rPr>
            </w:pPr>
          </w:p>
          <w:p>
            <w:pPr>
              <w:pStyle w:val="19"/>
              <w:spacing w:before="3"/>
              <w:jc w:val="left"/>
              <w:rPr>
                <w:b/>
                <w:sz w:val="18"/>
              </w:rPr>
            </w:pPr>
          </w:p>
          <w:p>
            <w:pPr>
              <w:pStyle w:val="19"/>
              <w:ind w:left="207"/>
              <w:jc w:val="left"/>
              <w:rPr>
                <w:sz w:val="21"/>
              </w:rPr>
            </w:pPr>
            <w:r>
              <w:rPr>
                <w:color w:val="FF0000"/>
                <w:sz w:val="21"/>
              </w:rPr>
              <w:t>符合</w:t>
            </w:r>
          </w:p>
        </w:tc>
        <w:tc>
          <w:tcPr>
            <w:tcW w:w="112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trPr>
        <w:tc>
          <w:tcPr>
            <w:tcW w:w="696" w:type="dxa"/>
            <w:vMerge w:val="continue"/>
            <w:tcBorders>
              <w:top w:val="nil"/>
              <w:bottom w:val="nil"/>
              <w:right w:val="single" w:color="000000" w:sz="4" w:space="0"/>
            </w:tcBorders>
          </w:tcPr>
          <w:p>
            <w:pPr>
              <w:rPr>
                <w:sz w:val="2"/>
                <w:szCs w:val="2"/>
              </w:rPr>
            </w:pPr>
          </w:p>
        </w:tc>
        <w:tc>
          <w:tcPr>
            <w:tcW w:w="2815" w:type="dxa"/>
            <w:vMerge w:val="continue"/>
            <w:tcBorders>
              <w:top w:val="nil"/>
              <w:left w:val="single" w:color="000000" w:sz="4" w:space="0"/>
              <w:bottom w:val="nil"/>
              <w:right w:val="single" w:color="000000" w:sz="4" w:space="0"/>
            </w:tcBorders>
          </w:tcPr>
          <w:p>
            <w:pPr>
              <w:rPr>
                <w:sz w:val="2"/>
                <w:szCs w:val="2"/>
              </w:rPr>
            </w:pPr>
          </w:p>
        </w:tc>
        <w:tc>
          <w:tcPr>
            <w:tcW w:w="3062" w:type="dxa"/>
            <w:vMerge w:val="continue"/>
            <w:tcBorders>
              <w:top w:val="nil"/>
              <w:left w:val="single" w:color="000000" w:sz="4" w:space="0"/>
              <w:bottom w:val="nil"/>
              <w:right w:val="single" w:color="000000" w:sz="4" w:space="0"/>
            </w:tcBorders>
          </w:tcPr>
          <w:p>
            <w:pPr>
              <w:rPr>
                <w:sz w:val="2"/>
                <w:szCs w:val="2"/>
              </w:rPr>
            </w:pPr>
          </w:p>
        </w:tc>
        <w:tc>
          <w:tcPr>
            <w:tcW w:w="825" w:type="dxa"/>
            <w:vMerge w:val="continue"/>
            <w:tcBorders>
              <w:top w:val="nil"/>
              <w:left w:val="single" w:color="000000" w:sz="4" w:space="0"/>
              <w:bottom w:val="nil"/>
              <w:right w:val="single" w:color="000000" w:sz="4" w:space="0"/>
            </w:tcBorders>
          </w:tcPr>
          <w:p>
            <w:pPr>
              <w:rPr>
                <w:sz w:val="2"/>
                <w:szCs w:val="2"/>
              </w:rPr>
            </w:pPr>
          </w:p>
        </w:tc>
        <w:tc>
          <w:tcPr>
            <w:tcW w:w="1124" w:type="dxa"/>
            <w:vMerge w:val="restart"/>
            <w:tcBorders>
              <w:top w:val="nil"/>
              <w:left w:val="single" w:color="000000" w:sz="4" w:space="0"/>
              <w:bottom w:val="nil"/>
            </w:tcBorders>
          </w:tcPr>
          <w:p>
            <w:pPr>
              <w:pStyle w:val="19"/>
              <w:spacing w:line="171" w:lineRule="exact"/>
              <w:ind w:left="145"/>
              <w:jc w:val="left"/>
              <w:rPr>
                <w:sz w:val="21"/>
              </w:rPr>
            </w:pPr>
            <w:r>
              <w:rPr>
                <w:color w:val="FF0000"/>
                <w:sz w:val="21"/>
              </w:rPr>
              <w:t>染控制标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2" w:hRule="atLeast"/>
        </w:trPr>
        <w:tc>
          <w:tcPr>
            <w:tcW w:w="696" w:type="dxa"/>
            <w:tcBorders>
              <w:top w:val="single" w:color="000000" w:sz="4" w:space="0"/>
              <w:bottom w:val="nil"/>
              <w:right w:val="single" w:color="000000" w:sz="4" w:space="0"/>
            </w:tcBorders>
          </w:tcPr>
          <w:p>
            <w:pPr>
              <w:pStyle w:val="19"/>
              <w:jc w:val="left"/>
              <w:rPr>
                <w:rFonts w:ascii="Times New Roman"/>
                <w:sz w:val="16"/>
              </w:rPr>
            </w:pPr>
          </w:p>
        </w:tc>
        <w:tc>
          <w:tcPr>
            <w:tcW w:w="2815" w:type="dxa"/>
            <w:tcBorders>
              <w:top w:val="single" w:color="000000" w:sz="4" w:space="0"/>
              <w:left w:val="single" w:color="000000" w:sz="4" w:space="0"/>
              <w:bottom w:val="nil"/>
              <w:right w:val="single" w:color="000000" w:sz="4" w:space="0"/>
            </w:tcBorders>
          </w:tcPr>
          <w:p>
            <w:pPr>
              <w:pStyle w:val="19"/>
              <w:jc w:val="left"/>
              <w:rPr>
                <w:rFonts w:ascii="Times New Roman"/>
                <w:sz w:val="16"/>
              </w:rPr>
            </w:pPr>
          </w:p>
        </w:tc>
        <w:tc>
          <w:tcPr>
            <w:tcW w:w="3062" w:type="dxa"/>
            <w:tcBorders>
              <w:top w:val="single" w:color="000000" w:sz="4" w:space="0"/>
              <w:left w:val="single" w:color="000000" w:sz="4" w:space="0"/>
              <w:bottom w:val="nil"/>
              <w:right w:val="single" w:color="000000" w:sz="4" w:space="0"/>
            </w:tcBorders>
          </w:tcPr>
          <w:p>
            <w:pPr>
              <w:pStyle w:val="19"/>
              <w:spacing w:line="212" w:lineRule="exact"/>
              <w:ind w:left="45" w:right="27"/>
              <w:rPr>
                <w:sz w:val="21"/>
              </w:rPr>
            </w:pPr>
            <w:r>
              <w:rPr>
                <w:color w:val="FF0000"/>
                <w:sz w:val="21"/>
              </w:rPr>
              <w:t>煤矸石堆场现状未发现崩塌、滑</w:t>
            </w:r>
          </w:p>
        </w:tc>
        <w:tc>
          <w:tcPr>
            <w:tcW w:w="825" w:type="dxa"/>
            <w:tcBorders>
              <w:top w:val="single" w:color="000000" w:sz="4" w:space="0"/>
              <w:left w:val="single" w:color="000000" w:sz="4" w:space="0"/>
              <w:bottom w:val="nil"/>
              <w:right w:val="single" w:color="000000" w:sz="4" w:space="0"/>
            </w:tcBorders>
          </w:tcPr>
          <w:p>
            <w:pPr>
              <w:pStyle w:val="19"/>
              <w:jc w:val="left"/>
              <w:rPr>
                <w:rFonts w:ascii="Times New Roman"/>
                <w:sz w:val="16"/>
              </w:rPr>
            </w:pPr>
          </w:p>
        </w:tc>
        <w:tc>
          <w:tcPr>
            <w:tcW w:w="112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5" w:hRule="atLeast"/>
        </w:trPr>
        <w:tc>
          <w:tcPr>
            <w:tcW w:w="696" w:type="dxa"/>
            <w:tcBorders>
              <w:top w:val="nil"/>
              <w:bottom w:val="nil"/>
              <w:right w:val="single" w:color="000000" w:sz="4" w:space="0"/>
            </w:tcBorders>
          </w:tcPr>
          <w:p>
            <w:pPr>
              <w:pStyle w:val="19"/>
              <w:jc w:val="left"/>
              <w:rPr>
                <w:b/>
                <w:sz w:val="22"/>
              </w:rPr>
            </w:pPr>
          </w:p>
          <w:p>
            <w:pPr>
              <w:pStyle w:val="19"/>
              <w:spacing w:before="157"/>
              <w:ind w:left="13"/>
              <w:rPr>
                <w:rFonts w:ascii="Times New Roman"/>
                <w:sz w:val="21"/>
              </w:rPr>
            </w:pPr>
            <w:r>
              <w:rPr>
                <w:rFonts w:ascii="Times New Roman"/>
                <w:color w:val="FF0000"/>
                <w:w w:val="99"/>
                <w:sz w:val="21"/>
              </w:rPr>
              <w:t>4</w:t>
            </w:r>
          </w:p>
        </w:tc>
        <w:tc>
          <w:tcPr>
            <w:tcW w:w="2815" w:type="dxa"/>
            <w:tcBorders>
              <w:top w:val="nil"/>
              <w:left w:val="single" w:color="000000" w:sz="4" w:space="0"/>
              <w:bottom w:val="nil"/>
              <w:right w:val="single" w:color="000000" w:sz="4" w:space="0"/>
            </w:tcBorders>
          </w:tcPr>
          <w:p>
            <w:pPr>
              <w:pStyle w:val="19"/>
              <w:spacing w:before="94" w:line="288" w:lineRule="auto"/>
              <w:ind w:left="151" w:right="133"/>
              <w:rPr>
                <w:sz w:val="21"/>
              </w:rPr>
            </w:pPr>
            <w:r>
              <w:rPr>
                <w:color w:val="FF0000"/>
                <w:w w:val="95"/>
                <w:sz w:val="21"/>
              </w:rPr>
              <w:t>应避开断层、断层破碎带、溶洞区，以及天然滑坡或泥</w:t>
            </w:r>
          </w:p>
          <w:p>
            <w:pPr>
              <w:pStyle w:val="19"/>
              <w:spacing w:before="7"/>
              <w:ind w:left="130" w:right="115"/>
              <w:rPr>
                <w:sz w:val="21"/>
              </w:rPr>
            </w:pPr>
            <w:r>
              <w:rPr>
                <w:color w:val="FF0000"/>
                <w:sz w:val="21"/>
              </w:rPr>
              <w:t>石流影响区</w:t>
            </w:r>
          </w:p>
        </w:tc>
        <w:tc>
          <w:tcPr>
            <w:tcW w:w="3062" w:type="dxa"/>
            <w:tcBorders>
              <w:top w:val="nil"/>
              <w:left w:val="single" w:color="000000" w:sz="4" w:space="0"/>
              <w:bottom w:val="nil"/>
              <w:right w:val="single" w:color="000000" w:sz="4" w:space="0"/>
            </w:tcBorders>
          </w:tcPr>
          <w:p>
            <w:pPr>
              <w:pStyle w:val="19"/>
              <w:spacing w:before="43" w:line="320" w:lineRule="atLeast"/>
              <w:ind w:left="113" w:right="92"/>
              <w:jc w:val="both"/>
              <w:rPr>
                <w:sz w:val="21"/>
              </w:rPr>
            </w:pPr>
            <w:r>
              <w:rPr>
                <w:color w:val="FF0000"/>
                <w:spacing w:val="-11"/>
                <w:sz w:val="21"/>
              </w:rPr>
              <w:t>坡、泥石流、岩溶地面塌陷灾害现象；煤矸石堆场选址不属于断层破碎带、溶洞区，以及天然滑</w:t>
            </w:r>
          </w:p>
        </w:tc>
        <w:tc>
          <w:tcPr>
            <w:tcW w:w="825" w:type="dxa"/>
            <w:tcBorders>
              <w:top w:val="nil"/>
              <w:left w:val="single" w:color="000000" w:sz="4" w:space="0"/>
              <w:bottom w:val="nil"/>
              <w:right w:val="single" w:color="000000" w:sz="4" w:space="0"/>
            </w:tcBorders>
          </w:tcPr>
          <w:p>
            <w:pPr>
              <w:pStyle w:val="19"/>
              <w:jc w:val="left"/>
              <w:rPr>
                <w:b/>
                <w:sz w:val="20"/>
              </w:rPr>
            </w:pPr>
          </w:p>
          <w:p>
            <w:pPr>
              <w:pStyle w:val="19"/>
              <w:spacing w:before="164"/>
              <w:ind w:left="207"/>
              <w:jc w:val="left"/>
              <w:rPr>
                <w:sz w:val="21"/>
              </w:rPr>
            </w:pPr>
            <w:r>
              <w:rPr>
                <w:color w:val="FF0000"/>
                <w:sz w:val="21"/>
              </w:rPr>
              <w:t>符合</w:t>
            </w:r>
          </w:p>
        </w:tc>
        <w:tc>
          <w:tcPr>
            <w:tcW w:w="1124" w:type="dxa"/>
            <w:tcBorders>
              <w:top w:val="nil"/>
              <w:left w:val="single" w:color="000000" w:sz="4" w:space="0"/>
              <w:bottom w:val="nil"/>
            </w:tcBorders>
          </w:tcPr>
          <w:p>
            <w:pPr>
              <w:pStyle w:val="19"/>
              <w:spacing w:line="231" w:lineRule="exact"/>
              <w:ind w:left="99" w:right="78"/>
              <w:rPr>
                <w:sz w:val="21"/>
              </w:rPr>
            </w:pPr>
            <w:r>
              <w:rPr>
                <w:color w:val="FF0000"/>
                <w:sz w:val="21"/>
              </w:rPr>
              <w:t>准》</w:t>
            </w:r>
          </w:p>
          <w:p>
            <w:pPr>
              <w:pStyle w:val="19"/>
              <w:spacing w:before="57"/>
              <w:ind w:left="103" w:right="78"/>
              <w:rPr>
                <w:rFonts w:ascii="Times New Roman"/>
                <w:sz w:val="21"/>
              </w:rPr>
            </w:pPr>
            <w:r>
              <w:rPr>
                <w:rFonts w:ascii="Times New Roman"/>
                <w:color w:val="FF0000"/>
                <w:sz w:val="21"/>
              </w:rPr>
              <w:t>(GB18599</w:t>
            </w:r>
          </w:p>
          <w:p>
            <w:pPr>
              <w:pStyle w:val="19"/>
              <w:spacing w:before="46"/>
              <w:ind w:left="103" w:right="77"/>
              <w:rPr>
                <w:rFonts w:ascii="Times New Roman"/>
                <w:sz w:val="21"/>
              </w:rPr>
            </w:pPr>
            <w:r>
              <w:rPr>
                <w:rFonts w:ascii="Times New Roman"/>
                <w:color w:val="FF0000"/>
                <w:sz w:val="21"/>
              </w:rPr>
              <w:t>-2001)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6" w:hRule="atLeast"/>
        </w:trPr>
        <w:tc>
          <w:tcPr>
            <w:tcW w:w="696" w:type="dxa"/>
            <w:tcBorders>
              <w:top w:val="nil"/>
              <w:bottom w:val="single" w:color="000000" w:sz="4" w:space="0"/>
              <w:right w:val="single" w:color="000000" w:sz="4" w:space="0"/>
            </w:tcBorders>
          </w:tcPr>
          <w:p>
            <w:pPr>
              <w:pStyle w:val="19"/>
              <w:jc w:val="left"/>
              <w:rPr>
                <w:rFonts w:ascii="Times New Roman"/>
                <w:sz w:val="22"/>
              </w:rPr>
            </w:pPr>
          </w:p>
        </w:tc>
        <w:tc>
          <w:tcPr>
            <w:tcW w:w="2815" w:type="dxa"/>
            <w:tcBorders>
              <w:top w:val="nil"/>
              <w:left w:val="single" w:color="000000" w:sz="4" w:space="0"/>
              <w:bottom w:val="single" w:color="000000" w:sz="4" w:space="0"/>
              <w:right w:val="single" w:color="000000" w:sz="4" w:space="0"/>
            </w:tcBorders>
          </w:tcPr>
          <w:p>
            <w:pPr>
              <w:pStyle w:val="19"/>
              <w:jc w:val="left"/>
              <w:rPr>
                <w:rFonts w:ascii="Times New Roman"/>
                <w:sz w:val="22"/>
              </w:rPr>
            </w:pPr>
          </w:p>
        </w:tc>
        <w:tc>
          <w:tcPr>
            <w:tcW w:w="3062" w:type="dxa"/>
            <w:tcBorders>
              <w:top w:val="nil"/>
              <w:left w:val="single" w:color="000000" w:sz="4" w:space="0"/>
              <w:bottom w:val="single" w:color="000000" w:sz="4" w:space="0"/>
              <w:right w:val="single" w:color="000000" w:sz="4" w:space="0"/>
            </w:tcBorders>
          </w:tcPr>
          <w:p>
            <w:pPr>
              <w:pStyle w:val="19"/>
              <w:spacing w:before="28"/>
              <w:ind w:left="45" w:right="27"/>
              <w:rPr>
                <w:sz w:val="21"/>
              </w:rPr>
            </w:pPr>
            <w:r>
              <w:rPr>
                <w:color w:val="FF0000"/>
                <w:sz w:val="21"/>
              </w:rPr>
              <w:t>坡或泥石流影响区</w:t>
            </w:r>
          </w:p>
        </w:tc>
        <w:tc>
          <w:tcPr>
            <w:tcW w:w="825" w:type="dxa"/>
            <w:tcBorders>
              <w:top w:val="nil"/>
              <w:left w:val="single" w:color="000000" w:sz="4" w:space="0"/>
              <w:bottom w:val="single" w:color="000000" w:sz="4" w:space="0"/>
              <w:right w:val="single" w:color="000000" w:sz="4" w:space="0"/>
            </w:tcBorders>
          </w:tcPr>
          <w:p>
            <w:pPr>
              <w:pStyle w:val="19"/>
              <w:jc w:val="left"/>
              <w:rPr>
                <w:rFonts w:ascii="Times New Roman"/>
                <w:sz w:val="22"/>
              </w:rPr>
            </w:pPr>
          </w:p>
        </w:tc>
        <w:tc>
          <w:tcPr>
            <w:tcW w:w="1124" w:type="dxa"/>
            <w:tcBorders>
              <w:top w:val="nil"/>
              <w:left w:val="single" w:color="000000" w:sz="4" w:space="0"/>
              <w:bottom w:val="nil"/>
            </w:tcBorders>
          </w:tcPr>
          <w:p>
            <w:pPr>
              <w:pStyle w:val="19"/>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696" w:type="dxa"/>
            <w:tcBorders>
              <w:top w:val="single" w:color="000000" w:sz="4" w:space="0"/>
              <w:bottom w:val="single" w:color="000000" w:sz="4" w:space="0"/>
              <w:right w:val="single" w:color="000000" w:sz="4" w:space="0"/>
            </w:tcBorders>
          </w:tcPr>
          <w:p>
            <w:pPr>
              <w:pStyle w:val="19"/>
              <w:spacing w:before="10"/>
              <w:jc w:val="left"/>
              <w:rPr>
                <w:b/>
                <w:sz w:val="26"/>
              </w:rPr>
            </w:pPr>
          </w:p>
          <w:p>
            <w:pPr>
              <w:pStyle w:val="19"/>
              <w:ind w:left="13"/>
              <w:rPr>
                <w:rFonts w:ascii="Times New Roman"/>
                <w:sz w:val="21"/>
              </w:rPr>
            </w:pPr>
            <w:r>
              <w:rPr>
                <w:rFonts w:ascii="Times New Roman"/>
                <w:color w:val="FF0000"/>
                <w:w w:val="99"/>
                <w:sz w:val="21"/>
              </w:rPr>
              <w:t>5</w:t>
            </w:r>
          </w:p>
        </w:tc>
        <w:tc>
          <w:tcPr>
            <w:tcW w:w="2815" w:type="dxa"/>
            <w:tcBorders>
              <w:top w:val="single" w:color="000000" w:sz="4" w:space="0"/>
              <w:left w:val="single" w:color="000000" w:sz="4" w:space="0"/>
              <w:bottom w:val="single" w:color="000000" w:sz="4" w:space="0"/>
              <w:right w:val="single" w:color="000000" w:sz="4" w:space="0"/>
            </w:tcBorders>
          </w:tcPr>
          <w:p>
            <w:pPr>
              <w:pStyle w:val="19"/>
              <w:ind w:left="151"/>
              <w:jc w:val="left"/>
              <w:rPr>
                <w:sz w:val="21"/>
              </w:rPr>
            </w:pPr>
            <w:r>
              <w:rPr>
                <w:color w:val="FF0000"/>
                <w:sz w:val="21"/>
              </w:rPr>
              <w:t>禁止选在江河、湖泊、水库</w:t>
            </w:r>
          </w:p>
          <w:p>
            <w:pPr>
              <w:pStyle w:val="19"/>
              <w:spacing w:before="7" w:line="320" w:lineRule="atLeast"/>
              <w:ind w:left="1202" w:right="133" w:hanging="1052"/>
              <w:jc w:val="left"/>
              <w:rPr>
                <w:sz w:val="21"/>
              </w:rPr>
            </w:pPr>
            <w:r>
              <w:rPr>
                <w:color w:val="FF0000"/>
                <w:sz w:val="21"/>
              </w:rPr>
              <w:t>最高水位线以下的滩地和洪泛区</w:t>
            </w:r>
          </w:p>
        </w:tc>
        <w:tc>
          <w:tcPr>
            <w:tcW w:w="3062" w:type="dxa"/>
            <w:tcBorders>
              <w:top w:val="single" w:color="000000" w:sz="4" w:space="0"/>
              <w:left w:val="single" w:color="000000" w:sz="4" w:space="0"/>
              <w:bottom w:val="single" w:color="000000" w:sz="4" w:space="0"/>
              <w:right w:val="single" w:color="000000" w:sz="4" w:space="0"/>
            </w:tcBorders>
          </w:tcPr>
          <w:p>
            <w:pPr>
              <w:pStyle w:val="19"/>
              <w:spacing w:before="163" w:line="290" w:lineRule="auto"/>
              <w:ind w:left="276" w:right="92" w:hanging="164"/>
              <w:jc w:val="left"/>
              <w:rPr>
                <w:sz w:val="21"/>
              </w:rPr>
            </w:pPr>
            <w:r>
              <w:rPr>
                <w:color w:val="FF0000"/>
                <w:spacing w:val="-9"/>
                <w:sz w:val="21"/>
              </w:rPr>
              <w:t>煤矸石堆场位于工业场地内，所</w:t>
            </w:r>
            <w:r>
              <w:rPr>
                <w:color w:val="FF0000"/>
                <w:sz w:val="21"/>
              </w:rPr>
              <w:t>在区域不涉及滩地和洪泛区</w:t>
            </w:r>
          </w:p>
        </w:tc>
        <w:tc>
          <w:tcPr>
            <w:tcW w:w="825" w:type="dxa"/>
            <w:tcBorders>
              <w:top w:val="single" w:color="000000" w:sz="4" w:space="0"/>
              <w:left w:val="single" w:color="000000" w:sz="4" w:space="0"/>
              <w:bottom w:val="single" w:color="000000" w:sz="4" w:space="0"/>
              <w:right w:val="single" w:color="000000" w:sz="4" w:space="0"/>
            </w:tcBorders>
          </w:tcPr>
          <w:p>
            <w:pPr>
              <w:pStyle w:val="19"/>
              <w:spacing w:before="6"/>
              <w:jc w:val="left"/>
              <w:rPr>
                <w:b/>
                <w:sz w:val="25"/>
              </w:rPr>
            </w:pPr>
          </w:p>
          <w:p>
            <w:pPr>
              <w:pStyle w:val="19"/>
              <w:ind w:left="207"/>
              <w:jc w:val="left"/>
              <w:rPr>
                <w:sz w:val="21"/>
              </w:rPr>
            </w:pPr>
            <w:r>
              <w:rPr>
                <w:color w:val="FF0000"/>
                <w:sz w:val="21"/>
              </w:rPr>
              <w:t>符合</w:t>
            </w:r>
          </w:p>
        </w:tc>
        <w:tc>
          <w:tcPr>
            <w:tcW w:w="1124" w:type="dxa"/>
            <w:tcBorders>
              <w:top w:val="nil"/>
              <w:left w:val="single" w:color="000000" w:sz="4" w:space="0"/>
              <w:bottom w:val="nil"/>
            </w:tcBorders>
          </w:tcPr>
          <w:p>
            <w:pPr>
              <w:pStyle w:val="19"/>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0" w:hRule="atLeast"/>
        </w:trPr>
        <w:tc>
          <w:tcPr>
            <w:tcW w:w="696" w:type="dxa"/>
            <w:tcBorders>
              <w:top w:val="single" w:color="000000" w:sz="4" w:space="0"/>
              <w:bottom w:val="nil"/>
              <w:right w:val="single" w:color="000000" w:sz="4" w:space="0"/>
            </w:tcBorders>
          </w:tcPr>
          <w:p>
            <w:pPr>
              <w:pStyle w:val="19"/>
              <w:jc w:val="left"/>
              <w:rPr>
                <w:rFonts w:ascii="Times New Roman"/>
                <w:sz w:val="22"/>
              </w:rPr>
            </w:pPr>
          </w:p>
        </w:tc>
        <w:tc>
          <w:tcPr>
            <w:tcW w:w="2815" w:type="dxa"/>
            <w:tcBorders>
              <w:top w:val="single" w:color="000000" w:sz="4" w:space="0"/>
              <w:left w:val="single" w:color="000000" w:sz="4" w:space="0"/>
              <w:bottom w:val="nil"/>
              <w:right w:val="single" w:color="000000" w:sz="4" w:space="0"/>
            </w:tcBorders>
          </w:tcPr>
          <w:p>
            <w:pPr>
              <w:pStyle w:val="19"/>
              <w:spacing w:before="165" w:line="266" w:lineRule="exact"/>
              <w:ind w:left="130" w:right="115"/>
              <w:rPr>
                <w:sz w:val="21"/>
              </w:rPr>
            </w:pPr>
            <w:r>
              <w:rPr>
                <w:color w:val="FF0000"/>
                <w:sz w:val="21"/>
              </w:rPr>
              <w:t>禁止选在自然保护区、风景</w:t>
            </w:r>
          </w:p>
        </w:tc>
        <w:tc>
          <w:tcPr>
            <w:tcW w:w="3062" w:type="dxa"/>
            <w:vMerge w:val="restart"/>
            <w:tcBorders>
              <w:top w:val="single" w:color="000000" w:sz="4" w:space="0"/>
              <w:left w:val="single" w:color="000000" w:sz="4" w:space="0"/>
              <w:right w:val="single" w:color="000000" w:sz="4" w:space="0"/>
            </w:tcBorders>
          </w:tcPr>
          <w:p>
            <w:pPr>
              <w:pStyle w:val="19"/>
              <w:spacing w:before="1" w:line="290" w:lineRule="auto"/>
              <w:ind w:left="113" w:right="1"/>
              <w:jc w:val="left"/>
              <w:rPr>
                <w:sz w:val="21"/>
              </w:rPr>
            </w:pPr>
            <w:r>
              <w:rPr>
                <w:color w:val="FF0000"/>
                <w:spacing w:val="-1"/>
                <w:sz w:val="21"/>
              </w:rPr>
              <w:t>煤矸石堆场不属于自然保护区、</w:t>
            </w:r>
            <w:r>
              <w:rPr>
                <w:color w:val="FF0000"/>
                <w:spacing w:val="-11"/>
                <w:sz w:val="21"/>
              </w:rPr>
              <w:t>风景名胜区、森林公园、饮用水源保护区和其他需要特别保护</w:t>
            </w:r>
          </w:p>
          <w:p>
            <w:pPr>
              <w:pStyle w:val="19"/>
              <w:spacing w:before="3"/>
              <w:ind w:left="1219"/>
              <w:jc w:val="left"/>
              <w:rPr>
                <w:sz w:val="21"/>
              </w:rPr>
            </w:pPr>
            <w:r>
              <w:rPr>
                <w:color w:val="FF0000"/>
                <w:sz w:val="21"/>
              </w:rPr>
              <w:t>的区域</w:t>
            </w:r>
          </w:p>
        </w:tc>
        <w:tc>
          <w:tcPr>
            <w:tcW w:w="825" w:type="dxa"/>
            <w:tcBorders>
              <w:top w:val="single" w:color="000000" w:sz="4" w:space="0"/>
              <w:left w:val="single" w:color="000000" w:sz="4" w:space="0"/>
              <w:bottom w:val="nil"/>
              <w:right w:val="single" w:color="000000" w:sz="4" w:space="0"/>
            </w:tcBorders>
          </w:tcPr>
          <w:p>
            <w:pPr>
              <w:pStyle w:val="19"/>
              <w:jc w:val="left"/>
              <w:rPr>
                <w:rFonts w:ascii="Times New Roman"/>
                <w:sz w:val="22"/>
              </w:rPr>
            </w:pPr>
          </w:p>
        </w:tc>
        <w:tc>
          <w:tcPr>
            <w:tcW w:w="1124" w:type="dxa"/>
            <w:tcBorders>
              <w:top w:val="nil"/>
              <w:left w:val="single" w:color="000000" w:sz="4" w:space="0"/>
              <w:bottom w:val="nil"/>
            </w:tcBorders>
          </w:tcPr>
          <w:p>
            <w:pPr>
              <w:pStyle w:val="19"/>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696" w:type="dxa"/>
            <w:tcBorders>
              <w:top w:val="nil"/>
              <w:bottom w:val="nil"/>
              <w:right w:val="single" w:color="000000" w:sz="4" w:space="0"/>
            </w:tcBorders>
          </w:tcPr>
          <w:p>
            <w:pPr>
              <w:pStyle w:val="19"/>
              <w:spacing w:before="36"/>
              <w:ind w:left="13"/>
              <w:rPr>
                <w:rFonts w:ascii="Times New Roman"/>
                <w:sz w:val="21"/>
              </w:rPr>
            </w:pPr>
            <w:r>
              <w:rPr>
                <w:rFonts w:ascii="Times New Roman"/>
                <w:color w:val="FF0000"/>
                <w:w w:val="99"/>
                <w:sz w:val="21"/>
              </w:rPr>
              <w:t>6</w:t>
            </w:r>
          </w:p>
        </w:tc>
        <w:tc>
          <w:tcPr>
            <w:tcW w:w="2815" w:type="dxa"/>
            <w:tcBorders>
              <w:top w:val="nil"/>
              <w:left w:val="single" w:color="000000" w:sz="4" w:space="0"/>
              <w:bottom w:val="nil"/>
              <w:right w:val="single" w:color="000000" w:sz="4" w:space="0"/>
            </w:tcBorders>
          </w:tcPr>
          <w:p>
            <w:pPr>
              <w:pStyle w:val="19"/>
              <w:spacing w:before="18"/>
              <w:ind w:left="130" w:right="115"/>
              <w:rPr>
                <w:sz w:val="21"/>
              </w:rPr>
            </w:pPr>
            <w:r>
              <w:rPr>
                <w:color w:val="FF0000"/>
                <w:sz w:val="21"/>
              </w:rPr>
              <w:t>名胜区和其他需要特别保护</w:t>
            </w:r>
          </w:p>
        </w:tc>
        <w:tc>
          <w:tcPr>
            <w:tcW w:w="3062" w:type="dxa"/>
            <w:vMerge w:val="continue"/>
            <w:tcBorders>
              <w:top w:val="nil"/>
              <w:left w:val="single" w:color="000000" w:sz="4" w:space="0"/>
              <w:right w:val="single" w:color="000000" w:sz="4" w:space="0"/>
            </w:tcBorders>
          </w:tcPr>
          <w:p>
            <w:pPr>
              <w:rPr>
                <w:sz w:val="2"/>
                <w:szCs w:val="2"/>
              </w:rPr>
            </w:pPr>
          </w:p>
        </w:tc>
        <w:tc>
          <w:tcPr>
            <w:tcW w:w="825" w:type="dxa"/>
            <w:tcBorders>
              <w:top w:val="nil"/>
              <w:left w:val="single" w:color="000000" w:sz="4" w:space="0"/>
              <w:bottom w:val="nil"/>
              <w:right w:val="single" w:color="000000" w:sz="4" w:space="0"/>
            </w:tcBorders>
          </w:tcPr>
          <w:p>
            <w:pPr>
              <w:pStyle w:val="19"/>
              <w:spacing w:before="20"/>
              <w:ind w:left="207"/>
              <w:jc w:val="left"/>
              <w:rPr>
                <w:sz w:val="21"/>
              </w:rPr>
            </w:pPr>
            <w:r>
              <w:rPr>
                <w:color w:val="FF0000"/>
                <w:sz w:val="21"/>
              </w:rPr>
              <w:t>符合</w:t>
            </w:r>
          </w:p>
        </w:tc>
        <w:tc>
          <w:tcPr>
            <w:tcW w:w="1124" w:type="dxa"/>
            <w:tcBorders>
              <w:top w:val="nil"/>
              <w:left w:val="single" w:color="000000" w:sz="4" w:space="0"/>
              <w:bottom w:val="nil"/>
            </w:tcBorders>
          </w:tcPr>
          <w:p>
            <w:pPr>
              <w:pStyle w:val="19"/>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8" w:hRule="atLeast"/>
        </w:trPr>
        <w:tc>
          <w:tcPr>
            <w:tcW w:w="696" w:type="dxa"/>
            <w:tcBorders>
              <w:top w:val="nil"/>
              <w:right w:val="single" w:color="000000" w:sz="4" w:space="0"/>
            </w:tcBorders>
          </w:tcPr>
          <w:p>
            <w:pPr>
              <w:pStyle w:val="19"/>
              <w:jc w:val="left"/>
              <w:rPr>
                <w:rFonts w:ascii="Times New Roman"/>
                <w:sz w:val="22"/>
              </w:rPr>
            </w:pPr>
          </w:p>
        </w:tc>
        <w:tc>
          <w:tcPr>
            <w:tcW w:w="2815" w:type="dxa"/>
            <w:tcBorders>
              <w:top w:val="nil"/>
              <w:left w:val="single" w:color="000000" w:sz="4" w:space="0"/>
              <w:right w:val="single" w:color="000000" w:sz="4" w:space="0"/>
            </w:tcBorders>
          </w:tcPr>
          <w:p>
            <w:pPr>
              <w:pStyle w:val="19"/>
              <w:spacing w:before="9"/>
              <w:ind w:left="130" w:right="113"/>
              <w:rPr>
                <w:sz w:val="21"/>
              </w:rPr>
            </w:pPr>
            <w:r>
              <w:rPr>
                <w:color w:val="FF0000"/>
                <w:sz w:val="21"/>
              </w:rPr>
              <w:t>的区域</w:t>
            </w:r>
          </w:p>
        </w:tc>
        <w:tc>
          <w:tcPr>
            <w:tcW w:w="3062" w:type="dxa"/>
            <w:vMerge w:val="continue"/>
            <w:tcBorders>
              <w:top w:val="nil"/>
              <w:left w:val="single" w:color="000000" w:sz="4" w:space="0"/>
              <w:right w:val="single" w:color="000000" w:sz="4" w:space="0"/>
            </w:tcBorders>
          </w:tcPr>
          <w:p>
            <w:pPr>
              <w:rPr>
                <w:sz w:val="2"/>
                <w:szCs w:val="2"/>
              </w:rPr>
            </w:pPr>
          </w:p>
        </w:tc>
        <w:tc>
          <w:tcPr>
            <w:tcW w:w="825" w:type="dxa"/>
            <w:tcBorders>
              <w:top w:val="nil"/>
              <w:left w:val="single" w:color="000000" w:sz="4" w:space="0"/>
              <w:right w:val="single" w:color="000000" w:sz="4" w:space="0"/>
            </w:tcBorders>
          </w:tcPr>
          <w:p>
            <w:pPr>
              <w:pStyle w:val="19"/>
              <w:jc w:val="left"/>
              <w:rPr>
                <w:rFonts w:ascii="Times New Roman"/>
                <w:sz w:val="22"/>
              </w:rPr>
            </w:pPr>
          </w:p>
        </w:tc>
        <w:tc>
          <w:tcPr>
            <w:tcW w:w="1124" w:type="dxa"/>
            <w:tcBorders>
              <w:top w:val="nil"/>
              <w:left w:val="single" w:color="000000" w:sz="4" w:space="0"/>
            </w:tcBorders>
          </w:tcPr>
          <w:p>
            <w:pPr>
              <w:pStyle w:val="19"/>
              <w:jc w:val="left"/>
              <w:rPr>
                <w:rFonts w:ascii="Times New Roman"/>
                <w:sz w:val="22"/>
              </w:rPr>
            </w:pPr>
          </w:p>
        </w:tc>
      </w:tr>
    </w:tbl>
    <w:p>
      <w:pPr>
        <w:pStyle w:val="9"/>
        <w:spacing w:before="3" w:line="362" w:lineRule="auto"/>
        <w:ind w:left="218" w:right="200" w:firstLine="480"/>
      </w:pPr>
      <w:r>
        <w:rPr>
          <w:color w:val="FF0000"/>
        </w:rPr>
        <w:t>由上表可知，本项目煤矸石堆场选址符合《一般工业固体废物贮存、处置场污染控制标准》（</w:t>
      </w:r>
      <w:r>
        <w:rPr>
          <w:rFonts w:ascii="Times New Roman" w:eastAsia="Times New Roman"/>
          <w:color w:val="FF0000"/>
        </w:rPr>
        <w:t>GB18599-2001</w:t>
      </w:r>
      <w:r>
        <w:rPr>
          <w:color w:val="FF0000"/>
        </w:rPr>
        <w:t>）选址要求。</w:t>
      </w:r>
    </w:p>
    <w:p>
      <w:pPr>
        <w:pStyle w:val="18"/>
        <w:numPr>
          <w:ilvl w:val="2"/>
          <w:numId w:val="9"/>
        </w:numPr>
        <w:tabs>
          <w:tab w:val="left" w:pos="1409"/>
        </w:tabs>
        <w:spacing w:before="6" w:after="0" w:line="240" w:lineRule="auto"/>
        <w:ind w:left="1408" w:right="0" w:hanging="632"/>
        <w:jc w:val="left"/>
        <w:rPr>
          <w:b/>
          <w:sz w:val="28"/>
        </w:rPr>
      </w:pPr>
      <w:bookmarkStart w:id="43" w:name="6.2.6项目选址与岭东区水源地位置关系分析"/>
      <w:bookmarkEnd w:id="43"/>
      <w:bookmarkStart w:id="44" w:name="6.2.6项目选址与岭东区水源地位置关系分析"/>
      <w:bookmarkEnd w:id="44"/>
      <w:r>
        <w:rPr>
          <w:b/>
          <w:color w:val="FF0000"/>
          <w:sz w:val="28"/>
        </w:rPr>
        <w:t>项目选址与岭东区水源地位置关系分析</w:t>
      </w:r>
    </w:p>
    <w:p>
      <w:pPr>
        <w:pStyle w:val="9"/>
        <w:spacing w:before="183" w:line="364" w:lineRule="auto"/>
        <w:ind w:left="218" w:right="140" w:firstLine="480"/>
        <w:jc w:val="both"/>
      </w:pPr>
      <w:r>
        <w:rPr>
          <w:color w:val="FF0000"/>
          <w:spacing w:val="-3"/>
        </w:rPr>
        <w:t>本项目工业广场利用原有工业广场进行改造，工业广场距离寒葱沟水库集中式饮用</w:t>
      </w:r>
      <w:r>
        <w:rPr>
          <w:color w:val="FF0000"/>
          <w:spacing w:val="-6"/>
        </w:rPr>
        <w:t xml:space="preserve">水水源地保护区一级保护区约 </w:t>
      </w:r>
      <w:r>
        <w:rPr>
          <w:rFonts w:ascii="Times New Roman" w:eastAsia="Times New Roman"/>
          <w:color w:val="FF0000"/>
        </w:rPr>
        <w:t>260m</w:t>
      </w:r>
      <w:r>
        <w:rPr>
          <w:color w:val="FF0000"/>
        </w:rPr>
        <w:t>，距离寒葱沟水库集中式饮用水水源地保护区二级</w:t>
      </w:r>
      <w:r>
        <w:rPr>
          <w:color w:val="FF0000"/>
          <w:spacing w:val="-13"/>
        </w:rPr>
        <w:t xml:space="preserve">保护区约 </w:t>
      </w:r>
      <w:r>
        <w:rPr>
          <w:rFonts w:ascii="Times New Roman" w:eastAsia="Times New Roman"/>
          <w:color w:val="FF0000"/>
        </w:rPr>
        <w:t>10.4km</w:t>
      </w:r>
      <w:r>
        <w:rPr>
          <w:color w:val="FF0000"/>
          <w:spacing w:val="-1"/>
        </w:rPr>
        <w:t>，本项目与寒葱沟水库集中式饮用水水源地保护区相对位置详见附图。</w:t>
      </w:r>
    </w:p>
    <w:p>
      <w:pPr>
        <w:pStyle w:val="9"/>
        <w:spacing w:line="307" w:lineRule="exact"/>
        <w:ind w:left="698"/>
      </w:pPr>
      <w:r>
        <w:rPr>
          <w:color w:val="FF0000"/>
        </w:rPr>
        <w:t>综上，本项目选址合理。</w:t>
      </w:r>
    </w:p>
    <w:p>
      <w:pPr>
        <w:pStyle w:val="18"/>
        <w:numPr>
          <w:ilvl w:val="2"/>
          <w:numId w:val="9"/>
        </w:numPr>
        <w:tabs>
          <w:tab w:val="left" w:pos="1409"/>
        </w:tabs>
        <w:spacing w:before="161" w:after="0" w:line="240" w:lineRule="auto"/>
        <w:ind w:left="1408" w:right="0" w:hanging="632"/>
        <w:jc w:val="left"/>
        <w:rPr>
          <w:b/>
          <w:sz w:val="28"/>
        </w:rPr>
      </w:pPr>
      <w:bookmarkStart w:id="45" w:name="6.2.7项目选址环境可行性综合分析"/>
      <w:bookmarkEnd w:id="45"/>
      <w:bookmarkStart w:id="46" w:name="6.2.7项目选址环境可行性综合分析"/>
      <w:bookmarkEnd w:id="46"/>
      <w:r>
        <w:rPr>
          <w:b/>
          <w:color w:val="FF0000"/>
          <w:sz w:val="28"/>
        </w:rPr>
        <w:t>项目选址环境可行性综合分析</w:t>
      </w:r>
    </w:p>
    <w:p>
      <w:pPr>
        <w:pStyle w:val="9"/>
        <w:spacing w:before="186"/>
        <w:ind w:left="698"/>
      </w:pPr>
      <w:r>
        <w:rPr>
          <w:rFonts w:ascii="Times New Roman" w:eastAsia="Times New Roman"/>
          <w:color w:val="FF0000"/>
        </w:rPr>
        <w:t>1</w:t>
      </w:r>
      <w:r>
        <w:rPr>
          <w:color w:val="FF0000"/>
        </w:rPr>
        <w:t>、环境空气</w:t>
      </w:r>
    </w:p>
    <w:p>
      <w:pPr>
        <w:pStyle w:val="9"/>
        <w:spacing w:before="158"/>
        <w:ind w:left="698"/>
      </w:pPr>
      <w:r>
        <w:rPr>
          <w:color w:val="FF0000"/>
        </w:rPr>
        <w:t>在采取本评价提出的严格抑尘措施后，无组织排放对区域环境空气质量影响较小。</w:t>
      </w:r>
    </w:p>
    <w:p>
      <w:pPr>
        <w:spacing w:after="0"/>
        <w:sectPr>
          <w:pgSz w:w="11910" w:h="16840"/>
          <w:pgMar w:top="1340" w:right="1160" w:bottom="1180" w:left="1200" w:header="0" w:footer="993" w:gutter="0"/>
        </w:sectPr>
      </w:pPr>
    </w:p>
    <w:p>
      <w:pPr>
        <w:pStyle w:val="9"/>
        <w:spacing w:before="61" w:line="364" w:lineRule="auto"/>
        <w:ind w:left="218" w:right="251"/>
        <w:jc w:val="both"/>
      </w:pPr>
      <w:r>
        <w:rPr>
          <w:color w:val="FF0000"/>
          <w:spacing w:val="16"/>
        </w:rPr>
        <w:t>油烟排放浓度满足《饮食业油烟排放标准》</w:t>
      </w:r>
      <w:r>
        <w:rPr>
          <w:color w:val="FF0000"/>
          <w:spacing w:val="6"/>
        </w:rPr>
        <w:t>（</w:t>
      </w:r>
      <w:r>
        <w:rPr>
          <w:rFonts w:ascii="Times New Roman" w:eastAsia="Times New Roman"/>
          <w:color w:val="FF0000"/>
          <w:spacing w:val="6"/>
        </w:rPr>
        <w:t xml:space="preserve">GB </w:t>
      </w:r>
      <w:r>
        <w:rPr>
          <w:rFonts w:ascii="Times New Roman" w:eastAsia="Times New Roman"/>
          <w:color w:val="FF0000"/>
          <w:spacing w:val="3"/>
        </w:rPr>
        <w:t>18483-2001</w:t>
      </w:r>
      <w:r>
        <w:rPr>
          <w:color w:val="FF0000"/>
          <w:spacing w:val="3"/>
        </w:rPr>
        <w:t>）</w:t>
      </w:r>
      <w:r>
        <w:rPr>
          <w:color w:val="FF0000"/>
          <w:spacing w:val="14"/>
        </w:rPr>
        <w:t>最高允许排放浓度</w:t>
      </w:r>
      <w:r>
        <w:rPr>
          <w:rFonts w:ascii="Times New Roman" w:eastAsia="Times New Roman"/>
          <w:color w:val="FF0000"/>
          <w:spacing w:val="14"/>
        </w:rPr>
        <w:t>2.0mg/m</w:t>
      </w:r>
      <w:r>
        <w:rPr>
          <w:rFonts w:ascii="Times New Roman" w:eastAsia="Times New Roman"/>
          <w:color w:val="FF0000"/>
          <w:spacing w:val="14"/>
          <w:position w:val="8"/>
          <w:sz w:val="15"/>
        </w:rPr>
        <w:t>3</w:t>
      </w:r>
      <w:r>
        <w:rPr>
          <w:color w:val="FF0000"/>
          <w:spacing w:val="-3"/>
        </w:rPr>
        <w:t>，该废气净化后经排气筒可以达标排放，减少了对周围环境空气的影响。本矿</w:t>
      </w:r>
      <w:r>
        <w:rPr>
          <w:color w:val="FF0000"/>
          <w:spacing w:val="-6"/>
        </w:rPr>
        <w:t>井为高瓦斯井，设有瓦斯抽放站，通过对该矿井产生的瓦斯进行抽排，抽排后的瓦斯浓</w:t>
      </w:r>
      <w:r>
        <w:rPr>
          <w:color w:val="FF0000"/>
          <w:spacing w:val="-8"/>
        </w:rPr>
        <w:t>度较低，本区扩散较好，因此，瓦斯排放对环境空气影响较小。总体来说，本项目对评</w:t>
      </w:r>
      <w:r>
        <w:rPr>
          <w:color w:val="FF0000"/>
        </w:rPr>
        <w:t>价区域环境空气质量影响很小，排放的大气污染物可被现有环境所接受。</w:t>
      </w:r>
    </w:p>
    <w:p>
      <w:pPr>
        <w:pStyle w:val="9"/>
        <w:spacing w:line="306" w:lineRule="exact"/>
        <w:ind w:left="698"/>
      </w:pPr>
      <w:r>
        <w:rPr>
          <w:rFonts w:ascii="Times New Roman" w:eastAsia="Times New Roman"/>
          <w:color w:val="FF0000"/>
        </w:rPr>
        <w:t>2</w:t>
      </w:r>
      <w:r>
        <w:rPr>
          <w:color w:val="FF0000"/>
        </w:rPr>
        <w:t>、地表水</w:t>
      </w:r>
    </w:p>
    <w:p>
      <w:pPr>
        <w:pStyle w:val="9"/>
        <w:spacing w:before="158" w:line="364" w:lineRule="auto"/>
        <w:ind w:left="218" w:right="194" w:firstLine="480"/>
      </w:pPr>
      <w:r>
        <w:rPr>
          <w:color w:val="FF0000"/>
        </w:rPr>
        <w:t>本项目污水排放对地表水体影响不大，按煤炭企业设计相应规范要求，在运营期严禁污水直排现象发生。从地表水环境的角度分析，本项目在该厂址建设是可行的。</w:t>
      </w:r>
    </w:p>
    <w:p>
      <w:pPr>
        <w:pStyle w:val="9"/>
        <w:spacing w:line="306" w:lineRule="exact"/>
        <w:ind w:left="698"/>
      </w:pPr>
      <w:r>
        <w:rPr>
          <w:rFonts w:ascii="Times New Roman" w:eastAsia="Times New Roman"/>
          <w:color w:val="FF0000"/>
        </w:rPr>
        <w:t>3</w:t>
      </w:r>
      <w:r>
        <w:rPr>
          <w:color w:val="FF0000"/>
        </w:rPr>
        <w:t>、地下水</w:t>
      </w:r>
    </w:p>
    <w:p>
      <w:pPr>
        <w:pStyle w:val="9"/>
        <w:spacing w:before="161" w:line="364" w:lineRule="auto"/>
        <w:ind w:left="218" w:right="137" w:firstLine="480"/>
      </w:pPr>
      <w:r>
        <w:rPr>
          <w:color w:val="FF0000"/>
          <w:spacing w:val="-13"/>
        </w:rPr>
        <w:t xml:space="preserve">按照地下水环境质量标准，本次收集井田勘探资料，并进行了评价区水文地质调查， </w:t>
      </w:r>
      <w:r>
        <w:rPr>
          <w:color w:val="FF0000"/>
          <w:spacing w:val="-4"/>
        </w:rPr>
        <w:t>对地下水进行了采样监测，经过系统分析、全面对比、综合研究从地下水环境的角度分析，本项目在该厂址建设是可行的。</w:t>
      </w:r>
    </w:p>
    <w:p>
      <w:pPr>
        <w:pStyle w:val="9"/>
        <w:spacing w:line="304" w:lineRule="exact"/>
        <w:ind w:left="698"/>
      </w:pPr>
      <w:r>
        <w:rPr>
          <w:rFonts w:ascii="Times New Roman" w:eastAsia="Times New Roman"/>
          <w:color w:val="FF0000"/>
        </w:rPr>
        <w:t>4</w:t>
      </w:r>
      <w:r>
        <w:rPr>
          <w:color w:val="FF0000"/>
        </w:rPr>
        <w:t>、噪声</w:t>
      </w:r>
    </w:p>
    <w:p>
      <w:pPr>
        <w:pStyle w:val="9"/>
        <w:spacing w:before="160" w:line="364" w:lineRule="auto"/>
        <w:ind w:left="218" w:right="194" w:firstLine="480"/>
      </w:pPr>
      <w:r>
        <w:rPr>
          <w:color w:val="FF0000"/>
        </w:rPr>
        <w:t>本项目主要噪声源相对较集中，本评价认为，在严格执行评价提出的防治措施前提下，从声环境角度而言，本项目在该厂址建设可行。</w:t>
      </w:r>
    </w:p>
    <w:p>
      <w:pPr>
        <w:pStyle w:val="9"/>
        <w:spacing w:line="306" w:lineRule="exact"/>
        <w:ind w:left="698"/>
      </w:pPr>
      <w:r>
        <w:rPr>
          <w:rFonts w:ascii="Times New Roman" w:eastAsia="Times New Roman"/>
          <w:color w:val="FF0000"/>
        </w:rPr>
        <w:t>5</w:t>
      </w:r>
      <w:r>
        <w:rPr>
          <w:color w:val="FF0000"/>
        </w:rPr>
        <w:t>、固体废弃物</w:t>
      </w:r>
    </w:p>
    <w:p>
      <w:pPr>
        <w:pStyle w:val="9"/>
        <w:spacing w:before="161" w:line="364" w:lineRule="auto"/>
        <w:ind w:left="218" w:right="257" w:firstLine="480"/>
        <w:jc w:val="both"/>
      </w:pPr>
      <w:r>
        <w:rPr>
          <w:color w:val="FF0000"/>
          <w:spacing w:val="-3"/>
        </w:rPr>
        <w:t>本矿井施工期产出的矸石全部用于修路和工业场地的平整，服务期产生的矸石暂存</w:t>
      </w:r>
      <w:r>
        <w:rPr>
          <w:color w:val="FF0000"/>
          <w:spacing w:val="-6"/>
        </w:rPr>
        <w:t>于矸石转运场，待塌陷区形成后矸石用于填充采空区及塌陷区、修路和制砖。本项目煤</w:t>
      </w:r>
      <w:r>
        <w:rPr>
          <w:color w:val="FF0000"/>
          <w:spacing w:val="-4"/>
        </w:rPr>
        <w:t>矸石转运场周围设置拦矸坝和截流沟，使煤矸石转运场淋溶的雨水经导流沟排入矿井水</w:t>
      </w:r>
      <w:r>
        <w:rPr>
          <w:color w:val="FF0000"/>
          <w:spacing w:val="-6"/>
        </w:rPr>
        <w:t>处理站的沉淀池，进入矿井处理系统，这样既保证了污染物不外排。煤矸石转运场采取</w:t>
      </w:r>
      <w:r>
        <w:rPr>
          <w:color w:val="FF0000"/>
        </w:rPr>
        <w:t>洒水抑尘，可有效控制扬尘污染。</w:t>
      </w:r>
    </w:p>
    <w:p>
      <w:pPr>
        <w:pStyle w:val="9"/>
        <w:spacing w:line="364" w:lineRule="auto"/>
        <w:ind w:left="218" w:right="257" w:firstLine="480"/>
        <w:jc w:val="both"/>
      </w:pPr>
      <w:r>
        <w:rPr>
          <w:color w:val="FF0000"/>
          <w:spacing w:val="3"/>
        </w:rPr>
        <w:t>本项目产生生活垃圾集中收集按环卫部门要求统一处理；矸石回填采空区和塌陷</w:t>
      </w:r>
      <w:r>
        <w:rPr>
          <w:color w:val="FF0000"/>
          <w:spacing w:val="-8"/>
        </w:rPr>
        <w:t>区、修路；生活污水处理站污泥按市政环卫部门要求统一处理；废机油委托有资质的单</w:t>
      </w:r>
      <w:r>
        <w:rPr>
          <w:color w:val="FF0000"/>
          <w:spacing w:val="-4"/>
        </w:rPr>
        <w:t xml:space="preserve">位处理。本项目服务期固体废物处理率达 </w:t>
      </w:r>
      <w:r>
        <w:rPr>
          <w:rFonts w:ascii="Times New Roman" w:eastAsia="Times New Roman"/>
          <w:color w:val="FF0000"/>
        </w:rPr>
        <w:t>100%</w:t>
      </w:r>
      <w:r>
        <w:rPr>
          <w:color w:val="FF0000"/>
        </w:rPr>
        <w:t>，对外环境影响较小。</w:t>
      </w:r>
    </w:p>
    <w:p>
      <w:pPr>
        <w:pStyle w:val="9"/>
        <w:spacing w:line="307" w:lineRule="exact"/>
        <w:ind w:left="698"/>
      </w:pPr>
      <w:r>
        <w:rPr>
          <w:color w:val="FF0000"/>
        </w:rPr>
        <w:t>综上所述，本项目选址合理。</w:t>
      </w:r>
    </w:p>
    <w:p>
      <w:pPr>
        <w:pStyle w:val="5"/>
        <w:spacing w:before="156"/>
        <w:ind w:left="218" w:firstLine="0"/>
      </w:pPr>
      <w:bookmarkStart w:id="47" w:name="7、环境影响评价主要结论"/>
      <w:bookmarkEnd w:id="47"/>
      <w:bookmarkStart w:id="48" w:name="_bookmark5"/>
      <w:bookmarkEnd w:id="48"/>
      <w:r>
        <w:rPr>
          <w:rFonts w:ascii="Times New Roman" w:eastAsia="Times New Roman"/>
        </w:rPr>
        <w:t>7</w:t>
      </w:r>
      <w:r>
        <w:t>、环境影响评价主要结论</w:t>
      </w:r>
    </w:p>
    <w:p>
      <w:pPr>
        <w:pStyle w:val="9"/>
        <w:spacing w:before="196" w:line="364" w:lineRule="auto"/>
        <w:ind w:left="218" w:right="257" w:firstLine="480"/>
        <w:jc w:val="both"/>
      </w:pPr>
      <w:r>
        <w:rPr>
          <w:spacing w:val="-7"/>
        </w:rPr>
        <w:t>综上所述，本工程的建设符合国家产业政策，符合地方规划。在落实本环评报告提</w:t>
      </w:r>
      <w:r>
        <w:rPr>
          <w:spacing w:val="-5"/>
        </w:rPr>
        <w:t>出的各项环保措施后，本工程产生的污染物能够实现达标排放，满足地区污染物总量控</w:t>
      </w:r>
      <w:r>
        <w:t>制要求，对周围环境的影响可接受。同时本项目建设得到所在地公众的支持。</w:t>
      </w:r>
    </w:p>
    <w:p>
      <w:pPr>
        <w:pStyle w:val="9"/>
        <w:spacing w:line="307" w:lineRule="exact"/>
        <w:ind w:left="698"/>
      </w:pPr>
      <w:r>
        <w:t>从环境保护角度分析，本工程建设是可行的。</w:t>
      </w:r>
    </w:p>
    <w:p>
      <w:pPr>
        <w:spacing w:after="0" w:line="307" w:lineRule="exact"/>
        <w:sectPr>
          <w:pgSz w:w="11910" w:h="16840"/>
          <w:pgMar w:top="1340" w:right="1160" w:bottom="1180" w:left="1200" w:header="0" w:footer="993" w:gutter="0"/>
        </w:sectPr>
      </w:pPr>
    </w:p>
    <w:p>
      <w:pPr>
        <w:pStyle w:val="2"/>
        <w:numPr>
          <w:ilvl w:val="0"/>
          <w:numId w:val="14"/>
        </w:numPr>
        <w:tabs>
          <w:tab w:val="left" w:pos="1211"/>
          <w:tab w:val="left" w:pos="4258"/>
        </w:tabs>
        <w:spacing w:before="23" w:after="0" w:line="240" w:lineRule="auto"/>
        <w:ind w:left="4257" w:right="40" w:hanging="4258"/>
        <w:jc w:val="left"/>
        <w:rPr>
          <w:rFonts w:ascii="Times New Roman" w:eastAsia="Times New Roman"/>
          <w:sz w:val="42"/>
        </w:rPr>
      </w:pPr>
      <w:bookmarkStart w:id="49" w:name="_bookmark6"/>
      <w:bookmarkEnd w:id="49"/>
      <w:bookmarkStart w:id="50" w:name="_bookmark6"/>
      <w:bookmarkEnd w:id="50"/>
      <w:bookmarkStart w:id="51" w:name="1.总  论"/>
      <w:bookmarkEnd w:id="51"/>
      <w:r>
        <w:rPr>
          <w:w w:val="95"/>
        </w:rPr>
        <w:t>总</w:t>
      </w:r>
      <w:r>
        <w:rPr>
          <w:w w:val="95"/>
        </w:rPr>
        <w:tab/>
      </w:r>
      <w:r>
        <w:t>论</w:t>
      </w:r>
    </w:p>
    <w:p>
      <w:pPr>
        <w:pStyle w:val="5"/>
        <w:numPr>
          <w:ilvl w:val="1"/>
          <w:numId w:val="15"/>
        </w:numPr>
        <w:tabs>
          <w:tab w:val="left" w:pos="668"/>
        </w:tabs>
        <w:spacing w:before="291" w:after="0" w:line="240" w:lineRule="auto"/>
        <w:ind w:left="667" w:right="0" w:hanging="450"/>
        <w:jc w:val="left"/>
        <w:rPr>
          <w:rFonts w:ascii="Times New Roman" w:eastAsia="Times New Roman"/>
        </w:rPr>
      </w:pPr>
      <w:bookmarkStart w:id="52" w:name="1.1评价目的及原则"/>
      <w:bookmarkEnd w:id="52"/>
      <w:bookmarkStart w:id="53" w:name="_bookmark7"/>
      <w:bookmarkEnd w:id="53"/>
      <w:bookmarkStart w:id="54" w:name="_bookmark7"/>
      <w:bookmarkEnd w:id="54"/>
      <w:r>
        <w:t>评价目的及原则</w:t>
      </w:r>
    </w:p>
    <w:p>
      <w:pPr>
        <w:pStyle w:val="6"/>
        <w:numPr>
          <w:ilvl w:val="2"/>
          <w:numId w:val="15"/>
        </w:numPr>
        <w:tabs>
          <w:tab w:val="left" w:pos="848"/>
        </w:tabs>
        <w:spacing w:before="200" w:after="0" w:line="240" w:lineRule="auto"/>
        <w:ind w:left="847" w:right="0" w:hanging="630"/>
        <w:jc w:val="left"/>
        <w:rPr>
          <w:rFonts w:ascii="Times New Roman" w:eastAsia="Times New Roman"/>
        </w:rPr>
      </w:pPr>
      <w:bookmarkStart w:id="55" w:name="1.1.1评价目的"/>
      <w:bookmarkEnd w:id="55"/>
      <w:bookmarkStart w:id="56" w:name="1.1.1评价目的"/>
      <w:bookmarkEnd w:id="56"/>
      <w:r>
        <w:t>评价目的</w:t>
      </w:r>
    </w:p>
    <w:p>
      <w:pPr>
        <w:pStyle w:val="9"/>
        <w:spacing w:before="185" w:line="364" w:lineRule="auto"/>
        <w:ind w:left="218" w:right="257" w:firstLine="480"/>
        <w:jc w:val="both"/>
      </w:pPr>
      <w:r>
        <w:rPr>
          <w:spacing w:val="-6"/>
        </w:rPr>
        <w:t>在对项目工程特征、环境现状进行详细分析的基础上，根据国家和地方的有关法律</w:t>
      </w:r>
      <w:r>
        <w:rPr>
          <w:spacing w:val="-8"/>
        </w:rPr>
        <w:t>法规、发展规划，分析项目建设是否符合国家产业政策与区域规划，生产工艺过程是否</w:t>
      </w:r>
      <w:r>
        <w:rPr>
          <w:spacing w:val="-5"/>
        </w:rPr>
        <w:t>符合清洁生产和环境保护政策；对项目建成后可能造成的污染和生态影响范围和程度进</w:t>
      </w:r>
      <w:r>
        <w:rPr>
          <w:spacing w:val="-6"/>
        </w:rPr>
        <w:t>行预测分析；分析项目排放的各类污染物是否达标排放、是否满足总量控制的要求；对</w:t>
      </w:r>
      <w:r>
        <w:rPr>
          <w:spacing w:val="-4"/>
        </w:rPr>
        <w:t>可研设计拟采取的环境保护措施进行评价，在此基础上提出技术上可靠、针对性强和可</w:t>
      </w:r>
      <w:r>
        <w:rPr>
          <w:spacing w:val="-7"/>
        </w:rPr>
        <w:t>操作性强、经济上合理的污染防治方案和生态环境减缓、恢复、补偿措施；从环境保护</w:t>
      </w:r>
      <w:r>
        <w:rPr>
          <w:spacing w:val="-4"/>
        </w:rPr>
        <w:t>和生态恢复的角度论证项目建设的可行性，为领导部门决策、工程设计和环境管理提供</w:t>
      </w:r>
      <w:r>
        <w:t>科学依据。</w:t>
      </w:r>
    </w:p>
    <w:p>
      <w:pPr>
        <w:pStyle w:val="6"/>
        <w:numPr>
          <w:ilvl w:val="2"/>
          <w:numId w:val="15"/>
        </w:numPr>
        <w:tabs>
          <w:tab w:val="left" w:pos="848"/>
        </w:tabs>
        <w:spacing w:before="0" w:after="0" w:line="355" w:lineRule="exact"/>
        <w:ind w:left="847" w:right="0" w:hanging="630"/>
        <w:jc w:val="left"/>
        <w:rPr>
          <w:rFonts w:ascii="Times New Roman" w:eastAsia="Times New Roman"/>
        </w:rPr>
      </w:pPr>
      <w:bookmarkStart w:id="57" w:name="1.1.2评价原则"/>
      <w:bookmarkEnd w:id="57"/>
      <w:bookmarkStart w:id="58" w:name="1.1.2评价原则"/>
      <w:bookmarkEnd w:id="58"/>
      <w:r>
        <w:t>评价原则</w:t>
      </w:r>
    </w:p>
    <w:p>
      <w:pPr>
        <w:pStyle w:val="18"/>
        <w:numPr>
          <w:ilvl w:val="3"/>
          <w:numId w:val="15"/>
        </w:numPr>
        <w:tabs>
          <w:tab w:val="left" w:pos="1304"/>
        </w:tabs>
        <w:spacing w:before="185" w:after="0" w:line="364" w:lineRule="auto"/>
        <w:ind w:left="218" w:right="137" w:firstLine="480"/>
        <w:jc w:val="left"/>
        <w:rPr>
          <w:sz w:val="22"/>
        </w:rPr>
      </w:pPr>
      <w:r>
        <w:rPr>
          <w:sz w:val="24"/>
        </w:rPr>
        <w:t>依据国家和黑龙江省有关环保法律法规、产业政策以及环境影响评价技术规</w:t>
      </w:r>
      <w:r>
        <w:rPr>
          <w:spacing w:val="-7"/>
          <w:sz w:val="24"/>
        </w:rPr>
        <w:t>定，以预防为主、防治结合、清洁生产、全过程控制的现代环境管理思想和循环经济理</w:t>
      </w:r>
      <w:r>
        <w:rPr>
          <w:spacing w:val="-17"/>
          <w:sz w:val="24"/>
        </w:rPr>
        <w:t xml:space="preserve">念为指导，以建设绿色生态矿区为目的，密切结合项目工程特点和所在区域的环境特征， </w:t>
      </w:r>
      <w:r>
        <w:rPr>
          <w:spacing w:val="-3"/>
          <w:sz w:val="24"/>
        </w:rPr>
        <w:t>在区域总体发展规划和环境功能区划的总原则下，以科学、求实、严谨的工作作风开展评价工作。</w:t>
      </w:r>
    </w:p>
    <w:p>
      <w:pPr>
        <w:pStyle w:val="18"/>
        <w:numPr>
          <w:ilvl w:val="3"/>
          <w:numId w:val="15"/>
        </w:numPr>
        <w:tabs>
          <w:tab w:val="left" w:pos="1300"/>
        </w:tabs>
        <w:spacing w:before="0" w:after="0" w:line="306" w:lineRule="exact"/>
        <w:ind w:left="1299" w:right="0" w:hanging="602"/>
        <w:jc w:val="left"/>
        <w:rPr>
          <w:sz w:val="22"/>
        </w:rPr>
      </w:pPr>
      <w:r>
        <w:rPr>
          <w:spacing w:val="-3"/>
          <w:sz w:val="24"/>
        </w:rPr>
        <w:t>该项目为改扩建项目，项目建设带来的环境问题具有一般传统工业污染特征。</w:t>
      </w:r>
    </w:p>
    <w:p>
      <w:pPr>
        <w:pStyle w:val="18"/>
        <w:numPr>
          <w:ilvl w:val="3"/>
          <w:numId w:val="15"/>
        </w:numPr>
        <w:tabs>
          <w:tab w:val="left" w:pos="1306"/>
        </w:tabs>
        <w:spacing w:before="158" w:after="0" w:line="364" w:lineRule="auto"/>
        <w:ind w:left="218" w:right="256" w:firstLine="480"/>
        <w:jc w:val="both"/>
        <w:rPr>
          <w:sz w:val="22"/>
        </w:rPr>
      </w:pPr>
      <w:r>
        <w:rPr>
          <w:sz w:val="24"/>
        </w:rPr>
        <w:t>本着</w:t>
      </w:r>
      <w:r>
        <w:rPr>
          <w:rFonts w:ascii="Times New Roman" w:hAnsi="Times New Roman" w:eastAsia="Times New Roman"/>
          <w:spacing w:val="3"/>
          <w:sz w:val="24"/>
        </w:rPr>
        <w:t>“</w:t>
      </w:r>
      <w:r>
        <w:rPr>
          <w:sz w:val="24"/>
        </w:rPr>
        <w:t>以新带老、清洁生产、达标排放、总量控制</w:t>
      </w:r>
      <w:r>
        <w:rPr>
          <w:rFonts w:ascii="Times New Roman" w:hAnsi="Times New Roman" w:eastAsia="Times New Roman"/>
          <w:spacing w:val="3"/>
          <w:sz w:val="24"/>
        </w:rPr>
        <w:t>”</w:t>
      </w:r>
      <w:r>
        <w:rPr>
          <w:sz w:val="24"/>
        </w:rPr>
        <w:t>的原则，充分论证项目污</w:t>
      </w:r>
      <w:r>
        <w:rPr>
          <w:spacing w:val="-2"/>
          <w:sz w:val="24"/>
        </w:rPr>
        <w:t xml:space="preserve">染防治措施与生态保护措施，体现循环经济的减量、再用、循环的 </w:t>
      </w:r>
      <w:r>
        <w:rPr>
          <w:rFonts w:ascii="Times New Roman" w:hAnsi="Times New Roman" w:eastAsia="Times New Roman"/>
          <w:sz w:val="24"/>
        </w:rPr>
        <w:t>3R</w:t>
      </w:r>
      <w:r>
        <w:rPr>
          <w:rFonts w:ascii="Times New Roman" w:hAnsi="Times New Roman" w:eastAsia="Times New Roman"/>
          <w:spacing w:val="10"/>
          <w:sz w:val="24"/>
        </w:rPr>
        <w:t xml:space="preserve"> </w:t>
      </w:r>
      <w:r>
        <w:rPr>
          <w:spacing w:val="-2"/>
          <w:sz w:val="24"/>
        </w:rPr>
        <w:t>原则。减少煤矸</w:t>
      </w:r>
      <w:r>
        <w:rPr>
          <w:sz w:val="24"/>
        </w:rPr>
        <w:t>石的排放量，充分利用采煤废水，化害为利，变废为宝，保护生态环境。</w:t>
      </w:r>
    </w:p>
    <w:p>
      <w:pPr>
        <w:pStyle w:val="18"/>
        <w:numPr>
          <w:ilvl w:val="3"/>
          <w:numId w:val="15"/>
        </w:numPr>
        <w:tabs>
          <w:tab w:val="left" w:pos="1304"/>
        </w:tabs>
        <w:spacing w:before="0" w:after="0" w:line="364" w:lineRule="auto"/>
        <w:ind w:left="218" w:right="257" w:firstLine="480"/>
        <w:jc w:val="both"/>
        <w:rPr>
          <w:sz w:val="22"/>
        </w:rPr>
      </w:pPr>
      <w:r>
        <w:rPr>
          <w:sz w:val="24"/>
        </w:rPr>
        <w:t>报告书的编制力求条理清晰、论据充分、重点突出、内容全面、客观地反映</w:t>
      </w:r>
      <w:r>
        <w:rPr>
          <w:spacing w:val="-7"/>
          <w:sz w:val="24"/>
        </w:rPr>
        <w:t>实际情况，评价结论科学准确，环保对策实用可行、可操作性强，从而使本次评价真正</w:t>
      </w:r>
      <w:r>
        <w:rPr>
          <w:sz w:val="24"/>
        </w:rPr>
        <w:t>起到为项目审批、环境管理、工程建设服务的作用。</w:t>
      </w:r>
    </w:p>
    <w:p>
      <w:pPr>
        <w:pStyle w:val="6"/>
        <w:numPr>
          <w:ilvl w:val="2"/>
          <w:numId w:val="15"/>
        </w:numPr>
        <w:tabs>
          <w:tab w:val="left" w:pos="848"/>
        </w:tabs>
        <w:spacing w:before="0" w:after="0" w:line="357" w:lineRule="exact"/>
        <w:ind w:left="847" w:right="0" w:hanging="630"/>
        <w:jc w:val="left"/>
        <w:rPr>
          <w:rFonts w:ascii="Times New Roman" w:eastAsia="Times New Roman"/>
        </w:rPr>
      </w:pPr>
      <w:bookmarkStart w:id="59" w:name="1.1.3评价重点"/>
      <w:bookmarkEnd w:id="59"/>
      <w:bookmarkStart w:id="60" w:name="1.1.3评价重点"/>
      <w:bookmarkEnd w:id="60"/>
      <w:r>
        <w:t>评价重点</w:t>
      </w:r>
    </w:p>
    <w:p>
      <w:pPr>
        <w:pStyle w:val="9"/>
        <w:spacing w:before="185" w:line="364" w:lineRule="auto"/>
        <w:ind w:left="218" w:right="194" w:firstLine="480"/>
      </w:pPr>
      <w:r>
        <w:t>根据环境影响识别结果，确定本次评价重点为生态环境影响评价（包括地表沉陷预测与影响评价）、水环境影响评价、土壤环境影响评价及大气环境影响评价。</w:t>
      </w:r>
    </w:p>
    <w:p>
      <w:pPr>
        <w:pStyle w:val="9"/>
        <w:spacing w:line="306" w:lineRule="exact"/>
        <w:ind w:left="698"/>
      </w:pPr>
      <w:r>
        <w:t>通过本次评价，重点回答以下几个问题：</w:t>
      </w:r>
    </w:p>
    <w:p>
      <w:pPr>
        <w:spacing w:after="0" w:line="306" w:lineRule="exact"/>
        <w:sectPr>
          <w:pgSz w:w="11910" w:h="16840"/>
          <w:pgMar w:top="1380" w:right="1160" w:bottom="1180" w:left="1200" w:header="0" w:footer="993" w:gutter="0"/>
        </w:sectPr>
      </w:pPr>
    </w:p>
    <w:p>
      <w:pPr>
        <w:pStyle w:val="18"/>
        <w:numPr>
          <w:ilvl w:val="0"/>
          <w:numId w:val="16"/>
        </w:numPr>
        <w:tabs>
          <w:tab w:val="left" w:pos="1304"/>
        </w:tabs>
        <w:spacing w:before="61" w:after="0" w:line="364" w:lineRule="auto"/>
        <w:ind w:left="218" w:right="257" w:firstLine="480"/>
        <w:jc w:val="both"/>
        <w:rPr>
          <w:sz w:val="24"/>
        </w:rPr>
      </w:pPr>
      <w:r>
        <w:rPr>
          <w:sz w:val="24"/>
        </w:rPr>
        <w:t>煤炭开采沉陷引起的生态环境破坏及恢复措施，主要包括：土地利用结构的</w:t>
      </w:r>
      <w:r>
        <w:rPr>
          <w:spacing w:val="-8"/>
          <w:sz w:val="24"/>
        </w:rPr>
        <w:t>变化，地表植被影响与恢复，沉陷区土地综合整治，浅层地下水影响与保护措施、对地</w:t>
      </w:r>
      <w:r>
        <w:rPr>
          <w:sz w:val="24"/>
        </w:rPr>
        <w:t>面基础设施影响及保护等。</w:t>
      </w:r>
    </w:p>
    <w:p>
      <w:pPr>
        <w:pStyle w:val="18"/>
        <w:numPr>
          <w:ilvl w:val="0"/>
          <w:numId w:val="16"/>
        </w:numPr>
        <w:tabs>
          <w:tab w:val="left" w:pos="1304"/>
        </w:tabs>
        <w:spacing w:before="0" w:after="0" w:line="364" w:lineRule="auto"/>
        <w:ind w:left="218" w:right="257" w:firstLine="480"/>
        <w:jc w:val="both"/>
        <w:rPr>
          <w:sz w:val="24"/>
        </w:rPr>
      </w:pPr>
      <w:r>
        <w:rPr>
          <w:sz w:val="24"/>
        </w:rPr>
        <w:t>项目建设和生产过程中各类污染物的排放对周围大气、水、土壤、声环境的</w:t>
      </w:r>
      <w:r>
        <w:rPr>
          <w:spacing w:val="-5"/>
          <w:sz w:val="24"/>
        </w:rPr>
        <w:t>影响进行预测和评价，对各项污染防治措施及综合利用方案进行可行性论证，并提出改</w:t>
      </w:r>
      <w:r>
        <w:rPr>
          <w:sz w:val="24"/>
        </w:rPr>
        <w:t>进措施。</w:t>
      </w:r>
    </w:p>
    <w:p>
      <w:pPr>
        <w:pStyle w:val="5"/>
        <w:numPr>
          <w:ilvl w:val="1"/>
          <w:numId w:val="15"/>
        </w:numPr>
        <w:tabs>
          <w:tab w:val="left" w:pos="668"/>
        </w:tabs>
        <w:spacing w:before="0" w:after="0" w:line="384" w:lineRule="exact"/>
        <w:ind w:left="667" w:right="0" w:hanging="450"/>
        <w:jc w:val="left"/>
        <w:rPr>
          <w:rFonts w:ascii="Times New Roman" w:eastAsia="Times New Roman"/>
        </w:rPr>
      </w:pPr>
      <w:bookmarkStart w:id="61" w:name="_bookmark8"/>
      <w:bookmarkEnd w:id="61"/>
      <w:bookmarkStart w:id="62" w:name="1.2编制依据"/>
      <w:bookmarkEnd w:id="62"/>
      <w:bookmarkStart w:id="63" w:name="_bookmark8"/>
      <w:bookmarkEnd w:id="63"/>
      <w:r>
        <w:t>编制依据</w:t>
      </w:r>
    </w:p>
    <w:p>
      <w:pPr>
        <w:pStyle w:val="6"/>
        <w:numPr>
          <w:ilvl w:val="2"/>
          <w:numId w:val="15"/>
        </w:numPr>
        <w:tabs>
          <w:tab w:val="left" w:pos="848"/>
        </w:tabs>
        <w:spacing w:before="197" w:after="0" w:line="240" w:lineRule="auto"/>
        <w:ind w:left="847" w:right="0" w:hanging="630"/>
        <w:jc w:val="left"/>
        <w:rPr>
          <w:rFonts w:ascii="Times New Roman" w:eastAsia="Times New Roman"/>
        </w:rPr>
      </w:pPr>
      <w:bookmarkStart w:id="64" w:name="1.2.1相关法律、法规"/>
      <w:bookmarkEnd w:id="64"/>
      <w:bookmarkStart w:id="65" w:name="_bookmark9"/>
      <w:bookmarkEnd w:id="65"/>
      <w:bookmarkStart w:id="66" w:name="_bookmark9"/>
      <w:bookmarkEnd w:id="66"/>
      <w:r>
        <w:t>相关法律、法规</w:t>
      </w:r>
    </w:p>
    <w:p>
      <w:pPr>
        <w:pStyle w:val="18"/>
        <w:numPr>
          <w:ilvl w:val="0"/>
          <w:numId w:val="17"/>
        </w:numPr>
        <w:tabs>
          <w:tab w:val="left" w:pos="979"/>
        </w:tabs>
        <w:spacing w:before="185" w:after="0" w:line="364" w:lineRule="auto"/>
        <w:ind w:left="218" w:right="253" w:firstLine="480"/>
        <w:jc w:val="both"/>
        <w:rPr>
          <w:sz w:val="24"/>
        </w:rPr>
      </w:pPr>
      <w:r>
        <w:rPr>
          <w:spacing w:val="-4"/>
          <w:sz w:val="24"/>
        </w:rPr>
        <w:t>《中华人民共和国环境保护法》</w:t>
      </w:r>
      <w:r>
        <w:rPr>
          <w:sz w:val="24"/>
        </w:rPr>
        <w:t>（</w:t>
      </w:r>
      <w:r>
        <w:rPr>
          <w:rFonts w:ascii="Times New Roman" w:eastAsia="Times New Roman"/>
          <w:sz w:val="24"/>
        </w:rPr>
        <w:t xml:space="preserve">2014 </w:t>
      </w:r>
      <w:r>
        <w:rPr>
          <w:spacing w:val="-30"/>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24 </w:t>
      </w:r>
      <w:r>
        <w:rPr>
          <w:spacing w:val="-2"/>
          <w:sz w:val="24"/>
        </w:rPr>
        <w:t>日修订，</w:t>
      </w:r>
      <w:r>
        <w:rPr>
          <w:rFonts w:ascii="Times New Roman" w:eastAsia="Times New Roman"/>
          <w:spacing w:val="-5"/>
          <w:sz w:val="24"/>
        </w:rPr>
        <w:t>2015</w:t>
      </w:r>
      <w:r>
        <w:rPr>
          <w:rFonts w:ascii="Times New Roman" w:eastAsia="Times New Roman"/>
          <w:spacing w:val="1"/>
          <w:sz w:val="24"/>
        </w:rPr>
        <w:t xml:space="preserve"> </w:t>
      </w:r>
      <w:r>
        <w:rPr>
          <w:spacing w:val="-30"/>
          <w:sz w:val="24"/>
        </w:rPr>
        <w:t xml:space="preserve">年 </w:t>
      </w:r>
      <w:r>
        <w:rPr>
          <w:rFonts w:ascii="Times New Roman" w:eastAsia="Times New Roman"/>
          <w:sz w:val="24"/>
        </w:rPr>
        <w:t>1</w:t>
      </w:r>
      <w:r>
        <w:rPr>
          <w:rFonts w:ascii="Times New Roman" w:eastAsia="Times New Roman"/>
          <w:spacing w:val="1"/>
          <w:sz w:val="24"/>
        </w:rPr>
        <w:t xml:space="preserve"> </w:t>
      </w:r>
      <w:r>
        <w:rPr>
          <w:spacing w:val="-30"/>
          <w:sz w:val="24"/>
        </w:rPr>
        <w:t xml:space="preserve">月 </w:t>
      </w:r>
      <w:r>
        <w:rPr>
          <w:rFonts w:ascii="Times New Roman" w:eastAsia="Times New Roman"/>
          <w:sz w:val="24"/>
        </w:rPr>
        <w:t>1</w:t>
      </w:r>
      <w:r>
        <w:rPr>
          <w:rFonts w:ascii="Times New Roman" w:eastAsia="Times New Roman"/>
          <w:spacing w:val="1"/>
          <w:sz w:val="24"/>
        </w:rPr>
        <w:t xml:space="preserve"> </w:t>
      </w:r>
      <w:r>
        <w:rPr>
          <w:spacing w:val="-5"/>
          <w:sz w:val="24"/>
        </w:rPr>
        <w:t>日起施</w:t>
      </w:r>
      <w:r>
        <w:rPr>
          <w:sz w:val="24"/>
        </w:rPr>
        <w:t>行）；</w:t>
      </w:r>
    </w:p>
    <w:p>
      <w:pPr>
        <w:pStyle w:val="18"/>
        <w:numPr>
          <w:ilvl w:val="0"/>
          <w:numId w:val="17"/>
        </w:numPr>
        <w:tabs>
          <w:tab w:val="left" w:pos="979"/>
        </w:tabs>
        <w:spacing w:before="0" w:after="0" w:line="306" w:lineRule="exact"/>
        <w:ind w:left="978" w:right="0" w:hanging="281"/>
        <w:jc w:val="left"/>
        <w:rPr>
          <w:sz w:val="24"/>
        </w:rPr>
      </w:pPr>
      <w:r>
        <w:rPr>
          <w:spacing w:val="-1"/>
          <w:sz w:val="24"/>
        </w:rPr>
        <w:t>《中华人民共和国环境影响评价法》</w:t>
      </w:r>
      <w:r>
        <w:rPr>
          <w:sz w:val="24"/>
        </w:rPr>
        <w:t>（</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12 </w:t>
      </w:r>
      <w:r>
        <w:rPr>
          <w:spacing w:val="-30"/>
          <w:sz w:val="24"/>
        </w:rPr>
        <w:t xml:space="preserve">月 </w:t>
      </w:r>
      <w:r>
        <w:rPr>
          <w:rFonts w:ascii="Times New Roman" w:eastAsia="Times New Roman"/>
          <w:sz w:val="24"/>
        </w:rPr>
        <w:t xml:space="preserve">29 </w:t>
      </w:r>
      <w:r>
        <w:rPr>
          <w:sz w:val="24"/>
        </w:rPr>
        <w:t>日第二次修正并施行</w:t>
      </w:r>
      <w:r>
        <w:rPr>
          <w:spacing w:val="-4"/>
          <w:sz w:val="24"/>
        </w:rPr>
        <w:t>）；</w:t>
      </w:r>
    </w:p>
    <w:p>
      <w:pPr>
        <w:pStyle w:val="18"/>
        <w:numPr>
          <w:ilvl w:val="0"/>
          <w:numId w:val="17"/>
        </w:numPr>
        <w:tabs>
          <w:tab w:val="left" w:pos="979"/>
        </w:tabs>
        <w:spacing w:before="160" w:after="0" w:line="240" w:lineRule="auto"/>
        <w:ind w:left="978" w:right="0" w:hanging="281"/>
        <w:jc w:val="left"/>
        <w:rPr>
          <w:sz w:val="24"/>
        </w:rPr>
      </w:pPr>
      <w:r>
        <w:rPr>
          <w:spacing w:val="-1"/>
          <w:sz w:val="24"/>
        </w:rPr>
        <w:t>《中华人民共和国大气污染防治法》</w:t>
      </w:r>
      <w:r>
        <w:rPr>
          <w:sz w:val="24"/>
        </w:rPr>
        <w:t>（</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10 </w:t>
      </w:r>
      <w:r>
        <w:rPr>
          <w:spacing w:val="-30"/>
          <w:sz w:val="24"/>
        </w:rPr>
        <w:t xml:space="preserve">月 </w:t>
      </w:r>
      <w:r>
        <w:rPr>
          <w:rFonts w:ascii="Times New Roman" w:eastAsia="Times New Roman"/>
          <w:sz w:val="24"/>
        </w:rPr>
        <w:t xml:space="preserve">26 </w:t>
      </w:r>
      <w:r>
        <w:rPr>
          <w:sz w:val="24"/>
        </w:rPr>
        <w:t>日第二次修正并施行</w:t>
      </w:r>
      <w:r>
        <w:rPr>
          <w:spacing w:val="-4"/>
          <w:sz w:val="24"/>
        </w:rPr>
        <w:t>）；</w:t>
      </w:r>
    </w:p>
    <w:p>
      <w:pPr>
        <w:pStyle w:val="18"/>
        <w:numPr>
          <w:ilvl w:val="0"/>
          <w:numId w:val="17"/>
        </w:numPr>
        <w:tabs>
          <w:tab w:val="left" w:pos="979"/>
        </w:tabs>
        <w:spacing w:before="161" w:after="0" w:line="240" w:lineRule="auto"/>
        <w:ind w:left="978" w:right="0" w:hanging="281"/>
        <w:jc w:val="left"/>
        <w:rPr>
          <w:sz w:val="24"/>
        </w:rPr>
      </w:pPr>
      <w:r>
        <w:rPr>
          <w:sz w:val="24"/>
        </w:rPr>
        <w:t>《中华人民共和国环境噪声污染防治法》（</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12 </w:t>
      </w:r>
      <w:r>
        <w:rPr>
          <w:spacing w:val="-30"/>
          <w:sz w:val="24"/>
        </w:rPr>
        <w:t xml:space="preserve">月 </w:t>
      </w:r>
      <w:r>
        <w:rPr>
          <w:rFonts w:ascii="Times New Roman" w:eastAsia="Times New Roman"/>
          <w:sz w:val="24"/>
        </w:rPr>
        <w:t xml:space="preserve">29 </w:t>
      </w:r>
      <w:r>
        <w:rPr>
          <w:sz w:val="24"/>
        </w:rPr>
        <w:t>日修正并施行）；</w:t>
      </w:r>
    </w:p>
    <w:p>
      <w:pPr>
        <w:pStyle w:val="18"/>
        <w:numPr>
          <w:ilvl w:val="0"/>
          <w:numId w:val="17"/>
        </w:numPr>
        <w:tabs>
          <w:tab w:val="left" w:pos="979"/>
        </w:tabs>
        <w:spacing w:before="158" w:after="0" w:line="240" w:lineRule="auto"/>
        <w:ind w:left="978" w:right="0" w:hanging="281"/>
        <w:jc w:val="left"/>
        <w:rPr>
          <w:sz w:val="24"/>
        </w:rPr>
      </w:pPr>
      <w:r>
        <w:rPr>
          <w:spacing w:val="-4"/>
          <w:sz w:val="24"/>
        </w:rPr>
        <w:t>《中华人民共和国水污染防治法》</w:t>
      </w:r>
      <w:r>
        <w:rPr>
          <w:sz w:val="24"/>
        </w:rPr>
        <w:t>（</w:t>
      </w:r>
      <w:r>
        <w:rPr>
          <w:rFonts w:ascii="Times New Roman" w:eastAsia="Times New Roman"/>
          <w:sz w:val="24"/>
        </w:rPr>
        <w:t xml:space="preserve">2017 </w:t>
      </w:r>
      <w:r>
        <w:rPr>
          <w:spacing w:val="-30"/>
          <w:sz w:val="24"/>
        </w:rPr>
        <w:t xml:space="preserve">年 </w:t>
      </w:r>
      <w:r>
        <w:rPr>
          <w:rFonts w:ascii="Times New Roman" w:eastAsia="Times New Roman"/>
          <w:sz w:val="24"/>
        </w:rPr>
        <w:t>6</w:t>
      </w:r>
      <w:r>
        <w:rPr>
          <w:rFonts w:ascii="Times New Roman" w:eastAsia="Times New Roman"/>
          <w:spacing w:val="1"/>
          <w:sz w:val="24"/>
        </w:rPr>
        <w:t xml:space="preserve"> </w:t>
      </w:r>
      <w:r>
        <w:rPr>
          <w:spacing w:val="-30"/>
          <w:sz w:val="24"/>
        </w:rPr>
        <w:t xml:space="preserve">月 </w:t>
      </w:r>
      <w:r>
        <w:rPr>
          <w:rFonts w:ascii="Times New Roman" w:eastAsia="Times New Roman"/>
          <w:sz w:val="24"/>
        </w:rPr>
        <w:t>27</w:t>
      </w:r>
      <w:r>
        <w:rPr>
          <w:rFonts w:ascii="Times New Roman" w:eastAsia="Times New Roman"/>
          <w:spacing w:val="1"/>
          <w:sz w:val="24"/>
        </w:rPr>
        <w:t xml:space="preserve"> </w:t>
      </w:r>
      <w:r>
        <w:rPr>
          <w:spacing w:val="-1"/>
          <w:sz w:val="24"/>
        </w:rPr>
        <w:t>日第二次修正，</w:t>
      </w:r>
      <w:r>
        <w:rPr>
          <w:rFonts w:ascii="Times New Roman" w:eastAsia="Times New Roman"/>
          <w:spacing w:val="-5"/>
          <w:sz w:val="24"/>
        </w:rPr>
        <w:t>2018</w:t>
      </w:r>
      <w:r>
        <w:rPr>
          <w:rFonts w:ascii="Times New Roman" w:eastAsia="Times New Roman"/>
          <w:sz w:val="24"/>
        </w:rPr>
        <w:t xml:space="preserve"> </w:t>
      </w:r>
      <w:r>
        <w:rPr>
          <w:spacing w:val="-30"/>
          <w:sz w:val="24"/>
        </w:rPr>
        <w:t xml:space="preserve">年 </w:t>
      </w:r>
      <w:r>
        <w:rPr>
          <w:rFonts w:ascii="Times New Roman" w:eastAsia="Times New Roman"/>
          <w:sz w:val="24"/>
        </w:rPr>
        <w:t>1</w:t>
      </w:r>
      <w:r>
        <w:rPr>
          <w:rFonts w:ascii="Times New Roman" w:eastAsia="Times New Roman"/>
          <w:spacing w:val="3"/>
          <w:sz w:val="24"/>
        </w:rPr>
        <w:t xml:space="preserve"> </w:t>
      </w:r>
      <w:r>
        <w:rPr>
          <w:sz w:val="24"/>
        </w:rPr>
        <w:t>月</w:t>
      </w:r>
    </w:p>
    <w:p>
      <w:pPr>
        <w:pStyle w:val="9"/>
        <w:spacing w:before="158"/>
        <w:ind w:left="218"/>
      </w:pPr>
      <w:r>
        <w:rPr>
          <w:rFonts w:ascii="Times New Roman" w:eastAsia="Times New Roman"/>
        </w:rPr>
        <w:t xml:space="preserve">1 </w:t>
      </w:r>
      <w:r>
        <w:t>日起施行）；</w:t>
      </w:r>
    </w:p>
    <w:p>
      <w:pPr>
        <w:pStyle w:val="18"/>
        <w:numPr>
          <w:ilvl w:val="0"/>
          <w:numId w:val="17"/>
        </w:numPr>
        <w:tabs>
          <w:tab w:val="left" w:pos="979"/>
        </w:tabs>
        <w:spacing w:before="161" w:after="0" w:line="240" w:lineRule="auto"/>
        <w:ind w:left="978" w:right="0" w:hanging="281"/>
        <w:jc w:val="left"/>
        <w:rPr>
          <w:sz w:val="24"/>
        </w:rPr>
      </w:pPr>
      <w:r>
        <w:rPr>
          <w:spacing w:val="-4"/>
          <w:sz w:val="24"/>
        </w:rPr>
        <w:t>《中华人民共和国固体废物污染环境防治法》</w:t>
      </w:r>
      <w:r>
        <w:rPr>
          <w:rFonts w:ascii="Times New Roman" w:eastAsia="Times New Roman"/>
          <w:sz w:val="24"/>
        </w:rPr>
        <w:t xml:space="preserve">(2020 </w:t>
      </w:r>
      <w:r>
        <w:rPr>
          <w:spacing w:val="-29"/>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29 </w:t>
      </w:r>
      <w:r>
        <w:rPr>
          <w:sz w:val="24"/>
        </w:rPr>
        <w:t>日第十三届全国人</w:t>
      </w:r>
    </w:p>
    <w:p>
      <w:pPr>
        <w:pStyle w:val="9"/>
        <w:spacing w:before="160"/>
        <w:ind w:left="218"/>
      </w:pPr>
      <w:r>
        <w:t>民代表大会常务委员会第十七次会议第二次修订</w:t>
      </w:r>
      <w:r>
        <w:rPr>
          <w:rFonts w:ascii="Times New Roman" w:eastAsia="Times New Roman"/>
        </w:rPr>
        <w:t xml:space="preserve">,2020 </w:t>
      </w:r>
      <w:r>
        <w:t xml:space="preserve">年 </w:t>
      </w:r>
      <w:r>
        <w:rPr>
          <w:rFonts w:ascii="Times New Roman" w:eastAsia="Times New Roman"/>
        </w:rPr>
        <w:t xml:space="preserve">09 </w:t>
      </w:r>
      <w:r>
        <w:t xml:space="preserve">月 </w:t>
      </w:r>
      <w:r>
        <w:rPr>
          <w:rFonts w:ascii="Times New Roman" w:eastAsia="Times New Roman"/>
        </w:rPr>
        <w:t xml:space="preserve">1 </w:t>
      </w:r>
      <w:r>
        <w:t>日施行）；</w:t>
      </w:r>
    </w:p>
    <w:p>
      <w:pPr>
        <w:pStyle w:val="18"/>
        <w:numPr>
          <w:ilvl w:val="0"/>
          <w:numId w:val="17"/>
        </w:numPr>
        <w:tabs>
          <w:tab w:val="left" w:pos="979"/>
        </w:tabs>
        <w:spacing w:before="158" w:after="0" w:line="240" w:lineRule="auto"/>
        <w:ind w:left="978" w:right="0" w:hanging="281"/>
        <w:jc w:val="left"/>
        <w:rPr>
          <w:sz w:val="24"/>
        </w:rPr>
      </w:pPr>
      <w:r>
        <w:rPr>
          <w:sz w:val="24"/>
        </w:rPr>
        <w:t>《中华人民共和国土壤污染防治法》</w:t>
      </w:r>
      <w:r>
        <w:rPr>
          <w:rFonts w:ascii="Times New Roman" w:eastAsia="Times New Roman"/>
          <w:sz w:val="24"/>
        </w:rPr>
        <w:t>(2019</w:t>
      </w:r>
      <w:r>
        <w:rPr>
          <w:rFonts w:ascii="Times New Roman" w:eastAsia="Times New Roman"/>
          <w:spacing w:val="-1"/>
          <w:sz w:val="24"/>
        </w:rPr>
        <w:t xml:space="preserve"> </w:t>
      </w:r>
      <w:r>
        <w:rPr>
          <w:spacing w:val="-30"/>
          <w:sz w:val="24"/>
        </w:rPr>
        <w:t xml:space="preserve">年 </w:t>
      </w:r>
      <w:r>
        <w:rPr>
          <w:rFonts w:ascii="Times New Roman" w:eastAsia="Times New Roman"/>
          <w:sz w:val="24"/>
        </w:rPr>
        <w:t xml:space="preserve">1 </w:t>
      </w:r>
      <w:r>
        <w:rPr>
          <w:spacing w:val="-30"/>
          <w:sz w:val="24"/>
        </w:rPr>
        <w:t xml:space="preserve">月 </w:t>
      </w:r>
      <w:r>
        <w:rPr>
          <w:rFonts w:ascii="Times New Roman" w:eastAsia="Times New Roman"/>
          <w:sz w:val="24"/>
        </w:rPr>
        <w:t xml:space="preserve">1 </w:t>
      </w:r>
      <w:r>
        <w:rPr>
          <w:sz w:val="24"/>
        </w:rPr>
        <w:t>日施行）；</w:t>
      </w:r>
    </w:p>
    <w:p>
      <w:pPr>
        <w:pStyle w:val="18"/>
        <w:numPr>
          <w:ilvl w:val="0"/>
          <w:numId w:val="17"/>
        </w:numPr>
        <w:tabs>
          <w:tab w:val="left" w:pos="980"/>
        </w:tabs>
        <w:spacing w:before="161" w:after="0" w:line="362" w:lineRule="auto"/>
        <w:ind w:left="218" w:right="253" w:firstLine="480"/>
        <w:jc w:val="left"/>
        <w:rPr>
          <w:sz w:val="24"/>
        </w:rPr>
      </w:pPr>
      <w:r>
        <w:rPr>
          <w:sz w:val="24"/>
        </w:rPr>
        <w:t>《中华人民共和国水土保持法》（</w:t>
      </w:r>
      <w:r>
        <w:rPr>
          <w:rFonts w:ascii="Times New Roman" w:eastAsia="Times New Roman"/>
          <w:sz w:val="24"/>
        </w:rPr>
        <w:t>2010</w:t>
      </w:r>
      <w:r>
        <w:rPr>
          <w:rFonts w:ascii="Times New Roman" w:eastAsia="Times New Roman"/>
          <w:spacing w:val="3"/>
          <w:sz w:val="24"/>
        </w:rPr>
        <w:t xml:space="preserve"> </w:t>
      </w:r>
      <w:r>
        <w:rPr>
          <w:spacing w:val="-29"/>
          <w:sz w:val="24"/>
        </w:rPr>
        <w:t xml:space="preserve">年 </w:t>
      </w:r>
      <w:r>
        <w:rPr>
          <w:rFonts w:ascii="Times New Roman" w:eastAsia="Times New Roman"/>
          <w:sz w:val="24"/>
        </w:rPr>
        <w:t>12</w:t>
      </w:r>
      <w:r>
        <w:rPr>
          <w:rFonts w:ascii="Times New Roman" w:eastAsia="Times New Roman"/>
          <w:spacing w:val="1"/>
          <w:sz w:val="24"/>
        </w:rPr>
        <w:t xml:space="preserve"> </w:t>
      </w:r>
      <w:r>
        <w:rPr>
          <w:spacing w:val="-28"/>
          <w:sz w:val="24"/>
        </w:rPr>
        <w:t xml:space="preserve">月 </w:t>
      </w:r>
      <w:r>
        <w:rPr>
          <w:rFonts w:ascii="Times New Roman" w:eastAsia="Times New Roman"/>
          <w:sz w:val="24"/>
        </w:rPr>
        <w:t>25</w:t>
      </w:r>
      <w:r>
        <w:rPr>
          <w:rFonts w:ascii="Times New Roman" w:eastAsia="Times New Roman"/>
          <w:spacing w:val="4"/>
          <w:sz w:val="24"/>
        </w:rPr>
        <w:t xml:space="preserve"> </w:t>
      </w:r>
      <w:r>
        <w:rPr>
          <w:sz w:val="24"/>
        </w:rPr>
        <w:t>日修订，</w:t>
      </w:r>
      <w:r>
        <w:rPr>
          <w:rFonts w:ascii="Times New Roman" w:eastAsia="Times New Roman"/>
          <w:sz w:val="24"/>
        </w:rPr>
        <w:t>2011</w:t>
      </w:r>
      <w:r>
        <w:rPr>
          <w:rFonts w:ascii="Times New Roman" w:eastAsia="Times New Roman"/>
          <w:spacing w:val="-2"/>
          <w:sz w:val="24"/>
        </w:rPr>
        <w:t xml:space="preserve"> </w:t>
      </w:r>
      <w:r>
        <w:rPr>
          <w:spacing w:val="-29"/>
          <w:sz w:val="24"/>
        </w:rPr>
        <w:t xml:space="preserve">年 </w:t>
      </w:r>
      <w:r>
        <w:rPr>
          <w:rFonts w:ascii="Times New Roman" w:eastAsia="Times New Roman"/>
          <w:sz w:val="24"/>
        </w:rPr>
        <w:t>3</w:t>
      </w:r>
      <w:r>
        <w:rPr>
          <w:rFonts w:ascii="Times New Roman" w:eastAsia="Times New Roman"/>
          <w:spacing w:val="4"/>
          <w:sz w:val="24"/>
        </w:rPr>
        <w:t xml:space="preserve"> </w:t>
      </w:r>
      <w:r>
        <w:rPr>
          <w:spacing w:val="-29"/>
          <w:sz w:val="24"/>
        </w:rPr>
        <w:t xml:space="preserve">月 </w:t>
      </w:r>
      <w:r>
        <w:rPr>
          <w:rFonts w:ascii="Times New Roman" w:eastAsia="Times New Roman"/>
          <w:sz w:val="24"/>
        </w:rPr>
        <w:t>1</w:t>
      </w:r>
      <w:r>
        <w:rPr>
          <w:rFonts w:ascii="Times New Roman" w:eastAsia="Times New Roman"/>
          <w:spacing w:val="2"/>
          <w:sz w:val="24"/>
        </w:rPr>
        <w:t xml:space="preserve"> </w:t>
      </w:r>
      <w:r>
        <w:rPr>
          <w:sz w:val="24"/>
        </w:rPr>
        <w:t>日起施行）；</w:t>
      </w:r>
    </w:p>
    <w:p>
      <w:pPr>
        <w:pStyle w:val="18"/>
        <w:numPr>
          <w:ilvl w:val="0"/>
          <w:numId w:val="17"/>
        </w:numPr>
        <w:tabs>
          <w:tab w:val="left" w:pos="979"/>
        </w:tabs>
        <w:spacing w:before="5" w:after="0" w:line="362" w:lineRule="auto"/>
        <w:ind w:left="218" w:right="251" w:firstLine="480"/>
        <w:jc w:val="left"/>
        <w:rPr>
          <w:sz w:val="24"/>
        </w:rPr>
      </w:pPr>
      <w:r>
        <w:rPr>
          <w:spacing w:val="-3"/>
          <w:sz w:val="24"/>
        </w:rPr>
        <w:t>《中华人民共和国清洁生产促进法》</w:t>
      </w:r>
      <w:r>
        <w:rPr>
          <w:sz w:val="24"/>
        </w:rPr>
        <w:t>（</w:t>
      </w:r>
      <w:r>
        <w:rPr>
          <w:rFonts w:ascii="Times New Roman" w:eastAsia="Times New Roman"/>
          <w:sz w:val="24"/>
        </w:rPr>
        <w:t>2012</w:t>
      </w:r>
      <w:r>
        <w:rPr>
          <w:rFonts w:ascii="Times New Roman" w:eastAsia="Times New Roman"/>
          <w:spacing w:val="7"/>
          <w:sz w:val="24"/>
        </w:rPr>
        <w:t xml:space="preserve"> </w:t>
      </w:r>
      <w:r>
        <w:rPr>
          <w:spacing w:val="-27"/>
          <w:sz w:val="24"/>
        </w:rPr>
        <w:t xml:space="preserve">年 </w:t>
      </w:r>
      <w:r>
        <w:rPr>
          <w:rFonts w:ascii="Times New Roman" w:eastAsia="Times New Roman"/>
          <w:sz w:val="24"/>
        </w:rPr>
        <w:t>2</w:t>
      </w:r>
      <w:r>
        <w:rPr>
          <w:rFonts w:ascii="Times New Roman" w:eastAsia="Times New Roman"/>
          <w:spacing w:val="8"/>
          <w:sz w:val="24"/>
        </w:rPr>
        <w:t xml:space="preserve"> </w:t>
      </w:r>
      <w:r>
        <w:rPr>
          <w:spacing w:val="-27"/>
          <w:sz w:val="24"/>
        </w:rPr>
        <w:t xml:space="preserve">月 </w:t>
      </w:r>
      <w:r>
        <w:rPr>
          <w:rFonts w:ascii="Times New Roman" w:eastAsia="Times New Roman"/>
          <w:sz w:val="24"/>
        </w:rPr>
        <w:t>29</w:t>
      </w:r>
      <w:r>
        <w:rPr>
          <w:rFonts w:ascii="Times New Roman" w:eastAsia="Times New Roman"/>
          <w:spacing w:val="8"/>
          <w:sz w:val="24"/>
        </w:rPr>
        <w:t xml:space="preserve"> </w:t>
      </w:r>
      <w:r>
        <w:rPr>
          <w:spacing w:val="-2"/>
          <w:sz w:val="24"/>
        </w:rPr>
        <w:t>日修正，</w:t>
      </w:r>
      <w:r>
        <w:rPr>
          <w:rFonts w:ascii="Times New Roman" w:eastAsia="Times New Roman"/>
          <w:spacing w:val="-5"/>
          <w:sz w:val="24"/>
        </w:rPr>
        <w:t>2012</w:t>
      </w:r>
      <w:r>
        <w:rPr>
          <w:rFonts w:ascii="Times New Roman" w:eastAsia="Times New Roman"/>
          <w:spacing w:val="7"/>
          <w:sz w:val="24"/>
        </w:rPr>
        <w:t xml:space="preserve"> </w:t>
      </w:r>
      <w:r>
        <w:rPr>
          <w:spacing w:val="-26"/>
          <w:sz w:val="24"/>
        </w:rPr>
        <w:t xml:space="preserve">年 </w:t>
      </w:r>
      <w:r>
        <w:rPr>
          <w:rFonts w:ascii="Times New Roman" w:eastAsia="Times New Roman"/>
          <w:sz w:val="24"/>
        </w:rPr>
        <w:t>7</w:t>
      </w:r>
      <w:r>
        <w:rPr>
          <w:rFonts w:ascii="Times New Roman" w:eastAsia="Times New Roman"/>
          <w:spacing w:val="7"/>
          <w:sz w:val="24"/>
        </w:rPr>
        <w:t xml:space="preserve"> </w:t>
      </w:r>
      <w:r>
        <w:rPr>
          <w:spacing w:val="-26"/>
          <w:sz w:val="24"/>
        </w:rPr>
        <w:t xml:space="preserve">月 </w:t>
      </w:r>
      <w:r>
        <w:rPr>
          <w:rFonts w:ascii="Times New Roman" w:eastAsia="Times New Roman"/>
          <w:sz w:val="24"/>
        </w:rPr>
        <w:t xml:space="preserve">1 </w:t>
      </w:r>
      <w:r>
        <w:rPr>
          <w:spacing w:val="-5"/>
          <w:sz w:val="24"/>
        </w:rPr>
        <w:t>日起施行</w:t>
      </w:r>
      <w:r>
        <w:rPr>
          <w:sz w:val="24"/>
        </w:rPr>
        <w:t>）；</w:t>
      </w:r>
    </w:p>
    <w:p>
      <w:pPr>
        <w:pStyle w:val="18"/>
        <w:numPr>
          <w:ilvl w:val="0"/>
          <w:numId w:val="17"/>
        </w:numPr>
        <w:tabs>
          <w:tab w:val="left" w:pos="1099"/>
        </w:tabs>
        <w:spacing w:before="5" w:after="0" w:line="362" w:lineRule="auto"/>
        <w:ind w:left="218" w:right="257" w:firstLine="480"/>
        <w:jc w:val="left"/>
        <w:rPr>
          <w:sz w:val="24"/>
        </w:rPr>
      </w:pPr>
      <w:r>
        <w:rPr>
          <w:sz w:val="24"/>
        </w:rPr>
        <w:t>《中华人民共和国土地管理法》（主席令〔</w:t>
      </w:r>
      <w:r>
        <w:rPr>
          <w:rFonts w:ascii="Times New Roman" w:eastAsia="Times New Roman"/>
          <w:sz w:val="24"/>
        </w:rPr>
        <w:t>2004</w:t>
      </w:r>
      <w:r>
        <w:rPr>
          <w:sz w:val="24"/>
        </w:rPr>
        <w:t>〕</w:t>
      </w:r>
      <w:r>
        <w:rPr>
          <w:rFonts w:ascii="Times New Roman" w:eastAsia="Times New Roman"/>
          <w:sz w:val="24"/>
        </w:rPr>
        <w:t>28</w:t>
      </w:r>
      <w:r>
        <w:rPr>
          <w:rFonts w:ascii="Times New Roman" w:eastAsia="Times New Roman"/>
          <w:spacing w:val="3"/>
          <w:sz w:val="24"/>
        </w:rPr>
        <w:t xml:space="preserve"> </w:t>
      </w:r>
      <w:r>
        <w:rPr>
          <w:sz w:val="24"/>
        </w:rPr>
        <w:t>号，</w:t>
      </w:r>
      <w:r>
        <w:rPr>
          <w:rFonts w:ascii="Times New Roman" w:eastAsia="Times New Roman"/>
          <w:sz w:val="24"/>
        </w:rPr>
        <w:t>2019</w:t>
      </w:r>
      <w:r>
        <w:rPr>
          <w:rFonts w:ascii="Times New Roman" w:eastAsia="Times New Roman"/>
          <w:spacing w:val="3"/>
          <w:sz w:val="24"/>
        </w:rPr>
        <w:t xml:space="preserve"> </w:t>
      </w:r>
      <w:r>
        <w:rPr>
          <w:spacing w:val="-28"/>
          <w:sz w:val="24"/>
        </w:rPr>
        <w:t xml:space="preserve">年 </w:t>
      </w:r>
      <w:r>
        <w:rPr>
          <w:rFonts w:ascii="Times New Roman" w:eastAsia="Times New Roman"/>
          <w:sz w:val="24"/>
        </w:rPr>
        <w:t>8</w:t>
      </w:r>
      <w:r>
        <w:rPr>
          <w:rFonts w:ascii="Times New Roman" w:eastAsia="Times New Roman"/>
          <w:spacing w:val="4"/>
          <w:sz w:val="24"/>
        </w:rPr>
        <w:t xml:space="preserve"> </w:t>
      </w:r>
      <w:r>
        <w:rPr>
          <w:spacing w:val="-28"/>
          <w:sz w:val="24"/>
        </w:rPr>
        <w:t xml:space="preserve">月 </w:t>
      </w:r>
      <w:r>
        <w:rPr>
          <w:rFonts w:ascii="Times New Roman" w:eastAsia="Times New Roman"/>
          <w:sz w:val="24"/>
        </w:rPr>
        <w:t>28</w:t>
      </w:r>
      <w:r>
        <w:rPr>
          <w:rFonts w:ascii="Times New Roman" w:eastAsia="Times New Roman"/>
          <w:spacing w:val="3"/>
          <w:sz w:val="24"/>
        </w:rPr>
        <w:t xml:space="preserve"> </w:t>
      </w:r>
      <w:r>
        <w:rPr>
          <w:spacing w:val="-6"/>
          <w:sz w:val="24"/>
        </w:rPr>
        <w:t>日第</w:t>
      </w:r>
      <w:r>
        <w:rPr>
          <w:sz w:val="24"/>
        </w:rPr>
        <w:t>三次修订，</w:t>
      </w:r>
      <w:r>
        <w:rPr>
          <w:rFonts w:ascii="Times New Roman" w:eastAsia="Times New Roman"/>
          <w:sz w:val="24"/>
        </w:rPr>
        <w:t xml:space="preserve">2020 </w:t>
      </w:r>
      <w:r>
        <w:rPr>
          <w:spacing w:val="-30"/>
          <w:sz w:val="24"/>
        </w:rPr>
        <w:t xml:space="preserve">年 </w:t>
      </w:r>
      <w:r>
        <w:rPr>
          <w:rFonts w:ascii="Times New Roman" w:eastAsia="Times New Roman"/>
          <w:sz w:val="24"/>
        </w:rPr>
        <w:t xml:space="preserve">1 </w:t>
      </w:r>
      <w:r>
        <w:rPr>
          <w:spacing w:val="-30"/>
          <w:sz w:val="24"/>
        </w:rPr>
        <w:t xml:space="preserve">月 </w:t>
      </w:r>
      <w:r>
        <w:rPr>
          <w:rFonts w:ascii="Times New Roman" w:eastAsia="Times New Roman"/>
          <w:sz w:val="24"/>
        </w:rPr>
        <w:t xml:space="preserve">1 </w:t>
      </w:r>
      <w:r>
        <w:rPr>
          <w:sz w:val="24"/>
        </w:rPr>
        <w:t>日起施行）；</w:t>
      </w:r>
    </w:p>
    <w:p>
      <w:pPr>
        <w:pStyle w:val="18"/>
        <w:numPr>
          <w:ilvl w:val="0"/>
          <w:numId w:val="17"/>
        </w:numPr>
        <w:tabs>
          <w:tab w:val="left" w:pos="1092"/>
        </w:tabs>
        <w:spacing w:before="5" w:after="0" w:line="240" w:lineRule="auto"/>
        <w:ind w:left="1091" w:right="0" w:hanging="394"/>
        <w:jc w:val="left"/>
        <w:rPr>
          <w:sz w:val="24"/>
        </w:rPr>
      </w:pPr>
      <w:r>
        <w:rPr>
          <w:sz w:val="24"/>
        </w:rPr>
        <w:t>《中华人民共和国矿产资源法》（</w:t>
      </w:r>
      <w:r>
        <w:rPr>
          <w:rFonts w:ascii="Times New Roman" w:eastAsia="Times New Roman"/>
          <w:sz w:val="24"/>
        </w:rPr>
        <w:t xml:space="preserve">2009 </w:t>
      </w:r>
      <w:r>
        <w:rPr>
          <w:spacing w:val="-30"/>
          <w:sz w:val="24"/>
        </w:rPr>
        <w:t xml:space="preserve">年 </w:t>
      </w:r>
      <w:r>
        <w:rPr>
          <w:rFonts w:ascii="Times New Roman" w:eastAsia="Times New Roman"/>
          <w:sz w:val="24"/>
        </w:rPr>
        <w:t xml:space="preserve">8 </w:t>
      </w:r>
      <w:r>
        <w:rPr>
          <w:spacing w:val="-30"/>
          <w:sz w:val="24"/>
        </w:rPr>
        <w:t xml:space="preserve">月 </w:t>
      </w:r>
      <w:r>
        <w:rPr>
          <w:rFonts w:ascii="Times New Roman" w:eastAsia="Times New Roman"/>
          <w:sz w:val="24"/>
        </w:rPr>
        <w:t xml:space="preserve">27 </w:t>
      </w:r>
      <w:r>
        <w:rPr>
          <w:sz w:val="24"/>
        </w:rPr>
        <w:t>日第二次修正，</w:t>
      </w:r>
      <w:r>
        <w:rPr>
          <w:rFonts w:ascii="Times New Roman" w:eastAsia="Times New Roman"/>
          <w:sz w:val="24"/>
        </w:rPr>
        <w:t xml:space="preserve">2009 </w:t>
      </w:r>
      <w:r>
        <w:rPr>
          <w:spacing w:val="-30"/>
          <w:sz w:val="24"/>
        </w:rPr>
        <w:t xml:space="preserve">年 </w:t>
      </w:r>
      <w:r>
        <w:rPr>
          <w:rFonts w:ascii="Times New Roman" w:eastAsia="Times New Roman"/>
          <w:sz w:val="24"/>
        </w:rPr>
        <w:t xml:space="preserve">8 </w:t>
      </w:r>
      <w:r>
        <w:rPr>
          <w:sz w:val="24"/>
        </w:rPr>
        <w:t>月</w:t>
      </w:r>
    </w:p>
    <w:p>
      <w:pPr>
        <w:pStyle w:val="9"/>
        <w:spacing w:before="158"/>
        <w:ind w:left="218"/>
      </w:pPr>
      <w:r>
        <w:rPr>
          <w:rFonts w:ascii="Times New Roman" w:eastAsia="Times New Roman"/>
        </w:rPr>
        <w:t xml:space="preserve">27 </w:t>
      </w:r>
      <w:r>
        <w:t>日起施行）；</w:t>
      </w:r>
    </w:p>
    <w:p>
      <w:pPr>
        <w:pStyle w:val="18"/>
        <w:numPr>
          <w:ilvl w:val="0"/>
          <w:numId w:val="17"/>
        </w:numPr>
        <w:tabs>
          <w:tab w:val="left" w:pos="1099"/>
        </w:tabs>
        <w:spacing w:before="160" w:after="0" w:line="240" w:lineRule="auto"/>
        <w:ind w:left="1098" w:right="0" w:hanging="401"/>
        <w:jc w:val="left"/>
        <w:rPr>
          <w:sz w:val="24"/>
        </w:rPr>
      </w:pPr>
      <w:r>
        <w:rPr>
          <w:sz w:val="24"/>
        </w:rPr>
        <w:t>《中华人民共和国煤炭法》；</w:t>
      </w:r>
    </w:p>
    <w:p>
      <w:pPr>
        <w:pStyle w:val="18"/>
        <w:numPr>
          <w:ilvl w:val="0"/>
          <w:numId w:val="17"/>
        </w:numPr>
        <w:tabs>
          <w:tab w:val="left" w:pos="1099"/>
        </w:tabs>
        <w:spacing w:before="161" w:after="0" w:line="240" w:lineRule="auto"/>
        <w:ind w:left="1098" w:right="0" w:hanging="401"/>
        <w:jc w:val="left"/>
        <w:rPr>
          <w:rFonts w:ascii="Times New Roman" w:eastAsia="Times New Roman"/>
          <w:sz w:val="24"/>
        </w:rPr>
      </w:pPr>
      <w:r>
        <w:rPr>
          <w:spacing w:val="-1"/>
          <w:sz w:val="24"/>
        </w:rPr>
        <w:t>《中华人民共和国循环经济促进法》</w:t>
      </w:r>
      <w:r>
        <w:rPr>
          <w:sz w:val="24"/>
        </w:rPr>
        <w:t>（</w:t>
      </w:r>
      <w:r>
        <w:rPr>
          <w:rFonts w:ascii="Times New Roman" w:eastAsia="Times New Roman"/>
          <w:sz w:val="24"/>
        </w:rPr>
        <w:t>2018</w:t>
      </w:r>
      <w:r>
        <w:rPr>
          <w:rFonts w:ascii="Times New Roman" w:eastAsia="Times New Roman"/>
          <w:spacing w:val="-1"/>
          <w:sz w:val="24"/>
        </w:rPr>
        <w:t xml:space="preserve"> </w:t>
      </w:r>
      <w:r>
        <w:rPr>
          <w:spacing w:val="-30"/>
          <w:sz w:val="24"/>
        </w:rPr>
        <w:t xml:space="preserve">年 </w:t>
      </w:r>
      <w:r>
        <w:rPr>
          <w:rFonts w:ascii="Times New Roman" w:eastAsia="Times New Roman"/>
          <w:sz w:val="24"/>
        </w:rPr>
        <w:t>10</w:t>
      </w:r>
      <w:r>
        <w:rPr>
          <w:rFonts w:ascii="Times New Roman" w:eastAsia="Times New Roman"/>
          <w:spacing w:val="-1"/>
          <w:sz w:val="24"/>
        </w:rPr>
        <w:t xml:space="preserve"> </w:t>
      </w:r>
      <w:r>
        <w:rPr>
          <w:spacing w:val="-30"/>
          <w:sz w:val="24"/>
        </w:rPr>
        <w:t xml:space="preserve">月 </w:t>
      </w:r>
      <w:r>
        <w:rPr>
          <w:rFonts w:ascii="Times New Roman" w:eastAsia="Times New Roman"/>
          <w:sz w:val="24"/>
        </w:rPr>
        <w:t>26</w:t>
      </w:r>
      <w:r>
        <w:rPr>
          <w:rFonts w:ascii="Times New Roman" w:eastAsia="Times New Roman"/>
          <w:spacing w:val="-1"/>
          <w:sz w:val="24"/>
        </w:rPr>
        <w:t xml:space="preserve"> </w:t>
      </w:r>
      <w:r>
        <w:rPr>
          <w:sz w:val="24"/>
        </w:rPr>
        <w:t>日修正，</w:t>
      </w:r>
      <w:r>
        <w:rPr>
          <w:rFonts w:ascii="Times New Roman" w:eastAsia="Times New Roman"/>
          <w:sz w:val="24"/>
        </w:rPr>
        <w:t xml:space="preserve">2019 </w:t>
      </w:r>
      <w:r>
        <w:rPr>
          <w:spacing w:val="-31"/>
          <w:sz w:val="24"/>
        </w:rPr>
        <w:t xml:space="preserve">年 </w:t>
      </w:r>
      <w:r>
        <w:rPr>
          <w:rFonts w:ascii="Times New Roman" w:eastAsia="Times New Roman"/>
          <w:sz w:val="24"/>
        </w:rPr>
        <w:t xml:space="preserve">1 </w:t>
      </w:r>
      <w:r>
        <w:rPr>
          <w:spacing w:val="-31"/>
          <w:sz w:val="24"/>
        </w:rPr>
        <w:t xml:space="preserve">月 </w:t>
      </w:r>
      <w:r>
        <w:rPr>
          <w:rFonts w:ascii="Times New Roman" w:eastAsia="Times New Roman"/>
          <w:sz w:val="24"/>
        </w:rPr>
        <w:t>1</w:t>
      </w:r>
    </w:p>
    <w:p>
      <w:pPr>
        <w:pStyle w:val="9"/>
        <w:spacing w:before="158"/>
        <w:ind w:left="218"/>
      </w:pPr>
      <w:r>
        <w:t>日起施行）；</w:t>
      </w:r>
    </w:p>
    <w:p>
      <w:pPr>
        <w:spacing w:after="0"/>
        <w:sectPr>
          <w:pgSz w:w="11910" w:h="16840"/>
          <w:pgMar w:top="1340" w:right="1160" w:bottom="1180" w:left="1200" w:header="0" w:footer="993" w:gutter="0"/>
        </w:sectPr>
      </w:pPr>
    </w:p>
    <w:p>
      <w:pPr>
        <w:pStyle w:val="18"/>
        <w:numPr>
          <w:ilvl w:val="0"/>
          <w:numId w:val="17"/>
        </w:numPr>
        <w:tabs>
          <w:tab w:val="left" w:pos="1099"/>
        </w:tabs>
        <w:spacing w:before="61" w:after="0" w:line="240" w:lineRule="auto"/>
        <w:ind w:left="1098" w:right="0" w:hanging="401"/>
        <w:jc w:val="left"/>
        <w:rPr>
          <w:sz w:val="24"/>
        </w:rPr>
      </w:pPr>
      <w:r>
        <w:rPr>
          <w:sz w:val="24"/>
        </w:rPr>
        <w:t>《黑龙江省矿产资源总体规划（</w:t>
      </w:r>
      <w:r>
        <w:rPr>
          <w:rFonts w:ascii="Times New Roman" w:eastAsia="Times New Roman"/>
          <w:sz w:val="24"/>
        </w:rPr>
        <w:t>2016~2020</w:t>
      </w:r>
      <w:r>
        <w:rPr>
          <w:sz w:val="24"/>
        </w:rPr>
        <w:t>）》（黑政规〔</w:t>
      </w:r>
      <w:r>
        <w:rPr>
          <w:rFonts w:ascii="Times New Roman" w:eastAsia="Times New Roman"/>
          <w:sz w:val="24"/>
        </w:rPr>
        <w:t>2018</w:t>
      </w:r>
      <w:r>
        <w:rPr>
          <w:sz w:val="24"/>
        </w:rPr>
        <w:t>〕</w:t>
      </w:r>
      <w:r>
        <w:rPr>
          <w:rFonts w:ascii="Times New Roman" w:eastAsia="Times New Roman"/>
          <w:sz w:val="24"/>
        </w:rPr>
        <w:t>1</w:t>
      </w:r>
      <w:r>
        <w:rPr>
          <w:rFonts w:ascii="Times New Roman" w:eastAsia="Times New Roman"/>
          <w:spacing w:val="-2"/>
          <w:sz w:val="24"/>
        </w:rPr>
        <w:t xml:space="preserve"> </w:t>
      </w:r>
      <w:r>
        <w:rPr>
          <w:sz w:val="24"/>
        </w:rPr>
        <w:t>号）</w:t>
      </w:r>
    </w:p>
    <w:p>
      <w:pPr>
        <w:pStyle w:val="18"/>
        <w:numPr>
          <w:ilvl w:val="0"/>
          <w:numId w:val="17"/>
        </w:numPr>
        <w:tabs>
          <w:tab w:val="left" w:pos="1099"/>
        </w:tabs>
        <w:spacing w:before="158" w:after="0" w:line="240" w:lineRule="auto"/>
        <w:ind w:left="1098" w:right="0" w:hanging="401"/>
        <w:jc w:val="left"/>
        <w:rPr>
          <w:sz w:val="24"/>
        </w:rPr>
      </w:pPr>
      <w:r>
        <w:rPr>
          <w:sz w:val="24"/>
        </w:rPr>
        <w:t>《建设项目环境影响评价分类管理名录》（</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28 </w:t>
      </w:r>
      <w:r>
        <w:rPr>
          <w:sz w:val="24"/>
        </w:rPr>
        <w:t>日修订）；</w:t>
      </w:r>
    </w:p>
    <w:p>
      <w:pPr>
        <w:pStyle w:val="18"/>
        <w:numPr>
          <w:ilvl w:val="0"/>
          <w:numId w:val="17"/>
        </w:numPr>
        <w:tabs>
          <w:tab w:val="left" w:pos="1099"/>
        </w:tabs>
        <w:spacing w:before="161" w:after="0" w:line="364" w:lineRule="auto"/>
        <w:ind w:left="218" w:right="251" w:firstLine="480"/>
        <w:jc w:val="left"/>
        <w:rPr>
          <w:sz w:val="24"/>
        </w:rPr>
      </w:pPr>
      <w:r>
        <w:rPr>
          <w:spacing w:val="-5"/>
          <w:sz w:val="24"/>
        </w:rPr>
        <w:t xml:space="preserve">国家发展和改革委员会文件第 </w:t>
      </w:r>
      <w:r>
        <w:rPr>
          <w:rFonts w:ascii="Times New Roman" w:eastAsia="Times New Roman"/>
          <w:sz w:val="24"/>
        </w:rPr>
        <w:t>29</w:t>
      </w:r>
      <w:r>
        <w:rPr>
          <w:rFonts w:ascii="Times New Roman" w:eastAsia="Times New Roman"/>
          <w:spacing w:val="1"/>
          <w:sz w:val="24"/>
        </w:rPr>
        <w:t xml:space="preserve"> </w:t>
      </w:r>
      <w:r>
        <w:rPr>
          <w:spacing w:val="-11"/>
          <w:sz w:val="24"/>
        </w:rPr>
        <w:t>号令《产业结构调整指导目录</w:t>
      </w:r>
      <w:r>
        <w:rPr>
          <w:rFonts w:ascii="Times New Roman" w:eastAsia="Times New Roman"/>
          <w:sz w:val="24"/>
        </w:rPr>
        <w:t>(2019</w:t>
      </w:r>
      <w:r>
        <w:rPr>
          <w:rFonts w:ascii="Times New Roman" w:eastAsia="Times New Roman"/>
          <w:spacing w:val="3"/>
          <w:sz w:val="24"/>
        </w:rPr>
        <w:t xml:space="preserve"> </w:t>
      </w:r>
      <w:r>
        <w:rPr>
          <w:sz w:val="24"/>
        </w:rPr>
        <w:t>年本</w:t>
      </w:r>
      <w:r>
        <w:rPr>
          <w:rFonts w:ascii="Times New Roman" w:eastAsia="Times New Roman"/>
          <w:sz w:val="24"/>
        </w:rPr>
        <w:t>)</w:t>
      </w:r>
      <w:r>
        <w:rPr>
          <w:spacing w:val="-204"/>
          <w:sz w:val="24"/>
        </w:rPr>
        <w:t>》</w:t>
      </w:r>
      <w:r>
        <w:rPr>
          <w:sz w:val="24"/>
        </w:rPr>
        <w:t>（</w:t>
      </w:r>
      <w:r>
        <w:rPr>
          <w:spacing w:val="-13"/>
          <w:sz w:val="24"/>
        </w:rPr>
        <w:t>修</w:t>
      </w:r>
      <w:r>
        <w:rPr>
          <w:sz w:val="24"/>
        </w:rPr>
        <w:t>正）（</w:t>
      </w:r>
      <w:r>
        <w:rPr>
          <w:rFonts w:ascii="Times New Roman" w:eastAsia="Times New Roman"/>
          <w:sz w:val="24"/>
        </w:rPr>
        <w:t>2020.1.1</w:t>
      </w:r>
      <w:r>
        <w:rPr>
          <w:sz w:val="24"/>
        </w:rPr>
        <w:t>）；</w:t>
      </w:r>
    </w:p>
    <w:p>
      <w:pPr>
        <w:pStyle w:val="9"/>
        <w:spacing w:line="306" w:lineRule="exact"/>
        <w:ind w:left="698"/>
      </w:pPr>
      <w:r>
        <w:rPr>
          <w:rFonts w:ascii="Times New Roman" w:eastAsia="Times New Roman"/>
          <w:spacing w:val="-1"/>
        </w:rPr>
        <w:t>(</w:t>
      </w:r>
      <w:r>
        <w:rPr>
          <w:rFonts w:ascii="Times New Roman" w:eastAsia="Times New Roman"/>
        </w:rPr>
        <w:t>1</w:t>
      </w:r>
      <w:r>
        <w:rPr>
          <w:rFonts w:ascii="Times New Roman" w:eastAsia="Times New Roman"/>
          <w:spacing w:val="-39"/>
        </w:rPr>
        <w:t>7</w:t>
      </w:r>
      <w:r>
        <w:rPr>
          <w:spacing w:val="-202"/>
        </w:rPr>
        <w:t>《</w:t>
      </w:r>
      <w:r>
        <w:rPr>
          <w:rFonts w:ascii="Times New Roman" w:eastAsia="Times New Roman"/>
          <w:spacing w:val="-1"/>
        </w:rPr>
        <w:t xml:space="preserve">)  </w:t>
      </w:r>
      <w:r>
        <w:rPr>
          <w:spacing w:val="-7"/>
        </w:rPr>
        <w:t>建设项目环境影响评价信息公开机制方案》</w:t>
      </w:r>
      <w:r>
        <w:rPr>
          <w:spacing w:val="-238"/>
        </w:rPr>
        <w:t>，</w:t>
      </w:r>
      <w:r>
        <w:rPr>
          <w:spacing w:val="-3"/>
        </w:rPr>
        <w:t>（</w:t>
      </w:r>
      <w:r>
        <w:rPr>
          <w:spacing w:val="-41"/>
        </w:rPr>
        <w:t>环发〔</w:t>
      </w:r>
      <w:r>
        <w:rPr>
          <w:rFonts w:ascii="Times New Roman" w:eastAsia="Times New Roman"/>
        </w:rPr>
        <w:t>2015</w:t>
      </w:r>
      <w:r>
        <w:rPr>
          <w:spacing w:val="-120"/>
        </w:rPr>
        <w:t>〕</w:t>
      </w:r>
      <w:r>
        <w:rPr>
          <w:rFonts w:ascii="Times New Roman" w:eastAsia="Times New Roman"/>
        </w:rPr>
        <w:t>162</w:t>
      </w:r>
      <w:r>
        <w:rPr>
          <w:rFonts w:ascii="Times New Roman" w:eastAsia="Times New Roman"/>
          <w:spacing w:val="-22"/>
        </w:rPr>
        <w:t xml:space="preserve"> </w:t>
      </w:r>
      <w:r>
        <w:t>号</w:t>
      </w:r>
      <w:r>
        <w:rPr>
          <w:spacing w:val="-236"/>
        </w:rPr>
        <w:t>）</w:t>
      </w:r>
      <w:r>
        <w:rPr>
          <w:spacing w:val="-5"/>
        </w:rPr>
        <w:t>（</w:t>
      </w:r>
      <w:r>
        <w:rPr>
          <w:rFonts w:ascii="Times New Roman" w:eastAsia="Times New Roman"/>
        </w:rPr>
        <w:t>2015.12.</w:t>
      </w:r>
      <w:r>
        <w:rPr>
          <w:rFonts w:ascii="Times New Roman" w:eastAsia="Times New Roman"/>
          <w:spacing w:val="-5"/>
        </w:rPr>
        <w:t>1</w:t>
      </w:r>
      <w:r>
        <w:rPr>
          <w:rFonts w:ascii="Times New Roman" w:eastAsia="Times New Roman"/>
          <w:spacing w:val="-3"/>
        </w:rPr>
        <w:t>1</w:t>
      </w:r>
      <w:r>
        <w:rPr>
          <w:spacing w:val="-120"/>
        </w:rPr>
        <w:t>）</w:t>
      </w:r>
      <w:r>
        <w:t>；</w:t>
      </w:r>
    </w:p>
    <w:p>
      <w:pPr>
        <w:pStyle w:val="18"/>
        <w:numPr>
          <w:ilvl w:val="0"/>
          <w:numId w:val="18"/>
        </w:numPr>
        <w:tabs>
          <w:tab w:val="left" w:pos="1099"/>
        </w:tabs>
        <w:spacing w:before="160" w:after="0" w:line="362" w:lineRule="auto"/>
        <w:ind w:left="218" w:right="257" w:firstLine="480"/>
        <w:jc w:val="left"/>
        <w:rPr>
          <w:rFonts w:ascii="Times New Roman" w:eastAsia="Times New Roman"/>
          <w:sz w:val="22"/>
        </w:rPr>
      </w:pPr>
      <w:r>
        <w:rPr>
          <w:spacing w:val="-1"/>
          <w:sz w:val="24"/>
        </w:rPr>
        <w:t>《环境影响评价公众参与办法》</w:t>
      </w:r>
      <w:r>
        <w:rPr>
          <w:sz w:val="24"/>
        </w:rPr>
        <w:t>（</w:t>
      </w:r>
      <w:r>
        <w:rPr>
          <w:spacing w:val="-8"/>
          <w:sz w:val="24"/>
        </w:rPr>
        <w:t xml:space="preserve">生态环境部令第 </w:t>
      </w:r>
      <w:r>
        <w:rPr>
          <w:rFonts w:ascii="Times New Roman" w:eastAsia="Times New Roman"/>
          <w:sz w:val="24"/>
        </w:rPr>
        <w:t>4</w:t>
      </w:r>
      <w:r>
        <w:rPr>
          <w:rFonts w:ascii="Times New Roman" w:eastAsia="Times New Roman"/>
          <w:spacing w:val="1"/>
          <w:sz w:val="24"/>
        </w:rPr>
        <w:t xml:space="preserve"> </w:t>
      </w:r>
      <w:r>
        <w:rPr>
          <w:sz w:val="24"/>
        </w:rPr>
        <w:t>号</w:t>
      </w:r>
      <w:r>
        <w:rPr>
          <w:spacing w:val="-3"/>
          <w:sz w:val="24"/>
        </w:rPr>
        <w:t>）（</w:t>
      </w:r>
      <w:r>
        <w:rPr>
          <w:rFonts w:ascii="Times New Roman" w:eastAsia="Times New Roman"/>
          <w:spacing w:val="-3"/>
          <w:sz w:val="24"/>
        </w:rPr>
        <w:t>2019</w:t>
      </w:r>
      <w:r>
        <w:rPr>
          <w:rFonts w:ascii="Times New Roman" w:eastAsia="Times New Roman"/>
          <w:spacing w:val="1"/>
          <w:sz w:val="24"/>
        </w:rPr>
        <w:t xml:space="preserve"> </w:t>
      </w:r>
      <w:r>
        <w:rPr>
          <w:spacing w:val="-30"/>
          <w:sz w:val="24"/>
        </w:rPr>
        <w:t xml:space="preserve">年 </w:t>
      </w:r>
      <w:r>
        <w:rPr>
          <w:rFonts w:ascii="Times New Roman" w:eastAsia="Times New Roman"/>
          <w:sz w:val="24"/>
        </w:rPr>
        <w:t>1</w:t>
      </w:r>
      <w:r>
        <w:rPr>
          <w:rFonts w:ascii="Times New Roman" w:eastAsia="Times New Roman"/>
          <w:spacing w:val="1"/>
          <w:sz w:val="24"/>
        </w:rPr>
        <w:t xml:space="preserve"> </w:t>
      </w:r>
      <w:r>
        <w:rPr>
          <w:spacing w:val="-30"/>
          <w:sz w:val="24"/>
        </w:rPr>
        <w:t xml:space="preserve">月 </w:t>
      </w:r>
      <w:r>
        <w:rPr>
          <w:rFonts w:ascii="Times New Roman" w:eastAsia="Times New Roman"/>
          <w:sz w:val="24"/>
        </w:rPr>
        <w:t xml:space="preserve">1 </w:t>
      </w:r>
      <w:r>
        <w:rPr>
          <w:spacing w:val="-9"/>
          <w:sz w:val="24"/>
        </w:rPr>
        <w:t>日起</w:t>
      </w:r>
      <w:r>
        <w:rPr>
          <w:sz w:val="24"/>
        </w:rPr>
        <w:t>施行）；</w:t>
      </w:r>
    </w:p>
    <w:p>
      <w:pPr>
        <w:pStyle w:val="18"/>
        <w:numPr>
          <w:ilvl w:val="0"/>
          <w:numId w:val="18"/>
        </w:numPr>
        <w:tabs>
          <w:tab w:val="left" w:pos="1099"/>
        </w:tabs>
        <w:spacing w:before="5" w:after="0" w:line="362" w:lineRule="auto"/>
        <w:ind w:left="218" w:right="256" w:firstLine="480"/>
        <w:jc w:val="left"/>
        <w:rPr>
          <w:rFonts w:ascii="Times New Roman" w:eastAsia="Times New Roman"/>
          <w:sz w:val="22"/>
        </w:rPr>
      </w:pPr>
      <w:r>
        <w:rPr>
          <w:sz w:val="24"/>
        </w:rPr>
        <w:t>《关于以改善环境质量为核心加强环境影响评价管理的通知》（</w:t>
      </w:r>
      <w:r>
        <w:rPr>
          <w:spacing w:val="-2"/>
          <w:sz w:val="24"/>
        </w:rPr>
        <w:t>环境保护部文</w:t>
      </w:r>
      <w:r>
        <w:rPr>
          <w:sz w:val="24"/>
        </w:rPr>
        <w:t>件，环环评〔</w:t>
      </w:r>
      <w:r>
        <w:rPr>
          <w:rFonts w:ascii="Times New Roman" w:eastAsia="Times New Roman"/>
          <w:sz w:val="24"/>
        </w:rPr>
        <w:t>2016</w:t>
      </w:r>
      <w:r>
        <w:rPr>
          <w:sz w:val="24"/>
        </w:rPr>
        <w:t>〕</w:t>
      </w:r>
      <w:r>
        <w:rPr>
          <w:rFonts w:ascii="Times New Roman" w:eastAsia="Times New Roman"/>
          <w:sz w:val="24"/>
        </w:rPr>
        <w:t xml:space="preserve">150 </w:t>
      </w:r>
      <w:r>
        <w:rPr>
          <w:sz w:val="24"/>
        </w:rPr>
        <w:t>号）（</w:t>
      </w:r>
      <w:r>
        <w:rPr>
          <w:rFonts w:ascii="Times New Roman" w:eastAsia="Times New Roman"/>
          <w:sz w:val="24"/>
        </w:rPr>
        <w:t>2016.10.27</w:t>
      </w:r>
      <w:r>
        <w:rPr>
          <w:sz w:val="24"/>
        </w:rPr>
        <w:t>）；</w:t>
      </w:r>
    </w:p>
    <w:p>
      <w:pPr>
        <w:pStyle w:val="18"/>
        <w:numPr>
          <w:ilvl w:val="0"/>
          <w:numId w:val="18"/>
        </w:numPr>
        <w:tabs>
          <w:tab w:val="left" w:pos="1099"/>
        </w:tabs>
        <w:spacing w:before="5" w:after="0" w:line="240" w:lineRule="auto"/>
        <w:ind w:left="1098" w:right="0" w:hanging="401"/>
        <w:jc w:val="left"/>
        <w:rPr>
          <w:rFonts w:ascii="Times New Roman" w:eastAsia="Times New Roman"/>
          <w:sz w:val="22"/>
        </w:rPr>
      </w:pPr>
      <w:r>
        <w:rPr>
          <w:spacing w:val="-5"/>
          <w:sz w:val="24"/>
        </w:rPr>
        <w:t>《矿山生态环境保护与污染防治技术政策》</w:t>
      </w:r>
      <w:r>
        <w:rPr>
          <w:sz w:val="24"/>
        </w:rPr>
        <w:t>（</w:t>
      </w:r>
      <w:r>
        <w:rPr>
          <w:spacing w:val="-14"/>
          <w:sz w:val="24"/>
        </w:rPr>
        <w:t>环发〔</w:t>
      </w:r>
      <w:r>
        <w:rPr>
          <w:rFonts w:ascii="Times New Roman" w:eastAsia="Times New Roman"/>
          <w:sz w:val="24"/>
        </w:rPr>
        <w:t>2005</w:t>
      </w:r>
      <w:r>
        <w:rPr>
          <w:spacing w:val="-39"/>
          <w:sz w:val="24"/>
        </w:rPr>
        <w:t>〕</w:t>
      </w:r>
      <w:r>
        <w:rPr>
          <w:rFonts w:ascii="Times New Roman" w:eastAsia="Times New Roman"/>
          <w:sz w:val="24"/>
        </w:rPr>
        <w:t xml:space="preserve">109 </w:t>
      </w:r>
      <w:r>
        <w:rPr>
          <w:sz w:val="24"/>
        </w:rPr>
        <w:t>号</w:t>
      </w:r>
      <w:r>
        <w:rPr>
          <w:spacing w:val="-77"/>
          <w:sz w:val="24"/>
        </w:rPr>
        <w:t>）</w:t>
      </w:r>
      <w:r>
        <w:rPr>
          <w:sz w:val="24"/>
        </w:rPr>
        <w:t>（</w:t>
      </w:r>
      <w:r>
        <w:rPr>
          <w:rFonts w:ascii="Times New Roman" w:eastAsia="Times New Roman"/>
          <w:sz w:val="24"/>
        </w:rPr>
        <w:t>2005.9.7</w:t>
      </w:r>
      <w:r>
        <w:rPr>
          <w:spacing w:val="-120"/>
          <w:sz w:val="24"/>
        </w:rPr>
        <w:t>）</w:t>
      </w:r>
      <w:r>
        <w:rPr>
          <w:sz w:val="24"/>
        </w:rPr>
        <w:t>；</w:t>
      </w:r>
    </w:p>
    <w:p>
      <w:pPr>
        <w:pStyle w:val="18"/>
        <w:numPr>
          <w:ilvl w:val="0"/>
          <w:numId w:val="18"/>
        </w:numPr>
        <w:tabs>
          <w:tab w:val="left" w:pos="1099"/>
        </w:tabs>
        <w:spacing w:before="158" w:after="0" w:line="240" w:lineRule="auto"/>
        <w:ind w:left="1098" w:right="0" w:hanging="401"/>
        <w:jc w:val="left"/>
        <w:rPr>
          <w:rFonts w:ascii="Times New Roman" w:eastAsia="Times New Roman"/>
          <w:sz w:val="22"/>
        </w:rPr>
      </w:pPr>
      <w:r>
        <w:rPr>
          <w:sz w:val="24"/>
        </w:rPr>
        <w:t>《矿山生态环境保护与恢复治理技术规范（试行）》（</w:t>
      </w:r>
      <w:r>
        <w:rPr>
          <w:rFonts w:ascii="Times New Roman" w:eastAsia="Times New Roman"/>
          <w:sz w:val="24"/>
        </w:rPr>
        <w:t>HJ651-2013</w:t>
      </w:r>
      <w:r>
        <w:rPr>
          <w:sz w:val="24"/>
        </w:rPr>
        <w:t>）；</w:t>
      </w:r>
    </w:p>
    <w:p>
      <w:pPr>
        <w:pStyle w:val="18"/>
        <w:numPr>
          <w:ilvl w:val="0"/>
          <w:numId w:val="18"/>
        </w:numPr>
        <w:tabs>
          <w:tab w:val="left" w:pos="1099"/>
        </w:tabs>
        <w:spacing w:before="161" w:after="0" w:line="240" w:lineRule="auto"/>
        <w:ind w:left="1098" w:right="0" w:hanging="401"/>
        <w:jc w:val="left"/>
        <w:rPr>
          <w:rFonts w:ascii="Times New Roman" w:eastAsia="Times New Roman"/>
          <w:sz w:val="22"/>
        </w:rPr>
      </w:pPr>
      <w:r>
        <w:rPr>
          <w:spacing w:val="-10"/>
          <w:sz w:val="24"/>
        </w:rPr>
        <w:t>中共中央国务院《关于全面加强生态环境保护坚决打好污染防治攻坚战的意见》</w:t>
      </w:r>
    </w:p>
    <w:p>
      <w:pPr>
        <w:pStyle w:val="9"/>
        <w:spacing w:before="158"/>
        <w:ind w:left="218"/>
      </w:pPr>
      <w:r>
        <w:t>（</w:t>
      </w:r>
      <w:r>
        <w:rPr>
          <w:rFonts w:ascii="Times New Roman" w:eastAsia="Times New Roman"/>
        </w:rPr>
        <w:t>2018.6.16</w:t>
      </w:r>
      <w:r>
        <w:t>）；</w:t>
      </w:r>
    </w:p>
    <w:p>
      <w:pPr>
        <w:pStyle w:val="18"/>
        <w:numPr>
          <w:ilvl w:val="0"/>
          <w:numId w:val="18"/>
        </w:numPr>
        <w:tabs>
          <w:tab w:val="left" w:pos="1099"/>
        </w:tabs>
        <w:spacing w:before="160" w:after="0" w:line="364" w:lineRule="auto"/>
        <w:ind w:left="698" w:right="467" w:firstLine="0"/>
        <w:jc w:val="left"/>
        <w:rPr>
          <w:rFonts w:ascii="Times New Roman" w:eastAsia="Times New Roman"/>
          <w:color w:val="FF0000"/>
          <w:sz w:val="22"/>
        </w:rPr>
      </w:pPr>
      <w:r>
        <w:rPr>
          <w:color w:val="FF0000"/>
          <w:sz w:val="24"/>
        </w:rPr>
        <w:t>《国务院关于印发水污染防治行动计划的通知》（国发【</w:t>
      </w:r>
      <w:r>
        <w:rPr>
          <w:rFonts w:ascii="Times New Roman" w:eastAsia="Times New Roman"/>
          <w:color w:val="FF0000"/>
          <w:sz w:val="24"/>
        </w:rPr>
        <w:t>2015</w:t>
      </w:r>
      <w:r>
        <w:rPr>
          <w:color w:val="FF0000"/>
          <w:sz w:val="24"/>
        </w:rPr>
        <w:t>】</w:t>
      </w:r>
      <w:r>
        <w:rPr>
          <w:rFonts w:ascii="Times New Roman" w:eastAsia="Times New Roman"/>
          <w:color w:val="FF0000"/>
          <w:sz w:val="24"/>
        </w:rPr>
        <w:t xml:space="preserve">17 </w:t>
      </w:r>
      <w:r>
        <w:rPr>
          <w:color w:val="FF0000"/>
          <w:sz w:val="24"/>
        </w:rPr>
        <w:t xml:space="preserve">号）； </w:t>
      </w:r>
      <w:r>
        <w:rPr>
          <w:rFonts w:ascii="Times New Roman" w:eastAsia="Times New Roman"/>
          <w:color w:val="FF0000"/>
          <w:sz w:val="24"/>
        </w:rPr>
        <w:t>(24)</w:t>
      </w:r>
      <w:r>
        <w:rPr>
          <w:color w:val="FF0000"/>
          <w:sz w:val="24"/>
        </w:rPr>
        <w:t>《国务院关于印发大气污染防治行动计划的通知》（国发【</w:t>
      </w:r>
      <w:r>
        <w:rPr>
          <w:rFonts w:ascii="Times New Roman" w:eastAsia="Times New Roman"/>
          <w:color w:val="FF0000"/>
          <w:sz w:val="24"/>
        </w:rPr>
        <w:t>2013</w:t>
      </w:r>
      <w:r>
        <w:rPr>
          <w:color w:val="FF0000"/>
          <w:sz w:val="24"/>
        </w:rPr>
        <w:t>】</w:t>
      </w:r>
      <w:r>
        <w:rPr>
          <w:rFonts w:ascii="Times New Roman" w:eastAsia="Times New Roman"/>
          <w:color w:val="FF0000"/>
          <w:sz w:val="24"/>
        </w:rPr>
        <w:t>37</w:t>
      </w:r>
      <w:r>
        <w:rPr>
          <w:rFonts w:ascii="Times New Roman" w:eastAsia="Times New Roman"/>
          <w:color w:val="FF0000"/>
          <w:spacing w:val="-1"/>
          <w:sz w:val="24"/>
        </w:rPr>
        <w:t xml:space="preserve"> </w:t>
      </w:r>
      <w:r>
        <w:rPr>
          <w:color w:val="FF0000"/>
          <w:sz w:val="24"/>
        </w:rPr>
        <w:t>号</w:t>
      </w:r>
      <w:r>
        <w:rPr>
          <w:color w:val="FF0000"/>
          <w:spacing w:val="-9"/>
          <w:sz w:val="24"/>
        </w:rPr>
        <w:t xml:space="preserve">）； </w:t>
      </w:r>
      <w:r>
        <w:rPr>
          <w:rFonts w:ascii="Times New Roman" w:eastAsia="Times New Roman"/>
          <w:color w:val="FF0000"/>
          <w:sz w:val="24"/>
        </w:rPr>
        <w:t>(25)</w:t>
      </w:r>
      <w:r>
        <w:rPr>
          <w:color w:val="FF0000"/>
          <w:sz w:val="24"/>
        </w:rPr>
        <w:t>《国务院关于印发土壤污染防治行动计划的通知》（国发【</w:t>
      </w:r>
      <w:r>
        <w:rPr>
          <w:rFonts w:ascii="Times New Roman" w:eastAsia="Times New Roman"/>
          <w:color w:val="FF0000"/>
          <w:sz w:val="24"/>
        </w:rPr>
        <w:t>2016</w:t>
      </w:r>
      <w:r>
        <w:rPr>
          <w:color w:val="FF0000"/>
          <w:sz w:val="24"/>
        </w:rPr>
        <w:t>】</w:t>
      </w:r>
      <w:r>
        <w:rPr>
          <w:rFonts w:ascii="Times New Roman" w:eastAsia="Times New Roman"/>
          <w:color w:val="FF0000"/>
          <w:sz w:val="24"/>
        </w:rPr>
        <w:t>31</w:t>
      </w:r>
      <w:r>
        <w:rPr>
          <w:rFonts w:ascii="Times New Roman" w:eastAsia="Times New Roman"/>
          <w:color w:val="FF0000"/>
          <w:spacing w:val="-1"/>
          <w:sz w:val="24"/>
        </w:rPr>
        <w:t xml:space="preserve"> </w:t>
      </w:r>
      <w:r>
        <w:rPr>
          <w:color w:val="FF0000"/>
          <w:sz w:val="24"/>
        </w:rPr>
        <w:t>号</w:t>
      </w:r>
      <w:r>
        <w:rPr>
          <w:color w:val="FF0000"/>
          <w:spacing w:val="-9"/>
          <w:sz w:val="24"/>
        </w:rPr>
        <w:t xml:space="preserve">）； </w:t>
      </w:r>
      <w:r>
        <w:rPr>
          <w:rFonts w:ascii="Times New Roman" w:eastAsia="Times New Roman"/>
          <w:color w:val="FF0000"/>
          <w:sz w:val="24"/>
        </w:rPr>
        <w:t>(26)</w:t>
      </w:r>
      <w:r>
        <w:rPr>
          <w:color w:val="FF0000"/>
          <w:sz w:val="24"/>
        </w:rPr>
        <w:t>《国务院关于环境保护若干问题的决定》（国发【</w:t>
      </w:r>
      <w:r>
        <w:rPr>
          <w:rFonts w:ascii="Times New Roman" w:eastAsia="Times New Roman"/>
          <w:color w:val="FF0000"/>
          <w:sz w:val="24"/>
        </w:rPr>
        <w:t>1996</w:t>
      </w:r>
      <w:r>
        <w:rPr>
          <w:color w:val="FF0000"/>
          <w:sz w:val="24"/>
        </w:rPr>
        <w:t>】</w:t>
      </w:r>
      <w:r>
        <w:rPr>
          <w:rFonts w:ascii="Times New Roman" w:eastAsia="Times New Roman"/>
          <w:color w:val="FF0000"/>
          <w:sz w:val="24"/>
        </w:rPr>
        <w:t>31</w:t>
      </w:r>
      <w:r>
        <w:rPr>
          <w:rFonts w:ascii="Times New Roman" w:eastAsia="Times New Roman"/>
          <w:color w:val="FF0000"/>
          <w:spacing w:val="-1"/>
          <w:sz w:val="24"/>
        </w:rPr>
        <w:t xml:space="preserve"> </w:t>
      </w:r>
      <w:r>
        <w:rPr>
          <w:color w:val="FF0000"/>
          <w:sz w:val="24"/>
        </w:rPr>
        <w:t>号令）；</w:t>
      </w:r>
    </w:p>
    <w:p>
      <w:pPr>
        <w:pStyle w:val="18"/>
        <w:numPr>
          <w:ilvl w:val="0"/>
          <w:numId w:val="19"/>
        </w:numPr>
        <w:tabs>
          <w:tab w:val="left" w:pos="1099"/>
        </w:tabs>
        <w:spacing w:before="0" w:after="0" w:line="305" w:lineRule="exact"/>
        <w:ind w:left="1098" w:right="0" w:hanging="401"/>
        <w:jc w:val="left"/>
        <w:rPr>
          <w:rFonts w:ascii="Times New Roman" w:eastAsia="Times New Roman"/>
          <w:sz w:val="22"/>
        </w:rPr>
      </w:pPr>
      <w:r>
        <w:rPr>
          <w:sz w:val="24"/>
        </w:rPr>
        <w:t>《黑龙江省环境保护条例》（</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17 </w:t>
      </w:r>
      <w:r>
        <w:rPr>
          <w:sz w:val="24"/>
        </w:rPr>
        <w:t>日修正版）；</w:t>
      </w:r>
    </w:p>
    <w:p>
      <w:pPr>
        <w:pStyle w:val="18"/>
        <w:numPr>
          <w:ilvl w:val="0"/>
          <w:numId w:val="19"/>
        </w:numPr>
        <w:tabs>
          <w:tab w:val="left" w:pos="1099"/>
        </w:tabs>
        <w:spacing w:before="158" w:after="0" w:line="240" w:lineRule="auto"/>
        <w:ind w:left="1098" w:right="0" w:hanging="401"/>
        <w:jc w:val="left"/>
        <w:rPr>
          <w:rFonts w:ascii="Times New Roman" w:eastAsia="Times New Roman"/>
          <w:sz w:val="22"/>
        </w:rPr>
      </w:pPr>
      <w:r>
        <w:rPr>
          <w:sz w:val="24"/>
        </w:rPr>
        <w:t>《黑龙江省大气污染防治条例》（</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12 </w:t>
      </w:r>
      <w:r>
        <w:rPr>
          <w:spacing w:val="-30"/>
          <w:sz w:val="24"/>
        </w:rPr>
        <w:t xml:space="preserve">月 </w:t>
      </w:r>
      <w:r>
        <w:rPr>
          <w:rFonts w:ascii="Times New Roman" w:eastAsia="Times New Roman"/>
          <w:sz w:val="24"/>
        </w:rPr>
        <w:t xml:space="preserve">27 </w:t>
      </w:r>
      <w:r>
        <w:rPr>
          <w:sz w:val="24"/>
        </w:rPr>
        <w:t>日修正）；</w:t>
      </w:r>
    </w:p>
    <w:p>
      <w:pPr>
        <w:pStyle w:val="18"/>
        <w:numPr>
          <w:ilvl w:val="0"/>
          <w:numId w:val="19"/>
        </w:numPr>
        <w:tabs>
          <w:tab w:val="left" w:pos="1099"/>
        </w:tabs>
        <w:spacing w:before="161" w:after="0" w:line="364" w:lineRule="auto"/>
        <w:ind w:left="218" w:right="256" w:firstLine="480"/>
        <w:jc w:val="left"/>
        <w:rPr>
          <w:rFonts w:ascii="Times New Roman" w:eastAsia="Times New Roman"/>
          <w:sz w:val="22"/>
        </w:rPr>
      </w:pPr>
      <w:r>
        <w:rPr>
          <w:spacing w:val="-1"/>
          <w:sz w:val="24"/>
        </w:rPr>
        <w:t>中共黑龙江省委黑龙江省人民政府《关于全面加强生态环境保护坚决打好污染</w:t>
      </w:r>
      <w:r>
        <w:rPr>
          <w:sz w:val="24"/>
        </w:rPr>
        <w:t>防治攻坚战的实施意见》（</w:t>
      </w:r>
      <w:r>
        <w:rPr>
          <w:rFonts w:ascii="Times New Roman" w:eastAsia="Times New Roman"/>
          <w:sz w:val="24"/>
        </w:rPr>
        <w:t>2018.9.14</w:t>
      </w:r>
      <w:r>
        <w:rPr>
          <w:sz w:val="24"/>
        </w:rPr>
        <w:t>）；</w:t>
      </w:r>
    </w:p>
    <w:p>
      <w:pPr>
        <w:pStyle w:val="18"/>
        <w:numPr>
          <w:ilvl w:val="0"/>
          <w:numId w:val="19"/>
        </w:numPr>
        <w:tabs>
          <w:tab w:val="left" w:pos="1099"/>
        </w:tabs>
        <w:spacing w:before="0" w:after="0" w:line="306" w:lineRule="exact"/>
        <w:ind w:left="1098" w:right="0" w:hanging="401"/>
        <w:jc w:val="left"/>
        <w:rPr>
          <w:rFonts w:ascii="Times New Roman" w:eastAsia="Times New Roman"/>
          <w:sz w:val="22"/>
        </w:rPr>
      </w:pPr>
      <w:r>
        <w:rPr>
          <w:sz w:val="24"/>
        </w:rPr>
        <w:t>《黑龙江省人民政府关于印发黑龙江省水污染防治工作方案的通知》（黑政发</w:t>
      </w:r>
    </w:p>
    <w:p>
      <w:pPr>
        <w:pStyle w:val="9"/>
        <w:spacing w:before="160"/>
        <w:ind w:left="218"/>
      </w:pPr>
      <w:r>
        <w:t>〔</w:t>
      </w:r>
      <w:r>
        <w:rPr>
          <w:rFonts w:ascii="Times New Roman" w:eastAsia="Times New Roman"/>
        </w:rPr>
        <w:t>2016</w:t>
      </w:r>
      <w:r>
        <w:t>〕</w:t>
      </w:r>
      <w:r>
        <w:rPr>
          <w:rFonts w:ascii="Times New Roman" w:eastAsia="Times New Roman"/>
        </w:rPr>
        <w:t xml:space="preserve">3 </w:t>
      </w:r>
      <w:r>
        <w:t>号）（</w:t>
      </w:r>
      <w:r>
        <w:rPr>
          <w:rFonts w:ascii="Times New Roman" w:eastAsia="Times New Roman"/>
        </w:rPr>
        <w:t>2016.1.10</w:t>
      </w:r>
      <w:r>
        <w:t>）；</w:t>
      </w:r>
    </w:p>
    <w:p>
      <w:pPr>
        <w:pStyle w:val="18"/>
        <w:numPr>
          <w:ilvl w:val="0"/>
          <w:numId w:val="19"/>
        </w:numPr>
        <w:tabs>
          <w:tab w:val="left" w:pos="1099"/>
        </w:tabs>
        <w:spacing w:before="159" w:after="0" w:line="240" w:lineRule="auto"/>
        <w:ind w:left="1098" w:right="0" w:hanging="401"/>
        <w:jc w:val="left"/>
        <w:rPr>
          <w:rFonts w:ascii="Times New Roman" w:eastAsia="Times New Roman"/>
          <w:sz w:val="22"/>
        </w:rPr>
      </w:pPr>
      <w:r>
        <w:rPr>
          <w:sz w:val="24"/>
        </w:rPr>
        <w:t>《黑龙江省重点生态功能区产业准入负面清单（试行版）》。</w:t>
      </w:r>
    </w:p>
    <w:p>
      <w:pPr>
        <w:pStyle w:val="18"/>
        <w:numPr>
          <w:ilvl w:val="0"/>
          <w:numId w:val="19"/>
        </w:numPr>
        <w:tabs>
          <w:tab w:val="left" w:pos="1099"/>
        </w:tabs>
        <w:spacing w:before="160" w:after="0" w:line="362" w:lineRule="auto"/>
        <w:ind w:left="218" w:right="251" w:firstLine="480"/>
        <w:jc w:val="left"/>
        <w:rPr>
          <w:rFonts w:ascii="Times New Roman" w:hAnsi="Times New Roman" w:eastAsia="Times New Roman"/>
          <w:color w:val="FF0000"/>
          <w:sz w:val="22"/>
        </w:rPr>
      </w:pPr>
      <w:r>
        <w:rPr>
          <w:color w:val="FF0000"/>
          <w:spacing w:val="-3"/>
          <w:sz w:val="24"/>
        </w:rPr>
        <w:t>《国家能源局关于印发煤层气（</w:t>
      </w:r>
      <w:r>
        <w:rPr>
          <w:color w:val="FF0000"/>
          <w:sz w:val="24"/>
        </w:rPr>
        <w:t>煤矿瓦斯</w:t>
      </w:r>
      <w:r>
        <w:rPr>
          <w:color w:val="FF0000"/>
          <w:spacing w:val="-39"/>
          <w:sz w:val="24"/>
        </w:rPr>
        <w:t>）</w:t>
      </w:r>
      <w:r>
        <w:rPr>
          <w:color w:val="FF0000"/>
          <w:sz w:val="24"/>
        </w:rPr>
        <w:t>开发利用</w:t>
      </w:r>
      <w:r>
        <w:rPr>
          <w:rFonts w:ascii="Times New Roman" w:hAnsi="Times New Roman" w:eastAsia="Times New Roman"/>
          <w:color w:val="FF0000"/>
          <w:sz w:val="24"/>
        </w:rPr>
        <w:t>“</w:t>
      </w:r>
      <w:r>
        <w:rPr>
          <w:color w:val="FF0000"/>
          <w:sz w:val="24"/>
        </w:rPr>
        <w:t>十三五</w:t>
      </w:r>
      <w:r>
        <w:rPr>
          <w:rFonts w:ascii="Times New Roman" w:hAnsi="Times New Roman" w:eastAsia="Times New Roman"/>
          <w:color w:val="FF0000"/>
          <w:sz w:val="24"/>
        </w:rPr>
        <w:t>”</w:t>
      </w:r>
      <w:r>
        <w:rPr>
          <w:color w:val="FF0000"/>
          <w:spacing w:val="-12"/>
          <w:sz w:val="24"/>
        </w:rPr>
        <w:t>规划的通知》</w:t>
      </w:r>
      <w:r>
        <w:rPr>
          <w:color w:val="FF0000"/>
          <w:sz w:val="24"/>
        </w:rPr>
        <w:t xml:space="preserve">（ </w:t>
      </w:r>
      <w:r>
        <w:rPr>
          <w:color w:val="FF0000"/>
          <w:spacing w:val="-4"/>
          <w:sz w:val="24"/>
        </w:rPr>
        <w:t>国能煤炭〔</w:t>
      </w:r>
      <w:r>
        <w:rPr>
          <w:rFonts w:ascii="Times New Roman" w:hAnsi="Times New Roman" w:eastAsia="Times New Roman"/>
          <w:color w:val="FF0000"/>
          <w:sz w:val="24"/>
        </w:rPr>
        <w:t>2016</w:t>
      </w:r>
      <w:r>
        <w:rPr>
          <w:color w:val="FF0000"/>
          <w:sz w:val="24"/>
        </w:rPr>
        <w:t>〕</w:t>
      </w:r>
      <w:r>
        <w:rPr>
          <w:rFonts w:ascii="Times New Roman" w:hAnsi="Times New Roman" w:eastAsia="Times New Roman"/>
          <w:color w:val="FF0000"/>
          <w:sz w:val="24"/>
        </w:rPr>
        <w:t xml:space="preserve">334 </w:t>
      </w:r>
      <w:r>
        <w:rPr>
          <w:color w:val="FF0000"/>
          <w:sz w:val="24"/>
        </w:rPr>
        <w:t>号）；</w:t>
      </w:r>
    </w:p>
    <w:p>
      <w:pPr>
        <w:pStyle w:val="18"/>
        <w:numPr>
          <w:ilvl w:val="0"/>
          <w:numId w:val="19"/>
        </w:numPr>
        <w:tabs>
          <w:tab w:val="left" w:pos="1099"/>
        </w:tabs>
        <w:spacing w:before="5" w:after="0" w:line="240" w:lineRule="auto"/>
        <w:ind w:left="1098" w:right="0" w:hanging="401"/>
        <w:jc w:val="left"/>
        <w:rPr>
          <w:rFonts w:ascii="Times New Roman" w:eastAsia="Times New Roman"/>
          <w:color w:val="FF0000"/>
          <w:sz w:val="22"/>
        </w:rPr>
      </w:pPr>
      <w:r>
        <w:rPr>
          <w:color w:val="FF0000"/>
          <w:spacing w:val="-2"/>
          <w:sz w:val="24"/>
        </w:rPr>
        <w:t>《煤矸石综合利用管理办法》</w:t>
      </w:r>
      <w:r>
        <w:rPr>
          <w:color w:val="FF0000"/>
          <w:spacing w:val="-3"/>
          <w:sz w:val="24"/>
        </w:rPr>
        <w:t>（</w:t>
      </w:r>
      <w:r>
        <w:rPr>
          <w:color w:val="FF0000"/>
          <w:sz w:val="24"/>
        </w:rPr>
        <w:t>修定稿</w:t>
      </w:r>
      <w:r>
        <w:rPr>
          <w:color w:val="FF0000"/>
          <w:spacing w:val="-4"/>
          <w:sz w:val="24"/>
        </w:rPr>
        <w:t>）（</w:t>
      </w:r>
      <w:r>
        <w:rPr>
          <w:color w:val="FF0000"/>
          <w:spacing w:val="-2"/>
          <w:sz w:val="24"/>
        </w:rPr>
        <w:t>国发【</w:t>
      </w:r>
      <w:r>
        <w:rPr>
          <w:rFonts w:ascii="Times New Roman" w:eastAsia="Times New Roman"/>
          <w:color w:val="FF0000"/>
          <w:sz w:val="24"/>
        </w:rPr>
        <w:t>2014</w:t>
      </w:r>
      <w:r>
        <w:rPr>
          <w:color w:val="FF0000"/>
          <w:spacing w:val="-5"/>
          <w:sz w:val="24"/>
        </w:rPr>
        <w:t>】</w:t>
      </w:r>
      <w:r>
        <w:rPr>
          <w:rFonts w:ascii="Times New Roman" w:eastAsia="Times New Roman"/>
          <w:color w:val="FF0000"/>
          <w:sz w:val="24"/>
        </w:rPr>
        <w:t>18</w:t>
      </w:r>
      <w:r>
        <w:rPr>
          <w:rFonts w:ascii="Times New Roman" w:eastAsia="Times New Roman"/>
          <w:color w:val="FF0000"/>
          <w:spacing w:val="-1"/>
          <w:sz w:val="24"/>
        </w:rPr>
        <w:t xml:space="preserve"> </w:t>
      </w:r>
      <w:r>
        <w:rPr>
          <w:color w:val="FF0000"/>
          <w:sz w:val="24"/>
        </w:rPr>
        <w:t>号，</w:t>
      </w:r>
      <w:r>
        <w:rPr>
          <w:rFonts w:ascii="Times New Roman" w:eastAsia="Times New Roman"/>
          <w:color w:val="FF0000"/>
          <w:sz w:val="24"/>
        </w:rPr>
        <w:t xml:space="preserve">2015 </w:t>
      </w:r>
      <w:r>
        <w:rPr>
          <w:color w:val="FF0000"/>
          <w:spacing w:val="-30"/>
          <w:sz w:val="24"/>
        </w:rPr>
        <w:t xml:space="preserve">年 </w:t>
      </w:r>
      <w:r>
        <w:rPr>
          <w:rFonts w:ascii="Times New Roman" w:eastAsia="Times New Roman"/>
          <w:color w:val="FF0000"/>
          <w:sz w:val="24"/>
        </w:rPr>
        <w:t xml:space="preserve">3 </w:t>
      </w:r>
      <w:r>
        <w:rPr>
          <w:color w:val="FF0000"/>
          <w:spacing w:val="-29"/>
          <w:sz w:val="24"/>
        </w:rPr>
        <w:t xml:space="preserve">月 </w:t>
      </w:r>
      <w:r>
        <w:rPr>
          <w:rFonts w:ascii="Times New Roman" w:eastAsia="Times New Roman"/>
          <w:color w:val="FF0000"/>
          <w:sz w:val="24"/>
        </w:rPr>
        <w:t>1</w:t>
      </w:r>
    </w:p>
    <w:p>
      <w:pPr>
        <w:pStyle w:val="9"/>
        <w:spacing w:before="158"/>
        <w:ind w:left="218"/>
      </w:pPr>
      <w:r>
        <w:rPr>
          <w:color w:val="FF0000"/>
        </w:rPr>
        <w:t>日）；</w:t>
      </w:r>
    </w:p>
    <w:p>
      <w:pPr>
        <w:pStyle w:val="18"/>
        <w:numPr>
          <w:ilvl w:val="0"/>
          <w:numId w:val="19"/>
        </w:numPr>
        <w:tabs>
          <w:tab w:val="left" w:pos="1099"/>
        </w:tabs>
        <w:spacing w:before="161" w:after="0" w:line="240" w:lineRule="auto"/>
        <w:ind w:left="1098" w:right="0" w:hanging="401"/>
        <w:jc w:val="left"/>
        <w:rPr>
          <w:rFonts w:ascii="Times New Roman" w:eastAsia="Times New Roman"/>
          <w:color w:val="FF0000"/>
          <w:sz w:val="22"/>
        </w:rPr>
      </w:pPr>
      <w:r>
        <w:rPr>
          <w:color w:val="FF0000"/>
          <w:spacing w:val="-2"/>
          <w:sz w:val="24"/>
        </w:rPr>
        <w:t>《国家危险废物名录》</w:t>
      </w:r>
      <w:r>
        <w:rPr>
          <w:color w:val="FF0000"/>
          <w:sz w:val="24"/>
        </w:rPr>
        <w:t>（</w:t>
      </w:r>
      <w:r>
        <w:rPr>
          <w:color w:val="FF0000"/>
          <w:spacing w:val="-8"/>
          <w:sz w:val="24"/>
        </w:rPr>
        <w:t xml:space="preserve">环境保护部令第 </w:t>
      </w:r>
      <w:r>
        <w:rPr>
          <w:rFonts w:ascii="Times New Roman" w:eastAsia="Times New Roman"/>
          <w:color w:val="FF0000"/>
          <w:sz w:val="24"/>
        </w:rPr>
        <w:t>39</w:t>
      </w:r>
      <w:r>
        <w:rPr>
          <w:rFonts w:ascii="Times New Roman" w:eastAsia="Times New Roman"/>
          <w:color w:val="FF0000"/>
          <w:spacing w:val="-1"/>
          <w:sz w:val="24"/>
        </w:rPr>
        <w:t xml:space="preserve"> </w:t>
      </w:r>
      <w:r>
        <w:rPr>
          <w:color w:val="FF0000"/>
          <w:sz w:val="24"/>
        </w:rPr>
        <w:t>号，</w:t>
      </w:r>
      <w:r>
        <w:rPr>
          <w:rFonts w:ascii="Times New Roman" w:eastAsia="Times New Roman"/>
          <w:color w:val="FF0000"/>
          <w:sz w:val="24"/>
        </w:rPr>
        <w:t>2016</w:t>
      </w:r>
      <w:r>
        <w:rPr>
          <w:rFonts w:ascii="Times New Roman" w:eastAsia="Times New Roman"/>
          <w:color w:val="FF0000"/>
          <w:spacing w:val="-1"/>
          <w:sz w:val="24"/>
        </w:rPr>
        <w:t xml:space="preserve"> </w:t>
      </w:r>
      <w:r>
        <w:rPr>
          <w:color w:val="FF0000"/>
          <w:spacing w:val="-31"/>
          <w:sz w:val="24"/>
        </w:rPr>
        <w:t xml:space="preserve">年 </w:t>
      </w:r>
      <w:r>
        <w:rPr>
          <w:rFonts w:ascii="Times New Roman" w:eastAsia="Times New Roman"/>
          <w:color w:val="FF0000"/>
          <w:sz w:val="24"/>
        </w:rPr>
        <w:t>6</w:t>
      </w:r>
      <w:r>
        <w:rPr>
          <w:rFonts w:ascii="Times New Roman" w:eastAsia="Times New Roman"/>
          <w:color w:val="FF0000"/>
          <w:spacing w:val="-1"/>
          <w:sz w:val="24"/>
        </w:rPr>
        <w:t xml:space="preserve"> </w:t>
      </w:r>
      <w:r>
        <w:rPr>
          <w:color w:val="FF0000"/>
          <w:spacing w:val="-31"/>
          <w:sz w:val="24"/>
        </w:rPr>
        <w:t xml:space="preserve">月 </w:t>
      </w:r>
      <w:r>
        <w:rPr>
          <w:rFonts w:ascii="Times New Roman" w:eastAsia="Times New Roman"/>
          <w:color w:val="FF0000"/>
          <w:sz w:val="24"/>
        </w:rPr>
        <w:t>14</w:t>
      </w:r>
      <w:r>
        <w:rPr>
          <w:rFonts w:ascii="Times New Roman" w:eastAsia="Times New Roman"/>
          <w:color w:val="FF0000"/>
          <w:spacing w:val="-2"/>
          <w:sz w:val="24"/>
        </w:rPr>
        <w:t xml:space="preserve"> </w:t>
      </w:r>
      <w:r>
        <w:rPr>
          <w:color w:val="FF0000"/>
          <w:sz w:val="24"/>
        </w:rPr>
        <w:t>日发布，</w:t>
      </w:r>
      <w:r>
        <w:rPr>
          <w:rFonts w:ascii="Times New Roman" w:eastAsia="Times New Roman"/>
          <w:color w:val="FF0000"/>
          <w:sz w:val="24"/>
        </w:rPr>
        <w:t>2016</w:t>
      </w:r>
    </w:p>
    <w:p>
      <w:pPr>
        <w:pStyle w:val="9"/>
        <w:spacing w:before="158"/>
        <w:ind w:left="218"/>
      </w:pPr>
      <w:r>
        <w:rPr>
          <w:color w:val="FF0000"/>
        </w:rPr>
        <w:t xml:space="preserve">年 </w:t>
      </w:r>
      <w:r>
        <w:rPr>
          <w:rFonts w:ascii="Times New Roman" w:eastAsia="Times New Roman"/>
          <w:color w:val="FF0000"/>
        </w:rPr>
        <w:t xml:space="preserve">8 </w:t>
      </w:r>
      <w:r>
        <w:rPr>
          <w:color w:val="FF0000"/>
        </w:rPr>
        <w:t xml:space="preserve">月 </w:t>
      </w:r>
      <w:r>
        <w:rPr>
          <w:rFonts w:ascii="Times New Roman" w:eastAsia="Times New Roman"/>
          <w:color w:val="FF0000"/>
        </w:rPr>
        <w:t xml:space="preserve">1 </w:t>
      </w:r>
      <w:r>
        <w:rPr>
          <w:color w:val="FF0000"/>
        </w:rPr>
        <w:t>日起施行）；</w:t>
      </w:r>
    </w:p>
    <w:p>
      <w:pPr>
        <w:spacing w:after="0"/>
        <w:sectPr>
          <w:pgSz w:w="11910" w:h="16840"/>
          <w:pgMar w:top="1340" w:right="1160" w:bottom="1180" w:left="1200" w:header="0" w:footer="993" w:gutter="0"/>
        </w:sectPr>
      </w:pPr>
    </w:p>
    <w:p>
      <w:pPr>
        <w:pStyle w:val="18"/>
        <w:numPr>
          <w:ilvl w:val="0"/>
          <w:numId w:val="19"/>
        </w:numPr>
        <w:tabs>
          <w:tab w:val="left" w:pos="1099"/>
        </w:tabs>
        <w:spacing w:before="61" w:after="0" w:line="362" w:lineRule="auto"/>
        <w:ind w:left="218" w:right="256" w:firstLine="480"/>
        <w:jc w:val="left"/>
        <w:rPr>
          <w:rFonts w:ascii="Times New Roman" w:eastAsia="Times New Roman"/>
          <w:color w:val="FF0000"/>
          <w:sz w:val="22"/>
        </w:rPr>
      </w:pPr>
      <w:r>
        <w:rPr>
          <w:color w:val="FF0000"/>
          <w:sz w:val="24"/>
        </w:rPr>
        <w:t>《关于加强煤炭矿区总体规划和煤矿建设项目环境影响评价工作的通知》（</w:t>
      </w:r>
      <w:r>
        <w:rPr>
          <w:color w:val="FF0000"/>
          <w:spacing w:val="-12"/>
          <w:sz w:val="24"/>
        </w:rPr>
        <w:t>环</w:t>
      </w:r>
      <w:r>
        <w:rPr>
          <w:color w:val="FF0000"/>
          <w:sz w:val="24"/>
        </w:rPr>
        <w:t>办【</w:t>
      </w:r>
      <w:r>
        <w:rPr>
          <w:rFonts w:ascii="Times New Roman" w:eastAsia="Times New Roman"/>
          <w:color w:val="FF0000"/>
          <w:sz w:val="24"/>
        </w:rPr>
        <w:t>2006</w:t>
      </w:r>
      <w:r>
        <w:rPr>
          <w:color w:val="FF0000"/>
          <w:sz w:val="24"/>
        </w:rPr>
        <w:t>】</w:t>
      </w:r>
      <w:r>
        <w:rPr>
          <w:rFonts w:ascii="Times New Roman" w:eastAsia="Times New Roman"/>
          <w:color w:val="FF0000"/>
          <w:sz w:val="24"/>
        </w:rPr>
        <w:t xml:space="preserve">129 </w:t>
      </w:r>
      <w:r>
        <w:rPr>
          <w:color w:val="FF0000"/>
          <w:sz w:val="24"/>
        </w:rPr>
        <w:t>号）；</w:t>
      </w:r>
    </w:p>
    <w:p>
      <w:pPr>
        <w:pStyle w:val="18"/>
        <w:numPr>
          <w:ilvl w:val="0"/>
          <w:numId w:val="19"/>
        </w:numPr>
        <w:tabs>
          <w:tab w:val="left" w:pos="1099"/>
        </w:tabs>
        <w:spacing w:before="5" w:after="0" w:line="240" w:lineRule="auto"/>
        <w:ind w:left="1098" w:right="0" w:hanging="401"/>
        <w:jc w:val="left"/>
        <w:rPr>
          <w:rFonts w:ascii="Times New Roman" w:eastAsia="Times New Roman"/>
          <w:color w:val="FF0000"/>
          <w:sz w:val="22"/>
        </w:rPr>
      </w:pPr>
      <w:r>
        <w:rPr>
          <w:color w:val="FF0000"/>
          <w:sz w:val="24"/>
        </w:rPr>
        <w:t>《国家安全监督管理局等十二部门关于加快落后小煤矿关闭退出工作的通知》</w:t>
      </w:r>
    </w:p>
    <w:p>
      <w:pPr>
        <w:pStyle w:val="9"/>
        <w:spacing w:before="161"/>
        <w:ind w:left="218"/>
      </w:pPr>
      <w:r>
        <w:rPr>
          <w:color w:val="FF0000"/>
        </w:rPr>
        <w:t>（安监总煤监【</w:t>
      </w:r>
      <w:r>
        <w:rPr>
          <w:rFonts w:ascii="Times New Roman" w:eastAsia="Times New Roman"/>
          <w:color w:val="FF0000"/>
        </w:rPr>
        <w:t>2014</w:t>
      </w:r>
      <w:r>
        <w:rPr>
          <w:color w:val="FF0000"/>
        </w:rPr>
        <w:t>】</w:t>
      </w:r>
      <w:r>
        <w:rPr>
          <w:rFonts w:ascii="Times New Roman" w:eastAsia="Times New Roman"/>
          <w:color w:val="FF0000"/>
        </w:rPr>
        <w:t xml:space="preserve">44 </w:t>
      </w:r>
      <w:r>
        <w:rPr>
          <w:color w:val="FF0000"/>
        </w:rPr>
        <w:t>号，</w:t>
      </w:r>
      <w:r>
        <w:rPr>
          <w:rFonts w:ascii="Times New Roman" w:eastAsia="Times New Roman"/>
          <w:color w:val="FF0000"/>
        </w:rPr>
        <w:t xml:space="preserve">2014 </w:t>
      </w:r>
      <w:r>
        <w:rPr>
          <w:color w:val="FF0000"/>
        </w:rPr>
        <w:t xml:space="preserve">年 </w:t>
      </w:r>
      <w:r>
        <w:rPr>
          <w:rFonts w:ascii="Times New Roman" w:eastAsia="Times New Roman"/>
          <w:color w:val="FF0000"/>
        </w:rPr>
        <w:t xml:space="preserve">5 </w:t>
      </w:r>
      <w:r>
        <w:rPr>
          <w:color w:val="FF0000"/>
        </w:rPr>
        <w:t xml:space="preserve">月 </w:t>
      </w:r>
      <w:r>
        <w:rPr>
          <w:rFonts w:ascii="Times New Roman" w:eastAsia="Times New Roman"/>
          <w:color w:val="FF0000"/>
        </w:rPr>
        <w:t xml:space="preserve">12 </w:t>
      </w:r>
      <w:r>
        <w:rPr>
          <w:color w:val="FF0000"/>
        </w:rPr>
        <w:t>日）。</w:t>
      </w:r>
    </w:p>
    <w:p>
      <w:pPr>
        <w:pStyle w:val="18"/>
        <w:numPr>
          <w:ilvl w:val="0"/>
          <w:numId w:val="19"/>
        </w:numPr>
        <w:tabs>
          <w:tab w:val="left" w:pos="1099"/>
        </w:tabs>
        <w:spacing w:before="158" w:after="0" w:line="364" w:lineRule="auto"/>
        <w:ind w:left="698" w:right="2207" w:firstLine="0"/>
        <w:jc w:val="left"/>
        <w:rPr>
          <w:rFonts w:ascii="Times New Roman" w:eastAsia="Times New Roman"/>
          <w:color w:val="FF0000"/>
          <w:sz w:val="22"/>
        </w:rPr>
      </w:pPr>
      <w:r>
        <w:rPr>
          <w:color w:val="FF0000"/>
          <w:spacing w:val="-1"/>
          <w:sz w:val="24"/>
        </w:rPr>
        <w:t xml:space="preserve">《双鸭山市国民经济和社会发展第十三个五年规划纲要》； </w:t>
      </w:r>
      <w:r>
        <w:rPr>
          <w:rFonts w:ascii="Times New Roman" w:eastAsia="Times New Roman"/>
          <w:color w:val="FF0000"/>
          <w:sz w:val="24"/>
        </w:rPr>
        <w:t>(38)</w:t>
      </w:r>
      <w:r>
        <w:rPr>
          <w:color w:val="FF0000"/>
          <w:sz w:val="24"/>
        </w:rPr>
        <w:t>《双鸭山市土地利用总体规划（</w:t>
      </w:r>
      <w:r>
        <w:rPr>
          <w:rFonts w:ascii="Times New Roman" w:eastAsia="Times New Roman"/>
          <w:color w:val="FF0000"/>
          <w:sz w:val="24"/>
        </w:rPr>
        <w:t>2006-2020</w:t>
      </w:r>
      <w:r>
        <w:rPr>
          <w:rFonts w:ascii="Times New Roman" w:eastAsia="Times New Roman"/>
          <w:color w:val="FF0000"/>
          <w:spacing w:val="-1"/>
          <w:sz w:val="24"/>
        </w:rPr>
        <w:t xml:space="preserve"> </w:t>
      </w:r>
      <w:r>
        <w:rPr>
          <w:color w:val="FF0000"/>
          <w:sz w:val="24"/>
        </w:rPr>
        <w:t>年）》；</w:t>
      </w:r>
    </w:p>
    <w:p>
      <w:pPr>
        <w:pStyle w:val="18"/>
        <w:numPr>
          <w:ilvl w:val="0"/>
          <w:numId w:val="20"/>
        </w:numPr>
        <w:tabs>
          <w:tab w:val="left" w:pos="1099"/>
        </w:tabs>
        <w:spacing w:before="0" w:after="0" w:line="306" w:lineRule="exact"/>
        <w:ind w:left="1098" w:right="0" w:hanging="401"/>
        <w:jc w:val="left"/>
        <w:rPr>
          <w:sz w:val="24"/>
        </w:rPr>
      </w:pPr>
      <w:r>
        <w:rPr>
          <w:color w:val="FF0000"/>
          <w:sz w:val="24"/>
        </w:rPr>
        <w:t>《双鸭山市矿产资源规划（</w:t>
      </w:r>
      <w:r>
        <w:rPr>
          <w:rFonts w:ascii="Times New Roman" w:eastAsia="Times New Roman"/>
          <w:color w:val="FF0000"/>
          <w:sz w:val="24"/>
        </w:rPr>
        <w:t>2015-2020</w:t>
      </w:r>
      <w:r>
        <w:rPr>
          <w:rFonts w:ascii="Times New Roman" w:eastAsia="Times New Roman"/>
          <w:color w:val="FF0000"/>
          <w:spacing w:val="-1"/>
          <w:sz w:val="24"/>
        </w:rPr>
        <w:t xml:space="preserve"> </w:t>
      </w:r>
      <w:r>
        <w:rPr>
          <w:color w:val="FF0000"/>
          <w:sz w:val="24"/>
        </w:rPr>
        <w:t>年）》；</w:t>
      </w:r>
    </w:p>
    <w:p>
      <w:pPr>
        <w:pStyle w:val="18"/>
        <w:numPr>
          <w:ilvl w:val="0"/>
          <w:numId w:val="20"/>
        </w:numPr>
        <w:tabs>
          <w:tab w:val="left" w:pos="1099"/>
        </w:tabs>
        <w:spacing w:before="160" w:after="0" w:line="240" w:lineRule="auto"/>
        <w:ind w:left="1098" w:right="0" w:hanging="401"/>
        <w:jc w:val="left"/>
        <w:rPr>
          <w:sz w:val="24"/>
        </w:rPr>
      </w:pPr>
      <w:r>
        <w:rPr>
          <w:color w:val="FF0000"/>
          <w:sz w:val="24"/>
        </w:rPr>
        <w:t>《双鸭山市城市总体规划（</w:t>
      </w:r>
      <w:r>
        <w:rPr>
          <w:rFonts w:ascii="Times New Roman" w:eastAsia="Times New Roman"/>
          <w:color w:val="FF0000"/>
          <w:sz w:val="24"/>
        </w:rPr>
        <w:t>2006-2020</w:t>
      </w:r>
      <w:r>
        <w:rPr>
          <w:color w:val="FF0000"/>
          <w:sz w:val="24"/>
        </w:rPr>
        <w:t>）》；</w:t>
      </w:r>
    </w:p>
    <w:p>
      <w:pPr>
        <w:pStyle w:val="18"/>
        <w:numPr>
          <w:ilvl w:val="0"/>
          <w:numId w:val="20"/>
        </w:numPr>
        <w:tabs>
          <w:tab w:val="left" w:pos="1099"/>
        </w:tabs>
        <w:spacing w:before="158" w:after="0" w:line="240" w:lineRule="auto"/>
        <w:ind w:left="1098" w:right="0" w:hanging="401"/>
        <w:jc w:val="left"/>
        <w:rPr>
          <w:sz w:val="24"/>
        </w:rPr>
      </w:pPr>
      <w:r>
        <w:rPr>
          <w:color w:val="FF0000"/>
          <w:sz w:val="24"/>
        </w:rPr>
        <w:t>《双鸭山市煤炭淘汰落后产能升级改造专项规划》；</w:t>
      </w:r>
    </w:p>
    <w:p>
      <w:pPr>
        <w:pStyle w:val="18"/>
        <w:numPr>
          <w:ilvl w:val="0"/>
          <w:numId w:val="20"/>
        </w:numPr>
        <w:tabs>
          <w:tab w:val="left" w:pos="1099"/>
        </w:tabs>
        <w:spacing w:before="161" w:after="0" w:line="362" w:lineRule="auto"/>
        <w:ind w:left="218" w:right="256" w:firstLine="480"/>
        <w:jc w:val="left"/>
        <w:rPr>
          <w:sz w:val="24"/>
        </w:rPr>
      </w:pPr>
      <w:r>
        <w:rPr>
          <w:color w:val="FF0000"/>
          <w:sz w:val="24"/>
        </w:rPr>
        <w:t>《双鸭山市人民政府关于印发双鸭山市水污染防治工作方案的通知》（</w:t>
      </w:r>
      <w:r>
        <w:rPr>
          <w:color w:val="FF0000"/>
          <w:spacing w:val="-4"/>
          <w:sz w:val="24"/>
        </w:rPr>
        <w:t>双政办</w:t>
      </w:r>
      <w:r>
        <w:rPr>
          <w:color w:val="FF0000"/>
          <w:sz w:val="24"/>
        </w:rPr>
        <w:t>发〔</w:t>
      </w:r>
      <w:r>
        <w:rPr>
          <w:rFonts w:ascii="Times New Roman" w:eastAsia="Times New Roman"/>
          <w:color w:val="FF0000"/>
          <w:sz w:val="24"/>
        </w:rPr>
        <w:t>2016</w:t>
      </w:r>
      <w:r>
        <w:rPr>
          <w:color w:val="FF0000"/>
          <w:sz w:val="24"/>
        </w:rPr>
        <w:t>〕</w:t>
      </w:r>
      <w:r>
        <w:rPr>
          <w:rFonts w:ascii="Times New Roman" w:eastAsia="Times New Roman"/>
          <w:color w:val="FF0000"/>
          <w:sz w:val="24"/>
        </w:rPr>
        <w:t xml:space="preserve">13 </w:t>
      </w:r>
      <w:r>
        <w:rPr>
          <w:color w:val="FF0000"/>
          <w:sz w:val="24"/>
        </w:rPr>
        <w:t>号，</w:t>
      </w:r>
      <w:r>
        <w:rPr>
          <w:rFonts w:ascii="Times New Roman" w:eastAsia="Times New Roman"/>
          <w:color w:val="FF0000"/>
          <w:sz w:val="24"/>
        </w:rPr>
        <w:t>2016.3.25</w:t>
      </w:r>
      <w:r>
        <w:rPr>
          <w:color w:val="FF0000"/>
          <w:sz w:val="24"/>
        </w:rPr>
        <w:t>）；</w:t>
      </w:r>
    </w:p>
    <w:p>
      <w:pPr>
        <w:pStyle w:val="18"/>
        <w:numPr>
          <w:ilvl w:val="0"/>
          <w:numId w:val="20"/>
        </w:numPr>
        <w:tabs>
          <w:tab w:val="left" w:pos="1099"/>
        </w:tabs>
        <w:spacing w:before="5" w:after="0" w:line="362" w:lineRule="auto"/>
        <w:ind w:left="218" w:right="256" w:firstLine="480"/>
        <w:jc w:val="left"/>
        <w:rPr>
          <w:sz w:val="24"/>
        </w:rPr>
      </w:pPr>
      <w:r>
        <w:rPr>
          <w:color w:val="FF0000"/>
          <w:sz w:val="24"/>
        </w:rPr>
        <w:t>《双鸭山市人民政府关于印发双鸭山市土壤污染防治实施方案的通知》（</w:t>
      </w:r>
      <w:r>
        <w:rPr>
          <w:color w:val="FF0000"/>
          <w:spacing w:val="-6"/>
          <w:sz w:val="24"/>
        </w:rPr>
        <w:t>双政</w:t>
      </w:r>
      <w:r>
        <w:rPr>
          <w:color w:val="FF0000"/>
          <w:sz w:val="24"/>
        </w:rPr>
        <w:t>规〔</w:t>
      </w:r>
      <w:r>
        <w:rPr>
          <w:rFonts w:ascii="Times New Roman" w:eastAsia="Times New Roman"/>
          <w:color w:val="FF0000"/>
          <w:sz w:val="24"/>
        </w:rPr>
        <w:t>2017</w:t>
      </w:r>
      <w:r>
        <w:rPr>
          <w:color w:val="FF0000"/>
          <w:sz w:val="24"/>
        </w:rPr>
        <w:t>〕</w:t>
      </w:r>
      <w:r>
        <w:rPr>
          <w:rFonts w:ascii="Times New Roman" w:eastAsia="Times New Roman"/>
          <w:color w:val="FF0000"/>
          <w:sz w:val="24"/>
        </w:rPr>
        <w:t xml:space="preserve">5 </w:t>
      </w:r>
      <w:r>
        <w:rPr>
          <w:color w:val="FF0000"/>
          <w:sz w:val="24"/>
        </w:rPr>
        <w:t>号，</w:t>
      </w:r>
      <w:r>
        <w:rPr>
          <w:rFonts w:ascii="Times New Roman" w:eastAsia="Times New Roman"/>
          <w:color w:val="FF0000"/>
          <w:sz w:val="24"/>
        </w:rPr>
        <w:t>2017.5.15</w:t>
      </w:r>
      <w:r>
        <w:rPr>
          <w:color w:val="FF0000"/>
          <w:sz w:val="24"/>
        </w:rPr>
        <w:t>）；</w:t>
      </w:r>
    </w:p>
    <w:p>
      <w:pPr>
        <w:pStyle w:val="18"/>
        <w:numPr>
          <w:ilvl w:val="0"/>
          <w:numId w:val="20"/>
        </w:numPr>
        <w:tabs>
          <w:tab w:val="left" w:pos="1099"/>
        </w:tabs>
        <w:spacing w:before="5" w:after="0" w:line="364" w:lineRule="auto"/>
        <w:ind w:left="218" w:right="256" w:firstLine="480"/>
        <w:jc w:val="left"/>
        <w:rPr>
          <w:sz w:val="24"/>
        </w:rPr>
      </w:pPr>
      <w:r>
        <w:rPr>
          <w:color w:val="FF0000"/>
          <w:spacing w:val="-1"/>
          <w:sz w:val="24"/>
        </w:rPr>
        <w:t>《双鸭山市人民政府关于印发双鸭山市打赢蓝天保卫战三年行动计划的通知》</w:t>
      </w:r>
      <w:r>
        <w:rPr>
          <w:rFonts w:ascii="Times New Roman" w:eastAsia="Times New Roman"/>
          <w:color w:val="FF0000"/>
          <w:sz w:val="24"/>
        </w:rPr>
        <w:t>(</w:t>
      </w:r>
      <w:r>
        <w:rPr>
          <w:color w:val="FF0000"/>
          <w:sz w:val="24"/>
        </w:rPr>
        <w:t>双政规〔</w:t>
      </w:r>
      <w:r>
        <w:rPr>
          <w:rFonts w:ascii="Times New Roman" w:eastAsia="Times New Roman"/>
          <w:color w:val="FF0000"/>
          <w:sz w:val="24"/>
        </w:rPr>
        <w:t>2018</w:t>
      </w:r>
      <w:r>
        <w:rPr>
          <w:color w:val="FF0000"/>
          <w:sz w:val="24"/>
        </w:rPr>
        <w:t>〕</w:t>
      </w:r>
      <w:r>
        <w:rPr>
          <w:rFonts w:ascii="Times New Roman" w:eastAsia="Times New Roman"/>
          <w:color w:val="FF0000"/>
          <w:sz w:val="24"/>
        </w:rPr>
        <w:t>12</w:t>
      </w:r>
      <w:r>
        <w:rPr>
          <w:rFonts w:ascii="Times New Roman" w:eastAsia="Times New Roman"/>
          <w:color w:val="FF0000"/>
          <w:spacing w:val="-1"/>
          <w:sz w:val="24"/>
        </w:rPr>
        <w:t xml:space="preserve"> </w:t>
      </w:r>
      <w:r>
        <w:rPr>
          <w:color w:val="FF0000"/>
          <w:sz w:val="24"/>
        </w:rPr>
        <w:t>号，</w:t>
      </w:r>
      <w:r>
        <w:rPr>
          <w:rFonts w:ascii="Times New Roman" w:eastAsia="Times New Roman"/>
          <w:color w:val="FF0000"/>
          <w:sz w:val="24"/>
        </w:rPr>
        <w:t>2018.12.29)</w:t>
      </w:r>
      <w:r>
        <w:rPr>
          <w:color w:val="FF0000"/>
          <w:sz w:val="24"/>
        </w:rPr>
        <w:t>。</w:t>
      </w:r>
    </w:p>
    <w:p>
      <w:pPr>
        <w:pStyle w:val="6"/>
        <w:numPr>
          <w:ilvl w:val="2"/>
          <w:numId w:val="15"/>
        </w:numPr>
        <w:tabs>
          <w:tab w:val="left" w:pos="848"/>
        </w:tabs>
        <w:spacing w:before="0" w:after="0" w:line="358" w:lineRule="exact"/>
        <w:ind w:left="847" w:right="0" w:hanging="630"/>
        <w:jc w:val="left"/>
        <w:rPr>
          <w:rFonts w:ascii="Times New Roman" w:eastAsia="Times New Roman"/>
        </w:rPr>
      </w:pPr>
      <w:bookmarkStart w:id="67" w:name="1.2.2相关技术规范"/>
      <w:bookmarkEnd w:id="67"/>
      <w:bookmarkStart w:id="68" w:name="1.2.2相关技术规范"/>
      <w:bookmarkEnd w:id="68"/>
      <w:r>
        <w:t>相关技术规范</w:t>
      </w:r>
    </w:p>
    <w:p>
      <w:pPr>
        <w:pStyle w:val="9"/>
        <w:spacing w:before="185" w:line="362" w:lineRule="auto"/>
        <w:ind w:left="698" w:right="2705"/>
      </w:pPr>
      <w:r>
        <w:rPr>
          <w:rFonts w:ascii="Times New Roman" w:eastAsia="Times New Roman"/>
        </w:rPr>
        <w:t>(1)</w:t>
      </w:r>
      <w:r>
        <w:t>《建设项目环境影响评价技术导则总纲》</w:t>
      </w:r>
      <w:r>
        <w:rPr>
          <w:rFonts w:ascii="Times New Roman" w:eastAsia="Times New Roman"/>
        </w:rPr>
        <w:t>(HJ2.1-2016)</w:t>
      </w:r>
      <w:r>
        <w:t xml:space="preserve">； </w:t>
      </w:r>
      <w:r>
        <w:rPr>
          <w:rFonts w:ascii="Times New Roman" w:eastAsia="Times New Roman"/>
        </w:rPr>
        <w:t>(2)</w:t>
      </w:r>
      <w:r>
        <w:t>《环境影响评价技术导则大气环境》</w:t>
      </w:r>
      <w:r>
        <w:rPr>
          <w:rFonts w:ascii="Times New Roman" w:eastAsia="Times New Roman"/>
        </w:rPr>
        <w:t>(HJ2.2-2018)</w:t>
      </w:r>
      <w:r>
        <w:t>；</w:t>
      </w:r>
    </w:p>
    <w:p>
      <w:pPr>
        <w:pStyle w:val="9"/>
        <w:spacing w:before="5" w:line="364" w:lineRule="auto"/>
        <w:ind w:left="698" w:right="2945"/>
      </w:pPr>
      <w:r>
        <w:rPr>
          <w:rFonts w:ascii="Times New Roman" w:eastAsia="Times New Roman"/>
        </w:rPr>
        <w:t>(3)</w:t>
      </w:r>
      <w:r>
        <w:t>《环境影响评价技术导则地表水环境》</w:t>
      </w:r>
      <w:r>
        <w:rPr>
          <w:rFonts w:ascii="Times New Roman" w:eastAsia="Times New Roman"/>
        </w:rPr>
        <w:t>(HJ2.3-2018)</w:t>
      </w:r>
      <w:r>
        <w:t xml:space="preserve">； </w:t>
      </w:r>
      <w:r>
        <w:rPr>
          <w:rFonts w:ascii="Times New Roman" w:eastAsia="Times New Roman"/>
        </w:rPr>
        <w:t>(4)</w:t>
      </w:r>
      <w:r>
        <w:t>《环境影响评价技术导则声环境》</w:t>
      </w:r>
      <w:r>
        <w:rPr>
          <w:rFonts w:ascii="Times New Roman" w:eastAsia="Times New Roman"/>
        </w:rPr>
        <w:t>(HJ2.4-2009)</w:t>
      </w:r>
      <w:r>
        <w:t>；</w:t>
      </w:r>
    </w:p>
    <w:p>
      <w:pPr>
        <w:pStyle w:val="9"/>
        <w:spacing w:line="364" w:lineRule="auto"/>
        <w:ind w:left="698" w:right="2885"/>
      </w:pPr>
      <w:r>
        <w:rPr>
          <w:rFonts w:ascii="Times New Roman" w:eastAsia="Times New Roman"/>
        </w:rPr>
        <w:t>(5)</w:t>
      </w:r>
      <w:r>
        <w:t>《环境影响评价技术导则地下水环境》</w:t>
      </w:r>
      <w:r>
        <w:rPr>
          <w:rFonts w:ascii="Times New Roman" w:eastAsia="Times New Roman"/>
        </w:rPr>
        <w:t>(HJ610-2016)</w:t>
      </w:r>
      <w:r>
        <w:t xml:space="preserve">； </w:t>
      </w:r>
      <w:r>
        <w:rPr>
          <w:rFonts w:ascii="Times New Roman" w:eastAsia="Times New Roman"/>
        </w:rPr>
        <w:t>(6)</w:t>
      </w:r>
      <w:r>
        <w:t>《环境影响评价技术导则生态影响》</w:t>
      </w:r>
      <w:r>
        <w:rPr>
          <w:rFonts w:ascii="Times New Roman" w:eastAsia="Times New Roman"/>
        </w:rPr>
        <w:t>(HJ19-2011)</w:t>
      </w:r>
      <w:r>
        <w:t>；</w:t>
      </w:r>
    </w:p>
    <w:p>
      <w:pPr>
        <w:pStyle w:val="9"/>
        <w:spacing w:line="362" w:lineRule="auto"/>
        <w:ind w:left="698" w:right="1845"/>
      </w:pPr>
      <w:r>
        <w:rPr>
          <w:rFonts w:ascii="Times New Roman" w:eastAsia="Times New Roman"/>
        </w:rPr>
        <w:t>(7)</w:t>
      </w:r>
      <w:r>
        <w:t>《环境影响评价技术导则土壤环境（试行）》（</w:t>
      </w:r>
      <w:r>
        <w:rPr>
          <w:rFonts w:ascii="Times New Roman" w:eastAsia="Times New Roman"/>
        </w:rPr>
        <w:t>HJ964-2018</w:t>
      </w:r>
      <w:r>
        <w:t xml:space="preserve">）； </w:t>
      </w:r>
      <w:r>
        <w:rPr>
          <w:rFonts w:ascii="Times New Roman" w:eastAsia="Times New Roman"/>
        </w:rPr>
        <w:t>(8)</w:t>
      </w:r>
      <w:r>
        <w:t>《建设项目环境风险评价技术导则》</w:t>
      </w:r>
      <w:r>
        <w:rPr>
          <w:rFonts w:ascii="Times New Roman" w:eastAsia="Times New Roman"/>
        </w:rPr>
        <w:t>(HJ169-2018)</w:t>
      </w:r>
      <w:r>
        <w:t>；</w:t>
      </w:r>
    </w:p>
    <w:p>
      <w:pPr>
        <w:pStyle w:val="18"/>
        <w:numPr>
          <w:ilvl w:val="0"/>
          <w:numId w:val="21"/>
        </w:numPr>
        <w:tabs>
          <w:tab w:val="left" w:pos="979"/>
        </w:tabs>
        <w:spacing w:before="2" w:after="0" w:line="240" w:lineRule="auto"/>
        <w:ind w:left="978" w:right="0" w:hanging="281"/>
        <w:jc w:val="left"/>
        <w:rPr>
          <w:sz w:val="24"/>
        </w:rPr>
      </w:pPr>
      <w:r>
        <w:rPr>
          <w:sz w:val="24"/>
        </w:rPr>
        <w:t>《环境影响评价技术导则煤炭采选工程》（</w:t>
      </w:r>
      <w:r>
        <w:rPr>
          <w:rFonts w:ascii="Times New Roman" w:eastAsia="Times New Roman"/>
          <w:sz w:val="24"/>
        </w:rPr>
        <w:t>HJ619-2011</w:t>
      </w:r>
      <w:r>
        <w:rPr>
          <w:sz w:val="24"/>
        </w:rPr>
        <w:t>）；</w:t>
      </w:r>
    </w:p>
    <w:p>
      <w:pPr>
        <w:pStyle w:val="18"/>
        <w:numPr>
          <w:ilvl w:val="0"/>
          <w:numId w:val="21"/>
        </w:numPr>
        <w:tabs>
          <w:tab w:val="left" w:pos="1099"/>
        </w:tabs>
        <w:spacing w:before="161" w:after="0" w:line="240" w:lineRule="auto"/>
        <w:ind w:left="1098" w:right="0" w:hanging="401"/>
        <w:jc w:val="left"/>
        <w:rPr>
          <w:sz w:val="24"/>
        </w:rPr>
      </w:pPr>
      <w:r>
        <w:rPr>
          <w:sz w:val="24"/>
        </w:rPr>
        <w:t>《建设项目危险废物环境影响评价指南》（</w:t>
      </w:r>
      <w:r>
        <w:rPr>
          <w:spacing w:val="-7"/>
          <w:sz w:val="24"/>
        </w:rPr>
        <w:t xml:space="preserve">环境保护部公告 </w:t>
      </w:r>
      <w:r>
        <w:rPr>
          <w:rFonts w:ascii="Times New Roman" w:eastAsia="Times New Roman"/>
          <w:sz w:val="24"/>
        </w:rPr>
        <w:t>2017</w:t>
      </w:r>
      <w:r>
        <w:rPr>
          <w:rFonts w:ascii="Times New Roman" w:eastAsia="Times New Roman"/>
          <w:spacing w:val="4"/>
          <w:sz w:val="24"/>
        </w:rPr>
        <w:t xml:space="preserve"> </w:t>
      </w:r>
      <w:r>
        <w:rPr>
          <w:spacing w:val="-19"/>
          <w:sz w:val="24"/>
        </w:rPr>
        <w:t xml:space="preserve">年第 </w:t>
      </w:r>
      <w:r>
        <w:rPr>
          <w:rFonts w:ascii="Times New Roman" w:eastAsia="Times New Roman"/>
          <w:sz w:val="24"/>
        </w:rPr>
        <w:t>43</w:t>
      </w:r>
      <w:r>
        <w:rPr>
          <w:rFonts w:ascii="Times New Roman" w:eastAsia="Times New Roman"/>
          <w:spacing w:val="2"/>
          <w:sz w:val="24"/>
        </w:rPr>
        <w:t xml:space="preserve"> </w:t>
      </w:r>
      <w:r>
        <w:rPr>
          <w:sz w:val="24"/>
        </w:rPr>
        <w:t>号）</w:t>
      </w:r>
    </w:p>
    <w:p>
      <w:pPr>
        <w:pStyle w:val="9"/>
        <w:spacing w:before="158"/>
        <w:ind w:left="218"/>
      </w:pPr>
      <w:r>
        <w:t>（</w:t>
      </w:r>
      <w:r>
        <w:rPr>
          <w:rFonts w:ascii="Times New Roman" w:eastAsia="Times New Roman"/>
        </w:rPr>
        <w:t>2017.10.01</w:t>
      </w:r>
      <w:r>
        <w:t>）；</w:t>
      </w:r>
    </w:p>
    <w:p>
      <w:pPr>
        <w:pStyle w:val="18"/>
        <w:numPr>
          <w:ilvl w:val="0"/>
          <w:numId w:val="21"/>
        </w:numPr>
        <w:tabs>
          <w:tab w:val="left" w:pos="1089"/>
        </w:tabs>
        <w:spacing w:before="161" w:after="0" w:line="240" w:lineRule="auto"/>
        <w:ind w:left="1088" w:right="0" w:hanging="391"/>
        <w:jc w:val="left"/>
        <w:rPr>
          <w:sz w:val="24"/>
        </w:rPr>
      </w:pPr>
      <w:r>
        <w:rPr>
          <w:sz w:val="24"/>
        </w:rPr>
        <w:t>《煤炭采选业清洁生产评价指标体系》（</w:t>
      </w:r>
      <w:r>
        <w:rPr>
          <w:rFonts w:ascii="Times New Roman" w:eastAsia="Times New Roman"/>
          <w:sz w:val="24"/>
        </w:rPr>
        <w:t xml:space="preserve">2019 </w:t>
      </w:r>
      <w:r>
        <w:rPr>
          <w:spacing w:val="-30"/>
          <w:sz w:val="24"/>
        </w:rPr>
        <w:t xml:space="preserve">年 </w:t>
      </w:r>
      <w:r>
        <w:rPr>
          <w:rFonts w:ascii="Times New Roman" w:eastAsia="Times New Roman"/>
          <w:sz w:val="24"/>
        </w:rPr>
        <w:t xml:space="preserve">8 </w:t>
      </w:r>
      <w:r>
        <w:rPr>
          <w:spacing w:val="-30"/>
          <w:sz w:val="24"/>
        </w:rPr>
        <w:t xml:space="preserve">月 </w:t>
      </w:r>
      <w:r>
        <w:rPr>
          <w:rFonts w:ascii="Times New Roman" w:eastAsia="Times New Roman"/>
          <w:sz w:val="24"/>
        </w:rPr>
        <w:t xml:space="preserve">28 </w:t>
      </w:r>
      <w:r>
        <w:rPr>
          <w:sz w:val="24"/>
        </w:rPr>
        <w:t>日）；</w:t>
      </w:r>
    </w:p>
    <w:p>
      <w:pPr>
        <w:pStyle w:val="18"/>
        <w:numPr>
          <w:ilvl w:val="0"/>
          <w:numId w:val="21"/>
        </w:numPr>
        <w:tabs>
          <w:tab w:val="left" w:pos="1099"/>
        </w:tabs>
        <w:spacing w:before="158" w:after="0" w:line="240" w:lineRule="auto"/>
        <w:ind w:left="1098" w:right="0" w:hanging="401"/>
        <w:jc w:val="left"/>
        <w:rPr>
          <w:sz w:val="24"/>
        </w:rPr>
      </w:pPr>
      <w:r>
        <w:rPr>
          <w:sz w:val="24"/>
        </w:rPr>
        <w:t>《煤炭工业矿井设计规范》（</w:t>
      </w:r>
      <w:r>
        <w:rPr>
          <w:rFonts w:ascii="Times New Roman" w:eastAsia="Times New Roman"/>
          <w:sz w:val="24"/>
        </w:rPr>
        <w:t>GB50215-2015</w:t>
      </w:r>
      <w:r>
        <w:rPr>
          <w:sz w:val="24"/>
        </w:rPr>
        <w:t>）；</w:t>
      </w:r>
    </w:p>
    <w:p>
      <w:pPr>
        <w:pStyle w:val="18"/>
        <w:numPr>
          <w:ilvl w:val="0"/>
          <w:numId w:val="21"/>
        </w:numPr>
        <w:tabs>
          <w:tab w:val="left" w:pos="1099"/>
        </w:tabs>
        <w:spacing w:before="160" w:after="0" w:line="240" w:lineRule="auto"/>
        <w:ind w:left="1098" w:right="0" w:hanging="401"/>
        <w:jc w:val="left"/>
        <w:rPr>
          <w:sz w:val="24"/>
        </w:rPr>
      </w:pPr>
      <w:r>
        <w:rPr>
          <w:sz w:val="24"/>
        </w:rPr>
        <w:t>《开发建设项目水土保持方案技术规范》（</w:t>
      </w:r>
      <w:r>
        <w:rPr>
          <w:rFonts w:ascii="Times New Roman" w:eastAsia="Times New Roman"/>
          <w:sz w:val="24"/>
        </w:rPr>
        <w:t>SL204-98</w:t>
      </w:r>
      <w:r>
        <w:rPr>
          <w:sz w:val="24"/>
        </w:rPr>
        <w:t>）。</w:t>
      </w:r>
    </w:p>
    <w:p>
      <w:pPr>
        <w:spacing w:after="0" w:line="240" w:lineRule="auto"/>
        <w:jc w:val="left"/>
        <w:rPr>
          <w:sz w:val="24"/>
        </w:rPr>
        <w:sectPr>
          <w:pgSz w:w="11910" w:h="16840"/>
          <w:pgMar w:top="1340" w:right="1160" w:bottom="1180" w:left="1200" w:header="0" w:footer="993" w:gutter="0"/>
        </w:sectPr>
      </w:pPr>
    </w:p>
    <w:p>
      <w:pPr>
        <w:pStyle w:val="18"/>
        <w:numPr>
          <w:ilvl w:val="0"/>
          <w:numId w:val="21"/>
        </w:numPr>
        <w:tabs>
          <w:tab w:val="left" w:pos="1099"/>
        </w:tabs>
        <w:spacing w:before="61" w:after="0" w:line="362" w:lineRule="auto"/>
        <w:ind w:left="698" w:right="1019" w:firstLine="0"/>
        <w:jc w:val="left"/>
        <w:rPr>
          <w:sz w:val="24"/>
        </w:rPr>
      </w:pPr>
      <w:r>
        <w:rPr>
          <w:color w:val="FF0000"/>
          <w:sz w:val="24"/>
        </w:rPr>
        <w:t>《矿山生态环境保护与恢复治理技术规范（试行）》</w:t>
      </w:r>
      <w:r>
        <w:rPr>
          <w:color w:val="FF0000"/>
          <w:spacing w:val="-2"/>
          <w:sz w:val="24"/>
        </w:rPr>
        <w:t>（</w:t>
      </w:r>
      <w:r>
        <w:rPr>
          <w:rFonts w:ascii="Times New Roman" w:eastAsia="Times New Roman"/>
          <w:color w:val="FF0000"/>
          <w:spacing w:val="-2"/>
          <w:sz w:val="24"/>
        </w:rPr>
        <w:t>HJ651-2013</w:t>
      </w:r>
      <w:r>
        <w:rPr>
          <w:color w:val="FF0000"/>
          <w:spacing w:val="-2"/>
          <w:sz w:val="24"/>
        </w:rPr>
        <w:t>）；</w:t>
      </w:r>
      <w:r>
        <w:rPr>
          <w:spacing w:val="-2"/>
          <w:sz w:val="24"/>
        </w:rPr>
        <w:t xml:space="preserve"> </w:t>
      </w:r>
      <w:r>
        <w:rPr>
          <w:rFonts w:ascii="Times New Roman" w:eastAsia="Times New Roman"/>
          <w:sz w:val="24"/>
        </w:rPr>
        <w:t>(15)</w:t>
      </w:r>
      <w:r>
        <w:rPr>
          <w:color w:val="FF0000"/>
          <w:sz w:val="24"/>
        </w:rPr>
        <w:t>《煤炭采选业清洁生产评价指标体系》（</w:t>
      </w:r>
      <w:r>
        <w:rPr>
          <w:rFonts w:ascii="Times New Roman" w:eastAsia="Times New Roman"/>
          <w:color w:val="FF0000"/>
          <w:sz w:val="24"/>
        </w:rPr>
        <w:t>2019</w:t>
      </w:r>
      <w:r>
        <w:rPr>
          <w:rFonts w:ascii="Times New Roman" w:eastAsia="Times New Roman"/>
          <w:color w:val="FF0000"/>
          <w:spacing w:val="-1"/>
          <w:sz w:val="24"/>
        </w:rPr>
        <w:t xml:space="preserve"> </w:t>
      </w:r>
      <w:r>
        <w:rPr>
          <w:color w:val="FF0000"/>
          <w:spacing w:val="-30"/>
          <w:sz w:val="24"/>
        </w:rPr>
        <w:t xml:space="preserve">年 </w:t>
      </w:r>
      <w:r>
        <w:rPr>
          <w:rFonts w:ascii="Times New Roman" w:eastAsia="Times New Roman"/>
          <w:color w:val="FF0000"/>
          <w:sz w:val="24"/>
        </w:rPr>
        <w:t xml:space="preserve">8 </w:t>
      </w:r>
      <w:r>
        <w:rPr>
          <w:color w:val="FF0000"/>
          <w:spacing w:val="-30"/>
          <w:sz w:val="24"/>
        </w:rPr>
        <w:t xml:space="preserve">月 </w:t>
      </w:r>
      <w:r>
        <w:rPr>
          <w:rFonts w:ascii="Times New Roman" w:eastAsia="Times New Roman"/>
          <w:color w:val="FF0000"/>
          <w:sz w:val="24"/>
        </w:rPr>
        <w:t xml:space="preserve">28 </w:t>
      </w:r>
      <w:r>
        <w:rPr>
          <w:color w:val="FF0000"/>
          <w:sz w:val="24"/>
        </w:rPr>
        <w:t>日）。</w:t>
      </w:r>
    </w:p>
    <w:p>
      <w:pPr>
        <w:pStyle w:val="5"/>
        <w:numPr>
          <w:ilvl w:val="1"/>
          <w:numId w:val="15"/>
        </w:numPr>
        <w:tabs>
          <w:tab w:val="left" w:pos="668"/>
        </w:tabs>
        <w:spacing w:before="5" w:after="0" w:line="240" w:lineRule="auto"/>
        <w:ind w:left="667" w:right="0" w:hanging="450"/>
        <w:jc w:val="left"/>
        <w:rPr>
          <w:rFonts w:ascii="Times New Roman" w:eastAsia="Times New Roman"/>
          <w:color w:val="FF0000"/>
        </w:rPr>
      </w:pPr>
      <w:bookmarkStart w:id="69" w:name="1.3环境影响因子识别及评价因子"/>
      <w:bookmarkEnd w:id="69"/>
      <w:bookmarkStart w:id="70" w:name="1.3环境影响因子识别及评价因子"/>
      <w:bookmarkEnd w:id="70"/>
      <w:r>
        <w:rPr>
          <w:color w:val="FF0000"/>
        </w:rPr>
        <w:t>环境影响因子识别及评价因子</w:t>
      </w:r>
    </w:p>
    <w:p>
      <w:pPr>
        <w:pStyle w:val="18"/>
        <w:numPr>
          <w:ilvl w:val="2"/>
          <w:numId w:val="15"/>
        </w:numPr>
        <w:tabs>
          <w:tab w:val="left" w:pos="848"/>
        </w:tabs>
        <w:spacing w:before="200" w:after="0" w:line="240" w:lineRule="auto"/>
        <w:ind w:left="847" w:right="0" w:hanging="630"/>
        <w:jc w:val="left"/>
        <w:rPr>
          <w:rFonts w:ascii="Times New Roman" w:eastAsia="Times New Roman"/>
          <w:b/>
          <w:color w:val="FF0000"/>
          <w:sz w:val="28"/>
        </w:rPr>
      </w:pPr>
      <w:bookmarkStart w:id="71" w:name="1.3.1环境影响因子识别"/>
      <w:bookmarkEnd w:id="71"/>
      <w:bookmarkStart w:id="72" w:name="1.3.1环境影响因子识别"/>
      <w:bookmarkEnd w:id="72"/>
      <w:r>
        <w:rPr>
          <w:b/>
          <w:color w:val="FF0000"/>
          <w:sz w:val="28"/>
        </w:rPr>
        <w:t>环境影响因子识别</w:t>
      </w:r>
    </w:p>
    <w:p>
      <w:pPr>
        <w:pStyle w:val="9"/>
        <w:spacing w:before="185" w:line="364" w:lineRule="auto"/>
        <w:ind w:left="218" w:right="205" w:firstLine="480"/>
      </w:pPr>
      <w:r>
        <w:rPr>
          <w:color w:val="FF0000"/>
        </w:rPr>
        <w:t>根据工程特点、区域环境特征、工程建设及运行过程中对环境的影响性质与程度， 对本项目的环境影响要素进行识别，识别过程见下表。</w:t>
      </w:r>
    </w:p>
    <w:p>
      <w:pPr>
        <w:spacing w:before="0" w:after="31" w:line="267" w:lineRule="exact"/>
        <w:ind w:left="3405" w:right="0" w:firstLine="0"/>
        <w:jc w:val="left"/>
        <w:rPr>
          <w:b/>
          <w:sz w:val="21"/>
        </w:rPr>
      </w:pPr>
      <w:r>
        <w:rPr>
          <w:b/>
          <w:color w:val="FF0000"/>
          <w:sz w:val="21"/>
        </w:rPr>
        <w:t xml:space="preserve">表 </w:t>
      </w:r>
      <w:r>
        <w:rPr>
          <w:rFonts w:ascii="Times New Roman" w:eastAsia="Times New Roman"/>
          <w:b/>
          <w:color w:val="FF0000"/>
          <w:sz w:val="21"/>
        </w:rPr>
        <w:t xml:space="preserve">1.3-1 </w:t>
      </w:r>
      <w:r>
        <w:rPr>
          <w:b/>
          <w:color w:val="FF0000"/>
          <w:sz w:val="21"/>
        </w:rPr>
        <w:t>工程环境影响要素识别表</w:t>
      </w:r>
    </w:p>
    <w:tbl>
      <w:tblPr>
        <w:tblStyle w:val="15"/>
        <w:tblW w:w="0" w:type="auto"/>
        <w:tblInd w:w="3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8"/>
        <w:gridCol w:w="1417"/>
        <w:gridCol w:w="1415"/>
        <w:gridCol w:w="795"/>
        <w:gridCol w:w="834"/>
        <w:gridCol w:w="795"/>
        <w:gridCol w:w="763"/>
        <w:gridCol w:w="739"/>
        <w:gridCol w:w="729"/>
        <w:gridCol w:w="74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2095" w:type="dxa"/>
            <w:gridSpan w:val="2"/>
            <w:vMerge w:val="restart"/>
            <w:tcBorders>
              <w:bottom w:val="single" w:color="000000" w:sz="4" w:space="0"/>
              <w:right w:val="single" w:color="000000" w:sz="4" w:space="0"/>
            </w:tcBorders>
          </w:tcPr>
          <w:p>
            <w:pPr>
              <w:pStyle w:val="19"/>
              <w:spacing w:before="21"/>
              <w:ind w:left="626"/>
              <w:jc w:val="left"/>
              <w:rPr>
                <w:sz w:val="21"/>
              </w:rPr>
            </w:pPr>
            <w:r>
              <w:rPr>
                <w:color w:val="FF0000"/>
                <w:w w:val="95"/>
                <w:sz w:val="21"/>
              </w:rPr>
              <w:t>影响阶段</w:t>
            </w:r>
          </w:p>
          <w:p>
            <w:pPr>
              <w:pStyle w:val="19"/>
              <w:spacing w:before="1"/>
              <w:jc w:val="left"/>
              <w:rPr>
                <w:b/>
                <w:sz w:val="19"/>
              </w:rPr>
            </w:pPr>
          </w:p>
          <w:p>
            <w:pPr>
              <w:pStyle w:val="19"/>
              <w:ind w:left="626"/>
              <w:jc w:val="left"/>
              <w:rPr>
                <w:sz w:val="21"/>
              </w:rPr>
            </w:pPr>
            <w:r>
              <w:rPr>
                <w:color w:val="FF0000"/>
                <w:w w:val="95"/>
                <w:sz w:val="21"/>
              </w:rPr>
              <w:t>环境资源</w:t>
            </w:r>
          </w:p>
        </w:tc>
        <w:tc>
          <w:tcPr>
            <w:tcW w:w="5341" w:type="dxa"/>
            <w:gridSpan w:val="6"/>
            <w:tcBorders>
              <w:left w:val="single" w:color="000000" w:sz="4" w:space="0"/>
              <w:bottom w:val="single" w:color="000000" w:sz="4" w:space="0"/>
              <w:right w:val="single" w:color="000000" w:sz="4" w:space="0"/>
            </w:tcBorders>
          </w:tcPr>
          <w:p>
            <w:pPr>
              <w:pStyle w:val="19"/>
              <w:spacing w:before="2" w:line="251" w:lineRule="exact"/>
              <w:ind w:left="2339" w:right="2321"/>
              <w:rPr>
                <w:sz w:val="21"/>
              </w:rPr>
            </w:pPr>
            <w:r>
              <w:rPr>
                <w:color w:val="FF0000"/>
                <w:sz w:val="21"/>
              </w:rPr>
              <w:t>运营期</w:t>
            </w:r>
          </w:p>
        </w:tc>
        <w:tc>
          <w:tcPr>
            <w:tcW w:w="1472" w:type="dxa"/>
            <w:gridSpan w:val="2"/>
            <w:tcBorders>
              <w:left w:val="single" w:color="000000" w:sz="4" w:space="0"/>
              <w:bottom w:val="single" w:color="000000" w:sz="4" w:space="0"/>
            </w:tcBorders>
          </w:tcPr>
          <w:p>
            <w:pPr>
              <w:pStyle w:val="19"/>
              <w:spacing w:before="2" w:line="251" w:lineRule="exact"/>
              <w:ind w:left="321"/>
              <w:jc w:val="left"/>
              <w:rPr>
                <w:sz w:val="21"/>
              </w:rPr>
            </w:pPr>
            <w:r>
              <w:rPr>
                <w:color w:val="FF0000"/>
                <w:sz w:val="21"/>
              </w:rPr>
              <w:t>服务期满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2095" w:type="dxa"/>
            <w:gridSpan w:val="2"/>
            <w:vMerge w:val="continue"/>
            <w:tcBorders>
              <w:top w:val="nil"/>
              <w:bottom w:val="single" w:color="000000" w:sz="4" w:space="0"/>
              <w:right w:val="single" w:color="000000" w:sz="4" w:space="0"/>
            </w:tcBorders>
          </w:tcPr>
          <w:p>
            <w:pPr>
              <w:rPr>
                <w:sz w:val="2"/>
                <w:szCs w:val="2"/>
              </w:rPr>
            </w:pPr>
          </w:p>
        </w:tc>
        <w:tc>
          <w:tcPr>
            <w:tcW w:w="1415" w:type="dxa"/>
            <w:tcBorders>
              <w:top w:val="single" w:color="000000" w:sz="4" w:space="0"/>
              <w:left w:val="single" w:color="000000" w:sz="4" w:space="0"/>
              <w:bottom w:val="single" w:color="000000" w:sz="4" w:space="0"/>
              <w:right w:val="single" w:color="000000" w:sz="4" w:space="0"/>
            </w:tcBorders>
          </w:tcPr>
          <w:p>
            <w:pPr>
              <w:pStyle w:val="19"/>
              <w:ind w:left="165" w:right="150"/>
              <w:rPr>
                <w:sz w:val="21"/>
              </w:rPr>
            </w:pPr>
            <w:r>
              <w:rPr>
                <w:color w:val="FF0000"/>
                <w:sz w:val="21"/>
              </w:rPr>
              <w:t>产品生产及</w:t>
            </w:r>
          </w:p>
          <w:p>
            <w:pPr>
              <w:pStyle w:val="19"/>
              <w:spacing w:before="2" w:line="253" w:lineRule="exact"/>
              <w:ind w:left="165" w:right="148"/>
              <w:rPr>
                <w:sz w:val="21"/>
              </w:rPr>
            </w:pPr>
            <w:r>
              <w:rPr>
                <w:color w:val="FF0000"/>
                <w:sz w:val="21"/>
              </w:rPr>
              <w:t>运输</w:t>
            </w:r>
          </w:p>
        </w:tc>
        <w:tc>
          <w:tcPr>
            <w:tcW w:w="795" w:type="dxa"/>
            <w:tcBorders>
              <w:top w:val="single" w:color="000000" w:sz="4" w:space="0"/>
              <w:left w:val="single" w:color="000000" w:sz="4" w:space="0"/>
              <w:bottom w:val="single" w:color="000000" w:sz="4" w:space="0"/>
              <w:right w:val="single" w:color="000000" w:sz="4" w:space="0"/>
            </w:tcBorders>
          </w:tcPr>
          <w:p>
            <w:pPr>
              <w:pStyle w:val="19"/>
              <w:ind w:left="191"/>
              <w:jc w:val="left"/>
              <w:rPr>
                <w:sz w:val="21"/>
              </w:rPr>
            </w:pPr>
            <w:r>
              <w:rPr>
                <w:color w:val="FF0000"/>
                <w:spacing w:val="-1"/>
                <w:w w:val="95"/>
                <w:sz w:val="21"/>
              </w:rPr>
              <w:t>废水</w:t>
            </w:r>
          </w:p>
          <w:p>
            <w:pPr>
              <w:pStyle w:val="19"/>
              <w:spacing w:before="2" w:line="253" w:lineRule="exact"/>
              <w:ind w:left="191"/>
              <w:jc w:val="left"/>
              <w:rPr>
                <w:sz w:val="21"/>
              </w:rPr>
            </w:pPr>
            <w:r>
              <w:rPr>
                <w:color w:val="FF0000"/>
                <w:spacing w:val="-1"/>
                <w:w w:val="95"/>
                <w:sz w:val="21"/>
              </w:rPr>
              <w:t>排放</w:t>
            </w:r>
          </w:p>
        </w:tc>
        <w:tc>
          <w:tcPr>
            <w:tcW w:w="834" w:type="dxa"/>
            <w:tcBorders>
              <w:top w:val="single" w:color="000000" w:sz="4" w:space="0"/>
              <w:left w:val="single" w:color="000000" w:sz="4" w:space="0"/>
              <w:bottom w:val="single" w:color="000000" w:sz="4" w:space="0"/>
              <w:right w:val="single" w:color="000000" w:sz="4" w:space="0"/>
            </w:tcBorders>
          </w:tcPr>
          <w:p>
            <w:pPr>
              <w:pStyle w:val="19"/>
              <w:ind w:left="212"/>
              <w:jc w:val="left"/>
              <w:rPr>
                <w:sz w:val="21"/>
              </w:rPr>
            </w:pPr>
            <w:r>
              <w:rPr>
                <w:color w:val="FF0000"/>
                <w:spacing w:val="-1"/>
                <w:w w:val="95"/>
                <w:sz w:val="21"/>
              </w:rPr>
              <w:t>废气</w:t>
            </w:r>
          </w:p>
          <w:p>
            <w:pPr>
              <w:pStyle w:val="19"/>
              <w:spacing w:before="2" w:line="253" w:lineRule="exact"/>
              <w:ind w:left="212"/>
              <w:jc w:val="left"/>
              <w:rPr>
                <w:sz w:val="21"/>
              </w:rPr>
            </w:pPr>
            <w:r>
              <w:rPr>
                <w:color w:val="FF0000"/>
                <w:spacing w:val="-1"/>
                <w:w w:val="95"/>
                <w:sz w:val="21"/>
              </w:rPr>
              <w:t>排放</w:t>
            </w:r>
          </w:p>
        </w:tc>
        <w:tc>
          <w:tcPr>
            <w:tcW w:w="795" w:type="dxa"/>
            <w:tcBorders>
              <w:top w:val="single" w:color="000000" w:sz="4" w:space="0"/>
              <w:left w:val="single" w:color="000000" w:sz="4" w:space="0"/>
              <w:bottom w:val="single" w:color="000000" w:sz="4" w:space="0"/>
              <w:right w:val="single" w:color="000000" w:sz="4" w:space="0"/>
            </w:tcBorders>
          </w:tcPr>
          <w:p>
            <w:pPr>
              <w:pStyle w:val="19"/>
              <w:ind w:left="192"/>
              <w:jc w:val="left"/>
              <w:rPr>
                <w:sz w:val="21"/>
              </w:rPr>
            </w:pPr>
            <w:r>
              <w:rPr>
                <w:color w:val="FF0000"/>
                <w:spacing w:val="-1"/>
                <w:w w:val="95"/>
                <w:sz w:val="21"/>
              </w:rPr>
              <w:t>废石</w:t>
            </w:r>
          </w:p>
          <w:p>
            <w:pPr>
              <w:pStyle w:val="19"/>
              <w:spacing w:before="2" w:line="253" w:lineRule="exact"/>
              <w:ind w:left="192"/>
              <w:jc w:val="left"/>
              <w:rPr>
                <w:sz w:val="21"/>
              </w:rPr>
            </w:pPr>
            <w:r>
              <w:rPr>
                <w:color w:val="FF0000"/>
                <w:spacing w:val="-1"/>
                <w:w w:val="95"/>
                <w:sz w:val="21"/>
              </w:rPr>
              <w:t>堆存</w:t>
            </w:r>
          </w:p>
        </w:tc>
        <w:tc>
          <w:tcPr>
            <w:tcW w:w="763" w:type="dxa"/>
            <w:tcBorders>
              <w:top w:val="single" w:color="000000" w:sz="4" w:space="0"/>
              <w:left w:val="single" w:color="000000" w:sz="4" w:space="0"/>
              <w:bottom w:val="single" w:color="000000" w:sz="4" w:space="0"/>
              <w:right w:val="single" w:color="000000" w:sz="4" w:space="0"/>
            </w:tcBorders>
          </w:tcPr>
          <w:p>
            <w:pPr>
              <w:pStyle w:val="19"/>
              <w:ind w:left="174"/>
              <w:jc w:val="left"/>
              <w:rPr>
                <w:sz w:val="21"/>
              </w:rPr>
            </w:pPr>
            <w:r>
              <w:rPr>
                <w:color w:val="FF0000"/>
                <w:spacing w:val="-1"/>
                <w:w w:val="95"/>
                <w:sz w:val="21"/>
              </w:rPr>
              <w:t>事故</w:t>
            </w:r>
          </w:p>
          <w:p>
            <w:pPr>
              <w:pStyle w:val="19"/>
              <w:spacing w:before="2" w:line="253" w:lineRule="exact"/>
              <w:ind w:left="174"/>
              <w:jc w:val="left"/>
              <w:rPr>
                <w:sz w:val="21"/>
              </w:rPr>
            </w:pPr>
            <w:r>
              <w:rPr>
                <w:color w:val="FF0000"/>
                <w:spacing w:val="-1"/>
                <w:w w:val="95"/>
                <w:sz w:val="21"/>
              </w:rPr>
              <w:t>风险</w:t>
            </w:r>
          </w:p>
        </w:tc>
        <w:tc>
          <w:tcPr>
            <w:tcW w:w="739" w:type="dxa"/>
            <w:tcBorders>
              <w:top w:val="single" w:color="000000" w:sz="4" w:space="0"/>
              <w:left w:val="single" w:color="000000" w:sz="4" w:space="0"/>
              <w:bottom w:val="single" w:color="000000" w:sz="4" w:space="0"/>
              <w:right w:val="single" w:color="000000" w:sz="4" w:space="0"/>
            </w:tcBorders>
          </w:tcPr>
          <w:p>
            <w:pPr>
              <w:pStyle w:val="19"/>
              <w:spacing w:before="134"/>
              <w:ind w:left="140" w:right="126"/>
              <w:rPr>
                <w:sz w:val="21"/>
              </w:rPr>
            </w:pPr>
            <w:r>
              <w:rPr>
                <w:color w:val="FF0000"/>
                <w:sz w:val="21"/>
              </w:rPr>
              <w:t>爆破</w:t>
            </w:r>
          </w:p>
        </w:tc>
        <w:tc>
          <w:tcPr>
            <w:tcW w:w="729" w:type="dxa"/>
            <w:tcBorders>
              <w:top w:val="single" w:color="000000" w:sz="4" w:space="0"/>
              <w:left w:val="single" w:color="000000" w:sz="4" w:space="0"/>
              <w:bottom w:val="single" w:color="000000" w:sz="4" w:space="0"/>
              <w:right w:val="single" w:color="000000" w:sz="4" w:space="0"/>
            </w:tcBorders>
          </w:tcPr>
          <w:p>
            <w:pPr>
              <w:pStyle w:val="19"/>
              <w:spacing w:before="134"/>
              <w:ind w:left="137" w:right="122"/>
              <w:rPr>
                <w:sz w:val="21"/>
              </w:rPr>
            </w:pPr>
            <w:r>
              <w:rPr>
                <w:color w:val="FF0000"/>
                <w:sz w:val="21"/>
              </w:rPr>
              <w:t>复垦</w:t>
            </w:r>
          </w:p>
        </w:tc>
        <w:tc>
          <w:tcPr>
            <w:tcW w:w="743" w:type="dxa"/>
            <w:tcBorders>
              <w:top w:val="single" w:color="000000" w:sz="4" w:space="0"/>
              <w:left w:val="single" w:color="000000" w:sz="4" w:space="0"/>
              <w:bottom w:val="single" w:color="000000" w:sz="4" w:space="0"/>
            </w:tcBorders>
          </w:tcPr>
          <w:p>
            <w:pPr>
              <w:pStyle w:val="19"/>
              <w:ind w:left="166"/>
              <w:jc w:val="left"/>
              <w:rPr>
                <w:sz w:val="21"/>
              </w:rPr>
            </w:pPr>
            <w:r>
              <w:rPr>
                <w:color w:val="FF0000"/>
                <w:spacing w:val="-1"/>
                <w:w w:val="95"/>
                <w:sz w:val="21"/>
              </w:rPr>
              <w:t>补偿</w:t>
            </w:r>
          </w:p>
          <w:p>
            <w:pPr>
              <w:pStyle w:val="19"/>
              <w:spacing w:before="2" w:line="253" w:lineRule="exact"/>
              <w:ind w:left="166"/>
              <w:jc w:val="left"/>
              <w:rPr>
                <w:sz w:val="21"/>
              </w:rPr>
            </w:pPr>
            <w:r>
              <w:rPr>
                <w:color w:val="FF0000"/>
                <w:spacing w:val="-1"/>
                <w:w w:val="95"/>
                <w:sz w:val="21"/>
              </w:rPr>
              <w:t>绿化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678" w:type="dxa"/>
            <w:vMerge w:val="restart"/>
            <w:tcBorders>
              <w:top w:val="single" w:color="000000" w:sz="4" w:space="0"/>
              <w:bottom w:val="single" w:color="000000" w:sz="4" w:space="0"/>
              <w:right w:val="single" w:color="000000" w:sz="4" w:space="0"/>
            </w:tcBorders>
          </w:tcPr>
          <w:p>
            <w:pPr>
              <w:pStyle w:val="19"/>
              <w:spacing w:before="156" w:line="244" w:lineRule="auto"/>
              <w:ind w:left="127" w:right="115"/>
              <w:jc w:val="left"/>
              <w:rPr>
                <w:sz w:val="21"/>
              </w:rPr>
            </w:pPr>
            <w:r>
              <w:rPr>
                <w:color w:val="FF0000"/>
                <w:sz w:val="21"/>
              </w:rPr>
              <w:t>社会环境</w:t>
            </w:r>
          </w:p>
        </w:tc>
        <w:tc>
          <w:tcPr>
            <w:tcW w:w="1417" w:type="dxa"/>
            <w:tcBorders>
              <w:top w:val="single" w:color="000000" w:sz="4" w:space="0"/>
              <w:left w:val="single" w:color="000000" w:sz="4" w:space="0"/>
              <w:bottom w:val="single" w:color="000000" w:sz="4" w:space="0"/>
              <w:right w:val="single" w:color="000000" w:sz="4" w:space="0"/>
            </w:tcBorders>
          </w:tcPr>
          <w:p>
            <w:pPr>
              <w:pStyle w:val="19"/>
              <w:spacing w:before="5" w:line="255" w:lineRule="exact"/>
              <w:ind w:left="271" w:right="256"/>
              <w:rPr>
                <w:sz w:val="21"/>
              </w:rPr>
            </w:pPr>
            <w:r>
              <w:rPr>
                <w:color w:val="FF0000"/>
                <w:sz w:val="21"/>
              </w:rPr>
              <w:t>劳动就业</w:t>
            </w:r>
          </w:p>
        </w:tc>
        <w:tc>
          <w:tcPr>
            <w:tcW w:w="1415" w:type="dxa"/>
            <w:tcBorders>
              <w:top w:val="single" w:color="000000" w:sz="4" w:space="0"/>
              <w:left w:val="single" w:color="000000" w:sz="4" w:space="0"/>
              <w:bottom w:val="single" w:color="000000" w:sz="4" w:space="0"/>
              <w:right w:val="single" w:color="000000" w:sz="4" w:space="0"/>
            </w:tcBorders>
          </w:tcPr>
          <w:p>
            <w:pPr>
              <w:pStyle w:val="19"/>
              <w:spacing w:line="259" w:lineRule="exact"/>
              <w:ind w:left="19"/>
              <w:rPr>
                <w:rFonts w:ascii="Segoe UI Symbol" w:hAnsi="Segoe UI Symbol"/>
                <w:sz w:val="21"/>
              </w:rPr>
            </w:pPr>
            <w:r>
              <w:rPr>
                <w:rFonts w:ascii="Segoe UI Symbol" w:hAnsi="Segoe UI Symbol"/>
                <w:color w:val="FF0000"/>
                <w:w w:val="99"/>
                <w:sz w:val="21"/>
              </w:rPr>
              <w:t>☆</w:t>
            </w:r>
          </w:p>
        </w:tc>
        <w:tc>
          <w:tcPr>
            <w:tcW w:w="79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83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9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63"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39"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29" w:type="dxa"/>
            <w:tcBorders>
              <w:top w:val="single" w:color="000000" w:sz="4" w:space="0"/>
              <w:left w:val="single" w:color="000000" w:sz="4" w:space="0"/>
              <w:bottom w:val="single" w:color="000000" w:sz="4" w:space="0"/>
              <w:right w:val="single" w:color="000000" w:sz="4" w:space="0"/>
            </w:tcBorders>
          </w:tcPr>
          <w:p>
            <w:pPr>
              <w:pStyle w:val="19"/>
              <w:spacing w:before="15" w:line="244" w:lineRule="exact"/>
              <w:ind w:left="17"/>
              <w:rPr>
                <w:rFonts w:ascii="Cambria Math" w:hAnsi="Cambria Math"/>
                <w:sz w:val="21"/>
              </w:rPr>
            </w:pPr>
            <w:r>
              <w:rPr>
                <w:rFonts w:ascii="Cambria Math" w:hAnsi="Cambria Math"/>
                <w:color w:val="FF0000"/>
                <w:w w:val="86"/>
                <w:sz w:val="21"/>
              </w:rPr>
              <w:t>△</w:t>
            </w:r>
          </w:p>
        </w:tc>
        <w:tc>
          <w:tcPr>
            <w:tcW w:w="743" w:type="dxa"/>
            <w:tcBorders>
              <w:top w:val="single" w:color="000000" w:sz="4" w:space="0"/>
              <w:left w:val="single" w:color="000000" w:sz="4" w:space="0"/>
              <w:bottom w:val="single" w:color="000000" w:sz="4" w:space="0"/>
            </w:tcBorders>
          </w:tcPr>
          <w:p>
            <w:pPr>
              <w:pStyle w:val="19"/>
              <w:spacing w:before="15" w:line="244" w:lineRule="exact"/>
              <w:ind w:left="300"/>
              <w:jc w:val="left"/>
              <w:rPr>
                <w:rFonts w:ascii="Cambria Math" w:hAnsi="Cambria Math"/>
                <w:sz w:val="21"/>
              </w:rPr>
            </w:pPr>
            <w:r>
              <w:rPr>
                <w:rFonts w:ascii="Cambria Math" w:hAnsi="Cambria Math"/>
                <w:color w:val="FF0000"/>
                <w:w w:val="86"/>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8" w:hRule="atLeast"/>
        </w:trPr>
        <w:tc>
          <w:tcPr>
            <w:tcW w:w="678" w:type="dxa"/>
            <w:vMerge w:val="continue"/>
            <w:tcBorders>
              <w:top w:val="nil"/>
              <w:bottom w:val="single" w:color="000000" w:sz="4" w:space="0"/>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9"/>
              <w:spacing w:before="3" w:line="256" w:lineRule="exact"/>
              <w:ind w:left="271" w:right="256"/>
              <w:rPr>
                <w:sz w:val="21"/>
              </w:rPr>
            </w:pPr>
            <w:r>
              <w:rPr>
                <w:color w:val="FF0000"/>
                <w:sz w:val="21"/>
              </w:rPr>
              <w:t>社会安定</w:t>
            </w:r>
          </w:p>
        </w:tc>
        <w:tc>
          <w:tcPr>
            <w:tcW w:w="1415" w:type="dxa"/>
            <w:tcBorders>
              <w:top w:val="single" w:color="000000" w:sz="4" w:space="0"/>
              <w:left w:val="single" w:color="000000" w:sz="4" w:space="0"/>
              <w:bottom w:val="single" w:color="000000" w:sz="4" w:space="0"/>
              <w:right w:val="single" w:color="000000" w:sz="4" w:space="0"/>
            </w:tcBorders>
          </w:tcPr>
          <w:p>
            <w:pPr>
              <w:pStyle w:val="19"/>
              <w:spacing w:line="259" w:lineRule="exact"/>
              <w:ind w:left="19"/>
              <w:rPr>
                <w:rFonts w:ascii="Segoe UI Symbol" w:hAnsi="Segoe UI Symbol"/>
                <w:sz w:val="21"/>
              </w:rPr>
            </w:pPr>
            <w:r>
              <w:rPr>
                <w:rFonts w:ascii="Segoe UI Symbol" w:hAnsi="Segoe UI Symbol"/>
                <w:color w:val="FF0000"/>
                <w:w w:val="99"/>
                <w:sz w:val="21"/>
              </w:rPr>
              <w:t>☆</w:t>
            </w:r>
          </w:p>
        </w:tc>
        <w:tc>
          <w:tcPr>
            <w:tcW w:w="79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83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9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63" w:type="dxa"/>
            <w:tcBorders>
              <w:top w:val="single" w:color="000000" w:sz="4" w:space="0"/>
              <w:left w:val="single" w:color="000000" w:sz="4" w:space="0"/>
              <w:bottom w:val="single" w:color="000000" w:sz="4" w:space="0"/>
              <w:right w:val="single" w:color="000000" w:sz="4" w:space="0"/>
            </w:tcBorders>
          </w:tcPr>
          <w:p>
            <w:pPr>
              <w:pStyle w:val="19"/>
              <w:spacing w:before="17"/>
              <w:ind w:left="19"/>
              <w:rPr>
                <w:rFonts w:ascii="Times New Roman" w:hAnsi="Times New Roman"/>
                <w:sz w:val="21"/>
              </w:rPr>
            </w:pPr>
            <w:r>
              <w:rPr>
                <w:rFonts w:ascii="Times New Roman" w:hAnsi="Times New Roman"/>
                <w:color w:val="FF0000"/>
                <w:w w:val="99"/>
                <w:sz w:val="21"/>
              </w:rPr>
              <w:t>▲</w:t>
            </w:r>
          </w:p>
        </w:tc>
        <w:tc>
          <w:tcPr>
            <w:tcW w:w="739"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29"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43"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 w:hRule="atLeast"/>
        </w:trPr>
        <w:tc>
          <w:tcPr>
            <w:tcW w:w="678" w:type="dxa"/>
            <w:vMerge w:val="continue"/>
            <w:tcBorders>
              <w:top w:val="nil"/>
              <w:bottom w:val="single" w:color="000000" w:sz="4" w:space="0"/>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9"/>
              <w:spacing w:before="4" w:line="254" w:lineRule="exact"/>
              <w:ind w:left="271" w:right="256"/>
              <w:rPr>
                <w:sz w:val="21"/>
              </w:rPr>
            </w:pPr>
            <w:r>
              <w:rPr>
                <w:color w:val="FF0000"/>
                <w:sz w:val="21"/>
              </w:rPr>
              <w:t>土地作用</w:t>
            </w:r>
          </w:p>
        </w:tc>
        <w:tc>
          <w:tcPr>
            <w:tcW w:w="141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9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83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95" w:type="dxa"/>
            <w:tcBorders>
              <w:top w:val="single" w:color="000000" w:sz="4" w:space="0"/>
              <w:left w:val="single" w:color="000000" w:sz="4" w:space="0"/>
              <w:bottom w:val="single" w:color="000000" w:sz="4" w:space="0"/>
              <w:right w:val="single" w:color="000000" w:sz="4" w:space="0"/>
            </w:tcBorders>
          </w:tcPr>
          <w:p>
            <w:pPr>
              <w:pStyle w:val="19"/>
              <w:spacing w:before="18" w:line="240" w:lineRule="exact"/>
              <w:ind w:left="17"/>
              <w:rPr>
                <w:rFonts w:ascii="Times New Roman" w:hAnsi="Times New Roman"/>
                <w:sz w:val="21"/>
              </w:rPr>
            </w:pPr>
            <w:r>
              <w:rPr>
                <w:rFonts w:ascii="Times New Roman" w:hAnsi="Times New Roman"/>
                <w:color w:val="FF0000"/>
                <w:w w:val="99"/>
                <w:sz w:val="21"/>
              </w:rPr>
              <w:t>▲</w:t>
            </w:r>
          </w:p>
        </w:tc>
        <w:tc>
          <w:tcPr>
            <w:tcW w:w="763" w:type="dxa"/>
            <w:tcBorders>
              <w:top w:val="single" w:color="000000" w:sz="4" w:space="0"/>
              <w:left w:val="single" w:color="000000" w:sz="4" w:space="0"/>
              <w:bottom w:val="single" w:color="000000" w:sz="4" w:space="0"/>
              <w:right w:val="single" w:color="000000" w:sz="4" w:space="0"/>
            </w:tcBorders>
          </w:tcPr>
          <w:p>
            <w:pPr>
              <w:pStyle w:val="19"/>
              <w:spacing w:line="259" w:lineRule="exact"/>
              <w:ind w:left="20"/>
              <w:rPr>
                <w:rFonts w:ascii="Segoe UI Symbol" w:hAnsi="Segoe UI Symbol"/>
                <w:sz w:val="21"/>
              </w:rPr>
            </w:pPr>
            <w:r>
              <w:rPr>
                <w:rFonts w:ascii="Segoe UI Symbol" w:hAnsi="Segoe UI Symbol"/>
                <w:color w:val="FF0000"/>
                <w:w w:val="99"/>
                <w:sz w:val="21"/>
              </w:rPr>
              <w:t>★</w:t>
            </w:r>
          </w:p>
        </w:tc>
        <w:tc>
          <w:tcPr>
            <w:tcW w:w="739"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29" w:type="dxa"/>
            <w:tcBorders>
              <w:top w:val="single" w:color="000000" w:sz="4" w:space="0"/>
              <w:left w:val="single" w:color="000000" w:sz="4" w:space="0"/>
              <w:bottom w:val="single" w:color="000000" w:sz="4" w:space="0"/>
              <w:right w:val="single" w:color="000000" w:sz="4" w:space="0"/>
            </w:tcBorders>
          </w:tcPr>
          <w:p>
            <w:pPr>
              <w:pStyle w:val="19"/>
              <w:spacing w:line="259" w:lineRule="exact"/>
              <w:ind w:left="16"/>
              <w:rPr>
                <w:rFonts w:ascii="Segoe UI Symbol" w:hAnsi="Segoe UI Symbol"/>
                <w:sz w:val="21"/>
              </w:rPr>
            </w:pPr>
            <w:r>
              <w:rPr>
                <w:rFonts w:ascii="Segoe UI Symbol" w:hAnsi="Segoe UI Symbol"/>
                <w:color w:val="FF0000"/>
                <w:w w:val="99"/>
                <w:sz w:val="21"/>
              </w:rPr>
              <w:t>☆</w:t>
            </w:r>
          </w:p>
        </w:tc>
        <w:tc>
          <w:tcPr>
            <w:tcW w:w="743" w:type="dxa"/>
            <w:tcBorders>
              <w:top w:val="single" w:color="000000" w:sz="4" w:space="0"/>
              <w:left w:val="single" w:color="000000" w:sz="4" w:space="0"/>
              <w:bottom w:val="single" w:color="000000" w:sz="4" w:space="0"/>
            </w:tcBorders>
          </w:tcPr>
          <w:p>
            <w:pPr>
              <w:pStyle w:val="19"/>
              <w:spacing w:line="259" w:lineRule="exact"/>
              <w:ind w:left="288"/>
              <w:jc w:val="left"/>
              <w:rPr>
                <w:rFonts w:ascii="Segoe UI Symbol" w:hAnsi="Segoe UI Symbol"/>
                <w:sz w:val="21"/>
              </w:rPr>
            </w:pPr>
            <w:r>
              <w:rPr>
                <w:rFonts w:ascii="Segoe UI Symbol" w:hAnsi="Segoe UI Symbol"/>
                <w:color w:val="FF0000"/>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678" w:type="dxa"/>
            <w:vMerge w:val="restart"/>
            <w:tcBorders>
              <w:top w:val="single" w:color="000000" w:sz="4" w:space="0"/>
              <w:bottom w:val="single" w:color="000000" w:sz="4" w:space="0"/>
              <w:right w:val="single" w:color="000000" w:sz="4" w:space="0"/>
            </w:tcBorders>
          </w:tcPr>
          <w:p>
            <w:pPr>
              <w:pStyle w:val="19"/>
              <w:spacing w:before="157" w:line="242" w:lineRule="auto"/>
              <w:ind w:left="127" w:right="115"/>
              <w:jc w:val="left"/>
              <w:rPr>
                <w:sz w:val="21"/>
              </w:rPr>
            </w:pPr>
            <w:r>
              <w:rPr>
                <w:color w:val="FF0000"/>
                <w:sz w:val="21"/>
              </w:rPr>
              <w:t>自然资源</w:t>
            </w:r>
          </w:p>
        </w:tc>
        <w:tc>
          <w:tcPr>
            <w:tcW w:w="1417" w:type="dxa"/>
            <w:tcBorders>
              <w:top w:val="single" w:color="000000" w:sz="4" w:space="0"/>
              <w:left w:val="single" w:color="000000" w:sz="4" w:space="0"/>
              <w:bottom w:val="single" w:color="000000" w:sz="4" w:space="0"/>
              <w:right w:val="single" w:color="000000" w:sz="4" w:space="0"/>
            </w:tcBorders>
          </w:tcPr>
          <w:p>
            <w:pPr>
              <w:pStyle w:val="19"/>
              <w:spacing w:before="3" w:line="256" w:lineRule="exact"/>
              <w:ind w:left="271" w:right="256"/>
              <w:rPr>
                <w:sz w:val="21"/>
              </w:rPr>
            </w:pPr>
            <w:r>
              <w:rPr>
                <w:color w:val="FF0000"/>
                <w:sz w:val="21"/>
              </w:rPr>
              <w:t>植被生态</w:t>
            </w:r>
          </w:p>
        </w:tc>
        <w:tc>
          <w:tcPr>
            <w:tcW w:w="141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9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83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95" w:type="dxa"/>
            <w:tcBorders>
              <w:top w:val="single" w:color="000000" w:sz="4" w:space="0"/>
              <w:left w:val="single" w:color="000000" w:sz="4" w:space="0"/>
              <w:bottom w:val="single" w:color="000000" w:sz="4" w:space="0"/>
              <w:right w:val="single" w:color="000000" w:sz="4" w:space="0"/>
            </w:tcBorders>
          </w:tcPr>
          <w:p>
            <w:pPr>
              <w:pStyle w:val="19"/>
              <w:spacing w:before="17"/>
              <w:ind w:left="17"/>
              <w:rPr>
                <w:rFonts w:ascii="Times New Roman" w:hAnsi="Times New Roman"/>
                <w:sz w:val="21"/>
              </w:rPr>
            </w:pPr>
            <w:r>
              <w:rPr>
                <w:rFonts w:ascii="Times New Roman" w:hAnsi="Times New Roman"/>
                <w:color w:val="FF0000"/>
                <w:w w:val="99"/>
                <w:sz w:val="21"/>
              </w:rPr>
              <w:t>▲</w:t>
            </w:r>
          </w:p>
        </w:tc>
        <w:tc>
          <w:tcPr>
            <w:tcW w:w="763" w:type="dxa"/>
            <w:tcBorders>
              <w:top w:val="single" w:color="000000" w:sz="4" w:space="0"/>
              <w:left w:val="single" w:color="000000" w:sz="4" w:space="0"/>
              <w:bottom w:val="single" w:color="000000" w:sz="4" w:space="0"/>
              <w:right w:val="single" w:color="000000" w:sz="4" w:space="0"/>
            </w:tcBorders>
          </w:tcPr>
          <w:p>
            <w:pPr>
              <w:pStyle w:val="19"/>
              <w:spacing w:line="260" w:lineRule="exact"/>
              <w:ind w:left="20"/>
              <w:rPr>
                <w:rFonts w:ascii="Segoe UI Symbol" w:hAnsi="Segoe UI Symbol"/>
                <w:sz w:val="21"/>
              </w:rPr>
            </w:pPr>
            <w:r>
              <w:rPr>
                <w:rFonts w:ascii="Segoe UI Symbol" w:hAnsi="Segoe UI Symbol"/>
                <w:color w:val="FF0000"/>
                <w:w w:val="99"/>
                <w:sz w:val="21"/>
              </w:rPr>
              <w:t>★</w:t>
            </w:r>
          </w:p>
        </w:tc>
        <w:tc>
          <w:tcPr>
            <w:tcW w:w="739"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29" w:type="dxa"/>
            <w:tcBorders>
              <w:top w:val="single" w:color="000000" w:sz="4" w:space="0"/>
              <w:left w:val="single" w:color="000000" w:sz="4" w:space="0"/>
              <w:bottom w:val="single" w:color="000000" w:sz="4" w:space="0"/>
              <w:right w:val="single" w:color="000000" w:sz="4" w:space="0"/>
            </w:tcBorders>
          </w:tcPr>
          <w:p>
            <w:pPr>
              <w:pStyle w:val="19"/>
              <w:spacing w:line="260" w:lineRule="exact"/>
              <w:ind w:left="16"/>
              <w:rPr>
                <w:rFonts w:ascii="Segoe UI Symbol" w:hAnsi="Segoe UI Symbol"/>
                <w:sz w:val="21"/>
              </w:rPr>
            </w:pPr>
            <w:r>
              <w:rPr>
                <w:rFonts w:ascii="Segoe UI Symbol" w:hAnsi="Segoe UI Symbol"/>
                <w:color w:val="FF0000"/>
                <w:w w:val="99"/>
                <w:sz w:val="21"/>
              </w:rPr>
              <w:t>☆</w:t>
            </w:r>
          </w:p>
        </w:tc>
        <w:tc>
          <w:tcPr>
            <w:tcW w:w="743" w:type="dxa"/>
            <w:tcBorders>
              <w:top w:val="single" w:color="000000" w:sz="4" w:space="0"/>
              <w:left w:val="single" w:color="000000" w:sz="4" w:space="0"/>
              <w:bottom w:val="single" w:color="000000" w:sz="4" w:space="0"/>
            </w:tcBorders>
          </w:tcPr>
          <w:p>
            <w:pPr>
              <w:pStyle w:val="19"/>
              <w:spacing w:line="260" w:lineRule="exact"/>
              <w:ind w:left="288"/>
              <w:jc w:val="left"/>
              <w:rPr>
                <w:rFonts w:ascii="Segoe UI Symbol" w:hAnsi="Segoe UI Symbol"/>
                <w:sz w:val="21"/>
              </w:rPr>
            </w:pPr>
            <w:r>
              <w:rPr>
                <w:rFonts w:ascii="Segoe UI Symbol" w:hAnsi="Segoe UI Symbol"/>
                <w:color w:val="FF0000"/>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8" w:hRule="atLeast"/>
        </w:trPr>
        <w:tc>
          <w:tcPr>
            <w:tcW w:w="678" w:type="dxa"/>
            <w:vMerge w:val="continue"/>
            <w:tcBorders>
              <w:top w:val="nil"/>
              <w:bottom w:val="single" w:color="000000" w:sz="4" w:space="0"/>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9"/>
              <w:spacing w:before="4" w:line="255" w:lineRule="exact"/>
              <w:ind w:left="271" w:right="256"/>
              <w:rPr>
                <w:sz w:val="21"/>
              </w:rPr>
            </w:pPr>
            <w:r>
              <w:rPr>
                <w:color w:val="FF0000"/>
                <w:sz w:val="21"/>
              </w:rPr>
              <w:t>自然景观</w:t>
            </w:r>
          </w:p>
        </w:tc>
        <w:tc>
          <w:tcPr>
            <w:tcW w:w="141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9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83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95" w:type="dxa"/>
            <w:tcBorders>
              <w:top w:val="single" w:color="000000" w:sz="4" w:space="0"/>
              <w:left w:val="single" w:color="000000" w:sz="4" w:space="0"/>
              <w:bottom w:val="single" w:color="000000" w:sz="4" w:space="0"/>
              <w:right w:val="single" w:color="000000" w:sz="4" w:space="0"/>
            </w:tcBorders>
          </w:tcPr>
          <w:p>
            <w:pPr>
              <w:pStyle w:val="19"/>
              <w:spacing w:before="18" w:line="241" w:lineRule="exact"/>
              <w:ind w:left="17"/>
              <w:rPr>
                <w:rFonts w:ascii="Times New Roman" w:hAnsi="Times New Roman"/>
                <w:sz w:val="21"/>
              </w:rPr>
            </w:pPr>
            <w:r>
              <w:rPr>
                <w:rFonts w:ascii="Times New Roman" w:hAnsi="Times New Roman"/>
                <w:color w:val="FF0000"/>
                <w:w w:val="99"/>
                <w:sz w:val="21"/>
              </w:rPr>
              <w:t>▲</w:t>
            </w:r>
          </w:p>
        </w:tc>
        <w:tc>
          <w:tcPr>
            <w:tcW w:w="763" w:type="dxa"/>
            <w:tcBorders>
              <w:top w:val="single" w:color="000000" w:sz="4" w:space="0"/>
              <w:left w:val="single" w:color="000000" w:sz="4" w:space="0"/>
              <w:bottom w:val="single" w:color="000000" w:sz="4" w:space="0"/>
              <w:right w:val="single" w:color="000000" w:sz="4" w:space="0"/>
            </w:tcBorders>
          </w:tcPr>
          <w:p>
            <w:pPr>
              <w:pStyle w:val="19"/>
              <w:spacing w:line="259" w:lineRule="exact"/>
              <w:ind w:left="20"/>
              <w:rPr>
                <w:rFonts w:ascii="Segoe UI Symbol" w:hAnsi="Segoe UI Symbol"/>
                <w:sz w:val="21"/>
              </w:rPr>
            </w:pPr>
            <w:r>
              <w:rPr>
                <w:rFonts w:ascii="Segoe UI Symbol" w:hAnsi="Segoe UI Symbol"/>
                <w:color w:val="FF0000"/>
                <w:w w:val="99"/>
                <w:sz w:val="21"/>
              </w:rPr>
              <w:t>★</w:t>
            </w:r>
          </w:p>
        </w:tc>
        <w:tc>
          <w:tcPr>
            <w:tcW w:w="739"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29" w:type="dxa"/>
            <w:tcBorders>
              <w:top w:val="single" w:color="000000" w:sz="4" w:space="0"/>
              <w:left w:val="single" w:color="000000" w:sz="4" w:space="0"/>
              <w:bottom w:val="single" w:color="000000" w:sz="4" w:space="0"/>
              <w:right w:val="single" w:color="000000" w:sz="4" w:space="0"/>
            </w:tcBorders>
          </w:tcPr>
          <w:p>
            <w:pPr>
              <w:pStyle w:val="19"/>
              <w:spacing w:line="259" w:lineRule="exact"/>
              <w:ind w:left="16"/>
              <w:rPr>
                <w:rFonts w:ascii="Segoe UI Symbol" w:hAnsi="Segoe UI Symbol"/>
                <w:sz w:val="21"/>
              </w:rPr>
            </w:pPr>
            <w:r>
              <w:rPr>
                <w:rFonts w:ascii="Segoe UI Symbol" w:hAnsi="Segoe UI Symbol"/>
                <w:color w:val="FF0000"/>
                <w:w w:val="99"/>
                <w:sz w:val="21"/>
              </w:rPr>
              <w:t>☆</w:t>
            </w:r>
          </w:p>
        </w:tc>
        <w:tc>
          <w:tcPr>
            <w:tcW w:w="743" w:type="dxa"/>
            <w:tcBorders>
              <w:top w:val="single" w:color="000000" w:sz="4" w:space="0"/>
              <w:left w:val="single" w:color="000000" w:sz="4" w:space="0"/>
              <w:bottom w:val="single" w:color="000000" w:sz="4" w:space="0"/>
            </w:tcBorders>
          </w:tcPr>
          <w:p>
            <w:pPr>
              <w:pStyle w:val="19"/>
              <w:spacing w:line="259" w:lineRule="exact"/>
              <w:ind w:left="288"/>
              <w:jc w:val="left"/>
              <w:rPr>
                <w:rFonts w:ascii="Segoe UI Symbol" w:hAnsi="Segoe UI Symbol"/>
                <w:sz w:val="21"/>
              </w:rPr>
            </w:pPr>
            <w:r>
              <w:rPr>
                <w:rFonts w:ascii="Segoe UI Symbol" w:hAnsi="Segoe UI Symbol"/>
                <w:color w:val="FF0000"/>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 w:hRule="atLeast"/>
        </w:trPr>
        <w:tc>
          <w:tcPr>
            <w:tcW w:w="678" w:type="dxa"/>
            <w:vMerge w:val="continue"/>
            <w:tcBorders>
              <w:top w:val="nil"/>
              <w:bottom w:val="single" w:color="000000" w:sz="4" w:space="0"/>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9"/>
              <w:spacing w:before="3" w:line="256" w:lineRule="exact"/>
              <w:ind w:left="271" w:right="256"/>
              <w:rPr>
                <w:sz w:val="21"/>
              </w:rPr>
            </w:pPr>
            <w:r>
              <w:rPr>
                <w:color w:val="FF0000"/>
                <w:sz w:val="21"/>
              </w:rPr>
              <w:t>地表水体</w:t>
            </w:r>
          </w:p>
        </w:tc>
        <w:tc>
          <w:tcPr>
            <w:tcW w:w="141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9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83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9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63"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39"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29" w:type="dxa"/>
            <w:tcBorders>
              <w:top w:val="single" w:color="000000" w:sz="4" w:space="0"/>
              <w:left w:val="single" w:color="000000" w:sz="4" w:space="0"/>
              <w:bottom w:val="single" w:color="000000" w:sz="4" w:space="0"/>
              <w:right w:val="single" w:color="000000" w:sz="4" w:space="0"/>
            </w:tcBorders>
          </w:tcPr>
          <w:p>
            <w:pPr>
              <w:pStyle w:val="19"/>
              <w:spacing w:line="259" w:lineRule="exact"/>
              <w:ind w:left="16"/>
              <w:rPr>
                <w:rFonts w:ascii="Segoe UI Symbol" w:hAnsi="Segoe UI Symbol"/>
                <w:sz w:val="21"/>
              </w:rPr>
            </w:pPr>
            <w:r>
              <w:rPr>
                <w:rFonts w:ascii="Segoe UI Symbol" w:hAnsi="Segoe UI Symbol"/>
                <w:color w:val="FF0000"/>
                <w:w w:val="99"/>
                <w:sz w:val="21"/>
              </w:rPr>
              <w:t>☆</w:t>
            </w:r>
          </w:p>
        </w:tc>
        <w:tc>
          <w:tcPr>
            <w:tcW w:w="743" w:type="dxa"/>
            <w:tcBorders>
              <w:top w:val="single" w:color="000000" w:sz="4" w:space="0"/>
              <w:left w:val="single" w:color="000000" w:sz="4" w:space="0"/>
              <w:bottom w:val="single" w:color="000000" w:sz="4" w:space="0"/>
            </w:tcBorders>
          </w:tcPr>
          <w:p>
            <w:pPr>
              <w:pStyle w:val="19"/>
              <w:spacing w:line="259" w:lineRule="exact"/>
              <w:ind w:left="288"/>
              <w:jc w:val="left"/>
              <w:rPr>
                <w:rFonts w:ascii="Segoe UI Symbol" w:hAnsi="Segoe UI Symbol"/>
                <w:sz w:val="21"/>
              </w:rPr>
            </w:pPr>
            <w:r>
              <w:rPr>
                <w:rFonts w:ascii="Segoe UI Symbol" w:hAnsi="Segoe UI Symbol"/>
                <w:color w:val="FF0000"/>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678" w:type="dxa"/>
            <w:vMerge w:val="restart"/>
            <w:tcBorders>
              <w:top w:val="single" w:color="000000" w:sz="4" w:space="0"/>
              <w:bottom w:val="single" w:color="000000" w:sz="4" w:space="0"/>
              <w:right w:val="single" w:color="000000" w:sz="4" w:space="0"/>
            </w:tcBorders>
          </w:tcPr>
          <w:p>
            <w:pPr>
              <w:pStyle w:val="19"/>
              <w:jc w:val="left"/>
              <w:rPr>
                <w:b/>
                <w:sz w:val="20"/>
              </w:rPr>
            </w:pPr>
          </w:p>
          <w:p>
            <w:pPr>
              <w:pStyle w:val="19"/>
              <w:spacing w:before="7"/>
              <w:jc w:val="left"/>
              <w:rPr>
                <w:b/>
                <w:sz w:val="14"/>
              </w:rPr>
            </w:pPr>
          </w:p>
          <w:p>
            <w:pPr>
              <w:pStyle w:val="19"/>
              <w:spacing w:before="1" w:line="242" w:lineRule="auto"/>
              <w:ind w:left="127" w:right="115"/>
              <w:jc w:val="left"/>
              <w:rPr>
                <w:sz w:val="21"/>
              </w:rPr>
            </w:pPr>
            <w:r>
              <w:rPr>
                <w:color w:val="FF0000"/>
                <w:sz w:val="21"/>
              </w:rPr>
              <w:t>生活质量</w:t>
            </w:r>
          </w:p>
        </w:tc>
        <w:tc>
          <w:tcPr>
            <w:tcW w:w="1417" w:type="dxa"/>
            <w:tcBorders>
              <w:top w:val="single" w:color="000000" w:sz="4" w:space="0"/>
              <w:left w:val="single" w:color="000000" w:sz="4" w:space="0"/>
              <w:bottom w:val="single" w:color="000000" w:sz="4" w:space="0"/>
              <w:right w:val="single" w:color="000000" w:sz="4" w:space="0"/>
            </w:tcBorders>
          </w:tcPr>
          <w:p>
            <w:pPr>
              <w:pStyle w:val="19"/>
              <w:spacing w:before="4" w:line="256" w:lineRule="exact"/>
              <w:ind w:left="271" w:right="256"/>
              <w:rPr>
                <w:sz w:val="21"/>
              </w:rPr>
            </w:pPr>
            <w:r>
              <w:rPr>
                <w:color w:val="FF0000"/>
                <w:sz w:val="21"/>
              </w:rPr>
              <w:t>空气质量</w:t>
            </w:r>
          </w:p>
        </w:tc>
        <w:tc>
          <w:tcPr>
            <w:tcW w:w="141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9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834" w:type="dxa"/>
            <w:tcBorders>
              <w:top w:val="single" w:color="000000" w:sz="4" w:space="0"/>
              <w:left w:val="single" w:color="000000" w:sz="4" w:space="0"/>
              <w:bottom w:val="single" w:color="000000" w:sz="4" w:space="0"/>
              <w:right w:val="single" w:color="000000" w:sz="4" w:space="0"/>
            </w:tcBorders>
          </w:tcPr>
          <w:p>
            <w:pPr>
              <w:pStyle w:val="19"/>
              <w:spacing w:line="260" w:lineRule="exact"/>
              <w:ind w:left="20"/>
              <w:rPr>
                <w:rFonts w:ascii="Segoe UI Symbol" w:hAnsi="Segoe UI Symbol"/>
                <w:sz w:val="21"/>
              </w:rPr>
            </w:pPr>
            <w:r>
              <w:rPr>
                <w:rFonts w:ascii="Segoe UI Symbol" w:hAnsi="Segoe UI Symbol"/>
                <w:color w:val="FF0000"/>
                <w:w w:val="99"/>
                <w:sz w:val="21"/>
              </w:rPr>
              <w:t>★</w:t>
            </w:r>
          </w:p>
        </w:tc>
        <w:tc>
          <w:tcPr>
            <w:tcW w:w="79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63"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39"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29" w:type="dxa"/>
            <w:tcBorders>
              <w:top w:val="single" w:color="000000" w:sz="4" w:space="0"/>
              <w:left w:val="single" w:color="000000" w:sz="4" w:space="0"/>
              <w:bottom w:val="single" w:color="000000" w:sz="4" w:space="0"/>
              <w:right w:val="single" w:color="000000" w:sz="4" w:space="0"/>
            </w:tcBorders>
          </w:tcPr>
          <w:p>
            <w:pPr>
              <w:pStyle w:val="19"/>
              <w:spacing w:line="260" w:lineRule="exact"/>
              <w:ind w:left="16"/>
              <w:rPr>
                <w:rFonts w:ascii="Segoe UI Symbol" w:hAnsi="Segoe UI Symbol"/>
                <w:sz w:val="21"/>
              </w:rPr>
            </w:pPr>
            <w:r>
              <w:rPr>
                <w:rFonts w:ascii="Segoe UI Symbol" w:hAnsi="Segoe UI Symbol"/>
                <w:color w:val="FF0000"/>
                <w:w w:val="99"/>
                <w:sz w:val="21"/>
              </w:rPr>
              <w:t>☆</w:t>
            </w:r>
          </w:p>
        </w:tc>
        <w:tc>
          <w:tcPr>
            <w:tcW w:w="743" w:type="dxa"/>
            <w:tcBorders>
              <w:top w:val="single" w:color="000000" w:sz="4" w:space="0"/>
              <w:left w:val="single" w:color="000000" w:sz="4" w:space="0"/>
              <w:bottom w:val="single" w:color="000000" w:sz="4" w:space="0"/>
            </w:tcBorders>
          </w:tcPr>
          <w:p>
            <w:pPr>
              <w:pStyle w:val="19"/>
              <w:spacing w:line="260" w:lineRule="exact"/>
              <w:ind w:left="288"/>
              <w:jc w:val="left"/>
              <w:rPr>
                <w:rFonts w:ascii="Segoe UI Symbol" w:hAnsi="Segoe UI Symbol"/>
                <w:sz w:val="21"/>
              </w:rPr>
            </w:pPr>
            <w:r>
              <w:rPr>
                <w:rFonts w:ascii="Segoe UI Symbol" w:hAnsi="Segoe UI Symbol"/>
                <w:color w:val="FF0000"/>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8" w:hRule="atLeast"/>
        </w:trPr>
        <w:tc>
          <w:tcPr>
            <w:tcW w:w="678" w:type="dxa"/>
            <w:vMerge w:val="continue"/>
            <w:tcBorders>
              <w:top w:val="nil"/>
              <w:bottom w:val="single" w:color="000000" w:sz="4" w:space="0"/>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9"/>
              <w:spacing w:before="2" w:line="257" w:lineRule="exact"/>
              <w:ind w:left="271" w:right="256"/>
              <w:rPr>
                <w:sz w:val="21"/>
              </w:rPr>
            </w:pPr>
            <w:r>
              <w:rPr>
                <w:color w:val="FF0000"/>
                <w:sz w:val="21"/>
              </w:rPr>
              <w:t>地表水质</w:t>
            </w:r>
          </w:p>
        </w:tc>
        <w:tc>
          <w:tcPr>
            <w:tcW w:w="141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95" w:type="dxa"/>
            <w:tcBorders>
              <w:top w:val="single" w:color="000000" w:sz="4" w:space="0"/>
              <w:left w:val="single" w:color="000000" w:sz="4" w:space="0"/>
              <w:bottom w:val="single" w:color="000000" w:sz="4" w:space="0"/>
              <w:right w:val="single" w:color="000000" w:sz="4" w:space="0"/>
            </w:tcBorders>
          </w:tcPr>
          <w:p>
            <w:pPr>
              <w:pStyle w:val="19"/>
              <w:spacing w:line="259" w:lineRule="exact"/>
              <w:ind w:left="17"/>
              <w:rPr>
                <w:rFonts w:ascii="Segoe UI Symbol" w:hAnsi="Segoe UI Symbol"/>
                <w:sz w:val="21"/>
              </w:rPr>
            </w:pPr>
            <w:r>
              <w:rPr>
                <w:rFonts w:ascii="Segoe UI Symbol" w:hAnsi="Segoe UI Symbol"/>
                <w:color w:val="FF0000"/>
                <w:w w:val="99"/>
                <w:sz w:val="21"/>
              </w:rPr>
              <w:t>★</w:t>
            </w:r>
          </w:p>
        </w:tc>
        <w:tc>
          <w:tcPr>
            <w:tcW w:w="83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9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63" w:type="dxa"/>
            <w:tcBorders>
              <w:top w:val="single" w:color="000000" w:sz="4" w:space="0"/>
              <w:left w:val="single" w:color="000000" w:sz="4" w:space="0"/>
              <w:bottom w:val="single" w:color="000000" w:sz="4" w:space="0"/>
              <w:right w:val="single" w:color="000000" w:sz="4" w:space="0"/>
            </w:tcBorders>
          </w:tcPr>
          <w:p>
            <w:pPr>
              <w:pStyle w:val="19"/>
              <w:spacing w:before="16"/>
              <w:ind w:left="19"/>
              <w:rPr>
                <w:rFonts w:ascii="Times New Roman" w:hAnsi="Times New Roman"/>
                <w:sz w:val="21"/>
              </w:rPr>
            </w:pPr>
            <w:r>
              <w:rPr>
                <w:rFonts w:ascii="Times New Roman" w:hAnsi="Times New Roman"/>
                <w:color w:val="FF0000"/>
                <w:w w:val="99"/>
                <w:sz w:val="21"/>
              </w:rPr>
              <w:t>▲</w:t>
            </w:r>
          </w:p>
        </w:tc>
        <w:tc>
          <w:tcPr>
            <w:tcW w:w="739"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29"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43"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678" w:type="dxa"/>
            <w:vMerge w:val="continue"/>
            <w:tcBorders>
              <w:top w:val="nil"/>
              <w:bottom w:val="single" w:color="000000" w:sz="4" w:space="0"/>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9"/>
              <w:spacing w:line="252" w:lineRule="exact"/>
              <w:ind w:left="271" w:right="256"/>
              <w:rPr>
                <w:sz w:val="21"/>
              </w:rPr>
            </w:pPr>
            <w:r>
              <w:rPr>
                <w:color w:val="FF0000"/>
                <w:sz w:val="21"/>
              </w:rPr>
              <w:t>地下水质</w:t>
            </w:r>
          </w:p>
        </w:tc>
        <w:tc>
          <w:tcPr>
            <w:tcW w:w="141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9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83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95" w:type="dxa"/>
            <w:tcBorders>
              <w:top w:val="single" w:color="000000" w:sz="4" w:space="0"/>
              <w:left w:val="single" w:color="000000" w:sz="4" w:space="0"/>
              <w:bottom w:val="single" w:color="000000" w:sz="4" w:space="0"/>
              <w:right w:val="single" w:color="000000" w:sz="4" w:space="0"/>
            </w:tcBorders>
          </w:tcPr>
          <w:p>
            <w:pPr>
              <w:pStyle w:val="19"/>
              <w:spacing w:before="13" w:line="239" w:lineRule="exact"/>
              <w:ind w:left="17"/>
              <w:rPr>
                <w:rFonts w:ascii="Times New Roman" w:hAnsi="Times New Roman"/>
                <w:sz w:val="21"/>
              </w:rPr>
            </w:pPr>
            <w:r>
              <w:rPr>
                <w:rFonts w:ascii="Times New Roman" w:hAnsi="Times New Roman"/>
                <w:color w:val="FF0000"/>
                <w:w w:val="99"/>
                <w:sz w:val="21"/>
              </w:rPr>
              <w:t>▲</w:t>
            </w:r>
          </w:p>
        </w:tc>
        <w:tc>
          <w:tcPr>
            <w:tcW w:w="763"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39"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29"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43"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678" w:type="dxa"/>
            <w:vMerge w:val="continue"/>
            <w:tcBorders>
              <w:top w:val="nil"/>
              <w:bottom w:val="single" w:color="000000" w:sz="4" w:space="0"/>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9"/>
              <w:spacing w:before="5" w:line="255" w:lineRule="exact"/>
              <w:ind w:left="271" w:right="256"/>
              <w:rPr>
                <w:sz w:val="21"/>
              </w:rPr>
            </w:pPr>
            <w:r>
              <w:rPr>
                <w:color w:val="FF0000"/>
                <w:sz w:val="21"/>
              </w:rPr>
              <w:t>声学环境</w:t>
            </w:r>
          </w:p>
        </w:tc>
        <w:tc>
          <w:tcPr>
            <w:tcW w:w="1415" w:type="dxa"/>
            <w:tcBorders>
              <w:top w:val="single" w:color="000000" w:sz="4" w:space="0"/>
              <w:left w:val="single" w:color="000000" w:sz="4" w:space="0"/>
              <w:bottom w:val="single" w:color="000000" w:sz="4" w:space="0"/>
              <w:right w:val="single" w:color="000000" w:sz="4" w:space="0"/>
            </w:tcBorders>
          </w:tcPr>
          <w:p>
            <w:pPr>
              <w:pStyle w:val="19"/>
              <w:spacing w:line="260" w:lineRule="exact"/>
              <w:ind w:left="19"/>
              <w:rPr>
                <w:rFonts w:ascii="Segoe UI Symbol" w:hAnsi="Segoe UI Symbol"/>
                <w:sz w:val="21"/>
              </w:rPr>
            </w:pPr>
            <w:r>
              <w:rPr>
                <w:rFonts w:ascii="Segoe UI Symbol" w:hAnsi="Segoe UI Symbol"/>
                <w:color w:val="FF0000"/>
                <w:w w:val="99"/>
                <w:sz w:val="21"/>
              </w:rPr>
              <w:t>★</w:t>
            </w:r>
          </w:p>
        </w:tc>
        <w:tc>
          <w:tcPr>
            <w:tcW w:w="79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83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9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63"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39" w:type="dxa"/>
            <w:tcBorders>
              <w:top w:val="single" w:color="000000" w:sz="4" w:space="0"/>
              <w:left w:val="single" w:color="000000" w:sz="4" w:space="0"/>
              <w:bottom w:val="single" w:color="000000" w:sz="4" w:space="0"/>
              <w:right w:val="single" w:color="000000" w:sz="4" w:space="0"/>
            </w:tcBorders>
          </w:tcPr>
          <w:p>
            <w:pPr>
              <w:pStyle w:val="19"/>
              <w:spacing w:before="19" w:line="241" w:lineRule="exact"/>
              <w:ind w:left="19"/>
              <w:rPr>
                <w:rFonts w:ascii="Times New Roman" w:hAnsi="Times New Roman"/>
                <w:sz w:val="21"/>
              </w:rPr>
            </w:pPr>
            <w:r>
              <w:rPr>
                <w:rFonts w:ascii="Times New Roman" w:hAnsi="Times New Roman"/>
                <w:color w:val="FF0000"/>
                <w:w w:val="99"/>
                <w:sz w:val="21"/>
              </w:rPr>
              <w:t>▲</w:t>
            </w:r>
          </w:p>
        </w:tc>
        <w:tc>
          <w:tcPr>
            <w:tcW w:w="729" w:type="dxa"/>
            <w:tcBorders>
              <w:top w:val="single" w:color="000000" w:sz="4" w:space="0"/>
              <w:left w:val="single" w:color="000000" w:sz="4" w:space="0"/>
              <w:bottom w:val="single" w:color="000000" w:sz="4" w:space="0"/>
              <w:right w:val="single" w:color="000000" w:sz="4" w:space="0"/>
            </w:tcBorders>
          </w:tcPr>
          <w:p>
            <w:pPr>
              <w:pStyle w:val="19"/>
              <w:spacing w:line="260" w:lineRule="exact"/>
              <w:ind w:left="16"/>
              <w:rPr>
                <w:rFonts w:ascii="Segoe UI Symbol" w:hAnsi="Segoe UI Symbol"/>
                <w:sz w:val="21"/>
              </w:rPr>
            </w:pPr>
            <w:r>
              <w:rPr>
                <w:rFonts w:ascii="Segoe UI Symbol" w:hAnsi="Segoe UI Symbol"/>
                <w:color w:val="FF0000"/>
                <w:w w:val="99"/>
                <w:sz w:val="21"/>
              </w:rPr>
              <w:t>☆</w:t>
            </w:r>
          </w:p>
        </w:tc>
        <w:tc>
          <w:tcPr>
            <w:tcW w:w="743" w:type="dxa"/>
            <w:tcBorders>
              <w:top w:val="single" w:color="000000" w:sz="4" w:space="0"/>
              <w:left w:val="single" w:color="000000" w:sz="4" w:space="0"/>
              <w:bottom w:val="single" w:color="000000" w:sz="4" w:space="0"/>
            </w:tcBorders>
          </w:tcPr>
          <w:p>
            <w:pPr>
              <w:pStyle w:val="19"/>
              <w:spacing w:line="260" w:lineRule="exact"/>
              <w:ind w:left="288"/>
              <w:jc w:val="left"/>
              <w:rPr>
                <w:rFonts w:ascii="Segoe UI Symbol" w:hAnsi="Segoe UI Symbol"/>
                <w:sz w:val="21"/>
              </w:rPr>
            </w:pPr>
            <w:r>
              <w:rPr>
                <w:rFonts w:ascii="Segoe UI Symbol" w:hAnsi="Segoe UI Symbol"/>
                <w:color w:val="FF0000"/>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 w:hRule="atLeast"/>
        </w:trPr>
        <w:tc>
          <w:tcPr>
            <w:tcW w:w="678" w:type="dxa"/>
            <w:vMerge w:val="continue"/>
            <w:tcBorders>
              <w:top w:val="nil"/>
              <w:bottom w:val="single" w:color="000000" w:sz="4" w:space="0"/>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9"/>
              <w:spacing w:before="3" w:line="256" w:lineRule="exact"/>
              <w:ind w:left="271" w:right="256"/>
              <w:rPr>
                <w:sz w:val="21"/>
              </w:rPr>
            </w:pPr>
            <w:r>
              <w:rPr>
                <w:color w:val="FF0000"/>
                <w:sz w:val="21"/>
              </w:rPr>
              <w:t>居住环境</w:t>
            </w:r>
          </w:p>
        </w:tc>
        <w:tc>
          <w:tcPr>
            <w:tcW w:w="141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9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83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9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63" w:type="dxa"/>
            <w:tcBorders>
              <w:top w:val="single" w:color="000000" w:sz="4" w:space="0"/>
              <w:left w:val="single" w:color="000000" w:sz="4" w:space="0"/>
              <w:bottom w:val="single" w:color="000000" w:sz="4" w:space="0"/>
              <w:right w:val="single" w:color="000000" w:sz="4" w:space="0"/>
            </w:tcBorders>
          </w:tcPr>
          <w:p>
            <w:pPr>
              <w:pStyle w:val="19"/>
              <w:spacing w:before="17"/>
              <w:ind w:left="19"/>
              <w:rPr>
                <w:rFonts w:ascii="Times New Roman" w:hAnsi="Times New Roman"/>
                <w:sz w:val="21"/>
              </w:rPr>
            </w:pPr>
            <w:r>
              <w:rPr>
                <w:rFonts w:ascii="Times New Roman" w:hAnsi="Times New Roman"/>
                <w:color w:val="FF0000"/>
                <w:w w:val="99"/>
                <w:sz w:val="21"/>
              </w:rPr>
              <w:t>▲</w:t>
            </w:r>
          </w:p>
        </w:tc>
        <w:tc>
          <w:tcPr>
            <w:tcW w:w="739"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729" w:type="dxa"/>
            <w:tcBorders>
              <w:top w:val="single" w:color="000000" w:sz="4" w:space="0"/>
              <w:left w:val="single" w:color="000000" w:sz="4" w:space="0"/>
              <w:bottom w:val="single" w:color="000000" w:sz="4" w:space="0"/>
              <w:right w:val="single" w:color="000000" w:sz="4" w:space="0"/>
            </w:tcBorders>
          </w:tcPr>
          <w:p>
            <w:pPr>
              <w:pStyle w:val="19"/>
              <w:spacing w:line="259" w:lineRule="exact"/>
              <w:ind w:left="16"/>
              <w:rPr>
                <w:rFonts w:ascii="Segoe UI Symbol" w:hAnsi="Segoe UI Symbol"/>
                <w:sz w:val="21"/>
              </w:rPr>
            </w:pPr>
            <w:r>
              <w:rPr>
                <w:rFonts w:ascii="Segoe UI Symbol" w:hAnsi="Segoe UI Symbol"/>
                <w:color w:val="FF0000"/>
                <w:w w:val="99"/>
                <w:sz w:val="21"/>
              </w:rPr>
              <w:t>☆</w:t>
            </w:r>
          </w:p>
        </w:tc>
        <w:tc>
          <w:tcPr>
            <w:tcW w:w="743" w:type="dxa"/>
            <w:tcBorders>
              <w:top w:val="single" w:color="000000" w:sz="4" w:space="0"/>
              <w:left w:val="single" w:color="000000" w:sz="4" w:space="0"/>
              <w:bottom w:val="single" w:color="000000" w:sz="4" w:space="0"/>
            </w:tcBorders>
          </w:tcPr>
          <w:p>
            <w:pPr>
              <w:pStyle w:val="19"/>
              <w:spacing w:line="259" w:lineRule="exact"/>
              <w:ind w:left="288"/>
              <w:jc w:val="left"/>
              <w:rPr>
                <w:rFonts w:ascii="Segoe UI Symbol" w:hAnsi="Segoe UI Symbol"/>
                <w:sz w:val="21"/>
              </w:rPr>
            </w:pPr>
            <w:r>
              <w:rPr>
                <w:rFonts w:ascii="Segoe UI Symbol" w:hAnsi="Segoe UI Symbol"/>
                <w:color w:val="FF0000"/>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5" w:hRule="atLeast"/>
        </w:trPr>
        <w:tc>
          <w:tcPr>
            <w:tcW w:w="8908" w:type="dxa"/>
            <w:gridSpan w:val="10"/>
            <w:tcBorders>
              <w:top w:val="single" w:color="000000" w:sz="4" w:space="0"/>
            </w:tcBorders>
          </w:tcPr>
          <w:p>
            <w:pPr>
              <w:pStyle w:val="19"/>
              <w:spacing w:before="1" w:line="225" w:lineRule="exact"/>
              <w:ind w:left="449"/>
              <w:jc w:val="left"/>
              <w:rPr>
                <w:sz w:val="18"/>
              </w:rPr>
            </w:pPr>
            <w:r>
              <w:rPr>
                <w:rFonts w:ascii="Segoe UI Symbol" w:hAnsi="Segoe UI Symbol" w:eastAsia="Segoe UI Symbol"/>
                <w:color w:val="FF0000"/>
                <w:sz w:val="18"/>
              </w:rPr>
              <w:t>☆</w:t>
            </w:r>
            <w:r>
              <w:rPr>
                <w:rFonts w:ascii="Times New Roman" w:hAnsi="Times New Roman" w:eastAsia="Times New Roman"/>
                <w:color w:val="FF0000"/>
                <w:sz w:val="18"/>
              </w:rPr>
              <w:t>/</w:t>
            </w:r>
            <w:r>
              <w:rPr>
                <w:rFonts w:ascii="Segoe UI Symbol" w:hAnsi="Segoe UI Symbol" w:eastAsia="Segoe UI Symbol"/>
                <w:color w:val="FF0000"/>
                <w:sz w:val="18"/>
              </w:rPr>
              <w:t>★</w:t>
            </w:r>
            <w:r>
              <w:rPr>
                <w:color w:val="FF0000"/>
                <w:sz w:val="18"/>
              </w:rPr>
              <w:t>表示长期有利</w:t>
            </w:r>
            <w:r>
              <w:rPr>
                <w:rFonts w:ascii="Times New Roman" w:hAnsi="Times New Roman" w:eastAsia="Times New Roman"/>
                <w:color w:val="FF0000"/>
                <w:sz w:val="18"/>
              </w:rPr>
              <w:t>/</w:t>
            </w:r>
            <w:r>
              <w:rPr>
                <w:color w:val="FF0000"/>
                <w:sz w:val="18"/>
              </w:rPr>
              <w:t>一般不利影响；</w:t>
            </w:r>
            <w:r>
              <w:rPr>
                <w:rFonts w:ascii="Cambria Math" w:hAnsi="Cambria Math" w:eastAsia="Cambria Math"/>
                <w:color w:val="FF0000"/>
                <w:sz w:val="18"/>
              </w:rPr>
              <w:t>△</w:t>
            </w:r>
            <w:r>
              <w:rPr>
                <w:rFonts w:ascii="Times New Roman" w:hAnsi="Times New Roman" w:eastAsia="Times New Roman"/>
                <w:color w:val="FF0000"/>
                <w:sz w:val="18"/>
              </w:rPr>
              <w:t>/▲</w:t>
            </w:r>
            <w:r>
              <w:rPr>
                <w:color w:val="FF0000"/>
                <w:sz w:val="18"/>
              </w:rPr>
              <w:t>表示短期有利</w:t>
            </w:r>
            <w:r>
              <w:rPr>
                <w:rFonts w:ascii="Times New Roman" w:hAnsi="Times New Roman" w:eastAsia="Times New Roman"/>
                <w:color w:val="FF0000"/>
                <w:sz w:val="18"/>
              </w:rPr>
              <w:t>/</w:t>
            </w:r>
            <w:r>
              <w:rPr>
                <w:color w:val="FF0000"/>
                <w:sz w:val="18"/>
              </w:rPr>
              <w:t>一般不利影响；空格表示影响不明显或没有影响</w:t>
            </w:r>
          </w:p>
        </w:tc>
      </w:tr>
    </w:tbl>
    <w:p>
      <w:pPr>
        <w:pStyle w:val="18"/>
        <w:numPr>
          <w:ilvl w:val="2"/>
          <w:numId w:val="15"/>
        </w:numPr>
        <w:tabs>
          <w:tab w:val="left" w:pos="848"/>
        </w:tabs>
        <w:spacing w:before="2" w:after="0" w:line="240" w:lineRule="auto"/>
        <w:ind w:left="847" w:right="0" w:hanging="630"/>
        <w:jc w:val="left"/>
        <w:rPr>
          <w:rFonts w:ascii="Times New Roman" w:eastAsia="Times New Roman"/>
          <w:b/>
          <w:color w:val="FF0000"/>
          <w:sz w:val="28"/>
        </w:rPr>
      </w:pPr>
      <w:bookmarkStart w:id="73" w:name="1.3.2评价因子"/>
      <w:bookmarkEnd w:id="73"/>
      <w:bookmarkStart w:id="74" w:name="1.3.2评价因子"/>
      <w:bookmarkEnd w:id="74"/>
      <w:r>
        <w:rPr>
          <w:b/>
          <w:color w:val="FF0000"/>
          <w:sz w:val="28"/>
        </w:rPr>
        <w:t>评价因子</w:t>
      </w:r>
    </w:p>
    <w:p>
      <w:pPr>
        <w:pStyle w:val="9"/>
        <w:spacing w:before="186"/>
        <w:ind w:left="698"/>
      </w:pPr>
      <w:r>
        <w:rPr>
          <w:color w:val="FF0000"/>
        </w:rPr>
        <w:t>根据工程排污特点和区域环境特征，确定本项目评价因子见下表。</w:t>
      </w:r>
    </w:p>
    <w:p>
      <w:pPr>
        <w:spacing w:before="159" w:after="29"/>
        <w:ind w:left="3405" w:right="0" w:firstLine="0"/>
        <w:jc w:val="left"/>
        <w:rPr>
          <w:b/>
          <w:sz w:val="21"/>
        </w:rPr>
      </w:pPr>
      <w:r>
        <w:rPr>
          <w:b/>
          <w:color w:val="FF0000"/>
          <w:sz w:val="21"/>
        </w:rPr>
        <w:t xml:space="preserve">表 </w:t>
      </w:r>
      <w:r>
        <w:rPr>
          <w:rFonts w:ascii="Times New Roman" w:eastAsia="Times New Roman"/>
          <w:b/>
          <w:color w:val="FF0000"/>
          <w:sz w:val="21"/>
        </w:rPr>
        <w:t xml:space="preserve">1.3-2 </w:t>
      </w:r>
      <w:r>
        <w:rPr>
          <w:b/>
          <w:color w:val="FF0000"/>
          <w:sz w:val="21"/>
        </w:rPr>
        <w:t>评价因子筛选结果一览表</w:t>
      </w: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38"/>
        <w:gridCol w:w="1106"/>
        <w:gridCol w:w="1259"/>
        <w:gridCol w:w="588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038" w:type="dxa"/>
            <w:tcBorders>
              <w:bottom w:val="single" w:color="000000" w:sz="4" w:space="0"/>
              <w:right w:val="single" w:color="000000" w:sz="4" w:space="0"/>
            </w:tcBorders>
          </w:tcPr>
          <w:p>
            <w:pPr>
              <w:pStyle w:val="19"/>
              <w:spacing w:before="78" w:line="262" w:lineRule="exact"/>
              <w:ind w:left="309"/>
              <w:jc w:val="left"/>
              <w:rPr>
                <w:sz w:val="21"/>
              </w:rPr>
            </w:pPr>
            <w:r>
              <w:rPr>
                <w:color w:val="FF0000"/>
                <w:sz w:val="21"/>
              </w:rPr>
              <w:t>序号</w:t>
            </w:r>
          </w:p>
        </w:tc>
        <w:tc>
          <w:tcPr>
            <w:tcW w:w="1106" w:type="dxa"/>
            <w:tcBorders>
              <w:left w:val="single" w:color="000000" w:sz="4" w:space="0"/>
              <w:bottom w:val="single" w:color="000000" w:sz="4" w:space="0"/>
              <w:right w:val="single" w:color="000000" w:sz="4" w:space="0"/>
            </w:tcBorders>
          </w:tcPr>
          <w:p>
            <w:pPr>
              <w:pStyle w:val="19"/>
              <w:spacing w:before="78" w:line="262" w:lineRule="exact"/>
              <w:ind w:left="138"/>
              <w:jc w:val="left"/>
              <w:rPr>
                <w:sz w:val="21"/>
              </w:rPr>
            </w:pPr>
            <w:r>
              <w:rPr>
                <w:color w:val="FF0000"/>
                <w:sz w:val="21"/>
              </w:rPr>
              <w:t>环境要素</w:t>
            </w:r>
          </w:p>
        </w:tc>
        <w:tc>
          <w:tcPr>
            <w:tcW w:w="1259" w:type="dxa"/>
            <w:tcBorders>
              <w:left w:val="single" w:color="000000" w:sz="4" w:space="0"/>
              <w:bottom w:val="single" w:color="000000" w:sz="4" w:space="0"/>
              <w:right w:val="single" w:color="000000" w:sz="4" w:space="0"/>
            </w:tcBorders>
          </w:tcPr>
          <w:p>
            <w:pPr>
              <w:pStyle w:val="19"/>
              <w:spacing w:before="78" w:line="262" w:lineRule="exact"/>
              <w:ind w:left="187" w:right="173"/>
              <w:rPr>
                <w:sz w:val="21"/>
              </w:rPr>
            </w:pPr>
            <w:r>
              <w:rPr>
                <w:color w:val="FF0000"/>
                <w:sz w:val="21"/>
              </w:rPr>
              <w:t>评价专题</w:t>
            </w:r>
          </w:p>
        </w:tc>
        <w:tc>
          <w:tcPr>
            <w:tcW w:w="5883" w:type="dxa"/>
            <w:tcBorders>
              <w:left w:val="single" w:color="000000" w:sz="4" w:space="0"/>
              <w:bottom w:val="single" w:color="000000" w:sz="4" w:space="0"/>
            </w:tcBorders>
          </w:tcPr>
          <w:p>
            <w:pPr>
              <w:pStyle w:val="19"/>
              <w:spacing w:before="78" w:line="262" w:lineRule="exact"/>
              <w:ind w:left="61" w:right="41"/>
              <w:rPr>
                <w:sz w:val="21"/>
              </w:rPr>
            </w:pPr>
            <w:r>
              <w:rPr>
                <w:color w:val="FF0000"/>
                <w:sz w:val="21"/>
              </w:rPr>
              <w:t>评价因子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038" w:type="dxa"/>
            <w:vMerge w:val="restart"/>
            <w:tcBorders>
              <w:top w:val="single" w:color="000000" w:sz="4" w:space="0"/>
              <w:bottom w:val="single" w:color="000000" w:sz="4" w:space="0"/>
              <w:right w:val="single" w:color="000000" w:sz="4" w:space="0"/>
            </w:tcBorders>
          </w:tcPr>
          <w:p>
            <w:pPr>
              <w:pStyle w:val="19"/>
              <w:spacing w:before="7"/>
              <w:jc w:val="left"/>
              <w:rPr>
                <w:b/>
                <w:sz w:val="21"/>
              </w:rPr>
            </w:pPr>
          </w:p>
          <w:p>
            <w:pPr>
              <w:pStyle w:val="19"/>
              <w:ind w:left="12"/>
              <w:rPr>
                <w:rFonts w:ascii="Times New Roman"/>
                <w:sz w:val="21"/>
              </w:rPr>
            </w:pPr>
            <w:r>
              <w:rPr>
                <w:rFonts w:ascii="Times New Roman"/>
                <w:color w:val="FF0000"/>
                <w:w w:val="99"/>
                <w:sz w:val="21"/>
              </w:rPr>
              <w:t>1</w:t>
            </w:r>
          </w:p>
        </w:tc>
        <w:tc>
          <w:tcPr>
            <w:tcW w:w="1106" w:type="dxa"/>
            <w:vMerge w:val="restart"/>
            <w:tcBorders>
              <w:top w:val="single" w:color="000000" w:sz="4" w:space="0"/>
              <w:left w:val="single" w:color="000000" w:sz="4" w:space="0"/>
              <w:bottom w:val="single" w:color="000000" w:sz="4" w:space="0"/>
              <w:right w:val="single" w:color="000000" w:sz="4" w:space="0"/>
            </w:tcBorders>
          </w:tcPr>
          <w:p>
            <w:pPr>
              <w:pStyle w:val="19"/>
              <w:spacing w:before="5"/>
              <w:jc w:val="left"/>
              <w:rPr>
                <w:b/>
                <w:sz w:val="20"/>
              </w:rPr>
            </w:pPr>
          </w:p>
          <w:p>
            <w:pPr>
              <w:pStyle w:val="19"/>
              <w:spacing w:before="1"/>
              <w:ind w:left="138"/>
              <w:jc w:val="left"/>
              <w:rPr>
                <w:sz w:val="21"/>
              </w:rPr>
            </w:pPr>
            <w:r>
              <w:rPr>
                <w:color w:val="FF0000"/>
                <w:sz w:val="21"/>
              </w:rPr>
              <w:t>环境空气</w:t>
            </w:r>
          </w:p>
        </w:tc>
        <w:tc>
          <w:tcPr>
            <w:tcW w:w="1259" w:type="dxa"/>
            <w:tcBorders>
              <w:top w:val="single" w:color="000000" w:sz="4" w:space="0"/>
              <w:left w:val="single" w:color="000000" w:sz="4" w:space="0"/>
              <w:bottom w:val="single" w:color="000000" w:sz="4" w:space="0"/>
              <w:right w:val="single" w:color="000000" w:sz="4" w:space="0"/>
            </w:tcBorders>
          </w:tcPr>
          <w:p>
            <w:pPr>
              <w:pStyle w:val="19"/>
              <w:spacing w:before="77" w:line="263" w:lineRule="exact"/>
              <w:ind w:left="187" w:right="173"/>
              <w:rPr>
                <w:sz w:val="21"/>
              </w:rPr>
            </w:pPr>
            <w:r>
              <w:rPr>
                <w:color w:val="FF0000"/>
                <w:sz w:val="21"/>
              </w:rPr>
              <w:t>现状评价</w:t>
            </w:r>
          </w:p>
        </w:tc>
        <w:tc>
          <w:tcPr>
            <w:tcW w:w="5883" w:type="dxa"/>
            <w:tcBorders>
              <w:top w:val="single" w:color="000000" w:sz="4" w:space="0"/>
              <w:left w:val="single" w:color="000000" w:sz="4" w:space="0"/>
              <w:bottom w:val="single" w:color="000000" w:sz="4" w:space="0"/>
            </w:tcBorders>
          </w:tcPr>
          <w:p>
            <w:pPr>
              <w:pStyle w:val="19"/>
              <w:spacing w:before="74" w:line="266" w:lineRule="exact"/>
              <w:ind w:left="74" w:right="41"/>
              <w:rPr>
                <w:rFonts w:ascii="Times New Roman" w:eastAsia="Times New Roman"/>
                <w:sz w:val="21"/>
              </w:rPr>
            </w:pPr>
            <w:r>
              <w:rPr>
                <w:rFonts w:ascii="Times New Roman" w:eastAsia="Times New Roman"/>
                <w:color w:val="FF0000"/>
                <w:position w:val="2"/>
                <w:sz w:val="21"/>
              </w:rPr>
              <w:t>SO</w:t>
            </w:r>
            <w:r>
              <w:rPr>
                <w:rFonts w:ascii="Times New Roman" w:eastAsia="Times New Roman"/>
                <w:color w:val="FF0000"/>
                <w:position w:val="2"/>
                <w:sz w:val="21"/>
                <w:vertAlign w:val="subscript"/>
              </w:rPr>
              <w:t>2</w:t>
            </w:r>
            <w:r>
              <w:rPr>
                <w:color w:val="FF0000"/>
                <w:position w:val="2"/>
                <w:sz w:val="21"/>
                <w:vertAlign w:val="baseline"/>
              </w:rPr>
              <w:t>、</w:t>
            </w:r>
            <w:r>
              <w:rPr>
                <w:rFonts w:ascii="Times New Roman" w:eastAsia="Times New Roman"/>
                <w:color w:val="FF0000"/>
                <w:position w:val="2"/>
                <w:sz w:val="21"/>
                <w:vertAlign w:val="baseline"/>
              </w:rPr>
              <w:t>NO</w:t>
            </w:r>
            <w:r>
              <w:rPr>
                <w:rFonts w:ascii="Times New Roman" w:eastAsia="Times New Roman"/>
                <w:color w:val="FF0000"/>
                <w:position w:val="2"/>
                <w:sz w:val="21"/>
                <w:vertAlign w:val="subscript"/>
              </w:rPr>
              <w:t>2</w:t>
            </w:r>
            <w:r>
              <w:rPr>
                <w:color w:val="FF0000"/>
                <w:position w:val="2"/>
                <w:sz w:val="21"/>
                <w:vertAlign w:val="baseline"/>
              </w:rPr>
              <w:t>、</w:t>
            </w:r>
            <w:r>
              <w:rPr>
                <w:rFonts w:ascii="Times New Roman" w:eastAsia="Times New Roman"/>
                <w:color w:val="FF0000"/>
                <w:position w:val="2"/>
                <w:sz w:val="21"/>
                <w:vertAlign w:val="baseline"/>
              </w:rPr>
              <w:t>PM</w:t>
            </w:r>
            <w:r>
              <w:rPr>
                <w:rFonts w:ascii="Times New Roman" w:eastAsia="Times New Roman"/>
                <w:color w:val="FF0000"/>
                <w:position w:val="2"/>
                <w:sz w:val="21"/>
                <w:vertAlign w:val="subscript"/>
              </w:rPr>
              <w:t>10</w:t>
            </w:r>
            <w:r>
              <w:rPr>
                <w:color w:val="FF0000"/>
                <w:position w:val="2"/>
                <w:sz w:val="21"/>
                <w:vertAlign w:val="baseline"/>
              </w:rPr>
              <w:t>、</w:t>
            </w:r>
            <w:r>
              <w:rPr>
                <w:rFonts w:ascii="Times New Roman" w:eastAsia="Times New Roman"/>
                <w:color w:val="FF0000"/>
                <w:position w:val="2"/>
                <w:sz w:val="21"/>
                <w:vertAlign w:val="baseline"/>
              </w:rPr>
              <w:t>PM</w:t>
            </w:r>
            <w:r>
              <w:rPr>
                <w:rFonts w:ascii="Times New Roman" w:eastAsia="Times New Roman"/>
                <w:color w:val="FF0000"/>
                <w:position w:val="2"/>
                <w:sz w:val="21"/>
                <w:vertAlign w:val="subscript"/>
              </w:rPr>
              <w:t>2.5</w:t>
            </w:r>
            <w:r>
              <w:rPr>
                <w:color w:val="FF0000"/>
                <w:position w:val="2"/>
                <w:sz w:val="21"/>
                <w:vertAlign w:val="baseline"/>
              </w:rPr>
              <w:t>、</w:t>
            </w:r>
            <w:r>
              <w:rPr>
                <w:rFonts w:ascii="Times New Roman" w:eastAsia="Times New Roman"/>
                <w:color w:val="FF0000"/>
                <w:position w:val="2"/>
                <w:sz w:val="21"/>
                <w:vertAlign w:val="baseline"/>
              </w:rPr>
              <w:t>TSP</w:t>
            </w:r>
            <w:r>
              <w:rPr>
                <w:color w:val="FF0000"/>
                <w:position w:val="2"/>
                <w:sz w:val="21"/>
                <w:vertAlign w:val="baseline"/>
              </w:rPr>
              <w:t>、</w:t>
            </w:r>
            <w:r>
              <w:rPr>
                <w:rFonts w:ascii="Times New Roman" w:eastAsia="Times New Roman"/>
                <w:color w:val="FF0000"/>
                <w:position w:val="2"/>
                <w:sz w:val="21"/>
                <w:vertAlign w:val="baseline"/>
              </w:rPr>
              <w:t>CO</w:t>
            </w:r>
            <w:r>
              <w:rPr>
                <w:color w:val="FF0000"/>
                <w:position w:val="2"/>
                <w:sz w:val="21"/>
                <w:vertAlign w:val="baseline"/>
              </w:rPr>
              <w:t>、</w:t>
            </w:r>
            <w:r>
              <w:rPr>
                <w:rFonts w:ascii="Times New Roman" w:eastAsia="Times New Roman"/>
                <w:color w:val="FF0000"/>
                <w:position w:val="2"/>
                <w:sz w:val="21"/>
                <w:vertAlign w:val="baseline"/>
              </w:rPr>
              <w:t>O</w:t>
            </w:r>
            <w:r>
              <w:rPr>
                <w:rFonts w:ascii="Times New Roman" w:eastAsia="Times New Roman"/>
                <w:color w:val="FF0000"/>
                <w:position w:val="2"/>
                <w:sz w:val="21"/>
                <w:vertAlign w:val="subscript"/>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038" w:type="dxa"/>
            <w:vMerge w:val="continue"/>
            <w:tcBorders>
              <w:top w:val="nil"/>
              <w:bottom w:val="single" w:color="000000" w:sz="4" w:space="0"/>
              <w:right w:val="single" w:color="000000" w:sz="4" w:space="0"/>
            </w:tcBorders>
          </w:tcPr>
          <w:p>
            <w:pPr>
              <w:rPr>
                <w:sz w:val="2"/>
                <w:szCs w:val="2"/>
              </w:rPr>
            </w:pPr>
          </w:p>
        </w:tc>
        <w:tc>
          <w:tcPr>
            <w:tcW w:w="1106" w:type="dxa"/>
            <w:vMerge w:val="continue"/>
            <w:tcBorders>
              <w:top w:val="nil"/>
              <w:left w:val="single" w:color="000000" w:sz="4" w:space="0"/>
              <w:bottom w:val="single" w:color="000000" w:sz="4" w:space="0"/>
              <w:right w:val="single" w:color="000000" w:sz="4" w:space="0"/>
            </w:tcBorders>
          </w:tcPr>
          <w:p>
            <w:pPr>
              <w:rPr>
                <w:sz w:val="2"/>
                <w:szCs w:val="2"/>
              </w:rPr>
            </w:pPr>
          </w:p>
        </w:tc>
        <w:tc>
          <w:tcPr>
            <w:tcW w:w="1259" w:type="dxa"/>
            <w:tcBorders>
              <w:top w:val="single" w:color="000000" w:sz="4" w:space="0"/>
              <w:left w:val="single" w:color="000000" w:sz="4" w:space="0"/>
              <w:bottom w:val="single" w:color="000000" w:sz="4" w:space="0"/>
              <w:right w:val="single" w:color="000000" w:sz="4" w:space="0"/>
            </w:tcBorders>
          </w:tcPr>
          <w:p>
            <w:pPr>
              <w:pStyle w:val="19"/>
              <w:spacing w:before="77" w:line="263" w:lineRule="exact"/>
              <w:ind w:left="187" w:right="173"/>
              <w:rPr>
                <w:sz w:val="21"/>
              </w:rPr>
            </w:pPr>
            <w:r>
              <w:rPr>
                <w:color w:val="FF0000"/>
                <w:sz w:val="21"/>
              </w:rPr>
              <w:t>预测评价</w:t>
            </w:r>
          </w:p>
        </w:tc>
        <w:tc>
          <w:tcPr>
            <w:tcW w:w="5883" w:type="dxa"/>
            <w:tcBorders>
              <w:top w:val="single" w:color="000000" w:sz="4" w:space="0"/>
              <w:left w:val="single" w:color="000000" w:sz="4" w:space="0"/>
              <w:bottom w:val="single" w:color="000000" w:sz="4" w:space="0"/>
            </w:tcBorders>
          </w:tcPr>
          <w:p>
            <w:pPr>
              <w:pStyle w:val="19"/>
              <w:spacing w:before="40"/>
              <w:ind w:left="69" w:right="41"/>
              <w:rPr>
                <w:rFonts w:ascii="Times New Roman" w:eastAsia="Times New Roman"/>
                <w:sz w:val="21"/>
              </w:rPr>
            </w:pPr>
            <w:r>
              <w:rPr>
                <w:rFonts w:ascii="Times New Roman" w:eastAsia="Times New Roman"/>
                <w:color w:val="FF0000"/>
                <w:position w:val="2"/>
                <w:sz w:val="21"/>
              </w:rPr>
              <w:t>SO</w:t>
            </w:r>
            <w:r>
              <w:rPr>
                <w:rFonts w:ascii="Times New Roman" w:eastAsia="Times New Roman"/>
                <w:color w:val="FF0000"/>
                <w:position w:val="2"/>
                <w:sz w:val="21"/>
                <w:vertAlign w:val="subscript"/>
              </w:rPr>
              <w:t>2</w:t>
            </w:r>
            <w:r>
              <w:rPr>
                <w:color w:val="FF0000"/>
                <w:position w:val="2"/>
                <w:sz w:val="21"/>
                <w:vertAlign w:val="baseline"/>
              </w:rPr>
              <w:t>、</w:t>
            </w:r>
            <w:r>
              <w:rPr>
                <w:rFonts w:ascii="Times New Roman" w:eastAsia="Times New Roman"/>
                <w:color w:val="FF0000"/>
                <w:position w:val="2"/>
                <w:sz w:val="21"/>
                <w:vertAlign w:val="baseline"/>
              </w:rPr>
              <w:t>NO</w:t>
            </w:r>
            <w:r>
              <w:rPr>
                <w:rFonts w:ascii="Times New Roman" w:eastAsia="Times New Roman"/>
                <w:color w:val="FF0000"/>
                <w:position w:val="2"/>
                <w:sz w:val="21"/>
                <w:vertAlign w:val="subscript"/>
              </w:rPr>
              <w:t>2</w:t>
            </w:r>
            <w:r>
              <w:rPr>
                <w:color w:val="FF0000"/>
                <w:position w:val="2"/>
                <w:sz w:val="21"/>
                <w:vertAlign w:val="baseline"/>
              </w:rPr>
              <w:t>、</w:t>
            </w:r>
            <w:r>
              <w:rPr>
                <w:rFonts w:ascii="Times New Roman" w:eastAsia="Times New Roman"/>
                <w:color w:val="FF0000"/>
                <w:position w:val="2"/>
                <w:sz w:val="21"/>
                <w:vertAlign w:val="baseline"/>
              </w:rPr>
              <w:t>PM</w:t>
            </w:r>
            <w:r>
              <w:rPr>
                <w:rFonts w:ascii="Times New Roman" w:eastAsia="Times New Roman"/>
                <w:color w:val="FF0000"/>
                <w:position w:val="2"/>
                <w:sz w:val="21"/>
                <w:vertAlign w:val="subscript"/>
              </w:rPr>
              <w:t>10</w:t>
            </w:r>
            <w:r>
              <w:rPr>
                <w:color w:val="FF0000"/>
                <w:position w:val="2"/>
                <w:sz w:val="21"/>
                <w:vertAlign w:val="baseline"/>
              </w:rPr>
              <w:t>、</w:t>
            </w:r>
            <w:r>
              <w:rPr>
                <w:rFonts w:ascii="Times New Roman" w:eastAsia="Times New Roman"/>
                <w:color w:val="FF0000"/>
                <w:position w:val="2"/>
                <w:sz w:val="21"/>
                <w:vertAlign w:val="baseline"/>
              </w:rPr>
              <w:t>TSP</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1038" w:type="dxa"/>
            <w:vMerge w:val="restart"/>
            <w:tcBorders>
              <w:top w:val="single" w:color="000000" w:sz="4" w:space="0"/>
              <w:bottom w:val="single" w:color="000000" w:sz="4" w:space="0"/>
              <w:right w:val="single" w:color="000000" w:sz="4" w:space="0"/>
            </w:tcBorders>
          </w:tcPr>
          <w:p>
            <w:pPr>
              <w:pStyle w:val="19"/>
              <w:jc w:val="left"/>
              <w:rPr>
                <w:b/>
                <w:sz w:val="22"/>
              </w:rPr>
            </w:pPr>
          </w:p>
          <w:p>
            <w:pPr>
              <w:pStyle w:val="19"/>
              <w:spacing w:before="176"/>
              <w:ind w:left="12"/>
              <w:rPr>
                <w:rFonts w:ascii="Times New Roman"/>
                <w:sz w:val="21"/>
              </w:rPr>
            </w:pPr>
            <w:r>
              <w:rPr>
                <w:rFonts w:ascii="Times New Roman"/>
                <w:color w:val="FF0000"/>
                <w:w w:val="99"/>
                <w:sz w:val="21"/>
              </w:rPr>
              <w:t>2</w:t>
            </w:r>
          </w:p>
        </w:tc>
        <w:tc>
          <w:tcPr>
            <w:tcW w:w="1106" w:type="dxa"/>
            <w:vMerge w:val="restart"/>
            <w:tcBorders>
              <w:top w:val="single" w:color="000000" w:sz="4" w:space="0"/>
              <w:left w:val="single" w:color="000000" w:sz="4" w:space="0"/>
              <w:bottom w:val="single" w:color="000000" w:sz="4" w:space="0"/>
              <w:right w:val="single" w:color="000000" w:sz="4" w:space="0"/>
            </w:tcBorders>
          </w:tcPr>
          <w:p>
            <w:pPr>
              <w:pStyle w:val="19"/>
              <w:spacing w:before="7"/>
              <w:jc w:val="left"/>
              <w:rPr>
                <w:b/>
                <w:sz w:val="20"/>
              </w:rPr>
            </w:pPr>
          </w:p>
          <w:p>
            <w:pPr>
              <w:pStyle w:val="19"/>
              <w:spacing w:line="321" w:lineRule="auto"/>
              <w:ind w:left="452" w:right="118" w:hanging="315"/>
              <w:jc w:val="left"/>
              <w:rPr>
                <w:sz w:val="21"/>
              </w:rPr>
            </w:pPr>
            <w:r>
              <w:rPr>
                <w:color w:val="FF0000"/>
                <w:sz w:val="21"/>
              </w:rPr>
              <w:t>地表水环境</w:t>
            </w:r>
          </w:p>
        </w:tc>
        <w:tc>
          <w:tcPr>
            <w:tcW w:w="1259" w:type="dxa"/>
            <w:tcBorders>
              <w:top w:val="single" w:color="000000" w:sz="4" w:space="0"/>
              <w:left w:val="single" w:color="000000" w:sz="4" w:space="0"/>
              <w:bottom w:val="single" w:color="000000" w:sz="4" w:space="0"/>
              <w:right w:val="single" w:color="000000" w:sz="4" w:space="0"/>
            </w:tcBorders>
          </w:tcPr>
          <w:p>
            <w:pPr>
              <w:pStyle w:val="19"/>
              <w:spacing w:before="2"/>
              <w:jc w:val="left"/>
              <w:rPr>
                <w:b/>
                <w:sz w:val="20"/>
              </w:rPr>
            </w:pPr>
          </w:p>
          <w:p>
            <w:pPr>
              <w:pStyle w:val="19"/>
              <w:ind w:left="187" w:right="173"/>
              <w:rPr>
                <w:sz w:val="21"/>
              </w:rPr>
            </w:pPr>
            <w:r>
              <w:rPr>
                <w:color w:val="FF0000"/>
                <w:sz w:val="21"/>
              </w:rPr>
              <w:t>现状评价</w:t>
            </w:r>
          </w:p>
        </w:tc>
        <w:tc>
          <w:tcPr>
            <w:tcW w:w="5883" w:type="dxa"/>
            <w:tcBorders>
              <w:top w:val="single" w:color="000000" w:sz="4" w:space="0"/>
              <w:left w:val="single" w:color="000000" w:sz="4" w:space="0"/>
              <w:bottom w:val="single" w:color="000000" w:sz="4" w:space="0"/>
            </w:tcBorders>
          </w:tcPr>
          <w:p>
            <w:pPr>
              <w:pStyle w:val="19"/>
              <w:spacing w:before="1" w:line="360" w:lineRule="exact"/>
              <w:ind w:left="257" w:right="83" w:hanging="142"/>
              <w:jc w:val="left"/>
              <w:rPr>
                <w:sz w:val="21"/>
              </w:rPr>
            </w:pPr>
            <w:r>
              <w:rPr>
                <w:rFonts w:ascii="Times New Roman" w:eastAsia="Times New Roman"/>
                <w:color w:val="FF0000"/>
                <w:w w:val="95"/>
                <w:sz w:val="21"/>
              </w:rPr>
              <w:t>pH</w:t>
            </w:r>
            <w:r>
              <w:rPr>
                <w:color w:val="FF0000"/>
                <w:spacing w:val="-10"/>
                <w:w w:val="95"/>
                <w:sz w:val="21"/>
              </w:rPr>
              <w:t>、</w:t>
            </w:r>
            <w:r>
              <w:rPr>
                <w:rFonts w:ascii="Times New Roman" w:eastAsia="Times New Roman"/>
                <w:color w:val="FF0000"/>
                <w:w w:val="95"/>
                <w:sz w:val="21"/>
              </w:rPr>
              <w:t>SS</w:t>
            </w:r>
            <w:r>
              <w:rPr>
                <w:color w:val="FF0000"/>
                <w:spacing w:val="-10"/>
                <w:w w:val="95"/>
                <w:sz w:val="21"/>
              </w:rPr>
              <w:t>、</w:t>
            </w:r>
            <w:r>
              <w:rPr>
                <w:rFonts w:ascii="Times New Roman" w:eastAsia="Times New Roman"/>
                <w:color w:val="FF0000"/>
                <w:w w:val="95"/>
                <w:sz w:val="21"/>
              </w:rPr>
              <w:t>COD</w:t>
            </w:r>
            <w:r>
              <w:rPr>
                <w:color w:val="FF0000"/>
                <w:spacing w:val="-9"/>
                <w:w w:val="95"/>
                <w:sz w:val="21"/>
              </w:rPr>
              <w:t xml:space="preserve">、石油类、总铁、总锰、总汞、总镉、总铬、六 </w:t>
            </w:r>
            <w:r>
              <w:rPr>
                <w:color w:val="FF0000"/>
                <w:spacing w:val="-9"/>
                <w:sz w:val="21"/>
              </w:rPr>
              <w:t>价铬、总铅、总砷、总锌、氟化物、溶解氧、</w:t>
            </w:r>
            <w:r>
              <w:rPr>
                <w:rFonts w:ascii="Times New Roman" w:eastAsia="Times New Roman"/>
                <w:color w:val="FF0000"/>
                <w:spacing w:val="-9"/>
                <w:sz w:val="21"/>
              </w:rPr>
              <w:t>BOD5</w:t>
            </w:r>
            <w:r>
              <w:rPr>
                <w:color w:val="FF0000"/>
                <w:spacing w:val="-9"/>
                <w:sz w:val="21"/>
              </w:rPr>
              <w:t>、氨氮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1038" w:type="dxa"/>
            <w:vMerge w:val="continue"/>
            <w:tcBorders>
              <w:top w:val="nil"/>
              <w:bottom w:val="single" w:color="000000" w:sz="4" w:space="0"/>
              <w:right w:val="single" w:color="000000" w:sz="4" w:space="0"/>
            </w:tcBorders>
          </w:tcPr>
          <w:p>
            <w:pPr>
              <w:rPr>
                <w:sz w:val="2"/>
                <w:szCs w:val="2"/>
              </w:rPr>
            </w:pPr>
          </w:p>
        </w:tc>
        <w:tc>
          <w:tcPr>
            <w:tcW w:w="1106" w:type="dxa"/>
            <w:vMerge w:val="continue"/>
            <w:tcBorders>
              <w:top w:val="nil"/>
              <w:left w:val="single" w:color="000000" w:sz="4" w:space="0"/>
              <w:bottom w:val="single" w:color="000000" w:sz="4" w:space="0"/>
              <w:right w:val="single" w:color="000000" w:sz="4" w:space="0"/>
            </w:tcBorders>
          </w:tcPr>
          <w:p>
            <w:pPr>
              <w:rPr>
                <w:sz w:val="2"/>
                <w:szCs w:val="2"/>
              </w:rPr>
            </w:pPr>
          </w:p>
        </w:tc>
        <w:tc>
          <w:tcPr>
            <w:tcW w:w="1259" w:type="dxa"/>
            <w:tcBorders>
              <w:top w:val="single" w:color="000000" w:sz="4" w:space="0"/>
              <w:left w:val="single" w:color="000000" w:sz="4" w:space="0"/>
              <w:bottom w:val="single" w:color="000000" w:sz="4" w:space="0"/>
              <w:right w:val="single" w:color="000000" w:sz="4" w:space="0"/>
            </w:tcBorders>
          </w:tcPr>
          <w:p>
            <w:pPr>
              <w:pStyle w:val="19"/>
              <w:spacing w:before="77" w:line="261" w:lineRule="exact"/>
              <w:ind w:left="187" w:right="173"/>
              <w:rPr>
                <w:sz w:val="21"/>
              </w:rPr>
            </w:pPr>
            <w:r>
              <w:rPr>
                <w:color w:val="FF0000"/>
                <w:sz w:val="21"/>
              </w:rPr>
              <w:t>预测评价</w:t>
            </w:r>
          </w:p>
        </w:tc>
        <w:tc>
          <w:tcPr>
            <w:tcW w:w="5883" w:type="dxa"/>
            <w:tcBorders>
              <w:top w:val="single" w:color="000000" w:sz="4" w:space="0"/>
              <w:left w:val="single" w:color="000000" w:sz="4" w:space="0"/>
              <w:bottom w:val="single" w:color="000000" w:sz="4" w:space="0"/>
            </w:tcBorders>
          </w:tcPr>
          <w:p>
            <w:pPr>
              <w:pStyle w:val="19"/>
              <w:spacing w:before="77" w:line="261" w:lineRule="exact"/>
              <w:ind w:left="61" w:right="41"/>
              <w:rPr>
                <w:sz w:val="21"/>
              </w:rPr>
            </w:pPr>
            <w:r>
              <w:rPr>
                <w:color w:val="FF0000"/>
                <w:sz w:val="21"/>
              </w:rPr>
              <w:t>矿井水、生活污水处理工艺及综合利用的可行性、可靠性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40" w:hRule="atLeast"/>
        </w:trPr>
        <w:tc>
          <w:tcPr>
            <w:tcW w:w="1038" w:type="dxa"/>
            <w:vMerge w:val="restart"/>
            <w:tcBorders>
              <w:top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spacing w:before="9"/>
              <w:jc w:val="left"/>
              <w:rPr>
                <w:b/>
                <w:sz w:val="19"/>
              </w:rPr>
            </w:pPr>
          </w:p>
          <w:p>
            <w:pPr>
              <w:pStyle w:val="19"/>
              <w:ind w:left="12"/>
              <w:rPr>
                <w:rFonts w:ascii="Times New Roman"/>
                <w:sz w:val="21"/>
              </w:rPr>
            </w:pPr>
            <w:r>
              <w:rPr>
                <w:rFonts w:ascii="Times New Roman"/>
                <w:color w:val="FF0000"/>
                <w:w w:val="99"/>
                <w:sz w:val="21"/>
              </w:rPr>
              <w:t>3</w:t>
            </w:r>
          </w:p>
        </w:tc>
        <w:tc>
          <w:tcPr>
            <w:tcW w:w="1106"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8"/>
              <w:jc w:val="left"/>
              <w:rPr>
                <w:b/>
                <w:sz w:val="28"/>
              </w:rPr>
            </w:pPr>
          </w:p>
          <w:p>
            <w:pPr>
              <w:pStyle w:val="19"/>
              <w:spacing w:line="321" w:lineRule="auto"/>
              <w:ind w:left="452" w:right="118" w:hanging="315"/>
              <w:jc w:val="left"/>
              <w:rPr>
                <w:sz w:val="21"/>
              </w:rPr>
            </w:pPr>
            <w:r>
              <w:rPr>
                <w:color w:val="FF0000"/>
                <w:sz w:val="21"/>
              </w:rPr>
              <w:t>地下水环境</w:t>
            </w:r>
          </w:p>
        </w:tc>
        <w:tc>
          <w:tcPr>
            <w:tcW w:w="1259"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3"/>
              <w:jc w:val="left"/>
              <w:rPr>
                <w:b/>
                <w:sz w:val="28"/>
              </w:rPr>
            </w:pPr>
          </w:p>
          <w:p>
            <w:pPr>
              <w:pStyle w:val="19"/>
              <w:ind w:left="187" w:right="173"/>
              <w:rPr>
                <w:sz w:val="21"/>
              </w:rPr>
            </w:pPr>
            <w:r>
              <w:rPr>
                <w:color w:val="FF0000"/>
                <w:sz w:val="21"/>
              </w:rPr>
              <w:t>现状评价</w:t>
            </w:r>
          </w:p>
        </w:tc>
        <w:tc>
          <w:tcPr>
            <w:tcW w:w="5883" w:type="dxa"/>
            <w:tcBorders>
              <w:top w:val="single" w:color="000000" w:sz="4" w:space="0"/>
              <w:left w:val="single" w:color="000000" w:sz="4" w:space="0"/>
              <w:bottom w:val="single" w:color="000000" w:sz="4" w:space="0"/>
            </w:tcBorders>
          </w:tcPr>
          <w:p>
            <w:pPr>
              <w:pStyle w:val="19"/>
              <w:tabs>
                <w:tab w:val="left" w:pos="3422"/>
                <w:tab w:val="left" w:pos="4517"/>
              </w:tabs>
              <w:spacing w:before="97" w:line="64" w:lineRule="exact"/>
              <w:ind w:left="2678"/>
              <w:jc w:val="left"/>
              <w:rPr>
                <w:rFonts w:ascii="Times New Roman"/>
                <w:sz w:val="13"/>
              </w:rPr>
            </w:pPr>
            <w:r>
              <w:rPr>
                <w:rFonts w:ascii="Times New Roman"/>
                <w:color w:val="FF0000"/>
                <w:w w:val="105"/>
                <w:sz w:val="13"/>
              </w:rPr>
              <w:t>2-</w:t>
            </w:r>
            <w:r>
              <w:rPr>
                <w:rFonts w:ascii="Times New Roman"/>
                <w:color w:val="FF0000"/>
                <w:w w:val="105"/>
                <w:sz w:val="13"/>
              </w:rPr>
              <w:tab/>
            </w:r>
            <w:r>
              <w:rPr>
                <w:rFonts w:ascii="Times New Roman"/>
                <w:color w:val="FF0000"/>
                <w:w w:val="105"/>
                <w:sz w:val="13"/>
              </w:rPr>
              <w:t>3-</w:t>
            </w:r>
            <w:r>
              <w:rPr>
                <w:rFonts w:ascii="Times New Roman"/>
                <w:color w:val="FF0000"/>
                <w:w w:val="105"/>
                <w:sz w:val="13"/>
              </w:rPr>
              <w:tab/>
            </w:r>
            <w:r>
              <w:rPr>
                <w:rFonts w:ascii="Times New Roman"/>
                <w:color w:val="FF0000"/>
                <w:w w:val="105"/>
                <w:sz w:val="13"/>
              </w:rPr>
              <w:t>2-</w:t>
            </w:r>
          </w:p>
          <w:p>
            <w:pPr>
              <w:pStyle w:val="19"/>
              <w:spacing w:line="190" w:lineRule="exact"/>
              <w:ind w:left="190" w:right="41"/>
              <w:rPr>
                <w:sz w:val="21"/>
              </w:rPr>
            </w:pPr>
            <w:r>
              <w:rPr>
                <w:rFonts w:ascii="Times New Roman" w:eastAsia="Times New Roman"/>
                <w:color w:val="FF0000"/>
                <w:position w:val="2"/>
                <w:sz w:val="21"/>
              </w:rPr>
              <w:t>K+</w:t>
            </w:r>
            <w:r>
              <w:rPr>
                <w:color w:val="FF0000"/>
                <w:spacing w:val="-22"/>
                <w:position w:val="2"/>
                <w:sz w:val="21"/>
              </w:rPr>
              <w:t>、</w:t>
            </w:r>
            <w:r>
              <w:rPr>
                <w:rFonts w:ascii="Times New Roman" w:eastAsia="Times New Roman"/>
                <w:color w:val="FF0000"/>
                <w:position w:val="2"/>
                <w:sz w:val="21"/>
              </w:rPr>
              <w:t>Na+</w:t>
            </w:r>
            <w:r>
              <w:rPr>
                <w:color w:val="FF0000"/>
                <w:spacing w:val="-25"/>
                <w:position w:val="2"/>
                <w:sz w:val="21"/>
              </w:rPr>
              <w:t>、</w:t>
            </w:r>
            <w:r>
              <w:rPr>
                <w:rFonts w:ascii="Times New Roman" w:eastAsia="Times New Roman"/>
                <w:color w:val="FF0000"/>
                <w:position w:val="2"/>
                <w:sz w:val="21"/>
              </w:rPr>
              <w:t>Ca</w:t>
            </w:r>
            <w:r>
              <w:rPr>
                <w:rFonts w:ascii="Times New Roman" w:eastAsia="Times New Roman"/>
                <w:color w:val="FF0000"/>
                <w:position w:val="2"/>
                <w:sz w:val="21"/>
                <w:vertAlign w:val="superscript"/>
              </w:rPr>
              <w:t>2+</w:t>
            </w:r>
            <w:r>
              <w:rPr>
                <w:color w:val="FF0000"/>
                <w:spacing w:val="-22"/>
                <w:position w:val="2"/>
                <w:sz w:val="21"/>
                <w:vertAlign w:val="baseline"/>
              </w:rPr>
              <w:t>、</w:t>
            </w:r>
            <w:r>
              <w:rPr>
                <w:rFonts w:ascii="Times New Roman" w:eastAsia="Times New Roman"/>
                <w:color w:val="FF0000"/>
                <w:position w:val="2"/>
                <w:sz w:val="21"/>
                <w:vertAlign w:val="baseline"/>
              </w:rPr>
              <w:t>Mg</w:t>
            </w:r>
            <w:r>
              <w:rPr>
                <w:rFonts w:ascii="Times New Roman" w:eastAsia="Times New Roman"/>
                <w:color w:val="FF0000"/>
                <w:position w:val="2"/>
                <w:sz w:val="21"/>
                <w:vertAlign w:val="superscript"/>
              </w:rPr>
              <w:t>2+</w:t>
            </w:r>
            <w:r>
              <w:rPr>
                <w:color w:val="FF0000"/>
                <w:spacing w:val="-22"/>
                <w:position w:val="2"/>
                <w:sz w:val="21"/>
                <w:vertAlign w:val="baseline"/>
              </w:rPr>
              <w:t>、</w:t>
            </w:r>
            <w:r>
              <w:rPr>
                <w:rFonts w:ascii="Times New Roman" w:eastAsia="Times New Roman"/>
                <w:color w:val="FF0000"/>
                <w:position w:val="2"/>
                <w:sz w:val="21"/>
                <w:vertAlign w:val="baseline"/>
              </w:rPr>
              <w:t>CO</w:t>
            </w:r>
            <w:r>
              <w:rPr>
                <w:rFonts w:ascii="Times New Roman" w:eastAsia="Times New Roman"/>
                <w:color w:val="FF0000"/>
                <w:position w:val="2"/>
                <w:sz w:val="21"/>
                <w:vertAlign w:val="subscript"/>
              </w:rPr>
              <w:t>3</w:t>
            </w:r>
            <w:r>
              <w:rPr>
                <w:rFonts w:ascii="Times New Roman" w:eastAsia="Times New Roman"/>
                <w:color w:val="FF0000"/>
                <w:spacing w:val="6"/>
                <w:position w:val="2"/>
                <w:sz w:val="21"/>
                <w:vertAlign w:val="baseline"/>
              </w:rPr>
              <w:t xml:space="preserve"> </w:t>
            </w:r>
            <w:r>
              <w:rPr>
                <w:color w:val="FF0000"/>
                <w:spacing w:val="-20"/>
                <w:position w:val="2"/>
                <w:sz w:val="21"/>
                <w:vertAlign w:val="baseline"/>
              </w:rPr>
              <w:t>、</w:t>
            </w:r>
            <w:r>
              <w:rPr>
                <w:rFonts w:ascii="Times New Roman" w:eastAsia="Times New Roman"/>
                <w:color w:val="FF0000"/>
                <w:position w:val="2"/>
                <w:sz w:val="21"/>
                <w:vertAlign w:val="baseline"/>
              </w:rPr>
              <w:t>HCO</w:t>
            </w:r>
            <w:r>
              <w:rPr>
                <w:rFonts w:ascii="Times New Roman" w:eastAsia="Times New Roman"/>
                <w:color w:val="FF0000"/>
                <w:spacing w:val="11"/>
                <w:position w:val="2"/>
                <w:sz w:val="21"/>
                <w:vertAlign w:val="baseline"/>
              </w:rPr>
              <w:t xml:space="preserve"> </w:t>
            </w:r>
            <w:r>
              <w:rPr>
                <w:color w:val="FF0000"/>
                <w:spacing w:val="-22"/>
                <w:position w:val="2"/>
                <w:sz w:val="21"/>
                <w:vertAlign w:val="baseline"/>
              </w:rPr>
              <w:t>、</w:t>
            </w:r>
            <w:r>
              <w:rPr>
                <w:rFonts w:ascii="Times New Roman" w:eastAsia="Times New Roman"/>
                <w:color w:val="FF0000"/>
                <w:position w:val="2"/>
                <w:sz w:val="21"/>
                <w:vertAlign w:val="baseline"/>
              </w:rPr>
              <w:t>Cl-</w:t>
            </w:r>
            <w:r>
              <w:rPr>
                <w:color w:val="FF0000"/>
                <w:spacing w:val="-22"/>
                <w:position w:val="2"/>
                <w:sz w:val="21"/>
                <w:vertAlign w:val="baseline"/>
              </w:rPr>
              <w:t>、</w:t>
            </w:r>
            <w:r>
              <w:rPr>
                <w:rFonts w:ascii="Times New Roman" w:eastAsia="Times New Roman"/>
                <w:color w:val="FF0000"/>
                <w:position w:val="2"/>
                <w:sz w:val="21"/>
                <w:vertAlign w:val="baseline"/>
              </w:rPr>
              <w:t>SO</w:t>
            </w:r>
            <w:r>
              <w:rPr>
                <w:rFonts w:ascii="Times New Roman" w:eastAsia="Times New Roman"/>
                <w:color w:val="FF0000"/>
                <w:position w:val="2"/>
                <w:sz w:val="21"/>
                <w:vertAlign w:val="subscript"/>
              </w:rPr>
              <w:t>4</w:t>
            </w:r>
            <w:r>
              <w:rPr>
                <w:rFonts w:ascii="Times New Roman" w:eastAsia="Times New Roman"/>
                <w:color w:val="FF0000"/>
                <w:spacing w:val="7"/>
                <w:position w:val="2"/>
                <w:sz w:val="21"/>
                <w:vertAlign w:val="baseline"/>
              </w:rPr>
              <w:t xml:space="preserve"> </w:t>
            </w:r>
            <w:r>
              <w:rPr>
                <w:color w:val="FF0000"/>
                <w:spacing w:val="-20"/>
                <w:position w:val="2"/>
                <w:sz w:val="21"/>
                <w:vertAlign w:val="baseline"/>
              </w:rPr>
              <w:t>、</w:t>
            </w:r>
            <w:r>
              <w:rPr>
                <w:rFonts w:ascii="Times New Roman" w:eastAsia="Times New Roman"/>
                <w:color w:val="FF0000"/>
                <w:position w:val="2"/>
                <w:sz w:val="21"/>
                <w:vertAlign w:val="baseline"/>
              </w:rPr>
              <w:t>pH</w:t>
            </w:r>
            <w:r>
              <w:rPr>
                <w:color w:val="FF0000"/>
                <w:spacing w:val="-11"/>
                <w:position w:val="2"/>
                <w:sz w:val="21"/>
                <w:vertAlign w:val="baseline"/>
              </w:rPr>
              <w:t>、氨氮、</w:t>
            </w:r>
          </w:p>
          <w:p>
            <w:pPr>
              <w:pStyle w:val="19"/>
              <w:spacing w:before="10" w:line="360" w:lineRule="exact"/>
              <w:ind w:left="115" w:right="-29"/>
              <w:rPr>
                <w:sz w:val="21"/>
              </w:rPr>
            </w:pPr>
            <w:r>
              <w:rPr>
                <w:color w:val="FF0000"/>
                <w:spacing w:val="-5"/>
                <w:w w:val="95"/>
                <w:sz w:val="21"/>
              </w:rPr>
              <w:t>硝酸盐、亚硝酸盐、挥发性酚类、氰化物、砷、汞、铬</w:t>
            </w:r>
            <w:r>
              <w:rPr>
                <w:rFonts w:ascii="Times New Roman" w:eastAsia="Times New Roman"/>
                <w:color w:val="FF0000"/>
                <w:w w:val="95"/>
                <w:sz w:val="21"/>
              </w:rPr>
              <w:t>(</w:t>
            </w:r>
            <w:r>
              <w:rPr>
                <w:color w:val="FF0000"/>
                <w:w w:val="95"/>
                <w:sz w:val="21"/>
              </w:rPr>
              <w:t>六价</w:t>
            </w:r>
            <w:r>
              <w:rPr>
                <w:rFonts w:ascii="Times New Roman" w:eastAsia="Times New Roman"/>
                <w:color w:val="FF0000"/>
                <w:w w:val="95"/>
                <w:sz w:val="21"/>
              </w:rPr>
              <w:t>)</w:t>
            </w:r>
            <w:r>
              <w:rPr>
                <w:color w:val="FF0000"/>
                <w:w w:val="95"/>
                <w:sz w:val="21"/>
              </w:rPr>
              <w:t xml:space="preserve">、 </w:t>
            </w:r>
            <w:r>
              <w:rPr>
                <w:color w:val="FF0000"/>
                <w:spacing w:val="-12"/>
                <w:w w:val="95"/>
                <w:sz w:val="21"/>
              </w:rPr>
              <w:t xml:space="preserve">总硬度、铅、氟、镉、铁、锰、溶解性总固体、高锰酸盐指数、 </w:t>
            </w:r>
            <w:r>
              <w:rPr>
                <w:color w:val="FF0000"/>
                <w:spacing w:val="-14"/>
                <w:sz w:val="21"/>
              </w:rPr>
              <w:t xml:space="preserve">硫酸盐、氯化物、总大肠菌群、细菌总数共计 </w:t>
            </w:r>
            <w:r>
              <w:rPr>
                <w:rFonts w:ascii="Times New Roman" w:eastAsia="Times New Roman"/>
                <w:color w:val="FF0000"/>
                <w:sz w:val="21"/>
              </w:rPr>
              <w:t>29</w:t>
            </w:r>
            <w:r>
              <w:rPr>
                <w:rFonts w:ascii="Times New Roman" w:eastAsia="Times New Roman"/>
                <w:color w:val="FF0000"/>
                <w:spacing w:val="-3"/>
                <w:sz w:val="21"/>
              </w:rPr>
              <w:t xml:space="preserve"> </w:t>
            </w:r>
            <w:r>
              <w:rPr>
                <w:color w:val="FF0000"/>
                <w:sz w:val="21"/>
              </w:rPr>
              <w:t>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038" w:type="dxa"/>
            <w:vMerge w:val="continue"/>
            <w:tcBorders>
              <w:top w:val="nil"/>
              <w:bottom w:val="single" w:color="000000" w:sz="4" w:space="0"/>
              <w:right w:val="single" w:color="000000" w:sz="4" w:space="0"/>
            </w:tcBorders>
          </w:tcPr>
          <w:p>
            <w:pPr>
              <w:rPr>
                <w:sz w:val="2"/>
                <w:szCs w:val="2"/>
              </w:rPr>
            </w:pPr>
          </w:p>
        </w:tc>
        <w:tc>
          <w:tcPr>
            <w:tcW w:w="1106" w:type="dxa"/>
            <w:vMerge w:val="continue"/>
            <w:tcBorders>
              <w:top w:val="nil"/>
              <w:left w:val="single" w:color="000000" w:sz="4" w:space="0"/>
              <w:bottom w:val="single" w:color="000000" w:sz="4" w:space="0"/>
              <w:right w:val="single" w:color="000000" w:sz="4" w:space="0"/>
            </w:tcBorders>
          </w:tcPr>
          <w:p>
            <w:pPr>
              <w:rPr>
                <w:sz w:val="2"/>
                <w:szCs w:val="2"/>
              </w:rPr>
            </w:pPr>
          </w:p>
        </w:tc>
        <w:tc>
          <w:tcPr>
            <w:tcW w:w="1259" w:type="dxa"/>
            <w:tcBorders>
              <w:top w:val="single" w:color="000000" w:sz="4" w:space="0"/>
              <w:left w:val="single" w:color="000000" w:sz="4" w:space="0"/>
              <w:bottom w:val="single" w:color="000000" w:sz="4" w:space="0"/>
              <w:right w:val="single" w:color="000000" w:sz="4" w:space="0"/>
            </w:tcBorders>
          </w:tcPr>
          <w:p>
            <w:pPr>
              <w:pStyle w:val="19"/>
              <w:spacing w:before="77" w:line="262" w:lineRule="exact"/>
              <w:ind w:left="187" w:right="173"/>
              <w:rPr>
                <w:sz w:val="21"/>
              </w:rPr>
            </w:pPr>
            <w:r>
              <w:rPr>
                <w:color w:val="FF0000"/>
                <w:sz w:val="21"/>
              </w:rPr>
              <w:t>预测评价</w:t>
            </w:r>
          </w:p>
        </w:tc>
        <w:tc>
          <w:tcPr>
            <w:tcW w:w="5883" w:type="dxa"/>
            <w:tcBorders>
              <w:top w:val="single" w:color="000000" w:sz="4" w:space="0"/>
              <w:left w:val="single" w:color="000000" w:sz="4" w:space="0"/>
              <w:bottom w:val="single" w:color="000000" w:sz="4" w:space="0"/>
            </w:tcBorders>
          </w:tcPr>
          <w:p>
            <w:pPr>
              <w:pStyle w:val="19"/>
              <w:spacing w:before="91"/>
              <w:ind w:left="63" w:right="41"/>
              <w:rPr>
                <w:rFonts w:ascii="Times New Roman"/>
                <w:sz w:val="21"/>
              </w:rPr>
            </w:pPr>
            <w:r>
              <w:rPr>
                <w:rFonts w:ascii="Times New Roman"/>
                <w:color w:val="FF0000"/>
                <w:sz w:val="21"/>
              </w:rPr>
              <w:t>COD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5" w:hRule="atLeast"/>
        </w:trPr>
        <w:tc>
          <w:tcPr>
            <w:tcW w:w="1038" w:type="dxa"/>
            <w:vMerge w:val="restart"/>
            <w:tcBorders>
              <w:top w:val="single" w:color="000000" w:sz="4" w:space="0"/>
              <w:right w:val="single" w:color="000000" w:sz="4" w:space="0"/>
            </w:tcBorders>
          </w:tcPr>
          <w:p>
            <w:pPr>
              <w:pStyle w:val="19"/>
              <w:spacing w:before="7"/>
              <w:jc w:val="left"/>
              <w:rPr>
                <w:b/>
                <w:sz w:val="21"/>
              </w:rPr>
            </w:pPr>
          </w:p>
          <w:p>
            <w:pPr>
              <w:pStyle w:val="19"/>
              <w:ind w:left="12"/>
              <w:rPr>
                <w:rFonts w:ascii="Times New Roman"/>
                <w:sz w:val="21"/>
              </w:rPr>
            </w:pPr>
            <w:r>
              <w:rPr>
                <w:rFonts w:ascii="Times New Roman"/>
                <w:color w:val="FF0000"/>
                <w:w w:val="99"/>
                <w:sz w:val="21"/>
              </w:rPr>
              <w:t>4</w:t>
            </w:r>
          </w:p>
        </w:tc>
        <w:tc>
          <w:tcPr>
            <w:tcW w:w="1106" w:type="dxa"/>
            <w:vMerge w:val="restart"/>
            <w:tcBorders>
              <w:top w:val="single" w:color="000000" w:sz="4" w:space="0"/>
              <w:left w:val="single" w:color="000000" w:sz="4" w:space="0"/>
              <w:right w:val="single" w:color="000000" w:sz="4" w:space="0"/>
            </w:tcBorders>
          </w:tcPr>
          <w:p>
            <w:pPr>
              <w:pStyle w:val="19"/>
              <w:spacing w:before="5"/>
              <w:jc w:val="left"/>
              <w:rPr>
                <w:b/>
                <w:sz w:val="20"/>
              </w:rPr>
            </w:pPr>
          </w:p>
          <w:p>
            <w:pPr>
              <w:pStyle w:val="19"/>
              <w:spacing w:before="1"/>
              <w:ind w:left="241"/>
              <w:jc w:val="left"/>
              <w:rPr>
                <w:sz w:val="21"/>
              </w:rPr>
            </w:pPr>
            <w:r>
              <w:rPr>
                <w:color w:val="FF0000"/>
                <w:sz w:val="21"/>
              </w:rPr>
              <w:t>声环境</w:t>
            </w:r>
          </w:p>
        </w:tc>
        <w:tc>
          <w:tcPr>
            <w:tcW w:w="1259" w:type="dxa"/>
            <w:tcBorders>
              <w:top w:val="single" w:color="000000" w:sz="4" w:space="0"/>
              <w:left w:val="single" w:color="000000" w:sz="4" w:space="0"/>
              <w:bottom w:val="single" w:color="000000" w:sz="4" w:space="0"/>
              <w:right w:val="single" w:color="000000" w:sz="4" w:space="0"/>
            </w:tcBorders>
          </w:tcPr>
          <w:p>
            <w:pPr>
              <w:pStyle w:val="19"/>
              <w:spacing w:before="77" w:line="258" w:lineRule="exact"/>
              <w:ind w:left="187" w:right="173"/>
              <w:rPr>
                <w:sz w:val="21"/>
              </w:rPr>
            </w:pPr>
            <w:r>
              <w:rPr>
                <w:color w:val="FF0000"/>
                <w:sz w:val="21"/>
              </w:rPr>
              <w:t>现状评价</w:t>
            </w:r>
          </w:p>
        </w:tc>
        <w:tc>
          <w:tcPr>
            <w:tcW w:w="5883" w:type="dxa"/>
            <w:tcBorders>
              <w:top w:val="single" w:color="000000" w:sz="4" w:space="0"/>
              <w:left w:val="single" w:color="000000" w:sz="4" w:space="0"/>
              <w:bottom w:val="single" w:color="000000" w:sz="4" w:space="0"/>
            </w:tcBorders>
          </w:tcPr>
          <w:p>
            <w:pPr>
              <w:pStyle w:val="19"/>
              <w:spacing w:before="77" w:line="258" w:lineRule="exact"/>
              <w:ind w:left="61" w:right="41"/>
              <w:rPr>
                <w:sz w:val="21"/>
              </w:rPr>
            </w:pPr>
            <w:r>
              <w:rPr>
                <w:color w:val="FF0000"/>
                <w:sz w:val="21"/>
              </w:rPr>
              <w:t xml:space="preserve">连续等效 </w:t>
            </w:r>
            <w:r>
              <w:rPr>
                <w:rFonts w:ascii="Times New Roman" w:eastAsia="Times New Roman"/>
                <w:color w:val="FF0000"/>
                <w:sz w:val="21"/>
              </w:rPr>
              <w:t xml:space="preserve">A </w:t>
            </w:r>
            <w:r>
              <w:rPr>
                <w:color w:val="FF0000"/>
                <w:sz w:val="21"/>
              </w:rPr>
              <w:t>声级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2" w:hRule="atLeast"/>
        </w:trPr>
        <w:tc>
          <w:tcPr>
            <w:tcW w:w="1038" w:type="dxa"/>
            <w:vMerge w:val="continue"/>
            <w:tcBorders>
              <w:top w:val="nil"/>
              <w:right w:val="single" w:color="000000" w:sz="4" w:space="0"/>
            </w:tcBorders>
          </w:tcPr>
          <w:p>
            <w:pPr>
              <w:rPr>
                <w:sz w:val="2"/>
                <w:szCs w:val="2"/>
              </w:rPr>
            </w:pPr>
          </w:p>
        </w:tc>
        <w:tc>
          <w:tcPr>
            <w:tcW w:w="1106" w:type="dxa"/>
            <w:vMerge w:val="continue"/>
            <w:tcBorders>
              <w:top w:val="nil"/>
              <w:left w:val="single" w:color="000000" w:sz="4" w:space="0"/>
              <w:right w:val="single" w:color="000000" w:sz="4" w:space="0"/>
            </w:tcBorders>
          </w:tcPr>
          <w:p>
            <w:pPr>
              <w:rPr>
                <w:sz w:val="2"/>
                <w:szCs w:val="2"/>
              </w:rPr>
            </w:pPr>
          </w:p>
        </w:tc>
        <w:tc>
          <w:tcPr>
            <w:tcW w:w="1259" w:type="dxa"/>
            <w:tcBorders>
              <w:top w:val="single" w:color="000000" w:sz="4" w:space="0"/>
              <w:left w:val="single" w:color="000000" w:sz="4" w:space="0"/>
              <w:right w:val="single" w:color="000000" w:sz="4" w:space="0"/>
            </w:tcBorders>
          </w:tcPr>
          <w:p>
            <w:pPr>
              <w:pStyle w:val="19"/>
              <w:spacing w:before="72" w:line="261" w:lineRule="exact"/>
              <w:ind w:left="187" w:right="173"/>
              <w:rPr>
                <w:sz w:val="21"/>
              </w:rPr>
            </w:pPr>
            <w:r>
              <w:rPr>
                <w:color w:val="FF0000"/>
                <w:sz w:val="21"/>
              </w:rPr>
              <w:t>预测评价</w:t>
            </w:r>
          </w:p>
        </w:tc>
        <w:tc>
          <w:tcPr>
            <w:tcW w:w="5883" w:type="dxa"/>
            <w:tcBorders>
              <w:top w:val="single" w:color="000000" w:sz="4" w:space="0"/>
              <w:left w:val="single" w:color="000000" w:sz="4" w:space="0"/>
            </w:tcBorders>
          </w:tcPr>
          <w:p>
            <w:pPr>
              <w:pStyle w:val="19"/>
              <w:spacing w:before="72" w:line="261" w:lineRule="exact"/>
              <w:ind w:left="61" w:right="41"/>
              <w:rPr>
                <w:sz w:val="21"/>
              </w:rPr>
            </w:pPr>
            <w:r>
              <w:rPr>
                <w:color w:val="FF0000"/>
                <w:sz w:val="21"/>
              </w:rPr>
              <w:t xml:space="preserve">连续等效 </w:t>
            </w:r>
            <w:r>
              <w:rPr>
                <w:rFonts w:ascii="Times New Roman" w:eastAsia="Times New Roman"/>
                <w:color w:val="FF0000"/>
                <w:sz w:val="21"/>
              </w:rPr>
              <w:t xml:space="preserve">A </w:t>
            </w:r>
            <w:r>
              <w:rPr>
                <w:color w:val="FF0000"/>
                <w:sz w:val="21"/>
              </w:rPr>
              <w:t>声级</w:t>
            </w:r>
          </w:p>
        </w:tc>
      </w:tr>
    </w:tbl>
    <w:p>
      <w:pPr>
        <w:spacing w:after="0" w:line="261" w:lineRule="exact"/>
        <w:rPr>
          <w:sz w:val="21"/>
        </w:rPr>
        <w:sectPr>
          <w:pgSz w:w="11910" w:h="16840"/>
          <w:pgMar w:top="1340" w:right="1160" w:bottom="1180" w:left="1200" w:header="0" w:footer="993" w:gutter="0"/>
        </w:sectPr>
      </w:pP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38"/>
        <w:gridCol w:w="1106"/>
        <w:gridCol w:w="1259"/>
        <w:gridCol w:w="588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1038" w:type="dxa"/>
            <w:tcBorders>
              <w:bottom w:val="single" w:color="000000" w:sz="4" w:space="0"/>
              <w:right w:val="single" w:color="000000" w:sz="4" w:space="0"/>
            </w:tcBorders>
          </w:tcPr>
          <w:p>
            <w:pPr>
              <w:pStyle w:val="19"/>
              <w:spacing w:before="3"/>
              <w:jc w:val="left"/>
              <w:rPr>
                <w:b/>
                <w:sz w:val="21"/>
              </w:rPr>
            </w:pPr>
          </w:p>
          <w:p>
            <w:pPr>
              <w:pStyle w:val="19"/>
              <w:spacing w:before="1"/>
              <w:ind w:right="450"/>
              <w:jc w:val="right"/>
              <w:rPr>
                <w:rFonts w:ascii="Times New Roman"/>
                <w:sz w:val="21"/>
              </w:rPr>
            </w:pPr>
            <w:r>
              <w:rPr>
                <w:rFonts w:ascii="Times New Roman"/>
                <w:color w:val="FF0000"/>
                <w:w w:val="99"/>
                <w:sz w:val="21"/>
              </w:rPr>
              <w:t>5</w:t>
            </w:r>
          </w:p>
        </w:tc>
        <w:tc>
          <w:tcPr>
            <w:tcW w:w="1106" w:type="dxa"/>
            <w:tcBorders>
              <w:left w:val="single" w:color="000000" w:sz="4" w:space="0"/>
              <w:bottom w:val="single" w:color="000000" w:sz="4" w:space="0"/>
              <w:right w:val="single" w:color="000000" w:sz="4" w:space="0"/>
            </w:tcBorders>
          </w:tcPr>
          <w:p>
            <w:pPr>
              <w:pStyle w:val="19"/>
              <w:spacing w:before="1" w:line="360" w:lineRule="exact"/>
              <w:ind w:left="347" w:right="118" w:hanging="209"/>
              <w:jc w:val="left"/>
              <w:rPr>
                <w:sz w:val="21"/>
              </w:rPr>
            </w:pPr>
            <w:r>
              <w:rPr>
                <w:color w:val="FF0000"/>
                <w:sz w:val="21"/>
              </w:rPr>
              <w:t>固体废物影响</w:t>
            </w:r>
          </w:p>
        </w:tc>
        <w:tc>
          <w:tcPr>
            <w:tcW w:w="1259" w:type="dxa"/>
            <w:tcBorders>
              <w:left w:val="single" w:color="000000" w:sz="4" w:space="0"/>
              <w:bottom w:val="single" w:color="000000" w:sz="4" w:space="0"/>
              <w:right w:val="single" w:color="000000" w:sz="4" w:space="0"/>
            </w:tcBorders>
          </w:tcPr>
          <w:p>
            <w:pPr>
              <w:pStyle w:val="19"/>
              <w:spacing w:before="2"/>
              <w:jc w:val="left"/>
              <w:rPr>
                <w:b/>
                <w:sz w:val="20"/>
              </w:rPr>
            </w:pPr>
          </w:p>
          <w:p>
            <w:pPr>
              <w:pStyle w:val="19"/>
              <w:ind w:left="187" w:right="173"/>
              <w:rPr>
                <w:sz w:val="21"/>
              </w:rPr>
            </w:pPr>
            <w:r>
              <w:rPr>
                <w:color w:val="FF0000"/>
                <w:sz w:val="21"/>
              </w:rPr>
              <w:t>预测评价</w:t>
            </w:r>
          </w:p>
        </w:tc>
        <w:tc>
          <w:tcPr>
            <w:tcW w:w="5883" w:type="dxa"/>
            <w:tcBorders>
              <w:left w:val="single" w:color="000000" w:sz="4" w:space="0"/>
              <w:bottom w:val="single" w:color="000000" w:sz="4" w:space="0"/>
            </w:tcBorders>
          </w:tcPr>
          <w:p>
            <w:pPr>
              <w:pStyle w:val="19"/>
              <w:spacing w:before="2"/>
              <w:jc w:val="left"/>
              <w:rPr>
                <w:b/>
                <w:sz w:val="20"/>
              </w:rPr>
            </w:pPr>
          </w:p>
          <w:p>
            <w:pPr>
              <w:pStyle w:val="19"/>
              <w:ind w:left="425"/>
              <w:jc w:val="left"/>
              <w:rPr>
                <w:sz w:val="21"/>
              </w:rPr>
            </w:pPr>
            <w:r>
              <w:rPr>
                <w:color w:val="FF0000"/>
                <w:sz w:val="21"/>
              </w:rPr>
              <w:t>煤矸石、灰渣、生活垃圾、污泥、废润滑油、废矿物油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9" w:hRule="atLeast"/>
        </w:trPr>
        <w:tc>
          <w:tcPr>
            <w:tcW w:w="1038" w:type="dxa"/>
            <w:vMerge w:val="restart"/>
            <w:tcBorders>
              <w:top w:val="single" w:color="000000" w:sz="4" w:space="0"/>
              <w:bottom w:val="single" w:color="000000" w:sz="4" w:space="0"/>
              <w:right w:val="single" w:color="000000" w:sz="4" w:space="0"/>
            </w:tcBorders>
          </w:tcPr>
          <w:p>
            <w:pPr>
              <w:pStyle w:val="19"/>
              <w:jc w:val="left"/>
              <w:rPr>
                <w:b/>
                <w:sz w:val="22"/>
              </w:rPr>
            </w:pPr>
          </w:p>
          <w:p>
            <w:pPr>
              <w:pStyle w:val="19"/>
              <w:spacing w:before="4"/>
              <w:jc w:val="left"/>
              <w:rPr>
                <w:b/>
                <w:sz w:val="32"/>
              </w:rPr>
            </w:pPr>
          </w:p>
          <w:p>
            <w:pPr>
              <w:pStyle w:val="19"/>
              <w:ind w:left="12"/>
              <w:rPr>
                <w:rFonts w:ascii="Times New Roman"/>
                <w:sz w:val="21"/>
              </w:rPr>
            </w:pPr>
            <w:r>
              <w:rPr>
                <w:rFonts w:ascii="Times New Roman"/>
                <w:color w:val="FF0000"/>
                <w:w w:val="99"/>
                <w:sz w:val="21"/>
              </w:rPr>
              <w:t>6</w:t>
            </w:r>
          </w:p>
        </w:tc>
        <w:tc>
          <w:tcPr>
            <w:tcW w:w="1106"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spacing w:before="170"/>
              <w:ind w:left="138"/>
              <w:jc w:val="left"/>
              <w:rPr>
                <w:sz w:val="21"/>
              </w:rPr>
            </w:pPr>
            <w:r>
              <w:rPr>
                <w:color w:val="FF0000"/>
                <w:sz w:val="21"/>
              </w:rPr>
              <w:t>生态环境</w:t>
            </w:r>
          </w:p>
        </w:tc>
        <w:tc>
          <w:tcPr>
            <w:tcW w:w="1259" w:type="dxa"/>
            <w:tcBorders>
              <w:top w:val="single" w:color="000000" w:sz="4" w:space="0"/>
              <w:left w:val="single" w:color="000000" w:sz="4" w:space="0"/>
              <w:bottom w:val="single" w:color="000000" w:sz="4" w:space="0"/>
              <w:right w:val="single" w:color="000000" w:sz="4" w:space="0"/>
            </w:tcBorders>
          </w:tcPr>
          <w:p>
            <w:pPr>
              <w:pStyle w:val="19"/>
              <w:spacing w:before="10"/>
              <w:jc w:val="left"/>
              <w:rPr>
                <w:b/>
                <w:sz w:val="24"/>
              </w:rPr>
            </w:pPr>
          </w:p>
          <w:p>
            <w:pPr>
              <w:pStyle w:val="19"/>
              <w:ind w:left="187" w:right="173"/>
              <w:rPr>
                <w:sz w:val="21"/>
              </w:rPr>
            </w:pPr>
            <w:r>
              <w:rPr>
                <w:color w:val="FF0000"/>
                <w:sz w:val="21"/>
              </w:rPr>
              <w:t>现状评价</w:t>
            </w:r>
          </w:p>
        </w:tc>
        <w:tc>
          <w:tcPr>
            <w:tcW w:w="5883" w:type="dxa"/>
            <w:tcBorders>
              <w:top w:val="single" w:color="000000" w:sz="4" w:space="0"/>
              <w:left w:val="single" w:color="000000" w:sz="4" w:space="0"/>
              <w:bottom w:val="single" w:color="000000" w:sz="4" w:space="0"/>
            </w:tcBorders>
          </w:tcPr>
          <w:p>
            <w:pPr>
              <w:pStyle w:val="19"/>
              <w:spacing w:before="77" w:line="321" w:lineRule="auto"/>
              <w:ind w:left="1999" w:right="83" w:hanging="1467"/>
              <w:jc w:val="left"/>
              <w:rPr>
                <w:sz w:val="21"/>
              </w:rPr>
            </w:pPr>
            <w:r>
              <w:rPr>
                <w:color w:val="FF0000"/>
                <w:w w:val="95"/>
                <w:sz w:val="21"/>
              </w:rPr>
              <w:t xml:space="preserve">土地利用、地貌类型、土壤类型及侵蚀强度、植被类型、 </w:t>
            </w:r>
            <w:r>
              <w:rPr>
                <w:color w:val="FF0000"/>
                <w:sz w:val="21"/>
              </w:rPr>
              <w:t>植被覆盖度、动植物资源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1038" w:type="dxa"/>
            <w:vMerge w:val="continue"/>
            <w:tcBorders>
              <w:top w:val="nil"/>
              <w:bottom w:val="single" w:color="000000" w:sz="4" w:space="0"/>
              <w:right w:val="single" w:color="000000" w:sz="4" w:space="0"/>
            </w:tcBorders>
          </w:tcPr>
          <w:p>
            <w:pPr>
              <w:rPr>
                <w:sz w:val="2"/>
                <w:szCs w:val="2"/>
              </w:rPr>
            </w:pPr>
          </w:p>
        </w:tc>
        <w:tc>
          <w:tcPr>
            <w:tcW w:w="1106" w:type="dxa"/>
            <w:vMerge w:val="continue"/>
            <w:tcBorders>
              <w:top w:val="nil"/>
              <w:left w:val="single" w:color="000000" w:sz="4" w:space="0"/>
              <w:bottom w:val="single" w:color="000000" w:sz="4" w:space="0"/>
              <w:right w:val="single" w:color="000000" w:sz="4" w:space="0"/>
            </w:tcBorders>
          </w:tcPr>
          <w:p>
            <w:pPr>
              <w:rPr>
                <w:sz w:val="2"/>
                <w:szCs w:val="2"/>
              </w:rPr>
            </w:pPr>
          </w:p>
        </w:tc>
        <w:tc>
          <w:tcPr>
            <w:tcW w:w="1259" w:type="dxa"/>
            <w:tcBorders>
              <w:top w:val="single" w:color="000000" w:sz="4" w:space="0"/>
              <w:left w:val="single" w:color="000000" w:sz="4" w:space="0"/>
              <w:bottom w:val="single" w:color="000000" w:sz="4" w:space="0"/>
              <w:right w:val="single" w:color="000000" w:sz="4" w:space="0"/>
            </w:tcBorders>
          </w:tcPr>
          <w:p>
            <w:pPr>
              <w:pStyle w:val="19"/>
              <w:spacing w:line="360" w:lineRule="exact"/>
              <w:ind w:left="424" w:right="196" w:hanging="212"/>
              <w:jc w:val="left"/>
              <w:rPr>
                <w:sz w:val="21"/>
              </w:rPr>
            </w:pPr>
            <w:r>
              <w:rPr>
                <w:color w:val="FF0000"/>
                <w:sz w:val="21"/>
              </w:rPr>
              <w:t>影响评价因子</w:t>
            </w:r>
          </w:p>
        </w:tc>
        <w:tc>
          <w:tcPr>
            <w:tcW w:w="5883" w:type="dxa"/>
            <w:tcBorders>
              <w:top w:val="single" w:color="000000" w:sz="4" w:space="0"/>
              <w:left w:val="single" w:color="000000" w:sz="4" w:space="0"/>
              <w:bottom w:val="single" w:color="000000" w:sz="4" w:space="0"/>
            </w:tcBorders>
          </w:tcPr>
          <w:p>
            <w:pPr>
              <w:pStyle w:val="19"/>
              <w:spacing w:before="5"/>
              <w:jc w:val="left"/>
              <w:rPr>
                <w:b/>
                <w:sz w:val="15"/>
              </w:rPr>
            </w:pPr>
          </w:p>
          <w:p>
            <w:pPr>
              <w:pStyle w:val="19"/>
              <w:spacing w:before="1"/>
              <w:ind w:left="739"/>
              <w:jc w:val="left"/>
              <w:rPr>
                <w:sz w:val="21"/>
              </w:rPr>
            </w:pPr>
            <w:r>
              <w:rPr>
                <w:color w:val="FF0000"/>
                <w:sz w:val="21"/>
              </w:rPr>
              <w:t>占地、水土流失、景观、地面塌陷、土地综合整治等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9" w:hRule="atLeast"/>
        </w:trPr>
        <w:tc>
          <w:tcPr>
            <w:tcW w:w="1038" w:type="dxa"/>
            <w:tcBorders>
              <w:top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7"/>
              <w:jc w:val="left"/>
              <w:rPr>
                <w:b/>
                <w:sz w:val="23"/>
              </w:rPr>
            </w:pPr>
          </w:p>
          <w:p>
            <w:pPr>
              <w:pStyle w:val="19"/>
              <w:ind w:right="450"/>
              <w:jc w:val="right"/>
              <w:rPr>
                <w:rFonts w:ascii="Times New Roman"/>
                <w:sz w:val="21"/>
              </w:rPr>
            </w:pPr>
            <w:r>
              <w:rPr>
                <w:rFonts w:ascii="Times New Roman"/>
                <w:color w:val="FF0000"/>
                <w:w w:val="99"/>
                <w:sz w:val="21"/>
              </w:rPr>
              <w:t>7</w:t>
            </w:r>
          </w:p>
        </w:tc>
        <w:tc>
          <w:tcPr>
            <w:tcW w:w="1106" w:type="dxa"/>
            <w:tcBorders>
              <w:top w:val="single" w:color="000000" w:sz="4" w:space="0"/>
              <w:left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160"/>
              <w:ind w:left="138"/>
              <w:jc w:val="left"/>
              <w:rPr>
                <w:sz w:val="21"/>
              </w:rPr>
            </w:pPr>
            <w:r>
              <w:rPr>
                <w:color w:val="FF0000"/>
                <w:sz w:val="21"/>
              </w:rPr>
              <w:t>土壤环境</w:t>
            </w:r>
          </w:p>
        </w:tc>
        <w:tc>
          <w:tcPr>
            <w:tcW w:w="1259" w:type="dxa"/>
            <w:tcBorders>
              <w:top w:val="single" w:color="000000" w:sz="4" w:space="0"/>
              <w:left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160"/>
              <w:ind w:left="187" w:right="173"/>
              <w:rPr>
                <w:sz w:val="21"/>
              </w:rPr>
            </w:pPr>
            <w:r>
              <w:rPr>
                <w:color w:val="FF0000"/>
                <w:sz w:val="21"/>
              </w:rPr>
              <w:t>现状评价</w:t>
            </w:r>
          </w:p>
        </w:tc>
        <w:tc>
          <w:tcPr>
            <w:tcW w:w="5883" w:type="dxa"/>
            <w:tcBorders>
              <w:top w:val="single" w:color="000000" w:sz="4" w:space="0"/>
              <w:left w:val="single" w:color="000000" w:sz="4" w:space="0"/>
            </w:tcBorders>
          </w:tcPr>
          <w:p>
            <w:pPr>
              <w:pStyle w:val="19"/>
              <w:spacing w:before="77" w:line="321" w:lineRule="auto"/>
              <w:ind w:left="115" w:right="-29" w:hanging="3"/>
              <w:jc w:val="left"/>
              <w:rPr>
                <w:sz w:val="21"/>
              </w:rPr>
            </w:pPr>
            <w:r>
              <w:rPr>
                <w:color w:val="FF0000"/>
                <w:sz w:val="21"/>
              </w:rPr>
              <w:t>建设用地：</w:t>
            </w:r>
            <w:r>
              <w:rPr>
                <w:rFonts w:ascii="Times New Roman" w:eastAsia="Times New Roman"/>
                <w:color w:val="FF0000"/>
                <w:sz w:val="21"/>
              </w:rPr>
              <w:t>pH</w:t>
            </w:r>
            <w:r>
              <w:rPr>
                <w:color w:val="FF0000"/>
                <w:sz w:val="21"/>
              </w:rPr>
              <w:t>、含盐量、砷、镉、六价铬、铜、铅、汞、镍、四氯化碳、氯仿、氯甲烷、</w:t>
            </w:r>
            <w:r>
              <w:rPr>
                <w:rFonts w:ascii="Times New Roman" w:eastAsia="Times New Roman"/>
                <w:color w:val="FF0000"/>
                <w:sz w:val="21"/>
              </w:rPr>
              <w:t>1,1-</w:t>
            </w:r>
            <w:r>
              <w:rPr>
                <w:color w:val="FF0000"/>
                <w:sz w:val="21"/>
              </w:rPr>
              <w:t>二氯乙烷、</w:t>
            </w:r>
            <w:r>
              <w:rPr>
                <w:rFonts w:ascii="Times New Roman" w:eastAsia="Times New Roman"/>
                <w:color w:val="FF0000"/>
                <w:sz w:val="21"/>
              </w:rPr>
              <w:t>1,2-</w:t>
            </w:r>
            <w:r>
              <w:rPr>
                <w:color w:val="FF0000"/>
                <w:sz w:val="21"/>
              </w:rPr>
              <w:t>二氯乙烷、</w:t>
            </w:r>
            <w:r>
              <w:rPr>
                <w:rFonts w:ascii="Times New Roman" w:eastAsia="Times New Roman"/>
                <w:color w:val="FF0000"/>
                <w:sz w:val="21"/>
              </w:rPr>
              <w:t xml:space="preserve">1,1- </w:t>
            </w:r>
            <w:r>
              <w:rPr>
                <w:color w:val="FF0000"/>
                <w:spacing w:val="-5"/>
                <w:sz w:val="21"/>
              </w:rPr>
              <w:t>二氯乙烯、顺</w:t>
            </w:r>
            <w:r>
              <w:rPr>
                <w:rFonts w:ascii="Times New Roman" w:eastAsia="Times New Roman"/>
                <w:color w:val="FF0000"/>
                <w:sz w:val="21"/>
              </w:rPr>
              <w:t>-1,2-</w:t>
            </w:r>
            <w:r>
              <w:rPr>
                <w:color w:val="FF0000"/>
                <w:spacing w:val="-4"/>
                <w:sz w:val="21"/>
              </w:rPr>
              <w:t>二氯乙烯、反</w:t>
            </w:r>
            <w:r>
              <w:rPr>
                <w:rFonts w:ascii="Times New Roman" w:eastAsia="Times New Roman"/>
                <w:color w:val="FF0000"/>
                <w:sz w:val="21"/>
              </w:rPr>
              <w:t>-1,2-</w:t>
            </w:r>
            <w:r>
              <w:rPr>
                <w:color w:val="FF0000"/>
                <w:spacing w:val="-7"/>
                <w:sz w:val="21"/>
              </w:rPr>
              <w:t>二氯乙烯、二氯甲烷、</w:t>
            </w:r>
            <w:r>
              <w:rPr>
                <w:rFonts w:ascii="Times New Roman" w:eastAsia="Times New Roman"/>
                <w:color w:val="FF0000"/>
                <w:sz w:val="21"/>
              </w:rPr>
              <w:t xml:space="preserve">1,2- </w:t>
            </w:r>
            <w:r>
              <w:rPr>
                <w:color w:val="FF0000"/>
                <w:spacing w:val="-16"/>
                <w:sz w:val="21"/>
              </w:rPr>
              <w:t>二氯丙烷、</w:t>
            </w:r>
            <w:r>
              <w:rPr>
                <w:rFonts w:ascii="Times New Roman" w:eastAsia="Times New Roman"/>
                <w:color w:val="FF0000"/>
                <w:sz w:val="21"/>
              </w:rPr>
              <w:t>1,1,1,2-</w:t>
            </w:r>
            <w:r>
              <w:rPr>
                <w:color w:val="FF0000"/>
                <w:spacing w:val="-16"/>
                <w:sz w:val="21"/>
              </w:rPr>
              <w:t>四氯乙烷、</w:t>
            </w:r>
            <w:r>
              <w:rPr>
                <w:rFonts w:ascii="Times New Roman" w:eastAsia="Times New Roman"/>
                <w:color w:val="FF0000"/>
                <w:sz w:val="21"/>
              </w:rPr>
              <w:t>1,1,2,2-</w:t>
            </w:r>
            <w:r>
              <w:rPr>
                <w:color w:val="FF0000"/>
                <w:spacing w:val="-17"/>
                <w:sz w:val="21"/>
              </w:rPr>
              <w:t>四氯乙烷、四氯乙烯、</w:t>
            </w:r>
            <w:r>
              <w:rPr>
                <w:rFonts w:ascii="Times New Roman" w:eastAsia="Times New Roman"/>
                <w:color w:val="FF0000"/>
                <w:sz w:val="21"/>
              </w:rPr>
              <w:t xml:space="preserve">1,1,1- </w:t>
            </w:r>
            <w:r>
              <w:rPr>
                <w:color w:val="FF0000"/>
                <w:sz w:val="21"/>
              </w:rPr>
              <w:t>三氯乙烷、</w:t>
            </w:r>
            <w:r>
              <w:rPr>
                <w:rFonts w:ascii="Times New Roman" w:eastAsia="Times New Roman"/>
                <w:color w:val="FF0000"/>
                <w:sz w:val="21"/>
              </w:rPr>
              <w:t>1,1,2-</w:t>
            </w:r>
            <w:r>
              <w:rPr>
                <w:color w:val="FF0000"/>
                <w:sz w:val="21"/>
              </w:rPr>
              <w:t>三氯乙烷、三氯乙烯、</w:t>
            </w:r>
            <w:r>
              <w:rPr>
                <w:rFonts w:ascii="Times New Roman" w:eastAsia="Times New Roman"/>
                <w:color w:val="FF0000"/>
                <w:sz w:val="21"/>
              </w:rPr>
              <w:t>1,2,3-</w:t>
            </w:r>
            <w:r>
              <w:rPr>
                <w:color w:val="FF0000"/>
                <w:sz w:val="21"/>
              </w:rPr>
              <w:t>三氯丙烷、氯乙</w:t>
            </w:r>
            <w:r>
              <w:rPr>
                <w:color w:val="FF0000"/>
                <w:spacing w:val="-10"/>
                <w:w w:val="95"/>
                <w:sz w:val="21"/>
              </w:rPr>
              <w:t>烯、苯、氯苯、</w:t>
            </w:r>
            <w:r>
              <w:rPr>
                <w:rFonts w:ascii="Times New Roman" w:eastAsia="Times New Roman"/>
                <w:color w:val="FF0000"/>
                <w:w w:val="95"/>
                <w:sz w:val="21"/>
              </w:rPr>
              <w:t>1,2-</w:t>
            </w:r>
            <w:r>
              <w:rPr>
                <w:color w:val="FF0000"/>
                <w:spacing w:val="-5"/>
                <w:w w:val="95"/>
                <w:sz w:val="21"/>
              </w:rPr>
              <w:t>二氯苯、</w:t>
            </w:r>
            <w:r>
              <w:rPr>
                <w:rFonts w:ascii="Times New Roman" w:eastAsia="Times New Roman"/>
                <w:color w:val="FF0000"/>
                <w:w w:val="95"/>
                <w:sz w:val="21"/>
              </w:rPr>
              <w:t>1,4-</w:t>
            </w:r>
            <w:r>
              <w:rPr>
                <w:color w:val="FF0000"/>
                <w:spacing w:val="-9"/>
                <w:w w:val="95"/>
                <w:sz w:val="21"/>
              </w:rPr>
              <w:t xml:space="preserve">二氯苯、乙苯、苯乙烯、甲苯、 </w:t>
            </w:r>
            <w:r>
              <w:rPr>
                <w:color w:val="FF0000"/>
                <w:spacing w:val="-9"/>
                <w:sz w:val="21"/>
              </w:rPr>
              <w:t>间二甲苯</w:t>
            </w:r>
            <w:r>
              <w:rPr>
                <w:rFonts w:ascii="Times New Roman" w:eastAsia="Times New Roman"/>
                <w:color w:val="FF0000"/>
                <w:spacing w:val="-9"/>
                <w:sz w:val="21"/>
              </w:rPr>
              <w:t>+</w:t>
            </w:r>
            <w:r>
              <w:rPr>
                <w:color w:val="FF0000"/>
                <w:spacing w:val="-11"/>
                <w:sz w:val="21"/>
              </w:rPr>
              <w:t>对二甲苯、邻二甲苯、硝基苯、苯胺、</w:t>
            </w:r>
            <w:r>
              <w:rPr>
                <w:rFonts w:ascii="Times New Roman" w:eastAsia="Times New Roman"/>
                <w:color w:val="FF0000"/>
                <w:sz w:val="21"/>
              </w:rPr>
              <w:t>2-</w:t>
            </w:r>
            <w:r>
              <w:rPr>
                <w:color w:val="FF0000"/>
                <w:spacing w:val="-4"/>
                <w:sz w:val="21"/>
              </w:rPr>
              <w:t>氯酚、苯并</w:t>
            </w:r>
            <w:r>
              <w:rPr>
                <w:rFonts w:ascii="Times New Roman" w:eastAsia="Times New Roman"/>
                <w:color w:val="FF0000"/>
                <w:spacing w:val="-4"/>
                <w:sz w:val="21"/>
              </w:rPr>
              <w:t>[a]</w:t>
            </w:r>
            <w:r>
              <w:rPr>
                <w:color w:val="FF0000"/>
                <w:spacing w:val="-6"/>
                <w:sz w:val="21"/>
              </w:rPr>
              <w:t>蒽、苯并</w:t>
            </w:r>
            <w:r>
              <w:rPr>
                <w:rFonts w:ascii="Times New Roman" w:eastAsia="Times New Roman"/>
                <w:color w:val="FF0000"/>
                <w:sz w:val="21"/>
              </w:rPr>
              <w:t>[a]</w:t>
            </w:r>
            <w:r>
              <w:rPr>
                <w:color w:val="FF0000"/>
                <w:spacing w:val="-5"/>
                <w:sz w:val="21"/>
              </w:rPr>
              <w:t>芘、苯并</w:t>
            </w:r>
            <w:r>
              <w:rPr>
                <w:rFonts w:ascii="Times New Roman" w:eastAsia="Times New Roman"/>
                <w:color w:val="FF0000"/>
                <w:sz w:val="21"/>
              </w:rPr>
              <w:t>[b]</w:t>
            </w:r>
            <w:r>
              <w:rPr>
                <w:color w:val="FF0000"/>
                <w:spacing w:val="-4"/>
                <w:sz w:val="21"/>
              </w:rPr>
              <w:t>荧蒽、苯并</w:t>
            </w:r>
            <w:r>
              <w:rPr>
                <w:rFonts w:ascii="Times New Roman" w:eastAsia="Times New Roman"/>
                <w:color w:val="FF0000"/>
                <w:sz w:val="21"/>
              </w:rPr>
              <w:t>[k]</w:t>
            </w:r>
            <w:r>
              <w:rPr>
                <w:color w:val="FF0000"/>
                <w:spacing w:val="-6"/>
                <w:sz w:val="21"/>
              </w:rPr>
              <w:t>荧蒽、䓛、二苯并</w:t>
            </w:r>
            <w:r>
              <w:rPr>
                <w:rFonts w:ascii="Times New Roman" w:eastAsia="Times New Roman"/>
                <w:color w:val="FF0000"/>
                <w:sz w:val="21"/>
              </w:rPr>
              <w:t xml:space="preserve">[a,h] </w:t>
            </w:r>
            <w:r>
              <w:rPr>
                <w:color w:val="FF0000"/>
                <w:sz w:val="21"/>
              </w:rPr>
              <w:t>蒽、茚并</w:t>
            </w:r>
            <w:r>
              <w:rPr>
                <w:rFonts w:ascii="Times New Roman" w:eastAsia="Times New Roman"/>
                <w:color w:val="FF0000"/>
                <w:sz w:val="21"/>
              </w:rPr>
              <w:t>[1,2,3-cd]</w:t>
            </w:r>
            <w:r>
              <w:rPr>
                <w:color w:val="FF0000"/>
                <w:sz w:val="21"/>
              </w:rPr>
              <w:t>芘、萘、石油烃（</w:t>
            </w:r>
            <w:r>
              <w:rPr>
                <w:rFonts w:ascii="Times New Roman" w:eastAsia="Times New Roman"/>
                <w:color w:val="FF0000"/>
                <w:sz w:val="21"/>
              </w:rPr>
              <w:t>C10</w:t>
            </w:r>
            <w:r>
              <w:rPr>
                <w:color w:val="FF0000"/>
                <w:sz w:val="21"/>
              </w:rPr>
              <w:t>～</w:t>
            </w:r>
            <w:r>
              <w:rPr>
                <w:rFonts w:ascii="Times New Roman" w:eastAsia="Times New Roman"/>
                <w:color w:val="FF0000"/>
                <w:sz w:val="21"/>
              </w:rPr>
              <w:t>C40</w:t>
            </w:r>
            <w:r>
              <w:rPr>
                <w:color w:val="FF0000"/>
                <w:sz w:val="21"/>
              </w:rPr>
              <w:t>）、铬、锌。</w:t>
            </w:r>
          </w:p>
          <w:p>
            <w:pPr>
              <w:pStyle w:val="19"/>
              <w:spacing w:line="257" w:lineRule="exact"/>
              <w:ind w:left="192"/>
              <w:jc w:val="left"/>
              <w:rPr>
                <w:sz w:val="21"/>
              </w:rPr>
            </w:pPr>
            <w:r>
              <w:rPr>
                <w:color w:val="FF0000"/>
                <w:sz w:val="21"/>
              </w:rPr>
              <w:t>农用地：</w:t>
            </w:r>
            <w:r>
              <w:rPr>
                <w:rFonts w:ascii="Times New Roman" w:eastAsia="Times New Roman"/>
                <w:color w:val="FF0000"/>
                <w:sz w:val="21"/>
              </w:rPr>
              <w:t>pH</w:t>
            </w:r>
            <w:r>
              <w:rPr>
                <w:color w:val="FF0000"/>
                <w:sz w:val="21"/>
              </w:rPr>
              <w:t>、含盐量、镉、汞、砷、铅、铬、铜、镍、锌；</w:t>
            </w:r>
          </w:p>
        </w:tc>
      </w:tr>
    </w:tbl>
    <w:p>
      <w:pPr>
        <w:pStyle w:val="5"/>
        <w:numPr>
          <w:ilvl w:val="1"/>
          <w:numId w:val="15"/>
        </w:numPr>
        <w:tabs>
          <w:tab w:val="left" w:pos="668"/>
        </w:tabs>
        <w:spacing w:before="4" w:after="0" w:line="240" w:lineRule="auto"/>
        <w:ind w:left="667" w:right="0" w:hanging="450"/>
        <w:jc w:val="left"/>
        <w:rPr>
          <w:rFonts w:ascii="Times New Roman" w:eastAsia="Times New Roman"/>
          <w:color w:val="FF0000"/>
        </w:rPr>
      </w:pPr>
      <w:bookmarkStart w:id="75" w:name="1.4环境功能区划及评价标准"/>
      <w:bookmarkEnd w:id="75"/>
      <w:bookmarkStart w:id="76" w:name="1.4环境功能区划及评价标准"/>
      <w:bookmarkEnd w:id="76"/>
      <w:r>
        <w:rPr>
          <w:color w:val="FF0000"/>
        </w:rPr>
        <w:t>环境功能区划及评价标准</w:t>
      </w:r>
    </w:p>
    <w:p>
      <w:pPr>
        <w:pStyle w:val="18"/>
        <w:numPr>
          <w:ilvl w:val="2"/>
          <w:numId w:val="15"/>
        </w:numPr>
        <w:tabs>
          <w:tab w:val="left" w:pos="848"/>
        </w:tabs>
        <w:spacing w:before="197" w:after="0" w:line="240" w:lineRule="auto"/>
        <w:ind w:left="847" w:right="0" w:hanging="630"/>
        <w:jc w:val="left"/>
        <w:rPr>
          <w:rFonts w:ascii="Times New Roman" w:eastAsia="Times New Roman"/>
          <w:b/>
          <w:color w:val="FF0000"/>
          <w:sz w:val="28"/>
        </w:rPr>
      </w:pPr>
      <w:bookmarkStart w:id="77" w:name="1.4.1环境功能区划"/>
      <w:bookmarkEnd w:id="77"/>
      <w:bookmarkStart w:id="78" w:name="1.4.1环境功能区划"/>
      <w:bookmarkEnd w:id="78"/>
      <w:r>
        <w:rPr>
          <w:b/>
          <w:color w:val="FF0000"/>
          <w:sz w:val="28"/>
        </w:rPr>
        <w:t>环境功能区划</w:t>
      </w:r>
    </w:p>
    <w:p>
      <w:pPr>
        <w:pStyle w:val="18"/>
        <w:numPr>
          <w:ilvl w:val="0"/>
          <w:numId w:val="22"/>
        </w:numPr>
        <w:tabs>
          <w:tab w:val="left" w:pos="1300"/>
        </w:tabs>
        <w:spacing w:before="185" w:after="0" w:line="364" w:lineRule="auto"/>
        <w:ind w:left="218" w:right="251" w:firstLine="480"/>
        <w:jc w:val="left"/>
        <w:rPr>
          <w:sz w:val="24"/>
        </w:rPr>
      </w:pPr>
      <w:r>
        <w:rPr>
          <w:color w:val="FF0000"/>
          <w:spacing w:val="-9"/>
          <w:sz w:val="24"/>
        </w:rPr>
        <w:t>环境空气：本项目所在区域位于《环境空气质量标准》</w:t>
      </w:r>
      <w:r>
        <w:rPr>
          <w:color w:val="FF0000"/>
          <w:sz w:val="24"/>
        </w:rPr>
        <w:t>（</w:t>
      </w:r>
      <w:r>
        <w:rPr>
          <w:rFonts w:ascii="Times New Roman" w:eastAsia="Times New Roman"/>
          <w:color w:val="FF0000"/>
          <w:sz w:val="24"/>
        </w:rPr>
        <w:t>GB3095-2012</w:t>
      </w:r>
      <w:r>
        <w:rPr>
          <w:color w:val="FF0000"/>
          <w:sz w:val="24"/>
        </w:rPr>
        <w:t>）</w:t>
      </w:r>
      <w:r>
        <w:rPr>
          <w:color w:val="FF0000"/>
          <w:spacing w:val="-7"/>
          <w:sz w:val="24"/>
        </w:rPr>
        <w:t>中二</w:t>
      </w:r>
      <w:r>
        <w:rPr>
          <w:color w:val="FF0000"/>
          <w:sz w:val="24"/>
        </w:rPr>
        <w:t>类环境空气功能区，不在酸雨和二氧化硫控制区内。</w:t>
      </w:r>
    </w:p>
    <w:p>
      <w:pPr>
        <w:pStyle w:val="18"/>
        <w:numPr>
          <w:ilvl w:val="0"/>
          <w:numId w:val="22"/>
        </w:numPr>
        <w:tabs>
          <w:tab w:val="left" w:pos="1304"/>
        </w:tabs>
        <w:spacing w:before="2" w:after="0" w:line="364" w:lineRule="auto"/>
        <w:ind w:left="218" w:right="137" w:firstLine="480"/>
        <w:jc w:val="left"/>
        <w:rPr>
          <w:sz w:val="24"/>
        </w:rPr>
      </w:pPr>
      <w:r>
        <w:rPr>
          <w:color w:val="FF0000"/>
          <w:sz w:val="24"/>
        </w:rPr>
        <w:t>地表水环境：项目废水主要包括采煤废水及生活污水，生活污水全部回用不</w:t>
      </w:r>
      <w:r>
        <w:rPr>
          <w:color w:val="FF0000"/>
          <w:spacing w:val="-6"/>
          <w:sz w:val="24"/>
        </w:rPr>
        <w:t>外排，根据生态环境行政主管部门要求，采煤废水部分回用，剩余部分出售给黑龙江建</w:t>
      </w:r>
      <w:r>
        <w:rPr>
          <w:color w:val="FF0000"/>
          <w:spacing w:val="-7"/>
          <w:sz w:val="24"/>
        </w:rPr>
        <w:t>龙钢铁有限公司综合利用。本项目所在区域地表水系为安邦河源头</w:t>
      </w:r>
      <w:r>
        <w:rPr>
          <w:rFonts w:ascii="Times New Roman" w:hAnsi="Times New Roman" w:eastAsia="Times New Roman"/>
          <w:color w:val="FF0000"/>
          <w:sz w:val="24"/>
        </w:rPr>
        <w:t>-</w:t>
      </w:r>
      <w:r>
        <w:rPr>
          <w:color w:val="FF0000"/>
          <w:spacing w:val="-2"/>
          <w:sz w:val="24"/>
        </w:rPr>
        <w:t xml:space="preserve">寒葱沟水库库尾段， </w:t>
      </w:r>
      <w:r>
        <w:rPr>
          <w:color w:val="FF0000"/>
          <w:spacing w:val="-1"/>
          <w:sz w:val="24"/>
        </w:rPr>
        <w:t>该流域水体功能为Ⅱ类，评价区地表水执行《地表水环境质量标准》</w:t>
      </w:r>
      <w:r>
        <w:rPr>
          <w:color w:val="FF0000"/>
          <w:sz w:val="24"/>
        </w:rPr>
        <w:t>（</w:t>
      </w:r>
      <w:r>
        <w:rPr>
          <w:rFonts w:ascii="Times New Roman" w:hAnsi="Times New Roman" w:eastAsia="Times New Roman"/>
          <w:color w:val="FF0000"/>
          <w:sz w:val="24"/>
        </w:rPr>
        <w:t>GB3838-2002</w:t>
      </w:r>
      <w:r>
        <w:rPr>
          <w:color w:val="FF0000"/>
          <w:sz w:val="24"/>
        </w:rPr>
        <w:t>） 中Ⅱ类标准。</w:t>
      </w:r>
    </w:p>
    <w:p>
      <w:pPr>
        <w:pStyle w:val="18"/>
        <w:numPr>
          <w:ilvl w:val="0"/>
          <w:numId w:val="22"/>
        </w:numPr>
        <w:tabs>
          <w:tab w:val="left" w:pos="1304"/>
        </w:tabs>
        <w:spacing w:before="0" w:after="0" w:line="303" w:lineRule="exact"/>
        <w:ind w:left="1303" w:right="0" w:hanging="606"/>
        <w:jc w:val="left"/>
        <w:rPr>
          <w:sz w:val="24"/>
        </w:rPr>
      </w:pPr>
      <w:r>
        <w:rPr>
          <w:color w:val="FF0000"/>
          <w:sz w:val="24"/>
        </w:rPr>
        <w:t>声环境：根据原有工程环评情况，本项目所在区域位于《声环境质量标准》</w:t>
      </w:r>
    </w:p>
    <w:p>
      <w:pPr>
        <w:pStyle w:val="9"/>
        <w:spacing w:before="160"/>
        <w:ind w:left="218"/>
      </w:pPr>
      <w:r>
        <w:rPr>
          <w:color w:val="FF0000"/>
        </w:rPr>
        <w:t>（</w:t>
      </w:r>
      <w:r>
        <w:rPr>
          <w:rFonts w:ascii="Times New Roman" w:eastAsia="Times New Roman"/>
          <w:color w:val="FF0000"/>
        </w:rPr>
        <w:t>GB3096-2008</w:t>
      </w:r>
      <w:r>
        <w:rPr>
          <w:color w:val="FF0000"/>
        </w:rPr>
        <w:t xml:space="preserve">）中 </w:t>
      </w:r>
      <w:r>
        <w:rPr>
          <w:rFonts w:ascii="Times New Roman" w:eastAsia="Times New Roman"/>
          <w:color w:val="FF0000"/>
        </w:rPr>
        <w:t xml:space="preserve">2 </w:t>
      </w:r>
      <w:r>
        <w:rPr>
          <w:color w:val="FF0000"/>
        </w:rPr>
        <w:t>类声环境功能区。</w:t>
      </w:r>
    </w:p>
    <w:p>
      <w:pPr>
        <w:pStyle w:val="18"/>
        <w:numPr>
          <w:ilvl w:val="0"/>
          <w:numId w:val="22"/>
        </w:numPr>
        <w:tabs>
          <w:tab w:val="left" w:pos="1349"/>
        </w:tabs>
        <w:spacing w:before="158" w:after="0" w:line="240" w:lineRule="auto"/>
        <w:ind w:left="1348" w:right="0" w:hanging="651"/>
        <w:jc w:val="left"/>
        <w:rPr>
          <w:sz w:val="24"/>
        </w:rPr>
      </w:pPr>
      <w:r>
        <w:rPr>
          <w:color w:val="FF0000"/>
          <w:spacing w:val="13"/>
          <w:sz w:val="24"/>
        </w:rPr>
        <w:t>地下水环境：本项目所在区域地下水环境质量执行《地下水质量标准》</w:t>
      </w:r>
    </w:p>
    <w:p>
      <w:pPr>
        <w:pStyle w:val="9"/>
        <w:spacing w:before="161"/>
        <w:ind w:left="218"/>
      </w:pPr>
      <w:r>
        <w:rPr>
          <w:color w:val="FF0000"/>
        </w:rPr>
        <w:t>（</w:t>
      </w:r>
      <w:r>
        <w:rPr>
          <w:rFonts w:ascii="Times New Roman" w:hAnsi="Times New Roman" w:eastAsia="Times New Roman"/>
          <w:color w:val="FF0000"/>
        </w:rPr>
        <w:t>GB/T14848-2017</w:t>
      </w:r>
      <w:r>
        <w:rPr>
          <w:color w:val="FF0000"/>
        </w:rPr>
        <w:t>）中Ⅲ类标准。</w:t>
      </w:r>
    </w:p>
    <w:p>
      <w:pPr>
        <w:pStyle w:val="18"/>
        <w:numPr>
          <w:ilvl w:val="2"/>
          <w:numId w:val="15"/>
        </w:numPr>
        <w:tabs>
          <w:tab w:val="left" w:pos="848"/>
        </w:tabs>
        <w:spacing w:before="159" w:after="0" w:line="240" w:lineRule="auto"/>
        <w:ind w:left="847" w:right="0" w:hanging="630"/>
        <w:jc w:val="left"/>
        <w:rPr>
          <w:rFonts w:ascii="Times New Roman" w:eastAsia="Times New Roman"/>
          <w:b/>
          <w:color w:val="FF0000"/>
          <w:sz w:val="28"/>
        </w:rPr>
      </w:pPr>
      <w:bookmarkStart w:id="79" w:name="1.4.2评价标准"/>
      <w:bookmarkEnd w:id="79"/>
      <w:bookmarkStart w:id="80" w:name="1.4.2评价标准"/>
      <w:bookmarkEnd w:id="80"/>
      <w:r>
        <w:rPr>
          <w:b/>
          <w:color w:val="FF0000"/>
          <w:sz w:val="28"/>
        </w:rPr>
        <w:t>评价标准</w:t>
      </w:r>
    </w:p>
    <w:p>
      <w:pPr>
        <w:pStyle w:val="9"/>
        <w:spacing w:before="185"/>
        <w:ind w:left="698"/>
      </w:pPr>
      <w:r>
        <w:t>本次环评执行的环境保护标准见下表。</w:t>
      </w:r>
    </w:p>
    <w:p>
      <w:pPr>
        <w:spacing w:before="159" w:after="30"/>
        <w:ind w:left="578" w:right="196" w:firstLine="0"/>
        <w:jc w:val="center"/>
        <w:rPr>
          <w:b/>
          <w:sz w:val="21"/>
        </w:rPr>
      </w:pPr>
      <w:r>
        <w:rPr>
          <w:b/>
          <w:spacing w:val="-28"/>
          <w:sz w:val="21"/>
        </w:rPr>
        <w:t xml:space="preserve">表 </w:t>
      </w:r>
      <w:r>
        <w:rPr>
          <w:rFonts w:ascii="Times New Roman" w:eastAsia="Times New Roman"/>
          <w:b/>
          <w:sz w:val="21"/>
        </w:rPr>
        <w:t>1.3-1</w:t>
      </w:r>
      <w:r>
        <w:rPr>
          <w:rFonts w:ascii="Times New Roman" w:eastAsia="Times New Roman"/>
          <w:b/>
          <w:spacing w:val="52"/>
          <w:sz w:val="21"/>
        </w:rPr>
        <w:t xml:space="preserve"> </w:t>
      </w:r>
      <w:r>
        <w:rPr>
          <w:b/>
          <w:sz w:val="21"/>
        </w:rPr>
        <w:t>环境质量标准</w:t>
      </w: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2"/>
        <w:gridCol w:w="3181"/>
        <w:gridCol w:w="1920"/>
        <w:gridCol w:w="34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732" w:type="dxa"/>
            <w:tcBorders>
              <w:right w:val="single" w:color="000000" w:sz="4" w:space="0"/>
            </w:tcBorders>
          </w:tcPr>
          <w:p>
            <w:pPr>
              <w:pStyle w:val="19"/>
              <w:spacing w:before="1"/>
              <w:ind w:left="155"/>
              <w:jc w:val="left"/>
              <w:rPr>
                <w:sz w:val="21"/>
              </w:rPr>
            </w:pPr>
            <w:r>
              <w:rPr>
                <w:sz w:val="21"/>
              </w:rPr>
              <w:t>类别</w:t>
            </w:r>
          </w:p>
        </w:tc>
        <w:tc>
          <w:tcPr>
            <w:tcW w:w="3181" w:type="dxa"/>
            <w:tcBorders>
              <w:left w:val="single" w:color="000000" w:sz="4" w:space="0"/>
              <w:right w:val="single" w:color="000000" w:sz="4" w:space="0"/>
            </w:tcBorders>
          </w:tcPr>
          <w:p>
            <w:pPr>
              <w:pStyle w:val="19"/>
              <w:spacing w:before="1"/>
              <w:ind w:left="545"/>
              <w:jc w:val="left"/>
              <w:rPr>
                <w:sz w:val="21"/>
              </w:rPr>
            </w:pPr>
            <w:r>
              <w:rPr>
                <w:sz w:val="21"/>
              </w:rPr>
              <w:t>标准名称及级（类）别</w:t>
            </w:r>
          </w:p>
        </w:tc>
        <w:tc>
          <w:tcPr>
            <w:tcW w:w="1920" w:type="dxa"/>
            <w:tcBorders>
              <w:left w:val="single" w:color="000000" w:sz="4" w:space="0"/>
              <w:right w:val="single" w:color="000000" w:sz="4" w:space="0"/>
            </w:tcBorders>
          </w:tcPr>
          <w:p>
            <w:pPr>
              <w:pStyle w:val="19"/>
              <w:spacing w:before="1"/>
              <w:ind w:left="543"/>
              <w:jc w:val="left"/>
              <w:rPr>
                <w:sz w:val="21"/>
              </w:rPr>
            </w:pPr>
            <w:r>
              <w:rPr>
                <w:sz w:val="21"/>
              </w:rPr>
              <w:t>污染因子</w:t>
            </w:r>
          </w:p>
        </w:tc>
        <w:tc>
          <w:tcPr>
            <w:tcW w:w="3447" w:type="dxa"/>
            <w:tcBorders>
              <w:left w:val="single" w:color="000000" w:sz="4" w:space="0"/>
            </w:tcBorders>
          </w:tcPr>
          <w:p>
            <w:pPr>
              <w:pStyle w:val="19"/>
              <w:spacing w:before="1"/>
              <w:ind w:left="1392" w:right="1370"/>
              <w:rPr>
                <w:sz w:val="21"/>
              </w:rPr>
            </w:pPr>
            <w:r>
              <w:rPr>
                <w:sz w:val="21"/>
              </w:rPr>
              <w:t>标准值</w:t>
            </w:r>
          </w:p>
        </w:tc>
      </w:tr>
    </w:tbl>
    <w:p>
      <w:pPr>
        <w:spacing w:after="0"/>
        <w:rPr>
          <w:sz w:val="21"/>
        </w:rPr>
        <w:sectPr>
          <w:pgSz w:w="11910" w:h="16840"/>
          <w:pgMar w:top="1400" w:right="1160" w:bottom="1180" w:left="1200" w:header="0" w:footer="993" w:gutter="0"/>
        </w:sectPr>
      </w:pP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2"/>
        <w:gridCol w:w="3181"/>
        <w:gridCol w:w="1920"/>
        <w:gridCol w:w="1471"/>
        <w:gridCol w:w="884"/>
        <w:gridCol w:w="10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tcBorders>
              <w:bottom w:val="single" w:color="000000" w:sz="4" w:space="0"/>
              <w:right w:val="single" w:color="000000" w:sz="4" w:space="0"/>
            </w:tcBorders>
          </w:tcPr>
          <w:p>
            <w:pPr>
              <w:pStyle w:val="19"/>
              <w:jc w:val="left"/>
              <w:rPr>
                <w:rFonts w:ascii="Times New Roman"/>
                <w:sz w:val="20"/>
              </w:rPr>
            </w:pPr>
          </w:p>
        </w:tc>
        <w:tc>
          <w:tcPr>
            <w:tcW w:w="3181" w:type="dxa"/>
            <w:tcBorders>
              <w:left w:val="single" w:color="000000" w:sz="4" w:space="0"/>
              <w:bottom w:val="single" w:color="000000" w:sz="4" w:space="0"/>
              <w:right w:val="single" w:color="000000" w:sz="4" w:space="0"/>
            </w:tcBorders>
          </w:tcPr>
          <w:p>
            <w:pPr>
              <w:pStyle w:val="19"/>
              <w:jc w:val="left"/>
              <w:rPr>
                <w:rFonts w:ascii="Times New Roman"/>
                <w:sz w:val="20"/>
              </w:rPr>
            </w:pPr>
          </w:p>
        </w:tc>
        <w:tc>
          <w:tcPr>
            <w:tcW w:w="1920" w:type="dxa"/>
            <w:tcBorders>
              <w:left w:val="single" w:color="000000" w:sz="4" w:space="0"/>
              <w:bottom w:val="single" w:color="000000" w:sz="4" w:space="0"/>
              <w:right w:val="single" w:color="000000" w:sz="4" w:space="0"/>
            </w:tcBorders>
          </w:tcPr>
          <w:p>
            <w:pPr>
              <w:pStyle w:val="19"/>
              <w:jc w:val="left"/>
              <w:rPr>
                <w:rFonts w:ascii="Times New Roman"/>
                <w:sz w:val="20"/>
              </w:rPr>
            </w:pPr>
          </w:p>
        </w:tc>
        <w:tc>
          <w:tcPr>
            <w:tcW w:w="2355" w:type="dxa"/>
            <w:gridSpan w:val="2"/>
            <w:tcBorders>
              <w:left w:val="single" w:color="000000" w:sz="4" w:space="0"/>
              <w:bottom w:val="single" w:color="000000" w:sz="4" w:space="0"/>
              <w:right w:val="single" w:color="000000" w:sz="4" w:space="0"/>
            </w:tcBorders>
          </w:tcPr>
          <w:p>
            <w:pPr>
              <w:pStyle w:val="19"/>
              <w:spacing w:before="2"/>
              <w:ind w:left="386" w:right="371"/>
              <w:rPr>
                <w:sz w:val="21"/>
              </w:rPr>
            </w:pPr>
            <w:r>
              <w:rPr>
                <w:sz w:val="21"/>
              </w:rPr>
              <w:t>单位</w:t>
            </w:r>
          </w:p>
        </w:tc>
        <w:tc>
          <w:tcPr>
            <w:tcW w:w="1092" w:type="dxa"/>
            <w:tcBorders>
              <w:left w:val="single" w:color="000000" w:sz="4" w:space="0"/>
              <w:bottom w:val="single" w:color="000000" w:sz="4" w:space="0"/>
            </w:tcBorders>
          </w:tcPr>
          <w:p>
            <w:pPr>
              <w:pStyle w:val="19"/>
              <w:spacing w:before="2"/>
              <w:ind w:left="81" w:right="62"/>
              <w:rPr>
                <w:sz w:val="21"/>
              </w:rPr>
            </w:pPr>
            <w:r>
              <w:rPr>
                <w:sz w:val="21"/>
              </w:rPr>
              <w:t>数值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732" w:type="dxa"/>
            <w:vMerge w:val="restart"/>
            <w:tcBorders>
              <w:top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6"/>
              <w:jc w:val="left"/>
              <w:rPr>
                <w:b/>
                <w:sz w:val="20"/>
              </w:rPr>
            </w:pPr>
          </w:p>
          <w:p>
            <w:pPr>
              <w:pStyle w:val="19"/>
              <w:spacing w:line="290" w:lineRule="auto"/>
              <w:ind w:left="155" w:right="141"/>
              <w:jc w:val="left"/>
              <w:rPr>
                <w:sz w:val="21"/>
              </w:rPr>
            </w:pPr>
            <w:r>
              <w:rPr>
                <w:sz w:val="21"/>
              </w:rPr>
              <w:t>环境空气</w:t>
            </w:r>
          </w:p>
        </w:tc>
        <w:tc>
          <w:tcPr>
            <w:tcW w:w="3181"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11"/>
              <w:jc w:val="left"/>
              <w:rPr>
                <w:b/>
                <w:sz w:val="21"/>
              </w:rPr>
            </w:pPr>
          </w:p>
          <w:p>
            <w:pPr>
              <w:pStyle w:val="19"/>
              <w:ind w:left="151" w:right="135"/>
              <w:rPr>
                <w:sz w:val="21"/>
              </w:rPr>
            </w:pPr>
            <w:r>
              <w:rPr>
                <w:sz w:val="21"/>
              </w:rPr>
              <w:t>《环境空气质量标准》</w:t>
            </w:r>
          </w:p>
          <w:p>
            <w:pPr>
              <w:pStyle w:val="19"/>
              <w:spacing w:before="58" w:line="290" w:lineRule="auto"/>
              <w:ind w:left="153" w:right="135"/>
              <w:rPr>
                <w:sz w:val="21"/>
              </w:rPr>
            </w:pPr>
            <w:r>
              <w:rPr>
                <w:w w:val="95"/>
                <w:sz w:val="21"/>
              </w:rPr>
              <w:t>（</w:t>
            </w:r>
            <w:r>
              <w:rPr>
                <w:rFonts w:ascii="Times New Roman" w:eastAsia="Times New Roman"/>
                <w:w w:val="95"/>
                <w:sz w:val="21"/>
              </w:rPr>
              <w:t>GB3095-2012</w:t>
            </w:r>
            <w:r>
              <w:rPr>
                <w:w w:val="95"/>
                <w:sz w:val="21"/>
              </w:rPr>
              <w:t>）及其修改单二</w:t>
            </w:r>
            <w:r>
              <w:rPr>
                <w:sz w:val="21"/>
              </w:rPr>
              <w:t>级标准</w:t>
            </w:r>
          </w:p>
        </w:tc>
        <w:tc>
          <w:tcPr>
            <w:tcW w:w="1920" w:type="dxa"/>
            <w:vMerge w:val="restart"/>
            <w:tcBorders>
              <w:top w:val="single" w:color="000000" w:sz="4" w:space="0"/>
              <w:left w:val="single" w:color="000000" w:sz="4" w:space="0"/>
              <w:bottom w:val="single" w:color="000000" w:sz="4" w:space="0"/>
              <w:right w:val="single" w:color="000000" w:sz="4" w:space="0"/>
            </w:tcBorders>
          </w:tcPr>
          <w:p>
            <w:pPr>
              <w:pStyle w:val="19"/>
              <w:spacing w:before="11"/>
              <w:jc w:val="left"/>
              <w:rPr>
                <w:b/>
                <w:sz w:val="30"/>
              </w:rPr>
            </w:pPr>
          </w:p>
          <w:p>
            <w:pPr>
              <w:pStyle w:val="19"/>
              <w:ind w:left="200" w:right="181"/>
              <w:rPr>
                <w:rFonts w:ascii="Times New Roman"/>
                <w:sz w:val="21"/>
              </w:rPr>
            </w:pPr>
            <w:r>
              <w:rPr>
                <w:rFonts w:ascii="Times New Roman"/>
                <w:position w:val="2"/>
                <w:sz w:val="21"/>
              </w:rPr>
              <w:t>SO</w:t>
            </w:r>
            <w:r>
              <w:rPr>
                <w:rFonts w:ascii="Times New Roman"/>
                <w:position w:val="2"/>
                <w:sz w:val="21"/>
                <w:vertAlign w:val="subscript"/>
              </w:rPr>
              <w:t>2</w:t>
            </w:r>
          </w:p>
        </w:tc>
        <w:tc>
          <w:tcPr>
            <w:tcW w:w="1471" w:type="dxa"/>
            <w:tcBorders>
              <w:top w:val="single" w:color="000000" w:sz="4" w:space="0"/>
              <w:left w:val="single" w:color="000000" w:sz="4" w:space="0"/>
              <w:bottom w:val="single" w:color="000000" w:sz="4" w:space="0"/>
              <w:right w:val="single" w:color="000000" w:sz="4" w:space="0"/>
            </w:tcBorders>
          </w:tcPr>
          <w:p>
            <w:pPr>
              <w:pStyle w:val="19"/>
              <w:spacing w:before="44"/>
              <w:ind w:left="166" w:right="151"/>
              <w:rPr>
                <w:sz w:val="21"/>
              </w:rPr>
            </w:pPr>
            <w:r>
              <w:rPr>
                <w:rFonts w:ascii="Times New Roman" w:eastAsia="Times New Roman"/>
                <w:sz w:val="21"/>
              </w:rPr>
              <w:t xml:space="preserve">1 </w:t>
            </w:r>
            <w:r>
              <w:rPr>
                <w:sz w:val="21"/>
              </w:rPr>
              <w:t>小时平均</w:t>
            </w:r>
          </w:p>
        </w:tc>
        <w:tc>
          <w:tcPr>
            <w:tcW w:w="884" w:type="dxa"/>
            <w:tcBorders>
              <w:top w:val="single" w:color="000000" w:sz="4" w:space="0"/>
              <w:left w:val="single" w:color="000000" w:sz="4" w:space="0"/>
              <w:bottom w:val="single" w:color="000000" w:sz="4" w:space="0"/>
              <w:right w:val="single" w:color="000000" w:sz="4" w:space="0"/>
            </w:tcBorders>
          </w:tcPr>
          <w:p>
            <w:pPr>
              <w:pStyle w:val="19"/>
              <w:spacing w:before="63"/>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9"/>
              <w:spacing w:before="63"/>
              <w:ind w:left="85" w:right="62"/>
              <w:rPr>
                <w:rFonts w:ascii="Times New Roman"/>
                <w:sz w:val="21"/>
              </w:rPr>
            </w:pPr>
            <w:r>
              <w:rPr>
                <w:rFonts w:ascii="Times New Roman"/>
                <w:sz w:val="21"/>
              </w:rPr>
              <w:t>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tcBorders>
              <w:top w:val="single" w:color="000000" w:sz="4" w:space="0"/>
              <w:left w:val="single" w:color="000000" w:sz="4" w:space="0"/>
              <w:bottom w:val="single" w:color="000000" w:sz="4" w:space="0"/>
              <w:right w:val="single" w:color="000000" w:sz="4" w:space="0"/>
            </w:tcBorders>
          </w:tcPr>
          <w:p>
            <w:pPr>
              <w:pStyle w:val="19"/>
              <w:ind w:left="166" w:right="151"/>
              <w:rPr>
                <w:sz w:val="21"/>
              </w:rPr>
            </w:pPr>
            <w:r>
              <w:rPr>
                <w:rFonts w:ascii="Times New Roman" w:eastAsia="Times New Roman"/>
                <w:sz w:val="21"/>
              </w:rPr>
              <w:t xml:space="preserve">24 </w:t>
            </w:r>
            <w:r>
              <w:rPr>
                <w:sz w:val="21"/>
              </w:rPr>
              <w:t>小时平均</w:t>
            </w:r>
          </w:p>
        </w:tc>
        <w:tc>
          <w:tcPr>
            <w:tcW w:w="884" w:type="dxa"/>
            <w:tcBorders>
              <w:top w:val="single" w:color="000000" w:sz="4" w:space="0"/>
              <w:left w:val="single" w:color="000000" w:sz="4" w:space="0"/>
              <w:bottom w:val="single" w:color="000000" w:sz="4" w:space="0"/>
              <w:right w:val="single" w:color="000000" w:sz="4" w:space="0"/>
            </w:tcBorders>
          </w:tcPr>
          <w:p>
            <w:pPr>
              <w:pStyle w:val="19"/>
              <w:spacing w:before="16"/>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9"/>
              <w:spacing w:before="16"/>
              <w:ind w:left="85" w:right="62"/>
              <w:rPr>
                <w:rFonts w:ascii="Times New Roman"/>
                <w:sz w:val="21"/>
              </w:rPr>
            </w:pPr>
            <w:r>
              <w:rPr>
                <w:rFonts w:ascii="Times New Roman"/>
                <w:sz w:val="21"/>
              </w:rPr>
              <w:t>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tcBorders>
              <w:top w:val="single" w:color="000000" w:sz="4" w:space="0"/>
              <w:left w:val="single" w:color="000000" w:sz="4" w:space="0"/>
              <w:bottom w:val="single" w:color="000000" w:sz="4" w:space="0"/>
              <w:right w:val="single" w:color="000000" w:sz="4" w:space="0"/>
            </w:tcBorders>
          </w:tcPr>
          <w:p>
            <w:pPr>
              <w:pStyle w:val="19"/>
              <w:spacing w:before="1"/>
              <w:ind w:left="166" w:right="151"/>
              <w:rPr>
                <w:sz w:val="21"/>
              </w:rPr>
            </w:pPr>
            <w:r>
              <w:rPr>
                <w:sz w:val="21"/>
              </w:rPr>
              <w:t>年平均</w:t>
            </w:r>
          </w:p>
        </w:tc>
        <w:tc>
          <w:tcPr>
            <w:tcW w:w="884" w:type="dxa"/>
            <w:tcBorders>
              <w:top w:val="single" w:color="000000" w:sz="4" w:space="0"/>
              <w:left w:val="single" w:color="000000" w:sz="4" w:space="0"/>
              <w:bottom w:val="single" w:color="000000" w:sz="4" w:space="0"/>
              <w:right w:val="single" w:color="000000" w:sz="4" w:space="0"/>
            </w:tcBorders>
          </w:tcPr>
          <w:p>
            <w:pPr>
              <w:pStyle w:val="19"/>
              <w:spacing w:before="17"/>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9"/>
              <w:spacing w:before="17"/>
              <w:ind w:left="85" w:right="62"/>
              <w:rPr>
                <w:rFonts w:ascii="Times New Roman"/>
                <w:sz w:val="21"/>
              </w:rPr>
            </w:pPr>
            <w:r>
              <w:rPr>
                <w:rFonts w:ascii="Times New Roman"/>
                <w:sz w:val="21"/>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restart"/>
            <w:tcBorders>
              <w:top w:val="single" w:color="000000" w:sz="4" w:space="0"/>
              <w:left w:val="single" w:color="000000" w:sz="4" w:space="0"/>
              <w:bottom w:val="single" w:color="000000" w:sz="4" w:space="0"/>
              <w:right w:val="single" w:color="000000" w:sz="4" w:space="0"/>
            </w:tcBorders>
          </w:tcPr>
          <w:p>
            <w:pPr>
              <w:pStyle w:val="19"/>
              <w:spacing w:before="6"/>
              <w:jc w:val="left"/>
              <w:rPr>
                <w:b/>
                <w:sz w:val="27"/>
              </w:rPr>
            </w:pPr>
          </w:p>
          <w:p>
            <w:pPr>
              <w:pStyle w:val="19"/>
              <w:spacing w:before="1"/>
              <w:ind w:left="200" w:right="181"/>
              <w:rPr>
                <w:rFonts w:ascii="Times New Roman"/>
                <w:sz w:val="21"/>
              </w:rPr>
            </w:pPr>
            <w:r>
              <w:rPr>
                <w:rFonts w:ascii="Times New Roman"/>
                <w:position w:val="2"/>
                <w:sz w:val="21"/>
              </w:rPr>
              <w:t>NO</w:t>
            </w:r>
            <w:r>
              <w:rPr>
                <w:rFonts w:ascii="Times New Roman"/>
                <w:position w:val="2"/>
                <w:sz w:val="21"/>
                <w:vertAlign w:val="subscript"/>
              </w:rPr>
              <w:t>2</w:t>
            </w:r>
          </w:p>
        </w:tc>
        <w:tc>
          <w:tcPr>
            <w:tcW w:w="1471" w:type="dxa"/>
            <w:tcBorders>
              <w:top w:val="single" w:color="000000" w:sz="4" w:space="0"/>
              <w:left w:val="single" w:color="000000" w:sz="4" w:space="0"/>
              <w:bottom w:val="single" w:color="000000" w:sz="4" w:space="0"/>
              <w:right w:val="single" w:color="000000" w:sz="4" w:space="0"/>
            </w:tcBorders>
          </w:tcPr>
          <w:p>
            <w:pPr>
              <w:pStyle w:val="19"/>
              <w:spacing w:before="1"/>
              <w:ind w:left="166" w:right="151"/>
              <w:rPr>
                <w:sz w:val="21"/>
              </w:rPr>
            </w:pPr>
            <w:r>
              <w:rPr>
                <w:rFonts w:ascii="Times New Roman" w:eastAsia="Times New Roman"/>
                <w:sz w:val="21"/>
              </w:rPr>
              <w:t xml:space="preserve">1 </w:t>
            </w:r>
            <w:r>
              <w:rPr>
                <w:sz w:val="21"/>
              </w:rPr>
              <w:t>小时平均</w:t>
            </w:r>
          </w:p>
        </w:tc>
        <w:tc>
          <w:tcPr>
            <w:tcW w:w="884" w:type="dxa"/>
            <w:tcBorders>
              <w:top w:val="single" w:color="000000" w:sz="4" w:space="0"/>
              <w:left w:val="single" w:color="000000" w:sz="4" w:space="0"/>
              <w:bottom w:val="single" w:color="000000" w:sz="4" w:space="0"/>
              <w:right w:val="single" w:color="000000" w:sz="4" w:space="0"/>
            </w:tcBorders>
          </w:tcPr>
          <w:p>
            <w:pPr>
              <w:pStyle w:val="19"/>
              <w:spacing w:before="17"/>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9"/>
              <w:spacing w:before="17"/>
              <w:ind w:left="85" w:right="62"/>
              <w:rPr>
                <w:rFonts w:ascii="Times New Roman"/>
                <w:sz w:val="21"/>
              </w:rPr>
            </w:pPr>
            <w:r>
              <w:rPr>
                <w:rFonts w:asci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tcBorders>
              <w:top w:val="single" w:color="000000" w:sz="4" w:space="0"/>
              <w:left w:val="single" w:color="000000" w:sz="4" w:space="0"/>
              <w:bottom w:val="single" w:color="000000" w:sz="4" w:space="0"/>
              <w:right w:val="single" w:color="000000" w:sz="4" w:space="0"/>
            </w:tcBorders>
          </w:tcPr>
          <w:p>
            <w:pPr>
              <w:pStyle w:val="19"/>
              <w:ind w:left="166" w:right="151"/>
              <w:rPr>
                <w:sz w:val="21"/>
              </w:rPr>
            </w:pPr>
            <w:r>
              <w:rPr>
                <w:rFonts w:ascii="Times New Roman" w:eastAsia="Times New Roman"/>
                <w:sz w:val="21"/>
              </w:rPr>
              <w:t xml:space="preserve">24 </w:t>
            </w:r>
            <w:r>
              <w:rPr>
                <w:sz w:val="21"/>
              </w:rPr>
              <w:t>小时平均</w:t>
            </w:r>
          </w:p>
        </w:tc>
        <w:tc>
          <w:tcPr>
            <w:tcW w:w="884" w:type="dxa"/>
            <w:tcBorders>
              <w:top w:val="single" w:color="000000" w:sz="4" w:space="0"/>
              <w:left w:val="single" w:color="000000" w:sz="4" w:space="0"/>
              <w:bottom w:val="single" w:color="000000" w:sz="4" w:space="0"/>
              <w:right w:val="single" w:color="000000" w:sz="4" w:space="0"/>
            </w:tcBorders>
          </w:tcPr>
          <w:p>
            <w:pPr>
              <w:pStyle w:val="19"/>
              <w:spacing w:before="19"/>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9"/>
              <w:spacing w:before="19"/>
              <w:ind w:left="85" w:right="62"/>
              <w:rPr>
                <w:rFonts w:ascii="Times New Roman"/>
                <w:sz w:val="21"/>
              </w:rPr>
            </w:pPr>
            <w:r>
              <w:rPr>
                <w:rFonts w:ascii="Times New Roman"/>
                <w:sz w:val="21"/>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tcBorders>
              <w:top w:val="single" w:color="000000" w:sz="4" w:space="0"/>
              <w:left w:val="single" w:color="000000" w:sz="4" w:space="0"/>
              <w:bottom w:val="single" w:color="000000" w:sz="4" w:space="0"/>
              <w:right w:val="single" w:color="000000" w:sz="4" w:space="0"/>
            </w:tcBorders>
          </w:tcPr>
          <w:p>
            <w:pPr>
              <w:pStyle w:val="19"/>
              <w:spacing w:before="1"/>
              <w:ind w:left="166" w:right="151"/>
              <w:rPr>
                <w:sz w:val="21"/>
              </w:rPr>
            </w:pPr>
            <w:r>
              <w:rPr>
                <w:sz w:val="21"/>
              </w:rPr>
              <w:t>年平均</w:t>
            </w:r>
          </w:p>
        </w:tc>
        <w:tc>
          <w:tcPr>
            <w:tcW w:w="884" w:type="dxa"/>
            <w:tcBorders>
              <w:top w:val="single" w:color="000000" w:sz="4" w:space="0"/>
              <w:left w:val="single" w:color="000000" w:sz="4" w:space="0"/>
              <w:bottom w:val="single" w:color="000000" w:sz="4" w:space="0"/>
              <w:right w:val="single" w:color="000000" w:sz="4" w:space="0"/>
            </w:tcBorders>
          </w:tcPr>
          <w:p>
            <w:pPr>
              <w:pStyle w:val="19"/>
              <w:spacing w:before="18"/>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9"/>
              <w:spacing w:before="18"/>
              <w:ind w:left="85" w:right="62"/>
              <w:rPr>
                <w:rFonts w:ascii="Times New Roman"/>
                <w:sz w:val="21"/>
              </w:rPr>
            </w:pPr>
            <w:r>
              <w:rPr>
                <w:rFonts w:ascii="Times New Roman"/>
                <w:sz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restart"/>
            <w:tcBorders>
              <w:top w:val="single" w:color="000000" w:sz="4" w:space="0"/>
              <w:left w:val="single" w:color="000000" w:sz="4" w:space="0"/>
              <w:bottom w:val="single" w:color="000000" w:sz="4" w:space="0"/>
              <w:right w:val="single" w:color="000000" w:sz="4" w:space="0"/>
            </w:tcBorders>
          </w:tcPr>
          <w:p>
            <w:pPr>
              <w:pStyle w:val="19"/>
              <w:spacing w:before="181"/>
              <w:ind w:left="200" w:right="179"/>
              <w:rPr>
                <w:rFonts w:ascii="Times New Roman"/>
                <w:sz w:val="21"/>
              </w:rPr>
            </w:pPr>
            <w:r>
              <w:rPr>
                <w:rFonts w:ascii="Times New Roman"/>
                <w:position w:val="2"/>
                <w:sz w:val="21"/>
              </w:rPr>
              <w:t>PM</w:t>
            </w:r>
            <w:r>
              <w:rPr>
                <w:rFonts w:ascii="Times New Roman"/>
                <w:position w:val="2"/>
                <w:sz w:val="21"/>
                <w:vertAlign w:val="subscript"/>
              </w:rPr>
              <w:t>10</w:t>
            </w:r>
          </w:p>
        </w:tc>
        <w:tc>
          <w:tcPr>
            <w:tcW w:w="1471" w:type="dxa"/>
            <w:tcBorders>
              <w:top w:val="single" w:color="000000" w:sz="4" w:space="0"/>
              <w:left w:val="single" w:color="000000" w:sz="4" w:space="0"/>
              <w:bottom w:val="single" w:color="000000" w:sz="4" w:space="0"/>
              <w:right w:val="single" w:color="000000" w:sz="4" w:space="0"/>
            </w:tcBorders>
          </w:tcPr>
          <w:p>
            <w:pPr>
              <w:pStyle w:val="19"/>
              <w:ind w:left="166" w:right="151"/>
              <w:rPr>
                <w:sz w:val="21"/>
              </w:rPr>
            </w:pPr>
            <w:r>
              <w:rPr>
                <w:sz w:val="21"/>
              </w:rPr>
              <w:t>日平均</w:t>
            </w:r>
          </w:p>
        </w:tc>
        <w:tc>
          <w:tcPr>
            <w:tcW w:w="884" w:type="dxa"/>
            <w:tcBorders>
              <w:top w:val="single" w:color="000000" w:sz="4" w:space="0"/>
              <w:left w:val="single" w:color="000000" w:sz="4" w:space="0"/>
              <w:bottom w:val="single" w:color="000000" w:sz="4" w:space="0"/>
              <w:right w:val="single" w:color="000000" w:sz="4" w:space="0"/>
            </w:tcBorders>
          </w:tcPr>
          <w:p>
            <w:pPr>
              <w:pStyle w:val="19"/>
              <w:spacing w:before="17"/>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9"/>
              <w:spacing w:before="17"/>
              <w:ind w:left="85" w:right="62"/>
              <w:rPr>
                <w:rFonts w:ascii="Times New Roman"/>
                <w:sz w:val="21"/>
              </w:rPr>
            </w:pPr>
            <w:r>
              <w:rPr>
                <w:rFonts w:ascii="Times New Roman"/>
                <w:sz w:val="21"/>
              </w:rPr>
              <w:t>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tcBorders>
              <w:top w:val="single" w:color="000000" w:sz="4" w:space="0"/>
              <w:left w:val="single" w:color="000000" w:sz="4" w:space="0"/>
              <w:bottom w:val="single" w:color="000000" w:sz="4" w:space="0"/>
              <w:right w:val="single" w:color="000000" w:sz="4" w:space="0"/>
            </w:tcBorders>
          </w:tcPr>
          <w:p>
            <w:pPr>
              <w:pStyle w:val="19"/>
              <w:spacing w:line="269" w:lineRule="exact"/>
              <w:ind w:left="166" w:right="151"/>
              <w:rPr>
                <w:sz w:val="21"/>
              </w:rPr>
            </w:pPr>
            <w:r>
              <w:rPr>
                <w:sz w:val="21"/>
              </w:rPr>
              <w:t>年平均</w:t>
            </w:r>
          </w:p>
        </w:tc>
        <w:tc>
          <w:tcPr>
            <w:tcW w:w="884" w:type="dxa"/>
            <w:tcBorders>
              <w:top w:val="single" w:color="000000" w:sz="4" w:space="0"/>
              <w:left w:val="single" w:color="000000" w:sz="4" w:space="0"/>
              <w:bottom w:val="single" w:color="000000" w:sz="4" w:space="0"/>
              <w:right w:val="single" w:color="000000" w:sz="4" w:space="0"/>
            </w:tcBorders>
          </w:tcPr>
          <w:p>
            <w:pPr>
              <w:pStyle w:val="19"/>
              <w:spacing w:before="16"/>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9"/>
              <w:spacing w:before="16"/>
              <w:ind w:left="85" w:right="62"/>
              <w:rPr>
                <w:rFonts w:ascii="Times New Roman"/>
                <w:sz w:val="21"/>
              </w:rPr>
            </w:pPr>
            <w:r>
              <w:rPr>
                <w:rFonts w:ascii="Times New Roman"/>
                <w:sz w:val="21"/>
              </w:rPr>
              <w:t>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restart"/>
            <w:tcBorders>
              <w:top w:val="single" w:color="000000" w:sz="4" w:space="0"/>
              <w:left w:val="single" w:color="000000" w:sz="4" w:space="0"/>
              <w:bottom w:val="single" w:color="000000" w:sz="4" w:space="0"/>
              <w:right w:val="single" w:color="000000" w:sz="4" w:space="0"/>
            </w:tcBorders>
          </w:tcPr>
          <w:p>
            <w:pPr>
              <w:pStyle w:val="19"/>
              <w:spacing w:before="182"/>
              <w:ind w:left="200" w:right="179"/>
              <w:rPr>
                <w:rFonts w:ascii="Times New Roman"/>
                <w:sz w:val="13"/>
              </w:rPr>
            </w:pPr>
            <w:r>
              <w:rPr>
                <w:rFonts w:ascii="Times New Roman"/>
                <w:w w:val="105"/>
                <w:position w:val="2"/>
                <w:sz w:val="21"/>
              </w:rPr>
              <w:t>PM</w:t>
            </w:r>
            <w:r>
              <w:rPr>
                <w:rFonts w:ascii="Times New Roman"/>
                <w:w w:val="105"/>
                <w:sz w:val="13"/>
              </w:rPr>
              <w:t>2.5</w:t>
            </w:r>
          </w:p>
        </w:tc>
        <w:tc>
          <w:tcPr>
            <w:tcW w:w="1471" w:type="dxa"/>
            <w:tcBorders>
              <w:top w:val="single" w:color="000000" w:sz="4" w:space="0"/>
              <w:left w:val="single" w:color="000000" w:sz="4" w:space="0"/>
              <w:bottom w:val="single" w:color="000000" w:sz="4" w:space="0"/>
              <w:right w:val="single" w:color="000000" w:sz="4" w:space="0"/>
            </w:tcBorders>
          </w:tcPr>
          <w:p>
            <w:pPr>
              <w:pStyle w:val="19"/>
              <w:spacing w:before="1"/>
              <w:ind w:left="166" w:right="151"/>
              <w:rPr>
                <w:sz w:val="21"/>
              </w:rPr>
            </w:pPr>
            <w:r>
              <w:rPr>
                <w:sz w:val="21"/>
              </w:rPr>
              <w:t>日平均</w:t>
            </w:r>
          </w:p>
        </w:tc>
        <w:tc>
          <w:tcPr>
            <w:tcW w:w="884" w:type="dxa"/>
            <w:tcBorders>
              <w:top w:val="single" w:color="000000" w:sz="4" w:space="0"/>
              <w:left w:val="single" w:color="000000" w:sz="4" w:space="0"/>
              <w:bottom w:val="single" w:color="000000" w:sz="4" w:space="0"/>
              <w:right w:val="single" w:color="000000" w:sz="4" w:space="0"/>
            </w:tcBorders>
          </w:tcPr>
          <w:p>
            <w:pPr>
              <w:pStyle w:val="19"/>
              <w:spacing w:before="17"/>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9"/>
              <w:spacing w:before="17"/>
              <w:ind w:left="85" w:right="62"/>
              <w:rPr>
                <w:rFonts w:ascii="Times New Roman"/>
                <w:sz w:val="21"/>
              </w:rPr>
            </w:pPr>
            <w:r>
              <w:rPr>
                <w:rFonts w:ascii="Times New Roman"/>
                <w:sz w:val="21"/>
              </w:rPr>
              <w:t>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tcBorders>
              <w:top w:val="single" w:color="000000" w:sz="4" w:space="0"/>
              <w:left w:val="single" w:color="000000" w:sz="4" w:space="0"/>
              <w:bottom w:val="single" w:color="000000" w:sz="4" w:space="0"/>
              <w:right w:val="single" w:color="000000" w:sz="4" w:space="0"/>
            </w:tcBorders>
          </w:tcPr>
          <w:p>
            <w:pPr>
              <w:pStyle w:val="19"/>
              <w:spacing w:before="1"/>
              <w:ind w:left="166" w:right="151"/>
              <w:rPr>
                <w:sz w:val="21"/>
              </w:rPr>
            </w:pPr>
            <w:r>
              <w:rPr>
                <w:sz w:val="21"/>
              </w:rPr>
              <w:t>年平均</w:t>
            </w:r>
          </w:p>
        </w:tc>
        <w:tc>
          <w:tcPr>
            <w:tcW w:w="884" w:type="dxa"/>
            <w:tcBorders>
              <w:top w:val="single" w:color="000000" w:sz="4" w:space="0"/>
              <w:left w:val="single" w:color="000000" w:sz="4" w:space="0"/>
              <w:bottom w:val="single" w:color="000000" w:sz="4" w:space="0"/>
              <w:right w:val="single" w:color="000000" w:sz="4" w:space="0"/>
            </w:tcBorders>
          </w:tcPr>
          <w:p>
            <w:pPr>
              <w:pStyle w:val="19"/>
              <w:spacing w:before="17"/>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9"/>
              <w:spacing w:before="17"/>
              <w:ind w:left="85" w:right="62"/>
              <w:rPr>
                <w:rFonts w:ascii="Times New Roman"/>
                <w:sz w:val="21"/>
              </w:rPr>
            </w:pPr>
            <w:r>
              <w:rPr>
                <w:rFonts w:ascii="Times New Roman"/>
                <w:sz w:val="21"/>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15"/>
              <w:ind w:left="198" w:right="182"/>
              <w:rPr>
                <w:rFonts w:ascii="Times New Roman"/>
                <w:sz w:val="21"/>
              </w:rPr>
            </w:pPr>
            <w:r>
              <w:rPr>
                <w:rFonts w:ascii="Times New Roman"/>
                <w:position w:val="2"/>
                <w:sz w:val="21"/>
              </w:rPr>
              <w:t>O</w:t>
            </w:r>
            <w:r>
              <w:rPr>
                <w:rFonts w:ascii="Times New Roman"/>
                <w:position w:val="2"/>
                <w:sz w:val="21"/>
                <w:vertAlign w:val="subscript"/>
              </w:rPr>
              <w:t>3</w:t>
            </w:r>
          </w:p>
        </w:tc>
        <w:tc>
          <w:tcPr>
            <w:tcW w:w="1471" w:type="dxa"/>
            <w:tcBorders>
              <w:top w:val="single" w:color="000000" w:sz="4" w:space="0"/>
              <w:left w:val="single" w:color="000000" w:sz="4" w:space="0"/>
              <w:bottom w:val="single" w:color="000000" w:sz="4" w:space="0"/>
              <w:right w:val="single" w:color="000000" w:sz="4" w:space="0"/>
            </w:tcBorders>
          </w:tcPr>
          <w:p>
            <w:pPr>
              <w:pStyle w:val="19"/>
              <w:ind w:left="166" w:right="151"/>
              <w:rPr>
                <w:sz w:val="21"/>
              </w:rPr>
            </w:pPr>
            <w:r>
              <w:rPr>
                <w:rFonts w:ascii="Times New Roman" w:eastAsia="Times New Roman"/>
                <w:sz w:val="21"/>
              </w:rPr>
              <w:t xml:space="preserve">1 </w:t>
            </w:r>
            <w:r>
              <w:rPr>
                <w:sz w:val="21"/>
              </w:rPr>
              <w:t>小时平均</w:t>
            </w:r>
          </w:p>
        </w:tc>
        <w:tc>
          <w:tcPr>
            <w:tcW w:w="884" w:type="dxa"/>
            <w:tcBorders>
              <w:top w:val="single" w:color="000000" w:sz="4" w:space="0"/>
              <w:left w:val="single" w:color="000000" w:sz="4" w:space="0"/>
              <w:bottom w:val="single" w:color="000000" w:sz="4" w:space="0"/>
              <w:right w:val="single" w:color="000000" w:sz="4" w:space="0"/>
            </w:tcBorders>
          </w:tcPr>
          <w:p>
            <w:pPr>
              <w:pStyle w:val="19"/>
              <w:spacing w:before="18"/>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9"/>
              <w:spacing w:before="18"/>
              <w:ind w:left="85" w:right="62"/>
              <w:rPr>
                <w:rFonts w:ascii="Times New Roman"/>
                <w:sz w:val="21"/>
              </w:rPr>
            </w:pPr>
            <w:r>
              <w:rPr>
                <w:rFonts w:asci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restart"/>
            <w:tcBorders>
              <w:top w:val="single" w:color="000000" w:sz="4" w:space="0"/>
              <w:left w:val="single" w:color="000000" w:sz="4" w:space="0"/>
              <w:bottom w:val="single" w:color="000000" w:sz="4" w:space="0"/>
              <w:right w:val="single" w:color="000000" w:sz="4" w:space="0"/>
            </w:tcBorders>
          </w:tcPr>
          <w:p>
            <w:pPr>
              <w:pStyle w:val="19"/>
              <w:spacing w:before="185"/>
              <w:ind w:left="197" w:right="182"/>
              <w:rPr>
                <w:rFonts w:ascii="Times New Roman"/>
                <w:sz w:val="21"/>
              </w:rPr>
            </w:pPr>
            <w:r>
              <w:rPr>
                <w:rFonts w:ascii="Times New Roman"/>
                <w:sz w:val="21"/>
              </w:rPr>
              <w:t>CO</w:t>
            </w:r>
          </w:p>
        </w:tc>
        <w:tc>
          <w:tcPr>
            <w:tcW w:w="1471" w:type="dxa"/>
            <w:tcBorders>
              <w:top w:val="single" w:color="000000" w:sz="4" w:space="0"/>
              <w:left w:val="single" w:color="000000" w:sz="4" w:space="0"/>
              <w:bottom w:val="single" w:color="000000" w:sz="4" w:space="0"/>
              <w:right w:val="single" w:color="000000" w:sz="4" w:space="0"/>
            </w:tcBorders>
          </w:tcPr>
          <w:p>
            <w:pPr>
              <w:pStyle w:val="19"/>
              <w:spacing w:line="268" w:lineRule="exact"/>
              <w:ind w:left="166" w:right="151"/>
              <w:rPr>
                <w:sz w:val="21"/>
              </w:rPr>
            </w:pPr>
            <w:r>
              <w:rPr>
                <w:rFonts w:ascii="Times New Roman" w:eastAsia="Times New Roman"/>
                <w:sz w:val="21"/>
              </w:rPr>
              <w:t xml:space="preserve">1 </w:t>
            </w:r>
            <w:r>
              <w:rPr>
                <w:sz w:val="21"/>
              </w:rPr>
              <w:t>小时平均</w:t>
            </w:r>
          </w:p>
        </w:tc>
        <w:tc>
          <w:tcPr>
            <w:tcW w:w="884" w:type="dxa"/>
            <w:tcBorders>
              <w:top w:val="single" w:color="000000" w:sz="4" w:space="0"/>
              <w:left w:val="single" w:color="000000" w:sz="4" w:space="0"/>
              <w:bottom w:val="single" w:color="000000" w:sz="4" w:space="0"/>
              <w:right w:val="single" w:color="000000" w:sz="4" w:space="0"/>
            </w:tcBorders>
          </w:tcPr>
          <w:p>
            <w:pPr>
              <w:pStyle w:val="19"/>
              <w:spacing w:before="17"/>
              <w:ind w:left="167"/>
              <w:jc w:val="left"/>
              <w:rPr>
                <w:rFonts w:ascii="Times New Roman"/>
                <w:sz w:val="13"/>
              </w:rPr>
            </w:pPr>
            <w:r>
              <w:rPr>
                <w:rFonts w:ascii="Times New Roman"/>
                <w:sz w:val="21"/>
              </w:rPr>
              <w:t>mg/m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9"/>
              <w:spacing w:before="17"/>
              <w:ind w:left="23"/>
              <w:rPr>
                <w:rFonts w:ascii="Times New Roman"/>
                <w:sz w:val="21"/>
              </w:rPr>
            </w:pPr>
            <w:r>
              <w:rPr>
                <w:rFonts w:ascii="Times New Roman"/>
                <w:w w:val="99"/>
                <w:sz w:val="21"/>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tcBorders>
              <w:top w:val="single" w:color="000000" w:sz="4" w:space="0"/>
              <w:left w:val="single" w:color="000000" w:sz="4" w:space="0"/>
              <w:bottom w:val="single" w:color="000000" w:sz="4" w:space="0"/>
              <w:right w:val="single" w:color="000000" w:sz="4" w:space="0"/>
            </w:tcBorders>
          </w:tcPr>
          <w:p>
            <w:pPr>
              <w:pStyle w:val="19"/>
              <w:ind w:left="166" w:right="151"/>
              <w:rPr>
                <w:sz w:val="21"/>
              </w:rPr>
            </w:pPr>
            <w:r>
              <w:rPr>
                <w:rFonts w:ascii="Times New Roman" w:eastAsia="Times New Roman"/>
                <w:sz w:val="21"/>
              </w:rPr>
              <w:t xml:space="preserve">24 </w:t>
            </w:r>
            <w:r>
              <w:rPr>
                <w:sz w:val="21"/>
              </w:rPr>
              <w:t>小时平均</w:t>
            </w:r>
          </w:p>
        </w:tc>
        <w:tc>
          <w:tcPr>
            <w:tcW w:w="884" w:type="dxa"/>
            <w:tcBorders>
              <w:top w:val="single" w:color="000000" w:sz="4" w:space="0"/>
              <w:left w:val="single" w:color="000000" w:sz="4" w:space="0"/>
              <w:bottom w:val="single" w:color="000000" w:sz="4" w:space="0"/>
              <w:right w:val="single" w:color="000000" w:sz="4" w:space="0"/>
            </w:tcBorders>
          </w:tcPr>
          <w:p>
            <w:pPr>
              <w:pStyle w:val="19"/>
              <w:spacing w:before="16"/>
              <w:ind w:left="167"/>
              <w:jc w:val="left"/>
              <w:rPr>
                <w:rFonts w:ascii="Times New Roman"/>
                <w:sz w:val="13"/>
              </w:rPr>
            </w:pPr>
            <w:r>
              <w:rPr>
                <w:rFonts w:ascii="Times New Roman"/>
                <w:sz w:val="21"/>
              </w:rPr>
              <w:t>mg/m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9"/>
              <w:spacing w:before="16"/>
              <w:ind w:left="85" w:right="62"/>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restart"/>
            <w:tcBorders>
              <w:top w:val="single" w:color="000000" w:sz="4" w:space="0"/>
              <w:left w:val="single" w:color="000000" w:sz="4" w:space="0"/>
              <w:bottom w:val="single" w:color="000000" w:sz="4" w:space="0"/>
              <w:right w:val="single" w:color="000000" w:sz="4" w:space="0"/>
            </w:tcBorders>
          </w:tcPr>
          <w:p>
            <w:pPr>
              <w:pStyle w:val="19"/>
              <w:spacing w:before="186"/>
              <w:ind w:left="200" w:right="181"/>
              <w:rPr>
                <w:rFonts w:ascii="Times New Roman"/>
                <w:sz w:val="21"/>
              </w:rPr>
            </w:pPr>
            <w:r>
              <w:rPr>
                <w:rFonts w:ascii="Times New Roman"/>
                <w:sz w:val="21"/>
              </w:rPr>
              <w:t>TSP</w:t>
            </w:r>
          </w:p>
        </w:tc>
        <w:tc>
          <w:tcPr>
            <w:tcW w:w="1471" w:type="dxa"/>
            <w:tcBorders>
              <w:top w:val="single" w:color="000000" w:sz="4" w:space="0"/>
              <w:left w:val="single" w:color="000000" w:sz="4" w:space="0"/>
              <w:bottom w:val="single" w:color="000000" w:sz="4" w:space="0"/>
              <w:right w:val="single" w:color="000000" w:sz="4" w:space="0"/>
            </w:tcBorders>
          </w:tcPr>
          <w:p>
            <w:pPr>
              <w:pStyle w:val="19"/>
              <w:spacing w:line="268" w:lineRule="exact"/>
              <w:ind w:left="166" w:right="151"/>
              <w:rPr>
                <w:sz w:val="21"/>
              </w:rPr>
            </w:pPr>
            <w:r>
              <w:rPr>
                <w:sz w:val="21"/>
              </w:rPr>
              <w:t>年平均</w:t>
            </w:r>
          </w:p>
        </w:tc>
        <w:tc>
          <w:tcPr>
            <w:tcW w:w="884" w:type="dxa"/>
            <w:tcBorders>
              <w:top w:val="single" w:color="000000" w:sz="4" w:space="0"/>
              <w:left w:val="single" w:color="000000" w:sz="4" w:space="0"/>
              <w:bottom w:val="single" w:color="000000" w:sz="4" w:space="0"/>
              <w:right w:val="single" w:color="000000" w:sz="4" w:space="0"/>
            </w:tcBorders>
          </w:tcPr>
          <w:p>
            <w:pPr>
              <w:pStyle w:val="19"/>
              <w:spacing w:before="18"/>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9"/>
              <w:spacing w:before="18"/>
              <w:ind w:left="85" w:right="62"/>
              <w:rPr>
                <w:rFonts w:ascii="Times New Roman"/>
                <w:sz w:val="21"/>
              </w:rPr>
            </w:pPr>
            <w:r>
              <w:rPr>
                <w:rFonts w:asci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tcBorders>
              <w:top w:val="single" w:color="000000" w:sz="4" w:space="0"/>
              <w:left w:val="single" w:color="000000" w:sz="4" w:space="0"/>
              <w:bottom w:val="single" w:color="000000" w:sz="4" w:space="0"/>
              <w:right w:val="single" w:color="000000" w:sz="4" w:space="0"/>
            </w:tcBorders>
          </w:tcPr>
          <w:p>
            <w:pPr>
              <w:pStyle w:val="19"/>
              <w:spacing w:before="2"/>
              <w:ind w:left="166" w:right="151"/>
              <w:rPr>
                <w:sz w:val="21"/>
              </w:rPr>
            </w:pPr>
            <w:r>
              <w:rPr>
                <w:rFonts w:ascii="Times New Roman" w:eastAsia="Times New Roman"/>
                <w:sz w:val="21"/>
              </w:rPr>
              <w:t>24</w:t>
            </w:r>
            <w:r>
              <w:rPr>
                <w:sz w:val="21"/>
              </w:rPr>
              <w:t>小时平均</w:t>
            </w:r>
          </w:p>
        </w:tc>
        <w:tc>
          <w:tcPr>
            <w:tcW w:w="884" w:type="dxa"/>
            <w:tcBorders>
              <w:top w:val="single" w:color="000000" w:sz="4" w:space="0"/>
              <w:left w:val="single" w:color="000000" w:sz="4" w:space="0"/>
              <w:bottom w:val="single" w:color="000000" w:sz="4" w:space="0"/>
              <w:right w:val="single" w:color="000000" w:sz="4" w:space="0"/>
            </w:tcBorders>
          </w:tcPr>
          <w:p>
            <w:pPr>
              <w:pStyle w:val="19"/>
              <w:spacing w:before="18"/>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9"/>
              <w:spacing w:before="18"/>
              <w:ind w:left="85" w:right="62"/>
              <w:rPr>
                <w:rFonts w:ascii="Times New Roman"/>
                <w:sz w:val="21"/>
              </w:rPr>
            </w:pPr>
            <w:r>
              <w:rPr>
                <w:rFonts w:ascii="Times New Roman"/>
                <w:sz w:val="21"/>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restart"/>
            <w:tcBorders>
              <w:top w:val="single" w:color="000000" w:sz="4" w:space="0"/>
              <w:left w:val="single" w:color="000000" w:sz="4" w:space="0"/>
              <w:bottom w:val="single" w:color="000000" w:sz="4" w:space="0"/>
              <w:right w:val="single" w:color="000000" w:sz="4" w:space="0"/>
            </w:tcBorders>
          </w:tcPr>
          <w:p>
            <w:pPr>
              <w:pStyle w:val="19"/>
              <w:ind w:left="177"/>
              <w:jc w:val="left"/>
              <w:rPr>
                <w:sz w:val="21"/>
              </w:rPr>
            </w:pPr>
            <w:r>
              <w:rPr>
                <w:color w:val="FF0000"/>
                <w:sz w:val="21"/>
              </w:rPr>
              <w:t>《环境影响评价技术导则 大气</w:t>
            </w:r>
          </w:p>
          <w:p>
            <w:pPr>
              <w:pStyle w:val="19"/>
              <w:spacing w:before="58"/>
              <w:ind w:left="266"/>
              <w:jc w:val="left"/>
              <w:rPr>
                <w:rFonts w:ascii="Times New Roman" w:eastAsia="Times New Roman"/>
                <w:sz w:val="21"/>
              </w:rPr>
            </w:pPr>
            <w:r>
              <w:rPr>
                <w:color w:val="FF0000"/>
                <w:sz w:val="21"/>
              </w:rPr>
              <w:t>环境》（</w:t>
            </w:r>
            <w:r>
              <w:rPr>
                <w:rFonts w:ascii="Times New Roman" w:eastAsia="Times New Roman"/>
                <w:color w:val="FF0000"/>
                <w:sz w:val="21"/>
              </w:rPr>
              <w:t>HJ2.2-2018</w:t>
            </w:r>
            <w:r>
              <w:rPr>
                <w:color w:val="FF0000"/>
                <w:sz w:val="21"/>
              </w:rPr>
              <w:t xml:space="preserve">）附录 </w:t>
            </w:r>
            <w:r>
              <w:rPr>
                <w:rFonts w:ascii="Times New Roman" w:eastAsia="Times New Roman"/>
                <w:color w:val="FF0000"/>
                <w:sz w:val="21"/>
              </w:rPr>
              <w:t>D</w:t>
            </w: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16" w:line="254" w:lineRule="exact"/>
              <w:ind w:left="198" w:right="182"/>
              <w:rPr>
                <w:rFonts w:ascii="Times New Roman"/>
                <w:sz w:val="21"/>
              </w:rPr>
            </w:pPr>
            <w:r>
              <w:rPr>
                <w:rFonts w:ascii="Times New Roman"/>
                <w:color w:val="FF0000"/>
                <w:position w:val="2"/>
                <w:sz w:val="21"/>
              </w:rPr>
              <w:t>H</w:t>
            </w:r>
            <w:r>
              <w:rPr>
                <w:rFonts w:ascii="Times New Roman"/>
                <w:color w:val="FF0000"/>
                <w:position w:val="2"/>
                <w:sz w:val="21"/>
                <w:vertAlign w:val="subscript"/>
              </w:rPr>
              <w:t>2</w:t>
            </w:r>
            <w:r>
              <w:rPr>
                <w:rFonts w:ascii="Times New Roman"/>
                <w:color w:val="FF0000"/>
                <w:position w:val="2"/>
                <w:sz w:val="21"/>
                <w:vertAlign w:val="baseline"/>
              </w:rPr>
              <w:t>S</w:t>
            </w:r>
          </w:p>
        </w:tc>
        <w:tc>
          <w:tcPr>
            <w:tcW w:w="1471" w:type="dxa"/>
            <w:tcBorders>
              <w:top w:val="single" w:color="000000" w:sz="4" w:space="0"/>
              <w:left w:val="single" w:color="000000" w:sz="4" w:space="0"/>
              <w:bottom w:val="single" w:color="000000" w:sz="4" w:space="0"/>
              <w:right w:val="single" w:color="000000" w:sz="4" w:space="0"/>
            </w:tcBorders>
          </w:tcPr>
          <w:p>
            <w:pPr>
              <w:pStyle w:val="19"/>
              <w:spacing w:before="5" w:line="264" w:lineRule="exact"/>
              <w:ind w:left="164" w:right="151"/>
              <w:rPr>
                <w:sz w:val="21"/>
              </w:rPr>
            </w:pPr>
            <w:r>
              <w:rPr>
                <w:color w:val="FF0000"/>
                <w:sz w:val="21"/>
              </w:rPr>
              <w:t>小时浓度</w:t>
            </w:r>
          </w:p>
        </w:tc>
        <w:tc>
          <w:tcPr>
            <w:tcW w:w="884" w:type="dxa"/>
            <w:tcBorders>
              <w:top w:val="single" w:color="000000" w:sz="4" w:space="0"/>
              <w:left w:val="single" w:color="000000" w:sz="4" w:space="0"/>
              <w:bottom w:val="single" w:color="000000" w:sz="4" w:space="0"/>
              <w:right w:val="single" w:color="000000" w:sz="4" w:space="0"/>
            </w:tcBorders>
          </w:tcPr>
          <w:p>
            <w:pPr>
              <w:pStyle w:val="19"/>
              <w:ind w:left="167"/>
              <w:jc w:val="left"/>
              <w:rPr>
                <w:rFonts w:ascii="Times New Roman"/>
                <w:sz w:val="13"/>
              </w:rPr>
            </w:pPr>
            <w:r>
              <w:rPr>
                <w:rFonts w:ascii="Times New Roman"/>
                <w:color w:val="FF0000"/>
                <w:sz w:val="21"/>
              </w:rPr>
              <w:t>mg/m</w:t>
            </w:r>
            <w:r>
              <w:rPr>
                <w:rFonts w:ascii="Times New Roman"/>
                <w:color w:val="FF0000"/>
                <w:position w:val="7"/>
                <w:sz w:val="13"/>
              </w:rPr>
              <w:t>3</w:t>
            </w:r>
          </w:p>
        </w:tc>
        <w:tc>
          <w:tcPr>
            <w:tcW w:w="1092" w:type="dxa"/>
            <w:tcBorders>
              <w:top w:val="single" w:color="000000" w:sz="4" w:space="0"/>
              <w:left w:val="single" w:color="000000" w:sz="4" w:space="0"/>
              <w:bottom w:val="single" w:color="000000" w:sz="4" w:space="0"/>
            </w:tcBorders>
          </w:tcPr>
          <w:p>
            <w:pPr>
              <w:pStyle w:val="19"/>
              <w:spacing w:before="19"/>
              <w:ind w:left="85" w:right="62"/>
              <w:rPr>
                <w:rFonts w:ascii="Times New Roman"/>
                <w:sz w:val="21"/>
              </w:rPr>
            </w:pPr>
            <w:r>
              <w:rPr>
                <w:rFonts w:ascii="Times New Roman"/>
                <w:color w:val="FF0000"/>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47"/>
              <w:ind w:left="200" w:right="181"/>
              <w:rPr>
                <w:rFonts w:ascii="Times New Roman"/>
                <w:sz w:val="21"/>
              </w:rPr>
            </w:pPr>
            <w:r>
              <w:rPr>
                <w:rFonts w:ascii="Times New Roman"/>
                <w:color w:val="FF0000"/>
                <w:position w:val="2"/>
                <w:sz w:val="21"/>
              </w:rPr>
              <w:t>NH</w:t>
            </w:r>
            <w:r>
              <w:rPr>
                <w:rFonts w:ascii="Times New Roman"/>
                <w:color w:val="FF0000"/>
                <w:position w:val="2"/>
                <w:sz w:val="21"/>
                <w:vertAlign w:val="subscript"/>
              </w:rPr>
              <w:t>3</w:t>
            </w:r>
          </w:p>
        </w:tc>
        <w:tc>
          <w:tcPr>
            <w:tcW w:w="1471" w:type="dxa"/>
            <w:tcBorders>
              <w:top w:val="single" w:color="000000" w:sz="4" w:space="0"/>
              <w:left w:val="single" w:color="000000" w:sz="4" w:space="0"/>
              <w:bottom w:val="single" w:color="000000" w:sz="4" w:space="0"/>
              <w:right w:val="single" w:color="000000" w:sz="4" w:space="0"/>
            </w:tcBorders>
          </w:tcPr>
          <w:p>
            <w:pPr>
              <w:pStyle w:val="19"/>
              <w:spacing w:before="37"/>
              <w:ind w:left="164" w:right="151"/>
              <w:rPr>
                <w:sz w:val="21"/>
              </w:rPr>
            </w:pPr>
            <w:r>
              <w:rPr>
                <w:color w:val="FF0000"/>
                <w:sz w:val="21"/>
              </w:rPr>
              <w:t>小时浓度</w:t>
            </w:r>
          </w:p>
        </w:tc>
        <w:tc>
          <w:tcPr>
            <w:tcW w:w="884" w:type="dxa"/>
            <w:tcBorders>
              <w:top w:val="single" w:color="000000" w:sz="4" w:space="0"/>
              <w:left w:val="single" w:color="000000" w:sz="4" w:space="0"/>
              <w:bottom w:val="single" w:color="000000" w:sz="4" w:space="0"/>
              <w:right w:val="single" w:color="000000" w:sz="4" w:space="0"/>
            </w:tcBorders>
          </w:tcPr>
          <w:p>
            <w:pPr>
              <w:pStyle w:val="19"/>
              <w:spacing w:before="29"/>
              <w:ind w:left="167"/>
              <w:jc w:val="left"/>
              <w:rPr>
                <w:rFonts w:ascii="Times New Roman"/>
                <w:sz w:val="13"/>
              </w:rPr>
            </w:pPr>
            <w:r>
              <w:rPr>
                <w:rFonts w:ascii="Times New Roman"/>
                <w:color w:val="FF0000"/>
                <w:sz w:val="21"/>
              </w:rPr>
              <w:t>mg/m</w:t>
            </w:r>
            <w:r>
              <w:rPr>
                <w:rFonts w:ascii="Times New Roman"/>
                <w:color w:val="FF0000"/>
                <w:position w:val="7"/>
                <w:sz w:val="13"/>
              </w:rPr>
              <w:t>3</w:t>
            </w:r>
          </w:p>
        </w:tc>
        <w:tc>
          <w:tcPr>
            <w:tcW w:w="1092" w:type="dxa"/>
            <w:tcBorders>
              <w:top w:val="single" w:color="000000" w:sz="4" w:space="0"/>
              <w:left w:val="single" w:color="000000" w:sz="4" w:space="0"/>
              <w:bottom w:val="single" w:color="000000" w:sz="4" w:space="0"/>
            </w:tcBorders>
          </w:tcPr>
          <w:p>
            <w:pPr>
              <w:pStyle w:val="19"/>
              <w:spacing w:before="50"/>
              <w:ind w:left="85" w:right="62"/>
              <w:rPr>
                <w:rFonts w:ascii="Times New Roman"/>
                <w:sz w:val="21"/>
              </w:rPr>
            </w:pPr>
            <w:r>
              <w:rPr>
                <w:rFonts w:ascii="Times New Roman"/>
                <w:color w:val="FF0000"/>
                <w:sz w:val="21"/>
              </w:rPr>
              <w:t>0.20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restart"/>
            <w:tcBorders>
              <w:top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5"/>
              <w:jc w:val="left"/>
              <w:rPr>
                <w:b/>
                <w:sz w:val="23"/>
              </w:rPr>
            </w:pPr>
          </w:p>
          <w:p>
            <w:pPr>
              <w:pStyle w:val="19"/>
              <w:spacing w:before="1" w:line="290" w:lineRule="auto"/>
              <w:ind w:left="261" w:right="141" w:hanging="106"/>
              <w:jc w:val="left"/>
              <w:rPr>
                <w:sz w:val="21"/>
              </w:rPr>
            </w:pPr>
            <w:r>
              <w:rPr>
                <w:sz w:val="21"/>
              </w:rPr>
              <w:t>地表水</w:t>
            </w:r>
          </w:p>
        </w:tc>
        <w:tc>
          <w:tcPr>
            <w:tcW w:w="3181"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5"/>
              <w:jc w:val="left"/>
              <w:rPr>
                <w:b/>
                <w:sz w:val="23"/>
              </w:rPr>
            </w:pPr>
          </w:p>
          <w:p>
            <w:pPr>
              <w:pStyle w:val="19"/>
              <w:spacing w:before="1"/>
              <w:ind w:left="439"/>
              <w:jc w:val="left"/>
              <w:rPr>
                <w:sz w:val="21"/>
              </w:rPr>
            </w:pPr>
            <w:r>
              <w:rPr>
                <w:sz w:val="21"/>
              </w:rPr>
              <w:t>《地表水环境质量标准》</w:t>
            </w:r>
          </w:p>
          <w:p>
            <w:pPr>
              <w:pStyle w:val="19"/>
              <w:spacing w:before="57"/>
              <w:ind w:left="365"/>
              <w:jc w:val="left"/>
              <w:rPr>
                <w:sz w:val="21"/>
              </w:rPr>
            </w:pPr>
            <w:r>
              <w:rPr>
                <w:sz w:val="21"/>
              </w:rPr>
              <w:t>（</w:t>
            </w:r>
            <w:r>
              <w:rPr>
                <w:rFonts w:ascii="Times New Roman" w:hAnsi="Times New Roman" w:eastAsia="Times New Roman"/>
                <w:sz w:val="21"/>
              </w:rPr>
              <w:t>GB3838-2002</w:t>
            </w:r>
            <w:r>
              <w:rPr>
                <w:sz w:val="21"/>
              </w:rPr>
              <w:t>）Ⅱ类标准</w:t>
            </w: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25"/>
              <w:ind w:left="200" w:right="182"/>
              <w:rPr>
                <w:sz w:val="21"/>
              </w:rPr>
            </w:pPr>
            <w:r>
              <w:rPr>
                <w:rFonts w:ascii="Times New Roman" w:eastAsia="Times New Roman"/>
                <w:sz w:val="21"/>
              </w:rPr>
              <w:t xml:space="preserve">pH </w:t>
            </w:r>
            <w:r>
              <w:rPr>
                <w:sz w:val="21"/>
              </w:rPr>
              <w:t>值</w:t>
            </w:r>
          </w:p>
        </w:tc>
        <w:tc>
          <w:tcPr>
            <w:tcW w:w="2355" w:type="dxa"/>
            <w:gridSpan w:val="2"/>
            <w:tcBorders>
              <w:top w:val="single" w:color="000000" w:sz="4" w:space="0"/>
              <w:left w:val="single" w:color="000000" w:sz="4" w:space="0"/>
              <w:bottom w:val="single" w:color="000000" w:sz="4" w:space="0"/>
              <w:right w:val="single" w:color="000000" w:sz="4" w:space="0"/>
            </w:tcBorders>
          </w:tcPr>
          <w:p>
            <w:pPr>
              <w:pStyle w:val="19"/>
              <w:spacing w:line="268" w:lineRule="exact"/>
              <w:ind w:left="386" w:right="371"/>
              <w:rPr>
                <w:sz w:val="21"/>
              </w:rPr>
            </w:pPr>
            <w:r>
              <w:rPr>
                <w:sz w:val="21"/>
              </w:rPr>
              <w:t>无量纲</w:t>
            </w:r>
          </w:p>
        </w:tc>
        <w:tc>
          <w:tcPr>
            <w:tcW w:w="1092" w:type="dxa"/>
            <w:tcBorders>
              <w:top w:val="single" w:color="000000" w:sz="4" w:space="0"/>
              <w:left w:val="single" w:color="000000" w:sz="4" w:space="0"/>
              <w:bottom w:val="single" w:color="000000" w:sz="4" w:space="0"/>
            </w:tcBorders>
          </w:tcPr>
          <w:p>
            <w:pPr>
              <w:pStyle w:val="19"/>
              <w:spacing w:before="42"/>
              <w:ind w:left="82" w:right="62"/>
              <w:rPr>
                <w:rFonts w:ascii="Times New Roman"/>
                <w:sz w:val="21"/>
              </w:rPr>
            </w:pPr>
            <w:r>
              <w:rPr>
                <w:rFonts w:ascii="Times New Roman"/>
                <w:sz w:val="21"/>
              </w:rPr>
              <w:t>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51" w:lineRule="exact"/>
              <w:ind w:left="200" w:right="182"/>
              <w:rPr>
                <w:sz w:val="21"/>
              </w:rPr>
            </w:pPr>
            <w:r>
              <w:rPr>
                <w:sz w:val="21"/>
              </w:rPr>
              <w:t>悬浮物</w:t>
            </w:r>
          </w:p>
        </w:tc>
        <w:tc>
          <w:tcPr>
            <w:tcW w:w="2355" w:type="dxa"/>
            <w:gridSpan w:val="2"/>
            <w:vMerge w:val="restart"/>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6"/>
              <w:jc w:val="left"/>
              <w:rPr>
                <w:b/>
                <w:sz w:val="32"/>
              </w:rPr>
            </w:pPr>
          </w:p>
          <w:p>
            <w:pPr>
              <w:pStyle w:val="19"/>
              <w:ind w:left="388" w:right="371"/>
              <w:rPr>
                <w:rFonts w:ascii="Times New Roman"/>
                <w:sz w:val="21"/>
              </w:rPr>
            </w:pPr>
            <w:r>
              <w:rPr>
                <w:rFonts w:ascii="Times New Roman"/>
                <w:sz w:val="21"/>
              </w:rPr>
              <w:t>mg/L</w:t>
            </w:r>
          </w:p>
        </w:tc>
        <w:tc>
          <w:tcPr>
            <w:tcW w:w="1092" w:type="dxa"/>
            <w:tcBorders>
              <w:top w:val="single" w:color="000000" w:sz="4" w:space="0"/>
              <w:left w:val="single" w:color="000000" w:sz="4" w:space="0"/>
              <w:bottom w:val="single" w:color="000000" w:sz="4" w:space="0"/>
            </w:tcBorders>
          </w:tcPr>
          <w:p>
            <w:pPr>
              <w:pStyle w:val="19"/>
              <w:spacing w:before="14" w:line="237"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52" w:lineRule="exact"/>
              <w:ind w:left="197" w:right="182"/>
              <w:rPr>
                <w:sz w:val="21"/>
              </w:rPr>
            </w:pPr>
            <w:r>
              <w:rPr>
                <w:sz w:val="21"/>
              </w:rPr>
              <w:t>化学需氧量</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3" w:line="239" w:lineRule="exact"/>
              <w:ind w:left="85" w:right="62"/>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52" w:lineRule="exact"/>
              <w:ind w:left="200" w:right="182"/>
              <w:rPr>
                <w:sz w:val="21"/>
              </w:rPr>
            </w:pPr>
            <w:r>
              <w:rPr>
                <w:sz w:val="21"/>
              </w:rPr>
              <w:t>石油类</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4" w:line="238" w:lineRule="exact"/>
              <w:ind w:left="82" w:right="62"/>
              <w:rPr>
                <w:rFonts w:ascii="Times New Roman"/>
                <w:sz w:val="21"/>
              </w:rPr>
            </w:pPr>
            <w:r>
              <w:rPr>
                <w:rFonts w:asci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51" w:lineRule="exact"/>
              <w:ind w:left="15"/>
              <w:rPr>
                <w:sz w:val="21"/>
              </w:rPr>
            </w:pPr>
            <w:r>
              <w:rPr>
                <w:w w:val="99"/>
                <w:sz w:val="21"/>
              </w:rPr>
              <w:t>铁</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4" w:line="237"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2" w:line="250" w:lineRule="exact"/>
              <w:ind w:left="15"/>
              <w:rPr>
                <w:sz w:val="21"/>
              </w:rPr>
            </w:pPr>
            <w:r>
              <w:rPr>
                <w:w w:val="99"/>
                <w:sz w:val="21"/>
              </w:rPr>
              <w:t>锰</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6" w:line="236"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52" w:lineRule="exact"/>
              <w:ind w:left="15"/>
              <w:rPr>
                <w:sz w:val="21"/>
              </w:rPr>
            </w:pPr>
            <w:r>
              <w:rPr>
                <w:w w:val="99"/>
                <w:sz w:val="21"/>
              </w:rPr>
              <w:t>汞</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4" w:line="238" w:lineRule="exact"/>
              <w:ind w:left="87" w:right="62"/>
              <w:rPr>
                <w:rFonts w:ascii="Times New Roman"/>
                <w:sz w:val="21"/>
              </w:rPr>
            </w:pPr>
            <w:r>
              <w:rPr>
                <w:rFonts w:ascii="Times New Roman"/>
                <w:sz w:val="21"/>
              </w:rPr>
              <w:t>0.00005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1" w:line="251" w:lineRule="exact"/>
              <w:ind w:left="15"/>
              <w:rPr>
                <w:sz w:val="21"/>
              </w:rPr>
            </w:pPr>
            <w:r>
              <w:rPr>
                <w:w w:val="99"/>
                <w:sz w:val="21"/>
              </w:rPr>
              <w:t>镉</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5" w:line="237" w:lineRule="exact"/>
              <w:ind w:left="87" w:right="62"/>
              <w:rPr>
                <w:rFonts w:ascii="Times New Roman"/>
                <w:sz w:val="21"/>
              </w:rPr>
            </w:pPr>
            <w:r>
              <w:rPr>
                <w:rFonts w:ascii="Times New Roman"/>
                <w:sz w:val="21"/>
              </w:rPr>
              <w:t>0.005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2" w:line="250" w:lineRule="exact"/>
              <w:ind w:left="15"/>
              <w:rPr>
                <w:sz w:val="21"/>
              </w:rPr>
            </w:pPr>
            <w:r>
              <w:rPr>
                <w:w w:val="99"/>
                <w:sz w:val="21"/>
              </w:rPr>
              <w:t>铬</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6" w:line="236"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1" w:line="252" w:lineRule="exact"/>
              <w:ind w:left="15"/>
              <w:rPr>
                <w:sz w:val="21"/>
              </w:rPr>
            </w:pPr>
            <w:r>
              <w:rPr>
                <w:w w:val="99"/>
                <w:sz w:val="21"/>
              </w:rPr>
              <w:t>铅</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5" w:line="238" w:lineRule="exact"/>
              <w:ind w:left="82" w:right="62"/>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1" w:line="251" w:lineRule="exact"/>
              <w:ind w:left="15"/>
              <w:rPr>
                <w:sz w:val="21"/>
              </w:rPr>
            </w:pPr>
            <w:r>
              <w:rPr>
                <w:w w:val="99"/>
                <w:sz w:val="21"/>
              </w:rPr>
              <w:t>砷</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5" w:line="237" w:lineRule="exact"/>
              <w:ind w:left="85" w:right="62"/>
              <w:rPr>
                <w:rFonts w:ascii="Times New Roman"/>
                <w:sz w:val="21"/>
              </w:rPr>
            </w:pPr>
            <w:r>
              <w:rPr>
                <w:rFonts w:asci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52" w:lineRule="exact"/>
              <w:ind w:left="15"/>
              <w:rPr>
                <w:sz w:val="21"/>
              </w:rPr>
            </w:pPr>
            <w:r>
              <w:rPr>
                <w:w w:val="99"/>
                <w:sz w:val="21"/>
              </w:rPr>
              <w:t>锌</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4" w:line="238" w:lineRule="exact"/>
              <w:ind w:left="85" w:right="62"/>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1" w:line="252" w:lineRule="exact"/>
              <w:ind w:left="200" w:right="182"/>
              <w:rPr>
                <w:sz w:val="21"/>
              </w:rPr>
            </w:pPr>
            <w:r>
              <w:rPr>
                <w:sz w:val="21"/>
              </w:rPr>
              <w:t>六价铬</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5" w:line="238" w:lineRule="exact"/>
              <w:ind w:left="85" w:right="62"/>
              <w:rPr>
                <w:rFonts w:ascii="Times New Roman"/>
                <w:sz w:val="21"/>
              </w:rPr>
            </w:pPr>
            <w:r>
              <w:rPr>
                <w:rFonts w:asci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52" w:lineRule="exact"/>
              <w:ind w:left="200" w:right="182"/>
              <w:rPr>
                <w:sz w:val="21"/>
              </w:rPr>
            </w:pPr>
            <w:r>
              <w:rPr>
                <w:sz w:val="21"/>
              </w:rPr>
              <w:t>氟化物</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3" w:line="239" w:lineRule="exact"/>
              <w:ind w:left="85" w:right="62"/>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52" w:lineRule="exact"/>
              <w:ind w:left="200" w:right="182"/>
              <w:rPr>
                <w:sz w:val="21"/>
              </w:rPr>
            </w:pPr>
            <w:r>
              <w:rPr>
                <w:sz w:val="21"/>
              </w:rPr>
              <w:t>溶解氧</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4" w:line="238" w:lineRule="exact"/>
              <w:ind w:left="23"/>
              <w:rPr>
                <w:rFonts w:ascii="Times New Roman"/>
                <w:sz w:val="21"/>
              </w:rPr>
            </w:pPr>
            <w:r>
              <w:rPr>
                <w:rFonts w:ascii="Times New Roman"/>
                <w:w w:val="99"/>
                <w:sz w:val="21"/>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1" w:line="252" w:lineRule="exact"/>
              <w:ind w:left="200" w:right="182"/>
              <w:rPr>
                <w:sz w:val="21"/>
              </w:rPr>
            </w:pPr>
            <w:r>
              <w:rPr>
                <w:sz w:val="21"/>
              </w:rPr>
              <w:t>五日生化需氧量</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5" w:line="238" w:lineRule="exact"/>
              <w:ind w:left="23"/>
              <w:rPr>
                <w:rFonts w:ascii="Times New Roman"/>
                <w:sz w:val="21"/>
              </w:rPr>
            </w:pPr>
            <w:r>
              <w:rPr>
                <w:rFonts w:ascii="Times New Roman"/>
                <w:w w:val="99"/>
                <w:sz w:val="21"/>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52" w:lineRule="exact"/>
              <w:ind w:left="200" w:right="182"/>
              <w:rPr>
                <w:sz w:val="21"/>
              </w:rPr>
            </w:pPr>
            <w:r>
              <w:rPr>
                <w:sz w:val="21"/>
              </w:rPr>
              <w:t>氨氮</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3" w:line="239" w:lineRule="exact"/>
              <w:ind w:left="85" w:right="62"/>
              <w:rPr>
                <w:rFonts w:ascii="Times New Roman"/>
                <w:sz w:val="21"/>
              </w:rPr>
            </w:pPr>
            <w:r>
              <w:rPr>
                <w:rFonts w:ascii="Times New Roman"/>
                <w:sz w:val="21"/>
              </w:rPr>
              <w:t>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restart"/>
            <w:tcBorders>
              <w:top w:val="single" w:color="000000" w:sz="4" w:space="0"/>
              <w:bottom w:val="single" w:color="000000" w:sz="4" w:space="0"/>
              <w:right w:val="single" w:color="000000" w:sz="4" w:space="0"/>
            </w:tcBorders>
          </w:tcPr>
          <w:p>
            <w:pPr>
              <w:pStyle w:val="19"/>
              <w:spacing w:before="5"/>
              <w:ind w:left="134" w:right="122"/>
              <w:rPr>
                <w:sz w:val="21"/>
              </w:rPr>
            </w:pPr>
            <w:r>
              <w:rPr>
                <w:sz w:val="21"/>
              </w:rPr>
              <w:t>声环</w:t>
            </w:r>
          </w:p>
          <w:p>
            <w:pPr>
              <w:pStyle w:val="19"/>
              <w:spacing w:before="57"/>
              <w:ind w:left="15"/>
              <w:rPr>
                <w:sz w:val="21"/>
              </w:rPr>
            </w:pPr>
            <w:r>
              <w:rPr>
                <w:w w:val="99"/>
                <w:sz w:val="21"/>
              </w:rPr>
              <w:t>境</w:t>
            </w:r>
          </w:p>
        </w:tc>
        <w:tc>
          <w:tcPr>
            <w:tcW w:w="3181" w:type="dxa"/>
            <w:vMerge w:val="restart"/>
            <w:tcBorders>
              <w:top w:val="single" w:color="000000" w:sz="4" w:space="0"/>
              <w:left w:val="single" w:color="000000" w:sz="4" w:space="0"/>
              <w:bottom w:val="single" w:color="000000" w:sz="4" w:space="0"/>
              <w:right w:val="single" w:color="000000" w:sz="4" w:space="0"/>
            </w:tcBorders>
          </w:tcPr>
          <w:p>
            <w:pPr>
              <w:pStyle w:val="19"/>
              <w:spacing w:before="5"/>
              <w:ind w:left="153" w:right="134"/>
              <w:rPr>
                <w:sz w:val="21"/>
              </w:rPr>
            </w:pPr>
            <w:r>
              <w:rPr>
                <w:sz w:val="21"/>
              </w:rPr>
              <w:t>《声环境质量标准》</w:t>
            </w:r>
          </w:p>
          <w:p>
            <w:pPr>
              <w:pStyle w:val="19"/>
              <w:spacing w:before="57"/>
              <w:ind w:left="153" w:right="132"/>
              <w:rPr>
                <w:sz w:val="21"/>
              </w:rPr>
            </w:pPr>
            <w:r>
              <w:rPr>
                <w:rFonts w:ascii="Times New Roman" w:eastAsia="Times New Roman"/>
                <w:sz w:val="21"/>
              </w:rPr>
              <w:t>(GB3096-2008)</w:t>
            </w:r>
            <w:r>
              <w:rPr>
                <w:sz w:val="21"/>
              </w:rPr>
              <w:t xml:space="preserve">中 </w:t>
            </w:r>
            <w:r>
              <w:rPr>
                <w:rFonts w:ascii="Times New Roman" w:eastAsia="Times New Roman"/>
                <w:sz w:val="21"/>
              </w:rPr>
              <w:t xml:space="preserve">2 </w:t>
            </w:r>
            <w:r>
              <w:rPr>
                <w:sz w:val="21"/>
              </w:rPr>
              <w:t>类标准</w:t>
            </w:r>
          </w:p>
        </w:tc>
        <w:tc>
          <w:tcPr>
            <w:tcW w:w="1920" w:type="dxa"/>
            <w:vMerge w:val="restart"/>
            <w:tcBorders>
              <w:top w:val="single" w:color="000000" w:sz="4" w:space="0"/>
              <w:left w:val="single" w:color="000000" w:sz="4" w:space="0"/>
              <w:bottom w:val="single" w:color="000000" w:sz="4" w:space="0"/>
              <w:right w:val="single" w:color="000000" w:sz="4" w:space="0"/>
            </w:tcBorders>
          </w:tcPr>
          <w:p>
            <w:pPr>
              <w:pStyle w:val="19"/>
              <w:spacing w:before="168"/>
              <w:ind w:left="200" w:right="182"/>
              <w:rPr>
                <w:sz w:val="21"/>
              </w:rPr>
            </w:pPr>
            <w:r>
              <w:rPr>
                <w:sz w:val="21"/>
              </w:rPr>
              <w:t>噪声</w:t>
            </w:r>
          </w:p>
        </w:tc>
        <w:tc>
          <w:tcPr>
            <w:tcW w:w="1471" w:type="dxa"/>
            <w:vMerge w:val="restart"/>
            <w:tcBorders>
              <w:top w:val="single" w:color="000000" w:sz="4" w:space="0"/>
              <w:left w:val="single" w:color="000000" w:sz="4" w:space="0"/>
              <w:bottom w:val="single" w:color="000000" w:sz="4" w:space="0"/>
              <w:right w:val="single" w:color="000000" w:sz="4" w:space="0"/>
            </w:tcBorders>
          </w:tcPr>
          <w:p>
            <w:pPr>
              <w:pStyle w:val="19"/>
              <w:spacing w:before="168"/>
              <w:ind w:left="166" w:right="148"/>
              <w:rPr>
                <w:sz w:val="21"/>
              </w:rPr>
            </w:pPr>
            <w:r>
              <w:rPr>
                <w:rFonts w:ascii="Times New Roman" w:eastAsia="Times New Roman"/>
                <w:sz w:val="21"/>
              </w:rPr>
              <w:t>2</w:t>
            </w:r>
            <w:r>
              <w:rPr>
                <w:sz w:val="21"/>
              </w:rPr>
              <w:t>类</w:t>
            </w:r>
          </w:p>
        </w:tc>
        <w:tc>
          <w:tcPr>
            <w:tcW w:w="884" w:type="dxa"/>
            <w:tcBorders>
              <w:top w:val="single" w:color="000000" w:sz="4" w:space="0"/>
              <w:left w:val="single" w:color="000000" w:sz="4" w:space="0"/>
              <w:bottom w:val="single" w:color="000000" w:sz="4" w:space="0"/>
              <w:right w:val="single" w:color="000000" w:sz="4" w:space="0"/>
            </w:tcBorders>
          </w:tcPr>
          <w:p>
            <w:pPr>
              <w:pStyle w:val="19"/>
              <w:ind w:left="236"/>
              <w:jc w:val="left"/>
              <w:rPr>
                <w:sz w:val="21"/>
              </w:rPr>
            </w:pPr>
            <w:r>
              <w:rPr>
                <w:sz w:val="21"/>
              </w:rPr>
              <w:t>昼间</w:t>
            </w:r>
          </w:p>
        </w:tc>
        <w:tc>
          <w:tcPr>
            <w:tcW w:w="1092" w:type="dxa"/>
            <w:tcBorders>
              <w:top w:val="single" w:color="000000" w:sz="4" w:space="0"/>
              <w:left w:val="single" w:color="000000" w:sz="4" w:space="0"/>
              <w:bottom w:val="single" w:color="000000" w:sz="4" w:space="0"/>
            </w:tcBorders>
          </w:tcPr>
          <w:p>
            <w:pPr>
              <w:pStyle w:val="19"/>
              <w:spacing w:before="19"/>
              <w:ind w:left="85" w:right="62"/>
              <w:rPr>
                <w:rFonts w:ascii="Times New Roman"/>
                <w:sz w:val="21"/>
              </w:rPr>
            </w:pPr>
            <w:r>
              <w:rPr>
                <w:rFonts w:ascii="Times New Roman"/>
                <w:sz w:val="21"/>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vMerge w:val="continue"/>
            <w:tcBorders>
              <w:top w:val="nil"/>
              <w:left w:val="single" w:color="000000" w:sz="4" w:space="0"/>
              <w:bottom w:val="single" w:color="000000" w:sz="4" w:space="0"/>
              <w:right w:val="single" w:color="000000" w:sz="4" w:space="0"/>
            </w:tcBorders>
          </w:tcPr>
          <w:p>
            <w:pPr>
              <w:rPr>
                <w:sz w:val="2"/>
                <w:szCs w:val="2"/>
              </w:rPr>
            </w:pPr>
          </w:p>
        </w:tc>
        <w:tc>
          <w:tcPr>
            <w:tcW w:w="884" w:type="dxa"/>
            <w:tcBorders>
              <w:top w:val="single" w:color="000000" w:sz="4" w:space="0"/>
              <w:left w:val="single" w:color="000000" w:sz="4" w:space="0"/>
              <w:bottom w:val="single" w:color="000000" w:sz="4" w:space="0"/>
              <w:right w:val="single" w:color="000000" w:sz="4" w:space="0"/>
            </w:tcBorders>
          </w:tcPr>
          <w:p>
            <w:pPr>
              <w:pStyle w:val="19"/>
              <w:spacing w:line="268" w:lineRule="exact"/>
              <w:ind w:left="236"/>
              <w:jc w:val="left"/>
              <w:rPr>
                <w:sz w:val="21"/>
              </w:rPr>
            </w:pPr>
            <w:r>
              <w:rPr>
                <w:sz w:val="21"/>
              </w:rPr>
              <w:t>夜间</w:t>
            </w:r>
          </w:p>
        </w:tc>
        <w:tc>
          <w:tcPr>
            <w:tcW w:w="1092" w:type="dxa"/>
            <w:tcBorders>
              <w:top w:val="single" w:color="000000" w:sz="4" w:space="0"/>
              <w:left w:val="single" w:color="000000" w:sz="4" w:space="0"/>
              <w:bottom w:val="single" w:color="000000" w:sz="4" w:space="0"/>
            </w:tcBorders>
          </w:tcPr>
          <w:p>
            <w:pPr>
              <w:pStyle w:val="19"/>
              <w:spacing w:before="18"/>
              <w:ind w:left="85" w:right="62"/>
              <w:rPr>
                <w:rFonts w:ascii="Times New Roman"/>
                <w:sz w:val="21"/>
              </w:rPr>
            </w:pPr>
            <w:r>
              <w:rPr>
                <w:rFonts w:ascii="Times New Roman"/>
                <w:sz w:val="21"/>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732" w:type="dxa"/>
            <w:vMerge w:val="restart"/>
            <w:tcBorders>
              <w:top w:val="single" w:color="000000" w:sz="4" w:space="0"/>
              <w:right w:val="single" w:color="000000" w:sz="4" w:space="0"/>
            </w:tcBorders>
          </w:tcPr>
          <w:p>
            <w:pPr>
              <w:pStyle w:val="19"/>
              <w:jc w:val="left"/>
              <w:rPr>
                <w:b/>
                <w:sz w:val="20"/>
              </w:rPr>
            </w:pPr>
          </w:p>
          <w:p>
            <w:pPr>
              <w:pStyle w:val="19"/>
              <w:jc w:val="left"/>
              <w:rPr>
                <w:b/>
                <w:sz w:val="20"/>
              </w:rPr>
            </w:pPr>
          </w:p>
          <w:p>
            <w:pPr>
              <w:pStyle w:val="19"/>
              <w:spacing w:before="165" w:line="290" w:lineRule="auto"/>
              <w:ind w:left="261" w:right="141" w:hanging="106"/>
              <w:jc w:val="left"/>
              <w:rPr>
                <w:sz w:val="21"/>
              </w:rPr>
            </w:pPr>
            <w:r>
              <w:rPr>
                <w:sz w:val="21"/>
              </w:rPr>
              <w:t>地下水</w:t>
            </w:r>
          </w:p>
        </w:tc>
        <w:tc>
          <w:tcPr>
            <w:tcW w:w="3181" w:type="dxa"/>
            <w:vMerge w:val="restart"/>
            <w:tcBorders>
              <w:top w:val="single" w:color="000000" w:sz="4" w:space="0"/>
              <w:left w:val="single" w:color="000000" w:sz="4" w:space="0"/>
              <w:right w:val="single" w:color="000000" w:sz="4" w:space="0"/>
            </w:tcBorders>
          </w:tcPr>
          <w:p>
            <w:pPr>
              <w:pStyle w:val="19"/>
              <w:jc w:val="left"/>
              <w:rPr>
                <w:b/>
                <w:sz w:val="20"/>
              </w:rPr>
            </w:pPr>
          </w:p>
          <w:p>
            <w:pPr>
              <w:pStyle w:val="19"/>
              <w:jc w:val="left"/>
              <w:rPr>
                <w:b/>
                <w:sz w:val="20"/>
              </w:rPr>
            </w:pPr>
          </w:p>
          <w:p>
            <w:pPr>
              <w:pStyle w:val="19"/>
              <w:spacing w:before="165"/>
              <w:ind w:left="153" w:right="134"/>
              <w:rPr>
                <w:sz w:val="21"/>
              </w:rPr>
            </w:pPr>
            <w:r>
              <w:rPr>
                <w:sz w:val="21"/>
              </w:rPr>
              <w:t>《地下水质量标准》</w:t>
            </w:r>
          </w:p>
          <w:p>
            <w:pPr>
              <w:pStyle w:val="19"/>
              <w:spacing w:before="57"/>
              <w:ind w:left="153" w:right="132"/>
              <w:rPr>
                <w:sz w:val="21"/>
              </w:rPr>
            </w:pPr>
            <w:r>
              <w:rPr>
                <w:sz w:val="21"/>
              </w:rPr>
              <w:t>（</w:t>
            </w:r>
            <w:r>
              <w:rPr>
                <w:rFonts w:ascii="Times New Roman" w:eastAsia="Times New Roman"/>
                <w:sz w:val="21"/>
              </w:rPr>
              <w:t>GB/T14848-2017</w:t>
            </w:r>
            <w:r>
              <w:rPr>
                <w:sz w:val="21"/>
              </w:rPr>
              <w:t>）</w:t>
            </w:r>
            <w:r>
              <w:rPr>
                <w:rFonts w:ascii="Times New Roman" w:eastAsia="Times New Roman"/>
                <w:sz w:val="21"/>
              </w:rPr>
              <w:t xml:space="preserve">III </w:t>
            </w:r>
            <w:r>
              <w:rPr>
                <w:sz w:val="21"/>
              </w:rPr>
              <w:t>类标准</w:t>
            </w: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17"/>
              <w:ind w:left="200" w:right="180"/>
              <w:rPr>
                <w:rFonts w:ascii="Times New Roman"/>
                <w:sz w:val="21"/>
              </w:rPr>
            </w:pPr>
            <w:r>
              <w:rPr>
                <w:rFonts w:ascii="Times New Roman"/>
                <w:sz w:val="21"/>
              </w:rPr>
              <w:t>pH</w:t>
            </w:r>
          </w:p>
        </w:tc>
        <w:tc>
          <w:tcPr>
            <w:tcW w:w="2355" w:type="dxa"/>
            <w:gridSpan w:val="2"/>
            <w:tcBorders>
              <w:top w:val="single" w:color="000000" w:sz="4" w:space="0"/>
              <w:left w:val="single" w:color="000000" w:sz="4" w:space="0"/>
              <w:bottom w:val="single" w:color="000000" w:sz="4" w:space="0"/>
              <w:right w:val="single" w:color="000000" w:sz="4" w:space="0"/>
            </w:tcBorders>
          </w:tcPr>
          <w:p>
            <w:pPr>
              <w:pStyle w:val="19"/>
              <w:ind w:left="386" w:right="371"/>
              <w:rPr>
                <w:sz w:val="21"/>
              </w:rPr>
            </w:pPr>
            <w:r>
              <w:rPr>
                <w:sz w:val="21"/>
              </w:rPr>
              <w:t>无量纲</w:t>
            </w:r>
          </w:p>
        </w:tc>
        <w:tc>
          <w:tcPr>
            <w:tcW w:w="1092" w:type="dxa"/>
            <w:tcBorders>
              <w:top w:val="single" w:color="000000" w:sz="4" w:space="0"/>
              <w:left w:val="single" w:color="000000" w:sz="4" w:space="0"/>
              <w:bottom w:val="single" w:color="000000" w:sz="4" w:space="0"/>
            </w:tcBorders>
          </w:tcPr>
          <w:p>
            <w:pPr>
              <w:pStyle w:val="19"/>
              <w:spacing w:before="17"/>
              <w:ind w:left="87" w:right="62"/>
              <w:rPr>
                <w:rFonts w:ascii="Times New Roman"/>
                <w:sz w:val="21"/>
              </w:rPr>
            </w:pPr>
            <w:r>
              <w:rPr>
                <w:rFonts w:ascii="Times New Roman"/>
                <w:sz w:val="21"/>
              </w:rPr>
              <w:t>6.5~8.5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4" w:lineRule="exact"/>
              <w:ind w:left="200" w:right="182"/>
              <w:rPr>
                <w:sz w:val="21"/>
              </w:rPr>
            </w:pPr>
            <w:r>
              <w:rPr>
                <w:sz w:val="21"/>
              </w:rPr>
              <w:t>氨氮</w:t>
            </w:r>
          </w:p>
        </w:tc>
        <w:tc>
          <w:tcPr>
            <w:tcW w:w="2355" w:type="dxa"/>
            <w:gridSpan w:val="2"/>
            <w:vMerge w:val="restart"/>
            <w:tcBorders>
              <w:top w:val="single" w:color="000000" w:sz="4" w:space="0"/>
              <w:left w:val="single" w:color="000000" w:sz="4" w:space="0"/>
              <w:right w:val="single" w:color="000000" w:sz="4" w:space="0"/>
            </w:tcBorders>
          </w:tcPr>
          <w:p>
            <w:pPr>
              <w:pStyle w:val="19"/>
              <w:jc w:val="left"/>
              <w:rPr>
                <w:b/>
                <w:sz w:val="22"/>
              </w:rPr>
            </w:pPr>
          </w:p>
          <w:p>
            <w:pPr>
              <w:pStyle w:val="19"/>
              <w:spacing w:before="6"/>
              <w:jc w:val="left"/>
              <w:rPr>
                <w:b/>
                <w:sz w:val="31"/>
              </w:rPr>
            </w:pPr>
          </w:p>
          <w:p>
            <w:pPr>
              <w:pStyle w:val="19"/>
              <w:ind w:left="388" w:right="371"/>
              <w:rPr>
                <w:rFonts w:ascii="Times New Roman"/>
                <w:sz w:val="21"/>
              </w:rPr>
            </w:pPr>
            <w:r>
              <w:rPr>
                <w:rFonts w:ascii="Times New Roman"/>
                <w:sz w:val="21"/>
              </w:rPr>
              <w:t>mg/L</w:t>
            </w:r>
          </w:p>
        </w:tc>
        <w:tc>
          <w:tcPr>
            <w:tcW w:w="1092" w:type="dxa"/>
            <w:tcBorders>
              <w:top w:val="single" w:color="000000" w:sz="4" w:space="0"/>
              <w:left w:val="single" w:color="000000" w:sz="4" w:space="0"/>
              <w:bottom w:val="single" w:color="000000" w:sz="4" w:space="0"/>
            </w:tcBorders>
          </w:tcPr>
          <w:p>
            <w:pPr>
              <w:pStyle w:val="19"/>
              <w:spacing w:before="11"/>
              <w:ind w:left="87" w:right="62"/>
              <w:rPr>
                <w:rFonts w:ascii="Times New Roman" w:hAnsi="Times New Roman"/>
                <w:sz w:val="21"/>
              </w:rPr>
            </w:pPr>
            <w:r>
              <w:rPr>
                <w:rFonts w:ascii="Times New Roman" w:hAnsi="Times New Roman"/>
                <w:sz w:val="21"/>
              </w:rPr>
              <w:t>≤0.50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6" w:lineRule="exact"/>
              <w:ind w:left="200" w:right="182"/>
              <w:rPr>
                <w:sz w:val="21"/>
              </w:rPr>
            </w:pPr>
            <w:r>
              <w:rPr>
                <w:sz w:val="21"/>
              </w:rPr>
              <w:t>硝酸盐</w:t>
            </w:r>
          </w:p>
        </w:tc>
        <w:tc>
          <w:tcPr>
            <w:tcW w:w="2355" w:type="dxa"/>
            <w:gridSpan w:val="2"/>
            <w:vMerge w:val="continue"/>
            <w:tcBorders>
              <w:top w:val="nil"/>
              <w:left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3"/>
              <w:ind w:left="87" w:right="62"/>
              <w:rPr>
                <w:rFonts w:ascii="Times New Roman" w:hAnsi="Times New Roman"/>
                <w:sz w:val="21"/>
              </w:rPr>
            </w:pPr>
            <w:r>
              <w:rPr>
                <w:rFonts w:ascii="Times New Roman" w:hAns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5" w:lineRule="exact"/>
              <w:ind w:left="197" w:right="182"/>
              <w:rPr>
                <w:sz w:val="21"/>
              </w:rPr>
            </w:pPr>
            <w:r>
              <w:rPr>
                <w:sz w:val="21"/>
              </w:rPr>
              <w:t>亚硝酸盐</w:t>
            </w:r>
          </w:p>
        </w:tc>
        <w:tc>
          <w:tcPr>
            <w:tcW w:w="2355" w:type="dxa"/>
            <w:gridSpan w:val="2"/>
            <w:vMerge w:val="continue"/>
            <w:tcBorders>
              <w:top w:val="nil"/>
              <w:left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2"/>
              <w:ind w:left="87" w:right="62"/>
              <w:rPr>
                <w:rFonts w:ascii="Times New Roman" w:hAnsi="Times New Roman"/>
                <w:sz w:val="21"/>
              </w:rPr>
            </w:pPr>
            <w:r>
              <w:rPr>
                <w:rFonts w:ascii="Times New Roman" w:hAns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4" w:lineRule="exact"/>
              <w:ind w:left="200" w:right="182"/>
              <w:rPr>
                <w:sz w:val="21"/>
              </w:rPr>
            </w:pPr>
            <w:r>
              <w:rPr>
                <w:sz w:val="21"/>
              </w:rPr>
              <w:t>总硬度</w:t>
            </w:r>
          </w:p>
        </w:tc>
        <w:tc>
          <w:tcPr>
            <w:tcW w:w="2355" w:type="dxa"/>
            <w:gridSpan w:val="2"/>
            <w:vMerge w:val="continue"/>
            <w:tcBorders>
              <w:top w:val="nil"/>
              <w:left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4"/>
              <w:ind w:left="85" w:right="62"/>
              <w:rPr>
                <w:rFonts w:ascii="Times New Roman" w:hAnsi="Times New Roman"/>
                <w:sz w:val="21"/>
              </w:rPr>
            </w:pPr>
            <w:r>
              <w:rPr>
                <w:rFonts w:ascii="Times New Roman" w:hAnsi="Times New Roman"/>
                <w:sz w:val="21"/>
              </w:rPr>
              <w:t>≤450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9"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right w:val="single" w:color="000000" w:sz="4" w:space="0"/>
            </w:tcBorders>
          </w:tcPr>
          <w:p>
            <w:pPr>
              <w:pStyle w:val="19"/>
              <w:spacing w:line="263" w:lineRule="exact"/>
              <w:ind w:left="200" w:right="182"/>
              <w:rPr>
                <w:sz w:val="21"/>
              </w:rPr>
            </w:pPr>
            <w:r>
              <w:rPr>
                <w:sz w:val="21"/>
              </w:rPr>
              <w:t>高锰酸盐指数</w:t>
            </w:r>
          </w:p>
        </w:tc>
        <w:tc>
          <w:tcPr>
            <w:tcW w:w="2355" w:type="dxa"/>
            <w:gridSpan w:val="2"/>
            <w:vMerge w:val="continue"/>
            <w:tcBorders>
              <w:top w:val="nil"/>
              <w:left w:val="single" w:color="000000" w:sz="4" w:space="0"/>
              <w:right w:val="single" w:color="000000" w:sz="4" w:space="0"/>
            </w:tcBorders>
          </w:tcPr>
          <w:p>
            <w:pPr>
              <w:rPr>
                <w:sz w:val="2"/>
                <w:szCs w:val="2"/>
              </w:rPr>
            </w:pPr>
          </w:p>
        </w:tc>
        <w:tc>
          <w:tcPr>
            <w:tcW w:w="1092" w:type="dxa"/>
            <w:tcBorders>
              <w:top w:val="single" w:color="000000" w:sz="4" w:space="0"/>
              <w:left w:val="single" w:color="000000" w:sz="4" w:space="0"/>
            </w:tcBorders>
          </w:tcPr>
          <w:p>
            <w:pPr>
              <w:pStyle w:val="19"/>
              <w:spacing w:before="13"/>
              <w:ind w:left="85" w:right="62"/>
              <w:rPr>
                <w:rFonts w:ascii="Times New Roman" w:hAnsi="Times New Roman"/>
                <w:sz w:val="21"/>
              </w:rPr>
            </w:pPr>
            <w:r>
              <w:rPr>
                <w:rFonts w:ascii="Times New Roman" w:hAnsi="Times New Roman"/>
                <w:sz w:val="21"/>
              </w:rPr>
              <w:t>≤3.0</w:t>
            </w:r>
          </w:p>
        </w:tc>
      </w:tr>
    </w:tbl>
    <w:p>
      <w:pPr>
        <w:spacing w:after="0"/>
        <w:rPr>
          <w:rFonts w:ascii="Times New Roman" w:hAnsi="Times New Roman"/>
          <w:sz w:val="21"/>
        </w:rPr>
        <w:sectPr>
          <w:footerReference r:id="rId6" w:type="default"/>
          <w:pgSz w:w="11910" w:h="16840"/>
          <w:pgMar w:top="1400" w:right="1160" w:bottom="1100" w:left="1200" w:header="0" w:footer="913" w:gutter="0"/>
          <w:pgNumType w:start="30"/>
        </w:sectPr>
      </w:pP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2"/>
        <w:gridCol w:w="3181"/>
        <w:gridCol w:w="1920"/>
        <w:gridCol w:w="2355"/>
        <w:gridCol w:w="10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restart"/>
            <w:tcBorders>
              <w:bottom w:val="single" w:color="000000" w:sz="4" w:space="0"/>
              <w:right w:val="single" w:color="000000" w:sz="4" w:space="0"/>
            </w:tcBorders>
          </w:tcPr>
          <w:p>
            <w:pPr>
              <w:pStyle w:val="19"/>
              <w:jc w:val="left"/>
              <w:rPr>
                <w:rFonts w:ascii="Times New Roman"/>
                <w:sz w:val="20"/>
              </w:rPr>
            </w:pPr>
          </w:p>
        </w:tc>
        <w:tc>
          <w:tcPr>
            <w:tcW w:w="3181" w:type="dxa"/>
            <w:vMerge w:val="restart"/>
            <w:tcBorders>
              <w:left w:val="single" w:color="000000" w:sz="4" w:space="0"/>
              <w:bottom w:val="single" w:color="000000" w:sz="4" w:space="0"/>
              <w:right w:val="single" w:color="000000" w:sz="4" w:space="0"/>
            </w:tcBorders>
          </w:tcPr>
          <w:p>
            <w:pPr>
              <w:pStyle w:val="19"/>
              <w:jc w:val="left"/>
              <w:rPr>
                <w:rFonts w:ascii="Times New Roman"/>
                <w:sz w:val="20"/>
              </w:rPr>
            </w:pPr>
          </w:p>
        </w:tc>
        <w:tc>
          <w:tcPr>
            <w:tcW w:w="1920" w:type="dxa"/>
            <w:tcBorders>
              <w:left w:val="single" w:color="000000" w:sz="4" w:space="0"/>
              <w:bottom w:val="single" w:color="000000" w:sz="4" w:space="0"/>
              <w:right w:val="single" w:color="000000" w:sz="4" w:space="0"/>
            </w:tcBorders>
          </w:tcPr>
          <w:p>
            <w:pPr>
              <w:pStyle w:val="19"/>
              <w:spacing w:before="2"/>
              <w:ind w:left="200" w:right="182"/>
              <w:rPr>
                <w:sz w:val="21"/>
              </w:rPr>
            </w:pPr>
            <w:r>
              <w:rPr>
                <w:sz w:val="21"/>
              </w:rPr>
              <w:t>溶解性总固体</w:t>
            </w:r>
          </w:p>
        </w:tc>
        <w:tc>
          <w:tcPr>
            <w:tcW w:w="2355" w:type="dxa"/>
            <w:vMerge w:val="restart"/>
            <w:tcBorders>
              <w:left w:val="single" w:color="000000" w:sz="4" w:space="0"/>
              <w:bottom w:val="single" w:color="000000" w:sz="4" w:space="0"/>
              <w:right w:val="single" w:color="000000" w:sz="4" w:space="0"/>
            </w:tcBorders>
          </w:tcPr>
          <w:p>
            <w:pPr>
              <w:pStyle w:val="19"/>
              <w:jc w:val="left"/>
              <w:rPr>
                <w:rFonts w:ascii="Times New Roman"/>
                <w:sz w:val="20"/>
              </w:rPr>
            </w:pPr>
          </w:p>
        </w:tc>
        <w:tc>
          <w:tcPr>
            <w:tcW w:w="1092" w:type="dxa"/>
            <w:tcBorders>
              <w:left w:val="single" w:color="000000" w:sz="4" w:space="0"/>
              <w:bottom w:val="single" w:color="000000" w:sz="4" w:space="0"/>
            </w:tcBorders>
          </w:tcPr>
          <w:p>
            <w:pPr>
              <w:pStyle w:val="19"/>
              <w:spacing w:before="18"/>
              <w:ind w:left="85" w:right="62"/>
              <w:rPr>
                <w:rFonts w:ascii="Times New Roman" w:hAnsi="Times New Roman"/>
                <w:sz w:val="21"/>
              </w:rPr>
            </w:pPr>
            <w:r>
              <w:rPr>
                <w:rFonts w:ascii="Times New Roman" w:hAnsi="Times New Roman"/>
                <w:sz w:val="21"/>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1"/>
              <w:ind w:left="15"/>
              <w:rPr>
                <w:sz w:val="21"/>
              </w:rPr>
            </w:pPr>
            <w:r>
              <w:rPr>
                <w:w w:val="99"/>
                <w:sz w:val="21"/>
              </w:rPr>
              <w:t>铁</w:t>
            </w:r>
          </w:p>
        </w:tc>
        <w:tc>
          <w:tcPr>
            <w:tcW w:w="2355" w:type="dxa"/>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7"/>
              <w:ind w:left="85" w:right="62"/>
              <w:rPr>
                <w:rFonts w:ascii="Times New Roman" w:hAnsi="Times New Roman"/>
                <w:sz w:val="21"/>
              </w:rPr>
            </w:pPr>
            <w:r>
              <w:rPr>
                <w:rFonts w:ascii="Times New Roman" w:hAnsi="Times New Roman"/>
                <w:sz w:val="21"/>
              </w:rPr>
              <w:t>≤0.3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ind w:left="15"/>
              <w:rPr>
                <w:sz w:val="21"/>
              </w:rPr>
            </w:pPr>
            <w:r>
              <w:rPr>
                <w:w w:val="99"/>
                <w:sz w:val="21"/>
              </w:rPr>
              <w:t>锰</w:t>
            </w:r>
          </w:p>
        </w:tc>
        <w:tc>
          <w:tcPr>
            <w:tcW w:w="2355" w:type="dxa"/>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6"/>
              <w:ind w:left="87" w:right="62"/>
              <w:rPr>
                <w:rFonts w:ascii="Times New Roman" w:hAnsi="Times New Roman"/>
                <w:sz w:val="21"/>
              </w:rPr>
            </w:pPr>
            <w:r>
              <w:rPr>
                <w:rFonts w:ascii="Times New Roman" w:hAnsi="Times New Roman"/>
                <w:sz w:val="21"/>
              </w:rPr>
              <w:t>≤0.10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ind w:left="15"/>
              <w:rPr>
                <w:sz w:val="21"/>
              </w:rPr>
            </w:pPr>
            <w:r>
              <w:rPr>
                <w:w w:val="99"/>
                <w:sz w:val="21"/>
              </w:rPr>
              <w:t>铅</w:t>
            </w:r>
          </w:p>
        </w:tc>
        <w:tc>
          <w:tcPr>
            <w:tcW w:w="2355" w:type="dxa"/>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8"/>
              <w:ind w:left="87" w:right="62"/>
              <w:rPr>
                <w:rFonts w:ascii="Times New Roman" w:hAnsi="Times New Roman"/>
                <w:sz w:val="21"/>
              </w:rPr>
            </w:pPr>
            <w:r>
              <w:rPr>
                <w:rFonts w:ascii="Times New Roman" w:hAns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1"/>
              <w:ind w:left="200" w:right="182"/>
              <w:rPr>
                <w:sz w:val="21"/>
              </w:rPr>
            </w:pPr>
            <w:r>
              <w:rPr>
                <w:sz w:val="21"/>
              </w:rPr>
              <w:t>六价铬</w:t>
            </w:r>
          </w:p>
        </w:tc>
        <w:tc>
          <w:tcPr>
            <w:tcW w:w="2355" w:type="dxa"/>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7"/>
              <w:ind w:left="87" w:right="62"/>
              <w:rPr>
                <w:rFonts w:ascii="Times New Roman" w:hAnsi="Times New Roman"/>
                <w:sz w:val="21"/>
              </w:rPr>
            </w:pPr>
            <w:r>
              <w:rPr>
                <w:rFonts w:ascii="Times New Roman" w:hAns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ind w:left="200" w:right="182"/>
              <w:rPr>
                <w:sz w:val="21"/>
              </w:rPr>
            </w:pPr>
            <w:r>
              <w:rPr>
                <w:sz w:val="21"/>
              </w:rPr>
              <w:t>氯化物</w:t>
            </w:r>
          </w:p>
        </w:tc>
        <w:tc>
          <w:tcPr>
            <w:tcW w:w="2355" w:type="dxa"/>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9"/>
              <w:ind w:left="85" w:right="62"/>
              <w:rPr>
                <w:rFonts w:ascii="Times New Roman" w:hAnsi="Times New Roman"/>
                <w:sz w:val="21"/>
              </w:rPr>
            </w:pPr>
            <w:r>
              <w:rPr>
                <w:rFonts w:ascii="Times New Roman" w:hAnsi="Times New Roman"/>
                <w:sz w:val="21"/>
              </w:rPr>
              <w:t>≤250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8" w:lineRule="exact"/>
              <w:ind w:left="200" w:right="182"/>
              <w:rPr>
                <w:sz w:val="21"/>
              </w:rPr>
            </w:pPr>
            <w:r>
              <w:rPr>
                <w:sz w:val="21"/>
              </w:rPr>
              <w:t>硫酸盐</w:t>
            </w:r>
          </w:p>
        </w:tc>
        <w:tc>
          <w:tcPr>
            <w:tcW w:w="2355" w:type="dxa"/>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8"/>
              <w:ind w:left="85" w:right="62"/>
              <w:rPr>
                <w:rFonts w:ascii="Times New Roman" w:hAnsi="Times New Roman"/>
                <w:sz w:val="21"/>
              </w:rPr>
            </w:pPr>
            <w:r>
              <w:rPr>
                <w:rFonts w:ascii="Times New Roman" w:hAnsi="Times New Roman"/>
                <w:sz w:val="21"/>
              </w:rPr>
              <w:t>≤250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ind w:left="197" w:right="182"/>
              <w:rPr>
                <w:sz w:val="21"/>
              </w:rPr>
            </w:pPr>
            <w:r>
              <w:rPr>
                <w:sz w:val="21"/>
              </w:rPr>
              <w:t>菌落总数</w:t>
            </w:r>
          </w:p>
        </w:tc>
        <w:tc>
          <w:tcPr>
            <w:tcW w:w="2355" w:type="dxa"/>
            <w:tcBorders>
              <w:top w:val="single" w:color="000000" w:sz="4" w:space="0"/>
              <w:left w:val="single" w:color="000000" w:sz="4" w:space="0"/>
              <w:bottom w:val="single" w:color="000000" w:sz="4" w:space="0"/>
              <w:right w:val="single" w:color="000000" w:sz="4" w:space="0"/>
            </w:tcBorders>
          </w:tcPr>
          <w:p>
            <w:pPr>
              <w:pStyle w:val="19"/>
              <w:ind w:left="391" w:right="371"/>
              <w:rPr>
                <w:sz w:val="21"/>
              </w:rPr>
            </w:pPr>
            <w:r>
              <w:rPr>
                <w:sz w:val="21"/>
              </w:rPr>
              <w:t>（</w:t>
            </w:r>
            <w:r>
              <w:rPr>
                <w:rFonts w:ascii="Times New Roman" w:eastAsia="Times New Roman"/>
                <w:sz w:val="21"/>
              </w:rPr>
              <w:t>CFU/mL</w:t>
            </w:r>
            <w:r>
              <w:rPr>
                <w:sz w:val="21"/>
              </w:rPr>
              <w:t>）</w:t>
            </w:r>
          </w:p>
        </w:tc>
        <w:tc>
          <w:tcPr>
            <w:tcW w:w="1092" w:type="dxa"/>
            <w:tcBorders>
              <w:top w:val="single" w:color="000000" w:sz="4" w:space="0"/>
              <w:left w:val="single" w:color="000000" w:sz="4" w:space="0"/>
              <w:bottom w:val="single" w:color="000000" w:sz="4" w:space="0"/>
            </w:tcBorders>
          </w:tcPr>
          <w:p>
            <w:pPr>
              <w:pStyle w:val="19"/>
              <w:spacing w:before="17"/>
              <w:ind w:left="85" w:right="62"/>
              <w:rPr>
                <w:rFonts w:ascii="Times New Roman" w:hAnsi="Times New Roman"/>
                <w:sz w:val="21"/>
              </w:rPr>
            </w:pPr>
            <w:r>
              <w:rPr>
                <w:rFonts w:ascii="Times New Roman" w:hAns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9" w:lineRule="exact"/>
              <w:ind w:left="197" w:right="182"/>
              <w:rPr>
                <w:sz w:val="21"/>
              </w:rPr>
            </w:pPr>
            <w:r>
              <w:rPr>
                <w:sz w:val="21"/>
              </w:rPr>
              <w:t>总大肠菌群</w:t>
            </w:r>
          </w:p>
        </w:tc>
        <w:tc>
          <w:tcPr>
            <w:tcW w:w="2355" w:type="dxa"/>
            <w:tcBorders>
              <w:top w:val="single" w:color="000000" w:sz="4" w:space="0"/>
              <w:left w:val="single" w:color="000000" w:sz="4" w:space="0"/>
              <w:bottom w:val="single" w:color="000000" w:sz="4" w:space="0"/>
              <w:right w:val="single" w:color="000000" w:sz="4" w:space="0"/>
            </w:tcBorders>
          </w:tcPr>
          <w:p>
            <w:pPr>
              <w:pStyle w:val="19"/>
              <w:spacing w:line="269" w:lineRule="exact"/>
              <w:ind w:left="393" w:right="371"/>
              <w:rPr>
                <w:sz w:val="21"/>
              </w:rPr>
            </w:pPr>
            <w:r>
              <w:rPr>
                <w:sz w:val="21"/>
              </w:rPr>
              <w:t>（</w:t>
            </w:r>
            <w:r>
              <w:rPr>
                <w:rFonts w:ascii="Times New Roman" w:eastAsia="Times New Roman"/>
                <w:sz w:val="21"/>
              </w:rPr>
              <w:t>MPN/100mL</w:t>
            </w:r>
            <w:r>
              <w:rPr>
                <w:sz w:val="21"/>
              </w:rPr>
              <w:t>）</w:t>
            </w:r>
          </w:p>
        </w:tc>
        <w:tc>
          <w:tcPr>
            <w:tcW w:w="1092" w:type="dxa"/>
            <w:tcBorders>
              <w:top w:val="single" w:color="000000" w:sz="4" w:space="0"/>
              <w:left w:val="single" w:color="000000" w:sz="4" w:space="0"/>
              <w:bottom w:val="single" w:color="000000" w:sz="4" w:space="0"/>
            </w:tcBorders>
          </w:tcPr>
          <w:p>
            <w:pPr>
              <w:pStyle w:val="19"/>
              <w:spacing w:before="16"/>
              <w:ind w:left="85" w:right="62"/>
              <w:rPr>
                <w:rFonts w:ascii="Times New Roman" w:hAnsi="Times New Roman"/>
                <w:sz w:val="21"/>
              </w:rPr>
            </w:pPr>
            <w:r>
              <w:rPr>
                <w:rFonts w:ascii="Times New Roman" w:hAns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2"/>
              <w:ind w:left="197" w:right="182"/>
              <w:rPr>
                <w:sz w:val="21"/>
              </w:rPr>
            </w:pPr>
            <w:r>
              <w:rPr>
                <w:sz w:val="21"/>
              </w:rPr>
              <w:t>挥发性酚类</w:t>
            </w:r>
          </w:p>
        </w:tc>
        <w:tc>
          <w:tcPr>
            <w:tcW w:w="2355"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8"/>
              <w:jc w:val="left"/>
              <w:rPr>
                <w:b/>
                <w:sz w:val="28"/>
              </w:rPr>
            </w:pPr>
          </w:p>
          <w:p>
            <w:pPr>
              <w:pStyle w:val="19"/>
              <w:ind w:left="388" w:right="371"/>
              <w:rPr>
                <w:rFonts w:ascii="Times New Roman"/>
                <w:sz w:val="21"/>
              </w:rPr>
            </w:pPr>
            <w:r>
              <w:rPr>
                <w:rFonts w:ascii="Times New Roman"/>
                <w:sz w:val="21"/>
              </w:rPr>
              <w:t>mg/L</w:t>
            </w:r>
          </w:p>
        </w:tc>
        <w:tc>
          <w:tcPr>
            <w:tcW w:w="1092" w:type="dxa"/>
            <w:tcBorders>
              <w:top w:val="single" w:color="000000" w:sz="4" w:space="0"/>
              <w:left w:val="single" w:color="000000" w:sz="4" w:space="0"/>
              <w:bottom w:val="single" w:color="000000" w:sz="4" w:space="0"/>
            </w:tcBorders>
          </w:tcPr>
          <w:p>
            <w:pPr>
              <w:pStyle w:val="19"/>
              <w:spacing w:before="18"/>
              <w:ind w:left="85" w:right="62"/>
              <w:rPr>
                <w:rFonts w:ascii="Times New Roman" w:hAnsi="Times New Roman"/>
                <w:sz w:val="21"/>
              </w:rPr>
            </w:pPr>
            <w:r>
              <w:rPr>
                <w:rFonts w:ascii="Times New Roman" w:hAnsi="Times New Roman"/>
                <w:sz w:val="21"/>
              </w:rPr>
              <w:t>≤0.002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1"/>
              <w:ind w:left="200" w:right="182"/>
              <w:rPr>
                <w:sz w:val="21"/>
              </w:rPr>
            </w:pPr>
            <w:r>
              <w:rPr>
                <w:sz w:val="21"/>
              </w:rPr>
              <w:t>氰化物</w:t>
            </w:r>
          </w:p>
        </w:tc>
        <w:tc>
          <w:tcPr>
            <w:tcW w:w="2355" w:type="dxa"/>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7"/>
              <w:ind w:left="87" w:right="62"/>
              <w:rPr>
                <w:rFonts w:ascii="Times New Roman" w:hAnsi="Times New Roman"/>
                <w:sz w:val="21"/>
              </w:rPr>
            </w:pPr>
            <w:r>
              <w:rPr>
                <w:rFonts w:ascii="Times New Roman" w:hAns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ind w:left="15"/>
              <w:rPr>
                <w:sz w:val="21"/>
              </w:rPr>
            </w:pPr>
            <w:r>
              <w:rPr>
                <w:w w:val="99"/>
                <w:sz w:val="21"/>
              </w:rPr>
              <w:t>砷</w:t>
            </w:r>
          </w:p>
        </w:tc>
        <w:tc>
          <w:tcPr>
            <w:tcW w:w="2355" w:type="dxa"/>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6"/>
              <w:ind w:left="87" w:right="62"/>
              <w:rPr>
                <w:rFonts w:ascii="Times New Roman" w:hAnsi="Times New Roman"/>
                <w:sz w:val="21"/>
              </w:rPr>
            </w:pPr>
            <w:r>
              <w:rPr>
                <w:rFonts w:ascii="Times New Roman" w:hAns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8" w:lineRule="exact"/>
              <w:ind w:left="15"/>
              <w:rPr>
                <w:sz w:val="21"/>
              </w:rPr>
            </w:pPr>
            <w:r>
              <w:rPr>
                <w:w w:val="99"/>
                <w:sz w:val="21"/>
              </w:rPr>
              <w:t>汞</w:t>
            </w:r>
          </w:p>
        </w:tc>
        <w:tc>
          <w:tcPr>
            <w:tcW w:w="2355" w:type="dxa"/>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8"/>
              <w:ind w:left="85" w:right="62"/>
              <w:rPr>
                <w:rFonts w:ascii="Times New Roman" w:hAnsi="Times New Roman"/>
                <w:sz w:val="21"/>
              </w:rPr>
            </w:pPr>
            <w:r>
              <w:rPr>
                <w:rFonts w:ascii="Times New Roman" w:hAnsi="Times New Roman"/>
                <w:sz w:val="21"/>
              </w:rPr>
              <w:t>≤0.001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ind w:left="200" w:right="182"/>
              <w:rPr>
                <w:sz w:val="21"/>
              </w:rPr>
            </w:pPr>
            <w:r>
              <w:rPr>
                <w:sz w:val="21"/>
              </w:rPr>
              <w:t>氟化物</w:t>
            </w:r>
          </w:p>
        </w:tc>
        <w:tc>
          <w:tcPr>
            <w:tcW w:w="2355" w:type="dxa"/>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7"/>
              <w:ind w:left="85" w:right="62"/>
              <w:rPr>
                <w:rFonts w:ascii="Times New Roman" w:hAnsi="Times New Roman"/>
                <w:sz w:val="21"/>
              </w:rPr>
            </w:pPr>
            <w:r>
              <w:rPr>
                <w:rFonts w:ascii="Times New Roman" w:hAns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ind w:left="15"/>
              <w:rPr>
                <w:sz w:val="21"/>
              </w:rPr>
            </w:pPr>
            <w:r>
              <w:rPr>
                <w:w w:val="99"/>
                <w:sz w:val="21"/>
              </w:rPr>
              <w:t>镉</w:t>
            </w:r>
          </w:p>
        </w:tc>
        <w:tc>
          <w:tcPr>
            <w:tcW w:w="2355" w:type="dxa"/>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before="17"/>
              <w:ind w:left="85" w:right="62"/>
              <w:rPr>
                <w:rFonts w:ascii="Times New Roman" w:hAnsi="Times New Roman"/>
                <w:sz w:val="21"/>
              </w:rPr>
            </w:pPr>
            <w:r>
              <w:rPr>
                <w:rFonts w:ascii="Times New Roman" w:hAnsi="Times New Roman"/>
                <w:sz w:val="21"/>
              </w:rPr>
              <w:t>≤0.005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2"/>
              <w:ind w:left="200" w:right="180"/>
              <w:rPr>
                <w:rFonts w:ascii="Times New Roman"/>
                <w:sz w:val="13"/>
              </w:rPr>
            </w:pPr>
            <w:r>
              <w:rPr>
                <w:rFonts w:ascii="Times New Roman"/>
                <w:position w:val="-6"/>
                <w:sz w:val="21"/>
              </w:rPr>
              <w:t>K</w:t>
            </w:r>
            <w:r>
              <w:rPr>
                <w:rFonts w:ascii="Times New Roman"/>
                <w:sz w:val="13"/>
              </w:rPr>
              <w:t>+</w:t>
            </w:r>
          </w:p>
        </w:tc>
        <w:tc>
          <w:tcPr>
            <w:tcW w:w="2355" w:type="dxa"/>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line="241"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41" w:lineRule="exact"/>
              <w:ind w:left="200" w:right="180"/>
              <w:rPr>
                <w:rFonts w:ascii="Times New Roman"/>
                <w:sz w:val="13"/>
              </w:rPr>
            </w:pPr>
            <w:r>
              <w:rPr>
                <w:rFonts w:ascii="Times New Roman"/>
                <w:sz w:val="21"/>
              </w:rPr>
              <w:t>Na</w:t>
            </w:r>
            <w:r>
              <w:rPr>
                <w:rFonts w:ascii="Times New Roman"/>
                <w:position w:val="7"/>
                <w:sz w:val="13"/>
              </w:rPr>
              <w:t>+</w:t>
            </w:r>
          </w:p>
        </w:tc>
        <w:tc>
          <w:tcPr>
            <w:tcW w:w="2355" w:type="dxa"/>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line="241" w:lineRule="exact"/>
              <w:ind w:left="85" w:right="62"/>
              <w:rPr>
                <w:rFonts w:ascii="Times New Roman" w:hAnsi="Times New Roman"/>
                <w:sz w:val="21"/>
              </w:rPr>
            </w:pPr>
            <w:r>
              <w:rPr>
                <w:rFonts w:ascii="Times New Roman" w:hAns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41" w:lineRule="exact"/>
              <w:ind w:left="200" w:right="182"/>
              <w:rPr>
                <w:rFonts w:ascii="Times New Roman"/>
                <w:sz w:val="13"/>
              </w:rPr>
            </w:pPr>
            <w:r>
              <w:rPr>
                <w:rFonts w:ascii="Times New Roman"/>
                <w:position w:val="-6"/>
                <w:sz w:val="21"/>
              </w:rPr>
              <w:t>Ca</w:t>
            </w:r>
            <w:r>
              <w:rPr>
                <w:rFonts w:ascii="Times New Roman"/>
                <w:sz w:val="13"/>
              </w:rPr>
              <w:t>2+</w:t>
            </w:r>
          </w:p>
        </w:tc>
        <w:tc>
          <w:tcPr>
            <w:tcW w:w="2355" w:type="dxa"/>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line="241"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8"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41" w:lineRule="exact"/>
              <w:ind w:left="200" w:right="182"/>
              <w:rPr>
                <w:rFonts w:ascii="Times New Roman"/>
                <w:sz w:val="13"/>
              </w:rPr>
            </w:pPr>
            <w:r>
              <w:rPr>
                <w:rFonts w:ascii="Times New Roman"/>
                <w:position w:val="-6"/>
                <w:sz w:val="21"/>
              </w:rPr>
              <w:t>Mg</w:t>
            </w:r>
            <w:r>
              <w:rPr>
                <w:rFonts w:ascii="Times New Roman"/>
                <w:sz w:val="13"/>
              </w:rPr>
              <w:t>2+</w:t>
            </w:r>
          </w:p>
        </w:tc>
        <w:tc>
          <w:tcPr>
            <w:tcW w:w="2355" w:type="dxa"/>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spacing w:line="241"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5" w:line="71" w:lineRule="exact"/>
              <w:ind w:left="560" w:right="182"/>
              <w:rPr>
                <w:rFonts w:ascii="Times New Roman"/>
                <w:sz w:val="13"/>
              </w:rPr>
            </w:pPr>
            <w:r>
              <w:rPr>
                <w:rFonts w:ascii="Times New Roman"/>
                <w:w w:val="105"/>
                <w:sz w:val="13"/>
              </w:rPr>
              <w:t>2-</w:t>
            </w:r>
          </w:p>
          <w:p>
            <w:pPr>
              <w:pStyle w:val="19"/>
              <w:spacing w:line="183" w:lineRule="exact"/>
              <w:ind w:left="91" w:right="182"/>
              <w:rPr>
                <w:rFonts w:ascii="Times New Roman"/>
                <w:sz w:val="21"/>
              </w:rPr>
            </w:pPr>
            <w:r>
              <w:rPr>
                <w:rFonts w:ascii="Times New Roman"/>
                <w:position w:val="2"/>
                <w:sz w:val="21"/>
              </w:rPr>
              <w:t>CO</w:t>
            </w:r>
            <w:r>
              <w:rPr>
                <w:rFonts w:ascii="Times New Roman"/>
                <w:position w:val="2"/>
                <w:sz w:val="21"/>
                <w:vertAlign w:val="subscript"/>
              </w:rPr>
              <w:t>3</w:t>
            </w:r>
          </w:p>
        </w:tc>
        <w:tc>
          <w:tcPr>
            <w:tcW w:w="2355" w:type="dxa"/>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5" w:line="71" w:lineRule="exact"/>
              <w:ind w:left="529"/>
              <w:rPr>
                <w:rFonts w:ascii="Times New Roman"/>
                <w:sz w:val="13"/>
              </w:rPr>
            </w:pPr>
            <w:r>
              <w:rPr>
                <w:rFonts w:ascii="Times New Roman"/>
                <w:w w:val="105"/>
                <w:sz w:val="13"/>
              </w:rPr>
              <w:t>-</w:t>
            </w:r>
          </w:p>
          <w:p>
            <w:pPr>
              <w:pStyle w:val="19"/>
              <w:spacing w:line="183" w:lineRule="exact"/>
              <w:ind w:left="158" w:right="182"/>
              <w:rPr>
                <w:rFonts w:ascii="Times New Roman"/>
                <w:sz w:val="21"/>
              </w:rPr>
            </w:pPr>
            <w:r>
              <w:rPr>
                <w:rFonts w:ascii="Times New Roman"/>
                <w:position w:val="2"/>
                <w:sz w:val="21"/>
              </w:rPr>
              <w:t>HCO</w:t>
            </w:r>
            <w:r>
              <w:rPr>
                <w:rFonts w:ascii="Times New Roman"/>
                <w:position w:val="2"/>
                <w:sz w:val="21"/>
                <w:vertAlign w:val="subscript"/>
              </w:rPr>
              <w:t>3</w:t>
            </w:r>
          </w:p>
        </w:tc>
        <w:tc>
          <w:tcPr>
            <w:tcW w:w="2355" w:type="dxa"/>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ind w:left="200" w:right="182"/>
              <w:rPr>
                <w:rFonts w:ascii="Times New Roman"/>
                <w:sz w:val="13"/>
              </w:rPr>
            </w:pPr>
            <w:r>
              <w:rPr>
                <w:rFonts w:ascii="Times New Roman"/>
                <w:sz w:val="21"/>
              </w:rPr>
              <w:t>Cl</w:t>
            </w:r>
            <w:r>
              <w:rPr>
                <w:rFonts w:ascii="Times New Roman"/>
                <w:position w:val="7"/>
                <w:sz w:val="13"/>
              </w:rPr>
              <w:t>-</w:t>
            </w:r>
          </w:p>
        </w:tc>
        <w:tc>
          <w:tcPr>
            <w:tcW w:w="2355" w:type="dxa"/>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8"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5" w:line="71" w:lineRule="exact"/>
              <w:ind w:left="540" w:right="182"/>
              <w:rPr>
                <w:rFonts w:ascii="Times New Roman"/>
                <w:sz w:val="13"/>
              </w:rPr>
            </w:pPr>
            <w:r>
              <w:rPr>
                <w:rFonts w:ascii="Times New Roman"/>
                <w:w w:val="105"/>
                <w:sz w:val="13"/>
              </w:rPr>
              <w:t>2-</w:t>
            </w:r>
          </w:p>
          <w:p>
            <w:pPr>
              <w:pStyle w:val="19"/>
              <w:spacing w:line="183" w:lineRule="exact"/>
              <w:ind w:left="93" w:right="182"/>
              <w:rPr>
                <w:rFonts w:ascii="Times New Roman"/>
                <w:sz w:val="21"/>
              </w:rPr>
            </w:pPr>
            <w:r>
              <w:rPr>
                <w:rFonts w:ascii="Times New Roman"/>
                <w:position w:val="2"/>
                <w:sz w:val="21"/>
              </w:rPr>
              <w:t>SO</w:t>
            </w:r>
            <w:r>
              <w:rPr>
                <w:rFonts w:ascii="Times New Roman"/>
                <w:position w:val="2"/>
                <w:sz w:val="21"/>
                <w:vertAlign w:val="subscript"/>
              </w:rPr>
              <w:t>4</w:t>
            </w:r>
          </w:p>
        </w:tc>
        <w:tc>
          <w:tcPr>
            <w:tcW w:w="2355" w:type="dxa"/>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9"/>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732" w:type="dxa"/>
            <w:vMerge w:val="restart"/>
            <w:tcBorders>
              <w:top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9"/>
              <w:jc w:val="left"/>
              <w:rPr>
                <w:b/>
                <w:sz w:val="16"/>
              </w:rPr>
            </w:pPr>
          </w:p>
          <w:p>
            <w:pPr>
              <w:pStyle w:val="19"/>
              <w:ind w:left="155"/>
              <w:jc w:val="left"/>
              <w:rPr>
                <w:sz w:val="21"/>
              </w:rPr>
            </w:pPr>
            <w:r>
              <w:rPr>
                <w:sz w:val="21"/>
              </w:rPr>
              <w:t>土壤</w:t>
            </w:r>
          </w:p>
        </w:tc>
        <w:tc>
          <w:tcPr>
            <w:tcW w:w="3181" w:type="dxa"/>
            <w:vMerge w:val="restart"/>
            <w:tcBorders>
              <w:top w:val="single" w:color="000000" w:sz="4" w:space="0"/>
              <w:left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141" w:line="290" w:lineRule="auto"/>
              <w:ind w:left="125" w:right="106"/>
              <w:rPr>
                <w:sz w:val="21"/>
              </w:rPr>
            </w:pPr>
            <w:r>
              <w:rPr>
                <w:w w:val="95"/>
                <w:sz w:val="21"/>
              </w:rPr>
              <w:t>《土壤环境质量建设用地土壤污</w:t>
            </w:r>
            <w:r>
              <w:rPr>
                <w:sz w:val="21"/>
              </w:rPr>
              <w:t>染风险管控标准（试行）》</w:t>
            </w:r>
          </w:p>
          <w:p>
            <w:pPr>
              <w:pStyle w:val="19"/>
              <w:spacing w:before="4"/>
              <w:ind w:left="153" w:right="134"/>
              <w:rPr>
                <w:sz w:val="21"/>
              </w:rPr>
            </w:pPr>
            <w:r>
              <w:rPr>
                <w:sz w:val="21"/>
              </w:rPr>
              <w:t>（</w:t>
            </w:r>
            <w:r>
              <w:rPr>
                <w:rFonts w:ascii="Times New Roman" w:eastAsia="Times New Roman"/>
                <w:sz w:val="21"/>
              </w:rPr>
              <w:t>GB36600-2018</w:t>
            </w:r>
            <w:r>
              <w:rPr>
                <w:sz w:val="21"/>
              </w:rPr>
              <w:t>）</w:t>
            </w: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1"/>
              <w:ind w:left="15"/>
              <w:rPr>
                <w:sz w:val="21"/>
              </w:rPr>
            </w:pPr>
            <w:r>
              <w:rPr>
                <w:w w:val="99"/>
                <w:sz w:val="21"/>
              </w:rPr>
              <w:t>砷</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8"/>
              <w:ind w:left="387" w:right="371"/>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8"/>
              <w:ind w:left="85" w:right="62"/>
              <w:rPr>
                <w:rFonts w:ascii="Times New Roman"/>
                <w:sz w:val="21"/>
              </w:rPr>
            </w:pPr>
            <w:r>
              <w:rPr>
                <w:rFonts w:ascii="Times New Roman"/>
                <w:sz w:val="21"/>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5" w:lineRule="exact"/>
              <w:ind w:left="15"/>
              <w:rPr>
                <w:sz w:val="21"/>
              </w:rPr>
            </w:pPr>
            <w:r>
              <w:rPr>
                <w:w w:val="99"/>
                <w:sz w:val="21"/>
              </w:rPr>
              <w:t>镉</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2"/>
              <w:ind w:left="387" w:right="371"/>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2"/>
              <w:ind w:left="85" w:right="62"/>
              <w:rPr>
                <w:rFonts w:ascii="Times New Roman"/>
                <w:sz w:val="21"/>
              </w:rPr>
            </w:pPr>
            <w:r>
              <w:rPr>
                <w:rFonts w:ascii="Times New Roman"/>
                <w:sz w:val="21"/>
              </w:rPr>
              <w:t>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6" w:lineRule="exact"/>
              <w:ind w:left="200" w:right="182"/>
              <w:rPr>
                <w:sz w:val="21"/>
              </w:rPr>
            </w:pPr>
            <w:r>
              <w:rPr>
                <w:sz w:val="21"/>
              </w:rPr>
              <w:t>六价铬</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3"/>
              <w:ind w:left="387" w:right="371"/>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3"/>
              <w:ind w:left="85" w:right="62"/>
              <w:rPr>
                <w:rFonts w:ascii="Times New Roman"/>
                <w:sz w:val="21"/>
              </w:rPr>
            </w:pPr>
            <w:r>
              <w:rPr>
                <w:rFonts w:ascii="Times New Roman"/>
                <w:sz w:val="21"/>
              </w:rPr>
              <w:t>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5" w:lineRule="exact"/>
              <w:ind w:left="15"/>
              <w:rPr>
                <w:sz w:val="21"/>
              </w:rPr>
            </w:pPr>
            <w:r>
              <w:rPr>
                <w:w w:val="99"/>
                <w:sz w:val="21"/>
              </w:rPr>
              <w:t>铜</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2"/>
              <w:ind w:left="387" w:right="371"/>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2"/>
              <w:ind w:left="82" w:right="62"/>
              <w:rPr>
                <w:rFonts w:ascii="Times New Roman"/>
                <w:sz w:val="21"/>
              </w:rPr>
            </w:pPr>
            <w:r>
              <w:rPr>
                <w:rFonts w:ascii="Times New Roman"/>
                <w:sz w:val="21"/>
              </w:rPr>
              <w:t>18000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4" w:lineRule="exact"/>
              <w:ind w:left="15"/>
              <w:rPr>
                <w:sz w:val="21"/>
              </w:rPr>
            </w:pPr>
            <w:r>
              <w:rPr>
                <w:w w:val="99"/>
                <w:sz w:val="21"/>
              </w:rPr>
              <w:t>汞</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1"/>
              <w:ind w:left="387" w:right="371"/>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1"/>
              <w:ind w:left="85" w:right="62"/>
              <w:rPr>
                <w:rFonts w:ascii="Times New Roman"/>
                <w:sz w:val="21"/>
              </w:rPr>
            </w:pPr>
            <w:r>
              <w:rPr>
                <w:rFonts w:ascii="Times New Roman"/>
                <w:sz w:val="21"/>
              </w:rPr>
              <w:t>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4" w:lineRule="exact"/>
              <w:ind w:left="15"/>
              <w:rPr>
                <w:sz w:val="21"/>
              </w:rPr>
            </w:pPr>
            <w:r>
              <w:rPr>
                <w:w w:val="99"/>
                <w:sz w:val="21"/>
              </w:rPr>
              <w:t>镍</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3"/>
              <w:ind w:left="387" w:right="371"/>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3"/>
              <w:ind w:left="85" w:right="62"/>
              <w:rPr>
                <w:rFonts w:ascii="Times New Roman"/>
                <w:sz w:val="21"/>
              </w:rPr>
            </w:pPr>
            <w:r>
              <w:rPr>
                <w:rFonts w:ascii="Times New Roman"/>
                <w:sz w:val="21"/>
              </w:rPr>
              <w:t>900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5" w:lineRule="exact"/>
              <w:ind w:left="15"/>
              <w:rPr>
                <w:sz w:val="21"/>
              </w:rPr>
            </w:pPr>
            <w:r>
              <w:rPr>
                <w:w w:val="99"/>
                <w:sz w:val="21"/>
              </w:rPr>
              <w:t>铅</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2"/>
              <w:ind w:left="387" w:right="371"/>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2"/>
              <w:ind w:left="85" w:right="62"/>
              <w:rPr>
                <w:rFonts w:ascii="Times New Roman"/>
                <w:sz w:val="21"/>
              </w:rPr>
            </w:pPr>
            <w:r>
              <w:rPr>
                <w:rFonts w:ascii="Times New Roman"/>
                <w:sz w:val="21"/>
              </w:rPr>
              <w:t>800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4" w:lineRule="exact"/>
              <w:ind w:left="200" w:right="182"/>
              <w:rPr>
                <w:sz w:val="21"/>
              </w:rPr>
            </w:pPr>
            <w:r>
              <w:rPr>
                <w:sz w:val="21"/>
              </w:rPr>
              <w:t>氯乙烯</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4"/>
              <w:ind w:left="387" w:right="371"/>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4"/>
              <w:ind w:left="87" w:right="62"/>
              <w:rPr>
                <w:rFonts w:ascii="Times New Roman"/>
                <w:sz w:val="21"/>
              </w:rPr>
            </w:pPr>
            <w:r>
              <w:rPr>
                <w:rFonts w:ascii="Times New Roman"/>
                <w:sz w:val="21"/>
              </w:rPr>
              <w:t>0.430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6" w:lineRule="exact"/>
              <w:ind w:left="197" w:right="182"/>
              <w:rPr>
                <w:sz w:val="21"/>
              </w:rPr>
            </w:pPr>
            <w:r>
              <w:rPr>
                <w:rFonts w:ascii="Times New Roman" w:eastAsia="Times New Roman"/>
                <w:sz w:val="21"/>
              </w:rPr>
              <w:t>1,1-</w:t>
            </w:r>
            <w:r>
              <w:rPr>
                <w:sz w:val="21"/>
              </w:rPr>
              <w:t>二氯乙烯</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3"/>
              <w:ind w:left="387" w:right="371"/>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3"/>
              <w:ind w:left="85" w:right="62"/>
              <w:rPr>
                <w:rFonts w:ascii="Times New Roman"/>
                <w:sz w:val="21"/>
              </w:rPr>
            </w:pPr>
            <w:r>
              <w:rPr>
                <w:rFonts w:ascii="Times New Roman"/>
                <w:sz w:val="21"/>
              </w:rPr>
              <w:t>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5" w:lineRule="exact"/>
              <w:ind w:left="197" w:right="182"/>
              <w:rPr>
                <w:sz w:val="21"/>
              </w:rPr>
            </w:pPr>
            <w:r>
              <w:rPr>
                <w:sz w:val="21"/>
              </w:rPr>
              <w:t>二氯甲烷</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2"/>
              <w:ind w:left="387" w:right="371"/>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2"/>
              <w:ind w:left="85" w:right="62"/>
              <w:rPr>
                <w:rFonts w:ascii="Times New Roman"/>
                <w:sz w:val="21"/>
              </w:rPr>
            </w:pPr>
            <w:r>
              <w:rPr>
                <w:rFonts w:ascii="Times New Roman"/>
                <w:sz w:val="21"/>
              </w:rPr>
              <w:t>616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6" w:lineRule="exact"/>
              <w:ind w:left="200" w:right="182"/>
              <w:rPr>
                <w:sz w:val="21"/>
              </w:rPr>
            </w:pPr>
            <w:r>
              <w:rPr>
                <w:sz w:val="21"/>
              </w:rPr>
              <w:t>反</w:t>
            </w:r>
            <w:r>
              <w:rPr>
                <w:rFonts w:ascii="Times New Roman" w:eastAsia="Times New Roman"/>
                <w:sz w:val="21"/>
              </w:rPr>
              <w:t>-1,2-</w:t>
            </w:r>
            <w:r>
              <w:rPr>
                <w:sz w:val="21"/>
              </w:rPr>
              <w:t>二氯乙烯</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1"/>
              <w:ind w:left="387" w:right="371"/>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1"/>
              <w:ind w:left="85" w:right="62"/>
              <w:rPr>
                <w:rFonts w:ascii="Times New Roman"/>
                <w:sz w:val="21"/>
              </w:rPr>
            </w:pPr>
            <w:r>
              <w:rPr>
                <w:rFonts w:ascii="Times New Roman"/>
                <w:sz w:val="21"/>
              </w:rPr>
              <w:t>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6" w:lineRule="exact"/>
              <w:ind w:left="197" w:right="182"/>
              <w:rPr>
                <w:sz w:val="21"/>
              </w:rPr>
            </w:pPr>
            <w:r>
              <w:rPr>
                <w:rFonts w:ascii="Times New Roman" w:eastAsia="Times New Roman"/>
                <w:sz w:val="21"/>
              </w:rPr>
              <w:t>1,1-</w:t>
            </w:r>
            <w:r>
              <w:rPr>
                <w:sz w:val="21"/>
              </w:rPr>
              <w:t>二氯乙烷</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3"/>
              <w:ind w:left="387" w:right="371"/>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3"/>
              <w:ind w:left="23"/>
              <w:rPr>
                <w:rFonts w:ascii="Times New Roman"/>
                <w:sz w:val="21"/>
              </w:rPr>
            </w:pPr>
            <w:r>
              <w:rPr>
                <w:rFonts w:ascii="Times New Roman"/>
                <w:w w:val="99"/>
                <w:sz w:val="21"/>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5" w:lineRule="exact"/>
              <w:ind w:left="200" w:right="182"/>
              <w:rPr>
                <w:sz w:val="21"/>
              </w:rPr>
            </w:pPr>
            <w:r>
              <w:rPr>
                <w:sz w:val="21"/>
              </w:rPr>
              <w:t>顺</w:t>
            </w:r>
            <w:r>
              <w:rPr>
                <w:rFonts w:ascii="Times New Roman" w:eastAsia="Times New Roman"/>
                <w:sz w:val="21"/>
              </w:rPr>
              <w:t>-1,2-</w:t>
            </w:r>
            <w:r>
              <w:rPr>
                <w:sz w:val="21"/>
              </w:rPr>
              <w:t>二氯乙烯</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2"/>
              <w:ind w:left="387" w:right="371"/>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2"/>
              <w:ind w:left="85" w:right="62"/>
              <w:rPr>
                <w:rFonts w:ascii="Times New Roman"/>
                <w:sz w:val="21"/>
              </w:rPr>
            </w:pPr>
            <w:r>
              <w:rPr>
                <w:rFonts w:ascii="Times New Roman"/>
                <w:sz w:val="21"/>
              </w:rPr>
              <w:t>596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4" w:lineRule="exact"/>
              <w:ind w:left="200" w:right="182"/>
              <w:rPr>
                <w:sz w:val="21"/>
              </w:rPr>
            </w:pPr>
            <w:r>
              <w:rPr>
                <w:sz w:val="21"/>
              </w:rPr>
              <w:t>氯仿</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1"/>
              <w:ind w:left="387" w:right="371"/>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1"/>
              <w:ind w:left="85" w:right="62"/>
              <w:rPr>
                <w:rFonts w:ascii="Times New Roman"/>
                <w:sz w:val="21"/>
              </w:rPr>
            </w:pPr>
            <w:r>
              <w:rPr>
                <w:rFonts w:ascii="Times New Roman"/>
                <w:sz w:val="21"/>
              </w:rPr>
              <w:t>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6" w:lineRule="exact"/>
              <w:ind w:left="200" w:right="182"/>
              <w:rPr>
                <w:sz w:val="21"/>
              </w:rPr>
            </w:pPr>
            <w:r>
              <w:rPr>
                <w:rFonts w:ascii="Times New Roman" w:eastAsia="Times New Roman"/>
                <w:sz w:val="21"/>
              </w:rPr>
              <w:t>1,1,1-</w:t>
            </w:r>
            <w:r>
              <w:rPr>
                <w:sz w:val="21"/>
              </w:rPr>
              <w:t>三氯乙烷</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3"/>
              <w:ind w:left="387" w:right="371"/>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3"/>
              <w:ind w:left="85" w:right="62"/>
              <w:rPr>
                <w:rFonts w:ascii="Times New Roman"/>
                <w:sz w:val="21"/>
              </w:rPr>
            </w:pPr>
            <w:r>
              <w:rPr>
                <w:rFonts w:ascii="Times New Roman"/>
                <w:sz w:val="21"/>
              </w:rPr>
              <w:t>840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5" w:lineRule="exact"/>
              <w:ind w:left="197" w:right="182"/>
              <w:rPr>
                <w:sz w:val="21"/>
              </w:rPr>
            </w:pPr>
            <w:r>
              <w:rPr>
                <w:sz w:val="21"/>
              </w:rPr>
              <w:t>四氯化碳</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2"/>
              <w:ind w:left="387" w:right="371"/>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2"/>
              <w:ind w:left="85" w:right="62"/>
              <w:rPr>
                <w:rFonts w:ascii="Times New Roman"/>
                <w:sz w:val="21"/>
              </w:rPr>
            </w:pPr>
            <w:r>
              <w:rPr>
                <w:rFonts w:ascii="Times New Roman"/>
                <w:sz w:val="21"/>
              </w:rPr>
              <w:t>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5" w:lineRule="exact"/>
              <w:ind w:left="15"/>
              <w:rPr>
                <w:sz w:val="21"/>
              </w:rPr>
            </w:pPr>
            <w:r>
              <w:rPr>
                <w:w w:val="99"/>
                <w:sz w:val="21"/>
              </w:rPr>
              <w:t>苯</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2"/>
              <w:ind w:left="387" w:right="371"/>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2"/>
              <w:ind w:left="23"/>
              <w:rPr>
                <w:rFonts w:ascii="Times New Roman"/>
                <w:sz w:val="21"/>
              </w:rPr>
            </w:pPr>
            <w:r>
              <w:rPr>
                <w:rFonts w:ascii="Times New Roman"/>
                <w:w w:val="99"/>
                <w:sz w:val="21"/>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6" w:lineRule="exact"/>
              <w:ind w:left="197" w:right="182"/>
              <w:rPr>
                <w:sz w:val="21"/>
              </w:rPr>
            </w:pPr>
            <w:r>
              <w:rPr>
                <w:rFonts w:ascii="Times New Roman" w:eastAsia="Times New Roman"/>
                <w:sz w:val="21"/>
              </w:rPr>
              <w:t>1,2-</w:t>
            </w:r>
            <w:r>
              <w:rPr>
                <w:sz w:val="21"/>
              </w:rPr>
              <w:t>二氯乙烷</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3"/>
              <w:ind w:left="387" w:right="371"/>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3"/>
              <w:ind w:left="23"/>
              <w:rPr>
                <w:rFonts w:ascii="Times New Roman"/>
                <w:sz w:val="21"/>
              </w:rPr>
            </w:pPr>
            <w:r>
              <w:rPr>
                <w:rFonts w:ascii="Times New Roman"/>
                <w:w w:val="99"/>
                <w:sz w:val="21"/>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9"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right w:val="single" w:color="000000" w:sz="4" w:space="0"/>
            </w:tcBorders>
          </w:tcPr>
          <w:p>
            <w:pPr>
              <w:pStyle w:val="19"/>
              <w:spacing w:line="265" w:lineRule="exact"/>
              <w:ind w:left="197" w:right="182"/>
              <w:rPr>
                <w:sz w:val="21"/>
              </w:rPr>
            </w:pPr>
            <w:r>
              <w:rPr>
                <w:sz w:val="21"/>
              </w:rPr>
              <w:t>三氯乙烯</w:t>
            </w:r>
          </w:p>
        </w:tc>
        <w:tc>
          <w:tcPr>
            <w:tcW w:w="2355" w:type="dxa"/>
            <w:tcBorders>
              <w:top w:val="single" w:color="000000" w:sz="4" w:space="0"/>
              <w:left w:val="single" w:color="000000" w:sz="4" w:space="0"/>
              <w:right w:val="single" w:color="000000" w:sz="4" w:space="0"/>
            </w:tcBorders>
          </w:tcPr>
          <w:p>
            <w:pPr>
              <w:pStyle w:val="19"/>
              <w:spacing w:before="12"/>
              <w:ind w:left="387" w:right="371"/>
              <w:rPr>
                <w:rFonts w:ascii="Times New Roman"/>
                <w:sz w:val="21"/>
              </w:rPr>
            </w:pPr>
            <w:r>
              <w:rPr>
                <w:rFonts w:ascii="Times New Roman"/>
                <w:sz w:val="21"/>
              </w:rPr>
              <w:t>mg/kg</w:t>
            </w:r>
          </w:p>
        </w:tc>
        <w:tc>
          <w:tcPr>
            <w:tcW w:w="1092" w:type="dxa"/>
            <w:tcBorders>
              <w:top w:val="single" w:color="000000" w:sz="4" w:space="0"/>
              <w:left w:val="single" w:color="000000" w:sz="4" w:space="0"/>
            </w:tcBorders>
          </w:tcPr>
          <w:p>
            <w:pPr>
              <w:pStyle w:val="19"/>
              <w:spacing w:before="12"/>
              <w:ind w:left="85" w:right="62"/>
              <w:rPr>
                <w:rFonts w:ascii="Times New Roman"/>
                <w:sz w:val="21"/>
              </w:rPr>
            </w:pPr>
            <w:r>
              <w:rPr>
                <w:rFonts w:ascii="Times New Roman"/>
                <w:sz w:val="21"/>
              </w:rPr>
              <w:t>2.8</w:t>
            </w:r>
          </w:p>
        </w:tc>
      </w:tr>
    </w:tbl>
    <w:p>
      <w:pPr>
        <w:spacing w:after="0"/>
        <w:rPr>
          <w:rFonts w:ascii="Times New Roman"/>
          <w:sz w:val="21"/>
        </w:rPr>
        <w:sectPr>
          <w:pgSz w:w="11910" w:h="16840"/>
          <w:pgMar w:top="1400" w:right="1160" w:bottom="1100" w:left="1200" w:header="0" w:footer="913" w:gutter="0"/>
        </w:sectPr>
      </w:pP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2"/>
        <w:gridCol w:w="3181"/>
        <w:gridCol w:w="1920"/>
        <w:gridCol w:w="2355"/>
        <w:gridCol w:w="10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restart"/>
            <w:tcBorders>
              <w:bottom w:val="single" w:color="000000" w:sz="4" w:space="0"/>
              <w:right w:val="single" w:color="000000" w:sz="4" w:space="0"/>
            </w:tcBorders>
          </w:tcPr>
          <w:p>
            <w:pPr>
              <w:pStyle w:val="19"/>
              <w:jc w:val="left"/>
              <w:rPr>
                <w:rFonts w:ascii="Times New Roman"/>
                <w:sz w:val="20"/>
              </w:rPr>
            </w:pPr>
          </w:p>
        </w:tc>
        <w:tc>
          <w:tcPr>
            <w:tcW w:w="3181" w:type="dxa"/>
            <w:vMerge w:val="restart"/>
            <w:tcBorders>
              <w:left w:val="single" w:color="000000" w:sz="4" w:space="0"/>
              <w:bottom w:val="single" w:color="000000" w:sz="4" w:space="0"/>
              <w:right w:val="single" w:color="000000" w:sz="4" w:space="0"/>
            </w:tcBorders>
          </w:tcPr>
          <w:p>
            <w:pPr>
              <w:pStyle w:val="19"/>
              <w:jc w:val="left"/>
              <w:rPr>
                <w:rFonts w:ascii="Times New Roman"/>
                <w:sz w:val="20"/>
              </w:rPr>
            </w:pPr>
          </w:p>
        </w:tc>
        <w:tc>
          <w:tcPr>
            <w:tcW w:w="1920" w:type="dxa"/>
            <w:tcBorders>
              <w:left w:val="single" w:color="000000" w:sz="4" w:space="0"/>
              <w:bottom w:val="single" w:color="000000" w:sz="4" w:space="0"/>
              <w:right w:val="single" w:color="000000" w:sz="4" w:space="0"/>
            </w:tcBorders>
          </w:tcPr>
          <w:p>
            <w:pPr>
              <w:pStyle w:val="19"/>
              <w:spacing w:before="2"/>
              <w:ind w:left="197" w:right="182"/>
              <w:rPr>
                <w:sz w:val="21"/>
              </w:rPr>
            </w:pPr>
            <w:r>
              <w:rPr>
                <w:rFonts w:ascii="Times New Roman" w:eastAsia="Times New Roman"/>
                <w:sz w:val="21"/>
              </w:rPr>
              <w:t>1,2-</w:t>
            </w:r>
            <w:r>
              <w:rPr>
                <w:sz w:val="21"/>
              </w:rPr>
              <w:t>二氯丙烷</w:t>
            </w:r>
          </w:p>
        </w:tc>
        <w:tc>
          <w:tcPr>
            <w:tcW w:w="2355" w:type="dxa"/>
            <w:tcBorders>
              <w:left w:val="single" w:color="000000" w:sz="4" w:space="0"/>
              <w:bottom w:val="single" w:color="000000" w:sz="4" w:space="0"/>
              <w:right w:val="single" w:color="000000" w:sz="4" w:space="0"/>
            </w:tcBorders>
          </w:tcPr>
          <w:p>
            <w:pPr>
              <w:pStyle w:val="19"/>
              <w:spacing w:before="18"/>
              <w:ind w:left="913"/>
              <w:jc w:val="left"/>
              <w:rPr>
                <w:rFonts w:ascii="Times New Roman"/>
                <w:sz w:val="21"/>
              </w:rPr>
            </w:pPr>
            <w:r>
              <w:rPr>
                <w:rFonts w:ascii="Times New Roman"/>
                <w:sz w:val="21"/>
              </w:rPr>
              <w:t>mg/kg</w:t>
            </w:r>
          </w:p>
        </w:tc>
        <w:tc>
          <w:tcPr>
            <w:tcW w:w="1092" w:type="dxa"/>
            <w:tcBorders>
              <w:left w:val="single" w:color="000000" w:sz="4" w:space="0"/>
              <w:bottom w:val="single" w:color="000000" w:sz="4" w:space="0"/>
            </w:tcBorders>
          </w:tcPr>
          <w:p>
            <w:pPr>
              <w:pStyle w:val="19"/>
              <w:spacing w:before="18"/>
              <w:ind w:left="23"/>
              <w:rPr>
                <w:rFonts w:ascii="Times New Roman"/>
                <w:sz w:val="21"/>
              </w:rPr>
            </w:pPr>
            <w:r>
              <w:rPr>
                <w:rFonts w:ascii="Times New Roman"/>
                <w:w w:val="99"/>
                <w:sz w:val="21"/>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1"/>
              <w:ind w:left="200" w:right="182"/>
              <w:rPr>
                <w:sz w:val="21"/>
              </w:rPr>
            </w:pPr>
            <w:r>
              <w:rPr>
                <w:sz w:val="21"/>
              </w:rPr>
              <w:t>甲苯</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7"/>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7"/>
              <w:ind w:left="85" w:right="62"/>
              <w:rPr>
                <w:rFonts w:ascii="Times New Roman"/>
                <w:sz w:val="21"/>
              </w:rPr>
            </w:pPr>
            <w:r>
              <w:rPr>
                <w:rFonts w:ascii="Times New Roman"/>
                <w:sz w:val="21"/>
              </w:rPr>
              <w:t>1200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ind w:left="200" w:right="182"/>
              <w:rPr>
                <w:sz w:val="21"/>
              </w:rPr>
            </w:pPr>
            <w:r>
              <w:rPr>
                <w:rFonts w:ascii="Times New Roman" w:eastAsia="Times New Roman"/>
                <w:sz w:val="21"/>
              </w:rPr>
              <w:t>1,1,2-</w:t>
            </w:r>
            <w:r>
              <w:rPr>
                <w:sz w:val="21"/>
              </w:rPr>
              <w:t>三氯乙烷</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6"/>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6"/>
              <w:ind w:left="85" w:right="62"/>
              <w:rPr>
                <w:rFonts w:ascii="Times New Roman"/>
                <w:sz w:val="21"/>
              </w:rPr>
            </w:pPr>
            <w:r>
              <w:rPr>
                <w:rFonts w:ascii="Times New Roman"/>
                <w:sz w:val="21"/>
              </w:rPr>
              <w:t>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ind w:left="197" w:right="182"/>
              <w:rPr>
                <w:sz w:val="21"/>
              </w:rPr>
            </w:pPr>
            <w:r>
              <w:rPr>
                <w:sz w:val="21"/>
              </w:rPr>
              <w:t>四氯乙烯</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8"/>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8"/>
              <w:ind w:left="85" w:right="62"/>
              <w:rPr>
                <w:rFonts w:ascii="Times New Roman"/>
                <w:sz w:val="21"/>
              </w:rPr>
            </w:pPr>
            <w:r>
              <w:rPr>
                <w:rFonts w:ascii="Times New Roman"/>
                <w:sz w:val="21"/>
              </w:rPr>
              <w:t>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1"/>
              <w:ind w:left="200" w:right="182"/>
              <w:rPr>
                <w:sz w:val="21"/>
              </w:rPr>
            </w:pPr>
            <w:r>
              <w:rPr>
                <w:sz w:val="21"/>
              </w:rPr>
              <w:t>氯苯</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7"/>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7"/>
              <w:ind w:left="85" w:right="62"/>
              <w:rPr>
                <w:rFonts w:ascii="Times New Roman"/>
                <w:sz w:val="21"/>
              </w:rPr>
            </w:pPr>
            <w:r>
              <w:rPr>
                <w:rFonts w:ascii="Times New Roman"/>
                <w:sz w:val="21"/>
              </w:rPr>
              <w:t>270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3"/>
              <w:ind w:left="200" w:right="182"/>
              <w:rPr>
                <w:sz w:val="21"/>
              </w:rPr>
            </w:pPr>
            <w:r>
              <w:rPr>
                <w:rFonts w:ascii="Times New Roman" w:eastAsia="Times New Roman"/>
                <w:sz w:val="21"/>
              </w:rPr>
              <w:t>1,1,1,2-</w:t>
            </w:r>
            <w:r>
              <w:rPr>
                <w:sz w:val="21"/>
              </w:rPr>
              <w:t>四氯乙烷</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9"/>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9"/>
              <w:ind w:left="85" w:right="62"/>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8" w:lineRule="exact"/>
              <w:ind w:left="200" w:right="182"/>
              <w:rPr>
                <w:sz w:val="21"/>
              </w:rPr>
            </w:pPr>
            <w:r>
              <w:rPr>
                <w:sz w:val="21"/>
              </w:rPr>
              <w:t>乙苯</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8"/>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8"/>
              <w:ind w:left="85" w:right="62"/>
              <w:rPr>
                <w:rFonts w:ascii="Times New Roman"/>
                <w:sz w:val="21"/>
              </w:rPr>
            </w:pPr>
            <w:r>
              <w:rPr>
                <w:rFonts w:ascii="Times New Roman"/>
                <w:sz w:val="21"/>
              </w:rPr>
              <w:t>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ind w:left="200" w:right="182"/>
              <w:rPr>
                <w:sz w:val="21"/>
              </w:rPr>
            </w:pPr>
            <w:r>
              <w:rPr>
                <w:sz w:val="21"/>
              </w:rPr>
              <w:t>间</w:t>
            </w:r>
            <w:r>
              <w:rPr>
                <w:rFonts w:ascii="Times New Roman" w:eastAsia="Times New Roman"/>
                <w:sz w:val="21"/>
              </w:rPr>
              <w:t>/</w:t>
            </w:r>
            <w:r>
              <w:rPr>
                <w:sz w:val="21"/>
              </w:rPr>
              <w:t>对</w:t>
            </w:r>
            <w:r>
              <w:rPr>
                <w:rFonts w:ascii="Times New Roman" w:eastAsia="Times New Roman"/>
                <w:sz w:val="21"/>
              </w:rPr>
              <w:t>-</w:t>
            </w:r>
            <w:r>
              <w:rPr>
                <w:sz w:val="21"/>
              </w:rPr>
              <w:t>二甲苯</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7"/>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7"/>
              <w:ind w:left="85" w:right="62"/>
              <w:rPr>
                <w:rFonts w:ascii="Times New Roman"/>
                <w:sz w:val="21"/>
              </w:rPr>
            </w:pPr>
            <w:r>
              <w:rPr>
                <w:rFonts w:ascii="Times New Roman"/>
                <w:sz w:val="21"/>
              </w:rPr>
              <w:t>570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2"/>
              <w:ind w:left="200" w:right="182"/>
              <w:rPr>
                <w:sz w:val="21"/>
              </w:rPr>
            </w:pPr>
            <w:r>
              <w:rPr>
                <w:sz w:val="21"/>
              </w:rPr>
              <w:t>邻</w:t>
            </w:r>
            <w:r>
              <w:rPr>
                <w:rFonts w:ascii="Times New Roman" w:eastAsia="Times New Roman"/>
                <w:sz w:val="21"/>
              </w:rPr>
              <w:t>-</w:t>
            </w:r>
            <w:r>
              <w:rPr>
                <w:sz w:val="21"/>
              </w:rPr>
              <w:t>二甲苯</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6"/>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6"/>
              <w:ind w:left="85" w:right="62"/>
              <w:rPr>
                <w:rFonts w:ascii="Times New Roman"/>
                <w:sz w:val="21"/>
              </w:rPr>
            </w:pPr>
            <w:r>
              <w:rPr>
                <w:rFonts w:ascii="Times New Roman"/>
                <w:sz w:val="21"/>
              </w:rPr>
              <w:t>640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2"/>
              <w:ind w:left="200" w:right="182"/>
              <w:rPr>
                <w:sz w:val="21"/>
              </w:rPr>
            </w:pPr>
            <w:r>
              <w:rPr>
                <w:sz w:val="21"/>
              </w:rPr>
              <w:t>苯乙烯</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8"/>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8"/>
              <w:ind w:left="85" w:right="62"/>
              <w:rPr>
                <w:rFonts w:ascii="Times New Roman"/>
                <w:sz w:val="21"/>
              </w:rPr>
            </w:pPr>
            <w:r>
              <w:rPr>
                <w:rFonts w:ascii="Times New Roman"/>
                <w:sz w:val="21"/>
              </w:rPr>
              <w:t>1290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1"/>
              <w:ind w:left="200" w:right="182"/>
              <w:rPr>
                <w:sz w:val="21"/>
              </w:rPr>
            </w:pPr>
            <w:r>
              <w:rPr>
                <w:rFonts w:ascii="Times New Roman" w:eastAsia="Times New Roman"/>
                <w:sz w:val="21"/>
              </w:rPr>
              <w:t>1,1,2,2-</w:t>
            </w:r>
            <w:r>
              <w:rPr>
                <w:sz w:val="21"/>
              </w:rPr>
              <w:t>四氯乙烷</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7"/>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7"/>
              <w:ind w:left="85" w:right="62"/>
              <w:rPr>
                <w:rFonts w:ascii="Times New Roman"/>
                <w:sz w:val="21"/>
              </w:rPr>
            </w:pPr>
            <w:r>
              <w:rPr>
                <w:rFonts w:ascii="Times New Roman"/>
                <w:sz w:val="21"/>
              </w:rPr>
              <w:t>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ind w:left="200" w:right="182"/>
              <w:rPr>
                <w:sz w:val="21"/>
              </w:rPr>
            </w:pPr>
            <w:r>
              <w:rPr>
                <w:rFonts w:ascii="Times New Roman" w:eastAsia="Times New Roman"/>
                <w:sz w:val="21"/>
              </w:rPr>
              <w:t>1,2,3-</w:t>
            </w:r>
            <w:r>
              <w:rPr>
                <w:sz w:val="21"/>
              </w:rPr>
              <w:t>三氯丙烷</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6"/>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6"/>
              <w:ind w:left="85" w:right="62"/>
              <w:rPr>
                <w:rFonts w:ascii="Times New Roman"/>
                <w:sz w:val="21"/>
              </w:rPr>
            </w:pPr>
            <w:r>
              <w:rPr>
                <w:rFonts w:ascii="Times New Roman"/>
                <w:sz w:val="21"/>
              </w:rPr>
              <w:t>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1"/>
              <w:ind w:left="200" w:right="182"/>
              <w:rPr>
                <w:sz w:val="21"/>
              </w:rPr>
            </w:pPr>
            <w:r>
              <w:rPr>
                <w:rFonts w:ascii="Times New Roman" w:eastAsia="Times New Roman"/>
                <w:sz w:val="21"/>
              </w:rPr>
              <w:t>1,2-</w:t>
            </w:r>
            <w:r>
              <w:rPr>
                <w:sz w:val="21"/>
              </w:rPr>
              <w:t>二氯苯</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8"/>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8"/>
              <w:ind w:left="85" w:right="62"/>
              <w:rPr>
                <w:rFonts w:ascii="Times New Roman"/>
                <w:sz w:val="21"/>
              </w:rPr>
            </w:pPr>
            <w:r>
              <w:rPr>
                <w:rFonts w:asci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ind w:left="200" w:right="182"/>
              <w:rPr>
                <w:sz w:val="21"/>
              </w:rPr>
            </w:pPr>
            <w:r>
              <w:rPr>
                <w:rFonts w:ascii="Times New Roman" w:eastAsia="Times New Roman"/>
                <w:sz w:val="21"/>
              </w:rPr>
              <w:t>1,4-</w:t>
            </w:r>
            <w:r>
              <w:rPr>
                <w:sz w:val="21"/>
              </w:rPr>
              <w:t>二氯苯</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7"/>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7"/>
              <w:ind w:left="85" w:right="62"/>
              <w:rPr>
                <w:rFonts w:ascii="Times New Roman"/>
                <w:sz w:val="21"/>
              </w:rPr>
            </w:pPr>
            <w:r>
              <w:rPr>
                <w:rFonts w:ascii="Times New Roman"/>
                <w:sz w:val="21"/>
              </w:rPr>
              <w:t>560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ind w:left="200" w:right="182"/>
              <w:rPr>
                <w:sz w:val="21"/>
              </w:rPr>
            </w:pPr>
            <w:r>
              <w:rPr>
                <w:sz w:val="21"/>
              </w:rPr>
              <w:t>氯甲烷</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7"/>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7"/>
              <w:ind w:left="85" w:right="62"/>
              <w:rPr>
                <w:rFonts w:ascii="Times New Roman"/>
                <w:sz w:val="21"/>
              </w:rPr>
            </w:pPr>
            <w:r>
              <w:rPr>
                <w:rFonts w:ascii="Times New Roman"/>
                <w:sz w:val="21"/>
              </w:rPr>
              <w:t>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2"/>
              <w:ind w:left="15"/>
              <w:rPr>
                <w:sz w:val="21"/>
              </w:rPr>
            </w:pPr>
            <w:r>
              <w:rPr>
                <w:w w:val="99"/>
                <w:sz w:val="21"/>
              </w:rPr>
              <w:t>萘</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8"/>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8"/>
              <w:ind w:left="85" w:right="62"/>
              <w:rPr>
                <w:rFonts w:ascii="Times New Roman"/>
                <w:sz w:val="21"/>
              </w:rPr>
            </w:pPr>
            <w:r>
              <w:rPr>
                <w:rFonts w:ascii="Times New Roman"/>
                <w:sz w:val="21"/>
              </w:rPr>
              <w:t>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1"/>
              <w:ind w:left="200" w:right="180"/>
              <w:rPr>
                <w:sz w:val="21"/>
              </w:rPr>
            </w:pPr>
            <w:r>
              <w:rPr>
                <w:sz w:val="21"/>
              </w:rPr>
              <w:t>苯并</w:t>
            </w:r>
            <w:r>
              <w:rPr>
                <w:rFonts w:ascii="Times New Roman" w:eastAsia="Times New Roman"/>
                <w:sz w:val="21"/>
              </w:rPr>
              <w:t>[a]</w:t>
            </w:r>
            <w:r>
              <w:rPr>
                <w:sz w:val="21"/>
              </w:rPr>
              <w:t>蒽</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7"/>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7"/>
              <w:ind w:left="85" w:right="62"/>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ind w:left="15"/>
              <w:rPr>
                <w:sz w:val="21"/>
              </w:rPr>
            </w:pPr>
            <w:r>
              <w:rPr>
                <w:w w:val="99"/>
                <w:sz w:val="21"/>
              </w:rPr>
              <w:t>䓛</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6"/>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6"/>
              <w:ind w:left="85" w:right="62"/>
              <w:rPr>
                <w:rFonts w:ascii="Times New Roman"/>
                <w:sz w:val="21"/>
              </w:rPr>
            </w:pPr>
            <w:r>
              <w:rPr>
                <w:rFonts w:ascii="Times New Roman"/>
                <w:sz w:val="21"/>
              </w:rPr>
              <w:t>1293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1"/>
              <w:ind w:left="197" w:right="182"/>
              <w:rPr>
                <w:sz w:val="21"/>
              </w:rPr>
            </w:pPr>
            <w:r>
              <w:rPr>
                <w:sz w:val="21"/>
              </w:rPr>
              <w:t>苯并</w:t>
            </w:r>
            <w:r>
              <w:rPr>
                <w:rFonts w:ascii="Times New Roman" w:eastAsia="Times New Roman"/>
                <w:sz w:val="21"/>
              </w:rPr>
              <w:t>[b]</w:t>
            </w:r>
            <w:r>
              <w:rPr>
                <w:sz w:val="21"/>
              </w:rPr>
              <w:t>荧蒽</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7"/>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7"/>
              <w:ind w:left="85" w:right="62"/>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1"/>
              <w:ind w:left="197" w:right="182"/>
              <w:rPr>
                <w:sz w:val="21"/>
              </w:rPr>
            </w:pPr>
            <w:r>
              <w:rPr>
                <w:sz w:val="21"/>
              </w:rPr>
              <w:t>苯并</w:t>
            </w:r>
            <w:r>
              <w:rPr>
                <w:rFonts w:ascii="Times New Roman" w:eastAsia="Times New Roman"/>
                <w:sz w:val="21"/>
              </w:rPr>
              <w:t>[k]</w:t>
            </w:r>
            <w:r>
              <w:rPr>
                <w:sz w:val="21"/>
              </w:rPr>
              <w:t>荧蒽</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7"/>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7"/>
              <w:ind w:left="85" w:right="62"/>
              <w:rPr>
                <w:rFonts w:ascii="Times New Roman"/>
                <w:sz w:val="21"/>
              </w:rPr>
            </w:pPr>
            <w:r>
              <w:rPr>
                <w:rFonts w:ascii="Times New Roman"/>
                <w:sz w:val="21"/>
              </w:rPr>
              <w:t>151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2"/>
              <w:ind w:left="200" w:right="180"/>
              <w:rPr>
                <w:sz w:val="21"/>
              </w:rPr>
            </w:pPr>
            <w:r>
              <w:rPr>
                <w:sz w:val="21"/>
              </w:rPr>
              <w:t>苯并</w:t>
            </w:r>
            <w:r>
              <w:rPr>
                <w:rFonts w:ascii="Times New Roman" w:eastAsia="Times New Roman"/>
                <w:sz w:val="21"/>
              </w:rPr>
              <w:t>[a]</w:t>
            </w:r>
            <w:r>
              <w:rPr>
                <w:sz w:val="21"/>
              </w:rPr>
              <w:t>芘</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9"/>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9"/>
              <w:ind w:left="85" w:right="62"/>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2"/>
              <w:ind w:left="200" w:right="180"/>
              <w:rPr>
                <w:sz w:val="21"/>
              </w:rPr>
            </w:pPr>
            <w:r>
              <w:rPr>
                <w:sz w:val="21"/>
              </w:rPr>
              <w:t>茚并</w:t>
            </w:r>
            <w:r>
              <w:rPr>
                <w:rFonts w:ascii="Times New Roman" w:eastAsia="Times New Roman"/>
                <w:sz w:val="21"/>
              </w:rPr>
              <w:t>[1,2,3-cd]</w:t>
            </w:r>
            <w:r>
              <w:rPr>
                <w:sz w:val="21"/>
              </w:rPr>
              <w:t>芘</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8"/>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8"/>
              <w:ind w:left="85" w:right="62"/>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ind w:left="200" w:right="182"/>
              <w:rPr>
                <w:sz w:val="21"/>
              </w:rPr>
            </w:pPr>
            <w:r>
              <w:rPr>
                <w:sz w:val="21"/>
              </w:rPr>
              <w:t>二苯并</w:t>
            </w:r>
            <w:r>
              <w:rPr>
                <w:rFonts w:ascii="Times New Roman" w:eastAsia="Times New Roman"/>
                <w:sz w:val="21"/>
              </w:rPr>
              <w:t>[a,h]</w:t>
            </w:r>
            <w:r>
              <w:rPr>
                <w:sz w:val="21"/>
              </w:rPr>
              <w:t>蒽</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7"/>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7"/>
              <w:ind w:left="85" w:right="62"/>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2"/>
              <w:ind w:left="197" w:right="182"/>
              <w:rPr>
                <w:sz w:val="21"/>
              </w:rPr>
            </w:pPr>
            <w:r>
              <w:rPr>
                <w:rFonts w:ascii="Times New Roman" w:eastAsia="Times New Roman"/>
                <w:sz w:val="21"/>
              </w:rPr>
              <w:t>2-</w:t>
            </w:r>
            <w:r>
              <w:rPr>
                <w:sz w:val="21"/>
              </w:rPr>
              <w:t>氯酚</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6"/>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6"/>
              <w:ind w:left="85" w:right="62"/>
              <w:rPr>
                <w:rFonts w:ascii="Times New Roman"/>
                <w:sz w:val="21"/>
              </w:rPr>
            </w:pPr>
            <w:r>
              <w:rPr>
                <w:rFonts w:ascii="Times New Roman"/>
                <w:sz w:val="21"/>
              </w:rPr>
              <w:t>2256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1"/>
              <w:ind w:left="200" w:right="182"/>
              <w:rPr>
                <w:sz w:val="21"/>
              </w:rPr>
            </w:pPr>
            <w:r>
              <w:rPr>
                <w:sz w:val="21"/>
              </w:rPr>
              <w:t>硝基苯</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7"/>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7"/>
              <w:ind w:left="87" w:right="62"/>
              <w:rPr>
                <w:rFonts w:ascii="Times New Roman"/>
                <w:sz w:val="21"/>
              </w:rPr>
            </w:pPr>
            <w:r>
              <w:rPr>
                <w:rFonts w:ascii="Times New Roman"/>
                <w:sz w:val="21"/>
              </w:rPr>
              <w:t>0.076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1"/>
              <w:ind w:left="200" w:right="182"/>
              <w:rPr>
                <w:sz w:val="21"/>
              </w:rPr>
            </w:pPr>
            <w:r>
              <w:rPr>
                <w:sz w:val="21"/>
              </w:rPr>
              <w:t>苯胺</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7"/>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7"/>
              <w:ind w:left="85" w:right="62"/>
              <w:rPr>
                <w:rFonts w:ascii="Times New Roman"/>
                <w:sz w:val="21"/>
              </w:rPr>
            </w:pPr>
            <w:r>
              <w:rPr>
                <w:rFonts w:ascii="Times New Roman"/>
                <w:sz w:val="21"/>
              </w:rPr>
              <w:t>0.26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2"/>
              <w:ind w:left="200" w:right="182"/>
              <w:rPr>
                <w:sz w:val="21"/>
              </w:rPr>
            </w:pPr>
            <w:r>
              <w:rPr>
                <w:sz w:val="21"/>
              </w:rPr>
              <w:t>石油烃（</w:t>
            </w:r>
            <w:r>
              <w:rPr>
                <w:rFonts w:ascii="Times New Roman" w:eastAsia="Times New Roman"/>
                <w:sz w:val="21"/>
              </w:rPr>
              <w:t>C10</w:t>
            </w:r>
            <w:r>
              <w:rPr>
                <w:sz w:val="21"/>
              </w:rPr>
              <w:t>～</w:t>
            </w:r>
          </w:p>
          <w:p>
            <w:pPr>
              <w:pStyle w:val="19"/>
              <w:spacing w:before="58"/>
              <w:ind w:left="200" w:right="182"/>
              <w:rPr>
                <w:sz w:val="21"/>
              </w:rPr>
            </w:pPr>
            <w:r>
              <w:rPr>
                <w:rFonts w:ascii="Times New Roman" w:eastAsia="Times New Roman"/>
                <w:sz w:val="21"/>
              </w:rPr>
              <w:t>C40</w:t>
            </w:r>
            <w:r>
              <w:rPr>
                <w:sz w:val="21"/>
              </w:rPr>
              <w:t>）</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82"/>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82"/>
              <w:ind w:left="85" w:right="62"/>
              <w:rPr>
                <w:rFonts w:ascii="Times New Roman"/>
                <w:sz w:val="21"/>
              </w:rPr>
            </w:pPr>
            <w:r>
              <w:rPr>
                <w:rFonts w:ascii="Times New Roman"/>
                <w:sz w:val="21"/>
              </w:rPr>
              <w:t>4500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5" w:hRule="atLeast"/>
        </w:trPr>
        <w:tc>
          <w:tcPr>
            <w:tcW w:w="732" w:type="dxa"/>
            <w:vMerge w:val="restart"/>
            <w:tcBorders>
              <w:top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136"/>
              <w:ind w:left="155"/>
              <w:jc w:val="left"/>
              <w:rPr>
                <w:sz w:val="21"/>
              </w:rPr>
            </w:pPr>
            <w:r>
              <w:rPr>
                <w:sz w:val="21"/>
              </w:rPr>
              <w:t>土壤</w:t>
            </w:r>
          </w:p>
        </w:tc>
        <w:tc>
          <w:tcPr>
            <w:tcW w:w="3181" w:type="dxa"/>
            <w:vMerge w:val="restart"/>
            <w:tcBorders>
              <w:top w:val="single" w:color="000000" w:sz="4" w:space="0"/>
              <w:left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12"/>
              <w:jc w:val="left"/>
              <w:rPr>
                <w:b/>
                <w:sz w:val="24"/>
              </w:rPr>
            </w:pPr>
          </w:p>
          <w:p>
            <w:pPr>
              <w:pStyle w:val="19"/>
              <w:spacing w:line="290" w:lineRule="auto"/>
              <w:ind w:left="125" w:right="106"/>
              <w:rPr>
                <w:sz w:val="21"/>
              </w:rPr>
            </w:pPr>
            <w:r>
              <w:rPr>
                <w:w w:val="95"/>
                <w:sz w:val="21"/>
              </w:rPr>
              <w:t>《土壤环境质量农用地土壤污染</w:t>
            </w:r>
            <w:r>
              <w:rPr>
                <w:sz w:val="21"/>
              </w:rPr>
              <w:t>风险管控标准（试行）》</w:t>
            </w:r>
          </w:p>
          <w:p>
            <w:pPr>
              <w:pStyle w:val="19"/>
              <w:spacing w:before="4"/>
              <w:ind w:left="153" w:right="134"/>
              <w:rPr>
                <w:sz w:val="21"/>
              </w:rPr>
            </w:pPr>
            <w:r>
              <w:rPr>
                <w:sz w:val="21"/>
              </w:rPr>
              <w:t>（</w:t>
            </w:r>
            <w:r>
              <w:rPr>
                <w:rFonts w:ascii="Times New Roman" w:eastAsia="Times New Roman"/>
                <w:sz w:val="21"/>
              </w:rPr>
              <w:t>GB15618-2018</w:t>
            </w:r>
            <w:r>
              <w:rPr>
                <w:sz w:val="21"/>
              </w:rPr>
              <w:t>）</w:t>
            </w:r>
          </w:p>
        </w:tc>
        <w:tc>
          <w:tcPr>
            <w:tcW w:w="1920" w:type="dxa"/>
            <w:tcBorders>
              <w:top w:val="single" w:color="000000" w:sz="4" w:space="0"/>
              <w:left w:val="single" w:color="000000" w:sz="4" w:space="0"/>
              <w:bottom w:val="single" w:color="000000" w:sz="4" w:space="0"/>
              <w:right w:val="single" w:color="000000" w:sz="4" w:space="0"/>
            </w:tcBorders>
          </w:tcPr>
          <w:p>
            <w:pPr>
              <w:pStyle w:val="19"/>
              <w:spacing w:before="10"/>
              <w:jc w:val="left"/>
              <w:rPr>
                <w:b/>
                <w:sz w:val="26"/>
              </w:rPr>
            </w:pPr>
          </w:p>
          <w:p>
            <w:pPr>
              <w:pStyle w:val="19"/>
              <w:ind w:left="200" w:right="180"/>
              <w:rPr>
                <w:rFonts w:ascii="Times New Roman"/>
                <w:sz w:val="21"/>
              </w:rPr>
            </w:pPr>
            <w:r>
              <w:rPr>
                <w:rFonts w:ascii="Times New Roman"/>
                <w:sz w:val="21"/>
              </w:rPr>
              <w:t>pH</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4"/>
              <w:jc w:val="left"/>
              <w:rPr>
                <w:b/>
                <w:sz w:val="25"/>
              </w:rPr>
            </w:pPr>
          </w:p>
          <w:p>
            <w:pPr>
              <w:pStyle w:val="19"/>
              <w:ind w:left="865"/>
              <w:jc w:val="left"/>
              <w:rPr>
                <w:sz w:val="21"/>
              </w:rPr>
            </w:pPr>
            <w:r>
              <w:rPr>
                <w:sz w:val="21"/>
              </w:rPr>
              <w:t>无量纲</w:t>
            </w:r>
          </w:p>
        </w:tc>
        <w:tc>
          <w:tcPr>
            <w:tcW w:w="1092" w:type="dxa"/>
            <w:tcBorders>
              <w:top w:val="single" w:color="000000" w:sz="4" w:space="0"/>
              <w:left w:val="single" w:color="000000" w:sz="4" w:space="0"/>
              <w:bottom w:val="single" w:color="000000" w:sz="4" w:space="0"/>
            </w:tcBorders>
          </w:tcPr>
          <w:p>
            <w:pPr>
              <w:pStyle w:val="19"/>
              <w:spacing w:before="1"/>
              <w:ind w:left="86" w:right="62"/>
              <w:rPr>
                <w:sz w:val="21"/>
              </w:rPr>
            </w:pPr>
            <w:r>
              <w:rPr>
                <w:rFonts w:ascii="Times New Roman" w:eastAsia="Times New Roman"/>
                <w:sz w:val="21"/>
              </w:rPr>
              <w:t>6.5</w:t>
            </w:r>
            <w:r>
              <w:rPr>
                <w:sz w:val="21"/>
              </w:rPr>
              <w:t>＜</w:t>
            </w:r>
          </w:p>
          <w:p>
            <w:pPr>
              <w:pStyle w:val="19"/>
              <w:spacing w:before="2" w:line="328" w:lineRule="exact"/>
              <w:ind w:left="88" w:right="62"/>
              <w:rPr>
                <w:sz w:val="21"/>
              </w:rPr>
            </w:pPr>
            <w:r>
              <w:rPr>
                <w:rFonts w:ascii="Times New Roman" w:hAnsi="Times New Roman" w:eastAsia="Times New Roman"/>
                <w:sz w:val="21"/>
              </w:rPr>
              <w:t xml:space="preserve">pH≤7.5 </w:t>
            </w:r>
            <w:r>
              <w:rPr>
                <w:sz w:val="21"/>
              </w:rPr>
              <w:t>其他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6" w:lineRule="exact"/>
              <w:ind w:left="15"/>
              <w:rPr>
                <w:sz w:val="21"/>
              </w:rPr>
            </w:pPr>
            <w:r>
              <w:rPr>
                <w:w w:val="99"/>
                <w:sz w:val="21"/>
              </w:rPr>
              <w:t>镉</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3"/>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3"/>
              <w:ind w:left="85" w:right="62"/>
              <w:rPr>
                <w:rFonts w:ascii="Times New Roman"/>
                <w:sz w:val="21"/>
              </w:rPr>
            </w:pPr>
            <w:r>
              <w:rPr>
                <w:rFonts w:ascii="Times New Roman"/>
                <w:sz w:val="21"/>
              </w:rPr>
              <w:t>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5" w:lineRule="exact"/>
              <w:ind w:left="15"/>
              <w:rPr>
                <w:sz w:val="21"/>
              </w:rPr>
            </w:pPr>
            <w:r>
              <w:rPr>
                <w:w w:val="99"/>
                <w:sz w:val="21"/>
              </w:rPr>
              <w:t>汞</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2"/>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2"/>
              <w:ind w:left="85" w:right="62"/>
              <w:rPr>
                <w:rFonts w:ascii="Times New Roman"/>
                <w:sz w:val="21"/>
              </w:rPr>
            </w:pPr>
            <w:r>
              <w:rPr>
                <w:rFonts w:ascii="Times New Roman"/>
                <w:sz w:val="21"/>
              </w:rPr>
              <w:t>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4" w:lineRule="exact"/>
              <w:ind w:left="15"/>
              <w:rPr>
                <w:sz w:val="21"/>
              </w:rPr>
            </w:pPr>
            <w:r>
              <w:rPr>
                <w:w w:val="99"/>
                <w:sz w:val="21"/>
              </w:rPr>
              <w:t>砷</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1"/>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1"/>
              <w:ind w:left="85" w:right="62"/>
              <w:rPr>
                <w:rFonts w:ascii="Times New Roman"/>
                <w:sz w:val="21"/>
              </w:rPr>
            </w:pPr>
            <w:r>
              <w:rPr>
                <w:rFonts w:asci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3" w:lineRule="exact"/>
              <w:ind w:left="15"/>
              <w:rPr>
                <w:sz w:val="21"/>
              </w:rPr>
            </w:pPr>
            <w:r>
              <w:rPr>
                <w:w w:val="99"/>
                <w:sz w:val="21"/>
              </w:rPr>
              <w:t>铅</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3"/>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3"/>
              <w:ind w:left="85" w:right="62"/>
              <w:rPr>
                <w:rFonts w:ascii="Times New Roman"/>
                <w:sz w:val="21"/>
              </w:rPr>
            </w:pPr>
            <w:r>
              <w:rPr>
                <w:rFonts w:ascii="Times New Roman"/>
                <w:sz w:val="21"/>
              </w:rPr>
              <w:t>120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6" w:lineRule="exact"/>
              <w:ind w:left="15"/>
              <w:rPr>
                <w:sz w:val="21"/>
              </w:rPr>
            </w:pPr>
            <w:r>
              <w:rPr>
                <w:w w:val="99"/>
                <w:sz w:val="21"/>
              </w:rPr>
              <w:t>铬</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3"/>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3"/>
              <w:ind w:left="85" w:right="62"/>
              <w:rPr>
                <w:rFonts w:ascii="Times New Roman"/>
                <w:sz w:val="21"/>
              </w:rPr>
            </w:pPr>
            <w:r>
              <w:rPr>
                <w:rFonts w:asci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5" w:lineRule="exact"/>
              <w:ind w:left="15"/>
              <w:rPr>
                <w:sz w:val="21"/>
              </w:rPr>
            </w:pPr>
            <w:r>
              <w:rPr>
                <w:w w:val="99"/>
                <w:sz w:val="21"/>
              </w:rPr>
              <w:t>铜</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2"/>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2"/>
              <w:ind w:left="85" w:right="62"/>
              <w:rPr>
                <w:rFonts w:ascii="Times New Roman"/>
                <w:sz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9"/>
              <w:spacing w:line="266" w:lineRule="exact"/>
              <w:ind w:left="15"/>
              <w:rPr>
                <w:sz w:val="21"/>
              </w:rPr>
            </w:pPr>
            <w:r>
              <w:rPr>
                <w:w w:val="99"/>
                <w:sz w:val="21"/>
              </w:rPr>
              <w:t>镍</w:t>
            </w:r>
          </w:p>
        </w:tc>
        <w:tc>
          <w:tcPr>
            <w:tcW w:w="2355" w:type="dxa"/>
            <w:tcBorders>
              <w:top w:val="single" w:color="000000" w:sz="4" w:space="0"/>
              <w:left w:val="single" w:color="000000" w:sz="4" w:space="0"/>
              <w:bottom w:val="single" w:color="000000" w:sz="4" w:space="0"/>
              <w:right w:val="single" w:color="000000" w:sz="4" w:space="0"/>
            </w:tcBorders>
          </w:tcPr>
          <w:p>
            <w:pPr>
              <w:pStyle w:val="19"/>
              <w:spacing w:before="13"/>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9"/>
              <w:spacing w:before="13"/>
              <w:ind w:left="85" w:right="62"/>
              <w:rPr>
                <w:rFonts w:ascii="Times New Roman"/>
                <w:sz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right w:val="single" w:color="000000" w:sz="4" w:space="0"/>
            </w:tcBorders>
          </w:tcPr>
          <w:p>
            <w:pPr>
              <w:pStyle w:val="19"/>
              <w:spacing w:line="265" w:lineRule="exact"/>
              <w:ind w:left="15"/>
              <w:rPr>
                <w:sz w:val="21"/>
              </w:rPr>
            </w:pPr>
            <w:r>
              <w:rPr>
                <w:w w:val="99"/>
                <w:sz w:val="21"/>
              </w:rPr>
              <w:t>锌</w:t>
            </w:r>
          </w:p>
        </w:tc>
        <w:tc>
          <w:tcPr>
            <w:tcW w:w="2355" w:type="dxa"/>
            <w:tcBorders>
              <w:top w:val="single" w:color="000000" w:sz="4" w:space="0"/>
              <w:left w:val="single" w:color="000000" w:sz="4" w:space="0"/>
              <w:right w:val="single" w:color="000000" w:sz="4" w:space="0"/>
            </w:tcBorders>
          </w:tcPr>
          <w:p>
            <w:pPr>
              <w:pStyle w:val="19"/>
              <w:spacing w:before="12"/>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tcBorders>
          </w:tcPr>
          <w:p>
            <w:pPr>
              <w:pStyle w:val="19"/>
              <w:spacing w:before="12"/>
              <w:ind w:left="85" w:right="62"/>
              <w:rPr>
                <w:rFonts w:ascii="Times New Roman"/>
                <w:sz w:val="21"/>
              </w:rPr>
            </w:pPr>
            <w:r>
              <w:rPr>
                <w:rFonts w:ascii="Times New Roman"/>
                <w:sz w:val="21"/>
              </w:rPr>
              <w:t>250</w:t>
            </w:r>
          </w:p>
        </w:tc>
      </w:tr>
    </w:tbl>
    <w:p>
      <w:pPr>
        <w:spacing w:before="120" w:after="4"/>
        <w:ind w:left="298" w:right="330" w:firstLine="0"/>
        <w:jc w:val="center"/>
        <w:rPr>
          <w:b/>
          <w:sz w:val="21"/>
        </w:rPr>
      </w:pPr>
      <w:r>
        <w:rPr>
          <w:b/>
          <w:spacing w:val="-28"/>
          <w:sz w:val="21"/>
        </w:rPr>
        <w:t xml:space="preserve">表 </w:t>
      </w:r>
      <w:r>
        <w:rPr>
          <w:rFonts w:ascii="Times New Roman" w:eastAsia="Times New Roman"/>
          <w:b/>
          <w:sz w:val="21"/>
        </w:rPr>
        <w:t>1.3-2</w:t>
      </w:r>
      <w:r>
        <w:rPr>
          <w:rFonts w:ascii="Times New Roman" w:eastAsia="Times New Roman"/>
          <w:b/>
          <w:spacing w:val="52"/>
          <w:sz w:val="21"/>
        </w:rPr>
        <w:t xml:space="preserve"> </w:t>
      </w:r>
      <w:r>
        <w:rPr>
          <w:b/>
          <w:sz w:val="21"/>
        </w:rPr>
        <w:t>污染物排放标准</w:t>
      </w:r>
    </w:p>
    <w:tbl>
      <w:tblPr>
        <w:tblStyle w:val="15"/>
        <w:tblW w:w="0" w:type="auto"/>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3"/>
        <w:gridCol w:w="4608"/>
        <w:gridCol w:w="1311"/>
        <w:gridCol w:w="26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673" w:type="dxa"/>
            <w:tcBorders>
              <w:right w:val="single" w:color="000000" w:sz="4" w:space="0"/>
            </w:tcBorders>
          </w:tcPr>
          <w:p>
            <w:pPr>
              <w:pStyle w:val="19"/>
              <w:ind w:left="126"/>
              <w:jc w:val="left"/>
              <w:rPr>
                <w:sz w:val="21"/>
              </w:rPr>
            </w:pPr>
            <w:r>
              <w:rPr>
                <w:sz w:val="21"/>
              </w:rPr>
              <w:t>类别</w:t>
            </w:r>
          </w:p>
        </w:tc>
        <w:tc>
          <w:tcPr>
            <w:tcW w:w="4608" w:type="dxa"/>
            <w:tcBorders>
              <w:left w:val="single" w:color="000000" w:sz="4" w:space="0"/>
              <w:right w:val="single" w:color="000000" w:sz="4" w:space="0"/>
            </w:tcBorders>
          </w:tcPr>
          <w:p>
            <w:pPr>
              <w:pStyle w:val="19"/>
              <w:ind w:left="1258"/>
              <w:jc w:val="left"/>
              <w:rPr>
                <w:sz w:val="21"/>
              </w:rPr>
            </w:pPr>
            <w:r>
              <w:rPr>
                <w:sz w:val="21"/>
              </w:rPr>
              <w:t>标准名称及级（类）别</w:t>
            </w:r>
          </w:p>
        </w:tc>
        <w:tc>
          <w:tcPr>
            <w:tcW w:w="1311" w:type="dxa"/>
            <w:tcBorders>
              <w:left w:val="single" w:color="000000" w:sz="4" w:space="0"/>
              <w:right w:val="single" w:color="000000" w:sz="4" w:space="0"/>
            </w:tcBorders>
          </w:tcPr>
          <w:p>
            <w:pPr>
              <w:pStyle w:val="19"/>
              <w:ind w:left="238"/>
              <w:jc w:val="left"/>
              <w:rPr>
                <w:sz w:val="21"/>
              </w:rPr>
            </w:pPr>
            <w:r>
              <w:rPr>
                <w:sz w:val="21"/>
              </w:rPr>
              <w:t>污染因子</w:t>
            </w:r>
          </w:p>
        </w:tc>
        <w:tc>
          <w:tcPr>
            <w:tcW w:w="2687" w:type="dxa"/>
            <w:tcBorders>
              <w:left w:val="single" w:color="000000" w:sz="4" w:space="0"/>
            </w:tcBorders>
          </w:tcPr>
          <w:p>
            <w:pPr>
              <w:pStyle w:val="19"/>
              <w:ind w:left="1011" w:right="990"/>
              <w:rPr>
                <w:sz w:val="21"/>
              </w:rPr>
            </w:pPr>
            <w:r>
              <w:rPr>
                <w:sz w:val="21"/>
              </w:rPr>
              <w:t>标准值</w:t>
            </w:r>
          </w:p>
        </w:tc>
      </w:tr>
    </w:tbl>
    <w:p>
      <w:pPr>
        <w:spacing w:after="0"/>
        <w:rPr>
          <w:sz w:val="21"/>
        </w:rPr>
        <w:sectPr>
          <w:pgSz w:w="11910" w:h="16840"/>
          <w:pgMar w:top="1400" w:right="1160" w:bottom="1100" w:left="1200" w:header="0" w:footer="913" w:gutter="0"/>
        </w:sectPr>
      </w:pPr>
    </w:p>
    <w:tbl>
      <w:tblPr>
        <w:tblStyle w:val="15"/>
        <w:tblW w:w="0" w:type="auto"/>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3"/>
        <w:gridCol w:w="4608"/>
        <w:gridCol w:w="1311"/>
        <w:gridCol w:w="1065"/>
        <w:gridCol w:w="16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tcBorders>
              <w:bottom w:val="single" w:color="000000" w:sz="4" w:space="0"/>
              <w:right w:val="single" w:color="000000" w:sz="4" w:space="0"/>
            </w:tcBorders>
          </w:tcPr>
          <w:p>
            <w:pPr>
              <w:pStyle w:val="19"/>
              <w:jc w:val="left"/>
              <w:rPr>
                <w:rFonts w:ascii="Times New Roman"/>
                <w:sz w:val="20"/>
              </w:rPr>
            </w:pPr>
          </w:p>
        </w:tc>
        <w:tc>
          <w:tcPr>
            <w:tcW w:w="4608" w:type="dxa"/>
            <w:tcBorders>
              <w:left w:val="single" w:color="000000" w:sz="4" w:space="0"/>
              <w:bottom w:val="single" w:color="000000" w:sz="4" w:space="0"/>
              <w:right w:val="single" w:color="000000" w:sz="4" w:space="0"/>
            </w:tcBorders>
          </w:tcPr>
          <w:p>
            <w:pPr>
              <w:pStyle w:val="19"/>
              <w:jc w:val="left"/>
              <w:rPr>
                <w:rFonts w:ascii="Times New Roman"/>
                <w:sz w:val="20"/>
              </w:rPr>
            </w:pPr>
          </w:p>
        </w:tc>
        <w:tc>
          <w:tcPr>
            <w:tcW w:w="1311" w:type="dxa"/>
            <w:tcBorders>
              <w:left w:val="single" w:color="000000" w:sz="4" w:space="0"/>
              <w:bottom w:val="single" w:color="000000" w:sz="4" w:space="0"/>
              <w:right w:val="single" w:color="000000" w:sz="4" w:space="0"/>
            </w:tcBorders>
          </w:tcPr>
          <w:p>
            <w:pPr>
              <w:pStyle w:val="19"/>
              <w:jc w:val="left"/>
              <w:rPr>
                <w:rFonts w:ascii="Times New Roman"/>
                <w:sz w:val="20"/>
              </w:rPr>
            </w:pPr>
          </w:p>
        </w:tc>
        <w:tc>
          <w:tcPr>
            <w:tcW w:w="1065" w:type="dxa"/>
            <w:tcBorders>
              <w:left w:val="single" w:color="000000" w:sz="4" w:space="0"/>
              <w:bottom w:val="single" w:color="000000" w:sz="4" w:space="0"/>
              <w:right w:val="single" w:color="000000" w:sz="4" w:space="0"/>
            </w:tcBorders>
          </w:tcPr>
          <w:p>
            <w:pPr>
              <w:pStyle w:val="19"/>
              <w:spacing w:before="2"/>
              <w:ind w:left="200" w:right="184"/>
              <w:rPr>
                <w:sz w:val="21"/>
              </w:rPr>
            </w:pPr>
            <w:r>
              <w:rPr>
                <w:sz w:val="21"/>
              </w:rPr>
              <w:t>单位</w:t>
            </w:r>
          </w:p>
        </w:tc>
        <w:tc>
          <w:tcPr>
            <w:tcW w:w="1622" w:type="dxa"/>
            <w:tcBorders>
              <w:left w:val="single" w:color="000000" w:sz="4" w:space="0"/>
              <w:bottom w:val="single" w:color="000000" w:sz="4" w:space="0"/>
            </w:tcBorders>
          </w:tcPr>
          <w:p>
            <w:pPr>
              <w:pStyle w:val="19"/>
              <w:spacing w:before="2"/>
              <w:ind w:left="183" w:right="161"/>
              <w:rPr>
                <w:sz w:val="21"/>
              </w:rPr>
            </w:pPr>
            <w:r>
              <w:rPr>
                <w:sz w:val="21"/>
              </w:rPr>
              <w:t>数值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3" w:hRule="atLeast"/>
        </w:trPr>
        <w:tc>
          <w:tcPr>
            <w:tcW w:w="673" w:type="dxa"/>
            <w:vMerge w:val="restart"/>
            <w:tcBorders>
              <w:top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172"/>
              <w:ind w:left="126"/>
              <w:jc w:val="left"/>
              <w:rPr>
                <w:sz w:val="21"/>
              </w:rPr>
            </w:pPr>
            <w:r>
              <w:rPr>
                <w:sz w:val="21"/>
              </w:rPr>
              <w:t>废气</w:t>
            </w: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9"/>
              <w:spacing w:before="10"/>
              <w:jc w:val="left"/>
              <w:rPr>
                <w:b/>
                <w:sz w:val="15"/>
              </w:rPr>
            </w:pPr>
          </w:p>
          <w:p>
            <w:pPr>
              <w:pStyle w:val="19"/>
              <w:ind w:left="34" w:right="1"/>
              <w:rPr>
                <w:sz w:val="21"/>
              </w:rPr>
            </w:pPr>
            <w:r>
              <w:rPr>
                <w:sz w:val="21"/>
              </w:rPr>
              <w:t>锅炉烟气参照执行《锅炉大气污染物排放标准》</w:t>
            </w:r>
          </w:p>
          <w:p>
            <w:pPr>
              <w:pStyle w:val="19"/>
              <w:spacing w:before="57"/>
              <w:ind w:left="29" w:right="13"/>
              <w:rPr>
                <w:sz w:val="21"/>
              </w:rPr>
            </w:pPr>
            <w:r>
              <w:rPr>
                <w:sz w:val="21"/>
              </w:rPr>
              <w:t>（</w:t>
            </w:r>
            <w:r>
              <w:rPr>
                <w:rFonts w:ascii="Times New Roman" w:eastAsia="Times New Roman"/>
                <w:sz w:val="21"/>
              </w:rPr>
              <w:t>GB13271-2014</w:t>
            </w:r>
            <w:r>
              <w:rPr>
                <w:sz w:val="21"/>
              </w:rPr>
              <w:t xml:space="preserve">）表 </w:t>
            </w:r>
            <w:r>
              <w:rPr>
                <w:rFonts w:ascii="Times New Roman" w:eastAsia="Times New Roman"/>
                <w:sz w:val="21"/>
              </w:rPr>
              <w:t xml:space="preserve">2 </w:t>
            </w:r>
            <w:r>
              <w:rPr>
                <w:sz w:val="21"/>
              </w:rPr>
              <w:t>燃煤锅炉标准</w:t>
            </w:r>
          </w:p>
        </w:tc>
        <w:tc>
          <w:tcPr>
            <w:tcW w:w="1311" w:type="dxa"/>
            <w:tcBorders>
              <w:top w:val="single" w:color="000000" w:sz="4" w:space="0"/>
              <w:left w:val="single" w:color="000000" w:sz="4" w:space="0"/>
              <w:bottom w:val="single" w:color="000000" w:sz="4" w:space="0"/>
              <w:right w:val="single" w:color="000000" w:sz="4" w:space="0"/>
            </w:tcBorders>
          </w:tcPr>
          <w:p>
            <w:pPr>
              <w:pStyle w:val="19"/>
              <w:spacing w:before="3"/>
              <w:ind w:left="112" w:right="96"/>
              <w:rPr>
                <w:sz w:val="21"/>
              </w:rPr>
            </w:pPr>
            <w:r>
              <w:rPr>
                <w:sz w:val="21"/>
              </w:rPr>
              <w:t>烟尘</w:t>
            </w:r>
          </w:p>
        </w:tc>
        <w:tc>
          <w:tcPr>
            <w:tcW w:w="1065"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30"/>
              </w:rPr>
            </w:pPr>
          </w:p>
          <w:p>
            <w:pPr>
              <w:pStyle w:val="19"/>
              <w:ind w:left="259"/>
              <w:jc w:val="left"/>
              <w:rPr>
                <w:rFonts w:ascii="Times New Roman"/>
                <w:sz w:val="13"/>
              </w:rPr>
            </w:pPr>
            <w:r>
              <w:rPr>
                <w:rFonts w:ascii="Times New Roman"/>
                <w:sz w:val="21"/>
              </w:rPr>
              <w:t>mg/m</w:t>
            </w:r>
            <w:r>
              <w:rPr>
                <w:rFonts w:ascii="Times New Roman"/>
                <w:position w:val="7"/>
                <w:sz w:val="13"/>
              </w:rPr>
              <w:t>3</w:t>
            </w:r>
          </w:p>
        </w:tc>
        <w:tc>
          <w:tcPr>
            <w:tcW w:w="1622" w:type="dxa"/>
            <w:tcBorders>
              <w:top w:val="single" w:color="000000" w:sz="4" w:space="0"/>
              <w:left w:val="single" w:color="000000" w:sz="4" w:space="0"/>
              <w:bottom w:val="single" w:color="000000" w:sz="4" w:space="0"/>
            </w:tcBorders>
          </w:tcPr>
          <w:p>
            <w:pPr>
              <w:pStyle w:val="19"/>
              <w:spacing w:before="22"/>
              <w:ind w:left="185" w:right="160"/>
              <w:rPr>
                <w:rFonts w:ascii="Times New Roman"/>
                <w:sz w:val="21"/>
              </w:rPr>
            </w:pPr>
            <w:r>
              <w:rPr>
                <w:rFonts w:ascii="Times New Roman"/>
                <w:sz w:val="21"/>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9"/>
              <w:spacing w:before="27"/>
              <w:ind w:left="114" w:right="95"/>
              <w:rPr>
                <w:rFonts w:ascii="Times New Roman"/>
                <w:sz w:val="21"/>
              </w:rPr>
            </w:pPr>
            <w:r>
              <w:rPr>
                <w:rFonts w:ascii="Times New Roman"/>
                <w:position w:val="2"/>
                <w:sz w:val="21"/>
              </w:rPr>
              <w:t>SO</w:t>
            </w:r>
            <w:r>
              <w:rPr>
                <w:rFonts w:ascii="Times New Roman"/>
                <w:position w:val="2"/>
                <w:sz w:val="21"/>
                <w:vertAlign w:val="subscript"/>
              </w:rPr>
              <w:t>2</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tcBorders>
              <w:top w:val="single" w:color="000000" w:sz="4" w:space="0"/>
              <w:left w:val="single" w:color="000000" w:sz="4" w:space="0"/>
              <w:bottom w:val="single" w:color="000000" w:sz="4" w:space="0"/>
            </w:tcBorders>
          </w:tcPr>
          <w:p>
            <w:pPr>
              <w:pStyle w:val="19"/>
              <w:spacing w:before="31"/>
              <w:ind w:left="185" w:right="160"/>
              <w:rPr>
                <w:rFonts w:ascii="Times New Roman"/>
                <w:sz w:val="21"/>
              </w:rPr>
            </w:pPr>
            <w:r>
              <w:rPr>
                <w:rFonts w:ascii="Times New Roman"/>
                <w:sz w:val="21"/>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2"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9"/>
              <w:spacing w:before="30"/>
              <w:ind w:left="114" w:right="95"/>
              <w:rPr>
                <w:rFonts w:ascii="Times New Roman"/>
                <w:sz w:val="21"/>
              </w:rPr>
            </w:pPr>
            <w:r>
              <w:rPr>
                <w:rFonts w:ascii="Times New Roman"/>
                <w:sz w:val="21"/>
              </w:rPr>
              <w:t>NOx</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tcBorders>
              <w:top w:val="single" w:color="000000" w:sz="4" w:space="0"/>
              <w:left w:val="single" w:color="000000" w:sz="4" w:space="0"/>
              <w:bottom w:val="single" w:color="000000" w:sz="4" w:space="0"/>
            </w:tcBorders>
          </w:tcPr>
          <w:p>
            <w:pPr>
              <w:pStyle w:val="19"/>
              <w:spacing w:before="30"/>
              <w:ind w:left="185" w:right="160"/>
              <w:rPr>
                <w:rFonts w:ascii="Times New Roman"/>
                <w:sz w:val="21"/>
              </w:rPr>
            </w:pPr>
            <w:r>
              <w:rPr>
                <w:rFonts w:ascii="Times New Roman"/>
                <w:sz w:val="21"/>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spacing w:before="144" w:line="290" w:lineRule="auto"/>
              <w:ind w:left="1364" w:right="27" w:hanging="1251"/>
              <w:jc w:val="left"/>
              <w:rPr>
                <w:sz w:val="21"/>
              </w:rPr>
            </w:pPr>
            <w:r>
              <w:rPr>
                <w:w w:val="95"/>
                <w:sz w:val="21"/>
              </w:rPr>
              <w:t>《煤炭工业污染物排放标准》（</w:t>
            </w:r>
            <w:r>
              <w:rPr>
                <w:rFonts w:ascii="Times New Roman" w:eastAsia="Times New Roman"/>
                <w:w w:val="95"/>
                <w:sz w:val="21"/>
              </w:rPr>
              <w:t>GB20426-2006</w:t>
            </w:r>
            <w:r>
              <w:rPr>
                <w:w w:val="95"/>
                <w:sz w:val="21"/>
              </w:rPr>
              <w:t xml:space="preserve">） </w:t>
            </w:r>
            <w:r>
              <w:rPr>
                <w:spacing w:val="-27"/>
                <w:sz w:val="21"/>
              </w:rPr>
              <w:t xml:space="preserve">表 </w:t>
            </w:r>
            <w:r>
              <w:rPr>
                <w:rFonts w:ascii="Times New Roman" w:eastAsia="Times New Roman"/>
                <w:sz w:val="21"/>
              </w:rPr>
              <w:t>4</w:t>
            </w:r>
            <w:r>
              <w:rPr>
                <w:rFonts w:ascii="Times New Roman" w:eastAsia="Times New Roman"/>
                <w:spacing w:val="1"/>
                <w:sz w:val="21"/>
              </w:rPr>
              <w:t xml:space="preserve"> </w:t>
            </w:r>
            <w:r>
              <w:rPr>
                <w:spacing w:val="-18"/>
                <w:sz w:val="21"/>
              </w:rPr>
              <w:t xml:space="preserve">及表 </w:t>
            </w:r>
            <w:r>
              <w:rPr>
                <w:rFonts w:ascii="Times New Roman" w:eastAsia="Times New Roman"/>
                <w:sz w:val="21"/>
              </w:rPr>
              <w:t>5</w:t>
            </w:r>
            <w:r>
              <w:rPr>
                <w:rFonts w:ascii="Times New Roman" w:eastAsia="Times New Roman"/>
                <w:spacing w:val="1"/>
                <w:sz w:val="21"/>
              </w:rPr>
              <w:t xml:space="preserve"> </w:t>
            </w:r>
            <w:r>
              <w:rPr>
                <w:sz w:val="21"/>
              </w:rPr>
              <w:t>标准限值</w:t>
            </w:r>
          </w:p>
        </w:tc>
        <w:tc>
          <w:tcPr>
            <w:tcW w:w="1311"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spacing w:before="146"/>
              <w:ind w:left="344"/>
              <w:jc w:val="left"/>
              <w:rPr>
                <w:sz w:val="21"/>
              </w:rPr>
            </w:pPr>
            <w:r>
              <w:rPr>
                <w:sz w:val="21"/>
              </w:rPr>
              <w:t>颗粒物</w:t>
            </w:r>
          </w:p>
        </w:tc>
        <w:tc>
          <w:tcPr>
            <w:tcW w:w="1065"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spacing w:before="9"/>
              <w:jc w:val="left"/>
              <w:rPr>
                <w:b/>
                <w:sz w:val="30"/>
              </w:rPr>
            </w:pPr>
          </w:p>
          <w:p>
            <w:pPr>
              <w:pStyle w:val="19"/>
              <w:ind w:left="259"/>
              <w:jc w:val="left"/>
              <w:rPr>
                <w:rFonts w:ascii="Times New Roman"/>
                <w:sz w:val="13"/>
              </w:rPr>
            </w:pPr>
            <w:r>
              <w:rPr>
                <w:rFonts w:ascii="Times New Roman"/>
                <w:sz w:val="21"/>
              </w:rPr>
              <w:t>mg/m</w:t>
            </w:r>
            <w:r>
              <w:rPr>
                <w:rFonts w:ascii="Times New Roman"/>
                <w:position w:val="7"/>
                <w:sz w:val="13"/>
              </w:rPr>
              <w:t>3</w:t>
            </w:r>
          </w:p>
        </w:tc>
        <w:tc>
          <w:tcPr>
            <w:tcW w:w="1622" w:type="dxa"/>
            <w:tcBorders>
              <w:top w:val="single" w:color="000000" w:sz="4" w:space="0"/>
              <w:left w:val="single" w:color="000000" w:sz="4" w:space="0"/>
              <w:bottom w:val="single" w:color="000000" w:sz="4" w:space="0"/>
            </w:tcBorders>
          </w:tcPr>
          <w:p>
            <w:pPr>
              <w:pStyle w:val="19"/>
              <w:spacing w:line="268" w:lineRule="exact"/>
              <w:ind w:left="111"/>
              <w:jc w:val="left"/>
              <w:rPr>
                <w:sz w:val="21"/>
              </w:rPr>
            </w:pPr>
            <w:r>
              <w:rPr>
                <w:sz w:val="21"/>
              </w:rPr>
              <w:t>原煤筛分点除</w:t>
            </w:r>
          </w:p>
          <w:p>
            <w:pPr>
              <w:pStyle w:val="19"/>
              <w:spacing w:before="57"/>
              <w:ind w:left="111"/>
              <w:jc w:val="left"/>
              <w:rPr>
                <w:rFonts w:ascii="Times New Roman" w:eastAsia="Times New Roman"/>
                <w:sz w:val="21"/>
              </w:rPr>
            </w:pPr>
            <w:r>
              <w:rPr>
                <w:sz w:val="21"/>
              </w:rPr>
              <w:t xml:space="preserve">尘设备 </w:t>
            </w:r>
            <w:r>
              <w:rPr>
                <w:rFonts w:ascii="Times New Roman" w:eastAsia="Times New Roman"/>
                <w:sz w:val="21"/>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vMerge w:val="continue"/>
            <w:tcBorders>
              <w:top w:val="nil"/>
              <w:left w:val="single" w:color="000000" w:sz="4" w:space="0"/>
              <w:bottom w:val="single" w:color="000000" w:sz="4" w:space="0"/>
              <w:right w:val="single" w:color="000000" w:sz="4" w:space="0"/>
            </w:tcBorders>
          </w:tcPr>
          <w:p>
            <w:pPr>
              <w:rPr>
                <w:sz w:val="2"/>
                <w:szCs w:val="2"/>
              </w:rPr>
            </w:pP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tcBorders>
              <w:top w:val="single" w:color="000000" w:sz="4" w:space="0"/>
              <w:left w:val="single" w:color="000000" w:sz="4" w:space="0"/>
              <w:bottom w:val="single" w:color="000000" w:sz="4" w:space="0"/>
            </w:tcBorders>
          </w:tcPr>
          <w:p>
            <w:pPr>
              <w:pStyle w:val="19"/>
              <w:spacing w:before="1" w:line="290" w:lineRule="auto"/>
              <w:ind w:left="185" w:right="161"/>
              <w:rPr>
                <w:sz w:val="21"/>
              </w:rPr>
            </w:pPr>
            <w:r>
              <w:rPr>
                <w:sz w:val="21"/>
              </w:rPr>
              <w:t>煤矸石堆置场周界外浓度最</w:t>
            </w:r>
          </w:p>
          <w:p>
            <w:pPr>
              <w:pStyle w:val="19"/>
              <w:spacing w:before="1"/>
              <w:ind w:left="184" w:right="161"/>
              <w:rPr>
                <w:rFonts w:ascii="Times New Roman" w:eastAsia="Times New Roman"/>
                <w:sz w:val="21"/>
              </w:rPr>
            </w:pPr>
            <w:r>
              <w:rPr>
                <w:sz w:val="21"/>
              </w:rPr>
              <w:t xml:space="preserve">高点 </w:t>
            </w:r>
            <w:r>
              <w:rPr>
                <w:rFonts w:ascii="Times New Roman" w:eastAsia="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9"/>
              <w:spacing w:before="4"/>
              <w:jc w:val="left"/>
              <w:rPr>
                <w:b/>
                <w:sz w:val="25"/>
              </w:rPr>
            </w:pPr>
          </w:p>
          <w:p>
            <w:pPr>
              <w:pStyle w:val="19"/>
              <w:ind w:left="109" w:right="96"/>
              <w:rPr>
                <w:sz w:val="21"/>
              </w:rPr>
            </w:pPr>
            <w:r>
              <w:rPr>
                <w:sz w:val="21"/>
              </w:rPr>
              <w:t>二氧化硫</w:t>
            </w:r>
          </w:p>
        </w:tc>
        <w:tc>
          <w:tcPr>
            <w:tcW w:w="1065" w:type="dxa"/>
            <w:tcBorders>
              <w:top w:val="single" w:color="000000" w:sz="4" w:space="0"/>
              <w:left w:val="single" w:color="000000" w:sz="4" w:space="0"/>
              <w:bottom w:val="single" w:color="000000" w:sz="4" w:space="0"/>
              <w:right w:val="single" w:color="000000" w:sz="4" w:space="0"/>
            </w:tcBorders>
          </w:tcPr>
          <w:p>
            <w:pPr>
              <w:pStyle w:val="19"/>
              <w:spacing w:before="10"/>
              <w:jc w:val="left"/>
              <w:rPr>
                <w:b/>
                <w:sz w:val="26"/>
              </w:rPr>
            </w:pPr>
          </w:p>
          <w:p>
            <w:pPr>
              <w:pStyle w:val="19"/>
              <w:ind w:left="200" w:right="178"/>
              <w:rPr>
                <w:rFonts w:ascii="Times New Roman"/>
                <w:sz w:val="13"/>
              </w:rPr>
            </w:pPr>
            <w:r>
              <w:rPr>
                <w:rFonts w:ascii="Times New Roman"/>
                <w:sz w:val="21"/>
              </w:rPr>
              <w:t>mg/m</w:t>
            </w:r>
            <w:r>
              <w:rPr>
                <w:rFonts w:ascii="Times New Roman"/>
                <w:position w:val="7"/>
                <w:sz w:val="13"/>
              </w:rPr>
              <w:t>3</w:t>
            </w:r>
          </w:p>
        </w:tc>
        <w:tc>
          <w:tcPr>
            <w:tcW w:w="1622" w:type="dxa"/>
            <w:tcBorders>
              <w:top w:val="single" w:color="000000" w:sz="4" w:space="0"/>
              <w:left w:val="single" w:color="000000" w:sz="4" w:space="0"/>
              <w:bottom w:val="single" w:color="000000" w:sz="4" w:space="0"/>
            </w:tcBorders>
          </w:tcPr>
          <w:p>
            <w:pPr>
              <w:pStyle w:val="19"/>
              <w:spacing w:before="1" w:line="288" w:lineRule="auto"/>
              <w:ind w:left="185" w:right="161"/>
              <w:rPr>
                <w:sz w:val="21"/>
              </w:rPr>
            </w:pPr>
            <w:r>
              <w:rPr>
                <w:sz w:val="21"/>
              </w:rPr>
              <w:t>煤矸石堆置场周界外浓度最</w:t>
            </w:r>
          </w:p>
          <w:p>
            <w:pPr>
              <w:pStyle w:val="19"/>
              <w:spacing w:before="7"/>
              <w:ind w:left="184" w:right="161"/>
              <w:rPr>
                <w:rFonts w:ascii="Times New Roman" w:eastAsia="Times New Roman"/>
                <w:sz w:val="21"/>
              </w:rPr>
            </w:pPr>
            <w:r>
              <w:rPr>
                <w:sz w:val="21"/>
              </w:rPr>
              <w:t xml:space="preserve">高点 </w:t>
            </w:r>
            <w:r>
              <w:rPr>
                <w:rFonts w:ascii="Times New Roman" w:eastAsia="Times New Roman"/>
                <w:sz w:val="21"/>
              </w:rPr>
              <w:t>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tcBorders>
              <w:top w:val="single" w:color="000000" w:sz="4" w:space="0"/>
              <w:left w:val="single" w:color="000000" w:sz="4" w:space="0"/>
              <w:bottom w:val="single" w:color="000000" w:sz="4" w:space="0"/>
              <w:right w:val="single" w:color="000000" w:sz="4" w:space="0"/>
            </w:tcBorders>
          </w:tcPr>
          <w:p>
            <w:pPr>
              <w:pStyle w:val="19"/>
              <w:spacing w:before="2"/>
              <w:ind w:left="29" w:right="13"/>
              <w:rPr>
                <w:sz w:val="21"/>
              </w:rPr>
            </w:pPr>
            <w:r>
              <w:rPr>
                <w:sz w:val="21"/>
              </w:rPr>
              <w:t>建设期执行《大气污染物综合排放标准》</w:t>
            </w:r>
          </w:p>
          <w:p>
            <w:pPr>
              <w:pStyle w:val="19"/>
              <w:spacing w:before="55"/>
              <w:ind w:left="32" w:right="13"/>
              <w:rPr>
                <w:sz w:val="21"/>
              </w:rPr>
            </w:pPr>
            <w:r>
              <w:rPr>
                <w:sz w:val="21"/>
              </w:rPr>
              <w:t>（</w:t>
            </w:r>
            <w:r>
              <w:rPr>
                <w:rFonts w:ascii="Times New Roman" w:eastAsia="Times New Roman"/>
                <w:sz w:val="21"/>
              </w:rPr>
              <w:t>GB16297-1996</w:t>
            </w:r>
            <w:r>
              <w:rPr>
                <w:sz w:val="21"/>
              </w:rPr>
              <w:t>）标准限值</w:t>
            </w:r>
          </w:p>
        </w:tc>
        <w:tc>
          <w:tcPr>
            <w:tcW w:w="1311" w:type="dxa"/>
            <w:tcBorders>
              <w:top w:val="single" w:color="000000" w:sz="4" w:space="0"/>
              <w:left w:val="single" w:color="000000" w:sz="4" w:space="0"/>
              <w:bottom w:val="single" w:color="000000" w:sz="4" w:space="0"/>
              <w:right w:val="single" w:color="000000" w:sz="4" w:space="0"/>
            </w:tcBorders>
          </w:tcPr>
          <w:p>
            <w:pPr>
              <w:pStyle w:val="19"/>
              <w:spacing w:before="163"/>
              <w:ind w:left="112" w:right="96"/>
              <w:rPr>
                <w:sz w:val="21"/>
              </w:rPr>
            </w:pPr>
            <w:r>
              <w:rPr>
                <w:sz w:val="21"/>
              </w:rPr>
              <w:t>颗粒物</w:t>
            </w:r>
          </w:p>
        </w:tc>
        <w:tc>
          <w:tcPr>
            <w:tcW w:w="1065" w:type="dxa"/>
            <w:tcBorders>
              <w:top w:val="single" w:color="000000" w:sz="4" w:space="0"/>
              <w:left w:val="single" w:color="000000" w:sz="4" w:space="0"/>
              <w:bottom w:val="single" w:color="000000" w:sz="4" w:space="0"/>
              <w:right w:val="single" w:color="000000" w:sz="4" w:space="0"/>
            </w:tcBorders>
          </w:tcPr>
          <w:p>
            <w:pPr>
              <w:pStyle w:val="19"/>
              <w:spacing w:before="181"/>
              <w:ind w:left="200" w:right="178"/>
              <w:rPr>
                <w:rFonts w:ascii="Times New Roman"/>
                <w:sz w:val="13"/>
              </w:rPr>
            </w:pPr>
            <w:r>
              <w:rPr>
                <w:rFonts w:ascii="Times New Roman"/>
                <w:sz w:val="21"/>
              </w:rPr>
              <w:t>mg/m</w:t>
            </w:r>
            <w:r>
              <w:rPr>
                <w:rFonts w:ascii="Times New Roman"/>
                <w:position w:val="7"/>
                <w:sz w:val="13"/>
              </w:rPr>
              <w:t>3</w:t>
            </w:r>
          </w:p>
        </w:tc>
        <w:tc>
          <w:tcPr>
            <w:tcW w:w="1622" w:type="dxa"/>
            <w:tcBorders>
              <w:top w:val="single" w:color="000000" w:sz="4" w:space="0"/>
              <w:left w:val="single" w:color="000000" w:sz="4" w:space="0"/>
              <w:bottom w:val="single" w:color="000000" w:sz="4" w:space="0"/>
            </w:tcBorders>
          </w:tcPr>
          <w:p>
            <w:pPr>
              <w:pStyle w:val="19"/>
              <w:spacing w:before="2"/>
              <w:ind w:left="291"/>
              <w:jc w:val="left"/>
              <w:rPr>
                <w:sz w:val="21"/>
              </w:rPr>
            </w:pPr>
            <w:r>
              <w:rPr>
                <w:sz w:val="21"/>
              </w:rPr>
              <w:t>周界外浓度</w:t>
            </w:r>
          </w:p>
          <w:p>
            <w:pPr>
              <w:pStyle w:val="19"/>
              <w:spacing w:before="55"/>
              <w:ind w:left="344"/>
              <w:jc w:val="left"/>
              <w:rPr>
                <w:rFonts w:ascii="Times New Roman" w:eastAsia="Times New Roman"/>
                <w:sz w:val="21"/>
              </w:rPr>
            </w:pPr>
            <w:r>
              <w:rPr>
                <w:sz w:val="21"/>
              </w:rPr>
              <w:t xml:space="preserve">最高点 </w:t>
            </w:r>
            <w:r>
              <w:rPr>
                <w:rFonts w:ascii="Times New Roman" w:eastAsia="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9"/>
              <w:spacing w:before="3"/>
              <w:ind w:left="29" w:right="13"/>
              <w:rPr>
                <w:sz w:val="21"/>
              </w:rPr>
            </w:pPr>
            <w:r>
              <w:rPr>
                <w:sz w:val="21"/>
              </w:rPr>
              <w:t>《工业炉窑大气污染物排放标准》</w:t>
            </w:r>
          </w:p>
          <w:p>
            <w:pPr>
              <w:pStyle w:val="19"/>
              <w:spacing w:before="57"/>
              <w:ind w:left="34" w:right="12"/>
              <w:rPr>
                <w:rFonts w:ascii="Times New Roman" w:eastAsia="Times New Roman"/>
                <w:sz w:val="21"/>
              </w:rPr>
            </w:pPr>
            <w:r>
              <w:rPr>
                <w:sz w:val="21"/>
              </w:rPr>
              <w:t>（</w:t>
            </w:r>
            <w:r>
              <w:rPr>
                <w:rFonts w:ascii="Times New Roman" w:eastAsia="Times New Roman"/>
                <w:sz w:val="21"/>
              </w:rPr>
              <w:t>GB9078-1996</w:t>
            </w:r>
            <w:r>
              <w:rPr>
                <w:sz w:val="21"/>
              </w:rPr>
              <w:t xml:space="preserve">）中表 </w:t>
            </w:r>
            <w:r>
              <w:rPr>
                <w:rFonts w:ascii="Times New Roman" w:eastAsia="Times New Roman"/>
                <w:sz w:val="21"/>
              </w:rPr>
              <w:t xml:space="preserve">2 </w:t>
            </w:r>
            <w:r>
              <w:rPr>
                <w:sz w:val="21"/>
              </w:rPr>
              <w:t xml:space="preserve">及表 </w:t>
            </w:r>
            <w:r>
              <w:rPr>
                <w:rFonts w:ascii="Times New Roman" w:eastAsia="Times New Roman"/>
                <w:sz w:val="21"/>
              </w:rPr>
              <w:t>4</w:t>
            </w:r>
          </w:p>
        </w:tc>
        <w:tc>
          <w:tcPr>
            <w:tcW w:w="1311" w:type="dxa"/>
            <w:tcBorders>
              <w:top w:val="single" w:color="000000" w:sz="4" w:space="0"/>
              <w:left w:val="single" w:color="000000" w:sz="4" w:space="0"/>
              <w:bottom w:val="single" w:color="000000" w:sz="4" w:space="0"/>
              <w:right w:val="single" w:color="000000" w:sz="4" w:space="0"/>
            </w:tcBorders>
          </w:tcPr>
          <w:p>
            <w:pPr>
              <w:pStyle w:val="19"/>
              <w:ind w:left="114" w:right="96"/>
              <w:rPr>
                <w:sz w:val="21"/>
              </w:rPr>
            </w:pPr>
            <w:r>
              <w:rPr>
                <w:sz w:val="21"/>
              </w:rPr>
              <w:t>烟（粉）尘</w:t>
            </w:r>
          </w:p>
        </w:tc>
        <w:tc>
          <w:tcPr>
            <w:tcW w:w="1065" w:type="dxa"/>
            <w:tcBorders>
              <w:top w:val="single" w:color="000000" w:sz="4" w:space="0"/>
              <w:left w:val="single" w:color="000000" w:sz="4" w:space="0"/>
              <w:bottom w:val="single" w:color="000000" w:sz="4" w:space="0"/>
              <w:right w:val="single" w:color="000000" w:sz="4" w:space="0"/>
            </w:tcBorders>
          </w:tcPr>
          <w:p>
            <w:pPr>
              <w:pStyle w:val="19"/>
              <w:spacing w:before="17"/>
              <w:ind w:left="200" w:right="178"/>
              <w:rPr>
                <w:rFonts w:ascii="Times New Roman"/>
                <w:sz w:val="13"/>
              </w:rPr>
            </w:pPr>
            <w:r>
              <w:rPr>
                <w:rFonts w:ascii="Times New Roman"/>
                <w:sz w:val="21"/>
              </w:rPr>
              <w:t>mg/m</w:t>
            </w:r>
            <w:r>
              <w:rPr>
                <w:rFonts w:ascii="Times New Roman"/>
                <w:position w:val="7"/>
                <w:sz w:val="13"/>
              </w:rPr>
              <w:t>3</w:t>
            </w:r>
          </w:p>
        </w:tc>
        <w:tc>
          <w:tcPr>
            <w:tcW w:w="1622" w:type="dxa"/>
            <w:tcBorders>
              <w:top w:val="single" w:color="000000" w:sz="4" w:space="0"/>
              <w:left w:val="single" w:color="000000" w:sz="4" w:space="0"/>
              <w:bottom w:val="single" w:color="000000" w:sz="4" w:space="0"/>
            </w:tcBorders>
          </w:tcPr>
          <w:p>
            <w:pPr>
              <w:pStyle w:val="19"/>
              <w:spacing w:before="17"/>
              <w:ind w:left="185" w:right="160"/>
              <w:rPr>
                <w:rFonts w:ascii="Times New Roman"/>
                <w:sz w:val="21"/>
              </w:rPr>
            </w:pPr>
            <w:r>
              <w:rPr>
                <w:rFonts w:asci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9"/>
              <w:spacing w:line="269" w:lineRule="exact"/>
              <w:ind w:left="109" w:right="96"/>
              <w:rPr>
                <w:sz w:val="21"/>
              </w:rPr>
            </w:pPr>
            <w:r>
              <w:rPr>
                <w:sz w:val="21"/>
              </w:rPr>
              <w:t>二氧化硫</w:t>
            </w:r>
          </w:p>
        </w:tc>
        <w:tc>
          <w:tcPr>
            <w:tcW w:w="1065" w:type="dxa"/>
            <w:tcBorders>
              <w:top w:val="single" w:color="000000" w:sz="4" w:space="0"/>
              <w:left w:val="single" w:color="000000" w:sz="4" w:space="0"/>
              <w:bottom w:val="single" w:color="000000" w:sz="4" w:space="0"/>
              <w:right w:val="single" w:color="000000" w:sz="4" w:space="0"/>
            </w:tcBorders>
          </w:tcPr>
          <w:p>
            <w:pPr>
              <w:pStyle w:val="19"/>
              <w:spacing w:before="16"/>
              <w:ind w:left="200" w:right="178"/>
              <w:rPr>
                <w:rFonts w:ascii="Times New Roman"/>
                <w:sz w:val="13"/>
              </w:rPr>
            </w:pPr>
            <w:r>
              <w:rPr>
                <w:rFonts w:ascii="Times New Roman"/>
                <w:sz w:val="21"/>
              </w:rPr>
              <w:t>mg/m</w:t>
            </w:r>
            <w:r>
              <w:rPr>
                <w:rFonts w:ascii="Times New Roman"/>
                <w:position w:val="7"/>
                <w:sz w:val="13"/>
              </w:rPr>
              <w:t>3</w:t>
            </w:r>
          </w:p>
        </w:tc>
        <w:tc>
          <w:tcPr>
            <w:tcW w:w="1622" w:type="dxa"/>
            <w:tcBorders>
              <w:top w:val="single" w:color="000000" w:sz="4" w:space="0"/>
              <w:left w:val="single" w:color="000000" w:sz="4" w:space="0"/>
              <w:bottom w:val="single" w:color="000000" w:sz="4" w:space="0"/>
            </w:tcBorders>
          </w:tcPr>
          <w:p>
            <w:pPr>
              <w:pStyle w:val="19"/>
              <w:spacing w:before="16"/>
              <w:ind w:left="185" w:right="160"/>
              <w:rPr>
                <w:rFonts w:ascii="Times New Roman"/>
                <w:sz w:val="21"/>
              </w:rPr>
            </w:pPr>
            <w:r>
              <w:rPr>
                <w:rFonts w:ascii="Times New Roman"/>
                <w:sz w:val="21"/>
              </w:rPr>
              <w:t>850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9"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9"/>
              <w:spacing w:before="1"/>
              <w:ind w:left="34" w:right="13"/>
              <w:rPr>
                <w:sz w:val="21"/>
              </w:rPr>
            </w:pPr>
            <w:r>
              <w:rPr>
                <w:color w:val="FF0000"/>
                <w:sz w:val="21"/>
              </w:rPr>
              <w:t>《恶臭污染物排放标准》（</w:t>
            </w:r>
            <w:r>
              <w:rPr>
                <w:rFonts w:ascii="Times New Roman" w:eastAsia="Times New Roman"/>
                <w:color w:val="FF0000"/>
                <w:sz w:val="21"/>
              </w:rPr>
              <w:t>GB14554-93</w:t>
            </w:r>
            <w:r>
              <w:rPr>
                <w:color w:val="FF0000"/>
                <w:sz w:val="21"/>
              </w:rPr>
              <w:t xml:space="preserve">）表 </w:t>
            </w:r>
            <w:r>
              <w:rPr>
                <w:rFonts w:ascii="Times New Roman" w:eastAsia="Times New Roman"/>
                <w:color w:val="FF0000"/>
                <w:sz w:val="21"/>
              </w:rPr>
              <w:t xml:space="preserve">1 </w:t>
            </w:r>
            <w:r>
              <w:rPr>
                <w:color w:val="FF0000"/>
                <w:sz w:val="21"/>
              </w:rPr>
              <w:t>中</w:t>
            </w:r>
          </w:p>
          <w:p>
            <w:pPr>
              <w:pStyle w:val="19"/>
              <w:spacing w:before="55"/>
              <w:ind w:left="29" w:right="13"/>
              <w:rPr>
                <w:sz w:val="21"/>
              </w:rPr>
            </w:pPr>
            <w:r>
              <w:rPr>
                <w:color w:val="FF0000"/>
                <w:sz w:val="21"/>
              </w:rPr>
              <w:t>的二级标准限值</w:t>
            </w:r>
          </w:p>
        </w:tc>
        <w:tc>
          <w:tcPr>
            <w:tcW w:w="1311" w:type="dxa"/>
            <w:tcBorders>
              <w:top w:val="single" w:color="000000" w:sz="4" w:space="0"/>
              <w:left w:val="single" w:color="000000" w:sz="4" w:space="0"/>
              <w:bottom w:val="single" w:color="000000" w:sz="4" w:space="0"/>
              <w:right w:val="single" w:color="000000" w:sz="4" w:space="0"/>
            </w:tcBorders>
          </w:tcPr>
          <w:p>
            <w:pPr>
              <w:pStyle w:val="19"/>
              <w:spacing w:before="8" w:line="261" w:lineRule="exact"/>
              <w:ind w:left="112" w:right="96"/>
              <w:rPr>
                <w:sz w:val="21"/>
              </w:rPr>
            </w:pPr>
            <w:r>
              <w:rPr>
                <w:color w:val="FF0000"/>
                <w:sz w:val="21"/>
              </w:rPr>
              <w:t>硫化氢</w:t>
            </w:r>
          </w:p>
        </w:tc>
        <w:tc>
          <w:tcPr>
            <w:tcW w:w="1065" w:type="dxa"/>
            <w:tcBorders>
              <w:top w:val="single" w:color="000000" w:sz="4" w:space="0"/>
              <w:left w:val="single" w:color="000000" w:sz="4" w:space="0"/>
              <w:bottom w:val="single" w:color="000000" w:sz="4" w:space="0"/>
              <w:right w:val="single" w:color="000000" w:sz="4" w:space="0"/>
            </w:tcBorders>
          </w:tcPr>
          <w:p>
            <w:pPr>
              <w:pStyle w:val="19"/>
              <w:spacing w:line="240" w:lineRule="exact"/>
              <w:ind w:left="200" w:right="178"/>
              <w:rPr>
                <w:rFonts w:ascii="Times New Roman"/>
                <w:sz w:val="13"/>
              </w:rPr>
            </w:pPr>
            <w:r>
              <w:rPr>
                <w:rFonts w:ascii="Times New Roman"/>
                <w:color w:val="FF0000"/>
                <w:sz w:val="21"/>
              </w:rPr>
              <w:t>mg/m</w:t>
            </w:r>
            <w:r>
              <w:rPr>
                <w:rFonts w:ascii="Times New Roman"/>
                <w:color w:val="FF0000"/>
                <w:position w:val="7"/>
                <w:sz w:val="13"/>
              </w:rPr>
              <w:t>3</w:t>
            </w:r>
          </w:p>
        </w:tc>
        <w:tc>
          <w:tcPr>
            <w:tcW w:w="1622" w:type="dxa"/>
            <w:tcBorders>
              <w:top w:val="single" w:color="000000" w:sz="4" w:space="0"/>
              <w:left w:val="single" w:color="000000" w:sz="4" w:space="0"/>
              <w:bottom w:val="single" w:color="000000" w:sz="4" w:space="0"/>
            </w:tcBorders>
          </w:tcPr>
          <w:p>
            <w:pPr>
              <w:pStyle w:val="19"/>
              <w:spacing w:before="8" w:line="261" w:lineRule="exact"/>
              <w:ind w:left="79" w:right="56"/>
              <w:rPr>
                <w:rFonts w:ascii="Times New Roman" w:eastAsia="Times New Roman"/>
                <w:sz w:val="21"/>
              </w:rPr>
            </w:pPr>
            <w:r>
              <w:rPr>
                <w:color w:val="FF0000"/>
                <w:sz w:val="21"/>
              </w:rPr>
              <w:t xml:space="preserve">厂界浓度 </w:t>
            </w:r>
            <w:r>
              <w:rPr>
                <w:rFonts w:ascii="Times New Roman" w:eastAsia="Times New Roman"/>
                <w:color w:val="FF0000"/>
                <w:sz w:val="21"/>
              </w:rPr>
              <w:t>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9"/>
              <w:spacing w:before="40"/>
              <w:ind w:left="112" w:right="96"/>
              <w:rPr>
                <w:sz w:val="21"/>
              </w:rPr>
            </w:pPr>
            <w:r>
              <w:rPr>
                <w:color w:val="FF0000"/>
                <w:sz w:val="21"/>
              </w:rPr>
              <w:t>氨气</w:t>
            </w:r>
          </w:p>
        </w:tc>
        <w:tc>
          <w:tcPr>
            <w:tcW w:w="1065" w:type="dxa"/>
            <w:tcBorders>
              <w:top w:val="single" w:color="000000" w:sz="4" w:space="0"/>
              <w:left w:val="single" w:color="000000" w:sz="4" w:space="0"/>
              <w:bottom w:val="single" w:color="000000" w:sz="4" w:space="0"/>
              <w:right w:val="single" w:color="000000" w:sz="4" w:space="0"/>
            </w:tcBorders>
          </w:tcPr>
          <w:p>
            <w:pPr>
              <w:pStyle w:val="19"/>
              <w:spacing w:before="30"/>
              <w:ind w:left="200" w:right="178"/>
              <w:rPr>
                <w:rFonts w:ascii="Times New Roman"/>
                <w:sz w:val="13"/>
              </w:rPr>
            </w:pPr>
            <w:r>
              <w:rPr>
                <w:rFonts w:ascii="Times New Roman"/>
                <w:color w:val="FF0000"/>
                <w:sz w:val="21"/>
              </w:rPr>
              <w:t>mg/m</w:t>
            </w:r>
            <w:r>
              <w:rPr>
                <w:rFonts w:ascii="Times New Roman"/>
                <w:color w:val="FF0000"/>
                <w:position w:val="7"/>
                <w:sz w:val="13"/>
              </w:rPr>
              <w:t>3</w:t>
            </w:r>
          </w:p>
        </w:tc>
        <w:tc>
          <w:tcPr>
            <w:tcW w:w="1622" w:type="dxa"/>
            <w:tcBorders>
              <w:top w:val="single" w:color="000000" w:sz="4" w:space="0"/>
              <w:left w:val="single" w:color="000000" w:sz="4" w:space="0"/>
              <w:bottom w:val="single" w:color="000000" w:sz="4" w:space="0"/>
            </w:tcBorders>
          </w:tcPr>
          <w:p>
            <w:pPr>
              <w:pStyle w:val="19"/>
              <w:spacing w:before="40"/>
              <w:ind w:left="185" w:right="160"/>
              <w:rPr>
                <w:rFonts w:ascii="Times New Roman" w:eastAsia="Times New Roman"/>
                <w:sz w:val="21"/>
              </w:rPr>
            </w:pPr>
            <w:r>
              <w:rPr>
                <w:color w:val="FF0000"/>
                <w:sz w:val="21"/>
              </w:rPr>
              <w:t xml:space="preserve">厂界浓度 </w:t>
            </w:r>
            <w:r>
              <w:rPr>
                <w:rFonts w:ascii="Times New Roman" w:eastAsia="Times New Roman"/>
                <w:color w:val="FF0000"/>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1"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9"/>
              <w:spacing w:before="11"/>
              <w:jc w:val="left"/>
              <w:rPr>
                <w:b/>
                <w:sz w:val="25"/>
              </w:rPr>
            </w:pPr>
          </w:p>
          <w:p>
            <w:pPr>
              <w:pStyle w:val="19"/>
              <w:ind w:left="29" w:right="13"/>
              <w:rPr>
                <w:sz w:val="21"/>
              </w:rPr>
            </w:pPr>
            <w:r>
              <w:rPr>
                <w:sz w:val="21"/>
              </w:rPr>
              <w:t>《煤层气（煤矿瓦斯）排放标准（暂行）》</w:t>
            </w:r>
          </w:p>
          <w:p>
            <w:pPr>
              <w:pStyle w:val="19"/>
              <w:spacing w:before="57"/>
              <w:ind w:left="32" w:right="13"/>
              <w:rPr>
                <w:sz w:val="21"/>
              </w:rPr>
            </w:pPr>
            <w:r>
              <w:rPr>
                <w:sz w:val="21"/>
              </w:rPr>
              <w:t>（</w:t>
            </w:r>
            <w:r>
              <w:rPr>
                <w:rFonts w:ascii="Times New Roman" w:eastAsia="Times New Roman"/>
                <w:sz w:val="21"/>
              </w:rPr>
              <w:t>GB21522-2008</w:t>
            </w:r>
            <w:r>
              <w:rPr>
                <w:sz w:val="21"/>
              </w:rPr>
              <w:t>）</w:t>
            </w:r>
          </w:p>
        </w:tc>
        <w:tc>
          <w:tcPr>
            <w:tcW w:w="1311" w:type="dxa"/>
            <w:tcBorders>
              <w:top w:val="single" w:color="000000" w:sz="4" w:space="0"/>
              <w:left w:val="single" w:color="000000" w:sz="4" w:space="0"/>
              <w:bottom w:val="single" w:color="000000" w:sz="4" w:space="0"/>
              <w:right w:val="single" w:color="000000" w:sz="4" w:space="0"/>
            </w:tcBorders>
          </w:tcPr>
          <w:p>
            <w:pPr>
              <w:pStyle w:val="19"/>
              <w:ind w:left="114" w:right="96"/>
              <w:rPr>
                <w:sz w:val="21"/>
              </w:rPr>
            </w:pPr>
            <w:r>
              <w:rPr>
                <w:sz w:val="21"/>
              </w:rPr>
              <w:t>低浓度瓦斯</w:t>
            </w:r>
          </w:p>
          <w:p>
            <w:pPr>
              <w:pStyle w:val="19"/>
              <w:spacing w:before="57"/>
              <w:ind w:left="112" w:right="96"/>
              <w:rPr>
                <w:sz w:val="21"/>
              </w:rPr>
            </w:pPr>
            <w:r>
              <w:rPr>
                <w:rFonts w:ascii="Times New Roman" w:eastAsia="Times New Roman"/>
                <w:sz w:val="21"/>
              </w:rPr>
              <w:t>(</w:t>
            </w:r>
            <w:r>
              <w:rPr>
                <w:sz w:val="21"/>
              </w:rPr>
              <w:t>甲烷浓度</w:t>
            </w:r>
          </w:p>
          <w:p>
            <w:pPr>
              <w:pStyle w:val="19"/>
              <w:spacing w:before="58"/>
              <w:ind w:left="114" w:right="96"/>
              <w:rPr>
                <w:rFonts w:ascii="Times New Roman" w:eastAsia="Times New Roman"/>
                <w:sz w:val="21"/>
              </w:rPr>
            </w:pPr>
            <w:r>
              <w:rPr>
                <w:sz w:val="21"/>
              </w:rPr>
              <w:t>＜</w:t>
            </w:r>
            <w:r>
              <w:rPr>
                <w:rFonts w:ascii="Times New Roman" w:eastAsia="Times New Roman"/>
                <w:sz w:val="21"/>
              </w:rPr>
              <w:t>30%)</w:t>
            </w:r>
          </w:p>
        </w:tc>
        <w:tc>
          <w:tcPr>
            <w:tcW w:w="1065" w:type="dxa"/>
            <w:tcBorders>
              <w:top w:val="single" w:color="000000" w:sz="4" w:space="0"/>
              <w:left w:val="single" w:color="000000" w:sz="4" w:space="0"/>
              <w:bottom w:val="single" w:color="000000" w:sz="4" w:space="0"/>
              <w:right w:val="single" w:color="000000" w:sz="4" w:space="0"/>
            </w:tcBorders>
          </w:tcPr>
          <w:p>
            <w:pPr>
              <w:pStyle w:val="19"/>
              <w:spacing w:before="12"/>
              <w:jc w:val="left"/>
              <w:rPr>
                <w:b/>
                <w:sz w:val="26"/>
              </w:rPr>
            </w:pPr>
          </w:p>
          <w:p>
            <w:pPr>
              <w:pStyle w:val="19"/>
              <w:ind w:left="16"/>
              <w:rPr>
                <w:rFonts w:ascii="Times New Roman"/>
                <w:sz w:val="21"/>
              </w:rPr>
            </w:pPr>
            <w:r>
              <w:rPr>
                <w:rFonts w:ascii="Times New Roman"/>
                <w:w w:val="99"/>
                <w:sz w:val="21"/>
              </w:rPr>
              <w:t>/</w:t>
            </w:r>
          </w:p>
        </w:tc>
        <w:tc>
          <w:tcPr>
            <w:tcW w:w="1622" w:type="dxa"/>
            <w:vMerge w:val="restart"/>
            <w:tcBorders>
              <w:top w:val="single" w:color="000000" w:sz="4" w:space="0"/>
              <w:left w:val="single" w:color="000000" w:sz="4" w:space="0"/>
              <w:bottom w:val="single" w:color="000000" w:sz="4" w:space="0"/>
            </w:tcBorders>
          </w:tcPr>
          <w:p>
            <w:pPr>
              <w:pStyle w:val="19"/>
              <w:jc w:val="left"/>
              <w:rPr>
                <w:b/>
                <w:sz w:val="20"/>
              </w:rPr>
            </w:pPr>
          </w:p>
          <w:p>
            <w:pPr>
              <w:pStyle w:val="19"/>
              <w:spacing w:before="10"/>
              <w:jc w:val="left"/>
              <w:rPr>
                <w:b/>
                <w:sz w:val="18"/>
              </w:rPr>
            </w:pPr>
          </w:p>
          <w:p>
            <w:pPr>
              <w:pStyle w:val="19"/>
              <w:ind w:left="291"/>
              <w:jc w:val="left"/>
              <w:rPr>
                <w:sz w:val="21"/>
              </w:rPr>
            </w:pPr>
            <w:r>
              <w:rPr>
                <w:sz w:val="21"/>
              </w:rPr>
              <w:t>煤矿回风井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9"/>
              <w:ind w:left="109" w:right="96"/>
              <w:rPr>
                <w:sz w:val="21"/>
              </w:rPr>
            </w:pPr>
            <w:r>
              <w:rPr>
                <w:sz w:val="21"/>
              </w:rPr>
              <w:t>风排瓦斯</w:t>
            </w:r>
          </w:p>
        </w:tc>
        <w:tc>
          <w:tcPr>
            <w:tcW w:w="1065" w:type="dxa"/>
            <w:tcBorders>
              <w:top w:val="single" w:color="000000" w:sz="4" w:space="0"/>
              <w:left w:val="single" w:color="000000" w:sz="4" w:space="0"/>
              <w:bottom w:val="single" w:color="000000" w:sz="4" w:space="0"/>
              <w:right w:val="single" w:color="000000" w:sz="4" w:space="0"/>
            </w:tcBorders>
          </w:tcPr>
          <w:p>
            <w:pPr>
              <w:pStyle w:val="19"/>
              <w:spacing w:before="17"/>
              <w:ind w:left="16"/>
              <w:rPr>
                <w:rFonts w:ascii="Times New Roman"/>
                <w:sz w:val="21"/>
              </w:rPr>
            </w:pPr>
            <w:r>
              <w:rPr>
                <w:rFonts w:ascii="Times New Roman"/>
                <w:w w:val="99"/>
                <w:sz w:val="21"/>
              </w:rPr>
              <w:t>/</w:t>
            </w:r>
          </w:p>
        </w:tc>
        <w:tc>
          <w:tcPr>
            <w:tcW w:w="1622"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9"/>
              <w:spacing w:before="11"/>
              <w:jc w:val="left"/>
              <w:rPr>
                <w:b/>
                <w:sz w:val="25"/>
              </w:rPr>
            </w:pPr>
          </w:p>
          <w:p>
            <w:pPr>
              <w:pStyle w:val="19"/>
              <w:spacing w:line="290" w:lineRule="auto"/>
              <w:ind w:left="2098" w:right="-15" w:hanging="1985"/>
              <w:jc w:val="left"/>
              <w:rPr>
                <w:sz w:val="21"/>
              </w:rPr>
            </w:pPr>
            <w:r>
              <w:rPr>
                <w:spacing w:val="-10"/>
                <w:w w:val="95"/>
                <w:sz w:val="21"/>
              </w:rPr>
              <w:t>《饮食业油烟排放标准</w:t>
            </w:r>
            <w:r>
              <w:rPr>
                <w:w w:val="95"/>
                <w:sz w:val="21"/>
              </w:rPr>
              <w:t>（试行</w:t>
            </w:r>
            <w:r>
              <w:rPr>
                <w:spacing w:val="-94"/>
                <w:w w:val="95"/>
                <w:sz w:val="21"/>
              </w:rPr>
              <w:t>）</w:t>
            </w:r>
            <w:r>
              <w:rPr>
                <w:spacing w:val="-190"/>
                <w:w w:val="95"/>
                <w:sz w:val="21"/>
              </w:rPr>
              <w:t>》</w:t>
            </w:r>
            <w:r>
              <w:rPr>
                <w:w w:val="95"/>
                <w:sz w:val="21"/>
              </w:rPr>
              <w:t>（</w:t>
            </w:r>
            <w:r>
              <w:rPr>
                <w:rFonts w:ascii="Times New Roman" w:eastAsia="Times New Roman"/>
                <w:w w:val="95"/>
                <w:sz w:val="21"/>
              </w:rPr>
              <w:t>GB18483-2001</w:t>
            </w:r>
            <w:r>
              <w:rPr>
                <w:w w:val="95"/>
                <w:sz w:val="21"/>
              </w:rPr>
              <w:t xml:space="preserve">） </w:t>
            </w:r>
            <w:r>
              <w:rPr>
                <w:sz w:val="21"/>
              </w:rPr>
              <w:t>中型</w:t>
            </w:r>
          </w:p>
        </w:tc>
        <w:tc>
          <w:tcPr>
            <w:tcW w:w="2376" w:type="dxa"/>
            <w:gridSpan w:val="2"/>
            <w:tcBorders>
              <w:top w:val="single" w:color="000000" w:sz="4" w:space="0"/>
              <w:left w:val="single" w:color="000000" w:sz="4" w:space="0"/>
              <w:bottom w:val="single" w:color="000000" w:sz="4" w:space="0"/>
              <w:right w:val="single" w:color="000000" w:sz="4" w:space="0"/>
            </w:tcBorders>
          </w:tcPr>
          <w:p>
            <w:pPr>
              <w:pStyle w:val="19"/>
              <w:ind w:left="119" w:right="105"/>
              <w:rPr>
                <w:sz w:val="21"/>
              </w:rPr>
            </w:pPr>
            <w:r>
              <w:rPr>
                <w:sz w:val="21"/>
              </w:rPr>
              <w:t>最高允许排放浓度</w:t>
            </w:r>
          </w:p>
          <w:p>
            <w:pPr>
              <w:pStyle w:val="19"/>
              <w:spacing w:before="58"/>
              <w:ind w:left="121" w:right="102"/>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1622" w:type="dxa"/>
            <w:tcBorders>
              <w:top w:val="single" w:color="000000" w:sz="4" w:space="0"/>
              <w:left w:val="single" w:color="000000" w:sz="4" w:space="0"/>
              <w:bottom w:val="single" w:color="000000" w:sz="4" w:space="0"/>
            </w:tcBorders>
          </w:tcPr>
          <w:p>
            <w:pPr>
              <w:pStyle w:val="19"/>
              <w:spacing w:before="180"/>
              <w:ind w:left="21"/>
              <w:rPr>
                <w:rFonts w:ascii="Times New Roman"/>
                <w:sz w:val="21"/>
              </w:rPr>
            </w:pPr>
            <w:r>
              <w:rPr>
                <w:rFonts w:ascii="Times New Roman"/>
                <w:w w:val="99"/>
                <w:sz w:val="21"/>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2376" w:type="dxa"/>
            <w:gridSpan w:val="2"/>
            <w:tcBorders>
              <w:top w:val="single" w:color="000000" w:sz="4" w:space="0"/>
              <w:left w:val="single" w:color="000000" w:sz="4" w:space="0"/>
              <w:bottom w:val="single" w:color="000000" w:sz="4" w:space="0"/>
              <w:right w:val="single" w:color="000000" w:sz="4" w:space="0"/>
            </w:tcBorders>
          </w:tcPr>
          <w:p>
            <w:pPr>
              <w:pStyle w:val="19"/>
              <w:spacing w:before="1"/>
              <w:ind w:left="121" w:right="105"/>
              <w:rPr>
                <w:sz w:val="21"/>
              </w:rPr>
            </w:pPr>
            <w:r>
              <w:rPr>
                <w:sz w:val="21"/>
              </w:rPr>
              <w:t>净化设施最低去除效率</w:t>
            </w:r>
          </w:p>
          <w:p>
            <w:pPr>
              <w:pStyle w:val="19"/>
              <w:spacing w:before="57"/>
              <w:ind w:left="121" w:right="102"/>
              <w:rPr>
                <w:sz w:val="21"/>
              </w:rPr>
            </w:pPr>
            <w:r>
              <w:rPr>
                <w:sz w:val="21"/>
              </w:rPr>
              <w:t>（</w:t>
            </w:r>
            <w:r>
              <w:rPr>
                <w:rFonts w:ascii="Times New Roman" w:eastAsia="Times New Roman"/>
                <w:sz w:val="21"/>
              </w:rPr>
              <w:t>%</w:t>
            </w:r>
            <w:r>
              <w:rPr>
                <w:sz w:val="21"/>
              </w:rPr>
              <w:t>）</w:t>
            </w:r>
          </w:p>
        </w:tc>
        <w:tc>
          <w:tcPr>
            <w:tcW w:w="1622" w:type="dxa"/>
            <w:tcBorders>
              <w:top w:val="single" w:color="000000" w:sz="4" w:space="0"/>
              <w:left w:val="single" w:color="000000" w:sz="4" w:space="0"/>
              <w:bottom w:val="single" w:color="000000" w:sz="4" w:space="0"/>
            </w:tcBorders>
          </w:tcPr>
          <w:p>
            <w:pPr>
              <w:pStyle w:val="19"/>
              <w:spacing w:before="181"/>
              <w:ind w:left="185" w:right="160"/>
              <w:rPr>
                <w:rFonts w:ascii="Times New Roman"/>
                <w:sz w:val="21"/>
              </w:rPr>
            </w:pPr>
            <w:r>
              <w:rPr>
                <w:rFonts w:ascii="Times New Roman"/>
                <w:sz w:val="21"/>
              </w:rPr>
              <w:t>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4" w:hRule="atLeast"/>
        </w:trPr>
        <w:tc>
          <w:tcPr>
            <w:tcW w:w="673" w:type="dxa"/>
            <w:vMerge w:val="restart"/>
            <w:tcBorders>
              <w:top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1"/>
              <w:jc w:val="left"/>
              <w:rPr>
                <w:b/>
                <w:sz w:val="21"/>
              </w:rPr>
            </w:pPr>
          </w:p>
          <w:p>
            <w:pPr>
              <w:pStyle w:val="19"/>
              <w:ind w:left="126"/>
              <w:jc w:val="left"/>
              <w:rPr>
                <w:sz w:val="21"/>
              </w:rPr>
            </w:pPr>
            <w:r>
              <w:rPr>
                <w:sz w:val="21"/>
              </w:rPr>
              <w:t>废水</w:t>
            </w: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spacing w:before="3"/>
              <w:jc w:val="left"/>
              <w:rPr>
                <w:b/>
                <w:sz w:val="19"/>
              </w:rPr>
            </w:pPr>
          </w:p>
          <w:p>
            <w:pPr>
              <w:pStyle w:val="19"/>
              <w:spacing w:before="1" w:line="288" w:lineRule="auto"/>
              <w:ind w:left="1522" w:right="27" w:hanging="1409"/>
              <w:jc w:val="left"/>
              <w:rPr>
                <w:sz w:val="21"/>
              </w:rPr>
            </w:pPr>
            <w:r>
              <w:rPr>
                <w:w w:val="95"/>
                <w:sz w:val="21"/>
              </w:rPr>
              <w:t>《煤炭工业污染物排放标准》（</w:t>
            </w:r>
            <w:r>
              <w:rPr>
                <w:rFonts w:ascii="Times New Roman" w:eastAsia="Times New Roman"/>
                <w:w w:val="95"/>
                <w:sz w:val="21"/>
              </w:rPr>
              <w:t>GB20426-2006</w:t>
            </w:r>
            <w:r>
              <w:rPr>
                <w:w w:val="95"/>
                <w:sz w:val="21"/>
              </w:rPr>
              <w:t xml:space="preserve">） </w:t>
            </w:r>
            <w:r>
              <w:rPr>
                <w:spacing w:val="-27"/>
                <w:sz w:val="21"/>
              </w:rPr>
              <w:t xml:space="preserve">表 </w:t>
            </w:r>
            <w:r>
              <w:rPr>
                <w:rFonts w:ascii="Times New Roman" w:eastAsia="Times New Roman"/>
                <w:sz w:val="21"/>
              </w:rPr>
              <w:t>1</w:t>
            </w:r>
            <w:r>
              <w:rPr>
                <w:sz w:val="21"/>
              </w:rPr>
              <w:t>、</w:t>
            </w:r>
            <w:r>
              <w:rPr>
                <w:rFonts w:ascii="Times New Roman" w:eastAsia="Times New Roman"/>
                <w:sz w:val="21"/>
              </w:rPr>
              <w:t>2</w:t>
            </w:r>
            <w:r>
              <w:rPr>
                <w:rFonts w:ascii="Times New Roman" w:eastAsia="Times New Roman"/>
                <w:spacing w:val="1"/>
                <w:sz w:val="21"/>
              </w:rPr>
              <w:t xml:space="preserve"> </w:t>
            </w:r>
            <w:r>
              <w:rPr>
                <w:sz w:val="21"/>
              </w:rPr>
              <w:t>标准限值</w:t>
            </w:r>
          </w:p>
        </w:tc>
        <w:tc>
          <w:tcPr>
            <w:tcW w:w="1311" w:type="dxa"/>
            <w:tcBorders>
              <w:top w:val="single" w:color="000000" w:sz="4" w:space="0"/>
              <w:left w:val="single" w:color="000000" w:sz="4" w:space="0"/>
              <w:bottom w:val="single" w:color="000000" w:sz="4" w:space="0"/>
              <w:right w:val="single" w:color="000000" w:sz="4" w:space="0"/>
            </w:tcBorders>
          </w:tcPr>
          <w:p>
            <w:pPr>
              <w:pStyle w:val="19"/>
              <w:spacing w:before="18"/>
              <w:ind w:left="114" w:right="96"/>
              <w:rPr>
                <w:rFonts w:ascii="Times New Roman"/>
                <w:sz w:val="21"/>
              </w:rPr>
            </w:pPr>
            <w:r>
              <w:rPr>
                <w:rFonts w:ascii="Times New Roman"/>
                <w:sz w:val="21"/>
              </w:rPr>
              <w:t>pH</w:t>
            </w:r>
          </w:p>
        </w:tc>
        <w:tc>
          <w:tcPr>
            <w:tcW w:w="1065" w:type="dxa"/>
            <w:tcBorders>
              <w:top w:val="single" w:color="000000" w:sz="4" w:space="0"/>
              <w:left w:val="single" w:color="000000" w:sz="4" w:space="0"/>
              <w:bottom w:val="single" w:color="000000" w:sz="4" w:space="0"/>
              <w:right w:val="single" w:color="000000" w:sz="4" w:space="0"/>
            </w:tcBorders>
          </w:tcPr>
          <w:p>
            <w:pPr>
              <w:pStyle w:val="19"/>
              <w:spacing w:before="2"/>
              <w:ind w:left="200" w:right="184"/>
              <w:rPr>
                <w:sz w:val="21"/>
              </w:rPr>
            </w:pPr>
            <w:r>
              <w:rPr>
                <w:sz w:val="21"/>
              </w:rPr>
              <w:t>无量纲</w:t>
            </w:r>
          </w:p>
        </w:tc>
        <w:tc>
          <w:tcPr>
            <w:tcW w:w="1622" w:type="dxa"/>
            <w:tcBorders>
              <w:top w:val="single" w:color="000000" w:sz="4" w:space="0"/>
              <w:left w:val="single" w:color="000000" w:sz="4" w:space="0"/>
              <w:bottom w:val="single" w:color="000000" w:sz="4" w:space="0"/>
            </w:tcBorders>
          </w:tcPr>
          <w:p>
            <w:pPr>
              <w:pStyle w:val="19"/>
              <w:spacing w:before="18"/>
              <w:ind w:left="182" w:right="161"/>
              <w:rPr>
                <w:rFonts w:ascii="Times New Roman"/>
                <w:sz w:val="21"/>
              </w:rPr>
            </w:pPr>
            <w:r>
              <w:rPr>
                <w:rFonts w:ascii="Times New Roman"/>
                <w:sz w:val="21"/>
              </w:rPr>
              <w:t>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8" w:hRule="atLeast"/>
        </w:trPr>
        <w:tc>
          <w:tcPr>
            <w:tcW w:w="673" w:type="dxa"/>
            <w:vMerge w:val="continue"/>
            <w:tcBorders>
              <w:top w:val="nil"/>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9"/>
              <w:spacing w:line="235" w:lineRule="exact"/>
              <w:ind w:left="113" w:right="96"/>
              <w:rPr>
                <w:rFonts w:ascii="Times New Roman"/>
                <w:sz w:val="21"/>
              </w:rPr>
            </w:pPr>
            <w:r>
              <w:rPr>
                <w:rFonts w:ascii="Times New Roman"/>
                <w:sz w:val="21"/>
              </w:rPr>
              <w:t>SS</w:t>
            </w:r>
          </w:p>
        </w:tc>
        <w:tc>
          <w:tcPr>
            <w:tcW w:w="1065"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spacing w:before="9"/>
              <w:jc w:val="left"/>
              <w:rPr>
                <w:b/>
                <w:sz w:val="19"/>
              </w:rPr>
            </w:pPr>
          </w:p>
          <w:p>
            <w:pPr>
              <w:pStyle w:val="19"/>
              <w:ind w:left="309"/>
              <w:jc w:val="left"/>
              <w:rPr>
                <w:rFonts w:ascii="Times New Roman"/>
                <w:sz w:val="21"/>
              </w:rPr>
            </w:pPr>
            <w:r>
              <w:rPr>
                <w:rFonts w:ascii="Times New Roman"/>
                <w:sz w:val="21"/>
              </w:rPr>
              <w:t>mg/L</w:t>
            </w:r>
          </w:p>
        </w:tc>
        <w:tc>
          <w:tcPr>
            <w:tcW w:w="1622" w:type="dxa"/>
            <w:tcBorders>
              <w:top w:val="single" w:color="000000" w:sz="4" w:space="0"/>
              <w:left w:val="single" w:color="000000" w:sz="4" w:space="0"/>
              <w:bottom w:val="single" w:color="000000" w:sz="4" w:space="0"/>
            </w:tcBorders>
          </w:tcPr>
          <w:p>
            <w:pPr>
              <w:pStyle w:val="19"/>
              <w:spacing w:line="235" w:lineRule="exact"/>
              <w:ind w:left="185" w:right="160"/>
              <w:rPr>
                <w:rFonts w:ascii="Times New Roman"/>
                <w:sz w:val="21"/>
              </w:rPr>
            </w:pPr>
            <w:r>
              <w:rPr>
                <w:rFonts w:ascii="Times New Roman"/>
                <w:sz w:val="21"/>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673" w:type="dxa"/>
            <w:vMerge w:val="continue"/>
            <w:tcBorders>
              <w:top w:val="nil"/>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9"/>
              <w:spacing w:line="236" w:lineRule="exact"/>
              <w:ind w:left="111" w:right="96"/>
              <w:rPr>
                <w:rFonts w:ascii="Times New Roman"/>
                <w:sz w:val="21"/>
              </w:rPr>
            </w:pPr>
            <w:r>
              <w:rPr>
                <w:rFonts w:ascii="Times New Roman"/>
                <w:sz w:val="21"/>
              </w:rPr>
              <w:t>COD</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tcBorders>
              <w:top w:val="single" w:color="000000" w:sz="4" w:space="0"/>
              <w:left w:val="single" w:color="000000" w:sz="4" w:space="0"/>
              <w:bottom w:val="single" w:color="000000" w:sz="4" w:space="0"/>
            </w:tcBorders>
          </w:tcPr>
          <w:p>
            <w:pPr>
              <w:pStyle w:val="19"/>
              <w:spacing w:line="236" w:lineRule="exact"/>
              <w:ind w:left="185" w:right="160"/>
              <w:rPr>
                <w:rFonts w:ascii="Times New Roman"/>
                <w:sz w:val="21"/>
              </w:rPr>
            </w:pPr>
            <w:r>
              <w:rPr>
                <w:rFonts w:ascii="Times New Roman"/>
                <w:sz w:val="21"/>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673" w:type="dxa"/>
            <w:vMerge w:val="continue"/>
            <w:tcBorders>
              <w:top w:val="nil"/>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12" w:right="96"/>
              <w:rPr>
                <w:sz w:val="21"/>
              </w:rPr>
            </w:pPr>
            <w:r>
              <w:rPr>
                <w:sz w:val="21"/>
              </w:rPr>
              <w:t>石油类</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tcBorders>
              <w:top w:val="single" w:color="000000" w:sz="4" w:space="0"/>
              <w:left w:val="single" w:color="000000" w:sz="4" w:space="0"/>
              <w:bottom w:val="single" w:color="000000" w:sz="4" w:space="0"/>
            </w:tcBorders>
          </w:tcPr>
          <w:p>
            <w:pPr>
              <w:pStyle w:val="19"/>
              <w:spacing w:before="14"/>
              <w:ind w:left="21"/>
              <w:rPr>
                <w:rFonts w:ascii="Times New Roman"/>
                <w:sz w:val="21"/>
              </w:rPr>
            </w:pPr>
            <w:r>
              <w:rPr>
                <w:rFonts w:ascii="Times New Roman"/>
                <w:w w:val="99"/>
                <w:sz w:val="21"/>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673" w:type="dxa"/>
            <w:vMerge w:val="continue"/>
            <w:tcBorders>
              <w:top w:val="nil"/>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9"/>
              <w:spacing w:line="266" w:lineRule="exact"/>
              <w:ind w:left="112" w:right="96"/>
              <w:rPr>
                <w:sz w:val="21"/>
              </w:rPr>
            </w:pPr>
            <w:r>
              <w:rPr>
                <w:sz w:val="21"/>
              </w:rPr>
              <w:t>总铁</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tcBorders>
              <w:top w:val="single" w:color="000000" w:sz="4" w:space="0"/>
              <w:left w:val="single" w:color="000000" w:sz="4" w:space="0"/>
              <w:bottom w:val="single" w:color="000000" w:sz="4" w:space="0"/>
            </w:tcBorders>
          </w:tcPr>
          <w:p>
            <w:pPr>
              <w:pStyle w:val="19"/>
              <w:spacing w:before="13"/>
              <w:ind w:left="21"/>
              <w:rPr>
                <w:rFonts w:ascii="Times New Roman"/>
                <w:sz w:val="21"/>
              </w:rPr>
            </w:pPr>
            <w:r>
              <w:rPr>
                <w:rFonts w:ascii="Times New Roman"/>
                <w:w w:val="99"/>
                <w:sz w:val="21"/>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673" w:type="dxa"/>
            <w:vMerge w:val="continue"/>
            <w:tcBorders>
              <w:top w:val="nil"/>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9"/>
              <w:spacing w:line="265" w:lineRule="exact"/>
              <w:ind w:left="112" w:right="96"/>
              <w:rPr>
                <w:sz w:val="21"/>
              </w:rPr>
            </w:pPr>
            <w:r>
              <w:rPr>
                <w:sz w:val="21"/>
              </w:rPr>
              <w:t>总锰</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tcBorders>
              <w:top w:val="single" w:color="000000" w:sz="4" w:space="0"/>
              <w:left w:val="single" w:color="000000" w:sz="4" w:space="0"/>
              <w:bottom w:val="single" w:color="000000" w:sz="4" w:space="0"/>
            </w:tcBorders>
          </w:tcPr>
          <w:p>
            <w:pPr>
              <w:pStyle w:val="19"/>
              <w:spacing w:before="12"/>
              <w:ind w:left="21"/>
              <w:rPr>
                <w:rFonts w:ascii="Times New Roman"/>
                <w:sz w:val="21"/>
              </w:rPr>
            </w:pPr>
            <w:r>
              <w:rPr>
                <w:rFonts w:ascii="Times New Roman"/>
                <w:w w:val="99"/>
                <w:sz w:val="21"/>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673" w:type="dxa"/>
            <w:vMerge w:val="continue"/>
            <w:tcBorders>
              <w:top w:val="nil"/>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12" w:right="96"/>
              <w:rPr>
                <w:sz w:val="21"/>
              </w:rPr>
            </w:pPr>
            <w:r>
              <w:rPr>
                <w:sz w:val="21"/>
              </w:rPr>
              <w:t>氟化物</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tcBorders>
              <w:top w:val="single" w:color="000000" w:sz="4" w:space="0"/>
              <w:left w:val="single" w:color="000000" w:sz="4" w:space="0"/>
              <w:bottom w:val="single" w:color="000000" w:sz="4" w:space="0"/>
            </w:tcBorders>
          </w:tcPr>
          <w:p>
            <w:pPr>
              <w:pStyle w:val="19"/>
              <w:spacing w:before="11"/>
              <w:ind w:left="185" w:right="160"/>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673" w:type="dxa"/>
            <w:vMerge w:val="continue"/>
            <w:tcBorders>
              <w:top w:val="nil"/>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9"/>
              <w:spacing w:line="268" w:lineRule="exact"/>
              <w:ind w:left="32" w:right="13"/>
              <w:rPr>
                <w:sz w:val="21"/>
              </w:rPr>
            </w:pPr>
            <w:r>
              <w:rPr>
                <w:sz w:val="21"/>
              </w:rPr>
              <w:t>《地表水环境质量标准》（</w:t>
            </w:r>
            <w:r>
              <w:rPr>
                <w:rFonts w:ascii="Times New Roman" w:hAnsi="Times New Roman" w:eastAsia="Times New Roman"/>
                <w:sz w:val="21"/>
              </w:rPr>
              <w:t>GB3838-2002</w:t>
            </w:r>
            <w:r>
              <w:rPr>
                <w:sz w:val="21"/>
              </w:rPr>
              <w:t>）中Ⅱ</w:t>
            </w:r>
          </w:p>
          <w:p>
            <w:pPr>
              <w:pStyle w:val="19"/>
              <w:spacing w:before="57"/>
              <w:ind w:left="29" w:right="13"/>
              <w:rPr>
                <w:sz w:val="21"/>
              </w:rPr>
            </w:pPr>
            <w:r>
              <w:rPr>
                <w:sz w:val="21"/>
              </w:rPr>
              <w:t>类标准限值</w:t>
            </w:r>
          </w:p>
        </w:tc>
        <w:tc>
          <w:tcPr>
            <w:tcW w:w="1311" w:type="dxa"/>
            <w:tcBorders>
              <w:top w:val="single" w:color="000000" w:sz="4" w:space="0"/>
              <w:left w:val="single" w:color="000000" w:sz="4" w:space="0"/>
              <w:bottom w:val="single" w:color="000000" w:sz="4" w:space="0"/>
              <w:right w:val="single" w:color="000000" w:sz="4" w:space="0"/>
            </w:tcBorders>
          </w:tcPr>
          <w:p>
            <w:pPr>
              <w:pStyle w:val="19"/>
              <w:spacing w:line="266" w:lineRule="exact"/>
              <w:ind w:left="114" w:right="96"/>
              <w:rPr>
                <w:sz w:val="21"/>
              </w:rPr>
            </w:pPr>
            <w:r>
              <w:rPr>
                <w:sz w:val="21"/>
              </w:rPr>
              <w:t>化学需氧量</w:t>
            </w:r>
          </w:p>
        </w:tc>
        <w:tc>
          <w:tcPr>
            <w:tcW w:w="1065" w:type="dxa"/>
            <w:vMerge w:val="restart"/>
            <w:tcBorders>
              <w:top w:val="single" w:color="000000" w:sz="4" w:space="0"/>
              <w:left w:val="single" w:color="000000" w:sz="4" w:space="0"/>
              <w:bottom w:val="single" w:color="000000" w:sz="4" w:space="0"/>
              <w:right w:val="single" w:color="000000" w:sz="4" w:space="0"/>
            </w:tcBorders>
          </w:tcPr>
          <w:p>
            <w:pPr>
              <w:pStyle w:val="19"/>
              <w:spacing w:before="181"/>
              <w:ind w:left="309"/>
              <w:jc w:val="left"/>
              <w:rPr>
                <w:rFonts w:ascii="Times New Roman"/>
                <w:sz w:val="21"/>
              </w:rPr>
            </w:pPr>
            <w:r>
              <w:rPr>
                <w:rFonts w:ascii="Times New Roman"/>
                <w:sz w:val="21"/>
              </w:rPr>
              <w:t>mg/L</w:t>
            </w:r>
          </w:p>
        </w:tc>
        <w:tc>
          <w:tcPr>
            <w:tcW w:w="1622" w:type="dxa"/>
            <w:tcBorders>
              <w:top w:val="single" w:color="000000" w:sz="4" w:space="0"/>
              <w:left w:val="single" w:color="000000" w:sz="4" w:space="0"/>
              <w:bottom w:val="single" w:color="000000" w:sz="4" w:space="0"/>
            </w:tcBorders>
          </w:tcPr>
          <w:p>
            <w:pPr>
              <w:pStyle w:val="19"/>
              <w:spacing w:before="13"/>
              <w:ind w:left="185" w:right="160"/>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673" w:type="dxa"/>
            <w:vMerge w:val="continue"/>
            <w:tcBorders>
              <w:top w:val="nil"/>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9"/>
              <w:spacing w:line="265" w:lineRule="exact"/>
              <w:ind w:left="112" w:right="96"/>
              <w:rPr>
                <w:sz w:val="21"/>
              </w:rPr>
            </w:pPr>
            <w:r>
              <w:rPr>
                <w:sz w:val="21"/>
              </w:rPr>
              <w:t>石油类</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tcBorders>
              <w:top w:val="single" w:color="000000" w:sz="4" w:space="0"/>
              <w:left w:val="single" w:color="000000" w:sz="4" w:space="0"/>
              <w:bottom w:val="single" w:color="000000" w:sz="4" w:space="0"/>
            </w:tcBorders>
          </w:tcPr>
          <w:p>
            <w:pPr>
              <w:pStyle w:val="19"/>
              <w:spacing w:before="12"/>
              <w:ind w:left="185" w:right="160"/>
              <w:rPr>
                <w:rFonts w:ascii="Times New Roman"/>
                <w:sz w:val="21"/>
              </w:rPr>
            </w:pPr>
            <w:r>
              <w:rPr>
                <w:rFonts w:asci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673" w:type="dxa"/>
            <w:vMerge w:val="continue"/>
            <w:tcBorders>
              <w:top w:val="nil"/>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9"/>
              <w:spacing w:before="10"/>
              <w:jc w:val="left"/>
              <w:rPr>
                <w:b/>
                <w:sz w:val="25"/>
              </w:rPr>
            </w:pPr>
          </w:p>
          <w:p>
            <w:pPr>
              <w:pStyle w:val="19"/>
              <w:ind w:left="113"/>
              <w:jc w:val="left"/>
              <w:rPr>
                <w:rFonts w:ascii="Times New Roman" w:eastAsia="Times New Roman"/>
                <w:sz w:val="21"/>
              </w:rPr>
            </w:pPr>
            <w:r>
              <w:rPr>
                <w:spacing w:val="-17"/>
                <w:sz w:val="21"/>
              </w:rPr>
              <w:t>《煤矿井下消防、洒水设计规范》</w:t>
            </w:r>
            <w:r>
              <w:rPr>
                <w:rFonts w:ascii="Times New Roman" w:eastAsia="Times New Roman"/>
                <w:sz w:val="21"/>
              </w:rPr>
              <w:t>(GB50383-2006)</w:t>
            </w:r>
          </w:p>
        </w:tc>
        <w:tc>
          <w:tcPr>
            <w:tcW w:w="1311" w:type="dxa"/>
            <w:tcBorders>
              <w:top w:val="single" w:color="000000" w:sz="4" w:space="0"/>
              <w:left w:val="single" w:color="000000" w:sz="4" w:space="0"/>
              <w:bottom w:val="single" w:color="000000" w:sz="4" w:space="0"/>
              <w:right w:val="single" w:color="000000" w:sz="4" w:space="0"/>
            </w:tcBorders>
          </w:tcPr>
          <w:p>
            <w:pPr>
              <w:pStyle w:val="19"/>
              <w:spacing w:before="13"/>
              <w:ind w:left="114" w:right="96"/>
              <w:rPr>
                <w:rFonts w:ascii="Times New Roman"/>
                <w:sz w:val="21"/>
              </w:rPr>
            </w:pPr>
            <w:r>
              <w:rPr>
                <w:rFonts w:ascii="Times New Roman"/>
                <w:sz w:val="21"/>
              </w:rPr>
              <w:t>pH</w:t>
            </w:r>
          </w:p>
        </w:tc>
        <w:tc>
          <w:tcPr>
            <w:tcW w:w="1065" w:type="dxa"/>
            <w:tcBorders>
              <w:top w:val="single" w:color="000000" w:sz="4" w:space="0"/>
              <w:left w:val="single" w:color="000000" w:sz="4" w:space="0"/>
              <w:bottom w:val="single" w:color="000000" w:sz="4" w:space="0"/>
              <w:right w:val="single" w:color="000000" w:sz="4" w:space="0"/>
            </w:tcBorders>
          </w:tcPr>
          <w:p>
            <w:pPr>
              <w:pStyle w:val="19"/>
              <w:spacing w:line="264" w:lineRule="exact"/>
              <w:ind w:left="200" w:right="184"/>
              <w:rPr>
                <w:sz w:val="21"/>
              </w:rPr>
            </w:pPr>
            <w:r>
              <w:rPr>
                <w:sz w:val="21"/>
              </w:rPr>
              <w:t>无量纲</w:t>
            </w:r>
          </w:p>
        </w:tc>
        <w:tc>
          <w:tcPr>
            <w:tcW w:w="1622" w:type="dxa"/>
            <w:tcBorders>
              <w:top w:val="single" w:color="000000" w:sz="4" w:space="0"/>
              <w:left w:val="single" w:color="000000" w:sz="4" w:space="0"/>
              <w:bottom w:val="single" w:color="000000" w:sz="4" w:space="0"/>
            </w:tcBorders>
          </w:tcPr>
          <w:p>
            <w:pPr>
              <w:pStyle w:val="19"/>
              <w:spacing w:line="264" w:lineRule="exact"/>
              <w:ind w:left="184" w:right="161"/>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673" w:type="dxa"/>
            <w:vMerge w:val="continue"/>
            <w:tcBorders>
              <w:top w:val="nil"/>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9"/>
              <w:spacing w:line="263" w:lineRule="exact"/>
              <w:ind w:left="112" w:right="96"/>
              <w:rPr>
                <w:sz w:val="21"/>
              </w:rPr>
            </w:pPr>
            <w:r>
              <w:rPr>
                <w:sz w:val="21"/>
              </w:rPr>
              <w:t>悬浮物</w:t>
            </w:r>
          </w:p>
        </w:tc>
        <w:tc>
          <w:tcPr>
            <w:tcW w:w="1065" w:type="dxa"/>
            <w:vMerge w:val="restart"/>
            <w:tcBorders>
              <w:top w:val="single" w:color="000000" w:sz="4" w:space="0"/>
              <w:left w:val="single" w:color="000000" w:sz="4" w:space="0"/>
              <w:bottom w:val="single" w:color="000000" w:sz="4" w:space="0"/>
              <w:right w:val="single" w:color="000000" w:sz="4" w:space="0"/>
            </w:tcBorders>
          </w:tcPr>
          <w:p>
            <w:pPr>
              <w:pStyle w:val="19"/>
              <w:spacing w:before="180"/>
              <w:ind w:left="309"/>
              <w:jc w:val="left"/>
              <w:rPr>
                <w:rFonts w:ascii="Times New Roman"/>
                <w:sz w:val="21"/>
              </w:rPr>
            </w:pPr>
            <w:r>
              <w:rPr>
                <w:rFonts w:ascii="Times New Roman"/>
                <w:sz w:val="21"/>
              </w:rPr>
              <w:t>mg/L</w:t>
            </w:r>
          </w:p>
        </w:tc>
        <w:tc>
          <w:tcPr>
            <w:tcW w:w="1622" w:type="dxa"/>
            <w:tcBorders>
              <w:top w:val="single" w:color="000000" w:sz="4" w:space="0"/>
              <w:left w:val="single" w:color="000000" w:sz="4" w:space="0"/>
              <w:bottom w:val="single" w:color="000000" w:sz="4" w:space="0"/>
            </w:tcBorders>
          </w:tcPr>
          <w:p>
            <w:pPr>
              <w:pStyle w:val="19"/>
              <w:spacing w:before="12"/>
              <w:ind w:left="185" w:right="160"/>
              <w:rPr>
                <w:rFonts w:ascii="Times New Roman"/>
                <w:sz w:val="21"/>
              </w:rPr>
            </w:pPr>
            <w:r>
              <w:rPr>
                <w:rFonts w:asci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673" w:type="dxa"/>
            <w:vMerge w:val="continue"/>
            <w:tcBorders>
              <w:top w:val="nil"/>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09" w:right="96"/>
              <w:rPr>
                <w:sz w:val="21"/>
              </w:rPr>
            </w:pPr>
            <w:r>
              <w:rPr>
                <w:sz w:val="21"/>
              </w:rPr>
              <w:t>大肠菌群</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tcBorders>
              <w:top w:val="single" w:color="000000" w:sz="4" w:space="0"/>
              <w:left w:val="single" w:color="000000" w:sz="4" w:space="0"/>
              <w:bottom w:val="single" w:color="000000" w:sz="4" w:space="0"/>
            </w:tcBorders>
          </w:tcPr>
          <w:p>
            <w:pPr>
              <w:pStyle w:val="19"/>
              <w:spacing w:line="264" w:lineRule="exact"/>
              <w:ind w:left="183" w:right="161"/>
              <w:rPr>
                <w:rFonts w:ascii="Times New Roman" w:hAnsi="Times New Roman" w:eastAsia="Times New Roman"/>
                <w:sz w:val="21"/>
              </w:rPr>
            </w:pPr>
            <w:r>
              <w:rPr>
                <w:rFonts w:ascii="Times New Roman" w:hAnsi="Times New Roman" w:eastAsia="Times New Roman"/>
                <w:sz w:val="21"/>
              </w:rPr>
              <w:t xml:space="preserve">≤3 </w:t>
            </w:r>
            <w:r>
              <w:rPr>
                <w:sz w:val="21"/>
              </w:rPr>
              <w:t>个</w:t>
            </w:r>
            <w:r>
              <w:rPr>
                <w:rFonts w:ascii="Times New Roman" w:hAnsi="Times New Roman" w:eastAsia="Times New Roman"/>
                <w:sz w:val="21"/>
              </w:rPr>
              <w:t>/L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673" w:type="dxa"/>
            <w:vMerge w:val="continue"/>
            <w:tcBorders>
              <w:top w:val="nil"/>
              <w:right w:val="single" w:color="000000" w:sz="4" w:space="0"/>
            </w:tcBorders>
          </w:tcPr>
          <w:p>
            <w:pPr>
              <w:rPr>
                <w:sz w:val="2"/>
                <w:szCs w:val="2"/>
              </w:rPr>
            </w:pPr>
          </w:p>
        </w:tc>
        <w:tc>
          <w:tcPr>
            <w:tcW w:w="4608" w:type="dxa"/>
            <w:vMerge w:val="restart"/>
            <w:tcBorders>
              <w:top w:val="single" w:color="000000" w:sz="4" w:space="0"/>
              <w:left w:val="single" w:color="000000" w:sz="4" w:space="0"/>
              <w:right w:val="single" w:color="000000" w:sz="4" w:space="0"/>
            </w:tcBorders>
          </w:tcPr>
          <w:p>
            <w:pPr>
              <w:pStyle w:val="19"/>
              <w:spacing w:before="167"/>
              <w:ind w:left="29" w:right="13"/>
              <w:rPr>
                <w:sz w:val="21"/>
              </w:rPr>
            </w:pPr>
            <w:r>
              <w:rPr>
                <w:sz w:val="21"/>
              </w:rPr>
              <w:t>《城市污水再生利用 城市杂用水水质》</w:t>
            </w:r>
          </w:p>
          <w:p>
            <w:pPr>
              <w:pStyle w:val="19"/>
              <w:spacing w:before="57"/>
              <w:ind w:left="32" w:right="13"/>
              <w:rPr>
                <w:sz w:val="21"/>
              </w:rPr>
            </w:pPr>
            <w:r>
              <w:rPr>
                <w:sz w:val="21"/>
              </w:rPr>
              <w:t>（</w:t>
            </w:r>
            <w:r>
              <w:rPr>
                <w:rFonts w:ascii="Times New Roman" w:eastAsia="Times New Roman"/>
                <w:sz w:val="21"/>
              </w:rPr>
              <w:t>GB/T18920-2002</w:t>
            </w:r>
            <w:r>
              <w:rPr>
                <w:sz w:val="21"/>
              </w:rPr>
              <w:t>）城市绿化</w:t>
            </w:r>
          </w:p>
        </w:tc>
        <w:tc>
          <w:tcPr>
            <w:tcW w:w="1311" w:type="dxa"/>
            <w:tcBorders>
              <w:top w:val="single" w:color="000000" w:sz="4" w:space="0"/>
              <w:left w:val="single" w:color="000000" w:sz="4" w:space="0"/>
              <w:bottom w:val="single" w:color="000000" w:sz="4" w:space="0"/>
              <w:right w:val="single" w:color="000000" w:sz="4" w:space="0"/>
            </w:tcBorders>
          </w:tcPr>
          <w:p>
            <w:pPr>
              <w:pStyle w:val="19"/>
              <w:spacing w:before="13"/>
              <w:ind w:left="114" w:right="96"/>
              <w:rPr>
                <w:rFonts w:ascii="Times New Roman"/>
                <w:sz w:val="21"/>
              </w:rPr>
            </w:pPr>
            <w:r>
              <w:rPr>
                <w:rFonts w:ascii="Times New Roman"/>
                <w:sz w:val="21"/>
              </w:rPr>
              <w:t>pH</w:t>
            </w:r>
          </w:p>
        </w:tc>
        <w:tc>
          <w:tcPr>
            <w:tcW w:w="1065" w:type="dxa"/>
            <w:tcBorders>
              <w:top w:val="single" w:color="000000" w:sz="4" w:space="0"/>
              <w:left w:val="single" w:color="000000" w:sz="4" w:space="0"/>
              <w:bottom w:val="single" w:color="000000" w:sz="4" w:space="0"/>
              <w:right w:val="single" w:color="000000" w:sz="4" w:space="0"/>
            </w:tcBorders>
          </w:tcPr>
          <w:p>
            <w:pPr>
              <w:pStyle w:val="19"/>
              <w:spacing w:line="263" w:lineRule="exact"/>
              <w:ind w:left="200" w:right="184"/>
              <w:rPr>
                <w:sz w:val="21"/>
              </w:rPr>
            </w:pPr>
            <w:r>
              <w:rPr>
                <w:sz w:val="21"/>
              </w:rPr>
              <w:t>无量纲</w:t>
            </w:r>
          </w:p>
        </w:tc>
        <w:tc>
          <w:tcPr>
            <w:tcW w:w="1622" w:type="dxa"/>
            <w:tcBorders>
              <w:top w:val="single" w:color="000000" w:sz="4" w:space="0"/>
              <w:left w:val="single" w:color="000000" w:sz="4" w:space="0"/>
              <w:bottom w:val="single" w:color="000000" w:sz="4" w:space="0"/>
            </w:tcBorders>
          </w:tcPr>
          <w:p>
            <w:pPr>
              <w:pStyle w:val="19"/>
              <w:spacing w:line="263" w:lineRule="exact"/>
              <w:ind w:left="184" w:right="161"/>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673" w:type="dxa"/>
            <w:vMerge w:val="continue"/>
            <w:tcBorders>
              <w:top w:val="nil"/>
              <w:right w:val="single" w:color="000000" w:sz="4" w:space="0"/>
            </w:tcBorders>
          </w:tcPr>
          <w:p>
            <w:pPr>
              <w:rPr>
                <w:sz w:val="2"/>
                <w:szCs w:val="2"/>
              </w:rPr>
            </w:pPr>
          </w:p>
        </w:tc>
        <w:tc>
          <w:tcPr>
            <w:tcW w:w="4608" w:type="dxa"/>
            <w:vMerge w:val="continue"/>
            <w:tcBorders>
              <w:top w:val="nil"/>
              <w:left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9"/>
              <w:spacing w:line="266" w:lineRule="exact"/>
              <w:ind w:left="112" w:right="96"/>
              <w:rPr>
                <w:sz w:val="21"/>
              </w:rPr>
            </w:pPr>
            <w:r>
              <w:rPr>
                <w:sz w:val="21"/>
              </w:rPr>
              <w:t>色度</w:t>
            </w:r>
          </w:p>
        </w:tc>
        <w:tc>
          <w:tcPr>
            <w:tcW w:w="1065" w:type="dxa"/>
            <w:tcBorders>
              <w:top w:val="single" w:color="000000" w:sz="4" w:space="0"/>
              <w:left w:val="single" w:color="000000" w:sz="4" w:space="0"/>
              <w:bottom w:val="single" w:color="000000" w:sz="4" w:space="0"/>
              <w:right w:val="single" w:color="000000" w:sz="4" w:space="0"/>
            </w:tcBorders>
          </w:tcPr>
          <w:p>
            <w:pPr>
              <w:pStyle w:val="19"/>
              <w:spacing w:line="266" w:lineRule="exact"/>
              <w:ind w:left="18"/>
              <w:rPr>
                <w:sz w:val="21"/>
              </w:rPr>
            </w:pPr>
            <w:r>
              <w:rPr>
                <w:w w:val="99"/>
                <w:sz w:val="21"/>
              </w:rPr>
              <w:t>度</w:t>
            </w:r>
          </w:p>
        </w:tc>
        <w:tc>
          <w:tcPr>
            <w:tcW w:w="1622" w:type="dxa"/>
            <w:tcBorders>
              <w:top w:val="single" w:color="000000" w:sz="4" w:space="0"/>
              <w:left w:val="single" w:color="000000" w:sz="4" w:space="0"/>
              <w:bottom w:val="single" w:color="000000" w:sz="4" w:space="0"/>
            </w:tcBorders>
          </w:tcPr>
          <w:p>
            <w:pPr>
              <w:pStyle w:val="19"/>
              <w:spacing w:before="13"/>
              <w:ind w:left="185" w:right="160"/>
              <w:rPr>
                <w:rFonts w:ascii="Times New Roman"/>
                <w:sz w:val="21"/>
              </w:rPr>
            </w:pPr>
            <w:r>
              <w:rPr>
                <w:rFonts w:asci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9" w:hRule="atLeast"/>
        </w:trPr>
        <w:tc>
          <w:tcPr>
            <w:tcW w:w="673" w:type="dxa"/>
            <w:vMerge w:val="continue"/>
            <w:tcBorders>
              <w:top w:val="nil"/>
              <w:right w:val="single" w:color="000000" w:sz="4" w:space="0"/>
            </w:tcBorders>
          </w:tcPr>
          <w:p>
            <w:pPr>
              <w:rPr>
                <w:sz w:val="2"/>
                <w:szCs w:val="2"/>
              </w:rPr>
            </w:pPr>
          </w:p>
        </w:tc>
        <w:tc>
          <w:tcPr>
            <w:tcW w:w="4608" w:type="dxa"/>
            <w:vMerge w:val="continue"/>
            <w:tcBorders>
              <w:top w:val="nil"/>
              <w:left w:val="single" w:color="000000" w:sz="4" w:space="0"/>
              <w:right w:val="single" w:color="000000" w:sz="4" w:space="0"/>
            </w:tcBorders>
          </w:tcPr>
          <w:p>
            <w:pPr>
              <w:rPr>
                <w:sz w:val="2"/>
                <w:szCs w:val="2"/>
              </w:rPr>
            </w:pPr>
          </w:p>
        </w:tc>
        <w:tc>
          <w:tcPr>
            <w:tcW w:w="1311" w:type="dxa"/>
            <w:tcBorders>
              <w:top w:val="single" w:color="000000" w:sz="4" w:space="0"/>
              <w:left w:val="single" w:color="000000" w:sz="4" w:space="0"/>
              <w:right w:val="single" w:color="000000" w:sz="4" w:space="0"/>
            </w:tcBorders>
          </w:tcPr>
          <w:p>
            <w:pPr>
              <w:pStyle w:val="19"/>
              <w:spacing w:line="265" w:lineRule="exact"/>
              <w:ind w:left="112" w:right="96"/>
              <w:rPr>
                <w:sz w:val="21"/>
              </w:rPr>
            </w:pPr>
            <w:r>
              <w:rPr>
                <w:sz w:val="21"/>
              </w:rPr>
              <w:t>浊度</w:t>
            </w:r>
          </w:p>
        </w:tc>
        <w:tc>
          <w:tcPr>
            <w:tcW w:w="1065" w:type="dxa"/>
            <w:tcBorders>
              <w:top w:val="single" w:color="000000" w:sz="4" w:space="0"/>
              <w:left w:val="single" w:color="000000" w:sz="4" w:space="0"/>
              <w:right w:val="single" w:color="000000" w:sz="4" w:space="0"/>
            </w:tcBorders>
          </w:tcPr>
          <w:p>
            <w:pPr>
              <w:pStyle w:val="19"/>
              <w:spacing w:before="12"/>
              <w:ind w:left="200" w:right="182"/>
              <w:rPr>
                <w:rFonts w:ascii="Times New Roman"/>
                <w:sz w:val="21"/>
              </w:rPr>
            </w:pPr>
            <w:r>
              <w:rPr>
                <w:rFonts w:ascii="Times New Roman"/>
                <w:sz w:val="21"/>
              </w:rPr>
              <w:t>NTU</w:t>
            </w:r>
          </w:p>
        </w:tc>
        <w:tc>
          <w:tcPr>
            <w:tcW w:w="1622" w:type="dxa"/>
            <w:tcBorders>
              <w:top w:val="single" w:color="000000" w:sz="4" w:space="0"/>
              <w:left w:val="single" w:color="000000" w:sz="4" w:space="0"/>
            </w:tcBorders>
          </w:tcPr>
          <w:p>
            <w:pPr>
              <w:pStyle w:val="19"/>
              <w:spacing w:before="12"/>
              <w:ind w:left="185" w:right="160"/>
              <w:rPr>
                <w:rFonts w:ascii="Times New Roman"/>
                <w:sz w:val="21"/>
              </w:rPr>
            </w:pPr>
            <w:r>
              <w:rPr>
                <w:rFonts w:ascii="Times New Roman"/>
                <w:sz w:val="21"/>
              </w:rPr>
              <w:t>10</w:t>
            </w:r>
          </w:p>
        </w:tc>
      </w:tr>
    </w:tbl>
    <w:p>
      <w:pPr>
        <w:spacing w:after="0"/>
        <w:rPr>
          <w:rFonts w:ascii="Times New Roman"/>
          <w:sz w:val="21"/>
        </w:rPr>
        <w:sectPr>
          <w:pgSz w:w="11910" w:h="16840"/>
          <w:pgMar w:top="1400" w:right="1160" w:bottom="1100" w:left="1200" w:header="0" w:footer="913" w:gutter="0"/>
        </w:sectPr>
      </w:pPr>
    </w:p>
    <w:tbl>
      <w:tblPr>
        <w:tblStyle w:val="15"/>
        <w:tblW w:w="0" w:type="auto"/>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3"/>
        <w:gridCol w:w="4608"/>
        <w:gridCol w:w="726"/>
        <w:gridCol w:w="585"/>
        <w:gridCol w:w="1065"/>
        <w:gridCol w:w="906"/>
        <w:gridCol w:w="7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restart"/>
            <w:tcBorders>
              <w:bottom w:val="single" w:color="000000" w:sz="4" w:space="0"/>
              <w:right w:val="single" w:color="000000" w:sz="4" w:space="0"/>
            </w:tcBorders>
          </w:tcPr>
          <w:p>
            <w:pPr>
              <w:pStyle w:val="19"/>
              <w:spacing w:before="170"/>
              <w:ind w:left="126"/>
              <w:jc w:val="left"/>
              <w:rPr>
                <w:sz w:val="21"/>
              </w:rPr>
            </w:pPr>
            <w:r>
              <w:rPr>
                <w:sz w:val="21"/>
              </w:rPr>
              <w:t>类别</w:t>
            </w:r>
          </w:p>
        </w:tc>
        <w:tc>
          <w:tcPr>
            <w:tcW w:w="4608" w:type="dxa"/>
            <w:vMerge w:val="restart"/>
            <w:tcBorders>
              <w:left w:val="single" w:color="000000" w:sz="4" w:space="0"/>
              <w:bottom w:val="single" w:color="000000" w:sz="4" w:space="0"/>
              <w:right w:val="single" w:color="000000" w:sz="4" w:space="0"/>
            </w:tcBorders>
          </w:tcPr>
          <w:p>
            <w:pPr>
              <w:pStyle w:val="19"/>
              <w:spacing w:before="170"/>
              <w:ind w:left="1258"/>
              <w:jc w:val="left"/>
              <w:rPr>
                <w:sz w:val="21"/>
              </w:rPr>
            </w:pPr>
            <w:r>
              <w:rPr>
                <w:sz w:val="21"/>
              </w:rPr>
              <w:t>标准名称及级（类）别</w:t>
            </w:r>
          </w:p>
        </w:tc>
        <w:tc>
          <w:tcPr>
            <w:tcW w:w="1311" w:type="dxa"/>
            <w:gridSpan w:val="2"/>
            <w:vMerge w:val="restart"/>
            <w:tcBorders>
              <w:left w:val="single" w:color="000000" w:sz="4" w:space="0"/>
              <w:bottom w:val="single" w:color="000000" w:sz="4" w:space="0"/>
              <w:right w:val="single" w:color="000000" w:sz="4" w:space="0"/>
            </w:tcBorders>
          </w:tcPr>
          <w:p>
            <w:pPr>
              <w:pStyle w:val="19"/>
              <w:spacing w:before="170"/>
              <w:ind w:left="238"/>
              <w:jc w:val="left"/>
              <w:rPr>
                <w:sz w:val="21"/>
              </w:rPr>
            </w:pPr>
            <w:r>
              <w:rPr>
                <w:sz w:val="21"/>
              </w:rPr>
              <w:t>污染因子</w:t>
            </w:r>
          </w:p>
        </w:tc>
        <w:tc>
          <w:tcPr>
            <w:tcW w:w="2687" w:type="dxa"/>
            <w:gridSpan w:val="3"/>
            <w:tcBorders>
              <w:left w:val="single" w:color="000000" w:sz="4" w:space="0"/>
              <w:bottom w:val="single" w:color="000000" w:sz="4" w:space="0"/>
            </w:tcBorders>
          </w:tcPr>
          <w:p>
            <w:pPr>
              <w:pStyle w:val="19"/>
              <w:spacing w:before="2"/>
              <w:ind w:left="1011" w:right="990"/>
              <w:rPr>
                <w:sz w:val="21"/>
              </w:rPr>
            </w:pPr>
            <w:r>
              <w:rPr>
                <w:sz w:val="21"/>
              </w:rPr>
              <w:t>标准值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65" w:type="dxa"/>
            <w:tcBorders>
              <w:top w:val="single" w:color="000000" w:sz="4" w:space="0"/>
              <w:left w:val="single" w:color="000000" w:sz="4" w:space="0"/>
              <w:bottom w:val="single" w:color="000000" w:sz="4" w:space="0"/>
              <w:right w:val="single" w:color="000000" w:sz="4" w:space="0"/>
            </w:tcBorders>
          </w:tcPr>
          <w:p>
            <w:pPr>
              <w:pStyle w:val="19"/>
              <w:spacing w:before="1"/>
              <w:ind w:left="200" w:right="184"/>
              <w:rPr>
                <w:sz w:val="21"/>
              </w:rPr>
            </w:pPr>
            <w:r>
              <w:rPr>
                <w:sz w:val="21"/>
              </w:rPr>
              <w:t>单位</w:t>
            </w:r>
          </w:p>
        </w:tc>
        <w:tc>
          <w:tcPr>
            <w:tcW w:w="1622" w:type="dxa"/>
            <w:gridSpan w:val="2"/>
            <w:tcBorders>
              <w:top w:val="single" w:color="000000" w:sz="4" w:space="0"/>
              <w:left w:val="single" w:color="000000" w:sz="4" w:space="0"/>
              <w:bottom w:val="single" w:color="000000" w:sz="4" w:space="0"/>
            </w:tcBorders>
          </w:tcPr>
          <w:p>
            <w:pPr>
              <w:pStyle w:val="19"/>
              <w:spacing w:before="1"/>
              <w:ind w:left="183" w:right="161"/>
              <w:rPr>
                <w:sz w:val="21"/>
              </w:rPr>
            </w:pPr>
            <w:r>
              <w:rPr>
                <w:sz w:val="21"/>
              </w:rPr>
              <w:t>数值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673" w:type="dxa"/>
            <w:vMerge w:val="restart"/>
            <w:tcBorders>
              <w:top w:val="single" w:color="000000" w:sz="4" w:space="0"/>
              <w:bottom w:val="single" w:color="000000" w:sz="4" w:space="0"/>
              <w:right w:val="single" w:color="000000" w:sz="4" w:space="0"/>
            </w:tcBorders>
          </w:tcPr>
          <w:p>
            <w:pPr>
              <w:pStyle w:val="19"/>
              <w:jc w:val="left"/>
              <w:rPr>
                <w:rFonts w:ascii="Times New Roman"/>
                <w:sz w:val="20"/>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9"/>
              <w:ind w:left="114" w:right="96"/>
              <w:rPr>
                <w:sz w:val="21"/>
              </w:rPr>
            </w:pPr>
            <w:r>
              <w:rPr>
                <w:sz w:val="21"/>
              </w:rPr>
              <w:t>溶解性总固</w:t>
            </w:r>
          </w:p>
          <w:p>
            <w:pPr>
              <w:pStyle w:val="19"/>
              <w:spacing w:before="57"/>
              <w:ind w:left="18"/>
              <w:rPr>
                <w:sz w:val="21"/>
              </w:rPr>
            </w:pPr>
            <w:r>
              <w:rPr>
                <w:w w:val="99"/>
                <w:sz w:val="21"/>
              </w:rPr>
              <w:t>体</w:t>
            </w:r>
          </w:p>
        </w:tc>
        <w:tc>
          <w:tcPr>
            <w:tcW w:w="1065"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5"/>
              <w:jc w:val="left"/>
              <w:rPr>
                <w:b/>
                <w:sz w:val="19"/>
              </w:rPr>
            </w:pPr>
          </w:p>
          <w:p>
            <w:pPr>
              <w:pStyle w:val="19"/>
              <w:ind w:left="309"/>
              <w:jc w:val="left"/>
              <w:rPr>
                <w:rFonts w:ascii="Times New Roman"/>
                <w:sz w:val="21"/>
              </w:rPr>
            </w:pPr>
            <w:r>
              <w:rPr>
                <w:rFonts w:ascii="Times New Roman"/>
                <w:sz w:val="21"/>
              </w:rPr>
              <w:t>mg/L</w:t>
            </w:r>
          </w:p>
        </w:tc>
        <w:tc>
          <w:tcPr>
            <w:tcW w:w="1622" w:type="dxa"/>
            <w:gridSpan w:val="2"/>
            <w:tcBorders>
              <w:top w:val="single" w:color="000000" w:sz="4" w:space="0"/>
              <w:left w:val="single" w:color="000000" w:sz="4" w:space="0"/>
              <w:bottom w:val="single" w:color="000000" w:sz="4" w:space="0"/>
            </w:tcBorders>
          </w:tcPr>
          <w:p>
            <w:pPr>
              <w:pStyle w:val="19"/>
              <w:spacing w:before="179"/>
              <w:ind w:left="185" w:right="160"/>
              <w:rPr>
                <w:rFonts w:ascii="Times New Roman"/>
                <w:sz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9"/>
              <w:spacing w:before="1"/>
              <w:ind w:left="114" w:right="96"/>
              <w:rPr>
                <w:sz w:val="21"/>
              </w:rPr>
            </w:pPr>
            <w:r>
              <w:rPr>
                <w:sz w:val="21"/>
              </w:rPr>
              <w:t>五日生化需</w:t>
            </w:r>
          </w:p>
          <w:p>
            <w:pPr>
              <w:pStyle w:val="19"/>
              <w:spacing w:before="58"/>
              <w:ind w:left="112" w:right="96"/>
              <w:rPr>
                <w:sz w:val="21"/>
              </w:rPr>
            </w:pPr>
            <w:r>
              <w:rPr>
                <w:sz w:val="21"/>
              </w:rPr>
              <w:t>氧量</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9"/>
              <w:spacing w:before="181"/>
              <w:ind w:left="185" w:right="160"/>
              <w:rPr>
                <w:rFonts w:ascii="Times New Roman"/>
                <w:sz w:val="21"/>
              </w:rPr>
            </w:pPr>
            <w:r>
              <w:rPr>
                <w:rFonts w:asci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9"/>
              <w:ind w:left="111" w:right="-15"/>
              <w:jc w:val="left"/>
              <w:rPr>
                <w:sz w:val="21"/>
              </w:rPr>
            </w:pPr>
            <w:r>
              <w:rPr>
                <w:spacing w:val="-46"/>
                <w:w w:val="95"/>
                <w:sz w:val="21"/>
              </w:rPr>
              <w:t>氨氮</w:t>
            </w:r>
            <w:r>
              <w:rPr>
                <w:w w:val="95"/>
                <w:sz w:val="21"/>
              </w:rPr>
              <w:t>（</w:t>
            </w:r>
            <w:r>
              <w:rPr>
                <w:rFonts w:ascii="Times New Roman" w:eastAsia="Times New Roman"/>
                <w:w w:val="95"/>
                <w:sz w:val="21"/>
              </w:rPr>
              <w:t>mg/L</w:t>
            </w:r>
            <w:r>
              <w:rPr>
                <w:w w:val="95"/>
                <w:sz w:val="21"/>
              </w:rPr>
              <w:t>）</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9"/>
              <w:spacing w:before="16"/>
              <w:ind w:left="185" w:right="160"/>
              <w:rPr>
                <w:rFonts w:ascii="Times New Roman"/>
                <w:sz w:val="21"/>
              </w:rPr>
            </w:pPr>
            <w:r>
              <w:rPr>
                <w:rFonts w:asci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9"/>
              <w:spacing w:line="268" w:lineRule="exact"/>
              <w:ind w:left="114" w:right="96"/>
              <w:rPr>
                <w:sz w:val="21"/>
              </w:rPr>
            </w:pPr>
            <w:r>
              <w:rPr>
                <w:sz w:val="21"/>
              </w:rPr>
              <w:t>阴离子表面</w:t>
            </w:r>
          </w:p>
          <w:p>
            <w:pPr>
              <w:pStyle w:val="19"/>
              <w:spacing w:before="57"/>
              <w:ind w:left="112" w:right="96"/>
              <w:rPr>
                <w:sz w:val="21"/>
              </w:rPr>
            </w:pPr>
            <w:r>
              <w:rPr>
                <w:sz w:val="21"/>
              </w:rPr>
              <w:t>活性剂</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9"/>
              <w:spacing w:before="181"/>
              <w:ind w:left="185" w:right="160"/>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9"/>
              <w:spacing w:before="1"/>
              <w:ind w:left="344"/>
              <w:jc w:val="left"/>
              <w:rPr>
                <w:sz w:val="21"/>
              </w:rPr>
            </w:pPr>
            <w:r>
              <w:rPr>
                <w:sz w:val="21"/>
              </w:rPr>
              <w:t>溶解氧</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9"/>
              <w:spacing w:before="17"/>
              <w:ind w:left="185" w:right="160"/>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4"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9"/>
              <w:spacing w:before="2"/>
              <w:jc w:val="left"/>
              <w:rPr>
                <w:b/>
                <w:sz w:val="24"/>
              </w:rPr>
            </w:pPr>
          </w:p>
          <w:p>
            <w:pPr>
              <w:pStyle w:val="19"/>
              <w:ind w:left="344"/>
              <w:jc w:val="left"/>
              <w:rPr>
                <w:sz w:val="21"/>
              </w:rPr>
            </w:pPr>
            <w:r>
              <w:rPr>
                <w:sz w:val="21"/>
              </w:rPr>
              <w:t>总余氯</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9"/>
              <w:ind w:left="79" w:right="55"/>
              <w:rPr>
                <w:sz w:val="21"/>
              </w:rPr>
            </w:pPr>
            <w:r>
              <w:rPr>
                <w:sz w:val="21"/>
              </w:rPr>
              <w:t xml:space="preserve">接触 </w:t>
            </w:r>
            <w:r>
              <w:rPr>
                <w:rFonts w:ascii="Times New Roman" w:eastAsia="Times New Roman"/>
                <w:sz w:val="21"/>
              </w:rPr>
              <w:t xml:space="preserve">30min </w:t>
            </w:r>
            <w:r>
              <w:rPr>
                <w:sz w:val="21"/>
              </w:rPr>
              <w:t>后</w:t>
            </w:r>
          </w:p>
          <w:p>
            <w:pPr>
              <w:pStyle w:val="19"/>
              <w:spacing w:before="57"/>
              <w:ind w:left="79" w:right="60"/>
              <w:rPr>
                <w:sz w:val="21"/>
              </w:rPr>
            </w:pPr>
            <w:r>
              <w:rPr>
                <w:rFonts w:ascii="Times New Roman" w:hAnsi="Times New Roman" w:eastAsia="Times New Roman"/>
                <w:sz w:val="21"/>
              </w:rPr>
              <w:t>≥1.0</w:t>
            </w:r>
            <w:r>
              <w:rPr>
                <w:sz w:val="21"/>
              </w:rPr>
              <w:t>，管网末端</w:t>
            </w:r>
          </w:p>
          <w:p>
            <w:pPr>
              <w:pStyle w:val="19"/>
              <w:spacing w:before="57"/>
              <w:ind w:left="185" w:right="160"/>
              <w:rPr>
                <w:rFonts w:ascii="Times New Roman" w:hAnsi="Times New Roman"/>
                <w:sz w:val="21"/>
              </w:rPr>
            </w:pPr>
            <w:r>
              <w:rPr>
                <w:rFonts w:ascii="Times New Roman" w:hAnsi="Times New Roman"/>
                <w:sz w:val="21"/>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9"/>
              <w:spacing w:before="1"/>
              <w:ind w:left="135"/>
              <w:jc w:val="left"/>
              <w:rPr>
                <w:sz w:val="21"/>
              </w:rPr>
            </w:pPr>
            <w:r>
              <w:rPr>
                <w:sz w:val="21"/>
              </w:rPr>
              <w:t>总大肠菌群</w:t>
            </w:r>
          </w:p>
        </w:tc>
        <w:tc>
          <w:tcPr>
            <w:tcW w:w="1065" w:type="dxa"/>
            <w:tcBorders>
              <w:top w:val="single" w:color="000000" w:sz="4" w:space="0"/>
              <w:left w:val="single" w:color="000000" w:sz="4" w:space="0"/>
              <w:bottom w:val="single" w:color="000000" w:sz="4" w:space="0"/>
              <w:right w:val="single" w:color="000000" w:sz="4" w:space="0"/>
            </w:tcBorders>
          </w:tcPr>
          <w:p>
            <w:pPr>
              <w:pStyle w:val="19"/>
              <w:spacing w:before="1"/>
              <w:ind w:left="200" w:right="184"/>
              <w:rPr>
                <w:rFonts w:ascii="Times New Roman" w:eastAsia="Times New Roman"/>
                <w:sz w:val="21"/>
              </w:rPr>
            </w:pPr>
            <w:r>
              <w:rPr>
                <w:sz w:val="21"/>
              </w:rPr>
              <w:t>个</w:t>
            </w:r>
            <w:r>
              <w:rPr>
                <w:rFonts w:ascii="Times New Roman" w:eastAsia="Times New Roman"/>
                <w:sz w:val="21"/>
              </w:rPr>
              <w:t>/L</w:t>
            </w:r>
          </w:p>
        </w:tc>
        <w:tc>
          <w:tcPr>
            <w:tcW w:w="1622" w:type="dxa"/>
            <w:gridSpan w:val="2"/>
            <w:tcBorders>
              <w:top w:val="single" w:color="000000" w:sz="4" w:space="0"/>
              <w:left w:val="single" w:color="000000" w:sz="4" w:space="0"/>
              <w:bottom w:val="single" w:color="000000" w:sz="4" w:space="0"/>
            </w:tcBorders>
          </w:tcPr>
          <w:p>
            <w:pPr>
              <w:pStyle w:val="19"/>
              <w:spacing w:before="17"/>
              <w:ind w:left="21"/>
              <w:rPr>
                <w:rFonts w:ascii="Times New Roman"/>
                <w:sz w:val="21"/>
              </w:rPr>
            </w:pPr>
            <w:r>
              <w:rPr>
                <w:rFonts w:ascii="Times New Roman"/>
                <w:w w:val="99"/>
                <w:sz w:val="21"/>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11"/>
              <w:jc w:val="left"/>
              <w:rPr>
                <w:b/>
                <w:sz w:val="27"/>
              </w:rPr>
            </w:pPr>
          </w:p>
          <w:p>
            <w:pPr>
              <w:pStyle w:val="19"/>
              <w:spacing w:before="1"/>
              <w:ind w:left="29" w:right="13"/>
              <w:rPr>
                <w:sz w:val="21"/>
              </w:rPr>
            </w:pPr>
            <w:r>
              <w:rPr>
                <w:sz w:val="21"/>
              </w:rPr>
              <w:t>《城市污水再生利用 城市杂用水水质》</w:t>
            </w:r>
          </w:p>
          <w:p>
            <w:pPr>
              <w:pStyle w:val="19"/>
              <w:spacing w:before="57"/>
              <w:ind w:left="32" w:right="13"/>
              <w:rPr>
                <w:sz w:val="21"/>
              </w:rPr>
            </w:pPr>
            <w:r>
              <w:rPr>
                <w:sz w:val="21"/>
              </w:rPr>
              <w:t>（</w:t>
            </w:r>
            <w:r>
              <w:rPr>
                <w:rFonts w:ascii="Times New Roman" w:eastAsia="Times New Roman"/>
                <w:sz w:val="21"/>
              </w:rPr>
              <w:t>GB/T18920-2002</w:t>
            </w:r>
            <w:r>
              <w:rPr>
                <w:sz w:val="21"/>
              </w:rPr>
              <w:t>）道路清扫</w:t>
            </w:r>
          </w:p>
        </w:tc>
        <w:tc>
          <w:tcPr>
            <w:tcW w:w="1311" w:type="dxa"/>
            <w:gridSpan w:val="2"/>
            <w:tcBorders>
              <w:top w:val="single" w:color="000000" w:sz="4" w:space="0"/>
              <w:left w:val="single" w:color="000000" w:sz="4" w:space="0"/>
              <w:bottom w:val="single" w:color="000000" w:sz="4" w:space="0"/>
              <w:right w:val="single" w:color="000000" w:sz="4" w:space="0"/>
            </w:tcBorders>
          </w:tcPr>
          <w:p>
            <w:pPr>
              <w:pStyle w:val="19"/>
              <w:spacing w:before="17"/>
              <w:ind w:left="114" w:right="96"/>
              <w:rPr>
                <w:rFonts w:ascii="Times New Roman"/>
                <w:sz w:val="21"/>
              </w:rPr>
            </w:pPr>
            <w:r>
              <w:rPr>
                <w:rFonts w:ascii="Times New Roman"/>
                <w:sz w:val="21"/>
              </w:rPr>
              <w:t>pH</w:t>
            </w:r>
          </w:p>
        </w:tc>
        <w:tc>
          <w:tcPr>
            <w:tcW w:w="1065" w:type="dxa"/>
            <w:tcBorders>
              <w:top w:val="single" w:color="000000" w:sz="4" w:space="0"/>
              <w:left w:val="single" w:color="000000" w:sz="4" w:space="0"/>
              <w:bottom w:val="single" w:color="000000" w:sz="4" w:space="0"/>
              <w:right w:val="single" w:color="000000" w:sz="4" w:space="0"/>
            </w:tcBorders>
          </w:tcPr>
          <w:p>
            <w:pPr>
              <w:pStyle w:val="19"/>
              <w:spacing w:before="1"/>
              <w:ind w:left="200" w:right="184"/>
              <w:rPr>
                <w:sz w:val="21"/>
              </w:rPr>
            </w:pPr>
            <w:r>
              <w:rPr>
                <w:sz w:val="21"/>
              </w:rPr>
              <w:t>无量纲</w:t>
            </w:r>
          </w:p>
        </w:tc>
        <w:tc>
          <w:tcPr>
            <w:tcW w:w="1622" w:type="dxa"/>
            <w:gridSpan w:val="2"/>
            <w:tcBorders>
              <w:top w:val="single" w:color="000000" w:sz="4" w:space="0"/>
              <w:left w:val="single" w:color="000000" w:sz="4" w:space="0"/>
              <w:bottom w:val="single" w:color="000000" w:sz="4" w:space="0"/>
            </w:tcBorders>
          </w:tcPr>
          <w:p>
            <w:pPr>
              <w:pStyle w:val="19"/>
              <w:spacing w:before="1"/>
              <w:ind w:left="184" w:right="161"/>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9"/>
              <w:ind w:left="449"/>
              <w:jc w:val="left"/>
              <w:rPr>
                <w:sz w:val="21"/>
              </w:rPr>
            </w:pPr>
            <w:r>
              <w:rPr>
                <w:sz w:val="21"/>
              </w:rPr>
              <w:t>色度</w:t>
            </w:r>
          </w:p>
        </w:tc>
        <w:tc>
          <w:tcPr>
            <w:tcW w:w="1065" w:type="dxa"/>
            <w:tcBorders>
              <w:top w:val="single" w:color="000000" w:sz="4" w:space="0"/>
              <w:left w:val="single" w:color="000000" w:sz="4" w:space="0"/>
              <w:bottom w:val="single" w:color="000000" w:sz="4" w:space="0"/>
              <w:right w:val="single" w:color="000000" w:sz="4" w:space="0"/>
            </w:tcBorders>
          </w:tcPr>
          <w:p>
            <w:pPr>
              <w:pStyle w:val="19"/>
              <w:ind w:left="18"/>
              <w:rPr>
                <w:sz w:val="21"/>
              </w:rPr>
            </w:pPr>
            <w:r>
              <w:rPr>
                <w:w w:val="99"/>
                <w:sz w:val="21"/>
              </w:rPr>
              <w:t>度</w:t>
            </w:r>
          </w:p>
        </w:tc>
        <w:tc>
          <w:tcPr>
            <w:tcW w:w="1622" w:type="dxa"/>
            <w:gridSpan w:val="2"/>
            <w:tcBorders>
              <w:top w:val="single" w:color="000000" w:sz="4" w:space="0"/>
              <w:left w:val="single" w:color="000000" w:sz="4" w:space="0"/>
              <w:bottom w:val="single" w:color="000000" w:sz="4" w:space="0"/>
            </w:tcBorders>
          </w:tcPr>
          <w:p>
            <w:pPr>
              <w:pStyle w:val="19"/>
              <w:spacing w:before="19"/>
              <w:ind w:left="185" w:right="160"/>
              <w:rPr>
                <w:rFonts w:ascii="Times New Roman"/>
                <w:sz w:val="21"/>
              </w:rPr>
            </w:pPr>
            <w:r>
              <w:rPr>
                <w:rFonts w:asci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9"/>
              <w:spacing w:line="268" w:lineRule="exact"/>
              <w:ind w:left="449"/>
              <w:jc w:val="left"/>
              <w:rPr>
                <w:sz w:val="21"/>
              </w:rPr>
            </w:pPr>
            <w:r>
              <w:rPr>
                <w:sz w:val="21"/>
              </w:rPr>
              <w:t>浊度</w:t>
            </w:r>
          </w:p>
        </w:tc>
        <w:tc>
          <w:tcPr>
            <w:tcW w:w="1065" w:type="dxa"/>
            <w:tcBorders>
              <w:top w:val="single" w:color="000000" w:sz="4" w:space="0"/>
              <w:left w:val="single" w:color="000000" w:sz="4" w:space="0"/>
              <w:bottom w:val="single" w:color="000000" w:sz="4" w:space="0"/>
              <w:right w:val="single" w:color="000000" w:sz="4" w:space="0"/>
            </w:tcBorders>
          </w:tcPr>
          <w:p>
            <w:pPr>
              <w:pStyle w:val="19"/>
              <w:spacing w:before="18"/>
              <w:ind w:left="200" w:right="182"/>
              <w:rPr>
                <w:rFonts w:ascii="Times New Roman"/>
                <w:sz w:val="21"/>
              </w:rPr>
            </w:pPr>
            <w:r>
              <w:rPr>
                <w:rFonts w:ascii="Times New Roman"/>
                <w:sz w:val="21"/>
              </w:rPr>
              <w:t>NTU</w:t>
            </w:r>
          </w:p>
        </w:tc>
        <w:tc>
          <w:tcPr>
            <w:tcW w:w="1622" w:type="dxa"/>
            <w:gridSpan w:val="2"/>
            <w:tcBorders>
              <w:top w:val="single" w:color="000000" w:sz="4" w:space="0"/>
              <w:left w:val="single" w:color="000000" w:sz="4" w:space="0"/>
              <w:bottom w:val="single" w:color="000000" w:sz="4" w:space="0"/>
            </w:tcBorders>
          </w:tcPr>
          <w:p>
            <w:pPr>
              <w:pStyle w:val="19"/>
              <w:spacing w:before="18"/>
              <w:ind w:left="185" w:right="160"/>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9"/>
              <w:ind w:left="114" w:right="96"/>
              <w:rPr>
                <w:sz w:val="21"/>
              </w:rPr>
            </w:pPr>
            <w:r>
              <w:rPr>
                <w:sz w:val="21"/>
              </w:rPr>
              <w:t>溶解性总固</w:t>
            </w:r>
          </w:p>
          <w:p>
            <w:pPr>
              <w:pStyle w:val="19"/>
              <w:spacing w:before="58"/>
              <w:ind w:left="18"/>
              <w:rPr>
                <w:sz w:val="21"/>
              </w:rPr>
            </w:pPr>
            <w:r>
              <w:rPr>
                <w:w w:val="99"/>
                <w:sz w:val="21"/>
              </w:rPr>
              <w:t>体</w:t>
            </w:r>
          </w:p>
        </w:tc>
        <w:tc>
          <w:tcPr>
            <w:tcW w:w="1065"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3"/>
              <w:jc w:val="left"/>
              <w:rPr>
                <w:b/>
                <w:sz w:val="19"/>
              </w:rPr>
            </w:pPr>
          </w:p>
          <w:p>
            <w:pPr>
              <w:pStyle w:val="19"/>
              <w:ind w:left="309"/>
              <w:jc w:val="left"/>
              <w:rPr>
                <w:rFonts w:ascii="Times New Roman"/>
                <w:sz w:val="21"/>
              </w:rPr>
            </w:pPr>
            <w:r>
              <w:rPr>
                <w:rFonts w:ascii="Times New Roman"/>
                <w:sz w:val="21"/>
              </w:rPr>
              <w:t>mg/L</w:t>
            </w:r>
          </w:p>
        </w:tc>
        <w:tc>
          <w:tcPr>
            <w:tcW w:w="1622" w:type="dxa"/>
            <w:gridSpan w:val="2"/>
            <w:tcBorders>
              <w:top w:val="single" w:color="000000" w:sz="4" w:space="0"/>
              <w:left w:val="single" w:color="000000" w:sz="4" w:space="0"/>
              <w:bottom w:val="single" w:color="000000" w:sz="4" w:space="0"/>
            </w:tcBorders>
          </w:tcPr>
          <w:p>
            <w:pPr>
              <w:pStyle w:val="19"/>
              <w:spacing w:before="180"/>
              <w:ind w:left="185" w:right="160"/>
              <w:rPr>
                <w:rFonts w:ascii="Times New Roman"/>
                <w:sz w:val="21"/>
              </w:rPr>
            </w:pPr>
            <w:r>
              <w:rPr>
                <w:rFonts w:ascii="Times New Roman"/>
                <w:sz w:val="21"/>
              </w:rPr>
              <w:t>1500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9"/>
              <w:ind w:left="114" w:right="96"/>
              <w:rPr>
                <w:sz w:val="21"/>
              </w:rPr>
            </w:pPr>
            <w:r>
              <w:rPr>
                <w:sz w:val="21"/>
              </w:rPr>
              <w:t>五日生化需</w:t>
            </w:r>
          </w:p>
          <w:p>
            <w:pPr>
              <w:pStyle w:val="19"/>
              <w:spacing w:before="57"/>
              <w:ind w:left="112" w:right="96"/>
              <w:rPr>
                <w:sz w:val="21"/>
              </w:rPr>
            </w:pPr>
            <w:r>
              <w:rPr>
                <w:sz w:val="21"/>
              </w:rPr>
              <w:t>氧量</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9"/>
              <w:spacing w:before="182"/>
              <w:ind w:left="185" w:right="160"/>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9"/>
              <w:ind w:left="111" w:right="-15"/>
              <w:jc w:val="left"/>
              <w:rPr>
                <w:sz w:val="21"/>
              </w:rPr>
            </w:pPr>
            <w:r>
              <w:rPr>
                <w:spacing w:val="-46"/>
                <w:w w:val="95"/>
                <w:sz w:val="21"/>
              </w:rPr>
              <w:t>氨氮</w:t>
            </w:r>
            <w:r>
              <w:rPr>
                <w:w w:val="95"/>
                <w:sz w:val="21"/>
              </w:rPr>
              <w:t>（</w:t>
            </w:r>
            <w:r>
              <w:rPr>
                <w:rFonts w:ascii="Times New Roman" w:eastAsia="Times New Roman"/>
                <w:w w:val="95"/>
                <w:sz w:val="21"/>
              </w:rPr>
              <w:t>mg/L</w:t>
            </w:r>
            <w:r>
              <w:rPr>
                <w:w w:val="95"/>
                <w:sz w:val="21"/>
              </w:rPr>
              <w:t>）</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9"/>
              <w:spacing w:before="17"/>
              <w:ind w:left="185" w:right="160"/>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9"/>
              <w:ind w:left="114" w:right="96"/>
              <w:rPr>
                <w:sz w:val="21"/>
              </w:rPr>
            </w:pPr>
            <w:r>
              <w:rPr>
                <w:sz w:val="21"/>
              </w:rPr>
              <w:t>阴离子表面</w:t>
            </w:r>
          </w:p>
          <w:p>
            <w:pPr>
              <w:pStyle w:val="19"/>
              <w:spacing w:before="57"/>
              <w:ind w:left="112" w:right="96"/>
              <w:rPr>
                <w:sz w:val="21"/>
              </w:rPr>
            </w:pPr>
            <w:r>
              <w:rPr>
                <w:sz w:val="21"/>
              </w:rPr>
              <w:t>活性剂</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9"/>
              <w:spacing w:before="179"/>
              <w:ind w:left="185" w:right="160"/>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9"/>
              <w:spacing w:before="1"/>
              <w:ind w:left="344"/>
              <w:jc w:val="left"/>
              <w:rPr>
                <w:sz w:val="21"/>
              </w:rPr>
            </w:pPr>
            <w:r>
              <w:rPr>
                <w:sz w:val="21"/>
              </w:rPr>
              <w:t>溶解氧</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9"/>
              <w:spacing w:before="18"/>
              <w:ind w:left="185" w:right="160"/>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3"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9"/>
              <w:spacing w:before="2"/>
              <w:jc w:val="left"/>
              <w:rPr>
                <w:b/>
                <w:sz w:val="24"/>
              </w:rPr>
            </w:pPr>
          </w:p>
          <w:p>
            <w:pPr>
              <w:pStyle w:val="19"/>
              <w:ind w:left="344"/>
              <w:jc w:val="left"/>
              <w:rPr>
                <w:sz w:val="21"/>
              </w:rPr>
            </w:pPr>
            <w:r>
              <w:rPr>
                <w:sz w:val="21"/>
              </w:rPr>
              <w:t>总余氯</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9"/>
              <w:ind w:left="79" w:right="55"/>
              <w:rPr>
                <w:sz w:val="21"/>
              </w:rPr>
            </w:pPr>
            <w:r>
              <w:rPr>
                <w:sz w:val="21"/>
              </w:rPr>
              <w:t xml:space="preserve">接触 </w:t>
            </w:r>
            <w:r>
              <w:rPr>
                <w:rFonts w:ascii="Times New Roman" w:eastAsia="Times New Roman"/>
                <w:sz w:val="21"/>
              </w:rPr>
              <w:t xml:space="preserve">30min </w:t>
            </w:r>
            <w:r>
              <w:rPr>
                <w:sz w:val="21"/>
              </w:rPr>
              <w:t>后</w:t>
            </w:r>
          </w:p>
          <w:p>
            <w:pPr>
              <w:pStyle w:val="19"/>
              <w:spacing w:before="58"/>
              <w:ind w:left="79" w:right="60"/>
              <w:rPr>
                <w:sz w:val="21"/>
              </w:rPr>
            </w:pPr>
            <w:r>
              <w:rPr>
                <w:rFonts w:ascii="Times New Roman" w:hAnsi="Times New Roman" w:eastAsia="Times New Roman"/>
                <w:sz w:val="21"/>
              </w:rPr>
              <w:t>≥1.0</w:t>
            </w:r>
            <w:r>
              <w:rPr>
                <w:sz w:val="21"/>
              </w:rPr>
              <w:t>，管网末端</w:t>
            </w:r>
          </w:p>
          <w:p>
            <w:pPr>
              <w:pStyle w:val="19"/>
              <w:spacing w:before="57"/>
              <w:ind w:left="185" w:right="160"/>
              <w:rPr>
                <w:rFonts w:ascii="Times New Roman" w:hAnsi="Times New Roman"/>
                <w:sz w:val="21"/>
              </w:rPr>
            </w:pPr>
            <w:r>
              <w:rPr>
                <w:rFonts w:ascii="Times New Roman" w:hAnsi="Times New Roman"/>
                <w:sz w:val="21"/>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9"/>
              <w:spacing w:line="268" w:lineRule="exact"/>
              <w:ind w:left="135"/>
              <w:jc w:val="left"/>
              <w:rPr>
                <w:sz w:val="21"/>
              </w:rPr>
            </w:pPr>
            <w:r>
              <w:rPr>
                <w:sz w:val="21"/>
              </w:rPr>
              <w:t>总大肠菌群</w:t>
            </w:r>
          </w:p>
        </w:tc>
        <w:tc>
          <w:tcPr>
            <w:tcW w:w="1065" w:type="dxa"/>
            <w:tcBorders>
              <w:top w:val="single" w:color="000000" w:sz="4" w:space="0"/>
              <w:left w:val="single" w:color="000000" w:sz="4" w:space="0"/>
              <w:bottom w:val="single" w:color="000000" w:sz="4" w:space="0"/>
              <w:right w:val="single" w:color="000000" w:sz="4" w:space="0"/>
            </w:tcBorders>
          </w:tcPr>
          <w:p>
            <w:pPr>
              <w:pStyle w:val="19"/>
              <w:spacing w:line="268" w:lineRule="exact"/>
              <w:ind w:left="200" w:right="184"/>
              <w:rPr>
                <w:rFonts w:ascii="Times New Roman" w:eastAsia="Times New Roman"/>
                <w:sz w:val="21"/>
              </w:rPr>
            </w:pPr>
            <w:r>
              <w:rPr>
                <w:sz w:val="21"/>
              </w:rPr>
              <w:t>个</w:t>
            </w:r>
            <w:r>
              <w:rPr>
                <w:rFonts w:ascii="Times New Roman" w:eastAsia="Times New Roman"/>
                <w:sz w:val="21"/>
              </w:rPr>
              <w:t>/L</w:t>
            </w:r>
          </w:p>
        </w:tc>
        <w:tc>
          <w:tcPr>
            <w:tcW w:w="1622" w:type="dxa"/>
            <w:gridSpan w:val="2"/>
            <w:tcBorders>
              <w:top w:val="single" w:color="000000" w:sz="4" w:space="0"/>
              <w:left w:val="single" w:color="000000" w:sz="4" w:space="0"/>
              <w:bottom w:val="single" w:color="000000" w:sz="4" w:space="0"/>
            </w:tcBorders>
          </w:tcPr>
          <w:p>
            <w:pPr>
              <w:pStyle w:val="19"/>
              <w:spacing w:before="18"/>
              <w:ind w:left="21"/>
              <w:rPr>
                <w:rFonts w:ascii="Times New Roman"/>
                <w:sz w:val="21"/>
              </w:rPr>
            </w:pPr>
            <w:r>
              <w:rPr>
                <w:rFonts w:ascii="Times New Roman"/>
                <w:w w:val="99"/>
                <w:sz w:val="21"/>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5" w:hRule="atLeast"/>
        </w:trPr>
        <w:tc>
          <w:tcPr>
            <w:tcW w:w="673" w:type="dxa"/>
            <w:vMerge w:val="restart"/>
            <w:tcBorders>
              <w:top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spacing w:before="12"/>
              <w:jc w:val="left"/>
              <w:rPr>
                <w:b/>
                <w:sz w:val="24"/>
              </w:rPr>
            </w:pPr>
          </w:p>
          <w:p>
            <w:pPr>
              <w:pStyle w:val="19"/>
              <w:ind w:left="126"/>
              <w:jc w:val="left"/>
              <w:rPr>
                <w:sz w:val="21"/>
              </w:rPr>
            </w:pPr>
            <w:r>
              <w:rPr>
                <w:sz w:val="21"/>
              </w:rPr>
              <w:t>噪声</w:t>
            </w: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9"/>
              <w:spacing w:before="1"/>
              <w:jc w:val="left"/>
              <w:rPr>
                <w:b/>
                <w:sz w:val="21"/>
              </w:rPr>
            </w:pPr>
          </w:p>
          <w:p>
            <w:pPr>
              <w:pStyle w:val="19"/>
              <w:ind w:left="27" w:right="13"/>
              <w:rPr>
                <w:sz w:val="21"/>
              </w:rPr>
            </w:pPr>
            <w:r>
              <w:rPr>
                <w:sz w:val="21"/>
              </w:rPr>
              <w:t>《工业企业厂界环境噪声排放标准》</w:t>
            </w:r>
          </w:p>
          <w:p>
            <w:pPr>
              <w:pStyle w:val="19"/>
              <w:spacing w:before="58"/>
              <w:ind w:left="32" w:right="13"/>
              <w:rPr>
                <w:sz w:val="21"/>
              </w:rPr>
            </w:pPr>
            <w:r>
              <w:rPr>
                <w:sz w:val="21"/>
              </w:rPr>
              <w:t>（</w:t>
            </w:r>
            <w:r>
              <w:rPr>
                <w:rFonts w:ascii="Times New Roman" w:eastAsia="Times New Roman"/>
                <w:sz w:val="21"/>
              </w:rPr>
              <w:t>GB12348-2008</w:t>
            </w:r>
            <w:r>
              <w:rPr>
                <w:sz w:val="21"/>
              </w:rPr>
              <w:t>）</w:t>
            </w:r>
            <w:r>
              <w:rPr>
                <w:rFonts w:ascii="Times New Roman" w:eastAsia="Times New Roman"/>
                <w:sz w:val="21"/>
              </w:rPr>
              <w:t xml:space="preserve">2 </w:t>
            </w:r>
            <w:r>
              <w:rPr>
                <w:sz w:val="21"/>
              </w:rPr>
              <w:t>类标准</w:t>
            </w:r>
          </w:p>
        </w:tc>
        <w:tc>
          <w:tcPr>
            <w:tcW w:w="726" w:type="dxa"/>
            <w:vMerge w:val="restart"/>
            <w:tcBorders>
              <w:top w:val="single" w:color="000000" w:sz="4" w:space="0"/>
              <w:left w:val="single" w:color="000000" w:sz="4" w:space="0"/>
              <w:bottom w:val="single" w:color="000000" w:sz="4" w:space="0"/>
              <w:right w:val="single" w:color="000000" w:sz="4" w:space="0"/>
            </w:tcBorders>
          </w:tcPr>
          <w:p>
            <w:pPr>
              <w:pStyle w:val="19"/>
              <w:spacing w:before="1"/>
              <w:jc w:val="left"/>
              <w:rPr>
                <w:b/>
                <w:sz w:val="21"/>
              </w:rPr>
            </w:pPr>
          </w:p>
          <w:p>
            <w:pPr>
              <w:pStyle w:val="19"/>
              <w:spacing w:line="290" w:lineRule="auto"/>
              <w:ind w:left="156" w:right="139"/>
              <w:jc w:val="left"/>
              <w:rPr>
                <w:sz w:val="21"/>
              </w:rPr>
            </w:pPr>
            <w:r>
              <w:rPr>
                <w:sz w:val="21"/>
              </w:rPr>
              <w:t>厂界噪声</w:t>
            </w:r>
          </w:p>
        </w:tc>
        <w:tc>
          <w:tcPr>
            <w:tcW w:w="585"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spacing w:before="152"/>
              <w:ind w:left="112"/>
              <w:jc w:val="left"/>
              <w:rPr>
                <w:sz w:val="21"/>
              </w:rPr>
            </w:pPr>
            <w:r>
              <w:rPr>
                <w:rFonts w:ascii="Times New Roman" w:eastAsia="Times New Roman"/>
                <w:sz w:val="21"/>
              </w:rPr>
              <w:t xml:space="preserve">2 </w:t>
            </w:r>
            <w:r>
              <w:rPr>
                <w:sz w:val="21"/>
              </w:rPr>
              <w:t>类</w:t>
            </w:r>
          </w:p>
        </w:tc>
        <w:tc>
          <w:tcPr>
            <w:tcW w:w="1065"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spacing w:before="168"/>
              <w:ind w:left="269"/>
              <w:jc w:val="left"/>
              <w:rPr>
                <w:rFonts w:ascii="Times New Roman"/>
                <w:sz w:val="21"/>
              </w:rPr>
            </w:pPr>
            <w:r>
              <w:rPr>
                <w:rFonts w:ascii="Times New Roman"/>
                <w:sz w:val="21"/>
              </w:rPr>
              <w:t>dB(A)</w:t>
            </w:r>
          </w:p>
        </w:tc>
        <w:tc>
          <w:tcPr>
            <w:tcW w:w="906" w:type="dxa"/>
            <w:tcBorders>
              <w:top w:val="single" w:color="000000" w:sz="4" w:space="0"/>
              <w:left w:val="single" w:color="000000" w:sz="4" w:space="0"/>
              <w:bottom w:val="single" w:color="000000" w:sz="4" w:space="0"/>
              <w:right w:val="single" w:color="000000" w:sz="4" w:space="0"/>
            </w:tcBorders>
          </w:tcPr>
          <w:p>
            <w:pPr>
              <w:pStyle w:val="19"/>
              <w:spacing w:before="145"/>
              <w:ind w:left="227" w:right="209"/>
              <w:rPr>
                <w:sz w:val="21"/>
              </w:rPr>
            </w:pPr>
            <w:r>
              <w:rPr>
                <w:sz w:val="21"/>
              </w:rPr>
              <w:t>昼间</w:t>
            </w:r>
          </w:p>
        </w:tc>
        <w:tc>
          <w:tcPr>
            <w:tcW w:w="716" w:type="dxa"/>
            <w:tcBorders>
              <w:top w:val="single" w:color="000000" w:sz="4" w:space="0"/>
              <w:left w:val="single" w:color="000000" w:sz="4" w:space="0"/>
              <w:bottom w:val="single" w:color="000000" w:sz="4" w:space="0"/>
            </w:tcBorders>
          </w:tcPr>
          <w:p>
            <w:pPr>
              <w:pStyle w:val="19"/>
              <w:spacing w:before="162"/>
              <w:ind w:right="232"/>
              <w:jc w:val="right"/>
              <w:rPr>
                <w:rFonts w:ascii="Times New Roman"/>
                <w:sz w:val="21"/>
              </w:rPr>
            </w:pPr>
            <w:r>
              <w:rPr>
                <w:rFonts w:ascii="Times New Roman"/>
                <w:sz w:val="21"/>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726" w:type="dxa"/>
            <w:vMerge w:val="continue"/>
            <w:tcBorders>
              <w:top w:val="nil"/>
              <w:left w:val="single" w:color="000000" w:sz="4" w:space="0"/>
              <w:bottom w:val="single" w:color="000000" w:sz="4" w:space="0"/>
              <w:right w:val="single" w:color="000000" w:sz="4" w:space="0"/>
            </w:tcBorders>
          </w:tcPr>
          <w:p>
            <w:pPr>
              <w:rPr>
                <w:sz w:val="2"/>
                <w:szCs w:val="2"/>
              </w:rPr>
            </w:pPr>
          </w:p>
        </w:tc>
        <w:tc>
          <w:tcPr>
            <w:tcW w:w="585" w:type="dxa"/>
            <w:vMerge w:val="continue"/>
            <w:tcBorders>
              <w:top w:val="nil"/>
              <w:left w:val="single" w:color="000000" w:sz="4" w:space="0"/>
              <w:bottom w:val="single" w:color="000000" w:sz="4" w:space="0"/>
              <w:right w:val="single" w:color="000000" w:sz="4" w:space="0"/>
            </w:tcBorders>
          </w:tcPr>
          <w:p>
            <w:pPr>
              <w:rPr>
                <w:sz w:val="2"/>
                <w:szCs w:val="2"/>
              </w:rPr>
            </w:pP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906" w:type="dxa"/>
            <w:tcBorders>
              <w:top w:val="single" w:color="000000" w:sz="4" w:space="0"/>
              <w:left w:val="single" w:color="000000" w:sz="4" w:space="0"/>
              <w:bottom w:val="single" w:color="000000" w:sz="4" w:space="0"/>
              <w:right w:val="single" w:color="000000" w:sz="4" w:space="0"/>
            </w:tcBorders>
          </w:tcPr>
          <w:p>
            <w:pPr>
              <w:pStyle w:val="19"/>
              <w:spacing w:before="120"/>
              <w:ind w:left="227" w:right="209"/>
              <w:rPr>
                <w:sz w:val="21"/>
              </w:rPr>
            </w:pPr>
            <w:r>
              <w:rPr>
                <w:sz w:val="21"/>
              </w:rPr>
              <w:t>夜间</w:t>
            </w:r>
          </w:p>
        </w:tc>
        <w:tc>
          <w:tcPr>
            <w:tcW w:w="716" w:type="dxa"/>
            <w:tcBorders>
              <w:top w:val="single" w:color="000000" w:sz="4" w:space="0"/>
              <w:left w:val="single" w:color="000000" w:sz="4" w:space="0"/>
              <w:bottom w:val="single" w:color="000000" w:sz="4" w:space="0"/>
            </w:tcBorders>
          </w:tcPr>
          <w:p>
            <w:pPr>
              <w:pStyle w:val="19"/>
              <w:spacing w:before="137"/>
              <w:ind w:right="232"/>
              <w:jc w:val="right"/>
              <w:rPr>
                <w:rFonts w:ascii="Times New Roman"/>
                <w:sz w:val="21"/>
              </w:rPr>
            </w:pPr>
            <w:r>
              <w:rPr>
                <w:rFonts w:ascii="Times New Roman"/>
                <w:sz w:val="21"/>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9"/>
              <w:spacing w:before="67"/>
              <w:ind w:left="27" w:right="13"/>
              <w:rPr>
                <w:sz w:val="21"/>
              </w:rPr>
            </w:pPr>
            <w:r>
              <w:rPr>
                <w:sz w:val="21"/>
              </w:rPr>
              <w:t>《建筑施工场界环境噪声排放标准》</w:t>
            </w:r>
          </w:p>
          <w:p>
            <w:pPr>
              <w:pStyle w:val="19"/>
              <w:spacing w:before="55"/>
              <w:ind w:left="32" w:right="13"/>
              <w:rPr>
                <w:sz w:val="21"/>
              </w:rPr>
            </w:pPr>
            <w:r>
              <w:rPr>
                <w:sz w:val="21"/>
              </w:rPr>
              <w:t>（</w:t>
            </w:r>
            <w:r>
              <w:rPr>
                <w:rFonts w:ascii="Times New Roman" w:eastAsia="Times New Roman"/>
                <w:sz w:val="21"/>
              </w:rPr>
              <w:t>GB12523-2011</w:t>
            </w:r>
            <w:r>
              <w:rPr>
                <w:sz w:val="21"/>
              </w:rPr>
              <w:t>）</w:t>
            </w:r>
          </w:p>
        </w:tc>
        <w:tc>
          <w:tcPr>
            <w:tcW w:w="726" w:type="dxa"/>
            <w:vMerge w:val="restart"/>
            <w:tcBorders>
              <w:top w:val="single" w:color="000000" w:sz="4" w:space="0"/>
              <w:left w:val="single" w:color="000000" w:sz="4" w:space="0"/>
              <w:bottom w:val="single" w:color="000000" w:sz="4" w:space="0"/>
              <w:right w:val="single" w:color="000000" w:sz="4" w:space="0"/>
            </w:tcBorders>
          </w:tcPr>
          <w:p>
            <w:pPr>
              <w:pStyle w:val="19"/>
              <w:spacing w:before="67" w:line="288" w:lineRule="auto"/>
              <w:ind w:left="156" w:right="139"/>
              <w:jc w:val="left"/>
              <w:rPr>
                <w:sz w:val="21"/>
              </w:rPr>
            </w:pPr>
            <w:r>
              <w:rPr>
                <w:sz w:val="21"/>
              </w:rPr>
              <w:t>厂界噪声</w:t>
            </w:r>
          </w:p>
        </w:tc>
        <w:tc>
          <w:tcPr>
            <w:tcW w:w="1650" w:type="dxa"/>
            <w:gridSpan w:val="2"/>
            <w:vMerge w:val="restart"/>
            <w:tcBorders>
              <w:top w:val="single" w:color="000000" w:sz="4" w:space="0"/>
              <w:left w:val="single" w:color="000000" w:sz="4" w:space="0"/>
              <w:bottom w:val="single" w:color="000000" w:sz="4" w:space="0"/>
              <w:right w:val="single" w:color="000000" w:sz="4" w:space="0"/>
            </w:tcBorders>
          </w:tcPr>
          <w:p>
            <w:pPr>
              <w:pStyle w:val="19"/>
              <w:spacing w:before="3"/>
              <w:jc w:val="left"/>
              <w:rPr>
                <w:b/>
                <w:sz w:val="19"/>
              </w:rPr>
            </w:pPr>
          </w:p>
          <w:p>
            <w:pPr>
              <w:pStyle w:val="19"/>
              <w:ind w:left="561"/>
              <w:jc w:val="left"/>
              <w:rPr>
                <w:rFonts w:ascii="Times New Roman"/>
                <w:sz w:val="21"/>
              </w:rPr>
            </w:pPr>
            <w:r>
              <w:rPr>
                <w:rFonts w:ascii="Times New Roman"/>
                <w:sz w:val="21"/>
              </w:rPr>
              <w:t>dB(A)</w:t>
            </w:r>
          </w:p>
        </w:tc>
        <w:tc>
          <w:tcPr>
            <w:tcW w:w="906" w:type="dxa"/>
            <w:tcBorders>
              <w:top w:val="single" w:color="000000" w:sz="4" w:space="0"/>
              <w:left w:val="single" w:color="000000" w:sz="4" w:space="0"/>
              <w:bottom w:val="single" w:color="000000" w:sz="4" w:space="0"/>
              <w:right w:val="single" w:color="000000" w:sz="4" w:space="0"/>
            </w:tcBorders>
          </w:tcPr>
          <w:p>
            <w:pPr>
              <w:pStyle w:val="19"/>
              <w:spacing w:before="40"/>
              <w:ind w:left="227" w:right="209"/>
              <w:rPr>
                <w:sz w:val="21"/>
              </w:rPr>
            </w:pPr>
            <w:r>
              <w:rPr>
                <w:sz w:val="21"/>
              </w:rPr>
              <w:t>昼间</w:t>
            </w:r>
          </w:p>
        </w:tc>
        <w:tc>
          <w:tcPr>
            <w:tcW w:w="716" w:type="dxa"/>
            <w:tcBorders>
              <w:top w:val="single" w:color="000000" w:sz="4" w:space="0"/>
              <w:left w:val="single" w:color="000000" w:sz="4" w:space="0"/>
              <w:bottom w:val="single" w:color="000000" w:sz="4" w:space="0"/>
            </w:tcBorders>
          </w:tcPr>
          <w:p>
            <w:pPr>
              <w:pStyle w:val="19"/>
              <w:spacing w:before="57"/>
              <w:ind w:right="232"/>
              <w:jc w:val="right"/>
              <w:rPr>
                <w:rFonts w:ascii="Times New Roman"/>
                <w:sz w:val="21"/>
              </w:rPr>
            </w:pPr>
            <w:r>
              <w:rPr>
                <w:rFonts w:ascii="Times New Roman"/>
                <w:sz w:val="21"/>
              </w:rPr>
              <w:t>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726" w:type="dxa"/>
            <w:vMerge w:val="continue"/>
            <w:tcBorders>
              <w:top w:val="nil"/>
              <w:left w:val="single" w:color="000000" w:sz="4" w:space="0"/>
              <w:bottom w:val="single" w:color="000000" w:sz="4" w:space="0"/>
              <w:right w:val="single" w:color="000000" w:sz="4" w:space="0"/>
            </w:tcBorders>
          </w:tcPr>
          <w:p>
            <w:pPr>
              <w:rPr>
                <w:sz w:val="2"/>
                <w:szCs w:val="2"/>
              </w:rPr>
            </w:pPr>
          </w:p>
        </w:tc>
        <w:tc>
          <w:tcPr>
            <w:tcW w:w="165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906" w:type="dxa"/>
            <w:tcBorders>
              <w:top w:val="single" w:color="000000" w:sz="4" w:space="0"/>
              <w:left w:val="single" w:color="000000" w:sz="4" w:space="0"/>
              <w:bottom w:val="single" w:color="000000" w:sz="4" w:space="0"/>
              <w:right w:val="single" w:color="000000" w:sz="4" w:space="0"/>
            </w:tcBorders>
          </w:tcPr>
          <w:p>
            <w:pPr>
              <w:pStyle w:val="19"/>
              <w:spacing w:before="22"/>
              <w:ind w:left="227" w:right="209"/>
              <w:rPr>
                <w:sz w:val="21"/>
              </w:rPr>
            </w:pPr>
            <w:r>
              <w:rPr>
                <w:sz w:val="21"/>
              </w:rPr>
              <w:t>夜间</w:t>
            </w:r>
          </w:p>
        </w:tc>
        <w:tc>
          <w:tcPr>
            <w:tcW w:w="716" w:type="dxa"/>
            <w:tcBorders>
              <w:top w:val="single" w:color="000000" w:sz="4" w:space="0"/>
              <w:left w:val="single" w:color="000000" w:sz="4" w:space="0"/>
              <w:bottom w:val="single" w:color="000000" w:sz="4" w:space="0"/>
            </w:tcBorders>
          </w:tcPr>
          <w:p>
            <w:pPr>
              <w:pStyle w:val="19"/>
              <w:spacing w:before="38"/>
              <w:ind w:right="232"/>
              <w:jc w:val="right"/>
              <w:rPr>
                <w:rFonts w:ascii="Times New Roman"/>
                <w:sz w:val="21"/>
              </w:rPr>
            </w:pPr>
            <w:r>
              <w:rPr>
                <w:rFonts w:ascii="Times New Roman"/>
                <w:sz w:val="21"/>
              </w:rPr>
              <w:t>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673" w:type="dxa"/>
            <w:tcBorders>
              <w:top w:val="single" w:color="000000" w:sz="4" w:space="0"/>
              <w:right w:val="single" w:color="000000" w:sz="4" w:space="0"/>
            </w:tcBorders>
          </w:tcPr>
          <w:p>
            <w:pPr>
              <w:pStyle w:val="19"/>
              <w:spacing w:before="164" w:line="290" w:lineRule="auto"/>
              <w:ind w:left="126" w:right="111"/>
              <w:jc w:val="left"/>
              <w:rPr>
                <w:sz w:val="21"/>
              </w:rPr>
            </w:pPr>
            <w:r>
              <w:rPr>
                <w:sz w:val="21"/>
              </w:rPr>
              <w:t>固体废物</w:t>
            </w:r>
          </w:p>
        </w:tc>
        <w:tc>
          <w:tcPr>
            <w:tcW w:w="8606" w:type="dxa"/>
            <w:gridSpan w:val="6"/>
            <w:tcBorders>
              <w:top w:val="single" w:color="000000" w:sz="4" w:space="0"/>
              <w:left w:val="single" w:color="000000" w:sz="4" w:space="0"/>
            </w:tcBorders>
          </w:tcPr>
          <w:p>
            <w:pPr>
              <w:pStyle w:val="19"/>
              <w:spacing w:before="1" w:line="290" w:lineRule="auto"/>
              <w:ind w:left="113" w:right="29"/>
              <w:rPr>
                <w:sz w:val="21"/>
              </w:rPr>
            </w:pPr>
            <w:r>
              <w:rPr>
                <w:w w:val="95"/>
                <w:sz w:val="21"/>
              </w:rPr>
              <w:t>一般工业固体废物执行《一般工业固体废物贮存、处置场污染控制标准》（</w:t>
            </w:r>
            <w:r>
              <w:rPr>
                <w:rFonts w:ascii="Times New Roman" w:eastAsia="Times New Roman"/>
                <w:w w:val="95"/>
                <w:sz w:val="21"/>
              </w:rPr>
              <w:t>GB18599-2001</w:t>
            </w:r>
            <w:r>
              <w:rPr>
                <w:w w:val="95"/>
                <w:sz w:val="21"/>
              </w:rPr>
              <w:t xml:space="preserve">）   </w:t>
            </w:r>
            <w:r>
              <w:rPr>
                <w:spacing w:val="-3"/>
                <w:w w:val="95"/>
                <w:sz w:val="21"/>
              </w:rPr>
              <w:t>中有关规定及《煤炭工业污染物排放标准》</w:t>
            </w:r>
            <w:r>
              <w:rPr>
                <w:w w:val="95"/>
                <w:sz w:val="21"/>
              </w:rPr>
              <w:t>（</w:t>
            </w:r>
            <w:r>
              <w:rPr>
                <w:rFonts w:ascii="Times New Roman" w:eastAsia="Times New Roman"/>
                <w:w w:val="95"/>
                <w:sz w:val="21"/>
              </w:rPr>
              <w:t>GB20426-2006</w:t>
            </w:r>
            <w:r>
              <w:rPr>
                <w:w w:val="95"/>
                <w:sz w:val="21"/>
              </w:rPr>
              <w:t>）</w:t>
            </w:r>
            <w:r>
              <w:rPr>
                <w:spacing w:val="-2"/>
                <w:w w:val="95"/>
                <w:sz w:val="21"/>
              </w:rPr>
              <w:t>中的有关标准；危险废物执行</w:t>
            </w:r>
          </w:p>
          <w:p>
            <w:pPr>
              <w:pStyle w:val="19"/>
              <w:spacing w:before="2"/>
              <w:ind w:left="51" w:right="29"/>
              <w:rPr>
                <w:sz w:val="21"/>
              </w:rPr>
            </w:pPr>
            <w:r>
              <w:rPr>
                <w:sz w:val="21"/>
              </w:rPr>
              <w:t>《危险废物贮存污染控制标准》（</w:t>
            </w:r>
            <w:r>
              <w:rPr>
                <w:rFonts w:ascii="Times New Roman" w:eastAsia="Times New Roman"/>
                <w:sz w:val="21"/>
              </w:rPr>
              <w:t>GB18597-2001</w:t>
            </w:r>
            <w:r>
              <w:rPr>
                <w:sz w:val="21"/>
              </w:rPr>
              <w:t>）中相关标准</w:t>
            </w:r>
          </w:p>
        </w:tc>
      </w:tr>
    </w:tbl>
    <w:p>
      <w:pPr>
        <w:spacing w:after="0"/>
        <w:rPr>
          <w:sz w:val="21"/>
        </w:rPr>
        <w:sectPr>
          <w:pgSz w:w="11910" w:h="16840"/>
          <w:pgMar w:top="1400" w:right="1160" w:bottom="1100" w:left="1200" w:header="0" w:footer="913" w:gutter="0"/>
        </w:sectPr>
      </w:pPr>
    </w:p>
    <w:p>
      <w:pPr>
        <w:pStyle w:val="5"/>
        <w:numPr>
          <w:ilvl w:val="1"/>
          <w:numId w:val="23"/>
        </w:numPr>
        <w:tabs>
          <w:tab w:val="left" w:pos="668"/>
        </w:tabs>
        <w:spacing w:before="44" w:after="0" w:line="240" w:lineRule="auto"/>
        <w:ind w:left="667" w:right="0" w:hanging="450"/>
        <w:jc w:val="left"/>
      </w:pPr>
      <w:bookmarkStart w:id="81" w:name="_bookmark10"/>
      <w:bookmarkEnd w:id="81"/>
      <w:bookmarkStart w:id="82" w:name="_bookmark10"/>
      <w:bookmarkEnd w:id="82"/>
      <w:bookmarkStart w:id="83" w:name="1.4评价工作等级"/>
      <w:bookmarkEnd w:id="83"/>
      <w:r>
        <w:t>评价工作等级</w:t>
      </w:r>
    </w:p>
    <w:p>
      <w:pPr>
        <w:pStyle w:val="6"/>
        <w:numPr>
          <w:ilvl w:val="2"/>
          <w:numId w:val="23"/>
        </w:numPr>
        <w:tabs>
          <w:tab w:val="left" w:pos="848"/>
        </w:tabs>
        <w:spacing w:before="197" w:after="0" w:line="240" w:lineRule="auto"/>
        <w:ind w:left="847" w:right="0" w:hanging="630"/>
        <w:jc w:val="left"/>
      </w:pPr>
      <w:bookmarkStart w:id="84" w:name="1.4.1大气环境"/>
      <w:bookmarkEnd w:id="84"/>
      <w:bookmarkStart w:id="85" w:name="1.4.1大气环境"/>
      <w:bookmarkEnd w:id="85"/>
      <w:r>
        <w:t>大气环境</w:t>
      </w:r>
    </w:p>
    <w:p>
      <w:pPr>
        <w:pStyle w:val="9"/>
        <w:spacing w:before="185" w:line="364" w:lineRule="auto"/>
        <w:ind w:left="218" w:right="257" w:firstLine="480"/>
      </w:pPr>
      <w:r>
        <w:t>依据《环境影响评价技术导则</w:t>
      </w:r>
      <w:r>
        <w:rPr>
          <w:rFonts w:ascii="Times New Roman" w:eastAsia="Times New Roman"/>
        </w:rPr>
        <w:t>-</w:t>
      </w:r>
      <w:r>
        <w:t>大气环境》</w:t>
      </w:r>
      <w:r>
        <w:rPr>
          <w:rFonts w:ascii="Times New Roman" w:eastAsia="Times New Roman"/>
        </w:rPr>
        <w:t>(HJ2.2-2018)</w:t>
      </w:r>
      <w:r>
        <w:rPr>
          <w:spacing w:val="-31"/>
        </w:rPr>
        <w:t xml:space="preserve">中 </w:t>
      </w:r>
      <w:r>
        <w:rPr>
          <w:rFonts w:ascii="Times New Roman" w:eastAsia="Times New Roman"/>
        </w:rPr>
        <w:t xml:space="preserve">5.3 </w:t>
      </w:r>
      <w:r>
        <w:t>节工作等级的确定方</w:t>
      </w:r>
      <w:r>
        <w:rPr>
          <w:spacing w:val="-12"/>
        </w:rPr>
        <w:t xml:space="preserve">法，结合项目工程分析结果，选择正常排放的主要污染物及排放参数，采用附录 </w:t>
      </w:r>
      <w:r>
        <w:rPr>
          <w:rFonts w:ascii="Times New Roman" w:eastAsia="Times New Roman"/>
        </w:rPr>
        <w:t xml:space="preserve">A </w:t>
      </w:r>
      <w:r>
        <w:rPr>
          <w:spacing w:val="-9"/>
        </w:rPr>
        <w:t>推荐</w:t>
      </w:r>
      <w:r>
        <w:rPr>
          <w:spacing w:val="-13"/>
        </w:rPr>
        <w:t xml:space="preserve">模型中的 </w:t>
      </w:r>
      <w:r>
        <w:rPr>
          <w:rFonts w:ascii="Times New Roman" w:eastAsia="Times New Roman"/>
        </w:rPr>
        <w:t xml:space="preserve">AERSCREEN </w:t>
      </w:r>
      <w:r>
        <w:t>模式计算项目污染源的最大环境影响，然后按评价工作分级判据进行分级。</w:t>
      </w:r>
    </w:p>
    <w:p>
      <w:pPr>
        <w:pStyle w:val="18"/>
        <w:numPr>
          <w:ilvl w:val="3"/>
          <w:numId w:val="23"/>
        </w:numPr>
        <w:tabs>
          <w:tab w:val="left" w:pos="1300"/>
        </w:tabs>
        <w:spacing w:before="0" w:after="0" w:line="306" w:lineRule="exact"/>
        <w:ind w:left="1299" w:right="0" w:hanging="602"/>
        <w:jc w:val="left"/>
        <w:rPr>
          <w:sz w:val="24"/>
        </w:rPr>
      </w:pPr>
      <w:r>
        <w:rPr>
          <w:rFonts w:ascii="Times New Roman" w:eastAsia="Times New Roman"/>
          <w:position w:val="2"/>
          <w:sz w:val="24"/>
        </w:rPr>
        <w:t>P</w:t>
      </w:r>
      <w:r>
        <w:rPr>
          <w:rFonts w:ascii="Times New Roman" w:eastAsia="Times New Roman"/>
          <w:position w:val="2"/>
          <w:sz w:val="24"/>
          <w:vertAlign w:val="subscript"/>
        </w:rPr>
        <w:t>max</w:t>
      </w:r>
      <w:r>
        <w:rPr>
          <w:rFonts w:ascii="Times New Roman" w:eastAsia="Times New Roman"/>
          <w:spacing w:val="-21"/>
          <w:position w:val="2"/>
          <w:sz w:val="24"/>
          <w:vertAlign w:val="baseline"/>
        </w:rPr>
        <w:t xml:space="preserve"> </w:t>
      </w:r>
      <w:r>
        <w:rPr>
          <w:spacing w:val="-30"/>
          <w:position w:val="2"/>
          <w:sz w:val="24"/>
          <w:vertAlign w:val="baseline"/>
        </w:rPr>
        <w:t xml:space="preserve">及 </w:t>
      </w:r>
      <w:r>
        <w:rPr>
          <w:rFonts w:ascii="Times New Roman" w:eastAsia="Times New Roman"/>
          <w:position w:val="2"/>
          <w:sz w:val="24"/>
          <w:vertAlign w:val="baseline"/>
        </w:rPr>
        <w:t>D</w:t>
      </w:r>
      <w:r>
        <w:rPr>
          <w:rFonts w:ascii="Times New Roman" w:eastAsia="Times New Roman"/>
          <w:position w:val="2"/>
          <w:sz w:val="24"/>
          <w:vertAlign w:val="subscript"/>
        </w:rPr>
        <w:t>10</w:t>
      </w:r>
      <w:r>
        <w:rPr>
          <w:rFonts w:ascii="Times New Roman" w:eastAsia="Times New Roman"/>
          <w:position w:val="2"/>
          <w:sz w:val="24"/>
          <w:vertAlign w:val="baseline"/>
        </w:rPr>
        <w:t>%</w:t>
      </w:r>
      <w:r>
        <w:rPr>
          <w:position w:val="2"/>
          <w:sz w:val="24"/>
          <w:vertAlign w:val="baseline"/>
        </w:rPr>
        <w:t>的确定</w:t>
      </w:r>
    </w:p>
    <w:p>
      <w:pPr>
        <w:pStyle w:val="9"/>
        <w:spacing w:before="159" w:line="362" w:lineRule="auto"/>
        <w:ind w:left="218" w:right="213" w:firstLine="480"/>
      </w:pPr>
      <w:r>
        <w:drawing>
          <wp:anchor distT="0" distB="0" distL="0" distR="0" simplePos="0" relativeHeight="0" behindDoc="0" locked="0" layoutInCell="1" allowOverlap="1">
            <wp:simplePos x="0" y="0"/>
            <wp:positionH relativeFrom="page">
              <wp:posOffset>3387725</wp:posOffset>
            </wp:positionH>
            <wp:positionV relativeFrom="paragraph">
              <wp:posOffset>715645</wp:posOffset>
            </wp:positionV>
            <wp:extent cx="1088390" cy="35052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35" cstate="print"/>
                    <a:stretch>
                      <a:fillRect/>
                    </a:stretch>
                  </pic:blipFill>
                  <pic:spPr>
                    <a:xfrm>
                      <a:off x="0" y="0"/>
                      <a:ext cx="1088135" cy="350520"/>
                    </a:xfrm>
                    <a:prstGeom prst="rect">
                      <a:avLst/>
                    </a:prstGeom>
                  </pic:spPr>
                </pic:pic>
              </a:graphicData>
            </a:graphic>
          </wp:anchor>
        </w:drawing>
      </w:r>
      <w:r>
        <w:t>依据《环境影响评价技术导则大气环境》</w:t>
      </w:r>
      <w:r>
        <w:rPr>
          <w:rFonts w:ascii="Times New Roman" w:eastAsia="Times New Roman"/>
        </w:rPr>
        <w:t>(HJ2.2-2018)</w:t>
      </w:r>
      <w:r>
        <w:t xml:space="preserve">中最大地面浓度占标率 </w:t>
      </w:r>
      <w:r>
        <w:rPr>
          <w:rFonts w:ascii="Times New Roman" w:eastAsia="Times New Roman"/>
        </w:rPr>
        <w:t>P</w:t>
      </w:r>
      <w:r>
        <w:rPr>
          <w:rFonts w:ascii="Times New Roman" w:eastAsia="Times New Roman"/>
          <w:i/>
        </w:rPr>
        <w:t xml:space="preserve">i </w:t>
      </w:r>
      <w:r>
        <w:t>定义如下：</w:t>
      </w:r>
    </w:p>
    <w:p>
      <w:pPr>
        <w:pStyle w:val="9"/>
        <w:spacing w:before="11"/>
        <w:rPr>
          <w:sz w:val="5"/>
        </w:rPr>
      </w:pPr>
    </w:p>
    <w:p>
      <w:pPr>
        <w:spacing w:after="0"/>
        <w:rPr>
          <w:sz w:val="5"/>
        </w:rPr>
        <w:sectPr>
          <w:pgSz w:w="11910" w:h="16840"/>
          <w:pgMar w:top="1360" w:right="1160" w:bottom="1100" w:left="1200" w:header="0" w:footer="913" w:gutter="0"/>
        </w:sectPr>
      </w:pPr>
    </w:p>
    <w:p>
      <w:pPr>
        <w:pStyle w:val="9"/>
        <w:rPr>
          <w:sz w:val="26"/>
        </w:rPr>
      </w:pPr>
    </w:p>
    <w:p>
      <w:pPr>
        <w:pStyle w:val="9"/>
        <w:rPr>
          <w:sz w:val="26"/>
        </w:rPr>
      </w:pPr>
    </w:p>
    <w:p>
      <w:pPr>
        <w:pStyle w:val="9"/>
        <w:spacing w:before="11"/>
        <w:rPr>
          <w:sz w:val="29"/>
        </w:rPr>
      </w:pPr>
    </w:p>
    <w:p>
      <w:pPr>
        <w:pStyle w:val="9"/>
        <w:ind w:left="218"/>
      </w:pPr>
      <w:r>
        <w:rPr>
          <w:rFonts w:ascii="Times New Roman" w:hAnsi="Times New Roman" w:eastAsia="Times New Roman"/>
        </w:rPr>
        <w:t>μg/m</w:t>
      </w:r>
      <w:r>
        <w:rPr>
          <w:rFonts w:ascii="Times New Roman" w:hAnsi="Times New Roman" w:eastAsia="Times New Roman"/>
          <w:position w:val="8"/>
          <w:sz w:val="15"/>
        </w:rPr>
        <w:t>3</w:t>
      </w:r>
      <w:r>
        <w:t>；</w:t>
      </w:r>
    </w:p>
    <w:p>
      <w:pPr>
        <w:pStyle w:val="9"/>
        <w:spacing w:before="77"/>
        <w:ind w:left="310"/>
      </w:pPr>
      <w:r>
        <w:br w:type="column"/>
      </w:r>
      <w:r>
        <w:rPr>
          <w:rFonts w:ascii="Times New Roman" w:hAnsi="Times New Roman" w:eastAsia="Times New Roman"/>
        </w:rPr>
        <w:t>——</w:t>
      </w:r>
      <w:r>
        <w:t xml:space="preserve">第 </w:t>
      </w:r>
      <w:r>
        <w:rPr>
          <w:rFonts w:ascii="Times New Roman" w:hAnsi="Times New Roman" w:eastAsia="Times New Roman"/>
        </w:rPr>
        <w:t xml:space="preserve">i </w:t>
      </w:r>
      <w:r>
        <w:t>个污染物的最大地面空气质量浓度占标率，</w:t>
      </w:r>
      <w:r>
        <w:rPr>
          <w:rFonts w:ascii="Times New Roman" w:hAnsi="Times New Roman" w:eastAsia="Times New Roman"/>
        </w:rPr>
        <w:t>%</w:t>
      </w:r>
      <w:r>
        <w:t>；</w:t>
      </w:r>
    </w:p>
    <w:p>
      <w:pPr>
        <w:pStyle w:val="9"/>
        <w:spacing w:before="199"/>
        <w:ind w:left="305"/>
      </w:pPr>
      <w:r>
        <w:drawing>
          <wp:anchor distT="0" distB="0" distL="0" distR="0" simplePos="0" relativeHeight="251659264" behindDoc="0" locked="0" layoutInCell="1" allowOverlap="1">
            <wp:simplePos x="0" y="0"/>
            <wp:positionH relativeFrom="page">
              <wp:posOffset>1513205</wp:posOffset>
            </wp:positionH>
            <wp:positionV relativeFrom="paragraph">
              <wp:posOffset>-175895</wp:posOffset>
            </wp:positionV>
            <wp:extent cx="130810" cy="13271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36" cstate="print"/>
                    <a:stretch>
                      <a:fillRect/>
                    </a:stretch>
                  </pic:blipFill>
                  <pic:spPr>
                    <a:xfrm>
                      <a:off x="0" y="0"/>
                      <a:ext cx="130903" cy="132919"/>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1517650</wp:posOffset>
            </wp:positionH>
            <wp:positionV relativeFrom="paragraph">
              <wp:posOffset>146685</wp:posOffset>
            </wp:positionV>
            <wp:extent cx="121920" cy="13271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37" cstate="print"/>
                    <a:stretch>
                      <a:fillRect/>
                    </a:stretch>
                  </pic:blipFill>
                  <pic:spPr>
                    <a:xfrm>
                      <a:off x="0" y="0"/>
                      <a:ext cx="121919" cy="132919"/>
                    </a:xfrm>
                    <a:prstGeom prst="rect">
                      <a:avLst/>
                    </a:prstGeom>
                  </pic:spPr>
                </pic:pic>
              </a:graphicData>
            </a:graphic>
          </wp:anchor>
        </w:drawing>
      </w:r>
      <w:r>
        <w:rPr>
          <w:rFonts w:ascii="Times New Roman" w:hAnsi="Times New Roman" w:eastAsia="Times New Roman"/>
        </w:rPr>
        <w:t>——</w:t>
      </w:r>
      <w:r>
        <w:t xml:space="preserve">采用估算模型计算出的第 </w:t>
      </w:r>
      <w:r>
        <w:rPr>
          <w:rFonts w:ascii="Times New Roman" w:hAnsi="Times New Roman" w:eastAsia="Times New Roman"/>
        </w:rPr>
        <w:t xml:space="preserve">i </w:t>
      </w:r>
      <w:r>
        <w:t xml:space="preserve">个污染物的最大 </w:t>
      </w:r>
      <w:r>
        <w:rPr>
          <w:rFonts w:ascii="Times New Roman" w:hAnsi="Times New Roman" w:eastAsia="Times New Roman"/>
        </w:rPr>
        <w:t xml:space="preserve">1h </w:t>
      </w:r>
      <w:r>
        <w:t>地面空气质量浓度，</w:t>
      </w:r>
    </w:p>
    <w:p>
      <w:pPr>
        <w:pStyle w:val="9"/>
        <w:rPr>
          <w:sz w:val="26"/>
        </w:rPr>
      </w:pPr>
    </w:p>
    <w:p>
      <w:pPr>
        <w:pStyle w:val="9"/>
        <w:rPr>
          <w:sz w:val="26"/>
        </w:rPr>
      </w:pPr>
    </w:p>
    <w:p>
      <w:pPr>
        <w:pStyle w:val="9"/>
        <w:ind w:left="401"/>
      </w:pPr>
      <w:r>
        <w:drawing>
          <wp:anchor distT="0" distB="0" distL="0" distR="0" simplePos="0" relativeHeight="251661312" behindDoc="0" locked="0" layoutInCell="1" allowOverlap="1">
            <wp:simplePos x="0" y="0"/>
            <wp:positionH relativeFrom="page">
              <wp:posOffset>1517650</wp:posOffset>
            </wp:positionH>
            <wp:positionV relativeFrom="paragraph">
              <wp:posOffset>20320</wp:posOffset>
            </wp:positionV>
            <wp:extent cx="182880" cy="13271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38" cstate="print"/>
                    <a:stretch>
                      <a:fillRect/>
                    </a:stretch>
                  </pic:blipFill>
                  <pic:spPr>
                    <a:xfrm>
                      <a:off x="0" y="0"/>
                      <a:ext cx="182880" cy="132919"/>
                    </a:xfrm>
                    <a:prstGeom prst="rect">
                      <a:avLst/>
                    </a:prstGeom>
                  </pic:spPr>
                </pic:pic>
              </a:graphicData>
            </a:graphic>
          </wp:anchor>
        </w:drawing>
      </w:r>
      <w:r>
        <w:rPr>
          <w:rFonts w:ascii="Times New Roman" w:hAnsi="Times New Roman" w:eastAsia="Times New Roman"/>
        </w:rPr>
        <w:t>——</w:t>
      </w:r>
      <w:r>
        <w:t xml:space="preserve">第 </w:t>
      </w:r>
      <w:r>
        <w:rPr>
          <w:rFonts w:ascii="Times New Roman" w:hAnsi="Times New Roman" w:eastAsia="Times New Roman"/>
        </w:rPr>
        <w:t xml:space="preserve">i </w:t>
      </w:r>
      <w:r>
        <w:t>个污染物的环境空气质量浓度标准，</w:t>
      </w:r>
      <w:r>
        <w:rPr>
          <w:rFonts w:ascii="Times New Roman" w:hAnsi="Times New Roman" w:eastAsia="Times New Roman"/>
        </w:rPr>
        <w:t>μg/m</w:t>
      </w:r>
      <w:r>
        <w:rPr>
          <w:rFonts w:ascii="Times New Roman" w:hAnsi="Times New Roman" w:eastAsia="Times New Roman"/>
          <w:position w:val="8"/>
          <w:sz w:val="15"/>
        </w:rPr>
        <w:t>3</w:t>
      </w:r>
      <w:r>
        <w:t>。</w:t>
      </w:r>
    </w:p>
    <w:p>
      <w:pPr>
        <w:spacing w:after="0"/>
        <w:sectPr>
          <w:type w:val="continuous"/>
          <w:pgSz w:w="11910" w:h="16840"/>
          <w:pgMar w:top="1580" w:right="1160" w:bottom="280" w:left="1200" w:header="720" w:footer="720" w:gutter="0"/>
          <w:cols w:equalWidth="0" w:num="2">
            <w:col w:w="1037" w:space="40"/>
            <w:col w:w="8473"/>
          </w:cols>
        </w:sectPr>
      </w:pPr>
    </w:p>
    <w:p>
      <w:pPr>
        <w:pStyle w:val="18"/>
        <w:numPr>
          <w:ilvl w:val="3"/>
          <w:numId w:val="23"/>
        </w:numPr>
        <w:tabs>
          <w:tab w:val="left" w:pos="1300"/>
        </w:tabs>
        <w:spacing w:before="158" w:after="0" w:line="240" w:lineRule="auto"/>
        <w:ind w:left="1299" w:right="0" w:hanging="602"/>
        <w:jc w:val="left"/>
        <w:rPr>
          <w:sz w:val="24"/>
        </w:rPr>
      </w:pPr>
      <w:r>
        <w:rPr>
          <w:sz w:val="24"/>
        </w:rPr>
        <w:t>评价等级判别表</w:t>
      </w:r>
    </w:p>
    <w:p>
      <w:pPr>
        <w:pStyle w:val="9"/>
        <w:spacing w:before="161"/>
        <w:ind w:left="698"/>
      </w:pPr>
      <w:r>
        <w:t>评价等级按下表的分级判据进行划分</w:t>
      </w:r>
    </w:p>
    <w:p>
      <w:pPr>
        <w:pStyle w:val="9"/>
        <w:spacing w:before="7"/>
        <w:rPr>
          <w:sz w:val="21"/>
        </w:rPr>
      </w:pPr>
    </w:p>
    <w:p>
      <w:pPr>
        <w:spacing w:before="1" w:after="3"/>
        <w:ind w:left="298" w:right="330" w:firstLine="0"/>
        <w:jc w:val="center"/>
        <w:rPr>
          <w:b/>
          <w:sz w:val="21"/>
        </w:rPr>
      </w:pPr>
      <w:r>
        <w:rPr>
          <w:b/>
          <w:spacing w:val="-28"/>
          <w:sz w:val="21"/>
        </w:rPr>
        <w:t xml:space="preserve">表 </w:t>
      </w:r>
      <w:r>
        <w:rPr>
          <w:rFonts w:ascii="Times New Roman" w:eastAsia="Times New Roman"/>
          <w:b/>
          <w:sz w:val="21"/>
        </w:rPr>
        <w:t>1.4-1</w:t>
      </w:r>
      <w:r>
        <w:rPr>
          <w:rFonts w:ascii="Times New Roman" w:eastAsia="Times New Roman"/>
          <w:b/>
          <w:spacing w:val="52"/>
          <w:sz w:val="21"/>
        </w:rPr>
        <w:t xml:space="preserve"> </w:t>
      </w:r>
      <w:r>
        <w:rPr>
          <w:b/>
          <w:sz w:val="21"/>
        </w:rPr>
        <w:t>评价等级判别表</w:t>
      </w: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593"/>
        <w:gridCol w:w="469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21" w:hRule="atLeast"/>
        </w:trPr>
        <w:tc>
          <w:tcPr>
            <w:tcW w:w="4593" w:type="dxa"/>
            <w:tcBorders>
              <w:bottom w:val="single" w:color="000000" w:sz="4" w:space="0"/>
              <w:right w:val="single" w:color="000000" w:sz="4" w:space="0"/>
            </w:tcBorders>
          </w:tcPr>
          <w:p>
            <w:pPr>
              <w:pStyle w:val="19"/>
              <w:spacing w:before="75"/>
              <w:ind w:left="1644" w:right="1634"/>
              <w:rPr>
                <w:sz w:val="21"/>
              </w:rPr>
            </w:pPr>
            <w:r>
              <w:rPr>
                <w:sz w:val="21"/>
              </w:rPr>
              <w:t>评价工作等级</w:t>
            </w:r>
          </w:p>
        </w:tc>
        <w:tc>
          <w:tcPr>
            <w:tcW w:w="4691" w:type="dxa"/>
            <w:tcBorders>
              <w:left w:val="single" w:color="000000" w:sz="4" w:space="0"/>
              <w:bottom w:val="single" w:color="000000" w:sz="4" w:space="0"/>
            </w:tcBorders>
          </w:tcPr>
          <w:p>
            <w:pPr>
              <w:pStyle w:val="19"/>
              <w:spacing w:before="75"/>
              <w:ind w:left="1489" w:right="1467"/>
              <w:rPr>
                <w:sz w:val="21"/>
              </w:rPr>
            </w:pPr>
            <w:r>
              <w:rPr>
                <w:sz w:val="21"/>
              </w:rPr>
              <w:t>评价工作分级判据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atLeast"/>
        </w:trPr>
        <w:tc>
          <w:tcPr>
            <w:tcW w:w="4593" w:type="dxa"/>
            <w:tcBorders>
              <w:top w:val="single" w:color="000000" w:sz="4" w:space="0"/>
              <w:bottom w:val="single" w:color="000000" w:sz="4" w:space="0"/>
              <w:right w:val="single" w:color="000000" w:sz="4" w:space="0"/>
            </w:tcBorders>
          </w:tcPr>
          <w:p>
            <w:pPr>
              <w:pStyle w:val="19"/>
              <w:spacing w:before="64"/>
              <w:ind w:left="1642" w:right="1634"/>
              <w:rPr>
                <w:sz w:val="21"/>
              </w:rPr>
            </w:pPr>
            <w:r>
              <w:rPr>
                <w:sz w:val="21"/>
              </w:rPr>
              <w:t>一级评价</w:t>
            </w:r>
          </w:p>
        </w:tc>
        <w:tc>
          <w:tcPr>
            <w:tcW w:w="4691" w:type="dxa"/>
            <w:tcBorders>
              <w:top w:val="single" w:color="000000" w:sz="4" w:space="0"/>
              <w:left w:val="single" w:color="000000" w:sz="4" w:space="0"/>
              <w:bottom w:val="single" w:color="000000" w:sz="4" w:space="0"/>
            </w:tcBorders>
          </w:tcPr>
          <w:p>
            <w:pPr>
              <w:pStyle w:val="19"/>
              <w:spacing w:before="64"/>
              <w:ind w:left="1489" w:right="1463"/>
              <w:rPr>
                <w:rFonts w:ascii="Times New Roman" w:hAnsi="Times New Roman"/>
                <w:sz w:val="21"/>
              </w:rPr>
            </w:pPr>
            <w:r>
              <w:rPr>
                <w:rFonts w:ascii="Times New Roman" w:hAnsi="Times New Roman"/>
                <w:sz w:val="21"/>
              </w:rPr>
              <w:t>Pmax</w:t>
            </w:r>
            <w:r>
              <w:rPr>
                <w:sz w:val="21"/>
              </w:rPr>
              <w:t>≧</w:t>
            </w:r>
            <w:r>
              <w:rPr>
                <w:rFonts w:ascii="Times New Roman" w:hAns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4593" w:type="dxa"/>
            <w:tcBorders>
              <w:top w:val="single" w:color="000000" w:sz="4" w:space="0"/>
              <w:bottom w:val="single" w:color="000000" w:sz="4" w:space="0"/>
              <w:right w:val="single" w:color="000000" w:sz="4" w:space="0"/>
            </w:tcBorders>
          </w:tcPr>
          <w:p>
            <w:pPr>
              <w:pStyle w:val="19"/>
              <w:spacing w:before="76"/>
              <w:ind w:left="1642" w:right="1634"/>
              <w:rPr>
                <w:sz w:val="21"/>
              </w:rPr>
            </w:pPr>
            <w:r>
              <w:rPr>
                <w:sz w:val="21"/>
              </w:rPr>
              <w:t>二级评价</w:t>
            </w:r>
          </w:p>
        </w:tc>
        <w:tc>
          <w:tcPr>
            <w:tcW w:w="4691" w:type="dxa"/>
            <w:tcBorders>
              <w:top w:val="single" w:color="000000" w:sz="4" w:space="0"/>
              <w:left w:val="single" w:color="000000" w:sz="4" w:space="0"/>
              <w:bottom w:val="single" w:color="000000" w:sz="4" w:space="0"/>
            </w:tcBorders>
          </w:tcPr>
          <w:p>
            <w:pPr>
              <w:pStyle w:val="19"/>
              <w:spacing w:before="76"/>
              <w:ind w:left="1489" w:right="1463"/>
              <w:rPr>
                <w:rFonts w:ascii="Times New Roman" w:hAnsi="Times New Roman"/>
                <w:sz w:val="21"/>
              </w:rPr>
            </w:pPr>
            <w:r>
              <w:rPr>
                <w:rFonts w:ascii="Times New Roman" w:hAnsi="Times New Roman"/>
                <w:sz w:val="21"/>
              </w:rPr>
              <w:t>1%</w:t>
            </w:r>
            <w:r>
              <w:rPr>
                <w:sz w:val="21"/>
              </w:rPr>
              <w:t>≦</w:t>
            </w:r>
            <w:r>
              <w:rPr>
                <w:rFonts w:ascii="Times New Roman" w:hAnsi="Times New Roman"/>
                <w:sz w:val="21"/>
              </w:rPr>
              <w:t>Pmax&lt;10%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4593" w:type="dxa"/>
            <w:tcBorders>
              <w:top w:val="single" w:color="000000" w:sz="4" w:space="0"/>
              <w:right w:val="single" w:color="000000" w:sz="4" w:space="0"/>
            </w:tcBorders>
          </w:tcPr>
          <w:p>
            <w:pPr>
              <w:pStyle w:val="19"/>
              <w:spacing w:before="74"/>
              <w:ind w:left="1642" w:right="1634"/>
              <w:rPr>
                <w:sz w:val="21"/>
              </w:rPr>
            </w:pPr>
            <w:r>
              <w:rPr>
                <w:sz w:val="21"/>
              </w:rPr>
              <w:t>三级评价</w:t>
            </w:r>
          </w:p>
        </w:tc>
        <w:tc>
          <w:tcPr>
            <w:tcW w:w="4691" w:type="dxa"/>
            <w:tcBorders>
              <w:top w:val="single" w:color="000000" w:sz="4" w:space="0"/>
              <w:left w:val="single" w:color="000000" w:sz="4" w:space="0"/>
            </w:tcBorders>
          </w:tcPr>
          <w:p>
            <w:pPr>
              <w:pStyle w:val="19"/>
              <w:spacing w:before="88"/>
              <w:ind w:left="1489" w:right="1463"/>
              <w:rPr>
                <w:rFonts w:ascii="Times New Roman"/>
                <w:sz w:val="21"/>
              </w:rPr>
            </w:pPr>
            <w:r>
              <w:rPr>
                <w:rFonts w:ascii="Times New Roman"/>
                <w:sz w:val="21"/>
              </w:rPr>
              <w:t>Pmax&lt;1%</w:t>
            </w:r>
          </w:p>
        </w:tc>
      </w:tr>
    </w:tbl>
    <w:p>
      <w:pPr>
        <w:pStyle w:val="18"/>
        <w:numPr>
          <w:ilvl w:val="3"/>
          <w:numId w:val="23"/>
        </w:numPr>
        <w:tabs>
          <w:tab w:val="left" w:pos="1242"/>
        </w:tabs>
        <w:spacing w:before="146" w:after="0" w:line="240" w:lineRule="auto"/>
        <w:ind w:left="1241" w:right="0" w:hanging="602"/>
        <w:jc w:val="left"/>
        <w:rPr>
          <w:sz w:val="24"/>
        </w:rPr>
      </w:pPr>
      <w:r>
        <w:rPr>
          <w:sz w:val="24"/>
        </w:rPr>
        <w:t>污染物评价标准</w:t>
      </w:r>
    </w:p>
    <w:p>
      <w:pPr>
        <w:pStyle w:val="9"/>
        <w:spacing w:before="173"/>
        <w:ind w:left="640"/>
      </w:pPr>
      <w:r>
        <w:t>污染物评价标准和来源见下表。</w:t>
      </w:r>
    </w:p>
    <w:p>
      <w:pPr>
        <w:spacing w:before="200" w:after="38"/>
        <w:ind w:left="578" w:right="244" w:firstLine="0"/>
        <w:jc w:val="center"/>
        <w:rPr>
          <w:b/>
          <w:sz w:val="21"/>
        </w:rPr>
      </w:pPr>
      <w:r>
        <w:rPr>
          <w:b/>
          <w:spacing w:val="-28"/>
          <w:sz w:val="21"/>
        </w:rPr>
        <w:t xml:space="preserve">表 </w:t>
      </w:r>
      <w:r>
        <w:rPr>
          <w:rFonts w:ascii="Times New Roman" w:eastAsia="Times New Roman"/>
          <w:b/>
          <w:sz w:val="21"/>
        </w:rPr>
        <w:t>1.4-2</w:t>
      </w:r>
      <w:r>
        <w:rPr>
          <w:rFonts w:ascii="Times New Roman" w:eastAsia="Times New Roman"/>
          <w:b/>
          <w:spacing w:val="52"/>
          <w:sz w:val="21"/>
        </w:rPr>
        <w:t xml:space="preserve"> </w:t>
      </w:r>
      <w:r>
        <w:rPr>
          <w:b/>
          <w:sz w:val="21"/>
        </w:rPr>
        <w:t>污染物评价标准</w:t>
      </w: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37"/>
        <w:gridCol w:w="1551"/>
        <w:gridCol w:w="1551"/>
        <w:gridCol w:w="1551"/>
        <w:gridCol w:w="28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737" w:type="dxa"/>
            <w:tcBorders>
              <w:bottom w:val="single" w:color="000000" w:sz="4" w:space="0"/>
              <w:right w:val="single" w:color="000000" w:sz="4" w:space="0"/>
            </w:tcBorders>
          </w:tcPr>
          <w:p>
            <w:pPr>
              <w:pStyle w:val="19"/>
              <w:spacing w:before="50"/>
              <w:ind w:left="322" w:right="309"/>
              <w:rPr>
                <w:sz w:val="21"/>
              </w:rPr>
            </w:pPr>
            <w:r>
              <w:rPr>
                <w:sz w:val="21"/>
              </w:rPr>
              <w:t>污染物名称</w:t>
            </w:r>
          </w:p>
        </w:tc>
        <w:tc>
          <w:tcPr>
            <w:tcW w:w="1551" w:type="dxa"/>
            <w:tcBorders>
              <w:left w:val="single" w:color="000000" w:sz="4" w:space="0"/>
              <w:bottom w:val="single" w:color="000000" w:sz="4" w:space="0"/>
              <w:right w:val="single" w:color="000000" w:sz="4" w:space="0"/>
            </w:tcBorders>
          </w:tcPr>
          <w:p>
            <w:pPr>
              <w:pStyle w:val="19"/>
              <w:spacing w:before="50"/>
              <w:ind w:left="15"/>
              <w:rPr>
                <w:sz w:val="21"/>
              </w:rPr>
            </w:pPr>
            <w:r>
              <w:rPr>
                <w:sz w:val="21"/>
              </w:rPr>
              <w:t>功能区</w:t>
            </w:r>
          </w:p>
        </w:tc>
        <w:tc>
          <w:tcPr>
            <w:tcW w:w="1551" w:type="dxa"/>
            <w:tcBorders>
              <w:left w:val="single" w:color="000000" w:sz="4" w:space="0"/>
              <w:bottom w:val="single" w:color="000000" w:sz="4" w:space="0"/>
              <w:right w:val="single" w:color="000000" w:sz="4" w:space="0"/>
            </w:tcBorders>
          </w:tcPr>
          <w:p>
            <w:pPr>
              <w:pStyle w:val="19"/>
              <w:spacing w:before="50"/>
              <w:ind w:left="17"/>
              <w:rPr>
                <w:sz w:val="21"/>
              </w:rPr>
            </w:pPr>
            <w:r>
              <w:rPr>
                <w:sz w:val="21"/>
              </w:rPr>
              <w:t>取值时间</w:t>
            </w:r>
          </w:p>
        </w:tc>
        <w:tc>
          <w:tcPr>
            <w:tcW w:w="1551" w:type="dxa"/>
            <w:tcBorders>
              <w:left w:val="single" w:color="000000" w:sz="4" w:space="0"/>
              <w:bottom w:val="single" w:color="000000" w:sz="4" w:space="0"/>
              <w:right w:val="single" w:color="000000" w:sz="4" w:space="0"/>
            </w:tcBorders>
          </w:tcPr>
          <w:p>
            <w:pPr>
              <w:pStyle w:val="19"/>
              <w:spacing w:before="50"/>
              <w:ind w:left="22"/>
              <w:rPr>
                <w:rFonts w:ascii="Times New Roman" w:hAnsi="Times New Roman" w:eastAsia="Times New Roman"/>
                <w:sz w:val="21"/>
              </w:rPr>
            </w:pPr>
            <w:r>
              <w:rPr>
                <w:sz w:val="21"/>
              </w:rPr>
              <w:t>标准值</w:t>
            </w:r>
            <w:r>
              <w:rPr>
                <w:rFonts w:ascii="Times New Roman" w:hAnsi="Times New Roman" w:eastAsia="Times New Roman"/>
                <w:sz w:val="21"/>
              </w:rPr>
              <w:t>(μg/m³)</w:t>
            </w:r>
          </w:p>
        </w:tc>
        <w:tc>
          <w:tcPr>
            <w:tcW w:w="2892" w:type="dxa"/>
            <w:tcBorders>
              <w:left w:val="single" w:color="000000" w:sz="4" w:space="0"/>
              <w:bottom w:val="single" w:color="000000" w:sz="4" w:space="0"/>
            </w:tcBorders>
          </w:tcPr>
          <w:p>
            <w:pPr>
              <w:pStyle w:val="19"/>
              <w:spacing w:before="50"/>
              <w:ind w:left="589" w:right="567"/>
              <w:rPr>
                <w:sz w:val="21"/>
              </w:rPr>
            </w:pPr>
            <w:r>
              <w:rPr>
                <w:sz w:val="21"/>
              </w:rPr>
              <w:t>标准来源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1737" w:type="dxa"/>
            <w:tcBorders>
              <w:top w:val="single" w:color="000000" w:sz="4" w:space="0"/>
              <w:bottom w:val="single" w:color="000000" w:sz="4" w:space="0"/>
              <w:right w:val="single" w:color="000000" w:sz="4" w:space="0"/>
            </w:tcBorders>
          </w:tcPr>
          <w:p>
            <w:pPr>
              <w:pStyle w:val="19"/>
              <w:spacing w:before="65"/>
              <w:ind w:left="322" w:right="306"/>
              <w:rPr>
                <w:rFonts w:ascii="Times New Roman"/>
                <w:sz w:val="21"/>
              </w:rPr>
            </w:pPr>
            <w:r>
              <w:rPr>
                <w:rFonts w:ascii="Times New Roman"/>
                <w:position w:val="2"/>
                <w:sz w:val="21"/>
              </w:rPr>
              <w:t>SO</w:t>
            </w:r>
            <w:r>
              <w:rPr>
                <w:rFonts w:ascii="Times New Roman"/>
                <w:position w:val="2"/>
                <w:sz w:val="21"/>
                <w:vertAlign w:val="subscript"/>
              </w:rPr>
              <w:t>2</w:t>
            </w:r>
          </w:p>
        </w:tc>
        <w:tc>
          <w:tcPr>
            <w:tcW w:w="1551" w:type="dxa"/>
            <w:tcBorders>
              <w:top w:val="single" w:color="000000" w:sz="4" w:space="0"/>
              <w:left w:val="single" w:color="000000" w:sz="4" w:space="0"/>
              <w:bottom w:val="single" w:color="000000" w:sz="4" w:space="0"/>
              <w:right w:val="single" w:color="000000" w:sz="4" w:space="0"/>
            </w:tcBorders>
          </w:tcPr>
          <w:p>
            <w:pPr>
              <w:pStyle w:val="19"/>
              <w:spacing w:before="49"/>
              <w:ind w:left="13"/>
              <w:rPr>
                <w:sz w:val="21"/>
              </w:rPr>
            </w:pPr>
            <w:r>
              <w:rPr>
                <w:sz w:val="21"/>
              </w:rPr>
              <w:t>二类限区</w:t>
            </w:r>
          </w:p>
        </w:tc>
        <w:tc>
          <w:tcPr>
            <w:tcW w:w="1551" w:type="dxa"/>
            <w:tcBorders>
              <w:top w:val="single" w:color="000000" w:sz="4" w:space="0"/>
              <w:left w:val="single" w:color="000000" w:sz="4" w:space="0"/>
              <w:bottom w:val="single" w:color="000000" w:sz="4" w:space="0"/>
              <w:right w:val="single" w:color="000000" w:sz="4" w:space="0"/>
            </w:tcBorders>
          </w:tcPr>
          <w:p>
            <w:pPr>
              <w:pStyle w:val="19"/>
              <w:spacing w:before="49"/>
              <w:ind w:left="14"/>
              <w:rPr>
                <w:sz w:val="21"/>
              </w:rPr>
            </w:pPr>
            <w:r>
              <w:rPr>
                <w:sz w:val="21"/>
              </w:rPr>
              <w:t>一小时</w:t>
            </w:r>
          </w:p>
        </w:tc>
        <w:tc>
          <w:tcPr>
            <w:tcW w:w="1551" w:type="dxa"/>
            <w:tcBorders>
              <w:top w:val="single" w:color="000000" w:sz="4" w:space="0"/>
              <w:left w:val="single" w:color="000000" w:sz="4" w:space="0"/>
              <w:bottom w:val="single" w:color="000000" w:sz="4" w:space="0"/>
              <w:right w:val="single" w:color="000000" w:sz="4" w:space="0"/>
            </w:tcBorders>
          </w:tcPr>
          <w:p>
            <w:pPr>
              <w:pStyle w:val="19"/>
              <w:spacing w:before="66"/>
              <w:ind w:left="19"/>
              <w:rPr>
                <w:rFonts w:ascii="Times New Roman"/>
                <w:sz w:val="21"/>
              </w:rPr>
            </w:pPr>
            <w:r>
              <w:rPr>
                <w:rFonts w:ascii="Times New Roman"/>
                <w:sz w:val="21"/>
              </w:rPr>
              <w:t>500.0</w:t>
            </w:r>
          </w:p>
        </w:tc>
        <w:tc>
          <w:tcPr>
            <w:tcW w:w="2892" w:type="dxa"/>
            <w:vMerge w:val="restart"/>
            <w:tcBorders>
              <w:top w:val="single" w:color="000000" w:sz="4" w:space="0"/>
              <w:left w:val="single" w:color="000000" w:sz="4" w:space="0"/>
            </w:tcBorders>
          </w:tcPr>
          <w:p>
            <w:pPr>
              <w:pStyle w:val="19"/>
              <w:jc w:val="left"/>
              <w:rPr>
                <w:b/>
                <w:sz w:val="20"/>
              </w:rPr>
            </w:pPr>
          </w:p>
          <w:p>
            <w:pPr>
              <w:pStyle w:val="19"/>
              <w:spacing w:before="5"/>
              <w:jc w:val="left"/>
              <w:rPr>
                <w:b/>
                <w:sz w:val="23"/>
              </w:rPr>
            </w:pPr>
          </w:p>
          <w:p>
            <w:pPr>
              <w:pStyle w:val="19"/>
              <w:ind w:left="589" w:right="567"/>
              <w:rPr>
                <w:sz w:val="21"/>
              </w:rPr>
            </w:pPr>
            <w:r>
              <w:rPr>
                <w:sz w:val="21"/>
              </w:rPr>
              <w:t>环境空气质量标准</w:t>
            </w:r>
          </w:p>
          <w:p>
            <w:pPr>
              <w:pStyle w:val="19"/>
              <w:spacing w:before="57"/>
              <w:ind w:left="589" w:right="562"/>
              <w:rPr>
                <w:rFonts w:ascii="Times New Roman"/>
                <w:sz w:val="21"/>
              </w:rPr>
            </w:pPr>
            <w:r>
              <w:rPr>
                <w:rFonts w:ascii="Times New Roman"/>
                <w:sz w:val="21"/>
              </w:rPr>
              <w:t>(GB3095-2012)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737" w:type="dxa"/>
            <w:tcBorders>
              <w:top w:val="single" w:color="000000" w:sz="4" w:space="0"/>
              <w:bottom w:val="single" w:color="000000" w:sz="4" w:space="0"/>
              <w:right w:val="single" w:color="000000" w:sz="4" w:space="0"/>
            </w:tcBorders>
          </w:tcPr>
          <w:p>
            <w:pPr>
              <w:pStyle w:val="19"/>
              <w:spacing w:before="59"/>
              <w:ind w:left="322" w:right="308"/>
              <w:rPr>
                <w:rFonts w:ascii="Times New Roman"/>
                <w:sz w:val="21"/>
              </w:rPr>
            </w:pPr>
            <w:r>
              <w:rPr>
                <w:rFonts w:ascii="Times New Roman"/>
                <w:position w:val="2"/>
                <w:sz w:val="21"/>
              </w:rPr>
              <w:t>PM</w:t>
            </w:r>
            <w:r>
              <w:rPr>
                <w:rFonts w:ascii="Times New Roman"/>
                <w:position w:val="2"/>
                <w:sz w:val="21"/>
                <w:vertAlign w:val="subscript"/>
              </w:rPr>
              <w:t>10</w:t>
            </w:r>
          </w:p>
        </w:tc>
        <w:tc>
          <w:tcPr>
            <w:tcW w:w="1551" w:type="dxa"/>
            <w:tcBorders>
              <w:top w:val="single" w:color="000000" w:sz="4" w:space="0"/>
              <w:left w:val="single" w:color="000000" w:sz="4" w:space="0"/>
              <w:bottom w:val="single" w:color="000000" w:sz="4" w:space="0"/>
              <w:right w:val="single" w:color="000000" w:sz="4" w:space="0"/>
            </w:tcBorders>
          </w:tcPr>
          <w:p>
            <w:pPr>
              <w:pStyle w:val="19"/>
              <w:spacing w:before="44"/>
              <w:ind w:left="13"/>
              <w:rPr>
                <w:sz w:val="21"/>
              </w:rPr>
            </w:pPr>
            <w:r>
              <w:rPr>
                <w:sz w:val="21"/>
              </w:rPr>
              <w:t>二类限区</w:t>
            </w:r>
          </w:p>
        </w:tc>
        <w:tc>
          <w:tcPr>
            <w:tcW w:w="1551" w:type="dxa"/>
            <w:tcBorders>
              <w:top w:val="single" w:color="000000" w:sz="4" w:space="0"/>
              <w:left w:val="single" w:color="000000" w:sz="4" w:space="0"/>
              <w:bottom w:val="single" w:color="000000" w:sz="4" w:space="0"/>
              <w:right w:val="single" w:color="000000" w:sz="4" w:space="0"/>
            </w:tcBorders>
          </w:tcPr>
          <w:p>
            <w:pPr>
              <w:pStyle w:val="19"/>
              <w:spacing w:before="44"/>
              <w:ind w:left="14"/>
              <w:rPr>
                <w:sz w:val="21"/>
              </w:rPr>
            </w:pPr>
            <w:r>
              <w:rPr>
                <w:sz w:val="21"/>
              </w:rPr>
              <w:t>日均</w:t>
            </w:r>
          </w:p>
        </w:tc>
        <w:tc>
          <w:tcPr>
            <w:tcW w:w="1551" w:type="dxa"/>
            <w:tcBorders>
              <w:top w:val="single" w:color="000000" w:sz="4" w:space="0"/>
              <w:left w:val="single" w:color="000000" w:sz="4" w:space="0"/>
              <w:bottom w:val="single" w:color="000000" w:sz="4" w:space="0"/>
              <w:right w:val="single" w:color="000000" w:sz="4" w:space="0"/>
            </w:tcBorders>
          </w:tcPr>
          <w:p>
            <w:pPr>
              <w:pStyle w:val="19"/>
              <w:spacing w:before="62"/>
              <w:ind w:left="19"/>
              <w:rPr>
                <w:rFonts w:ascii="Times New Roman"/>
                <w:sz w:val="21"/>
              </w:rPr>
            </w:pPr>
            <w:r>
              <w:rPr>
                <w:rFonts w:ascii="Times New Roman"/>
                <w:sz w:val="21"/>
              </w:rPr>
              <w:t>150.0</w:t>
            </w:r>
          </w:p>
        </w:tc>
        <w:tc>
          <w:tcPr>
            <w:tcW w:w="2892"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737" w:type="dxa"/>
            <w:tcBorders>
              <w:top w:val="single" w:color="000000" w:sz="4" w:space="0"/>
              <w:bottom w:val="single" w:color="000000" w:sz="4" w:space="0"/>
              <w:right w:val="single" w:color="000000" w:sz="4" w:space="0"/>
            </w:tcBorders>
          </w:tcPr>
          <w:p>
            <w:pPr>
              <w:pStyle w:val="19"/>
              <w:spacing w:before="62"/>
              <w:ind w:left="322" w:right="308"/>
              <w:rPr>
                <w:rFonts w:ascii="Times New Roman"/>
                <w:sz w:val="21"/>
              </w:rPr>
            </w:pPr>
            <w:r>
              <w:rPr>
                <w:rFonts w:ascii="Times New Roman"/>
                <w:sz w:val="21"/>
              </w:rPr>
              <w:t>NOx</w:t>
            </w:r>
          </w:p>
        </w:tc>
        <w:tc>
          <w:tcPr>
            <w:tcW w:w="1551" w:type="dxa"/>
            <w:tcBorders>
              <w:top w:val="single" w:color="000000" w:sz="4" w:space="0"/>
              <w:left w:val="single" w:color="000000" w:sz="4" w:space="0"/>
              <w:bottom w:val="single" w:color="000000" w:sz="4" w:space="0"/>
              <w:right w:val="single" w:color="000000" w:sz="4" w:space="0"/>
            </w:tcBorders>
          </w:tcPr>
          <w:p>
            <w:pPr>
              <w:pStyle w:val="19"/>
              <w:spacing w:before="46"/>
              <w:ind w:left="13"/>
              <w:rPr>
                <w:sz w:val="21"/>
              </w:rPr>
            </w:pPr>
            <w:r>
              <w:rPr>
                <w:sz w:val="21"/>
              </w:rPr>
              <w:t>二类限区</w:t>
            </w:r>
          </w:p>
        </w:tc>
        <w:tc>
          <w:tcPr>
            <w:tcW w:w="1551" w:type="dxa"/>
            <w:tcBorders>
              <w:top w:val="single" w:color="000000" w:sz="4" w:space="0"/>
              <w:left w:val="single" w:color="000000" w:sz="4" w:space="0"/>
              <w:bottom w:val="single" w:color="000000" w:sz="4" w:space="0"/>
              <w:right w:val="single" w:color="000000" w:sz="4" w:space="0"/>
            </w:tcBorders>
          </w:tcPr>
          <w:p>
            <w:pPr>
              <w:pStyle w:val="19"/>
              <w:spacing w:before="46"/>
              <w:ind w:left="14"/>
              <w:rPr>
                <w:sz w:val="21"/>
              </w:rPr>
            </w:pPr>
            <w:r>
              <w:rPr>
                <w:sz w:val="21"/>
              </w:rPr>
              <w:t>一小时</w:t>
            </w:r>
          </w:p>
        </w:tc>
        <w:tc>
          <w:tcPr>
            <w:tcW w:w="1551" w:type="dxa"/>
            <w:tcBorders>
              <w:top w:val="single" w:color="000000" w:sz="4" w:space="0"/>
              <w:left w:val="single" w:color="000000" w:sz="4" w:space="0"/>
              <w:bottom w:val="single" w:color="000000" w:sz="4" w:space="0"/>
              <w:right w:val="single" w:color="000000" w:sz="4" w:space="0"/>
            </w:tcBorders>
          </w:tcPr>
          <w:p>
            <w:pPr>
              <w:pStyle w:val="19"/>
              <w:spacing w:before="62"/>
              <w:ind w:left="19"/>
              <w:rPr>
                <w:rFonts w:ascii="Times New Roman"/>
                <w:sz w:val="21"/>
              </w:rPr>
            </w:pPr>
            <w:r>
              <w:rPr>
                <w:rFonts w:ascii="Times New Roman"/>
                <w:sz w:val="21"/>
              </w:rPr>
              <w:t>250.0</w:t>
            </w:r>
          </w:p>
        </w:tc>
        <w:tc>
          <w:tcPr>
            <w:tcW w:w="2892"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1737" w:type="dxa"/>
            <w:tcBorders>
              <w:top w:val="single" w:color="000000" w:sz="4" w:space="0"/>
              <w:right w:val="single" w:color="000000" w:sz="4" w:space="0"/>
            </w:tcBorders>
          </w:tcPr>
          <w:p>
            <w:pPr>
              <w:pStyle w:val="19"/>
              <w:spacing w:before="61"/>
              <w:ind w:left="320" w:right="309"/>
              <w:rPr>
                <w:rFonts w:ascii="Times New Roman"/>
                <w:sz w:val="21"/>
              </w:rPr>
            </w:pPr>
            <w:r>
              <w:rPr>
                <w:rFonts w:ascii="Times New Roman"/>
                <w:sz w:val="21"/>
              </w:rPr>
              <w:t>TSP</w:t>
            </w:r>
          </w:p>
        </w:tc>
        <w:tc>
          <w:tcPr>
            <w:tcW w:w="1551" w:type="dxa"/>
            <w:tcBorders>
              <w:top w:val="single" w:color="000000" w:sz="4" w:space="0"/>
              <w:left w:val="single" w:color="000000" w:sz="4" w:space="0"/>
              <w:right w:val="single" w:color="000000" w:sz="4" w:space="0"/>
            </w:tcBorders>
          </w:tcPr>
          <w:p>
            <w:pPr>
              <w:pStyle w:val="19"/>
              <w:spacing w:before="45"/>
              <w:ind w:left="13"/>
              <w:rPr>
                <w:sz w:val="21"/>
              </w:rPr>
            </w:pPr>
            <w:r>
              <w:rPr>
                <w:sz w:val="21"/>
              </w:rPr>
              <w:t>二类限区</w:t>
            </w:r>
          </w:p>
        </w:tc>
        <w:tc>
          <w:tcPr>
            <w:tcW w:w="1551" w:type="dxa"/>
            <w:tcBorders>
              <w:top w:val="single" w:color="000000" w:sz="4" w:space="0"/>
              <w:left w:val="single" w:color="000000" w:sz="4" w:space="0"/>
              <w:right w:val="single" w:color="000000" w:sz="4" w:space="0"/>
            </w:tcBorders>
          </w:tcPr>
          <w:p>
            <w:pPr>
              <w:pStyle w:val="19"/>
              <w:spacing w:before="45"/>
              <w:ind w:left="14"/>
              <w:rPr>
                <w:sz w:val="21"/>
              </w:rPr>
            </w:pPr>
            <w:r>
              <w:rPr>
                <w:sz w:val="21"/>
              </w:rPr>
              <w:t>日均</w:t>
            </w:r>
          </w:p>
        </w:tc>
        <w:tc>
          <w:tcPr>
            <w:tcW w:w="1551" w:type="dxa"/>
            <w:tcBorders>
              <w:top w:val="single" w:color="000000" w:sz="4" w:space="0"/>
              <w:left w:val="single" w:color="000000" w:sz="4" w:space="0"/>
              <w:right w:val="single" w:color="000000" w:sz="4" w:space="0"/>
            </w:tcBorders>
          </w:tcPr>
          <w:p>
            <w:pPr>
              <w:pStyle w:val="19"/>
              <w:spacing w:before="61"/>
              <w:ind w:left="19"/>
              <w:rPr>
                <w:rFonts w:ascii="Times New Roman"/>
                <w:sz w:val="21"/>
              </w:rPr>
            </w:pPr>
            <w:r>
              <w:rPr>
                <w:rFonts w:ascii="Times New Roman"/>
                <w:sz w:val="21"/>
              </w:rPr>
              <w:t>300.0</w:t>
            </w:r>
          </w:p>
        </w:tc>
        <w:tc>
          <w:tcPr>
            <w:tcW w:w="2892" w:type="dxa"/>
            <w:vMerge w:val="continue"/>
            <w:tcBorders>
              <w:top w:val="nil"/>
              <w:left w:val="single" w:color="000000" w:sz="4" w:space="0"/>
            </w:tcBorders>
          </w:tcPr>
          <w:p>
            <w:pPr>
              <w:rPr>
                <w:sz w:val="2"/>
                <w:szCs w:val="2"/>
              </w:rPr>
            </w:pPr>
          </w:p>
        </w:tc>
      </w:tr>
    </w:tbl>
    <w:p>
      <w:pPr>
        <w:spacing w:after="0"/>
        <w:rPr>
          <w:sz w:val="2"/>
          <w:szCs w:val="2"/>
        </w:rPr>
        <w:sectPr>
          <w:type w:val="continuous"/>
          <w:pgSz w:w="11910" w:h="16840"/>
          <w:pgMar w:top="1580" w:right="1160" w:bottom="280" w:left="1200" w:header="720" w:footer="720" w:gutter="0"/>
        </w:sectPr>
      </w:pPr>
    </w:p>
    <w:p>
      <w:pPr>
        <w:pStyle w:val="18"/>
        <w:numPr>
          <w:ilvl w:val="0"/>
          <w:numId w:val="24"/>
        </w:numPr>
        <w:tabs>
          <w:tab w:val="left" w:pos="921"/>
        </w:tabs>
        <w:spacing w:before="65" w:after="0" w:line="240" w:lineRule="auto"/>
        <w:ind w:left="920" w:right="0" w:hanging="281"/>
        <w:jc w:val="left"/>
        <w:rPr>
          <w:sz w:val="24"/>
        </w:rPr>
      </w:pPr>
      <w:r>
        <w:rPr>
          <w:spacing w:val="-4"/>
          <w:sz w:val="24"/>
        </w:rPr>
        <w:t>污染源参数</w:t>
      </w:r>
    </w:p>
    <w:p>
      <w:pPr>
        <w:pStyle w:val="9"/>
        <w:rPr>
          <w:sz w:val="22"/>
        </w:rPr>
      </w:pPr>
      <w:r>
        <w:br w:type="column"/>
      </w:r>
    </w:p>
    <w:p>
      <w:pPr>
        <w:pStyle w:val="9"/>
        <w:spacing w:before="7"/>
        <w:rPr>
          <w:sz w:val="18"/>
        </w:rPr>
      </w:pPr>
    </w:p>
    <w:p>
      <w:pPr>
        <w:spacing w:before="0"/>
        <w:ind w:left="640" w:right="0" w:firstLine="0"/>
        <w:jc w:val="left"/>
        <w:rPr>
          <w:rFonts w:ascii="Times New Roman" w:eastAsia="Times New Roman"/>
          <w:b/>
          <w:sz w:val="21"/>
        </w:rPr>
      </w:pPr>
      <w:r>
        <w:rPr>
          <w:b/>
          <w:spacing w:val="-28"/>
          <w:sz w:val="21"/>
        </w:rPr>
        <w:t xml:space="preserve">表 </w:t>
      </w:r>
      <w:r>
        <w:rPr>
          <w:rFonts w:ascii="Times New Roman" w:eastAsia="Times New Roman"/>
          <w:b/>
          <w:sz w:val="21"/>
        </w:rPr>
        <w:t>1.4-3</w:t>
      </w:r>
      <w:r>
        <w:rPr>
          <w:rFonts w:ascii="Times New Roman" w:eastAsia="Times New Roman"/>
          <w:b/>
          <w:spacing w:val="52"/>
          <w:sz w:val="21"/>
        </w:rPr>
        <w:t xml:space="preserve"> </w:t>
      </w:r>
      <w:r>
        <w:rPr>
          <w:b/>
          <w:sz w:val="21"/>
        </w:rPr>
        <w:t>主要废气污染源参数一览表</w:t>
      </w:r>
      <w:r>
        <w:rPr>
          <w:rFonts w:ascii="Times New Roman" w:eastAsia="Times New Roman"/>
          <w:b/>
          <w:sz w:val="21"/>
        </w:rPr>
        <w:t>(</w:t>
      </w:r>
      <w:r>
        <w:rPr>
          <w:b/>
          <w:sz w:val="21"/>
        </w:rPr>
        <w:t>点源</w:t>
      </w:r>
      <w:r>
        <w:rPr>
          <w:rFonts w:ascii="Times New Roman" w:eastAsia="Times New Roman"/>
          <w:b/>
          <w:sz w:val="21"/>
        </w:rPr>
        <w:t>)</w:t>
      </w:r>
    </w:p>
    <w:p>
      <w:pPr>
        <w:spacing w:after="0"/>
        <w:jc w:val="left"/>
        <w:rPr>
          <w:rFonts w:ascii="Times New Roman" w:eastAsia="Times New Roman"/>
          <w:sz w:val="21"/>
        </w:rPr>
        <w:sectPr>
          <w:pgSz w:w="11910" w:h="16840"/>
          <w:pgMar w:top="1480" w:right="1160" w:bottom="1180" w:left="1200" w:header="0" w:footer="913" w:gutter="0"/>
          <w:cols w:equalWidth="0" w:num="2">
            <w:col w:w="2120" w:space="52"/>
            <w:col w:w="7378"/>
          </w:cols>
        </w:sectPr>
      </w:pP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94"/>
        <w:gridCol w:w="1208"/>
        <w:gridCol w:w="1102"/>
        <w:gridCol w:w="694"/>
        <w:gridCol w:w="694"/>
        <w:gridCol w:w="694"/>
        <w:gridCol w:w="695"/>
        <w:gridCol w:w="699"/>
        <w:gridCol w:w="695"/>
        <w:gridCol w:w="695"/>
        <w:gridCol w:w="697"/>
        <w:gridCol w:w="68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7" w:hRule="atLeast"/>
        </w:trPr>
        <w:tc>
          <w:tcPr>
            <w:tcW w:w="694" w:type="dxa"/>
            <w:vMerge w:val="restart"/>
            <w:tcBorders>
              <w:bottom w:val="single" w:color="000000" w:sz="4" w:space="0"/>
              <w:right w:val="single" w:color="000000" w:sz="4" w:space="0"/>
            </w:tcBorders>
          </w:tcPr>
          <w:p>
            <w:pPr>
              <w:pStyle w:val="19"/>
              <w:jc w:val="left"/>
              <w:rPr>
                <w:rFonts w:ascii="Times New Roman"/>
                <w:b/>
                <w:sz w:val="20"/>
              </w:rPr>
            </w:pPr>
          </w:p>
          <w:p>
            <w:pPr>
              <w:pStyle w:val="19"/>
              <w:jc w:val="left"/>
              <w:rPr>
                <w:rFonts w:ascii="Times New Roman"/>
                <w:b/>
                <w:sz w:val="21"/>
              </w:rPr>
            </w:pPr>
          </w:p>
          <w:p>
            <w:pPr>
              <w:pStyle w:val="19"/>
              <w:spacing w:line="290" w:lineRule="auto"/>
              <w:ind w:left="136" w:right="122"/>
              <w:jc w:val="both"/>
              <w:rPr>
                <w:sz w:val="21"/>
              </w:rPr>
            </w:pPr>
            <w:r>
              <w:rPr>
                <w:sz w:val="21"/>
              </w:rPr>
              <w:t>污染源名称</w:t>
            </w:r>
          </w:p>
        </w:tc>
        <w:tc>
          <w:tcPr>
            <w:tcW w:w="2310" w:type="dxa"/>
            <w:gridSpan w:val="2"/>
            <w:tcBorders>
              <w:left w:val="single" w:color="000000" w:sz="4" w:space="0"/>
              <w:bottom w:val="single" w:color="000000" w:sz="4" w:space="0"/>
              <w:right w:val="single" w:color="000000" w:sz="4" w:space="0"/>
            </w:tcBorders>
          </w:tcPr>
          <w:p>
            <w:pPr>
              <w:pStyle w:val="19"/>
              <w:spacing w:before="1"/>
              <w:ind w:left="192" w:right="177"/>
              <w:rPr>
                <w:sz w:val="21"/>
              </w:rPr>
            </w:pPr>
            <w:r>
              <w:rPr>
                <w:sz w:val="21"/>
              </w:rPr>
              <w:t>排气筒底部中心坐标</w:t>
            </w:r>
          </w:p>
          <w:p>
            <w:pPr>
              <w:pStyle w:val="19"/>
              <w:spacing w:before="57"/>
              <w:ind w:left="192" w:right="172"/>
              <w:rPr>
                <w:rFonts w:ascii="Times New Roman" w:hAnsi="Times New Roman"/>
                <w:sz w:val="21"/>
              </w:rPr>
            </w:pPr>
            <w:r>
              <w:rPr>
                <w:rFonts w:ascii="Times New Roman" w:hAnsi="Times New Roman"/>
                <w:sz w:val="21"/>
              </w:rPr>
              <w:t>(°)</w:t>
            </w:r>
          </w:p>
        </w:tc>
        <w:tc>
          <w:tcPr>
            <w:tcW w:w="694" w:type="dxa"/>
            <w:tcBorders>
              <w:left w:val="single" w:color="000000" w:sz="4" w:space="0"/>
              <w:bottom w:val="nil"/>
              <w:right w:val="single" w:color="000000" w:sz="4" w:space="0"/>
            </w:tcBorders>
          </w:tcPr>
          <w:p>
            <w:pPr>
              <w:pStyle w:val="19"/>
              <w:spacing w:before="1"/>
              <w:ind w:left="142"/>
              <w:jc w:val="left"/>
              <w:rPr>
                <w:sz w:val="21"/>
              </w:rPr>
            </w:pPr>
            <w:r>
              <w:rPr>
                <w:spacing w:val="-1"/>
                <w:w w:val="95"/>
                <w:sz w:val="21"/>
              </w:rPr>
              <w:t>排气</w:t>
            </w:r>
          </w:p>
          <w:p>
            <w:pPr>
              <w:pStyle w:val="19"/>
              <w:spacing w:before="57"/>
              <w:ind w:left="142"/>
              <w:jc w:val="left"/>
              <w:rPr>
                <w:sz w:val="21"/>
              </w:rPr>
            </w:pPr>
            <w:r>
              <w:rPr>
                <w:spacing w:val="-1"/>
                <w:w w:val="95"/>
                <w:sz w:val="21"/>
              </w:rPr>
              <w:t>筒底</w:t>
            </w:r>
          </w:p>
        </w:tc>
        <w:tc>
          <w:tcPr>
            <w:tcW w:w="2782" w:type="dxa"/>
            <w:gridSpan w:val="4"/>
            <w:tcBorders>
              <w:left w:val="single" w:color="000000" w:sz="4" w:space="0"/>
              <w:bottom w:val="single" w:color="000000" w:sz="4" w:space="0"/>
              <w:right w:val="single" w:color="000000" w:sz="4" w:space="0"/>
            </w:tcBorders>
          </w:tcPr>
          <w:p>
            <w:pPr>
              <w:pStyle w:val="19"/>
              <w:spacing w:before="145"/>
              <w:ind w:left="869"/>
              <w:jc w:val="left"/>
              <w:rPr>
                <w:sz w:val="21"/>
              </w:rPr>
            </w:pPr>
            <w:r>
              <w:rPr>
                <w:sz w:val="21"/>
              </w:rPr>
              <w:t>排气筒参数</w:t>
            </w:r>
          </w:p>
        </w:tc>
        <w:tc>
          <w:tcPr>
            <w:tcW w:w="2770" w:type="dxa"/>
            <w:gridSpan w:val="4"/>
            <w:tcBorders>
              <w:left w:val="single" w:color="000000" w:sz="4" w:space="0"/>
              <w:bottom w:val="single" w:color="000000" w:sz="4" w:space="0"/>
            </w:tcBorders>
          </w:tcPr>
          <w:p>
            <w:pPr>
              <w:pStyle w:val="19"/>
              <w:spacing w:before="145"/>
              <w:ind w:left="398"/>
              <w:jc w:val="left"/>
              <w:rPr>
                <w:rFonts w:ascii="Times New Roman" w:eastAsia="Times New Roman"/>
                <w:sz w:val="21"/>
              </w:rPr>
            </w:pPr>
            <w:r>
              <w:rPr>
                <w:sz w:val="21"/>
              </w:rPr>
              <w:t>污染物排放速率</w:t>
            </w:r>
            <w:r>
              <w:rPr>
                <w:rFonts w:ascii="Times New Roman" w:eastAsia="Times New Roman"/>
                <w:sz w:val="21"/>
              </w:rPr>
              <w:t>(kg/h)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6" w:hRule="atLeast"/>
        </w:trPr>
        <w:tc>
          <w:tcPr>
            <w:tcW w:w="694" w:type="dxa"/>
            <w:vMerge w:val="continue"/>
            <w:tcBorders>
              <w:top w:val="nil"/>
              <w:bottom w:val="single" w:color="000000" w:sz="4" w:space="0"/>
              <w:right w:val="single" w:color="000000" w:sz="4" w:space="0"/>
            </w:tcBorders>
          </w:tcPr>
          <w:p>
            <w:pPr>
              <w:rPr>
                <w:sz w:val="2"/>
                <w:szCs w:val="2"/>
              </w:rPr>
            </w:pPr>
          </w:p>
        </w:tc>
        <w:tc>
          <w:tcPr>
            <w:tcW w:w="1208"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b/>
                <w:sz w:val="20"/>
              </w:rPr>
            </w:pPr>
          </w:p>
          <w:p>
            <w:pPr>
              <w:pStyle w:val="19"/>
              <w:spacing w:before="2"/>
              <w:jc w:val="left"/>
              <w:rPr>
                <w:rFonts w:ascii="Times New Roman"/>
                <w:b/>
                <w:sz w:val="22"/>
              </w:rPr>
            </w:pPr>
          </w:p>
          <w:p>
            <w:pPr>
              <w:pStyle w:val="19"/>
              <w:ind w:left="45" w:right="29"/>
              <w:rPr>
                <w:sz w:val="21"/>
              </w:rPr>
            </w:pPr>
            <w:r>
              <w:rPr>
                <w:sz w:val="21"/>
              </w:rPr>
              <w:t>经度</w:t>
            </w:r>
          </w:p>
        </w:tc>
        <w:tc>
          <w:tcPr>
            <w:tcW w:w="1102"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b/>
                <w:sz w:val="20"/>
              </w:rPr>
            </w:pPr>
          </w:p>
          <w:p>
            <w:pPr>
              <w:pStyle w:val="19"/>
              <w:spacing w:before="2"/>
              <w:jc w:val="left"/>
              <w:rPr>
                <w:rFonts w:ascii="Times New Roman"/>
                <w:b/>
                <w:sz w:val="22"/>
              </w:rPr>
            </w:pPr>
          </w:p>
          <w:p>
            <w:pPr>
              <w:pStyle w:val="19"/>
              <w:ind w:left="50" w:right="36"/>
              <w:rPr>
                <w:sz w:val="21"/>
              </w:rPr>
            </w:pPr>
            <w:r>
              <w:rPr>
                <w:sz w:val="21"/>
              </w:rPr>
              <w:t>纬度</w:t>
            </w:r>
          </w:p>
        </w:tc>
        <w:tc>
          <w:tcPr>
            <w:tcW w:w="694" w:type="dxa"/>
            <w:tcBorders>
              <w:top w:val="nil"/>
              <w:left w:val="single" w:color="000000" w:sz="4" w:space="0"/>
              <w:bottom w:val="single" w:color="000000" w:sz="4" w:space="0"/>
              <w:right w:val="single" w:color="000000" w:sz="4" w:space="0"/>
            </w:tcBorders>
          </w:tcPr>
          <w:p>
            <w:pPr>
              <w:pStyle w:val="19"/>
              <w:spacing w:before="27" w:line="292" w:lineRule="auto"/>
              <w:ind w:left="142" w:right="121"/>
              <w:jc w:val="both"/>
              <w:rPr>
                <w:sz w:val="21"/>
              </w:rPr>
            </w:pPr>
            <w:r>
              <w:rPr>
                <w:sz w:val="21"/>
              </w:rPr>
              <w:t>部海拔高度</w:t>
            </w:r>
          </w:p>
          <w:p>
            <w:pPr>
              <w:pStyle w:val="19"/>
              <w:spacing w:line="238" w:lineRule="exact"/>
              <w:ind w:left="200"/>
              <w:jc w:val="left"/>
              <w:rPr>
                <w:rFonts w:ascii="Times New Roman"/>
                <w:sz w:val="21"/>
              </w:rPr>
            </w:pPr>
            <w:r>
              <w:rPr>
                <w:rFonts w:ascii="Times New Roman"/>
                <w:sz w:val="21"/>
              </w:rPr>
              <w:t>(m)</w:t>
            </w:r>
          </w:p>
        </w:tc>
        <w:tc>
          <w:tcPr>
            <w:tcW w:w="694" w:type="dxa"/>
            <w:tcBorders>
              <w:top w:val="single" w:color="000000" w:sz="4" w:space="0"/>
              <w:left w:val="single" w:color="000000" w:sz="4" w:space="0"/>
              <w:bottom w:val="single" w:color="000000" w:sz="4" w:space="0"/>
              <w:right w:val="single" w:color="000000" w:sz="4" w:space="0"/>
            </w:tcBorders>
          </w:tcPr>
          <w:p>
            <w:pPr>
              <w:pStyle w:val="19"/>
              <w:spacing w:before="5"/>
              <w:jc w:val="left"/>
              <w:rPr>
                <w:rFonts w:ascii="Times New Roman"/>
                <w:b/>
                <w:sz w:val="29"/>
              </w:rPr>
            </w:pPr>
          </w:p>
          <w:p>
            <w:pPr>
              <w:pStyle w:val="19"/>
              <w:ind w:left="142"/>
              <w:jc w:val="left"/>
              <w:rPr>
                <w:sz w:val="21"/>
              </w:rPr>
            </w:pPr>
            <w:r>
              <w:rPr>
                <w:sz w:val="21"/>
              </w:rPr>
              <w:t>高度</w:t>
            </w:r>
          </w:p>
          <w:p>
            <w:pPr>
              <w:pStyle w:val="19"/>
              <w:spacing w:before="57"/>
              <w:ind w:left="199"/>
              <w:jc w:val="left"/>
              <w:rPr>
                <w:rFonts w:ascii="Times New Roman"/>
                <w:sz w:val="21"/>
              </w:rPr>
            </w:pPr>
            <w:r>
              <w:rPr>
                <w:rFonts w:ascii="Times New Roman"/>
                <w:sz w:val="21"/>
              </w:rPr>
              <w:t>(m)</w:t>
            </w:r>
          </w:p>
        </w:tc>
        <w:tc>
          <w:tcPr>
            <w:tcW w:w="694" w:type="dxa"/>
            <w:tcBorders>
              <w:top w:val="single" w:color="000000" w:sz="4" w:space="0"/>
              <w:left w:val="single" w:color="000000" w:sz="4" w:space="0"/>
              <w:bottom w:val="single" w:color="000000" w:sz="4" w:space="0"/>
              <w:right w:val="single" w:color="000000" w:sz="4" w:space="0"/>
            </w:tcBorders>
          </w:tcPr>
          <w:p>
            <w:pPr>
              <w:pStyle w:val="19"/>
              <w:spacing w:before="5"/>
              <w:jc w:val="left"/>
              <w:rPr>
                <w:rFonts w:ascii="Times New Roman"/>
                <w:b/>
                <w:sz w:val="29"/>
              </w:rPr>
            </w:pPr>
          </w:p>
          <w:p>
            <w:pPr>
              <w:pStyle w:val="19"/>
              <w:ind w:left="141"/>
              <w:jc w:val="left"/>
              <w:rPr>
                <w:sz w:val="21"/>
              </w:rPr>
            </w:pPr>
            <w:r>
              <w:rPr>
                <w:sz w:val="21"/>
              </w:rPr>
              <w:t>内径</w:t>
            </w:r>
          </w:p>
          <w:p>
            <w:pPr>
              <w:pStyle w:val="19"/>
              <w:spacing w:before="57"/>
              <w:ind w:left="199"/>
              <w:jc w:val="left"/>
              <w:rPr>
                <w:rFonts w:ascii="Times New Roman"/>
                <w:sz w:val="21"/>
              </w:rPr>
            </w:pPr>
            <w:r>
              <w:rPr>
                <w:rFonts w:ascii="Times New Roman"/>
                <w:sz w:val="21"/>
              </w:rPr>
              <w:t>(m)</w:t>
            </w:r>
          </w:p>
        </w:tc>
        <w:tc>
          <w:tcPr>
            <w:tcW w:w="69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b/>
                <w:sz w:val="28"/>
              </w:rPr>
            </w:pPr>
          </w:p>
          <w:p>
            <w:pPr>
              <w:pStyle w:val="19"/>
              <w:ind w:left="141"/>
              <w:jc w:val="left"/>
              <w:rPr>
                <w:sz w:val="21"/>
              </w:rPr>
            </w:pPr>
            <w:r>
              <w:rPr>
                <w:spacing w:val="-1"/>
                <w:w w:val="95"/>
                <w:sz w:val="21"/>
              </w:rPr>
              <w:t>温度</w:t>
            </w:r>
          </w:p>
          <w:p>
            <w:pPr>
              <w:pStyle w:val="19"/>
              <w:spacing w:before="55"/>
              <w:ind w:left="177"/>
              <w:jc w:val="left"/>
              <w:rPr>
                <w:rFonts w:ascii="Times New Roman" w:hAnsi="Times New Roman"/>
                <w:sz w:val="21"/>
              </w:rPr>
            </w:pPr>
            <w:r>
              <w:rPr>
                <w:rFonts w:ascii="Times New Roman" w:hAnsi="Times New Roman"/>
                <w:sz w:val="21"/>
              </w:rPr>
              <w:t>(</w:t>
            </w:r>
            <w:r>
              <w:rPr>
                <w:sz w:val="21"/>
              </w:rPr>
              <w:t>℃</w:t>
            </w:r>
            <w:r>
              <w:rPr>
                <w:rFonts w:ascii="Times New Roman" w:hAnsi="Times New Roman"/>
                <w:sz w:val="21"/>
              </w:rPr>
              <w:t>)</w:t>
            </w:r>
          </w:p>
        </w:tc>
        <w:tc>
          <w:tcPr>
            <w:tcW w:w="699" w:type="dxa"/>
            <w:tcBorders>
              <w:top w:val="single" w:color="000000" w:sz="4" w:space="0"/>
              <w:left w:val="single" w:color="000000" w:sz="4" w:space="0"/>
              <w:bottom w:val="single" w:color="000000" w:sz="4" w:space="0"/>
              <w:right w:val="single" w:color="000000" w:sz="4" w:space="0"/>
            </w:tcBorders>
          </w:tcPr>
          <w:p>
            <w:pPr>
              <w:pStyle w:val="19"/>
              <w:spacing w:before="5"/>
              <w:jc w:val="left"/>
              <w:rPr>
                <w:rFonts w:ascii="Times New Roman"/>
                <w:b/>
                <w:sz w:val="29"/>
              </w:rPr>
            </w:pPr>
          </w:p>
          <w:p>
            <w:pPr>
              <w:pStyle w:val="19"/>
              <w:ind w:left="142"/>
              <w:jc w:val="left"/>
              <w:rPr>
                <w:sz w:val="21"/>
              </w:rPr>
            </w:pPr>
            <w:r>
              <w:rPr>
                <w:spacing w:val="-1"/>
                <w:w w:val="95"/>
                <w:sz w:val="21"/>
              </w:rPr>
              <w:t>流速</w:t>
            </w:r>
          </w:p>
          <w:p>
            <w:pPr>
              <w:pStyle w:val="19"/>
              <w:spacing w:before="57"/>
              <w:ind w:left="132"/>
              <w:jc w:val="left"/>
              <w:rPr>
                <w:rFonts w:ascii="Times New Roman"/>
                <w:sz w:val="21"/>
              </w:rPr>
            </w:pPr>
            <w:r>
              <w:rPr>
                <w:rFonts w:ascii="Times New Roman"/>
                <w:sz w:val="21"/>
              </w:rPr>
              <w:t>(m/s)</w:t>
            </w:r>
          </w:p>
        </w:tc>
        <w:tc>
          <w:tcPr>
            <w:tcW w:w="69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b/>
                <w:sz w:val="22"/>
              </w:rPr>
            </w:pPr>
          </w:p>
          <w:p>
            <w:pPr>
              <w:pStyle w:val="19"/>
              <w:spacing w:before="4"/>
              <w:jc w:val="left"/>
              <w:rPr>
                <w:rFonts w:ascii="Times New Roman"/>
                <w:b/>
                <w:sz w:val="21"/>
              </w:rPr>
            </w:pPr>
          </w:p>
          <w:p>
            <w:pPr>
              <w:pStyle w:val="19"/>
              <w:ind w:left="146" w:right="127"/>
              <w:rPr>
                <w:rFonts w:ascii="Times New Roman"/>
                <w:sz w:val="21"/>
              </w:rPr>
            </w:pPr>
            <w:r>
              <w:rPr>
                <w:rFonts w:ascii="Times New Roman"/>
                <w:position w:val="2"/>
                <w:sz w:val="21"/>
              </w:rPr>
              <w:t>NO</w:t>
            </w:r>
            <w:r>
              <w:rPr>
                <w:rFonts w:ascii="Times New Roman"/>
                <w:position w:val="2"/>
                <w:sz w:val="21"/>
                <w:vertAlign w:val="subscript"/>
              </w:rPr>
              <w:t>x</w:t>
            </w:r>
          </w:p>
        </w:tc>
        <w:tc>
          <w:tcPr>
            <w:tcW w:w="69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b/>
                <w:sz w:val="22"/>
              </w:rPr>
            </w:pPr>
          </w:p>
          <w:p>
            <w:pPr>
              <w:pStyle w:val="19"/>
              <w:spacing w:before="4"/>
              <w:jc w:val="left"/>
              <w:rPr>
                <w:rFonts w:ascii="Times New Roman"/>
                <w:b/>
                <w:sz w:val="21"/>
              </w:rPr>
            </w:pPr>
          </w:p>
          <w:p>
            <w:pPr>
              <w:pStyle w:val="19"/>
              <w:ind w:left="146" w:right="127"/>
              <w:rPr>
                <w:rFonts w:ascii="Times New Roman"/>
                <w:sz w:val="21"/>
              </w:rPr>
            </w:pPr>
            <w:r>
              <w:rPr>
                <w:rFonts w:ascii="Times New Roman"/>
                <w:position w:val="2"/>
                <w:sz w:val="21"/>
              </w:rPr>
              <w:t>NO</w:t>
            </w:r>
            <w:r>
              <w:rPr>
                <w:rFonts w:ascii="Times New Roman"/>
                <w:position w:val="2"/>
                <w:sz w:val="21"/>
                <w:vertAlign w:val="subscript"/>
              </w:rPr>
              <w:t>2</w:t>
            </w:r>
          </w:p>
        </w:tc>
        <w:tc>
          <w:tcPr>
            <w:tcW w:w="697"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b/>
                <w:sz w:val="22"/>
              </w:rPr>
            </w:pPr>
          </w:p>
          <w:p>
            <w:pPr>
              <w:pStyle w:val="19"/>
              <w:spacing w:before="4"/>
              <w:jc w:val="left"/>
              <w:rPr>
                <w:rFonts w:ascii="Times New Roman"/>
                <w:b/>
                <w:sz w:val="21"/>
              </w:rPr>
            </w:pPr>
          </w:p>
          <w:p>
            <w:pPr>
              <w:pStyle w:val="19"/>
              <w:ind w:left="148" w:right="129"/>
              <w:rPr>
                <w:rFonts w:ascii="Times New Roman"/>
                <w:sz w:val="21"/>
              </w:rPr>
            </w:pPr>
            <w:r>
              <w:rPr>
                <w:rFonts w:ascii="Times New Roman"/>
                <w:position w:val="2"/>
                <w:sz w:val="21"/>
              </w:rPr>
              <w:t>SO</w:t>
            </w:r>
            <w:r>
              <w:rPr>
                <w:rFonts w:ascii="Times New Roman"/>
                <w:position w:val="2"/>
                <w:sz w:val="21"/>
                <w:vertAlign w:val="subscript"/>
              </w:rPr>
              <w:t>2</w:t>
            </w:r>
          </w:p>
        </w:tc>
        <w:tc>
          <w:tcPr>
            <w:tcW w:w="683" w:type="dxa"/>
            <w:tcBorders>
              <w:top w:val="single" w:color="000000" w:sz="4" w:space="0"/>
              <w:left w:val="single" w:color="000000" w:sz="4" w:space="0"/>
              <w:bottom w:val="single" w:color="000000" w:sz="4" w:space="0"/>
            </w:tcBorders>
          </w:tcPr>
          <w:p>
            <w:pPr>
              <w:pStyle w:val="19"/>
              <w:jc w:val="left"/>
              <w:rPr>
                <w:rFonts w:ascii="Times New Roman"/>
                <w:b/>
                <w:sz w:val="22"/>
              </w:rPr>
            </w:pPr>
          </w:p>
          <w:p>
            <w:pPr>
              <w:pStyle w:val="19"/>
              <w:spacing w:before="4"/>
              <w:jc w:val="left"/>
              <w:rPr>
                <w:rFonts w:ascii="Times New Roman"/>
                <w:b/>
                <w:sz w:val="21"/>
              </w:rPr>
            </w:pPr>
          </w:p>
          <w:p>
            <w:pPr>
              <w:pStyle w:val="19"/>
              <w:ind w:left="106" w:right="82"/>
              <w:rPr>
                <w:rFonts w:ascii="Times New Roman"/>
                <w:sz w:val="21"/>
              </w:rPr>
            </w:pPr>
            <w:r>
              <w:rPr>
                <w:rFonts w:ascii="Times New Roman"/>
                <w:position w:val="2"/>
                <w:sz w:val="21"/>
              </w:rPr>
              <w:t>PM</w:t>
            </w:r>
            <w:r>
              <w:rPr>
                <w:rFonts w:ascii="Times New Roman"/>
                <w:position w:val="2"/>
                <w:sz w:val="21"/>
                <w:vertAlign w:val="subscript"/>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694" w:type="dxa"/>
            <w:tcBorders>
              <w:top w:val="single" w:color="000000" w:sz="4" w:space="0"/>
              <w:bottom w:val="single" w:color="000000" w:sz="4" w:space="0"/>
              <w:right w:val="single" w:color="000000" w:sz="4" w:space="0"/>
            </w:tcBorders>
          </w:tcPr>
          <w:p>
            <w:pPr>
              <w:pStyle w:val="19"/>
              <w:spacing w:before="1"/>
              <w:ind w:left="136"/>
              <w:jc w:val="left"/>
              <w:rPr>
                <w:sz w:val="21"/>
              </w:rPr>
            </w:pPr>
            <w:r>
              <w:rPr>
                <w:spacing w:val="-1"/>
                <w:w w:val="95"/>
                <w:sz w:val="21"/>
              </w:rPr>
              <w:t>暖风</w:t>
            </w:r>
          </w:p>
          <w:p>
            <w:pPr>
              <w:pStyle w:val="19"/>
              <w:spacing w:before="58"/>
              <w:ind w:left="136"/>
              <w:jc w:val="left"/>
              <w:rPr>
                <w:sz w:val="21"/>
              </w:rPr>
            </w:pPr>
            <w:r>
              <w:rPr>
                <w:spacing w:val="-1"/>
                <w:w w:val="95"/>
                <w:sz w:val="21"/>
              </w:rPr>
              <w:t>炉房</w:t>
            </w:r>
          </w:p>
        </w:tc>
        <w:tc>
          <w:tcPr>
            <w:tcW w:w="1208" w:type="dxa"/>
            <w:tcBorders>
              <w:top w:val="single" w:color="000000" w:sz="4" w:space="0"/>
              <w:left w:val="single" w:color="000000" w:sz="4" w:space="0"/>
              <w:bottom w:val="single" w:color="000000" w:sz="4" w:space="0"/>
              <w:right w:val="single" w:color="000000" w:sz="4" w:space="0"/>
            </w:tcBorders>
          </w:tcPr>
          <w:p>
            <w:pPr>
              <w:pStyle w:val="19"/>
              <w:spacing w:before="181"/>
              <w:ind w:left="45" w:right="114"/>
              <w:rPr>
                <w:rFonts w:ascii="Times New Roman"/>
                <w:sz w:val="21"/>
              </w:rPr>
            </w:pPr>
            <w:r>
              <w:rPr>
                <w:rFonts w:ascii="Times New Roman"/>
                <w:sz w:val="21"/>
              </w:rPr>
              <w:t>131.177719</w:t>
            </w:r>
          </w:p>
        </w:tc>
        <w:tc>
          <w:tcPr>
            <w:tcW w:w="1102" w:type="dxa"/>
            <w:tcBorders>
              <w:top w:val="single" w:color="000000" w:sz="4" w:space="0"/>
              <w:left w:val="single" w:color="000000" w:sz="4" w:space="0"/>
              <w:bottom w:val="single" w:color="000000" w:sz="4" w:space="0"/>
              <w:right w:val="single" w:color="000000" w:sz="4" w:space="0"/>
            </w:tcBorders>
          </w:tcPr>
          <w:p>
            <w:pPr>
              <w:pStyle w:val="19"/>
              <w:spacing w:before="181"/>
              <w:ind w:left="50" w:right="108"/>
              <w:rPr>
                <w:rFonts w:ascii="Times New Roman"/>
                <w:sz w:val="21"/>
              </w:rPr>
            </w:pPr>
            <w:r>
              <w:rPr>
                <w:rFonts w:ascii="Times New Roman"/>
                <w:sz w:val="21"/>
              </w:rPr>
              <w:t>46.564233</w:t>
            </w:r>
          </w:p>
        </w:tc>
        <w:tc>
          <w:tcPr>
            <w:tcW w:w="694" w:type="dxa"/>
            <w:tcBorders>
              <w:top w:val="single" w:color="000000" w:sz="4" w:space="0"/>
              <w:left w:val="single" w:color="000000" w:sz="4" w:space="0"/>
              <w:bottom w:val="single" w:color="000000" w:sz="4" w:space="0"/>
              <w:right w:val="single" w:color="000000" w:sz="4" w:space="0"/>
            </w:tcBorders>
          </w:tcPr>
          <w:p>
            <w:pPr>
              <w:pStyle w:val="19"/>
              <w:spacing w:before="181"/>
              <w:ind w:left="193"/>
              <w:jc w:val="left"/>
              <w:rPr>
                <w:rFonts w:ascii="Times New Roman"/>
                <w:sz w:val="21"/>
              </w:rPr>
            </w:pPr>
            <w:r>
              <w:rPr>
                <w:rFonts w:ascii="Times New Roman"/>
                <w:sz w:val="21"/>
              </w:rPr>
              <w:t>213</w:t>
            </w:r>
          </w:p>
        </w:tc>
        <w:tc>
          <w:tcPr>
            <w:tcW w:w="694" w:type="dxa"/>
            <w:tcBorders>
              <w:top w:val="single" w:color="000000" w:sz="4" w:space="0"/>
              <w:left w:val="single" w:color="000000" w:sz="4" w:space="0"/>
              <w:bottom w:val="single" w:color="000000" w:sz="4" w:space="0"/>
              <w:right w:val="single" w:color="000000" w:sz="4" w:space="0"/>
            </w:tcBorders>
          </w:tcPr>
          <w:p>
            <w:pPr>
              <w:pStyle w:val="19"/>
              <w:spacing w:before="181"/>
              <w:ind w:left="196" w:right="180"/>
              <w:rPr>
                <w:rFonts w:ascii="Times New Roman"/>
                <w:sz w:val="21"/>
              </w:rPr>
            </w:pPr>
            <w:r>
              <w:rPr>
                <w:rFonts w:ascii="Times New Roman"/>
                <w:sz w:val="21"/>
              </w:rPr>
              <w:t>30</w:t>
            </w:r>
          </w:p>
        </w:tc>
        <w:tc>
          <w:tcPr>
            <w:tcW w:w="694" w:type="dxa"/>
            <w:tcBorders>
              <w:top w:val="single" w:color="000000" w:sz="4" w:space="0"/>
              <w:left w:val="single" w:color="000000" w:sz="4" w:space="0"/>
              <w:bottom w:val="single" w:color="000000" w:sz="4" w:space="0"/>
              <w:right w:val="single" w:color="000000" w:sz="4" w:space="0"/>
            </w:tcBorders>
          </w:tcPr>
          <w:p>
            <w:pPr>
              <w:pStyle w:val="19"/>
              <w:spacing w:before="181"/>
              <w:ind w:left="199" w:right="179"/>
              <w:rPr>
                <w:rFonts w:ascii="Times New Roman"/>
                <w:sz w:val="21"/>
              </w:rPr>
            </w:pPr>
            <w:r>
              <w:rPr>
                <w:rFonts w:ascii="Times New Roman"/>
                <w:sz w:val="21"/>
              </w:rPr>
              <w:t>0.8</w:t>
            </w:r>
          </w:p>
        </w:tc>
        <w:tc>
          <w:tcPr>
            <w:tcW w:w="695" w:type="dxa"/>
            <w:tcBorders>
              <w:top w:val="single" w:color="000000" w:sz="4" w:space="0"/>
              <w:left w:val="single" w:color="000000" w:sz="4" w:space="0"/>
              <w:bottom w:val="single" w:color="000000" w:sz="4" w:space="0"/>
              <w:right w:val="single" w:color="000000" w:sz="4" w:space="0"/>
            </w:tcBorders>
          </w:tcPr>
          <w:p>
            <w:pPr>
              <w:pStyle w:val="19"/>
              <w:spacing w:before="181"/>
              <w:ind w:left="194"/>
              <w:jc w:val="left"/>
              <w:rPr>
                <w:rFonts w:ascii="Times New Roman"/>
                <w:sz w:val="21"/>
              </w:rPr>
            </w:pPr>
            <w:r>
              <w:rPr>
                <w:rFonts w:ascii="Times New Roman"/>
                <w:sz w:val="21"/>
              </w:rPr>
              <w:t>120</w:t>
            </w:r>
          </w:p>
        </w:tc>
        <w:tc>
          <w:tcPr>
            <w:tcW w:w="699" w:type="dxa"/>
            <w:tcBorders>
              <w:top w:val="single" w:color="000000" w:sz="4" w:space="0"/>
              <w:left w:val="single" w:color="000000" w:sz="4" w:space="0"/>
              <w:bottom w:val="single" w:color="000000" w:sz="4" w:space="0"/>
              <w:right w:val="single" w:color="000000" w:sz="4" w:space="0"/>
            </w:tcBorders>
          </w:tcPr>
          <w:p>
            <w:pPr>
              <w:pStyle w:val="19"/>
              <w:spacing w:before="181"/>
              <w:ind w:left="151" w:right="130"/>
              <w:rPr>
                <w:rFonts w:ascii="Times New Roman"/>
                <w:sz w:val="21"/>
              </w:rPr>
            </w:pPr>
            <w:r>
              <w:rPr>
                <w:rFonts w:ascii="Times New Roman"/>
                <w:sz w:val="21"/>
              </w:rPr>
              <w:t>4.88</w:t>
            </w:r>
          </w:p>
        </w:tc>
        <w:tc>
          <w:tcPr>
            <w:tcW w:w="695" w:type="dxa"/>
            <w:tcBorders>
              <w:top w:val="single" w:color="000000" w:sz="4" w:space="0"/>
              <w:left w:val="single" w:color="000000" w:sz="4" w:space="0"/>
              <w:bottom w:val="single" w:color="000000" w:sz="4" w:space="0"/>
              <w:right w:val="single" w:color="000000" w:sz="4" w:space="0"/>
            </w:tcBorders>
          </w:tcPr>
          <w:p>
            <w:pPr>
              <w:pStyle w:val="19"/>
              <w:spacing w:before="181"/>
              <w:ind w:left="146" w:right="127"/>
              <w:rPr>
                <w:rFonts w:ascii="Times New Roman"/>
                <w:sz w:val="21"/>
              </w:rPr>
            </w:pPr>
            <w:r>
              <w:rPr>
                <w:rFonts w:ascii="Times New Roman"/>
                <w:color w:val="FF0000"/>
                <w:sz w:val="21"/>
              </w:rPr>
              <w:t>1.43</w:t>
            </w:r>
          </w:p>
        </w:tc>
        <w:tc>
          <w:tcPr>
            <w:tcW w:w="695" w:type="dxa"/>
            <w:tcBorders>
              <w:top w:val="single" w:color="000000" w:sz="4" w:space="0"/>
              <w:left w:val="single" w:color="000000" w:sz="4" w:space="0"/>
              <w:bottom w:val="single" w:color="000000" w:sz="4" w:space="0"/>
              <w:right w:val="single" w:color="000000" w:sz="4" w:space="0"/>
            </w:tcBorders>
          </w:tcPr>
          <w:p>
            <w:pPr>
              <w:pStyle w:val="19"/>
              <w:spacing w:before="181"/>
              <w:ind w:left="146" w:right="125"/>
              <w:rPr>
                <w:rFonts w:ascii="Times New Roman"/>
                <w:sz w:val="21"/>
              </w:rPr>
            </w:pPr>
            <w:r>
              <w:rPr>
                <w:rFonts w:ascii="Times New Roman"/>
                <w:color w:val="FF0000"/>
                <w:sz w:val="21"/>
              </w:rPr>
              <w:t>1.29</w:t>
            </w:r>
          </w:p>
        </w:tc>
        <w:tc>
          <w:tcPr>
            <w:tcW w:w="697" w:type="dxa"/>
            <w:tcBorders>
              <w:top w:val="single" w:color="000000" w:sz="4" w:space="0"/>
              <w:left w:val="single" w:color="000000" w:sz="4" w:space="0"/>
              <w:bottom w:val="single" w:color="000000" w:sz="4" w:space="0"/>
              <w:right w:val="single" w:color="000000" w:sz="4" w:space="0"/>
            </w:tcBorders>
          </w:tcPr>
          <w:p>
            <w:pPr>
              <w:pStyle w:val="19"/>
              <w:spacing w:before="181"/>
              <w:ind w:left="149" w:right="128"/>
              <w:rPr>
                <w:rFonts w:ascii="Times New Roman"/>
                <w:sz w:val="21"/>
              </w:rPr>
            </w:pPr>
            <w:r>
              <w:rPr>
                <w:rFonts w:ascii="Times New Roman"/>
                <w:sz w:val="21"/>
              </w:rPr>
              <w:t>0.20</w:t>
            </w:r>
          </w:p>
        </w:tc>
        <w:tc>
          <w:tcPr>
            <w:tcW w:w="683" w:type="dxa"/>
            <w:tcBorders>
              <w:top w:val="single" w:color="000000" w:sz="4" w:space="0"/>
              <w:left w:val="single" w:color="000000" w:sz="4" w:space="0"/>
              <w:bottom w:val="single" w:color="000000" w:sz="4" w:space="0"/>
            </w:tcBorders>
          </w:tcPr>
          <w:p>
            <w:pPr>
              <w:pStyle w:val="19"/>
              <w:spacing w:before="181"/>
              <w:ind w:left="106" w:right="77"/>
              <w:rPr>
                <w:rFonts w:ascii="Times New Roman"/>
                <w:sz w:val="21"/>
              </w:rPr>
            </w:pPr>
            <w:r>
              <w:rPr>
                <w:rFonts w:ascii="Times New Roman"/>
                <w:sz w:val="21"/>
              </w:rPr>
              <w:t>0.11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694" w:type="dxa"/>
            <w:tcBorders>
              <w:top w:val="single" w:color="000000" w:sz="4" w:space="0"/>
              <w:bottom w:val="single" w:color="000000" w:sz="4" w:space="0"/>
              <w:right w:val="single" w:color="000000" w:sz="4" w:space="0"/>
            </w:tcBorders>
          </w:tcPr>
          <w:p>
            <w:pPr>
              <w:pStyle w:val="19"/>
              <w:ind w:left="115" w:right="103"/>
              <w:rPr>
                <w:sz w:val="21"/>
              </w:rPr>
            </w:pPr>
            <w:r>
              <w:rPr>
                <w:sz w:val="21"/>
              </w:rPr>
              <w:t>锅炉</w:t>
            </w:r>
          </w:p>
          <w:p>
            <w:pPr>
              <w:pStyle w:val="19"/>
              <w:spacing w:before="57"/>
              <w:ind w:left="14"/>
              <w:rPr>
                <w:sz w:val="21"/>
              </w:rPr>
            </w:pPr>
            <w:r>
              <w:rPr>
                <w:w w:val="99"/>
                <w:sz w:val="21"/>
              </w:rPr>
              <w:t>房</w:t>
            </w:r>
          </w:p>
        </w:tc>
        <w:tc>
          <w:tcPr>
            <w:tcW w:w="1208" w:type="dxa"/>
            <w:tcBorders>
              <w:top w:val="single" w:color="000000" w:sz="4" w:space="0"/>
              <w:left w:val="single" w:color="000000" w:sz="4" w:space="0"/>
              <w:bottom w:val="single" w:color="000000" w:sz="4" w:space="0"/>
              <w:right w:val="single" w:color="000000" w:sz="4" w:space="0"/>
            </w:tcBorders>
          </w:tcPr>
          <w:p>
            <w:pPr>
              <w:pStyle w:val="19"/>
              <w:spacing w:before="179"/>
              <w:ind w:left="45" w:right="114"/>
              <w:rPr>
                <w:rFonts w:ascii="Times New Roman"/>
                <w:sz w:val="21"/>
              </w:rPr>
            </w:pPr>
            <w:r>
              <w:rPr>
                <w:rFonts w:ascii="Times New Roman"/>
                <w:sz w:val="21"/>
              </w:rPr>
              <w:t>131.176775</w:t>
            </w:r>
          </w:p>
        </w:tc>
        <w:tc>
          <w:tcPr>
            <w:tcW w:w="1102" w:type="dxa"/>
            <w:tcBorders>
              <w:top w:val="single" w:color="000000" w:sz="4" w:space="0"/>
              <w:left w:val="single" w:color="000000" w:sz="4" w:space="0"/>
              <w:bottom w:val="single" w:color="000000" w:sz="4" w:space="0"/>
              <w:right w:val="single" w:color="000000" w:sz="4" w:space="0"/>
            </w:tcBorders>
          </w:tcPr>
          <w:p>
            <w:pPr>
              <w:pStyle w:val="19"/>
              <w:spacing w:before="179"/>
              <w:ind w:left="50" w:right="108"/>
              <w:rPr>
                <w:rFonts w:ascii="Times New Roman"/>
                <w:sz w:val="21"/>
              </w:rPr>
            </w:pPr>
            <w:r>
              <w:rPr>
                <w:rFonts w:ascii="Times New Roman"/>
                <w:sz w:val="21"/>
              </w:rPr>
              <w:t>46.565918</w:t>
            </w:r>
          </w:p>
        </w:tc>
        <w:tc>
          <w:tcPr>
            <w:tcW w:w="694" w:type="dxa"/>
            <w:tcBorders>
              <w:top w:val="single" w:color="000000" w:sz="4" w:space="0"/>
              <w:left w:val="single" w:color="000000" w:sz="4" w:space="0"/>
              <w:bottom w:val="single" w:color="000000" w:sz="4" w:space="0"/>
              <w:right w:val="single" w:color="000000" w:sz="4" w:space="0"/>
            </w:tcBorders>
          </w:tcPr>
          <w:p>
            <w:pPr>
              <w:pStyle w:val="19"/>
              <w:spacing w:before="179"/>
              <w:ind w:left="197"/>
              <w:jc w:val="left"/>
              <w:rPr>
                <w:rFonts w:ascii="Times New Roman"/>
                <w:sz w:val="21"/>
              </w:rPr>
            </w:pPr>
            <w:r>
              <w:rPr>
                <w:rFonts w:ascii="Times New Roman"/>
                <w:sz w:val="21"/>
              </w:rPr>
              <w:t>211</w:t>
            </w:r>
          </w:p>
        </w:tc>
        <w:tc>
          <w:tcPr>
            <w:tcW w:w="694" w:type="dxa"/>
            <w:tcBorders>
              <w:top w:val="single" w:color="000000" w:sz="4" w:space="0"/>
              <w:left w:val="single" w:color="000000" w:sz="4" w:space="0"/>
              <w:bottom w:val="single" w:color="000000" w:sz="4" w:space="0"/>
              <w:right w:val="single" w:color="000000" w:sz="4" w:space="0"/>
            </w:tcBorders>
          </w:tcPr>
          <w:p>
            <w:pPr>
              <w:pStyle w:val="19"/>
              <w:spacing w:before="179"/>
              <w:ind w:left="196" w:right="180"/>
              <w:rPr>
                <w:rFonts w:ascii="Times New Roman"/>
                <w:sz w:val="21"/>
              </w:rPr>
            </w:pPr>
            <w:r>
              <w:rPr>
                <w:rFonts w:ascii="Times New Roman"/>
                <w:sz w:val="21"/>
              </w:rPr>
              <w:t>30</w:t>
            </w:r>
          </w:p>
        </w:tc>
        <w:tc>
          <w:tcPr>
            <w:tcW w:w="694" w:type="dxa"/>
            <w:tcBorders>
              <w:top w:val="single" w:color="000000" w:sz="4" w:space="0"/>
              <w:left w:val="single" w:color="000000" w:sz="4" w:space="0"/>
              <w:bottom w:val="single" w:color="000000" w:sz="4" w:space="0"/>
              <w:right w:val="single" w:color="000000" w:sz="4" w:space="0"/>
            </w:tcBorders>
          </w:tcPr>
          <w:p>
            <w:pPr>
              <w:pStyle w:val="19"/>
              <w:spacing w:before="179"/>
              <w:ind w:left="198" w:right="180"/>
              <w:rPr>
                <w:rFonts w:ascii="Times New Roman"/>
                <w:sz w:val="21"/>
              </w:rPr>
            </w:pPr>
            <w:r>
              <w:rPr>
                <w:rFonts w:ascii="Times New Roman"/>
                <w:color w:val="FF0000"/>
                <w:sz w:val="21"/>
              </w:rPr>
              <w:t>0.5</w:t>
            </w:r>
          </w:p>
        </w:tc>
        <w:tc>
          <w:tcPr>
            <w:tcW w:w="695" w:type="dxa"/>
            <w:tcBorders>
              <w:top w:val="single" w:color="000000" w:sz="4" w:space="0"/>
              <w:left w:val="single" w:color="000000" w:sz="4" w:space="0"/>
              <w:bottom w:val="single" w:color="000000" w:sz="4" w:space="0"/>
              <w:right w:val="single" w:color="000000" w:sz="4" w:space="0"/>
            </w:tcBorders>
          </w:tcPr>
          <w:p>
            <w:pPr>
              <w:pStyle w:val="19"/>
              <w:spacing w:before="179"/>
              <w:ind w:left="194"/>
              <w:jc w:val="left"/>
              <w:rPr>
                <w:rFonts w:ascii="Times New Roman"/>
                <w:sz w:val="21"/>
              </w:rPr>
            </w:pPr>
            <w:r>
              <w:rPr>
                <w:rFonts w:ascii="Times New Roman"/>
                <w:sz w:val="21"/>
              </w:rPr>
              <w:t>120</w:t>
            </w:r>
          </w:p>
        </w:tc>
        <w:tc>
          <w:tcPr>
            <w:tcW w:w="699" w:type="dxa"/>
            <w:tcBorders>
              <w:top w:val="single" w:color="000000" w:sz="4" w:space="0"/>
              <w:left w:val="single" w:color="000000" w:sz="4" w:space="0"/>
              <w:bottom w:val="single" w:color="000000" w:sz="4" w:space="0"/>
              <w:right w:val="single" w:color="000000" w:sz="4" w:space="0"/>
            </w:tcBorders>
          </w:tcPr>
          <w:p>
            <w:pPr>
              <w:pStyle w:val="19"/>
              <w:spacing w:before="179"/>
              <w:ind w:left="151" w:right="130"/>
              <w:rPr>
                <w:rFonts w:ascii="Times New Roman"/>
                <w:sz w:val="21"/>
              </w:rPr>
            </w:pPr>
            <w:r>
              <w:rPr>
                <w:rFonts w:ascii="Times New Roman"/>
                <w:color w:val="FF0000"/>
                <w:sz w:val="21"/>
              </w:rPr>
              <w:t>2.51</w:t>
            </w:r>
          </w:p>
        </w:tc>
        <w:tc>
          <w:tcPr>
            <w:tcW w:w="695" w:type="dxa"/>
            <w:tcBorders>
              <w:top w:val="single" w:color="000000" w:sz="4" w:space="0"/>
              <w:left w:val="single" w:color="000000" w:sz="4" w:space="0"/>
              <w:bottom w:val="single" w:color="000000" w:sz="4" w:space="0"/>
              <w:right w:val="single" w:color="000000" w:sz="4" w:space="0"/>
            </w:tcBorders>
          </w:tcPr>
          <w:p>
            <w:pPr>
              <w:pStyle w:val="19"/>
              <w:spacing w:before="179"/>
              <w:ind w:left="146" w:right="127"/>
              <w:rPr>
                <w:rFonts w:ascii="Times New Roman"/>
                <w:sz w:val="21"/>
              </w:rPr>
            </w:pPr>
            <w:r>
              <w:rPr>
                <w:rFonts w:ascii="Times New Roman"/>
                <w:color w:val="FF0000"/>
                <w:sz w:val="21"/>
              </w:rPr>
              <w:t>0.29</w:t>
            </w:r>
          </w:p>
        </w:tc>
        <w:tc>
          <w:tcPr>
            <w:tcW w:w="695" w:type="dxa"/>
            <w:tcBorders>
              <w:top w:val="single" w:color="000000" w:sz="4" w:space="0"/>
              <w:left w:val="single" w:color="000000" w:sz="4" w:space="0"/>
              <w:bottom w:val="single" w:color="000000" w:sz="4" w:space="0"/>
              <w:right w:val="single" w:color="000000" w:sz="4" w:space="0"/>
            </w:tcBorders>
          </w:tcPr>
          <w:p>
            <w:pPr>
              <w:pStyle w:val="19"/>
              <w:spacing w:before="179"/>
              <w:ind w:left="146" w:right="125"/>
              <w:rPr>
                <w:rFonts w:ascii="Times New Roman"/>
                <w:sz w:val="21"/>
              </w:rPr>
            </w:pPr>
            <w:r>
              <w:rPr>
                <w:rFonts w:ascii="Times New Roman"/>
                <w:color w:val="FF0000"/>
                <w:sz w:val="21"/>
              </w:rPr>
              <w:t>0.26</w:t>
            </w:r>
          </w:p>
        </w:tc>
        <w:tc>
          <w:tcPr>
            <w:tcW w:w="697" w:type="dxa"/>
            <w:tcBorders>
              <w:top w:val="single" w:color="000000" w:sz="4" w:space="0"/>
              <w:left w:val="single" w:color="000000" w:sz="4" w:space="0"/>
              <w:bottom w:val="single" w:color="000000" w:sz="4" w:space="0"/>
              <w:right w:val="single" w:color="000000" w:sz="4" w:space="0"/>
            </w:tcBorders>
          </w:tcPr>
          <w:p>
            <w:pPr>
              <w:pStyle w:val="19"/>
              <w:spacing w:before="179"/>
              <w:ind w:left="148" w:right="129"/>
              <w:rPr>
                <w:rFonts w:ascii="Times New Roman"/>
                <w:sz w:val="21"/>
              </w:rPr>
            </w:pPr>
            <w:r>
              <w:rPr>
                <w:rFonts w:ascii="Times New Roman"/>
                <w:sz w:val="21"/>
              </w:rPr>
              <w:t>0.04</w:t>
            </w:r>
          </w:p>
        </w:tc>
        <w:tc>
          <w:tcPr>
            <w:tcW w:w="683" w:type="dxa"/>
            <w:tcBorders>
              <w:top w:val="single" w:color="000000" w:sz="4" w:space="0"/>
              <w:left w:val="single" w:color="000000" w:sz="4" w:space="0"/>
              <w:bottom w:val="single" w:color="000000" w:sz="4" w:space="0"/>
            </w:tcBorders>
          </w:tcPr>
          <w:p>
            <w:pPr>
              <w:pStyle w:val="19"/>
              <w:spacing w:before="179"/>
              <w:ind w:left="106" w:right="82"/>
              <w:rPr>
                <w:rFonts w:ascii="Times New Roman"/>
                <w:sz w:val="21"/>
              </w:rPr>
            </w:pPr>
            <w:r>
              <w:rPr>
                <w:rFonts w:ascii="Times New Roman"/>
                <w:sz w:val="21"/>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694" w:type="dxa"/>
            <w:tcBorders>
              <w:top w:val="single" w:color="000000" w:sz="4" w:space="0"/>
              <w:right w:val="single" w:color="000000" w:sz="4" w:space="0"/>
            </w:tcBorders>
          </w:tcPr>
          <w:p>
            <w:pPr>
              <w:pStyle w:val="19"/>
              <w:spacing w:before="1"/>
              <w:ind w:left="136"/>
              <w:jc w:val="left"/>
              <w:rPr>
                <w:sz w:val="21"/>
              </w:rPr>
            </w:pPr>
            <w:r>
              <w:rPr>
                <w:spacing w:val="-1"/>
                <w:w w:val="95"/>
                <w:sz w:val="21"/>
              </w:rPr>
              <w:t>筛分</w:t>
            </w:r>
          </w:p>
          <w:p>
            <w:pPr>
              <w:pStyle w:val="19"/>
              <w:spacing w:before="58"/>
              <w:ind w:left="136"/>
              <w:jc w:val="left"/>
              <w:rPr>
                <w:sz w:val="21"/>
              </w:rPr>
            </w:pPr>
            <w:r>
              <w:rPr>
                <w:spacing w:val="-1"/>
                <w:w w:val="95"/>
                <w:sz w:val="21"/>
              </w:rPr>
              <w:t>车间</w:t>
            </w:r>
          </w:p>
        </w:tc>
        <w:tc>
          <w:tcPr>
            <w:tcW w:w="1208" w:type="dxa"/>
            <w:tcBorders>
              <w:top w:val="single" w:color="000000" w:sz="4" w:space="0"/>
              <w:left w:val="single" w:color="000000" w:sz="4" w:space="0"/>
              <w:right w:val="single" w:color="000000" w:sz="4" w:space="0"/>
            </w:tcBorders>
          </w:tcPr>
          <w:p>
            <w:pPr>
              <w:pStyle w:val="19"/>
              <w:spacing w:before="9"/>
              <w:jc w:val="left"/>
              <w:rPr>
                <w:rFonts w:ascii="Times New Roman"/>
                <w:b/>
                <w:sz w:val="17"/>
              </w:rPr>
            </w:pPr>
          </w:p>
          <w:p>
            <w:pPr>
              <w:pStyle w:val="19"/>
              <w:spacing w:before="1"/>
              <w:ind w:left="45" w:right="114"/>
              <w:rPr>
                <w:rFonts w:ascii="Times New Roman"/>
                <w:sz w:val="21"/>
              </w:rPr>
            </w:pPr>
            <w:r>
              <w:rPr>
                <w:rFonts w:ascii="Times New Roman"/>
                <w:sz w:val="21"/>
              </w:rPr>
              <w:t>131.177203</w:t>
            </w:r>
          </w:p>
        </w:tc>
        <w:tc>
          <w:tcPr>
            <w:tcW w:w="1102" w:type="dxa"/>
            <w:tcBorders>
              <w:top w:val="single" w:color="000000" w:sz="4" w:space="0"/>
              <w:left w:val="single" w:color="000000" w:sz="4" w:space="0"/>
              <w:right w:val="single" w:color="000000" w:sz="4" w:space="0"/>
            </w:tcBorders>
          </w:tcPr>
          <w:p>
            <w:pPr>
              <w:pStyle w:val="19"/>
              <w:spacing w:before="9"/>
              <w:jc w:val="left"/>
              <w:rPr>
                <w:rFonts w:ascii="Times New Roman"/>
                <w:b/>
                <w:sz w:val="17"/>
              </w:rPr>
            </w:pPr>
          </w:p>
          <w:p>
            <w:pPr>
              <w:pStyle w:val="19"/>
              <w:spacing w:before="1"/>
              <w:ind w:left="50" w:right="108"/>
              <w:rPr>
                <w:rFonts w:ascii="Times New Roman"/>
                <w:sz w:val="21"/>
              </w:rPr>
            </w:pPr>
            <w:r>
              <w:rPr>
                <w:rFonts w:ascii="Times New Roman"/>
                <w:sz w:val="21"/>
              </w:rPr>
              <w:t>46.564358</w:t>
            </w:r>
          </w:p>
        </w:tc>
        <w:tc>
          <w:tcPr>
            <w:tcW w:w="694" w:type="dxa"/>
            <w:tcBorders>
              <w:top w:val="single" w:color="000000" w:sz="4" w:space="0"/>
              <w:left w:val="single" w:color="000000" w:sz="4" w:space="0"/>
              <w:right w:val="single" w:color="000000" w:sz="4" w:space="0"/>
            </w:tcBorders>
          </w:tcPr>
          <w:p>
            <w:pPr>
              <w:pStyle w:val="19"/>
              <w:spacing w:before="181"/>
              <w:ind w:left="193"/>
              <w:jc w:val="left"/>
              <w:rPr>
                <w:rFonts w:ascii="Times New Roman"/>
                <w:sz w:val="21"/>
              </w:rPr>
            </w:pPr>
            <w:r>
              <w:rPr>
                <w:rFonts w:ascii="Times New Roman"/>
                <w:sz w:val="21"/>
              </w:rPr>
              <w:t>213</w:t>
            </w:r>
          </w:p>
        </w:tc>
        <w:tc>
          <w:tcPr>
            <w:tcW w:w="694" w:type="dxa"/>
            <w:tcBorders>
              <w:top w:val="single" w:color="000000" w:sz="4" w:space="0"/>
              <w:left w:val="single" w:color="000000" w:sz="4" w:space="0"/>
              <w:right w:val="single" w:color="000000" w:sz="4" w:space="0"/>
            </w:tcBorders>
          </w:tcPr>
          <w:p>
            <w:pPr>
              <w:pStyle w:val="19"/>
              <w:spacing w:before="181"/>
              <w:ind w:left="196" w:right="180"/>
              <w:rPr>
                <w:rFonts w:ascii="Times New Roman"/>
                <w:sz w:val="21"/>
              </w:rPr>
            </w:pPr>
            <w:r>
              <w:rPr>
                <w:rFonts w:ascii="Times New Roman"/>
                <w:sz w:val="21"/>
              </w:rPr>
              <w:t>15</w:t>
            </w:r>
          </w:p>
        </w:tc>
        <w:tc>
          <w:tcPr>
            <w:tcW w:w="694" w:type="dxa"/>
            <w:tcBorders>
              <w:top w:val="single" w:color="000000" w:sz="4" w:space="0"/>
              <w:left w:val="single" w:color="000000" w:sz="4" w:space="0"/>
              <w:right w:val="single" w:color="000000" w:sz="4" w:space="0"/>
            </w:tcBorders>
          </w:tcPr>
          <w:p>
            <w:pPr>
              <w:pStyle w:val="19"/>
              <w:spacing w:before="181"/>
              <w:ind w:left="199" w:right="179"/>
              <w:rPr>
                <w:rFonts w:ascii="Times New Roman"/>
                <w:sz w:val="21"/>
              </w:rPr>
            </w:pPr>
            <w:r>
              <w:rPr>
                <w:rFonts w:ascii="Times New Roman"/>
                <w:sz w:val="21"/>
              </w:rPr>
              <w:t>0.3</w:t>
            </w:r>
          </w:p>
        </w:tc>
        <w:tc>
          <w:tcPr>
            <w:tcW w:w="695" w:type="dxa"/>
            <w:tcBorders>
              <w:top w:val="single" w:color="000000" w:sz="4" w:space="0"/>
              <w:left w:val="single" w:color="000000" w:sz="4" w:space="0"/>
              <w:right w:val="single" w:color="000000" w:sz="4" w:space="0"/>
            </w:tcBorders>
          </w:tcPr>
          <w:p>
            <w:pPr>
              <w:pStyle w:val="19"/>
              <w:spacing w:before="181"/>
              <w:ind w:left="247"/>
              <w:jc w:val="left"/>
              <w:rPr>
                <w:rFonts w:ascii="Times New Roman"/>
                <w:sz w:val="21"/>
              </w:rPr>
            </w:pPr>
            <w:r>
              <w:rPr>
                <w:rFonts w:ascii="Times New Roman"/>
                <w:sz w:val="21"/>
              </w:rPr>
              <w:t>25</w:t>
            </w:r>
          </w:p>
        </w:tc>
        <w:tc>
          <w:tcPr>
            <w:tcW w:w="699" w:type="dxa"/>
            <w:tcBorders>
              <w:top w:val="single" w:color="000000" w:sz="4" w:space="0"/>
              <w:left w:val="single" w:color="000000" w:sz="4" w:space="0"/>
              <w:right w:val="single" w:color="000000" w:sz="4" w:space="0"/>
            </w:tcBorders>
          </w:tcPr>
          <w:p>
            <w:pPr>
              <w:pStyle w:val="19"/>
              <w:spacing w:before="181"/>
              <w:ind w:left="151" w:right="130"/>
              <w:rPr>
                <w:rFonts w:ascii="Times New Roman"/>
                <w:sz w:val="21"/>
              </w:rPr>
            </w:pPr>
            <w:r>
              <w:rPr>
                <w:rFonts w:ascii="Times New Roman"/>
                <w:sz w:val="21"/>
              </w:rPr>
              <w:t>7.86</w:t>
            </w:r>
          </w:p>
        </w:tc>
        <w:tc>
          <w:tcPr>
            <w:tcW w:w="695" w:type="dxa"/>
            <w:tcBorders>
              <w:top w:val="single" w:color="000000" w:sz="4" w:space="0"/>
              <w:left w:val="single" w:color="000000" w:sz="4" w:space="0"/>
              <w:right w:val="single" w:color="000000" w:sz="4" w:space="0"/>
            </w:tcBorders>
          </w:tcPr>
          <w:p>
            <w:pPr>
              <w:pStyle w:val="19"/>
              <w:spacing w:before="181"/>
              <w:ind w:left="16"/>
              <w:rPr>
                <w:rFonts w:ascii="Times New Roman"/>
                <w:sz w:val="21"/>
              </w:rPr>
            </w:pPr>
            <w:r>
              <w:rPr>
                <w:rFonts w:ascii="Times New Roman"/>
                <w:w w:val="99"/>
                <w:sz w:val="21"/>
              </w:rPr>
              <w:t>/</w:t>
            </w:r>
          </w:p>
        </w:tc>
        <w:tc>
          <w:tcPr>
            <w:tcW w:w="695" w:type="dxa"/>
            <w:tcBorders>
              <w:top w:val="single" w:color="000000" w:sz="4" w:space="0"/>
              <w:left w:val="single" w:color="000000" w:sz="4" w:space="0"/>
              <w:right w:val="single" w:color="000000" w:sz="4" w:space="0"/>
            </w:tcBorders>
          </w:tcPr>
          <w:p>
            <w:pPr>
              <w:pStyle w:val="19"/>
              <w:spacing w:before="181"/>
              <w:ind w:left="18"/>
              <w:rPr>
                <w:rFonts w:ascii="Times New Roman"/>
                <w:sz w:val="21"/>
              </w:rPr>
            </w:pPr>
            <w:r>
              <w:rPr>
                <w:rFonts w:ascii="Times New Roman"/>
                <w:color w:val="FF0000"/>
                <w:w w:val="99"/>
                <w:sz w:val="21"/>
              </w:rPr>
              <w:t>/</w:t>
            </w:r>
          </w:p>
        </w:tc>
        <w:tc>
          <w:tcPr>
            <w:tcW w:w="697" w:type="dxa"/>
            <w:tcBorders>
              <w:top w:val="single" w:color="000000" w:sz="4" w:space="0"/>
              <w:left w:val="single" w:color="000000" w:sz="4" w:space="0"/>
              <w:right w:val="single" w:color="000000" w:sz="4" w:space="0"/>
            </w:tcBorders>
          </w:tcPr>
          <w:p>
            <w:pPr>
              <w:pStyle w:val="19"/>
              <w:spacing w:before="181"/>
              <w:ind w:left="18"/>
              <w:rPr>
                <w:rFonts w:ascii="Times New Roman"/>
                <w:sz w:val="21"/>
              </w:rPr>
            </w:pPr>
            <w:r>
              <w:rPr>
                <w:rFonts w:ascii="Times New Roman"/>
                <w:w w:val="99"/>
                <w:sz w:val="21"/>
              </w:rPr>
              <w:t>/</w:t>
            </w:r>
          </w:p>
        </w:tc>
        <w:tc>
          <w:tcPr>
            <w:tcW w:w="683" w:type="dxa"/>
            <w:tcBorders>
              <w:top w:val="single" w:color="000000" w:sz="4" w:space="0"/>
              <w:left w:val="single" w:color="000000" w:sz="4" w:space="0"/>
            </w:tcBorders>
          </w:tcPr>
          <w:p>
            <w:pPr>
              <w:pStyle w:val="19"/>
              <w:spacing w:before="181"/>
              <w:ind w:left="106" w:right="82"/>
              <w:rPr>
                <w:rFonts w:ascii="Times New Roman"/>
                <w:sz w:val="21"/>
              </w:rPr>
            </w:pPr>
            <w:r>
              <w:rPr>
                <w:rFonts w:ascii="Times New Roman"/>
                <w:sz w:val="21"/>
              </w:rPr>
              <w:t>0.08</w:t>
            </w:r>
          </w:p>
        </w:tc>
      </w:tr>
    </w:tbl>
    <w:p>
      <w:pPr>
        <w:spacing w:before="3" w:line="393" w:lineRule="auto"/>
        <w:ind w:left="578" w:right="611" w:firstLine="0"/>
        <w:jc w:val="center"/>
        <w:rPr>
          <w:rFonts w:ascii="Times New Roman" w:eastAsia="Times New Roman"/>
          <w:b/>
          <w:sz w:val="21"/>
        </w:rPr>
      </w:pPr>
      <w:r>
        <mc:AlternateContent>
          <mc:Choice Requires="wps">
            <w:drawing>
              <wp:anchor distT="0" distB="0" distL="114300" distR="114300" simplePos="0" relativeHeight="251662336" behindDoc="0" locked="0" layoutInCell="1" allowOverlap="1">
                <wp:simplePos x="0" y="0"/>
                <wp:positionH relativeFrom="page">
                  <wp:posOffset>825500</wp:posOffset>
                </wp:positionH>
                <wp:positionV relativeFrom="paragraph">
                  <wp:posOffset>459105</wp:posOffset>
                </wp:positionV>
                <wp:extent cx="5912485" cy="1456690"/>
                <wp:effectExtent l="0" t="0" r="0" b="0"/>
                <wp:wrapNone/>
                <wp:docPr id="138" name="文本框 2"/>
                <wp:cNvGraphicFramePr/>
                <a:graphic xmlns:a="http://schemas.openxmlformats.org/drawingml/2006/main">
                  <a:graphicData uri="http://schemas.microsoft.com/office/word/2010/wordprocessingShape">
                    <wps:wsp>
                      <wps:cNvSpPr txBox="1"/>
                      <wps:spPr>
                        <a:xfrm>
                          <a:off x="0" y="0"/>
                          <a:ext cx="5912485" cy="1456690"/>
                        </a:xfrm>
                        <a:prstGeom prst="rect">
                          <a:avLst/>
                        </a:prstGeom>
                        <a:noFill/>
                        <a:ln>
                          <a:noFill/>
                        </a:ln>
                      </wps:spPr>
                      <wps:txbx>
                        <w:txbxContent>
                          <w:tbl>
                            <w:tblPr>
                              <w:tblStyle w:val="1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59"/>
                              <w:gridCol w:w="1263"/>
                              <w:gridCol w:w="1264"/>
                              <w:gridCol w:w="952"/>
                              <w:gridCol w:w="1159"/>
                              <w:gridCol w:w="1159"/>
                              <w:gridCol w:w="1165"/>
                              <w:gridCol w:w="116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3" w:hRule="atLeast"/>
                              </w:trPr>
                              <w:tc>
                                <w:tcPr>
                                  <w:tcW w:w="1159" w:type="dxa"/>
                                  <w:vMerge w:val="restart"/>
                                </w:tcPr>
                                <w:p>
                                  <w:pPr>
                                    <w:pStyle w:val="19"/>
                                    <w:jc w:val="left"/>
                                    <w:rPr>
                                      <w:b/>
                                      <w:sz w:val="20"/>
                                    </w:rPr>
                                  </w:pPr>
                                </w:p>
                                <w:p>
                                  <w:pPr>
                                    <w:pStyle w:val="19"/>
                                    <w:spacing w:before="2"/>
                                    <w:jc w:val="left"/>
                                    <w:rPr>
                                      <w:b/>
                                      <w:sz w:val="16"/>
                                    </w:rPr>
                                  </w:pPr>
                                </w:p>
                                <w:p>
                                  <w:pPr>
                                    <w:pStyle w:val="19"/>
                                    <w:spacing w:line="290" w:lineRule="auto"/>
                                    <w:ind w:left="369" w:right="244" w:hanging="106"/>
                                    <w:jc w:val="left"/>
                                    <w:rPr>
                                      <w:sz w:val="21"/>
                                    </w:rPr>
                                  </w:pPr>
                                  <w:r>
                                    <w:rPr>
                                      <w:sz w:val="21"/>
                                    </w:rPr>
                                    <w:t>污染源名称</w:t>
                                  </w:r>
                                </w:p>
                              </w:tc>
                              <w:tc>
                                <w:tcPr>
                                  <w:tcW w:w="2527" w:type="dxa"/>
                                  <w:gridSpan w:val="2"/>
                                </w:tcPr>
                                <w:p>
                                  <w:pPr>
                                    <w:pStyle w:val="19"/>
                                    <w:spacing w:before="2"/>
                                    <w:jc w:val="left"/>
                                    <w:rPr>
                                      <w:b/>
                                      <w:sz w:val="24"/>
                                    </w:rPr>
                                  </w:pPr>
                                </w:p>
                                <w:p>
                                  <w:pPr>
                                    <w:pStyle w:val="19"/>
                                    <w:ind w:left="921" w:right="901"/>
                                    <w:rPr>
                                      <w:rFonts w:ascii="Times New Roman" w:hAnsi="Times New Roman" w:eastAsia="Times New Roman"/>
                                      <w:sz w:val="21"/>
                                    </w:rPr>
                                  </w:pPr>
                                  <w:r>
                                    <w:rPr>
                                      <w:sz w:val="21"/>
                                    </w:rPr>
                                    <w:t>坐标</w:t>
                                  </w:r>
                                  <w:r>
                                    <w:rPr>
                                      <w:rFonts w:ascii="Times New Roman" w:hAnsi="Times New Roman" w:eastAsia="Times New Roman"/>
                                      <w:sz w:val="21"/>
                                    </w:rPr>
                                    <w:t>(°)</w:t>
                                  </w:r>
                                </w:p>
                              </w:tc>
                              <w:tc>
                                <w:tcPr>
                                  <w:tcW w:w="952" w:type="dxa"/>
                                  <w:vMerge w:val="restart"/>
                                </w:tcPr>
                                <w:p>
                                  <w:pPr>
                                    <w:pStyle w:val="19"/>
                                    <w:jc w:val="left"/>
                                    <w:rPr>
                                      <w:b/>
                                      <w:sz w:val="22"/>
                                    </w:rPr>
                                  </w:pPr>
                                </w:p>
                                <w:p>
                                  <w:pPr>
                                    <w:pStyle w:val="19"/>
                                    <w:spacing w:before="181" w:line="290" w:lineRule="auto"/>
                                    <w:ind w:left="108" w:right="87"/>
                                    <w:jc w:val="left"/>
                                    <w:rPr>
                                      <w:rFonts w:ascii="Times New Roman" w:eastAsia="Times New Roman"/>
                                      <w:sz w:val="21"/>
                                    </w:rPr>
                                  </w:pPr>
                                  <w:r>
                                    <w:rPr>
                                      <w:spacing w:val="-25"/>
                                      <w:sz w:val="21"/>
                                    </w:rPr>
                                    <w:t>海 拔 高</w:t>
                                  </w:r>
                                  <w:r>
                                    <w:rPr>
                                      <w:sz w:val="21"/>
                                    </w:rPr>
                                    <w:t>度</w:t>
                                  </w:r>
                                  <w:r>
                                    <w:rPr>
                                      <w:rFonts w:ascii="Times New Roman" w:eastAsia="Times New Roman"/>
                                      <w:sz w:val="21"/>
                                    </w:rPr>
                                    <w:t>(m)</w:t>
                                  </w:r>
                                </w:p>
                              </w:tc>
                              <w:tc>
                                <w:tcPr>
                                  <w:tcW w:w="3483" w:type="dxa"/>
                                  <w:gridSpan w:val="3"/>
                                </w:tcPr>
                                <w:p>
                                  <w:pPr>
                                    <w:pStyle w:val="19"/>
                                    <w:spacing w:before="2"/>
                                    <w:jc w:val="left"/>
                                    <w:rPr>
                                      <w:b/>
                                      <w:sz w:val="24"/>
                                    </w:rPr>
                                  </w:pPr>
                                </w:p>
                                <w:p>
                                  <w:pPr>
                                    <w:pStyle w:val="19"/>
                                    <w:ind w:left="1300" w:right="1283"/>
                                    <w:rPr>
                                      <w:sz w:val="21"/>
                                    </w:rPr>
                                  </w:pPr>
                                  <w:r>
                                    <w:rPr>
                                      <w:sz w:val="21"/>
                                    </w:rPr>
                                    <w:t>矩形面源</w:t>
                                  </w:r>
                                </w:p>
                              </w:tc>
                              <w:tc>
                                <w:tcPr>
                                  <w:tcW w:w="1161" w:type="dxa"/>
                                </w:tcPr>
                                <w:p>
                                  <w:pPr>
                                    <w:pStyle w:val="19"/>
                                    <w:spacing w:line="290" w:lineRule="auto"/>
                                    <w:ind w:left="108" w:right="87"/>
                                    <w:jc w:val="left"/>
                                    <w:rPr>
                                      <w:sz w:val="21"/>
                                    </w:rPr>
                                  </w:pPr>
                                  <w:r>
                                    <w:rPr>
                                      <w:sz w:val="21"/>
                                    </w:rPr>
                                    <w:t>污染物排放 速 率</w:t>
                                  </w:r>
                                </w:p>
                                <w:p>
                                  <w:pPr>
                                    <w:pStyle w:val="19"/>
                                    <w:spacing w:before="1"/>
                                    <w:ind w:left="108"/>
                                    <w:jc w:val="left"/>
                                    <w:rPr>
                                      <w:rFonts w:ascii="Times New Roman"/>
                                      <w:sz w:val="21"/>
                                    </w:rPr>
                                  </w:pPr>
                                  <w:r>
                                    <w:rPr>
                                      <w:rFonts w:ascii="Times New Roman"/>
                                      <w:sz w:val="21"/>
                                    </w:rPr>
                                    <w:t>(kg/h)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6" w:hRule="atLeast"/>
                              </w:trPr>
                              <w:tc>
                                <w:tcPr>
                                  <w:tcW w:w="1159" w:type="dxa"/>
                                  <w:vMerge w:val="continue"/>
                                  <w:tcBorders>
                                    <w:top w:val="nil"/>
                                  </w:tcBorders>
                                </w:tcPr>
                                <w:p>
                                  <w:pPr>
                                    <w:rPr>
                                      <w:sz w:val="2"/>
                                      <w:szCs w:val="2"/>
                                    </w:rPr>
                                  </w:pPr>
                                </w:p>
                              </w:tc>
                              <w:tc>
                                <w:tcPr>
                                  <w:tcW w:w="1263" w:type="dxa"/>
                                </w:tcPr>
                                <w:p>
                                  <w:pPr>
                                    <w:pStyle w:val="19"/>
                                    <w:spacing w:before="145"/>
                                    <w:ind w:left="212" w:right="197"/>
                                    <w:rPr>
                                      <w:sz w:val="21"/>
                                    </w:rPr>
                                  </w:pPr>
                                  <w:r>
                                    <w:rPr>
                                      <w:sz w:val="21"/>
                                    </w:rPr>
                                    <w:t>经度</w:t>
                                  </w:r>
                                </w:p>
                              </w:tc>
                              <w:tc>
                                <w:tcPr>
                                  <w:tcW w:w="1264" w:type="dxa"/>
                                </w:tcPr>
                                <w:p>
                                  <w:pPr>
                                    <w:pStyle w:val="19"/>
                                    <w:spacing w:before="145"/>
                                    <w:ind w:left="268" w:right="251"/>
                                    <w:rPr>
                                      <w:sz w:val="21"/>
                                    </w:rPr>
                                  </w:pPr>
                                  <w:r>
                                    <w:rPr>
                                      <w:sz w:val="21"/>
                                    </w:rPr>
                                    <w:t>纬度</w:t>
                                  </w:r>
                                </w:p>
                              </w:tc>
                              <w:tc>
                                <w:tcPr>
                                  <w:tcW w:w="952" w:type="dxa"/>
                                  <w:vMerge w:val="continue"/>
                                  <w:tcBorders>
                                    <w:top w:val="nil"/>
                                  </w:tcBorders>
                                </w:tcPr>
                                <w:p>
                                  <w:pPr>
                                    <w:rPr>
                                      <w:sz w:val="2"/>
                                      <w:szCs w:val="2"/>
                                    </w:rPr>
                                  </w:pPr>
                                </w:p>
                              </w:tc>
                              <w:tc>
                                <w:tcPr>
                                  <w:tcW w:w="1159" w:type="dxa"/>
                                </w:tcPr>
                                <w:p>
                                  <w:pPr>
                                    <w:pStyle w:val="19"/>
                                    <w:spacing w:before="145"/>
                                    <w:ind w:left="137" w:right="117"/>
                                    <w:rPr>
                                      <w:rFonts w:ascii="Times New Roman" w:eastAsia="Times New Roman"/>
                                      <w:sz w:val="21"/>
                                    </w:rPr>
                                  </w:pPr>
                                  <w:r>
                                    <w:rPr>
                                      <w:sz w:val="21"/>
                                    </w:rPr>
                                    <w:t>长度</w:t>
                                  </w:r>
                                  <w:r>
                                    <w:rPr>
                                      <w:rFonts w:ascii="Times New Roman" w:eastAsia="Times New Roman"/>
                                      <w:sz w:val="21"/>
                                    </w:rPr>
                                    <w:t>(m)</w:t>
                                  </w:r>
                                </w:p>
                              </w:tc>
                              <w:tc>
                                <w:tcPr>
                                  <w:tcW w:w="1159" w:type="dxa"/>
                                </w:tcPr>
                                <w:p>
                                  <w:pPr>
                                    <w:pStyle w:val="19"/>
                                    <w:spacing w:before="145"/>
                                    <w:ind w:left="137" w:right="119"/>
                                    <w:rPr>
                                      <w:rFonts w:ascii="Times New Roman" w:eastAsia="Times New Roman"/>
                                      <w:sz w:val="21"/>
                                    </w:rPr>
                                  </w:pPr>
                                  <w:r>
                                    <w:rPr>
                                      <w:sz w:val="21"/>
                                    </w:rPr>
                                    <w:t>宽度</w:t>
                                  </w:r>
                                  <w:r>
                                    <w:rPr>
                                      <w:rFonts w:ascii="Times New Roman" w:eastAsia="Times New Roman"/>
                                      <w:sz w:val="21"/>
                                    </w:rPr>
                                    <w:t>(m)</w:t>
                                  </w:r>
                                </w:p>
                              </w:tc>
                              <w:tc>
                                <w:tcPr>
                                  <w:tcW w:w="1165" w:type="dxa"/>
                                </w:tcPr>
                                <w:p>
                                  <w:pPr>
                                    <w:pStyle w:val="19"/>
                                    <w:spacing w:before="1"/>
                                    <w:ind w:left="77" w:right="60"/>
                                    <w:rPr>
                                      <w:sz w:val="21"/>
                                    </w:rPr>
                                  </w:pPr>
                                  <w:r>
                                    <w:rPr>
                                      <w:sz w:val="21"/>
                                    </w:rPr>
                                    <w:t>有效高度</w:t>
                                  </w:r>
                                </w:p>
                                <w:p>
                                  <w:pPr>
                                    <w:pStyle w:val="19"/>
                                    <w:spacing w:before="54"/>
                                    <w:ind w:left="79" w:right="60"/>
                                    <w:rPr>
                                      <w:rFonts w:ascii="Times New Roman"/>
                                      <w:sz w:val="21"/>
                                    </w:rPr>
                                  </w:pPr>
                                  <w:r>
                                    <w:rPr>
                                      <w:rFonts w:ascii="Times New Roman"/>
                                      <w:sz w:val="21"/>
                                    </w:rPr>
                                    <w:t>(m)</w:t>
                                  </w:r>
                                </w:p>
                              </w:tc>
                              <w:tc>
                                <w:tcPr>
                                  <w:tcW w:w="1161" w:type="dxa"/>
                                </w:tcPr>
                                <w:p>
                                  <w:pPr>
                                    <w:pStyle w:val="19"/>
                                    <w:spacing w:before="161"/>
                                    <w:ind w:left="242" w:right="224"/>
                                    <w:rPr>
                                      <w:rFonts w:ascii="Times New Roman"/>
                                      <w:sz w:val="21"/>
                                    </w:rPr>
                                  </w:pPr>
                                  <w:r>
                                    <w:rPr>
                                      <w:rFonts w:ascii="Times New Roman"/>
                                      <w:sz w:val="21"/>
                                    </w:rPr>
                                    <w:t>TSP</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159" w:type="dxa"/>
                                </w:tcPr>
                                <w:p>
                                  <w:pPr>
                                    <w:pStyle w:val="19"/>
                                    <w:spacing w:before="1"/>
                                    <w:ind w:left="137" w:right="122"/>
                                    <w:rPr>
                                      <w:sz w:val="21"/>
                                    </w:rPr>
                                  </w:pPr>
                                  <w:r>
                                    <w:rPr>
                                      <w:sz w:val="21"/>
                                    </w:rPr>
                                    <w:t>煤矸石暂</w:t>
                                  </w:r>
                                </w:p>
                                <w:p>
                                  <w:pPr>
                                    <w:pStyle w:val="19"/>
                                    <w:spacing w:before="57"/>
                                    <w:ind w:left="137" w:right="120"/>
                                    <w:rPr>
                                      <w:sz w:val="21"/>
                                    </w:rPr>
                                  </w:pPr>
                                  <w:r>
                                    <w:rPr>
                                      <w:sz w:val="21"/>
                                    </w:rPr>
                                    <w:t>存场</w:t>
                                  </w:r>
                                </w:p>
                              </w:tc>
                              <w:tc>
                                <w:tcPr>
                                  <w:tcW w:w="1263" w:type="dxa"/>
                                </w:tcPr>
                                <w:p>
                                  <w:pPr>
                                    <w:pStyle w:val="19"/>
                                    <w:spacing w:before="180"/>
                                    <w:ind w:left="218" w:right="197"/>
                                    <w:rPr>
                                      <w:rFonts w:ascii="Times New Roman"/>
                                      <w:sz w:val="21"/>
                                    </w:rPr>
                                  </w:pPr>
                                  <w:r>
                                    <w:rPr>
                                      <w:rFonts w:ascii="Times New Roman"/>
                                      <w:sz w:val="21"/>
                                    </w:rPr>
                                    <w:t>131.1779</w:t>
                                  </w:r>
                                </w:p>
                              </w:tc>
                              <w:tc>
                                <w:tcPr>
                                  <w:tcW w:w="1264" w:type="dxa"/>
                                </w:tcPr>
                                <w:p>
                                  <w:pPr>
                                    <w:pStyle w:val="19"/>
                                    <w:spacing w:before="180"/>
                                    <w:ind w:left="269" w:right="251"/>
                                    <w:rPr>
                                      <w:rFonts w:ascii="Times New Roman"/>
                                      <w:sz w:val="21"/>
                                    </w:rPr>
                                  </w:pPr>
                                  <w:r>
                                    <w:rPr>
                                      <w:rFonts w:ascii="Times New Roman"/>
                                      <w:sz w:val="21"/>
                                    </w:rPr>
                                    <w:t>46.5657</w:t>
                                  </w:r>
                                </w:p>
                              </w:tc>
                              <w:tc>
                                <w:tcPr>
                                  <w:tcW w:w="952" w:type="dxa"/>
                                </w:tcPr>
                                <w:p>
                                  <w:pPr>
                                    <w:pStyle w:val="19"/>
                                    <w:spacing w:before="180"/>
                                    <w:ind w:left="317"/>
                                    <w:jc w:val="left"/>
                                    <w:rPr>
                                      <w:rFonts w:ascii="Times New Roman"/>
                                      <w:sz w:val="21"/>
                                    </w:rPr>
                                  </w:pPr>
                                  <w:r>
                                    <w:rPr>
                                      <w:rFonts w:ascii="Times New Roman"/>
                                      <w:sz w:val="21"/>
                                    </w:rPr>
                                    <w:t>206</w:t>
                                  </w:r>
                                </w:p>
                              </w:tc>
                              <w:tc>
                                <w:tcPr>
                                  <w:tcW w:w="1159" w:type="dxa"/>
                                </w:tcPr>
                                <w:p>
                                  <w:pPr>
                                    <w:pStyle w:val="19"/>
                                    <w:spacing w:before="180"/>
                                    <w:ind w:left="137" w:right="118"/>
                                    <w:rPr>
                                      <w:rFonts w:ascii="Times New Roman"/>
                                      <w:sz w:val="21"/>
                                    </w:rPr>
                                  </w:pPr>
                                  <w:r>
                                    <w:rPr>
                                      <w:rFonts w:ascii="Times New Roman"/>
                                      <w:sz w:val="21"/>
                                    </w:rPr>
                                    <w:t>24</w:t>
                                  </w:r>
                                </w:p>
                              </w:tc>
                              <w:tc>
                                <w:tcPr>
                                  <w:tcW w:w="1159" w:type="dxa"/>
                                </w:tcPr>
                                <w:p>
                                  <w:pPr>
                                    <w:pStyle w:val="19"/>
                                    <w:spacing w:before="180"/>
                                    <w:ind w:left="137" w:right="118"/>
                                    <w:rPr>
                                      <w:rFonts w:ascii="Times New Roman"/>
                                      <w:sz w:val="21"/>
                                    </w:rPr>
                                  </w:pPr>
                                  <w:r>
                                    <w:rPr>
                                      <w:rFonts w:ascii="Times New Roman"/>
                                      <w:sz w:val="21"/>
                                    </w:rPr>
                                    <w:t>34</w:t>
                                  </w:r>
                                </w:p>
                              </w:tc>
                              <w:tc>
                                <w:tcPr>
                                  <w:tcW w:w="1165" w:type="dxa"/>
                                </w:tcPr>
                                <w:p>
                                  <w:pPr>
                                    <w:pStyle w:val="19"/>
                                    <w:spacing w:before="180"/>
                                    <w:ind w:left="78" w:right="60"/>
                                    <w:rPr>
                                      <w:rFonts w:ascii="Times New Roman"/>
                                      <w:sz w:val="21"/>
                                    </w:rPr>
                                  </w:pPr>
                                  <w:r>
                                    <w:rPr>
                                      <w:rFonts w:ascii="Times New Roman"/>
                                      <w:sz w:val="21"/>
                                    </w:rPr>
                                    <w:t>10</w:t>
                                  </w:r>
                                </w:p>
                              </w:tc>
                              <w:tc>
                                <w:tcPr>
                                  <w:tcW w:w="1161" w:type="dxa"/>
                                </w:tcPr>
                                <w:p>
                                  <w:pPr>
                                    <w:pStyle w:val="19"/>
                                    <w:spacing w:before="180"/>
                                    <w:ind w:left="244" w:right="224"/>
                                    <w:rPr>
                                      <w:rFonts w:ascii="Times New Roman"/>
                                      <w:sz w:val="21"/>
                                    </w:rPr>
                                  </w:pPr>
                                  <w:r>
                                    <w:rPr>
                                      <w:rFonts w:ascii="Times New Roman"/>
                                      <w:sz w:val="21"/>
                                    </w:rPr>
                                    <w:t>0.004</w:t>
                                  </w:r>
                                </w:p>
                              </w:tc>
                            </w:tr>
                          </w:tbl>
                          <w:p>
                            <w:pPr>
                              <w:pStyle w:val="9"/>
                            </w:pPr>
                          </w:p>
                        </w:txbxContent>
                      </wps:txbx>
                      <wps:bodyPr lIns="0" tIns="0" rIns="0" bIns="0" upright="1"/>
                    </wps:wsp>
                  </a:graphicData>
                </a:graphic>
              </wp:anchor>
            </w:drawing>
          </mc:Choice>
          <mc:Fallback>
            <w:pict>
              <v:shape id="文本框 2" o:spid="_x0000_s1026" o:spt="202" type="#_x0000_t202" style="position:absolute;left:0pt;margin-left:65pt;margin-top:36.15pt;height:114.7pt;width:465.55pt;mso-position-horizontal-relative:page;z-index:251662336;mso-width-relative:page;mso-height-relative:page;" filled="f" stroked="f" coordsize="21600,21600" o:gfxdata="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TFc52tgAAAALAQAADwAAAAAA&#10;AAABACAAAAAiAAAAZHJzL2Rvd25yZXYueG1sUEsBAhQAFAAAAAgAh07iQGgM6KShAQAAJwMAAA4A&#10;AAAAAAAAAQAgAAAAJwEAAGRycy9lMm9Eb2MueG1sUEsFBgAAAAAGAAYAWQEAADoFAAAAAA==&#10;">
                <v:fill on="f" focussize="0,0"/>
                <v:stroke on="f"/>
                <v:imagedata o:title=""/>
                <o:lock v:ext="edit" aspectratio="f"/>
                <v:textbox inset="0mm,0mm,0mm,0mm">
                  <w:txbxContent>
                    <w:tbl>
                      <w:tblPr>
                        <w:tblStyle w:val="1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59"/>
                        <w:gridCol w:w="1263"/>
                        <w:gridCol w:w="1264"/>
                        <w:gridCol w:w="952"/>
                        <w:gridCol w:w="1159"/>
                        <w:gridCol w:w="1159"/>
                        <w:gridCol w:w="1165"/>
                        <w:gridCol w:w="116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3" w:hRule="atLeast"/>
                        </w:trPr>
                        <w:tc>
                          <w:tcPr>
                            <w:tcW w:w="1159" w:type="dxa"/>
                            <w:vMerge w:val="restart"/>
                          </w:tcPr>
                          <w:p>
                            <w:pPr>
                              <w:pStyle w:val="19"/>
                              <w:jc w:val="left"/>
                              <w:rPr>
                                <w:b/>
                                <w:sz w:val="20"/>
                              </w:rPr>
                            </w:pPr>
                          </w:p>
                          <w:p>
                            <w:pPr>
                              <w:pStyle w:val="19"/>
                              <w:spacing w:before="2"/>
                              <w:jc w:val="left"/>
                              <w:rPr>
                                <w:b/>
                                <w:sz w:val="16"/>
                              </w:rPr>
                            </w:pPr>
                          </w:p>
                          <w:p>
                            <w:pPr>
                              <w:pStyle w:val="19"/>
                              <w:spacing w:line="290" w:lineRule="auto"/>
                              <w:ind w:left="369" w:right="244" w:hanging="106"/>
                              <w:jc w:val="left"/>
                              <w:rPr>
                                <w:sz w:val="21"/>
                              </w:rPr>
                            </w:pPr>
                            <w:r>
                              <w:rPr>
                                <w:sz w:val="21"/>
                              </w:rPr>
                              <w:t>污染源名称</w:t>
                            </w:r>
                          </w:p>
                        </w:tc>
                        <w:tc>
                          <w:tcPr>
                            <w:tcW w:w="2527" w:type="dxa"/>
                            <w:gridSpan w:val="2"/>
                          </w:tcPr>
                          <w:p>
                            <w:pPr>
                              <w:pStyle w:val="19"/>
                              <w:spacing w:before="2"/>
                              <w:jc w:val="left"/>
                              <w:rPr>
                                <w:b/>
                                <w:sz w:val="24"/>
                              </w:rPr>
                            </w:pPr>
                          </w:p>
                          <w:p>
                            <w:pPr>
                              <w:pStyle w:val="19"/>
                              <w:ind w:left="921" w:right="901"/>
                              <w:rPr>
                                <w:rFonts w:ascii="Times New Roman" w:hAnsi="Times New Roman" w:eastAsia="Times New Roman"/>
                                <w:sz w:val="21"/>
                              </w:rPr>
                            </w:pPr>
                            <w:r>
                              <w:rPr>
                                <w:sz w:val="21"/>
                              </w:rPr>
                              <w:t>坐标</w:t>
                            </w:r>
                            <w:r>
                              <w:rPr>
                                <w:rFonts w:ascii="Times New Roman" w:hAnsi="Times New Roman" w:eastAsia="Times New Roman"/>
                                <w:sz w:val="21"/>
                              </w:rPr>
                              <w:t>(°)</w:t>
                            </w:r>
                          </w:p>
                        </w:tc>
                        <w:tc>
                          <w:tcPr>
                            <w:tcW w:w="952" w:type="dxa"/>
                            <w:vMerge w:val="restart"/>
                          </w:tcPr>
                          <w:p>
                            <w:pPr>
                              <w:pStyle w:val="19"/>
                              <w:jc w:val="left"/>
                              <w:rPr>
                                <w:b/>
                                <w:sz w:val="22"/>
                              </w:rPr>
                            </w:pPr>
                          </w:p>
                          <w:p>
                            <w:pPr>
                              <w:pStyle w:val="19"/>
                              <w:spacing w:before="181" w:line="290" w:lineRule="auto"/>
                              <w:ind w:left="108" w:right="87"/>
                              <w:jc w:val="left"/>
                              <w:rPr>
                                <w:rFonts w:ascii="Times New Roman" w:eastAsia="Times New Roman"/>
                                <w:sz w:val="21"/>
                              </w:rPr>
                            </w:pPr>
                            <w:r>
                              <w:rPr>
                                <w:spacing w:val="-25"/>
                                <w:sz w:val="21"/>
                              </w:rPr>
                              <w:t>海 拔 高</w:t>
                            </w:r>
                            <w:r>
                              <w:rPr>
                                <w:sz w:val="21"/>
                              </w:rPr>
                              <w:t>度</w:t>
                            </w:r>
                            <w:r>
                              <w:rPr>
                                <w:rFonts w:ascii="Times New Roman" w:eastAsia="Times New Roman"/>
                                <w:sz w:val="21"/>
                              </w:rPr>
                              <w:t>(m)</w:t>
                            </w:r>
                          </w:p>
                        </w:tc>
                        <w:tc>
                          <w:tcPr>
                            <w:tcW w:w="3483" w:type="dxa"/>
                            <w:gridSpan w:val="3"/>
                          </w:tcPr>
                          <w:p>
                            <w:pPr>
                              <w:pStyle w:val="19"/>
                              <w:spacing w:before="2"/>
                              <w:jc w:val="left"/>
                              <w:rPr>
                                <w:b/>
                                <w:sz w:val="24"/>
                              </w:rPr>
                            </w:pPr>
                          </w:p>
                          <w:p>
                            <w:pPr>
                              <w:pStyle w:val="19"/>
                              <w:ind w:left="1300" w:right="1283"/>
                              <w:rPr>
                                <w:sz w:val="21"/>
                              </w:rPr>
                            </w:pPr>
                            <w:r>
                              <w:rPr>
                                <w:sz w:val="21"/>
                              </w:rPr>
                              <w:t>矩形面源</w:t>
                            </w:r>
                          </w:p>
                        </w:tc>
                        <w:tc>
                          <w:tcPr>
                            <w:tcW w:w="1161" w:type="dxa"/>
                          </w:tcPr>
                          <w:p>
                            <w:pPr>
                              <w:pStyle w:val="19"/>
                              <w:spacing w:line="290" w:lineRule="auto"/>
                              <w:ind w:left="108" w:right="87"/>
                              <w:jc w:val="left"/>
                              <w:rPr>
                                <w:sz w:val="21"/>
                              </w:rPr>
                            </w:pPr>
                            <w:r>
                              <w:rPr>
                                <w:sz w:val="21"/>
                              </w:rPr>
                              <w:t>污染物排放 速 率</w:t>
                            </w:r>
                          </w:p>
                          <w:p>
                            <w:pPr>
                              <w:pStyle w:val="19"/>
                              <w:spacing w:before="1"/>
                              <w:ind w:left="108"/>
                              <w:jc w:val="left"/>
                              <w:rPr>
                                <w:rFonts w:ascii="Times New Roman"/>
                                <w:sz w:val="21"/>
                              </w:rPr>
                            </w:pPr>
                            <w:r>
                              <w:rPr>
                                <w:rFonts w:ascii="Times New Roman"/>
                                <w:sz w:val="21"/>
                              </w:rPr>
                              <w:t>(kg/h)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6" w:hRule="atLeast"/>
                        </w:trPr>
                        <w:tc>
                          <w:tcPr>
                            <w:tcW w:w="1159" w:type="dxa"/>
                            <w:vMerge w:val="continue"/>
                            <w:tcBorders>
                              <w:top w:val="nil"/>
                            </w:tcBorders>
                          </w:tcPr>
                          <w:p>
                            <w:pPr>
                              <w:rPr>
                                <w:sz w:val="2"/>
                                <w:szCs w:val="2"/>
                              </w:rPr>
                            </w:pPr>
                          </w:p>
                        </w:tc>
                        <w:tc>
                          <w:tcPr>
                            <w:tcW w:w="1263" w:type="dxa"/>
                          </w:tcPr>
                          <w:p>
                            <w:pPr>
                              <w:pStyle w:val="19"/>
                              <w:spacing w:before="145"/>
                              <w:ind w:left="212" w:right="197"/>
                              <w:rPr>
                                <w:sz w:val="21"/>
                              </w:rPr>
                            </w:pPr>
                            <w:r>
                              <w:rPr>
                                <w:sz w:val="21"/>
                              </w:rPr>
                              <w:t>经度</w:t>
                            </w:r>
                          </w:p>
                        </w:tc>
                        <w:tc>
                          <w:tcPr>
                            <w:tcW w:w="1264" w:type="dxa"/>
                          </w:tcPr>
                          <w:p>
                            <w:pPr>
                              <w:pStyle w:val="19"/>
                              <w:spacing w:before="145"/>
                              <w:ind w:left="268" w:right="251"/>
                              <w:rPr>
                                <w:sz w:val="21"/>
                              </w:rPr>
                            </w:pPr>
                            <w:r>
                              <w:rPr>
                                <w:sz w:val="21"/>
                              </w:rPr>
                              <w:t>纬度</w:t>
                            </w:r>
                          </w:p>
                        </w:tc>
                        <w:tc>
                          <w:tcPr>
                            <w:tcW w:w="952" w:type="dxa"/>
                            <w:vMerge w:val="continue"/>
                            <w:tcBorders>
                              <w:top w:val="nil"/>
                            </w:tcBorders>
                          </w:tcPr>
                          <w:p>
                            <w:pPr>
                              <w:rPr>
                                <w:sz w:val="2"/>
                                <w:szCs w:val="2"/>
                              </w:rPr>
                            </w:pPr>
                          </w:p>
                        </w:tc>
                        <w:tc>
                          <w:tcPr>
                            <w:tcW w:w="1159" w:type="dxa"/>
                          </w:tcPr>
                          <w:p>
                            <w:pPr>
                              <w:pStyle w:val="19"/>
                              <w:spacing w:before="145"/>
                              <w:ind w:left="137" w:right="117"/>
                              <w:rPr>
                                <w:rFonts w:ascii="Times New Roman" w:eastAsia="Times New Roman"/>
                                <w:sz w:val="21"/>
                              </w:rPr>
                            </w:pPr>
                            <w:r>
                              <w:rPr>
                                <w:sz w:val="21"/>
                              </w:rPr>
                              <w:t>长度</w:t>
                            </w:r>
                            <w:r>
                              <w:rPr>
                                <w:rFonts w:ascii="Times New Roman" w:eastAsia="Times New Roman"/>
                                <w:sz w:val="21"/>
                              </w:rPr>
                              <w:t>(m)</w:t>
                            </w:r>
                          </w:p>
                        </w:tc>
                        <w:tc>
                          <w:tcPr>
                            <w:tcW w:w="1159" w:type="dxa"/>
                          </w:tcPr>
                          <w:p>
                            <w:pPr>
                              <w:pStyle w:val="19"/>
                              <w:spacing w:before="145"/>
                              <w:ind w:left="137" w:right="119"/>
                              <w:rPr>
                                <w:rFonts w:ascii="Times New Roman" w:eastAsia="Times New Roman"/>
                                <w:sz w:val="21"/>
                              </w:rPr>
                            </w:pPr>
                            <w:r>
                              <w:rPr>
                                <w:sz w:val="21"/>
                              </w:rPr>
                              <w:t>宽度</w:t>
                            </w:r>
                            <w:r>
                              <w:rPr>
                                <w:rFonts w:ascii="Times New Roman" w:eastAsia="Times New Roman"/>
                                <w:sz w:val="21"/>
                              </w:rPr>
                              <w:t>(m)</w:t>
                            </w:r>
                          </w:p>
                        </w:tc>
                        <w:tc>
                          <w:tcPr>
                            <w:tcW w:w="1165" w:type="dxa"/>
                          </w:tcPr>
                          <w:p>
                            <w:pPr>
                              <w:pStyle w:val="19"/>
                              <w:spacing w:before="1"/>
                              <w:ind w:left="77" w:right="60"/>
                              <w:rPr>
                                <w:sz w:val="21"/>
                              </w:rPr>
                            </w:pPr>
                            <w:r>
                              <w:rPr>
                                <w:sz w:val="21"/>
                              </w:rPr>
                              <w:t>有效高度</w:t>
                            </w:r>
                          </w:p>
                          <w:p>
                            <w:pPr>
                              <w:pStyle w:val="19"/>
                              <w:spacing w:before="54"/>
                              <w:ind w:left="79" w:right="60"/>
                              <w:rPr>
                                <w:rFonts w:ascii="Times New Roman"/>
                                <w:sz w:val="21"/>
                              </w:rPr>
                            </w:pPr>
                            <w:r>
                              <w:rPr>
                                <w:rFonts w:ascii="Times New Roman"/>
                                <w:sz w:val="21"/>
                              </w:rPr>
                              <w:t>(m)</w:t>
                            </w:r>
                          </w:p>
                        </w:tc>
                        <w:tc>
                          <w:tcPr>
                            <w:tcW w:w="1161" w:type="dxa"/>
                          </w:tcPr>
                          <w:p>
                            <w:pPr>
                              <w:pStyle w:val="19"/>
                              <w:spacing w:before="161"/>
                              <w:ind w:left="242" w:right="224"/>
                              <w:rPr>
                                <w:rFonts w:ascii="Times New Roman"/>
                                <w:sz w:val="21"/>
                              </w:rPr>
                            </w:pPr>
                            <w:r>
                              <w:rPr>
                                <w:rFonts w:ascii="Times New Roman"/>
                                <w:sz w:val="21"/>
                              </w:rPr>
                              <w:t>TSP</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159" w:type="dxa"/>
                          </w:tcPr>
                          <w:p>
                            <w:pPr>
                              <w:pStyle w:val="19"/>
                              <w:spacing w:before="1"/>
                              <w:ind w:left="137" w:right="122"/>
                              <w:rPr>
                                <w:sz w:val="21"/>
                              </w:rPr>
                            </w:pPr>
                            <w:r>
                              <w:rPr>
                                <w:sz w:val="21"/>
                              </w:rPr>
                              <w:t>煤矸石暂</w:t>
                            </w:r>
                          </w:p>
                          <w:p>
                            <w:pPr>
                              <w:pStyle w:val="19"/>
                              <w:spacing w:before="57"/>
                              <w:ind w:left="137" w:right="120"/>
                              <w:rPr>
                                <w:sz w:val="21"/>
                              </w:rPr>
                            </w:pPr>
                            <w:r>
                              <w:rPr>
                                <w:sz w:val="21"/>
                              </w:rPr>
                              <w:t>存场</w:t>
                            </w:r>
                          </w:p>
                        </w:tc>
                        <w:tc>
                          <w:tcPr>
                            <w:tcW w:w="1263" w:type="dxa"/>
                          </w:tcPr>
                          <w:p>
                            <w:pPr>
                              <w:pStyle w:val="19"/>
                              <w:spacing w:before="180"/>
                              <w:ind w:left="218" w:right="197"/>
                              <w:rPr>
                                <w:rFonts w:ascii="Times New Roman"/>
                                <w:sz w:val="21"/>
                              </w:rPr>
                            </w:pPr>
                            <w:r>
                              <w:rPr>
                                <w:rFonts w:ascii="Times New Roman"/>
                                <w:sz w:val="21"/>
                              </w:rPr>
                              <w:t>131.1779</w:t>
                            </w:r>
                          </w:p>
                        </w:tc>
                        <w:tc>
                          <w:tcPr>
                            <w:tcW w:w="1264" w:type="dxa"/>
                          </w:tcPr>
                          <w:p>
                            <w:pPr>
                              <w:pStyle w:val="19"/>
                              <w:spacing w:before="180"/>
                              <w:ind w:left="269" w:right="251"/>
                              <w:rPr>
                                <w:rFonts w:ascii="Times New Roman"/>
                                <w:sz w:val="21"/>
                              </w:rPr>
                            </w:pPr>
                            <w:r>
                              <w:rPr>
                                <w:rFonts w:ascii="Times New Roman"/>
                                <w:sz w:val="21"/>
                              </w:rPr>
                              <w:t>46.5657</w:t>
                            </w:r>
                          </w:p>
                        </w:tc>
                        <w:tc>
                          <w:tcPr>
                            <w:tcW w:w="952" w:type="dxa"/>
                          </w:tcPr>
                          <w:p>
                            <w:pPr>
                              <w:pStyle w:val="19"/>
                              <w:spacing w:before="180"/>
                              <w:ind w:left="317"/>
                              <w:jc w:val="left"/>
                              <w:rPr>
                                <w:rFonts w:ascii="Times New Roman"/>
                                <w:sz w:val="21"/>
                              </w:rPr>
                            </w:pPr>
                            <w:r>
                              <w:rPr>
                                <w:rFonts w:ascii="Times New Roman"/>
                                <w:sz w:val="21"/>
                              </w:rPr>
                              <w:t>206</w:t>
                            </w:r>
                          </w:p>
                        </w:tc>
                        <w:tc>
                          <w:tcPr>
                            <w:tcW w:w="1159" w:type="dxa"/>
                          </w:tcPr>
                          <w:p>
                            <w:pPr>
                              <w:pStyle w:val="19"/>
                              <w:spacing w:before="180"/>
                              <w:ind w:left="137" w:right="118"/>
                              <w:rPr>
                                <w:rFonts w:ascii="Times New Roman"/>
                                <w:sz w:val="21"/>
                              </w:rPr>
                            </w:pPr>
                            <w:r>
                              <w:rPr>
                                <w:rFonts w:ascii="Times New Roman"/>
                                <w:sz w:val="21"/>
                              </w:rPr>
                              <w:t>24</w:t>
                            </w:r>
                          </w:p>
                        </w:tc>
                        <w:tc>
                          <w:tcPr>
                            <w:tcW w:w="1159" w:type="dxa"/>
                          </w:tcPr>
                          <w:p>
                            <w:pPr>
                              <w:pStyle w:val="19"/>
                              <w:spacing w:before="180"/>
                              <w:ind w:left="137" w:right="118"/>
                              <w:rPr>
                                <w:rFonts w:ascii="Times New Roman"/>
                                <w:sz w:val="21"/>
                              </w:rPr>
                            </w:pPr>
                            <w:r>
                              <w:rPr>
                                <w:rFonts w:ascii="Times New Roman"/>
                                <w:sz w:val="21"/>
                              </w:rPr>
                              <w:t>34</w:t>
                            </w:r>
                          </w:p>
                        </w:tc>
                        <w:tc>
                          <w:tcPr>
                            <w:tcW w:w="1165" w:type="dxa"/>
                          </w:tcPr>
                          <w:p>
                            <w:pPr>
                              <w:pStyle w:val="19"/>
                              <w:spacing w:before="180"/>
                              <w:ind w:left="78" w:right="60"/>
                              <w:rPr>
                                <w:rFonts w:ascii="Times New Roman"/>
                                <w:sz w:val="21"/>
                              </w:rPr>
                            </w:pPr>
                            <w:r>
                              <w:rPr>
                                <w:rFonts w:ascii="Times New Roman"/>
                                <w:sz w:val="21"/>
                              </w:rPr>
                              <w:t>10</w:t>
                            </w:r>
                          </w:p>
                        </w:tc>
                        <w:tc>
                          <w:tcPr>
                            <w:tcW w:w="1161" w:type="dxa"/>
                          </w:tcPr>
                          <w:p>
                            <w:pPr>
                              <w:pStyle w:val="19"/>
                              <w:spacing w:before="180"/>
                              <w:ind w:left="244" w:right="224"/>
                              <w:rPr>
                                <w:rFonts w:ascii="Times New Roman"/>
                                <w:sz w:val="21"/>
                              </w:rPr>
                            </w:pPr>
                            <w:r>
                              <w:rPr>
                                <w:rFonts w:ascii="Times New Roman"/>
                                <w:sz w:val="21"/>
                              </w:rPr>
                              <w:t>0.004</w:t>
                            </w:r>
                          </w:p>
                        </w:tc>
                      </w:tr>
                    </w:tbl>
                    <w:p>
                      <w:pPr>
                        <w:pStyle w:val="9"/>
                      </w:pPr>
                    </w:p>
                  </w:txbxContent>
                </v:textbox>
              </v:shape>
            </w:pict>
          </mc:Fallback>
        </mc:AlternateContent>
      </w:r>
      <w:r>
        <w:rPr>
          <w:color w:val="FF0000"/>
          <w:spacing w:val="-19"/>
          <w:position w:val="2"/>
          <w:sz w:val="21"/>
        </w:rPr>
        <w:t xml:space="preserve">由于 </w:t>
      </w:r>
      <w:r>
        <w:rPr>
          <w:rFonts w:ascii="Times New Roman" w:eastAsia="Times New Roman"/>
          <w:color w:val="FF0000"/>
          <w:position w:val="2"/>
          <w:sz w:val="21"/>
        </w:rPr>
        <w:t xml:space="preserve">NO </w:t>
      </w:r>
      <w:r>
        <w:rPr>
          <w:color w:val="FF0000"/>
          <w:spacing w:val="-4"/>
          <w:position w:val="2"/>
          <w:sz w:val="21"/>
        </w:rPr>
        <w:t xml:space="preserve">在空气中不能稳定存在，按照 </w:t>
      </w:r>
      <w:r>
        <w:rPr>
          <w:rFonts w:ascii="Times New Roman" w:eastAsia="Times New Roman"/>
          <w:color w:val="FF0000"/>
          <w:position w:val="2"/>
          <w:sz w:val="21"/>
        </w:rPr>
        <w:t>NO</w:t>
      </w:r>
      <w:r>
        <w:rPr>
          <w:rFonts w:ascii="Times New Roman" w:eastAsia="Times New Roman"/>
          <w:color w:val="FF0000"/>
          <w:position w:val="2"/>
          <w:sz w:val="21"/>
          <w:vertAlign w:val="subscript"/>
        </w:rPr>
        <w:t>x</w:t>
      </w:r>
      <w:r>
        <w:rPr>
          <w:color w:val="FF0000"/>
          <w:position w:val="2"/>
          <w:sz w:val="21"/>
          <w:vertAlign w:val="baseline"/>
        </w:rPr>
        <w:t>＝</w:t>
      </w:r>
      <w:r>
        <w:rPr>
          <w:rFonts w:ascii="Times New Roman" w:eastAsia="Times New Roman"/>
          <w:color w:val="FF0000"/>
          <w:position w:val="2"/>
          <w:sz w:val="21"/>
          <w:vertAlign w:val="baseline"/>
        </w:rPr>
        <w:t>0.9NO</w:t>
      </w:r>
      <w:r>
        <w:rPr>
          <w:rFonts w:ascii="Times New Roman" w:eastAsia="Times New Roman"/>
          <w:color w:val="FF0000"/>
          <w:position w:val="2"/>
          <w:sz w:val="21"/>
          <w:vertAlign w:val="subscript"/>
        </w:rPr>
        <w:t>2</w:t>
      </w:r>
      <w:r>
        <w:rPr>
          <w:rFonts w:ascii="Times New Roman" w:eastAsia="Times New Roman"/>
          <w:color w:val="FF0000"/>
          <w:position w:val="2"/>
          <w:sz w:val="21"/>
          <w:vertAlign w:val="baseline"/>
        </w:rPr>
        <w:t xml:space="preserve"> </w:t>
      </w:r>
      <w:r>
        <w:rPr>
          <w:color w:val="FF0000"/>
          <w:spacing w:val="-11"/>
          <w:position w:val="2"/>
          <w:sz w:val="21"/>
          <w:vertAlign w:val="baseline"/>
        </w:rPr>
        <w:t xml:space="preserve">折算，将 </w:t>
      </w:r>
      <w:r>
        <w:rPr>
          <w:rFonts w:ascii="Times New Roman" w:eastAsia="Times New Roman"/>
          <w:color w:val="FF0000"/>
          <w:position w:val="2"/>
          <w:sz w:val="21"/>
          <w:vertAlign w:val="baseline"/>
        </w:rPr>
        <w:t>NO</w:t>
      </w:r>
      <w:r>
        <w:rPr>
          <w:rFonts w:ascii="Times New Roman" w:eastAsia="Times New Roman"/>
          <w:color w:val="FF0000"/>
          <w:position w:val="2"/>
          <w:sz w:val="21"/>
          <w:vertAlign w:val="subscript"/>
        </w:rPr>
        <w:t>x</w:t>
      </w:r>
      <w:r>
        <w:rPr>
          <w:rFonts w:ascii="Times New Roman" w:eastAsia="Times New Roman"/>
          <w:color w:val="FF0000"/>
          <w:position w:val="2"/>
          <w:sz w:val="21"/>
          <w:vertAlign w:val="baseline"/>
        </w:rPr>
        <w:t xml:space="preserve"> </w:t>
      </w:r>
      <w:r>
        <w:rPr>
          <w:color w:val="FF0000"/>
          <w:spacing w:val="-13"/>
          <w:position w:val="2"/>
          <w:sz w:val="21"/>
          <w:vertAlign w:val="baseline"/>
        </w:rPr>
        <w:t xml:space="preserve">转化为 </w:t>
      </w:r>
      <w:r>
        <w:rPr>
          <w:rFonts w:ascii="Times New Roman" w:eastAsia="Times New Roman"/>
          <w:color w:val="FF0000"/>
          <w:position w:val="2"/>
          <w:sz w:val="21"/>
          <w:vertAlign w:val="baseline"/>
        </w:rPr>
        <w:t>NO</w:t>
      </w:r>
      <w:r>
        <w:rPr>
          <w:rFonts w:ascii="Times New Roman" w:eastAsia="Times New Roman"/>
          <w:color w:val="FF0000"/>
          <w:position w:val="2"/>
          <w:sz w:val="21"/>
          <w:vertAlign w:val="subscript"/>
        </w:rPr>
        <w:t>2</w:t>
      </w:r>
      <w:r>
        <w:rPr>
          <w:rFonts w:ascii="Times New Roman" w:eastAsia="Times New Roman"/>
          <w:color w:val="FF0000"/>
          <w:position w:val="2"/>
          <w:sz w:val="21"/>
          <w:vertAlign w:val="baseline"/>
        </w:rPr>
        <w:t xml:space="preserve"> </w:t>
      </w:r>
      <w:r>
        <w:rPr>
          <w:color w:val="FF0000"/>
          <w:position w:val="2"/>
          <w:sz w:val="21"/>
          <w:vertAlign w:val="baseline"/>
        </w:rPr>
        <w:t>进行预测。</w:t>
      </w:r>
      <w:r>
        <w:rPr>
          <w:b/>
          <w:spacing w:val="-26"/>
          <w:sz w:val="21"/>
          <w:vertAlign w:val="baseline"/>
        </w:rPr>
        <w:t xml:space="preserve">表 </w:t>
      </w:r>
      <w:r>
        <w:rPr>
          <w:rFonts w:ascii="Times New Roman" w:eastAsia="Times New Roman"/>
          <w:b/>
          <w:sz w:val="21"/>
          <w:vertAlign w:val="baseline"/>
        </w:rPr>
        <w:t>1.4-4</w:t>
      </w:r>
      <w:r>
        <w:rPr>
          <w:rFonts w:ascii="Times New Roman" w:eastAsia="Times New Roman"/>
          <w:b/>
          <w:spacing w:val="51"/>
          <w:sz w:val="21"/>
          <w:vertAlign w:val="baseline"/>
        </w:rPr>
        <w:t xml:space="preserve"> </w:t>
      </w:r>
      <w:r>
        <w:rPr>
          <w:b/>
          <w:sz w:val="21"/>
          <w:vertAlign w:val="baseline"/>
        </w:rPr>
        <w:t>主要废气污染源参数一览表</w:t>
      </w:r>
      <w:r>
        <w:rPr>
          <w:rFonts w:ascii="Times New Roman" w:eastAsia="Times New Roman"/>
          <w:b/>
          <w:sz w:val="21"/>
          <w:vertAlign w:val="baseline"/>
        </w:rPr>
        <w:t>(</w:t>
      </w:r>
      <w:r>
        <w:rPr>
          <w:b/>
          <w:sz w:val="21"/>
          <w:vertAlign w:val="baseline"/>
        </w:rPr>
        <w:t>矩形面源</w:t>
      </w:r>
      <w:r>
        <w:rPr>
          <w:rFonts w:ascii="Times New Roman" w:eastAsia="Times New Roman"/>
          <w:b/>
          <w:sz w:val="21"/>
          <w:vertAlign w:val="baseline"/>
        </w:rPr>
        <w:t>)</w:t>
      </w: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spacing w:before="3"/>
        <w:rPr>
          <w:rFonts w:ascii="Times New Roman"/>
          <w:b/>
          <w:sz w:val="21"/>
        </w:rPr>
      </w:pPr>
    </w:p>
    <w:p>
      <w:pPr>
        <w:pStyle w:val="18"/>
        <w:numPr>
          <w:ilvl w:val="0"/>
          <w:numId w:val="24"/>
        </w:numPr>
        <w:tabs>
          <w:tab w:val="left" w:pos="921"/>
        </w:tabs>
        <w:spacing w:before="1" w:after="0" w:line="240" w:lineRule="auto"/>
        <w:ind w:left="920" w:right="0" w:hanging="281"/>
        <w:jc w:val="left"/>
        <w:rPr>
          <w:sz w:val="24"/>
        </w:rPr>
      </w:pPr>
      <w:r>
        <w:rPr>
          <w:sz w:val="24"/>
        </w:rPr>
        <w:t>项目参数</w:t>
      </w:r>
    </w:p>
    <w:p>
      <w:pPr>
        <w:pStyle w:val="9"/>
        <w:spacing w:before="172"/>
        <w:ind w:left="218"/>
      </w:pPr>
      <w:r>
        <w:t>估算模式所用参数见下表。</w:t>
      </w:r>
    </w:p>
    <w:p>
      <w:pPr>
        <w:pStyle w:val="9"/>
      </w:pPr>
    </w:p>
    <w:p>
      <w:pPr>
        <w:spacing w:before="202" w:after="4"/>
        <w:ind w:left="298" w:right="330" w:firstLine="0"/>
        <w:jc w:val="center"/>
        <w:rPr>
          <w:b/>
          <w:sz w:val="21"/>
        </w:rPr>
      </w:pPr>
      <w:r>
        <w:rPr>
          <w:b/>
          <w:spacing w:val="-28"/>
          <w:sz w:val="21"/>
        </w:rPr>
        <w:t xml:space="preserve">表 </w:t>
      </w:r>
      <w:r>
        <w:rPr>
          <w:rFonts w:ascii="Times New Roman" w:eastAsia="Times New Roman"/>
          <w:b/>
          <w:sz w:val="21"/>
        </w:rPr>
        <w:t>1.4-5</w:t>
      </w:r>
      <w:r>
        <w:rPr>
          <w:rFonts w:ascii="Times New Roman" w:eastAsia="Times New Roman"/>
          <w:b/>
          <w:spacing w:val="52"/>
          <w:sz w:val="21"/>
        </w:rPr>
        <w:t xml:space="preserve"> </w:t>
      </w:r>
      <w:r>
        <w:rPr>
          <w:b/>
          <w:sz w:val="21"/>
        </w:rPr>
        <w:t>估算模型参数表</w:t>
      </w: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021"/>
        <w:gridCol w:w="2622"/>
        <w:gridCol w:w="464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43" w:type="dxa"/>
            <w:gridSpan w:val="2"/>
            <w:tcBorders>
              <w:bottom w:val="single" w:color="000000" w:sz="4" w:space="0"/>
              <w:right w:val="single" w:color="000000" w:sz="4" w:space="0"/>
            </w:tcBorders>
          </w:tcPr>
          <w:p>
            <w:pPr>
              <w:pStyle w:val="19"/>
              <w:spacing w:before="62"/>
              <w:ind w:left="1668" w:right="1660"/>
              <w:rPr>
                <w:sz w:val="21"/>
              </w:rPr>
            </w:pPr>
            <w:r>
              <w:rPr>
                <w:sz w:val="21"/>
              </w:rPr>
              <w:t>参数</w:t>
            </w:r>
          </w:p>
        </w:tc>
        <w:tc>
          <w:tcPr>
            <w:tcW w:w="4643" w:type="dxa"/>
            <w:tcBorders>
              <w:left w:val="single" w:color="000000" w:sz="4" w:space="0"/>
              <w:bottom w:val="single" w:color="000000" w:sz="4" w:space="0"/>
            </w:tcBorders>
          </w:tcPr>
          <w:p>
            <w:pPr>
              <w:pStyle w:val="19"/>
              <w:spacing w:before="62"/>
              <w:ind w:left="1668" w:right="1648"/>
              <w:rPr>
                <w:sz w:val="21"/>
              </w:rPr>
            </w:pPr>
            <w:r>
              <w:rPr>
                <w:sz w:val="21"/>
              </w:rPr>
              <w:t>取值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021" w:type="dxa"/>
            <w:vMerge w:val="restart"/>
            <w:tcBorders>
              <w:top w:val="single" w:color="000000" w:sz="4" w:space="0"/>
              <w:bottom w:val="single" w:color="000000" w:sz="4" w:space="0"/>
              <w:right w:val="single" w:color="000000" w:sz="4" w:space="0"/>
            </w:tcBorders>
          </w:tcPr>
          <w:p>
            <w:pPr>
              <w:pStyle w:val="19"/>
              <w:spacing w:before="8"/>
              <w:jc w:val="left"/>
              <w:rPr>
                <w:b/>
                <w:sz w:val="20"/>
              </w:rPr>
            </w:pPr>
          </w:p>
          <w:p>
            <w:pPr>
              <w:pStyle w:val="19"/>
              <w:ind w:left="350"/>
              <w:jc w:val="left"/>
              <w:rPr>
                <w:sz w:val="21"/>
              </w:rPr>
            </w:pPr>
            <w:r>
              <w:rPr>
                <w:sz w:val="21"/>
              </w:rPr>
              <w:t>城市</w:t>
            </w:r>
            <w:r>
              <w:rPr>
                <w:rFonts w:ascii="Times New Roman" w:eastAsia="Times New Roman"/>
                <w:sz w:val="21"/>
              </w:rPr>
              <w:t>/</w:t>
            </w:r>
            <w:r>
              <w:rPr>
                <w:sz w:val="21"/>
              </w:rPr>
              <w:t>农村选项</w:t>
            </w:r>
          </w:p>
        </w:tc>
        <w:tc>
          <w:tcPr>
            <w:tcW w:w="2622" w:type="dxa"/>
            <w:tcBorders>
              <w:top w:val="single" w:color="000000" w:sz="4" w:space="0"/>
              <w:left w:val="single" w:color="000000" w:sz="4" w:space="0"/>
              <w:bottom w:val="single" w:color="000000" w:sz="4" w:space="0"/>
              <w:right w:val="single" w:color="000000" w:sz="4" w:space="0"/>
            </w:tcBorders>
          </w:tcPr>
          <w:p>
            <w:pPr>
              <w:pStyle w:val="19"/>
              <w:spacing w:before="61"/>
              <w:ind w:left="383" w:right="367"/>
              <w:rPr>
                <w:sz w:val="21"/>
              </w:rPr>
            </w:pPr>
            <w:r>
              <w:rPr>
                <w:sz w:val="21"/>
              </w:rPr>
              <w:t>城市</w:t>
            </w:r>
            <w:r>
              <w:rPr>
                <w:rFonts w:ascii="Times New Roman" w:eastAsia="Times New Roman"/>
                <w:sz w:val="21"/>
              </w:rPr>
              <w:t>/</w:t>
            </w:r>
            <w:r>
              <w:rPr>
                <w:sz w:val="21"/>
              </w:rPr>
              <w:t>农村</w:t>
            </w:r>
          </w:p>
        </w:tc>
        <w:tc>
          <w:tcPr>
            <w:tcW w:w="4643" w:type="dxa"/>
            <w:tcBorders>
              <w:top w:val="single" w:color="000000" w:sz="4" w:space="0"/>
              <w:left w:val="single" w:color="000000" w:sz="4" w:space="0"/>
              <w:bottom w:val="single" w:color="000000" w:sz="4" w:space="0"/>
            </w:tcBorders>
          </w:tcPr>
          <w:p>
            <w:pPr>
              <w:pStyle w:val="19"/>
              <w:spacing w:before="61"/>
              <w:ind w:left="1668" w:right="1648"/>
              <w:rPr>
                <w:sz w:val="21"/>
              </w:rPr>
            </w:pPr>
            <w:r>
              <w:rPr>
                <w:sz w:val="21"/>
              </w:rPr>
              <w:t>农村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021" w:type="dxa"/>
            <w:vMerge w:val="continue"/>
            <w:tcBorders>
              <w:top w:val="nil"/>
              <w:bottom w:val="single" w:color="000000" w:sz="4" w:space="0"/>
              <w:right w:val="single" w:color="000000" w:sz="4" w:space="0"/>
            </w:tcBorders>
          </w:tcPr>
          <w:p>
            <w:pPr>
              <w:rPr>
                <w:sz w:val="2"/>
                <w:szCs w:val="2"/>
              </w:rPr>
            </w:pPr>
          </w:p>
        </w:tc>
        <w:tc>
          <w:tcPr>
            <w:tcW w:w="2622" w:type="dxa"/>
            <w:tcBorders>
              <w:top w:val="single" w:color="000000" w:sz="4" w:space="0"/>
              <w:left w:val="single" w:color="000000" w:sz="4" w:space="0"/>
              <w:bottom w:val="single" w:color="000000" w:sz="4" w:space="0"/>
              <w:right w:val="single" w:color="000000" w:sz="4" w:space="0"/>
            </w:tcBorders>
          </w:tcPr>
          <w:p>
            <w:pPr>
              <w:pStyle w:val="19"/>
              <w:spacing w:before="62"/>
              <w:ind w:left="385" w:right="367"/>
              <w:rPr>
                <w:rFonts w:ascii="Times New Roman" w:eastAsia="Times New Roman"/>
                <w:sz w:val="21"/>
              </w:rPr>
            </w:pPr>
            <w:r>
              <w:rPr>
                <w:sz w:val="21"/>
              </w:rPr>
              <w:t>人口数</w:t>
            </w:r>
            <w:r>
              <w:rPr>
                <w:rFonts w:ascii="Times New Roman" w:eastAsia="Times New Roman"/>
                <w:sz w:val="21"/>
              </w:rPr>
              <w:t>(</w:t>
            </w:r>
            <w:r>
              <w:rPr>
                <w:sz w:val="21"/>
              </w:rPr>
              <w:t>城市人口数</w:t>
            </w:r>
            <w:r>
              <w:rPr>
                <w:rFonts w:ascii="Times New Roman" w:eastAsia="Times New Roman"/>
                <w:sz w:val="21"/>
              </w:rPr>
              <w:t>)</w:t>
            </w:r>
          </w:p>
        </w:tc>
        <w:tc>
          <w:tcPr>
            <w:tcW w:w="4643" w:type="dxa"/>
            <w:tcBorders>
              <w:top w:val="single" w:color="000000" w:sz="4" w:space="0"/>
              <w:left w:val="single" w:color="000000" w:sz="4" w:space="0"/>
              <w:bottom w:val="single" w:color="000000" w:sz="4" w:space="0"/>
            </w:tcBorders>
          </w:tcPr>
          <w:p>
            <w:pPr>
              <w:pStyle w:val="19"/>
              <w:spacing w:before="76"/>
              <w:ind w:left="21"/>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43" w:type="dxa"/>
            <w:gridSpan w:val="2"/>
            <w:tcBorders>
              <w:top w:val="single" w:color="000000" w:sz="4" w:space="0"/>
              <w:bottom w:val="single" w:color="000000" w:sz="4" w:space="0"/>
              <w:right w:val="single" w:color="000000" w:sz="4" w:space="0"/>
            </w:tcBorders>
          </w:tcPr>
          <w:p>
            <w:pPr>
              <w:pStyle w:val="19"/>
              <w:spacing w:before="63"/>
              <w:ind w:left="1668" w:right="1660"/>
              <w:rPr>
                <w:sz w:val="21"/>
              </w:rPr>
            </w:pPr>
            <w:r>
              <w:rPr>
                <w:sz w:val="21"/>
              </w:rPr>
              <w:t>最高环境温度</w:t>
            </w:r>
          </w:p>
        </w:tc>
        <w:tc>
          <w:tcPr>
            <w:tcW w:w="4643" w:type="dxa"/>
            <w:tcBorders>
              <w:top w:val="single" w:color="000000" w:sz="4" w:space="0"/>
              <w:left w:val="single" w:color="000000" w:sz="4" w:space="0"/>
              <w:bottom w:val="single" w:color="000000" w:sz="4" w:space="0"/>
            </w:tcBorders>
          </w:tcPr>
          <w:p>
            <w:pPr>
              <w:pStyle w:val="19"/>
              <w:spacing w:before="77"/>
              <w:ind w:left="1668" w:right="1644"/>
              <w:rPr>
                <w:rFonts w:ascii="Times New Roman"/>
                <w:sz w:val="21"/>
              </w:rPr>
            </w:pPr>
            <w:r>
              <w:rPr>
                <w:rFonts w:ascii="Times New Roman"/>
                <w:sz w:val="21"/>
              </w:rPr>
              <w:t>35.4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43" w:type="dxa"/>
            <w:gridSpan w:val="2"/>
            <w:tcBorders>
              <w:top w:val="single" w:color="000000" w:sz="4" w:space="0"/>
              <w:bottom w:val="single" w:color="000000" w:sz="4" w:space="0"/>
              <w:right w:val="single" w:color="000000" w:sz="4" w:space="0"/>
            </w:tcBorders>
          </w:tcPr>
          <w:p>
            <w:pPr>
              <w:pStyle w:val="19"/>
              <w:spacing w:before="61"/>
              <w:ind w:left="1668" w:right="1660"/>
              <w:rPr>
                <w:sz w:val="21"/>
              </w:rPr>
            </w:pPr>
            <w:r>
              <w:rPr>
                <w:sz w:val="21"/>
              </w:rPr>
              <w:t>最低环境温度</w:t>
            </w:r>
          </w:p>
        </w:tc>
        <w:tc>
          <w:tcPr>
            <w:tcW w:w="4643" w:type="dxa"/>
            <w:tcBorders>
              <w:top w:val="single" w:color="000000" w:sz="4" w:space="0"/>
              <w:left w:val="single" w:color="000000" w:sz="4" w:space="0"/>
              <w:bottom w:val="single" w:color="000000" w:sz="4" w:space="0"/>
            </w:tcBorders>
          </w:tcPr>
          <w:p>
            <w:pPr>
              <w:pStyle w:val="19"/>
              <w:spacing w:before="75"/>
              <w:ind w:left="1668" w:right="1644"/>
              <w:rPr>
                <w:rFonts w:ascii="Times New Roman"/>
                <w:sz w:val="21"/>
              </w:rPr>
            </w:pPr>
            <w:r>
              <w:rPr>
                <w:rFonts w:ascii="Times New Roman"/>
                <w:sz w:val="21"/>
              </w:rPr>
              <w:t>-35.6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43" w:type="dxa"/>
            <w:gridSpan w:val="2"/>
            <w:tcBorders>
              <w:top w:val="single" w:color="000000" w:sz="4" w:space="0"/>
              <w:bottom w:val="single" w:color="000000" w:sz="4" w:space="0"/>
              <w:right w:val="single" w:color="000000" w:sz="4" w:space="0"/>
            </w:tcBorders>
          </w:tcPr>
          <w:p>
            <w:pPr>
              <w:pStyle w:val="19"/>
              <w:spacing w:before="62"/>
              <w:ind w:left="1668" w:right="1660"/>
              <w:rPr>
                <w:sz w:val="21"/>
              </w:rPr>
            </w:pPr>
            <w:r>
              <w:rPr>
                <w:sz w:val="21"/>
              </w:rPr>
              <w:t>土地利用类型</w:t>
            </w:r>
          </w:p>
        </w:tc>
        <w:tc>
          <w:tcPr>
            <w:tcW w:w="4643" w:type="dxa"/>
            <w:tcBorders>
              <w:top w:val="single" w:color="000000" w:sz="4" w:space="0"/>
              <w:left w:val="single" w:color="000000" w:sz="4" w:space="0"/>
              <w:bottom w:val="single" w:color="000000" w:sz="4" w:space="0"/>
            </w:tcBorders>
          </w:tcPr>
          <w:p>
            <w:pPr>
              <w:pStyle w:val="19"/>
              <w:spacing w:before="62"/>
              <w:ind w:left="1668" w:right="1648"/>
              <w:rPr>
                <w:sz w:val="21"/>
              </w:rPr>
            </w:pPr>
            <w:r>
              <w:rPr>
                <w:sz w:val="21"/>
              </w:rPr>
              <w:t>落叶林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643" w:type="dxa"/>
            <w:gridSpan w:val="2"/>
            <w:tcBorders>
              <w:top w:val="single" w:color="000000" w:sz="4" w:space="0"/>
              <w:bottom w:val="single" w:color="000000" w:sz="4" w:space="0"/>
              <w:right w:val="single" w:color="000000" w:sz="4" w:space="0"/>
            </w:tcBorders>
          </w:tcPr>
          <w:p>
            <w:pPr>
              <w:pStyle w:val="19"/>
              <w:spacing w:before="61"/>
              <w:ind w:left="1668" w:right="1660"/>
              <w:rPr>
                <w:sz w:val="21"/>
              </w:rPr>
            </w:pPr>
            <w:r>
              <w:rPr>
                <w:sz w:val="21"/>
              </w:rPr>
              <w:t>区域湿度条件</w:t>
            </w:r>
          </w:p>
        </w:tc>
        <w:tc>
          <w:tcPr>
            <w:tcW w:w="4643" w:type="dxa"/>
            <w:tcBorders>
              <w:top w:val="single" w:color="000000" w:sz="4" w:space="0"/>
              <w:left w:val="single" w:color="000000" w:sz="4" w:space="0"/>
              <w:bottom w:val="single" w:color="000000" w:sz="4" w:space="0"/>
            </w:tcBorders>
          </w:tcPr>
          <w:p>
            <w:pPr>
              <w:pStyle w:val="19"/>
              <w:spacing w:before="61"/>
              <w:ind w:left="1668" w:right="1648"/>
              <w:rPr>
                <w:sz w:val="21"/>
              </w:rPr>
            </w:pPr>
            <w:r>
              <w:rPr>
                <w:sz w:val="21"/>
              </w:rPr>
              <w:t>潮湿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021" w:type="dxa"/>
            <w:vMerge w:val="restart"/>
            <w:tcBorders>
              <w:top w:val="single" w:color="000000" w:sz="4" w:space="0"/>
              <w:bottom w:val="single" w:color="000000" w:sz="4" w:space="0"/>
              <w:right w:val="single" w:color="000000" w:sz="4" w:space="0"/>
            </w:tcBorders>
          </w:tcPr>
          <w:p>
            <w:pPr>
              <w:pStyle w:val="19"/>
              <w:spacing w:before="9"/>
              <w:jc w:val="left"/>
              <w:rPr>
                <w:b/>
                <w:sz w:val="20"/>
              </w:rPr>
            </w:pPr>
          </w:p>
          <w:p>
            <w:pPr>
              <w:pStyle w:val="19"/>
              <w:spacing w:before="1"/>
              <w:ind w:left="379"/>
              <w:jc w:val="left"/>
              <w:rPr>
                <w:sz w:val="21"/>
              </w:rPr>
            </w:pPr>
            <w:r>
              <w:rPr>
                <w:sz w:val="21"/>
              </w:rPr>
              <w:t>是否考虑地形</w:t>
            </w:r>
          </w:p>
        </w:tc>
        <w:tc>
          <w:tcPr>
            <w:tcW w:w="2622" w:type="dxa"/>
            <w:tcBorders>
              <w:top w:val="single" w:color="000000" w:sz="4" w:space="0"/>
              <w:left w:val="single" w:color="000000" w:sz="4" w:space="0"/>
              <w:bottom w:val="single" w:color="000000" w:sz="4" w:space="0"/>
              <w:right w:val="single" w:color="000000" w:sz="4" w:space="0"/>
            </w:tcBorders>
          </w:tcPr>
          <w:p>
            <w:pPr>
              <w:pStyle w:val="19"/>
              <w:spacing w:before="62"/>
              <w:ind w:left="383" w:right="367"/>
              <w:rPr>
                <w:sz w:val="21"/>
              </w:rPr>
            </w:pPr>
            <w:r>
              <w:rPr>
                <w:sz w:val="21"/>
              </w:rPr>
              <w:t>考虑地形</w:t>
            </w:r>
          </w:p>
        </w:tc>
        <w:tc>
          <w:tcPr>
            <w:tcW w:w="4643" w:type="dxa"/>
            <w:tcBorders>
              <w:top w:val="single" w:color="000000" w:sz="4" w:space="0"/>
              <w:left w:val="single" w:color="000000" w:sz="4" w:space="0"/>
              <w:bottom w:val="single" w:color="000000" w:sz="4" w:space="0"/>
            </w:tcBorders>
          </w:tcPr>
          <w:p>
            <w:pPr>
              <w:pStyle w:val="19"/>
              <w:spacing w:before="62"/>
              <w:ind w:left="23"/>
              <w:rPr>
                <w:sz w:val="21"/>
              </w:rPr>
            </w:pPr>
            <w:r>
              <w:rPr>
                <w:w w:val="99"/>
                <w:sz w:val="21"/>
              </w:rPr>
              <w:t>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021" w:type="dxa"/>
            <w:vMerge w:val="continue"/>
            <w:tcBorders>
              <w:top w:val="nil"/>
              <w:bottom w:val="single" w:color="000000" w:sz="4" w:space="0"/>
              <w:right w:val="single" w:color="000000" w:sz="4" w:space="0"/>
            </w:tcBorders>
          </w:tcPr>
          <w:p>
            <w:pPr>
              <w:rPr>
                <w:sz w:val="2"/>
                <w:szCs w:val="2"/>
              </w:rPr>
            </w:pPr>
          </w:p>
        </w:tc>
        <w:tc>
          <w:tcPr>
            <w:tcW w:w="2622" w:type="dxa"/>
            <w:tcBorders>
              <w:top w:val="single" w:color="000000" w:sz="4" w:space="0"/>
              <w:left w:val="single" w:color="000000" w:sz="4" w:space="0"/>
              <w:bottom w:val="single" w:color="000000" w:sz="4" w:space="0"/>
              <w:right w:val="single" w:color="000000" w:sz="4" w:space="0"/>
            </w:tcBorders>
          </w:tcPr>
          <w:p>
            <w:pPr>
              <w:pStyle w:val="19"/>
              <w:spacing w:before="63"/>
              <w:ind w:left="385" w:right="367"/>
              <w:rPr>
                <w:rFonts w:ascii="Times New Roman" w:eastAsia="Times New Roman"/>
                <w:sz w:val="21"/>
              </w:rPr>
            </w:pPr>
            <w:r>
              <w:rPr>
                <w:sz w:val="21"/>
              </w:rPr>
              <w:t>地形数据分辨率</w:t>
            </w:r>
            <w:r>
              <w:rPr>
                <w:rFonts w:ascii="Times New Roman" w:eastAsia="Times New Roman"/>
                <w:sz w:val="21"/>
              </w:rPr>
              <w:t>(m)</w:t>
            </w:r>
          </w:p>
        </w:tc>
        <w:tc>
          <w:tcPr>
            <w:tcW w:w="4643" w:type="dxa"/>
            <w:tcBorders>
              <w:top w:val="single" w:color="000000" w:sz="4" w:space="0"/>
              <w:left w:val="single" w:color="000000" w:sz="4" w:space="0"/>
              <w:bottom w:val="single" w:color="000000" w:sz="4" w:space="0"/>
            </w:tcBorders>
          </w:tcPr>
          <w:p>
            <w:pPr>
              <w:pStyle w:val="19"/>
              <w:spacing w:before="77"/>
              <w:ind w:left="1668" w:right="1644"/>
              <w:rPr>
                <w:rFonts w:ascii="Times New Roman"/>
                <w:sz w:val="21"/>
              </w:rPr>
            </w:pPr>
            <w:r>
              <w:rPr>
                <w:rFonts w:ascii="Times New Roman"/>
                <w:sz w:val="21"/>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2021" w:type="dxa"/>
            <w:tcBorders>
              <w:top w:val="single" w:color="000000" w:sz="4" w:space="0"/>
              <w:right w:val="single" w:color="000000" w:sz="4" w:space="0"/>
            </w:tcBorders>
          </w:tcPr>
          <w:p>
            <w:pPr>
              <w:pStyle w:val="19"/>
              <w:spacing w:before="62"/>
              <w:ind w:left="170"/>
              <w:jc w:val="left"/>
              <w:rPr>
                <w:sz w:val="21"/>
              </w:rPr>
            </w:pPr>
            <w:r>
              <w:rPr>
                <w:sz w:val="21"/>
              </w:rPr>
              <w:t>是否考虑岸线熏烟</w:t>
            </w:r>
          </w:p>
        </w:tc>
        <w:tc>
          <w:tcPr>
            <w:tcW w:w="2622" w:type="dxa"/>
            <w:tcBorders>
              <w:top w:val="single" w:color="000000" w:sz="4" w:space="0"/>
              <w:left w:val="single" w:color="000000" w:sz="4" w:space="0"/>
              <w:right w:val="single" w:color="000000" w:sz="4" w:space="0"/>
            </w:tcBorders>
          </w:tcPr>
          <w:p>
            <w:pPr>
              <w:pStyle w:val="19"/>
              <w:spacing w:before="62"/>
              <w:ind w:left="385" w:right="367"/>
              <w:rPr>
                <w:sz w:val="21"/>
              </w:rPr>
            </w:pPr>
            <w:r>
              <w:rPr>
                <w:sz w:val="21"/>
              </w:rPr>
              <w:t>考虑岸线熏烟</w:t>
            </w:r>
          </w:p>
        </w:tc>
        <w:tc>
          <w:tcPr>
            <w:tcW w:w="4643" w:type="dxa"/>
            <w:tcBorders>
              <w:top w:val="single" w:color="000000" w:sz="4" w:space="0"/>
              <w:left w:val="single" w:color="000000" w:sz="4" w:space="0"/>
            </w:tcBorders>
          </w:tcPr>
          <w:p>
            <w:pPr>
              <w:pStyle w:val="19"/>
              <w:spacing w:before="62"/>
              <w:ind w:left="23"/>
              <w:rPr>
                <w:sz w:val="21"/>
              </w:rPr>
            </w:pPr>
            <w:r>
              <w:rPr>
                <w:w w:val="99"/>
                <w:sz w:val="21"/>
              </w:rPr>
              <w:t>否</w:t>
            </w:r>
          </w:p>
        </w:tc>
      </w:tr>
    </w:tbl>
    <w:p>
      <w:pPr>
        <w:spacing w:after="0"/>
        <w:rPr>
          <w:sz w:val="21"/>
        </w:rPr>
        <w:sectPr>
          <w:type w:val="continuous"/>
          <w:pgSz w:w="11910" w:h="16840"/>
          <w:pgMar w:top="1580" w:right="1160" w:bottom="280" w:left="1200" w:header="720" w:footer="720" w:gutter="0"/>
        </w:sectPr>
      </w:pP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021"/>
        <w:gridCol w:w="2622"/>
        <w:gridCol w:w="464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2" w:hRule="atLeast"/>
        </w:trPr>
        <w:tc>
          <w:tcPr>
            <w:tcW w:w="2021" w:type="dxa"/>
            <w:vMerge w:val="restart"/>
            <w:tcBorders>
              <w:right w:val="single" w:color="000000" w:sz="4" w:space="0"/>
            </w:tcBorders>
          </w:tcPr>
          <w:p>
            <w:pPr>
              <w:pStyle w:val="19"/>
              <w:jc w:val="left"/>
              <w:rPr>
                <w:rFonts w:ascii="Times New Roman"/>
                <w:sz w:val="22"/>
              </w:rPr>
            </w:pPr>
          </w:p>
        </w:tc>
        <w:tc>
          <w:tcPr>
            <w:tcW w:w="2622" w:type="dxa"/>
            <w:tcBorders>
              <w:left w:val="single" w:color="000000" w:sz="4" w:space="0"/>
              <w:bottom w:val="single" w:color="000000" w:sz="4" w:space="0"/>
              <w:right w:val="single" w:color="000000" w:sz="4" w:space="0"/>
            </w:tcBorders>
          </w:tcPr>
          <w:p>
            <w:pPr>
              <w:pStyle w:val="19"/>
              <w:spacing w:before="62"/>
              <w:ind w:left="784"/>
              <w:jc w:val="left"/>
              <w:rPr>
                <w:rFonts w:ascii="Times New Roman" w:eastAsia="Times New Roman"/>
                <w:sz w:val="21"/>
              </w:rPr>
            </w:pPr>
            <w:r>
              <w:rPr>
                <w:sz w:val="21"/>
              </w:rPr>
              <w:t>岸线距离</w:t>
            </w:r>
            <w:r>
              <w:rPr>
                <w:rFonts w:ascii="Times New Roman" w:eastAsia="Times New Roman"/>
                <w:sz w:val="21"/>
              </w:rPr>
              <w:t>/m</w:t>
            </w:r>
          </w:p>
        </w:tc>
        <w:tc>
          <w:tcPr>
            <w:tcW w:w="4643" w:type="dxa"/>
            <w:tcBorders>
              <w:left w:val="single" w:color="000000" w:sz="4" w:space="0"/>
              <w:bottom w:val="single" w:color="000000" w:sz="4" w:space="0"/>
            </w:tcBorders>
          </w:tcPr>
          <w:p>
            <w:pPr>
              <w:pStyle w:val="19"/>
              <w:spacing w:before="76"/>
              <w:ind w:right="2272"/>
              <w:jc w:val="right"/>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1" w:hRule="atLeast"/>
        </w:trPr>
        <w:tc>
          <w:tcPr>
            <w:tcW w:w="2021" w:type="dxa"/>
            <w:vMerge w:val="continue"/>
            <w:tcBorders>
              <w:top w:val="nil"/>
              <w:right w:val="single" w:color="000000" w:sz="4" w:space="0"/>
            </w:tcBorders>
          </w:tcPr>
          <w:p>
            <w:pPr>
              <w:rPr>
                <w:sz w:val="2"/>
                <w:szCs w:val="2"/>
              </w:rPr>
            </w:pPr>
          </w:p>
        </w:tc>
        <w:tc>
          <w:tcPr>
            <w:tcW w:w="2622" w:type="dxa"/>
            <w:tcBorders>
              <w:top w:val="single" w:color="000000" w:sz="4" w:space="0"/>
              <w:left w:val="single" w:color="000000" w:sz="4" w:space="0"/>
              <w:right w:val="single" w:color="000000" w:sz="4" w:space="0"/>
            </w:tcBorders>
          </w:tcPr>
          <w:p>
            <w:pPr>
              <w:pStyle w:val="19"/>
              <w:spacing w:before="58"/>
              <w:ind w:left="825"/>
              <w:jc w:val="left"/>
              <w:rPr>
                <w:rFonts w:ascii="Times New Roman" w:hAnsi="Times New Roman" w:eastAsia="Times New Roman"/>
                <w:sz w:val="21"/>
              </w:rPr>
            </w:pPr>
            <w:r>
              <w:rPr>
                <w:sz w:val="21"/>
              </w:rPr>
              <w:t>岸线方向</w:t>
            </w:r>
            <w:r>
              <w:rPr>
                <w:rFonts w:ascii="Times New Roman" w:hAnsi="Times New Roman" w:eastAsia="Times New Roman"/>
                <w:sz w:val="21"/>
              </w:rPr>
              <w:t>/°</w:t>
            </w:r>
          </w:p>
        </w:tc>
        <w:tc>
          <w:tcPr>
            <w:tcW w:w="4643" w:type="dxa"/>
            <w:tcBorders>
              <w:top w:val="single" w:color="000000" w:sz="4" w:space="0"/>
              <w:left w:val="single" w:color="000000" w:sz="4" w:space="0"/>
            </w:tcBorders>
          </w:tcPr>
          <w:p>
            <w:pPr>
              <w:pStyle w:val="19"/>
              <w:spacing w:before="72"/>
              <w:ind w:right="2272"/>
              <w:jc w:val="right"/>
              <w:rPr>
                <w:rFonts w:ascii="Times New Roman"/>
                <w:sz w:val="21"/>
              </w:rPr>
            </w:pPr>
            <w:r>
              <w:rPr>
                <w:rFonts w:ascii="Times New Roman"/>
                <w:w w:val="99"/>
                <w:sz w:val="21"/>
              </w:rPr>
              <w:t>/</w:t>
            </w:r>
          </w:p>
        </w:tc>
      </w:tr>
    </w:tbl>
    <w:p>
      <w:pPr>
        <w:pStyle w:val="9"/>
        <w:spacing w:before="6"/>
        <w:rPr>
          <w:b/>
          <w:sz w:val="5"/>
        </w:rPr>
      </w:pPr>
    </w:p>
    <w:p>
      <w:pPr>
        <w:pStyle w:val="18"/>
        <w:numPr>
          <w:ilvl w:val="0"/>
          <w:numId w:val="24"/>
        </w:numPr>
        <w:tabs>
          <w:tab w:val="left" w:pos="921"/>
        </w:tabs>
        <w:spacing w:before="74" w:after="0" w:line="240" w:lineRule="auto"/>
        <w:ind w:left="920" w:right="0" w:hanging="281"/>
        <w:jc w:val="left"/>
        <w:rPr>
          <w:sz w:val="24"/>
        </w:rPr>
      </w:pPr>
      <w:r>
        <w:rPr>
          <w:sz w:val="24"/>
        </w:rPr>
        <w:t>评价工作等级确定</w:t>
      </w:r>
    </w:p>
    <w:p>
      <w:pPr>
        <w:pStyle w:val="9"/>
        <w:spacing w:before="172"/>
        <w:ind w:left="218"/>
        <w:jc w:val="both"/>
        <w:rPr>
          <w:rFonts w:ascii="Times New Roman" w:eastAsia="Times New Roman"/>
        </w:rPr>
      </w:pPr>
      <w:r>
        <w:rPr>
          <w:position w:val="2"/>
        </w:rPr>
        <w:t xml:space="preserve">本项目所有污染源的正常排放的污染物的 </w:t>
      </w:r>
      <w:r>
        <w:rPr>
          <w:rFonts w:ascii="Times New Roman" w:eastAsia="Times New Roman"/>
          <w:position w:val="2"/>
        </w:rPr>
        <w:t>P</w:t>
      </w:r>
      <w:r>
        <w:rPr>
          <w:rFonts w:ascii="Times New Roman" w:eastAsia="Times New Roman"/>
          <w:position w:val="2"/>
          <w:vertAlign w:val="subscript"/>
        </w:rPr>
        <w:t>max</w:t>
      </w:r>
      <w:r>
        <w:rPr>
          <w:rFonts w:ascii="Times New Roman" w:eastAsia="Times New Roman"/>
          <w:position w:val="2"/>
          <w:vertAlign w:val="baseline"/>
        </w:rPr>
        <w:t xml:space="preserve"> </w:t>
      </w:r>
      <w:r>
        <w:rPr>
          <w:position w:val="2"/>
          <w:vertAlign w:val="baseline"/>
        </w:rPr>
        <w:t xml:space="preserve">和 </w:t>
      </w:r>
      <w:r>
        <w:rPr>
          <w:rFonts w:ascii="Times New Roman" w:eastAsia="Times New Roman"/>
          <w:position w:val="2"/>
          <w:vertAlign w:val="baseline"/>
        </w:rPr>
        <w:t>D</w:t>
      </w:r>
      <w:r>
        <w:rPr>
          <w:rFonts w:ascii="Times New Roman" w:eastAsia="Times New Roman"/>
          <w:position w:val="2"/>
          <w:vertAlign w:val="subscript"/>
        </w:rPr>
        <w:t>10%</w:t>
      </w:r>
      <w:r>
        <w:rPr>
          <w:position w:val="2"/>
          <w:vertAlign w:val="baseline"/>
        </w:rPr>
        <w:t>预测结果如下</w:t>
      </w:r>
      <w:r>
        <w:rPr>
          <w:rFonts w:ascii="Times New Roman" w:eastAsia="Times New Roman"/>
          <w:position w:val="2"/>
          <w:vertAlign w:val="baseline"/>
        </w:rPr>
        <w:t>:</w:t>
      </w:r>
    </w:p>
    <w:p>
      <w:pPr>
        <w:spacing w:before="143"/>
        <w:ind w:left="303" w:right="330" w:firstLine="0"/>
        <w:jc w:val="center"/>
        <w:rPr>
          <w:b/>
          <w:sz w:val="21"/>
        </w:rPr>
      </w:pPr>
      <w:r>
        <w:rPr>
          <w:b/>
          <w:position w:val="2"/>
          <w:sz w:val="21"/>
        </w:rPr>
        <w:t xml:space="preserve">表 </w:t>
      </w:r>
      <w:r>
        <w:rPr>
          <w:rFonts w:ascii="Times New Roman" w:eastAsia="Times New Roman"/>
          <w:b/>
          <w:position w:val="2"/>
          <w:sz w:val="21"/>
        </w:rPr>
        <w:t>1.4-6 P</w:t>
      </w:r>
      <w:r>
        <w:rPr>
          <w:rFonts w:ascii="Times New Roman" w:eastAsia="Times New Roman"/>
          <w:b/>
          <w:position w:val="2"/>
          <w:sz w:val="21"/>
          <w:vertAlign w:val="subscript"/>
        </w:rPr>
        <w:t>max</w:t>
      </w:r>
      <w:r>
        <w:rPr>
          <w:rFonts w:ascii="Times New Roman" w:eastAsia="Times New Roman"/>
          <w:b/>
          <w:position w:val="2"/>
          <w:sz w:val="21"/>
          <w:vertAlign w:val="baseline"/>
        </w:rPr>
        <w:t xml:space="preserve"> </w:t>
      </w:r>
      <w:r>
        <w:rPr>
          <w:b/>
          <w:position w:val="2"/>
          <w:sz w:val="21"/>
          <w:vertAlign w:val="baseline"/>
        </w:rPr>
        <w:t xml:space="preserve">和 </w:t>
      </w:r>
      <w:r>
        <w:rPr>
          <w:rFonts w:ascii="Times New Roman" w:eastAsia="Times New Roman"/>
          <w:b/>
          <w:position w:val="2"/>
          <w:sz w:val="21"/>
          <w:vertAlign w:val="baseline"/>
        </w:rPr>
        <w:t>D</w:t>
      </w:r>
      <w:r>
        <w:rPr>
          <w:rFonts w:ascii="Times New Roman" w:eastAsia="Times New Roman"/>
          <w:b/>
          <w:position w:val="2"/>
          <w:sz w:val="21"/>
          <w:vertAlign w:val="subscript"/>
        </w:rPr>
        <w:t>10%</w:t>
      </w:r>
      <w:r>
        <w:rPr>
          <w:b/>
          <w:position w:val="2"/>
          <w:sz w:val="21"/>
          <w:vertAlign w:val="baseline"/>
        </w:rPr>
        <w:t>预测和计算结果一览表</w:t>
      </w: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46"/>
        <w:gridCol w:w="1546"/>
        <w:gridCol w:w="1547"/>
        <w:gridCol w:w="1547"/>
        <w:gridCol w:w="1547"/>
        <w:gridCol w:w="15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4" w:hRule="atLeast"/>
        </w:trPr>
        <w:tc>
          <w:tcPr>
            <w:tcW w:w="1546" w:type="dxa"/>
            <w:tcBorders>
              <w:bottom w:val="single" w:color="000000" w:sz="4" w:space="0"/>
              <w:right w:val="single" w:color="000000" w:sz="4" w:space="0"/>
            </w:tcBorders>
          </w:tcPr>
          <w:p>
            <w:pPr>
              <w:pStyle w:val="19"/>
              <w:spacing w:before="122"/>
              <w:ind w:left="120" w:right="108"/>
              <w:rPr>
                <w:sz w:val="21"/>
              </w:rPr>
            </w:pPr>
            <w:r>
              <w:rPr>
                <w:sz w:val="21"/>
              </w:rPr>
              <w:t>污染源名称</w:t>
            </w:r>
          </w:p>
        </w:tc>
        <w:tc>
          <w:tcPr>
            <w:tcW w:w="1546" w:type="dxa"/>
            <w:tcBorders>
              <w:left w:val="single" w:color="000000" w:sz="4" w:space="0"/>
              <w:bottom w:val="single" w:color="000000" w:sz="4" w:space="0"/>
              <w:right w:val="single" w:color="000000" w:sz="4" w:space="0"/>
            </w:tcBorders>
          </w:tcPr>
          <w:p>
            <w:pPr>
              <w:pStyle w:val="19"/>
              <w:spacing w:before="122"/>
              <w:ind w:left="336" w:right="320"/>
              <w:rPr>
                <w:sz w:val="21"/>
              </w:rPr>
            </w:pPr>
            <w:r>
              <w:rPr>
                <w:sz w:val="21"/>
              </w:rPr>
              <w:t>评价因子</w:t>
            </w:r>
          </w:p>
        </w:tc>
        <w:tc>
          <w:tcPr>
            <w:tcW w:w="1547" w:type="dxa"/>
            <w:tcBorders>
              <w:left w:val="single" w:color="000000" w:sz="4" w:space="0"/>
              <w:bottom w:val="single" w:color="000000" w:sz="4" w:space="0"/>
              <w:right w:val="single" w:color="000000" w:sz="4" w:space="0"/>
            </w:tcBorders>
          </w:tcPr>
          <w:p>
            <w:pPr>
              <w:pStyle w:val="19"/>
              <w:spacing w:before="2"/>
              <w:ind w:left="356"/>
              <w:jc w:val="left"/>
              <w:rPr>
                <w:sz w:val="21"/>
              </w:rPr>
            </w:pPr>
            <w:r>
              <w:rPr>
                <w:sz w:val="21"/>
              </w:rPr>
              <w:t>评价标准</w:t>
            </w:r>
          </w:p>
          <w:p>
            <w:pPr>
              <w:pStyle w:val="19"/>
              <w:spacing w:before="2" w:line="221" w:lineRule="exact"/>
              <w:ind w:left="457"/>
              <w:jc w:val="left"/>
              <w:rPr>
                <w:rFonts w:ascii="Times New Roman" w:hAnsi="Times New Roman"/>
                <w:sz w:val="21"/>
              </w:rPr>
            </w:pPr>
            <w:r>
              <w:rPr>
                <w:rFonts w:ascii="Times New Roman" w:hAnsi="Times New Roman"/>
                <w:sz w:val="21"/>
              </w:rPr>
              <w:t>(μg/m³)</w:t>
            </w:r>
          </w:p>
        </w:tc>
        <w:tc>
          <w:tcPr>
            <w:tcW w:w="1547" w:type="dxa"/>
            <w:tcBorders>
              <w:left w:val="single" w:color="000000" w:sz="4" w:space="0"/>
              <w:bottom w:val="single" w:color="000000" w:sz="4" w:space="0"/>
              <w:right w:val="single" w:color="000000" w:sz="4" w:space="0"/>
            </w:tcBorders>
          </w:tcPr>
          <w:p>
            <w:pPr>
              <w:pStyle w:val="19"/>
              <w:spacing w:before="133"/>
              <w:ind w:left="83" w:right="60"/>
              <w:rPr>
                <w:rFonts w:ascii="Times New Roman" w:hAnsi="Times New Roman"/>
                <w:sz w:val="21"/>
              </w:rPr>
            </w:pPr>
            <w:r>
              <w:rPr>
                <w:rFonts w:ascii="Times New Roman" w:hAnsi="Times New Roman"/>
                <w:position w:val="2"/>
                <w:sz w:val="21"/>
              </w:rPr>
              <w:t>C</w:t>
            </w:r>
            <w:r>
              <w:rPr>
                <w:rFonts w:ascii="Times New Roman" w:hAnsi="Times New Roman"/>
                <w:position w:val="2"/>
                <w:sz w:val="21"/>
                <w:vertAlign w:val="subscript"/>
              </w:rPr>
              <w:t>max</w:t>
            </w:r>
            <w:r>
              <w:rPr>
                <w:rFonts w:ascii="Times New Roman" w:hAnsi="Times New Roman"/>
                <w:position w:val="2"/>
                <w:sz w:val="21"/>
                <w:vertAlign w:val="baseline"/>
              </w:rPr>
              <w:t>(μg/m³)</w:t>
            </w:r>
          </w:p>
        </w:tc>
        <w:tc>
          <w:tcPr>
            <w:tcW w:w="1547" w:type="dxa"/>
            <w:tcBorders>
              <w:left w:val="single" w:color="000000" w:sz="4" w:space="0"/>
              <w:bottom w:val="single" w:color="000000" w:sz="4" w:space="0"/>
              <w:right w:val="single" w:color="000000" w:sz="4" w:space="0"/>
            </w:tcBorders>
          </w:tcPr>
          <w:p>
            <w:pPr>
              <w:pStyle w:val="19"/>
              <w:spacing w:before="133"/>
              <w:ind w:left="83" w:right="63"/>
              <w:rPr>
                <w:rFonts w:ascii="Times New Roman"/>
                <w:sz w:val="21"/>
              </w:rPr>
            </w:pPr>
            <w:r>
              <w:rPr>
                <w:rFonts w:ascii="Times New Roman"/>
                <w:position w:val="2"/>
                <w:sz w:val="21"/>
              </w:rPr>
              <w:t>P</w:t>
            </w:r>
            <w:r>
              <w:rPr>
                <w:rFonts w:ascii="Times New Roman"/>
                <w:position w:val="2"/>
                <w:sz w:val="21"/>
                <w:vertAlign w:val="subscript"/>
              </w:rPr>
              <w:t>max</w:t>
            </w:r>
            <w:r>
              <w:rPr>
                <w:rFonts w:ascii="Times New Roman"/>
                <w:position w:val="2"/>
                <w:sz w:val="21"/>
                <w:vertAlign w:val="baseline"/>
              </w:rPr>
              <w:t>(%)</w:t>
            </w:r>
          </w:p>
        </w:tc>
        <w:tc>
          <w:tcPr>
            <w:tcW w:w="1547" w:type="dxa"/>
            <w:tcBorders>
              <w:left w:val="single" w:color="000000" w:sz="4" w:space="0"/>
              <w:bottom w:val="single" w:color="000000" w:sz="4" w:space="0"/>
            </w:tcBorders>
          </w:tcPr>
          <w:p>
            <w:pPr>
              <w:pStyle w:val="19"/>
              <w:spacing w:before="133"/>
              <w:ind w:left="198" w:right="173"/>
              <w:rPr>
                <w:rFonts w:ascii="Times New Roman"/>
                <w:sz w:val="21"/>
              </w:rPr>
            </w:pPr>
            <w:r>
              <w:rPr>
                <w:rFonts w:ascii="Times New Roman"/>
                <w:position w:val="2"/>
                <w:sz w:val="21"/>
              </w:rPr>
              <w:t>D</w:t>
            </w:r>
            <w:r>
              <w:rPr>
                <w:rFonts w:ascii="Times New Roman"/>
                <w:position w:val="2"/>
                <w:sz w:val="21"/>
                <w:vertAlign w:val="subscript"/>
              </w:rPr>
              <w:t>10%</w:t>
            </w:r>
            <w:r>
              <w:rPr>
                <w:rFonts w:ascii="Times New Roman"/>
                <w:position w:val="2"/>
                <w:sz w:val="21"/>
                <w:vertAlign w:val="baseline"/>
              </w:rPr>
              <w:t>(m)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restart"/>
            <w:tcBorders>
              <w:top w:val="single" w:color="000000" w:sz="4" w:space="0"/>
              <w:bottom w:val="single" w:color="000000" w:sz="4" w:space="0"/>
              <w:right w:val="single" w:color="000000" w:sz="4" w:space="0"/>
            </w:tcBorders>
          </w:tcPr>
          <w:p>
            <w:pPr>
              <w:pStyle w:val="19"/>
              <w:jc w:val="left"/>
              <w:rPr>
                <w:b/>
                <w:sz w:val="20"/>
              </w:rPr>
            </w:pPr>
          </w:p>
          <w:p>
            <w:pPr>
              <w:pStyle w:val="19"/>
              <w:spacing w:before="7"/>
              <w:jc w:val="left"/>
              <w:rPr>
                <w:b/>
                <w:sz w:val="14"/>
              </w:rPr>
            </w:pPr>
          </w:p>
          <w:p>
            <w:pPr>
              <w:pStyle w:val="19"/>
              <w:ind w:left="141"/>
              <w:jc w:val="left"/>
              <w:rPr>
                <w:sz w:val="21"/>
              </w:rPr>
            </w:pPr>
            <w:r>
              <w:rPr>
                <w:sz w:val="21"/>
              </w:rPr>
              <w:t>主井暖风炉房</w:t>
            </w:r>
          </w:p>
        </w:tc>
        <w:tc>
          <w:tcPr>
            <w:tcW w:w="1546" w:type="dxa"/>
            <w:tcBorders>
              <w:top w:val="single" w:color="000000" w:sz="4" w:space="0"/>
              <w:left w:val="single" w:color="000000" w:sz="4" w:space="0"/>
              <w:bottom w:val="single" w:color="000000" w:sz="4" w:space="0"/>
              <w:right w:val="single" w:color="000000" w:sz="4" w:space="0"/>
            </w:tcBorders>
          </w:tcPr>
          <w:p>
            <w:pPr>
              <w:pStyle w:val="19"/>
              <w:spacing w:before="74"/>
              <w:ind w:left="336" w:right="314"/>
              <w:rPr>
                <w:rFonts w:ascii="Times New Roman"/>
                <w:sz w:val="21"/>
              </w:rPr>
            </w:pPr>
            <w:r>
              <w:rPr>
                <w:rFonts w:ascii="Times New Roman"/>
                <w:position w:val="2"/>
                <w:sz w:val="21"/>
              </w:rPr>
              <w:t>PM</w:t>
            </w:r>
            <w:r>
              <w:rPr>
                <w:rFonts w:ascii="Times New Roman"/>
                <w:position w:val="2"/>
                <w:sz w:val="21"/>
                <w:vertAlign w:val="subscript"/>
              </w:rPr>
              <w:t>10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right="519"/>
              <w:jc w:val="right"/>
              <w:rPr>
                <w:rFonts w:ascii="Times New Roman"/>
                <w:sz w:val="21"/>
              </w:rPr>
            </w:pPr>
            <w:r>
              <w:rPr>
                <w:rFonts w:ascii="Times New Roman"/>
                <w:sz w:val="21"/>
              </w:rPr>
              <w:t>450.0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left="83" w:right="63"/>
              <w:rPr>
                <w:rFonts w:ascii="Times New Roman"/>
                <w:sz w:val="21"/>
              </w:rPr>
            </w:pPr>
            <w:r>
              <w:rPr>
                <w:rFonts w:ascii="Times New Roman"/>
                <w:sz w:val="21"/>
              </w:rPr>
              <w:t>0.10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left="83" w:right="64"/>
              <w:rPr>
                <w:rFonts w:ascii="Times New Roman"/>
                <w:sz w:val="21"/>
              </w:rPr>
            </w:pPr>
            <w:r>
              <w:rPr>
                <w:rFonts w:ascii="Times New Roman"/>
                <w:sz w:val="21"/>
              </w:rPr>
              <w:t>0.02</w:t>
            </w:r>
          </w:p>
        </w:tc>
        <w:tc>
          <w:tcPr>
            <w:tcW w:w="1547" w:type="dxa"/>
            <w:tcBorders>
              <w:top w:val="single" w:color="000000" w:sz="4" w:space="0"/>
              <w:left w:val="single" w:color="000000" w:sz="4" w:space="0"/>
              <w:bottom w:val="single" w:color="000000" w:sz="4" w:space="0"/>
            </w:tcBorders>
          </w:tcPr>
          <w:p>
            <w:pPr>
              <w:pStyle w:val="19"/>
              <w:spacing w:before="77"/>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9"/>
              <w:spacing w:before="73"/>
              <w:ind w:left="336" w:right="316"/>
              <w:rPr>
                <w:rFonts w:ascii="Times New Roman"/>
                <w:sz w:val="21"/>
              </w:rPr>
            </w:pPr>
            <w:r>
              <w:rPr>
                <w:rFonts w:ascii="Times New Roman"/>
                <w:position w:val="2"/>
                <w:sz w:val="21"/>
              </w:rPr>
              <w:t>SO</w:t>
            </w:r>
            <w:r>
              <w:rPr>
                <w:rFonts w:ascii="Times New Roman"/>
                <w:position w:val="2"/>
                <w:sz w:val="21"/>
                <w:vertAlign w:val="subscript"/>
              </w:rPr>
              <w:t>2</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6"/>
              <w:ind w:right="519"/>
              <w:jc w:val="right"/>
              <w:rPr>
                <w:rFonts w:ascii="Times New Roman"/>
                <w:sz w:val="21"/>
              </w:rPr>
            </w:pPr>
            <w:r>
              <w:rPr>
                <w:rFonts w:ascii="Times New Roman"/>
                <w:sz w:val="21"/>
              </w:rPr>
              <w:t>500.0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6"/>
              <w:ind w:left="83" w:right="63"/>
              <w:rPr>
                <w:rFonts w:ascii="Times New Roman"/>
                <w:sz w:val="21"/>
              </w:rPr>
            </w:pPr>
            <w:r>
              <w:rPr>
                <w:rFonts w:ascii="Times New Roman"/>
                <w:sz w:val="21"/>
              </w:rPr>
              <w:t>0.19</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6"/>
              <w:ind w:left="83" w:right="64"/>
              <w:rPr>
                <w:rFonts w:ascii="Times New Roman"/>
                <w:sz w:val="21"/>
              </w:rPr>
            </w:pPr>
            <w:r>
              <w:rPr>
                <w:rFonts w:ascii="Times New Roman"/>
                <w:sz w:val="21"/>
              </w:rPr>
              <w:t>0.04</w:t>
            </w:r>
          </w:p>
        </w:tc>
        <w:tc>
          <w:tcPr>
            <w:tcW w:w="1547" w:type="dxa"/>
            <w:tcBorders>
              <w:top w:val="single" w:color="000000" w:sz="4" w:space="0"/>
              <w:left w:val="single" w:color="000000" w:sz="4" w:space="0"/>
              <w:bottom w:val="single" w:color="000000" w:sz="4" w:space="0"/>
            </w:tcBorders>
          </w:tcPr>
          <w:p>
            <w:pPr>
              <w:pStyle w:val="19"/>
              <w:spacing w:before="76"/>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9"/>
              <w:spacing w:before="74"/>
              <w:ind w:left="336" w:right="316"/>
              <w:rPr>
                <w:rFonts w:ascii="Times New Roman"/>
                <w:sz w:val="21"/>
              </w:rPr>
            </w:pPr>
            <w:r>
              <w:rPr>
                <w:rFonts w:ascii="Times New Roman"/>
                <w:color w:val="FF0000"/>
                <w:position w:val="2"/>
                <w:sz w:val="21"/>
              </w:rPr>
              <w:t>NO</w:t>
            </w:r>
            <w:r>
              <w:rPr>
                <w:rFonts w:ascii="Times New Roman"/>
                <w:color w:val="FF0000"/>
                <w:position w:val="2"/>
                <w:sz w:val="21"/>
                <w:vertAlign w:val="subscript"/>
              </w:rPr>
              <w:t>2</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right="521"/>
              <w:jc w:val="right"/>
              <w:rPr>
                <w:rFonts w:ascii="Times New Roman"/>
                <w:sz w:val="21"/>
              </w:rPr>
            </w:pPr>
            <w:r>
              <w:rPr>
                <w:rFonts w:ascii="Times New Roman"/>
                <w:color w:val="FF0000"/>
                <w:w w:val="95"/>
                <w:sz w:val="21"/>
              </w:rPr>
              <w:t>200.0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left="83" w:right="63"/>
              <w:rPr>
                <w:rFonts w:ascii="Times New Roman"/>
                <w:sz w:val="21"/>
              </w:rPr>
            </w:pPr>
            <w:r>
              <w:rPr>
                <w:rFonts w:ascii="Times New Roman"/>
                <w:color w:val="FF0000"/>
                <w:sz w:val="21"/>
              </w:rPr>
              <w:t>1.53</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left="83" w:right="64"/>
              <w:rPr>
                <w:rFonts w:ascii="Times New Roman"/>
                <w:sz w:val="21"/>
              </w:rPr>
            </w:pPr>
            <w:r>
              <w:rPr>
                <w:rFonts w:ascii="Times New Roman"/>
                <w:color w:val="FF0000"/>
                <w:sz w:val="21"/>
              </w:rPr>
              <w:t>0.77</w:t>
            </w:r>
          </w:p>
        </w:tc>
        <w:tc>
          <w:tcPr>
            <w:tcW w:w="1547" w:type="dxa"/>
            <w:tcBorders>
              <w:top w:val="single" w:color="000000" w:sz="4" w:space="0"/>
              <w:left w:val="single" w:color="000000" w:sz="4" w:space="0"/>
              <w:bottom w:val="single" w:color="000000" w:sz="4" w:space="0"/>
            </w:tcBorders>
          </w:tcPr>
          <w:p>
            <w:pPr>
              <w:pStyle w:val="19"/>
              <w:spacing w:before="77"/>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restart"/>
            <w:tcBorders>
              <w:top w:val="single" w:color="000000" w:sz="4" w:space="0"/>
              <w:bottom w:val="single" w:color="000000" w:sz="4" w:space="0"/>
              <w:right w:val="single" w:color="000000" w:sz="4" w:space="0"/>
            </w:tcBorders>
          </w:tcPr>
          <w:p>
            <w:pPr>
              <w:pStyle w:val="19"/>
              <w:jc w:val="left"/>
              <w:rPr>
                <w:b/>
                <w:sz w:val="20"/>
              </w:rPr>
            </w:pPr>
          </w:p>
          <w:p>
            <w:pPr>
              <w:pStyle w:val="19"/>
              <w:spacing w:before="7"/>
              <w:jc w:val="left"/>
              <w:rPr>
                <w:b/>
                <w:sz w:val="14"/>
              </w:rPr>
            </w:pPr>
          </w:p>
          <w:p>
            <w:pPr>
              <w:pStyle w:val="19"/>
              <w:ind w:left="141"/>
              <w:jc w:val="left"/>
              <w:rPr>
                <w:sz w:val="21"/>
              </w:rPr>
            </w:pPr>
            <w:r>
              <w:rPr>
                <w:sz w:val="21"/>
              </w:rPr>
              <w:t>副井暖风炉房</w:t>
            </w:r>
          </w:p>
        </w:tc>
        <w:tc>
          <w:tcPr>
            <w:tcW w:w="1546" w:type="dxa"/>
            <w:tcBorders>
              <w:top w:val="single" w:color="000000" w:sz="4" w:space="0"/>
              <w:left w:val="single" w:color="000000" w:sz="4" w:space="0"/>
              <w:bottom w:val="single" w:color="000000" w:sz="4" w:space="0"/>
              <w:right w:val="single" w:color="000000" w:sz="4" w:space="0"/>
            </w:tcBorders>
          </w:tcPr>
          <w:p>
            <w:pPr>
              <w:pStyle w:val="19"/>
              <w:spacing w:before="75"/>
              <w:ind w:left="336" w:right="314"/>
              <w:rPr>
                <w:rFonts w:ascii="Times New Roman"/>
                <w:sz w:val="21"/>
              </w:rPr>
            </w:pPr>
            <w:r>
              <w:rPr>
                <w:rFonts w:ascii="Times New Roman"/>
                <w:position w:val="2"/>
                <w:sz w:val="21"/>
              </w:rPr>
              <w:t>PM</w:t>
            </w:r>
            <w:r>
              <w:rPr>
                <w:rFonts w:ascii="Times New Roman"/>
                <w:position w:val="2"/>
                <w:sz w:val="21"/>
                <w:vertAlign w:val="subscript"/>
              </w:rPr>
              <w:t>10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8"/>
              <w:ind w:right="519"/>
              <w:jc w:val="right"/>
              <w:rPr>
                <w:rFonts w:ascii="Times New Roman"/>
                <w:sz w:val="21"/>
              </w:rPr>
            </w:pPr>
            <w:r>
              <w:rPr>
                <w:rFonts w:ascii="Times New Roman"/>
                <w:sz w:val="21"/>
              </w:rPr>
              <w:t>450.0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8"/>
              <w:ind w:left="83" w:right="63"/>
              <w:rPr>
                <w:rFonts w:ascii="Times New Roman"/>
                <w:sz w:val="21"/>
              </w:rPr>
            </w:pPr>
            <w:r>
              <w:rPr>
                <w:rFonts w:ascii="Times New Roman"/>
                <w:sz w:val="21"/>
              </w:rPr>
              <w:t>0.94</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8"/>
              <w:ind w:left="83" w:right="64"/>
              <w:rPr>
                <w:rFonts w:ascii="Times New Roman"/>
                <w:sz w:val="21"/>
              </w:rPr>
            </w:pPr>
            <w:r>
              <w:rPr>
                <w:rFonts w:ascii="Times New Roman"/>
                <w:sz w:val="21"/>
              </w:rPr>
              <w:t>0.21</w:t>
            </w:r>
          </w:p>
        </w:tc>
        <w:tc>
          <w:tcPr>
            <w:tcW w:w="1547" w:type="dxa"/>
            <w:tcBorders>
              <w:top w:val="single" w:color="000000" w:sz="4" w:space="0"/>
              <w:left w:val="single" w:color="000000" w:sz="4" w:space="0"/>
              <w:bottom w:val="single" w:color="000000" w:sz="4" w:space="0"/>
            </w:tcBorders>
          </w:tcPr>
          <w:p>
            <w:pPr>
              <w:pStyle w:val="19"/>
              <w:spacing w:before="78"/>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9"/>
              <w:spacing w:before="73"/>
              <w:ind w:left="336" w:right="316"/>
              <w:rPr>
                <w:rFonts w:ascii="Times New Roman"/>
                <w:sz w:val="21"/>
              </w:rPr>
            </w:pPr>
            <w:r>
              <w:rPr>
                <w:rFonts w:ascii="Times New Roman"/>
                <w:position w:val="2"/>
                <w:sz w:val="21"/>
              </w:rPr>
              <w:t>SO</w:t>
            </w:r>
            <w:r>
              <w:rPr>
                <w:rFonts w:ascii="Times New Roman"/>
                <w:position w:val="2"/>
                <w:sz w:val="21"/>
                <w:vertAlign w:val="subscript"/>
              </w:rPr>
              <w:t>2</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6"/>
              <w:ind w:right="519"/>
              <w:jc w:val="right"/>
              <w:rPr>
                <w:rFonts w:ascii="Times New Roman"/>
                <w:sz w:val="21"/>
              </w:rPr>
            </w:pPr>
            <w:r>
              <w:rPr>
                <w:rFonts w:ascii="Times New Roman"/>
                <w:sz w:val="21"/>
              </w:rPr>
              <w:t>500.0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6"/>
              <w:ind w:left="83" w:right="63"/>
              <w:rPr>
                <w:rFonts w:ascii="Times New Roman"/>
                <w:sz w:val="21"/>
              </w:rPr>
            </w:pPr>
            <w:r>
              <w:rPr>
                <w:rFonts w:ascii="Times New Roman"/>
                <w:sz w:val="21"/>
              </w:rPr>
              <w:t>1.88</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6"/>
              <w:ind w:left="83" w:right="64"/>
              <w:rPr>
                <w:rFonts w:ascii="Times New Roman"/>
                <w:sz w:val="21"/>
              </w:rPr>
            </w:pPr>
            <w:r>
              <w:rPr>
                <w:rFonts w:ascii="Times New Roman"/>
                <w:sz w:val="21"/>
              </w:rPr>
              <w:t>0.38</w:t>
            </w:r>
          </w:p>
        </w:tc>
        <w:tc>
          <w:tcPr>
            <w:tcW w:w="1547" w:type="dxa"/>
            <w:tcBorders>
              <w:top w:val="single" w:color="000000" w:sz="4" w:space="0"/>
              <w:left w:val="single" w:color="000000" w:sz="4" w:space="0"/>
              <w:bottom w:val="single" w:color="000000" w:sz="4" w:space="0"/>
            </w:tcBorders>
          </w:tcPr>
          <w:p>
            <w:pPr>
              <w:pStyle w:val="19"/>
              <w:spacing w:before="76"/>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9"/>
              <w:spacing w:before="74"/>
              <w:ind w:left="336" w:right="316"/>
              <w:rPr>
                <w:rFonts w:ascii="Times New Roman"/>
                <w:sz w:val="21"/>
              </w:rPr>
            </w:pPr>
            <w:r>
              <w:rPr>
                <w:rFonts w:ascii="Times New Roman"/>
                <w:color w:val="FF0000"/>
                <w:position w:val="2"/>
                <w:sz w:val="21"/>
              </w:rPr>
              <w:t>NO</w:t>
            </w:r>
            <w:r>
              <w:rPr>
                <w:rFonts w:ascii="Times New Roman"/>
                <w:color w:val="FF0000"/>
                <w:position w:val="2"/>
                <w:sz w:val="21"/>
                <w:vertAlign w:val="subscript"/>
              </w:rPr>
              <w:t>2</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right="521"/>
              <w:jc w:val="right"/>
              <w:rPr>
                <w:rFonts w:ascii="Times New Roman"/>
                <w:sz w:val="21"/>
              </w:rPr>
            </w:pPr>
            <w:r>
              <w:rPr>
                <w:rFonts w:ascii="Times New Roman"/>
                <w:color w:val="FF0000"/>
                <w:w w:val="95"/>
                <w:sz w:val="21"/>
              </w:rPr>
              <w:t>200.0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left="81" w:right="64"/>
              <w:rPr>
                <w:rFonts w:ascii="Times New Roman"/>
                <w:sz w:val="21"/>
              </w:rPr>
            </w:pPr>
            <w:r>
              <w:rPr>
                <w:rFonts w:ascii="Times New Roman"/>
                <w:color w:val="FF0000"/>
                <w:sz w:val="21"/>
              </w:rPr>
              <w:t>16.41</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left="83" w:right="64"/>
              <w:rPr>
                <w:rFonts w:ascii="Times New Roman"/>
                <w:sz w:val="21"/>
              </w:rPr>
            </w:pPr>
            <w:r>
              <w:rPr>
                <w:rFonts w:ascii="Times New Roman"/>
                <w:color w:val="FF0000"/>
                <w:sz w:val="21"/>
              </w:rPr>
              <w:t>8.20</w:t>
            </w:r>
          </w:p>
        </w:tc>
        <w:tc>
          <w:tcPr>
            <w:tcW w:w="1547" w:type="dxa"/>
            <w:tcBorders>
              <w:top w:val="single" w:color="000000" w:sz="4" w:space="0"/>
              <w:left w:val="single" w:color="000000" w:sz="4" w:space="0"/>
              <w:bottom w:val="single" w:color="000000" w:sz="4" w:space="0"/>
            </w:tcBorders>
          </w:tcPr>
          <w:p>
            <w:pPr>
              <w:pStyle w:val="19"/>
              <w:spacing w:before="77"/>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546" w:type="dxa"/>
            <w:vMerge w:val="restart"/>
            <w:tcBorders>
              <w:top w:val="single" w:color="000000" w:sz="4" w:space="0"/>
              <w:bottom w:val="single" w:color="000000" w:sz="4" w:space="0"/>
              <w:right w:val="single" w:color="000000" w:sz="4" w:space="0"/>
            </w:tcBorders>
          </w:tcPr>
          <w:p>
            <w:pPr>
              <w:pStyle w:val="19"/>
              <w:jc w:val="left"/>
              <w:rPr>
                <w:b/>
                <w:sz w:val="20"/>
              </w:rPr>
            </w:pPr>
          </w:p>
          <w:p>
            <w:pPr>
              <w:pStyle w:val="19"/>
              <w:spacing w:before="8"/>
              <w:jc w:val="left"/>
              <w:rPr>
                <w:b/>
                <w:sz w:val="14"/>
              </w:rPr>
            </w:pPr>
          </w:p>
          <w:p>
            <w:pPr>
              <w:pStyle w:val="19"/>
              <w:ind w:left="247"/>
              <w:jc w:val="left"/>
              <w:rPr>
                <w:sz w:val="21"/>
              </w:rPr>
            </w:pPr>
            <w:r>
              <w:rPr>
                <w:sz w:val="21"/>
              </w:rPr>
              <w:t>副井锅炉房</w:t>
            </w:r>
          </w:p>
        </w:tc>
        <w:tc>
          <w:tcPr>
            <w:tcW w:w="1546" w:type="dxa"/>
            <w:tcBorders>
              <w:top w:val="single" w:color="000000" w:sz="4" w:space="0"/>
              <w:left w:val="single" w:color="000000" w:sz="4" w:space="0"/>
              <w:bottom w:val="single" w:color="000000" w:sz="4" w:space="0"/>
              <w:right w:val="single" w:color="000000" w:sz="4" w:space="0"/>
            </w:tcBorders>
          </w:tcPr>
          <w:p>
            <w:pPr>
              <w:pStyle w:val="19"/>
              <w:spacing w:before="73"/>
              <w:ind w:left="336" w:right="314"/>
              <w:rPr>
                <w:rFonts w:ascii="Times New Roman"/>
                <w:sz w:val="21"/>
              </w:rPr>
            </w:pPr>
            <w:r>
              <w:rPr>
                <w:rFonts w:ascii="Times New Roman"/>
                <w:position w:val="2"/>
                <w:sz w:val="21"/>
              </w:rPr>
              <w:t>PM</w:t>
            </w:r>
            <w:r>
              <w:rPr>
                <w:rFonts w:ascii="Times New Roman"/>
                <w:position w:val="2"/>
                <w:sz w:val="21"/>
                <w:vertAlign w:val="subscript"/>
              </w:rPr>
              <w:t>10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6"/>
              <w:ind w:right="519"/>
              <w:jc w:val="right"/>
              <w:rPr>
                <w:rFonts w:ascii="Times New Roman"/>
                <w:sz w:val="21"/>
              </w:rPr>
            </w:pPr>
            <w:r>
              <w:rPr>
                <w:rFonts w:ascii="Times New Roman"/>
                <w:sz w:val="21"/>
              </w:rPr>
              <w:t>450.0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6"/>
              <w:ind w:left="83" w:right="63"/>
              <w:rPr>
                <w:rFonts w:ascii="Times New Roman"/>
                <w:sz w:val="21"/>
              </w:rPr>
            </w:pPr>
            <w:r>
              <w:rPr>
                <w:rFonts w:ascii="Times New Roman"/>
                <w:sz w:val="21"/>
              </w:rPr>
              <w:t>0.83</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6"/>
              <w:ind w:left="83" w:right="64"/>
              <w:rPr>
                <w:rFonts w:ascii="Times New Roman"/>
                <w:sz w:val="21"/>
              </w:rPr>
            </w:pPr>
            <w:r>
              <w:rPr>
                <w:rFonts w:ascii="Times New Roman"/>
                <w:sz w:val="21"/>
              </w:rPr>
              <w:t>0.19</w:t>
            </w:r>
          </w:p>
        </w:tc>
        <w:tc>
          <w:tcPr>
            <w:tcW w:w="1547" w:type="dxa"/>
            <w:tcBorders>
              <w:top w:val="single" w:color="000000" w:sz="4" w:space="0"/>
              <w:left w:val="single" w:color="000000" w:sz="4" w:space="0"/>
              <w:bottom w:val="single" w:color="000000" w:sz="4" w:space="0"/>
            </w:tcBorders>
          </w:tcPr>
          <w:p>
            <w:pPr>
              <w:pStyle w:val="19"/>
              <w:spacing w:before="76"/>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9"/>
              <w:spacing w:before="74"/>
              <w:ind w:left="336" w:right="316"/>
              <w:rPr>
                <w:rFonts w:ascii="Times New Roman"/>
                <w:sz w:val="21"/>
              </w:rPr>
            </w:pPr>
            <w:r>
              <w:rPr>
                <w:rFonts w:ascii="Times New Roman"/>
                <w:position w:val="2"/>
                <w:sz w:val="21"/>
              </w:rPr>
              <w:t>SO</w:t>
            </w:r>
            <w:r>
              <w:rPr>
                <w:rFonts w:ascii="Times New Roman"/>
                <w:position w:val="2"/>
                <w:sz w:val="21"/>
                <w:vertAlign w:val="subscript"/>
              </w:rPr>
              <w:t>2</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right="519"/>
              <w:jc w:val="right"/>
              <w:rPr>
                <w:rFonts w:ascii="Times New Roman"/>
                <w:sz w:val="21"/>
              </w:rPr>
            </w:pPr>
            <w:r>
              <w:rPr>
                <w:rFonts w:ascii="Times New Roman"/>
                <w:sz w:val="21"/>
              </w:rPr>
              <w:t>500.0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left="83" w:right="63"/>
              <w:rPr>
                <w:rFonts w:ascii="Times New Roman"/>
                <w:sz w:val="21"/>
              </w:rPr>
            </w:pPr>
            <w:r>
              <w:rPr>
                <w:rFonts w:ascii="Times New Roman"/>
                <w:sz w:val="21"/>
              </w:rPr>
              <w:t>1.39</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left="83" w:right="64"/>
              <w:rPr>
                <w:rFonts w:ascii="Times New Roman"/>
                <w:sz w:val="21"/>
              </w:rPr>
            </w:pPr>
            <w:r>
              <w:rPr>
                <w:rFonts w:ascii="Times New Roman"/>
                <w:sz w:val="21"/>
              </w:rPr>
              <w:t>0.28</w:t>
            </w:r>
          </w:p>
        </w:tc>
        <w:tc>
          <w:tcPr>
            <w:tcW w:w="1547" w:type="dxa"/>
            <w:tcBorders>
              <w:top w:val="single" w:color="000000" w:sz="4" w:space="0"/>
              <w:left w:val="single" w:color="000000" w:sz="4" w:space="0"/>
              <w:bottom w:val="single" w:color="000000" w:sz="4" w:space="0"/>
            </w:tcBorders>
          </w:tcPr>
          <w:p>
            <w:pPr>
              <w:pStyle w:val="19"/>
              <w:spacing w:before="77"/>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9"/>
              <w:spacing w:before="75"/>
              <w:ind w:left="336" w:right="316"/>
              <w:rPr>
                <w:rFonts w:ascii="Times New Roman"/>
                <w:sz w:val="21"/>
              </w:rPr>
            </w:pPr>
            <w:r>
              <w:rPr>
                <w:rFonts w:ascii="Times New Roman"/>
                <w:color w:val="FF0000"/>
                <w:position w:val="2"/>
                <w:sz w:val="21"/>
              </w:rPr>
              <w:t>NO</w:t>
            </w:r>
            <w:r>
              <w:rPr>
                <w:rFonts w:ascii="Times New Roman"/>
                <w:color w:val="FF0000"/>
                <w:position w:val="2"/>
                <w:sz w:val="21"/>
                <w:vertAlign w:val="subscript"/>
              </w:rPr>
              <w:t>2</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6"/>
              <w:ind w:right="521"/>
              <w:jc w:val="right"/>
              <w:rPr>
                <w:rFonts w:ascii="Times New Roman"/>
                <w:sz w:val="21"/>
              </w:rPr>
            </w:pPr>
            <w:r>
              <w:rPr>
                <w:rFonts w:ascii="Times New Roman"/>
                <w:color w:val="FF0000"/>
                <w:w w:val="95"/>
                <w:sz w:val="21"/>
              </w:rPr>
              <w:t>200.0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6"/>
              <w:ind w:left="83" w:right="63"/>
              <w:rPr>
                <w:rFonts w:ascii="Times New Roman"/>
                <w:sz w:val="21"/>
              </w:rPr>
            </w:pPr>
            <w:r>
              <w:rPr>
                <w:rFonts w:ascii="Times New Roman"/>
                <w:color w:val="FF0000"/>
                <w:sz w:val="21"/>
              </w:rPr>
              <w:t>12.11</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6"/>
              <w:ind w:left="83" w:right="64"/>
              <w:rPr>
                <w:rFonts w:ascii="Times New Roman"/>
                <w:sz w:val="21"/>
              </w:rPr>
            </w:pPr>
            <w:r>
              <w:rPr>
                <w:rFonts w:ascii="Times New Roman"/>
                <w:color w:val="FF0000"/>
                <w:sz w:val="21"/>
              </w:rPr>
              <w:t>6.06</w:t>
            </w:r>
          </w:p>
        </w:tc>
        <w:tc>
          <w:tcPr>
            <w:tcW w:w="1547" w:type="dxa"/>
            <w:tcBorders>
              <w:top w:val="single" w:color="000000" w:sz="4" w:space="0"/>
              <w:left w:val="single" w:color="000000" w:sz="4" w:space="0"/>
              <w:bottom w:val="single" w:color="000000" w:sz="4" w:space="0"/>
            </w:tcBorders>
          </w:tcPr>
          <w:p>
            <w:pPr>
              <w:pStyle w:val="19"/>
              <w:spacing w:before="76"/>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546" w:type="dxa"/>
            <w:tcBorders>
              <w:top w:val="single" w:color="000000" w:sz="4" w:space="0"/>
              <w:bottom w:val="single" w:color="000000" w:sz="4" w:space="0"/>
              <w:right w:val="single" w:color="000000" w:sz="4" w:space="0"/>
            </w:tcBorders>
          </w:tcPr>
          <w:p>
            <w:pPr>
              <w:pStyle w:val="19"/>
              <w:spacing w:before="63"/>
              <w:ind w:left="120" w:right="108"/>
              <w:rPr>
                <w:sz w:val="21"/>
              </w:rPr>
            </w:pPr>
            <w:r>
              <w:rPr>
                <w:sz w:val="21"/>
              </w:rPr>
              <w:t>筛分车间</w:t>
            </w:r>
          </w:p>
        </w:tc>
        <w:tc>
          <w:tcPr>
            <w:tcW w:w="1546" w:type="dxa"/>
            <w:tcBorders>
              <w:top w:val="single" w:color="000000" w:sz="4" w:space="0"/>
              <w:left w:val="single" w:color="000000" w:sz="4" w:space="0"/>
              <w:bottom w:val="single" w:color="000000" w:sz="4" w:space="0"/>
              <w:right w:val="single" w:color="000000" w:sz="4" w:space="0"/>
            </w:tcBorders>
          </w:tcPr>
          <w:p>
            <w:pPr>
              <w:pStyle w:val="19"/>
              <w:spacing w:before="73"/>
              <w:ind w:left="336" w:right="314"/>
              <w:rPr>
                <w:rFonts w:ascii="Times New Roman"/>
                <w:sz w:val="21"/>
              </w:rPr>
            </w:pPr>
            <w:r>
              <w:rPr>
                <w:rFonts w:ascii="Times New Roman"/>
                <w:position w:val="2"/>
                <w:sz w:val="21"/>
              </w:rPr>
              <w:t>PM</w:t>
            </w:r>
            <w:r>
              <w:rPr>
                <w:rFonts w:ascii="Times New Roman"/>
                <w:position w:val="2"/>
                <w:sz w:val="21"/>
                <w:vertAlign w:val="subscript"/>
              </w:rPr>
              <w:t>10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right="519"/>
              <w:jc w:val="right"/>
              <w:rPr>
                <w:rFonts w:ascii="Times New Roman"/>
                <w:sz w:val="21"/>
              </w:rPr>
            </w:pPr>
            <w:r>
              <w:rPr>
                <w:rFonts w:ascii="Times New Roman"/>
                <w:sz w:val="21"/>
              </w:rPr>
              <w:t>450.0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left="83" w:right="63"/>
              <w:rPr>
                <w:rFonts w:ascii="Times New Roman"/>
                <w:sz w:val="21"/>
              </w:rPr>
            </w:pPr>
            <w:r>
              <w:rPr>
                <w:rFonts w:ascii="Times New Roman"/>
                <w:sz w:val="21"/>
              </w:rPr>
              <w:t>2.73</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left="83" w:right="64"/>
              <w:rPr>
                <w:rFonts w:ascii="Times New Roman"/>
                <w:sz w:val="21"/>
              </w:rPr>
            </w:pPr>
            <w:r>
              <w:rPr>
                <w:rFonts w:ascii="Times New Roman"/>
                <w:sz w:val="21"/>
              </w:rPr>
              <w:t>0.61</w:t>
            </w:r>
          </w:p>
        </w:tc>
        <w:tc>
          <w:tcPr>
            <w:tcW w:w="1547" w:type="dxa"/>
            <w:tcBorders>
              <w:top w:val="single" w:color="000000" w:sz="4" w:space="0"/>
              <w:left w:val="single" w:color="000000" w:sz="4" w:space="0"/>
              <w:bottom w:val="single" w:color="000000" w:sz="4" w:space="0"/>
            </w:tcBorders>
          </w:tcPr>
          <w:p>
            <w:pPr>
              <w:pStyle w:val="19"/>
              <w:spacing w:before="77"/>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tcBorders>
              <w:top w:val="single" w:color="000000" w:sz="4" w:space="0"/>
              <w:bottom w:val="single" w:color="000000" w:sz="4" w:space="0"/>
              <w:right w:val="single" w:color="000000" w:sz="4" w:space="0"/>
            </w:tcBorders>
          </w:tcPr>
          <w:p>
            <w:pPr>
              <w:pStyle w:val="19"/>
              <w:spacing w:before="35"/>
              <w:ind w:left="120" w:right="111"/>
              <w:rPr>
                <w:sz w:val="21"/>
              </w:rPr>
            </w:pPr>
            <w:r>
              <w:rPr>
                <w:sz w:val="21"/>
              </w:rPr>
              <w:t>煤矸石暂存场</w:t>
            </w:r>
          </w:p>
        </w:tc>
        <w:tc>
          <w:tcPr>
            <w:tcW w:w="1546" w:type="dxa"/>
            <w:tcBorders>
              <w:top w:val="single" w:color="000000" w:sz="4" w:space="0"/>
              <w:left w:val="single" w:color="000000" w:sz="4" w:space="0"/>
              <w:bottom w:val="single" w:color="000000" w:sz="4" w:space="0"/>
              <w:right w:val="single" w:color="000000" w:sz="4" w:space="0"/>
            </w:tcBorders>
          </w:tcPr>
          <w:p>
            <w:pPr>
              <w:pStyle w:val="19"/>
              <w:spacing w:before="78"/>
              <w:ind w:left="336" w:right="317"/>
              <w:rPr>
                <w:rFonts w:ascii="Times New Roman"/>
                <w:sz w:val="21"/>
              </w:rPr>
            </w:pPr>
            <w:r>
              <w:rPr>
                <w:rFonts w:ascii="Times New Roman"/>
                <w:sz w:val="21"/>
              </w:rPr>
              <w:t>TSP</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8"/>
              <w:ind w:right="519"/>
              <w:jc w:val="right"/>
              <w:rPr>
                <w:rFonts w:ascii="Times New Roman"/>
                <w:sz w:val="21"/>
              </w:rPr>
            </w:pPr>
            <w:r>
              <w:rPr>
                <w:rFonts w:ascii="Times New Roman"/>
                <w:sz w:val="21"/>
              </w:rPr>
              <w:t>900.0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54"/>
              <w:ind w:left="83" w:right="63"/>
              <w:rPr>
                <w:rFonts w:ascii="Times New Roman"/>
                <w:sz w:val="21"/>
              </w:rPr>
            </w:pPr>
            <w:r>
              <w:rPr>
                <w:rFonts w:ascii="Times New Roman"/>
                <w:sz w:val="21"/>
              </w:rPr>
              <w:t>0.40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54"/>
              <w:ind w:left="83" w:right="64"/>
              <w:rPr>
                <w:rFonts w:ascii="Times New Roman"/>
                <w:sz w:val="21"/>
              </w:rPr>
            </w:pPr>
            <w:r>
              <w:rPr>
                <w:rFonts w:ascii="Times New Roman"/>
                <w:sz w:val="21"/>
              </w:rPr>
              <w:t>0.04</w:t>
            </w:r>
          </w:p>
        </w:tc>
        <w:tc>
          <w:tcPr>
            <w:tcW w:w="1547" w:type="dxa"/>
            <w:tcBorders>
              <w:top w:val="single" w:color="000000" w:sz="4" w:space="0"/>
              <w:left w:val="single" w:color="000000" w:sz="4" w:space="0"/>
              <w:bottom w:val="single" w:color="000000" w:sz="4" w:space="0"/>
            </w:tcBorders>
          </w:tcPr>
          <w:p>
            <w:pPr>
              <w:pStyle w:val="19"/>
              <w:spacing w:before="78"/>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546" w:type="dxa"/>
            <w:tcBorders>
              <w:top w:val="single" w:color="000000" w:sz="4" w:space="0"/>
              <w:right w:val="single" w:color="000000" w:sz="4" w:space="0"/>
            </w:tcBorders>
          </w:tcPr>
          <w:p>
            <w:pPr>
              <w:pStyle w:val="19"/>
              <w:spacing w:before="36"/>
              <w:ind w:left="120" w:right="106"/>
              <w:rPr>
                <w:sz w:val="21"/>
              </w:rPr>
            </w:pPr>
            <w:r>
              <w:rPr>
                <w:sz w:val="21"/>
              </w:rPr>
              <w:t>储煤场</w:t>
            </w:r>
          </w:p>
        </w:tc>
        <w:tc>
          <w:tcPr>
            <w:tcW w:w="1546" w:type="dxa"/>
            <w:tcBorders>
              <w:top w:val="single" w:color="000000" w:sz="4" w:space="0"/>
              <w:left w:val="single" w:color="000000" w:sz="4" w:space="0"/>
              <w:right w:val="single" w:color="000000" w:sz="4" w:space="0"/>
            </w:tcBorders>
          </w:tcPr>
          <w:p>
            <w:pPr>
              <w:pStyle w:val="19"/>
              <w:spacing w:before="76"/>
              <w:ind w:left="336" w:right="317"/>
              <w:rPr>
                <w:rFonts w:ascii="Times New Roman"/>
                <w:sz w:val="21"/>
              </w:rPr>
            </w:pPr>
            <w:r>
              <w:rPr>
                <w:rFonts w:ascii="Times New Roman"/>
                <w:sz w:val="21"/>
              </w:rPr>
              <w:t>TSP</w:t>
            </w:r>
          </w:p>
        </w:tc>
        <w:tc>
          <w:tcPr>
            <w:tcW w:w="1547" w:type="dxa"/>
            <w:tcBorders>
              <w:top w:val="single" w:color="000000" w:sz="4" w:space="0"/>
              <w:left w:val="single" w:color="000000" w:sz="4" w:space="0"/>
              <w:right w:val="single" w:color="000000" w:sz="4" w:space="0"/>
            </w:tcBorders>
          </w:tcPr>
          <w:p>
            <w:pPr>
              <w:pStyle w:val="19"/>
              <w:spacing w:before="76"/>
              <w:ind w:right="519"/>
              <w:jc w:val="right"/>
              <w:rPr>
                <w:rFonts w:ascii="Times New Roman"/>
                <w:sz w:val="21"/>
              </w:rPr>
            </w:pPr>
            <w:r>
              <w:rPr>
                <w:rFonts w:ascii="Times New Roman"/>
                <w:sz w:val="21"/>
              </w:rPr>
              <w:t>900.0</w:t>
            </w:r>
          </w:p>
        </w:tc>
        <w:tc>
          <w:tcPr>
            <w:tcW w:w="1547" w:type="dxa"/>
            <w:tcBorders>
              <w:top w:val="single" w:color="000000" w:sz="4" w:space="0"/>
              <w:left w:val="single" w:color="000000" w:sz="4" w:space="0"/>
              <w:right w:val="single" w:color="000000" w:sz="4" w:space="0"/>
            </w:tcBorders>
          </w:tcPr>
          <w:p>
            <w:pPr>
              <w:pStyle w:val="19"/>
              <w:spacing w:before="52"/>
              <w:ind w:left="83" w:right="63"/>
              <w:rPr>
                <w:rFonts w:ascii="Times New Roman"/>
                <w:sz w:val="21"/>
              </w:rPr>
            </w:pPr>
            <w:r>
              <w:rPr>
                <w:rFonts w:ascii="Times New Roman"/>
                <w:sz w:val="21"/>
              </w:rPr>
              <w:t>2.22</w:t>
            </w:r>
          </w:p>
        </w:tc>
        <w:tc>
          <w:tcPr>
            <w:tcW w:w="1547" w:type="dxa"/>
            <w:tcBorders>
              <w:top w:val="single" w:color="000000" w:sz="4" w:space="0"/>
              <w:left w:val="single" w:color="000000" w:sz="4" w:space="0"/>
              <w:right w:val="single" w:color="000000" w:sz="4" w:space="0"/>
            </w:tcBorders>
          </w:tcPr>
          <w:p>
            <w:pPr>
              <w:pStyle w:val="19"/>
              <w:spacing w:before="52"/>
              <w:ind w:left="83" w:right="64"/>
              <w:rPr>
                <w:rFonts w:ascii="Times New Roman"/>
                <w:sz w:val="21"/>
              </w:rPr>
            </w:pPr>
            <w:r>
              <w:rPr>
                <w:rFonts w:ascii="Times New Roman"/>
                <w:sz w:val="21"/>
              </w:rPr>
              <w:t>0.25</w:t>
            </w:r>
          </w:p>
        </w:tc>
        <w:tc>
          <w:tcPr>
            <w:tcW w:w="1547" w:type="dxa"/>
            <w:tcBorders>
              <w:top w:val="single" w:color="000000" w:sz="4" w:space="0"/>
              <w:left w:val="single" w:color="000000" w:sz="4" w:space="0"/>
            </w:tcBorders>
          </w:tcPr>
          <w:p>
            <w:pPr>
              <w:pStyle w:val="19"/>
              <w:spacing w:before="76"/>
              <w:ind w:left="23"/>
              <w:rPr>
                <w:rFonts w:ascii="Times New Roman"/>
                <w:sz w:val="21"/>
              </w:rPr>
            </w:pPr>
            <w:r>
              <w:rPr>
                <w:rFonts w:ascii="Times New Roman"/>
                <w:w w:val="99"/>
                <w:sz w:val="21"/>
              </w:rPr>
              <w:t>/</w:t>
            </w:r>
          </w:p>
        </w:tc>
      </w:tr>
    </w:tbl>
    <w:p>
      <w:pPr>
        <w:pStyle w:val="9"/>
        <w:ind w:left="698"/>
      </w:pPr>
      <w:r>
        <w:rPr>
          <w:position w:val="2"/>
        </w:rPr>
        <w:t xml:space="preserve">本项目 </w:t>
      </w:r>
      <w:r>
        <w:rPr>
          <w:rFonts w:ascii="Times New Roman" w:hAnsi="Times New Roman" w:eastAsia="Times New Roman"/>
          <w:position w:val="2"/>
        </w:rPr>
        <w:t>P</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xml:space="preserve"> </w:t>
      </w:r>
      <w:r>
        <w:rPr>
          <w:position w:val="2"/>
          <w:vertAlign w:val="baseline"/>
        </w:rPr>
        <w:t xml:space="preserve">最大值出现为点源排放的 </w:t>
      </w:r>
      <w:r>
        <w:rPr>
          <w:rFonts w:ascii="Times New Roman" w:hAnsi="Times New Roman" w:eastAsia="Times New Roman"/>
          <w:position w:val="2"/>
          <w:vertAlign w:val="baseline"/>
        </w:rPr>
        <w:t>NO</w:t>
      </w:r>
      <w:r>
        <w:rPr>
          <w:rFonts w:ascii="Times New Roman" w:hAnsi="Times New Roman" w:eastAsia="Times New Roman"/>
          <w:position w:val="2"/>
          <w:vertAlign w:val="subscript"/>
        </w:rPr>
        <w:t>x</w:t>
      </w:r>
      <w:r>
        <w:rPr>
          <w:rFonts w:ascii="Times New Roman" w:hAnsi="Times New Roman" w:eastAsia="Times New Roman"/>
          <w:position w:val="2"/>
          <w:vertAlign w:val="baseline"/>
        </w:rPr>
        <w:t>,P</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xml:space="preserve"> </w:t>
      </w:r>
      <w:r>
        <w:rPr>
          <w:position w:val="2"/>
          <w:vertAlign w:val="baseline"/>
        </w:rPr>
        <w:t xml:space="preserve">值为 </w:t>
      </w:r>
      <w:r>
        <w:rPr>
          <w:rFonts w:ascii="Times New Roman" w:hAnsi="Times New Roman" w:eastAsia="Times New Roman"/>
          <w:position w:val="2"/>
          <w:vertAlign w:val="baseline"/>
        </w:rPr>
        <w:t>8.20%,C</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xml:space="preserve"> </w:t>
      </w:r>
      <w:r>
        <w:rPr>
          <w:position w:val="2"/>
          <w:vertAlign w:val="baseline"/>
        </w:rPr>
        <w:t xml:space="preserve">为 </w:t>
      </w:r>
      <w:r>
        <w:rPr>
          <w:rFonts w:ascii="Times New Roman" w:hAnsi="Times New Roman" w:eastAsia="Times New Roman"/>
          <w:position w:val="2"/>
          <w:vertAlign w:val="baseline"/>
        </w:rPr>
        <w:t>16.41μg/m³,</w:t>
      </w:r>
      <w:r>
        <w:rPr>
          <w:position w:val="2"/>
          <w:vertAlign w:val="baseline"/>
        </w:rPr>
        <w:t>根据</w:t>
      </w:r>
    </w:p>
    <w:p>
      <w:pPr>
        <w:pStyle w:val="9"/>
        <w:spacing w:before="159" w:line="364" w:lineRule="auto"/>
        <w:ind w:left="218" w:right="253"/>
        <w:jc w:val="both"/>
      </w:pPr>
      <w:r>
        <w:t>《环境影响评价技术导则大气环境》（</w:t>
      </w:r>
      <w:r>
        <w:rPr>
          <w:rFonts w:ascii="Times New Roman" w:eastAsia="Times New Roman"/>
        </w:rPr>
        <w:t>HJ2.2-2018</w:t>
      </w:r>
      <w:r>
        <w:t>）</w:t>
      </w:r>
      <w:r>
        <w:rPr>
          <w:spacing w:val="-1"/>
        </w:rPr>
        <w:t>分级判据，确定本项目大气环境影</w:t>
      </w:r>
      <w:r>
        <w:rPr>
          <w:spacing w:val="-5"/>
        </w:rPr>
        <w:t>响评价工作等级为二级，总体上对环境空气影响不大，在可控制范围内，不会改变现有</w:t>
      </w:r>
      <w:r>
        <w:t>空气质量类别。根据《环境影响评价技术导则大气环境》</w:t>
      </w:r>
      <w:r>
        <w:rPr>
          <w:rFonts w:ascii="Times New Roman" w:eastAsia="Times New Roman"/>
        </w:rPr>
        <w:t>(HJ2.2-2018)</w:t>
      </w:r>
      <w:r>
        <w:t>规定，二级评价不需要进行进一步预测和评价，只需要对污染物进行总量核算。</w:t>
      </w:r>
    </w:p>
    <w:p>
      <w:pPr>
        <w:pStyle w:val="6"/>
        <w:spacing w:line="357" w:lineRule="exact"/>
        <w:ind w:left="218" w:firstLine="0"/>
      </w:pPr>
      <w:bookmarkStart w:id="86" w:name="1.5.2地表水环境"/>
      <w:bookmarkEnd w:id="86"/>
      <w:r>
        <w:rPr>
          <w:rFonts w:ascii="Times New Roman" w:eastAsia="Times New Roman"/>
        </w:rPr>
        <w:t xml:space="preserve">1.5.2 </w:t>
      </w:r>
      <w:r>
        <w:t>地表水环境</w:t>
      </w:r>
    </w:p>
    <w:p>
      <w:pPr>
        <w:pStyle w:val="9"/>
        <w:spacing w:before="185"/>
        <w:ind w:left="698"/>
      </w:pPr>
      <w:r>
        <w:t>依据《环境影响评价导则地表水环境》</w:t>
      </w:r>
      <w:r>
        <w:rPr>
          <w:rFonts w:ascii="Times New Roman" w:eastAsia="Times New Roman"/>
        </w:rPr>
        <w:t>(HJ2.3-2018)</w:t>
      </w:r>
      <w:r>
        <w:t>对评价级别进行判定。</w:t>
      </w:r>
    </w:p>
    <w:p>
      <w:pPr>
        <w:pStyle w:val="9"/>
        <w:spacing w:before="158" w:line="364" w:lineRule="auto"/>
        <w:ind w:left="218" w:right="257" w:firstLine="480"/>
        <w:jc w:val="both"/>
      </w:pPr>
      <w:r>
        <w:rPr>
          <w:color w:val="FF0000"/>
          <w:spacing w:val="-4"/>
        </w:rPr>
        <w:t>本项目生活污水处理达标后全部回用于井下生产、临时排矸场抑尘及道路洒水；采</w:t>
      </w:r>
      <w:r>
        <w:rPr>
          <w:color w:val="FF0000"/>
          <w:spacing w:val="-5"/>
        </w:rPr>
        <w:t>煤废水经过矿井水处理站处理后，部分回用于井下生产用水、洗浴用水、洗衣用水和锅</w:t>
      </w:r>
      <w:r>
        <w:rPr>
          <w:color w:val="FF0000"/>
        </w:rPr>
        <w:t>炉补水等非饮用生活用水，剩余部分出售给黑龙江建龙钢铁有限公司综合利用。</w:t>
      </w:r>
    </w:p>
    <w:p>
      <w:pPr>
        <w:spacing w:before="0" w:after="3" w:line="267" w:lineRule="exact"/>
        <w:ind w:left="3091" w:right="0" w:firstLine="0"/>
        <w:jc w:val="both"/>
        <w:rPr>
          <w:b/>
          <w:sz w:val="21"/>
        </w:rPr>
      </w:pPr>
      <w:r>
        <w:rPr>
          <w:b/>
          <w:color w:val="FF0000"/>
          <w:spacing w:val="-28"/>
          <w:sz w:val="21"/>
        </w:rPr>
        <w:t xml:space="preserve">表 </w:t>
      </w:r>
      <w:r>
        <w:rPr>
          <w:rFonts w:ascii="Times New Roman" w:eastAsia="Times New Roman"/>
          <w:b/>
          <w:color w:val="FF0000"/>
          <w:sz w:val="21"/>
        </w:rPr>
        <w:t>1.5-7</w:t>
      </w:r>
      <w:r>
        <w:rPr>
          <w:rFonts w:ascii="Times New Roman" w:eastAsia="Times New Roman"/>
          <w:b/>
          <w:color w:val="FF0000"/>
          <w:spacing w:val="52"/>
          <w:sz w:val="21"/>
        </w:rPr>
        <w:t xml:space="preserve"> </w:t>
      </w:r>
      <w:r>
        <w:rPr>
          <w:b/>
          <w:color w:val="FF0000"/>
          <w:sz w:val="21"/>
        </w:rPr>
        <w:t>地表水评价等级判定依据表</w:t>
      </w:r>
    </w:p>
    <w:tbl>
      <w:tblPr>
        <w:tblStyle w:val="1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36"/>
        <w:gridCol w:w="1623"/>
        <w:gridCol w:w="592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36" w:type="dxa"/>
            <w:vMerge w:val="restart"/>
            <w:tcBorders>
              <w:bottom w:val="single" w:color="000000" w:sz="4" w:space="0"/>
              <w:right w:val="single" w:color="000000" w:sz="4" w:space="0"/>
            </w:tcBorders>
          </w:tcPr>
          <w:p>
            <w:pPr>
              <w:pStyle w:val="19"/>
              <w:spacing w:before="9"/>
              <w:jc w:val="left"/>
              <w:rPr>
                <w:b/>
                <w:sz w:val="20"/>
              </w:rPr>
            </w:pPr>
          </w:p>
          <w:p>
            <w:pPr>
              <w:pStyle w:val="19"/>
              <w:ind w:left="447"/>
              <w:jc w:val="left"/>
              <w:rPr>
                <w:sz w:val="21"/>
              </w:rPr>
            </w:pPr>
            <w:r>
              <w:rPr>
                <w:color w:val="FF0000"/>
                <w:sz w:val="21"/>
              </w:rPr>
              <w:t>评价等级</w:t>
            </w:r>
          </w:p>
        </w:tc>
        <w:tc>
          <w:tcPr>
            <w:tcW w:w="7548" w:type="dxa"/>
            <w:gridSpan w:val="2"/>
            <w:tcBorders>
              <w:left w:val="single" w:color="000000" w:sz="4" w:space="0"/>
              <w:bottom w:val="single" w:color="000000" w:sz="4" w:space="0"/>
            </w:tcBorders>
          </w:tcPr>
          <w:p>
            <w:pPr>
              <w:pStyle w:val="19"/>
              <w:spacing w:before="64"/>
              <w:ind w:left="3337" w:right="3316"/>
              <w:rPr>
                <w:sz w:val="21"/>
              </w:rPr>
            </w:pPr>
            <w:r>
              <w:rPr>
                <w:color w:val="FF0000"/>
                <w:sz w:val="21"/>
              </w:rPr>
              <w:t>判定依据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97" w:hRule="atLeast"/>
        </w:trPr>
        <w:tc>
          <w:tcPr>
            <w:tcW w:w="1736" w:type="dxa"/>
            <w:vMerge w:val="continue"/>
            <w:tcBorders>
              <w:top w:val="nil"/>
              <w:bottom w:val="single" w:color="000000" w:sz="4" w:space="0"/>
              <w:right w:val="single" w:color="000000" w:sz="4" w:space="0"/>
            </w:tcBorders>
          </w:tcPr>
          <w:p>
            <w:pPr>
              <w:rPr>
                <w:sz w:val="2"/>
                <w:szCs w:val="2"/>
              </w:rPr>
            </w:pPr>
          </w:p>
        </w:tc>
        <w:tc>
          <w:tcPr>
            <w:tcW w:w="1623" w:type="dxa"/>
            <w:tcBorders>
              <w:top w:val="single" w:color="000000" w:sz="4" w:space="0"/>
              <w:left w:val="single" w:color="000000" w:sz="4" w:space="0"/>
              <w:bottom w:val="single" w:color="000000" w:sz="4" w:space="0"/>
              <w:right w:val="single" w:color="000000" w:sz="4" w:space="0"/>
            </w:tcBorders>
          </w:tcPr>
          <w:p>
            <w:pPr>
              <w:pStyle w:val="19"/>
              <w:spacing w:before="62"/>
              <w:ind w:left="373" w:right="360"/>
              <w:rPr>
                <w:sz w:val="21"/>
              </w:rPr>
            </w:pPr>
            <w:r>
              <w:rPr>
                <w:color w:val="FF0000"/>
                <w:sz w:val="21"/>
              </w:rPr>
              <w:t>排放方式</w:t>
            </w:r>
          </w:p>
        </w:tc>
        <w:tc>
          <w:tcPr>
            <w:tcW w:w="5925" w:type="dxa"/>
            <w:tcBorders>
              <w:top w:val="single" w:color="000000" w:sz="4" w:space="0"/>
              <w:left w:val="single" w:color="000000" w:sz="4" w:space="0"/>
              <w:bottom w:val="single" w:color="000000" w:sz="4" w:space="0"/>
            </w:tcBorders>
          </w:tcPr>
          <w:p>
            <w:pPr>
              <w:pStyle w:val="19"/>
              <w:spacing w:before="62"/>
              <w:ind w:left="383" w:right="358"/>
              <w:rPr>
                <w:sz w:val="21"/>
              </w:rPr>
            </w:pPr>
            <w:r>
              <w:rPr>
                <w:color w:val="FF0000"/>
                <w:sz w:val="21"/>
              </w:rPr>
              <w:t xml:space="preserve">废水排放量 </w:t>
            </w:r>
            <w:r>
              <w:rPr>
                <w:rFonts w:ascii="Times New Roman" w:eastAsia="Times New Roman"/>
                <w:color w:val="FF0000"/>
                <w:sz w:val="21"/>
              </w:rPr>
              <w:t>Q/</w:t>
            </w:r>
            <w:r>
              <w:rPr>
                <w:color w:val="FF0000"/>
                <w:sz w:val="21"/>
              </w:rPr>
              <w:t>（</w:t>
            </w:r>
            <w:r>
              <w:rPr>
                <w:rFonts w:ascii="Times New Roman" w:eastAsia="Times New Roman"/>
                <w:color w:val="FF0000"/>
                <w:sz w:val="21"/>
              </w:rPr>
              <w:t>m</w:t>
            </w:r>
            <w:r>
              <w:rPr>
                <w:rFonts w:ascii="Times New Roman" w:eastAsia="Times New Roman"/>
                <w:color w:val="FF0000"/>
                <w:position w:val="7"/>
                <w:sz w:val="13"/>
              </w:rPr>
              <w:t>3</w:t>
            </w:r>
            <w:r>
              <w:rPr>
                <w:rFonts w:ascii="Times New Roman" w:eastAsia="Times New Roman"/>
                <w:color w:val="FF0000"/>
                <w:sz w:val="21"/>
              </w:rPr>
              <w:t>/d)</w:t>
            </w:r>
            <w:r>
              <w:rPr>
                <w:color w:val="FF0000"/>
                <w:sz w:val="21"/>
              </w:rPr>
              <w:t xml:space="preserve">；水污染物当量数 </w:t>
            </w:r>
            <w:r>
              <w:rPr>
                <w:rFonts w:ascii="Times New Roman" w:eastAsia="Times New Roman"/>
                <w:color w:val="FF0000"/>
                <w:sz w:val="21"/>
              </w:rPr>
              <w:t>W/</w:t>
            </w:r>
            <w:r>
              <w:rPr>
                <w:color w:val="FF0000"/>
                <w:sz w:val="21"/>
              </w:rPr>
              <w:t>（无量纲）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1736" w:type="dxa"/>
            <w:tcBorders>
              <w:top w:val="single" w:color="000000" w:sz="4" w:space="0"/>
              <w:right w:val="single" w:color="000000" w:sz="4" w:space="0"/>
            </w:tcBorders>
          </w:tcPr>
          <w:p>
            <w:pPr>
              <w:pStyle w:val="19"/>
              <w:spacing w:before="63"/>
              <w:ind w:left="334" w:right="325"/>
              <w:rPr>
                <w:sz w:val="21"/>
              </w:rPr>
            </w:pPr>
            <w:r>
              <w:rPr>
                <w:color w:val="FF0000"/>
                <w:sz w:val="21"/>
              </w:rPr>
              <w:t>一级</w:t>
            </w:r>
          </w:p>
        </w:tc>
        <w:tc>
          <w:tcPr>
            <w:tcW w:w="1623" w:type="dxa"/>
            <w:tcBorders>
              <w:top w:val="single" w:color="000000" w:sz="4" w:space="0"/>
              <w:left w:val="single" w:color="000000" w:sz="4" w:space="0"/>
              <w:right w:val="single" w:color="000000" w:sz="4" w:space="0"/>
            </w:tcBorders>
          </w:tcPr>
          <w:p>
            <w:pPr>
              <w:pStyle w:val="19"/>
              <w:spacing w:before="63"/>
              <w:ind w:left="373" w:right="360"/>
              <w:rPr>
                <w:sz w:val="21"/>
              </w:rPr>
            </w:pPr>
            <w:r>
              <w:rPr>
                <w:color w:val="FF0000"/>
                <w:sz w:val="21"/>
              </w:rPr>
              <w:t>直接排放</w:t>
            </w:r>
          </w:p>
        </w:tc>
        <w:tc>
          <w:tcPr>
            <w:tcW w:w="5925" w:type="dxa"/>
            <w:tcBorders>
              <w:top w:val="single" w:color="000000" w:sz="4" w:space="0"/>
              <w:left w:val="single" w:color="000000" w:sz="4" w:space="0"/>
            </w:tcBorders>
          </w:tcPr>
          <w:p>
            <w:pPr>
              <w:pStyle w:val="19"/>
              <w:spacing w:before="63"/>
              <w:ind w:left="382" w:right="358"/>
              <w:rPr>
                <w:rFonts w:ascii="Times New Roman" w:hAnsi="Times New Roman" w:eastAsia="Times New Roman"/>
                <w:sz w:val="21"/>
              </w:rPr>
            </w:pPr>
            <w:r>
              <w:rPr>
                <w:rFonts w:ascii="Times New Roman" w:hAnsi="Times New Roman" w:eastAsia="Times New Roman"/>
                <w:color w:val="FF0000"/>
                <w:sz w:val="21"/>
              </w:rPr>
              <w:t xml:space="preserve">Q≥20000 </w:t>
            </w:r>
            <w:r>
              <w:rPr>
                <w:color w:val="FF0000"/>
                <w:sz w:val="21"/>
              </w:rPr>
              <w:t xml:space="preserve">或 </w:t>
            </w:r>
            <w:r>
              <w:rPr>
                <w:rFonts w:ascii="Times New Roman" w:hAnsi="Times New Roman" w:eastAsia="Times New Roman"/>
                <w:color w:val="FF0000"/>
                <w:sz w:val="21"/>
              </w:rPr>
              <w:t>W≥600000</w:t>
            </w:r>
          </w:p>
        </w:tc>
      </w:tr>
    </w:tbl>
    <w:p>
      <w:pPr>
        <w:spacing w:after="0"/>
        <w:rPr>
          <w:rFonts w:ascii="Times New Roman" w:hAnsi="Times New Roman" w:eastAsia="Times New Roman"/>
          <w:sz w:val="21"/>
        </w:rPr>
        <w:sectPr>
          <w:pgSz w:w="11910" w:h="16840"/>
          <w:pgMar w:top="1400" w:right="1160" w:bottom="1180" w:left="1200" w:header="0" w:footer="913" w:gutter="0"/>
        </w:sectPr>
      </w:pPr>
    </w:p>
    <w:tbl>
      <w:tblPr>
        <w:tblStyle w:val="1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36"/>
        <w:gridCol w:w="1623"/>
        <w:gridCol w:w="592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36" w:type="dxa"/>
            <w:tcBorders>
              <w:bottom w:val="single" w:color="000000" w:sz="4" w:space="0"/>
              <w:right w:val="single" w:color="000000" w:sz="4" w:space="0"/>
            </w:tcBorders>
          </w:tcPr>
          <w:p>
            <w:pPr>
              <w:pStyle w:val="19"/>
              <w:spacing w:before="62"/>
              <w:ind w:left="334" w:right="325"/>
              <w:rPr>
                <w:sz w:val="21"/>
              </w:rPr>
            </w:pPr>
            <w:r>
              <w:rPr>
                <w:color w:val="FF0000"/>
                <w:sz w:val="21"/>
              </w:rPr>
              <w:t>二级</w:t>
            </w:r>
          </w:p>
        </w:tc>
        <w:tc>
          <w:tcPr>
            <w:tcW w:w="1623" w:type="dxa"/>
            <w:tcBorders>
              <w:left w:val="single" w:color="000000" w:sz="4" w:space="0"/>
              <w:bottom w:val="single" w:color="000000" w:sz="4" w:space="0"/>
              <w:right w:val="single" w:color="000000" w:sz="4" w:space="0"/>
            </w:tcBorders>
          </w:tcPr>
          <w:p>
            <w:pPr>
              <w:pStyle w:val="19"/>
              <w:spacing w:before="62"/>
              <w:ind w:left="373" w:right="360"/>
              <w:rPr>
                <w:sz w:val="21"/>
              </w:rPr>
            </w:pPr>
            <w:r>
              <w:rPr>
                <w:color w:val="FF0000"/>
                <w:sz w:val="21"/>
              </w:rPr>
              <w:t>直接排放</w:t>
            </w:r>
          </w:p>
        </w:tc>
        <w:tc>
          <w:tcPr>
            <w:tcW w:w="5925" w:type="dxa"/>
            <w:tcBorders>
              <w:left w:val="single" w:color="000000" w:sz="4" w:space="0"/>
              <w:bottom w:val="single" w:color="000000" w:sz="4" w:space="0"/>
            </w:tcBorders>
          </w:tcPr>
          <w:p>
            <w:pPr>
              <w:pStyle w:val="19"/>
              <w:spacing w:before="62"/>
              <w:ind w:left="376" w:right="358"/>
              <w:rPr>
                <w:sz w:val="21"/>
              </w:rPr>
            </w:pPr>
            <w:r>
              <w:rPr>
                <w:color w:val="FF0000"/>
                <w:sz w:val="21"/>
              </w:rPr>
              <w:t>其他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36" w:type="dxa"/>
            <w:tcBorders>
              <w:top w:val="single" w:color="000000" w:sz="4" w:space="0"/>
              <w:bottom w:val="single" w:color="000000" w:sz="4" w:space="0"/>
              <w:right w:val="single" w:color="000000" w:sz="4" w:space="0"/>
            </w:tcBorders>
          </w:tcPr>
          <w:p>
            <w:pPr>
              <w:pStyle w:val="19"/>
              <w:spacing w:before="63"/>
              <w:ind w:left="334" w:right="320"/>
              <w:rPr>
                <w:rFonts w:ascii="Times New Roman" w:eastAsia="Times New Roman"/>
                <w:sz w:val="21"/>
              </w:rPr>
            </w:pPr>
            <w:r>
              <w:rPr>
                <w:color w:val="FF0000"/>
                <w:sz w:val="21"/>
              </w:rPr>
              <w:t xml:space="preserve">三级 </w:t>
            </w:r>
            <w:r>
              <w:rPr>
                <w:rFonts w:ascii="Times New Roman" w:eastAsia="Times New Roman"/>
                <w:color w:val="FF0000"/>
                <w:sz w:val="21"/>
              </w:rPr>
              <w:t>A</w:t>
            </w:r>
          </w:p>
        </w:tc>
        <w:tc>
          <w:tcPr>
            <w:tcW w:w="1623" w:type="dxa"/>
            <w:tcBorders>
              <w:top w:val="single" w:color="000000" w:sz="4" w:space="0"/>
              <w:left w:val="single" w:color="000000" w:sz="4" w:space="0"/>
              <w:bottom w:val="single" w:color="000000" w:sz="4" w:space="0"/>
              <w:right w:val="single" w:color="000000" w:sz="4" w:space="0"/>
            </w:tcBorders>
          </w:tcPr>
          <w:p>
            <w:pPr>
              <w:pStyle w:val="19"/>
              <w:spacing w:before="63"/>
              <w:ind w:left="373" w:right="360"/>
              <w:rPr>
                <w:sz w:val="21"/>
              </w:rPr>
            </w:pPr>
            <w:r>
              <w:rPr>
                <w:color w:val="FF0000"/>
                <w:sz w:val="21"/>
              </w:rPr>
              <w:t>直接排放</w:t>
            </w:r>
          </w:p>
        </w:tc>
        <w:tc>
          <w:tcPr>
            <w:tcW w:w="5925" w:type="dxa"/>
            <w:tcBorders>
              <w:top w:val="single" w:color="000000" w:sz="4" w:space="0"/>
              <w:left w:val="single" w:color="000000" w:sz="4" w:space="0"/>
              <w:bottom w:val="single" w:color="000000" w:sz="4" w:space="0"/>
            </w:tcBorders>
          </w:tcPr>
          <w:p>
            <w:pPr>
              <w:pStyle w:val="19"/>
              <w:spacing w:before="63"/>
              <w:ind w:left="382" w:right="358"/>
              <w:rPr>
                <w:rFonts w:ascii="Times New Roman" w:eastAsia="Times New Roman"/>
                <w:sz w:val="21"/>
              </w:rPr>
            </w:pPr>
            <w:r>
              <w:rPr>
                <w:rFonts w:ascii="Times New Roman" w:eastAsia="Times New Roman"/>
                <w:color w:val="FF0000"/>
                <w:sz w:val="21"/>
              </w:rPr>
              <w:t>Q</w:t>
            </w:r>
            <w:r>
              <w:rPr>
                <w:color w:val="FF0000"/>
                <w:sz w:val="21"/>
              </w:rPr>
              <w:t>＜</w:t>
            </w:r>
            <w:r>
              <w:rPr>
                <w:rFonts w:ascii="Times New Roman" w:eastAsia="Times New Roman"/>
                <w:color w:val="FF0000"/>
                <w:sz w:val="21"/>
              </w:rPr>
              <w:t xml:space="preserve">200 </w:t>
            </w:r>
            <w:r>
              <w:rPr>
                <w:color w:val="FF0000"/>
                <w:sz w:val="21"/>
              </w:rPr>
              <w:t xml:space="preserve">且 </w:t>
            </w:r>
            <w:r>
              <w:rPr>
                <w:rFonts w:ascii="Times New Roman" w:eastAsia="Times New Roman"/>
                <w:color w:val="FF0000"/>
                <w:sz w:val="21"/>
              </w:rPr>
              <w:t>W</w:t>
            </w:r>
            <w:r>
              <w:rPr>
                <w:color w:val="FF0000"/>
                <w:sz w:val="21"/>
              </w:rPr>
              <w:t>＜</w:t>
            </w:r>
            <w:r>
              <w:rPr>
                <w:rFonts w:ascii="Times New Roman" w:eastAsia="Times New Roman"/>
                <w:color w:val="FF0000"/>
                <w:sz w:val="21"/>
              </w:rPr>
              <w:t>6000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736" w:type="dxa"/>
            <w:tcBorders>
              <w:top w:val="single" w:color="000000" w:sz="4" w:space="0"/>
              <w:bottom w:val="single" w:color="000000" w:sz="4" w:space="0"/>
              <w:right w:val="single" w:color="000000" w:sz="4" w:space="0"/>
            </w:tcBorders>
          </w:tcPr>
          <w:p>
            <w:pPr>
              <w:pStyle w:val="19"/>
              <w:spacing w:before="64"/>
              <w:ind w:left="334" w:right="322"/>
              <w:rPr>
                <w:rFonts w:ascii="Times New Roman" w:eastAsia="Times New Roman"/>
                <w:sz w:val="21"/>
              </w:rPr>
            </w:pPr>
            <w:r>
              <w:rPr>
                <w:color w:val="FF0000"/>
                <w:sz w:val="21"/>
              </w:rPr>
              <w:t xml:space="preserve">三级 </w:t>
            </w:r>
            <w:r>
              <w:rPr>
                <w:rFonts w:ascii="Times New Roman" w:eastAsia="Times New Roman"/>
                <w:color w:val="FF0000"/>
                <w:sz w:val="21"/>
              </w:rPr>
              <w:t>B</w:t>
            </w:r>
          </w:p>
        </w:tc>
        <w:tc>
          <w:tcPr>
            <w:tcW w:w="1623" w:type="dxa"/>
            <w:tcBorders>
              <w:top w:val="single" w:color="000000" w:sz="4" w:space="0"/>
              <w:left w:val="single" w:color="000000" w:sz="4" w:space="0"/>
              <w:bottom w:val="single" w:color="000000" w:sz="4" w:space="0"/>
              <w:right w:val="single" w:color="000000" w:sz="4" w:space="0"/>
            </w:tcBorders>
          </w:tcPr>
          <w:p>
            <w:pPr>
              <w:pStyle w:val="19"/>
              <w:spacing w:before="64"/>
              <w:ind w:left="373" w:right="360"/>
              <w:rPr>
                <w:sz w:val="21"/>
              </w:rPr>
            </w:pPr>
            <w:r>
              <w:rPr>
                <w:color w:val="FF0000"/>
                <w:sz w:val="21"/>
              </w:rPr>
              <w:t>间接排放</w:t>
            </w:r>
          </w:p>
        </w:tc>
        <w:tc>
          <w:tcPr>
            <w:tcW w:w="5925" w:type="dxa"/>
            <w:tcBorders>
              <w:top w:val="single" w:color="000000" w:sz="4" w:space="0"/>
              <w:left w:val="single" w:color="000000" w:sz="4" w:space="0"/>
              <w:bottom w:val="single" w:color="000000" w:sz="4" w:space="0"/>
            </w:tcBorders>
          </w:tcPr>
          <w:p>
            <w:pPr>
              <w:pStyle w:val="19"/>
              <w:spacing w:before="78"/>
              <w:ind w:left="23"/>
              <w:rPr>
                <w:rFonts w:ascii="Times New Roman"/>
                <w:sz w:val="21"/>
              </w:rPr>
            </w:pPr>
            <w:r>
              <w:rPr>
                <w:rFonts w:ascii="Times New Roman"/>
                <w:color w:val="FF0000"/>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91" w:hRule="atLeast"/>
        </w:trPr>
        <w:tc>
          <w:tcPr>
            <w:tcW w:w="9284" w:type="dxa"/>
            <w:gridSpan w:val="3"/>
            <w:tcBorders>
              <w:top w:val="single" w:color="000000" w:sz="4" w:space="0"/>
            </w:tcBorders>
          </w:tcPr>
          <w:p>
            <w:pPr>
              <w:pStyle w:val="19"/>
              <w:spacing w:line="242" w:lineRule="auto"/>
              <w:ind w:left="107" w:right="85"/>
              <w:jc w:val="both"/>
              <w:rPr>
                <w:sz w:val="21"/>
              </w:rPr>
            </w:pPr>
            <w:r>
              <w:rPr>
                <w:color w:val="FF0000"/>
                <w:spacing w:val="-26"/>
                <w:sz w:val="21"/>
              </w:rPr>
              <w:t xml:space="preserve">注 </w:t>
            </w:r>
            <w:r>
              <w:rPr>
                <w:rFonts w:ascii="Times New Roman" w:eastAsia="Times New Roman"/>
                <w:color w:val="FF0000"/>
                <w:spacing w:val="2"/>
                <w:sz w:val="21"/>
              </w:rPr>
              <w:t>1</w:t>
            </w:r>
            <w:r>
              <w:rPr>
                <w:color w:val="FF0000"/>
                <w:sz w:val="21"/>
              </w:rPr>
              <w:t>：水污染物当量数等于该污染物的年排放量除以该污染物的污染当量值（</w:t>
            </w:r>
            <w:r>
              <w:rPr>
                <w:color w:val="FF0000"/>
                <w:spacing w:val="-12"/>
                <w:sz w:val="21"/>
              </w:rPr>
              <w:t xml:space="preserve">见附录 </w:t>
            </w:r>
            <w:r>
              <w:rPr>
                <w:rFonts w:ascii="Times New Roman" w:eastAsia="Times New Roman"/>
                <w:color w:val="FF0000"/>
                <w:spacing w:val="2"/>
                <w:sz w:val="21"/>
              </w:rPr>
              <w:t>A</w:t>
            </w:r>
            <w:r>
              <w:rPr>
                <w:color w:val="FF0000"/>
                <w:spacing w:val="2"/>
                <w:sz w:val="21"/>
              </w:rPr>
              <w:t>）</w:t>
            </w:r>
            <w:r>
              <w:rPr>
                <w:color w:val="FF0000"/>
                <w:spacing w:val="1"/>
                <w:sz w:val="21"/>
              </w:rPr>
              <w:t>，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pStyle w:val="19"/>
              <w:spacing w:before="2" w:line="242" w:lineRule="auto"/>
              <w:ind w:left="107" w:right="87"/>
              <w:jc w:val="both"/>
              <w:rPr>
                <w:sz w:val="21"/>
              </w:rPr>
            </w:pPr>
            <w:r>
              <w:rPr>
                <w:color w:val="FF0000"/>
                <w:sz w:val="21"/>
              </w:rPr>
              <w:t xml:space="preserve">注 </w:t>
            </w:r>
            <w:r>
              <w:rPr>
                <w:rFonts w:ascii="Times New Roman" w:eastAsia="Times New Roman"/>
                <w:color w:val="FF0000"/>
                <w:sz w:val="21"/>
              </w:rPr>
              <w:t>2</w:t>
            </w:r>
            <w:r>
              <w:rPr>
                <w:color w:val="FF0000"/>
                <w:sz w:val="21"/>
              </w:rPr>
              <w:t>：废水排放量按行业排放标准中规定的废水种类统计，没有相关行业排放标准要求的通过工程分析合理确定，应统计含热量大的冷却水的排放量，可不统计间接冷却水、循环水及其他含污染物极少的清净下水的排放量。</w:t>
            </w:r>
          </w:p>
          <w:p>
            <w:pPr>
              <w:pStyle w:val="19"/>
              <w:spacing w:before="4" w:line="242" w:lineRule="auto"/>
              <w:ind w:left="107" w:right="87"/>
              <w:jc w:val="both"/>
              <w:rPr>
                <w:sz w:val="21"/>
              </w:rPr>
            </w:pPr>
            <w:r>
              <w:rPr>
                <w:color w:val="FF0000"/>
                <w:sz w:val="21"/>
              </w:rPr>
              <w:t xml:space="preserve">注 </w:t>
            </w:r>
            <w:r>
              <w:rPr>
                <w:rFonts w:ascii="Times New Roman" w:eastAsia="Times New Roman"/>
                <w:color w:val="FF0000"/>
                <w:sz w:val="21"/>
              </w:rPr>
              <w:t>3</w:t>
            </w:r>
            <w:r>
              <w:rPr>
                <w:color w:val="FF0000"/>
                <w:sz w:val="21"/>
              </w:rPr>
              <w:t>：厂区存在堆积物（露天堆放的原料、燃料、废渣等以及垃圾堆放场）、降尘污染的，应将初期雨污水纳入废水排放量，相应的主要污染物纳入水污染当量计算。</w:t>
            </w:r>
          </w:p>
          <w:p>
            <w:pPr>
              <w:pStyle w:val="19"/>
              <w:spacing w:before="1" w:line="242" w:lineRule="auto"/>
              <w:ind w:left="107" w:right="87"/>
              <w:jc w:val="both"/>
              <w:rPr>
                <w:sz w:val="21"/>
              </w:rPr>
            </w:pPr>
            <w:r>
              <w:rPr>
                <w:color w:val="FF0000"/>
                <w:sz w:val="21"/>
              </w:rPr>
              <w:t xml:space="preserve">注 </w:t>
            </w:r>
            <w:r>
              <w:rPr>
                <w:rFonts w:ascii="Times New Roman" w:eastAsia="Times New Roman"/>
                <w:color w:val="FF0000"/>
                <w:sz w:val="21"/>
              </w:rPr>
              <w:t>4</w:t>
            </w:r>
            <w:r>
              <w:rPr>
                <w:color w:val="FF0000"/>
                <w:sz w:val="21"/>
              </w:rPr>
              <w:t>：建设项目直接排放第一类污染物的，其评价等级为一级；建设项目直接排放的污染物为受纳水体超标因子的，评价等级不低于二级。</w:t>
            </w:r>
          </w:p>
          <w:p>
            <w:pPr>
              <w:pStyle w:val="19"/>
              <w:spacing w:line="244" w:lineRule="auto"/>
              <w:ind w:left="107" w:right="87"/>
              <w:jc w:val="both"/>
              <w:rPr>
                <w:sz w:val="21"/>
              </w:rPr>
            </w:pPr>
            <w:r>
              <w:rPr>
                <w:color w:val="FF0000"/>
                <w:sz w:val="21"/>
              </w:rPr>
              <w:t xml:space="preserve">注 </w:t>
            </w:r>
            <w:r>
              <w:rPr>
                <w:rFonts w:ascii="Times New Roman" w:eastAsia="Times New Roman"/>
                <w:color w:val="FF0000"/>
                <w:sz w:val="21"/>
              </w:rPr>
              <w:t>5</w:t>
            </w:r>
            <w:r>
              <w:rPr>
                <w:color w:val="FF0000"/>
                <w:sz w:val="21"/>
              </w:rPr>
              <w:t>：直接排放受纳水体影响范围涉及饮用水水源保护区、饮用水取水口、重点保护与珍稀水生生物的栖息地、重要水生生物的自然产卵场等保护目标时，评价等级不低于二级。</w:t>
            </w:r>
          </w:p>
          <w:p>
            <w:pPr>
              <w:pStyle w:val="19"/>
              <w:spacing w:line="244" w:lineRule="auto"/>
              <w:ind w:left="107" w:right="87"/>
              <w:jc w:val="both"/>
              <w:rPr>
                <w:sz w:val="21"/>
              </w:rPr>
            </w:pPr>
            <w:r>
              <w:rPr>
                <w:color w:val="FF0000"/>
                <w:sz w:val="21"/>
              </w:rPr>
              <w:t xml:space="preserve">注 </w:t>
            </w:r>
            <w:r>
              <w:rPr>
                <w:rFonts w:ascii="Times New Roman" w:eastAsia="Times New Roman"/>
                <w:color w:val="FF0000"/>
                <w:sz w:val="21"/>
              </w:rPr>
              <w:t>6</w:t>
            </w:r>
            <w:r>
              <w:rPr>
                <w:color w:val="FF0000"/>
                <w:sz w:val="21"/>
              </w:rPr>
              <w:t>：建设项目向河流、湖库排放温排水引起受纳水体水温变化超过水环境质量标准要求，且评价范围有水温敏感目标时，评价等级为一级。</w:t>
            </w:r>
          </w:p>
          <w:p>
            <w:pPr>
              <w:pStyle w:val="19"/>
              <w:spacing w:line="265" w:lineRule="exact"/>
              <w:ind w:left="107"/>
              <w:jc w:val="both"/>
              <w:rPr>
                <w:rFonts w:ascii="Times New Roman" w:hAnsi="Times New Roman" w:eastAsia="Times New Roman"/>
                <w:sz w:val="21"/>
              </w:rPr>
            </w:pPr>
            <w:r>
              <w:rPr>
                <w:color w:val="FF0000"/>
                <w:sz w:val="21"/>
              </w:rPr>
              <w:t xml:space="preserve">注 </w:t>
            </w:r>
            <w:r>
              <w:rPr>
                <w:rFonts w:ascii="Times New Roman" w:hAnsi="Times New Roman" w:eastAsia="Times New Roman"/>
                <w:color w:val="FF0000"/>
                <w:sz w:val="21"/>
              </w:rPr>
              <w:t>7</w:t>
            </w:r>
            <w:r>
              <w:rPr>
                <w:color w:val="FF0000"/>
                <w:sz w:val="21"/>
              </w:rPr>
              <w:t>：建设项目利用海水作为调节温度介质，排水量</w:t>
            </w:r>
            <w:r>
              <w:rPr>
                <w:rFonts w:ascii="Times New Roman" w:hAnsi="Times New Roman" w:eastAsia="Times New Roman"/>
                <w:color w:val="FF0000"/>
                <w:sz w:val="21"/>
              </w:rPr>
              <w:t xml:space="preserve">≥500 </w:t>
            </w:r>
            <w:r>
              <w:rPr>
                <w:color w:val="FF0000"/>
                <w:sz w:val="21"/>
              </w:rPr>
              <w:t xml:space="preserve">万 </w:t>
            </w:r>
            <w:r>
              <w:rPr>
                <w:rFonts w:ascii="Times New Roman" w:hAnsi="Times New Roman" w:eastAsia="Times New Roman"/>
                <w:color w:val="FF0000"/>
                <w:sz w:val="21"/>
              </w:rPr>
              <w:t>m</w:t>
            </w:r>
            <w:r>
              <w:rPr>
                <w:rFonts w:ascii="Times New Roman" w:hAnsi="Times New Roman" w:eastAsia="Times New Roman"/>
                <w:color w:val="FF0000"/>
                <w:position w:val="7"/>
                <w:sz w:val="13"/>
              </w:rPr>
              <w:t>3</w:t>
            </w:r>
            <w:r>
              <w:rPr>
                <w:rFonts w:ascii="Times New Roman" w:hAnsi="Times New Roman" w:eastAsia="Times New Roman"/>
                <w:color w:val="FF0000"/>
                <w:sz w:val="21"/>
              </w:rPr>
              <w:t>/d</w:t>
            </w:r>
            <w:r>
              <w:rPr>
                <w:color w:val="FF0000"/>
                <w:sz w:val="21"/>
              </w:rPr>
              <w:t>，评价等级为一级；排水量＜</w:t>
            </w:r>
            <w:r>
              <w:rPr>
                <w:rFonts w:ascii="Times New Roman" w:hAnsi="Times New Roman" w:eastAsia="Times New Roman"/>
                <w:color w:val="FF0000"/>
                <w:sz w:val="21"/>
              </w:rPr>
              <w:t>500</w:t>
            </w:r>
          </w:p>
          <w:p>
            <w:pPr>
              <w:pStyle w:val="19"/>
              <w:ind w:left="107"/>
              <w:jc w:val="both"/>
              <w:rPr>
                <w:sz w:val="21"/>
              </w:rPr>
            </w:pPr>
            <w:r>
              <w:rPr>
                <w:color w:val="FF0000"/>
                <w:sz w:val="21"/>
              </w:rPr>
              <w:t xml:space="preserve">万 </w:t>
            </w:r>
            <w:r>
              <w:rPr>
                <w:rFonts w:ascii="Times New Roman" w:eastAsia="Times New Roman"/>
                <w:color w:val="FF0000"/>
                <w:sz w:val="21"/>
              </w:rPr>
              <w:t>m</w:t>
            </w:r>
            <w:r>
              <w:rPr>
                <w:rFonts w:ascii="Times New Roman" w:eastAsia="Times New Roman"/>
                <w:color w:val="FF0000"/>
                <w:position w:val="7"/>
                <w:sz w:val="13"/>
              </w:rPr>
              <w:t>3</w:t>
            </w:r>
            <w:r>
              <w:rPr>
                <w:rFonts w:ascii="Times New Roman" w:eastAsia="Times New Roman"/>
                <w:color w:val="FF0000"/>
                <w:sz w:val="21"/>
              </w:rPr>
              <w:t>/d</w:t>
            </w:r>
            <w:r>
              <w:rPr>
                <w:color w:val="FF0000"/>
                <w:sz w:val="21"/>
              </w:rPr>
              <w:t>，评价等级为二级。</w:t>
            </w:r>
          </w:p>
          <w:p>
            <w:pPr>
              <w:pStyle w:val="19"/>
              <w:spacing w:before="1" w:line="244" w:lineRule="auto"/>
              <w:ind w:left="107" w:right="87"/>
              <w:jc w:val="both"/>
              <w:rPr>
                <w:sz w:val="21"/>
              </w:rPr>
            </w:pPr>
            <w:r>
              <w:rPr>
                <w:color w:val="FF0000"/>
                <w:sz w:val="21"/>
              </w:rPr>
              <w:t xml:space="preserve">注 </w:t>
            </w:r>
            <w:r>
              <w:rPr>
                <w:rFonts w:ascii="Times New Roman" w:eastAsia="Times New Roman"/>
                <w:color w:val="FF0000"/>
                <w:sz w:val="21"/>
              </w:rPr>
              <w:t>8</w:t>
            </w:r>
            <w:r>
              <w:rPr>
                <w:color w:val="FF0000"/>
                <w:sz w:val="21"/>
              </w:rPr>
              <w:t xml:space="preserve">：仅涉及清净下水排放的，如其排放水质满足受纳水体水环境质量标准要求的，评价等级为三级 </w:t>
            </w:r>
            <w:r>
              <w:rPr>
                <w:rFonts w:ascii="Times New Roman" w:eastAsia="Times New Roman"/>
                <w:color w:val="FF0000"/>
                <w:sz w:val="21"/>
              </w:rPr>
              <w:t>A</w:t>
            </w:r>
            <w:r>
              <w:rPr>
                <w:color w:val="FF0000"/>
                <w:sz w:val="21"/>
              </w:rPr>
              <w:t>。</w:t>
            </w:r>
          </w:p>
          <w:p>
            <w:pPr>
              <w:pStyle w:val="19"/>
              <w:spacing w:line="244" w:lineRule="auto"/>
              <w:ind w:left="107" w:right="87"/>
              <w:jc w:val="both"/>
              <w:rPr>
                <w:sz w:val="21"/>
              </w:rPr>
            </w:pPr>
            <w:r>
              <w:rPr>
                <w:color w:val="FF0000"/>
                <w:sz w:val="21"/>
              </w:rPr>
              <w:t xml:space="preserve">注 </w:t>
            </w:r>
            <w:r>
              <w:rPr>
                <w:rFonts w:ascii="Times New Roman" w:eastAsia="Times New Roman"/>
                <w:color w:val="FF0000"/>
                <w:sz w:val="21"/>
              </w:rPr>
              <w:t>9</w:t>
            </w:r>
            <w:r>
              <w:rPr>
                <w:color w:val="FF0000"/>
                <w:sz w:val="21"/>
              </w:rPr>
              <w:t xml:space="preserve">：依托现有排放口，且对外环境未新增排放污染物的直接排放建设项目，评价等级参照间接排放，定为三级 </w:t>
            </w:r>
            <w:r>
              <w:rPr>
                <w:rFonts w:ascii="Times New Roman" w:eastAsia="Times New Roman"/>
                <w:color w:val="FF0000"/>
                <w:sz w:val="21"/>
              </w:rPr>
              <w:t>B</w:t>
            </w:r>
            <w:r>
              <w:rPr>
                <w:color w:val="FF0000"/>
                <w:sz w:val="21"/>
              </w:rPr>
              <w:t>。</w:t>
            </w:r>
          </w:p>
          <w:p>
            <w:pPr>
              <w:pStyle w:val="19"/>
              <w:spacing w:line="248" w:lineRule="exact"/>
              <w:ind w:left="107"/>
              <w:jc w:val="both"/>
              <w:rPr>
                <w:sz w:val="21"/>
              </w:rPr>
            </w:pPr>
            <w:r>
              <w:rPr>
                <w:color w:val="FF0000"/>
                <w:sz w:val="21"/>
              </w:rPr>
              <w:t xml:space="preserve">注 </w:t>
            </w:r>
            <w:r>
              <w:rPr>
                <w:rFonts w:ascii="Times New Roman" w:eastAsia="Times New Roman"/>
                <w:color w:val="FF0000"/>
                <w:sz w:val="21"/>
              </w:rPr>
              <w:t>10</w:t>
            </w:r>
            <w:r>
              <w:rPr>
                <w:color w:val="FF0000"/>
                <w:sz w:val="21"/>
              </w:rPr>
              <w:t xml:space="preserve">：建设项目生产工艺中有废水产生，但作为回水利用，不排放到外环境的，按三级 </w:t>
            </w:r>
            <w:r>
              <w:rPr>
                <w:rFonts w:ascii="Times New Roman" w:eastAsia="Times New Roman"/>
                <w:color w:val="FF0000"/>
                <w:sz w:val="21"/>
              </w:rPr>
              <w:t xml:space="preserve">B </w:t>
            </w:r>
            <w:r>
              <w:rPr>
                <w:color w:val="FF0000"/>
                <w:sz w:val="21"/>
              </w:rPr>
              <w:t>评价。</w:t>
            </w:r>
          </w:p>
        </w:tc>
      </w:tr>
    </w:tbl>
    <w:p>
      <w:pPr>
        <w:pStyle w:val="9"/>
        <w:spacing w:before="2" w:line="364" w:lineRule="auto"/>
        <w:ind w:left="218" w:right="164" w:firstLine="480"/>
      </w:pPr>
      <w:r>
        <w:rPr>
          <w:color w:val="FF0000"/>
          <w:spacing w:val="-4"/>
        </w:rPr>
        <w:t xml:space="preserve">依据地表水评价等级判定依据表中注 </w:t>
      </w:r>
      <w:r>
        <w:rPr>
          <w:rFonts w:ascii="Times New Roman" w:eastAsia="Times New Roman"/>
          <w:color w:val="FF0000"/>
          <w:spacing w:val="-19"/>
        </w:rPr>
        <w:t>10</w:t>
      </w:r>
      <w:r>
        <w:rPr>
          <w:color w:val="FF0000"/>
          <w:spacing w:val="-9"/>
        </w:rPr>
        <w:t>：建设项目生产工艺中有废水产生，但作为</w:t>
      </w:r>
      <w:r>
        <w:rPr>
          <w:color w:val="FF0000"/>
          <w:spacing w:val="-12"/>
        </w:rPr>
        <w:t xml:space="preserve">回水利用，不排放到外环境的，按三级 </w:t>
      </w:r>
      <w:r>
        <w:rPr>
          <w:rFonts w:ascii="Times New Roman" w:eastAsia="Times New Roman"/>
          <w:color w:val="FF0000"/>
        </w:rPr>
        <w:t xml:space="preserve">B </w:t>
      </w:r>
      <w:r>
        <w:rPr>
          <w:color w:val="FF0000"/>
          <w:spacing w:val="-1"/>
        </w:rPr>
        <w:t xml:space="preserve">评价。本项目产生废水全部综合利用不外排， </w:t>
      </w:r>
      <w:r>
        <w:rPr>
          <w:color w:val="FF0000"/>
          <w:spacing w:val="-5"/>
        </w:rPr>
        <w:t xml:space="preserve">判定地表水评价等级为三级 </w:t>
      </w:r>
      <w:r>
        <w:rPr>
          <w:rFonts w:ascii="Times New Roman" w:eastAsia="Times New Roman"/>
          <w:color w:val="FF0000"/>
        </w:rPr>
        <w:t>B</w:t>
      </w:r>
      <w:r>
        <w:rPr>
          <w:color w:val="FF0000"/>
        </w:rPr>
        <w:t>。</w:t>
      </w:r>
    </w:p>
    <w:p>
      <w:pPr>
        <w:pStyle w:val="6"/>
        <w:numPr>
          <w:ilvl w:val="2"/>
          <w:numId w:val="25"/>
        </w:numPr>
        <w:tabs>
          <w:tab w:val="left" w:pos="848"/>
        </w:tabs>
        <w:spacing w:before="0" w:after="0" w:line="240" w:lineRule="auto"/>
        <w:ind w:left="847" w:right="0" w:hanging="630"/>
        <w:jc w:val="left"/>
      </w:pPr>
      <w:bookmarkStart w:id="87" w:name="1.4.4生态环境"/>
      <w:bookmarkEnd w:id="87"/>
      <w:bookmarkStart w:id="88" w:name="1.4.4生态环境"/>
      <w:bookmarkEnd w:id="88"/>
      <w:r>
        <w:t>生态环境</w:t>
      </w:r>
    </w:p>
    <w:p>
      <w:pPr>
        <w:pStyle w:val="9"/>
        <w:spacing w:before="183" w:line="364" w:lineRule="auto"/>
        <w:ind w:left="218" w:right="253" w:firstLine="480"/>
      </w:pPr>
      <w:r>
        <w:t>按照《环境影响评价技术导则生态影响》（</w:t>
      </w:r>
      <w:r>
        <w:rPr>
          <w:rFonts w:ascii="Times New Roman" w:eastAsia="Times New Roman"/>
        </w:rPr>
        <w:t>HJ19-2011</w:t>
      </w:r>
      <w:r>
        <w:t>）对生态影响评价工作等级的划分依据，将生态影响评价工作划分为一、二、三级。划分依据见下表。</w:t>
      </w:r>
    </w:p>
    <w:p>
      <w:pPr>
        <w:spacing w:before="0"/>
        <w:ind w:left="3021" w:right="0" w:firstLine="0"/>
        <w:jc w:val="left"/>
        <w:rPr>
          <w:rFonts w:ascii="Times New Roman" w:eastAsia="Times New Roman"/>
          <w:b/>
          <w:sz w:val="21"/>
        </w:rPr>
      </w:pPr>
      <w:r>
        <w:rPr>
          <w:b/>
          <w:spacing w:val="-26"/>
          <w:sz w:val="21"/>
        </w:rPr>
        <w:t xml:space="preserve">表 </w:t>
      </w:r>
      <w:r>
        <w:rPr>
          <w:rFonts w:ascii="Times New Roman" w:eastAsia="Times New Roman"/>
          <w:b/>
          <w:sz w:val="21"/>
        </w:rPr>
        <w:t>1.4-8</w:t>
      </w:r>
      <w:r>
        <w:rPr>
          <w:rFonts w:ascii="Times New Roman" w:eastAsia="Times New Roman"/>
          <w:b/>
          <w:spacing w:val="52"/>
          <w:sz w:val="21"/>
        </w:rPr>
        <w:t xml:space="preserve"> </w:t>
      </w:r>
      <w:r>
        <w:rPr>
          <w:b/>
          <w:sz w:val="21"/>
        </w:rPr>
        <w:t>评价工作级别</w:t>
      </w:r>
      <w:r>
        <w:rPr>
          <w:rFonts w:ascii="Times New Roman" w:eastAsia="Times New Roman"/>
          <w:b/>
          <w:sz w:val="21"/>
        </w:rPr>
        <w:t>(</w:t>
      </w:r>
      <w:r>
        <w:rPr>
          <w:b/>
          <w:sz w:val="21"/>
        </w:rPr>
        <w:t>一、二、三级</w:t>
      </w:r>
      <w:r>
        <w:rPr>
          <w:rFonts w:ascii="Times New Roman" w:eastAsia="Times New Roman"/>
          <w:b/>
          <w:sz w:val="21"/>
        </w:rPr>
        <w:t>)</w:t>
      </w:r>
    </w:p>
    <w:tbl>
      <w:tblPr>
        <w:tblStyle w:val="1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02"/>
        <w:gridCol w:w="2325"/>
        <w:gridCol w:w="2335"/>
        <w:gridCol w:w="23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2302" w:type="dxa"/>
            <w:vMerge w:val="restart"/>
            <w:tcBorders>
              <w:bottom w:val="single" w:color="000000" w:sz="4" w:space="0"/>
              <w:right w:val="single" w:color="000000" w:sz="4" w:space="0"/>
            </w:tcBorders>
          </w:tcPr>
          <w:p>
            <w:pPr>
              <w:pStyle w:val="19"/>
              <w:jc w:val="left"/>
              <w:rPr>
                <w:rFonts w:ascii="Times New Roman"/>
                <w:b/>
                <w:sz w:val="20"/>
              </w:rPr>
            </w:pPr>
          </w:p>
          <w:p>
            <w:pPr>
              <w:pStyle w:val="19"/>
              <w:spacing w:before="132"/>
              <w:ind w:left="205"/>
              <w:jc w:val="left"/>
              <w:rPr>
                <w:sz w:val="21"/>
              </w:rPr>
            </w:pPr>
            <w:r>
              <w:rPr>
                <w:sz w:val="21"/>
              </w:rPr>
              <w:t>影响区域生态敏感性</w:t>
            </w:r>
          </w:p>
        </w:tc>
        <w:tc>
          <w:tcPr>
            <w:tcW w:w="6982" w:type="dxa"/>
            <w:gridSpan w:val="3"/>
            <w:tcBorders>
              <w:left w:val="single" w:color="000000" w:sz="4" w:space="0"/>
              <w:bottom w:val="single" w:color="000000" w:sz="4" w:space="0"/>
            </w:tcBorders>
          </w:tcPr>
          <w:p>
            <w:pPr>
              <w:pStyle w:val="19"/>
              <w:spacing w:before="28"/>
              <w:ind w:left="2423" w:right="2404"/>
              <w:rPr>
                <w:sz w:val="21"/>
              </w:rPr>
            </w:pPr>
            <w:r>
              <w:rPr>
                <w:sz w:val="21"/>
              </w:rPr>
              <w:t>工程占地（水域）范围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2302" w:type="dxa"/>
            <w:vMerge w:val="continue"/>
            <w:tcBorders>
              <w:top w:val="nil"/>
              <w:bottom w:val="single" w:color="000000" w:sz="4" w:space="0"/>
              <w:right w:val="single" w:color="000000" w:sz="4" w:space="0"/>
            </w:tcBorders>
          </w:tcPr>
          <w:p>
            <w:pPr>
              <w:rPr>
                <w:sz w:val="2"/>
                <w:szCs w:val="2"/>
              </w:rPr>
            </w:pPr>
          </w:p>
        </w:tc>
        <w:tc>
          <w:tcPr>
            <w:tcW w:w="2325" w:type="dxa"/>
            <w:tcBorders>
              <w:top w:val="single" w:color="000000" w:sz="4" w:space="0"/>
              <w:left w:val="single" w:color="000000" w:sz="4" w:space="0"/>
              <w:bottom w:val="single" w:color="000000" w:sz="4" w:space="0"/>
              <w:right w:val="single" w:color="000000" w:sz="4" w:space="0"/>
            </w:tcBorders>
          </w:tcPr>
          <w:p>
            <w:pPr>
              <w:pStyle w:val="19"/>
              <w:spacing w:line="269" w:lineRule="exact"/>
              <w:ind w:left="481" w:right="460"/>
              <w:rPr>
                <w:rFonts w:ascii="Times New Roman" w:hAnsi="Times New Roman" w:eastAsia="Times New Roman"/>
                <w:sz w:val="13"/>
              </w:rPr>
            </w:pPr>
            <w:r>
              <w:rPr>
                <w:sz w:val="21"/>
              </w:rPr>
              <w:t>面积</w:t>
            </w:r>
            <w:r>
              <w:rPr>
                <w:rFonts w:ascii="Times New Roman" w:hAnsi="Times New Roman" w:eastAsia="Times New Roman"/>
                <w:sz w:val="21"/>
              </w:rPr>
              <w:t>≥20km</w:t>
            </w:r>
            <w:r>
              <w:rPr>
                <w:rFonts w:ascii="Times New Roman" w:hAnsi="Times New Roman" w:eastAsia="Times New Roman"/>
                <w:position w:val="7"/>
                <w:sz w:val="13"/>
              </w:rPr>
              <w:t>2</w:t>
            </w:r>
          </w:p>
          <w:p>
            <w:pPr>
              <w:pStyle w:val="19"/>
              <w:spacing w:before="57"/>
              <w:ind w:left="481" w:right="464"/>
              <w:rPr>
                <w:rFonts w:ascii="Times New Roman" w:hAnsi="Times New Roman" w:eastAsia="Times New Roman"/>
                <w:sz w:val="21"/>
              </w:rPr>
            </w:pPr>
            <w:r>
              <w:rPr>
                <w:sz w:val="21"/>
              </w:rPr>
              <w:t>或长度</w:t>
            </w:r>
            <w:r>
              <w:rPr>
                <w:rFonts w:ascii="Times New Roman" w:hAnsi="Times New Roman" w:eastAsia="Times New Roman"/>
                <w:sz w:val="21"/>
              </w:rPr>
              <w:t>≥100km</w:t>
            </w:r>
          </w:p>
        </w:tc>
        <w:tc>
          <w:tcPr>
            <w:tcW w:w="2335" w:type="dxa"/>
            <w:tcBorders>
              <w:top w:val="single" w:color="000000" w:sz="4" w:space="0"/>
              <w:left w:val="single" w:color="000000" w:sz="4" w:space="0"/>
              <w:bottom w:val="single" w:color="000000" w:sz="4" w:space="0"/>
              <w:right w:val="single" w:color="000000" w:sz="4" w:space="0"/>
            </w:tcBorders>
          </w:tcPr>
          <w:p>
            <w:pPr>
              <w:pStyle w:val="19"/>
              <w:spacing w:line="269" w:lineRule="exact"/>
              <w:ind w:left="147" w:right="128"/>
              <w:rPr>
                <w:rFonts w:ascii="Times New Roman" w:eastAsia="Times New Roman"/>
                <w:sz w:val="13"/>
              </w:rPr>
            </w:pPr>
            <w:r>
              <w:rPr>
                <w:sz w:val="21"/>
              </w:rPr>
              <w:t xml:space="preserve">面积 </w:t>
            </w:r>
            <w:r>
              <w:rPr>
                <w:rFonts w:ascii="Times New Roman" w:eastAsia="Times New Roman"/>
                <w:sz w:val="21"/>
              </w:rPr>
              <w:t>2km</w:t>
            </w:r>
            <w:r>
              <w:rPr>
                <w:rFonts w:ascii="Times New Roman" w:eastAsia="Times New Roman"/>
                <w:position w:val="7"/>
                <w:sz w:val="13"/>
              </w:rPr>
              <w:t>2</w:t>
            </w:r>
            <w:r>
              <w:rPr>
                <w:sz w:val="21"/>
              </w:rPr>
              <w:t>～</w:t>
            </w:r>
            <w:r>
              <w:rPr>
                <w:rFonts w:ascii="Times New Roman" w:eastAsia="Times New Roman"/>
                <w:sz w:val="21"/>
              </w:rPr>
              <w:t>20km</w:t>
            </w:r>
            <w:r>
              <w:rPr>
                <w:rFonts w:ascii="Times New Roman" w:eastAsia="Times New Roman"/>
                <w:position w:val="7"/>
                <w:sz w:val="13"/>
              </w:rPr>
              <w:t>2</w:t>
            </w:r>
          </w:p>
          <w:p>
            <w:pPr>
              <w:pStyle w:val="19"/>
              <w:spacing w:before="57"/>
              <w:ind w:left="147" w:right="130"/>
              <w:rPr>
                <w:rFonts w:ascii="Times New Roman" w:eastAsia="Times New Roman"/>
                <w:sz w:val="21"/>
              </w:rPr>
            </w:pPr>
            <w:r>
              <w:rPr>
                <w:sz w:val="21"/>
              </w:rPr>
              <w:t xml:space="preserve">或长度 </w:t>
            </w:r>
            <w:r>
              <w:rPr>
                <w:rFonts w:ascii="Times New Roman" w:eastAsia="Times New Roman"/>
                <w:sz w:val="21"/>
              </w:rPr>
              <w:t>50km</w:t>
            </w:r>
            <w:r>
              <w:rPr>
                <w:sz w:val="21"/>
              </w:rPr>
              <w:t>～</w:t>
            </w:r>
            <w:r>
              <w:rPr>
                <w:rFonts w:ascii="Times New Roman" w:eastAsia="Times New Roman"/>
                <w:sz w:val="21"/>
              </w:rPr>
              <w:t>100km</w:t>
            </w:r>
          </w:p>
        </w:tc>
        <w:tc>
          <w:tcPr>
            <w:tcW w:w="2322" w:type="dxa"/>
            <w:tcBorders>
              <w:top w:val="single" w:color="000000" w:sz="4" w:space="0"/>
              <w:left w:val="single" w:color="000000" w:sz="4" w:space="0"/>
              <w:bottom w:val="single" w:color="000000" w:sz="4" w:space="0"/>
            </w:tcBorders>
          </w:tcPr>
          <w:p>
            <w:pPr>
              <w:pStyle w:val="19"/>
              <w:spacing w:line="269" w:lineRule="exact"/>
              <w:ind w:left="532" w:right="509"/>
              <w:rPr>
                <w:rFonts w:ascii="Times New Roman" w:hAnsi="Times New Roman" w:eastAsia="Times New Roman"/>
                <w:sz w:val="13"/>
              </w:rPr>
            </w:pPr>
            <w:r>
              <w:rPr>
                <w:sz w:val="21"/>
              </w:rPr>
              <w:t>面积</w:t>
            </w:r>
            <w:r>
              <w:rPr>
                <w:rFonts w:ascii="Times New Roman" w:hAnsi="Times New Roman" w:eastAsia="Times New Roman"/>
                <w:sz w:val="21"/>
              </w:rPr>
              <w:t>≤2km</w:t>
            </w:r>
            <w:r>
              <w:rPr>
                <w:rFonts w:ascii="Times New Roman" w:hAnsi="Times New Roman" w:eastAsia="Times New Roman"/>
                <w:position w:val="7"/>
                <w:sz w:val="13"/>
              </w:rPr>
              <w:t>2</w:t>
            </w:r>
          </w:p>
          <w:p>
            <w:pPr>
              <w:pStyle w:val="19"/>
              <w:spacing w:before="57"/>
              <w:ind w:left="532" w:right="511"/>
              <w:rPr>
                <w:rFonts w:ascii="Times New Roman" w:hAnsi="Times New Roman" w:eastAsia="Times New Roman"/>
                <w:sz w:val="21"/>
              </w:rPr>
            </w:pPr>
            <w:r>
              <w:rPr>
                <w:sz w:val="21"/>
              </w:rPr>
              <w:t>或长度</w:t>
            </w:r>
            <w:r>
              <w:rPr>
                <w:rFonts w:ascii="Times New Roman" w:hAnsi="Times New Roman" w:eastAsia="Times New Roman"/>
                <w:sz w:val="21"/>
              </w:rPr>
              <w:t>≤50km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2302" w:type="dxa"/>
            <w:tcBorders>
              <w:top w:val="single" w:color="000000" w:sz="4" w:space="0"/>
              <w:bottom w:val="single" w:color="000000" w:sz="4" w:space="0"/>
              <w:right w:val="single" w:color="000000" w:sz="4" w:space="0"/>
            </w:tcBorders>
          </w:tcPr>
          <w:p>
            <w:pPr>
              <w:pStyle w:val="19"/>
              <w:spacing w:before="22"/>
              <w:ind w:left="396" w:right="381"/>
              <w:rPr>
                <w:sz w:val="21"/>
              </w:rPr>
            </w:pPr>
            <w:r>
              <w:rPr>
                <w:sz w:val="21"/>
              </w:rPr>
              <w:t>特殊生态敏感区</w:t>
            </w:r>
          </w:p>
        </w:tc>
        <w:tc>
          <w:tcPr>
            <w:tcW w:w="2325" w:type="dxa"/>
            <w:tcBorders>
              <w:top w:val="single" w:color="000000" w:sz="4" w:space="0"/>
              <w:left w:val="single" w:color="000000" w:sz="4" w:space="0"/>
              <w:bottom w:val="single" w:color="000000" w:sz="4" w:space="0"/>
              <w:right w:val="single" w:color="000000" w:sz="4" w:space="0"/>
            </w:tcBorders>
          </w:tcPr>
          <w:p>
            <w:pPr>
              <w:pStyle w:val="19"/>
              <w:spacing w:before="22"/>
              <w:ind w:left="479" w:right="464"/>
              <w:rPr>
                <w:sz w:val="21"/>
              </w:rPr>
            </w:pPr>
            <w:r>
              <w:rPr>
                <w:sz w:val="21"/>
              </w:rPr>
              <w:t>一级</w:t>
            </w:r>
          </w:p>
        </w:tc>
        <w:tc>
          <w:tcPr>
            <w:tcW w:w="2335" w:type="dxa"/>
            <w:tcBorders>
              <w:top w:val="single" w:color="000000" w:sz="4" w:space="0"/>
              <w:left w:val="single" w:color="000000" w:sz="4" w:space="0"/>
              <w:bottom w:val="single" w:color="000000" w:sz="4" w:space="0"/>
              <w:right w:val="single" w:color="000000" w:sz="4" w:space="0"/>
            </w:tcBorders>
          </w:tcPr>
          <w:p>
            <w:pPr>
              <w:pStyle w:val="19"/>
              <w:spacing w:before="22"/>
              <w:ind w:left="146" w:right="130"/>
              <w:rPr>
                <w:sz w:val="21"/>
              </w:rPr>
            </w:pPr>
            <w:r>
              <w:rPr>
                <w:sz w:val="21"/>
              </w:rPr>
              <w:t>一级</w:t>
            </w:r>
          </w:p>
        </w:tc>
        <w:tc>
          <w:tcPr>
            <w:tcW w:w="2322" w:type="dxa"/>
            <w:tcBorders>
              <w:top w:val="single" w:color="000000" w:sz="4" w:space="0"/>
              <w:left w:val="single" w:color="000000" w:sz="4" w:space="0"/>
              <w:bottom w:val="single" w:color="000000" w:sz="4" w:space="0"/>
            </w:tcBorders>
          </w:tcPr>
          <w:p>
            <w:pPr>
              <w:pStyle w:val="19"/>
              <w:spacing w:before="22"/>
              <w:ind w:right="932"/>
              <w:jc w:val="right"/>
              <w:rPr>
                <w:sz w:val="21"/>
              </w:rPr>
            </w:pPr>
            <w:r>
              <w:rPr>
                <w:w w:val="95"/>
                <w:sz w:val="21"/>
              </w:rPr>
              <w:t>一级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2302" w:type="dxa"/>
            <w:tcBorders>
              <w:top w:val="single" w:color="000000" w:sz="4" w:space="0"/>
              <w:bottom w:val="single" w:color="000000" w:sz="4" w:space="0"/>
              <w:right w:val="single" w:color="000000" w:sz="4" w:space="0"/>
            </w:tcBorders>
          </w:tcPr>
          <w:p>
            <w:pPr>
              <w:pStyle w:val="19"/>
              <w:spacing w:before="29"/>
              <w:ind w:left="396" w:right="381"/>
              <w:rPr>
                <w:sz w:val="21"/>
              </w:rPr>
            </w:pPr>
            <w:r>
              <w:rPr>
                <w:sz w:val="21"/>
              </w:rPr>
              <w:t>重要生态敏感区</w:t>
            </w:r>
          </w:p>
        </w:tc>
        <w:tc>
          <w:tcPr>
            <w:tcW w:w="2325" w:type="dxa"/>
            <w:tcBorders>
              <w:top w:val="single" w:color="000000" w:sz="4" w:space="0"/>
              <w:left w:val="single" w:color="000000" w:sz="4" w:space="0"/>
              <w:bottom w:val="single" w:color="000000" w:sz="4" w:space="0"/>
              <w:right w:val="single" w:color="000000" w:sz="4" w:space="0"/>
            </w:tcBorders>
          </w:tcPr>
          <w:p>
            <w:pPr>
              <w:pStyle w:val="19"/>
              <w:spacing w:before="29"/>
              <w:ind w:left="479" w:right="464"/>
              <w:rPr>
                <w:sz w:val="21"/>
              </w:rPr>
            </w:pPr>
            <w:r>
              <w:rPr>
                <w:sz w:val="21"/>
              </w:rPr>
              <w:t>一级</w:t>
            </w:r>
          </w:p>
        </w:tc>
        <w:tc>
          <w:tcPr>
            <w:tcW w:w="2335" w:type="dxa"/>
            <w:tcBorders>
              <w:top w:val="single" w:color="000000" w:sz="4" w:space="0"/>
              <w:left w:val="single" w:color="000000" w:sz="4" w:space="0"/>
              <w:bottom w:val="single" w:color="000000" w:sz="4" w:space="0"/>
              <w:right w:val="single" w:color="000000" w:sz="4" w:space="0"/>
            </w:tcBorders>
          </w:tcPr>
          <w:p>
            <w:pPr>
              <w:pStyle w:val="19"/>
              <w:spacing w:before="29"/>
              <w:ind w:left="146" w:right="130"/>
              <w:rPr>
                <w:sz w:val="21"/>
              </w:rPr>
            </w:pPr>
            <w:r>
              <w:rPr>
                <w:sz w:val="21"/>
              </w:rPr>
              <w:t>二级</w:t>
            </w:r>
          </w:p>
        </w:tc>
        <w:tc>
          <w:tcPr>
            <w:tcW w:w="2322" w:type="dxa"/>
            <w:tcBorders>
              <w:top w:val="single" w:color="000000" w:sz="4" w:space="0"/>
              <w:left w:val="single" w:color="000000" w:sz="4" w:space="0"/>
              <w:bottom w:val="single" w:color="000000" w:sz="4" w:space="0"/>
            </w:tcBorders>
          </w:tcPr>
          <w:p>
            <w:pPr>
              <w:pStyle w:val="19"/>
              <w:spacing w:before="29"/>
              <w:ind w:right="932"/>
              <w:jc w:val="right"/>
              <w:rPr>
                <w:sz w:val="21"/>
              </w:rPr>
            </w:pPr>
            <w:r>
              <w:rPr>
                <w:w w:val="95"/>
                <w:sz w:val="21"/>
              </w:rPr>
              <w:t>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5" w:hRule="atLeast"/>
        </w:trPr>
        <w:tc>
          <w:tcPr>
            <w:tcW w:w="2302" w:type="dxa"/>
            <w:tcBorders>
              <w:top w:val="single" w:color="000000" w:sz="4" w:space="0"/>
              <w:right w:val="single" w:color="000000" w:sz="4" w:space="0"/>
            </w:tcBorders>
          </w:tcPr>
          <w:p>
            <w:pPr>
              <w:pStyle w:val="19"/>
              <w:spacing w:before="29"/>
              <w:ind w:left="393" w:right="381"/>
              <w:rPr>
                <w:sz w:val="21"/>
              </w:rPr>
            </w:pPr>
            <w:r>
              <w:rPr>
                <w:sz w:val="21"/>
              </w:rPr>
              <w:t>一般区域</w:t>
            </w:r>
          </w:p>
        </w:tc>
        <w:tc>
          <w:tcPr>
            <w:tcW w:w="2325" w:type="dxa"/>
            <w:tcBorders>
              <w:top w:val="single" w:color="000000" w:sz="4" w:space="0"/>
              <w:left w:val="single" w:color="000000" w:sz="4" w:space="0"/>
              <w:right w:val="single" w:color="000000" w:sz="4" w:space="0"/>
            </w:tcBorders>
          </w:tcPr>
          <w:p>
            <w:pPr>
              <w:pStyle w:val="19"/>
              <w:spacing w:before="29"/>
              <w:ind w:left="479" w:right="464"/>
              <w:rPr>
                <w:sz w:val="21"/>
              </w:rPr>
            </w:pPr>
            <w:r>
              <w:rPr>
                <w:sz w:val="21"/>
              </w:rPr>
              <w:t>二级</w:t>
            </w:r>
          </w:p>
        </w:tc>
        <w:tc>
          <w:tcPr>
            <w:tcW w:w="2335" w:type="dxa"/>
            <w:tcBorders>
              <w:top w:val="single" w:color="000000" w:sz="4" w:space="0"/>
              <w:left w:val="single" w:color="000000" w:sz="4" w:space="0"/>
              <w:right w:val="single" w:color="000000" w:sz="4" w:space="0"/>
            </w:tcBorders>
          </w:tcPr>
          <w:p>
            <w:pPr>
              <w:pStyle w:val="19"/>
              <w:spacing w:before="29"/>
              <w:ind w:left="146" w:right="130"/>
              <w:rPr>
                <w:sz w:val="21"/>
              </w:rPr>
            </w:pPr>
            <w:r>
              <w:rPr>
                <w:sz w:val="21"/>
              </w:rPr>
              <w:t>三级</w:t>
            </w:r>
          </w:p>
        </w:tc>
        <w:tc>
          <w:tcPr>
            <w:tcW w:w="2322" w:type="dxa"/>
            <w:tcBorders>
              <w:top w:val="single" w:color="000000" w:sz="4" w:space="0"/>
              <w:left w:val="single" w:color="000000" w:sz="4" w:space="0"/>
            </w:tcBorders>
          </w:tcPr>
          <w:p>
            <w:pPr>
              <w:pStyle w:val="19"/>
              <w:spacing w:before="29"/>
              <w:ind w:right="932"/>
              <w:jc w:val="right"/>
              <w:rPr>
                <w:sz w:val="21"/>
              </w:rPr>
            </w:pPr>
            <w:r>
              <w:rPr>
                <w:w w:val="95"/>
                <w:sz w:val="21"/>
              </w:rPr>
              <w:t>三级</w:t>
            </w:r>
          </w:p>
        </w:tc>
      </w:tr>
    </w:tbl>
    <w:p>
      <w:pPr>
        <w:pStyle w:val="9"/>
        <w:spacing w:before="160" w:line="388" w:lineRule="auto"/>
        <w:ind w:left="218" w:right="194" w:firstLine="480"/>
      </w:pPr>
      <w:r>
        <w:t>据影响区域的生态敏感性和评价项目的工程占地（含水域）范围，包括永久占地和临时占地，划分生态影响评价等级。本项目所在地属于一般区域，项目用地总面积</w:t>
      </w:r>
    </w:p>
    <w:p>
      <w:pPr>
        <w:spacing w:after="0" w:line="388" w:lineRule="auto"/>
        <w:sectPr>
          <w:pgSz w:w="11910" w:h="16840"/>
          <w:pgMar w:top="1400" w:right="1160" w:bottom="1180" w:left="1200" w:header="0" w:footer="913" w:gutter="0"/>
        </w:sectPr>
      </w:pPr>
    </w:p>
    <w:p>
      <w:pPr>
        <w:pStyle w:val="9"/>
        <w:spacing w:before="59" w:line="391" w:lineRule="auto"/>
        <w:ind w:left="218" w:right="251"/>
        <w:jc w:val="both"/>
      </w:pPr>
      <w:r>
        <w:rPr>
          <w:rFonts w:ascii="Calibri" w:eastAsia="Calibri"/>
        </w:rPr>
        <w:t>6.1999</w:t>
      </w:r>
      <w:r>
        <w:rPr>
          <w:rFonts w:ascii="Times New Roman" w:eastAsia="Times New Roman"/>
        </w:rPr>
        <w:t>km</w:t>
      </w:r>
      <w:r>
        <w:rPr>
          <w:rFonts w:ascii="Times New Roman" w:eastAsia="Times New Roman"/>
          <w:position w:val="8"/>
          <w:sz w:val="15"/>
        </w:rPr>
        <w:t>2</w:t>
      </w:r>
      <w:r>
        <w:rPr>
          <w:spacing w:val="-6"/>
        </w:rPr>
        <w:t xml:space="preserve">，面积在 </w:t>
      </w:r>
      <w:r>
        <w:rPr>
          <w:rFonts w:ascii="Times New Roman" w:eastAsia="Times New Roman"/>
        </w:rPr>
        <w:t>2km</w:t>
      </w:r>
      <w:r>
        <w:rPr>
          <w:rFonts w:ascii="Times New Roman" w:eastAsia="Times New Roman"/>
          <w:position w:val="8"/>
          <w:sz w:val="15"/>
        </w:rPr>
        <w:t>2</w:t>
      </w:r>
      <w:r>
        <w:t>～</w:t>
      </w:r>
      <w:r>
        <w:rPr>
          <w:rFonts w:ascii="Times New Roman" w:eastAsia="Times New Roman"/>
        </w:rPr>
        <w:t>20km</w:t>
      </w:r>
      <w:r>
        <w:rPr>
          <w:rFonts w:ascii="Times New Roman" w:eastAsia="Times New Roman"/>
          <w:position w:val="8"/>
          <w:sz w:val="15"/>
        </w:rPr>
        <w:t xml:space="preserve">2 </w:t>
      </w:r>
      <w:r>
        <w:t>之间，故生态影响评价等级为三级。根据《环境影响评价技术导则生态影响》（</w:t>
      </w:r>
      <w:r>
        <w:rPr>
          <w:rFonts w:ascii="Times New Roman" w:eastAsia="Times New Roman"/>
        </w:rPr>
        <w:t>HJ19-2011</w:t>
      </w:r>
      <w:r>
        <w:t>）及《双鸭山盟度矿业有限责任公司</w:t>
      </w:r>
      <w:r>
        <w:rPr>
          <w:spacing w:val="4"/>
        </w:rPr>
        <w:t>（</w:t>
      </w:r>
      <w:r>
        <w:t>原双鸭山双兴时代矿业有限责任公司第二煤矿</w:t>
      </w:r>
      <w:r>
        <w:rPr>
          <w:spacing w:val="-17"/>
        </w:rPr>
        <w:t>）</w:t>
      </w:r>
      <w:r>
        <w:rPr>
          <w:spacing w:val="-4"/>
        </w:rPr>
        <w:t>矿山地质环境保护与土地复垦方案》，本项目矿</w:t>
      </w:r>
      <w:r>
        <w:rPr>
          <w:spacing w:val="-5"/>
        </w:rPr>
        <w:t>区及沉陷范围内大部分为林地，现有沉陷范围区域处于丘陵区域，地表有起伏，沉陷程</w:t>
      </w:r>
      <w:r>
        <w:t>度不大</w:t>
      </w:r>
      <w:r>
        <w:rPr>
          <w:color w:val="FF0000"/>
        </w:rPr>
        <w:t>，但矿山开采可能导致矿区土地利用类型明显改变，本次评价等级上调一级。</w:t>
      </w:r>
    </w:p>
    <w:p>
      <w:pPr>
        <w:pStyle w:val="9"/>
        <w:spacing w:line="302" w:lineRule="exact"/>
        <w:ind w:left="698"/>
      </w:pPr>
      <w:r>
        <w:rPr>
          <w:color w:val="FF0000"/>
        </w:rPr>
        <w:t>综上，本项目生态影响评价等级为二级。</w:t>
      </w:r>
    </w:p>
    <w:p>
      <w:pPr>
        <w:pStyle w:val="6"/>
        <w:numPr>
          <w:ilvl w:val="2"/>
          <w:numId w:val="25"/>
        </w:numPr>
        <w:tabs>
          <w:tab w:val="left" w:pos="848"/>
        </w:tabs>
        <w:spacing w:before="35" w:after="0" w:line="240" w:lineRule="auto"/>
        <w:ind w:left="847" w:right="0" w:hanging="630"/>
        <w:jc w:val="left"/>
      </w:pPr>
      <w:bookmarkStart w:id="89" w:name="1.4.5地下水环境"/>
      <w:bookmarkEnd w:id="89"/>
      <w:bookmarkStart w:id="90" w:name="1.4.5地下水环境"/>
      <w:bookmarkEnd w:id="90"/>
      <w:r>
        <w:rPr>
          <w:spacing w:val="-1"/>
          <w:w w:val="95"/>
        </w:rPr>
        <w:t>地下水环境</w:t>
      </w:r>
    </w:p>
    <w:p>
      <w:pPr>
        <w:pStyle w:val="9"/>
        <w:spacing w:before="185" w:line="364" w:lineRule="auto"/>
        <w:ind w:left="218" w:right="251" w:firstLine="480"/>
        <w:jc w:val="both"/>
      </w:pPr>
      <w:r>
        <w:rPr>
          <w:spacing w:val="-4"/>
        </w:rPr>
        <w:t>根据《环境影响评价技术导则地下水环境》</w:t>
      </w:r>
      <w:r>
        <w:t>（</w:t>
      </w:r>
      <w:r>
        <w:rPr>
          <w:rFonts w:ascii="Times New Roman" w:eastAsia="Times New Roman"/>
        </w:rPr>
        <w:t>HJ610-2016</w:t>
      </w:r>
      <w:r>
        <w:t>）</w:t>
      </w:r>
      <w:r>
        <w:rPr>
          <w:spacing w:val="-2"/>
        </w:rPr>
        <w:t>对建设项目地下水评价</w:t>
      </w:r>
      <w:r>
        <w:rPr>
          <w:spacing w:val="-7"/>
        </w:rPr>
        <w:t>的要求，根据建设项目行业分类和地下水环境敏感程度分级进行判定，确定该项目地下</w:t>
      </w:r>
      <w:r>
        <w:t>水环境影响评价工作等级。</w:t>
      </w:r>
    </w:p>
    <w:p>
      <w:pPr>
        <w:pStyle w:val="8"/>
        <w:numPr>
          <w:ilvl w:val="3"/>
          <w:numId w:val="25"/>
        </w:numPr>
        <w:tabs>
          <w:tab w:val="left" w:pos="939"/>
        </w:tabs>
        <w:spacing w:before="0" w:after="0" w:line="307" w:lineRule="exact"/>
        <w:ind w:left="938" w:right="0" w:hanging="721"/>
        <w:jc w:val="left"/>
      </w:pPr>
      <w:bookmarkStart w:id="91" w:name="1.4.5.1建设项目分类"/>
      <w:bookmarkEnd w:id="91"/>
      <w:bookmarkStart w:id="92" w:name="1.4.5.1建设项目分类"/>
      <w:bookmarkEnd w:id="92"/>
      <w:r>
        <w:t>建设项目分类</w:t>
      </w:r>
    </w:p>
    <w:p>
      <w:pPr>
        <w:pStyle w:val="9"/>
        <w:spacing w:before="158" w:line="364" w:lineRule="auto"/>
        <w:ind w:left="218" w:right="257" w:firstLine="480"/>
        <w:jc w:val="both"/>
      </w:pPr>
      <w:r>
        <w:rPr>
          <w:spacing w:val="-4"/>
        </w:rPr>
        <w:t>根据《环境影响评价技术导则地下水》</w:t>
      </w:r>
      <w:r>
        <w:t>（</w:t>
      </w:r>
      <w:r>
        <w:rPr>
          <w:rFonts w:ascii="Times New Roman" w:hAnsi="Times New Roman" w:eastAsia="Times New Roman"/>
        </w:rPr>
        <w:t>HJ610-2016</w:t>
      </w:r>
      <w:r>
        <w:t>）</w:t>
      </w:r>
      <w:r>
        <w:rPr>
          <w:spacing w:val="-22"/>
        </w:rPr>
        <w:t xml:space="preserve">附录 </w:t>
      </w:r>
      <w:r>
        <w:rPr>
          <w:rFonts w:ascii="Times New Roman" w:hAnsi="Times New Roman" w:eastAsia="Times New Roman"/>
          <w:spacing w:val="-5"/>
        </w:rPr>
        <w:t>A</w:t>
      </w:r>
      <w:r>
        <w:rPr>
          <w:spacing w:val="-4"/>
        </w:rPr>
        <w:t>：地下水环境影响评</w:t>
      </w:r>
      <w:r>
        <w:rPr>
          <w:spacing w:val="-6"/>
        </w:rPr>
        <w:t>价行业分类表，本项目为煤炭开采，工业广场内矸石暂存场为Ⅱ类项目，其余为Ⅲ类项</w:t>
      </w:r>
      <w:r>
        <w:t>目。</w:t>
      </w:r>
    </w:p>
    <w:p>
      <w:pPr>
        <w:spacing w:before="0" w:after="2" w:line="267" w:lineRule="exact"/>
        <w:ind w:left="303" w:right="330" w:firstLine="0"/>
        <w:jc w:val="center"/>
        <w:rPr>
          <w:b/>
          <w:sz w:val="21"/>
        </w:rPr>
      </w:pPr>
      <w:r>
        <w:rPr>
          <w:b/>
          <w:spacing w:val="-26"/>
          <w:sz w:val="21"/>
        </w:rPr>
        <w:t xml:space="preserve">表 </w:t>
      </w:r>
      <w:r>
        <w:rPr>
          <w:rFonts w:ascii="Times New Roman" w:eastAsia="Times New Roman"/>
          <w:b/>
          <w:sz w:val="21"/>
        </w:rPr>
        <w:t>1.4-9</w:t>
      </w:r>
      <w:r>
        <w:rPr>
          <w:rFonts w:ascii="Times New Roman" w:eastAsia="Times New Roman"/>
          <w:b/>
          <w:spacing w:val="52"/>
          <w:sz w:val="21"/>
        </w:rPr>
        <w:t xml:space="preserve"> </w:t>
      </w:r>
      <w:r>
        <w:rPr>
          <w:b/>
          <w:sz w:val="21"/>
        </w:rPr>
        <w:t>地下水环境影响评价行业分类表</w:t>
      </w: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565"/>
        <w:gridCol w:w="2709"/>
        <w:gridCol w:w="928"/>
        <w:gridCol w:w="1921"/>
        <w:gridCol w:w="11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2565" w:type="dxa"/>
            <w:vMerge w:val="restart"/>
            <w:tcBorders>
              <w:bottom w:val="single" w:color="000000" w:sz="4" w:space="0"/>
              <w:right w:val="single" w:color="000000" w:sz="4" w:space="0"/>
            </w:tcBorders>
          </w:tcPr>
          <w:p>
            <w:pPr>
              <w:pStyle w:val="19"/>
              <w:spacing w:before="4"/>
              <w:ind w:left="1576"/>
              <w:jc w:val="left"/>
              <w:rPr>
                <w:sz w:val="21"/>
              </w:rPr>
            </w:pPr>
            <w:r>
              <w:rPr>
                <w:sz w:val="21"/>
              </w:rPr>
              <w:t>环评类别</w:t>
            </w:r>
          </w:p>
          <w:p>
            <w:pPr>
              <w:pStyle w:val="19"/>
              <w:spacing w:before="5" w:line="257" w:lineRule="exact"/>
              <w:ind w:left="108"/>
              <w:jc w:val="left"/>
              <w:rPr>
                <w:sz w:val="21"/>
              </w:rPr>
            </w:pPr>
            <w:r>
              <w:rPr>
                <w:sz w:val="21"/>
              </w:rPr>
              <w:t>行业类别</w:t>
            </w:r>
          </w:p>
        </w:tc>
        <w:tc>
          <w:tcPr>
            <w:tcW w:w="2709" w:type="dxa"/>
            <w:vMerge w:val="restart"/>
            <w:tcBorders>
              <w:left w:val="single" w:color="000000" w:sz="4" w:space="0"/>
              <w:bottom w:val="single" w:color="000000" w:sz="4" w:space="0"/>
              <w:right w:val="single" w:color="000000" w:sz="4" w:space="0"/>
            </w:tcBorders>
          </w:tcPr>
          <w:p>
            <w:pPr>
              <w:pStyle w:val="19"/>
              <w:spacing w:before="141"/>
              <w:ind w:left="1021" w:right="1007"/>
              <w:rPr>
                <w:sz w:val="21"/>
              </w:rPr>
            </w:pPr>
            <w:r>
              <w:rPr>
                <w:sz w:val="21"/>
              </w:rPr>
              <w:t>报告书</w:t>
            </w:r>
          </w:p>
        </w:tc>
        <w:tc>
          <w:tcPr>
            <w:tcW w:w="928" w:type="dxa"/>
            <w:vMerge w:val="restart"/>
            <w:tcBorders>
              <w:left w:val="single" w:color="000000" w:sz="4" w:space="0"/>
              <w:bottom w:val="single" w:color="000000" w:sz="4" w:space="0"/>
              <w:right w:val="single" w:color="000000" w:sz="4" w:space="0"/>
            </w:tcBorders>
          </w:tcPr>
          <w:p>
            <w:pPr>
              <w:pStyle w:val="19"/>
              <w:spacing w:before="141"/>
              <w:ind w:left="152"/>
              <w:jc w:val="left"/>
              <w:rPr>
                <w:sz w:val="21"/>
              </w:rPr>
            </w:pPr>
            <w:r>
              <w:rPr>
                <w:sz w:val="21"/>
              </w:rPr>
              <w:t>报告表</w:t>
            </w:r>
          </w:p>
        </w:tc>
        <w:tc>
          <w:tcPr>
            <w:tcW w:w="3077" w:type="dxa"/>
            <w:gridSpan w:val="2"/>
            <w:tcBorders>
              <w:left w:val="single" w:color="000000" w:sz="4" w:space="0"/>
              <w:bottom w:val="single" w:color="000000" w:sz="4" w:space="0"/>
            </w:tcBorders>
          </w:tcPr>
          <w:p>
            <w:pPr>
              <w:pStyle w:val="19"/>
              <w:spacing w:before="2" w:line="251" w:lineRule="exact"/>
              <w:ind w:left="177"/>
              <w:jc w:val="left"/>
              <w:rPr>
                <w:sz w:val="21"/>
              </w:rPr>
            </w:pPr>
            <w:r>
              <w:rPr>
                <w:sz w:val="21"/>
              </w:rPr>
              <w:t>地下水环境影响评价项目类别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2565" w:type="dxa"/>
            <w:vMerge w:val="continue"/>
            <w:tcBorders>
              <w:top w:val="nil"/>
              <w:bottom w:val="single" w:color="000000" w:sz="4" w:space="0"/>
              <w:right w:val="single" w:color="000000" w:sz="4" w:space="0"/>
            </w:tcBorders>
          </w:tcPr>
          <w:p>
            <w:pPr>
              <w:rPr>
                <w:sz w:val="2"/>
                <w:szCs w:val="2"/>
              </w:rPr>
            </w:pPr>
          </w:p>
        </w:tc>
        <w:tc>
          <w:tcPr>
            <w:tcW w:w="2709" w:type="dxa"/>
            <w:vMerge w:val="continue"/>
            <w:tcBorders>
              <w:top w:val="nil"/>
              <w:left w:val="single" w:color="000000" w:sz="4" w:space="0"/>
              <w:bottom w:val="single" w:color="000000" w:sz="4" w:space="0"/>
              <w:right w:val="single" w:color="000000" w:sz="4" w:space="0"/>
            </w:tcBorders>
          </w:tcPr>
          <w:p>
            <w:pPr>
              <w:rPr>
                <w:sz w:val="2"/>
                <w:szCs w:val="2"/>
              </w:rPr>
            </w:pPr>
          </w:p>
        </w:tc>
        <w:tc>
          <w:tcPr>
            <w:tcW w:w="928" w:type="dxa"/>
            <w:vMerge w:val="continue"/>
            <w:tcBorders>
              <w:top w:val="nil"/>
              <w:left w:val="single" w:color="000000" w:sz="4" w:space="0"/>
              <w:bottom w:val="single" w:color="000000" w:sz="4" w:space="0"/>
              <w:right w:val="single" w:color="000000" w:sz="4" w:space="0"/>
            </w:tcBorders>
          </w:tcPr>
          <w:p>
            <w:pPr>
              <w:rPr>
                <w:sz w:val="2"/>
                <w:szCs w:val="2"/>
              </w:rPr>
            </w:pPr>
          </w:p>
        </w:tc>
        <w:tc>
          <w:tcPr>
            <w:tcW w:w="1921" w:type="dxa"/>
            <w:tcBorders>
              <w:top w:val="single" w:color="000000" w:sz="4" w:space="0"/>
              <w:left w:val="single" w:color="000000" w:sz="4" w:space="0"/>
              <w:bottom w:val="single" w:color="000000" w:sz="4" w:space="0"/>
              <w:right w:val="single" w:color="000000" w:sz="4" w:space="0"/>
            </w:tcBorders>
          </w:tcPr>
          <w:p>
            <w:pPr>
              <w:pStyle w:val="19"/>
              <w:spacing w:line="252" w:lineRule="exact"/>
              <w:ind w:left="650"/>
              <w:jc w:val="left"/>
              <w:rPr>
                <w:sz w:val="21"/>
              </w:rPr>
            </w:pPr>
            <w:r>
              <w:rPr>
                <w:sz w:val="21"/>
              </w:rPr>
              <w:t>报告书</w:t>
            </w:r>
          </w:p>
        </w:tc>
        <w:tc>
          <w:tcPr>
            <w:tcW w:w="1156" w:type="dxa"/>
            <w:tcBorders>
              <w:top w:val="single" w:color="000000" w:sz="4" w:space="0"/>
              <w:left w:val="single" w:color="000000" w:sz="4" w:space="0"/>
              <w:bottom w:val="single" w:color="000000" w:sz="4" w:space="0"/>
            </w:tcBorders>
          </w:tcPr>
          <w:p>
            <w:pPr>
              <w:pStyle w:val="19"/>
              <w:spacing w:line="252" w:lineRule="exact"/>
              <w:ind w:left="247" w:right="224"/>
              <w:rPr>
                <w:sz w:val="21"/>
              </w:rPr>
            </w:pPr>
            <w:r>
              <w:rPr>
                <w:sz w:val="21"/>
              </w:rPr>
              <w:t>报告表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9279" w:type="dxa"/>
            <w:gridSpan w:val="5"/>
            <w:tcBorders>
              <w:top w:val="single" w:color="000000" w:sz="4" w:space="0"/>
              <w:bottom w:val="single" w:color="000000" w:sz="4" w:space="0"/>
            </w:tcBorders>
          </w:tcPr>
          <w:p>
            <w:pPr>
              <w:pStyle w:val="19"/>
              <w:spacing w:line="251" w:lineRule="exact"/>
              <w:ind w:left="108"/>
              <w:jc w:val="left"/>
              <w:rPr>
                <w:sz w:val="21"/>
              </w:rPr>
            </w:pPr>
            <w:r>
              <w:rPr>
                <w:rFonts w:ascii="Times New Roman" w:eastAsia="Times New Roman"/>
                <w:sz w:val="21"/>
              </w:rPr>
              <w:t xml:space="preserve">D </w:t>
            </w:r>
            <w:r>
              <w:rPr>
                <w:sz w:val="21"/>
              </w:rPr>
              <w:t>煤炭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2565" w:type="dxa"/>
            <w:tcBorders>
              <w:top w:val="single" w:color="000000" w:sz="4" w:space="0"/>
              <w:bottom w:val="single" w:color="000000" w:sz="4" w:space="0"/>
              <w:right w:val="single" w:color="000000" w:sz="4" w:space="0"/>
            </w:tcBorders>
          </w:tcPr>
          <w:p>
            <w:pPr>
              <w:pStyle w:val="19"/>
              <w:spacing w:before="136"/>
              <w:ind w:left="108"/>
              <w:jc w:val="left"/>
              <w:rPr>
                <w:sz w:val="21"/>
              </w:rPr>
            </w:pPr>
            <w:r>
              <w:rPr>
                <w:rFonts w:ascii="Times New Roman" w:eastAsia="Times New Roman"/>
                <w:sz w:val="21"/>
              </w:rPr>
              <w:t xml:space="preserve">25 </w:t>
            </w:r>
            <w:r>
              <w:rPr>
                <w:sz w:val="21"/>
              </w:rPr>
              <w:t>煤层气开采</w:t>
            </w:r>
          </w:p>
        </w:tc>
        <w:tc>
          <w:tcPr>
            <w:tcW w:w="2709" w:type="dxa"/>
            <w:tcBorders>
              <w:top w:val="single" w:color="000000" w:sz="4" w:space="0"/>
              <w:left w:val="single" w:color="000000" w:sz="4" w:space="0"/>
              <w:bottom w:val="single" w:color="000000" w:sz="4" w:space="0"/>
              <w:right w:val="single" w:color="000000" w:sz="4" w:space="0"/>
            </w:tcBorders>
          </w:tcPr>
          <w:p>
            <w:pPr>
              <w:pStyle w:val="19"/>
              <w:spacing w:before="1" w:line="270" w:lineRule="atLeast"/>
              <w:ind w:left="308" w:right="94" w:hanging="195"/>
              <w:jc w:val="left"/>
              <w:rPr>
                <w:sz w:val="21"/>
              </w:rPr>
            </w:pPr>
            <w:r>
              <w:rPr>
                <w:spacing w:val="-12"/>
                <w:sz w:val="21"/>
              </w:rPr>
              <w:t xml:space="preserve">年生产能力 </w:t>
            </w:r>
            <w:r>
              <w:rPr>
                <w:rFonts w:ascii="Times New Roman" w:eastAsia="Times New Roman"/>
                <w:sz w:val="21"/>
              </w:rPr>
              <w:t xml:space="preserve">1 </w:t>
            </w:r>
            <w:r>
              <w:rPr>
                <w:spacing w:val="-2"/>
                <w:sz w:val="21"/>
              </w:rPr>
              <w:t>亿立方米及以</w:t>
            </w:r>
            <w:r>
              <w:rPr>
                <w:sz w:val="21"/>
              </w:rPr>
              <w:t>上；涉及环境敏感区的</w:t>
            </w:r>
          </w:p>
        </w:tc>
        <w:tc>
          <w:tcPr>
            <w:tcW w:w="928" w:type="dxa"/>
            <w:tcBorders>
              <w:top w:val="single" w:color="000000" w:sz="4" w:space="0"/>
              <w:left w:val="single" w:color="000000" w:sz="4" w:space="0"/>
              <w:bottom w:val="single" w:color="000000" w:sz="4" w:space="0"/>
              <w:right w:val="single" w:color="000000" w:sz="4" w:space="0"/>
            </w:tcBorders>
          </w:tcPr>
          <w:p>
            <w:pPr>
              <w:pStyle w:val="19"/>
              <w:spacing w:before="136"/>
              <w:ind w:left="237" w:right="221"/>
              <w:rPr>
                <w:sz w:val="21"/>
              </w:rPr>
            </w:pPr>
            <w:r>
              <w:rPr>
                <w:sz w:val="21"/>
              </w:rPr>
              <w:t>其他</w:t>
            </w:r>
          </w:p>
        </w:tc>
        <w:tc>
          <w:tcPr>
            <w:tcW w:w="1921" w:type="dxa"/>
            <w:tcBorders>
              <w:top w:val="single" w:color="000000" w:sz="4" w:space="0"/>
              <w:left w:val="single" w:color="000000" w:sz="4" w:space="0"/>
              <w:bottom w:val="single" w:color="000000" w:sz="4" w:space="0"/>
              <w:right w:val="single" w:color="000000" w:sz="4" w:space="0"/>
            </w:tcBorders>
          </w:tcPr>
          <w:p>
            <w:pPr>
              <w:pStyle w:val="19"/>
              <w:spacing w:before="1" w:line="270" w:lineRule="atLeast"/>
              <w:ind w:left="333" w:right="209" w:hanging="104"/>
              <w:jc w:val="left"/>
              <w:rPr>
                <w:sz w:val="21"/>
              </w:rPr>
            </w:pPr>
            <w:r>
              <w:rPr>
                <w:sz w:val="21"/>
              </w:rPr>
              <w:t>水力压裂工艺Ⅱ 类；其余Ⅲ类</w:t>
            </w:r>
          </w:p>
        </w:tc>
        <w:tc>
          <w:tcPr>
            <w:tcW w:w="1156" w:type="dxa"/>
            <w:tcBorders>
              <w:top w:val="single" w:color="000000" w:sz="4" w:space="0"/>
              <w:left w:val="single" w:color="000000" w:sz="4" w:space="0"/>
              <w:bottom w:val="single" w:color="000000" w:sz="4" w:space="0"/>
            </w:tcBorders>
          </w:tcPr>
          <w:p>
            <w:pPr>
              <w:pStyle w:val="19"/>
              <w:spacing w:before="136"/>
              <w:ind w:left="247" w:right="224"/>
              <w:rPr>
                <w:sz w:val="21"/>
              </w:rPr>
            </w:pPr>
            <w:r>
              <w:rPr>
                <w:sz w:val="21"/>
              </w:rPr>
              <w:t>Ⅳ类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2565" w:type="dxa"/>
            <w:tcBorders>
              <w:top w:val="single" w:color="000000" w:sz="4" w:space="0"/>
              <w:right w:val="single" w:color="000000" w:sz="4" w:space="0"/>
            </w:tcBorders>
          </w:tcPr>
          <w:p>
            <w:pPr>
              <w:pStyle w:val="19"/>
              <w:spacing w:before="136"/>
              <w:ind w:left="108"/>
              <w:jc w:val="left"/>
              <w:rPr>
                <w:sz w:val="21"/>
              </w:rPr>
            </w:pPr>
            <w:r>
              <w:rPr>
                <w:rFonts w:ascii="Times New Roman" w:eastAsia="Times New Roman"/>
                <w:sz w:val="21"/>
              </w:rPr>
              <w:t>26</w:t>
            </w:r>
            <w:r>
              <w:rPr>
                <w:sz w:val="21"/>
              </w:rPr>
              <w:t>、煤炭开采</w:t>
            </w:r>
          </w:p>
        </w:tc>
        <w:tc>
          <w:tcPr>
            <w:tcW w:w="2709" w:type="dxa"/>
            <w:tcBorders>
              <w:top w:val="single" w:color="000000" w:sz="4" w:space="0"/>
              <w:left w:val="single" w:color="000000" w:sz="4" w:space="0"/>
              <w:right w:val="single" w:color="000000" w:sz="4" w:space="0"/>
            </w:tcBorders>
          </w:tcPr>
          <w:p>
            <w:pPr>
              <w:pStyle w:val="19"/>
              <w:spacing w:before="136"/>
              <w:ind w:left="1021" w:right="1007"/>
              <w:rPr>
                <w:sz w:val="21"/>
              </w:rPr>
            </w:pPr>
            <w:r>
              <w:rPr>
                <w:sz w:val="21"/>
              </w:rPr>
              <w:t>全部</w:t>
            </w:r>
          </w:p>
        </w:tc>
        <w:tc>
          <w:tcPr>
            <w:tcW w:w="928" w:type="dxa"/>
            <w:tcBorders>
              <w:top w:val="single" w:color="000000" w:sz="4" w:space="0"/>
              <w:left w:val="single" w:color="000000" w:sz="4" w:space="0"/>
              <w:right w:val="single" w:color="000000" w:sz="4" w:space="0"/>
            </w:tcBorders>
          </w:tcPr>
          <w:p>
            <w:pPr>
              <w:pStyle w:val="19"/>
              <w:spacing w:before="149"/>
              <w:ind w:left="21"/>
              <w:rPr>
                <w:rFonts w:ascii="Times New Roman"/>
                <w:sz w:val="21"/>
              </w:rPr>
            </w:pPr>
            <w:r>
              <w:rPr>
                <w:rFonts w:ascii="Times New Roman"/>
                <w:w w:val="99"/>
                <w:sz w:val="21"/>
              </w:rPr>
              <w:t>/</w:t>
            </w:r>
          </w:p>
        </w:tc>
        <w:tc>
          <w:tcPr>
            <w:tcW w:w="1921" w:type="dxa"/>
            <w:tcBorders>
              <w:top w:val="single" w:color="000000" w:sz="4" w:space="0"/>
              <w:left w:val="single" w:color="000000" w:sz="4" w:space="0"/>
              <w:right w:val="single" w:color="000000" w:sz="4" w:space="0"/>
            </w:tcBorders>
          </w:tcPr>
          <w:p>
            <w:pPr>
              <w:pStyle w:val="19"/>
              <w:spacing w:line="268" w:lineRule="exact"/>
              <w:ind w:left="230"/>
              <w:jc w:val="left"/>
              <w:rPr>
                <w:sz w:val="21"/>
              </w:rPr>
            </w:pPr>
            <w:r>
              <w:rPr>
                <w:sz w:val="21"/>
              </w:rPr>
              <w:t>煤矸石转运场Ⅱ</w:t>
            </w:r>
          </w:p>
          <w:p>
            <w:pPr>
              <w:pStyle w:val="19"/>
              <w:spacing w:before="4" w:line="252" w:lineRule="exact"/>
              <w:ind w:left="333"/>
              <w:jc w:val="left"/>
              <w:rPr>
                <w:sz w:val="21"/>
              </w:rPr>
            </w:pPr>
            <w:r>
              <w:rPr>
                <w:sz w:val="21"/>
              </w:rPr>
              <w:t>类；其余Ⅲ类</w:t>
            </w:r>
          </w:p>
        </w:tc>
        <w:tc>
          <w:tcPr>
            <w:tcW w:w="1156" w:type="dxa"/>
            <w:tcBorders>
              <w:top w:val="single" w:color="000000" w:sz="4" w:space="0"/>
              <w:left w:val="single" w:color="000000" w:sz="4" w:space="0"/>
            </w:tcBorders>
          </w:tcPr>
          <w:p>
            <w:pPr>
              <w:pStyle w:val="19"/>
              <w:jc w:val="left"/>
              <w:rPr>
                <w:rFonts w:ascii="Times New Roman"/>
                <w:sz w:val="22"/>
              </w:rPr>
            </w:pPr>
          </w:p>
        </w:tc>
      </w:tr>
    </w:tbl>
    <w:p>
      <w:pPr>
        <w:spacing w:after="0"/>
        <w:jc w:val="left"/>
        <w:rPr>
          <w:rFonts w:ascii="Times New Roman"/>
          <w:sz w:val="22"/>
        </w:rPr>
        <w:sectPr>
          <w:pgSz w:w="11910" w:h="16840"/>
          <w:pgMar w:top="1500" w:right="1160" w:bottom="1180" w:left="1200" w:header="0" w:footer="913" w:gutter="0"/>
        </w:sectPr>
      </w:pPr>
    </w:p>
    <w:p>
      <w:pPr>
        <w:pStyle w:val="8"/>
        <w:numPr>
          <w:ilvl w:val="3"/>
          <w:numId w:val="25"/>
        </w:numPr>
        <w:tabs>
          <w:tab w:val="left" w:pos="939"/>
        </w:tabs>
        <w:spacing w:before="2" w:after="0" w:line="240" w:lineRule="auto"/>
        <w:ind w:left="938" w:right="0" w:hanging="721"/>
        <w:jc w:val="left"/>
      </w:pPr>
      <w:bookmarkStart w:id="93" w:name="1.4.5.2地下水环境敏感程度"/>
      <w:bookmarkEnd w:id="93"/>
      <w:bookmarkStart w:id="94" w:name="1.4.5.2地下水环境敏感程度"/>
      <w:bookmarkEnd w:id="94"/>
      <w:r>
        <w:rPr>
          <w:spacing w:val="-3"/>
        </w:rPr>
        <w:t>地下水环境敏感程度</w:t>
      </w:r>
    </w:p>
    <w:p>
      <w:pPr>
        <w:pStyle w:val="9"/>
        <w:rPr>
          <w:b/>
          <w:sz w:val="22"/>
        </w:rPr>
      </w:pPr>
      <w:r>
        <w:br w:type="column"/>
      </w:r>
    </w:p>
    <w:p>
      <w:pPr>
        <w:spacing w:before="184"/>
        <w:ind w:left="-2" w:right="0" w:firstLine="0"/>
        <w:jc w:val="left"/>
        <w:rPr>
          <w:b/>
          <w:sz w:val="21"/>
        </w:rPr>
      </w:pPr>
      <w:r>
        <w:rPr>
          <w:b/>
          <w:spacing w:val="-28"/>
          <w:sz w:val="21"/>
        </w:rPr>
        <w:t xml:space="preserve">表 </w:t>
      </w:r>
      <w:r>
        <w:rPr>
          <w:rFonts w:ascii="Times New Roman" w:eastAsia="Times New Roman"/>
          <w:b/>
          <w:sz w:val="21"/>
        </w:rPr>
        <w:t>1.4-10</w:t>
      </w:r>
      <w:r>
        <w:rPr>
          <w:rFonts w:ascii="Times New Roman" w:eastAsia="Times New Roman"/>
          <w:b/>
          <w:spacing w:val="52"/>
          <w:sz w:val="21"/>
        </w:rPr>
        <w:t xml:space="preserve"> </w:t>
      </w:r>
      <w:r>
        <w:rPr>
          <w:b/>
          <w:sz w:val="21"/>
        </w:rPr>
        <w:t>地下水环境敏感程度分级</w:t>
      </w:r>
    </w:p>
    <w:p>
      <w:pPr>
        <w:spacing w:after="0"/>
        <w:jc w:val="left"/>
        <w:rPr>
          <w:sz w:val="21"/>
        </w:rPr>
        <w:sectPr>
          <w:type w:val="continuous"/>
          <w:pgSz w:w="11910" w:h="16840"/>
          <w:pgMar w:top="1580" w:right="1160" w:bottom="280" w:left="1200" w:header="720" w:footer="720" w:gutter="0"/>
          <w:cols w:equalWidth="0" w:num="2">
            <w:col w:w="3106" w:space="40"/>
            <w:col w:w="6404"/>
          </w:cols>
        </w:sectPr>
      </w:pPr>
    </w:p>
    <w:tbl>
      <w:tblPr>
        <w:tblStyle w:val="1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96"/>
        <w:gridCol w:w="678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496" w:type="dxa"/>
            <w:tcBorders>
              <w:bottom w:val="single" w:color="000000" w:sz="4" w:space="0"/>
              <w:right w:val="single" w:color="000000" w:sz="4" w:space="0"/>
            </w:tcBorders>
          </w:tcPr>
          <w:p>
            <w:pPr>
              <w:pStyle w:val="19"/>
              <w:ind w:left="912" w:right="899"/>
              <w:rPr>
                <w:sz w:val="21"/>
              </w:rPr>
            </w:pPr>
            <w:r>
              <w:rPr>
                <w:sz w:val="21"/>
              </w:rPr>
              <w:t>分级</w:t>
            </w:r>
          </w:p>
        </w:tc>
        <w:tc>
          <w:tcPr>
            <w:tcW w:w="6788" w:type="dxa"/>
            <w:tcBorders>
              <w:left w:val="single" w:color="000000" w:sz="4" w:space="0"/>
              <w:bottom w:val="single" w:color="000000" w:sz="4" w:space="0"/>
            </w:tcBorders>
          </w:tcPr>
          <w:p>
            <w:pPr>
              <w:pStyle w:val="19"/>
              <w:ind w:left="2433" w:right="2409"/>
              <w:rPr>
                <w:sz w:val="21"/>
              </w:rPr>
            </w:pPr>
            <w:r>
              <w:rPr>
                <w:sz w:val="21"/>
              </w:rPr>
              <w:t>地下水环境敏感特征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3" w:hRule="atLeast"/>
        </w:trPr>
        <w:tc>
          <w:tcPr>
            <w:tcW w:w="2496" w:type="dxa"/>
            <w:tcBorders>
              <w:top w:val="single" w:color="000000" w:sz="4" w:space="0"/>
              <w:bottom w:val="single" w:color="000000" w:sz="4" w:space="0"/>
              <w:right w:val="single" w:color="000000" w:sz="4" w:space="0"/>
            </w:tcBorders>
          </w:tcPr>
          <w:p>
            <w:pPr>
              <w:pStyle w:val="19"/>
              <w:jc w:val="left"/>
              <w:rPr>
                <w:b/>
                <w:sz w:val="20"/>
              </w:rPr>
            </w:pPr>
          </w:p>
          <w:p>
            <w:pPr>
              <w:pStyle w:val="19"/>
              <w:spacing w:before="3"/>
              <w:jc w:val="left"/>
              <w:rPr>
                <w:b/>
                <w:sz w:val="28"/>
              </w:rPr>
            </w:pPr>
          </w:p>
          <w:p>
            <w:pPr>
              <w:pStyle w:val="19"/>
              <w:ind w:left="912" w:right="899"/>
              <w:rPr>
                <w:sz w:val="21"/>
              </w:rPr>
            </w:pPr>
            <w:r>
              <w:rPr>
                <w:sz w:val="21"/>
              </w:rPr>
              <w:t>敏感</w:t>
            </w:r>
          </w:p>
        </w:tc>
        <w:tc>
          <w:tcPr>
            <w:tcW w:w="6788" w:type="dxa"/>
            <w:tcBorders>
              <w:top w:val="single" w:color="000000" w:sz="4" w:space="0"/>
              <w:left w:val="single" w:color="000000" w:sz="4" w:space="0"/>
              <w:bottom w:val="single" w:color="000000" w:sz="4" w:space="0"/>
            </w:tcBorders>
          </w:tcPr>
          <w:p>
            <w:pPr>
              <w:pStyle w:val="19"/>
              <w:spacing w:before="126" w:line="292" w:lineRule="auto"/>
              <w:ind w:left="111" w:right="150"/>
              <w:jc w:val="both"/>
              <w:rPr>
                <w:sz w:val="21"/>
              </w:rPr>
            </w:pPr>
            <w:r>
              <w:rPr>
                <w:w w:val="95"/>
                <w:sz w:val="21"/>
              </w:rPr>
              <w:t xml:space="preserve">集中式饮用水水源（包括已建成的在用、备用、应急水源，在建和规划  的饮用水水源）准保护区；除集中式饮用水水源以外的国家或地方政府  设定的与地下水环境相关的其它保护区，如热水、矿泉水、温泉等特殊  </w:t>
            </w:r>
            <w:r>
              <w:rPr>
                <w:sz w:val="21"/>
              </w:rPr>
              <w:t>地下水资源保护区。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85" w:hRule="atLeast"/>
        </w:trPr>
        <w:tc>
          <w:tcPr>
            <w:tcW w:w="2496" w:type="dxa"/>
            <w:tcBorders>
              <w:top w:val="single" w:color="000000" w:sz="4" w:space="0"/>
              <w:right w:val="single" w:color="000000" w:sz="4" w:space="0"/>
            </w:tcBorders>
          </w:tcPr>
          <w:p>
            <w:pPr>
              <w:pStyle w:val="19"/>
              <w:jc w:val="left"/>
              <w:rPr>
                <w:b/>
                <w:sz w:val="20"/>
              </w:rPr>
            </w:pPr>
          </w:p>
          <w:p>
            <w:pPr>
              <w:pStyle w:val="19"/>
              <w:jc w:val="left"/>
              <w:rPr>
                <w:b/>
                <w:sz w:val="20"/>
              </w:rPr>
            </w:pPr>
          </w:p>
          <w:p>
            <w:pPr>
              <w:pStyle w:val="19"/>
              <w:spacing w:before="10"/>
              <w:jc w:val="left"/>
              <w:rPr>
                <w:b/>
                <w:sz w:val="24"/>
              </w:rPr>
            </w:pPr>
          </w:p>
          <w:p>
            <w:pPr>
              <w:pStyle w:val="19"/>
              <w:ind w:left="912" w:right="899"/>
              <w:rPr>
                <w:sz w:val="21"/>
              </w:rPr>
            </w:pPr>
            <w:r>
              <w:rPr>
                <w:sz w:val="21"/>
              </w:rPr>
              <w:t>较敏感</w:t>
            </w:r>
          </w:p>
        </w:tc>
        <w:tc>
          <w:tcPr>
            <w:tcW w:w="6788" w:type="dxa"/>
            <w:tcBorders>
              <w:top w:val="single" w:color="000000" w:sz="4" w:space="0"/>
              <w:left w:val="single" w:color="000000" w:sz="4" w:space="0"/>
            </w:tcBorders>
          </w:tcPr>
          <w:p>
            <w:pPr>
              <w:pStyle w:val="19"/>
              <w:spacing w:before="175" w:line="292" w:lineRule="auto"/>
              <w:ind w:left="111" w:right="87"/>
              <w:jc w:val="both"/>
              <w:rPr>
                <w:sz w:val="21"/>
              </w:rPr>
            </w:pPr>
            <w:r>
              <w:rPr>
                <w:sz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bl>
    <w:p>
      <w:pPr>
        <w:spacing w:after="0" w:line="292" w:lineRule="auto"/>
        <w:jc w:val="both"/>
        <w:rPr>
          <w:sz w:val="21"/>
        </w:rPr>
        <w:sectPr>
          <w:type w:val="continuous"/>
          <w:pgSz w:w="11910" w:h="16840"/>
          <w:pgMar w:top="1580" w:right="1160" w:bottom="280" w:left="1200" w:header="720" w:footer="720" w:gutter="0"/>
        </w:sectPr>
      </w:pPr>
    </w:p>
    <w:p>
      <w:pPr>
        <w:spacing w:line="240" w:lineRule="auto"/>
        <w:ind w:left="120" w:right="0" w:firstLine="0"/>
        <w:rPr>
          <w:sz w:val="20"/>
        </w:rPr>
      </w:pPr>
      <w:r>
        <w:rPr>
          <w:sz w:val="20"/>
        </w:rPr>
        <mc:AlternateContent>
          <mc:Choice Requires="wps">
            <w:drawing>
              <wp:inline distT="0" distB="0" distL="114300" distR="114300">
                <wp:extent cx="1576070" cy="365125"/>
                <wp:effectExtent l="0" t="0" r="0" b="0"/>
                <wp:docPr id="120" name="文本框 3"/>
                <wp:cNvGraphicFramePr/>
                <a:graphic xmlns:a="http://schemas.openxmlformats.org/drawingml/2006/main">
                  <a:graphicData uri="http://schemas.microsoft.com/office/word/2010/wordprocessingShape">
                    <wps:wsp>
                      <wps:cNvSpPr txBox="1"/>
                      <wps:spPr>
                        <a:xfrm>
                          <a:off x="0" y="0"/>
                          <a:ext cx="1576070" cy="365125"/>
                        </a:xfrm>
                        <a:prstGeom prst="rect">
                          <a:avLst/>
                        </a:prstGeom>
                        <a:noFill/>
                        <a:ln>
                          <a:noFill/>
                        </a:ln>
                      </wps:spPr>
                      <wps:txbx>
                        <w:txbxContent>
                          <w:p>
                            <w:pPr>
                              <w:spacing w:before="125"/>
                              <w:ind w:left="904" w:right="907" w:firstLine="0"/>
                              <w:jc w:val="center"/>
                              <w:rPr>
                                <w:sz w:val="21"/>
                              </w:rPr>
                            </w:pPr>
                            <w:r>
                              <w:rPr>
                                <w:sz w:val="21"/>
                              </w:rPr>
                              <w:t>不敏感</w:t>
                            </w:r>
                          </w:p>
                        </w:txbxContent>
                      </wps:txbx>
                      <wps:bodyPr lIns="0" tIns="0" rIns="0" bIns="0" upright="1"/>
                    </wps:wsp>
                  </a:graphicData>
                </a:graphic>
              </wp:inline>
            </w:drawing>
          </mc:Choice>
          <mc:Fallback>
            <w:pict>
              <v:shape id="文本框 3" o:spid="_x0000_s1026" o:spt="202" type="#_x0000_t202" style="height:28.75pt;width:124.1pt;" filled="f" stroked="f" coordsize="21600,21600" o:gfxdata="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Io948fVAAAABAEAAA8AAAAAAAAAAQAg&#10;AAAAIgAAAGRycy9kb3ducmV2LnhtbFBLAQIUABQAAAAIAIdO4kD/3lk+nwEAACYDAAAOAAAAAAAA&#10;AAEAIAAAACQBAABkcnMvZTJvRG9jLnhtbFBLBQYAAAAABgAGAFkBAAA1BQAAAAA=&#10;">
                <v:fill on="f" focussize="0,0"/>
                <v:stroke on="f"/>
                <v:imagedata o:title=""/>
                <o:lock v:ext="edit" aspectratio="f"/>
                <v:textbox inset="0mm,0mm,0mm,0mm">
                  <w:txbxContent>
                    <w:p>
                      <w:pPr>
                        <w:spacing w:before="125"/>
                        <w:ind w:left="904" w:right="907" w:firstLine="0"/>
                        <w:jc w:val="center"/>
                        <w:rPr>
                          <w:sz w:val="21"/>
                        </w:rPr>
                      </w:pPr>
                      <w:r>
                        <w:rPr>
                          <w:sz w:val="21"/>
                        </w:rPr>
                        <w:t>不敏感</w:t>
                      </w:r>
                    </w:p>
                  </w:txbxContent>
                </v:textbox>
                <w10:wrap type="none"/>
                <w10:anchorlock/>
              </v:shape>
            </w:pict>
          </mc:Fallback>
        </mc:AlternateContent>
      </w:r>
      <w:r>
        <w:rPr>
          <w:rFonts w:ascii="Times New Roman"/>
          <w:spacing w:val="-41"/>
          <w:sz w:val="20"/>
        </w:rPr>
        <w:t xml:space="preserve"> </w:t>
      </w:r>
      <w:r>
        <w:rPr>
          <w:spacing w:val="-41"/>
          <w:sz w:val="20"/>
        </w:rPr>
        <mc:AlternateContent>
          <mc:Choice Requires="wps">
            <w:drawing>
              <wp:inline distT="0" distB="0" distL="114300" distR="114300">
                <wp:extent cx="4301490" cy="365125"/>
                <wp:effectExtent l="0" t="0" r="0" b="0"/>
                <wp:docPr id="121" name="文本框 4"/>
                <wp:cNvGraphicFramePr/>
                <a:graphic xmlns:a="http://schemas.openxmlformats.org/drawingml/2006/main">
                  <a:graphicData uri="http://schemas.microsoft.com/office/word/2010/wordprocessingShape">
                    <wps:wsp>
                      <wps:cNvSpPr txBox="1"/>
                      <wps:spPr>
                        <a:xfrm>
                          <a:off x="0" y="0"/>
                          <a:ext cx="4301490" cy="365125"/>
                        </a:xfrm>
                        <a:prstGeom prst="rect">
                          <a:avLst/>
                        </a:prstGeom>
                        <a:noFill/>
                        <a:ln>
                          <a:noFill/>
                        </a:ln>
                      </wps:spPr>
                      <wps:txbx>
                        <w:txbxContent>
                          <w:p>
                            <w:pPr>
                              <w:spacing w:before="125"/>
                              <w:ind w:left="102" w:right="0" w:firstLine="0"/>
                              <w:jc w:val="left"/>
                              <w:rPr>
                                <w:sz w:val="21"/>
                              </w:rPr>
                            </w:pPr>
                            <w:r>
                              <w:rPr>
                                <w:sz w:val="21"/>
                              </w:rPr>
                              <w:t>上述地区之外的其它地区</w:t>
                            </w:r>
                          </w:p>
                        </w:txbxContent>
                      </wps:txbx>
                      <wps:bodyPr lIns="0" tIns="0" rIns="0" bIns="0" upright="1"/>
                    </wps:wsp>
                  </a:graphicData>
                </a:graphic>
              </wp:inline>
            </w:drawing>
          </mc:Choice>
          <mc:Fallback>
            <w:pict>
              <v:shape id="文本框 4" o:spid="_x0000_s1026" o:spt="202" type="#_x0000_t202" style="height:28.75pt;width:338.7pt;" filled="f" stroked="f" coordsize="21600,21600" o:gfxdata="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6nJcm1QAAAAQBAAAPAAAAAAAAAAEA&#10;IAAAACIAAABkcnMvZG93bnJldi54bWxQSwECFAAUAAAACACHTuJAknb5I6ABAAAmAwAADgAAAAAA&#10;AAABACAAAAAkAQAAZHJzL2Uyb0RvYy54bWxQSwUGAAAAAAYABgBZAQAANgUAAAAA&#10;">
                <v:fill on="f" focussize="0,0"/>
                <v:stroke on="f"/>
                <v:imagedata o:title=""/>
                <o:lock v:ext="edit" aspectratio="f"/>
                <v:textbox inset="0mm,0mm,0mm,0mm">
                  <w:txbxContent>
                    <w:p>
                      <w:pPr>
                        <w:spacing w:before="125"/>
                        <w:ind w:left="102" w:right="0" w:firstLine="0"/>
                        <w:jc w:val="left"/>
                        <w:rPr>
                          <w:sz w:val="21"/>
                        </w:rPr>
                      </w:pPr>
                      <w:r>
                        <w:rPr>
                          <w:sz w:val="21"/>
                        </w:rPr>
                        <w:t>上述地区之外的其它地区</w:t>
                      </w:r>
                    </w:p>
                  </w:txbxContent>
                </v:textbox>
                <w10:wrap type="none"/>
                <w10:anchorlock/>
              </v:shape>
            </w:pict>
          </mc:Fallback>
        </mc:AlternateContent>
      </w:r>
    </w:p>
    <w:p>
      <w:pPr>
        <w:pStyle w:val="9"/>
        <w:spacing w:before="40" w:line="364" w:lineRule="auto"/>
        <w:ind w:left="218" w:right="257" w:firstLine="480"/>
        <w:jc w:val="both"/>
      </w:pPr>
      <w:r>
        <mc:AlternateContent>
          <mc:Choice Requires="wps">
            <w:drawing>
              <wp:anchor distT="0" distB="0" distL="114300" distR="114300" simplePos="0" relativeHeight="251665408" behindDoc="0" locked="0" layoutInCell="1" allowOverlap="1">
                <wp:simplePos x="0" y="0"/>
                <wp:positionH relativeFrom="page">
                  <wp:posOffset>832485</wp:posOffset>
                </wp:positionH>
                <wp:positionV relativeFrom="paragraph">
                  <wp:posOffset>-365125</wp:posOffset>
                </wp:positionV>
                <wp:extent cx="0" cy="389255"/>
                <wp:effectExtent l="6350" t="0" r="12700" b="10795"/>
                <wp:wrapNone/>
                <wp:docPr id="139" name="直线 5"/>
                <wp:cNvGraphicFramePr/>
                <a:graphic xmlns:a="http://schemas.openxmlformats.org/drawingml/2006/main">
                  <a:graphicData uri="http://schemas.microsoft.com/office/word/2010/wordprocessingShape">
                    <wps:wsp>
                      <wps:cNvSpPr/>
                      <wps:spPr>
                        <a:xfrm>
                          <a:off x="0" y="0"/>
                          <a:ext cx="0" cy="389255"/>
                        </a:xfrm>
                        <a:prstGeom prst="line">
                          <a:avLst/>
                        </a:prstGeom>
                        <a:ln w="12192" cap="flat" cmpd="sng">
                          <a:solidFill>
                            <a:srgbClr val="000000"/>
                          </a:solidFill>
                          <a:prstDash val="solid"/>
                          <a:headEnd type="none" w="med" len="med"/>
                          <a:tailEnd type="none" w="med" len="med"/>
                        </a:ln>
                      </wps:spPr>
                      <wps:bodyPr upright="1"/>
                    </wps:wsp>
                  </a:graphicData>
                </a:graphic>
              </wp:anchor>
            </w:drawing>
          </mc:Choice>
          <mc:Fallback>
            <w:pict>
              <v:line id="直线 5" o:spid="_x0000_s1026" o:spt="20" style="position:absolute;left:0pt;margin-left:65.55pt;margin-top:-28.75pt;height:30.65pt;width:0pt;mso-position-horizontal-relative:page;z-index:251665408;mso-width-relative:page;mso-height-relative:page;" filled="f" stroked="t" coordsize="21600,21600" o:gfxdata="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&#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Ar2zWAAAACQEAAA8AAAAAAAAAAQAgAAAAIgAAAGRy&#10;cy9kb3ducmV2LnhtbFBLAQIUABQAAAAIAIdO4kDa+evEzgEAAI8DAAAOAAAAAAAAAAEAIAAAACUB&#10;AABkcnMvZTJvRG9jLnhtbFBLBQYAAAAABgAGAFkBAABlBQAAAAA=&#10;">
                <v:fill on="f" focussize="0,0"/>
                <v:stroke weight="0.96pt" color="#000000" joinstyle="round"/>
                <v:imagedata o:title=""/>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page">
                  <wp:posOffset>6727825</wp:posOffset>
                </wp:positionH>
                <wp:positionV relativeFrom="paragraph">
                  <wp:posOffset>-353060</wp:posOffset>
                </wp:positionV>
                <wp:extent cx="0" cy="377190"/>
                <wp:effectExtent l="6350" t="0" r="12700" b="3810"/>
                <wp:wrapNone/>
                <wp:docPr id="140" name="直线 6"/>
                <wp:cNvGraphicFramePr/>
                <a:graphic xmlns:a="http://schemas.openxmlformats.org/drawingml/2006/main">
                  <a:graphicData uri="http://schemas.microsoft.com/office/word/2010/wordprocessingShape">
                    <wps:wsp>
                      <wps:cNvSpPr/>
                      <wps:spPr>
                        <a:xfrm>
                          <a:off x="0" y="0"/>
                          <a:ext cx="0" cy="377190"/>
                        </a:xfrm>
                        <a:prstGeom prst="line">
                          <a:avLst/>
                        </a:prstGeom>
                        <a:ln w="12192" cap="flat" cmpd="sng">
                          <a:solidFill>
                            <a:srgbClr val="000000"/>
                          </a:solidFill>
                          <a:prstDash val="solid"/>
                          <a:headEnd type="none" w="med" len="med"/>
                          <a:tailEnd type="none" w="med" len="med"/>
                        </a:ln>
                      </wps:spPr>
                      <wps:bodyPr upright="1"/>
                    </wps:wsp>
                  </a:graphicData>
                </a:graphic>
              </wp:anchor>
            </w:drawing>
          </mc:Choice>
          <mc:Fallback>
            <w:pict>
              <v:line id="直线 6" o:spid="_x0000_s1026" o:spt="20" style="position:absolute;left:0pt;margin-left:529.75pt;margin-top:-27.8pt;height:29.7pt;width:0pt;mso-position-horizontal-relative:page;z-index:251666432;mso-width-relative:page;mso-height-relative:page;" filled="f" stroked="t" coordsize="21600,21600" o:gfxdata="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gmeh9gAAAALAQAADwAAAAAAAAABACAAAAAiAAAA&#10;ZHJzL2Rvd25yZXYueG1sUEsBAhQAFAAAAAgAh07iQCzzxpnOAQAAjwMAAA4AAAAAAAAAAQAgAAAA&#10;JwEAAGRycy9lMm9Eb2MueG1sUEsFBgAAAAAGAAYAWQEAAGcFAAAAAA==&#10;">
                <v:fill on="f" focussize="0,0"/>
                <v:stroke weight="0.96pt" color="#000000" joinstyle="round"/>
                <v:imagedata o:title=""/>
                <o:lock v:ext="edit" aspectratio="f"/>
              </v:line>
            </w:pict>
          </mc:Fallback>
        </mc:AlternateContent>
      </w:r>
      <w:r>
        <mc:AlternateContent>
          <mc:Choice Requires="wps">
            <w:drawing>
              <wp:anchor distT="0" distB="0" distL="114300" distR="114300" simplePos="0" relativeHeight="251667456" behindDoc="0" locked="0" layoutInCell="1" allowOverlap="1">
                <wp:simplePos x="0" y="0"/>
                <wp:positionH relativeFrom="page">
                  <wp:posOffset>2417445</wp:posOffset>
                </wp:positionH>
                <wp:positionV relativeFrom="paragraph">
                  <wp:posOffset>-353060</wp:posOffset>
                </wp:positionV>
                <wp:extent cx="0" cy="364490"/>
                <wp:effectExtent l="4445" t="0" r="14605" b="16510"/>
                <wp:wrapNone/>
                <wp:docPr id="141" name="直线 7"/>
                <wp:cNvGraphicFramePr/>
                <a:graphic xmlns:a="http://schemas.openxmlformats.org/drawingml/2006/main">
                  <a:graphicData uri="http://schemas.microsoft.com/office/word/2010/wordprocessingShape">
                    <wps:wsp>
                      <wps:cNvSpPr/>
                      <wps:spPr>
                        <a:xfrm>
                          <a:off x="0" y="0"/>
                          <a:ext cx="0" cy="36449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7" o:spid="_x0000_s1026" o:spt="20" style="position:absolute;left:0pt;margin-left:190.35pt;margin-top:-27.8pt;height:28.7pt;width:0pt;mso-position-horizontal-relative:page;z-index:251667456;mso-width-relative:page;mso-height-relative:page;" filled="f" stroked="t" coordsize="21600,21600" o:gfxdata="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52wR91wAAAAkBAAAPAAAAAAAAAAEAIAAAACIAAABk&#10;cnMvZG93bnJldi54bWxQSwECFAAUAAAACACHTuJAGxEons4BAACOAwAADgAAAAAAAAABACAAAAAm&#10;AQAAZHJzL2Uyb0RvYy54bWxQSwUGAAAAAAYABgBZAQAAZgUAAAAA&#10;">
                <v:fill on="f" focussize="0,0"/>
                <v:stroke weight="0.48pt" color="#000000" joinstyle="round"/>
                <v:imagedata o:title=""/>
                <o:lock v:ext="edit" aspectratio="f"/>
              </v:line>
            </w:pict>
          </mc:Fallback>
        </mc:AlternateContent>
      </w:r>
      <w:r>
        <w:rPr>
          <w:spacing w:val="-5"/>
        </w:rPr>
        <w:t>实地调查表明，双鸭山盟度矿业有限责任公司</w:t>
      </w:r>
      <w:r>
        <w:t>（</w:t>
      </w:r>
      <w:r>
        <w:rPr>
          <w:spacing w:val="-2"/>
        </w:rPr>
        <w:t>原双鸭山双兴时代矿业有限责任公</w:t>
      </w:r>
      <w:r>
        <w:t>司第二煤矿</w:t>
      </w:r>
      <w:r>
        <w:rPr>
          <w:spacing w:val="-11"/>
        </w:rPr>
        <w:t>）</w:t>
      </w:r>
      <w:r>
        <w:rPr>
          <w:spacing w:val="-4"/>
        </w:rPr>
        <w:t>，项目评价范围内无集中式饮用水水源</w:t>
      </w:r>
      <w:r>
        <w:t>（</w:t>
      </w:r>
      <w:r>
        <w:rPr>
          <w:spacing w:val="-4"/>
        </w:rPr>
        <w:t>包括已建成的在用、备用、应急水源，在建和规划的饮用水水源</w:t>
      </w:r>
      <w:r>
        <w:rPr>
          <w:spacing w:val="-17"/>
        </w:rPr>
        <w:t>）</w:t>
      </w:r>
      <w:r>
        <w:rPr>
          <w:spacing w:val="-5"/>
        </w:rPr>
        <w:t>准保护区；除集中式饮用水水源以外的国家或地方政</w:t>
      </w:r>
      <w:r>
        <w:rPr>
          <w:spacing w:val="-4"/>
        </w:rPr>
        <w:t>府设定的与地下水环境相关的其它保护区，如热水、矿泉水、温泉等特殊地下水资源保</w:t>
      </w:r>
      <w:r>
        <w:t>护区。</w:t>
      </w:r>
    </w:p>
    <w:p>
      <w:pPr>
        <w:pStyle w:val="9"/>
        <w:spacing w:line="306" w:lineRule="exact"/>
        <w:ind w:left="698"/>
      </w:pPr>
      <w:r>
        <w:t>本项目附近有分散式饮用水水井，本项目地下水环境敏感特征为较敏感。</w:t>
      </w:r>
    </w:p>
    <w:p>
      <w:pPr>
        <w:pStyle w:val="8"/>
        <w:numPr>
          <w:ilvl w:val="3"/>
          <w:numId w:val="25"/>
        </w:numPr>
        <w:tabs>
          <w:tab w:val="left" w:pos="939"/>
        </w:tabs>
        <w:spacing w:before="159" w:after="0" w:line="240" w:lineRule="auto"/>
        <w:ind w:left="938" w:right="0" w:hanging="721"/>
        <w:jc w:val="both"/>
      </w:pPr>
      <w:bookmarkStart w:id="95" w:name="1.4.5.3建设项目评价工作等级"/>
      <w:bookmarkEnd w:id="95"/>
      <w:bookmarkStart w:id="96" w:name="1.4.5.3建设项目评价工作等级"/>
      <w:bookmarkEnd w:id="96"/>
      <w:r>
        <w:t>建设项目评价工作等级</w:t>
      </w:r>
    </w:p>
    <w:p>
      <w:pPr>
        <w:pStyle w:val="9"/>
        <w:spacing w:before="160" w:line="362" w:lineRule="auto"/>
        <w:ind w:left="218" w:right="251" w:firstLine="480"/>
        <w:jc w:val="both"/>
      </w:pPr>
      <w:r>
        <w:rPr>
          <w:spacing w:val="-4"/>
        </w:rPr>
        <w:t>根据《环境影响评价技术导则地下水环境》</w:t>
      </w:r>
      <w:r>
        <w:t>（</w:t>
      </w:r>
      <w:r>
        <w:rPr>
          <w:rFonts w:ascii="Times New Roman" w:hAnsi="Times New Roman" w:eastAsia="Times New Roman"/>
        </w:rPr>
        <w:t>HJ610-2016</w:t>
      </w:r>
      <w:r>
        <w:t>），</w:t>
      </w:r>
      <w:r>
        <w:rPr>
          <w:spacing w:val="-2"/>
        </w:rPr>
        <w:t>本项目工业广场内煤</w:t>
      </w:r>
      <w:r>
        <w:rPr>
          <w:spacing w:val="-5"/>
        </w:rPr>
        <w:t>矸石转运场为Ⅱ类项目，其余为Ⅲ类项目。地下水敏感程度为较敏感，地下水环境影评</w:t>
      </w:r>
      <w:r>
        <w:t>价等级为二级，详见下表。</w:t>
      </w:r>
    </w:p>
    <w:p>
      <w:pPr>
        <w:pStyle w:val="9"/>
        <w:spacing w:before="4"/>
        <w:rPr>
          <w:sz w:val="19"/>
        </w:rPr>
      </w:pPr>
    </w:p>
    <w:p>
      <w:pPr>
        <w:spacing w:before="0" w:after="3"/>
        <w:ind w:left="3043" w:right="0" w:firstLine="0"/>
        <w:jc w:val="left"/>
        <w:rPr>
          <w:b/>
          <w:sz w:val="21"/>
        </w:rPr>
      </w:pPr>
      <w:r>
        <w:rPr>
          <w:b/>
          <w:sz w:val="21"/>
        </w:rPr>
        <w:t xml:space="preserve">表 </w:t>
      </w:r>
      <w:r>
        <w:rPr>
          <w:rFonts w:ascii="Times New Roman" w:eastAsia="Times New Roman"/>
          <w:b/>
          <w:sz w:val="21"/>
        </w:rPr>
        <w:t xml:space="preserve">1.4-11 </w:t>
      </w:r>
      <w:r>
        <w:rPr>
          <w:b/>
          <w:sz w:val="21"/>
        </w:rPr>
        <w:t>建设项目评价工作等级分级</w:t>
      </w:r>
    </w:p>
    <w:tbl>
      <w:tblPr>
        <w:tblStyle w:val="15"/>
        <w:tblW w:w="0" w:type="auto"/>
        <w:tblInd w:w="2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281"/>
        <w:gridCol w:w="2281"/>
        <w:gridCol w:w="2281"/>
        <w:gridCol w:w="228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2281" w:type="dxa"/>
            <w:vMerge w:val="restart"/>
            <w:tcBorders>
              <w:bottom w:val="single" w:color="000000" w:sz="4" w:space="0"/>
              <w:right w:val="single" w:color="000000" w:sz="4" w:space="0"/>
            </w:tcBorders>
          </w:tcPr>
          <w:p>
            <w:pPr>
              <w:pStyle w:val="19"/>
              <w:spacing w:before="12"/>
              <w:jc w:val="left"/>
              <w:rPr>
                <w:b/>
                <w:sz w:val="22"/>
              </w:rPr>
            </w:pPr>
          </w:p>
          <w:p>
            <w:pPr>
              <w:pStyle w:val="19"/>
              <w:ind w:left="510"/>
              <w:jc w:val="left"/>
              <w:rPr>
                <w:sz w:val="21"/>
              </w:rPr>
            </w:pPr>
            <w:r>
              <w:rPr>
                <w:sz w:val="21"/>
              </w:rPr>
              <w:t>环境敏感程度</w:t>
            </w:r>
          </w:p>
        </w:tc>
        <w:tc>
          <w:tcPr>
            <w:tcW w:w="6845" w:type="dxa"/>
            <w:gridSpan w:val="3"/>
            <w:tcBorders>
              <w:left w:val="single" w:color="000000" w:sz="4" w:space="0"/>
              <w:bottom w:val="single" w:color="000000" w:sz="4" w:space="0"/>
            </w:tcBorders>
          </w:tcPr>
          <w:p>
            <w:pPr>
              <w:pStyle w:val="19"/>
              <w:spacing w:before="75"/>
              <w:ind w:left="2984" w:right="2966"/>
              <w:rPr>
                <w:sz w:val="21"/>
              </w:rPr>
            </w:pPr>
            <w:r>
              <w:rPr>
                <w:sz w:val="21"/>
              </w:rPr>
              <w:t>项目类别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2281" w:type="dxa"/>
            <w:vMerge w:val="continue"/>
            <w:tcBorders>
              <w:top w:val="nil"/>
              <w:bottom w:val="single" w:color="000000" w:sz="4" w:space="0"/>
              <w:right w:val="single" w:color="000000" w:sz="4" w:space="0"/>
            </w:tcBorders>
          </w:tcPr>
          <w:p>
            <w:pPr>
              <w:rPr>
                <w:sz w:val="2"/>
                <w:szCs w:val="2"/>
              </w:rPr>
            </w:pPr>
          </w:p>
        </w:tc>
        <w:tc>
          <w:tcPr>
            <w:tcW w:w="2281" w:type="dxa"/>
            <w:tcBorders>
              <w:top w:val="single" w:color="000000" w:sz="4" w:space="0"/>
              <w:left w:val="single" w:color="000000" w:sz="4" w:space="0"/>
              <w:bottom w:val="single" w:color="000000" w:sz="4" w:space="0"/>
              <w:right w:val="single" w:color="000000" w:sz="4" w:space="0"/>
            </w:tcBorders>
          </w:tcPr>
          <w:p>
            <w:pPr>
              <w:pStyle w:val="19"/>
              <w:spacing w:before="77"/>
              <w:ind w:left="220" w:right="203"/>
              <w:rPr>
                <w:sz w:val="21"/>
              </w:rPr>
            </w:pPr>
            <w:r>
              <w:rPr>
                <w:sz w:val="21"/>
              </w:rPr>
              <w:t>Ⅰ类项目</w:t>
            </w:r>
          </w:p>
        </w:tc>
        <w:tc>
          <w:tcPr>
            <w:tcW w:w="2281" w:type="dxa"/>
            <w:tcBorders>
              <w:top w:val="single" w:color="000000" w:sz="4" w:space="0"/>
              <w:left w:val="single" w:color="000000" w:sz="4" w:space="0"/>
              <w:bottom w:val="single" w:color="000000" w:sz="4" w:space="0"/>
              <w:right w:val="single" w:color="000000" w:sz="4" w:space="0"/>
            </w:tcBorders>
          </w:tcPr>
          <w:p>
            <w:pPr>
              <w:pStyle w:val="19"/>
              <w:spacing w:before="77"/>
              <w:ind w:left="218" w:right="203"/>
              <w:rPr>
                <w:sz w:val="21"/>
              </w:rPr>
            </w:pPr>
            <w:r>
              <w:rPr>
                <w:sz w:val="21"/>
              </w:rPr>
              <w:t>Ⅱ类项目</w:t>
            </w:r>
          </w:p>
        </w:tc>
        <w:tc>
          <w:tcPr>
            <w:tcW w:w="2283" w:type="dxa"/>
            <w:tcBorders>
              <w:top w:val="single" w:color="000000" w:sz="4" w:space="0"/>
              <w:left w:val="single" w:color="000000" w:sz="4" w:space="0"/>
              <w:bottom w:val="single" w:color="000000" w:sz="4" w:space="0"/>
            </w:tcBorders>
          </w:tcPr>
          <w:p>
            <w:pPr>
              <w:pStyle w:val="19"/>
              <w:spacing w:before="77"/>
              <w:ind w:left="538" w:right="517"/>
              <w:rPr>
                <w:sz w:val="21"/>
              </w:rPr>
            </w:pPr>
            <w:r>
              <w:rPr>
                <w:sz w:val="21"/>
              </w:rPr>
              <w:t>Ⅲ类项目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2281" w:type="dxa"/>
            <w:tcBorders>
              <w:top w:val="single" w:color="000000" w:sz="4" w:space="0"/>
              <w:bottom w:val="single" w:color="000000" w:sz="4" w:space="0"/>
              <w:right w:val="single" w:color="000000" w:sz="4" w:space="0"/>
            </w:tcBorders>
          </w:tcPr>
          <w:p>
            <w:pPr>
              <w:pStyle w:val="19"/>
              <w:spacing w:before="76"/>
              <w:ind w:left="804" w:right="792"/>
              <w:rPr>
                <w:sz w:val="21"/>
              </w:rPr>
            </w:pPr>
            <w:r>
              <w:rPr>
                <w:sz w:val="21"/>
              </w:rPr>
              <w:t>敏感</w:t>
            </w:r>
          </w:p>
        </w:tc>
        <w:tc>
          <w:tcPr>
            <w:tcW w:w="2281" w:type="dxa"/>
            <w:tcBorders>
              <w:top w:val="single" w:color="000000" w:sz="4" w:space="0"/>
              <w:left w:val="single" w:color="000000" w:sz="4" w:space="0"/>
              <w:bottom w:val="single" w:color="000000" w:sz="4" w:space="0"/>
              <w:right w:val="single" w:color="000000" w:sz="4" w:space="0"/>
            </w:tcBorders>
          </w:tcPr>
          <w:p>
            <w:pPr>
              <w:pStyle w:val="19"/>
              <w:spacing w:before="76"/>
              <w:ind w:left="18"/>
              <w:rPr>
                <w:sz w:val="21"/>
              </w:rPr>
            </w:pPr>
            <w:r>
              <w:rPr>
                <w:w w:val="99"/>
                <w:sz w:val="21"/>
              </w:rPr>
              <w:t>一</w:t>
            </w:r>
          </w:p>
        </w:tc>
        <w:tc>
          <w:tcPr>
            <w:tcW w:w="2281" w:type="dxa"/>
            <w:tcBorders>
              <w:top w:val="single" w:color="000000" w:sz="4" w:space="0"/>
              <w:left w:val="single" w:color="000000" w:sz="4" w:space="0"/>
              <w:bottom w:val="single" w:color="000000" w:sz="4" w:space="0"/>
              <w:right w:val="single" w:color="000000" w:sz="4" w:space="0"/>
            </w:tcBorders>
          </w:tcPr>
          <w:p>
            <w:pPr>
              <w:pStyle w:val="19"/>
              <w:spacing w:before="76"/>
              <w:ind w:left="16"/>
              <w:rPr>
                <w:sz w:val="21"/>
              </w:rPr>
            </w:pPr>
            <w:r>
              <w:rPr>
                <w:w w:val="99"/>
                <w:sz w:val="21"/>
              </w:rPr>
              <w:t>一</w:t>
            </w:r>
          </w:p>
        </w:tc>
        <w:tc>
          <w:tcPr>
            <w:tcW w:w="2283" w:type="dxa"/>
            <w:tcBorders>
              <w:top w:val="single" w:color="000000" w:sz="4" w:space="0"/>
              <w:left w:val="single" w:color="000000" w:sz="4" w:space="0"/>
              <w:bottom w:val="single" w:color="000000" w:sz="4" w:space="0"/>
            </w:tcBorders>
          </w:tcPr>
          <w:p>
            <w:pPr>
              <w:pStyle w:val="19"/>
              <w:spacing w:before="76"/>
              <w:ind w:left="21"/>
              <w:rPr>
                <w:sz w:val="21"/>
              </w:rPr>
            </w:pPr>
            <w:r>
              <w:rPr>
                <w:w w:val="99"/>
                <w:sz w:val="21"/>
              </w:rPr>
              <w:t>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2281" w:type="dxa"/>
            <w:tcBorders>
              <w:top w:val="single" w:color="000000" w:sz="4" w:space="0"/>
              <w:bottom w:val="single" w:color="000000" w:sz="4" w:space="0"/>
              <w:right w:val="single" w:color="000000" w:sz="4" w:space="0"/>
            </w:tcBorders>
          </w:tcPr>
          <w:p>
            <w:pPr>
              <w:pStyle w:val="19"/>
              <w:spacing w:before="76"/>
              <w:ind w:left="804" w:right="792"/>
              <w:rPr>
                <w:sz w:val="21"/>
              </w:rPr>
            </w:pPr>
            <w:r>
              <w:rPr>
                <w:sz w:val="21"/>
              </w:rPr>
              <w:t>较敏感</w:t>
            </w:r>
          </w:p>
        </w:tc>
        <w:tc>
          <w:tcPr>
            <w:tcW w:w="2281" w:type="dxa"/>
            <w:tcBorders>
              <w:top w:val="single" w:color="000000" w:sz="4" w:space="0"/>
              <w:left w:val="single" w:color="000000" w:sz="4" w:space="0"/>
              <w:bottom w:val="single" w:color="000000" w:sz="4" w:space="0"/>
              <w:right w:val="single" w:color="000000" w:sz="4" w:space="0"/>
            </w:tcBorders>
          </w:tcPr>
          <w:p>
            <w:pPr>
              <w:pStyle w:val="19"/>
              <w:spacing w:before="76"/>
              <w:ind w:left="18"/>
              <w:rPr>
                <w:sz w:val="21"/>
              </w:rPr>
            </w:pPr>
            <w:r>
              <w:rPr>
                <w:w w:val="99"/>
                <w:sz w:val="21"/>
              </w:rPr>
              <w:t>一</w:t>
            </w:r>
          </w:p>
        </w:tc>
        <w:tc>
          <w:tcPr>
            <w:tcW w:w="2281" w:type="dxa"/>
            <w:tcBorders>
              <w:top w:val="single" w:color="000000" w:sz="4" w:space="0"/>
              <w:left w:val="single" w:color="000000" w:sz="4" w:space="0"/>
              <w:bottom w:val="single" w:color="000000" w:sz="4" w:space="0"/>
              <w:right w:val="single" w:color="000000" w:sz="4" w:space="0"/>
            </w:tcBorders>
          </w:tcPr>
          <w:p>
            <w:pPr>
              <w:pStyle w:val="19"/>
              <w:spacing w:before="76"/>
              <w:ind w:left="226" w:right="203"/>
              <w:rPr>
                <w:b/>
                <w:sz w:val="21"/>
              </w:rPr>
            </w:pPr>
            <w:r>
              <w:rPr>
                <w:b/>
                <w:sz w:val="21"/>
              </w:rPr>
              <w:t>二（矸石暂存场</w:t>
            </w:r>
            <w:r>
              <w:rPr>
                <w:rFonts w:ascii="Times New Roman" w:hAnsi="Times New Roman" w:eastAsia="Times New Roman"/>
                <w:b/>
                <w:sz w:val="21"/>
              </w:rPr>
              <w:t>√</w:t>
            </w:r>
            <w:r>
              <w:rPr>
                <w:b/>
                <w:sz w:val="21"/>
              </w:rPr>
              <w:t>）</w:t>
            </w:r>
          </w:p>
        </w:tc>
        <w:tc>
          <w:tcPr>
            <w:tcW w:w="2283" w:type="dxa"/>
            <w:tcBorders>
              <w:top w:val="single" w:color="000000" w:sz="4" w:space="0"/>
              <w:left w:val="single" w:color="000000" w:sz="4" w:space="0"/>
              <w:bottom w:val="single" w:color="000000" w:sz="4" w:space="0"/>
            </w:tcBorders>
          </w:tcPr>
          <w:p>
            <w:pPr>
              <w:pStyle w:val="19"/>
              <w:spacing w:before="76"/>
              <w:ind w:left="541" w:right="517"/>
              <w:rPr>
                <w:b/>
                <w:sz w:val="21"/>
              </w:rPr>
            </w:pPr>
            <w:r>
              <w:rPr>
                <w:b/>
                <w:sz w:val="21"/>
              </w:rPr>
              <w:t>三（其他</w:t>
            </w:r>
            <w:r>
              <w:rPr>
                <w:rFonts w:ascii="Times New Roman" w:hAnsi="Times New Roman" w:eastAsia="Times New Roman"/>
                <w:b/>
                <w:sz w:val="21"/>
              </w:rPr>
              <w:t>√</w:t>
            </w:r>
            <w:r>
              <w:rPr>
                <w:b/>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2281" w:type="dxa"/>
            <w:tcBorders>
              <w:top w:val="single" w:color="000000" w:sz="4" w:space="0"/>
              <w:right w:val="single" w:color="000000" w:sz="4" w:space="0"/>
            </w:tcBorders>
          </w:tcPr>
          <w:p>
            <w:pPr>
              <w:pStyle w:val="19"/>
              <w:spacing w:before="75"/>
              <w:ind w:left="804" w:right="792"/>
              <w:rPr>
                <w:sz w:val="21"/>
              </w:rPr>
            </w:pPr>
            <w:r>
              <w:rPr>
                <w:sz w:val="21"/>
              </w:rPr>
              <w:t>不敏感</w:t>
            </w:r>
          </w:p>
        </w:tc>
        <w:tc>
          <w:tcPr>
            <w:tcW w:w="2281" w:type="dxa"/>
            <w:tcBorders>
              <w:top w:val="single" w:color="000000" w:sz="4" w:space="0"/>
              <w:left w:val="single" w:color="000000" w:sz="4" w:space="0"/>
              <w:right w:val="single" w:color="000000" w:sz="4" w:space="0"/>
            </w:tcBorders>
          </w:tcPr>
          <w:p>
            <w:pPr>
              <w:pStyle w:val="19"/>
              <w:spacing w:before="75"/>
              <w:ind w:left="18"/>
              <w:rPr>
                <w:sz w:val="21"/>
              </w:rPr>
            </w:pPr>
            <w:r>
              <w:rPr>
                <w:w w:val="99"/>
                <w:sz w:val="21"/>
              </w:rPr>
              <w:t>二</w:t>
            </w:r>
          </w:p>
        </w:tc>
        <w:tc>
          <w:tcPr>
            <w:tcW w:w="2281" w:type="dxa"/>
            <w:tcBorders>
              <w:top w:val="single" w:color="000000" w:sz="4" w:space="0"/>
              <w:left w:val="single" w:color="000000" w:sz="4" w:space="0"/>
              <w:right w:val="single" w:color="000000" w:sz="4" w:space="0"/>
            </w:tcBorders>
          </w:tcPr>
          <w:p>
            <w:pPr>
              <w:pStyle w:val="19"/>
              <w:spacing w:before="75"/>
              <w:ind w:left="16"/>
              <w:rPr>
                <w:sz w:val="21"/>
              </w:rPr>
            </w:pPr>
            <w:r>
              <w:rPr>
                <w:w w:val="99"/>
                <w:sz w:val="21"/>
              </w:rPr>
              <w:t>三</w:t>
            </w:r>
          </w:p>
        </w:tc>
        <w:tc>
          <w:tcPr>
            <w:tcW w:w="2283" w:type="dxa"/>
            <w:tcBorders>
              <w:top w:val="single" w:color="000000" w:sz="4" w:space="0"/>
              <w:left w:val="single" w:color="000000" w:sz="4" w:space="0"/>
            </w:tcBorders>
          </w:tcPr>
          <w:p>
            <w:pPr>
              <w:pStyle w:val="19"/>
              <w:spacing w:before="75"/>
              <w:ind w:left="21"/>
              <w:rPr>
                <w:b/>
                <w:sz w:val="21"/>
              </w:rPr>
            </w:pPr>
            <w:r>
              <w:rPr>
                <w:b/>
                <w:w w:val="99"/>
                <w:sz w:val="21"/>
              </w:rPr>
              <w:t>三</w:t>
            </w:r>
          </w:p>
        </w:tc>
      </w:tr>
    </w:tbl>
    <w:p>
      <w:pPr>
        <w:pStyle w:val="6"/>
        <w:numPr>
          <w:ilvl w:val="2"/>
          <w:numId w:val="25"/>
        </w:numPr>
        <w:tabs>
          <w:tab w:val="left" w:pos="848"/>
        </w:tabs>
        <w:spacing w:before="2" w:after="0" w:line="240" w:lineRule="auto"/>
        <w:ind w:left="847" w:right="0" w:hanging="630"/>
        <w:jc w:val="both"/>
      </w:pPr>
      <w:bookmarkStart w:id="97" w:name="1.4.6土壤环境"/>
      <w:bookmarkEnd w:id="97"/>
      <w:bookmarkStart w:id="98" w:name="1.4.6土壤环境"/>
      <w:bookmarkEnd w:id="98"/>
      <w:r>
        <w:t>土壤环境</w:t>
      </w:r>
    </w:p>
    <w:p>
      <w:pPr>
        <w:pStyle w:val="9"/>
        <w:spacing w:before="186" w:line="364" w:lineRule="auto"/>
        <w:ind w:left="218" w:right="251" w:firstLine="480"/>
        <w:jc w:val="both"/>
      </w:pPr>
      <w:r>
        <w:rPr>
          <w:spacing w:val="-3"/>
        </w:rPr>
        <w:t>根据《环境影响评价技术导则土壤环境</w:t>
      </w:r>
      <w:r>
        <w:t>（试行</w:t>
      </w:r>
      <w:r>
        <w:rPr>
          <w:spacing w:val="-5"/>
        </w:rPr>
        <w:t>）</w:t>
      </w:r>
      <w:r>
        <w:rPr>
          <w:spacing w:val="-8"/>
        </w:rPr>
        <w:t>》</w:t>
      </w:r>
      <w:r>
        <w:t>（</w:t>
      </w:r>
      <w:r>
        <w:rPr>
          <w:rFonts w:ascii="Times New Roman" w:hAnsi="Times New Roman" w:eastAsia="Times New Roman"/>
        </w:rPr>
        <w:t>HJ964-2018</w:t>
      </w:r>
      <w:r>
        <w:t>）</w:t>
      </w:r>
      <w:r>
        <w:rPr>
          <w:spacing w:val="-21"/>
        </w:rPr>
        <w:t xml:space="preserve">附录 </w:t>
      </w:r>
      <w:r>
        <w:rPr>
          <w:rFonts w:ascii="Times New Roman" w:hAnsi="Times New Roman" w:eastAsia="Times New Roman"/>
          <w:spacing w:val="-3"/>
        </w:rPr>
        <w:t>A</w:t>
      </w:r>
      <w:r>
        <w:rPr>
          <w:spacing w:val="-5"/>
        </w:rPr>
        <w:t>，本项目</w:t>
      </w:r>
      <w:r>
        <w:t>为煤矿采选项目，项目类别为Ⅱ类，详见下表。</w:t>
      </w:r>
    </w:p>
    <w:p>
      <w:pPr>
        <w:spacing w:before="0" w:after="3" w:line="267" w:lineRule="exact"/>
        <w:ind w:left="3064" w:right="0" w:firstLine="0"/>
        <w:jc w:val="left"/>
        <w:rPr>
          <w:b/>
          <w:sz w:val="21"/>
        </w:rPr>
      </w:pPr>
      <w:r>
        <w:rPr>
          <w:b/>
          <w:sz w:val="21"/>
        </w:rPr>
        <w:t xml:space="preserve">表 </w:t>
      </w:r>
      <w:r>
        <w:rPr>
          <w:rFonts w:ascii="Times New Roman" w:eastAsia="Times New Roman"/>
          <w:b/>
          <w:sz w:val="21"/>
        </w:rPr>
        <w:t xml:space="preserve">1.4-12 </w:t>
      </w:r>
      <w:r>
        <w:rPr>
          <w:b/>
          <w:sz w:val="21"/>
        </w:rPr>
        <w:t>土壤环境影响评价项目类别</w:t>
      </w:r>
    </w:p>
    <w:tbl>
      <w:tblPr>
        <w:tblStyle w:val="15"/>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3"/>
        <w:gridCol w:w="1667"/>
        <w:gridCol w:w="3973"/>
        <w:gridCol w:w="1520"/>
        <w:gridCol w:w="8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33" w:type="dxa"/>
            <w:vMerge w:val="restart"/>
          </w:tcPr>
          <w:p>
            <w:pPr>
              <w:pStyle w:val="19"/>
              <w:spacing w:before="21"/>
              <w:ind w:left="194"/>
              <w:jc w:val="left"/>
              <w:rPr>
                <w:b/>
                <w:sz w:val="21"/>
              </w:rPr>
            </w:pPr>
            <w:r>
              <w:rPr>
                <w:b/>
                <w:sz w:val="21"/>
              </w:rPr>
              <w:t>行业类别</w:t>
            </w:r>
          </w:p>
        </w:tc>
        <w:tc>
          <w:tcPr>
            <w:tcW w:w="8053" w:type="dxa"/>
            <w:gridSpan w:val="4"/>
          </w:tcPr>
          <w:p>
            <w:pPr>
              <w:pStyle w:val="19"/>
              <w:spacing w:before="1" w:line="251" w:lineRule="exact"/>
              <w:ind w:left="3584" w:right="3574"/>
              <w:rPr>
                <w:b/>
                <w:sz w:val="21"/>
              </w:rPr>
            </w:pPr>
            <w:r>
              <w:rPr>
                <w:b/>
                <w:sz w:val="21"/>
              </w:rPr>
              <w:t>项目类别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33" w:type="dxa"/>
            <w:vMerge w:val="continue"/>
            <w:tcBorders>
              <w:top w:val="nil"/>
            </w:tcBorders>
          </w:tcPr>
          <w:p>
            <w:pPr>
              <w:rPr>
                <w:sz w:val="2"/>
                <w:szCs w:val="2"/>
              </w:rPr>
            </w:pPr>
          </w:p>
        </w:tc>
        <w:tc>
          <w:tcPr>
            <w:tcW w:w="1667" w:type="dxa"/>
          </w:tcPr>
          <w:p>
            <w:pPr>
              <w:pStyle w:val="19"/>
              <w:spacing w:line="252" w:lineRule="exact"/>
              <w:ind w:left="7"/>
              <w:rPr>
                <w:b/>
                <w:sz w:val="21"/>
              </w:rPr>
            </w:pPr>
            <w:r>
              <w:rPr>
                <w:b/>
                <w:w w:val="99"/>
                <w:sz w:val="21"/>
              </w:rPr>
              <w:t>Ⅰ</w:t>
            </w:r>
          </w:p>
        </w:tc>
        <w:tc>
          <w:tcPr>
            <w:tcW w:w="3973" w:type="dxa"/>
          </w:tcPr>
          <w:p>
            <w:pPr>
              <w:pStyle w:val="19"/>
              <w:spacing w:line="252" w:lineRule="exact"/>
              <w:ind w:left="7"/>
              <w:rPr>
                <w:b/>
                <w:sz w:val="21"/>
              </w:rPr>
            </w:pPr>
            <w:r>
              <w:rPr>
                <w:b/>
                <w:w w:val="99"/>
                <w:sz w:val="21"/>
              </w:rPr>
              <w:t>Ⅱ</w:t>
            </w:r>
          </w:p>
        </w:tc>
        <w:tc>
          <w:tcPr>
            <w:tcW w:w="1520" w:type="dxa"/>
          </w:tcPr>
          <w:p>
            <w:pPr>
              <w:pStyle w:val="19"/>
              <w:spacing w:line="252" w:lineRule="exact"/>
              <w:ind w:left="6"/>
              <w:rPr>
                <w:b/>
                <w:sz w:val="21"/>
              </w:rPr>
            </w:pPr>
            <w:r>
              <w:rPr>
                <w:b/>
                <w:w w:val="99"/>
                <w:sz w:val="21"/>
              </w:rPr>
              <w:t>Ⅲ</w:t>
            </w:r>
          </w:p>
        </w:tc>
        <w:tc>
          <w:tcPr>
            <w:tcW w:w="893" w:type="dxa"/>
          </w:tcPr>
          <w:p>
            <w:pPr>
              <w:pStyle w:val="19"/>
              <w:spacing w:line="252" w:lineRule="exact"/>
              <w:ind w:left="7"/>
              <w:rPr>
                <w:b/>
                <w:sz w:val="21"/>
              </w:rPr>
            </w:pPr>
            <w:r>
              <w:rPr>
                <w:b/>
                <w:w w:val="99"/>
                <w:sz w:val="21"/>
              </w:rPr>
              <w:t>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233" w:type="dxa"/>
          </w:tcPr>
          <w:p>
            <w:pPr>
              <w:pStyle w:val="19"/>
              <w:spacing w:before="5"/>
              <w:jc w:val="left"/>
              <w:rPr>
                <w:b/>
                <w:sz w:val="21"/>
              </w:rPr>
            </w:pPr>
          </w:p>
          <w:p>
            <w:pPr>
              <w:pStyle w:val="19"/>
              <w:ind w:left="300"/>
              <w:jc w:val="left"/>
              <w:rPr>
                <w:sz w:val="21"/>
              </w:rPr>
            </w:pPr>
            <w:r>
              <w:rPr>
                <w:sz w:val="21"/>
              </w:rPr>
              <w:t>采矿业</w:t>
            </w:r>
          </w:p>
        </w:tc>
        <w:tc>
          <w:tcPr>
            <w:tcW w:w="1667" w:type="dxa"/>
          </w:tcPr>
          <w:p>
            <w:pPr>
              <w:pStyle w:val="19"/>
              <w:spacing w:before="137" w:line="242" w:lineRule="auto"/>
              <w:ind w:left="307" w:right="77" w:hanging="200"/>
              <w:jc w:val="left"/>
              <w:rPr>
                <w:sz w:val="21"/>
              </w:rPr>
            </w:pPr>
            <w:r>
              <w:rPr>
                <w:sz w:val="21"/>
              </w:rPr>
              <w:t>金属矿、石油、页岩油开采</w:t>
            </w:r>
          </w:p>
        </w:tc>
        <w:tc>
          <w:tcPr>
            <w:tcW w:w="3973" w:type="dxa"/>
          </w:tcPr>
          <w:p>
            <w:pPr>
              <w:pStyle w:val="19"/>
              <w:ind w:left="107"/>
              <w:jc w:val="left"/>
              <w:rPr>
                <w:sz w:val="21"/>
              </w:rPr>
            </w:pPr>
            <w:r>
              <w:rPr>
                <w:sz w:val="21"/>
              </w:rPr>
              <w:t>化学矿采选；石棉矿采选；煤矿采选、天</w:t>
            </w:r>
          </w:p>
          <w:p>
            <w:pPr>
              <w:pStyle w:val="19"/>
              <w:spacing w:before="4" w:line="270" w:lineRule="atLeast"/>
              <w:ind w:left="726" w:right="36" w:hanging="620"/>
              <w:jc w:val="left"/>
              <w:rPr>
                <w:sz w:val="21"/>
              </w:rPr>
            </w:pPr>
            <w:r>
              <w:rPr>
                <w:w w:val="95"/>
                <w:sz w:val="21"/>
              </w:rPr>
              <w:t>然气开采、页岩气开采、砂岩气开采、煤</w:t>
            </w:r>
            <w:r>
              <w:rPr>
                <w:sz w:val="21"/>
              </w:rPr>
              <w:t>层气开采（含净化、液化）</w:t>
            </w:r>
          </w:p>
        </w:tc>
        <w:tc>
          <w:tcPr>
            <w:tcW w:w="1520" w:type="dxa"/>
          </w:tcPr>
          <w:p>
            <w:pPr>
              <w:pStyle w:val="19"/>
              <w:spacing w:before="5"/>
              <w:jc w:val="left"/>
              <w:rPr>
                <w:b/>
                <w:sz w:val="21"/>
              </w:rPr>
            </w:pPr>
          </w:p>
          <w:p>
            <w:pPr>
              <w:pStyle w:val="19"/>
              <w:ind w:left="104" w:right="96"/>
              <w:rPr>
                <w:sz w:val="21"/>
              </w:rPr>
            </w:pPr>
            <w:r>
              <w:rPr>
                <w:sz w:val="21"/>
              </w:rPr>
              <w:t>其他</w:t>
            </w:r>
          </w:p>
        </w:tc>
        <w:tc>
          <w:tcPr>
            <w:tcW w:w="893" w:type="dxa"/>
          </w:tcPr>
          <w:p>
            <w:pPr>
              <w:pStyle w:val="19"/>
              <w:jc w:val="left"/>
              <w:rPr>
                <w:rFonts w:ascii="Times New Roman"/>
                <w:sz w:val="22"/>
              </w:rPr>
            </w:pPr>
          </w:p>
        </w:tc>
      </w:tr>
    </w:tbl>
    <w:p>
      <w:pPr>
        <w:pStyle w:val="8"/>
        <w:numPr>
          <w:ilvl w:val="3"/>
          <w:numId w:val="25"/>
        </w:numPr>
        <w:tabs>
          <w:tab w:val="left" w:pos="939"/>
        </w:tabs>
        <w:spacing w:before="3" w:after="0" w:line="240" w:lineRule="auto"/>
        <w:ind w:left="938" w:right="0" w:hanging="721"/>
        <w:jc w:val="both"/>
      </w:pPr>
      <w:r>
        <w:t>井田开采区</w:t>
      </w:r>
    </w:p>
    <w:p>
      <w:pPr>
        <w:pStyle w:val="9"/>
        <w:spacing w:before="158" w:line="364" w:lineRule="auto"/>
        <w:ind w:left="218" w:right="253" w:firstLine="480"/>
        <w:jc w:val="both"/>
      </w:pPr>
      <w:r>
        <w:rPr>
          <w:spacing w:val="-5"/>
        </w:rPr>
        <w:t>井田开采区属于生态影响型，工业场地属于污染影响型。按照导则要求，分别判定</w:t>
      </w:r>
      <w:r>
        <w:rPr>
          <w:spacing w:val="-9"/>
        </w:rPr>
        <w:t xml:space="preserve">评价工作等级。井田开采区为Ⅱ类项目，土壤 </w:t>
      </w:r>
      <w:r>
        <w:rPr>
          <w:rFonts w:ascii="Times New Roman" w:hAnsi="Times New Roman" w:eastAsia="Times New Roman"/>
          <w:spacing w:val="-3"/>
        </w:rPr>
        <w:t>5.5</w:t>
      </w:r>
      <w:r>
        <w:rPr>
          <w:spacing w:val="-3"/>
        </w:rPr>
        <w:t>＜</w:t>
      </w:r>
      <w:r>
        <w:rPr>
          <w:rFonts w:ascii="Times New Roman" w:hAnsi="Times New Roman" w:eastAsia="Times New Roman"/>
          <w:spacing w:val="-3"/>
        </w:rPr>
        <w:t>pH</w:t>
      </w:r>
      <w:r>
        <w:rPr>
          <w:spacing w:val="-3"/>
        </w:rPr>
        <w:t>＜</w:t>
      </w:r>
      <w:r>
        <w:rPr>
          <w:rFonts w:ascii="Times New Roman" w:hAnsi="Times New Roman" w:eastAsia="Times New Roman"/>
          <w:spacing w:val="-3"/>
        </w:rPr>
        <w:t>8.5</w:t>
      </w:r>
      <w:r>
        <w:rPr>
          <w:spacing w:val="-3"/>
        </w:rPr>
        <w:t>，含盐量＜</w:t>
      </w:r>
      <w:r>
        <w:rPr>
          <w:rFonts w:ascii="Times New Roman" w:hAnsi="Times New Roman" w:eastAsia="Times New Roman"/>
          <w:spacing w:val="-5"/>
        </w:rPr>
        <w:t>2g/kg</w:t>
      </w:r>
      <w:r>
        <w:rPr>
          <w:spacing w:val="-4"/>
        </w:rPr>
        <w:t>，属于不敏</w:t>
      </w:r>
      <w:r>
        <w:t>感区，评价等级为三级，详见下表。</w:t>
      </w:r>
    </w:p>
    <w:p>
      <w:pPr>
        <w:spacing w:before="0" w:line="267" w:lineRule="exact"/>
        <w:ind w:left="2827" w:right="0" w:firstLine="0"/>
        <w:jc w:val="both"/>
        <w:rPr>
          <w:b/>
          <w:sz w:val="21"/>
        </w:rPr>
      </w:pPr>
      <w:r>
        <w:rPr>
          <w:b/>
          <w:sz w:val="21"/>
        </w:rPr>
        <w:t xml:space="preserve">表 </w:t>
      </w:r>
      <w:r>
        <w:rPr>
          <w:rFonts w:ascii="Times New Roman" w:eastAsia="Times New Roman"/>
          <w:b/>
          <w:sz w:val="21"/>
        </w:rPr>
        <w:t xml:space="preserve">1.4-13 </w:t>
      </w:r>
      <w:r>
        <w:rPr>
          <w:b/>
          <w:sz w:val="21"/>
        </w:rPr>
        <w:t>井田开采区评价工作等级分级表</w:t>
      </w:r>
    </w:p>
    <w:p>
      <w:pPr>
        <w:spacing w:after="0" w:line="267" w:lineRule="exact"/>
        <w:jc w:val="both"/>
        <w:rPr>
          <w:sz w:val="21"/>
        </w:rPr>
        <w:sectPr>
          <w:footerReference r:id="rId7" w:type="default"/>
          <w:pgSz w:w="11910" w:h="16840"/>
          <w:pgMar w:top="1400" w:right="1160" w:bottom="1180" w:left="1200" w:header="0" w:footer="993" w:gutter="0"/>
          <w:pgNumType w:start="40"/>
        </w:sectPr>
      </w:pP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21"/>
        <w:gridCol w:w="1691"/>
        <w:gridCol w:w="1825"/>
        <w:gridCol w:w="1780"/>
        <w:gridCol w:w="16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79" w:hRule="atLeast"/>
        </w:trPr>
        <w:tc>
          <w:tcPr>
            <w:tcW w:w="2321" w:type="dxa"/>
            <w:tcBorders>
              <w:bottom w:val="single" w:color="000000" w:sz="4" w:space="0"/>
              <w:right w:val="single" w:color="000000" w:sz="4" w:space="0"/>
            </w:tcBorders>
          </w:tcPr>
          <w:p>
            <w:pPr>
              <w:pStyle w:val="19"/>
              <w:spacing w:before="2"/>
              <w:ind w:left="948"/>
              <w:jc w:val="left"/>
              <w:rPr>
                <w:sz w:val="21"/>
              </w:rPr>
            </w:pPr>
            <w:r>
              <w:rPr>
                <w:sz w:val="21"/>
              </w:rPr>
              <w:t>项目类别</w:t>
            </w:r>
          </w:p>
          <w:p>
            <w:pPr>
              <w:pStyle w:val="19"/>
              <w:jc w:val="left"/>
              <w:rPr>
                <w:b/>
                <w:sz w:val="20"/>
              </w:rPr>
            </w:pPr>
          </w:p>
          <w:p>
            <w:pPr>
              <w:pStyle w:val="19"/>
              <w:spacing w:before="12"/>
              <w:jc w:val="left"/>
              <w:rPr>
                <w:b/>
                <w:sz w:val="18"/>
              </w:rPr>
            </w:pPr>
          </w:p>
          <w:p>
            <w:pPr>
              <w:pStyle w:val="19"/>
              <w:ind w:left="108"/>
              <w:jc w:val="left"/>
              <w:rPr>
                <w:sz w:val="21"/>
              </w:rPr>
            </w:pPr>
            <w:r>
              <w:rPr>
                <w:sz w:val="21"/>
              </w:rPr>
              <w:t>环境敏感程度</w:t>
            </w:r>
          </w:p>
        </w:tc>
        <w:tc>
          <w:tcPr>
            <w:tcW w:w="1691" w:type="dxa"/>
            <w:tcBorders>
              <w:left w:val="single" w:color="000000" w:sz="4" w:space="0"/>
              <w:bottom w:val="single" w:color="000000" w:sz="4" w:space="0"/>
              <w:right w:val="single" w:color="000000" w:sz="4" w:space="0"/>
            </w:tcBorders>
          </w:tcPr>
          <w:p>
            <w:pPr>
              <w:pStyle w:val="19"/>
              <w:jc w:val="left"/>
              <w:rPr>
                <w:b/>
                <w:sz w:val="20"/>
              </w:rPr>
            </w:pPr>
          </w:p>
          <w:p>
            <w:pPr>
              <w:pStyle w:val="19"/>
              <w:spacing w:before="4"/>
              <w:jc w:val="left"/>
              <w:rPr>
                <w:b/>
                <w:sz w:val="15"/>
              </w:rPr>
            </w:pPr>
          </w:p>
          <w:p>
            <w:pPr>
              <w:pStyle w:val="19"/>
              <w:spacing w:before="1"/>
              <w:ind w:left="408" w:right="393"/>
              <w:rPr>
                <w:sz w:val="21"/>
              </w:rPr>
            </w:pPr>
            <w:r>
              <w:rPr>
                <w:sz w:val="21"/>
              </w:rPr>
              <w:t>Ⅰ类项目</w:t>
            </w:r>
          </w:p>
        </w:tc>
        <w:tc>
          <w:tcPr>
            <w:tcW w:w="1825" w:type="dxa"/>
            <w:tcBorders>
              <w:left w:val="single" w:color="000000" w:sz="4" w:space="0"/>
              <w:bottom w:val="single" w:color="000000" w:sz="4" w:space="0"/>
              <w:right w:val="single" w:color="000000" w:sz="4" w:space="0"/>
            </w:tcBorders>
          </w:tcPr>
          <w:p>
            <w:pPr>
              <w:pStyle w:val="19"/>
              <w:jc w:val="left"/>
              <w:rPr>
                <w:b/>
                <w:sz w:val="20"/>
              </w:rPr>
            </w:pPr>
          </w:p>
          <w:p>
            <w:pPr>
              <w:pStyle w:val="19"/>
              <w:spacing w:before="4"/>
              <w:jc w:val="left"/>
              <w:rPr>
                <w:b/>
                <w:sz w:val="15"/>
              </w:rPr>
            </w:pPr>
          </w:p>
          <w:p>
            <w:pPr>
              <w:pStyle w:val="19"/>
              <w:spacing w:before="1"/>
              <w:ind w:left="475" w:right="460"/>
              <w:rPr>
                <w:sz w:val="21"/>
              </w:rPr>
            </w:pPr>
            <w:r>
              <w:rPr>
                <w:sz w:val="21"/>
              </w:rPr>
              <w:t>Ⅱ类项目</w:t>
            </w:r>
          </w:p>
        </w:tc>
        <w:tc>
          <w:tcPr>
            <w:tcW w:w="1780" w:type="dxa"/>
            <w:tcBorders>
              <w:left w:val="single" w:color="000000" w:sz="4" w:space="0"/>
              <w:bottom w:val="single" w:color="000000" w:sz="4" w:space="0"/>
              <w:right w:val="single" w:color="000000" w:sz="4" w:space="0"/>
            </w:tcBorders>
          </w:tcPr>
          <w:p>
            <w:pPr>
              <w:pStyle w:val="19"/>
              <w:jc w:val="left"/>
              <w:rPr>
                <w:b/>
                <w:sz w:val="20"/>
              </w:rPr>
            </w:pPr>
          </w:p>
          <w:p>
            <w:pPr>
              <w:pStyle w:val="19"/>
              <w:spacing w:before="4"/>
              <w:jc w:val="left"/>
              <w:rPr>
                <w:b/>
                <w:sz w:val="15"/>
              </w:rPr>
            </w:pPr>
          </w:p>
          <w:p>
            <w:pPr>
              <w:pStyle w:val="19"/>
              <w:spacing w:before="1"/>
              <w:ind w:left="454" w:right="436"/>
              <w:rPr>
                <w:sz w:val="21"/>
              </w:rPr>
            </w:pPr>
            <w:r>
              <w:rPr>
                <w:sz w:val="21"/>
              </w:rPr>
              <w:t>Ⅲ类项目</w:t>
            </w:r>
          </w:p>
        </w:tc>
        <w:tc>
          <w:tcPr>
            <w:tcW w:w="1669" w:type="dxa"/>
            <w:tcBorders>
              <w:left w:val="single" w:color="000000" w:sz="4" w:space="0"/>
              <w:bottom w:val="single" w:color="000000" w:sz="4" w:space="0"/>
            </w:tcBorders>
          </w:tcPr>
          <w:p>
            <w:pPr>
              <w:pStyle w:val="19"/>
              <w:jc w:val="left"/>
              <w:rPr>
                <w:b/>
                <w:sz w:val="20"/>
              </w:rPr>
            </w:pPr>
          </w:p>
          <w:p>
            <w:pPr>
              <w:pStyle w:val="19"/>
              <w:spacing w:before="4"/>
              <w:jc w:val="left"/>
              <w:rPr>
                <w:b/>
                <w:sz w:val="15"/>
              </w:rPr>
            </w:pPr>
          </w:p>
          <w:p>
            <w:pPr>
              <w:pStyle w:val="19"/>
              <w:spacing w:before="1"/>
              <w:ind w:left="209"/>
              <w:jc w:val="left"/>
              <w:rPr>
                <w:sz w:val="21"/>
              </w:rPr>
            </w:pPr>
            <w:r>
              <w:rPr>
                <w:sz w:val="21"/>
              </w:rPr>
              <w:t>评价工作等级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5" w:hRule="atLeast"/>
        </w:trPr>
        <w:tc>
          <w:tcPr>
            <w:tcW w:w="2321" w:type="dxa"/>
            <w:tcBorders>
              <w:top w:val="single" w:color="000000" w:sz="4" w:space="0"/>
              <w:bottom w:val="single" w:color="000000" w:sz="4" w:space="0"/>
              <w:right w:val="single" w:color="000000" w:sz="4" w:space="0"/>
            </w:tcBorders>
          </w:tcPr>
          <w:p>
            <w:pPr>
              <w:pStyle w:val="19"/>
              <w:spacing w:before="87"/>
              <w:ind w:left="824" w:right="812"/>
              <w:rPr>
                <w:sz w:val="21"/>
              </w:rPr>
            </w:pPr>
            <w:r>
              <w:rPr>
                <w:sz w:val="21"/>
              </w:rPr>
              <w:t>敏感</w:t>
            </w:r>
          </w:p>
        </w:tc>
        <w:tc>
          <w:tcPr>
            <w:tcW w:w="1691" w:type="dxa"/>
            <w:tcBorders>
              <w:top w:val="single" w:color="000000" w:sz="4" w:space="0"/>
              <w:left w:val="single" w:color="000000" w:sz="4" w:space="0"/>
              <w:bottom w:val="single" w:color="000000" w:sz="4" w:space="0"/>
              <w:right w:val="single" w:color="000000" w:sz="4" w:space="0"/>
            </w:tcBorders>
          </w:tcPr>
          <w:p>
            <w:pPr>
              <w:pStyle w:val="19"/>
              <w:spacing w:before="87"/>
              <w:ind w:left="406" w:right="393"/>
              <w:rPr>
                <w:sz w:val="21"/>
              </w:rPr>
            </w:pPr>
            <w:r>
              <w:rPr>
                <w:sz w:val="21"/>
              </w:rPr>
              <w:t>一级</w:t>
            </w:r>
          </w:p>
        </w:tc>
        <w:tc>
          <w:tcPr>
            <w:tcW w:w="1825" w:type="dxa"/>
            <w:tcBorders>
              <w:top w:val="single" w:color="000000" w:sz="4" w:space="0"/>
              <w:left w:val="single" w:color="000000" w:sz="4" w:space="0"/>
              <w:bottom w:val="single" w:color="000000" w:sz="4" w:space="0"/>
              <w:right w:val="single" w:color="000000" w:sz="4" w:space="0"/>
            </w:tcBorders>
          </w:tcPr>
          <w:p>
            <w:pPr>
              <w:pStyle w:val="19"/>
              <w:spacing w:before="87"/>
              <w:ind w:left="475" w:right="460"/>
              <w:rPr>
                <w:sz w:val="21"/>
              </w:rPr>
            </w:pPr>
            <w:r>
              <w:rPr>
                <w:sz w:val="21"/>
              </w:rPr>
              <w:t>二级</w:t>
            </w:r>
          </w:p>
        </w:tc>
        <w:tc>
          <w:tcPr>
            <w:tcW w:w="1780" w:type="dxa"/>
            <w:tcBorders>
              <w:top w:val="single" w:color="000000" w:sz="4" w:space="0"/>
              <w:left w:val="single" w:color="000000" w:sz="4" w:space="0"/>
              <w:bottom w:val="single" w:color="000000" w:sz="4" w:space="0"/>
              <w:right w:val="single" w:color="000000" w:sz="4" w:space="0"/>
            </w:tcBorders>
          </w:tcPr>
          <w:p>
            <w:pPr>
              <w:pStyle w:val="19"/>
              <w:spacing w:before="87"/>
              <w:ind w:left="451" w:right="436"/>
              <w:rPr>
                <w:sz w:val="21"/>
              </w:rPr>
            </w:pPr>
            <w:r>
              <w:rPr>
                <w:sz w:val="21"/>
              </w:rPr>
              <w:t>三级</w:t>
            </w:r>
          </w:p>
        </w:tc>
        <w:tc>
          <w:tcPr>
            <w:tcW w:w="1669" w:type="dxa"/>
            <w:vMerge w:val="restart"/>
            <w:tcBorders>
              <w:top w:val="single" w:color="000000" w:sz="4" w:space="0"/>
              <w:left w:val="single" w:color="000000" w:sz="4" w:space="0"/>
              <w:bottom w:val="single" w:color="000000" w:sz="4" w:space="0"/>
            </w:tcBorders>
          </w:tcPr>
          <w:p>
            <w:pPr>
              <w:pStyle w:val="19"/>
              <w:jc w:val="left"/>
              <w:rPr>
                <w:b/>
                <w:sz w:val="20"/>
              </w:rPr>
            </w:pPr>
          </w:p>
          <w:p>
            <w:pPr>
              <w:pStyle w:val="19"/>
              <w:spacing w:before="5"/>
              <w:jc w:val="left"/>
              <w:rPr>
                <w:b/>
                <w:sz w:val="22"/>
              </w:rPr>
            </w:pPr>
          </w:p>
          <w:p>
            <w:pPr>
              <w:pStyle w:val="19"/>
              <w:ind w:left="608" w:right="586"/>
              <w:rPr>
                <w:sz w:val="21"/>
              </w:rPr>
            </w:pPr>
            <w:r>
              <w:rPr>
                <w:sz w:val="21"/>
              </w:rPr>
              <w:t>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5" w:hRule="atLeast"/>
        </w:trPr>
        <w:tc>
          <w:tcPr>
            <w:tcW w:w="2321" w:type="dxa"/>
            <w:tcBorders>
              <w:top w:val="single" w:color="000000" w:sz="4" w:space="0"/>
              <w:bottom w:val="single" w:color="000000" w:sz="4" w:space="0"/>
              <w:right w:val="single" w:color="000000" w:sz="4" w:space="0"/>
            </w:tcBorders>
          </w:tcPr>
          <w:p>
            <w:pPr>
              <w:pStyle w:val="19"/>
              <w:spacing w:before="87"/>
              <w:ind w:left="824" w:right="812"/>
              <w:rPr>
                <w:sz w:val="21"/>
              </w:rPr>
            </w:pPr>
            <w:r>
              <w:rPr>
                <w:sz w:val="21"/>
              </w:rPr>
              <w:t>较敏感</w:t>
            </w:r>
          </w:p>
        </w:tc>
        <w:tc>
          <w:tcPr>
            <w:tcW w:w="1691" w:type="dxa"/>
            <w:tcBorders>
              <w:top w:val="single" w:color="000000" w:sz="4" w:space="0"/>
              <w:left w:val="single" w:color="000000" w:sz="4" w:space="0"/>
              <w:bottom w:val="single" w:color="000000" w:sz="4" w:space="0"/>
              <w:right w:val="single" w:color="000000" w:sz="4" w:space="0"/>
            </w:tcBorders>
          </w:tcPr>
          <w:p>
            <w:pPr>
              <w:pStyle w:val="19"/>
              <w:spacing w:before="87"/>
              <w:ind w:left="406" w:right="393"/>
              <w:rPr>
                <w:sz w:val="21"/>
              </w:rPr>
            </w:pPr>
            <w:r>
              <w:rPr>
                <w:sz w:val="21"/>
              </w:rPr>
              <w:t>二级</w:t>
            </w:r>
          </w:p>
        </w:tc>
        <w:tc>
          <w:tcPr>
            <w:tcW w:w="1825" w:type="dxa"/>
            <w:tcBorders>
              <w:top w:val="single" w:color="000000" w:sz="4" w:space="0"/>
              <w:left w:val="single" w:color="000000" w:sz="4" w:space="0"/>
              <w:bottom w:val="single" w:color="000000" w:sz="4" w:space="0"/>
              <w:right w:val="single" w:color="000000" w:sz="4" w:space="0"/>
            </w:tcBorders>
          </w:tcPr>
          <w:p>
            <w:pPr>
              <w:pStyle w:val="19"/>
              <w:spacing w:before="87"/>
              <w:ind w:left="475" w:right="460"/>
              <w:rPr>
                <w:sz w:val="21"/>
              </w:rPr>
            </w:pPr>
            <w:r>
              <w:rPr>
                <w:sz w:val="21"/>
              </w:rPr>
              <w:t>二级</w:t>
            </w:r>
          </w:p>
        </w:tc>
        <w:tc>
          <w:tcPr>
            <w:tcW w:w="1780" w:type="dxa"/>
            <w:tcBorders>
              <w:top w:val="single" w:color="000000" w:sz="4" w:space="0"/>
              <w:left w:val="single" w:color="000000" w:sz="4" w:space="0"/>
              <w:bottom w:val="single" w:color="000000" w:sz="4" w:space="0"/>
              <w:right w:val="single" w:color="000000" w:sz="4" w:space="0"/>
            </w:tcBorders>
          </w:tcPr>
          <w:p>
            <w:pPr>
              <w:pStyle w:val="19"/>
              <w:spacing w:before="87"/>
              <w:ind w:left="451" w:right="436"/>
              <w:rPr>
                <w:sz w:val="21"/>
              </w:rPr>
            </w:pPr>
            <w:r>
              <w:rPr>
                <w:sz w:val="21"/>
              </w:rPr>
              <w:t>三级</w:t>
            </w:r>
          </w:p>
        </w:tc>
        <w:tc>
          <w:tcPr>
            <w:tcW w:w="166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6" w:hRule="atLeast"/>
        </w:trPr>
        <w:tc>
          <w:tcPr>
            <w:tcW w:w="2321" w:type="dxa"/>
            <w:tcBorders>
              <w:top w:val="single" w:color="000000" w:sz="4" w:space="0"/>
              <w:bottom w:val="single" w:color="000000" w:sz="4" w:space="0"/>
              <w:right w:val="single" w:color="000000" w:sz="4" w:space="0"/>
            </w:tcBorders>
          </w:tcPr>
          <w:p>
            <w:pPr>
              <w:pStyle w:val="19"/>
              <w:spacing w:before="87"/>
              <w:ind w:left="824" w:right="812"/>
              <w:rPr>
                <w:sz w:val="21"/>
              </w:rPr>
            </w:pPr>
            <w:r>
              <w:rPr>
                <w:sz w:val="21"/>
              </w:rPr>
              <w:t>不敏感</w:t>
            </w:r>
          </w:p>
        </w:tc>
        <w:tc>
          <w:tcPr>
            <w:tcW w:w="1691" w:type="dxa"/>
            <w:tcBorders>
              <w:top w:val="single" w:color="000000" w:sz="4" w:space="0"/>
              <w:left w:val="single" w:color="000000" w:sz="4" w:space="0"/>
              <w:bottom w:val="single" w:color="000000" w:sz="4" w:space="0"/>
              <w:right w:val="single" w:color="000000" w:sz="4" w:space="0"/>
            </w:tcBorders>
          </w:tcPr>
          <w:p>
            <w:pPr>
              <w:pStyle w:val="19"/>
              <w:spacing w:before="87"/>
              <w:ind w:left="406" w:right="393"/>
              <w:rPr>
                <w:sz w:val="21"/>
              </w:rPr>
            </w:pPr>
            <w:r>
              <w:rPr>
                <w:sz w:val="21"/>
              </w:rPr>
              <w:t>二级</w:t>
            </w:r>
          </w:p>
        </w:tc>
        <w:tc>
          <w:tcPr>
            <w:tcW w:w="1825" w:type="dxa"/>
            <w:tcBorders>
              <w:top w:val="single" w:color="000000" w:sz="4" w:space="0"/>
              <w:left w:val="single" w:color="000000" w:sz="4" w:space="0"/>
              <w:bottom w:val="single" w:color="000000" w:sz="4" w:space="0"/>
              <w:right w:val="single" w:color="000000" w:sz="4" w:space="0"/>
            </w:tcBorders>
          </w:tcPr>
          <w:p>
            <w:pPr>
              <w:pStyle w:val="19"/>
              <w:spacing w:before="87"/>
              <w:ind w:left="475" w:right="455"/>
              <w:rPr>
                <w:rFonts w:ascii="Times New Roman" w:hAnsi="Times New Roman" w:eastAsia="Times New Roman"/>
                <w:b/>
                <w:sz w:val="21"/>
              </w:rPr>
            </w:pPr>
            <w:r>
              <w:rPr>
                <w:b/>
                <w:sz w:val="21"/>
              </w:rPr>
              <w:t>三级</w:t>
            </w:r>
            <w:r>
              <w:rPr>
                <w:rFonts w:ascii="Times New Roman" w:hAnsi="Times New Roman" w:eastAsia="Times New Roman"/>
                <w:b/>
                <w:sz w:val="21"/>
              </w:rPr>
              <w:t>√</w:t>
            </w:r>
          </w:p>
        </w:tc>
        <w:tc>
          <w:tcPr>
            <w:tcW w:w="1780" w:type="dxa"/>
            <w:tcBorders>
              <w:top w:val="single" w:color="000000" w:sz="4" w:space="0"/>
              <w:left w:val="single" w:color="000000" w:sz="4" w:space="0"/>
              <w:bottom w:val="single" w:color="000000" w:sz="4" w:space="0"/>
              <w:right w:val="single" w:color="000000" w:sz="4" w:space="0"/>
            </w:tcBorders>
          </w:tcPr>
          <w:p>
            <w:pPr>
              <w:pStyle w:val="19"/>
              <w:spacing w:before="101"/>
              <w:ind w:left="18"/>
              <w:rPr>
                <w:rFonts w:ascii="Times New Roman" w:hAnsi="Times New Roman"/>
                <w:sz w:val="21"/>
              </w:rPr>
            </w:pPr>
            <w:r>
              <w:rPr>
                <w:rFonts w:ascii="Times New Roman" w:hAnsi="Times New Roman"/>
                <w:w w:val="99"/>
                <w:sz w:val="21"/>
              </w:rPr>
              <w:t>—</w:t>
            </w:r>
          </w:p>
        </w:tc>
        <w:tc>
          <w:tcPr>
            <w:tcW w:w="166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5" w:hRule="atLeast"/>
        </w:trPr>
        <w:tc>
          <w:tcPr>
            <w:tcW w:w="9286" w:type="dxa"/>
            <w:gridSpan w:val="5"/>
            <w:tcBorders>
              <w:top w:val="single" w:color="000000" w:sz="4" w:space="0"/>
            </w:tcBorders>
          </w:tcPr>
          <w:p>
            <w:pPr>
              <w:pStyle w:val="19"/>
              <w:spacing w:before="87"/>
              <w:ind w:left="108"/>
              <w:jc w:val="left"/>
              <w:rPr>
                <w:sz w:val="21"/>
              </w:rPr>
            </w:pPr>
            <w:r>
              <w:rPr>
                <w:sz w:val="21"/>
              </w:rPr>
              <w:t>注：</w:t>
            </w:r>
            <w:r>
              <w:rPr>
                <w:rFonts w:ascii="Times New Roman" w:hAnsi="Times New Roman" w:eastAsia="Times New Roman"/>
                <w:sz w:val="21"/>
              </w:rPr>
              <w:t>“—”</w:t>
            </w:r>
            <w:r>
              <w:rPr>
                <w:sz w:val="21"/>
              </w:rPr>
              <w:t>表示可不开展土壤环境影响评价工作</w:t>
            </w:r>
          </w:p>
        </w:tc>
      </w:tr>
    </w:tbl>
    <w:p>
      <w:pPr>
        <w:pStyle w:val="8"/>
        <w:numPr>
          <w:ilvl w:val="3"/>
          <w:numId w:val="25"/>
        </w:numPr>
        <w:tabs>
          <w:tab w:val="left" w:pos="939"/>
        </w:tabs>
        <w:spacing w:before="2" w:after="0" w:line="240" w:lineRule="auto"/>
        <w:ind w:left="938" w:right="0" w:hanging="721"/>
        <w:jc w:val="left"/>
      </w:pPr>
      <w:r>
        <mc:AlternateContent>
          <mc:Choice Requires="wps">
            <w:drawing>
              <wp:anchor distT="0" distB="0" distL="114300" distR="114300" simplePos="0" relativeHeight="212729856" behindDoc="1" locked="0" layoutInCell="1" allowOverlap="1">
                <wp:simplePos x="0" y="0"/>
                <wp:positionH relativeFrom="page">
                  <wp:posOffset>850900</wp:posOffset>
                </wp:positionH>
                <wp:positionV relativeFrom="paragraph">
                  <wp:posOffset>-1927225</wp:posOffset>
                </wp:positionV>
                <wp:extent cx="1451610" cy="718185"/>
                <wp:effectExtent l="0" t="0" r="15240" b="5715"/>
                <wp:wrapNone/>
                <wp:docPr id="6" name="任意多边形 8"/>
                <wp:cNvGraphicFramePr/>
                <a:graphic xmlns:a="http://schemas.openxmlformats.org/drawingml/2006/main">
                  <a:graphicData uri="http://schemas.microsoft.com/office/word/2010/wordprocessingShape">
                    <wps:wsp>
                      <wps:cNvSpPr/>
                      <wps:spPr>
                        <a:xfrm>
                          <a:off x="0" y="0"/>
                          <a:ext cx="1451610" cy="718185"/>
                        </a:xfrm>
                        <a:custGeom>
                          <a:avLst/>
                          <a:gdLst/>
                          <a:ahLst/>
                          <a:cxnLst/>
                          <a:pathLst>
                            <a:path w="2286" h="1131">
                              <a:moveTo>
                                <a:pt x="2280" y="1131"/>
                              </a:moveTo>
                              <a:lnTo>
                                <a:pt x="0" y="11"/>
                              </a:lnTo>
                              <a:lnTo>
                                <a:pt x="6" y="0"/>
                              </a:lnTo>
                              <a:lnTo>
                                <a:pt x="2286" y="1120"/>
                              </a:lnTo>
                              <a:lnTo>
                                <a:pt x="2280" y="1131"/>
                              </a:lnTo>
                              <a:close/>
                            </a:path>
                          </a:pathLst>
                        </a:custGeom>
                        <a:solidFill>
                          <a:srgbClr val="000000"/>
                        </a:solidFill>
                        <a:ln>
                          <a:noFill/>
                        </a:ln>
                      </wps:spPr>
                      <wps:bodyPr upright="1"/>
                    </wps:wsp>
                  </a:graphicData>
                </a:graphic>
              </wp:anchor>
            </w:drawing>
          </mc:Choice>
          <mc:Fallback>
            <w:pict>
              <v:shape id="任意多边形 8" o:spid="_x0000_s1026" o:spt="100" style="position:absolute;left:0pt;margin-left:67pt;margin-top:-151.75pt;height:56.55pt;width:114.3pt;mso-position-horizontal-relative:page;z-index:-290586624;mso-width-relative:page;mso-height-relative:page;" fillcolor="#000000" filled="t" stroked="f" coordsize="2286,1131" o:gfxdata="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NExqdoAAAANAQAADwAAAAAAAAABACAAAAAiAAAAZHJz&#10;L2Rvd25yZXYueG1sUEsBAhQAFAAAAAgAh07iQJ62y4cCAgAAPAQAAA4AAAAAAAAAAQAgAAAAKQEA&#10;AGRycy9lMm9Eb2MueG1sUEsFBgAAAAAGAAYAWQEAAJ0FAAAAAA==&#10;" path="m2280,1131l0,11,6,0,2286,1120,2280,1131xe">
                <v:fill on="t" focussize="0,0"/>
                <v:stroke on="f"/>
                <v:imagedata o:title=""/>
                <o:lock v:ext="edit" aspectratio="f"/>
              </v:shape>
            </w:pict>
          </mc:Fallback>
        </mc:AlternateContent>
      </w:r>
      <w:bookmarkStart w:id="99" w:name="1.4.6.2工业广场"/>
      <w:bookmarkEnd w:id="99"/>
      <w:bookmarkStart w:id="100" w:name="1.4.6.2工业广场"/>
      <w:bookmarkEnd w:id="100"/>
      <w:r>
        <w:t>工业广场</w:t>
      </w:r>
    </w:p>
    <w:p>
      <w:pPr>
        <w:pStyle w:val="9"/>
        <w:spacing w:before="161" w:line="362" w:lineRule="auto"/>
        <w:ind w:left="218" w:right="256" w:firstLine="480"/>
      </w:pPr>
      <w:r>
        <w:t>本项目主井及副井工业广场占地面积均</w:t>
      </w:r>
      <w:r>
        <w:rPr>
          <w:rFonts w:ascii="Times New Roman" w:hAnsi="Times New Roman" w:eastAsia="Times New Roman"/>
          <w:sz w:val="21"/>
        </w:rPr>
        <w:t>≤5hm</w:t>
      </w:r>
      <w:r>
        <w:rPr>
          <w:rFonts w:ascii="Times New Roman" w:hAnsi="Times New Roman" w:eastAsia="Times New Roman"/>
          <w:position w:val="7"/>
          <w:sz w:val="13"/>
        </w:rPr>
        <w:t>2</w:t>
      </w:r>
      <w:r>
        <w:t>，工业广场占地规模为小型。污染影响型建设项目占地规模见下表。</w:t>
      </w:r>
    </w:p>
    <w:p>
      <w:pPr>
        <w:spacing w:before="3"/>
        <w:ind w:left="3144" w:right="0" w:firstLine="0"/>
        <w:jc w:val="left"/>
        <w:rPr>
          <w:b/>
          <w:sz w:val="21"/>
        </w:rPr>
      </w:pPr>
      <w:r>
        <mc:AlternateContent>
          <mc:Choice Requires="wps">
            <w:drawing>
              <wp:anchor distT="0" distB="0" distL="114300" distR="114300" simplePos="0" relativeHeight="212728832" behindDoc="1" locked="0" layoutInCell="1" allowOverlap="1">
                <wp:simplePos x="0" y="0"/>
                <wp:positionH relativeFrom="page">
                  <wp:posOffset>850900</wp:posOffset>
                </wp:positionH>
                <wp:positionV relativeFrom="paragraph">
                  <wp:posOffset>264160</wp:posOffset>
                </wp:positionV>
                <wp:extent cx="1451610" cy="718185"/>
                <wp:effectExtent l="0" t="0" r="15240" b="5715"/>
                <wp:wrapNone/>
                <wp:docPr id="4" name="任意多边形 9"/>
                <wp:cNvGraphicFramePr/>
                <a:graphic xmlns:a="http://schemas.openxmlformats.org/drawingml/2006/main">
                  <a:graphicData uri="http://schemas.microsoft.com/office/word/2010/wordprocessingShape">
                    <wps:wsp>
                      <wps:cNvSpPr/>
                      <wps:spPr>
                        <a:xfrm>
                          <a:off x="0" y="0"/>
                          <a:ext cx="1451610" cy="718185"/>
                        </a:xfrm>
                        <a:custGeom>
                          <a:avLst/>
                          <a:gdLst/>
                          <a:ahLst/>
                          <a:cxnLst/>
                          <a:pathLst>
                            <a:path w="2286" h="1131">
                              <a:moveTo>
                                <a:pt x="2280" y="1130"/>
                              </a:moveTo>
                              <a:lnTo>
                                <a:pt x="0" y="10"/>
                              </a:lnTo>
                              <a:lnTo>
                                <a:pt x="6" y="0"/>
                              </a:lnTo>
                              <a:lnTo>
                                <a:pt x="2286" y="1120"/>
                              </a:lnTo>
                              <a:lnTo>
                                <a:pt x="2280" y="1130"/>
                              </a:lnTo>
                              <a:close/>
                            </a:path>
                          </a:pathLst>
                        </a:custGeom>
                        <a:solidFill>
                          <a:srgbClr val="000000"/>
                        </a:solidFill>
                        <a:ln>
                          <a:noFill/>
                        </a:ln>
                      </wps:spPr>
                      <wps:bodyPr upright="1"/>
                    </wps:wsp>
                  </a:graphicData>
                </a:graphic>
              </wp:anchor>
            </w:drawing>
          </mc:Choice>
          <mc:Fallback>
            <w:pict>
              <v:shape id="任意多边形 9" o:spid="_x0000_s1026" o:spt="100" style="position:absolute;left:0pt;margin-left:67pt;margin-top:20.8pt;height:56.55pt;width:114.3pt;mso-position-horizontal-relative:page;z-index:-290587648;mso-width-relative:page;mso-height-relative:page;" fillcolor="#000000" filled="t" stroked="f" coordsize="2286,1131" o:gfxdata="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6u1mLXAAAACgEAAA8AAAAAAAAAAQAgAAAAIgAAAGRycy9k&#10;b3ducmV2LnhtbFBLAQIUABQAAAAIAIdO4kDfkn7lAwIAADwEAAAOAAAAAAAAAAEAIAAAACYBAABk&#10;cnMvZTJvRG9jLnhtbFBLBQYAAAAABgAGAFkBAACbBQAAAAA=&#10;" path="m2280,1130l0,10,6,0,2286,1120,2280,1130xe">
                <v:fill on="t" focussize="0,0"/>
                <v:stroke on="f"/>
                <v:imagedata o:title=""/>
                <o:lock v:ext="edit" aspectratio="f"/>
              </v:shape>
            </w:pict>
          </mc:Fallback>
        </mc:AlternateContent>
      </w:r>
      <w:r>
        <w:rPr>
          <w:b/>
          <w:spacing w:val="-28"/>
          <w:sz w:val="21"/>
        </w:rPr>
        <w:t xml:space="preserve">表 </w:t>
      </w:r>
      <w:r>
        <w:rPr>
          <w:rFonts w:ascii="Times New Roman" w:eastAsia="Times New Roman"/>
          <w:b/>
          <w:sz w:val="21"/>
        </w:rPr>
        <w:t>1.4-14</w:t>
      </w:r>
      <w:r>
        <w:rPr>
          <w:rFonts w:ascii="Times New Roman" w:eastAsia="Times New Roman"/>
          <w:b/>
          <w:spacing w:val="52"/>
          <w:sz w:val="21"/>
        </w:rPr>
        <w:t xml:space="preserve"> </w:t>
      </w:r>
      <w:r>
        <w:rPr>
          <w:b/>
          <w:sz w:val="21"/>
        </w:rPr>
        <w:t>污染影响型建设项目占地</w:t>
      </w:r>
    </w:p>
    <w:p>
      <w:pPr>
        <w:pStyle w:val="9"/>
        <w:spacing w:before="10"/>
        <w:rPr>
          <w:b/>
          <w:sz w:val="10"/>
        </w:rPr>
      </w:pP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21"/>
        <w:gridCol w:w="2321"/>
        <w:gridCol w:w="2322"/>
        <w:gridCol w:w="23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80" w:hRule="atLeast"/>
        </w:trPr>
        <w:tc>
          <w:tcPr>
            <w:tcW w:w="2321" w:type="dxa"/>
            <w:tcBorders>
              <w:bottom w:val="single" w:color="000000" w:sz="4" w:space="0"/>
              <w:right w:val="single" w:color="000000" w:sz="4" w:space="0"/>
            </w:tcBorders>
          </w:tcPr>
          <w:p>
            <w:pPr>
              <w:pStyle w:val="19"/>
              <w:ind w:left="819" w:right="812"/>
              <w:rPr>
                <w:sz w:val="21"/>
              </w:rPr>
            </w:pPr>
            <w:r>
              <w:rPr>
                <w:sz w:val="21"/>
              </w:rPr>
              <w:t>类型</w:t>
            </w:r>
          </w:p>
          <w:p>
            <w:pPr>
              <w:pStyle w:val="19"/>
              <w:jc w:val="left"/>
              <w:rPr>
                <w:b/>
                <w:sz w:val="20"/>
              </w:rPr>
            </w:pPr>
          </w:p>
          <w:p>
            <w:pPr>
              <w:pStyle w:val="19"/>
              <w:spacing w:before="2"/>
              <w:jc w:val="left"/>
              <w:rPr>
                <w:b/>
                <w:sz w:val="19"/>
              </w:rPr>
            </w:pPr>
          </w:p>
          <w:p>
            <w:pPr>
              <w:pStyle w:val="19"/>
              <w:ind w:left="108"/>
              <w:jc w:val="left"/>
              <w:rPr>
                <w:sz w:val="21"/>
              </w:rPr>
            </w:pPr>
            <w:r>
              <w:rPr>
                <w:sz w:val="21"/>
              </w:rPr>
              <w:t>占地类型</w:t>
            </w:r>
          </w:p>
        </w:tc>
        <w:tc>
          <w:tcPr>
            <w:tcW w:w="2321" w:type="dxa"/>
            <w:tcBorders>
              <w:left w:val="single" w:color="000000" w:sz="4" w:space="0"/>
              <w:bottom w:val="single" w:color="000000" w:sz="4" w:space="0"/>
              <w:right w:val="single" w:color="000000" w:sz="4" w:space="0"/>
            </w:tcBorders>
          </w:tcPr>
          <w:p>
            <w:pPr>
              <w:pStyle w:val="19"/>
              <w:jc w:val="left"/>
              <w:rPr>
                <w:b/>
                <w:sz w:val="20"/>
              </w:rPr>
            </w:pPr>
          </w:p>
          <w:p>
            <w:pPr>
              <w:pStyle w:val="19"/>
              <w:spacing w:before="130"/>
              <w:ind w:left="813" w:right="796"/>
              <w:rPr>
                <w:sz w:val="21"/>
              </w:rPr>
            </w:pPr>
            <w:r>
              <w:rPr>
                <w:sz w:val="21"/>
              </w:rPr>
              <w:t>大型</w:t>
            </w:r>
          </w:p>
        </w:tc>
        <w:tc>
          <w:tcPr>
            <w:tcW w:w="2322" w:type="dxa"/>
            <w:tcBorders>
              <w:left w:val="single" w:color="000000" w:sz="4" w:space="0"/>
              <w:bottom w:val="single" w:color="000000" w:sz="4" w:space="0"/>
              <w:right w:val="single" w:color="000000" w:sz="4" w:space="0"/>
            </w:tcBorders>
          </w:tcPr>
          <w:p>
            <w:pPr>
              <w:pStyle w:val="19"/>
              <w:jc w:val="left"/>
              <w:rPr>
                <w:b/>
                <w:sz w:val="20"/>
              </w:rPr>
            </w:pPr>
          </w:p>
          <w:p>
            <w:pPr>
              <w:pStyle w:val="19"/>
              <w:spacing w:before="130"/>
              <w:ind w:left="759" w:right="744"/>
              <w:rPr>
                <w:sz w:val="21"/>
              </w:rPr>
            </w:pPr>
            <w:r>
              <w:rPr>
                <w:sz w:val="21"/>
              </w:rPr>
              <w:t>中型</w:t>
            </w:r>
          </w:p>
        </w:tc>
        <w:tc>
          <w:tcPr>
            <w:tcW w:w="2322" w:type="dxa"/>
            <w:tcBorders>
              <w:left w:val="single" w:color="000000" w:sz="4" w:space="0"/>
              <w:bottom w:val="single" w:color="000000" w:sz="4" w:space="0"/>
            </w:tcBorders>
          </w:tcPr>
          <w:p>
            <w:pPr>
              <w:pStyle w:val="19"/>
              <w:jc w:val="left"/>
              <w:rPr>
                <w:b/>
                <w:sz w:val="20"/>
              </w:rPr>
            </w:pPr>
          </w:p>
          <w:p>
            <w:pPr>
              <w:pStyle w:val="19"/>
              <w:spacing w:before="130"/>
              <w:ind w:left="532" w:right="509"/>
              <w:rPr>
                <w:sz w:val="21"/>
              </w:rPr>
            </w:pPr>
            <w:r>
              <w:rPr>
                <w:sz w:val="21"/>
              </w:rPr>
              <w:t>小型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5" w:hRule="atLeast"/>
        </w:trPr>
        <w:tc>
          <w:tcPr>
            <w:tcW w:w="2321" w:type="dxa"/>
            <w:tcBorders>
              <w:top w:val="single" w:color="000000" w:sz="4" w:space="0"/>
              <w:right w:val="single" w:color="000000" w:sz="4" w:space="0"/>
            </w:tcBorders>
          </w:tcPr>
          <w:p>
            <w:pPr>
              <w:pStyle w:val="19"/>
              <w:spacing w:before="87"/>
              <w:ind w:left="633"/>
              <w:jc w:val="left"/>
              <w:rPr>
                <w:sz w:val="21"/>
              </w:rPr>
            </w:pPr>
            <w:r>
              <w:rPr>
                <w:sz w:val="21"/>
              </w:rPr>
              <w:t>永久占地面</w:t>
            </w:r>
          </w:p>
        </w:tc>
        <w:tc>
          <w:tcPr>
            <w:tcW w:w="2321" w:type="dxa"/>
            <w:tcBorders>
              <w:top w:val="single" w:color="000000" w:sz="4" w:space="0"/>
              <w:left w:val="single" w:color="000000" w:sz="4" w:space="0"/>
              <w:right w:val="single" w:color="000000" w:sz="4" w:space="0"/>
            </w:tcBorders>
          </w:tcPr>
          <w:p>
            <w:pPr>
              <w:pStyle w:val="19"/>
              <w:spacing w:before="101"/>
              <w:ind w:left="816" w:right="796"/>
              <w:rPr>
                <w:rFonts w:ascii="Times New Roman" w:hAnsi="Times New Roman"/>
                <w:sz w:val="13"/>
              </w:rPr>
            </w:pPr>
            <w:r>
              <w:rPr>
                <w:rFonts w:ascii="Times New Roman" w:hAnsi="Times New Roman"/>
                <w:sz w:val="21"/>
              </w:rPr>
              <w:t>≥50hm</w:t>
            </w:r>
            <w:r>
              <w:rPr>
                <w:rFonts w:ascii="Times New Roman" w:hAnsi="Times New Roman"/>
                <w:position w:val="7"/>
                <w:sz w:val="13"/>
              </w:rPr>
              <w:t>2</w:t>
            </w:r>
          </w:p>
        </w:tc>
        <w:tc>
          <w:tcPr>
            <w:tcW w:w="2322" w:type="dxa"/>
            <w:tcBorders>
              <w:top w:val="single" w:color="000000" w:sz="4" w:space="0"/>
              <w:left w:val="single" w:color="000000" w:sz="4" w:space="0"/>
              <w:right w:val="single" w:color="000000" w:sz="4" w:space="0"/>
            </w:tcBorders>
          </w:tcPr>
          <w:p>
            <w:pPr>
              <w:pStyle w:val="19"/>
              <w:spacing w:before="101"/>
              <w:ind w:left="765" w:right="744"/>
              <w:rPr>
                <w:rFonts w:ascii="Times New Roman"/>
                <w:sz w:val="13"/>
              </w:rPr>
            </w:pPr>
            <w:r>
              <w:rPr>
                <w:rFonts w:ascii="Times New Roman"/>
                <w:sz w:val="21"/>
              </w:rPr>
              <w:t>5~50hm</w:t>
            </w:r>
            <w:r>
              <w:rPr>
                <w:rFonts w:ascii="Times New Roman"/>
                <w:position w:val="7"/>
                <w:sz w:val="13"/>
              </w:rPr>
              <w:t>2</w:t>
            </w:r>
          </w:p>
        </w:tc>
        <w:tc>
          <w:tcPr>
            <w:tcW w:w="2322" w:type="dxa"/>
            <w:tcBorders>
              <w:top w:val="single" w:color="000000" w:sz="4" w:space="0"/>
              <w:left w:val="single" w:color="000000" w:sz="4" w:space="0"/>
            </w:tcBorders>
          </w:tcPr>
          <w:p>
            <w:pPr>
              <w:pStyle w:val="19"/>
              <w:spacing w:before="101"/>
              <w:ind w:left="532" w:right="508"/>
              <w:rPr>
                <w:rFonts w:ascii="Times New Roman" w:hAnsi="Times New Roman"/>
                <w:sz w:val="13"/>
              </w:rPr>
            </w:pPr>
            <w:r>
              <w:rPr>
                <w:rFonts w:ascii="Times New Roman" w:hAnsi="Times New Roman"/>
                <w:sz w:val="21"/>
              </w:rPr>
              <w:t>≤5hm</w:t>
            </w:r>
            <w:r>
              <w:rPr>
                <w:rFonts w:ascii="Times New Roman" w:hAnsi="Times New Roman"/>
                <w:position w:val="7"/>
                <w:sz w:val="13"/>
              </w:rPr>
              <w:t>2</w:t>
            </w:r>
          </w:p>
        </w:tc>
      </w:tr>
    </w:tbl>
    <w:p>
      <w:pPr>
        <w:pStyle w:val="9"/>
        <w:spacing w:before="2" w:line="362" w:lineRule="auto"/>
        <w:ind w:left="218" w:right="205" w:firstLine="480"/>
      </w:pPr>
      <w:r>
        <w:t>本项目用地性质为建设用地，属其他情况，项目周边为林地，敏感程度为不敏感， 污染影响型敏感程度分级表见下表。</w:t>
      </w:r>
    </w:p>
    <w:p>
      <w:pPr>
        <w:spacing w:before="4"/>
        <w:ind w:left="3038" w:right="0" w:firstLine="0"/>
        <w:jc w:val="left"/>
        <w:rPr>
          <w:b/>
          <w:sz w:val="21"/>
        </w:rPr>
      </w:pPr>
      <w:r>
        <w:rPr>
          <w:b/>
          <w:spacing w:val="-28"/>
          <w:sz w:val="21"/>
        </w:rPr>
        <w:t xml:space="preserve">表 </w:t>
      </w:r>
      <w:r>
        <w:rPr>
          <w:rFonts w:ascii="Times New Roman" w:eastAsia="Times New Roman"/>
          <w:b/>
          <w:sz w:val="21"/>
        </w:rPr>
        <w:t>1.4-15</w:t>
      </w:r>
      <w:r>
        <w:rPr>
          <w:rFonts w:ascii="Times New Roman" w:eastAsia="Times New Roman"/>
          <w:b/>
          <w:spacing w:val="52"/>
          <w:sz w:val="21"/>
        </w:rPr>
        <w:t xml:space="preserve"> </w:t>
      </w:r>
      <w:r>
        <w:rPr>
          <w:b/>
          <w:sz w:val="21"/>
        </w:rPr>
        <w:t>污染影响型敏感程度分级表</w:t>
      </w:r>
    </w:p>
    <w:p>
      <w:pPr>
        <w:pStyle w:val="9"/>
        <w:spacing w:before="10" w:after="1"/>
        <w:rPr>
          <w:b/>
          <w:sz w:val="10"/>
        </w:rPr>
      </w:pP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53"/>
        <w:gridCol w:w="713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53" w:type="dxa"/>
            <w:tcBorders>
              <w:bottom w:val="single" w:color="000000" w:sz="4" w:space="0"/>
              <w:right w:val="single" w:color="000000" w:sz="4" w:space="0"/>
            </w:tcBorders>
          </w:tcPr>
          <w:p>
            <w:pPr>
              <w:pStyle w:val="19"/>
              <w:spacing w:line="268" w:lineRule="exact"/>
              <w:ind w:left="634" w:right="624"/>
              <w:rPr>
                <w:sz w:val="21"/>
              </w:rPr>
            </w:pPr>
            <w:r>
              <w:rPr>
                <w:sz w:val="21"/>
              </w:rPr>
              <w:t>敏感程度</w:t>
            </w:r>
          </w:p>
        </w:tc>
        <w:tc>
          <w:tcPr>
            <w:tcW w:w="7133" w:type="dxa"/>
            <w:tcBorders>
              <w:left w:val="single" w:color="000000" w:sz="4" w:space="0"/>
              <w:bottom w:val="single" w:color="000000" w:sz="4" w:space="0"/>
            </w:tcBorders>
          </w:tcPr>
          <w:p>
            <w:pPr>
              <w:pStyle w:val="19"/>
              <w:spacing w:line="268" w:lineRule="exact"/>
              <w:ind w:left="504" w:right="482"/>
              <w:rPr>
                <w:sz w:val="21"/>
              </w:rPr>
            </w:pPr>
            <w:r>
              <w:rPr>
                <w:sz w:val="21"/>
              </w:rPr>
              <w:t>判别依据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2153" w:type="dxa"/>
            <w:tcBorders>
              <w:top w:val="single" w:color="000000" w:sz="4" w:space="0"/>
              <w:bottom w:val="single" w:color="000000" w:sz="4" w:space="0"/>
              <w:right w:val="single" w:color="000000" w:sz="4" w:space="0"/>
            </w:tcBorders>
          </w:tcPr>
          <w:p>
            <w:pPr>
              <w:pStyle w:val="19"/>
              <w:spacing w:before="163"/>
              <w:ind w:left="634" w:right="622"/>
              <w:rPr>
                <w:sz w:val="21"/>
              </w:rPr>
            </w:pPr>
            <w:r>
              <w:rPr>
                <w:sz w:val="21"/>
              </w:rPr>
              <w:t>敏感</w:t>
            </w:r>
          </w:p>
        </w:tc>
        <w:tc>
          <w:tcPr>
            <w:tcW w:w="7133" w:type="dxa"/>
            <w:tcBorders>
              <w:top w:val="single" w:color="000000" w:sz="4" w:space="0"/>
              <w:left w:val="single" w:color="000000" w:sz="4" w:space="0"/>
              <w:bottom w:val="single" w:color="000000" w:sz="4" w:space="0"/>
            </w:tcBorders>
          </w:tcPr>
          <w:p>
            <w:pPr>
              <w:pStyle w:val="19"/>
              <w:ind w:left="504" w:right="483"/>
              <w:rPr>
                <w:sz w:val="21"/>
              </w:rPr>
            </w:pPr>
            <w:r>
              <w:rPr>
                <w:sz w:val="21"/>
              </w:rPr>
              <w:t>建设项目周边存在耕地、园地、牧草地、饮用水水源地或居民区、</w:t>
            </w:r>
          </w:p>
          <w:p>
            <w:pPr>
              <w:pStyle w:val="19"/>
              <w:spacing w:before="58"/>
              <w:ind w:left="502" w:right="483"/>
              <w:rPr>
                <w:sz w:val="21"/>
              </w:rPr>
            </w:pPr>
            <w:r>
              <w:rPr>
                <w:sz w:val="21"/>
              </w:rPr>
              <w:t>学校、医院、疗养院、养老院等土壤环境敏感目标的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53" w:type="dxa"/>
            <w:tcBorders>
              <w:top w:val="single" w:color="000000" w:sz="4" w:space="0"/>
              <w:bottom w:val="single" w:color="000000" w:sz="4" w:space="0"/>
              <w:right w:val="single" w:color="000000" w:sz="4" w:space="0"/>
            </w:tcBorders>
          </w:tcPr>
          <w:p>
            <w:pPr>
              <w:pStyle w:val="19"/>
              <w:ind w:left="634" w:right="622"/>
              <w:rPr>
                <w:sz w:val="21"/>
              </w:rPr>
            </w:pPr>
            <w:r>
              <w:rPr>
                <w:sz w:val="21"/>
              </w:rPr>
              <w:t>较敏感</w:t>
            </w:r>
          </w:p>
        </w:tc>
        <w:tc>
          <w:tcPr>
            <w:tcW w:w="7133" w:type="dxa"/>
            <w:tcBorders>
              <w:top w:val="single" w:color="000000" w:sz="4" w:space="0"/>
              <w:left w:val="single" w:color="000000" w:sz="4" w:space="0"/>
              <w:bottom w:val="single" w:color="000000" w:sz="4" w:space="0"/>
            </w:tcBorders>
          </w:tcPr>
          <w:p>
            <w:pPr>
              <w:pStyle w:val="19"/>
              <w:ind w:left="502" w:right="483"/>
              <w:rPr>
                <w:sz w:val="21"/>
              </w:rPr>
            </w:pPr>
            <w:r>
              <w:rPr>
                <w:sz w:val="21"/>
              </w:rPr>
              <w:t>建设项目周边存在其他土壤环境敏感目标的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53" w:type="dxa"/>
            <w:tcBorders>
              <w:top w:val="single" w:color="000000" w:sz="4" w:space="0"/>
              <w:right w:val="single" w:color="000000" w:sz="4" w:space="0"/>
            </w:tcBorders>
          </w:tcPr>
          <w:p>
            <w:pPr>
              <w:pStyle w:val="19"/>
              <w:spacing w:before="1"/>
              <w:ind w:left="634" w:right="622"/>
              <w:rPr>
                <w:sz w:val="21"/>
              </w:rPr>
            </w:pPr>
            <w:r>
              <w:rPr>
                <w:sz w:val="21"/>
              </w:rPr>
              <w:t>不敏感</w:t>
            </w:r>
          </w:p>
        </w:tc>
        <w:tc>
          <w:tcPr>
            <w:tcW w:w="7133" w:type="dxa"/>
            <w:tcBorders>
              <w:top w:val="single" w:color="000000" w:sz="4" w:space="0"/>
              <w:left w:val="single" w:color="000000" w:sz="4" w:space="0"/>
            </w:tcBorders>
          </w:tcPr>
          <w:p>
            <w:pPr>
              <w:pStyle w:val="19"/>
              <w:spacing w:before="1"/>
              <w:ind w:left="504" w:right="482"/>
              <w:rPr>
                <w:sz w:val="21"/>
              </w:rPr>
            </w:pPr>
            <w:r>
              <w:rPr>
                <w:sz w:val="21"/>
              </w:rPr>
              <w:t>其他情况</w:t>
            </w:r>
          </w:p>
        </w:tc>
      </w:tr>
    </w:tbl>
    <w:p>
      <w:pPr>
        <w:pStyle w:val="9"/>
        <w:spacing w:before="1" w:line="364" w:lineRule="auto"/>
        <w:ind w:left="218" w:right="248" w:firstLine="480"/>
        <w:jc w:val="both"/>
      </w:pPr>
      <w:r>
        <w:rPr>
          <w:spacing w:val="-2"/>
        </w:rPr>
        <w:t>根据《环境影响评价技术导则土壤环境</w:t>
      </w:r>
      <w:r>
        <w:rPr>
          <w:spacing w:val="-3"/>
        </w:rPr>
        <w:t>（</w:t>
      </w:r>
      <w:r>
        <w:t>试行</w:t>
      </w:r>
      <w:r>
        <w:rPr>
          <w:spacing w:val="-3"/>
        </w:rPr>
        <w:t>）</w:t>
      </w:r>
      <w:r>
        <w:rPr>
          <w:spacing w:val="-5"/>
        </w:rPr>
        <w:t>》</w:t>
      </w:r>
      <w:r>
        <w:t>（</w:t>
      </w:r>
      <w:r>
        <w:rPr>
          <w:rFonts w:ascii="Times New Roman" w:eastAsia="Times New Roman"/>
        </w:rPr>
        <w:t>HJ964-2018</w:t>
      </w:r>
      <w:r>
        <w:t>），</w:t>
      </w:r>
      <w:r>
        <w:rPr>
          <w:spacing w:val="-10"/>
        </w:rPr>
        <w:t xml:space="preserve">煤矿开采为 </w:t>
      </w:r>
      <w:r>
        <w:rPr>
          <w:rFonts w:ascii="Times New Roman" w:eastAsia="Times New Roman"/>
          <w:spacing w:val="-7"/>
        </w:rPr>
        <w:t xml:space="preserve">II </w:t>
      </w:r>
      <w:r>
        <w:rPr>
          <w:spacing w:val="-6"/>
        </w:rPr>
        <w:t>类项目；工业广场占地类型为小型；项目工业广场占地为建设用地，周围敏感程度为不敏感，污染影响型评价工作等级划分表见下表。</w:t>
      </w:r>
    </w:p>
    <w:p>
      <w:pPr>
        <w:spacing w:before="0" w:after="3" w:line="267" w:lineRule="exact"/>
        <w:ind w:left="2856" w:right="0" w:firstLine="0"/>
        <w:jc w:val="both"/>
        <w:rPr>
          <w:b/>
          <w:sz w:val="21"/>
        </w:rPr>
      </w:pPr>
      <w:r>
        <mc:AlternateContent>
          <mc:Choice Requires="wps">
            <w:drawing>
              <wp:anchor distT="0" distB="0" distL="114300" distR="114300" simplePos="0" relativeHeight="212727808" behindDoc="1" locked="0" layoutInCell="1" allowOverlap="1">
                <wp:simplePos x="0" y="0"/>
                <wp:positionH relativeFrom="page">
                  <wp:posOffset>855980</wp:posOffset>
                </wp:positionH>
                <wp:positionV relativeFrom="paragraph">
                  <wp:posOffset>170815</wp:posOffset>
                </wp:positionV>
                <wp:extent cx="1576070" cy="581660"/>
                <wp:effectExtent l="0" t="0" r="5080" b="8890"/>
                <wp:wrapNone/>
                <wp:docPr id="2" name="任意多边形 10"/>
                <wp:cNvGraphicFramePr/>
                <a:graphic xmlns:a="http://schemas.openxmlformats.org/drawingml/2006/main">
                  <a:graphicData uri="http://schemas.microsoft.com/office/word/2010/wordprocessingShape">
                    <wps:wsp>
                      <wps:cNvSpPr/>
                      <wps:spPr>
                        <a:xfrm>
                          <a:off x="0" y="0"/>
                          <a:ext cx="1576070" cy="581660"/>
                        </a:xfrm>
                        <a:custGeom>
                          <a:avLst/>
                          <a:gdLst/>
                          <a:ahLst/>
                          <a:cxnLst/>
                          <a:pathLst>
                            <a:path w="2482" h="916">
                              <a:moveTo>
                                <a:pt x="2481" y="896"/>
                              </a:moveTo>
                              <a:lnTo>
                                <a:pt x="2458" y="892"/>
                              </a:lnTo>
                              <a:lnTo>
                                <a:pt x="795" y="0"/>
                              </a:lnTo>
                              <a:lnTo>
                                <a:pt x="787" y="13"/>
                              </a:lnTo>
                              <a:lnTo>
                                <a:pt x="2408" y="882"/>
                              </a:lnTo>
                              <a:lnTo>
                                <a:pt x="2" y="411"/>
                              </a:lnTo>
                              <a:lnTo>
                                <a:pt x="0" y="426"/>
                              </a:lnTo>
                              <a:lnTo>
                                <a:pt x="2453" y="906"/>
                              </a:lnTo>
                              <a:lnTo>
                                <a:pt x="2470" y="915"/>
                              </a:lnTo>
                              <a:lnTo>
                                <a:pt x="2473" y="910"/>
                              </a:lnTo>
                              <a:lnTo>
                                <a:pt x="2479" y="911"/>
                              </a:lnTo>
                              <a:lnTo>
                                <a:pt x="2481" y="896"/>
                              </a:lnTo>
                            </a:path>
                          </a:pathLst>
                        </a:custGeom>
                        <a:solidFill>
                          <a:srgbClr val="000000"/>
                        </a:solidFill>
                        <a:ln>
                          <a:noFill/>
                        </a:ln>
                      </wps:spPr>
                      <wps:bodyPr upright="1"/>
                    </wps:wsp>
                  </a:graphicData>
                </a:graphic>
              </wp:anchor>
            </w:drawing>
          </mc:Choice>
          <mc:Fallback>
            <w:pict>
              <v:shape id="任意多边形 10" o:spid="_x0000_s1026" o:spt="100" style="position:absolute;left:0pt;margin-left:67.4pt;margin-top:13.45pt;height:45.8pt;width:124.1pt;mso-position-horizontal-relative:page;z-index:-290588672;mso-width-relative:page;mso-height-relative:page;" fillcolor="#000000" filled="t" stroked="f" coordsize="2482,916" o:gfxdata="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uJkSTYAAAACgEAAA8AAAAAAAAA&#10;AQAgAAAAIgAAAGRycy9kb3ducmV2LnhtbFBLAQIUABQAAAAIAIdO4kAUWDxbSgIAAEwFAAAOAAAA&#10;AAAAAAEAIAAAACcBAABkcnMvZTJvRG9jLnhtbFBLBQYAAAAABgAGAFkBAADjBQAAAAA=&#10;" path="m2481,896l2458,892,795,0,787,13,2408,882,2,411,0,426,2453,906,2470,915,2473,910,2479,911,2481,896e">
                <v:fill on="t" focussize="0,0"/>
                <v:stroke on="f"/>
                <v:imagedata o:title=""/>
                <o:lock v:ext="edit" aspectratio="f"/>
              </v:shape>
            </w:pict>
          </mc:Fallback>
        </mc:AlternateContent>
      </w:r>
      <w:r>
        <w:rPr>
          <w:b/>
          <w:sz w:val="21"/>
        </w:rPr>
        <w:t xml:space="preserve">表 </w:t>
      </w:r>
      <w:r>
        <w:rPr>
          <w:rFonts w:ascii="Times New Roman" w:eastAsia="Times New Roman"/>
          <w:b/>
          <w:sz w:val="21"/>
        </w:rPr>
        <w:t xml:space="preserve">1.4-16 </w:t>
      </w:r>
      <w:r>
        <w:rPr>
          <w:b/>
          <w:sz w:val="21"/>
        </w:rPr>
        <w:t>污染影响型评价工作等级划分表</w:t>
      </w: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630"/>
        <w:gridCol w:w="741"/>
        <w:gridCol w:w="740"/>
        <w:gridCol w:w="740"/>
        <w:gridCol w:w="741"/>
        <w:gridCol w:w="740"/>
        <w:gridCol w:w="741"/>
        <w:gridCol w:w="740"/>
        <w:gridCol w:w="734"/>
        <w:gridCol w:w="73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2630" w:type="dxa"/>
            <w:vMerge w:val="restart"/>
            <w:tcBorders>
              <w:bottom w:val="single" w:color="000000" w:sz="4" w:space="0"/>
              <w:right w:val="single" w:color="000000" w:sz="4" w:space="0"/>
            </w:tcBorders>
          </w:tcPr>
          <w:p>
            <w:pPr>
              <w:pStyle w:val="19"/>
              <w:tabs>
                <w:tab w:val="left" w:pos="1629"/>
              </w:tabs>
              <w:spacing w:before="140"/>
              <w:ind w:left="158"/>
              <w:jc w:val="left"/>
              <w:rPr>
                <w:sz w:val="21"/>
              </w:rPr>
            </w:pPr>
            <w:r>
              <w:rPr>
                <w:sz w:val="21"/>
              </w:rPr>
              <w:t>评价等级</w:t>
            </w:r>
            <w:r>
              <w:rPr>
                <w:sz w:val="21"/>
              </w:rPr>
              <w:tab/>
            </w:r>
            <w:r>
              <w:rPr>
                <w:sz w:val="21"/>
              </w:rPr>
              <w:t>占地规模</w:t>
            </w:r>
          </w:p>
          <w:p>
            <w:pPr>
              <w:pStyle w:val="19"/>
              <w:spacing w:before="173"/>
              <w:ind w:left="108"/>
              <w:jc w:val="left"/>
              <w:rPr>
                <w:sz w:val="21"/>
              </w:rPr>
            </w:pPr>
            <w:r>
              <w:rPr>
                <w:sz w:val="21"/>
              </w:rPr>
              <w:t>敏感程度</w:t>
            </w:r>
          </w:p>
        </w:tc>
        <w:tc>
          <w:tcPr>
            <w:tcW w:w="2221" w:type="dxa"/>
            <w:gridSpan w:val="3"/>
            <w:tcBorders>
              <w:left w:val="single" w:color="000000" w:sz="4" w:space="0"/>
              <w:bottom w:val="single" w:color="000000" w:sz="4" w:space="0"/>
              <w:right w:val="single" w:color="000000" w:sz="4" w:space="0"/>
            </w:tcBorders>
          </w:tcPr>
          <w:p>
            <w:pPr>
              <w:pStyle w:val="19"/>
              <w:spacing w:before="140"/>
              <w:ind w:left="884" w:right="867"/>
              <w:rPr>
                <w:sz w:val="21"/>
              </w:rPr>
            </w:pPr>
            <w:r>
              <w:rPr>
                <w:sz w:val="21"/>
              </w:rPr>
              <w:t>Ⅰ类</w:t>
            </w:r>
          </w:p>
        </w:tc>
        <w:tc>
          <w:tcPr>
            <w:tcW w:w="2222" w:type="dxa"/>
            <w:gridSpan w:val="3"/>
            <w:tcBorders>
              <w:left w:val="single" w:color="000000" w:sz="4" w:space="0"/>
              <w:bottom w:val="single" w:color="000000" w:sz="4" w:space="0"/>
              <w:right w:val="single" w:color="000000" w:sz="4" w:space="0"/>
            </w:tcBorders>
          </w:tcPr>
          <w:p>
            <w:pPr>
              <w:pStyle w:val="19"/>
              <w:spacing w:before="140"/>
              <w:ind w:left="884" w:right="867"/>
              <w:rPr>
                <w:sz w:val="21"/>
              </w:rPr>
            </w:pPr>
            <w:r>
              <w:rPr>
                <w:sz w:val="21"/>
              </w:rPr>
              <w:t>Ⅱ类</w:t>
            </w:r>
          </w:p>
        </w:tc>
        <w:tc>
          <w:tcPr>
            <w:tcW w:w="2213" w:type="dxa"/>
            <w:gridSpan w:val="3"/>
            <w:tcBorders>
              <w:left w:val="single" w:color="000000" w:sz="4" w:space="0"/>
              <w:bottom w:val="single" w:color="000000" w:sz="4" w:space="0"/>
            </w:tcBorders>
          </w:tcPr>
          <w:p>
            <w:pPr>
              <w:pStyle w:val="19"/>
              <w:spacing w:before="140"/>
              <w:ind w:left="880" w:right="858"/>
              <w:rPr>
                <w:sz w:val="21"/>
              </w:rPr>
            </w:pPr>
            <w:r>
              <w:rPr>
                <w:sz w:val="21"/>
              </w:rPr>
              <w:t>Ⅲ类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2630" w:type="dxa"/>
            <w:vMerge w:val="continue"/>
            <w:tcBorders>
              <w:top w:val="nil"/>
              <w:bottom w:val="single" w:color="000000" w:sz="4" w:space="0"/>
              <w:right w:val="single" w:color="000000" w:sz="4" w:space="0"/>
            </w:tcBorders>
          </w:tcPr>
          <w:p>
            <w:pPr>
              <w:rPr>
                <w:sz w:val="2"/>
                <w:szCs w:val="2"/>
              </w:rPr>
            </w:pPr>
          </w:p>
        </w:tc>
        <w:tc>
          <w:tcPr>
            <w:tcW w:w="741" w:type="dxa"/>
            <w:tcBorders>
              <w:top w:val="single" w:color="000000" w:sz="4" w:space="0"/>
              <w:left w:val="single" w:color="000000" w:sz="4" w:space="0"/>
              <w:bottom w:val="single" w:color="000000" w:sz="4" w:space="0"/>
              <w:right w:val="single" w:color="000000" w:sz="4" w:space="0"/>
            </w:tcBorders>
          </w:tcPr>
          <w:p>
            <w:pPr>
              <w:pStyle w:val="19"/>
              <w:spacing w:before="141"/>
              <w:ind w:left="16"/>
              <w:rPr>
                <w:sz w:val="21"/>
              </w:rPr>
            </w:pPr>
            <w:r>
              <w:rPr>
                <w:w w:val="99"/>
                <w:sz w:val="21"/>
              </w:rPr>
              <w:t>大</w:t>
            </w:r>
          </w:p>
        </w:tc>
        <w:tc>
          <w:tcPr>
            <w:tcW w:w="740" w:type="dxa"/>
            <w:tcBorders>
              <w:top w:val="single" w:color="000000" w:sz="4" w:space="0"/>
              <w:left w:val="single" w:color="000000" w:sz="4" w:space="0"/>
              <w:bottom w:val="single" w:color="000000" w:sz="4" w:space="0"/>
              <w:right w:val="single" w:color="000000" w:sz="4" w:space="0"/>
            </w:tcBorders>
          </w:tcPr>
          <w:p>
            <w:pPr>
              <w:pStyle w:val="19"/>
              <w:spacing w:before="141"/>
              <w:ind w:left="19"/>
              <w:rPr>
                <w:sz w:val="21"/>
              </w:rPr>
            </w:pPr>
            <w:r>
              <w:rPr>
                <w:w w:val="99"/>
                <w:sz w:val="21"/>
              </w:rPr>
              <w:t>中</w:t>
            </w:r>
          </w:p>
        </w:tc>
        <w:tc>
          <w:tcPr>
            <w:tcW w:w="740" w:type="dxa"/>
            <w:tcBorders>
              <w:top w:val="single" w:color="000000" w:sz="4" w:space="0"/>
              <w:left w:val="single" w:color="000000" w:sz="4" w:space="0"/>
              <w:bottom w:val="single" w:color="000000" w:sz="4" w:space="0"/>
              <w:right w:val="single" w:color="000000" w:sz="4" w:space="0"/>
            </w:tcBorders>
          </w:tcPr>
          <w:p>
            <w:pPr>
              <w:pStyle w:val="19"/>
              <w:spacing w:before="141"/>
              <w:ind w:left="17"/>
              <w:rPr>
                <w:sz w:val="21"/>
              </w:rPr>
            </w:pPr>
            <w:r>
              <w:rPr>
                <w:w w:val="99"/>
                <w:sz w:val="21"/>
              </w:rPr>
              <w:t>小</w:t>
            </w:r>
          </w:p>
        </w:tc>
        <w:tc>
          <w:tcPr>
            <w:tcW w:w="741" w:type="dxa"/>
            <w:tcBorders>
              <w:top w:val="single" w:color="000000" w:sz="4" w:space="0"/>
              <w:left w:val="single" w:color="000000" w:sz="4" w:space="0"/>
              <w:bottom w:val="single" w:color="000000" w:sz="4" w:space="0"/>
              <w:right w:val="single" w:color="000000" w:sz="4" w:space="0"/>
            </w:tcBorders>
          </w:tcPr>
          <w:p>
            <w:pPr>
              <w:pStyle w:val="19"/>
              <w:spacing w:before="141"/>
              <w:ind w:left="14"/>
              <w:rPr>
                <w:sz w:val="21"/>
              </w:rPr>
            </w:pPr>
            <w:r>
              <w:rPr>
                <w:w w:val="99"/>
                <w:sz w:val="21"/>
              </w:rPr>
              <w:t>大</w:t>
            </w:r>
          </w:p>
        </w:tc>
        <w:tc>
          <w:tcPr>
            <w:tcW w:w="740" w:type="dxa"/>
            <w:tcBorders>
              <w:top w:val="single" w:color="000000" w:sz="4" w:space="0"/>
              <w:left w:val="single" w:color="000000" w:sz="4" w:space="0"/>
              <w:bottom w:val="single" w:color="000000" w:sz="4" w:space="0"/>
              <w:right w:val="single" w:color="000000" w:sz="4" w:space="0"/>
            </w:tcBorders>
          </w:tcPr>
          <w:p>
            <w:pPr>
              <w:pStyle w:val="19"/>
              <w:spacing w:before="141"/>
              <w:ind w:left="17"/>
              <w:rPr>
                <w:sz w:val="21"/>
              </w:rPr>
            </w:pPr>
            <w:r>
              <w:rPr>
                <w:w w:val="99"/>
                <w:sz w:val="21"/>
              </w:rPr>
              <w:t>中</w:t>
            </w:r>
          </w:p>
        </w:tc>
        <w:tc>
          <w:tcPr>
            <w:tcW w:w="741" w:type="dxa"/>
            <w:tcBorders>
              <w:top w:val="single" w:color="000000" w:sz="4" w:space="0"/>
              <w:left w:val="single" w:color="000000" w:sz="4" w:space="0"/>
              <w:bottom w:val="single" w:color="000000" w:sz="4" w:space="0"/>
              <w:right w:val="single" w:color="000000" w:sz="4" w:space="0"/>
            </w:tcBorders>
          </w:tcPr>
          <w:p>
            <w:pPr>
              <w:pStyle w:val="19"/>
              <w:spacing w:before="141"/>
              <w:ind w:left="19"/>
              <w:rPr>
                <w:sz w:val="21"/>
              </w:rPr>
            </w:pPr>
            <w:r>
              <w:rPr>
                <w:w w:val="99"/>
                <w:sz w:val="21"/>
              </w:rPr>
              <w:t>小</w:t>
            </w:r>
          </w:p>
        </w:tc>
        <w:tc>
          <w:tcPr>
            <w:tcW w:w="740" w:type="dxa"/>
            <w:tcBorders>
              <w:top w:val="single" w:color="000000" w:sz="4" w:space="0"/>
              <w:left w:val="single" w:color="000000" w:sz="4" w:space="0"/>
              <w:bottom w:val="single" w:color="000000" w:sz="4" w:space="0"/>
              <w:right w:val="single" w:color="000000" w:sz="4" w:space="0"/>
            </w:tcBorders>
          </w:tcPr>
          <w:p>
            <w:pPr>
              <w:pStyle w:val="19"/>
              <w:spacing w:before="141"/>
              <w:ind w:left="16"/>
              <w:rPr>
                <w:sz w:val="21"/>
              </w:rPr>
            </w:pPr>
            <w:r>
              <w:rPr>
                <w:w w:val="99"/>
                <w:sz w:val="21"/>
              </w:rPr>
              <w:t>大</w:t>
            </w:r>
          </w:p>
        </w:tc>
        <w:tc>
          <w:tcPr>
            <w:tcW w:w="734" w:type="dxa"/>
            <w:tcBorders>
              <w:top w:val="single" w:color="000000" w:sz="4" w:space="0"/>
              <w:left w:val="single" w:color="000000" w:sz="4" w:space="0"/>
              <w:bottom w:val="single" w:color="000000" w:sz="4" w:space="0"/>
              <w:right w:val="single" w:color="000000" w:sz="4" w:space="0"/>
            </w:tcBorders>
          </w:tcPr>
          <w:p>
            <w:pPr>
              <w:pStyle w:val="19"/>
              <w:spacing w:before="141"/>
              <w:ind w:left="16"/>
              <w:rPr>
                <w:sz w:val="21"/>
              </w:rPr>
            </w:pPr>
            <w:r>
              <w:rPr>
                <w:w w:val="99"/>
                <w:sz w:val="21"/>
              </w:rPr>
              <w:t>中</w:t>
            </w:r>
          </w:p>
        </w:tc>
        <w:tc>
          <w:tcPr>
            <w:tcW w:w="739" w:type="dxa"/>
            <w:tcBorders>
              <w:top w:val="single" w:color="000000" w:sz="4" w:space="0"/>
              <w:left w:val="single" w:color="000000" w:sz="4" w:space="0"/>
              <w:bottom w:val="single" w:color="000000" w:sz="4" w:space="0"/>
            </w:tcBorders>
          </w:tcPr>
          <w:p>
            <w:pPr>
              <w:pStyle w:val="19"/>
              <w:spacing w:before="141"/>
              <w:ind w:left="21"/>
              <w:rPr>
                <w:sz w:val="21"/>
              </w:rPr>
            </w:pPr>
            <w:r>
              <w:rPr>
                <w:w w:val="99"/>
                <w:sz w:val="21"/>
              </w:rPr>
              <w:t>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2630" w:type="dxa"/>
            <w:tcBorders>
              <w:top w:val="single" w:color="000000" w:sz="4" w:space="0"/>
              <w:bottom w:val="single" w:color="000000" w:sz="4" w:space="0"/>
              <w:right w:val="single" w:color="000000" w:sz="4" w:space="0"/>
            </w:tcBorders>
          </w:tcPr>
          <w:p>
            <w:pPr>
              <w:pStyle w:val="19"/>
              <w:spacing w:before="140"/>
              <w:ind w:left="977" w:right="967"/>
              <w:rPr>
                <w:sz w:val="21"/>
              </w:rPr>
            </w:pPr>
            <w:r>
              <w:rPr>
                <w:sz w:val="21"/>
              </w:rPr>
              <w:t>敏感</w:t>
            </w:r>
          </w:p>
        </w:tc>
        <w:tc>
          <w:tcPr>
            <w:tcW w:w="741" w:type="dxa"/>
            <w:tcBorders>
              <w:top w:val="single" w:color="000000" w:sz="4" w:space="0"/>
              <w:left w:val="single" w:color="000000" w:sz="4" w:space="0"/>
              <w:bottom w:val="single" w:color="000000" w:sz="4" w:space="0"/>
              <w:right w:val="single" w:color="000000" w:sz="4" w:space="0"/>
            </w:tcBorders>
          </w:tcPr>
          <w:p>
            <w:pPr>
              <w:pStyle w:val="19"/>
              <w:spacing w:before="140"/>
              <w:ind w:left="139" w:right="125"/>
              <w:rPr>
                <w:sz w:val="21"/>
              </w:rPr>
            </w:pPr>
            <w:r>
              <w:rPr>
                <w:sz w:val="21"/>
              </w:rPr>
              <w:t>一级</w:t>
            </w:r>
          </w:p>
        </w:tc>
        <w:tc>
          <w:tcPr>
            <w:tcW w:w="740" w:type="dxa"/>
            <w:tcBorders>
              <w:top w:val="single" w:color="000000" w:sz="4" w:space="0"/>
              <w:left w:val="single" w:color="000000" w:sz="4" w:space="0"/>
              <w:bottom w:val="single" w:color="000000" w:sz="4" w:space="0"/>
              <w:right w:val="single" w:color="000000" w:sz="4" w:space="0"/>
            </w:tcBorders>
          </w:tcPr>
          <w:p>
            <w:pPr>
              <w:pStyle w:val="19"/>
              <w:spacing w:before="140"/>
              <w:ind w:left="142" w:right="126"/>
              <w:rPr>
                <w:sz w:val="21"/>
              </w:rPr>
            </w:pPr>
            <w:r>
              <w:rPr>
                <w:sz w:val="21"/>
              </w:rPr>
              <w:t>一级</w:t>
            </w:r>
          </w:p>
        </w:tc>
        <w:tc>
          <w:tcPr>
            <w:tcW w:w="740" w:type="dxa"/>
            <w:tcBorders>
              <w:top w:val="single" w:color="000000" w:sz="4" w:space="0"/>
              <w:left w:val="single" w:color="000000" w:sz="4" w:space="0"/>
              <w:bottom w:val="single" w:color="000000" w:sz="4" w:space="0"/>
              <w:right w:val="single" w:color="000000" w:sz="4" w:space="0"/>
            </w:tcBorders>
          </w:tcPr>
          <w:p>
            <w:pPr>
              <w:pStyle w:val="19"/>
              <w:spacing w:before="140"/>
              <w:ind w:left="140" w:right="126"/>
              <w:rPr>
                <w:sz w:val="21"/>
              </w:rPr>
            </w:pPr>
            <w:r>
              <w:rPr>
                <w:sz w:val="21"/>
              </w:rPr>
              <w:t>一级</w:t>
            </w:r>
          </w:p>
        </w:tc>
        <w:tc>
          <w:tcPr>
            <w:tcW w:w="741" w:type="dxa"/>
            <w:tcBorders>
              <w:top w:val="single" w:color="000000" w:sz="4" w:space="0"/>
              <w:left w:val="single" w:color="000000" w:sz="4" w:space="0"/>
              <w:bottom w:val="single" w:color="000000" w:sz="4" w:space="0"/>
              <w:right w:val="single" w:color="000000" w:sz="4" w:space="0"/>
            </w:tcBorders>
          </w:tcPr>
          <w:p>
            <w:pPr>
              <w:pStyle w:val="19"/>
              <w:spacing w:before="140"/>
              <w:ind w:left="142" w:right="125"/>
              <w:rPr>
                <w:sz w:val="21"/>
              </w:rPr>
            </w:pPr>
            <w:r>
              <w:rPr>
                <w:sz w:val="21"/>
              </w:rPr>
              <w:t>二级</w:t>
            </w:r>
          </w:p>
        </w:tc>
        <w:tc>
          <w:tcPr>
            <w:tcW w:w="740" w:type="dxa"/>
            <w:tcBorders>
              <w:top w:val="single" w:color="000000" w:sz="4" w:space="0"/>
              <w:left w:val="single" w:color="000000" w:sz="4" w:space="0"/>
              <w:bottom w:val="single" w:color="000000" w:sz="4" w:space="0"/>
              <w:right w:val="single" w:color="000000" w:sz="4" w:space="0"/>
            </w:tcBorders>
          </w:tcPr>
          <w:p>
            <w:pPr>
              <w:pStyle w:val="19"/>
              <w:spacing w:before="140"/>
              <w:ind w:left="140" w:right="126"/>
              <w:rPr>
                <w:sz w:val="21"/>
              </w:rPr>
            </w:pPr>
            <w:r>
              <w:rPr>
                <w:sz w:val="21"/>
              </w:rPr>
              <w:t>二级</w:t>
            </w:r>
          </w:p>
        </w:tc>
        <w:tc>
          <w:tcPr>
            <w:tcW w:w="741" w:type="dxa"/>
            <w:tcBorders>
              <w:top w:val="single" w:color="000000" w:sz="4" w:space="0"/>
              <w:left w:val="single" w:color="000000" w:sz="4" w:space="0"/>
              <w:bottom w:val="single" w:color="000000" w:sz="4" w:space="0"/>
              <w:right w:val="single" w:color="000000" w:sz="4" w:space="0"/>
            </w:tcBorders>
          </w:tcPr>
          <w:p>
            <w:pPr>
              <w:pStyle w:val="19"/>
              <w:spacing w:before="140"/>
              <w:ind w:left="141" w:right="125"/>
              <w:rPr>
                <w:sz w:val="21"/>
              </w:rPr>
            </w:pPr>
            <w:r>
              <w:rPr>
                <w:sz w:val="21"/>
              </w:rPr>
              <w:t>二级</w:t>
            </w:r>
          </w:p>
        </w:tc>
        <w:tc>
          <w:tcPr>
            <w:tcW w:w="740" w:type="dxa"/>
            <w:tcBorders>
              <w:top w:val="single" w:color="000000" w:sz="4" w:space="0"/>
              <w:left w:val="single" w:color="000000" w:sz="4" w:space="0"/>
              <w:bottom w:val="single" w:color="000000" w:sz="4" w:space="0"/>
              <w:right w:val="single" w:color="000000" w:sz="4" w:space="0"/>
            </w:tcBorders>
          </w:tcPr>
          <w:p>
            <w:pPr>
              <w:pStyle w:val="19"/>
              <w:spacing w:before="140"/>
              <w:ind w:left="142" w:right="124"/>
              <w:rPr>
                <w:sz w:val="21"/>
              </w:rPr>
            </w:pPr>
            <w:r>
              <w:rPr>
                <w:sz w:val="21"/>
              </w:rPr>
              <w:t>三级</w:t>
            </w:r>
          </w:p>
        </w:tc>
        <w:tc>
          <w:tcPr>
            <w:tcW w:w="734" w:type="dxa"/>
            <w:tcBorders>
              <w:top w:val="single" w:color="000000" w:sz="4" w:space="0"/>
              <w:left w:val="single" w:color="000000" w:sz="4" w:space="0"/>
              <w:bottom w:val="single" w:color="000000" w:sz="4" w:space="0"/>
              <w:right w:val="single" w:color="000000" w:sz="4" w:space="0"/>
            </w:tcBorders>
          </w:tcPr>
          <w:p>
            <w:pPr>
              <w:pStyle w:val="19"/>
              <w:spacing w:before="140"/>
              <w:ind w:left="140" w:right="122"/>
              <w:rPr>
                <w:sz w:val="21"/>
              </w:rPr>
            </w:pPr>
            <w:r>
              <w:rPr>
                <w:sz w:val="21"/>
              </w:rPr>
              <w:t>三级</w:t>
            </w:r>
          </w:p>
        </w:tc>
        <w:tc>
          <w:tcPr>
            <w:tcW w:w="739" w:type="dxa"/>
            <w:tcBorders>
              <w:top w:val="single" w:color="000000" w:sz="4" w:space="0"/>
              <w:left w:val="single" w:color="000000" w:sz="4" w:space="0"/>
              <w:bottom w:val="single" w:color="000000" w:sz="4" w:space="0"/>
            </w:tcBorders>
          </w:tcPr>
          <w:p>
            <w:pPr>
              <w:pStyle w:val="19"/>
              <w:spacing w:before="140"/>
              <w:ind w:left="141" w:right="122"/>
              <w:rPr>
                <w:sz w:val="21"/>
              </w:rPr>
            </w:pPr>
            <w:r>
              <w:rPr>
                <w:sz w:val="21"/>
              </w:rPr>
              <w:t>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2630" w:type="dxa"/>
            <w:tcBorders>
              <w:top w:val="single" w:color="000000" w:sz="4" w:space="0"/>
              <w:bottom w:val="single" w:color="000000" w:sz="4" w:space="0"/>
              <w:right w:val="single" w:color="000000" w:sz="4" w:space="0"/>
            </w:tcBorders>
          </w:tcPr>
          <w:p>
            <w:pPr>
              <w:pStyle w:val="19"/>
              <w:spacing w:before="142"/>
              <w:ind w:left="977" w:right="967"/>
              <w:rPr>
                <w:sz w:val="21"/>
              </w:rPr>
            </w:pPr>
            <w:r>
              <w:rPr>
                <w:sz w:val="21"/>
              </w:rPr>
              <w:t>较敏感</w:t>
            </w:r>
          </w:p>
        </w:tc>
        <w:tc>
          <w:tcPr>
            <w:tcW w:w="741" w:type="dxa"/>
            <w:tcBorders>
              <w:top w:val="single" w:color="000000" w:sz="4" w:space="0"/>
              <w:left w:val="single" w:color="000000" w:sz="4" w:space="0"/>
              <w:bottom w:val="single" w:color="000000" w:sz="4" w:space="0"/>
              <w:right w:val="single" w:color="000000" w:sz="4" w:space="0"/>
            </w:tcBorders>
          </w:tcPr>
          <w:p>
            <w:pPr>
              <w:pStyle w:val="19"/>
              <w:spacing w:before="142"/>
              <w:ind w:left="139" w:right="125"/>
              <w:rPr>
                <w:sz w:val="21"/>
              </w:rPr>
            </w:pPr>
            <w:r>
              <w:rPr>
                <w:sz w:val="21"/>
              </w:rPr>
              <w:t>一级</w:t>
            </w:r>
          </w:p>
        </w:tc>
        <w:tc>
          <w:tcPr>
            <w:tcW w:w="740" w:type="dxa"/>
            <w:tcBorders>
              <w:top w:val="single" w:color="000000" w:sz="4" w:space="0"/>
              <w:left w:val="single" w:color="000000" w:sz="4" w:space="0"/>
              <w:bottom w:val="single" w:color="000000" w:sz="4" w:space="0"/>
              <w:right w:val="single" w:color="000000" w:sz="4" w:space="0"/>
            </w:tcBorders>
          </w:tcPr>
          <w:p>
            <w:pPr>
              <w:pStyle w:val="19"/>
              <w:spacing w:before="142"/>
              <w:ind w:left="142" w:right="126"/>
              <w:rPr>
                <w:sz w:val="21"/>
              </w:rPr>
            </w:pPr>
            <w:r>
              <w:rPr>
                <w:sz w:val="21"/>
              </w:rPr>
              <w:t>一级</w:t>
            </w:r>
          </w:p>
        </w:tc>
        <w:tc>
          <w:tcPr>
            <w:tcW w:w="740" w:type="dxa"/>
            <w:tcBorders>
              <w:top w:val="single" w:color="000000" w:sz="4" w:space="0"/>
              <w:left w:val="single" w:color="000000" w:sz="4" w:space="0"/>
              <w:bottom w:val="single" w:color="000000" w:sz="4" w:space="0"/>
              <w:right w:val="single" w:color="000000" w:sz="4" w:space="0"/>
            </w:tcBorders>
          </w:tcPr>
          <w:p>
            <w:pPr>
              <w:pStyle w:val="19"/>
              <w:spacing w:before="142"/>
              <w:ind w:left="140" w:right="126"/>
              <w:rPr>
                <w:sz w:val="21"/>
              </w:rPr>
            </w:pPr>
            <w:r>
              <w:rPr>
                <w:sz w:val="21"/>
              </w:rPr>
              <w:t>二级</w:t>
            </w:r>
          </w:p>
        </w:tc>
        <w:tc>
          <w:tcPr>
            <w:tcW w:w="741" w:type="dxa"/>
            <w:tcBorders>
              <w:top w:val="single" w:color="000000" w:sz="4" w:space="0"/>
              <w:left w:val="single" w:color="000000" w:sz="4" w:space="0"/>
              <w:bottom w:val="single" w:color="000000" w:sz="4" w:space="0"/>
              <w:right w:val="single" w:color="000000" w:sz="4" w:space="0"/>
            </w:tcBorders>
          </w:tcPr>
          <w:p>
            <w:pPr>
              <w:pStyle w:val="19"/>
              <w:spacing w:before="142"/>
              <w:ind w:left="142" w:right="125"/>
              <w:rPr>
                <w:sz w:val="21"/>
              </w:rPr>
            </w:pPr>
            <w:r>
              <w:rPr>
                <w:sz w:val="21"/>
              </w:rPr>
              <w:t>二级</w:t>
            </w:r>
          </w:p>
        </w:tc>
        <w:tc>
          <w:tcPr>
            <w:tcW w:w="740" w:type="dxa"/>
            <w:tcBorders>
              <w:top w:val="single" w:color="000000" w:sz="4" w:space="0"/>
              <w:left w:val="single" w:color="000000" w:sz="4" w:space="0"/>
              <w:bottom w:val="single" w:color="000000" w:sz="4" w:space="0"/>
              <w:right w:val="single" w:color="000000" w:sz="4" w:space="0"/>
            </w:tcBorders>
          </w:tcPr>
          <w:p>
            <w:pPr>
              <w:pStyle w:val="19"/>
              <w:spacing w:before="142"/>
              <w:ind w:left="140" w:right="126"/>
              <w:rPr>
                <w:sz w:val="21"/>
              </w:rPr>
            </w:pPr>
            <w:r>
              <w:rPr>
                <w:sz w:val="21"/>
              </w:rPr>
              <w:t>二级</w:t>
            </w:r>
          </w:p>
        </w:tc>
        <w:tc>
          <w:tcPr>
            <w:tcW w:w="741" w:type="dxa"/>
            <w:tcBorders>
              <w:top w:val="single" w:color="000000" w:sz="4" w:space="0"/>
              <w:left w:val="single" w:color="000000" w:sz="4" w:space="0"/>
              <w:bottom w:val="single" w:color="000000" w:sz="4" w:space="0"/>
              <w:right w:val="single" w:color="000000" w:sz="4" w:space="0"/>
            </w:tcBorders>
          </w:tcPr>
          <w:p>
            <w:pPr>
              <w:pStyle w:val="19"/>
              <w:spacing w:before="142"/>
              <w:ind w:left="141" w:right="125"/>
              <w:rPr>
                <w:sz w:val="21"/>
              </w:rPr>
            </w:pPr>
            <w:r>
              <w:rPr>
                <w:sz w:val="21"/>
              </w:rPr>
              <w:t>三级</w:t>
            </w:r>
          </w:p>
        </w:tc>
        <w:tc>
          <w:tcPr>
            <w:tcW w:w="740" w:type="dxa"/>
            <w:tcBorders>
              <w:top w:val="single" w:color="000000" w:sz="4" w:space="0"/>
              <w:left w:val="single" w:color="000000" w:sz="4" w:space="0"/>
              <w:bottom w:val="single" w:color="000000" w:sz="4" w:space="0"/>
              <w:right w:val="single" w:color="000000" w:sz="4" w:space="0"/>
            </w:tcBorders>
          </w:tcPr>
          <w:p>
            <w:pPr>
              <w:pStyle w:val="19"/>
              <w:spacing w:before="142"/>
              <w:ind w:left="142" w:right="124"/>
              <w:rPr>
                <w:sz w:val="21"/>
              </w:rPr>
            </w:pPr>
            <w:r>
              <w:rPr>
                <w:sz w:val="21"/>
              </w:rPr>
              <w:t>三级</w:t>
            </w:r>
          </w:p>
        </w:tc>
        <w:tc>
          <w:tcPr>
            <w:tcW w:w="734" w:type="dxa"/>
            <w:tcBorders>
              <w:top w:val="single" w:color="000000" w:sz="4" w:space="0"/>
              <w:left w:val="single" w:color="000000" w:sz="4" w:space="0"/>
              <w:bottom w:val="single" w:color="000000" w:sz="4" w:space="0"/>
              <w:right w:val="single" w:color="000000" w:sz="4" w:space="0"/>
            </w:tcBorders>
          </w:tcPr>
          <w:p>
            <w:pPr>
              <w:pStyle w:val="19"/>
              <w:spacing w:before="142"/>
              <w:ind w:left="140" w:right="122"/>
              <w:rPr>
                <w:sz w:val="21"/>
              </w:rPr>
            </w:pPr>
            <w:r>
              <w:rPr>
                <w:sz w:val="21"/>
              </w:rPr>
              <w:t>三级</w:t>
            </w:r>
          </w:p>
        </w:tc>
        <w:tc>
          <w:tcPr>
            <w:tcW w:w="739" w:type="dxa"/>
            <w:tcBorders>
              <w:top w:val="single" w:color="000000" w:sz="4" w:space="0"/>
              <w:left w:val="single" w:color="000000" w:sz="4" w:space="0"/>
              <w:bottom w:val="single" w:color="000000" w:sz="4" w:space="0"/>
            </w:tcBorders>
          </w:tcPr>
          <w:p>
            <w:pPr>
              <w:pStyle w:val="19"/>
              <w:spacing w:before="155"/>
              <w:ind w:left="26"/>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9" w:hRule="atLeast"/>
        </w:trPr>
        <w:tc>
          <w:tcPr>
            <w:tcW w:w="2630" w:type="dxa"/>
            <w:tcBorders>
              <w:top w:val="single" w:color="000000" w:sz="4" w:space="0"/>
              <w:right w:val="single" w:color="000000" w:sz="4" w:space="0"/>
            </w:tcBorders>
          </w:tcPr>
          <w:p>
            <w:pPr>
              <w:pStyle w:val="19"/>
              <w:spacing w:before="140"/>
              <w:ind w:left="977" w:right="967"/>
              <w:rPr>
                <w:sz w:val="21"/>
              </w:rPr>
            </w:pPr>
            <w:r>
              <w:rPr>
                <w:sz w:val="21"/>
              </w:rPr>
              <w:t>不敏感</w:t>
            </w:r>
          </w:p>
        </w:tc>
        <w:tc>
          <w:tcPr>
            <w:tcW w:w="741" w:type="dxa"/>
            <w:tcBorders>
              <w:top w:val="single" w:color="000000" w:sz="4" w:space="0"/>
              <w:left w:val="single" w:color="000000" w:sz="4" w:space="0"/>
              <w:right w:val="single" w:color="000000" w:sz="4" w:space="0"/>
            </w:tcBorders>
          </w:tcPr>
          <w:p>
            <w:pPr>
              <w:pStyle w:val="19"/>
              <w:spacing w:before="140"/>
              <w:ind w:left="139" w:right="125"/>
              <w:rPr>
                <w:sz w:val="21"/>
              </w:rPr>
            </w:pPr>
            <w:r>
              <w:rPr>
                <w:sz w:val="21"/>
              </w:rPr>
              <w:t>一级</w:t>
            </w:r>
          </w:p>
        </w:tc>
        <w:tc>
          <w:tcPr>
            <w:tcW w:w="740" w:type="dxa"/>
            <w:tcBorders>
              <w:top w:val="single" w:color="000000" w:sz="4" w:space="0"/>
              <w:left w:val="single" w:color="000000" w:sz="4" w:space="0"/>
              <w:right w:val="single" w:color="000000" w:sz="4" w:space="0"/>
            </w:tcBorders>
          </w:tcPr>
          <w:p>
            <w:pPr>
              <w:pStyle w:val="19"/>
              <w:spacing w:before="140"/>
              <w:ind w:left="142" w:right="126"/>
              <w:rPr>
                <w:sz w:val="21"/>
              </w:rPr>
            </w:pPr>
            <w:r>
              <w:rPr>
                <w:sz w:val="21"/>
              </w:rPr>
              <w:t>二级</w:t>
            </w:r>
          </w:p>
        </w:tc>
        <w:tc>
          <w:tcPr>
            <w:tcW w:w="740" w:type="dxa"/>
            <w:tcBorders>
              <w:top w:val="single" w:color="000000" w:sz="4" w:space="0"/>
              <w:left w:val="single" w:color="000000" w:sz="4" w:space="0"/>
              <w:right w:val="single" w:color="000000" w:sz="4" w:space="0"/>
            </w:tcBorders>
          </w:tcPr>
          <w:p>
            <w:pPr>
              <w:pStyle w:val="19"/>
              <w:spacing w:before="140"/>
              <w:ind w:left="140" w:right="126"/>
              <w:rPr>
                <w:sz w:val="21"/>
              </w:rPr>
            </w:pPr>
            <w:r>
              <w:rPr>
                <w:sz w:val="21"/>
              </w:rPr>
              <w:t>二级</w:t>
            </w:r>
          </w:p>
        </w:tc>
        <w:tc>
          <w:tcPr>
            <w:tcW w:w="741" w:type="dxa"/>
            <w:tcBorders>
              <w:top w:val="single" w:color="000000" w:sz="4" w:space="0"/>
              <w:left w:val="single" w:color="000000" w:sz="4" w:space="0"/>
              <w:right w:val="single" w:color="000000" w:sz="4" w:space="0"/>
            </w:tcBorders>
          </w:tcPr>
          <w:p>
            <w:pPr>
              <w:pStyle w:val="19"/>
              <w:spacing w:before="140"/>
              <w:ind w:left="142" w:right="125"/>
              <w:rPr>
                <w:sz w:val="21"/>
              </w:rPr>
            </w:pPr>
            <w:r>
              <w:rPr>
                <w:sz w:val="21"/>
              </w:rPr>
              <w:t>二级</w:t>
            </w:r>
          </w:p>
        </w:tc>
        <w:tc>
          <w:tcPr>
            <w:tcW w:w="740" w:type="dxa"/>
            <w:tcBorders>
              <w:top w:val="single" w:color="000000" w:sz="4" w:space="0"/>
              <w:left w:val="single" w:color="000000" w:sz="4" w:space="0"/>
              <w:right w:val="single" w:color="000000" w:sz="4" w:space="0"/>
            </w:tcBorders>
          </w:tcPr>
          <w:p>
            <w:pPr>
              <w:pStyle w:val="19"/>
              <w:spacing w:before="140"/>
              <w:ind w:left="140" w:right="126"/>
              <w:rPr>
                <w:sz w:val="21"/>
              </w:rPr>
            </w:pPr>
            <w:r>
              <w:rPr>
                <w:sz w:val="21"/>
              </w:rPr>
              <w:t>三级</w:t>
            </w:r>
          </w:p>
        </w:tc>
        <w:tc>
          <w:tcPr>
            <w:tcW w:w="741" w:type="dxa"/>
            <w:tcBorders>
              <w:top w:val="single" w:color="000000" w:sz="4" w:space="0"/>
              <w:left w:val="single" w:color="000000" w:sz="4" w:space="0"/>
              <w:right w:val="single" w:color="000000" w:sz="4" w:space="0"/>
            </w:tcBorders>
          </w:tcPr>
          <w:p>
            <w:pPr>
              <w:pStyle w:val="19"/>
              <w:spacing w:before="140"/>
              <w:ind w:left="142" w:right="123"/>
              <w:rPr>
                <w:b/>
                <w:sz w:val="21"/>
              </w:rPr>
            </w:pPr>
            <w:r>
              <w:rPr>
                <w:b/>
                <w:sz w:val="21"/>
              </w:rPr>
              <w:t>三级</w:t>
            </w:r>
          </w:p>
          <w:p>
            <w:pPr>
              <w:pStyle w:val="19"/>
              <w:spacing w:before="7"/>
              <w:jc w:val="left"/>
              <w:rPr>
                <w:b/>
                <w:sz w:val="14"/>
              </w:rPr>
            </w:pPr>
          </w:p>
          <w:p>
            <w:pPr>
              <w:pStyle w:val="19"/>
              <w:ind w:left="20"/>
              <w:rPr>
                <w:rFonts w:ascii="Times New Roman" w:hAnsi="Times New Roman"/>
                <w:b/>
                <w:sz w:val="21"/>
              </w:rPr>
            </w:pPr>
            <w:r>
              <w:rPr>
                <w:rFonts w:ascii="Times New Roman" w:hAnsi="Times New Roman"/>
                <w:b/>
                <w:w w:val="99"/>
                <w:sz w:val="21"/>
              </w:rPr>
              <w:t>√</w:t>
            </w:r>
          </w:p>
        </w:tc>
        <w:tc>
          <w:tcPr>
            <w:tcW w:w="740" w:type="dxa"/>
            <w:tcBorders>
              <w:top w:val="single" w:color="000000" w:sz="4" w:space="0"/>
              <w:left w:val="single" w:color="000000" w:sz="4" w:space="0"/>
              <w:right w:val="single" w:color="000000" w:sz="4" w:space="0"/>
            </w:tcBorders>
          </w:tcPr>
          <w:p>
            <w:pPr>
              <w:pStyle w:val="19"/>
              <w:spacing w:before="140"/>
              <w:ind w:left="142" w:right="124"/>
              <w:rPr>
                <w:sz w:val="21"/>
              </w:rPr>
            </w:pPr>
            <w:r>
              <w:rPr>
                <w:sz w:val="21"/>
              </w:rPr>
              <w:t>三级</w:t>
            </w:r>
          </w:p>
        </w:tc>
        <w:tc>
          <w:tcPr>
            <w:tcW w:w="734" w:type="dxa"/>
            <w:tcBorders>
              <w:top w:val="single" w:color="000000" w:sz="4" w:space="0"/>
              <w:left w:val="single" w:color="000000" w:sz="4" w:space="0"/>
              <w:right w:val="single" w:color="000000" w:sz="4" w:space="0"/>
            </w:tcBorders>
          </w:tcPr>
          <w:p>
            <w:pPr>
              <w:pStyle w:val="19"/>
              <w:spacing w:before="154"/>
              <w:ind w:left="20"/>
              <w:rPr>
                <w:rFonts w:ascii="Times New Roman"/>
                <w:sz w:val="21"/>
              </w:rPr>
            </w:pPr>
            <w:r>
              <w:rPr>
                <w:rFonts w:ascii="Times New Roman"/>
                <w:w w:val="99"/>
                <w:sz w:val="21"/>
              </w:rPr>
              <w:t>-</w:t>
            </w:r>
          </w:p>
        </w:tc>
        <w:tc>
          <w:tcPr>
            <w:tcW w:w="739" w:type="dxa"/>
            <w:tcBorders>
              <w:top w:val="single" w:color="000000" w:sz="4" w:space="0"/>
              <w:left w:val="single" w:color="000000" w:sz="4" w:space="0"/>
            </w:tcBorders>
          </w:tcPr>
          <w:p>
            <w:pPr>
              <w:pStyle w:val="19"/>
              <w:spacing w:before="154"/>
              <w:ind w:left="26"/>
              <w:rPr>
                <w:rFonts w:ascii="Times New Roman"/>
                <w:sz w:val="21"/>
              </w:rPr>
            </w:pPr>
            <w:r>
              <w:rPr>
                <w:rFonts w:ascii="Times New Roman"/>
                <w:w w:val="99"/>
                <w:sz w:val="21"/>
              </w:rPr>
              <w:t>-</w:t>
            </w:r>
          </w:p>
        </w:tc>
      </w:tr>
    </w:tbl>
    <w:p>
      <w:pPr>
        <w:spacing w:after="0"/>
        <w:rPr>
          <w:rFonts w:ascii="Times New Roman"/>
          <w:sz w:val="21"/>
        </w:rPr>
        <w:sectPr>
          <w:pgSz w:w="11910" w:h="16840"/>
          <w:pgMar w:top="1400" w:right="1160" w:bottom="1180" w:left="1200" w:header="0" w:footer="993" w:gutter="0"/>
        </w:sectPr>
      </w:pPr>
    </w:p>
    <w:p>
      <w:pPr>
        <w:pStyle w:val="9"/>
        <w:spacing w:before="41"/>
        <w:ind w:left="698"/>
      </w:pPr>
      <w:r>
        <w:t>由上表中可以看出，本项目工业广场土壤环境评价工作等级为三级。</w:t>
      </w:r>
    </w:p>
    <w:p>
      <w:pPr>
        <w:pStyle w:val="6"/>
        <w:numPr>
          <w:ilvl w:val="2"/>
          <w:numId w:val="25"/>
        </w:numPr>
        <w:tabs>
          <w:tab w:val="left" w:pos="848"/>
        </w:tabs>
        <w:spacing w:before="159" w:after="0" w:line="240" w:lineRule="auto"/>
        <w:ind w:left="847" w:right="0" w:hanging="630"/>
        <w:jc w:val="left"/>
      </w:pPr>
      <w:bookmarkStart w:id="101" w:name="1.4.7环境风险"/>
      <w:bookmarkEnd w:id="101"/>
      <w:bookmarkStart w:id="102" w:name="1.4.7环境风险"/>
      <w:bookmarkEnd w:id="102"/>
      <w:r>
        <w:t>环境风险</w:t>
      </w:r>
    </w:p>
    <w:p>
      <w:pPr>
        <w:pStyle w:val="9"/>
        <w:spacing w:before="185"/>
        <w:ind w:left="698"/>
      </w:pPr>
      <w:r>
        <w:t>本项目危险物质主要为油类物质及硝铵炸药。</w:t>
      </w:r>
    </w:p>
    <w:p>
      <w:pPr>
        <w:pStyle w:val="9"/>
        <w:spacing w:before="161" w:line="364" w:lineRule="auto"/>
        <w:ind w:left="218" w:right="198" w:firstLine="480"/>
      </w:pPr>
      <w:r>
        <w:t>根据《建设项目环境风险评价技术导则》（</w:t>
      </w:r>
      <w:r>
        <w:rPr>
          <w:rFonts w:ascii="Times New Roman" w:eastAsia="Times New Roman"/>
        </w:rPr>
        <w:t>HJ169-2018</w:t>
      </w:r>
      <w:r>
        <w:t>）中关于环境风险潜势初判方式首先按式计算物质总量与临界量比值（</w:t>
      </w:r>
      <w:r>
        <w:rPr>
          <w:rFonts w:ascii="Times New Roman" w:eastAsia="Times New Roman"/>
        </w:rPr>
        <w:t>Q</w:t>
      </w:r>
      <w:r>
        <w:t>）</w:t>
      </w:r>
    </w:p>
    <w:p>
      <w:pPr>
        <w:spacing w:after="0" w:line="364" w:lineRule="auto"/>
        <w:sectPr>
          <w:pgSz w:w="11910" w:h="16840"/>
          <w:pgMar w:top="1360" w:right="1160" w:bottom="1180" w:left="1200" w:header="0" w:footer="993" w:gutter="0"/>
        </w:sectPr>
      </w:pPr>
    </w:p>
    <w:p>
      <w:pPr>
        <w:spacing w:before="37" w:line="187" w:lineRule="auto"/>
        <w:ind w:left="3022" w:right="0" w:firstLine="0"/>
        <w:jc w:val="left"/>
        <w:rPr>
          <w:rFonts w:ascii="Times New Roman" w:hAnsi="Times New Roman"/>
          <w:sz w:val="22"/>
        </w:rPr>
      </w:pPr>
      <w:r>
        <mc:AlternateContent>
          <mc:Choice Requires="wps">
            <w:drawing>
              <wp:anchor distT="0" distB="0" distL="114300" distR="114300" simplePos="0" relativeHeight="212730880" behindDoc="1" locked="0" layoutInCell="1" allowOverlap="1">
                <wp:simplePos x="0" y="0"/>
                <wp:positionH relativeFrom="page">
                  <wp:posOffset>3105150</wp:posOffset>
                </wp:positionH>
                <wp:positionV relativeFrom="paragraph">
                  <wp:posOffset>321310</wp:posOffset>
                </wp:positionV>
                <wp:extent cx="280035" cy="0"/>
                <wp:effectExtent l="0" t="0" r="0" b="0"/>
                <wp:wrapNone/>
                <wp:docPr id="8" name="直线 11"/>
                <wp:cNvGraphicFramePr/>
                <a:graphic xmlns:a="http://schemas.openxmlformats.org/drawingml/2006/main">
                  <a:graphicData uri="http://schemas.microsoft.com/office/word/2010/wordprocessingShape">
                    <wps:wsp>
                      <wps:cNvSpPr/>
                      <wps:spPr>
                        <a:xfrm>
                          <a:off x="0" y="0"/>
                          <a:ext cx="28003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11" o:spid="_x0000_s1026" o:spt="20" style="position:absolute;left:0pt;margin-left:244.5pt;margin-top:25.3pt;height:0pt;width:22.05pt;mso-position-horizontal-relative:page;z-index:-290585600;mso-width-relative:page;mso-height-relative:page;" filled="f" stroked="t" coordsize="21600,21600" o:gfxdata="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&#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hsSnQ2QAAAAkBAAAPAAAAAAAAAAEAIAAAACIAAABk&#10;cnMvZG93bnJldi54bWxQSwECFAAUAAAACACHTuJAxCL818wBAACOAwAADgAAAAAAAAABACAAAAAo&#10;AQAAZHJzL2Uyb0RvYy54bWxQSwUGAAAAAAYABgBZAQAAZgUAAAAA&#10;">
                <v:fill on="f" focussize="0,0"/>
                <v:stroke weight="0.795984251968504pt" color="#000000" joinstyle="round"/>
                <v:imagedata o:title=""/>
                <o:lock v:ext="edit" aspectratio="f"/>
              </v:line>
            </w:pict>
          </mc:Fallback>
        </mc:AlternateContent>
      </w:r>
      <w:r>
        <mc:AlternateContent>
          <mc:Choice Requires="wps">
            <w:drawing>
              <wp:anchor distT="0" distB="0" distL="114300" distR="114300" simplePos="0" relativeHeight="212731904" behindDoc="1" locked="0" layoutInCell="1" allowOverlap="1">
                <wp:simplePos x="0" y="0"/>
                <wp:positionH relativeFrom="page">
                  <wp:posOffset>3616325</wp:posOffset>
                </wp:positionH>
                <wp:positionV relativeFrom="paragraph">
                  <wp:posOffset>321310</wp:posOffset>
                </wp:positionV>
                <wp:extent cx="306705" cy="0"/>
                <wp:effectExtent l="0" t="0" r="0" b="0"/>
                <wp:wrapNone/>
                <wp:docPr id="10" name="直线 12"/>
                <wp:cNvGraphicFramePr/>
                <a:graphic xmlns:a="http://schemas.openxmlformats.org/drawingml/2006/main">
                  <a:graphicData uri="http://schemas.microsoft.com/office/word/2010/wordprocessingShape">
                    <wps:wsp>
                      <wps:cNvSpPr/>
                      <wps:spPr>
                        <a:xfrm>
                          <a:off x="0" y="0"/>
                          <a:ext cx="30670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12" o:spid="_x0000_s1026" o:spt="20" style="position:absolute;left:0pt;margin-left:284.75pt;margin-top:25.3pt;height:0pt;width:24.15pt;mso-position-horizontal-relative:page;z-index:-290584576;mso-width-relative:page;mso-height-relative:page;" filled="f" stroked="t" coordsize="21600,21600" o:gfxdata="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&#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BCxYDYAAAACQEAAA8AAAAAAAAAAQAgAAAAIgAAAGRy&#10;cy9kb3ducmV2LnhtbFBLAQIUABQAAAAIAIdO4kCGwTkpzAEAAI8DAAAOAAAAAAAAAAEAIAAAACcB&#10;AABkcnMvZTJvRG9jLnhtbFBLBQYAAAAABgAGAFkBAABlBQAAAAA=&#10;">
                <v:fill on="f" focussize="0,0"/>
                <v:stroke weight="0.795984251968504pt" color="#000000" joinstyle="round"/>
                <v:imagedata o:title=""/>
                <o:lock v:ext="edit" aspectratio="f"/>
              </v:line>
            </w:pict>
          </mc:Fallback>
        </mc:AlternateContent>
      </w:r>
      <w:r>
        <w:rPr>
          <w:rFonts w:ascii="Times New Roman" w:hAnsi="Times New Roman"/>
          <w:position w:val="-23"/>
          <w:sz w:val="38"/>
        </w:rPr>
        <w:t xml:space="preserve">Q </w:t>
      </w:r>
      <w:r>
        <w:rPr>
          <w:rFonts w:ascii="Symbol" w:hAnsi="Symbol"/>
          <w:position w:val="-23"/>
          <w:sz w:val="38"/>
        </w:rPr>
        <w:t></w:t>
      </w:r>
      <w:r>
        <w:rPr>
          <w:rFonts w:ascii="Times New Roman" w:hAnsi="Times New Roman"/>
          <w:position w:val="-23"/>
          <w:sz w:val="38"/>
        </w:rPr>
        <w:t xml:space="preserve"> </w:t>
      </w:r>
      <w:r>
        <w:rPr>
          <w:rFonts w:ascii="Times New Roman" w:hAnsi="Times New Roman"/>
          <w:sz w:val="38"/>
        </w:rPr>
        <w:t xml:space="preserve">q </w:t>
      </w:r>
      <w:r>
        <w:rPr>
          <w:rFonts w:ascii="Times New Roman" w:hAnsi="Times New Roman"/>
          <w:sz w:val="22"/>
        </w:rPr>
        <w:t xml:space="preserve">1  </w:t>
      </w:r>
      <w:r>
        <w:rPr>
          <w:rFonts w:ascii="Symbol" w:hAnsi="Symbol"/>
          <w:position w:val="-23"/>
          <w:sz w:val="38"/>
        </w:rPr>
        <w:t></w:t>
      </w:r>
      <w:r>
        <w:rPr>
          <w:rFonts w:ascii="Times New Roman" w:hAnsi="Times New Roman"/>
          <w:position w:val="-23"/>
          <w:sz w:val="38"/>
        </w:rPr>
        <w:t xml:space="preserve"> </w:t>
      </w:r>
      <w:r>
        <w:rPr>
          <w:rFonts w:ascii="Times New Roman" w:hAnsi="Times New Roman"/>
          <w:sz w:val="38"/>
        </w:rPr>
        <w:t>q</w:t>
      </w:r>
      <w:r>
        <w:rPr>
          <w:rFonts w:ascii="Times New Roman" w:hAnsi="Times New Roman"/>
          <w:spacing w:val="18"/>
          <w:sz w:val="38"/>
        </w:rPr>
        <w:t xml:space="preserve"> </w:t>
      </w:r>
      <w:r>
        <w:rPr>
          <w:rFonts w:ascii="Times New Roman" w:hAnsi="Times New Roman"/>
          <w:sz w:val="22"/>
        </w:rPr>
        <w:t>2</w:t>
      </w:r>
    </w:p>
    <w:p>
      <w:pPr>
        <w:tabs>
          <w:tab w:val="left" w:pos="804"/>
        </w:tabs>
        <w:spacing w:before="0" w:line="366" w:lineRule="exact"/>
        <w:ind w:left="0" w:right="0" w:firstLine="0"/>
        <w:jc w:val="right"/>
        <w:rPr>
          <w:rFonts w:ascii="Times New Roman"/>
          <w:sz w:val="22"/>
        </w:rPr>
      </w:pPr>
      <w:r>
        <w:rPr>
          <w:rFonts w:ascii="Times New Roman"/>
          <w:spacing w:val="14"/>
          <w:sz w:val="38"/>
        </w:rPr>
        <w:t>Q</w:t>
      </w:r>
      <w:r>
        <w:rPr>
          <w:rFonts w:ascii="Times New Roman"/>
          <w:spacing w:val="14"/>
          <w:sz w:val="22"/>
        </w:rPr>
        <w:t>1</w:t>
      </w:r>
      <w:r>
        <w:rPr>
          <w:rFonts w:ascii="Times New Roman"/>
          <w:spacing w:val="14"/>
          <w:sz w:val="22"/>
        </w:rPr>
        <w:tab/>
      </w:r>
      <w:r>
        <w:rPr>
          <w:rFonts w:ascii="Times New Roman"/>
          <w:sz w:val="38"/>
        </w:rPr>
        <w:t>Q</w:t>
      </w:r>
      <w:r>
        <w:rPr>
          <w:rFonts w:ascii="Times New Roman"/>
          <w:spacing w:val="-38"/>
          <w:sz w:val="38"/>
        </w:rPr>
        <w:t xml:space="preserve"> </w:t>
      </w:r>
      <w:r>
        <w:rPr>
          <w:rFonts w:ascii="Times New Roman"/>
          <w:sz w:val="22"/>
        </w:rPr>
        <w:t>2</w:t>
      </w:r>
    </w:p>
    <w:p>
      <w:pPr>
        <w:spacing w:before="9" w:line="675" w:lineRule="exact"/>
        <w:ind w:left="57" w:right="0" w:firstLine="0"/>
        <w:jc w:val="left"/>
        <w:rPr>
          <w:rFonts w:ascii="Times New Roman" w:hAnsi="Times New Roman"/>
          <w:sz w:val="22"/>
        </w:rPr>
      </w:pPr>
      <w:r>
        <w:br w:type="column"/>
      </w:r>
      <w:r>
        <w:rPr>
          <w:rFonts w:ascii="Symbol" w:hAnsi="Symbol"/>
          <w:spacing w:val="22"/>
          <w:sz w:val="38"/>
        </w:rPr>
        <w:t></w:t>
      </w:r>
      <w:r>
        <w:rPr>
          <w:rFonts w:ascii="MT Extra" w:hAnsi="MT Extra"/>
          <w:spacing w:val="22"/>
          <w:sz w:val="38"/>
        </w:rPr>
        <w:t></w:t>
      </w:r>
      <w:r>
        <w:rPr>
          <w:rFonts w:ascii="Symbol" w:hAnsi="Symbol"/>
          <w:spacing w:val="22"/>
          <w:sz w:val="38"/>
        </w:rPr>
        <w:t></w:t>
      </w:r>
      <w:r>
        <w:rPr>
          <w:rFonts w:ascii="Times New Roman" w:hAnsi="Times New Roman"/>
          <w:spacing w:val="52"/>
          <w:sz w:val="38"/>
        </w:rPr>
        <w:t xml:space="preserve"> </w:t>
      </w:r>
      <w:r>
        <w:rPr>
          <w:rFonts w:ascii="Times New Roman" w:hAnsi="Times New Roman"/>
          <w:position w:val="24"/>
          <w:sz w:val="38"/>
        </w:rPr>
        <w:t>q</w:t>
      </w:r>
      <w:r>
        <w:rPr>
          <w:rFonts w:ascii="Times New Roman" w:hAnsi="Times New Roman"/>
          <w:position w:val="24"/>
          <w:sz w:val="22"/>
        </w:rPr>
        <w:t>n</w:t>
      </w:r>
    </w:p>
    <w:p>
      <w:pPr>
        <w:spacing w:before="0" w:line="301" w:lineRule="exact"/>
        <w:ind w:left="1025" w:right="0" w:firstLine="0"/>
        <w:jc w:val="left"/>
        <w:rPr>
          <w:rFonts w:ascii="Times New Roman"/>
          <w:sz w:val="22"/>
        </w:rPr>
      </w:pPr>
      <w:r>
        <mc:AlternateContent>
          <mc:Choice Requires="wps">
            <w:drawing>
              <wp:anchor distT="0" distB="0" distL="114300" distR="114300" simplePos="0" relativeHeight="212732928" behindDoc="1" locked="0" layoutInCell="1" allowOverlap="1">
                <wp:simplePos x="0" y="0"/>
                <wp:positionH relativeFrom="page">
                  <wp:posOffset>4574540</wp:posOffset>
                </wp:positionH>
                <wp:positionV relativeFrom="paragraph">
                  <wp:posOffset>-111760</wp:posOffset>
                </wp:positionV>
                <wp:extent cx="277495" cy="0"/>
                <wp:effectExtent l="0" t="0" r="0" b="0"/>
                <wp:wrapNone/>
                <wp:docPr id="12" name="直线 13"/>
                <wp:cNvGraphicFramePr/>
                <a:graphic xmlns:a="http://schemas.openxmlformats.org/drawingml/2006/main">
                  <a:graphicData uri="http://schemas.microsoft.com/office/word/2010/wordprocessingShape">
                    <wps:wsp>
                      <wps:cNvSpPr/>
                      <wps:spPr>
                        <a:xfrm>
                          <a:off x="0" y="0"/>
                          <a:ext cx="27749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13" o:spid="_x0000_s1026" o:spt="20" style="position:absolute;left:0pt;margin-left:360.2pt;margin-top:-8.8pt;height:0pt;width:21.85pt;mso-position-horizontal-relative:page;z-index:-290583552;mso-width-relative:page;mso-height-relative:page;" filled="f" stroked="t" coordsize="21600,21600" o:gfxdata="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ogT43ZAAAACwEAAA8AAAAAAAAAAQAgAAAAIgAA&#10;AGRycy9kb3ducmV2LnhtbFBLAQIUABQAAAAIAIdO4kCRwsEJzgEAAI8DAAAOAAAAAAAAAAEAIAAA&#10;ACgBAABkcnMvZTJvRG9jLnhtbFBLBQYAAAAABgAGAFkBAABoBQAAAAA=&#10;">
                <v:fill on="f" focussize="0,0"/>
                <v:stroke weight="0.795984251968504pt" color="#000000" joinstyle="round"/>
                <v:imagedata o:title=""/>
                <o:lock v:ext="edit" aspectratio="f"/>
              </v:line>
            </w:pict>
          </mc:Fallback>
        </mc:AlternateContent>
      </w:r>
      <w:r>
        <w:rPr>
          <w:rFonts w:ascii="Times New Roman"/>
          <w:sz w:val="38"/>
        </w:rPr>
        <w:t>Q</w:t>
      </w:r>
      <w:r>
        <w:rPr>
          <w:rFonts w:ascii="Times New Roman"/>
          <w:sz w:val="22"/>
        </w:rPr>
        <w:t>n</w:t>
      </w:r>
    </w:p>
    <w:p>
      <w:pPr>
        <w:spacing w:after="0" w:line="301" w:lineRule="exact"/>
        <w:jc w:val="left"/>
        <w:rPr>
          <w:rFonts w:ascii="Times New Roman"/>
          <w:sz w:val="22"/>
        </w:rPr>
        <w:sectPr>
          <w:type w:val="continuous"/>
          <w:pgSz w:w="11910" w:h="16840"/>
          <w:pgMar w:top="1580" w:right="1160" w:bottom="280" w:left="1200" w:header="720" w:footer="720" w:gutter="0"/>
          <w:cols w:equalWidth="0" w:num="2">
            <w:col w:w="4959" w:space="40"/>
            <w:col w:w="4551"/>
          </w:cols>
        </w:sectPr>
      </w:pPr>
    </w:p>
    <w:p>
      <w:pPr>
        <w:pStyle w:val="9"/>
        <w:spacing w:before="1"/>
        <w:rPr>
          <w:rFonts w:ascii="Times New Roman"/>
          <w:sz w:val="11"/>
        </w:rPr>
      </w:pPr>
    </w:p>
    <w:p>
      <w:pPr>
        <w:pStyle w:val="9"/>
        <w:spacing w:before="74"/>
        <w:ind w:left="698"/>
      </w:pPr>
      <w:r>
        <w:rPr>
          <w:position w:val="2"/>
        </w:rPr>
        <w:t>式中：</w:t>
      </w:r>
      <w:r>
        <w:rPr>
          <w:rFonts w:ascii="Times New Roman" w:hAnsi="Times New Roman" w:eastAsia="Times New Roman"/>
          <w:position w:val="2"/>
        </w:rPr>
        <w:t>q</w:t>
      </w:r>
      <w:r>
        <w:rPr>
          <w:rFonts w:ascii="Times New Roman" w:hAnsi="Times New Roman" w:eastAsia="Times New Roman"/>
          <w:position w:val="2"/>
          <w:vertAlign w:val="subscript"/>
        </w:rPr>
        <w:t>1</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rFonts w:ascii="Times New Roman" w:hAnsi="Times New Roman" w:eastAsia="Times New Roman"/>
          <w:position w:val="2"/>
          <w:vertAlign w:val="baseline"/>
        </w:rPr>
        <w:t>——</w:t>
      </w:r>
      <w:r>
        <w:rPr>
          <w:position w:val="2"/>
          <w:vertAlign w:val="baseline"/>
        </w:rPr>
        <w:t>每种危险物质的最大存在总量，</w:t>
      </w:r>
      <w:r>
        <w:rPr>
          <w:rFonts w:ascii="Times New Roman" w:hAnsi="Times New Roman" w:eastAsia="Times New Roman"/>
          <w:position w:val="2"/>
          <w:vertAlign w:val="baseline"/>
        </w:rPr>
        <w:t>t</w:t>
      </w:r>
      <w:r>
        <w:rPr>
          <w:position w:val="2"/>
          <w:vertAlign w:val="baseline"/>
        </w:rPr>
        <w:t>；</w:t>
      </w:r>
    </w:p>
    <w:p>
      <w:pPr>
        <w:pStyle w:val="9"/>
        <w:spacing w:before="153" w:line="362" w:lineRule="auto"/>
        <w:ind w:left="698" w:right="4247"/>
      </w:pPr>
      <w:r>
        <w:rPr>
          <w:rFonts w:ascii="Times New Roman" w:hAnsi="Times New Roman" w:eastAsia="Times New Roman"/>
          <w:position w:val="2"/>
        </w:rPr>
        <w:t>Q</w:t>
      </w:r>
      <w:r>
        <w:rPr>
          <w:rFonts w:ascii="Times New Roman" w:hAnsi="Times New Roman" w:eastAsia="Times New Roman"/>
          <w:position w:val="2"/>
          <w:vertAlign w:val="subscript"/>
        </w:rPr>
        <w:t>1</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rFonts w:ascii="Times New Roman" w:hAnsi="Times New Roman" w:eastAsia="Times New Roman"/>
          <w:position w:val="2"/>
          <w:vertAlign w:val="baseline"/>
        </w:rPr>
        <w:t>——</w:t>
      </w:r>
      <w:r>
        <w:rPr>
          <w:position w:val="2"/>
          <w:vertAlign w:val="baseline"/>
        </w:rPr>
        <w:t>每种危险物质的临界量，</w:t>
      </w:r>
      <w:r>
        <w:rPr>
          <w:rFonts w:ascii="Times New Roman" w:hAnsi="Times New Roman" w:eastAsia="Times New Roman"/>
          <w:position w:val="2"/>
          <w:vertAlign w:val="baseline"/>
        </w:rPr>
        <w:t>t</w:t>
      </w:r>
      <w:r>
        <w:rPr>
          <w:position w:val="2"/>
          <w:vertAlign w:val="baseline"/>
        </w:rPr>
        <w:t>。</w:t>
      </w:r>
      <w:r>
        <w:rPr>
          <w:vertAlign w:val="baseline"/>
        </w:rPr>
        <w:t xml:space="preserve">当 </w:t>
      </w:r>
      <w:r>
        <w:rPr>
          <w:rFonts w:ascii="Times New Roman" w:hAnsi="Times New Roman" w:eastAsia="Times New Roman"/>
          <w:vertAlign w:val="baseline"/>
        </w:rPr>
        <w:t xml:space="preserve">Q&lt;1 </w:t>
      </w:r>
      <w:r>
        <w:rPr>
          <w:vertAlign w:val="baseline"/>
        </w:rPr>
        <w:t>时，该项目环境风险潜势为Ⅰ</w:t>
      </w:r>
    </w:p>
    <w:p>
      <w:pPr>
        <w:pStyle w:val="9"/>
        <w:spacing w:before="4"/>
        <w:ind w:left="698"/>
      </w:pPr>
      <w:r>
        <w:t xml:space="preserve">当 </w:t>
      </w:r>
      <w:r>
        <w:rPr>
          <w:rFonts w:ascii="Times New Roman" w:hAnsi="Times New Roman" w:eastAsia="Times New Roman"/>
        </w:rPr>
        <w:t xml:space="preserve">Q≥1 </w:t>
      </w:r>
      <w:r>
        <w:t xml:space="preserve">时，将 </w:t>
      </w:r>
      <w:r>
        <w:rPr>
          <w:rFonts w:ascii="Times New Roman" w:hAnsi="Times New Roman" w:eastAsia="Times New Roman"/>
        </w:rPr>
        <w:t xml:space="preserve">Q </w:t>
      </w:r>
      <w:r>
        <w:t>值划分为：（</w:t>
      </w:r>
      <w:r>
        <w:rPr>
          <w:rFonts w:ascii="Times New Roman" w:hAnsi="Times New Roman" w:eastAsia="Times New Roman"/>
        </w:rPr>
        <w:t>1</w:t>
      </w:r>
      <w:r>
        <w:t>）</w:t>
      </w:r>
      <w:r>
        <w:rPr>
          <w:rFonts w:ascii="Times New Roman" w:hAnsi="Times New Roman" w:eastAsia="Times New Roman"/>
        </w:rPr>
        <w:t>1≤Q&lt;10</w:t>
      </w:r>
      <w:r>
        <w:t>；（</w:t>
      </w:r>
      <w:r>
        <w:rPr>
          <w:rFonts w:ascii="Times New Roman" w:hAnsi="Times New Roman" w:eastAsia="Times New Roman"/>
        </w:rPr>
        <w:t>2</w:t>
      </w:r>
      <w:r>
        <w:t>）</w:t>
      </w:r>
      <w:r>
        <w:rPr>
          <w:rFonts w:ascii="Times New Roman" w:hAnsi="Times New Roman" w:eastAsia="Times New Roman"/>
        </w:rPr>
        <w:t>10≤Q&lt;100</w:t>
      </w:r>
      <w:r>
        <w:t>；（</w:t>
      </w:r>
      <w:r>
        <w:rPr>
          <w:rFonts w:ascii="Times New Roman" w:hAnsi="Times New Roman" w:eastAsia="Times New Roman"/>
        </w:rPr>
        <w:t>3</w:t>
      </w:r>
      <w:r>
        <w:t>）</w:t>
      </w:r>
      <w:r>
        <w:rPr>
          <w:rFonts w:ascii="Times New Roman" w:hAnsi="Times New Roman" w:eastAsia="Times New Roman"/>
        </w:rPr>
        <w:t>Q≥100</w:t>
      </w:r>
      <w:r>
        <w:t>。</w:t>
      </w:r>
    </w:p>
    <w:p>
      <w:pPr>
        <w:pStyle w:val="9"/>
        <w:rPr>
          <w:sz w:val="26"/>
        </w:rPr>
      </w:pPr>
    </w:p>
    <w:p>
      <w:pPr>
        <w:spacing w:before="186"/>
        <w:ind w:left="298" w:right="330" w:firstLine="0"/>
        <w:jc w:val="center"/>
        <w:rPr>
          <w:b/>
          <w:sz w:val="21"/>
        </w:rPr>
      </w:pPr>
      <w:r>
        <w:rPr>
          <w:b/>
          <w:spacing w:val="-26"/>
          <w:sz w:val="21"/>
        </w:rPr>
        <w:t xml:space="preserve">表 </w:t>
      </w:r>
      <w:r>
        <w:rPr>
          <w:rFonts w:ascii="Times New Roman" w:eastAsia="Times New Roman"/>
          <w:b/>
          <w:sz w:val="21"/>
        </w:rPr>
        <w:t>1.4-17</w:t>
      </w:r>
      <w:r>
        <w:rPr>
          <w:rFonts w:ascii="Times New Roman" w:eastAsia="Times New Roman"/>
          <w:b/>
          <w:spacing w:val="52"/>
          <w:sz w:val="21"/>
        </w:rPr>
        <w:t xml:space="preserve"> </w:t>
      </w:r>
      <w:r>
        <w:rPr>
          <w:b/>
          <w:spacing w:val="-11"/>
          <w:sz w:val="21"/>
        </w:rPr>
        <w:t xml:space="preserve">建设项目 </w:t>
      </w:r>
      <w:r>
        <w:rPr>
          <w:rFonts w:ascii="Times New Roman" w:eastAsia="Times New Roman"/>
          <w:b/>
          <w:sz w:val="21"/>
        </w:rPr>
        <w:t xml:space="preserve">Q </w:t>
      </w:r>
      <w:r>
        <w:rPr>
          <w:b/>
          <w:sz w:val="21"/>
        </w:rPr>
        <w:t>值确定表</w:t>
      </w:r>
    </w:p>
    <w:p>
      <w:pPr>
        <w:pStyle w:val="9"/>
        <w:spacing w:before="12"/>
        <w:rPr>
          <w:b/>
          <w:sz w:val="10"/>
        </w:rPr>
      </w:pPr>
    </w:p>
    <w:tbl>
      <w:tblPr>
        <w:tblStyle w:val="15"/>
        <w:tblW w:w="0" w:type="auto"/>
        <w:tblInd w:w="13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66"/>
        <w:gridCol w:w="1614"/>
        <w:gridCol w:w="1285"/>
        <w:gridCol w:w="1957"/>
        <w:gridCol w:w="1555"/>
        <w:gridCol w:w="187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966" w:type="dxa"/>
            <w:tcBorders>
              <w:bottom w:val="single" w:color="000000" w:sz="4" w:space="0"/>
              <w:right w:val="single" w:color="000000" w:sz="4" w:space="0"/>
            </w:tcBorders>
          </w:tcPr>
          <w:p>
            <w:pPr>
              <w:pStyle w:val="19"/>
              <w:spacing w:before="92"/>
              <w:ind w:left="250" w:right="241"/>
              <w:rPr>
                <w:sz w:val="21"/>
              </w:rPr>
            </w:pPr>
            <w:r>
              <w:rPr>
                <w:sz w:val="21"/>
              </w:rPr>
              <w:t>序号</w:t>
            </w:r>
          </w:p>
        </w:tc>
        <w:tc>
          <w:tcPr>
            <w:tcW w:w="1614" w:type="dxa"/>
            <w:tcBorders>
              <w:left w:val="single" w:color="000000" w:sz="4" w:space="0"/>
              <w:bottom w:val="single" w:color="000000" w:sz="4" w:space="0"/>
              <w:right w:val="single" w:color="000000" w:sz="4" w:space="0"/>
            </w:tcBorders>
          </w:tcPr>
          <w:p>
            <w:pPr>
              <w:pStyle w:val="19"/>
              <w:spacing w:before="92"/>
              <w:ind w:left="160" w:right="144"/>
              <w:rPr>
                <w:sz w:val="21"/>
              </w:rPr>
            </w:pPr>
            <w:r>
              <w:rPr>
                <w:sz w:val="21"/>
              </w:rPr>
              <w:t>危险物质名称</w:t>
            </w:r>
          </w:p>
        </w:tc>
        <w:tc>
          <w:tcPr>
            <w:tcW w:w="1285" w:type="dxa"/>
            <w:tcBorders>
              <w:left w:val="single" w:color="000000" w:sz="4" w:space="0"/>
              <w:bottom w:val="single" w:color="000000" w:sz="4" w:space="0"/>
              <w:right w:val="single" w:color="000000" w:sz="4" w:space="0"/>
            </w:tcBorders>
          </w:tcPr>
          <w:p>
            <w:pPr>
              <w:pStyle w:val="19"/>
              <w:spacing w:before="92"/>
              <w:ind w:left="189" w:right="170"/>
              <w:rPr>
                <w:sz w:val="21"/>
              </w:rPr>
            </w:pPr>
            <w:r>
              <w:rPr>
                <w:rFonts w:ascii="Times New Roman" w:eastAsia="Times New Roman"/>
                <w:sz w:val="21"/>
              </w:rPr>
              <w:t xml:space="preserve">CAS </w:t>
            </w:r>
            <w:r>
              <w:rPr>
                <w:sz w:val="21"/>
              </w:rPr>
              <w:t>号</w:t>
            </w:r>
          </w:p>
        </w:tc>
        <w:tc>
          <w:tcPr>
            <w:tcW w:w="1957" w:type="dxa"/>
            <w:tcBorders>
              <w:left w:val="single" w:color="000000" w:sz="4" w:space="0"/>
              <w:bottom w:val="single" w:color="000000" w:sz="4" w:space="0"/>
              <w:right w:val="single" w:color="000000" w:sz="4" w:space="0"/>
            </w:tcBorders>
          </w:tcPr>
          <w:p>
            <w:pPr>
              <w:pStyle w:val="19"/>
              <w:spacing w:before="92"/>
              <w:ind w:left="92" w:right="75"/>
              <w:rPr>
                <w:sz w:val="21"/>
              </w:rPr>
            </w:pPr>
            <w:r>
              <w:rPr>
                <w:sz w:val="21"/>
              </w:rPr>
              <w:t>最大存在总量（</w:t>
            </w:r>
            <w:r>
              <w:rPr>
                <w:rFonts w:ascii="Times New Roman" w:eastAsia="Times New Roman"/>
                <w:sz w:val="21"/>
              </w:rPr>
              <w:t>t</w:t>
            </w:r>
            <w:r>
              <w:rPr>
                <w:sz w:val="21"/>
              </w:rPr>
              <w:t>）</w:t>
            </w:r>
          </w:p>
        </w:tc>
        <w:tc>
          <w:tcPr>
            <w:tcW w:w="1555" w:type="dxa"/>
            <w:tcBorders>
              <w:left w:val="single" w:color="000000" w:sz="4" w:space="0"/>
              <w:bottom w:val="single" w:color="000000" w:sz="4" w:space="0"/>
              <w:right w:val="single" w:color="000000" w:sz="4" w:space="0"/>
            </w:tcBorders>
          </w:tcPr>
          <w:p>
            <w:pPr>
              <w:pStyle w:val="19"/>
              <w:spacing w:before="92"/>
              <w:ind w:left="187" w:right="171"/>
              <w:rPr>
                <w:sz w:val="21"/>
              </w:rPr>
            </w:pPr>
            <w:r>
              <w:rPr>
                <w:sz w:val="21"/>
              </w:rPr>
              <w:t>临界量（</w:t>
            </w:r>
            <w:r>
              <w:rPr>
                <w:rFonts w:ascii="Times New Roman" w:eastAsia="Times New Roman"/>
                <w:sz w:val="21"/>
              </w:rPr>
              <w:t>t</w:t>
            </w:r>
            <w:r>
              <w:rPr>
                <w:sz w:val="21"/>
              </w:rPr>
              <w:t>）</w:t>
            </w:r>
          </w:p>
        </w:tc>
        <w:tc>
          <w:tcPr>
            <w:tcW w:w="1871" w:type="dxa"/>
            <w:tcBorders>
              <w:left w:val="single" w:color="000000" w:sz="4" w:space="0"/>
              <w:bottom w:val="single" w:color="000000" w:sz="4" w:space="0"/>
            </w:tcBorders>
          </w:tcPr>
          <w:p>
            <w:pPr>
              <w:pStyle w:val="19"/>
              <w:spacing w:before="92"/>
              <w:ind w:left="134" w:right="111"/>
              <w:rPr>
                <w:sz w:val="21"/>
              </w:rPr>
            </w:pPr>
            <w:r>
              <w:rPr>
                <w:sz w:val="21"/>
              </w:rPr>
              <w:t xml:space="preserve">该种危险物 </w:t>
            </w:r>
            <w:r>
              <w:rPr>
                <w:rFonts w:ascii="Times New Roman" w:eastAsia="Times New Roman"/>
                <w:sz w:val="21"/>
              </w:rPr>
              <w:t xml:space="preserve">Q </w:t>
            </w:r>
            <w:r>
              <w:rPr>
                <w:sz w:val="21"/>
              </w:rPr>
              <w:t>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966" w:type="dxa"/>
            <w:tcBorders>
              <w:top w:val="single" w:color="000000" w:sz="4" w:space="0"/>
              <w:bottom w:val="single" w:color="000000" w:sz="4" w:space="0"/>
              <w:right w:val="single" w:color="000000" w:sz="4" w:space="0"/>
            </w:tcBorders>
          </w:tcPr>
          <w:p>
            <w:pPr>
              <w:pStyle w:val="19"/>
              <w:spacing w:before="105"/>
              <w:ind w:left="13"/>
              <w:rPr>
                <w:rFonts w:ascii="Times New Roman"/>
                <w:sz w:val="21"/>
              </w:rPr>
            </w:pPr>
            <w:r>
              <w:rPr>
                <w:rFonts w:ascii="Times New Roman"/>
                <w:w w:val="99"/>
                <w:sz w:val="21"/>
              </w:rPr>
              <w:t>1</w:t>
            </w:r>
          </w:p>
        </w:tc>
        <w:tc>
          <w:tcPr>
            <w:tcW w:w="1614" w:type="dxa"/>
            <w:tcBorders>
              <w:top w:val="single" w:color="000000" w:sz="4" w:space="0"/>
              <w:left w:val="single" w:color="000000" w:sz="4" w:space="0"/>
              <w:bottom w:val="single" w:color="000000" w:sz="4" w:space="0"/>
              <w:right w:val="single" w:color="000000" w:sz="4" w:space="0"/>
            </w:tcBorders>
          </w:tcPr>
          <w:p>
            <w:pPr>
              <w:pStyle w:val="19"/>
              <w:spacing w:before="91"/>
              <w:ind w:left="158" w:right="144"/>
              <w:rPr>
                <w:sz w:val="21"/>
              </w:rPr>
            </w:pPr>
            <w:r>
              <w:rPr>
                <w:sz w:val="21"/>
              </w:rPr>
              <w:t>油类物质</w:t>
            </w:r>
          </w:p>
        </w:tc>
        <w:tc>
          <w:tcPr>
            <w:tcW w:w="1285" w:type="dxa"/>
            <w:tcBorders>
              <w:top w:val="single" w:color="000000" w:sz="4" w:space="0"/>
              <w:left w:val="single" w:color="000000" w:sz="4" w:space="0"/>
              <w:bottom w:val="single" w:color="000000" w:sz="4" w:space="0"/>
              <w:right w:val="single" w:color="000000" w:sz="4" w:space="0"/>
            </w:tcBorders>
          </w:tcPr>
          <w:p>
            <w:pPr>
              <w:pStyle w:val="19"/>
              <w:spacing w:before="105"/>
              <w:ind w:left="17"/>
              <w:rPr>
                <w:rFonts w:ascii="Times New Roman"/>
                <w:sz w:val="21"/>
              </w:rPr>
            </w:pPr>
            <w:r>
              <w:rPr>
                <w:rFonts w:ascii="Times New Roman"/>
                <w:w w:val="99"/>
                <w:sz w:val="21"/>
              </w:rPr>
              <w:t>/</w:t>
            </w:r>
          </w:p>
        </w:tc>
        <w:tc>
          <w:tcPr>
            <w:tcW w:w="1957" w:type="dxa"/>
            <w:tcBorders>
              <w:top w:val="single" w:color="000000" w:sz="4" w:space="0"/>
              <w:left w:val="single" w:color="000000" w:sz="4" w:space="0"/>
              <w:bottom w:val="single" w:color="000000" w:sz="4" w:space="0"/>
              <w:right w:val="single" w:color="000000" w:sz="4" w:space="0"/>
            </w:tcBorders>
          </w:tcPr>
          <w:p>
            <w:pPr>
              <w:pStyle w:val="19"/>
              <w:spacing w:before="105"/>
              <w:ind w:left="92" w:right="74"/>
              <w:rPr>
                <w:rFonts w:ascii="Times New Roman"/>
                <w:sz w:val="21"/>
              </w:rPr>
            </w:pPr>
            <w:r>
              <w:rPr>
                <w:rFonts w:ascii="Times New Roman"/>
                <w:sz w:val="21"/>
              </w:rPr>
              <w:t>20</w:t>
            </w:r>
          </w:p>
        </w:tc>
        <w:tc>
          <w:tcPr>
            <w:tcW w:w="1555" w:type="dxa"/>
            <w:tcBorders>
              <w:top w:val="single" w:color="000000" w:sz="4" w:space="0"/>
              <w:left w:val="single" w:color="000000" w:sz="4" w:space="0"/>
              <w:bottom w:val="single" w:color="000000" w:sz="4" w:space="0"/>
              <w:right w:val="single" w:color="000000" w:sz="4" w:space="0"/>
            </w:tcBorders>
          </w:tcPr>
          <w:p>
            <w:pPr>
              <w:pStyle w:val="19"/>
              <w:spacing w:before="105"/>
              <w:ind w:left="189" w:right="169"/>
              <w:rPr>
                <w:rFonts w:ascii="Times New Roman"/>
                <w:sz w:val="21"/>
              </w:rPr>
            </w:pPr>
            <w:r>
              <w:rPr>
                <w:rFonts w:ascii="Times New Roman"/>
                <w:sz w:val="21"/>
              </w:rPr>
              <w:t>2500</w:t>
            </w:r>
          </w:p>
        </w:tc>
        <w:tc>
          <w:tcPr>
            <w:tcW w:w="1871" w:type="dxa"/>
            <w:tcBorders>
              <w:top w:val="single" w:color="000000" w:sz="4" w:space="0"/>
              <w:left w:val="single" w:color="000000" w:sz="4" w:space="0"/>
              <w:bottom w:val="single" w:color="000000" w:sz="4" w:space="0"/>
            </w:tcBorders>
          </w:tcPr>
          <w:p>
            <w:pPr>
              <w:pStyle w:val="19"/>
              <w:spacing w:before="105"/>
              <w:ind w:left="134" w:right="110"/>
              <w:rPr>
                <w:rFonts w:ascii="Times New Roman"/>
                <w:sz w:val="21"/>
              </w:rPr>
            </w:pPr>
            <w:r>
              <w:rPr>
                <w:rFonts w:ascii="Times New Roman"/>
                <w:sz w:val="21"/>
              </w:rPr>
              <w:t>0.008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966" w:type="dxa"/>
            <w:tcBorders>
              <w:top w:val="single" w:color="000000" w:sz="4" w:space="0"/>
              <w:right w:val="single" w:color="000000" w:sz="4" w:space="0"/>
            </w:tcBorders>
          </w:tcPr>
          <w:p>
            <w:pPr>
              <w:pStyle w:val="19"/>
              <w:spacing w:before="106"/>
              <w:ind w:left="13"/>
              <w:rPr>
                <w:rFonts w:ascii="Times New Roman"/>
                <w:sz w:val="21"/>
              </w:rPr>
            </w:pPr>
            <w:r>
              <w:rPr>
                <w:rFonts w:ascii="Times New Roman"/>
                <w:w w:val="99"/>
                <w:sz w:val="21"/>
              </w:rPr>
              <w:t>2</w:t>
            </w:r>
          </w:p>
        </w:tc>
        <w:tc>
          <w:tcPr>
            <w:tcW w:w="1614" w:type="dxa"/>
            <w:tcBorders>
              <w:top w:val="single" w:color="000000" w:sz="4" w:space="0"/>
              <w:left w:val="single" w:color="000000" w:sz="4" w:space="0"/>
              <w:right w:val="single" w:color="000000" w:sz="4" w:space="0"/>
            </w:tcBorders>
          </w:tcPr>
          <w:p>
            <w:pPr>
              <w:pStyle w:val="19"/>
              <w:spacing w:before="90"/>
              <w:ind w:left="160" w:right="144"/>
              <w:rPr>
                <w:sz w:val="21"/>
              </w:rPr>
            </w:pPr>
            <w:r>
              <w:rPr>
                <w:sz w:val="21"/>
              </w:rPr>
              <w:t>硝酸铵</w:t>
            </w:r>
          </w:p>
        </w:tc>
        <w:tc>
          <w:tcPr>
            <w:tcW w:w="1285" w:type="dxa"/>
            <w:tcBorders>
              <w:top w:val="single" w:color="000000" w:sz="4" w:space="0"/>
              <w:left w:val="single" w:color="000000" w:sz="4" w:space="0"/>
              <w:right w:val="single" w:color="000000" w:sz="4" w:space="0"/>
            </w:tcBorders>
          </w:tcPr>
          <w:p>
            <w:pPr>
              <w:pStyle w:val="19"/>
              <w:spacing w:before="106"/>
              <w:ind w:left="190" w:right="170"/>
              <w:rPr>
                <w:rFonts w:ascii="Times New Roman"/>
                <w:sz w:val="21"/>
              </w:rPr>
            </w:pPr>
            <w:r>
              <w:rPr>
                <w:rFonts w:ascii="Times New Roman"/>
                <w:sz w:val="21"/>
              </w:rPr>
              <w:t>6484-52-2</w:t>
            </w:r>
          </w:p>
        </w:tc>
        <w:tc>
          <w:tcPr>
            <w:tcW w:w="1957" w:type="dxa"/>
            <w:tcBorders>
              <w:top w:val="single" w:color="000000" w:sz="4" w:space="0"/>
              <w:left w:val="single" w:color="000000" w:sz="4" w:space="0"/>
              <w:right w:val="single" w:color="000000" w:sz="4" w:space="0"/>
            </w:tcBorders>
          </w:tcPr>
          <w:p>
            <w:pPr>
              <w:pStyle w:val="19"/>
              <w:spacing w:before="106"/>
              <w:ind w:left="92" w:right="74"/>
              <w:rPr>
                <w:rFonts w:ascii="Times New Roman"/>
                <w:sz w:val="21"/>
              </w:rPr>
            </w:pPr>
            <w:r>
              <w:rPr>
                <w:rFonts w:ascii="Times New Roman"/>
                <w:sz w:val="21"/>
              </w:rPr>
              <w:t>10</w:t>
            </w:r>
          </w:p>
        </w:tc>
        <w:tc>
          <w:tcPr>
            <w:tcW w:w="1555" w:type="dxa"/>
            <w:tcBorders>
              <w:top w:val="single" w:color="000000" w:sz="4" w:space="0"/>
              <w:left w:val="single" w:color="000000" w:sz="4" w:space="0"/>
              <w:right w:val="single" w:color="000000" w:sz="4" w:space="0"/>
            </w:tcBorders>
          </w:tcPr>
          <w:p>
            <w:pPr>
              <w:pStyle w:val="19"/>
              <w:spacing w:before="106"/>
              <w:ind w:left="189" w:right="169"/>
              <w:rPr>
                <w:rFonts w:ascii="Times New Roman"/>
                <w:sz w:val="21"/>
              </w:rPr>
            </w:pPr>
            <w:r>
              <w:rPr>
                <w:rFonts w:ascii="Times New Roman"/>
                <w:sz w:val="21"/>
              </w:rPr>
              <w:t>50</w:t>
            </w:r>
          </w:p>
        </w:tc>
        <w:tc>
          <w:tcPr>
            <w:tcW w:w="1871" w:type="dxa"/>
            <w:tcBorders>
              <w:top w:val="single" w:color="000000" w:sz="4" w:space="0"/>
              <w:left w:val="single" w:color="000000" w:sz="4" w:space="0"/>
            </w:tcBorders>
          </w:tcPr>
          <w:p>
            <w:pPr>
              <w:pStyle w:val="19"/>
              <w:spacing w:before="106"/>
              <w:ind w:left="132" w:right="111"/>
              <w:rPr>
                <w:rFonts w:ascii="Times New Roman"/>
                <w:sz w:val="21"/>
              </w:rPr>
            </w:pPr>
            <w:r>
              <w:rPr>
                <w:rFonts w:ascii="Times New Roman"/>
                <w:sz w:val="21"/>
              </w:rPr>
              <w:t>0.2</w:t>
            </w:r>
          </w:p>
        </w:tc>
      </w:tr>
    </w:tbl>
    <w:p>
      <w:pPr>
        <w:pStyle w:val="9"/>
        <w:spacing w:before="2"/>
        <w:ind w:left="698"/>
      </w:pPr>
      <w:r>
        <w:rPr>
          <w:rFonts w:ascii="Times New Roman" w:hAnsi="Times New Roman" w:eastAsia="Times New Roman"/>
        </w:rPr>
        <w:t>Q&lt;1</w:t>
      </w:r>
      <w:r>
        <w:t>，因此本项目环境风险潜势为Ⅰ。</w:t>
      </w:r>
    </w:p>
    <w:p>
      <w:pPr>
        <w:spacing w:before="159"/>
        <w:ind w:left="298" w:right="330" w:firstLine="0"/>
        <w:jc w:val="center"/>
        <w:rPr>
          <w:b/>
          <w:sz w:val="21"/>
        </w:rPr>
      </w:pPr>
      <w:r>
        <w:rPr>
          <w:b/>
          <w:spacing w:val="-28"/>
          <w:sz w:val="21"/>
        </w:rPr>
        <w:t xml:space="preserve">表 </w:t>
      </w:r>
      <w:r>
        <w:rPr>
          <w:rFonts w:ascii="Times New Roman" w:eastAsia="Times New Roman"/>
          <w:b/>
          <w:sz w:val="21"/>
        </w:rPr>
        <w:t>1.4-18</w:t>
      </w:r>
      <w:r>
        <w:rPr>
          <w:rFonts w:ascii="Times New Roman" w:eastAsia="Times New Roman"/>
          <w:b/>
          <w:spacing w:val="52"/>
          <w:sz w:val="21"/>
        </w:rPr>
        <w:t xml:space="preserve"> </w:t>
      </w:r>
      <w:r>
        <w:rPr>
          <w:b/>
          <w:sz w:val="21"/>
        </w:rPr>
        <w:t>评价工作等级划分</w:t>
      </w:r>
    </w:p>
    <w:p>
      <w:pPr>
        <w:pStyle w:val="9"/>
        <w:spacing w:before="11"/>
        <w:rPr>
          <w:b/>
          <w:sz w:val="10"/>
        </w:rPr>
      </w:pPr>
    </w:p>
    <w:tbl>
      <w:tblPr>
        <w:tblStyle w:val="15"/>
        <w:tblW w:w="0" w:type="auto"/>
        <w:tblInd w:w="2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273"/>
        <w:gridCol w:w="1864"/>
        <w:gridCol w:w="1472"/>
        <w:gridCol w:w="1472"/>
        <w:gridCol w:w="20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273" w:type="dxa"/>
            <w:tcBorders>
              <w:bottom w:val="single" w:color="000000" w:sz="4" w:space="0"/>
              <w:right w:val="single" w:color="000000" w:sz="4" w:space="0"/>
            </w:tcBorders>
          </w:tcPr>
          <w:p>
            <w:pPr>
              <w:pStyle w:val="19"/>
              <w:spacing w:before="90"/>
              <w:ind w:left="487" w:right="470"/>
              <w:rPr>
                <w:sz w:val="21"/>
              </w:rPr>
            </w:pPr>
            <w:r>
              <w:rPr>
                <w:sz w:val="21"/>
              </w:rPr>
              <w:t>环境风险潜势</w:t>
            </w:r>
          </w:p>
        </w:tc>
        <w:tc>
          <w:tcPr>
            <w:tcW w:w="1864" w:type="dxa"/>
            <w:tcBorders>
              <w:left w:val="single" w:color="000000" w:sz="4" w:space="0"/>
              <w:bottom w:val="single" w:color="000000" w:sz="4" w:space="0"/>
              <w:right w:val="single" w:color="000000" w:sz="4" w:space="0"/>
            </w:tcBorders>
          </w:tcPr>
          <w:p>
            <w:pPr>
              <w:pStyle w:val="19"/>
              <w:spacing w:before="90"/>
              <w:ind w:left="541" w:right="523"/>
              <w:rPr>
                <w:rFonts w:ascii="Times New Roman" w:hAnsi="Times New Roman" w:eastAsia="Times New Roman"/>
                <w:sz w:val="21"/>
              </w:rPr>
            </w:pPr>
            <w:r>
              <w:rPr>
                <w:sz w:val="21"/>
              </w:rPr>
              <w:t>Ⅳ，Ⅳ</w:t>
            </w:r>
            <w:r>
              <w:rPr>
                <w:rFonts w:ascii="Times New Roman" w:hAnsi="Times New Roman" w:eastAsia="Times New Roman"/>
                <w:sz w:val="21"/>
              </w:rPr>
              <w:t>+</w:t>
            </w:r>
          </w:p>
        </w:tc>
        <w:tc>
          <w:tcPr>
            <w:tcW w:w="1472" w:type="dxa"/>
            <w:tcBorders>
              <w:left w:val="single" w:color="000000" w:sz="4" w:space="0"/>
              <w:bottom w:val="single" w:color="000000" w:sz="4" w:space="0"/>
              <w:right w:val="single" w:color="000000" w:sz="4" w:space="0"/>
            </w:tcBorders>
          </w:tcPr>
          <w:p>
            <w:pPr>
              <w:pStyle w:val="19"/>
              <w:spacing w:before="90"/>
              <w:ind w:left="15"/>
              <w:rPr>
                <w:sz w:val="21"/>
              </w:rPr>
            </w:pPr>
            <w:r>
              <w:rPr>
                <w:w w:val="99"/>
                <w:sz w:val="21"/>
              </w:rPr>
              <w:t>Ⅲ</w:t>
            </w:r>
          </w:p>
        </w:tc>
        <w:tc>
          <w:tcPr>
            <w:tcW w:w="1472" w:type="dxa"/>
            <w:tcBorders>
              <w:left w:val="single" w:color="000000" w:sz="4" w:space="0"/>
              <w:bottom w:val="single" w:color="000000" w:sz="4" w:space="0"/>
              <w:right w:val="single" w:color="000000" w:sz="4" w:space="0"/>
            </w:tcBorders>
          </w:tcPr>
          <w:p>
            <w:pPr>
              <w:pStyle w:val="19"/>
              <w:spacing w:before="90"/>
              <w:ind w:left="18"/>
              <w:rPr>
                <w:sz w:val="21"/>
              </w:rPr>
            </w:pPr>
            <w:r>
              <w:rPr>
                <w:w w:val="99"/>
                <w:sz w:val="21"/>
              </w:rPr>
              <w:t>Ⅱ</w:t>
            </w:r>
          </w:p>
        </w:tc>
        <w:tc>
          <w:tcPr>
            <w:tcW w:w="2005" w:type="dxa"/>
            <w:tcBorders>
              <w:left w:val="single" w:color="000000" w:sz="4" w:space="0"/>
              <w:bottom w:val="single" w:color="000000" w:sz="4" w:space="0"/>
            </w:tcBorders>
          </w:tcPr>
          <w:p>
            <w:pPr>
              <w:pStyle w:val="19"/>
              <w:spacing w:before="90"/>
              <w:ind w:left="17"/>
              <w:rPr>
                <w:sz w:val="21"/>
              </w:rPr>
            </w:pPr>
            <w:r>
              <w:rPr>
                <w:w w:val="99"/>
                <w:sz w:val="21"/>
              </w:rPr>
              <w:t>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2273" w:type="dxa"/>
            <w:tcBorders>
              <w:top w:val="single" w:color="000000" w:sz="4" w:space="0"/>
              <w:bottom w:val="single" w:color="000000" w:sz="4" w:space="0"/>
              <w:right w:val="single" w:color="000000" w:sz="4" w:space="0"/>
            </w:tcBorders>
          </w:tcPr>
          <w:p>
            <w:pPr>
              <w:pStyle w:val="19"/>
              <w:spacing w:before="89"/>
              <w:ind w:left="487" w:right="470"/>
              <w:rPr>
                <w:sz w:val="21"/>
              </w:rPr>
            </w:pPr>
            <w:r>
              <w:rPr>
                <w:sz w:val="21"/>
              </w:rPr>
              <w:t>评价工作等级</w:t>
            </w:r>
          </w:p>
        </w:tc>
        <w:tc>
          <w:tcPr>
            <w:tcW w:w="1864" w:type="dxa"/>
            <w:tcBorders>
              <w:top w:val="single" w:color="000000" w:sz="4" w:space="0"/>
              <w:left w:val="single" w:color="000000" w:sz="4" w:space="0"/>
              <w:bottom w:val="single" w:color="000000" w:sz="4" w:space="0"/>
              <w:right w:val="single" w:color="000000" w:sz="4" w:space="0"/>
            </w:tcBorders>
          </w:tcPr>
          <w:p>
            <w:pPr>
              <w:pStyle w:val="19"/>
              <w:spacing w:before="89"/>
              <w:ind w:left="15"/>
              <w:rPr>
                <w:sz w:val="21"/>
              </w:rPr>
            </w:pPr>
            <w:r>
              <w:rPr>
                <w:w w:val="99"/>
                <w:sz w:val="21"/>
              </w:rPr>
              <w:t>一</w:t>
            </w:r>
          </w:p>
        </w:tc>
        <w:tc>
          <w:tcPr>
            <w:tcW w:w="1472" w:type="dxa"/>
            <w:tcBorders>
              <w:top w:val="single" w:color="000000" w:sz="4" w:space="0"/>
              <w:left w:val="single" w:color="000000" w:sz="4" w:space="0"/>
              <w:bottom w:val="single" w:color="000000" w:sz="4" w:space="0"/>
              <w:right w:val="single" w:color="000000" w:sz="4" w:space="0"/>
            </w:tcBorders>
          </w:tcPr>
          <w:p>
            <w:pPr>
              <w:pStyle w:val="19"/>
              <w:spacing w:before="89"/>
              <w:ind w:left="15"/>
              <w:rPr>
                <w:sz w:val="21"/>
              </w:rPr>
            </w:pPr>
            <w:r>
              <w:rPr>
                <w:w w:val="99"/>
                <w:sz w:val="21"/>
              </w:rPr>
              <w:t>二</w:t>
            </w:r>
          </w:p>
        </w:tc>
        <w:tc>
          <w:tcPr>
            <w:tcW w:w="1472" w:type="dxa"/>
            <w:tcBorders>
              <w:top w:val="single" w:color="000000" w:sz="4" w:space="0"/>
              <w:left w:val="single" w:color="000000" w:sz="4" w:space="0"/>
              <w:bottom w:val="single" w:color="000000" w:sz="4" w:space="0"/>
              <w:right w:val="single" w:color="000000" w:sz="4" w:space="0"/>
            </w:tcBorders>
          </w:tcPr>
          <w:p>
            <w:pPr>
              <w:pStyle w:val="19"/>
              <w:spacing w:before="89"/>
              <w:ind w:left="18"/>
              <w:rPr>
                <w:sz w:val="21"/>
              </w:rPr>
            </w:pPr>
            <w:r>
              <w:rPr>
                <w:w w:val="99"/>
                <w:sz w:val="21"/>
              </w:rPr>
              <w:t>三</w:t>
            </w:r>
          </w:p>
        </w:tc>
        <w:tc>
          <w:tcPr>
            <w:tcW w:w="2005" w:type="dxa"/>
            <w:tcBorders>
              <w:top w:val="single" w:color="000000" w:sz="4" w:space="0"/>
              <w:left w:val="single" w:color="000000" w:sz="4" w:space="0"/>
              <w:bottom w:val="single" w:color="000000" w:sz="4" w:space="0"/>
            </w:tcBorders>
          </w:tcPr>
          <w:p>
            <w:pPr>
              <w:pStyle w:val="19"/>
              <w:spacing w:before="89"/>
              <w:ind w:left="483" w:right="463"/>
              <w:rPr>
                <w:rFonts w:ascii="Times New Roman" w:eastAsia="Times New Roman"/>
                <w:sz w:val="13"/>
              </w:rPr>
            </w:pPr>
            <w:r>
              <w:rPr>
                <w:sz w:val="21"/>
              </w:rPr>
              <w:t xml:space="preserve">简单分析 </w:t>
            </w:r>
            <w:r>
              <w:rPr>
                <w:rFonts w:ascii="Times New Roman" w:eastAsia="Times New Roman"/>
                <w:position w:val="7"/>
                <w:sz w:val="13"/>
              </w:rPr>
              <w: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9086" w:type="dxa"/>
            <w:gridSpan w:val="5"/>
            <w:tcBorders>
              <w:top w:val="single" w:color="000000" w:sz="4" w:space="0"/>
            </w:tcBorders>
          </w:tcPr>
          <w:p>
            <w:pPr>
              <w:pStyle w:val="19"/>
              <w:ind w:left="9" w:right="-15"/>
              <w:jc w:val="left"/>
              <w:rPr>
                <w:sz w:val="21"/>
              </w:rPr>
            </w:pPr>
            <w:r>
              <w:rPr>
                <w:rFonts w:ascii="Times New Roman" w:eastAsia="Times New Roman"/>
                <w:position w:val="7"/>
                <w:sz w:val="13"/>
              </w:rPr>
              <w:t>a</w:t>
            </w:r>
            <w:r>
              <w:rPr>
                <w:rFonts w:ascii="Times New Roman" w:eastAsia="Times New Roman"/>
                <w:spacing w:val="-11"/>
                <w:position w:val="7"/>
                <w:sz w:val="13"/>
              </w:rPr>
              <w:t xml:space="preserve"> </w:t>
            </w:r>
            <w:r>
              <w:rPr>
                <w:spacing w:val="-4"/>
                <w:sz w:val="21"/>
              </w:rPr>
              <w:t>是相对于详细评价工作内容而言，在描述危险物质、环境影响途径、环境危害后果、风险防范措施</w:t>
            </w:r>
          </w:p>
          <w:p>
            <w:pPr>
              <w:pStyle w:val="19"/>
              <w:spacing w:before="2" w:line="252" w:lineRule="exact"/>
              <w:ind w:left="9"/>
              <w:jc w:val="left"/>
              <w:rPr>
                <w:sz w:val="21"/>
              </w:rPr>
            </w:pPr>
            <w:r>
              <w:rPr>
                <w:sz w:val="21"/>
              </w:rPr>
              <w:t>等方面给出定性的说明。</w:t>
            </w:r>
          </w:p>
        </w:tc>
      </w:tr>
    </w:tbl>
    <w:p>
      <w:pPr>
        <w:pStyle w:val="9"/>
        <w:spacing w:before="2" w:line="364" w:lineRule="auto"/>
        <w:ind w:left="218" w:right="198" w:firstLine="480"/>
      </w:pPr>
      <w:r>
        <w:t>根据《建设项目环境风险评价技术导则》（</w:t>
      </w:r>
      <w:r>
        <w:rPr>
          <w:rFonts w:ascii="Times New Roman" w:eastAsia="Times New Roman"/>
        </w:rPr>
        <w:t>HJ169-2018</w:t>
      </w:r>
      <w:r>
        <w:t>）中评价等级划分表，见上表及本项目风险潜势判断结果，本项目环境风险评价简单分析即可。</w:t>
      </w:r>
    </w:p>
    <w:p>
      <w:pPr>
        <w:pStyle w:val="5"/>
        <w:numPr>
          <w:ilvl w:val="1"/>
          <w:numId w:val="26"/>
        </w:numPr>
        <w:tabs>
          <w:tab w:val="left" w:pos="668"/>
        </w:tabs>
        <w:spacing w:before="1" w:after="0" w:line="240" w:lineRule="auto"/>
        <w:ind w:left="667" w:right="0" w:hanging="450"/>
        <w:jc w:val="left"/>
      </w:pPr>
      <w:bookmarkStart w:id="103" w:name="_bookmark11"/>
      <w:bookmarkEnd w:id="103"/>
      <w:bookmarkStart w:id="104" w:name="1.5评价范围"/>
      <w:bookmarkEnd w:id="104"/>
      <w:bookmarkStart w:id="105" w:name="_bookmark11"/>
      <w:bookmarkEnd w:id="105"/>
      <w:r>
        <w:t>评价范围</w:t>
      </w:r>
    </w:p>
    <w:p>
      <w:pPr>
        <w:pStyle w:val="6"/>
        <w:numPr>
          <w:ilvl w:val="2"/>
          <w:numId w:val="26"/>
        </w:numPr>
        <w:tabs>
          <w:tab w:val="left" w:pos="848"/>
        </w:tabs>
        <w:spacing w:before="197" w:after="0" w:line="240" w:lineRule="auto"/>
        <w:ind w:left="847" w:right="0" w:hanging="630"/>
        <w:jc w:val="left"/>
      </w:pPr>
      <w:bookmarkStart w:id="106" w:name="1.5.1环境空气"/>
      <w:bookmarkEnd w:id="106"/>
      <w:bookmarkStart w:id="107" w:name="1.5.1环境空气"/>
      <w:bookmarkEnd w:id="107"/>
      <w:r>
        <w:t>环境空气</w:t>
      </w:r>
    </w:p>
    <w:p>
      <w:pPr>
        <w:pStyle w:val="9"/>
        <w:spacing w:before="185" w:line="364" w:lineRule="auto"/>
        <w:ind w:left="218" w:right="257" w:firstLine="480"/>
      </w:pPr>
      <w:r>
        <w:rPr>
          <w:spacing w:val="-7"/>
        </w:rPr>
        <w:t xml:space="preserve">以工业场地内暖风炉房烟囱坐标为中心，边长约为 </w:t>
      </w:r>
      <w:r>
        <w:rPr>
          <w:rFonts w:ascii="Times New Roman" w:eastAsia="Times New Roman"/>
        </w:rPr>
        <w:t xml:space="preserve">5km </w:t>
      </w:r>
      <w:r>
        <w:rPr>
          <w:spacing w:val="-9"/>
        </w:rPr>
        <w:t>的矩形范围，总评价面积约</w:t>
      </w:r>
      <w:r>
        <w:rPr>
          <w:spacing w:val="-30"/>
        </w:rPr>
        <w:t xml:space="preserve">为 </w:t>
      </w:r>
      <w:r>
        <w:rPr>
          <w:rFonts w:ascii="Times New Roman" w:eastAsia="Times New Roman"/>
        </w:rPr>
        <w:t>25km</w:t>
      </w:r>
      <w:r>
        <w:rPr>
          <w:rFonts w:ascii="Times New Roman" w:eastAsia="Times New Roman"/>
          <w:position w:val="8"/>
          <w:sz w:val="15"/>
        </w:rPr>
        <w:t>2</w:t>
      </w:r>
      <w:r>
        <w:t>。评价范围见附图。</w:t>
      </w:r>
    </w:p>
    <w:p>
      <w:pPr>
        <w:pStyle w:val="6"/>
        <w:numPr>
          <w:ilvl w:val="2"/>
          <w:numId w:val="26"/>
        </w:numPr>
        <w:tabs>
          <w:tab w:val="left" w:pos="848"/>
        </w:tabs>
        <w:spacing w:before="2" w:after="0" w:line="240" w:lineRule="auto"/>
        <w:ind w:left="847" w:right="0" w:hanging="630"/>
        <w:jc w:val="left"/>
      </w:pPr>
      <w:bookmarkStart w:id="108" w:name="1.5.2地表水环境"/>
      <w:bookmarkEnd w:id="108"/>
      <w:bookmarkStart w:id="109" w:name="1.5.2地表水环境"/>
      <w:bookmarkEnd w:id="109"/>
      <w:r>
        <w:t>地表水环境</w:t>
      </w:r>
    </w:p>
    <w:p>
      <w:pPr>
        <w:pStyle w:val="9"/>
        <w:spacing w:before="183"/>
        <w:ind w:left="698"/>
      </w:pPr>
      <w:r>
        <w:t xml:space="preserve">从纳污水体安邦河汇入口上游 </w:t>
      </w:r>
      <w:r>
        <w:rPr>
          <w:rFonts w:ascii="Times New Roman" w:eastAsia="Times New Roman"/>
        </w:rPr>
        <w:t>500m</w:t>
      </w:r>
      <w:r>
        <w:t xml:space="preserve">，下游 </w:t>
      </w:r>
      <w:r>
        <w:rPr>
          <w:rFonts w:ascii="Times New Roman" w:eastAsia="Times New Roman"/>
        </w:rPr>
        <w:t>1000m</w:t>
      </w:r>
      <w:r>
        <w:t xml:space="preserve">，下游 </w:t>
      </w:r>
      <w:r>
        <w:rPr>
          <w:rFonts w:ascii="Times New Roman" w:eastAsia="Times New Roman"/>
        </w:rPr>
        <w:t>5000m</w:t>
      </w:r>
      <w:r>
        <w:t>，总控制长度约</w:t>
      </w:r>
    </w:p>
    <w:p>
      <w:pPr>
        <w:spacing w:after="0"/>
        <w:sectPr>
          <w:type w:val="continuous"/>
          <w:pgSz w:w="11910" w:h="16840"/>
          <w:pgMar w:top="1580" w:right="1160" w:bottom="280" w:left="1200" w:header="720" w:footer="720" w:gutter="0"/>
        </w:sectPr>
      </w:pPr>
    </w:p>
    <w:p>
      <w:pPr>
        <w:pStyle w:val="9"/>
        <w:spacing w:before="61"/>
        <w:ind w:left="218"/>
      </w:pPr>
      <w:r>
        <w:rPr>
          <w:rFonts w:ascii="Times New Roman" w:eastAsia="Times New Roman"/>
        </w:rPr>
        <w:t>5500m</w:t>
      </w:r>
      <w:r>
        <w:t>。评价范围见附图。</w:t>
      </w:r>
    </w:p>
    <w:p>
      <w:pPr>
        <w:pStyle w:val="6"/>
        <w:numPr>
          <w:ilvl w:val="2"/>
          <w:numId w:val="26"/>
        </w:numPr>
        <w:tabs>
          <w:tab w:val="left" w:pos="848"/>
        </w:tabs>
        <w:spacing w:before="159" w:after="0" w:line="240" w:lineRule="auto"/>
        <w:ind w:left="847" w:right="0" w:hanging="630"/>
        <w:jc w:val="left"/>
      </w:pPr>
      <w:bookmarkStart w:id="110" w:name="1.5.3地下水环境"/>
      <w:bookmarkEnd w:id="110"/>
      <w:bookmarkStart w:id="111" w:name="1.5.3地下水环境"/>
      <w:bookmarkEnd w:id="111"/>
      <w:r>
        <w:t>地下水环境</w:t>
      </w:r>
    </w:p>
    <w:p>
      <w:pPr>
        <w:pStyle w:val="9"/>
        <w:spacing w:before="185" w:line="364" w:lineRule="auto"/>
        <w:ind w:left="218" w:right="137" w:firstLine="480"/>
        <w:jc w:val="both"/>
      </w:pPr>
      <w:r>
        <w:t>参照项目的评价等级，为了说明地下水环境的基本状况，依据项目区周边的地质、</w:t>
      </w:r>
      <w:r>
        <w:rPr>
          <w:spacing w:val="-4"/>
        </w:rPr>
        <w:t>水文地质条件和地形、地貌特征，确定项目地下水评价范围，双鸭山大顺矿业有限公司</w:t>
      </w:r>
      <w:r>
        <w:rPr>
          <w:spacing w:val="-8"/>
        </w:rPr>
        <w:t xml:space="preserve">位于丘陵山区，地表自然坡度 </w:t>
      </w:r>
      <w:r>
        <w:rPr>
          <w:rFonts w:ascii="Times New Roman" w:hAnsi="Times New Roman" w:eastAsia="Times New Roman"/>
        </w:rPr>
        <w:t>3‰-7‰</w:t>
      </w:r>
      <w:r>
        <w:t>之间，因而本次地下水环境影响评价工作的调查</w:t>
      </w:r>
      <w:r>
        <w:rPr>
          <w:spacing w:val="-11"/>
        </w:rPr>
        <w:t xml:space="preserve">评价范围是以本项目井田境界范围为核心，评价区西侧、东侧、南侧为井田境界外 </w:t>
      </w:r>
      <w:r>
        <w:rPr>
          <w:rFonts w:ascii="Times New Roman" w:hAnsi="Times New Roman" w:eastAsia="Times New Roman"/>
          <w:spacing w:val="-5"/>
        </w:rPr>
        <w:t>1km</w:t>
      </w:r>
      <w:r>
        <w:rPr>
          <w:spacing w:val="-5"/>
        </w:rPr>
        <w:t xml:space="preserve">， </w:t>
      </w:r>
      <w:r>
        <w:t>北侧扩至安邦河处，详见附图。</w:t>
      </w:r>
    </w:p>
    <w:p>
      <w:pPr>
        <w:pStyle w:val="6"/>
        <w:numPr>
          <w:ilvl w:val="2"/>
          <w:numId w:val="26"/>
        </w:numPr>
        <w:tabs>
          <w:tab w:val="left" w:pos="848"/>
        </w:tabs>
        <w:spacing w:before="0" w:after="0" w:line="358" w:lineRule="exact"/>
        <w:ind w:left="847" w:right="0" w:hanging="630"/>
        <w:jc w:val="left"/>
      </w:pPr>
      <w:bookmarkStart w:id="112" w:name="1.5.4声环境"/>
      <w:bookmarkEnd w:id="112"/>
      <w:bookmarkStart w:id="113" w:name="1.5.4声环境"/>
      <w:bookmarkEnd w:id="113"/>
      <w:r>
        <w:t>声环境</w:t>
      </w:r>
    </w:p>
    <w:p>
      <w:pPr>
        <w:pStyle w:val="9"/>
        <w:spacing w:before="186"/>
        <w:ind w:left="698"/>
      </w:pPr>
      <w:r>
        <w:t xml:space="preserve">本工程工业广场边界外 </w:t>
      </w:r>
      <w:r>
        <w:rPr>
          <w:rFonts w:ascii="Times New Roman" w:eastAsia="Times New Roman"/>
        </w:rPr>
        <w:t>200m</w:t>
      </w:r>
      <w:r>
        <w:t>。评价范围见附图。</w:t>
      </w:r>
    </w:p>
    <w:p>
      <w:pPr>
        <w:pStyle w:val="6"/>
        <w:numPr>
          <w:ilvl w:val="2"/>
          <w:numId w:val="26"/>
        </w:numPr>
        <w:tabs>
          <w:tab w:val="left" w:pos="848"/>
        </w:tabs>
        <w:spacing w:before="161" w:after="0" w:line="240" w:lineRule="auto"/>
        <w:ind w:left="847" w:right="0" w:hanging="630"/>
        <w:jc w:val="left"/>
      </w:pPr>
      <w:bookmarkStart w:id="114" w:name="1.5.5生态环境"/>
      <w:bookmarkEnd w:id="114"/>
      <w:bookmarkStart w:id="115" w:name="1.5.5生态环境"/>
      <w:bookmarkEnd w:id="115"/>
      <w:r>
        <w:t>生态环境</w:t>
      </w:r>
    </w:p>
    <w:p>
      <w:pPr>
        <w:pStyle w:val="9"/>
        <w:spacing w:before="185"/>
        <w:ind w:left="698"/>
      </w:pPr>
      <w:r>
        <w:t xml:space="preserve">井田境界及工业广场周边 </w:t>
      </w:r>
      <w:r>
        <w:rPr>
          <w:rFonts w:ascii="Times New Roman" w:eastAsia="Times New Roman"/>
        </w:rPr>
        <w:t xml:space="preserve">500m </w:t>
      </w:r>
      <w:r>
        <w:t xml:space="preserve">范围内，评价范围为 </w:t>
      </w:r>
      <w:r>
        <w:rPr>
          <w:rFonts w:ascii="Times New Roman" w:eastAsia="Times New Roman"/>
        </w:rPr>
        <w:t>12.9km</w:t>
      </w:r>
      <w:r>
        <w:rPr>
          <w:rFonts w:ascii="Times New Roman" w:eastAsia="Times New Roman"/>
          <w:position w:val="8"/>
          <w:sz w:val="15"/>
        </w:rPr>
        <w:t>2</w:t>
      </w:r>
      <w:r>
        <w:t>。评价范围图见附图。</w:t>
      </w:r>
    </w:p>
    <w:p>
      <w:pPr>
        <w:pStyle w:val="6"/>
        <w:numPr>
          <w:ilvl w:val="2"/>
          <w:numId w:val="26"/>
        </w:numPr>
        <w:tabs>
          <w:tab w:val="left" w:pos="848"/>
        </w:tabs>
        <w:spacing w:before="159" w:after="0" w:line="240" w:lineRule="auto"/>
        <w:ind w:left="847" w:right="0" w:hanging="630"/>
        <w:jc w:val="left"/>
      </w:pPr>
      <w:bookmarkStart w:id="116" w:name="1.5.6土壤环境"/>
      <w:bookmarkEnd w:id="116"/>
      <w:bookmarkStart w:id="117" w:name="1.5.6土壤环境"/>
      <w:bookmarkEnd w:id="117"/>
      <w:r>
        <w:t>土壤环境</w:t>
      </w:r>
    </w:p>
    <w:p>
      <w:pPr>
        <w:pStyle w:val="9"/>
        <w:spacing w:before="185"/>
        <w:ind w:left="698"/>
        <w:rPr>
          <w:rFonts w:ascii="Times New Roman" w:eastAsia="Times New Roman"/>
        </w:rPr>
      </w:pPr>
      <w:r>
        <w:t>井田开采区以井田范围外扩</w:t>
      </w:r>
      <w:r>
        <w:rPr>
          <w:rFonts w:ascii="Times New Roman" w:eastAsia="Times New Roman"/>
        </w:rPr>
        <w:t xml:space="preserve">1km </w:t>
      </w:r>
      <w:r>
        <w:t>为评价范围；工业场地评价范围以场地外扩</w:t>
      </w:r>
      <w:r>
        <w:rPr>
          <w:rFonts w:ascii="Times New Roman" w:eastAsia="Times New Roman"/>
        </w:rPr>
        <w:t>0.05km</w:t>
      </w:r>
    </w:p>
    <w:p>
      <w:pPr>
        <w:pStyle w:val="9"/>
        <w:spacing w:before="161"/>
        <w:ind w:left="218"/>
      </w:pPr>
      <w:r>
        <w:t>为评价范围。评价范围见副图。</w:t>
      </w:r>
    </w:p>
    <w:p>
      <w:pPr>
        <w:pStyle w:val="5"/>
        <w:numPr>
          <w:ilvl w:val="1"/>
          <w:numId w:val="26"/>
        </w:numPr>
        <w:tabs>
          <w:tab w:val="left" w:pos="668"/>
        </w:tabs>
        <w:spacing w:before="160" w:after="0" w:line="240" w:lineRule="auto"/>
        <w:ind w:left="667" w:right="0" w:hanging="450"/>
        <w:jc w:val="left"/>
      </w:pPr>
      <w:bookmarkStart w:id="118" w:name="_bookmark12"/>
      <w:bookmarkEnd w:id="118"/>
      <w:bookmarkStart w:id="119" w:name="1.6控制污染与环境保护目标"/>
      <w:bookmarkEnd w:id="119"/>
      <w:bookmarkStart w:id="120" w:name="_bookmark12"/>
      <w:bookmarkEnd w:id="120"/>
      <w:r>
        <w:t>控制污染与环境保护目标</w:t>
      </w:r>
    </w:p>
    <w:p>
      <w:pPr>
        <w:pStyle w:val="9"/>
        <w:spacing w:before="197" w:line="364" w:lineRule="auto"/>
        <w:ind w:left="215" w:right="137" w:firstLine="480"/>
      </w:pPr>
      <w:r>
        <w:rPr>
          <w:spacing w:val="-9"/>
        </w:rPr>
        <w:t>保护本项目所在区域环境空气、生态、地下水质量及安邦河，应贯彻污染源治理</w:t>
      </w:r>
      <w:r>
        <w:rPr>
          <w:rFonts w:ascii="Times New Roman" w:hAnsi="Times New Roman" w:eastAsia="Times New Roman"/>
        </w:rPr>
        <w:t>“</w:t>
      </w:r>
      <w:r>
        <w:t>以新带老</w:t>
      </w:r>
      <w:r>
        <w:rPr>
          <w:rFonts w:ascii="Times New Roman" w:hAnsi="Times New Roman" w:eastAsia="Times New Roman"/>
        </w:rPr>
        <w:t>”</w:t>
      </w:r>
      <w:r>
        <w:rPr>
          <w:spacing w:val="-48"/>
        </w:rPr>
        <w:t>、</w:t>
      </w:r>
      <w:r>
        <w:rPr>
          <w:rFonts w:ascii="Times New Roman" w:hAnsi="Times New Roman" w:eastAsia="Times New Roman"/>
        </w:rPr>
        <w:t>“</w:t>
      </w:r>
      <w:r>
        <w:t>达标排放</w:t>
      </w:r>
      <w:r>
        <w:rPr>
          <w:rFonts w:ascii="Times New Roman" w:hAnsi="Times New Roman" w:eastAsia="Times New Roman"/>
        </w:rPr>
        <w:t>”</w:t>
      </w:r>
      <w:r>
        <w:rPr>
          <w:spacing w:val="-51"/>
        </w:rPr>
        <w:t>、</w:t>
      </w:r>
      <w:r>
        <w:rPr>
          <w:rFonts w:ascii="Times New Roman" w:hAnsi="Times New Roman" w:eastAsia="Times New Roman"/>
        </w:rPr>
        <w:t>“</w:t>
      </w:r>
      <w:r>
        <w:t>总量控制</w:t>
      </w:r>
      <w:r>
        <w:rPr>
          <w:rFonts w:ascii="Times New Roman" w:hAnsi="Times New Roman" w:eastAsia="Times New Roman"/>
        </w:rPr>
        <w:t>”</w:t>
      </w:r>
      <w:r>
        <w:rPr>
          <w:spacing w:val="-48"/>
        </w:rPr>
        <w:t>、</w:t>
      </w:r>
      <w:r>
        <w:rPr>
          <w:rFonts w:ascii="Times New Roman" w:hAnsi="Times New Roman" w:eastAsia="Times New Roman"/>
        </w:rPr>
        <w:t>“</w:t>
      </w:r>
      <w:r>
        <w:t>清洁生产</w:t>
      </w:r>
      <w:r>
        <w:rPr>
          <w:rFonts w:ascii="Times New Roman" w:hAnsi="Times New Roman" w:eastAsia="Times New Roman"/>
        </w:rPr>
        <w:t>”</w:t>
      </w:r>
      <w:r>
        <w:rPr>
          <w:spacing w:val="-8"/>
        </w:rPr>
        <w:t xml:space="preserve">的原则，提出切实可行的污染防治方案， </w:t>
      </w:r>
      <w:r>
        <w:rPr>
          <w:spacing w:val="-2"/>
        </w:rPr>
        <w:t>使本工程投产后所排烟尘及污水能达到浓度控制标准与污染物总量控制要求，以减少对纳污环境的污染负荷。</w:t>
      </w:r>
    </w:p>
    <w:p>
      <w:pPr>
        <w:pStyle w:val="9"/>
        <w:spacing w:line="305" w:lineRule="exact"/>
        <w:ind w:left="638"/>
      </w:pPr>
      <w:r>
        <w:t>本工程主要的环境保护目标见下表及下图本项目环境保护目标图。</w:t>
      </w:r>
    </w:p>
    <w:p>
      <w:pPr>
        <w:spacing w:before="159" w:after="3"/>
        <w:ind w:left="300" w:right="330" w:firstLine="0"/>
        <w:jc w:val="center"/>
        <w:rPr>
          <w:b/>
          <w:sz w:val="21"/>
        </w:rPr>
      </w:pPr>
      <w:r>
        <w:rPr>
          <w:b/>
          <w:spacing w:val="-26"/>
          <w:sz w:val="21"/>
        </w:rPr>
        <w:t xml:space="preserve">表 </w:t>
      </w:r>
      <w:r>
        <w:rPr>
          <w:rFonts w:ascii="Times New Roman" w:eastAsia="Times New Roman"/>
          <w:b/>
          <w:sz w:val="21"/>
        </w:rPr>
        <w:t>1.6-1</w:t>
      </w:r>
      <w:r>
        <w:rPr>
          <w:rFonts w:ascii="Times New Roman" w:eastAsia="Times New Roman"/>
          <w:b/>
          <w:spacing w:val="52"/>
          <w:sz w:val="21"/>
        </w:rPr>
        <w:t xml:space="preserve"> </w:t>
      </w:r>
      <w:r>
        <w:rPr>
          <w:b/>
          <w:sz w:val="21"/>
        </w:rPr>
        <w:t>环境保护目标一览表</w:t>
      </w:r>
    </w:p>
    <w:tbl>
      <w:tblPr>
        <w:tblStyle w:val="15"/>
        <w:tblW w:w="0" w:type="auto"/>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6"/>
        <w:gridCol w:w="881"/>
        <w:gridCol w:w="1060"/>
        <w:gridCol w:w="1069"/>
        <w:gridCol w:w="951"/>
        <w:gridCol w:w="954"/>
        <w:gridCol w:w="1944"/>
        <w:gridCol w:w="997"/>
        <w:gridCol w:w="99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5" w:hRule="atLeast"/>
        </w:trPr>
        <w:tc>
          <w:tcPr>
            <w:tcW w:w="426" w:type="dxa"/>
            <w:vMerge w:val="restart"/>
            <w:tcBorders>
              <w:bottom w:val="single" w:color="000000" w:sz="4" w:space="0"/>
              <w:right w:val="single" w:color="000000" w:sz="4" w:space="0"/>
            </w:tcBorders>
          </w:tcPr>
          <w:p>
            <w:pPr>
              <w:pStyle w:val="19"/>
              <w:spacing w:before="1" w:line="290" w:lineRule="auto"/>
              <w:ind w:left="107" w:right="92"/>
              <w:jc w:val="both"/>
              <w:rPr>
                <w:sz w:val="21"/>
              </w:rPr>
            </w:pPr>
            <w:r>
              <w:rPr>
                <w:sz w:val="21"/>
              </w:rPr>
              <w:t>环境要</w:t>
            </w:r>
          </w:p>
          <w:p>
            <w:pPr>
              <w:pStyle w:val="19"/>
              <w:spacing w:before="2"/>
              <w:ind w:left="107"/>
              <w:jc w:val="left"/>
              <w:rPr>
                <w:sz w:val="21"/>
              </w:rPr>
            </w:pPr>
            <w:r>
              <w:rPr>
                <w:w w:val="99"/>
                <w:sz w:val="21"/>
              </w:rPr>
              <w:t>素</w:t>
            </w:r>
          </w:p>
        </w:tc>
        <w:tc>
          <w:tcPr>
            <w:tcW w:w="881" w:type="dxa"/>
            <w:vMerge w:val="restart"/>
            <w:tcBorders>
              <w:left w:val="single" w:color="000000" w:sz="4" w:space="0"/>
              <w:bottom w:val="single" w:color="000000" w:sz="4" w:space="0"/>
              <w:right w:val="single" w:color="000000" w:sz="4" w:space="0"/>
            </w:tcBorders>
          </w:tcPr>
          <w:p>
            <w:pPr>
              <w:pStyle w:val="19"/>
              <w:jc w:val="left"/>
              <w:rPr>
                <w:b/>
                <w:sz w:val="20"/>
              </w:rPr>
            </w:pPr>
          </w:p>
          <w:p>
            <w:pPr>
              <w:pStyle w:val="19"/>
              <w:spacing w:before="3"/>
              <w:jc w:val="left"/>
              <w:rPr>
                <w:b/>
                <w:sz w:val="18"/>
              </w:rPr>
            </w:pPr>
          </w:p>
          <w:p>
            <w:pPr>
              <w:pStyle w:val="19"/>
              <w:ind w:left="233"/>
              <w:jc w:val="left"/>
              <w:rPr>
                <w:sz w:val="21"/>
              </w:rPr>
            </w:pPr>
            <w:r>
              <w:rPr>
                <w:sz w:val="21"/>
              </w:rPr>
              <w:t>名称</w:t>
            </w:r>
          </w:p>
        </w:tc>
        <w:tc>
          <w:tcPr>
            <w:tcW w:w="2129" w:type="dxa"/>
            <w:gridSpan w:val="2"/>
            <w:tcBorders>
              <w:left w:val="single" w:color="000000" w:sz="4" w:space="0"/>
              <w:bottom w:val="single" w:color="000000" w:sz="4" w:space="0"/>
              <w:right w:val="single" w:color="000000" w:sz="4" w:space="0"/>
            </w:tcBorders>
          </w:tcPr>
          <w:p>
            <w:pPr>
              <w:pStyle w:val="19"/>
              <w:spacing w:before="63"/>
              <w:ind w:left="607"/>
              <w:jc w:val="left"/>
              <w:rPr>
                <w:sz w:val="21"/>
              </w:rPr>
            </w:pPr>
            <w:r>
              <w:rPr>
                <w:sz w:val="21"/>
              </w:rPr>
              <w:t>坐标（</w:t>
            </w:r>
            <w:r>
              <w:rPr>
                <w:rFonts w:ascii="Times New Roman" w:hAnsi="Times New Roman" w:eastAsia="Times New Roman"/>
                <w:position w:val="7"/>
                <w:sz w:val="13"/>
              </w:rPr>
              <w:t>○</w:t>
            </w:r>
            <w:r>
              <w:rPr>
                <w:sz w:val="21"/>
              </w:rPr>
              <w:t>）</w:t>
            </w:r>
          </w:p>
        </w:tc>
        <w:tc>
          <w:tcPr>
            <w:tcW w:w="951" w:type="dxa"/>
            <w:vMerge w:val="restart"/>
            <w:tcBorders>
              <w:left w:val="single" w:color="000000" w:sz="4" w:space="0"/>
              <w:bottom w:val="single" w:color="000000" w:sz="4" w:space="0"/>
              <w:right w:val="single" w:color="000000" w:sz="4" w:space="0"/>
            </w:tcBorders>
          </w:tcPr>
          <w:p>
            <w:pPr>
              <w:pStyle w:val="19"/>
              <w:spacing w:before="7"/>
              <w:jc w:val="left"/>
              <w:rPr>
                <w:b/>
                <w:sz w:val="25"/>
              </w:rPr>
            </w:pPr>
          </w:p>
          <w:p>
            <w:pPr>
              <w:pStyle w:val="19"/>
              <w:spacing w:line="288" w:lineRule="auto"/>
              <w:ind w:left="269" w:right="252"/>
              <w:jc w:val="left"/>
              <w:rPr>
                <w:sz w:val="21"/>
              </w:rPr>
            </w:pPr>
            <w:r>
              <w:rPr>
                <w:sz w:val="21"/>
              </w:rPr>
              <w:t>保护对象</w:t>
            </w:r>
          </w:p>
        </w:tc>
        <w:tc>
          <w:tcPr>
            <w:tcW w:w="954" w:type="dxa"/>
            <w:vMerge w:val="restart"/>
            <w:tcBorders>
              <w:left w:val="single" w:color="000000" w:sz="4" w:space="0"/>
              <w:bottom w:val="single" w:color="000000" w:sz="4" w:space="0"/>
              <w:right w:val="single" w:color="000000" w:sz="4" w:space="0"/>
            </w:tcBorders>
          </w:tcPr>
          <w:p>
            <w:pPr>
              <w:pStyle w:val="19"/>
              <w:spacing w:before="7"/>
              <w:jc w:val="left"/>
              <w:rPr>
                <w:b/>
                <w:sz w:val="25"/>
              </w:rPr>
            </w:pPr>
          </w:p>
          <w:p>
            <w:pPr>
              <w:pStyle w:val="19"/>
              <w:spacing w:line="288" w:lineRule="auto"/>
              <w:ind w:left="376" w:right="147" w:hanging="212"/>
              <w:jc w:val="left"/>
              <w:rPr>
                <w:sz w:val="21"/>
              </w:rPr>
            </w:pPr>
            <w:r>
              <w:rPr>
                <w:sz w:val="21"/>
              </w:rPr>
              <w:t>保护内容</w:t>
            </w:r>
          </w:p>
        </w:tc>
        <w:tc>
          <w:tcPr>
            <w:tcW w:w="1944" w:type="dxa"/>
            <w:vMerge w:val="restart"/>
            <w:tcBorders>
              <w:left w:val="single" w:color="000000" w:sz="4" w:space="0"/>
              <w:bottom w:val="single" w:color="000000" w:sz="4" w:space="0"/>
              <w:right w:val="single" w:color="000000" w:sz="4" w:space="0"/>
            </w:tcBorders>
          </w:tcPr>
          <w:p>
            <w:pPr>
              <w:pStyle w:val="19"/>
              <w:jc w:val="left"/>
              <w:rPr>
                <w:b/>
                <w:sz w:val="20"/>
              </w:rPr>
            </w:pPr>
          </w:p>
          <w:p>
            <w:pPr>
              <w:pStyle w:val="19"/>
              <w:spacing w:before="3"/>
              <w:jc w:val="left"/>
              <w:rPr>
                <w:b/>
                <w:sz w:val="18"/>
              </w:rPr>
            </w:pPr>
          </w:p>
          <w:p>
            <w:pPr>
              <w:pStyle w:val="19"/>
              <w:ind w:left="452"/>
              <w:jc w:val="left"/>
              <w:rPr>
                <w:sz w:val="21"/>
              </w:rPr>
            </w:pPr>
            <w:r>
              <w:rPr>
                <w:sz w:val="21"/>
              </w:rPr>
              <w:t>环境功能区</w:t>
            </w:r>
          </w:p>
        </w:tc>
        <w:tc>
          <w:tcPr>
            <w:tcW w:w="997" w:type="dxa"/>
            <w:vMerge w:val="restart"/>
            <w:tcBorders>
              <w:left w:val="single" w:color="000000" w:sz="4" w:space="0"/>
              <w:bottom w:val="single" w:color="000000" w:sz="4" w:space="0"/>
              <w:right w:val="single" w:color="000000" w:sz="4" w:space="0"/>
            </w:tcBorders>
          </w:tcPr>
          <w:p>
            <w:pPr>
              <w:pStyle w:val="19"/>
              <w:spacing w:before="7"/>
              <w:jc w:val="left"/>
              <w:rPr>
                <w:b/>
                <w:sz w:val="25"/>
              </w:rPr>
            </w:pPr>
          </w:p>
          <w:p>
            <w:pPr>
              <w:pStyle w:val="19"/>
              <w:spacing w:line="288" w:lineRule="auto"/>
              <w:ind w:left="188" w:right="167"/>
              <w:jc w:val="left"/>
              <w:rPr>
                <w:sz w:val="21"/>
              </w:rPr>
            </w:pPr>
            <w:r>
              <w:rPr>
                <w:sz w:val="21"/>
              </w:rPr>
              <w:t>相对厂址方位</w:t>
            </w:r>
          </w:p>
        </w:tc>
        <w:tc>
          <w:tcPr>
            <w:tcW w:w="997" w:type="dxa"/>
            <w:vMerge w:val="restart"/>
            <w:tcBorders>
              <w:left w:val="single" w:color="000000" w:sz="4" w:space="0"/>
              <w:bottom w:val="single" w:color="000000" w:sz="4" w:space="0"/>
            </w:tcBorders>
          </w:tcPr>
          <w:p>
            <w:pPr>
              <w:pStyle w:val="19"/>
              <w:spacing w:before="164" w:line="290" w:lineRule="auto"/>
              <w:ind w:left="182" w:right="157" w:firstLine="4"/>
              <w:jc w:val="both"/>
              <w:rPr>
                <w:rFonts w:ascii="Times New Roman" w:eastAsia="Times New Roman"/>
                <w:sz w:val="21"/>
              </w:rPr>
            </w:pPr>
            <w:r>
              <w:rPr>
                <w:sz w:val="21"/>
              </w:rPr>
              <w:t>相对厂界最近距离</w:t>
            </w:r>
            <w:r>
              <w:rPr>
                <w:rFonts w:ascii="Times New Roman" w:eastAsia="Times New Roman"/>
                <w:sz w:val="21"/>
              </w:rPr>
              <w:t>/m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2" w:hRule="atLeast"/>
        </w:trPr>
        <w:tc>
          <w:tcPr>
            <w:tcW w:w="426" w:type="dxa"/>
            <w:vMerge w:val="continue"/>
            <w:tcBorders>
              <w:top w:val="nil"/>
              <w:bottom w:val="single" w:color="000000" w:sz="4" w:space="0"/>
              <w:right w:val="single" w:color="000000" w:sz="4" w:space="0"/>
            </w:tcBorders>
          </w:tcPr>
          <w:p>
            <w:pPr>
              <w:rPr>
                <w:sz w:val="2"/>
                <w:szCs w:val="2"/>
              </w:rPr>
            </w:pPr>
          </w:p>
        </w:tc>
        <w:tc>
          <w:tcPr>
            <w:tcW w:w="881" w:type="dxa"/>
            <w:vMerge w:val="continue"/>
            <w:tcBorders>
              <w:top w:val="nil"/>
              <w:left w:val="single" w:color="000000" w:sz="4" w:space="0"/>
              <w:bottom w:val="single" w:color="000000" w:sz="4" w:space="0"/>
              <w:right w:val="single" w:color="000000" w:sz="4" w:space="0"/>
            </w:tcBorders>
          </w:tcPr>
          <w:p>
            <w:pPr>
              <w:rPr>
                <w:sz w:val="2"/>
                <w:szCs w:val="2"/>
              </w:rPr>
            </w:pPr>
          </w:p>
        </w:tc>
        <w:tc>
          <w:tcPr>
            <w:tcW w:w="1060" w:type="dxa"/>
            <w:tcBorders>
              <w:top w:val="single" w:color="000000" w:sz="4" w:space="0"/>
              <w:left w:val="single" w:color="000000" w:sz="4" w:space="0"/>
              <w:bottom w:val="single" w:color="000000" w:sz="4" w:space="0"/>
              <w:right w:val="single" w:color="000000" w:sz="4" w:space="0"/>
            </w:tcBorders>
          </w:tcPr>
          <w:p>
            <w:pPr>
              <w:pStyle w:val="19"/>
              <w:spacing w:before="1"/>
              <w:jc w:val="left"/>
              <w:rPr>
                <w:b/>
                <w:sz w:val="20"/>
              </w:rPr>
            </w:pPr>
          </w:p>
          <w:p>
            <w:pPr>
              <w:pStyle w:val="19"/>
              <w:spacing w:before="1"/>
              <w:ind w:left="73" w:right="57"/>
              <w:rPr>
                <w:sz w:val="21"/>
              </w:rPr>
            </w:pPr>
            <w:r>
              <w:rPr>
                <w:sz w:val="21"/>
              </w:rPr>
              <w:t>经度</w:t>
            </w:r>
          </w:p>
        </w:tc>
        <w:tc>
          <w:tcPr>
            <w:tcW w:w="1069" w:type="dxa"/>
            <w:tcBorders>
              <w:top w:val="single" w:color="000000" w:sz="4" w:space="0"/>
              <w:left w:val="single" w:color="000000" w:sz="4" w:space="0"/>
              <w:bottom w:val="single" w:color="000000" w:sz="4" w:space="0"/>
              <w:right w:val="single" w:color="000000" w:sz="4" w:space="0"/>
            </w:tcBorders>
          </w:tcPr>
          <w:p>
            <w:pPr>
              <w:pStyle w:val="19"/>
              <w:spacing w:before="1"/>
              <w:jc w:val="left"/>
              <w:rPr>
                <w:b/>
                <w:sz w:val="20"/>
              </w:rPr>
            </w:pPr>
          </w:p>
          <w:p>
            <w:pPr>
              <w:pStyle w:val="19"/>
              <w:spacing w:before="1"/>
              <w:ind w:left="21" w:right="7"/>
              <w:rPr>
                <w:sz w:val="21"/>
              </w:rPr>
            </w:pPr>
            <w:r>
              <w:rPr>
                <w:sz w:val="21"/>
              </w:rPr>
              <w:t>纬度</w:t>
            </w:r>
          </w:p>
        </w:tc>
        <w:tc>
          <w:tcPr>
            <w:tcW w:w="951" w:type="dxa"/>
            <w:vMerge w:val="continue"/>
            <w:tcBorders>
              <w:top w:val="nil"/>
              <w:left w:val="single" w:color="000000" w:sz="4" w:space="0"/>
              <w:bottom w:val="single" w:color="000000" w:sz="4" w:space="0"/>
              <w:right w:val="single" w:color="000000" w:sz="4" w:space="0"/>
            </w:tcBorders>
          </w:tcPr>
          <w:p>
            <w:pPr>
              <w:rPr>
                <w:sz w:val="2"/>
                <w:szCs w:val="2"/>
              </w:rPr>
            </w:pPr>
          </w:p>
        </w:tc>
        <w:tc>
          <w:tcPr>
            <w:tcW w:w="954" w:type="dxa"/>
            <w:vMerge w:val="continue"/>
            <w:tcBorders>
              <w:top w:val="nil"/>
              <w:left w:val="single" w:color="000000" w:sz="4" w:space="0"/>
              <w:bottom w:val="single" w:color="000000" w:sz="4" w:space="0"/>
              <w:right w:val="single" w:color="000000" w:sz="4" w:space="0"/>
            </w:tcBorders>
          </w:tcPr>
          <w:p>
            <w:pPr>
              <w:rPr>
                <w:sz w:val="2"/>
                <w:szCs w:val="2"/>
              </w:rPr>
            </w:pPr>
          </w:p>
        </w:tc>
        <w:tc>
          <w:tcPr>
            <w:tcW w:w="1944" w:type="dxa"/>
            <w:vMerge w:val="continue"/>
            <w:tcBorders>
              <w:top w:val="nil"/>
              <w:left w:val="single" w:color="000000" w:sz="4" w:space="0"/>
              <w:bottom w:val="single" w:color="000000" w:sz="4" w:space="0"/>
              <w:right w:val="single" w:color="000000" w:sz="4" w:space="0"/>
            </w:tcBorders>
          </w:tcPr>
          <w:p>
            <w:pPr>
              <w:rPr>
                <w:sz w:val="2"/>
                <w:szCs w:val="2"/>
              </w:rPr>
            </w:pPr>
          </w:p>
        </w:tc>
        <w:tc>
          <w:tcPr>
            <w:tcW w:w="997" w:type="dxa"/>
            <w:vMerge w:val="continue"/>
            <w:tcBorders>
              <w:top w:val="nil"/>
              <w:left w:val="single" w:color="000000" w:sz="4" w:space="0"/>
              <w:bottom w:val="single" w:color="000000" w:sz="4" w:space="0"/>
              <w:right w:val="single" w:color="000000" w:sz="4" w:space="0"/>
            </w:tcBorders>
          </w:tcPr>
          <w:p>
            <w:pPr>
              <w:rPr>
                <w:sz w:val="2"/>
                <w:szCs w:val="2"/>
              </w:rPr>
            </w:pPr>
          </w:p>
        </w:tc>
        <w:tc>
          <w:tcPr>
            <w:tcW w:w="99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426" w:type="dxa"/>
            <w:vMerge w:val="restart"/>
            <w:tcBorders>
              <w:top w:val="single" w:color="000000" w:sz="4" w:space="0"/>
              <w:bottom w:val="single" w:color="000000" w:sz="4" w:space="0"/>
              <w:right w:val="single" w:color="000000" w:sz="4" w:space="0"/>
            </w:tcBorders>
          </w:tcPr>
          <w:p>
            <w:pPr>
              <w:pStyle w:val="19"/>
              <w:spacing w:before="1" w:line="290" w:lineRule="auto"/>
              <w:ind w:left="107" w:right="92"/>
              <w:jc w:val="both"/>
              <w:rPr>
                <w:sz w:val="21"/>
              </w:rPr>
            </w:pPr>
            <w:r>
              <w:rPr>
                <w:sz w:val="21"/>
              </w:rPr>
              <w:t>环境空</w:t>
            </w:r>
          </w:p>
          <w:p>
            <w:pPr>
              <w:pStyle w:val="19"/>
              <w:spacing w:before="3"/>
              <w:ind w:left="107"/>
              <w:jc w:val="left"/>
              <w:rPr>
                <w:sz w:val="21"/>
              </w:rPr>
            </w:pPr>
            <w:r>
              <w:rPr>
                <w:w w:val="99"/>
                <w:sz w:val="21"/>
              </w:rPr>
              <w:t>气</w:t>
            </w:r>
          </w:p>
        </w:tc>
        <w:tc>
          <w:tcPr>
            <w:tcW w:w="881" w:type="dxa"/>
            <w:tcBorders>
              <w:top w:val="single" w:color="000000" w:sz="4" w:space="0"/>
              <w:left w:val="single" w:color="000000" w:sz="4" w:space="0"/>
              <w:bottom w:val="single" w:color="000000" w:sz="4" w:space="0"/>
              <w:right w:val="single" w:color="000000" w:sz="4" w:space="0"/>
            </w:tcBorders>
          </w:tcPr>
          <w:p>
            <w:pPr>
              <w:pStyle w:val="19"/>
              <w:spacing w:before="1"/>
              <w:ind w:left="109" w:right="91"/>
              <w:rPr>
                <w:sz w:val="21"/>
              </w:rPr>
            </w:pPr>
            <w:r>
              <w:rPr>
                <w:sz w:val="21"/>
              </w:rPr>
              <w:t>六道坝</w:t>
            </w:r>
          </w:p>
        </w:tc>
        <w:tc>
          <w:tcPr>
            <w:tcW w:w="1060" w:type="dxa"/>
            <w:tcBorders>
              <w:top w:val="single" w:color="000000" w:sz="4" w:space="0"/>
              <w:left w:val="single" w:color="000000" w:sz="4" w:space="0"/>
              <w:bottom w:val="single" w:color="000000" w:sz="4" w:space="0"/>
              <w:right w:val="single" w:color="000000" w:sz="4" w:space="0"/>
            </w:tcBorders>
          </w:tcPr>
          <w:p>
            <w:pPr>
              <w:pStyle w:val="19"/>
              <w:spacing w:before="1"/>
              <w:ind w:right="57"/>
              <w:rPr>
                <w:sz w:val="21"/>
              </w:rPr>
            </w:pPr>
            <w:r>
              <w:rPr>
                <w:rFonts w:ascii="Times New Roman" w:hAnsi="Times New Roman"/>
                <w:spacing w:val="-23"/>
                <w:sz w:val="21"/>
              </w:rPr>
              <w:t>131</w:t>
            </w:r>
            <w:r>
              <w:rPr>
                <w:spacing w:val="-23"/>
                <w:sz w:val="21"/>
              </w:rPr>
              <w:t>°</w:t>
            </w:r>
            <w:r>
              <w:rPr>
                <w:rFonts w:ascii="Times New Roman" w:hAnsi="Times New Roman"/>
                <w:spacing w:val="-23"/>
                <w:sz w:val="21"/>
              </w:rPr>
              <w:t>6</w:t>
            </w:r>
            <w:r>
              <w:rPr>
                <w:spacing w:val="-23"/>
                <w:sz w:val="21"/>
              </w:rPr>
              <w:t>′</w:t>
            </w:r>
            <w:r>
              <w:rPr>
                <w:rFonts w:ascii="Times New Roman" w:hAnsi="Times New Roman"/>
                <w:spacing w:val="-23"/>
                <w:sz w:val="21"/>
              </w:rPr>
              <w:t>3</w:t>
            </w:r>
            <w:r>
              <w:rPr>
                <w:spacing w:val="-23"/>
                <w:sz w:val="21"/>
              </w:rPr>
              <w:t>″</w:t>
            </w:r>
          </w:p>
        </w:tc>
        <w:tc>
          <w:tcPr>
            <w:tcW w:w="1069" w:type="dxa"/>
            <w:tcBorders>
              <w:top w:val="single" w:color="000000" w:sz="4" w:space="0"/>
              <w:left w:val="single" w:color="000000" w:sz="4" w:space="0"/>
              <w:bottom w:val="single" w:color="000000" w:sz="4" w:space="0"/>
              <w:right w:val="single" w:color="000000" w:sz="4" w:space="0"/>
            </w:tcBorders>
          </w:tcPr>
          <w:p>
            <w:pPr>
              <w:pStyle w:val="19"/>
              <w:spacing w:before="1"/>
              <w:ind w:left="8" w:right="-15"/>
              <w:rPr>
                <w:sz w:val="21"/>
              </w:rPr>
            </w:pPr>
            <w:r>
              <w:rPr>
                <w:rFonts w:ascii="Times New Roman" w:hAnsi="Times New Roman"/>
                <w:spacing w:val="-22"/>
                <w:w w:val="95"/>
                <w:sz w:val="21"/>
              </w:rPr>
              <w:t>46</w:t>
            </w:r>
            <w:r>
              <w:rPr>
                <w:spacing w:val="-22"/>
                <w:w w:val="95"/>
                <w:sz w:val="21"/>
              </w:rPr>
              <w:t>°</w:t>
            </w:r>
            <w:r>
              <w:rPr>
                <w:rFonts w:ascii="Times New Roman" w:hAnsi="Times New Roman"/>
                <w:spacing w:val="-22"/>
                <w:w w:val="95"/>
                <w:sz w:val="21"/>
              </w:rPr>
              <w:t>25</w:t>
            </w:r>
            <w:r>
              <w:rPr>
                <w:spacing w:val="-22"/>
                <w:w w:val="95"/>
                <w:sz w:val="21"/>
              </w:rPr>
              <w:t>′</w:t>
            </w:r>
            <w:r>
              <w:rPr>
                <w:rFonts w:ascii="Times New Roman" w:hAnsi="Times New Roman"/>
                <w:spacing w:val="-22"/>
                <w:w w:val="95"/>
                <w:sz w:val="21"/>
              </w:rPr>
              <w:t>34</w:t>
            </w:r>
            <w:r>
              <w:rPr>
                <w:spacing w:val="-22"/>
                <w:w w:val="95"/>
                <w:sz w:val="21"/>
              </w:rPr>
              <w:t>″</w:t>
            </w:r>
          </w:p>
        </w:tc>
        <w:tc>
          <w:tcPr>
            <w:tcW w:w="951" w:type="dxa"/>
            <w:tcBorders>
              <w:top w:val="single" w:color="000000" w:sz="4" w:space="0"/>
              <w:left w:val="single" w:color="000000" w:sz="4" w:space="0"/>
              <w:bottom w:val="single" w:color="000000" w:sz="4" w:space="0"/>
              <w:right w:val="single" w:color="000000" w:sz="4" w:space="0"/>
            </w:tcBorders>
          </w:tcPr>
          <w:p>
            <w:pPr>
              <w:pStyle w:val="19"/>
              <w:spacing w:before="1"/>
              <w:ind w:right="252"/>
              <w:jc w:val="right"/>
              <w:rPr>
                <w:sz w:val="21"/>
              </w:rPr>
            </w:pPr>
            <w:r>
              <w:rPr>
                <w:w w:val="95"/>
                <w:sz w:val="21"/>
              </w:rPr>
              <w:t>村民</w:t>
            </w:r>
          </w:p>
        </w:tc>
        <w:tc>
          <w:tcPr>
            <w:tcW w:w="954" w:type="dxa"/>
            <w:tcBorders>
              <w:top w:val="single" w:color="000000" w:sz="4" w:space="0"/>
              <w:left w:val="single" w:color="000000" w:sz="4" w:space="0"/>
              <w:bottom w:val="single" w:color="000000" w:sz="4" w:space="0"/>
              <w:right w:val="single" w:color="000000" w:sz="4" w:space="0"/>
            </w:tcBorders>
          </w:tcPr>
          <w:p>
            <w:pPr>
              <w:pStyle w:val="19"/>
              <w:spacing w:before="1"/>
              <w:ind w:left="170" w:right="152"/>
              <w:rPr>
                <w:sz w:val="21"/>
              </w:rPr>
            </w:pPr>
            <w:r>
              <w:rPr>
                <w:rFonts w:ascii="Times New Roman" w:eastAsia="Times New Roman"/>
                <w:sz w:val="21"/>
              </w:rPr>
              <w:t xml:space="preserve">95 </w:t>
            </w:r>
            <w:r>
              <w:rPr>
                <w:sz w:val="21"/>
              </w:rPr>
              <w:t>人</w:t>
            </w:r>
          </w:p>
        </w:tc>
        <w:tc>
          <w:tcPr>
            <w:tcW w:w="1944" w:type="dxa"/>
            <w:vMerge w:val="restart"/>
            <w:tcBorders>
              <w:top w:val="single" w:color="000000" w:sz="4" w:space="0"/>
              <w:left w:val="single" w:color="000000" w:sz="4" w:space="0"/>
              <w:bottom w:val="single" w:color="000000" w:sz="4" w:space="0"/>
              <w:right w:val="single" w:color="000000" w:sz="4" w:space="0"/>
            </w:tcBorders>
          </w:tcPr>
          <w:p>
            <w:pPr>
              <w:pStyle w:val="19"/>
              <w:spacing w:before="164" w:line="290" w:lineRule="auto"/>
              <w:ind w:left="113" w:right="-15" w:firstLine="21"/>
              <w:jc w:val="left"/>
              <w:rPr>
                <w:sz w:val="21"/>
              </w:rPr>
            </w:pPr>
            <w:r>
              <w:rPr>
                <w:sz w:val="21"/>
              </w:rPr>
              <w:t>《环境空气质量标</w:t>
            </w:r>
            <w:r>
              <w:rPr>
                <w:spacing w:val="-104"/>
                <w:w w:val="95"/>
                <w:sz w:val="21"/>
              </w:rPr>
              <w:t>准》</w:t>
            </w:r>
            <w:r>
              <w:rPr>
                <w:w w:val="95"/>
                <w:sz w:val="21"/>
              </w:rPr>
              <w:t>（</w:t>
            </w:r>
            <w:r>
              <w:rPr>
                <w:rFonts w:ascii="Times New Roman" w:eastAsia="Times New Roman"/>
                <w:w w:val="95"/>
                <w:sz w:val="21"/>
              </w:rPr>
              <w:t>GB3095-2012</w:t>
            </w:r>
            <w:r>
              <w:rPr>
                <w:w w:val="95"/>
                <w:sz w:val="21"/>
              </w:rPr>
              <w:t>）</w:t>
            </w:r>
          </w:p>
          <w:p>
            <w:pPr>
              <w:pStyle w:val="19"/>
              <w:spacing w:before="2"/>
              <w:ind w:left="661"/>
              <w:jc w:val="left"/>
              <w:rPr>
                <w:sz w:val="21"/>
              </w:rPr>
            </w:pPr>
            <w:r>
              <w:rPr>
                <w:sz w:val="21"/>
              </w:rPr>
              <w:t>二类区</w:t>
            </w:r>
          </w:p>
        </w:tc>
        <w:tc>
          <w:tcPr>
            <w:tcW w:w="997" w:type="dxa"/>
            <w:tcBorders>
              <w:top w:val="single" w:color="000000" w:sz="4" w:space="0"/>
              <w:left w:val="single" w:color="000000" w:sz="4" w:space="0"/>
              <w:bottom w:val="single" w:color="000000" w:sz="4" w:space="0"/>
              <w:right w:val="single" w:color="000000" w:sz="4" w:space="0"/>
            </w:tcBorders>
          </w:tcPr>
          <w:p>
            <w:pPr>
              <w:pStyle w:val="19"/>
              <w:spacing w:before="17"/>
              <w:ind w:left="306" w:right="291"/>
              <w:rPr>
                <w:rFonts w:ascii="Times New Roman"/>
                <w:sz w:val="21"/>
              </w:rPr>
            </w:pPr>
            <w:r>
              <w:rPr>
                <w:rFonts w:ascii="Times New Roman"/>
                <w:sz w:val="21"/>
              </w:rPr>
              <w:t>WN</w:t>
            </w:r>
          </w:p>
        </w:tc>
        <w:tc>
          <w:tcPr>
            <w:tcW w:w="997" w:type="dxa"/>
            <w:tcBorders>
              <w:top w:val="single" w:color="000000" w:sz="4" w:space="0"/>
              <w:left w:val="single" w:color="000000" w:sz="4" w:space="0"/>
              <w:bottom w:val="single" w:color="000000" w:sz="4" w:space="0"/>
            </w:tcBorders>
          </w:tcPr>
          <w:p>
            <w:pPr>
              <w:pStyle w:val="19"/>
              <w:spacing w:before="17"/>
              <w:ind w:left="219" w:right="195"/>
              <w:rPr>
                <w:rFonts w:ascii="Times New Roman"/>
                <w:sz w:val="21"/>
              </w:rPr>
            </w:pPr>
            <w:r>
              <w:rPr>
                <w:rFonts w:ascii="Times New Roman"/>
                <w:sz w:val="21"/>
              </w:rPr>
              <w:t>240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426" w:type="dxa"/>
            <w:vMerge w:val="continue"/>
            <w:tcBorders>
              <w:top w:val="nil"/>
              <w:bottom w:val="single" w:color="000000" w:sz="4" w:space="0"/>
              <w:right w:val="single" w:color="000000" w:sz="4" w:space="0"/>
            </w:tcBorders>
          </w:tcPr>
          <w:p>
            <w:pPr>
              <w:rPr>
                <w:sz w:val="2"/>
                <w:szCs w:val="2"/>
              </w:rPr>
            </w:pPr>
          </w:p>
        </w:tc>
        <w:tc>
          <w:tcPr>
            <w:tcW w:w="881" w:type="dxa"/>
            <w:tcBorders>
              <w:top w:val="single" w:color="000000" w:sz="4" w:space="0"/>
              <w:left w:val="single" w:color="000000" w:sz="4" w:space="0"/>
              <w:bottom w:val="single" w:color="000000" w:sz="4" w:space="0"/>
              <w:right w:val="single" w:color="000000" w:sz="4" w:space="0"/>
            </w:tcBorders>
          </w:tcPr>
          <w:p>
            <w:pPr>
              <w:pStyle w:val="19"/>
              <w:ind w:left="109" w:right="91"/>
              <w:rPr>
                <w:sz w:val="21"/>
              </w:rPr>
            </w:pPr>
            <w:r>
              <w:rPr>
                <w:sz w:val="21"/>
              </w:rPr>
              <w:t>七道坝</w:t>
            </w:r>
          </w:p>
        </w:tc>
        <w:tc>
          <w:tcPr>
            <w:tcW w:w="1060" w:type="dxa"/>
            <w:tcBorders>
              <w:top w:val="single" w:color="000000" w:sz="4" w:space="0"/>
              <w:left w:val="single" w:color="000000" w:sz="4" w:space="0"/>
              <w:bottom w:val="single" w:color="000000" w:sz="4" w:space="0"/>
              <w:right w:val="single" w:color="000000" w:sz="4" w:space="0"/>
            </w:tcBorders>
          </w:tcPr>
          <w:p>
            <w:pPr>
              <w:pStyle w:val="19"/>
              <w:ind w:right="57"/>
              <w:rPr>
                <w:sz w:val="21"/>
              </w:rPr>
            </w:pPr>
            <w:r>
              <w:rPr>
                <w:rFonts w:ascii="Times New Roman" w:hAnsi="Times New Roman"/>
                <w:spacing w:val="-23"/>
                <w:sz w:val="21"/>
              </w:rPr>
              <w:t>131</w:t>
            </w:r>
            <w:r>
              <w:rPr>
                <w:spacing w:val="-23"/>
                <w:sz w:val="21"/>
              </w:rPr>
              <w:t>°</w:t>
            </w:r>
            <w:r>
              <w:rPr>
                <w:rFonts w:ascii="Times New Roman" w:hAnsi="Times New Roman"/>
                <w:spacing w:val="-23"/>
                <w:sz w:val="21"/>
              </w:rPr>
              <w:t>7</w:t>
            </w:r>
            <w:r>
              <w:rPr>
                <w:spacing w:val="-23"/>
                <w:sz w:val="21"/>
              </w:rPr>
              <w:t>′</w:t>
            </w:r>
            <w:r>
              <w:rPr>
                <w:rFonts w:ascii="Times New Roman" w:hAnsi="Times New Roman"/>
                <w:spacing w:val="-23"/>
                <w:sz w:val="21"/>
              </w:rPr>
              <w:t>8</w:t>
            </w:r>
            <w:r>
              <w:rPr>
                <w:spacing w:val="-23"/>
                <w:sz w:val="21"/>
              </w:rPr>
              <w:t>″</w:t>
            </w:r>
          </w:p>
        </w:tc>
        <w:tc>
          <w:tcPr>
            <w:tcW w:w="1069" w:type="dxa"/>
            <w:tcBorders>
              <w:top w:val="single" w:color="000000" w:sz="4" w:space="0"/>
              <w:left w:val="single" w:color="000000" w:sz="4" w:space="0"/>
              <w:bottom w:val="single" w:color="000000" w:sz="4" w:space="0"/>
              <w:right w:val="single" w:color="000000" w:sz="4" w:space="0"/>
            </w:tcBorders>
          </w:tcPr>
          <w:p>
            <w:pPr>
              <w:pStyle w:val="19"/>
              <w:ind w:left="8" w:right="-15"/>
              <w:rPr>
                <w:sz w:val="21"/>
              </w:rPr>
            </w:pPr>
            <w:r>
              <w:rPr>
                <w:rFonts w:ascii="Times New Roman" w:hAnsi="Times New Roman"/>
                <w:spacing w:val="-22"/>
                <w:w w:val="95"/>
                <w:sz w:val="21"/>
              </w:rPr>
              <w:t>46</w:t>
            </w:r>
            <w:r>
              <w:rPr>
                <w:spacing w:val="-22"/>
                <w:w w:val="95"/>
                <w:sz w:val="21"/>
              </w:rPr>
              <w:t>°</w:t>
            </w:r>
            <w:r>
              <w:rPr>
                <w:rFonts w:ascii="Times New Roman" w:hAnsi="Times New Roman"/>
                <w:spacing w:val="-22"/>
                <w:w w:val="95"/>
                <w:sz w:val="21"/>
              </w:rPr>
              <w:t>25</w:t>
            </w:r>
            <w:r>
              <w:rPr>
                <w:spacing w:val="-22"/>
                <w:w w:val="95"/>
                <w:sz w:val="21"/>
              </w:rPr>
              <w:t>′</w:t>
            </w:r>
            <w:r>
              <w:rPr>
                <w:rFonts w:ascii="Times New Roman" w:hAnsi="Times New Roman"/>
                <w:spacing w:val="-22"/>
                <w:w w:val="95"/>
                <w:sz w:val="21"/>
              </w:rPr>
              <w:t>10</w:t>
            </w:r>
            <w:r>
              <w:rPr>
                <w:spacing w:val="-22"/>
                <w:w w:val="95"/>
                <w:sz w:val="21"/>
              </w:rPr>
              <w:t>″</w:t>
            </w:r>
          </w:p>
        </w:tc>
        <w:tc>
          <w:tcPr>
            <w:tcW w:w="951" w:type="dxa"/>
            <w:tcBorders>
              <w:top w:val="single" w:color="000000" w:sz="4" w:space="0"/>
              <w:left w:val="single" w:color="000000" w:sz="4" w:space="0"/>
              <w:bottom w:val="single" w:color="000000" w:sz="4" w:space="0"/>
              <w:right w:val="single" w:color="000000" w:sz="4" w:space="0"/>
            </w:tcBorders>
          </w:tcPr>
          <w:p>
            <w:pPr>
              <w:pStyle w:val="19"/>
              <w:ind w:right="252"/>
              <w:jc w:val="right"/>
              <w:rPr>
                <w:sz w:val="21"/>
              </w:rPr>
            </w:pPr>
            <w:r>
              <w:rPr>
                <w:w w:val="95"/>
                <w:sz w:val="21"/>
              </w:rPr>
              <w:t>村民</w:t>
            </w:r>
          </w:p>
        </w:tc>
        <w:tc>
          <w:tcPr>
            <w:tcW w:w="954" w:type="dxa"/>
            <w:tcBorders>
              <w:top w:val="single" w:color="000000" w:sz="4" w:space="0"/>
              <w:left w:val="single" w:color="000000" w:sz="4" w:space="0"/>
              <w:bottom w:val="single" w:color="000000" w:sz="4" w:space="0"/>
              <w:right w:val="single" w:color="000000" w:sz="4" w:space="0"/>
            </w:tcBorders>
          </w:tcPr>
          <w:p>
            <w:pPr>
              <w:pStyle w:val="19"/>
              <w:ind w:left="170" w:right="155"/>
              <w:rPr>
                <w:sz w:val="21"/>
              </w:rPr>
            </w:pPr>
            <w:r>
              <w:rPr>
                <w:rFonts w:ascii="Times New Roman" w:eastAsia="Times New Roman"/>
                <w:sz w:val="21"/>
              </w:rPr>
              <w:t xml:space="preserve">500 </w:t>
            </w:r>
            <w:r>
              <w:rPr>
                <w:sz w:val="21"/>
              </w:rPr>
              <w:t>人</w:t>
            </w:r>
          </w:p>
        </w:tc>
        <w:tc>
          <w:tcPr>
            <w:tcW w:w="1944" w:type="dxa"/>
            <w:vMerge w:val="continue"/>
            <w:tcBorders>
              <w:top w:val="nil"/>
              <w:left w:val="single" w:color="000000" w:sz="4" w:space="0"/>
              <w:bottom w:val="single" w:color="000000" w:sz="4" w:space="0"/>
              <w:right w:val="single" w:color="000000" w:sz="4" w:space="0"/>
            </w:tcBorders>
          </w:tcPr>
          <w:p>
            <w:pPr>
              <w:rPr>
                <w:sz w:val="2"/>
                <w:szCs w:val="2"/>
              </w:rPr>
            </w:pPr>
          </w:p>
        </w:tc>
        <w:tc>
          <w:tcPr>
            <w:tcW w:w="997" w:type="dxa"/>
            <w:tcBorders>
              <w:top w:val="single" w:color="000000" w:sz="4" w:space="0"/>
              <w:left w:val="single" w:color="000000" w:sz="4" w:space="0"/>
              <w:bottom w:val="single" w:color="000000" w:sz="4" w:space="0"/>
              <w:right w:val="single" w:color="000000" w:sz="4" w:space="0"/>
            </w:tcBorders>
          </w:tcPr>
          <w:p>
            <w:pPr>
              <w:pStyle w:val="19"/>
              <w:spacing w:before="16"/>
              <w:ind w:left="306" w:right="289"/>
              <w:rPr>
                <w:rFonts w:ascii="Times New Roman"/>
                <w:sz w:val="21"/>
              </w:rPr>
            </w:pPr>
            <w:r>
              <w:rPr>
                <w:rFonts w:ascii="Times New Roman"/>
                <w:sz w:val="21"/>
              </w:rPr>
              <w:t>EN</w:t>
            </w:r>
          </w:p>
        </w:tc>
        <w:tc>
          <w:tcPr>
            <w:tcW w:w="997" w:type="dxa"/>
            <w:tcBorders>
              <w:top w:val="single" w:color="000000" w:sz="4" w:space="0"/>
              <w:left w:val="single" w:color="000000" w:sz="4" w:space="0"/>
              <w:bottom w:val="single" w:color="000000" w:sz="4" w:space="0"/>
            </w:tcBorders>
          </w:tcPr>
          <w:p>
            <w:pPr>
              <w:pStyle w:val="19"/>
              <w:spacing w:before="16"/>
              <w:ind w:left="219" w:right="195"/>
              <w:rPr>
                <w:rFonts w:ascii="Times New Roman"/>
                <w:sz w:val="21"/>
              </w:rPr>
            </w:pPr>
            <w:r>
              <w:rPr>
                <w:rFonts w:ascii="Times New Roman"/>
                <w:sz w:val="21"/>
              </w:rPr>
              <w:t>140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2" w:hRule="atLeast"/>
        </w:trPr>
        <w:tc>
          <w:tcPr>
            <w:tcW w:w="426" w:type="dxa"/>
            <w:vMerge w:val="continue"/>
            <w:tcBorders>
              <w:top w:val="nil"/>
              <w:bottom w:val="single" w:color="000000" w:sz="4" w:space="0"/>
              <w:right w:val="single" w:color="000000" w:sz="4" w:space="0"/>
            </w:tcBorders>
          </w:tcPr>
          <w:p>
            <w:pPr>
              <w:rPr>
                <w:sz w:val="2"/>
                <w:szCs w:val="2"/>
              </w:rPr>
            </w:pPr>
          </w:p>
        </w:tc>
        <w:tc>
          <w:tcPr>
            <w:tcW w:w="881" w:type="dxa"/>
            <w:tcBorders>
              <w:top w:val="single" w:color="000000" w:sz="4" w:space="0"/>
              <w:left w:val="single" w:color="000000" w:sz="4" w:space="0"/>
              <w:bottom w:val="single" w:color="000000" w:sz="4" w:space="0"/>
              <w:right w:val="single" w:color="000000" w:sz="4" w:space="0"/>
            </w:tcBorders>
          </w:tcPr>
          <w:p>
            <w:pPr>
              <w:pStyle w:val="19"/>
              <w:spacing w:before="153"/>
              <w:ind w:left="109" w:right="91"/>
              <w:rPr>
                <w:sz w:val="21"/>
              </w:rPr>
            </w:pPr>
            <w:r>
              <w:rPr>
                <w:sz w:val="21"/>
              </w:rPr>
              <w:t>八道坝</w:t>
            </w:r>
          </w:p>
        </w:tc>
        <w:tc>
          <w:tcPr>
            <w:tcW w:w="1060" w:type="dxa"/>
            <w:tcBorders>
              <w:top w:val="single" w:color="000000" w:sz="4" w:space="0"/>
              <w:left w:val="single" w:color="000000" w:sz="4" w:space="0"/>
              <w:bottom w:val="single" w:color="000000" w:sz="4" w:space="0"/>
              <w:right w:val="single" w:color="000000" w:sz="4" w:space="0"/>
            </w:tcBorders>
          </w:tcPr>
          <w:p>
            <w:pPr>
              <w:pStyle w:val="19"/>
              <w:spacing w:before="153"/>
              <w:ind w:right="57"/>
              <w:rPr>
                <w:sz w:val="21"/>
              </w:rPr>
            </w:pPr>
            <w:r>
              <w:rPr>
                <w:rFonts w:ascii="Times New Roman" w:hAnsi="Times New Roman"/>
                <w:spacing w:val="-23"/>
                <w:sz w:val="21"/>
              </w:rPr>
              <w:t>131</w:t>
            </w:r>
            <w:r>
              <w:rPr>
                <w:spacing w:val="-23"/>
                <w:sz w:val="21"/>
              </w:rPr>
              <w:t>°</w:t>
            </w:r>
            <w:r>
              <w:rPr>
                <w:rFonts w:ascii="Times New Roman" w:hAnsi="Times New Roman"/>
                <w:spacing w:val="-23"/>
                <w:sz w:val="21"/>
              </w:rPr>
              <w:t>9</w:t>
            </w:r>
            <w:r>
              <w:rPr>
                <w:spacing w:val="-23"/>
                <w:sz w:val="21"/>
              </w:rPr>
              <w:t>′</w:t>
            </w:r>
            <w:r>
              <w:rPr>
                <w:rFonts w:ascii="Times New Roman" w:hAnsi="Times New Roman"/>
                <w:spacing w:val="-23"/>
                <w:sz w:val="21"/>
              </w:rPr>
              <w:t>9</w:t>
            </w:r>
            <w:r>
              <w:rPr>
                <w:spacing w:val="-23"/>
                <w:sz w:val="21"/>
              </w:rPr>
              <w:t>″</w:t>
            </w:r>
          </w:p>
        </w:tc>
        <w:tc>
          <w:tcPr>
            <w:tcW w:w="1069" w:type="dxa"/>
            <w:tcBorders>
              <w:top w:val="single" w:color="000000" w:sz="4" w:space="0"/>
              <w:left w:val="single" w:color="000000" w:sz="4" w:space="0"/>
              <w:bottom w:val="single" w:color="000000" w:sz="4" w:space="0"/>
              <w:right w:val="single" w:color="000000" w:sz="4" w:space="0"/>
            </w:tcBorders>
          </w:tcPr>
          <w:p>
            <w:pPr>
              <w:pStyle w:val="19"/>
              <w:spacing w:before="153"/>
              <w:ind w:left="8" w:right="-15"/>
              <w:rPr>
                <w:sz w:val="21"/>
              </w:rPr>
            </w:pPr>
            <w:r>
              <w:rPr>
                <w:rFonts w:ascii="Times New Roman" w:hAnsi="Times New Roman"/>
                <w:spacing w:val="-22"/>
                <w:w w:val="95"/>
                <w:sz w:val="21"/>
              </w:rPr>
              <w:t>46</w:t>
            </w:r>
            <w:r>
              <w:rPr>
                <w:spacing w:val="-22"/>
                <w:w w:val="95"/>
                <w:sz w:val="21"/>
              </w:rPr>
              <w:t>°</w:t>
            </w:r>
            <w:r>
              <w:rPr>
                <w:rFonts w:ascii="Times New Roman" w:hAnsi="Times New Roman"/>
                <w:spacing w:val="-22"/>
                <w:w w:val="95"/>
                <w:sz w:val="21"/>
              </w:rPr>
              <w:t>24</w:t>
            </w:r>
            <w:r>
              <w:rPr>
                <w:spacing w:val="-22"/>
                <w:w w:val="95"/>
                <w:sz w:val="21"/>
              </w:rPr>
              <w:t>′</w:t>
            </w:r>
            <w:r>
              <w:rPr>
                <w:rFonts w:ascii="Times New Roman" w:hAnsi="Times New Roman"/>
                <w:spacing w:val="-22"/>
                <w:w w:val="95"/>
                <w:sz w:val="21"/>
              </w:rPr>
              <w:t>51</w:t>
            </w:r>
            <w:r>
              <w:rPr>
                <w:spacing w:val="-22"/>
                <w:w w:val="95"/>
                <w:sz w:val="21"/>
              </w:rPr>
              <w:t>″</w:t>
            </w:r>
          </w:p>
        </w:tc>
        <w:tc>
          <w:tcPr>
            <w:tcW w:w="951" w:type="dxa"/>
            <w:tcBorders>
              <w:top w:val="single" w:color="000000" w:sz="4" w:space="0"/>
              <w:left w:val="single" w:color="000000" w:sz="4" w:space="0"/>
              <w:bottom w:val="single" w:color="000000" w:sz="4" w:space="0"/>
              <w:right w:val="single" w:color="000000" w:sz="4" w:space="0"/>
            </w:tcBorders>
          </w:tcPr>
          <w:p>
            <w:pPr>
              <w:pStyle w:val="19"/>
              <w:spacing w:before="153"/>
              <w:ind w:right="252"/>
              <w:jc w:val="right"/>
              <w:rPr>
                <w:sz w:val="21"/>
              </w:rPr>
            </w:pPr>
            <w:r>
              <w:rPr>
                <w:w w:val="95"/>
                <w:sz w:val="21"/>
              </w:rPr>
              <w:t>村民</w:t>
            </w:r>
          </w:p>
        </w:tc>
        <w:tc>
          <w:tcPr>
            <w:tcW w:w="954" w:type="dxa"/>
            <w:tcBorders>
              <w:top w:val="single" w:color="000000" w:sz="4" w:space="0"/>
              <w:left w:val="single" w:color="000000" w:sz="4" w:space="0"/>
              <w:bottom w:val="single" w:color="000000" w:sz="4" w:space="0"/>
              <w:right w:val="single" w:color="000000" w:sz="4" w:space="0"/>
            </w:tcBorders>
          </w:tcPr>
          <w:p>
            <w:pPr>
              <w:pStyle w:val="19"/>
              <w:spacing w:before="153"/>
              <w:ind w:left="170" w:right="155"/>
              <w:rPr>
                <w:sz w:val="21"/>
              </w:rPr>
            </w:pPr>
            <w:r>
              <w:rPr>
                <w:rFonts w:ascii="Times New Roman" w:eastAsia="Times New Roman"/>
                <w:sz w:val="21"/>
              </w:rPr>
              <w:t xml:space="preserve">200 </w:t>
            </w:r>
            <w:r>
              <w:rPr>
                <w:sz w:val="21"/>
              </w:rPr>
              <w:t>人</w:t>
            </w:r>
          </w:p>
        </w:tc>
        <w:tc>
          <w:tcPr>
            <w:tcW w:w="1944" w:type="dxa"/>
            <w:vMerge w:val="continue"/>
            <w:tcBorders>
              <w:top w:val="nil"/>
              <w:left w:val="single" w:color="000000" w:sz="4" w:space="0"/>
              <w:bottom w:val="single" w:color="000000" w:sz="4" w:space="0"/>
              <w:right w:val="single" w:color="000000" w:sz="4" w:space="0"/>
            </w:tcBorders>
          </w:tcPr>
          <w:p>
            <w:pPr>
              <w:rPr>
                <w:sz w:val="2"/>
                <w:szCs w:val="2"/>
              </w:rPr>
            </w:pPr>
          </w:p>
        </w:tc>
        <w:tc>
          <w:tcPr>
            <w:tcW w:w="997" w:type="dxa"/>
            <w:tcBorders>
              <w:top w:val="single" w:color="000000" w:sz="4" w:space="0"/>
              <w:left w:val="single" w:color="000000" w:sz="4" w:space="0"/>
              <w:bottom w:val="single" w:color="000000" w:sz="4" w:space="0"/>
              <w:right w:val="single" w:color="000000" w:sz="4" w:space="0"/>
            </w:tcBorders>
          </w:tcPr>
          <w:p>
            <w:pPr>
              <w:pStyle w:val="19"/>
              <w:spacing w:before="169"/>
              <w:ind w:left="306" w:right="289"/>
              <w:rPr>
                <w:rFonts w:ascii="Times New Roman"/>
                <w:sz w:val="21"/>
              </w:rPr>
            </w:pPr>
            <w:r>
              <w:rPr>
                <w:rFonts w:ascii="Times New Roman"/>
                <w:sz w:val="21"/>
              </w:rPr>
              <w:t>EN</w:t>
            </w:r>
          </w:p>
        </w:tc>
        <w:tc>
          <w:tcPr>
            <w:tcW w:w="997" w:type="dxa"/>
            <w:tcBorders>
              <w:top w:val="single" w:color="000000" w:sz="4" w:space="0"/>
              <w:left w:val="single" w:color="000000" w:sz="4" w:space="0"/>
              <w:bottom w:val="single" w:color="000000" w:sz="4" w:space="0"/>
            </w:tcBorders>
          </w:tcPr>
          <w:p>
            <w:pPr>
              <w:pStyle w:val="19"/>
              <w:spacing w:before="169"/>
              <w:ind w:left="219" w:right="195"/>
              <w:rPr>
                <w:rFonts w:ascii="Times New Roman"/>
                <w:sz w:val="21"/>
              </w:rPr>
            </w:pPr>
            <w:r>
              <w:rPr>
                <w:rFonts w:ascii="Times New Roman"/>
                <w:sz w:val="21"/>
              </w:rPr>
              <w:t>2380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426" w:type="dxa"/>
            <w:tcBorders>
              <w:top w:val="single" w:color="000000" w:sz="4" w:space="0"/>
              <w:right w:val="single" w:color="000000" w:sz="4" w:space="0"/>
            </w:tcBorders>
          </w:tcPr>
          <w:p>
            <w:pPr>
              <w:pStyle w:val="19"/>
              <w:spacing w:before="2" w:line="288" w:lineRule="auto"/>
              <w:ind w:left="107" w:right="92"/>
              <w:jc w:val="left"/>
              <w:rPr>
                <w:sz w:val="21"/>
              </w:rPr>
            </w:pPr>
            <w:r>
              <w:rPr>
                <w:sz w:val="21"/>
              </w:rPr>
              <w:t>土壤</w:t>
            </w:r>
          </w:p>
          <w:p>
            <w:pPr>
              <w:pStyle w:val="19"/>
              <w:spacing w:before="7"/>
              <w:ind w:left="107"/>
              <w:jc w:val="left"/>
              <w:rPr>
                <w:sz w:val="21"/>
              </w:rPr>
            </w:pPr>
            <w:r>
              <w:rPr>
                <w:w w:val="99"/>
                <w:sz w:val="21"/>
              </w:rPr>
              <w:t>环</w:t>
            </w:r>
          </w:p>
        </w:tc>
        <w:tc>
          <w:tcPr>
            <w:tcW w:w="881" w:type="dxa"/>
            <w:tcBorders>
              <w:top w:val="single" w:color="000000" w:sz="4" w:space="0"/>
              <w:left w:val="single" w:color="000000" w:sz="4" w:space="0"/>
              <w:right w:val="single" w:color="000000" w:sz="4" w:space="0"/>
            </w:tcBorders>
          </w:tcPr>
          <w:p>
            <w:pPr>
              <w:pStyle w:val="19"/>
              <w:spacing w:before="5"/>
              <w:jc w:val="left"/>
              <w:rPr>
                <w:b/>
                <w:sz w:val="25"/>
              </w:rPr>
            </w:pPr>
          </w:p>
          <w:p>
            <w:pPr>
              <w:pStyle w:val="19"/>
              <w:ind w:left="104" w:right="91"/>
              <w:rPr>
                <w:sz w:val="21"/>
              </w:rPr>
            </w:pPr>
            <w:r>
              <w:rPr>
                <w:sz w:val="21"/>
              </w:rPr>
              <w:t>土壤</w:t>
            </w:r>
          </w:p>
        </w:tc>
        <w:tc>
          <w:tcPr>
            <w:tcW w:w="2129" w:type="dxa"/>
            <w:gridSpan w:val="2"/>
            <w:tcBorders>
              <w:top w:val="single" w:color="000000" w:sz="4" w:space="0"/>
              <w:left w:val="single" w:color="000000" w:sz="4" w:space="0"/>
              <w:right w:val="single" w:color="000000" w:sz="4" w:space="0"/>
            </w:tcBorders>
          </w:tcPr>
          <w:p>
            <w:pPr>
              <w:pStyle w:val="19"/>
              <w:spacing w:before="11"/>
              <w:jc w:val="left"/>
              <w:rPr>
                <w:b/>
                <w:sz w:val="26"/>
              </w:rPr>
            </w:pPr>
          </w:p>
          <w:p>
            <w:pPr>
              <w:pStyle w:val="19"/>
              <w:ind w:left="18"/>
              <w:rPr>
                <w:rFonts w:ascii="Times New Roman"/>
                <w:sz w:val="21"/>
              </w:rPr>
            </w:pPr>
            <w:r>
              <w:rPr>
                <w:rFonts w:ascii="Times New Roman"/>
                <w:w w:val="99"/>
                <w:sz w:val="21"/>
              </w:rPr>
              <w:t>/</w:t>
            </w:r>
          </w:p>
        </w:tc>
        <w:tc>
          <w:tcPr>
            <w:tcW w:w="951" w:type="dxa"/>
            <w:tcBorders>
              <w:top w:val="single" w:color="000000" w:sz="4" w:space="0"/>
              <w:left w:val="single" w:color="000000" w:sz="4" w:space="0"/>
              <w:right w:val="single" w:color="000000" w:sz="4" w:space="0"/>
            </w:tcBorders>
          </w:tcPr>
          <w:p>
            <w:pPr>
              <w:pStyle w:val="19"/>
              <w:spacing w:before="5"/>
              <w:jc w:val="left"/>
              <w:rPr>
                <w:b/>
                <w:sz w:val="25"/>
              </w:rPr>
            </w:pPr>
          </w:p>
          <w:p>
            <w:pPr>
              <w:pStyle w:val="19"/>
              <w:ind w:right="252"/>
              <w:jc w:val="right"/>
              <w:rPr>
                <w:sz w:val="21"/>
              </w:rPr>
            </w:pPr>
            <w:r>
              <w:rPr>
                <w:w w:val="95"/>
                <w:sz w:val="21"/>
              </w:rPr>
              <w:t>土壤</w:t>
            </w:r>
          </w:p>
        </w:tc>
        <w:tc>
          <w:tcPr>
            <w:tcW w:w="954" w:type="dxa"/>
            <w:tcBorders>
              <w:top w:val="single" w:color="000000" w:sz="4" w:space="0"/>
              <w:left w:val="single" w:color="000000" w:sz="4" w:space="0"/>
              <w:right w:val="single" w:color="000000" w:sz="4" w:space="0"/>
            </w:tcBorders>
          </w:tcPr>
          <w:p>
            <w:pPr>
              <w:pStyle w:val="19"/>
              <w:spacing w:before="5"/>
              <w:jc w:val="left"/>
              <w:rPr>
                <w:b/>
                <w:sz w:val="25"/>
              </w:rPr>
            </w:pPr>
          </w:p>
          <w:p>
            <w:pPr>
              <w:pStyle w:val="19"/>
              <w:ind w:left="170" w:right="155"/>
              <w:rPr>
                <w:sz w:val="21"/>
              </w:rPr>
            </w:pPr>
            <w:r>
              <w:rPr>
                <w:sz w:val="21"/>
              </w:rPr>
              <w:t>土壤</w:t>
            </w:r>
          </w:p>
        </w:tc>
        <w:tc>
          <w:tcPr>
            <w:tcW w:w="1944" w:type="dxa"/>
            <w:tcBorders>
              <w:top w:val="single" w:color="000000" w:sz="4" w:space="0"/>
              <w:left w:val="single" w:color="000000" w:sz="4" w:space="0"/>
              <w:right w:val="single" w:color="000000" w:sz="4" w:space="0"/>
            </w:tcBorders>
          </w:tcPr>
          <w:p>
            <w:pPr>
              <w:pStyle w:val="19"/>
              <w:spacing w:before="2" w:line="288" w:lineRule="auto"/>
              <w:ind w:left="135" w:right="118"/>
              <w:rPr>
                <w:sz w:val="21"/>
              </w:rPr>
            </w:pPr>
            <w:r>
              <w:rPr>
                <w:sz w:val="21"/>
              </w:rPr>
              <w:t>《土壤环境质量建设用地土壤污染风</w:t>
            </w:r>
          </w:p>
          <w:p>
            <w:pPr>
              <w:pStyle w:val="19"/>
              <w:spacing w:before="7"/>
              <w:ind w:left="134" w:right="118"/>
              <w:rPr>
                <w:sz w:val="21"/>
              </w:rPr>
            </w:pPr>
            <w:r>
              <w:rPr>
                <w:sz w:val="21"/>
              </w:rPr>
              <w:t>险管控标准》</w:t>
            </w:r>
          </w:p>
        </w:tc>
        <w:tc>
          <w:tcPr>
            <w:tcW w:w="1994" w:type="dxa"/>
            <w:gridSpan w:val="2"/>
            <w:tcBorders>
              <w:top w:val="single" w:color="000000" w:sz="4" w:space="0"/>
              <w:left w:val="single" w:color="000000" w:sz="4" w:space="0"/>
            </w:tcBorders>
          </w:tcPr>
          <w:p>
            <w:pPr>
              <w:pStyle w:val="19"/>
              <w:spacing w:before="165" w:line="288" w:lineRule="auto"/>
              <w:ind w:left="896" w:right="137" w:hanging="735"/>
              <w:jc w:val="left"/>
              <w:rPr>
                <w:sz w:val="21"/>
              </w:rPr>
            </w:pPr>
            <w:r>
              <w:rPr>
                <w:sz w:val="21"/>
              </w:rPr>
              <w:t>工业广场范围内土壤</w:t>
            </w:r>
          </w:p>
        </w:tc>
      </w:tr>
    </w:tbl>
    <w:p>
      <w:pPr>
        <w:spacing w:after="0" w:line="288" w:lineRule="auto"/>
        <w:jc w:val="left"/>
        <w:rPr>
          <w:sz w:val="21"/>
        </w:rPr>
        <w:sectPr>
          <w:pgSz w:w="11910" w:h="16840"/>
          <w:pgMar w:top="1340" w:right="1160" w:bottom="1180" w:left="1200" w:header="0" w:footer="993" w:gutter="0"/>
        </w:sectPr>
      </w:pPr>
    </w:p>
    <w:tbl>
      <w:tblPr>
        <w:tblStyle w:val="15"/>
        <w:tblW w:w="0" w:type="auto"/>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6"/>
        <w:gridCol w:w="881"/>
        <w:gridCol w:w="2129"/>
        <w:gridCol w:w="951"/>
        <w:gridCol w:w="954"/>
        <w:gridCol w:w="1944"/>
        <w:gridCol w:w="997"/>
        <w:gridCol w:w="99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0" w:hRule="atLeast"/>
        </w:trPr>
        <w:tc>
          <w:tcPr>
            <w:tcW w:w="426" w:type="dxa"/>
            <w:tcBorders>
              <w:bottom w:val="single" w:color="000000" w:sz="4" w:space="0"/>
              <w:right w:val="single" w:color="000000" w:sz="4" w:space="0"/>
            </w:tcBorders>
          </w:tcPr>
          <w:p>
            <w:pPr>
              <w:pStyle w:val="19"/>
              <w:spacing w:line="259" w:lineRule="exact"/>
              <w:ind w:left="107"/>
              <w:jc w:val="left"/>
              <w:rPr>
                <w:sz w:val="21"/>
              </w:rPr>
            </w:pPr>
            <w:r>
              <w:rPr>
                <w:w w:val="99"/>
                <w:sz w:val="21"/>
              </w:rPr>
              <w:t>境</w:t>
            </w:r>
          </w:p>
        </w:tc>
        <w:tc>
          <w:tcPr>
            <w:tcW w:w="881" w:type="dxa"/>
            <w:tcBorders>
              <w:left w:val="single" w:color="000000" w:sz="4" w:space="0"/>
              <w:bottom w:val="single" w:color="000000" w:sz="4" w:space="0"/>
              <w:right w:val="single" w:color="000000" w:sz="4" w:space="0"/>
            </w:tcBorders>
          </w:tcPr>
          <w:p>
            <w:pPr>
              <w:pStyle w:val="19"/>
              <w:jc w:val="left"/>
              <w:rPr>
                <w:rFonts w:ascii="Times New Roman"/>
                <w:sz w:val="22"/>
              </w:rPr>
            </w:pPr>
          </w:p>
        </w:tc>
        <w:tc>
          <w:tcPr>
            <w:tcW w:w="2129" w:type="dxa"/>
            <w:tcBorders>
              <w:left w:val="single" w:color="000000" w:sz="4" w:space="0"/>
              <w:bottom w:val="single" w:color="000000" w:sz="4" w:space="0"/>
              <w:right w:val="single" w:color="000000" w:sz="4" w:space="0"/>
            </w:tcBorders>
          </w:tcPr>
          <w:p>
            <w:pPr>
              <w:pStyle w:val="19"/>
              <w:jc w:val="left"/>
              <w:rPr>
                <w:rFonts w:ascii="Times New Roman"/>
                <w:sz w:val="22"/>
              </w:rPr>
            </w:pPr>
          </w:p>
        </w:tc>
        <w:tc>
          <w:tcPr>
            <w:tcW w:w="951" w:type="dxa"/>
            <w:tcBorders>
              <w:left w:val="single" w:color="000000" w:sz="4" w:space="0"/>
              <w:bottom w:val="single" w:color="000000" w:sz="4" w:space="0"/>
              <w:right w:val="single" w:color="000000" w:sz="4" w:space="0"/>
            </w:tcBorders>
          </w:tcPr>
          <w:p>
            <w:pPr>
              <w:pStyle w:val="19"/>
              <w:jc w:val="left"/>
              <w:rPr>
                <w:rFonts w:ascii="Times New Roman"/>
                <w:sz w:val="22"/>
              </w:rPr>
            </w:pPr>
          </w:p>
        </w:tc>
        <w:tc>
          <w:tcPr>
            <w:tcW w:w="954" w:type="dxa"/>
            <w:tcBorders>
              <w:left w:val="single" w:color="000000" w:sz="4" w:space="0"/>
              <w:bottom w:val="single" w:color="000000" w:sz="4" w:space="0"/>
              <w:right w:val="single" w:color="000000" w:sz="4" w:space="0"/>
            </w:tcBorders>
          </w:tcPr>
          <w:p>
            <w:pPr>
              <w:pStyle w:val="19"/>
              <w:jc w:val="left"/>
              <w:rPr>
                <w:rFonts w:ascii="Times New Roman"/>
                <w:sz w:val="22"/>
              </w:rPr>
            </w:pPr>
          </w:p>
        </w:tc>
        <w:tc>
          <w:tcPr>
            <w:tcW w:w="1944" w:type="dxa"/>
            <w:tcBorders>
              <w:left w:val="single" w:color="000000" w:sz="4" w:space="0"/>
              <w:bottom w:val="single" w:color="000000" w:sz="4" w:space="0"/>
              <w:right w:val="single" w:color="000000" w:sz="4" w:space="0"/>
            </w:tcBorders>
          </w:tcPr>
          <w:p>
            <w:pPr>
              <w:pStyle w:val="19"/>
              <w:spacing w:line="259" w:lineRule="exact"/>
              <w:ind w:left="93" w:right="74"/>
              <w:rPr>
                <w:sz w:val="21"/>
              </w:rPr>
            </w:pPr>
            <w:r>
              <w:rPr>
                <w:sz w:val="21"/>
              </w:rPr>
              <w:t>（</w:t>
            </w:r>
            <w:r>
              <w:rPr>
                <w:rFonts w:ascii="Times New Roman" w:eastAsia="Times New Roman"/>
                <w:sz w:val="21"/>
              </w:rPr>
              <w:t>GB36600-2018</w:t>
            </w:r>
            <w:r>
              <w:rPr>
                <w:sz w:val="21"/>
              </w:rPr>
              <w:t>）</w:t>
            </w:r>
          </w:p>
        </w:tc>
        <w:tc>
          <w:tcPr>
            <w:tcW w:w="1994" w:type="dxa"/>
            <w:gridSpan w:val="2"/>
            <w:tcBorders>
              <w:left w:val="single" w:color="000000" w:sz="4" w:space="0"/>
              <w:bottom w:val="single" w:color="000000" w:sz="4" w:space="0"/>
            </w:tcBorders>
          </w:tcPr>
          <w:p>
            <w:pPr>
              <w:pStyle w:val="19"/>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426" w:type="dxa"/>
            <w:tcBorders>
              <w:top w:val="single" w:color="000000" w:sz="4" w:space="0"/>
              <w:bottom w:val="single" w:color="000000" w:sz="4" w:space="0"/>
              <w:right w:val="single" w:color="000000" w:sz="4" w:space="0"/>
            </w:tcBorders>
          </w:tcPr>
          <w:p>
            <w:pPr>
              <w:pStyle w:val="19"/>
              <w:spacing w:before="165" w:line="288" w:lineRule="auto"/>
              <w:ind w:left="107" w:right="92"/>
              <w:jc w:val="left"/>
              <w:rPr>
                <w:sz w:val="21"/>
              </w:rPr>
            </w:pPr>
            <w:r>
              <w:rPr>
                <w:sz w:val="21"/>
              </w:rPr>
              <w:t>噪声</w:t>
            </w:r>
          </w:p>
        </w:tc>
        <w:tc>
          <w:tcPr>
            <w:tcW w:w="881" w:type="dxa"/>
            <w:tcBorders>
              <w:top w:val="single" w:color="000000" w:sz="4" w:space="0"/>
              <w:left w:val="single" w:color="000000" w:sz="4" w:space="0"/>
              <w:bottom w:val="single" w:color="000000" w:sz="4" w:space="0"/>
              <w:right w:val="single" w:color="000000" w:sz="4" w:space="0"/>
            </w:tcBorders>
          </w:tcPr>
          <w:p>
            <w:pPr>
              <w:pStyle w:val="19"/>
              <w:spacing w:before="5"/>
              <w:jc w:val="left"/>
              <w:rPr>
                <w:b/>
                <w:sz w:val="25"/>
              </w:rPr>
            </w:pPr>
          </w:p>
          <w:p>
            <w:pPr>
              <w:pStyle w:val="19"/>
              <w:ind w:left="130"/>
              <w:jc w:val="left"/>
              <w:rPr>
                <w:sz w:val="21"/>
              </w:rPr>
            </w:pPr>
            <w:r>
              <w:rPr>
                <w:sz w:val="21"/>
              </w:rPr>
              <w:t>声环境</w:t>
            </w:r>
          </w:p>
        </w:tc>
        <w:tc>
          <w:tcPr>
            <w:tcW w:w="2129" w:type="dxa"/>
            <w:tcBorders>
              <w:top w:val="single" w:color="000000" w:sz="4" w:space="0"/>
              <w:left w:val="single" w:color="000000" w:sz="4" w:space="0"/>
              <w:bottom w:val="single" w:color="000000" w:sz="4" w:space="0"/>
              <w:right w:val="single" w:color="000000" w:sz="4" w:space="0"/>
            </w:tcBorders>
          </w:tcPr>
          <w:p>
            <w:pPr>
              <w:pStyle w:val="19"/>
              <w:spacing w:before="11"/>
              <w:jc w:val="left"/>
              <w:rPr>
                <w:b/>
                <w:sz w:val="26"/>
              </w:rPr>
            </w:pPr>
          </w:p>
          <w:p>
            <w:pPr>
              <w:pStyle w:val="19"/>
              <w:ind w:left="18"/>
              <w:rPr>
                <w:rFonts w:ascii="Times New Roman"/>
                <w:sz w:val="21"/>
              </w:rPr>
            </w:pPr>
            <w:r>
              <w:rPr>
                <w:rFonts w:ascii="Times New Roman"/>
                <w:w w:val="99"/>
                <w:sz w:val="21"/>
              </w:rPr>
              <w:t>/</w:t>
            </w:r>
          </w:p>
        </w:tc>
        <w:tc>
          <w:tcPr>
            <w:tcW w:w="1905" w:type="dxa"/>
            <w:gridSpan w:val="2"/>
            <w:tcBorders>
              <w:top w:val="single" w:color="000000" w:sz="4" w:space="0"/>
              <w:left w:val="single" w:color="000000" w:sz="4" w:space="0"/>
              <w:bottom w:val="single" w:color="000000" w:sz="4" w:space="0"/>
              <w:right w:val="single" w:color="000000" w:sz="4" w:space="0"/>
            </w:tcBorders>
          </w:tcPr>
          <w:p>
            <w:pPr>
              <w:pStyle w:val="19"/>
              <w:spacing w:before="5"/>
              <w:jc w:val="left"/>
              <w:rPr>
                <w:b/>
                <w:sz w:val="25"/>
              </w:rPr>
            </w:pPr>
          </w:p>
          <w:p>
            <w:pPr>
              <w:pStyle w:val="19"/>
              <w:ind w:left="641"/>
              <w:jc w:val="left"/>
              <w:rPr>
                <w:sz w:val="21"/>
              </w:rPr>
            </w:pPr>
            <w:r>
              <w:rPr>
                <w:sz w:val="21"/>
              </w:rPr>
              <w:t>声环境</w:t>
            </w:r>
          </w:p>
        </w:tc>
        <w:tc>
          <w:tcPr>
            <w:tcW w:w="1944" w:type="dxa"/>
            <w:tcBorders>
              <w:top w:val="single" w:color="000000" w:sz="4" w:space="0"/>
              <w:left w:val="single" w:color="000000" w:sz="4" w:space="0"/>
              <w:bottom w:val="single" w:color="000000" w:sz="4" w:space="0"/>
              <w:right w:val="single" w:color="000000" w:sz="4" w:space="0"/>
            </w:tcBorders>
          </w:tcPr>
          <w:p>
            <w:pPr>
              <w:pStyle w:val="19"/>
              <w:spacing w:before="2" w:line="290" w:lineRule="auto"/>
              <w:ind w:left="113" w:right="-15" w:firstLine="127"/>
              <w:jc w:val="left"/>
              <w:rPr>
                <w:sz w:val="21"/>
              </w:rPr>
            </w:pPr>
            <w:r>
              <w:rPr>
                <w:sz w:val="21"/>
              </w:rPr>
              <w:t xml:space="preserve">《声环境质量标 </w:t>
            </w:r>
            <w:r>
              <w:rPr>
                <w:spacing w:val="-104"/>
                <w:w w:val="95"/>
                <w:sz w:val="21"/>
              </w:rPr>
              <w:t>准》</w:t>
            </w:r>
            <w:r>
              <w:rPr>
                <w:w w:val="95"/>
                <w:sz w:val="21"/>
              </w:rPr>
              <w:t>（</w:t>
            </w:r>
            <w:r>
              <w:rPr>
                <w:rFonts w:ascii="Times New Roman" w:eastAsia="Times New Roman"/>
                <w:w w:val="95"/>
                <w:sz w:val="21"/>
              </w:rPr>
              <w:t>GB3096-2008</w:t>
            </w:r>
            <w:r>
              <w:rPr>
                <w:w w:val="95"/>
                <w:sz w:val="21"/>
              </w:rPr>
              <w:t>）</w:t>
            </w:r>
          </w:p>
          <w:p>
            <w:pPr>
              <w:pStyle w:val="19"/>
              <w:spacing w:before="1"/>
              <w:ind w:left="793"/>
              <w:jc w:val="left"/>
              <w:rPr>
                <w:sz w:val="21"/>
              </w:rPr>
            </w:pPr>
            <w:r>
              <w:rPr>
                <w:rFonts w:ascii="Times New Roman" w:eastAsia="Times New Roman"/>
                <w:sz w:val="21"/>
              </w:rPr>
              <w:t xml:space="preserve">2 </w:t>
            </w:r>
            <w:r>
              <w:rPr>
                <w:sz w:val="21"/>
              </w:rPr>
              <w:t>类</w:t>
            </w:r>
          </w:p>
        </w:tc>
        <w:tc>
          <w:tcPr>
            <w:tcW w:w="1994" w:type="dxa"/>
            <w:gridSpan w:val="2"/>
            <w:tcBorders>
              <w:top w:val="single" w:color="000000" w:sz="4" w:space="0"/>
              <w:left w:val="single" w:color="000000" w:sz="4" w:space="0"/>
              <w:bottom w:val="single" w:color="000000" w:sz="4" w:space="0"/>
            </w:tcBorders>
          </w:tcPr>
          <w:p>
            <w:pPr>
              <w:pStyle w:val="19"/>
              <w:spacing w:before="165"/>
              <w:ind w:left="164" w:right="141"/>
              <w:rPr>
                <w:rFonts w:ascii="Times New Roman" w:eastAsia="Times New Roman"/>
                <w:sz w:val="21"/>
              </w:rPr>
            </w:pPr>
            <w:r>
              <w:rPr>
                <w:sz w:val="21"/>
              </w:rPr>
              <w:t xml:space="preserve">工业场地外 </w:t>
            </w:r>
            <w:r>
              <w:rPr>
                <w:rFonts w:ascii="Times New Roman" w:eastAsia="Times New Roman"/>
                <w:sz w:val="21"/>
              </w:rPr>
              <w:t>200m</w:t>
            </w:r>
          </w:p>
          <w:p>
            <w:pPr>
              <w:pStyle w:val="19"/>
              <w:spacing w:before="55"/>
              <w:ind w:left="163" w:right="141"/>
              <w:rPr>
                <w:sz w:val="21"/>
              </w:rPr>
            </w:pPr>
            <w:r>
              <w:rPr>
                <w:sz w:val="21"/>
              </w:rPr>
              <w:t>范围声环境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5" w:hRule="atLeast"/>
        </w:trPr>
        <w:tc>
          <w:tcPr>
            <w:tcW w:w="426" w:type="dxa"/>
            <w:tcBorders>
              <w:top w:val="single" w:color="000000" w:sz="4" w:space="0"/>
              <w:bottom w:val="single" w:color="000000" w:sz="4" w:space="0"/>
              <w:right w:val="single" w:color="000000" w:sz="4" w:space="0"/>
            </w:tcBorders>
          </w:tcPr>
          <w:p>
            <w:pPr>
              <w:pStyle w:val="19"/>
              <w:spacing w:before="1" w:line="290" w:lineRule="auto"/>
              <w:ind w:left="107" w:right="92"/>
              <w:jc w:val="both"/>
              <w:rPr>
                <w:sz w:val="21"/>
              </w:rPr>
            </w:pPr>
            <w:r>
              <w:rPr>
                <w:sz w:val="21"/>
              </w:rPr>
              <w:t>地下水环</w:t>
            </w:r>
          </w:p>
          <w:p>
            <w:pPr>
              <w:pStyle w:val="19"/>
              <w:spacing w:before="5"/>
              <w:ind w:left="107"/>
              <w:jc w:val="left"/>
              <w:rPr>
                <w:sz w:val="21"/>
              </w:rPr>
            </w:pPr>
            <w:r>
              <w:rPr>
                <w:w w:val="99"/>
                <w:sz w:val="21"/>
              </w:rPr>
              <w:t>境</w:t>
            </w:r>
          </w:p>
        </w:tc>
        <w:tc>
          <w:tcPr>
            <w:tcW w:w="881"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spacing w:before="141"/>
              <w:ind w:left="130"/>
              <w:jc w:val="left"/>
              <w:rPr>
                <w:sz w:val="21"/>
              </w:rPr>
            </w:pPr>
            <w:r>
              <w:rPr>
                <w:sz w:val="21"/>
                <w:shd w:val="clear" w:color="auto" w:fill="FFFF00"/>
              </w:rPr>
              <w:t>地下水</w:t>
            </w:r>
          </w:p>
        </w:tc>
        <w:tc>
          <w:tcPr>
            <w:tcW w:w="2129" w:type="dxa"/>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spacing w:before="6"/>
              <w:jc w:val="left"/>
              <w:rPr>
                <w:b/>
                <w:sz w:val="30"/>
              </w:rPr>
            </w:pPr>
          </w:p>
          <w:p>
            <w:pPr>
              <w:pStyle w:val="19"/>
              <w:ind w:left="18"/>
              <w:rPr>
                <w:rFonts w:ascii="Times New Roman"/>
                <w:sz w:val="21"/>
              </w:rPr>
            </w:pPr>
            <w:r>
              <w:rPr>
                <w:rFonts w:ascii="Times New Roman"/>
                <w:w w:val="99"/>
                <w:sz w:val="21"/>
                <w:shd w:val="clear" w:color="auto" w:fill="FFFF00"/>
              </w:rPr>
              <w:t>/</w:t>
            </w:r>
          </w:p>
        </w:tc>
        <w:tc>
          <w:tcPr>
            <w:tcW w:w="1905" w:type="dxa"/>
            <w:gridSpan w:val="2"/>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spacing w:before="141"/>
              <w:ind w:left="641"/>
              <w:jc w:val="left"/>
              <w:rPr>
                <w:sz w:val="21"/>
              </w:rPr>
            </w:pPr>
            <w:r>
              <w:rPr>
                <w:sz w:val="21"/>
                <w:shd w:val="clear" w:color="auto" w:fill="FFFF00"/>
              </w:rPr>
              <w:t>地下水</w:t>
            </w:r>
          </w:p>
        </w:tc>
        <w:tc>
          <w:tcPr>
            <w:tcW w:w="1944" w:type="dxa"/>
            <w:tcBorders>
              <w:top w:val="single" w:color="000000" w:sz="4" w:space="0"/>
              <w:left w:val="single" w:color="000000" w:sz="4" w:space="0"/>
              <w:bottom w:val="single" w:color="000000" w:sz="4" w:space="0"/>
              <w:right w:val="single" w:color="000000" w:sz="4" w:space="0"/>
            </w:tcBorders>
          </w:tcPr>
          <w:p>
            <w:pPr>
              <w:pStyle w:val="19"/>
              <w:spacing w:before="6"/>
              <w:jc w:val="left"/>
              <w:rPr>
                <w:b/>
                <w:sz w:val="25"/>
              </w:rPr>
            </w:pPr>
          </w:p>
          <w:p>
            <w:pPr>
              <w:pStyle w:val="19"/>
              <w:spacing w:before="1" w:line="290" w:lineRule="auto"/>
              <w:ind w:left="241" w:right="222"/>
              <w:rPr>
                <w:rFonts w:ascii="Times New Roman" w:eastAsia="Times New Roman"/>
                <w:sz w:val="21"/>
              </w:rPr>
            </w:pPr>
            <w:r>
              <w:rPr>
                <w:sz w:val="21"/>
              </w:rPr>
              <w:t>《地下水质量标</w:t>
            </w:r>
            <w:r>
              <w:rPr>
                <w:sz w:val="21"/>
                <w:shd w:val="clear" w:color="auto" w:fill="FFFF00"/>
              </w:rPr>
              <w:t>准》（</w:t>
            </w:r>
            <w:r>
              <w:rPr>
                <w:rFonts w:ascii="Times New Roman" w:eastAsia="Times New Roman"/>
                <w:sz w:val="21"/>
                <w:shd w:val="clear" w:color="auto" w:fill="FFFF00"/>
              </w:rPr>
              <w:t>GB/T</w:t>
            </w:r>
          </w:p>
          <w:p>
            <w:pPr>
              <w:pStyle w:val="19"/>
              <w:spacing w:before="1"/>
              <w:ind w:left="93" w:right="72"/>
              <w:rPr>
                <w:sz w:val="21"/>
              </w:rPr>
            </w:pPr>
            <w:r>
              <w:rPr>
                <w:rFonts w:ascii="Times New Roman" w:eastAsia="Times New Roman"/>
                <w:sz w:val="21"/>
                <w:shd w:val="clear" w:color="auto" w:fill="FFFF00"/>
              </w:rPr>
              <w:t>14848-2017</w:t>
            </w:r>
            <w:r>
              <w:rPr>
                <w:sz w:val="21"/>
                <w:shd w:val="clear" w:color="auto" w:fill="FFFF00"/>
              </w:rPr>
              <w:t>）</w:t>
            </w:r>
            <w:r>
              <w:rPr>
                <w:rFonts w:ascii="Times New Roman" w:eastAsia="Times New Roman"/>
                <w:sz w:val="21"/>
                <w:shd w:val="clear" w:color="auto" w:fill="FFFF00"/>
              </w:rPr>
              <w:t xml:space="preserve">III </w:t>
            </w:r>
            <w:r>
              <w:rPr>
                <w:sz w:val="21"/>
                <w:shd w:val="clear" w:color="auto" w:fill="FFFF00"/>
              </w:rPr>
              <w:t>类</w:t>
            </w:r>
          </w:p>
        </w:tc>
        <w:tc>
          <w:tcPr>
            <w:tcW w:w="1994" w:type="dxa"/>
            <w:gridSpan w:val="2"/>
            <w:tcBorders>
              <w:top w:val="single" w:color="000000" w:sz="4" w:space="0"/>
              <w:left w:val="single" w:color="000000" w:sz="4" w:space="0"/>
              <w:bottom w:val="single" w:color="000000" w:sz="4" w:space="0"/>
            </w:tcBorders>
          </w:tcPr>
          <w:p>
            <w:pPr>
              <w:pStyle w:val="19"/>
              <w:jc w:val="left"/>
              <w:rPr>
                <w:b/>
                <w:sz w:val="20"/>
              </w:rPr>
            </w:pPr>
          </w:p>
          <w:p>
            <w:pPr>
              <w:pStyle w:val="19"/>
              <w:jc w:val="left"/>
              <w:rPr>
                <w:b/>
                <w:sz w:val="20"/>
              </w:rPr>
            </w:pPr>
          </w:p>
          <w:p>
            <w:pPr>
              <w:pStyle w:val="19"/>
              <w:spacing w:before="141"/>
              <w:ind w:left="161"/>
              <w:jc w:val="left"/>
              <w:rPr>
                <w:sz w:val="21"/>
              </w:rPr>
            </w:pPr>
            <w:r>
              <w:rPr>
                <w:sz w:val="21"/>
                <w:shd w:val="clear" w:color="auto" w:fill="FFFF00"/>
              </w:rPr>
              <w:t>矿区范围内地下水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7" w:hRule="atLeast"/>
        </w:trPr>
        <w:tc>
          <w:tcPr>
            <w:tcW w:w="426" w:type="dxa"/>
            <w:vMerge w:val="restart"/>
            <w:tcBorders>
              <w:top w:val="single" w:color="000000" w:sz="4" w:space="0"/>
              <w:bottom w:val="single" w:color="000000" w:sz="4" w:space="0"/>
              <w:right w:val="single" w:color="000000" w:sz="4" w:space="0"/>
            </w:tcBorders>
          </w:tcPr>
          <w:p>
            <w:pPr>
              <w:pStyle w:val="19"/>
              <w:jc w:val="left"/>
              <w:rPr>
                <w:b/>
                <w:sz w:val="20"/>
              </w:rPr>
            </w:pPr>
          </w:p>
          <w:p>
            <w:pPr>
              <w:pStyle w:val="19"/>
              <w:spacing w:before="3"/>
              <w:jc w:val="left"/>
              <w:rPr>
                <w:b/>
                <w:sz w:val="26"/>
              </w:rPr>
            </w:pPr>
          </w:p>
          <w:p>
            <w:pPr>
              <w:pStyle w:val="19"/>
              <w:spacing w:line="292" w:lineRule="auto"/>
              <w:ind w:left="107" w:right="92"/>
              <w:jc w:val="both"/>
              <w:rPr>
                <w:sz w:val="21"/>
              </w:rPr>
            </w:pPr>
            <w:r>
              <w:rPr>
                <w:sz w:val="21"/>
              </w:rPr>
              <w:t>地表水环境</w:t>
            </w:r>
          </w:p>
        </w:tc>
        <w:tc>
          <w:tcPr>
            <w:tcW w:w="881"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2"/>
              <w:jc w:val="left"/>
              <w:rPr>
                <w:b/>
                <w:sz w:val="18"/>
              </w:rPr>
            </w:pPr>
          </w:p>
          <w:p>
            <w:pPr>
              <w:pStyle w:val="19"/>
              <w:ind w:left="130"/>
              <w:jc w:val="left"/>
              <w:rPr>
                <w:sz w:val="21"/>
              </w:rPr>
            </w:pPr>
            <w:r>
              <w:rPr>
                <w:sz w:val="21"/>
              </w:rPr>
              <w:t>安邦河</w:t>
            </w:r>
          </w:p>
        </w:tc>
        <w:tc>
          <w:tcPr>
            <w:tcW w:w="2129" w:type="dxa"/>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spacing w:before="8"/>
              <w:jc w:val="left"/>
              <w:rPr>
                <w:b/>
                <w:sz w:val="17"/>
              </w:rPr>
            </w:pPr>
          </w:p>
          <w:p>
            <w:pPr>
              <w:pStyle w:val="19"/>
              <w:ind w:left="18"/>
              <w:rPr>
                <w:rFonts w:ascii="Times New Roman"/>
                <w:sz w:val="21"/>
              </w:rPr>
            </w:pPr>
            <w:r>
              <w:rPr>
                <w:rFonts w:ascii="Times New Roman"/>
                <w:w w:val="99"/>
                <w:sz w:val="21"/>
              </w:rPr>
              <w:t>/</w:t>
            </w:r>
          </w:p>
        </w:tc>
        <w:tc>
          <w:tcPr>
            <w:tcW w:w="1905" w:type="dxa"/>
            <w:gridSpan w:val="2"/>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2"/>
              <w:jc w:val="left"/>
              <w:rPr>
                <w:b/>
                <w:sz w:val="18"/>
              </w:rPr>
            </w:pPr>
          </w:p>
          <w:p>
            <w:pPr>
              <w:pStyle w:val="19"/>
              <w:ind w:left="432"/>
              <w:jc w:val="left"/>
              <w:rPr>
                <w:sz w:val="21"/>
              </w:rPr>
            </w:pPr>
            <w:r>
              <w:rPr>
                <w:color w:val="FF0000"/>
                <w:sz w:val="21"/>
              </w:rPr>
              <w:t>韩葱沟水库</w:t>
            </w:r>
          </w:p>
        </w:tc>
        <w:tc>
          <w:tcPr>
            <w:tcW w:w="1944" w:type="dxa"/>
            <w:tcBorders>
              <w:top w:val="single" w:color="000000" w:sz="4" w:space="0"/>
              <w:left w:val="single" w:color="000000" w:sz="4" w:space="0"/>
              <w:bottom w:val="single" w:color="000000" w:sz="4" w:space="0"/>
              <w:right w:val="single" w:color="000000" w:sz="4" w:space="0"/>
            </w:tcBorders>
          </w:tcPr>
          <w:p>
            <w:pPr>
              <w:pStyle w:val="19"/>
              <w:spacing w:line="290" w:lineRule="auto"/>
              <w:ind w:left="135" w:right="118"/>
              <w:rPr>
                <w:sz w:val="21"/>
              </w:rPr>
            </w:pPr>
            <w:r>
              <w:rPr>
                <w:sz w:val="21"/>
              </w:rPr>
              <w:t>《地表水环境质量标准》</w:t>
            </w:r>
          </w:p>
          <w:p>
            <w:pPr>
              <w:pStyle w:val="19"/>
              <w:spacing w:before="4"/>
              <w:ind w:left="93" w:right="74"/>
              <w:rPr>
                <w:sz w:val="21"/>
              </w:rPr>
            </w:pPr>
            <w:r>
              <w:rPr>
                <w:spacing w:val="-1"/>
                <w:w w:val="99"/>
                <w:sz w:val="21"/>
              </w:rPr>
              <w:t>（</w:t>
            </w:r>
            <w:r>
              <w:rPr>
                <w:rFonts w:ascii="Times New Roman" w:eastAsia="Times New Roman"/>
                <w:w w:val="99"/>
                <w:sz w:val="21"/>
              </w:rPr>
              <w:t>G</w:t>
            </w:r>
            <w:r>
              <w:rPr>
                <w:rFonts w:ascii="Times New Roman" w:eastAsia="Times New Roman"/>
                <w:spacing w:val="-1"/>
                <w:w w:val="99"/>
                <w:sz w:val="21"/>
              </w:rPr>
              <w:t>B</w:t>
            </w:r>
            <w:r>
              <w:rPr>
                <w:rFonts w:ascii="Times New Roman" w:eastAsia="Times New Roman"/>
                <w:spacing w:val="1"/>
                <w:w w:val="99"/>
                <w:sz w:val="21"/>
              </w:rPr>
              <w:t>3838</w:t>
            </w:r>
            <w:r>
              <w:rPr>
                <w:rFonts w:ascii="Times New Roman" w:eastAsia="Times New Roman"/>
                <w:spacing w:val="-3"/>
                <w:w w:val="99"/>
                <w:sz w:val="21"/>
              </w:rPr>
              <w:t>-</w:t>
            </w:r>
            <w:r>
              <w:rPr>
                <w:rFonts w:ascii="Times New Roman" w:eastAsia="Times New Roman"/>
                <w:spacing w:val="1"/>
                <w:w w:val="99"/>
                <w:sz w:val="21"/>
              </w:rPr>
              <w:t>2002</w:t>
            </w:r>
            <w:r>
              <w:rPr>
                <w:spacing w:val="-104"/>
                <w:w w:val="99"/>
                <w:sz w:val="21"/>
              </w:rPr>
              <w:t>）</w:t>
            </w:r>
            <w:r>
              <w:rPr>
                <w:w w:val="99"/>
                <w:sz w:val="21"/>
              </w:rPr>
              <w:t>中</w:t>
            </w:r>
          </w:p>
          <w:p>
            <w:pPr>
              <w:pStyle w:val="19"/>
              <w:spacing w:before="55"/>
              <w:ind w:left="135" w:right="118"/>
              <w:rPr>
                <w:sz w:val="21"/>
              </w:rPr>
            </w:pPr>
            <w:r>
              <w:rPr>
                <w:sz w:val="21"/>
              </w:rPr>
              <w:t>Ⅱ类</w:t>
            </w:r>
          </w:p>
        </w:tc>
        <w:tc>
          <w:tcPr>
            <w:tcW w:w="997" w:type="dxa"/>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spacing w:before="8"/>
              <w:jc w:val="left"/>
              <w:rPr>
                <w:b/>
                <w:sz w:val="17"/>
              </w:rPr>
            </w:pPr>
          </w:p>
          <w:p>
            <w:pPr>
              <w:pStyle w:val="19"/>
              <w:ind w:left="306" w:right="291"/>
              <w:rPr>
                <w:rFonts w:ascii="Times New Roman"/>
                <w:sz w:val="21"/>
              </w:rPr>
            </w:pPr>
            <w:r>
              <w:rPr>
                <w:rFonts w:ascii="Times New Roman"/>
                <w:sz w:val="21"/>
              </w:rPr>
              <w:t>WN</w:t>
            </w:r>
          </w:p>
        </w:tc>
        <w:tc>
          <w:tcPr>
            <w:tcW w:w="997" w:type="dxa"/>
            <w:tcBorders>
              <w:top w:val="single" w:color="000000" w:sz="4" w:space="0"/>
              <w:left w:val="single" w:color="000000" w:sz="4" w:space="0"/>
              <w:bottom w:val="single" w:color="000000" w:sz="4" w:space="0"/>
            </w:tcBorders>
          </w:tcPr>
          <w:p>
            <w:pPr>
              <w:pStyle w:val="19"/>
              <w:jc w:val="left"/>
              <w:rPr>
                <w:b/>
                <w:sz w:val="22"/>
              </w:rPr>
            </w:pPr>
          </w:p>
          <w:p>
            <w:pPr>
              <w:pStyle w:val="19"/>
              <w:spacing w:before="8"/>
              <w:jc w:val="left"/>
              <w:rPr>
                <w:b/>
                <w:sz w:val="17"/>
              </w:rPr>
            </w:pPr>
          </w:p>
          <w:p>
            <w:pPr>
              <w:pStyle w:val="19"/>
              <w:ind w:left="219" w:right="195"/>
              <w:rPr>
                <w:rFonts w:ascii="Times New Roman"/>
                <w:sz w:val="21"/>
              </w:rPr>
            </w:pPr>
            <w:r>
              <w:rPr>
                <w:rFonts w:ascii="Times New Roman"/>
                <w:sz w:val="21"/>
                <w:shd w:val="clear" w:color="auto" w:fill="FFFF00"/>
              </w:rPr>
              <w:t>3200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6" w:hRule="atLeast"/>
        </w:trPr>
        <w:tc>
          <w:tcPr>
            <w:tcW w:w="426" w:type="dxa"/>
            <w:vMerge w:val="continue"/>
            <w:tcBorders>
              <w:top w:val="nil"/>
              <w:bottom w:val="single" w:color="000000" w:sz="4" w:space="0"/>
              <w:right w:val="single" w:color="000000" w:sz="4" w:space="0"/>
            </w:tcBorders>
          </w:tcPr>
          <w:p>
            <w:pPr>
              <w:rPr>
                <w:sz w:val="2"/>
                <w:szCs w:val="2"/>
              </w:rPr>
            </w:pPr>
          </w:p>
        </w:tc>
        <w:tc>
          <w:tcPr>
            <w:tcW w:w="3010" w:type="dxa"/>
            <w:gridSpan w:val="2"/>
            <w:tcBorders>
              <w:top w:val="single" w:color="000000" w:sz="4" w:space="0"/>
              <w:left w:val="single" w:color="000000" w:sz="4" w:space="0"/>
              <w:bottom w:val="single" w:color="000000" w:sz="4" w:space="0"/>
              <w:right w:val="single" w:color="000000" w:sz="4" w:space="0"/>
            </w:tcBorders>
          </w:tcPr>
          <w:p>
            <w:pPr>
              <w:pStyle w:val="19"/>
              <w:spacing w:before="1"/>
              <w:ind w:left="190"/>
              <w:jc w:val="left"/>
              <w:rPr>
                <w:sz w:val="24"/>
              </w:rPr>
            </w:pPr>
            <w:r>
              <w:rPr>
                <w:color w:val="FF0000"/>
                <w:sz w:val="24"/>
              </w:rPr>
              <w:t>寒葱沟水库集中式饮用水</w:t>
            </w:r>
          </w:p>
          <w:p>
            <w:pPr>
              <w:pStyle w:val="19"/>
              <w:spacing w:before="65"/>
              <w:ind w:left="190"/>
              <w:jc w:val="left"/>
              <w:rPr>
                <w:sz w:val="24"/>
              </w:rPr>
            </w:pPr>
            <w:r>
              <w:rPr>
                <w:color w:val="FF0000"/>
                <w:sz w:val="24"/>
              </w:rPr>
              <w:t>水源地保护区一级保护区</w:t>
            </w:r>
          </w:p>
        </w:tc>
        <w:tc>
          <w:tcPr>
            <w:tcW w:w="1905" w:type="dxa"/>
            <w:gridSpan w:val="2"/>
            <w:tcBorders>
              <w:top w:val="single" w:color="000000" w:sz="4" w:space="0"/>
              <w:left w:val="single" w:color="000000" w:sz="4" w:space="0"/>
              <w:bottom w:val="single" w:color="000000" w:sz="4" w:space="0"/>
              <w:right w:val="single" w:color="000000" w:sz="4" w:space="0"/>
            </w:tcBorders>
          </w:tcPr>
          <w:p>
            <w:pPr>
              <w:pStyle w:val="19"/>
              <w:spacing w:before="1"/>
              <w:ind w:left="95" w:right="79"/>
              <w:rPr>
                <w:sz w:val="24"/>
              </w:rPr>
            </w:pPr>
            <w:r>
              <w:rPr>
                <w:color w:val="FF0000"/>
                <w:sz w:val="24"/>
              </w:rPr>
              <w:t>水源地一级保护</w:t>
            </w:r>
          </w:p>
          <w:p>
            <w:pPr>
              <w:pStyle w:val="19"/>
              <w:spacing w:before="65"/>
              <w:ind w:left="16"/>
              <w:rPr>
                <w:sz w:val="24"/>
              </w:rPr>
            </w:pPr>
            <w:r>
              <w:rPr>
                <w:color w:val="FF0000"/>
                <w:sz w:val="24"/>
              </w:rPr>
              <w:t>区</w:t>
            </w:r>
          </w:p>
        </w:tc>
        <w:tc>
          <w:tcPr>
            <w:tcW w:w="1944" w:type="dxa"/>
            <w:tcBorders>
              <w:top w:val="single" w:color="000000" w:sz="4" w:space="0"/>
              <w:left w:val="single" w:color="000000" w:sz="4" w:space="0"/>
              <w:bottom w:val="single" w:color="000000" w:sz="4" w:space="0"/>
              <w:right w:val="single" w:color="000000" w:sz="4" w:space="0"/>
            </w:tcBorders>
          </w:tcPr>
          <w:p>
            <w:pPr>
              <w:pStyle w:val="19"/>
              <w:spacing w:before="10"/>
              <w:jc w:val="left"/>
              <w:rPr>
                <w:b/>
                <w:sz w:val="17"/>
              </w:rPr>
            </w:pPr>
          </w:p>
          <w:p>
            <w:pPr>
              <w:pStyle w:val="19"/>
              <w:ind w:left="17"/>
              <w:rPr>
                <w:rFonts w:ascii="Times New Roman"/>
                <w:sz w:val="21"/>
              </w:rPr>
            </w:pPr>
            <w:r>
              <w:rPr>
                <w:rFonts w:ascii="Times New Roman"/>
                <w:color w:val="FF0000"/>
                <w:w w:val="99"/>
                <w:sz w:val="21"/>
              </w:rPr>
              <w:t>/</w:t>
            </w:r>
          </w:p>
        </w:tc>
        <w:tc>
          <w:tcPr>
            <w:tcW w:w="997" w:type="dxa"/>
            <w:tcBorders>
              <w:top w:val="single" w:color="000000" w:sz="4" w:space="0"/>
              <w:left w:val="single" w:color="000000" w:sz="4" w:space="0"/>
              <w:bottom w:val="single" w:color="000000" w:sz="4" w:space="0"/>
              <w:right w:val="single" w:color="000000" w:sz="4" w:space="0"/>
            </w:tcBorders>
          </w:tcPr>
          <w:p>
            <w:pPr>
              <w:pStyle w:val="19"/>
              <w:spacing w:before="10"/>
              <w:jc w:val="left"/>
              <w:rPr>
                <w:b/>
                <w:sz w:val="17"/>
              </w:rPr>
            </w:pPr>
          </w:p>
          <w:p>
            <w:pPr>
              <w:pStyle w:val="19"/>
              <w:ind w:left="306" w:right="291"/>
              <w:rPr>
                <w:rFonts w:ascii="Times New Roman"/>
                <w:sz w:val="21"/>
              </w:rPr>
            </w:pPr>
            <w:r>
              <w:rPr>
                <w:rFonts w:ascii="Times New Roman"/>
                <w:color w:val="FF0000"/>
                <w:sz w:val="21"/>
              </w:rPr>
              <w:t>WN</w:t>
            </w:r>
          </w:p>
        </w:tc>
        <w:tc>
          <w:tcPr>
            <w:tcW w:w="997" w:type="dxa"/>
            <w:tcBorders>
              <w:top w:val="single" w:color="000000" w:sz="4" w:space="0"/>
              <w:left w:val="single" w:color="000000" w:sz="4" w:space="0"/>
              <w:bottom w:val="single" w:color="000000" w:sz="4" w:space="0"/>
            </w:tcBorders>
          </w:tcPr>
          <w:p>
            <w:pPr>
              <w:pStyle w:val="19"/>
              <w:spacing w:before="207"/>
              <w:ind w:left="218" w:right="197"/>
              <w:rPr>
                <w:rFonts w:ascii="Times New Roman"/>
                <w:sz w:val="24"/>
              </w:rPr>
            </w:pPr>
            <w:r>
              <w:rPr>
                <w:rFonts w:ascii="Times New Roman"/>
                <w:color w:val="FF0000"/>
                <w:sz w:val="24"/>
              </w:rPr>
              <w:t>260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7" w:hRule="atLeast"/>
        </w:trPr>
        <w:tc>
          <w:tcPr>
            <w:tcW w:w="426" w:type="dxa"/>
            <w:vMerge w:val="continue"/>
            <w:tcBorders>
              <w:top w:val="nil"/>
              <w:bottom w:val="single" w:color="000000" w:sz="4" w:space="0"/>
              <w:right w:val="single" w:color="000000" w:sz="4" w:space="0"/>
            </w:tcBorders>
          </w:tcPr>
          <w:p>
            <w:pPr>
              <w:rPr>
                <w:sz w:val="2"/>
                <w:szCs w:val="2"/>
              </w:rPr>
            </w:pPr>
          </w:p>
        </w:tc>
        <w:tc>
          <w:tcPr>
            <w:tcW w:w="3010" w:type="dxa"/>
            <w:gridSpan w:val="2"/>
            <w:tcBorders>
              <w:top w:val="single" w:color="000000" w:sz="4" w:space="0"/>
              <w:left w:val="single" w:color="000000" w:sz="4" w:space="0"/>
              <w:bottom w:val="single" w:color="000000" w:sz="4" w:space="0"/>
              <w:right w:val="single" w:color="000000" w:sz="4" w:space="0"/>
            </w:tcBorders>
          </w:tcPr>
          <w:p>
            <w:pPr>
              <w:pStyle w:val="19"/>
              <w:ind w:left="190"/>
              <w:jc w:val="left"/>
              <w:rPr>
                <w:sz w:val="24"/>
              </w:rPr>
            </w:pPr>
            <w:r>
              <w:rPr>
                <w:color w:val="FF0000"/>
                <w:sz w:val="24"/>
              </w:rPr>
              <w:t>寒葱沟水库集中式饮用水</w:t>
            </w:r>
          </w:p>
          <w:p>
            <w:pPr>
              <w:pStyle w:val="19"/>
              <w:spacing w:before="67"/>
              <w:ind w:left="190"/>
              <w:jc w:val="left"/>
              <w:rPr>
                <w:sz w:val="24"/>
              </w:rPr>
            </w:pPr>
            <w:r>
              <w:rPr>
                <w:color w:val="FF0000"/>
                <w:sz w:val="24"/>
              </w:rPr>
              <w:t>水源地保护区二级保护区</w:t>
            </w:r>
          </w:p>
        </w:tc>
        <w:tc>
          <w:tcPr>
            <w:tcW w:w="1905" w:type="dxa"/>
            <w:gridSpan w:val="2"/>
            <w:tcBorders>
              <w:top w:val="single" w:color="000000" w:sz="4" w:space="0"/>
              <w:left w:val="single" w:color="000000" w:sz="4" w:space="0"/>
              <w:bottom w:val="single" w:color="000000" w:sz="4" w:space="0"/>
              <w:right w:val="single" w:color="000000" w:sz="4" w:space="0"/>
            </w:tcBorders>
          </w:tcPr>
          <w:p>
            <w:pPr>
              <w:pStyle w:val="19"/>
              <w:ind w:left="95" w:right="79"/>
              <w:rPr>
                <w:sz w:val="24"/>
              </w:rPr>
            </w:pPr>
            <w:r>
              <w:rPr>
                <w:color w:val="FF0000"/>
                <w:sz w:val="24"/>
              </w:rPr>
              <w:t>水源地二级保护</w:t>
            </w:r>
          </w:p>
          <w:p>
            <w:pPr>
              <w:pStyle w:val="19"/>
              <w:spacing w:before="67"/>
              <w:ind w:left="16"/>
              <w:rPr>
                <w:sz w:val="24"/>
              </w:rPr>
            </w:pPr>
            <w:r>
              <w:rPr>
                <w:color w:val="FF0000"/>
                <w:sz w:val="24"/>
              </w:rPr>
              <w:t>区</w:t>
            </w:r>
          </w:p>
        </w:tc>
        <w:tc>
          <w:tcPr>
            <w:tcW w:w="1944" w:type="dxa"/>
            <w:tcBorders>
              <w:top w:val="single" w:color="000000" w:sz="4" w:space="0"/>
              <w:left w:val="single" w:color="000000" w:sz="4" w:space="0"/>
              <w:bottom w:val="single" w:color="000000" w:sz="4" w:space="0"/>
              <w:right w:val="single" w:color="000000" w:sz="4" w:space="0"/>
            </w:tcBorders>
          </w:tcPr>
          <w:p>
            <w:pPr>
              <w:pStyle w:val="19"/>
              <w:spacing w:before="9"/>
              <w:jc w:val="left"/>
              <w:rPr>
                <w:b/>
                <w:sz w:val="17"/>
              </w:rPr>
            </w:pPr>
          </w:p>
          <w:p>
            <w:pPr>
              <w:pStyle w:val="19"/>
              <w:ind w:left="17"/>
              <w:rPr>
                <w:rFonts w:ascii="Times New Roman"/>
                <w:sz w:val="21"/>
              </w:rPr>
            </w:pPr>
            <w:r>
              <w:rPr>
                <w:rFonts w:ascii="Times New Roman"/>
                <w:color w:val="FF0000"/>
                <w:w w:val="99"/>
                <w:sz w:val="21"/>
              </w:rPr>
              <w:t>/</w:t>
            </w:r>
          </w:p>
        </w:tc>
        <w:tc>
          <w:tcPr>
            <w:tcW w:w="997" w:type="dxa"/>
            <w:tcBorders>
              <w:top w:val="single" w:color="000000" w:sz="4" w:space="0"/>
              <w:left w:val="single" w:color="000000" w:sz="4" w:space="0"/>
              <w:bottom w:val="single" w:color="000000" w:sz="4" w:space="0"/>
              <w:right w:val="single" w:color="000000" w:sz="4" w:space="0"/>
            </w:tcBorders>
          </w:tcPr>
          <w:p>
            <w:pPr>
              <w:pStyle w:val="19"/>
              <w:spacing w:before="9"/>
              <w:jc w:val="left"/>
              <w:rPr>
                <w:b/>
                <w:sz w:val="17"/>
              </w:rPr>
            </w:pPr>
          </w:p>
          <w:p>
            <w:pPr>
              <w:pStyle w:val="19"/>
              <w:ind w:left="20"/>
              <w:rPr>
                <w:rFonts w:ascii="Times New Roman"/>
                <w:sz w:val="21"/>
              </w:rPr>
            </w:pPr>
            <w:r>
              <w:rPr>
                <w:rFonts w:ascii="Times New Roman"/>
                <w:color w:val="FF0000"/>
                <w:w w:val="99"/>
                <w:sz w:val="21"/>
              </w:rPr>
              <w:t>N</w:t>
            </w:r>
          </w:p>
        </w:tc>
        <w:tc>
          <w:tcPr>
            <w:tcW w:w="997" w:type="dxa"/>
            <w:tcBorders>
              <w:top w:val="single" w:color="000000" w:sz="4" w:space="0"/>
              <w:left w:val="single" w:color="000000" w:sz="4" w:space="0"/>
              <w:bottom w:val="single" w:color="000000" w:sz="4" w:space="0"/>
            </w:tcBorders>
          </w:tcPr>
          <w:p>
            <w:pPr>
              <w:pStyle w:val="19"/>
              <w:spacing w:before="9"/>
              <w:jc w:val="left"/>
              <w:rPr>
                <w:b/>
                <w:sz w:val="17"/>
              </w:rPr>
            </w:pPr>
          </w:p>
          <w:p>
            <w:pPr>
              <w:pStyle w:val="19"/>
              <w:ind w:left="219" w:right="197"/>
              <w:rPr>
                <w:rFonts w:ascii="Times New Roman"/>
                <w:sz w:val="21"/>
              </w:rPr>
            </w:pPr>
            <w:r>
              <w:rPr>
                <w:rFonts w:ascii="Times New Roman"/>
                <w:color w:val="FF0000"/>
                <w:sz w:val="21"/>
              </w:rPr>
              <w:t>10400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2" w:hRule="atLeast"/>
        </w:trPr>
        <w:tc>
          <w:tcPr>
            <w:tcW w:w="426" w:type="dxa"/>
            <w:vMerge w:val="restart"/>
            <w:tcBorders>
              <w:top w:val="single" w:color="000000" w:sz="4" w:space="0"/>
              <w:right w:val="single" w:color="000000" w:sz="4" w:space="0"/>
            </w:tcBorders>
          </w:tcPr>
          <w:p>
            <w:pPr>
              <w:pStyle w:val="19"/>
              <w:spacing w:before="11"/>
              <w:jc w:val="left"/>
              <w:rPr>
                <w:b/>
                <w:sz w:val="25"/>
              </w:rPr>
            </w:pPr>
          </w:p>
          <w:p>
            <w:pPr>
              <w:pStyle w:val="19"/>
              <w:spacing w:line="290" w:lineRule="auto"/>
              <w:ind w:left="107" w:right="92"/>
              <w:jc w:val="both"/>
              <w:rPr>
                <w:sz w:val="21"/>
              </w:rPr>
            </w:pPr>
            <w:r>
              <w:rPr>
                <w:sz w:val="21"/>
              </w:rPr>
              <w:t>生态环境</w:t>
            </w:r>
          </w:p>
        </w:tc>
        <w:tc>
          <w:tcPr>
            <w:tcW w:w="881" w:type="dxa"/>
            <w:tcBorders>
              <w:top w:val="single" w:color="000000" w:sz="4" w:space="0"/>
              <w:left w:val="single" w:color="000000" w:sz="4" w:space="0"/>
              <w:bottom w:val="single" w:color="000000" w:sz="4" w:space="0"/>
              <w:right w:val="single" w:color="000000" w:sz="4" w:space="0"/>
            </w:tcBorders>
          </w:tcPr>
          <w:p>
            <w:pPr>
              <w:pStyle w:val="19"/>
              <w:spacing w:line="290" w:lineRule="auto"/>
              <w:ind w:left="130" w:right="109" w:hanging="5"/>
              <w:rPr>
                <w:sz w:val="21"/>
              </w:rPr>
            </w:pPr>
            <w:r>
              <w:rPr>
                <w:sz w:val="21"/>
              </w:rPr>
              <w:t xml:space="preserve">地表 </w:t>
            </w:r>
            <w:r>
              <w:rPr>
                <w:spacing w:val="-6"/>
                <w:sz w:val="21"/>
              </w:rPr>
              <w:t>植被及地表沉</w:t>
            </w:r>
          </w:p>
          <w:p>
            <w:pPr>
              <w:pStyle w:val="19"/>
              <w:spacing w:before="3"/>
              <w:ind w:left="16"/>
              <w:rPr>
                <w:sz w:val="21"/>
              </w:rPr>
            </w:pPr>
            <w:r>
              <w:rPr>
                <w:w w:val="99"/>
                <w:sz w:val="21"/>
              </w:rPr>
              <w:t>陷</w:t>
            </w:r>
          </w:p>
        </w:tc>
        <w:tc>
          <w:tcPr>
            <w:tcW w:w="2129" w:type="dxa"/>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spacing w:before="7"/>
              <w:jc w:val="left"/>
              <w:rPr>
                <w:b/>
                <w:sz w:val="17"/>
              </w:rPr>
            </w:pPr>
          </w:p>
          <w:p>
            <w:pPr>
              <w:pStyle w:val="19"/>
              <w:ind w:left="18"/>
              <w:rPr>
                <w:rFonts w:ascii="Times New Roman"/>
                <w:sz w:val="21"/>
              </w:rPr>
            </w:pPr>
            <w:r>
              <w:rPr>
                <w:rFonts w:ascii="Times New Roman"/>
                <w:w w:val="99"/>
                <w:sz w:val="21"/>
              </w:rPr>
              <w:t>/</w:t>
            </w:r>
          </w:p>
        </w:tc>
        <w:tc>
          <w:tcPr>
            <w:tcW w:w="5843" w:type="dxa"/>
            <w:gridSpan w:val="5"/>
            <w:tcBorders>
              <w:top w:val="single" w:color="000000" w:sz="4" w:space="0"/>
              <w:left w:val="single" w:color="000000" w:sz="4" w:space="0"/>
              <w:bottom w:val="single" w:color="000000" w:sz="4" w:space="0"/>
            </w:tcBorders>
          </w:tcPr>
          <w:p>
            <w:pPr>
              <w:pStyle w:val="19"/>
              <w:jc w:val="left"/>
              <w:rPr>
                <w:b/>
                <w:sz w:val="22"/>
              </w:rPr>
            </w:pPr>
          </w:p>
          <w:p>
            <w:pPr>
              <w:pStyle w:val="19"/>
              <w:spacing w:before="3"/>
              <w:jc w:val="left"/>
              <w:rPr>
                <w:b/>
                <w:sz w:val="16"/>
              </w:rPr>
            </w:pPr>
          </w:p>
          <w:p>
            <w:pPr>
              <w:pStyle w:val="19"/>
              <w:ind w:left="430"/>
              <w:jc w:val="left"/>
              <w:rPr>
                <w:sz w:val="21"/>
              </w:rPr>
            </w:pPr>
            <w:r>
              <w:rPr>
                <w:sz w:val="21"/>
              </w:rPr>
              <w:t xml:space="preserve">全井田及井田境界外 </w:t>
            </w:r>
            <w:r>
              <w:rPr>
                <w:rFonts w:ascii="Times New Roman" w:eastAsia="Times New Roman"/>
                <w:sz w:val="21"/>
              </w:rPr>
              <w:t xml:space="preserve">500m </w:t>
            </w:r>
            <w:r>
              <w:rPr>
                <w:sz w:val="21"/>
              </w:rPr>
              <w:t>范围内地表植被及地表沉陷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426" w:type="dxa"/>
            <w:vMerge w:val="continue"/>
            <w:tcBorders>
              <w:top w:val="nil"/>
              <w:right w:val="single" w:color="000000" w:sz="4" w:space="0"/>
            </w:tcBorders>
          </w:tcPr>
          <w:p>
            <w:pPr>
              <w:rPr>
                <w:sz w:val="2"/>
                <w:szCs w:val="2"/>
              </w:rPr>
            </w:pPr>
          </w:p>
        </w:tc>
        <w:tc>
          <w:tcPr>
            <w:tcW w:w="881" w:type="dxa"/>
            <w:tcBorders>
              <w:top w:val="single" w:color="000000" w:sz="4" w:space="0"/>
              <w:left w:val="single" w:color="000000" w:sz="4" w:space="0"/>
              <w:right w:val="single" w:color="000000" w:sz="4" w:space="0"/>
            </w:tcBorders>
          </w:tcPr>
          <w:p>
            <w:pPr>
              <w:pStyle w:val="19"/>
              <w:spacing w:line="265" w:lineRule="exact"/>
              <w:ind w:left="130"/>
              <w:jc w:val="left"/>
              <w:rPr>
                <w:sz w:val="21"/>
              </w:rPr>
            </w:pPr>
            <w:r>
              <w:rPr>
                <w:w w:val="95"/>
                <w:sz w:val="21"/>
              </w:rPr>
              <w:t>青山森</w:t>
            </w:r>
          </w:p>
          <w:p>
            <w:pPr>
              <w:pStyle w:val="19"/>
              <w:spacing w:before="57"/>
              <w:ind w:left="130"/>
              <w:jc w:val="left"/>
              <w:rPr>
                <w:sz w:val="21"/>
              </w:rPr>
            </w:pPr>
            <w:r>
              <w:rPr>
                <w:w w:val="95"/>
                <w:sz w:val="21"/>
              </w:rPr>
              <w:t>林公园</w:t>
            </w:r>
          </w:p>
        </w:tc>
        <w:tc>
          <w:tcPr>
            <w:tcW w:w="2129" w:type="dxa"/>
            <w:tcBorders>
              <w:top w:val="single" w:color="000000" w:sz="4" w:space="0"/>
              <w:left w:val="single" w:color="000000" w:sz="4" w:space="0"/>
              <w:right w:val="single" w:color="000000" w:sz="4" w:space="0"/>
            </w:tcBorders>
          </w:tcPr>
          <w:p>
            <w:pPr>
              <w:pStyle w:val="19"/>
              <w:spacing w:before="176"/>
              <w:ind w:left="18"/>
              <w:rPr>
                <w:rFonts w:ascii="Times New Roman"/>
                <w:sz w:val="21"/>
              </w:rPr>
            </w:pPr>
            <w:r>
              <w:rPr>
                <w:rFonts w:ascii="Times New Roman"/>
                <w:w w:val="99"/>
                <w:sz w:val="21"/>
              </w:rPr>
              <w:t>/</w:t>
            </w:r>
          </w:p>
        </w:tc>
        <w:tc>
          <w:tcPr>
            <w:tcW w:w="5843" w:type="dxa"/>
            <w:gridSpan w:val="5"/>
            <w:tcBorders>
              <w:top w:val="single" w:color="000000" w:sz="4" w:space="0"/>
              <w:left w:val="single" w:color="000000" w:sz="4" w:space="0"/>
            </w:tcBorders>
          </w:tcPr>
          <w:p>
            <w:pPr>
              <w:pStyle w:val="19"/>
              <w:spacing w:before="159"/>
              <w:ind w:left="2273" w:right="2254"/>
              <w:rPr>
                <w:sz w:val="21"/>
              </w:rPr>
            </w:pPr>
            <w:r>
              <w:rPr>
                <w:sz w:val="21"/>
              </w:rPr>
              <w:t>青山森林公园</w:t>
            </w:r>
          </w:p>
        </w:tc>
      </w:tr>
    </w:tbl>
    <w:p>
      <w:pPr>
        <w:pStyle w:val="9"/>
        <w:spacing w:before="1" w:line="364" w:lineRule="auto"/>
        <w:ind w:left="218" w:right="257" w:firstLine="480"/>
        <w:jc w:val="both"/>
      </w:pPr>
      <w:r>
        <mc:AlternateContent>
          <mc:Choice Requires="wps">
            <w:drawing>
              <wp:anchor distT="0" distB="0" distL="114300" distR="114300" simplePos="0" relativeHeight="212733952" behindDoc="1" locked="0" layoutInCell="1" allowOverlap="1">
                <wp:simplePos x="0" y="0"/>
                <wp:positionH relativeFrom="page">
                  <wp:posOffset>4375150</wp:posOffset>
                </wp:positionH>
                <wp:positionV relativeFrom="page">
                  <wp:posOffset>2167890</wp:posOffset>
                </wp:positionV>
                <wp:extent cx="933450" cy="172720"/>
                <wp:effectExtent l="0" t="0" r="0" b="17780"/>
                <wp:wrapNone/>
                <wp:docPr id="14" name="矩形 14"/>
                <wp:cNvGraphicFramePr/>
                <a:graphic xmlns:a="http://schemas.openxmlformats.org/drawingml/2006/main">
                  <a:graphicData uri="http://schemas.microsoft.com/office/word/2010/wordprocessingShape">
                    <wps:wsp>
                      <wps:cNvSpPr/>
                      <wps:spPr>
                        <a:xfrm>
                          <a:off x="0" y="0"/>
                          <a:ext cx="933450" cy="172720"/>
                        </a:xfrm>
                        <a:prstGeom prst="rect">
                          <a:avLst/>
                        </a:prstGeom>
                        <a:solidFill>
                          <a:srgbClr val="FFFF00"/>
                        </a:solidFill>
                        <a:ln>
                          <a:noFill/>
                        </a:ln>
                      </wps:spPr>
                      <wps:bodyPr upright="1"/>
                    </wps:wsp>
                  </a:graphicData>
                </a:graphic>
              </wp:anchor>
            </w:drawing>
          </mc:Choice>
          <mc:Fallback>
            <w:pict>
              <v:rect id="_x0000_s1026" o:spid="_x0000_s1026" o:spt="1" style="position:absolute;left:0pt;margin-left:344.5pt;margin-top:170.7pt;height:13.6pt;width:73.5pt;mso-position-horizontal-relative:page;mso-position-vertical-relative:page;z-index:-290582528;mso-width-relative:page;mso-height-relative:page;" fillcolor="#FFFF00" filled="t" stroked="f" coordsize="21600,21600" o:gfxdata="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4dYs72QAAAAsBAAAPAAAAAAAAAAEAIAAA&#10;ACIAAABkcnMvZG93bnJldi54bWxQSwECFAAUAAAACACHTuJApI/rNZkBAAASAwAADgAAAAAAAAAB&#10;ACAAAAAoAQAAZHJzL2Uyb0RvYy54bWxQSwUGAAAAAAYABgBZAQAAMwUAAAAA&#10;">
                <v:fill on="t" focussize="0,0"/>
                <v:stroke on="f"/>
                <v:imagedata o:title=""/>
                <o:lock v:ext="edit" aspectratio="f"/>
              </v:rect>
            </w:pict>
          </mc:Fallback>
        </mc:AlternateContent>
      </w:r>
      <w:r>
        <w:rPr>
          <w:spacing w:val="3"/>
        </w:rPr>
        <w:t>根据黑龙江省自然资源厅黑龙江省林业和草原局联合呈报黑龙江省生态保护红线评估调整和自然保护地整合优化阶段性报告（黑自然资发〔2020〕229</w:t>
      </w:r>
      <w:r>
        <w:rPr>
          <w:spacing w:val="-28"/>
        </w:rPr>
        <w:t xml:space="preserve"> 号</w:t>
      </w:r>
      <w:r>
        <w:t>）</w:t>
      </w:r>
      <w:r>
        <w:rPr>
          <w:spacing w:val="-4"/>
        </w:rPr>
        <w:t>，本项目不</w:t>
      </w:r>
      <w:r>
        <w:rPr>
          <w:spacing w:val="-3"/>
        </w:rPr>
        <w:t>在黑龙江省青山国家森林公园范围内，</w:t>
      </w:r>
      <w:r>
        <w:rPr>
          <w:color w:val="FF0000"/>
          <w:spacing w:val="-1"/>
        </w:rPr>
        <w:t>本项目与黑龙江省青山国家森林公园相对关系详</w:t>
      </w:r>
      <w:r>
        <w:rPr>
          <w:color w:val="FF0000"/>
        </w:rPr>
        <w:t>见附图。</w:t>
      </w:r>
    </w:p>
    <w:p>
      <w:pPr>
        <w:pStyle w:val="9"/>
        <w:spacing w:line="362" w:lineRule="auto"/>
        <w:ind w:left="218" w:right="257" w:firstLine="480"/>
        <w:jc w:val="both"/>
      </w:pPr>
      <w:r>
        <w:rPr>
          <w:color w:val="FF0000"/>
          <w:spacing w:val="-1"/>
        </w:rPr>
        <w:t xml:space="preserve">本项目工业广场距离寒葱沟水库集中式饮用水水源地保护区一级保护区约 </w:t>
      </w:r>
      <w:r>
        <w:rPr>
          <w:rFonts w:ascii="Times New Roman" w:eastAsia="Times New Roman"/>
          <w:color w:val="FF0000"/>
        </w:rPr>
        <w:t>260m</w:t>
      </w:r>
      <w:r>
        <w:rPr>
          <w:color w:val="FF0000"/>
        </w:rPr>
        <w:t xml:space="preserve">， </w:t>
      </w:r>
      <w:r>
        <w:rPr>
          <w:color w:val="FF0000"/>
          <w:spacing w:val="-3"/>
        </w:rPr>
        <w:t xml:space="preserve">距离寒葱沟水库集中式饮用水水源地保护区二级保护区约 </w:t>
      </w:r>
      <w:r>
        <w:rPr>
          <w:rFonts w:ascii="Times New Roman" w:eastAsia="Times New Roman"/>
          <w:color w:val="FF0000"/>
        </w:rPr>
        <w:t>10.4km</w:t>
      </w:r>
      <w:r>
        <w:rPr>
          <w:color w:val="FF0000"/>
          <w:spacing w:val="-16"/>
        </w:rPr>
        <w:t>，本项目与寒葱沟水库</w:t>
      </w:r>
      <w:r>
        <w:rPr>
          <w:color w:val="FF0000"/>
        </w:rPr>
        <w:t>集中式饮用水水源地保护区相对位置详见附图。</w:t>
      </w:r>
    </w:p>
    <w:p>
      <w:pPr>
        <w:spacing w:after="0" w:line="362" w:lineRule="auto"/>
        <w:jc w:val="both"/>
        <w:sectPr>
          <w:pgSz w:w="11910" w:h="16840"/>
          <w:pgMar w:top="1400" w:right="1160" w:bottom="1180" w:left="1200" w:header="0" w:footer="993" w:gutter="0"/>
        </w:sectPr>
      </w:pPr>
    </w:p>
    <w:p>
      <w:pPr>
        <w:pStyle w:val="9"/>
        <w:rPr>
          <w:sz w:val="32"/>
        </w:rPr>
      </w:pPr>
    </w:p>
    <w:p>
      <w:pPr>
        <w:pStyle w:val="9"/>
        <w:spacing w:before="11"/>
        <w:rPr>
          <w:sz w:val="25"/>
        </w:rPr>
      </w:pPr>
    </w:p>
    <w:p>
      <w:pPr>
        <w:pStyle w:val="5"/>
        <w:numPr>
          <w:ilvl w:val="1"/>
          <w:numId w:val="27"/>
        </w:numPr>
        <w:tabs>
          <w:tab w:val="left" w:pos="668"/>
        </w:tabs>
        <w:spacing w:before="1" w:after="0" w:line="240" w:lineRule="auto"/>
        <w:ind w:left="667" w:right="0" w:hanging="450"/>
        <w:jc w:val="left"/>
      </w:pPr>
      <w:bookmarkStart w:id="121" w:name="2.1原有工程概况"/>
      <w:bookmarkEnd w:id="121"/>
      <w:bookmarkStart w:id="122" w:name="_bookmark13"/>
      <w:bookmarkEnd w:id="122"/>
      <w:bookmarkStart w:id="123" w:name="_bookmark13"/>
      <w:bookmarkEnd w:id="123"/>
      <w:r>
        <w:t>原有工程概况</w:t>
      </w:r>
    </w:p>
    <w:p>
      <w:pPr>
        <w:pStyle w:val="18"/>
        <w:numPr>
          <w:ilvl w:val="0"/>
          <w:numId w:val="14"/>
        </w:numPr>
        <w:tabs>
          <w:tab w:val="left" w:pos="490"/>
        </w:tabs>
        <w:spacing w:before="41" w:after="0" w:line="240" w:lineRule="auto"/>
        <w:ind w:left="489" w:right="0" w:hanging="272"/>
        <w:jc w:val="left"/>
        <w:rPr>
          <w:rFonts w:ascii="Times New Roman" w:eastAsia="Times New Roman"/>
          <w:b/>
          <w:sz w:val="34"/>
        </w:rPr>
      </w:pPr>
      <w:bookmarkStart w:id="124" w:name="2.项目概况与工程分析"/>
      <w:bookmarkEnd w:id="124"/>
      <w:bookmarkStart w:id="125" w:name="_bookmark14"/>
      <w:bookmarkEnd w:id="125"/>
      <w:bookmarkStart w:id="126" w:name="_bookmark14"/>
      <w:bookmarkEnd w:id="126"/>
      <w:r>
        <w:rPr>
          <w:b/>
          <w:spacing w:val="2"/>
          <w:w w:val="99"/>
          <w:sz w:val="36"/>
        </w:rPr>
        <w:br w:type="column"/>
      </w:r>
      <w:r>
        <w:rPr>
          <w:b/>
          <w:sz w:val="36"/>
        </w:rPr>
        <w:t>项目概况与工程分析</w:t>
      </w:r>
    </w:p>
    <w:p>
      <w:pPr>
        <w:spacing w:after="0" w:line="240" w:lineRule="auto"/>
        <w:jc w:val="left"/>
        <w:rPr>
          <w:rFonts w:ascii="Times New Roman" w:eastAsia="Times New Roman"/>
          <w:sz w:val="34"/>
        </w:rPr>
        <w:sectPr>
          <w:pgSz w:w="11910" w:h="16840"/>
          <w:pgMar w:top="1360" w:right="1160" w:bottom="1180" w:left="1200" w:header="0" w:footer="993" w:gutter="0"/>
          <w:cols w:equalWidth="0" w:num="2">
            <w:col w:w="2512" w:space="262"/>
            <w:col w:w="6776"/>
          </w:cols>
        </w:sectPr>
      </w:pPr>
    </w:p>
    <w:p>
      <w:pPr>
        <w:pStyle w:val="9"/>
        <w:spacing w:before="11"/>
        <w:rPr>
          <w:b/>
          <w:sz w:val="9"/>
        </w:rPr>
      </w:pPr>
    </w:p>
    <w:p>
      <w:pPr>
        <w:pStyle w:val="6"/>
        <w:numPr>
          <w:ilvl w:val="2"/>
          <w:numId w:val="27"/>
        </w:numPr>
        <w:tabs>
          <w:tab w:val="left" w:pos="848"/>
        </w:tabs>
        <w:spacing w:before="73" w:after="0" w:line="240" w:lineRule="auto"/>
        <w:ind w:left="847" w:right="0" w:hanging="630"/>
        <w:jc w:val="left"/>
        <w:rPr>
          <w:rFonts w:ascii="Times New Roman" w:eastAsia="Times New Roman"/>
        </w:rPr>
      </w:pPr>
      <w:bookmarkStart w:id="127" w:name="2.1.1双鸭山盟度矿业有限责任公司矿区概况"/>
      <w:bookmarkEnd w:id="127"/>
      <w:bookmarkStart w:id="128" w:name="2.1.1双鸭山盟度矿业有限责任公司矿区概况"/>
      <w:bookmarkEnd w:id="128"/>
      <w:r>
        <w:t>双鸭山盟度矿业有限责任公司矿区概况</w:t>
      </w:r>
    </w:p>
    <w:p>
      <w:pPr>
        <w:pStyle w:val="9"/>
        <w:spacing w:before="185"/>
        <w:ind w:left="736"/>
      </w:pPr>
      <w:r>
        <w:t>1、原盟度公司</w:t>
      </w:r>
    </w:p>
    <w:p>
      <w:pPr>
        <w:pStyle w:val="9"/>
        <w:spacing w:before="158" w:line="364" w:lineRule="auto"/>
        <w:ind w:left="218" w:right="257" w:firstLine="518"/>
        <w:jc w:val="both"/>
      </w:pPr>
      <w:r>
        <w:rPr>
          <w:spacing w:val="13"/>
        </w:rPr>
        <w:t>根据黑龙江省国土资源厅颁发的采矿许可证， 原盟度批准开采 12</w:t>
      </w:r>
      <w:r>
        <w:rPr>
          <w:spacing w:val="24"/>
        </w:rPr>
        <w:t>、</w:t>
      </w:r>
      <w:r>
        <w:rPr>
          <w:spacing w:val="13"/>
        </w:rPr>
        <w:t>14</w:t>
      </w:r>
      <w:r>
        <w:rPr>
          <w:spacing w:val="26"/>
        </w:rPr>
        <w:t>、</w:t>
      </w:r>
      <w:r>
        <w:rPr>
          <w:spacing w:val="4"/>
        </w:rPr>
        <w:t xml:space="preserve">16 </w:t>
      </w:r>
      <w:r>
        <w:rPr>
          <w:spacing w:val="14"/>
        </w:rPr>
        <w:t>三个煤层，证号为：</w:t>
      </w:r>
      <w:r>
        <w:rPr>
          <w:spacing w:val="8"/>
        </w:rPr>
        <w:t xml:space="preserve">C2300002009121120052937，矿区最大面积 </w:t>
      </w:r>
      <w:r>
        <w:rPr>
          <w:spacing w:val="10"/>
        </w:rPr>
        <w:t>4.7913km²</w:t>
      </w:r>
      <w:r>
        <w:rPr>
          <w:spacing w:val="3"/>
        </w:rPr>
        <w:t>。有效</w:t>
      </w:r>
      <w:r>
        <w:rPr>
          <w:spacing w:val="-6"/>
        </w:rPr>
        <w:t xml:space="preserve">期为 </w:t>
      </w:r>
      <w:r>
        <w:rPr>
          <w:spacing w:val="6"/>
        </w:rPr>
        <w:t>2020</w:t>
      </w:r>
      <w:r>
        <w:rPr>
          <w:spacing w:val="-26"/>
        </w:rPr>
        <w:t xml:space="preserve"> 年 </w:t>
      </w:r>
      <w:r>
        <w:t>1</w:t>
      </w:r>
      <w:r>
        <w:rPr>
          <w:spacing w:val="-27"/>
        </w:rPr>
        <w:t xml:space="preserve"> 月 </w:t>
      </w:r>
      <w:r>
        <w:t>1</w:t>
      </w:r>
      <w:r>
        <w:rPr>
          <w:spacing w:val="-16"/>
        </w:rPr>
        <w:t xml:space="preserve"> 日至 </w:t>
      </w:r>
      <w:r>
        <w:rPr>
          <w:spacing w:val="6"/>
        </w:rPr>
        <w:t>2021</w:t>
      </w:r>
      <w:r>
        <w:rPr>
          <w:spacing w:val="-25"/>
        </w:rPr>
        <w:t xml:space="preserve"> 年 </w:t>
      </w:r>
      <w:r>
        <w:t>1</w:t>
      </w:r>
      <w:r>
        <w:rPr>
          <w:spacing w:val="-28"/>
        </w:rPr>
        <w:t xml:space="preserve"> 月 </w:t>
      </w:r>
      <w:r>
        <w:rPr>
          <w:spacing w:val="3"/>
        </w:rPr>
        <w:t>14</w:t>
      </w:r>
      <w:r>
        <w:rPr>
          <w:spacing w:val="-15"/>
        </w:rPr>
        <w:t xml:space="preserve"> 日。</w:t>
      </w:r>
      <w:r>
        <w:rPr>
          <w:color w:val="FF0000"/>
          <w:spacing w:val="-5"/>
        </w:rPr>
        <w:t>开拓方式为片盘斜井，通风方式为中央</w:t>
      </w:r>
      <w:r>
        <w:rPr>
          <w:color w:val="FF0000"/>
          <w:spacing w:val="-3"/>
        </w:rPr>
        <w:t xml:space="preserve">并列式。各大生产系统运转正常，主井全长 </w:t>
      </w:r>
      <w:r>
        <w:rPr>
          <w:rFonts w:ascii="Times New Roman" w:hAnsi="Times New Roman" w:eastAsia="Times New Roman"/>
          <w:color w:val="FF0000"/>
        </w:rPr>
        <w:t xml:space="preserve">870m </w:t>
      </w:r>
      <w:r>
        <w:rPr>
          <w:color w:val="FF0000"/>
          <w:spacing w:val="-5"/>
        </w:rPr>
        <w:t xml:space="preserve">左右，主井平均断面 </w:t>
      </w:r>
      <w:r>
        <w:rPr>
          <w:rFonts w:ascii="Times New Roman" w:hAnsi="Times New Roman" w:eastAsia="Times New Roman"/>
          <w:color w:val="FF0000"/>
        </w:rPr>
        <w:t xml:space="preserve">5.9 </w:t>
      </w:r>
      <w:r>
        <w:rPr>
          <w:color w:val="FF0000"/>
        </w:rPr>
        <w:t>㎡，风井平</w:t>
      </w:r>
      <w:r>
        <w:rPr>
          <w:color w:val="FF0000"/>
          <w:spacing w:val="-16"/>
        </w:rPr>
        <w:t xml:space="preserve">均断面 </w:t>
      </w:r>
      <w:r>
        <w:rPr>
          <w:rFonts w:ascii="Times New Roman" w:hAnsi="Times New Roman" w:eastAsia="Times New Roman"/>
          <w:color w:val="FF0000"/>
        </w:rPr>
        <w:t xml:space="preserve">7 </w:t>
      </w:r>
      <w:r>
        <w:rPr>
          <w:color w:val="FF0000"/>
          <w:spacing w:val="-5"/>
        </w:rPr>
        <w:t xml:space="preserve">㎡，两条井筒平行，坡度均为 </w:t>
      </w:r>
      <w:r>
        <w:rPr>
          <w:rFonts w:ascii="Times New Roman" w:hAnsi="Times New Roman" w:eastAsia="Times New Roman"/>
          <w:color w:val="FF0000"/>
        </w:rPr>
        <w:t>23</w:t>
      </w:r>
      <w:r>
        <w:rPr>
          <w:color w:val="FF0000"/>
        </w:rPr>
        <w:t>°。井底标高</w:t>
      </w:r>
      <w:r>
        <w:rPr>
          <w:rFonts w:ascii="Times New Roman" w:hAnsi="Times New Roman" w:eastAsia="Times New Roman"/>
          <w:color w:val="FF0000"/>
        </w:rPr>
        <w:t>-31m</w:t>
      </w:r>
      <w:r>
        <w:rPr>
          <w:color w:val="FF0000"/>
        </w:rPr>
        <w:t>。</w:t>
      </w:r>
    </w:p>
    <w:p>
      <w:pPr>
        <w:pStyle w:val="9"/>
        <w:spacing w:line="306" w:lineRule="exact"/>
        <w:ind w:left="698"/>
      </w:pPr>
      <w:r>
        <w:t>矿区范围拐点坐标见下表。</w:t>
      </w:r>
    </w:p>
    <w:p>
      <w:pPr>
        <w:spacing w:before="160"/>
        <w:ind w:left="2592" w:right="0" w:firstLine="0"/>
        <w:jc w:val="left"/>
        <w:rPr>
          <w:b/>
          <w:sz w:val="21"/>
        </w:rPr>
      </w:pPr>
      <w:r>
        <w:rPr>
          <w:b/>
          <w:sz w:val="21"/>
        </w:rPr>
        <w:t>表</w:t>
      </w:r>
      <w:r>
        <w:rPr>
          <w:rFonts w:ascii="Times New Roman" w:eastAsia="Times New Roman"/>
          <w:b/>
          <w:sz w:val="21"/>
        </w:rPr>
        <w:t xml:space="preserve">2.1-1 </w:t>
      </w:r>
      <w:r>
        <w:rPr>
          <w:b/>
          <w:sz w:val="21"/>
        </w:rPr>
        <w:t>原矿区范围拐点坐标表（</w:t>
      </w:r>
      <w:r>
        <w:rPr>
          <w:rFonts w:ascii="Times New Roman" w:eastAsia="Times New Roman"/>
          <w:b/>
          <w:sz w:val="21"/>
        </w:rPr>
        <w:t>2000</w:t>
      </w:r>
      <w:r>
        <w:rPr>
          <w:b/>
          <w:sz w:val="21"/>
        </w:rPr>
        <w:t>坐标系）</w:t>
      </w:r>
    </w:p>
    <w:p>
      <w:pPr>
        <w:pStyle w:val="9"/>
        <w:spacing w:before="9" w:after="1"/>
        <w:rPr>
          <w:b/>
          <w:sz w:val="10"/>
        </w:rPr>
      </w:pPr>
    </w:p>
    <w:tbl>
      <w:tblPr>
        <w:tblStyle w:val="15"/>
        <w:tblW w:w="0" w:type="auto"/>
        <w:tblInd w:w="47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72"/>
        <w:gridCol w:w="1800"/>
        <w:gridCol w:w="1800"/>
        <w:gridCol w:w="900"/>
        <w:gridCol w:w="1596"/>
        <w:gridCol w:w="170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3" w:hRule="atLeast"/>
        </w:trPr>
        <w:tc>
          <w:tcPr>
            <w:tcW w:w="772" w:type="dxa"/>
            <w:tcBorders>
              <w:bottom w:val="single" w:color="000000" w:sz="4" w:space="0"/>
              <w:right w:val="single" w:color="000000" w:sz="4" w:space="0"/>
            </w:tcBorders>
          </w:tcPr>
          <w:p>
            <w:pPr>
              <w:pStyle w:val="19"/>
              <w:spacing w:before="132"/>
              <w:ind w:left="154" w:right="142"/>
              <w:rPr>
                <w:sz w:val="21"/>
              </w:rPr>
            </w:pPr>
            <w:r>
              <w:rPr>
                <w:sz w:val="21"/>
              </w:rPr>
              <w:t>点号</w:t>
            </w:r>
          </w:p>
        </w:tc>
        <w:tc>
          <w:tcPr>
            <w:tcW w:w="1800" w:type="dxa"/>
            <w:tcBorders>
              <w:left w:val="single" w:color="000000" w:sz="4" w:space="0"/>
              <w:bottom w:val="single" w:color="000000" w:sz="4" w:space="0"/>
              <w:right w:val="single" w:color="000000" w:sz="4" w:space="0"/>
            </w:tcBorders>
          </w:tcPr>
          <w:p>
            <w:pPr>
              <w:pStyle w:val="19"/>
              <w:spacing w:before="132"/>
              <w:ind w:left="16"/>
              <w:rPr>
                <w:sz w:val="21"/>
              </w:rPr>
            </w:pPr>
            <w:r>
              <w:rPr>
                <w:w w:val="99"/>
                <w:sz w:val="21"/>
              </w:rPr>
              <w:t>X</w:t>
            </w:r>
          </w:p>
        </w:tc>
        <w:tc>
          <w:tcPr>
            <w:tcW w:w="1800" w:type="dxa"/>
            <w:tcBorders>
              <w:left w:val="single" w:color="000000" w:sz="4" w:space="0"/>
              <w:bottom w:val="single" w:color="000000" w:sz="4" w:space="0"/>
              <w:right w:val="single" w:color="000000" w:sz="4" w:space="0"/>
            </w:tcBorders>
          </w:tcPr>
          <w:p>
            <w:pPr>
              <w:pStyle w:val="19"/>
              <w:spacing w:before="132"/>
              <w:ind w:left="16"/>
              <w:rPr>
                <w:sz w:val="21"/>
              </w:rPr>
            </w:pPr>
            <w:r>
              <w:rPr>
                <w:w w:val="99"/>
                <w:sz w:val="21"/>
              </w:rPr>
              <w:t>Y</w:t>
            </w:r>
          </w:p>
        </w:tc>
        <w:tc>
          <w:tcPr>
            <w:tcW w:w="900" w:type="dxa"/>
            <w:tcBorders>
              <w:left w:val="single" w:color="000000" w:sz="4" w:space="0"/>
              <w:bottom w:val="single" w:color="000000" w:sz="4" w:space="0"/>
              <w:right w:val="single" w:color="000000" w:sz="4" w:space="0"/>
            </w:tcBorders>
          </w:tcPr>
          <w:p>
            <w:pPr>
              <w:pStyle w:val="19"/>
              <w:spacing w:before="132"/>
              <w:ind w:left="222" w:right="207"/>
              <w:rPr>
                <w:sz w:val="21"/>
              </w:rPr>
            </w:pPr>
            <w:r>
              <w:rPr>
                <w:sz w:val="21"/>
              </w:rPr>
              <w:t>点号</w:t>
            </w:r>
          </w:p>
        </w:tc>
        <w:tc>
          <w:tcPr>
            <w:tcW w:w="1596" w:type="dxa"/>
            <w:tcBorders>
              <w:left w:val="single" w:color="000000" w:sz="4" w:space="0"/>
              <w:bottom w:val="single" w:color="000000" w:sz="4" w:space="0"/>
              <w:right w:val="single" w:color="000000" w:sz="4" w:space="0"/>
            </w:tcBorders>
          </w:tcPr>
          <w:p>
            <w:pPr>
              <w:pStyle w:val="19"/>
              <w:spacing w:before="132"/>
              <w:ind w:left="19"/>
              <w:rPr>
                <w:sz w:val="21"/>
              </w:rPr>
            </w:pPr>
            <w:r>
              <w:rPr>
                <w:w w:val="99"/>
                <w:sz w:val="21"/>
              </w:rPr>
              <w:t>X</w:t>
            </w:r>
          </w:p>
        </w:tc>
        <w:tc>
          <w:tcPr>
            <w:tcW w:w="1704" w:type="dxa"/>
            <w:tcBorders>
              <w:left w:val="single" w:color="000000" w:sz="4" w:space="0"/>
              <w:bottom w:val="single" w:color="000000" w:sz="4" w:space="0"/>
            </w:tcBorders>
          </w:tcPr>
          <w:p>
            <w:pPr>
              <w:pStyle w:val="19"/>
              <w:spacing w:before="132"/>
              <w:ind w:left="21"/>
              <w:rPr>
                <w:sz w:val="21"/>
              </w:rPr>
            </w:pPr>
            <w:r>
              <w:rPr>
                <w:w w:val="99"/>
                <w:sz w:val="21"/>
              </w:rPr>
              <w:t>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5" w:hRule="atLeast"/>
        </w:trPr>
        <w:tc>
          <w:tcPr>
            <w:tcW w:w="772" w:type="dxa"/>
            <w:tcBorders>
              <w:top w:val="single" w:color="000000" w:sz="4" w:space="0"/>
              <w:bottom w:val="single" w:color="000000" w:sz="4" w:space="0"/>
              <w:right w:val="single" w:color="000000" w:sz="4" w:space="0"/>
            </w:tcBorders>
          </w:tcPr>
          <w:p>
            <w:pPr>
              <w:pStyle w:val="19"/>
              <w:spacing w:before="141"/>
              <w:ind w:left="11"/>
              <w:rPr>
                <w:sz w:val="21"/>
              </w:rPr>
            </w:pPr>
            <w:r>
              <w:rPr>
                <w:w w:val="99"/>
                <w:sz w:val="21"/>
              </w:rPr>
              <w:t>1</w:t>
            </w:r>
          </w:p>
        </w:tc>
        <w:tc>
          <w:tcPr>
            <w:tcW w:w="1800" w:type="dxa"/>
            <w:tcBorders>
              <w:top w:val="single" w:color="000000" w:sz="4" w:space="0"/>
              <w:left w:val="single" w:color="000000" w:sz="4" w:space="0"/>
              <w:bottom w:val="single" w:color="000000" w:sz="4" w:space="0"/>
              <w:right w:val="single" w:color="000000" w:sz="4" w:space="0"/>
            </w:tcBorders>
          </w:tcPr>
          <w:p>
            <w:pPr>
              <w:pStyle w:val="19"/>
              <w:spacing w:before="141"/>
              <w:ind w:left="305" w:right="289"/>
              <w:rPr>
                <w:sz w:val="21"/>
              </w:rPr>
            </w:pPr>
            <w:r>
              <w:rPr>
                <w:sz w:val="21"/>
              </w:rPr>
              <w:t>5142960.16</w:t>
            </w:r>
          </w:p>
        </w:tc>
        <w:tc>
          <w:tcPr>
            <w:tcW w:w="1800" w:type="dxa"/>
            <w:tcBorders>
              <w:top w:val="single" w:color="000000" w:sz="4" w:space="0"/>
              <w:left w:val="single" w:color="000000" w:sz="4" w:space="0"/>
              <w:bottom w:val="single" w:color="000000" w:sz="4" w:space="0"/>
              <w:right w:val="single" w:color="000000" w:sz="4" w:space="0"/>
            </w:tcBorders>
          </w:tcPr>
          <w:p>
            <w:pPr>
              <w:pStyle w:val="19"/>
              <w:spacing w:before="141"/>
              <w:ind w:left="305" w:right="289"/>
              <w:rPr>
                <w:sz w:val="21"/>
              </w:rPr>
            </w:pPr>
            <w:r>
              <w:rPr>
                <w:sz w:val="21"/>
              </w:rPr>
              <w:t>44431037.47</w:t>
            </w:r>
          </w:p>
        </w:tc>
        <w:tc>
          <w:tcPr>
            <w:tcW w:w="900" w:type="dxa"/>
            <w:tcBorders>
              <w:top w:val="single" w:color="000000" w:sz="4" w:space="0"/>
              <w:left w:val="single" w:color="000000" w:sz="4" w:space="0"/>
              <w:bottom w:val="single" w:color="000000" w:sz="4" w:space="0"/>
              <w:right w:val="single" w:color="000000" w:sz="4" w:space="0"/>
            </w:tcBorders>
          </w:tcPr>
          <w:p>
            <w:pPr>
              <w:pStyle w:val="19"/>
              <w:spacing w:before="141"/>
              <w:ind w:left="19"/>
              <w:rPr>
                <w:sz w:val="21"/>
              </w:rPr>
            </w:pPr>
            <w:r>
              <w:rPr>
                <w:w w:val="99"/>
                <w:sz w:val="21"/>
              </w:rPr>
              <w:t>2</w:t>
            </w:r>
          </w:p>
        </w:tc>
        <w:tc>
          <w:tcPr>
            <w:tcW w:w="1596" w:type="dxa"/>
            <w:tcBorders>
              <w:top w:val="single" w:color="000000" w:sz="4" w:space="0"/>
              <w:left w:val="single" w:color="000000" w:sz="4" w:space="0"/>
              <w:bottom w:val="single" w:color="000000" w:sz="4" w:space="0"/>
              <w:right w:val="single" w:color="000000" w:sz="4" w:space="0"/>
            </w:tcBorders>
          </w:tcPr>
          <w:p>
            <w:pPr>
              <w:pStyle w:val="19"/>
              <w:spacing w:before="141"/>
              <w:ind w:left="257" w:right="238"/>
              <w:rPr>
                <w:sz w:val="21"/>
              </w:rPr>
            </w:pPr>
            <w:r>
              <w:rPr>
                <w:sz w:val="21"/>
              </w:rPr>
              <w:t>5142605.16</w:t>
            </w:r>
          </w:p>
        </w:tc>
        <w:tc>
          <w:tcPr>
            <w:tcW w:w="1704" w:type="dxa"/>
            <w:tcBorders>
              <w:top w:val="single" w:color="000000" w:sz="4" w:space="0"/>
              <w:left w:val="single" w:color="000000" w:sz="4" w:space="0"/>
              <w:bottom w:val="single" w:color="000000" w:sz="4" w:space="0"/>
            </w:tcBorders>
          </w:tcPr>
          <w:p>
            <w:pPr>
              <w:pStyle w:val="19"/>
              <w:spacing w:before="141"/>
              <w:ind w:left="257" w:right="236"/>
              <w:rPr>
                <w:sz w:val="21"/>
              </w:rPr>
            </w:pPr>
            <w:r>
              <w:rPr>
                <w:sz w:val="21"/>
              </w:rPr>
              <w:t>44432702.48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4" w:hRule="atLeast"/>
        </w:trPr>
        <w:tc>
          <w:tcPr>
            <w:tcW w:w="772" w:type="dxa"/>
            <w:tcBorders>
              <w:top w:val="single" w:color="000000" w:sz="4" w:space="0"/>
              <w:bottom w:val="single" w:color="000000" w:sz="4" w:space="0"/>
              <w:right w:val="single" w:color="000000" w:sz="4" w:space="0"/>
            </w:tcBorders>
          </w:tcPr>
          <w:p>
            <w:pPr>
              <w:pStyle w:val="19"/>
              <w:spacing w:before="146"/>
              <w:ind w:left="11"/>
              <w:rPr>
                <w:sz w:val="21"/>
              </w:rPr>
            </w:pPr>
            <w:r>
              <w:rPr>
                <w:w w:val="99"/>
                <w:sz w:val="21"/>
              </w:rPr>
              <w:t>3</w:t>
            </w:r>
          </w:p>
        </w:tc>
        <w:tc>
          <w:tcPr>
            <w:tcW w:w="1800" w:type="dxa"/>
            <w:tcBorders>
              <w:top w:val="single" w:color="000000" w:sz="4" w:space="0"/>
              <w:left w:val="single" w:color="000000" w:sz="4" w:space="0"/>
              <w:bottom w:val="single" w:color="000000" w:sz="4" w:space="0"/>
              <w:right w:val="single" w:color="000000" w:sz="4" w:space="0"/>
            </w:tcBorders>
          </w:tcPr>
          <w:p>
            <w:pPr>
              <w:pStyle w:val="19"/>
              <w:spacing w:before="146"/>
              <w:ind w:left="305" w:right="289"/>
              <w:rPr>
                <w:sz w:val="21"/>
              </w:rPr>
            </w:pPr>
            <w:r>
              <w:rPr>
                <w:sz w:val="21"/>
              </w:rPr>
              <w:t>5139950.15</w:t>
            </w:r>
          </w:p>
        </w:tc>
        <w:tc>
          <w:tcPr>
            <w:tcW w:w="1800" w:type="dxa"/>
            <w:tcBorders>
              <w:top w:val="single" w:color="000000" w:sz="4" w:space="0"/>
              <w:left w:val="single" w:color="000000" w:sz="4" w:space="0"/>
              <w:bottom w:val="single" w:color="000000" w:sz="4" w:space="0"/>
              <w:right w:val="single" w:color="000000" w:sz="4" w:space="0"/>
            </w:tcBorders>
          </w:tcPr>
          <w:p>
            <w:pPr>
              <w:pStyle w:val="19"/>
              <w:spacing w:before="146"/>
              <w:ind w:left="305" w:right="289"/>
              <w:rPr>
                <w:sz w:val="21"/>
              </w:rPr>
            </w:pPr>
            <w:r>
              <w:rPr>
                <w:sz w:val="21"/>
              </w:rPr>
              <w:t>44433407.50</w:t>
            </w:r>
          </w:p>
        </w:tc>
        <w:tc>
          <w:tcPr>
            <w:tcW w:w="900" w:type="dxa"/>
            <w:tcBorders>
              <w:top w:val="single" w:color="000000" w:sz="4" w:space="0"/>
              <w:left w:val="single" w:color="000000" w:sz="4" w:space="0"/>
              <w:bottom w:val="single" w:color="000000" w:sz="4" w:space="0"/>
              <w:right w:val="single" w:color="000000" w:sz="4" w:space="0"/>
            </w:tcBorders>
          </w:tcPr>
          <w:p>
            <w:pPr>
              <w:pStyle w:val="19"/>
              <w:spacing w:before="146"/>
              <w:ind w:left="19"/>
              <w:rPr>
                <w:sz w:val="21"/>
              </w:rPr>
            </w:pPr>
            <w:r>
              <w:rPr>
                <w:w w:val="99"/>
                <w:sz w:val="21"/>
              </w:rPr>
              <w:t>4</w:t>
            </w:r>
          </w:p>
        </w:tc>
        <w:tc>
          <w:tcPr>
            <w:tcW w:w="1596" w:type="dxa"/>
            <w:tcBorders>
              <w:top w:val="single" w:color="000000" w:sz="4" w:space="0"/>
              <w:left w:val="single" w:color="000000" w:sz="4" w:space="0"/>
              <w:bottom w:val="single" w:color="000000" w:sz="4" w:space="0"/>
              <w:right w:val="single" w:color="000000" w:sz="4" w:space="0"/>
            </w:tcBorders>
          </w:tcPr>
          <w:p>
            <w:pPr>
              <w:pStyle w:val="19"/>
              <w:spacing w:before="146"/>
              <w:ind w:left="257" w:right="238"/>
              <w:rPr>
                <w:sz w:val="21"/>
              </w:rPr>
            </w:pPr>
            <w:r>
              <w:rPr>
                <w:sz w:val="21"/>
              </w:rPr>
              <w:t>5140310.15</w:t>
            </w:r>
          </w:p>
        </w:tc>
        <w:tc>
          <w:tcPr>
            <w:tcW w:w="1704" w:type="dxa"/>
            <w:tcBorders>
              <w:top w:val="single" w:color="000000" w:sz="4" w:space="0"/>
              <w:left w:val="single" w:color="000000" w:sz="4" w:space="0"/>
              <w:bottom w:val="single" w:color="000000" w:sz="4" w:space="0"/>
            </w:tcBorders>
          </w:tcPr>
          <w:p>
            <w:pPr>
              <w:pStyle w:val="19"/>
              <w:spacing w:before="146"/>
              <w:ind w:left="257" w:right="236"/>
              <w:rPr>
                <w:sz w:val="21"/>
              </w:rPr>
            </w:pPr>
            <w:r>
              <w:rPr>
                <w:sz w:val="21"/>
              </w:rPr>
              <w:t>44432387.49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772" w:type="dxa"/>
            <w:tcBorders>
              <w:top w:val="single" w:color="000000" w:sz="4" w:space="0"/>
              <w:bottom w:val="single" w:color="000000" w:sz="4" w:space="0"/>
              <w:right w:val="single" w:color="000000" w:sz="4" w:space="0"/>
            </w:tcBorders>
          </w:tcPr>
          <w:p>
            <w:pPr>
              <w:pStyle w:val="19"/>
              <w:spacing w:before="136"/>
              <w:ind w:left="11"/>
              <w:rPr>
                <w:sz w:val="21"/>
              </w:rPr>
            </w:pPr>
            <w:r>
              <w:rPr>
                <w:w w:val="99"/>
                <w:sz w:val="21"/>
              </w:rPr>
              <w:t>5</w:t>
            </w:r>
          </w:p>
        </w:tc>
        <w:tc>
          <w:tcPr>
            <w:tcW w:w="1800" w:type="dxa"/>
            <w:tcBorders>
              <w:top w:val="single" w:color="000000" w:sz="4" w:space="0"/>
              <w:left w:val="single" w:color="000000" w:sz="4" w:space="0"/>
              <w:bottom w:val="single" w:color="000000" w:sz="4" w:space="0"/>
              <w:right w:val="single" w:color="000000" w:sz="4" w:space="0"/>
            </w:tcBorders>
          </w:tcPr>
          <w:p>
            <w:pPr>
              <w:pStyle w:val="19"/>
              <w:spacing w:before="136"/>
              <w:ind w:left="305" w:right="289"/>
              <w:rPr>
                <w:sz w:val="21"/>
              </w:rPr>
            </w:pPr>
            <w:r>
              <w:rPr>
                <w:sz w:val="21"/>
              </w:rPr>
              <w:t>5141895.15</w:t>
            </w:r>
          </w:p>
        </w:tc>
        <w:tc>
          <w:tcPr>
            <w:tcW w:w="1800" w:type="dxa"/>
            <w:tcBorders>
              <w:top w:val="single" w:color="000000" w:sz="4" w:space="0"/>
              <w:left w:val="single" w:color="000000" w:sz="4" w:space="0"/>
              <w:bottom w:val="single" w:color="000000" w:sz="4" w:space="0"/>
              <w:right w:val="single" w:color="000000" w:sz="4" w:space="0"/>
            </w:tcBorders>
          </w:tcPr>
          <w:p>
            <w:pPr>
              <w:pStyle w:val="19"/>
              <w:spacing w:before="136"/>
              <w:ind w:left="305" w:right="289"/>
              <w:rPr>
                <w:sz w:val="21"/>
              </w:rPr>
            </w:pPr>
            <w:r>
              <w:rPr>
                <w:sz w:val="21"/>
              </w:rPr>
              <w:t>44430167.47</w:t>
            </w:r>
          </w:p>
        </w:tc>
        <w:tc>
          <w:tcPr>
            <w:tcW w:w="900" w:type="dxa"/>
            <w:tcBorders>
              <w:top w:val="single" w:color="000000" w:sz="4" w:space="0"/>
              <w:left w:val="single" w:color="000000" w:sz="4" w:space="0"/>
              <w:bottom w:val="single" w:color="000000" w:sz="4" w:space="0"/>
              <w:right w:val="single" w:color="000000" w:sz="4" w:space="0"/>
            </w:tcBorders>
          </w:tcPr>
          <w:p>
            <w:pPr>
              <w:pStyle w:val="19"/>
              <w:spacing w:before="136"/>
              <w:ind w:left="19"/>
              <w:rPr>
                <w:sz w:val="21"/>
              </w:rPr>
            </w:pPr>
            <w:r>
              <w:rPr>
                <w:w w:val="99"/>
                <w:sz w:val="21"/>
              </w:rPr>
              <w:t>6</w:t>
            </w:r>
          </w:p>
        </w:tc>
        <w:tc>
          <w:tcPr>
            <w:tcW w:w="1596" w:type="dxa"/>
            <w:tcBorders>
              <w:top w:val="single" w:color="000000" w:sz="4" w:space="0"/>
              <w:left w:val="single" w:color="000000" w:sz="4" w:space="0"/>
              <w:bottom w:val="single" w:color="000000" w:sz="4" w:space="0"/>
              <w:right w:val="single" w:color="000000" w:sz="4" w:space="0"/>
            </w:tcBorders>
          </w:tcPr>
          <w:p>
            <w:pPr>
              <w:pStyle w:val="19"/>
              <w:spacing w:before="136"/>
              <w:ind w:left="257" w:right="238"/>
              <w:rPr>
                <w:sz w:val="21"/>
              </w:rPr>
            </w:pPr>
            <w:r>
              <w:rPr>
                <w:sz w:val="21"/>
              </w:rPr>
              <w:t>5142330.15</w:t>
            </w:r>
          </w:p>
        </w:tc>
        <w:tc>
          <w:tcPr>
            <w:tcW w:w="1704" w:type="dxa"/>
            <w:tcBorders>
              <w:top w:val="single" w:color="000000" w:sz="4" w:space="0"/>
              <w:left w:val="single" w:color="000000" w:sz="4" w:space="0"/>
              <w:bottom w:val="single" w:color="000000" w:sz="4" w:space="0"/>
            </w:tcBorders>
          </w:tcPr>
          <w:p>
            <w:pPr>
              <w:pStyle w:val="19"/>
              <w:spacing w:before="136"/>
              <w:ind w:left="257" w:right="236"/>
              <w:rPr>
                <w:sz w:val="21"/>
              </w:rPr>
            </w:pPr>
            <w:r>
              <w:rPr>
                <w:sz w:val="21"/>
              </w:rPr>
              <w:t>44431037.47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1" w:hRule="atLeast"/>
        </w:trPr>
        <w:tc>
          <w:tcPr>
            <w:tcW w:w="8572" w:type="dxa"/>
            <w:gridSpan w:val="6"/>
            <w:tcBorders>
              <w:top w:val="single" w:color="000000" w:sz="4" w:space="0"/>
            </w:tcBorders>
          </w:tcPr>
          <w:p>
            <w:pPr>
              <w:pStyle w:val="19"/>
              <w:spacing w:before="139"/>
              <w:ind w:left="219"/>
              <w:jc w:val="left"/>
              <w:rPr>
                <w:sz w:val="21"/>
              </w:rPr>
            </w:pPr>
            <w:r>
              <w:rPr>
                <w:sz w:val="21"/>
              </w:rPr>
              <w:t>开采标高：12</w:t>
            </w:r>
            <w:r>
              <w:rPr>
                <w:spacing w:val="-23"/>
                <w:sz w:val="21"/>
              </w:rPr>
              <w:t xml:space="preserve"> 号煤层 </w:t>
            </w:r>
            <w:r>
              <w:rPr>
                <w:sz w:val="21"/>
              </w:rPr>
              <w:t>350m</w:t>
            </w:r>
            <w:r>
              <w:rPr>
                <w:spacing w:val="-28"/>
                <w:sz w:val="21"/>
              </w:rPr>
              <w:t xml:space="preserve"> 至</w:t>
            </w:r>
            <w:r>
              <w:rPr>
                <w:sz w:val="21"/>
              </w:rPr>
              <w:t>-150m，14</w:t>
            </w:r>
            <w:r>
              <w:rPr>
                <w:spacing w:val="-22"/>
                <w:sz w:val="21"/>
              </w:rPr>
              <w:t xml:space="preserve"> 号煤层 </w:t>
            </w:r>
            <w:r>
              <w:rPr>
                <w:sz w:val="21"/>
              </w:rPr>
              <w:t>350m</w:t>
            </w:r>
            <w:r>
              <w:rPr>
                <w:spacing w:val="-28"/>
                <w:sz w:val="21"/>
              </w:rPr>
              <w:t xml:space="preserve"> 至</w:t>
            </w:r>
            <w:r>
              <w:rPr>
                <w:sz w:val="21"/>
              </w:rPr>
              <w:t>-250m，16</w:t>
            </w:r>
            <w:r>
              <w:rPr>
                <w:spacing w:val="-23"/>
                <w:sz w:val="21"/>
              </w:rPr>
              <w:t xml:space="preserve"> 号煤层 </w:t>
            </w:r>
            <w:r>
              <w:rPr>
                <w:sz w:val="21"/>
              </w:rPr>
              <w:t>350m</w:t>
            </w:r>
            <w:r>
              <w:rPr>
                <w:spacing w:val="-29"/>
                <w:sz w:val="21"/>
              </w:rPr>
              <w:t xml:space="preserve"> 至</w:t>
            </w:r>
            <w:r>
              <w:rPr>
                <w:sz w:val="21"/>
              </w:rPr>
              <w:t>-300m。</w:t>
            </w:r>
          </w:p>
        </w:tc>
      </w:tr>
    </w:tbl>
    <w:p>
      <w:pPr>
        <w:pStyle w:val="9"/>
        <w:spacing w:before="3"/>
        <w:ind w:left="736"/>
      </w:pPr>
      <w:r>
        <w:t>2、原弘泰六矿</w:t>
      </w:r>
    </w:p>
    <w:p>
      <w:pPr>
        <w:pStyle w:val="9"/>
        <w:spacing w:before="158" w:line="364" w:lineRule="auto"/>
        <w:ind w:left="218" w:right="133" w:firstLine="518"/>
      </w:pPr>
      <w:r>
        <w:rPr>
          <w:spacing w:val="16"/>
        </w:rPr>
        <w:t>根据黑龙江省国土资源厅颁发的采矿许可证，双鸭山市弘泰物流有限公司第</w:t>
      </w:r>
      <w:r>
        <w:rPr>
          <w:spacing w:val="9"/>
        </w:rPr>
        <w:t>六煤矿批准开采 5</w:t>
      </w:r>
      <w:r>
        <w:rPr>
          <w:spacing w:val="-12"/>
        </w:rPr>
        <w:t>、</w:t>
      </w:r>
      <w:r>
        <w:t>9</w:t>
      </w:r>
      <w:r>
        <w:rPr>
          <w:spacing w:val="2"/>
        </w:rPr>
        <w:t xml:space="preserve"> 两个煤层，证号为 </w:t>
      </w:r>
      <w:r>
        <w:rPr>
          <w:spacing w:val="8"/>
        </w:rPr>
        <w:t>C2300002009121120052939</w:t>
      </w:r>
      <w:r>
        <w:rPr>
          <w:spacing w:val="13"/>
        </w:rPr>
        <w:t>，矿区最大面</w:t>
      </w:r>
      <w:r>
        <w:rPr>
          <w:spacing w:val="-12"/>
        </w:rPr>
        <w:t xml:space="preserve">积 </w:t>
      </w:r>
      <w:r>
        <w:rPr>
          <w:spacing w:val="10"/>
        </w:rPr>
        <w:t>0.2385km²</w:t>
      </w:r>
      <w:r>
        <w:rPr>
          <w:spacing w:val="-2"/>
        </w:rPr>
        <w:t xml:space="preserve">。有效期为 </w:t>
      </w:r>
      <w:r>
        <w:rPr>
          <w:spacing w:val="6"/>
        </w:rPr>
        <w:t>2012</w:t>
      </w:r>
      <w:r>
        <w:rPr>
          <w:spacing w:val="-26"/>
        </w:rPr>
        <w:t xml:space="preserve"> 年 </w:t>
      </w:r>
      <w:r>
        <w:t>7</w:t>
      </w:r>
      <w:r>
        <w:rPr>
          <w:spacing w:val="-27"/>
        </w:rPr>
        <w:t xml:space="preserve"> 月 </w:t>
      </w:r>
      <w:r>
        <w:t>1</w:t>
      </w:r>
      <w:r>
        <w:rPr>
          <w:spacing w:val="-15"/>
        </w:rPr>
        <w:t xml:space="preserve"> 日至 </w:t>
      </w:r>
      <w:r>
        <w:rPr>
          <w:spacing w:val="6"/>
        </w:rPr>
        <w:t>2015</w:t>
      </w:r>
      <w:r>
        <w:rPr>
          <w:spacing w:val="-26"/>
        </w:rPr>
        <w:t xml:space="preserve"> 年 </w:t>
      </w:r>
      <w:r>
        <w:rPr>
          <w:spacing w:val="3"/>
        </w:rPr>
        <w:t>10</w:t>
      </w:r>
      <w:r>
        <w:rPr>
          <w:spacing w:val="-26"/>
        </w:rPr>
        <w:t xml:space="preserve"> 月 </w:t>
      </w:r>
      <w:r>
        <w:rPr>
          <w:spacing w:val="3"/>
        </w:rPr>
        <w:t>11</w:t>
      </w:r>
      <w:r>
        <w:rPr>
          <w:spacing w:val="-17"/>
        </w:rPr>
        <w:t xml:space="preserve"> 日。</w:t>
      </w:r>
      <w:r>
        <w:rPr>
          <w:color w:val="FF0000"/>
        </w:rPr>
        <w:t>开拓方式片盘斜</w:t>
      </w:r>
      <w:r>
        <w:rPr>
          <w:color w:val="FF0000"/>
          <w:spacing w:val="-9"/>
        </w:rPr>
        <w:t xml:space="preserve">井，中央并列式通风，串车提升、集中排水。主井长度 </w:t>
      </w:r>
      <w:r>
        <w:rPr>
          <w:rFonts w:ascii="Times New Roman" w:hAnsi="Times New Roman" w:eastAsia="Times New Roman"/>
          <w:color w:val="FF0000"/>
        </w:rPr>
        <w:t>860m</w:t>
      </w:r>
      <w:r>
        <w:rPr>
          <w:color w:val="FF0000"/>
          <w:spacing w:val="-16"/>
        </w:rPr>
        <w:t xml:space="preserve">，坡度 </w:t>
      </w:r>
      <w:r>
        <w:rPr>
          <w:rFonts w:ascii="Times New Roman" w:hAnsi="Times New Roman" w:eastAsia="Times New Roman"/>
          <w:color w:val="FF0000"/>
          <w:spacing w:val="-3"/>
        </w:rPr>
        <w:t>19</w:t>
      </w:r>
      <w:r>
        <w:rPr>
          <w:color w:val="FF0000"/>
          <w:spacing w:val="-14"/>
        </w:rPr>
        <w:t xml:space="preserve">°，断面 </w:t>
      </w:r>
      <w:r>
        <w:rPr>
          <w:rFonts w:ascii="Times New Roman" w:hAnsi="Times New Roman" w:eastAsia="Times New Roman"/>
          <w:color w:val="FF0000"/>
        </w:rPr>
        <w:t xml:space="preserve">7.0 </w:t>
      </w:r>
      <w:r>
        <w:rPr>
          <w:color w:val="FF0000"/>
          <w:spacing w:val="-7"/>
        </w:rPr>
        <w:t>㎡。</w:t>
      </w:r>
      <w:r>
        <w:rPr>
          <w:color w:val="FF0000"/>
          <w:spacing w:val="-12"/>
        </w:rPr>
        <w:t xml:space="preserve">风井长度 </w:t>
      </w:r>
      <w:r>
        <w:rPr>
          <w:rFonts w:ascii="Times New Roman" w:hAnsi="Times New Roman" w:eastAsia="Times New Roman"/>
          <w:color w:val="FF0000"/>
        </w:rPr>
        <w:t>680m</w:t>
      </w:r>
      <w:r>
        <w:rPr>
          <w:color w:val="FF0000"/>
          <w:spacing w:val="-14"/>
        </w:rPr>
        <w:t xml:space="preserve">，坡度 </w:t>
      </w:r>
      <w:r>
        <w:rPr>
          <w:rFonts w:ascii="Times New Roman" w:hAnsi="Times New Roman" w:eastAsia="Times New Roman"/>
          <w:color w:val="FF0000"/>
        </w:rPr>
        <w:t>20</w:t>
      </w:r>
      <w:r>
        <w:rPr>
          <w:color w:val="FF0000"/>
          <w:spacing w:val="-11"/>
        </w:rPr>
        <w:t xml:space="preserve">°，断面 </w:t>
      </w:r>
      <w:r>
        <w:rPr>
          <w:rFonts w:ascii="Times New Roman" w:hAnsi="Times New Roman" w:eastAsia="Times New Roman"/>
          <w:color w:val="FF0000"/>
        </w:rPr>
        <w:t xml:space="preserve">7.0 </w:t>
      </w:r>
      <w:r>
        <w:rPr>
          <w:color w:val="FF0000"/>
        </w:rPr>
        <w:t>㎡。两条井筒平行，井底标高为</w:t>
      </w:r>
      <w:r>
        <w:rPr>
          <w:rFonts w:ascii="Times New Roman" w:hAnsi="Times New Roman" w:eastAsia="Times New Roman"/>
          <w:color w:val="FF0000"/>
        </w:rPr>
        <w:t>+125m</w:t>
      </w:r>
      <w:r>
        <w:rPr>
          <w:color w:val="FF0000"/>
        </w:rPr>
        <w:t>。</w:t>
      </w:r>
      <w:r>
        <w:rPr>
          <w:spacing w:val="14"/>
        </w:rPr>
        <w:t>原弘泰</w:t>
      </w:r>
      <w:r>
        <w:rPr>
          <w:spacing w:val="17"/>
        </w:rPr>
        <w:t>六矿矿区范围拐点坐标见下表。</w:t>
      </w:r>
    </w:p>
    <w:p>
      <w:pPr>
        <w:spacing w:before="0" w:line="264" w:lineRule="exact"/>
        <w:ind w:left="2592" w:right="0" w:firstLine="0"/>
        <w:jc w:val="left"/>
        <w:rPr>
          <w:b/>
          <w:sz w:val="21"/>
        </w:rPr>
      </w:pPr>
      <w:r>
        <w:rPr>
          <w:b/>
          <w:sz w:val="21"/>
        </w:rPr>
        <w:t>表</w:t>
      </w:r>
      <w:r>
        <w:rPr>
          <w:rFonts w:ascii="Times New Roman" w:eastAsia="Times New Roman"/>
          <w:b/>
          <w:sz w:val="21"/>
        </w:rPr>
        <w:t xml:space="preserve">2.1-2 </w:t>
      </w:r>
      <w:r>
        <w:rPr>
          <w:b/>
          <w:sz w:val="21"/>
        </w:rPr>
        <w:t>原矿区范围拐点坐标表（</w:t>
      </w:r>
      <w:r>
        <w:rPr>
          <w:rFonts w:ascii="Times New Roman" w:eastAsia="Times New Roman"/>
          <w:b/>
          <w:sz w:val="21"/>
        </w:rPr>
        <w:t>2000</w:t>
      </w:r>
      <w:r>
        <w:rPr>
          <w:b/>
          <w:sz w:val="21"/>
        </w:rPr>
        <w:t>坐标系）</w:t>
      </w:r>
    </w:p>
    <w:p>
      <w:pPr>
        <w:pStyle w:val="9"/>
        <w:spacing w:before="12"/>
        <w:rPr>
          <w:b/>
          <w:sz w:val="10"/>
        </w:rPr>
      </w:pP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50"/>
        <w:gridCol w:w="1794"/>
        <w:gridCol w:w="1919"/>
        <w:gridCol w:w="892"/>
        <w:gridCol w:w="1944"/>
        <w:gridCol w:w="18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9286" w:type="dxa"/>
            <w:gridSpan w:val="6"/>
            <w:tcBorders>
              <w:bottom w:val="single" w:color="000000" w:sz="4" w:space="0"/>
            </w:tcBorders>
          </w:tcPr>
          <w:p>
            <w:pPr>
              <w:pStyle w:val="19"/>
              <w:spacing w:before="2" w:line="289" w:lineRule="exact"/>
              <w:ind w:left="3301" w:right="3272"/>
              <w:rPr>
                <w:b/>
                <w:sz w:val="24"/>
              </w:rPr>
            </w:pPr>
            <w:r>
              <w:rPr>
                <w:b/>
                <w:sz w:val="24"/>
              </w:rPr>
              <w:t>5 煤层矿区范围拐点坐标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850" w:type="dxa"/>
            <w:tcBorders>
              <w:top w:val="single" w:color="000000" w:sz="4" w:space="0"/>
              <w:bottom w:val="single" w:color="000000" w:sz="4" w:space="0"/>
              <w:right w:val="single" w:color="000000" w:sz="4" w:space="0"/>
            </w:tcBorders>
          </w:tcPr>
          <w:p>
            <w:pPr>
              <w:pStyle w:val="19"/>
              <w:spacing w:before="1" w:line="251" w:lineRule="exact"/>
              <w:ind w:left="192" w:right="183"/>
              <w:rPr>
                <w:sz w:val="21"/>
              </w:rPr>
            </w:pPr>
            <w:r>
              <w:rPr>
                <w:sz w:val="21"/>
              </w:rPr>
              <w:t>点号</w:t>
            </w:r>
          </w:p>
        </w:tc>
        <w:tc>
          <w:tcPr>
            <w:tcW w:w="1794" w:type="dxa"/>
            <w:tcBorders>
              <w:top w:val="single" w:color="000000" w:sz="4" w:space="0"/>
              <w:left w:val="single" w:color="000000" w:sz="4" w:space="0"/>
              <w:bottom w:val="single" w:color="000000" w:sz="4" w:space="0"/>
              <w:right w:val="single" w:color="000000" w:sz="4" w:space="0"/>
            </w:tcBorders>
          </w:tcPr>
          <w:p>
            <w:pPr>
              <w:pStyle w:val="19"/>
              <w:spacing w:before="1" w:line="251" w:lineRule="exact"/>
              <w:ind w:left="19"/>
              <w:rPr>
                <w:sz w:val="21"/>
              </w:rPr>
            </w:pPr>
            <w:r>
              <w:rPr>
                <w:w w:val="99"/>
                <w:sz w:val="21"/>
              </w:rPr>
              <w:t>X</w:t>
            </w:r>
          </w:p>
        </w:tc>
        <w:tc>
          <w:tcPr>
            <w:tcW w:w="1919" w:type="dxa"/>
            <w:tcBorders>
              <w:top w:val="single" w:color="000000" w:sz="4" w:space="0"/>
              <w:left w:val="single" w:color="000000" w:sz="4" w:space="0"/>
              <w:bottom w:val="single" w:color="000000" w:sz="4" w:space="0"/>
              <w:right w:val="single" w:color="000000" w:sz="4" w:space="0"/>
            </w:tcBorders>
          </w:tcPr>
          <w:p>
            <w:pPr>
              <w:pStyle w:val="19"/>
              <w:spacing w:before="1" w:line="251" w:lineRule="exact"/>
              <w:ind w:left="16"/>
              <w:rPr>
                <w:sz w:val="21"/>
              </w:rPr>
            </w:pPr>
            <w:r>
              <w:rPr>
                <w:w w:val="99"/>
                <w:sz w:val="21"/>
              </w:rPr>
              <w:t>Y</w:t>
            </w:r>
          </w:p>
        </w:tc>
        <w:tc>
          <w:tcPr>
            <w:tcW w:w="892" w:type="dxa"/>
            <w:tcBorders>
              <w:top w:val="single" w:color="000000" w:sz="4" w:space="0"/>
              <w:left w:val="single" w:color="000000" w:sz="4" w:space="0"/>
              <w:bottom w:val="single" w:color="000000" w:sz="4" w:space="0"/>
              <w:right w:val="single" w:color="000000" w:sz="4" w:space="0"/>
            </w:tcBorders>
          </w:tcPr>
          <w:p>
            <w:pPr>
              <w:pStyle w:val="19"/>
              <w:spacing w:before="1" w:line="251" w:lineRule="exact"/>
              <w:ind w:left="218" w:right="204"/>
              <w:rPr>
                <w:sz w:val="21"/>
              </w:rPr>
            </w:pPr>
            <w:r>
              <w:rPr>
                <w:sz w:val="21"/>
              </w:rPr>
              <w:t>点号</w:t>
            </w:r>
          </w:p>
        </w:tc>
        <w:tc>
          <w:tcPr>
            <w:tcW w:w="1944" w:type="dxa"/>
            <w:tcBorders>
              <w:top w:val="single" w:color="000000" w:sz="4" w:space="0"/>
              <w:left w:val="single" w:color="000000" w:sz="4" w:space="0"/>
              <w:bottom w:val="single" w:color="000000" w:sz="4" w:space="0"/>
              <w:right w:val="single" w:color="000000" w:sz="4" w:space="0"/>
            </w:tcBorders>
          </w:tcPr>
          <w:p>
            <w:pPr>
              <w:pStyle w:val="19"/>
              <w:spacing w:before="1" w:line="251" w:lineRule="exact"/>
              <w:ind w:left="19"/>
              <w:rPr>
                <w:sz w:val="21"/>
              </w:rPr>
            </w:pPr>
            <w:r>
              <w:rPr>
                <w:w w:val="99"/>
                <w:sz w:val="21"/>
              </w:rPr>
              <w:t>X</w:t>
            </w:r>
          </w:p>
        </w:tc>
        <w:tc>
          <w:tcPr>
            <w:tcW w:w="1887" w:type="dxa"/>
            <w:tcBorders>
              <w:top w:val="single" w:color="000000" w:sz="4" w:space="0"/>
              <w:left w:val="single" w:color="000000" w:sz="4" w:space="0"/>
              <w:bottom w:val="single" w:color="000000" w:sz="4" w:space="0"/>
            </w:tcBorders>
          </w:tcPr>
          <w:p>
            <w:pPr>
              <w:pStyle w:val="19"/>
              <w:spacing w:before="1" w:line="251" w:lineRule="exact"/>
              <w:ind w:left="23"/>
              <w:rPr>
                <w:sz w:val="21"/>
              </w:rPr>
            </w:pPr>
            <w:r>
              <w:rPr>
                <w:w w:val="99"/>
                <w:sz w:val="21"/>
              </w:rPr>
              <w:t>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2" w:hRule="atLeast"/>
        </w:trPr>
        <w:tc>
          <w:tcPr>
            <w:tcW w:w="850" w:type="dxa"/>
            <w:tcBorders>
              <w:top w:val="single" w:color="000000" w:sz="4" w:space="0"/>
              <w:bottom w:val="single" w:color="000000" w:sz="4" w:space="0"/>
              <w:right w:val="single" w:color="000000" w:sz="4" w:space="0"/>
            </w:tcBorders>
          </w:tcPr>
          <w:p>
            <w:pPr>
              <w:pStyle w:val="19"/>
              <w:spacing w:before="141"/>
              <w:ind w:left="13"/>
              <w:rPr>
                <w:sz w:val="21"/>
              </w:rPr>
            </w:pPr>
            <w:r>
              <w:rPr>
                <w:w w:val="99"/>
                <w:sz w:val="21"/>
              </w:rPr>
              <w:t>1</w:t>
            </w:r>
          </w:p>
        </w:tc>
        <w:tc>
          <w:tcPr>
            <w:tcW w:w="1794" w:type="dxa"/>
            <w:tcBorders>
              <w:top w:val="single" w:color="000000" w:sz="4" w:space="0"/>
              <w:left w:val="single" w:color="000000" w:sz="4" w:space="0"/>
              <w:bottom w:val="single" w:color="000000" w:sz="4" w:space="0"/>
              <w:right w:val="single" w:color="000000" w:sz="4" w:space="0"/>
            </w:tcBorders>
          </w:tcPr>
          <w:p>
            <w:pPr>
              <w:pStyle w:val="19"/>
              <w:ind w:left="356" w:right="337"/>
              <w:rPr>
                <w:sz w:val="21"/>
              </w:rPr>
            </w:pPr>
            <w:r>
              <w:rPr>
                <w:sz w:val="21"/>
              </w:rPr>
              <w:t>5142232.15</w:t>
            </w:r>
          </w:p>
        </w:tc>
        <w:tc>
          <w:tcPr>
            <w:tcW w:w="1919" w:type="dxa"/>
            <w:tcBorders>
              <w:top w:val="single" w:color="000000" w:sz="4" w:space="0"/>
              <w:left w:val="single" w:color="000000" w:sz="4" w:space="0"/>
              <w:bottom w:val="single" w:color="000000" w:sz="4" w:space="0"/>
              <w:right w:val="single" w:color="000000" w:sz="4" w:space="0"/>
            </w:tcBorders>
          </w:tcPr>
          <w:p>
            <w:pPr>
              <w:pStyle w:val="19"/>
              <w:ind w:left="367" w:right="346"/>
              <w:rPr>
                <w:sz w:val="21"/>
              </w:rPr>
            </w:pPr>
            <w:r>
              <w:rPr>
                <w:sz w:val="21"/>
              </w:rPr>
              <w:t>44430787.47</w:t>
            </w:r>
          </w:p>
        </w:tc>
        <w:tc>
          <w:tcPr>
            <w:tcW w:w="892" w:type="dxa"/>
            <w:tcBorders>
              <w:top w:val="single" w:color="000000" w:sz="4" w:space="0"/>
              <w:left w:val="single" w:color="000000" w:sz="4" w:space="0"/>
              <w:bottom w:val="single" w:color="000000" w:sz="4" w:space="0"/>
              <w:right w:val="single" w:color="000000" w:sz="4" w:space="0"/>
            </w:tcBorders>
          </w:tcPr>
          <w:p>
            <w:pPr>
              <w:pStyle w:val="19"/>
              <w:spacing w:before="141"/>
              <w:ind w:left="18"/>
              <w:rPr>
                <w:sz w:val="21"/>
              </w:rPr>
            </w:pPr>
            <w:r>
              <w:rPr>
                <w:w w:val="99"/>
                <w:sz w:val="21"/>
              </w:rPr>
              <w:t>2</w:t>
            </w:r>
          </w:p>
        </w:tc>
        <w:tc>
          <w:tcPr>
            <w:tcW w:w="1944" w:type="dxa"/>
            <w:tcBorders>
              <w:top w:val="single" w:color="000000" w:sz="4" w:space="0"/>
              <w:left w:val="single" w:color="000000" w:sz="4" w:space="0"/>
              <w:bottom w:val="single" w:color="000000" w:sz="4" w:space="0"/>
              <w:right w:val="single" w:color="000000" w:sz="4" w:space="0"/>
            </w:tcBorders>
          </w:tcPr>
          <w:p>
            <w:pPr>
              <w:pStyle w:val="19"/>
              <w:ind w:left="135" w:right="116"/>
              <w:rPr>
                <w:sz w:val="21"/>
              </w:rPr>
            </w:pPr>
            <w:r>
              <w:rPr>
                <w:sz w:val="21"/>
              </w:rPr>
              <w:t>5142122.15</w:t>
            </w:r>
          </w:p>
        </w:tc>
        <w:tc>
          <w:tcPr>
            <w:tcW w:w="1887" w:type="dxa"/>
            <w:tcBorders>
              <w:top w:val="single" w:color="000000" w:sz="4" w:space="0"/>
              <w:left w:val="single" w:color="000000" w:sz="4" w:space="0"/>
              <w:bottom w:val="single" w:color="000000" w:sz="4" w:space="0"/>
            </w:tcBorders>
          </w:tcPr>
          <w:p>
            <w:pPr>
              <w:pStyle w:val="19"/>
              <w:ind w:left="349" w:right="326"/>
              <w:rPr>
                <w:sz w:val="21"/>
              </w:rPr>
            </w:pPr>
            <w:r>
              <w:rPr>
                <w:sz w:val="21"/>
              </w:rPr>
              <w:t>44430947.47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6" w:hRule="atLeast"/>
        </w:trPr>
        <w:tc>
          <w:tcPr>
            <w:tcW w:w="850" w:type="dxa"/>
            <w:tcBorders>
              <w:top w:val="single" w:color="000000" w:sz="4" w:space="0"/>
              <w:right w:val="single" w:color="000000" w:sz="4" w:space="0"/>
            </w:tcBorders>
          </w:tcPr>
          <w:p>
            <w:pPr>
              <w:pStyle w:val="19"/>
              <w:spacing w:before="145"/>
              <w:ind w:left="13"/>
              <w:rPr>
                <w:sz w:val="21"/>
              </w:rPr>
            </w:pPr>
            <w:r>
              <w:rPr>
                <w:w w:val="99"/>
                <w:sz w:val="21"/>
              </w:rPr>
              <w:t>3</w:t>
            </w:r>
          </w:p>
        </w:tc>
        <w:tc>
          <w:tcPr>
            <w:tcW w:w="1794" w:type="dxa"/>
            <w:tcBorders>
              <w:top w:val="single" w:color="000000" w:sz="4" w:space="0"/>
              <w:left w:val="single" w:color="000000" w:sz="4" w:space="0"/>
              <w:right w:val="single" w:color="000000" w:sz="4" w:space="0"/>
            </w:tcBorders>
          </w:tcPr>
          <w:p>
            <w:pPr>
              <w:pStyle w:val="19"/>
              <w:spacing w:before="1"/>
              <w:ind w:left="356" w:right="337"/>
              <w:rPr>
                <w:sz w:val="21"/>
              </w:rPr>
            </w:pPr>
            <w:r>
              <w:rPr>
                <w:sz w:val="21"/>
              </w:rPr>
              <w:t>5142070.15</w:t>
            </w:r>
          </w:p>
        </w:tc>
        <w:tc>
          <w:tcPr>
            <w:tcW w:w="1919" w:type="dxa"/>
            <w:tcBorders>
              <w:top w:val="single" w:color="000000" w:sz="4" w:space="0"/>
              <w:left w:val="single" w:color="000000" w:sz="4" w:space="0"/>
              <w:right w:val="single" w:color="000000" w:sz="4" w:space="0"/>
            </w:tcBorders>
          </w:tcPr>
          <w:p>
            <w:pPr>
              <w:pStyle w:val="19"/>
              <w:spacing w:before="1"/>
              <w:ind w:left="367" w:right="346"/>
              <w:rPr>
                <w:sz w:val="21"/>
              </w:rPr>
            </w:pPr>
            <w:r>
              <w:rPr>
                <w:sz w:val="21"/>
              </w:rPr>
              <w:t>44431527.48</w:t>
            </w:r>
          </w:p>
        </w:tc>
        <w:tc>
          <w:tcPr>
            <w:tcW w:w="892" w:type="dxa"/>
            <w:tcBorders>
              <w:top w:val="single" w:color="000000" w:sz="4" w:space="0"/>
              <w:left w:val="single" w:color="000000" w:sz="4" w:space="0"/>
              <w:right w:val="single" w:color="000000" w:sz="4" w:space="0"/>
            </w:tcBorders>
          </w:tcPr>
          <w:p>
            <w:pPr>
              <w:pStyle w:val="19"/>
              <w:spacing w:before="145"/>
              <w:ind w:left="18"/>
              <w:rPr>
                <w:sz w:val="21"/>
              </w:rPr>
            </w:pPr>
            <w:r>
              <w:rPr>
                <w:w w:val="99"/>
                <w:sz w:val="21"/>
              </w:rPr>
              <w:t>4</w:t>
            </w:r>
          </w:p>
        </w:tc>
        <w:tc>
          <w:tcPr>
            <w:tcW w:w="1944" w:type="dxa"/>
            <w:tcBorders>
              <w:top w:val="single" w:color="000000" w:sz="4" w:space="0"/>
              <w:left w:val="single" w:color="000000" w:sz="4" w:space="0"/>
              <w:right w:val="single" w:color="000000" w:sz="4" w:space="0"/>
            </w:tcBorders>
          </w:tcPr>
          <w:p>
            <w:pPr>
              <w:pStyle w:val="19"/>
              <w:spacing w:before="1"/>
              <w:ind w:left="135" w:right="116"/>
              <w:rPr>
                <w:sz w:val="21"/>
              </w:rPr>
            </w:pPr>
            <w:r>
              <w:rPr>
                <w:sz w:val="21"/>
              </w:rPr>
              <w:t>5141820.15</w:t>
            </w:r>
          </w:p>
        </w:tc>
        <w:tc>
          <w:tcPr>
            <w:tcW w:w="1887" w:type="dxa"/>
            <w:tcBorders>
              <w:top w:val="single" w:color="000000" w:sz="4" w:space="0"/>
              <w:left w:val="single" w:color="000000" w:sz="4" w:space="0"/>
            </w:tcBorders>
          </w:tcPr>
          <w:p>
            <w:pPr>
              <w:pStyle w:val="19"/>
              <w:spacing w:before="1"/>
              <w:ind w:left="349" w:right="326"/>
              <w:rPr>
                <w:sz w:val="21"/>
              </w:rPr>
            </w:pPr>
            <w:r>
              <w:rPr>
                <w:sz w:val="21"/>
              </w:rPr>
              <w:t>44431487.48</w:t>
            </w:r>
          </w:p>
        </w:tc>
      </w:tr>
    </w:tbl>
    <w:p>
      <w:pPr>
        <w:spacing w:after="0"/>
        <w:rPr>
          <w:sz w:val="21"/>
        </w:rPr>
        <w:sectPr>
          <w:type w:val="continuous"/>
          <w:pgSz w:w="11910" w:h="16840"/>
          <w:pgMar w:top="1580" w:right="1160" w:bottom="280" w:left="1200" w:header="720" w:footer="720" w:gutter="0"/>
        </w:sectPr>
      </w:pP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71"/>
        <w:gridCol w:w="1757"/>
        <w:gridCol w:w="1902"/>
        <w:gridCol w:w="917"/>
        <w:gridCol w:w="1953"/>
        <w:gridCol w:w="18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871" w:type="dxa"/>
            <w:tcBorders>
              <w:bottom w:val="single" w:color="000000" w:sz="4" w:space="0"/>
              <w:right w:val="single" w:color="000000" w:sz="4" w:space="0"/>
            </w:tcBorders>
          </w:tcPr>
          <w:p>
            <w:pPr>
              <w:pStyle w:val="19"/>
              <w:spacing w:before="148"/>
              <w:ind w:right="5"/>
              <w:rPr>
                <w:sz w:val="21"/>
              </w:rPr>
            </w:pPr>
            <w:r>
              <w:rPr>
                <w:w w:val="99"/>
                <w:sz w:val="21"/>
              </w:rPr>
              <w:t>5</w:t>
            </w:r>
          </w:p>
        </w:tc>
        <w:tc>
          <w:tcPr>
            <w:tcW w:w="1757" w:type="dxa"/>
            <w:tcBorders>
              <w:left w:val="single" w:color="000000" w:sz="4" w:space="0"/>
              <w:bottom w:val="single" w:color="000000" w:sz="4" w:space="0"/>
              <w:right w:val="single" w:color="000000" w:sz="4" w:space="0"/>
            </w:tcBorders>
          </w:tcPr>
          <w:p>
            <w:pPr>
              <w:pStyle w:val="19"/>
              <w:spacing w:before="2"/>
              <w:ind w:left="331" w:right="317"/>
              <w:rPr>
                <w:sz w:val="21"/>
              </w:rPr>
            </w:pPr>
            <w:r>
              <w:rPr>
                <w:sz w:val="21"/>
              </w:rPr>
              <w:t>5141916.15</w:t>
            </w:r>
          </w:p>
        </w:tc>
        <w:tc>
          <w:tcPr>
            <w:tcW w:w="1902" w:type="dxa"/>
            <w:tcBorders>
              <w:left w:val="single" w:color="000000" w:sz="4" w:space="0"/>
              <w:bottom w:val="single" w:color="000000" w:sz="4" w:space="0"/>
              <w:right w:val="single" w:color="000000" w:sz="4" w:space="0"/>
            </w:tcBorders>
          </w:tcPr>
          <w:p>
            <w:pPr>
              <w:pStyle w:val="19"/>
              <w:spacing w:before="2"/>
              <w:ind w:left="334" w:right="264"/>
              <w:rPr>
                <w:sz w:val="21"/>
              </w:rPr>
            </w:pPr>
            <w:r>
              <w:rPr>
                <w:sz w:val="21"/>
              </w:rPr>
              <w:t>44430879.47</w:t>
            </w:r>
          </w:p>
        </w:tc>
        <w:tc>
          <w:tcPr>
            <w:tcW w:w="917" w:type="dxa"/>
            <w:tcBorders>
              <w:left w:val="single" w:color="000000" w:sz="4" w:space="0"/>
              <w:bottom w:val="single" w:color="000000" w:sz="4" w:space="0"/>
              <w:right w:val="single" w:color="000000" w:sz="4" w:space="0"/>
            </w:tcBorders>
          </w:tcPr>
          <w:p>
            <w:pPr>
              <w:pStyle w:val="19"/>
              <w:spacing w:before="148"/>
              <w:ind w:left="59"/>
              <w:rPr>
                <w:sz w:val="21"/>
              </w:rPr>
            </w:pPr>
            <w:r>
              <w:rPr>
                <w:w w:val="99"/>
                <w:sz w:val="21"/>
              </w:rPr>
              <w:t>6</w:t>
            </w:r>
          </w:p>
        </w:tc>
        <w:tc>
          <w:tcPr>
            <w:tcW w:w="1953" w:type="dxa"/>
            <w:tcBorders>
              <w:left w:val="single" w:color="000000" w:sz="4" w:space="0"/>
              <w:bottom w:val="single" w:color="000000" w:sz="4" w:space="0"/>
              <w:right w:val="single" w:color="000000" w:sz="4" w:space="0"/>
            </w:tcBorders>
          </w:tcPr>
          <w:p>
            <w:pPr>
              <w:pStyle w:val="19"/>
              <w:spacing w:before="2"/>
              <w:ind w:left="430" w:right="404"/>
              <w:rPr>
                <w:sz w:val="21"/>
              </w:rPr>
            </w:pPr>
            <w:r>
              <w:rPr>
                <w:sz w:val="21"/>
              </w:rPr>
              <w:t>5142080.15</w:t>
            </w:r>
          </w:p>
        </w:tc>
        <w:tc>
          <w:tcPr>
            <w:tcW w:w="1887" w:type="dxa"/>
            <w:tcBorders>
              <w:left w:val="single" w:color="000000" w:sz="4" w:space="0"/>
              <w:bottom w:val="single" w:color="000000" w:sz="4" w:space="0"/>
            </w:tcBorders>
          </w:tcPr>
          <w:p>
            <w:pPr>
              <w:pStyle w:val="19"/>
              <w:spacing w:before="2"/>
              <w:ind w:left="348" w:right="327"/>
              <w:rPr>
                <w:sz w:val="21"/>
              </w:rPr>
            </w:pPr>
            <w:r>
              <w:rPr>
                <w:sz w:val="21"/>
              </w:rPr>
              <w:t>44430699.47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7" w:hRule="atLeast"/>
        </w:trPr>
        <w:tc>
          <w:tcPr>
            <w:tcW w:w="9287" w:type="dxa"/>
            <w:gridSpan w:val="6"/>
            <w:tcBorders>
              <w:top w:val="single" w:color="000000" w:sz="4" w:space="0"/>
              <w:bottom w:val="single" w:color="000000" w:sz="4" w:space="0"/>
            </w:tcBorders>
          </w:tcPr>
          <w:p>
            <w:pPr>
              <w:pStyle w:val="19"/>
              <w:spacing w:before="137"/>
              <w:ind w:left="3292" w:right="3273"/>
              <w:rPr>
                <w:sz w:val="21"/>
              </w:rPr>
            </w:pPr>
            <w:r>
              <w:rPr>
                <w:sz w:val="21"/>
              </w:rPr>
              <w:t>开采标高：350m 至 120m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6" w:hRule="atLeast"/>
        </w:trPr>
        <w:tc>
          <w:tcPr>
            <w:tcW w:w="9287" w:type="dxa"/>
            <w:gridSpan w:val="6"/>
            <w:tcBorders>
              <w:top w:val="single" w:color="000000" w:sz="4" w:space="0"/>
              <w:bottom w:val="single" w:color="000000" w:sz="4" w:space="0"/>
            </w:tcBorders>
          </w:tcPr>
          <w:p>
            <w:pPr>
              <w:pStyle w:val="19"/>
              <w:spacing w:before="119"/>
              <w:ind w:left="3301" w:right="3273"/>
              <w:rPr>
                <w:b/>
                <w:sz w:val="24"/>
              </w:rPr>
            </w:pPr>
            <w:r>
              <w:rPr>
                <w:b/>
                <w:sz w:val="24"/>
              </w:rPr>
              <w:t>9 煤层矿区范围拐点坐标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3" w:hRule="atLeast"/>
        </w:trPr>
        <w:tc>
          <w:tcPr>
            <w:tcW w:w="871" w:type="dxa"/>
            <w:tcBorders>
              <w:top w:val="single" w:color="000000" w:sz="4" w:space="0"/>
              <w:bottom w:val="single" w:color="000000" w:sz="4" w:space="0"/>
              <w:right w:val="single" w:color="000000" w:sz="4" w:space="0"/>
            </w:tcBorders>
          </w:tcPr>
          <w:p>
            <w:pPr>
              <w:pStyle w:val="19"/>
              <w:spacing w:before="111"/>
              <w:ind w:left="214" w:right="182"/>
              <w:rPr>
                <w:sz w:val="21"/>
              </w:rPr>
            </w:pPr>
            <w:r>
              <w:rPr>
                <w:sz w:val="21"/>
              </w:rPr>
              <w:t>点号</w:t>
            </w:r>
          </w:p>
        </w:tc>
        <w:tc>
          <w:tcPr>
            <w:tcW w:w="1757" w:type="dxa"/>
            <w:tcBorders>
              <w:top w:val="single" w:color="000000" w:sz="4" w:space="0"/>
              <w:left w:val="single" w:color="000000" w:sz="4" w:space="0"/>
              <w:bottom w:val="single" w:color="000000" w:sz="4" w:space="0"/>
              <w:right w:val="single" w:color="000000" w:sz="4" w:space="0"/>
            </w:tcBorders>
          </w:tcPr>
          <w:p>
            <w:pPr>
              <w:pStyle w:val="19"/>
              <w:spacing w:before="111"/>
              <w:ind w:left="19"/>
              <w:rPr>
                <w:sz w:val="21"/>
              </w:rPr>
            </w:pPr>
            <w:r>
              <w:rPr>
                <w:w w:val="99"/>
                <w:sz w:val="21"/>
              </w:rPr>
              <w:t>X</w:t>
            </w:r>
          </w:p>
        </w:tc>
        <w:tc>
          <w:tcPr>
            <w:tcW w:w="1902" w:type="dxa"/>
            <w:tcBorders>
              <w:top w:val="single" w:color="000000" w:sz="4" w:space="0"/>
              <w:left w:val="single" w:color="000000" w:sz="4" w:space="0"/>
              <w:bottom w:val="single" w:color="000000" w:sz="4" w:space="0"/>
              <w:right w:val="single" w:color="000000" w:sz="4" w:space="0"/>
            </w:tcBorders>
          </w:tcPr>
          <w:p>
            <w:pPr>
              <w:pStyle w:val="19"/>
              <w:spacing w:before="111"/>
              <w:ind w:right="28"/>
              <w:rPr>
                <w:sz w:val="21"/>
              </w:rPr>
            </w:pPr>
            <w:r>
              <w:rPr>
                <w:w w:val="99"/>
                <w:sz w:val="21"/>
              </w:rPr>
              <w:t>Y</w:t>
            </w:r>
          </w:p>
        </w:tc>
        <w:tc>
          <w:tcPr>
            <w:tcW w:w="917" w:type="dxa"/>
            <w:tcBorders>
              <w:top w:val="single" w:color="000000" w:sz="4" w:space="0"/>
              <w:left w:val="single" w:color="000000" w:sz="4" w:space="0"/>
              <w:bottom w:val="single" w:color="000000" w:sz="4" w:space="0"/>
              <w:right w:val="single" w:color="000000" w:sz="4" w:space="0"/>
            </w:tcBorders>
          </w:tcPr>
          <w:p>
            <w:pPr>
              <w:pStyle w:val="19"/>
              <w:spacing w:before="111"/>
              <w:ind w:left="212" w:right="235"/>
              <w:rPr>
                <w:sz w:val="21"/>
              </w:rPr>
            </w:pPr>
            <w:r>
              <w:rPr>
                <w:sz w:val="21"/>
              </w:rPr>
              <w:t>点号</w:t>
            </w:r>
          </w:p>
        </w:tc>
        <w:tc>
          <w:tcPr>
            <w:tcW w:w="1953" w:type="dxa"/>
            <w:tcBorders>
              <w:top w:val="single" w:color="000000" w:sz="4" w:space="0"/>
              <w:left w:val="single" w:color="000000" w:sz="4" w:space="0"/>
              <w:bottom w:val="single" w:color="000000" w:sz="4" w:space="0"/>
              <w:right w:val="single" w:color="000000" w:sz="4" w:space="0"/>
            </w:tcBorders>
          </w:tcPr>
          <w:p>
            <w:pPr>
              <w:pStyle w:val="19"/>
              <w:spacing w:before="111"/>
              <w:ind w:left="7"/>
              <w:rPr>
                <w:sz w:val="21"/>
              </w:rPr>
            </w:pPr>
            <w:r>
              <w:rPr>
                <w:w w:val="99"/>
                <w:sz w:val="21"/>
              </w:rPr>
              <w:t>X</w:t>
            </w:r>
          </w:p>
        </w:tc>
        <w:tc>
          <w:tcPr>
            <w:tcW w:w="1887" w:type="dxa"/>
            <w:tcBorders>
              <w:top w:val="single" w:color="000000" w:sz="4" w:space="0"/>
              <w:left w:val="single" w:color="000000" w:sz="4" w:space="0"/>
              <w:bottom w:val="single" w:color="000000" w:sz="4" w:space="0"/>
            </w:tcBorders>
          </w:tcPr>
          <w:p>
            <w:pPr>
              <w:pStyle w:val="19"/>
              <w:spacing w:before="111"/>
              <w:ind w:left="21"/>
              <w:rPr>
                <w:sz w:val="21"/>
              </w:rPr>
            </w:pPr>
            <w:r>
              <w:rPr>
                <w:w w:val="99"/>
                <w:sz w:val="21"/>
              </w:rPr>
              <w:t>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5" w:hRule="atLeast"/>
        </w:trPr>
        <w:tc>
          <w:tcPr>
            <w:tcW w:w="871" w:type="dxa"/>
            <w:tcBorders>
              <w:top w:val="single" w:color="000000" w:sz="4" w:space="0"/>
              <w:bottom w:val="single" w:color="000000" w:sz="4" w:space="0"/>
              <w:right w:val="single" w:color="000000" w:sz="4" w:space="0"/>
            </w:tcBorders>
          </w:tcPr>
          <w:p>
            <w:pPr>
              <w:pStyle w:val="19"/>
              <w:spacing w:before="153"/>
              <w:ind w:left="35"/>
              <w:rPr>
                <w:sz w:val="21"/>
              </w:rPr>
            </w:pPr>
            <w:r>
              <w:rPr>
                <w:w w:val="99"/>
                <w:sz w:val="21"/>
              </w:rPr>
              <w:t>1</w:t>
            </w:r>
          </w:p>
        </w:tc>
        <w:tc>
          <w:tcPr>
            <w:tcW w:w="1757" w:type="dxa"/>
            <w:tcBorders>
              <w:top w:val="single" w:color="000000" w:sz="4" w:space="0"/>
              <w:left w:val="single" w:color="000000" w:sz="4" w:space="0"/>
              <w:bottom w:val="single" w:color="000000" w:sz="4" w:space="0"/>
              <w:right w:val="single" w:color="000000" w:sz="4" w:space="0"/>
            </w:tcBorders>
          </w:tcPr>
          <w:p>
            <w:pPr>
              <w:pStyle w:val="19"/>
              <w:spacing w:before="1"/>
              <w:ind w:left="335" w:right="312"/>
              <w:rPr>
                <w:sz w:val="21"/>
              </w:rPr>
            </w:pPr>
            <w:r>
              <w:rPr>
                <w:sz w:val="21"/>
              </w:rPr>
              <w:t>5142205.15</w:t>
            </w:r>
          </w:p>
        </w:tc>
        <w:tc>
          <w:tcPr>
            <w:tcW w:w="1902" w:type="dxa"/>
            <w:tcBorders>
              <w:top w:val="single" w:color="000000" w:sz="4" w:space="0"/>
              <w:left w:val="single" w:color="000000" w:sz="4" w:space="0"/>
              <w:bottom w:val="single" w:color="000000" w:sz="4" w:space="0"/>
              <w:right w:val="single" w:color="000000" w:sz="4" w:space="0"/>
            </w:tcBorders>
          </w:tcPr>
          <w:p>
            <w:pPr>
              <w:pStyle w:val="19"/>
              <w:spacing w:before="1"/>
              <w:ind w:left="285" w:right="313"/>
              <w:rPr>
                <w:sz w:val="21"/>
              </w:rPr>
            </w:pPr>
            <w:r>
              <w:rPr>
                <w:sz w:val="21"/>
              </w:rPr>
              <w:t>44430672.47</w:t>
            </w:r>
          </w:p>
        </w:tc>
        <w:tc>
          <w:tcPr>
            <w:tcW w:w="917" w:type="dxa"/>
            <w:tcBorders>
              <w:top w:val="single" w:color="000000" w:sz="4" w:space="0"/>
              <w:left w:val="single" w:color="000000" w:sz="4" w:space="0"/>
              <w:bottom w:val="single" w:color="000000" w:sz="4" w:space="0"/>
              <w:right w:val="single" w:color="000000" w:sz="4" w:space="0"/>
            </w:tcBorders>
          </w:tcPr>
          <w:p>
            <w:pPr>
              <w:pStyle w:val="19"/>
              <w:spacing w:before="153"/>
              <w:ind w:right="24"/>
              <w:rPr>
                <w:sz w:val="21"/>
              </w:rPr>
            </w:pPr>
            <w:r>
              <w:rPr>
                <w:w w:val="99"/>
                <w:sz w:val="21"/>
              </w:rPr>
              <w:t>2</w:t>
            </w:r>
          </w:p>
        </w:tc>
        <w:tc>
          <w:tcPr>
            <w:tcW w:w="1953" w:type="dxa"/>
            <w:tcBorders>
              <w:top w:val="single" w:color="000000" w:sz="4" w:space="0"/>
              <w:left w:val="single" w:color="000000" w:sz="4" w:space="0"/>
              <w:bottom w:val="single" w:color="000000" w:sz="4" w:space="0"/>
              <w:right w:val="single" w:color="000000" w:sz="4" w:space="0"/>
            </w:tcBorders>
          </w:tcPr>
          <w:p>
            <w:pPr>
              <w:pStyle w:val="19"/>
              <w:spacing w:before="1"/>
              <w:ind w:left="420" w:right="413"/>
              <w:rPr>
                <w:sz w:val="21"/>
              </w:rPr>
            </w:pPr>
            <w:r>
              <w:rPr>
                <w:sz w:val="21"/>
              </w:rPr>
              <w:t>5142120.16</w:t>
            </w:r>
          </w:p>
        </w:tc>
        <w:tc>
          <w:tcPr>
            <w:tcW w:w="1887" w:type="dxa"/>
            <w:tcBorders>
              <w:top w:val="single" w:color="000000" w:sz="4" w:space="0"/>
              <w:left w:val="single" w:color="000000" w:sz="4" w:space="0"/>
              <w:bottom w:val="single" w:color="000000" w:sz="4" w:space="0"/>
            </w:tcBorders>
          </w:tcPr>
          <w:p>
            <w:pPr>
              <w:pStyle w:val="19"/>
              <w:spacing w:before="1"/>
              <w:ind w:left="348" w:right="327"/>
              <w:rPr>
                <w:sz w:val="21"/>
              </w:rPr>
            </w:pPr>
            <w:r>
              <w:rPr>
                <w:sz w:val="21"/>
              </w:rPr>
              <w:t>44431537.48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90" w:hRule="atLeast"/>
        </w:trPr>
        <w:tc>
          <w:tcPr>
            <w:tcW w:w="871" w:type="dxa"/>
            <w:tcBorders>
              <w:top w:val="single" w:color="000000" w:sz="4" w:space="0"/>
              <w:bottom w:val="single" w:color="000000" w:sz="4" w:space="0"/>
              <w:right w:val="single" w:color="000000" w:sz="4" w:space="0"/>
            </w:tcBorders>
          </w:tcPr>
          <w:p>
            <w:pPr>
              <w:pStyle w:val="19"/>
              <w:spacing w:before="159"/>
              <w:ind w:left="35"/>
              <w:rPr>
                <w:sz w:val="21"/>
              </w:rPr>
            </w:pPr>
            <w:r>
              <w:rPr>
                <w:w w:val="99"/>
                <w:sz w:val="21"/>
              </w:rPr>
              <w:t>3</w:t>
            </w:r>
          </w:p>
        </w:tc>
        <w:tc>
          <w:tcPr>
            <w:tcW w:w="1757" w:type="dxa"/>
            <w:tcBorders>
              <w:top w:val="single" w:color="000000" w:sz="4" w:space="0"/>
              <w:left w:val="single" w:color="000000" w:sz="4" w:space="0"/>
              <w:bottom w:val="single" w:color="000000" w:sz="4" w:space="0"/>
              <w:right w:val="single" w:color="000000" w:sz="4" w:space="0"/>
            </w:tcBorders>
          </w:tcPr>
          <w:p>
            <w:pPr>
              <w:pStyle w:val="19"/>
              <w:spacing w:before="1"/>
              <w:ind w:left="335" w:right="312"/>
              <w:rPr>
                <w:sz w:val="21"/>
              </w:rPr>
            </w:pPr>
            <w:r>
              <w:rPr>
                <w:sz w:val="21"/>
              </w:rPr>
              <w:t>5141820.15</w:t>
            </w:r>
          </w:p>
        </w:tc>
        <w:tc>
          <w:tcPr>
            <w:tcW w:w="1902" w:type="dxa"/>
            <w:tcBorders>
              <w:top w:val="single" w:color="000000" w:sz="4" w:space="0"/>
              <w:left w:val="single" w:color="000000" w:sz="4" w:space="0"/>
              <w:bottom w:val="single" w:color="000000" w:sz="4" w:space="0"/>
              <w:right w:val="single" w:color="000000" w:sz="4" w:space="0"/>
            </w:tcBorders>
          </w:tcPr>
          <w:p>
            <w:pPr>
              <w:pStyle w:val="19"/>
              <w:spacing w:before="1"/>
              <w:ind w:left="285" w:right="313"/>
              <w:rPr>
                <w:sz w:val="21"/>
              </w:rPr>
            </w:pPr>
            <w:r>
              <w:rPr>
                <w:sz w:val="21"/>
              </w:rPr>
              <w:t>44431487.48</w:t>
            </w:r>
          </w:p>
        </w:tc>
        <w:tc>
          <w:tcPr>
            <w:tcW w:w="917" w:type="dxa"/>
            <w:tcBorders>
              <w:top w:val="single" w:color="000000" w:sz="4" w:space="0"/>
              <w:left w:val="single" w:color="000000" w:sz="4" w:space="0"/>
              <w:bottom w:val="single" w:color="000000" w:sz="4" w:space="0"/>
              <w:right w:val="single" w:color="000000" w:sz="4" w:space="0"/>
            </w:tcBorders>
          </w:tcPr>
          <w:p>
            <w:pPr>
              <w:pStyle w:val="19"/>
              <w:spacing w:before="159"/>
              <w:ind w:right="24"/>
              <w:rPr>
                <w:sz w:val="21"/>
              </w:rPr>
            </w:pPr>
            <w:r>
              <w:rPr>
                <w:w w:val="99"/>
                <w:sz w:val="21"/>
              </w:rPr>
              <w:t>4</w:t>
            </w:r>
          </w:p>
        </w:tc>
        <w:tc>
          <w:tcPr>
            <w:tcW w:w="1953" w:type="dxa"/>
            <w:tcBorders>
              <w:top w:val="single" w:color="000000" w:sz="4" w:space="0"/>
              <w:left w:val="single" w:color="000000" w:sz="4" w:space="0"/>
              <w:bottom w:val="single" w:color="000000" w:sz="4" w:space="0"/>
              <w:right w:val="single" w:color="000000" w:sz="4" w:space="0"/>
            </w:tcBorders>
          </w:tcPr>
          <w:p>
            <w:pPr>
              <w:pStyle w:val="19"/>
              <w:spacing w:before="1"/>
              <w:ind w:left="420" w:right="413"/>
              <w:rPr>
                <w:sz w:val="21"/>
              </w:rPr>
            </w:pPr>
            <w:r>
              <w:rPr>
                <w:sz w:val="21"/>
              </w:rPr>
              <w:t>5141950.15</w:t>
            </w:r>
          </w:p>
        </w:tc>
        <w:tc>
          <w:tcPr>
            <w:tcW w:w="1887" w:type="dxa"/>
            <w:tcBorders>
              <w:top w:val="single" w:color="000000" w:sz="4" w:space="0"/>
              <w:left w:val="single" w:color="000000" w:sz="4" w:space="0"/>
              <w:bottom w:val="single" w:color="000000" w:sz="4" w:space="0"/>
            </w:tcBorders>
          </w:tcPr>
          <w:p>
            <w:pPr>
              <w:pStyle w:val="19"/>
              <w:spacing w:before="1"/>
              <w:ind w:left="348" w:right="327"/>
              <w:rPr>
                <w:sz w:val="21"/>
              </w:rPr>
            </w:pPr>
            <w:r>
              <w:rPr>
                <w:sz w:val="21"/>
              </w:rPr>
              <w:t>44430667.47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5" w:hRule="atLeast"/>
        </w:trPr>
        <w:tc>
          <w:tcPr>
            <w:tcW w:w="9287" w:type="dxa"/>
            <w:gridSpan w:val="6"/>
            <w:tcBorders>
              <w:top w:val="single" w:color="000000" w:sz="4" w:space="0"/>
            </w:tcBorders>
          </w:tcPr>
          <w:p>
            <w:pPr>
              <w:pStyle w:val="19"/>
              <w:spacing w:before="8"/>
              <w:jc w:val="left"/>
              <w:rPr>
                <w:b/>
                <w:sz w:val="14"/>
              </w:rPr>
            </w:pPr>
          </w:p>
          <w:p>
            <w:pPr>
              <w:pStyle w:val="19"/>
              <w:ind w:left="3290" w:right="3273"/>
              <w:rPr>
                <w:sz w:val="21"/>
              </w:rPr>
            </w:pPr>
            <w:r>
              <w:rPr>
                <w:sz w:val="21"/>
              </w:rPr>
              <w:t>煤层开采标高：350m 至 60m</w:t>
            </w:r>
          </w:p>
        </w:tc>
      </w:tr>
    </w:tbl>
    <w:p>
      <w:pPr>
        <w:pStyle w:val="6"/>
        <w:numPr>
          <w:ilvl w:val="2"/>
          <w:numId w:val="27"/>
        </w:numPr>
        <w:tabs>
          <w:tab w:val="left" w:pos="848"/>
        </w:tabs>
        <w:spacing w:before="4" w:after="0" w:line="240" w:lineRule="auto"/>
        <w:ind w:left="847" w:right="0" w:hanging="630"/>
        <w:jc w:val="left"/>
        <w:rPr>
          <w:rFonts w:ascii="Times New Roman" w:eastAsia="Times New Roman"/>
        </w:rPr>
      </w:pPr>
      <w:bookmarkStart w:id="129" w:name="2.1.2双鸭山盟度矿业有限责任公司开发简史"/>
      <w:bookmarkEnd w:id="129"/>
      <w:bookmarkStart w:id="130" w:name="2.1.2双鸭山盟度矿业有限责任公司开发简史"/>
      <w:bookmarkEnd w:id="130"/>
      <w:r>
        <w:t>双鸭山盟度矿业有限责任公司开发简史</w:t>
      </w:r>
    </w:p>
    <w:p>
      <w:pPr>
        <w:pStyle w:val="9"/>
        <w:spacing w:before="183" w:line="364" w:lineRule="auto"/>
        <w:ind w:left="218" w:right="257" w:firstLine="480"/>
        <w:jc w:val="right"/>
      </w:pPr>
      <w:r>
        <w:rPr>
          <w:spacing w:val="3"/>
        </w:rPr>
        <w:t xml:space="preserve">盟度公司原为双鸭山市煤炭工业管理局所属的地方国营煤矿，原为双桦二井，于 </w:t>
      </w:r>
      <w:r>
        <w:rPr>
          <w:rFonts w:ascii="Times New Roman" w:eastAsia="Times New Roman"/>
          <w:spacing w:val="3"/>
        </w:rPr>
        <w:t>1980</w:t>
      </w:r>
      <w:r>
        <w:rPr>
          <w:rFonts w:ascii="Times New Roman" w:eastAsia="Times New Roman"/>
          <w:spacing w:val="7"/>
        </w:rPr>
        <w:t xml:space="preserve"> </w:t>
      </w:r>
      <w:r>
        <w:t>年筹建，</w:t>
      </w:r>
      <w:r>
        <w:rPr>
          <w:rFonts w:ascii="Times New Roman" w:eastAsia="Times New Roman"/>
        </w:rPr>
        <w:t>1983</w:t>
      </w:r>
      <w:r>
        <w:rPr>
          <w:rFonts w:ascii="Times New Roman" w:eastAsia="Times New Roman"/>
          <w:spacing w:val="10"/>
        </w:rPr>
        <w:t xml:space="preserve"> </w:t>
      </w:r>
      <w:r>
        <w:rPr>
          <w:spacing w:val="-5"/>
        </w:rPr>
        <w:t xml:space="preserve">年建成投产，生产规模 </w:t>
      </w:r>
      <w:r>
        <w:rPr>
          <w:rFonts w:ascii="Times New Roman" w:eastAsia="Times New Roman"/>
        </w:rPr>
        <w:t>9.00</w:t>
      </w:r>
      <w:r>
        <w:rPr>
          <w:rFonts w:ascii="Times New Roman" w:eastAsia="Times New Roman"/>
          <w:spacing w:val="10"/>
        </w:rPr>
        <w:t xml:space="preserve"> </w:t>
      </w:r>
      <w:r>
        <w:rPr>
          <w:spacing w:val="-25"/>
        </w:rPr>
        <w:t xml:space="preserve">万 </w:t>
      </w:r>
      <w:r>
        <w:rPr>
          <w:rFonts w:ascii="Times New Roman" w:eastAsia="Times New Roman"/>
        </w:rPr>
        <w:t>t/</w:t>
      </w:r>
      <w:r>
        <w:t>年；由于煤炭市场不景气</w:t>
      </w:r>
      <w:r>
        <w:rPr>
          <w:color w:val="FF0000"/>
        </w:rPr>
        <w:t>，煤矿连</w:t>
      </w:r>
      <w:r>
        <w:rPr>
          <w:color w:val="FF0000"/>
          <w:spacing w:val="-8"/>
        </w:rPr>
        <w:t xml:space="preserve">年亏损，上世纪 </w:t>
      </w:r>
      <w:r>
        <w:rPr>
          <w:rFonts w:ascii="Times New Roman" w:eastAsia="Times New Roman"/>
          <w:color w:val="FF0000"/>
        </w:rPr>
        <w:t xml:space="preserve">90 </w:t>
      </w:r>
      <w:r>
        <w:rPr>
          <w:color w:val="FF0000"/>
        </w:rPr>
        <w:t>年代后期报停，</w:t>
      </w:r>
      <w:r>
        <w:rPr>
          <w:rFonts w:ascii="Times New Roman" w:eastAsia="Times New Roman"/>
          <w:color w:val="FF0000"/>
        </w:rPr>
        <w:t xml:space="preserve">2003 </w:t>
      </w:r>
      <w:r>
        <w:rPr>
          <w:color w:val="FF0000"/>
        </w:rPr>
        <w:t>年双鸭山市双兴时代矿业有限公司收购该矿。</w:t>
      </w:r>
      <w:r>
        <w:rPr>
          <w:spacing w:val="-2"/>
        </w:rPr>
        <w:t xml:space="preserve">弘泰第六煤矿原为双鸭山车站二矿，于 </w:t>
      </w:r>
      <w:r>
        <w:rPr>
          <w:rFonts w:ascii="Times New Roman" w:eastAsia="Times New Roman"/>
        </w:rPr>
        <w:t>1998</w:t>
      </w:r>
      <w:r>
        <w:rPr>
          <w:rFonts w:ascii="Times New Roman" w:eastAsia="Times New Roman"/>
          <w:spacing w:val="29"/>
        </w:rPr>
        <w:t xml:space="preserve"> </w:t>
      </w:r>
      <w:r>
        <w:t>年建井，当年建成投产。设计生产能</w:t>
      </w:r>
    </w:p>
    <w:p>
      <w:pPr>
        <w:pStyle w:val="9"/>
        <w:ind w:right="257"/>
        <w:jc w:val="right"/>
        <w:rPr>
          <w:rFonts w:ascii="Times New Roman" w:eastAsia="Times New Roman"/>
        </w:rPr>
      </w:pPr>
      <w:r>
        <w:rPr>
          <w:spacing w:val="-18"/>
        </w:rPr>
        <w:t xml:space="preserve">力为 </w:t>
      </w:r>
      <w:r>
        <w:rPr>
          <w:rFonts w:ascii="Times New Roman" w:eastAsia="Times New Roman"/>
        </w:rPr>
        <w:t>4</w:t>
      </w:r>
      <w:r>
        <w:rPr>
          <w:rFonts w:ascii="Times New Roman" w:eastAsia="Times New Roman"/>
          <w:spacing w:val="4"/>
        </w:rPr>
        <w:t xml:space="preserve"> </w:t>
      </w:r>
      <w:r>
        <w:rPr>
          <w:spacing w:val="-28"/>
        </w:rPr>
        <w:t xml:space="preserve">万 </w:t>
      </w:r>
      <w:r>
        <w:rPr>
          <w:rFonts w:ascii="Times New Roman" w:eastAsia="Times New Roman"/>
          <w:spacing w:val="2"/>
        </w:rPr>
        <w:t>t/</w:t>
      </w:r>
      <w:r>
        <w:rPr>
          <w:spacing w:val="4"/>
        </w:rPr>
        <w:t>年。经省政府批准被列为整合关闭矿井。</w:t>
      </w:r>
      <w:r>
        <w:rPr>
          <w:color w:val="FF0000"/>
          <w:spacing w:val="-2"/>
        </w:rPr>
        <w:t xml:space="preserve">未办理环保手续，该煤矿于 </w:t>
      </w:r>
      <w:r>
        <w:rPr>
          <w:rFonts w:ascii="Times New Roman" w:eastAsia="Times New Roman"/>
          <w:color w:val="FF0000"/>
          <w:shd w:val="clear" w:color="auto" w:fill="FFFF00"/>
        </w:rPr>
        <w:t>2017</w:t>
      </w:r>
    </w:p>
    <w:p>
      <w:pPr>
        <w:pStyle w:val="9"/>
        <w:spacing w:before="158"/>
        <w:ind w:left="218"/>
      </w:pPr>
      <w:r>
        <w:rPr>
          <w:color w:val="FF0000"/>
        </w:rPr>
        <w:t>年因政策性关停，至今未复产。</w:t>
      </w:r>
    </w:p>
    <w:p>
      <w:pPr>
        <w:pStyle w:val="9"/>
        <w:spacing w:before="160"/>
        <w:ind w:left="698"/>
      </w:pPr>
      <w:r>
        <w:t xml:space="preserve">本次拟资源整合至 </w:t>
      </w:r>
      <w:r>
        <w:rPr>
          <w:rFonts w:ascii="Times New Roman" w:hAnsi="Times New Roman" w:eastAsia="Times New Roman"/>
        </w:rPr>
        <w:t xml:space="preserve">30 </w:t>
      </w:r>
      <w:r>
        <w:t>万吨</w:t>
      </w:r>
      <w:r>
        <w:rPr>
          <w:rFonts w:ascii="Times New Roman" w:hAnsi="Times New Roman" w:eastAsia="Times New Roman"/>
        </w:rPr>
        <w:t>/</w:t>
      </w:r>
      <w:r>
        <w:t>年生产规模，本矿业升级改造方案经省</w:t>
      </w:r>
      <w:r>
        <w:rPr>
          <w:rFonts w:ascii="Times New Roman" w:hAnsi="Times New Roman" w:eastAsia="Times New Roman"/>
        </w:rPr>
        <w:t>“</w:t>
      </w:r>
      <w:r>
        <w:t>淘化</w:t>
      </w:r>
      <w:r>
        <w:rPr>
          <w:rFonts w:ascii="Times New Roman" w:hAnsi="Times New Roman" w:eastAsia="Times New Roman"/>
        </w:rPr>
        <w:t>”</w:t>
      </w:r>
      <w:r>
        <w:t>小组办公</w:t>
      </w:r>
    </w:p>
    <w:p>
      <w:pPr>
        <w:pStyle w:val="9"/>
        <w:spacing w:before="158" w:line="364" w:lineRule="auto"/>
        <w:ind w:left="218" w:right="256"/>
      </w:pPr>
      <w:r>
        <w:t xml:space="preserve">室审查后，以《关于全省 </w:t>
      </w:r>
      <w:r>
        <w:rPr>
          <w:rFonts w:ascii="Times New Roman" w:eastAsia="Times New Roman"/>
        </w:rPr>
        <w:t xml:space="preserve">167 </w:t>
      </w:r>
      <w:r>
        <w:t>处煤矿进入规划升级改造核准程序名单的批复》</w:t>
      </w:r>
      <w:r>
        <w:rPr>
          <w:rFonts w:ascii="Times New Roman" w:eastAsia="Times New Roman"/>
        </w:rPr>
        <w:t>(</w:t>
      </w:r>
      <w:r>
        <w:t>黑煤整治办</w:t>
      </w:r>
      <w:r>
        <w:rPr>
          <w:rFonts w:ascii="Times New Roman" w:eastAsia="Times New Roman"/>
        </w:rPr>
        <w:t xml:space="preserve">(2020)7 </w:t>
      </w:r>
      <w:r>
        <w:t>号</w:t>
      </w:r>
      <w:r>
        <w:rPr>
          <w:rFonts w:ascii="Times New Roman" w:eastAsia="Times New Roman"/>
        </w:rPr>
        <w:t>)</w:t>
      </w:r>
      <w:r>
        <w:t>批复同意该项目进入核准程序。</w:t>
      </w:r>
    </w:p>
    <w:p>
      <w:pPr>
        <w:pStyle w:val="6"/>
        <w:numPr>
          <w:ilvl w:val="2"/>
          <w:numId w:val="27"/>
        </w:numPr>
        <w:tabs>
          <w:tab w:val="left" w:pos="848"/>
        </w:tabs>
        <w:spacing w:before="0" w:after="0" w:line="358" w:lineRule="exact"/>
        <w:ind w:left="847" w:right="0" w:hanging="630"/>
        <w:jc w:val="left"/>
        <w:rPr>
          <w:rFonts w:ascii="Times New Roman" w:eastAsia="Times New Roman"/>
        </w:rPr>
      </w:pPr>
      <w:bookmarkStart w:id="131" w:name="2.1.3现有工程情况"/>
      <w:bookmarkEnd w:id="131"/>
      <w:bookmarkStart w:id="132" w:name="2.1.3现有工程情况"/>
      <w:bookmarkEnd w:id="132"/>
      <w:r>
        <w:t>现有工程情况</w:t>
      </w:r>
    </w:p>
    <w:p>
      <w:pPr>
        <w:pStyle w:val="9"/>
        <w:spacing w:before="186" w:line="364" w:lineRule="auto"/>
        <w:ind w:left="218" w:right="257" w:firstLine="480"/>
      </w:pPr>
      <w:r>
        <w:rPr>
          <w:spacing w:val="-8"/>
        </w:rPr>
        <w:t>目前，矿井所有采掘系统、地面辅助系统均保持完好，具体项目组成一览表详见下</w:t>
      </w:r>
      <w:r>
        <w:t>表。</w:t>
      </w:r>
    </w:p>
    <w:p>
      <w:pPr>
        <w:spacing w:before="0"/>
        <w:ind w:left="312" w:right="330" w:firstLine="0"/>
        <w:jc w:val="center"/>
        <w:rPr>
          <w:b/>
          <w:sz w:val="21"/>
        </w:rPr>
      </w:pPr>
      <w:r>
        <w:rPr>
          <w:b/>
          <w:spacing w:val="-28"/>
          <w:sz w:val="21"/>
        </w:rPr>
        <w:t xml:space="preserve">表 </w:t>
      </w:r>
      <w:r>
        <w:rPr>
          <w:rFonts w:ascii="Times New Roman" w:eastAsia="Times New Roman"/>
          <w:b/>
          <w:sz w:val="21"/>
        </w:rPr>
        <w:t>2.1-3</w:t>
      </w:r>
      <w:r>
        <w:rPr>
          <w:rFonts w:ascii="Times New Roman" w:eastAsia="Times New Roman"/>
          <w:b/>
          <w:spacing w:val="51"/>
          <w:sz w:val="21"/>
        </w:rPr>
        <w:t xml:space="preserve"> </w:t>
      </w:r>
      <w:r>
        <w:rPr>
          <w:b/>
          <w:sz w:val="21"/>
        </w:rPr>
        <w:t>盟度有限公司（原双兴时代二井）现有工程组成一览表</w:t>
      </w:r>
    </w:p>
    <w:p>
      <w:pPr>
        <w:pStyle w:val="9"/>
        <w:spacing w:before="9" w:after="1"/>
        <w:rPr>
          <w:b/>
          <w:sz w:val="10"/>
        </w:rPr>
      </w:pPr>
    </w:p>
    <w:tbl>
      <w:tblPr>
        <w:tblStyle w:val="15"/>
        <w:tblW w:w="0" w:type="auto"/>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3"/>
        <w:gridCol w:w="557"/>
        <w:gridCol w:w="1573"/>
        <w:gridCol w:w="667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030" w:type="dxa"/>
            <w:gridSpan w:val="2"/>
            <w:tcBorders>
              <w:bottom w:val="single" w:color="000000" w:sz="4" w:space="0"/>
              <w:right w:val="single" w:color="000000" w:sz="4" w:space="0"/>
            </w:tcBorders>
          </w:tcPr>
          <w:p>
            <w:pPr>
              <w:pStyle w:val="19"/>
              <w:ind w:left="304"/>
              <w:jc w:val="left"/>
              <w:rPr>
                <w:sz w:val="21"/>
              </w:rPr>
            </w:pPr>
            <w:bookmarkStart w:id="133" w:name="_bookmark15"/>
            <w:bookmarkEnd w:id="133"/>
            <w:r>
              <w:rPr>
                <w:spacing w:val="-1"/>
                <w:w w:val="95"/>
                <w:sz w:val="21"/>
              </w:rPr>
              <w:t>工程</w:t>
            </w:r>
          </w:p>
          <w:p>
            <w:pPr>
              <w:pStyle w:val="19"/>
              <w:spacing w:before="57"/>
              <w:ind w:left="304"/>
              <w:jc w:val="left"/>
              <w:rPr>
                <w:sz w:val="21"/>
              </w:rPr>
            </w:pPr>
            <w:r>
              <w:rPr>
                <w:spacing w:val="-1"/>
                <w:w w:val="95"/>
                <w:sz w:val="21"/>
              </w:rPr>
              <w:t>类别</w:t>
            </w:r>
          </w:p>
        </w:tc>
        <w:tc>
          <w:tcPr>
            <w:tcW w:w="1573" w:type="dxa"/>
            <w:tcBorders>
              <w:left w:val="single" w:color="000000" w:sz="4" w:space="0"/>
              <w:bottom w:val="single" w:color="000000" w:sz="4" w:space="0"/>
              <w:right w:val="single" w:color="000000" w:sz="4" w:space="0"/>
            </w:tcBorders>
          </w:tcPr>
          <w:p>
            <w:pPr>
              <w:pStyle w:val="19"/>
              <w:spacing w:before="163"/>
              <w:ind w:left="350" w:right="333"/>
              <w:rPr>
                <w:sz w:val="21"/>
              </w:rPr>
            </w:pPr>
            <w:r>
              <w:rPr>
                <w:sz w:val="21"/>
              </w:rPr>
              <w:t>单项工程</w:t>
            </w:r>
          </w:p>
        </w:tc>
        <w:tc>
          <w:tcPr>
            <w:tcW w:w="6677" w:type="dxa"/>
            <w:tcBorders>
              <w:left w:val="single" w:color="000000" w:sz="4" w:space="0"/>
              <w:bottom w:val="single" w:color="000000" w:sz="4" w:space="0"/>
            </w:tcBorders>
          </w:tcPr>
          <w:p>
            <w:pPr>
              <w:pStyle w:val="19"/>
              <w:spacing w:before="163"/>
              <w:ind w:left="53" w:right="35"/>
              <w:rPr>
                <w:sz w:val="21"/>
              </w:rPr>
            </w:pPr>
            <w:r>
              <w:rPr>
                <w:sz w:val="21"/>
              </w:rPr>
              <w:t>项目概况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25" w:hRule="atLeast"/>
        </w:trPr>
        <w:tc>
          <w:tcPr>
            <w:tcW w:w="473" w:type="dxa"/>
            <w:vMerge w:val="restart"/>
            <w:tcBorders>
              <w:top w:val="single" w:color="000000" w:sz="4" w:space="0"/>
              <w:bottom w:val="single" w:color="000000" w:sz="4" w:space="0"/>
              <w:right w:val="single" w:color="000000" w:sz="4" w:space="0"/>
            </w:tcBorders>
          </w:tcPr>
          <w:p>
            <w:pPr>
              <w:pStyle w:val="19"/>
              <w:spacing w:before="177" w:line="290" w:lineRule="auto"/>
              <w:ind w:left="131" w:right="115"/>
              <w:jc w:val="both"/>
              <w:rPr>
                <w:sz w:val="21"/>
              </w:rPr>
            </w:pPr>
            <w:r>
              <w:rPr>
                <w:sz w:val="21"/>
              </w:rPr>
              <w:t>主体工程</w:t>
            </w:r>
          </w:p>
        </w:tc>
        <w:tc>
          <w:tcPr>
            <w:tcW w:w="557" w:type="dxa"/>
            <w:vMerge w:val="restart"/>
            <w:tcBorders>
              <w:top w:val="single" w:color="000000" w:sz="4" w:space="0"/>
              <w:left w:val="single" w:color="000000" w:sz="4" w:space="0"/>
              <w:bottom w:val="single" w:color="000000" w:sz="4" w:space="0"/>
              <w:right w:val="single" w:color="000000" w:sz="4" w:space="0"/>
            </w:tcBorders>
          </w:tcPr>
          <w:p>
            <w:pPr>
              <w:pStyle w:val="19"/>
              <w:spacing w:before="177" w:line="290" w:lineRule="auto"/>
              <w:ind w:left="177" w:right="160"/>
              <w:jc w:val="both"/>
              <w:rPr>
                <w:sz w:val="21"/>
              </w:rPr>
            </w:pPr>
            <w:r>
              <w:rPr>
                <w:w w:val="95"/>
                <w:sz w:val="21"/>
              </w:rPr>
              <w:t>矿井工程</w:t>
            </w:r>
          </w:p>
        </w:tc>
        <w:tc>
          <w:tcPr>
            <w:tcW w:w="1573"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2"/>
              <w:jc w:val="left"/>
              <w:rPr>
                <w:b/>
                <w:sz w:val="15"/>
              </w:rPr>
            </w:pPr>
          </w:p>
          <w:p>
            <w:pPr>
              <w:pStyle w:val="19"/>
              <w:ind w:left="331" w:right="333"/>
              <w:rPr>
                <w:sz w:val="21"/>
              </w:rPr>
            </w:pPr>
            <w:r>
              <w:rPr>
                <w:sz w:val="21"/>
              </w:rPr>
              <w:t>主井</w:t>
            </w:r>
          </w:p>
        </w:tc>
        <w:tc>
          <w:tcPr>
            <w:tcW w:w="6677" w:type="dxa"/>
            <w:tcBorders>
              <w:top w:val="single" w:color="000000" w:sz="4" w:space="0"/>
              <w:left w:val="single" w:color="000000" w:sz="4" w:space="0"/>
              <w:bottom w:val="single" w:color="000000" w:sz="4" w:space="0"/>
            </w:tcBorders>
          </w:tcPr>
          <w:p>
            <w:pPr>
              <w:pStyle w:val="19"/>
              <w:spacing w:before="2" w:line="364" w:lineRule="auto"/>
              <w:ind w:left="113" w:right="-15" w:firstLine="458"/>
              <w:jc w:val="left"/>
              <w:rPr>
                <w:sz w:val="21"/>
              </w:rPr>
            </w:pPr>
            <w:r>
              <w:rPr>
                <w:spacing w:val="9"/>
                <w:w w:val="95"/>
                <w:sz w:val="21"/>
              </w:rPr>
              <w:t xml:space="preserve">片盘斜井，通风方式为中央并列式。各大生产系统运转正常， </w:t>
            </w:r>
            <w:r>
              <w:rPr>
                <w:spacing w:val="6"/>
                <w:sz w:val="21"/>
              </w:rPr>
              <w:t xml:space="preserve">主井全长 </w:t>
            </w:r>
            <w:r>
              <w:rPr>
                <w:rFonts w:ascii="Times New Roman" w:eastAsia="Times New Roman"/>
                <w:spacing w:val="6"/>
                <w:sz w:val="21"/>
              </w:rPr>
              <w:t>870m</w:t>
            </w:r>
            <w:r>
              <w:rPr>
                <w:rFonts w:ascii="Times New Roman" w:eastAsia="Times New Roman"/>
                <w:spacing w:val="17"/>
                <w:sz w:val="21"/>
              </w:rPr>
              <w:t xml:space="preserve"> </w:t>
            </w:r>
            <w:r>
              <w:rPr>
                <w:sz w:val="21"/>
              </w:rPr>
              <w:t xml:space="preserve">左右， 主井平均断面 </w:t>
            </w:r>
            <w:r>
              <w:rPr>
                <w:rFonts w:ascii="Times New Roman" w:eastAsia="Times New Roman"/>
                <w:spacing w:val="5"/>
                <w:sz w:val="21"/>
              </w:rPr>
              <w:t>5.9</w:t>
            </w:r>
            <w:r>
              <w:rPr>
                <w:rFonts w:ascii="Times New Roman" w:eastAsia="Times New Roman"/>
                <w:spacing w:val="17"/>
                <w:sz w:val="21"/>
              </w:rPr>
              <w:t xml:space="preserve"> </w:t>
            </w:r>
            <w:r>
              <w:rPr>
                <w:spacing w:val="-2"/>
                <w:sz w:val="21"/>
              </w:rPr>
              <w:t xml:space="preserve">㎡， 风井平均断面 </w:t>
            </w:r>
            <w:r>
              <w:rPr>
                <w:rFonts w:ascii="Times New Roman" w:eastAsia="Times New Roman"/>
                <w:sz w:val="21"/>
              </w:rPr>
              <w:t>7</w:t>
            </w:r>
            <w:r>
              <w:rPr>
                <w:rFonts w:ascii="Times New Roman" w:eastAsia="Times New Roman"/>
                <w:spacing w:val="11"/>
                <w:sz w:val="21"/>
              </w:rPr>
              <w:t xml:space="preserve"> </w:t>
            </w:r>
            <w:r>
              <w:rPr>
                <w:spacing w:val="10"/>
                <w:sz w:val="21"/>
              </w:rPr>
              <w:t>㎡，</w:t>
            </w:r>
          </w:p>
          <w:p>
            <w:pPr>
              <w:pStyle w:val="19"/>
              <w:spacing w:line="267" w:lineRule="exact"/>
              <w:ind w:left="888"/>
              <w:jc w:val="left"/>
              <w:rPr>
                <w:sz w:val="21"/>
              </w:rPr>
            </w:pPr>
            <w:r>
              <w:rPr>
                <w:sz w:val="21"/>
              </w:rPr>
              <w:t xml:space="preserve">两条井筒平行， 坡度均为 </w:t>
            </w:r>
            <w:r>
              <w:rPr>
                <w:rFonts w:ascii="Times New Roman" w:hAnsi="Times New Roman" w:eastAsia="Times New Roman"/>
                <w:sz w:val="21"/>
              </w:rPr>
              <w:t>23</w:t>
            </w:r>
            <w:r>
              <w:rPr>
                <w:sz w:val="21"/>
              </w:rPr>
              <w:t>°。井底标高</w:t>
            </w:r>
            <w:r>
              <w:rPr>
                <w:rFonts w:ascii="Times New Roman" w:hAnsi="Times New Roman" w:eastAsia="Times New Roman"/>
                <w:sz w:val="21"/>
              </w:rPr>
              <w:t>-31m</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73" w:type="dxa"/>
            <w:vMerge w:val="continue"/>
            <w:tcBorders>
              <w:top w:val="nil"/>
              <w:bottom w:val="single" w:color="000000" w:sz="4" w:space="0"/>
              <w:right w:val="single" w:color="000000" w:sz="4" w:space="0"/>
            </w:tcBorders>
          </w:tcPr>
          <w:p>
            <w:pPr>
              <w:rPr>
                <w:sz w:val="2"/>
                <w:szCs w:val="2"/>
              </w:rPr>
            </w:pPr>
          </w:p>
        </w:tc>
        <w:tc>
          <w:tcPr>
            <w:tcW w:w="557" w:type="dxa"/>
            <w:vMerge w:val="continue"/>
            <w:tcBorders>
              <w:top w:val="nil"/>
              <w:left w:val="single" w:color="000000" w:sz="4" w:space="0"/>
              <w:bottom w:val="single" w:color="000000" w:sz="4" w:space="0"/>
              <w:right w:val="single" w:color="000000" w:sz="4" w:space="0"/>
            </w:tcBorders>
          </w:tcPr>
          <w:p>
            <w:pPr>
              <w:rPr>
                <w:sz w:val="2"/>
                <w:szCs w:val="2"/>
              </w:rPr>
            </w:pPr>
          </w:p>
        </w:tc>
        <w:tc>
          <w:tcPr>
            <w:tcW w:w="1573" w:type="dxa"/>
            <w:tcBorders>
              <w:top w:val="single" w:color="000000" w:sz="4" w:space="0"/>
              <w:left w:val="single" w:color="000000" w:sz="4" w:space="0"/>
              <w:bottom w:val="single" w:color="000000" w:sz="4" w:space="0"/>
              <w:right w:val="single" w:color="000000" w:sz="4" w:space="0"/>
            </w:tcBorders>
          </w:tcPr>
          <w:p>
            <w:pPr>
              <w:pStyle w:val="19"/>
              <w:spacing w:before="50"/>
              <w:ind w:left="331" w:right="333"/>
              <w:rPr>
                <w:sz w:val="21"/>
              </w:rPr>
            </w:pPr>
            <w:r>
              <w:rPr>
                <w:sz w:val="21"/>
              </w:rPr>
              <w:t>风井</w:t>
            </w:r>
          </w:p>
        </w:tc>
        <w:tc>
          <w:tcPr>
            <w:tcW w:w="6677" w:type="dxa"/>
            <w:tcBorders>
              <w:top w:val="single" w:color="000000" w:sz="4" w:space="0"/>
              <w:left w:val="single" w:color="000000" w:sz="4" w:space="0"/>
              <w:bottom w:val="single" w:color="000000" w:sz="4" w:space="0"/>
            </w:tcBorders>
          </w:tcPr>
          <w:p>
            <w:pPr>
              <w:pStyle w:val="19"/>
              <w:spacing w:before="9"/>
              <w:ind w:left="1733"/>
              <w:jc w:val="left"/>
              <w:rPr>
                <w:sz w:val="21"/>
              </w:rPr>
            </w:pPr>
            <w:r>
              <w:rPr>
                <w:sz w:val="21"/>
              </w:rPr>
              <w:t>担负矿井回风任务， 兼做安全出口。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473" w:type="dxa"/>
            <w:vMerge w:val="restart"/>
            <w:tcBorders>
              <w:top w:val="single" w:color="000000" w:sz="4" w:space="0"/>
              <w:right w:val="single" w:color="000000" w:sz="4" w:space="0"/>
            </w:tcBorders>
          </w:tcPr>
          <w:p>
            <w:pPr>
              <w:pStyle w:val="19"/>
              <w:spacing w:before="102" w:line="290" w:lineRule="auto"/>
              <w:ind w:left="131" w:right="115"/>
              <w:jc w:val="left"/>
              <w:rPr>
                <w:sz w:val="21"/>
              </w:rPr>
            </w:pPr>
            <w:r>
              <w:rPr>
                <w:sz w:val="21"/>
              </w:rPr>
              <w:t>辅助</w:t>
            </w:r>
          </w:p>
        </w:tc>
        <w:tc>
          <w:tcPr>
            <w:tcW w:w="2130" w:type="dxa"/>
            <w:gridSpan w:val="2"/>
            <w:tcBorders>
              <w:top w:val="single" w:color="000000" w:sz="4" w:space="0"/>
              <w:left w:val="single" w:color="000000" w:sz="4" w:space="0"/>
              <w:bottom w:val="single" w:color="000000" w:sz="4" w:space="0"/>
              <w:right w:val="single" w:color="000000" w:sz="4" w:space="0"/>
            </w:tcBorders>
          </w:tcPr>
          <w:p>
            <w:pPr>
              <w:pStyle w:val="19"/>
              <w:spacing w:before="49"/>
              <w:ind w:left="438"/>
              <w:jc w:val="left"/>
              <w:rPr>
                <w:sz w:val="21"/>
              </w:rPr>
            </w:pPr>
            <w:r>
              <w:rPr>
                <w:sz w:val="21"/>
              </w:rPr>
              <w:t>矿井辅助设施</w:t>
            </w:r>
          </w:p>
        </w:tc>
        <w:tc>
          <w:tcPr>
            <w:tcW w:w="6677" w:type="dxa"/>
            <w:tcBorders>
              <w:top w:val="single" w:color="000000" w:sz="4" w:space="0"/>
              <w:left w:val="single" w:color="000000" w:sz="4" w:space="0"/>
              <w:bottom w:val="single" w:color="000000" w:sz="4" w:space="0"/>
            </w:tcBorders>
          </w:tcPr>
          <w:p>
            <w:pPr>
              <w:pStyle w:val="19"/>
              <w:spacing w:before="49"/>
              <w:ind w:left="192"/>
              <w:jc w:val="left"/>
              <w:rPr>
                <w:sz w:val="21"/>
              </w:rPr>
            </w:pPr>
            <w:r>
              <w:rPr>
                <w:sz w:val="21"/>
              </w:rPr>
              <w:t>机修车间、材料库、段室、瓦斯抽放站、消防泵房等辅助生产设施。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7" w:hRule="atLeast"/>
        </w:trPr>
        <w:tc>
          <w:tcPr>
            <w:tcW w:w="473" w:type="dxa"/>
            <w:vMerge w:val="continue"/>
            <w:tcBorders>
              <w:top w:val="nil"/>
              <w:right w:val="single" w:color="000000" w:sz="4" w:space="0"/>
            </w:tcBorders>
          </w:tcPr>
          <w:p>
            <w:pPr>
              <w:rPr>
                <w:sz w:val="2"/>
                <w:szCs w:val="2"/>
              </w:rPr>
            </w:pPr>
          </w:p>
        </w:tc>
        <w:tc>
          <w:tcPr>
            <w:tcW w:w="2130" w:type="dxa"/>
            <w:gridSpan w:val="2"/>
            <w:tcBorders>
              <w:top w:val="single" w:color="000000" w:sz="4" w:space="0"/>
              <w:left w:val="single" w:color="000000" w:sz="4" w:space="0"/>
              <w:right w:val="single" w:color="000000" w:sz="4" w:space="0"/>
            </w:tcBorders>
          </w:tcPr>
          <w:p>
            <w:pPr>
              <w:pStyle w:val="19"/>
              <w:spacing w:before="44"/>
              <w:ind w:left="229"/>
              <w:jc w:val="left"/>
              <w:rPr>
                <w:sz w:val="21"/>
              </w:rPr>
            </w:pPr>
            <w:r>
              <w:rPr>
                <w:sz w:val="21"/>
              </w:rPr>
              <w:t>采暖、洗浴锅炉房</w:t>
            </w:r>
          </w:p>
        </w:tc>
        <w:tc>
          <w:tcPr>
            <w:tcW w:w="6677" w:type="dxa"/>
            <w:tcBorders>
              <w:top w:val="single" w:color="000000" w:sz="4" w:space="0"/>
              <w:left w:val="single" w:color="000000" w:sz="4" w:space="0"/>
            </w:tcBorders>
          </w:tcPr>
          <w:p>
            <w:pPr>
              <w:pStyle w:val="19"/>
              <w:spacing w:before="44"/>
              <w:ind w:left="456"/>
              <w:jc w:val="left"/>
              <w:rPr>
                <w:sz w:val="21"/>
              </w:rPr>
            </w:pPr>
            <w:r>
              <w:rPr>
                <w:rFonts w:ascii="Times New Roman" w:eastAsia="Times New Roman"/>
                <w:sz w:val="21"/>
              </w:rPr>
              <w:t xml:space="preserve">CLSG </w:t>
            </w:r>
            <w:r>
              <w:rPr>
                <w:sz w:val="21"/>
              </w:rPr>
              <w:t>型常压锅炉，型号：</w:t>
            </w:r>
            <w:r>
              <w:rPr>
                <w:rFonts w:ascii="Times New Roman" w:eastAsia="Times New Roman"/>
                <w:sz w:val="21"/>
              </w:rPr>
              <w:t>CLSGB64-95/70-K</w:t>
            </w:r>
            <w:r>
              <w:rPr>
                <w:sz w:val="21"/>
              </w:rPr>
              <w:t>，热效率：</w:t>
            </w:r>
            <w:r>
              <w:rPr>
                <w:rFonts w:ascii="Times New Roman" w:eastAsia="Times New Roman"/>
                <w:sz w:val="21"/>
              </w:rPr>
              <w:t>78%</w:t>
            </w:r>
            <w:r>
              <w:rPr>
                <w:sz w:val="21"/>
              </w:rPr>
              <w:t>。</w:t>
            </w:r>
          </w:p>
        </w:tc>
      </w:tr>
    </w:tbl>
    <w:p>
      <w:pPr>
        <w:spacing w:after="0"/>
        <w:jc w:val="left"/>
        <w:rPr>
          <w:sz w:val="21"/>
        </w:rPr>
        <w:sectPr>
          <w:pgSz w:w="11910" w:h="16840"/>
          <w:pgMar w:top="1400" w:right="1160" w:bottom="1180" w:left="1200" w:header="0" w:footer="993" w:gutter="0"/>
        </w:sectPr>
      </w:pPr>
    </w:p>
    <w:tbl>
      <w:tblPr>
        <w:tblStyle w:val="15"/>
        <w:tblW w:w="0" w:type="auto"/>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3"/>
        <w:gridCol w:w="2130"/>
        <w:gridCol w:w="667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297" w:hRule="atLeast"/>
        </w:trPr>
        <w:tc>
          <w:tcPr>
            <w:tcW w:w="473" w:type="dxa"/>
            <w:tcBorders>
              <w:bottom w:val="single" w:color="000000" w:sz="4" w:space="0"/>
              <w:right w:val="single" w:color="000000" w:sz="4" w:space="0"/>
            </w:tcBorders>
          </w:tcPr>
          <w:p>
            <w:pPr>
              <w:pStyle w:val="19"/>
              <w:spacing w:line="292" w:lineRule="auto"/>
              <w:ind w:left="131" w:right="115"/>
              <w:jc w:val="both"/>
              <w:rPr>
                <w:sz w:val="21"/>
              </w:rPr>
            </w:pPr>
            <w:r>
              <w:rPr>
                <w:sz w:val="21"/>
              </w:rPr>
              <w:t>生产系</w:t>
            </w:r>
          </w:p>
          <w:p>
            <w:pPr>
              <w:pStyle w:val="19"/>
              <w:spacing w:line="266" w:lineRule="exact"/>
              <w:ind w:left="131"/>
              <w:jc w:val="left"/>
              <w:rPr>
                <w:sz w:val="21"/>
              </w:rPr>
            </w:pPr>
            <w:r>
              <w:rPr>
                <w:w w:val="99"/>
                <w:sz w:val="21"/>
              </w:rPr>
              <w:t>统</w:t>
            </w:r>
          </w:p>
        </w:tc>
        <w:tc>
          <w:tcPr>
            <w:tcW w:w="2130" w:type="dxa"/>
            <w:tcBorders>
              <w:left w:val="single" w:color="000000" w:sz="4" w:space="0"/>
              <w:bottom w:val="single" w:color="000000" w:sz="4" w:space="0"/>
              <w:right w:val="single" w:color="000000" w:sz="4" w:space="0"/>
            </w:tcBorders>
          </w:tcPr>
          <w:p>
            <w:pPr>
              <w:pStyle w:val="19"/>
              <w:jc w:val="left"/>
              <w:rPr>
                <w:b/>
                <w:sz w:val="20"/>
              </w:rPr>
            </w:pPr>
          </w:p>
          <w:p>
            <w:pPr>
              <w:pStyle w:val="19"/>
              <w:spacing w:before="8"/>
              <w:jc w:val="left"/>
              <w:rPr>
                <w:b/>
                <w:sz w:val="17"/>
              </w:rPr>
            </w:pPr>
          </w:p>
          <w:p>
            <w:pPr>
              <w:pStyle w:val="19"/>
              <w:ind w:left="208" w:right="191"/>
              <w:rPr>
                <w:sz w:val="21"/>
              </w:rPr>
            </w:pPr>
            <w:r>
              <w:rPr>
                <w:sz w:val="21"/>
              </w:rPr>
              <w:t>热风炉房</w:t>
            </w:r>
          </w:p>
        </w:tc>
        <w:tc>
          <w:tcPr>
            <w:tcW w:w="6677" w:type="dxa"/>
            <w:tcBorders>
              <w:left w:val="single" w:color="000000" w:sz="4" w:space="0"/>
              <w:bottom w:val="single" w:color="000000" w:sz="4" w:space="0"/>
            </w:tcBorders>
          </w:tcPr>
          <w:p>
            <w:pPr>
              <w:pStyle w:val="19"/>
              <w:spacing w:before="102" w:line="500" w:lineRule="atLeast"/>
              <w:ind w:left="3132" w:right="15" w:hanging="3017"/>
              <w:jc w:val="left"/>
              <w:rPr>
                <w:sz w:val="21"/>
              </w:rPr>
            </w:pPr>
            <w:r>
              <w:rPr>
                <w:sz w:val="21"/>
              </w:rPr>
              <w:t>规格型号：</w:t>
            </w:r>
            <w:r>
              <w:rPr>
                <w:rFonts w:ascii="Times New Roman" w:eastAsia="Times New Roman"/>
                <w:sz w:val="21"/>
              </w:rPr>
              <w:t>RF2</w:t>
            </w:r>
            <w:r>
              <w:rPr>
                <w:sz w:val="21"/>
              </w:rPr>
              <w:t xml:space="preserve">，热效率 </w:t>
            </w:r>
            <w:r>
              <w:rPr>
                <w:rFonts w:ascii="Times New Roman" w:eastAsia="Times New Roman"/>
                <w:sz w:val="21"/>
              </w:rPr>
              <w:t>64%</w:t>
            </w:r>
            <w:r>
              <w:rPr>
                <w:sz w:val="21"/>
              </w:rPr>
              <w:t>，燃烧方式：固定炉排，适用煤种：二类烟煤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3" w:hRule="atLeast"/>
        </w:trPr>
        <w:tc>
          <w:tcPr>
            <w:tcW w:w="473" w:type="dxa"/>
            <w:vMerge w:val="restart"/>
            <w:tcBorders>
              <w:top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spacing w:before="160" w:line="292" w:lineRule="auto"/>
              <w:ind w:left="131" w:right="115"/>
              <w:jc w:val="both"/>
              <w:rPr>
                <w:sz w:val="21"/>
              </w:rPr>
            </w:pPr>
            <w:r>
              <w:rPr>
                <w:sz w:val="21"/>
              </w:rPr>
              <w:t>储运工程</w:t>
            </w:r>
          </w:p>
        </w:tc>
        <w:tc>
          <w:tcPr>
            <w:tcW w:w="2130"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spacing w:before="141"/>
              <w:ind w:left="208" w:right="191"/>
              <w:rPr>
                <w:sz w:val="21"/>
              </w:rPr>
            </w:pPr>
            <w:r>
              <w:rPr>
                <w:sz w:val="21"/>
              </w:rPr>
              <w:t>道路</w:t>
            </w:r>
          </w:p>
        </w:tc>
        <w:tc>
          <w:tcPr>
            <w:tcW w:w="6677" w:type="dxa"/>
            <w:tcBorders>
              <w:top w:val="single" w:color="000000" w:sz="4" w:space="0"/>
              <w:left w:val="single" w:color="000000" w:sz="4" w:space="0"/>
              <w:bottom w:val="single" w:color="000000" w:sz="4" w:space="0"/>
            </w:tcBorders>
          </w:tcPr>
          <w:p>
            <w:pPr>
              <w:pStyle w:val="19"/>
              <w:spacing w:line="364" w:lineRule="auto"/>
              <w:ind w:left="113" w:right="37" w:firstLine="571"/>
              <w:jc w:val="both"/>
              <w:rPr>
                <w:sz w:val="21"/>
              </w:rPr>
            </w:pPr>
            <w:r>
              <w:rPr>
                <w:spacing w:val="-3"/>
                <w:sz w:val="21"/>
              </w:rPr>
              <w:t xml:space="preserve">目前本区交通运输以公路为主，双鸭山市区通往桦南县的 </w:t>
            </w:r>
            <w:r>
              <w:rPr>
                <w:rFonts w:ascii="Times New Roman" w:eastAsia="Times New Roman"/>
                <w:sz w:val="21"/>
              </w:rPr>
              <w:t xml:space="preserve">307 </w:t>
            </w:r>
            <w:r>
              <w:rPr>
                <w:sz w:val="21"/>
              </w:rPr>
              <w:t>省</w:t>
            </w:r>
            <w:r>
              <w:rPr>
                <w:spacing w:val="-8"/>
                <w:sz w:val="21"/>
              </w:rPr>
              <w:t xml:space="preserve">道在井口北侧 </w:t>
            </w:r>
            <w:r>
              <w:rPr>
                <w:rFonts w:ascii="Times New Roman" w:eastAsia="Times New Roman"/>
                <w:sz w:val="21"/>
              </w:rPr>
              <w:t xml:space="preserve">200m </w:t>
            </w:r>
            <w:r>
              <w:rPr>
                <w:spacing w:val="-4"/>
                <w:sz w:val="21"/>
              </w:rPr>
              <w:t xml:space="preserve">处经过。目前矿方已经将工业场地至 </w:t>
            </w:r>
            <w:r>
              <w:rPr>
                <w:rFonts w:ascii="Times New Roman" w:eastAsia="Times New Roman"/>
                <w:sz w:val="21"/>
              </w:rPr>
              <w:t xml:space="preserve">307 </w:t>
            </w:r>
            <w:r>
              <w:rPr>
                <w:sz w:val="21"/>
              </w:rPr>
              <w:t>省道的简</w:t>
            </w:r>
            <w:r>
              <w:rPr>
                <w:spacing w:val="-9"/>
                <w:sz w:val="21"/>
              </w:rPr>
              <w:t xml:space="preserve">易公路改造为 </w:t>
            </w:r>
            <w:r>
              <w:rPr>
                <w:rFonts w:ascii="Times New Roman" w:eastAsia="Times New Roman"/>
                <w:sz w:val="21"/>
              </w:rPr>
              <w:t xml:space="preserve">2 </w:t>
            </w:r>
            <w:r>
              <w:rPr>
                <w:sz w:val="21"/>
              </w:rPr>
              <w:t>级场外公路。综上所述，该矿外部公路系统基本完善，</w:t>
            </w:r>
          </w:p>
          <w:p>
            <w:pPr>
              <w:pStyle w:val="19"/>
              <w:spacing w:line="269" w:lineRule="exact"/>
              <w:ind w:left="58" w:right="35"/>
              <w:rPr>
                <w:sz w:val="21"/>
              </w:rPr>
            </w:pPr>
            <w:r>
              <w:rPr>
                <w:sz w:val="21"/>
              </w:rPr>
              <w:t>公路运输较为便利。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73" w:type="dxa"/>
            <w:vMerge w:val="continue"/>
            <w:tcBorders>
              <w:top w:val="nil"/>
              <w:bottom w:val="single" w:color="000000" w:sz="4" w:space="0"/>
              <w:right w:val="single" w:color="000000" w:sz="4" w:space="0"/>
            </w:tcBorders>
          </w:tcPr>
          <w:p>
            <w:pPr>
              <w:rPr>
                <w:sz w:val="2"/>
                <w:szCs w:val="2"/>
              </w:rPr>
            </w:pPr>
          </w:p>
        </w:tc>
        <w:tc>
          <w:tcPr>
            <w:tcW w:w="2130" w:type="dxa"/>
            <w:tcBorders>
              <w:top w:val="single" w:color="000000" w:sz="4" w:space="0"/>
              <w:left w:val="single" w:color="000000" w:sz="4" w:space="0"/>
              <w:bottom w:val="single" w:color="000000" w:sz="4" w:space="0"/>
              <w:right w:val="single" w:color="000000" w:sz="4" w:space="0"/>
            </w:tcBorders>
          </w:tcPr>
          <w:p>
            <w:pPr>
              <w:pStyle w:val="19"/>
              <w:spacing w:before="51"/>
              <w:ind w:left="208" w:right="189"/>
              <w:rPr>
                <w:sz w:val="21"/>
              </w:rPr>
            </w:pPr>
            <w:r>
              <w:rPr>
                <w:sz w:val="21"/>
              </w:rPr>
              <w:t>储煤场</w:t>
            </w:r>
          </w:p>
        </w:tc>
        <w:tc>
          <w:tcPr>
            <w:tcW w:w="6677" w:type="dxa"/>
            <w:tcBorders>
              <w:top w:val="single" w:color="000000" w:sz="4" w:space="0"/>
              <w:left w:val="single" w:color="000000" w:sz="4" w:space="0"/>
              <w:bottom w:val="single" w:color="000000" w:sz="4" w:space="0"/>
            </w:tcBorders>
          </w:tcPr>
          <w:p>
            <w:pPr>
              <w:pStyle w:val="19"/>
              <w:spacing w:before="10"/>
              <w:ind w:left="58" w:right="34"/>
              <w:rPr>
                <w:rFonts w:ascii="Times New Roman" w:eastAsia="Times New Roman"/>
                <w:sz w:val="13"/>
              </w:rPr>
            </w:pPr>
            <w:r>
              <w:rPr>
                <w:sz w:val="21"/>
              </w:rPr>
              <w:t xml:space="preserve">主井工业场地场设有储煤场 </w:t>
            </w:r>
            <w:r>
              <w:rPr>
                <w:rFonts w:ascii="Times New Roman" w:eastAsia="Times New Roman"/>
                <w:sz w:val="21"/>
              </w:rPr>
              <w:t>2000m</w:t>
            </w:r>
            <w:r>
              <w:rPr>
                <w:rFonts w:ascii="Times New Roman" w:eastAsia="Times New Roman"/>
                <w:position w:val="7"/>
                <w:sz w:val="13"/>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473" w:type="dxa"/>
            <w:vMerge w:val="continue"/>
            <w:tcBorders>
              <w:top w:val="nil"/>
              <w:bottom w:val="single" w:color="000000" w:sz="4" w:space="0"/>
              <w:right w:val="single" w:color="000000" w:sz="4" w:space="0"/>
            </w:tcBorders>
          </w:tcPr>
          <w:p>
            <w:pPr>
              <w:rPr>
                <w:sz w:val="2"/>
                <w:szCs w:val="2"/>
              </w:rPr>
            </w:pPr>
          </w:p>
        </w:tc>
        <w:tc>
          <w:tcPr>
            <w:tcW w:w="2130" w:type="dxa"/>
            <w:tcBorders>
              <w:top w:val="single" w:color="000000" w:sz="4" w:space="0"/>
              <w:left w:val="single" w:color="000000" w:sz="4" w:space="0"/>
              <w:bottom w:val="single" w:color="000000" w:sz="4" w:space="0"/>
              <w:right w:val="single" w:color="000000" w:sz="4" w:space="0"/>
            </w:tcBorders>
          </w:tcPr>
          <w:p>
            <w:pPr>
              <w:pStyle w:val="19"/>
              <w:spacing w:before="163"/>
              <w:ind w:left="208" w:right="191"/>
              <w:rPr>
                <w:sz w:val="21"/>
              </w:rPr>
            </w:pPr>
            <w:r>
              <w:rPr>
                <w:sz w:val="21"/>
              </w:rPr>
              <w:t>矸石临时堆放场地</w:t>
            </w:r>
          </w:p>
        </w:tc>
        <w:tc>
          <w:tcPr>
            <w:tcW w:w="6677" w:type="dxa"/>
            <w:tcBorders>
              <w:top w:val="single" w:color="000000" w:sz="4" w:space="0"/>
              <w:left w:val="single" w:color="000000" w:sz="4" w:space="0"/>
              <w:bottom w:val="single" w:color="000000" w:sz="4" w:space="0"/>
            </w:tcBorders>
          </w:tcPr>
          <w:p>
            <w:pPr>
              <w:pStyle w:val="19"/>
              <w:ind w:left="58" w:right="35"/>
              <w:rPr>
                <w:sz w:val="21"/>
              </w:rPr>
            </w:pPr>
            <w:r>
              <w:rPr>
                <w:sz w:val="21"/>
              </w:rPr>
              <w:t xml:space="preserve">副井工业场地场区南部有矸石临时堆放场地，占地约 </w:t>
            </w:r>
            <w:r>
              <w:rPr>
                <w:rFonts w:ascii="Times New Roman" w:eastAsia="Times New Roman"/>
                <w:sz w:val="21"/>
              </w:rPr>
              <w:t>900m</w:t>
            </w:r>
            <w:r>
              <w:rPr>
                <w:rFonts w:ascii="Times New Roman" w:eastAsia="Times New Roman"/>
                <w:position w:val="7"/>
                <w:sz w:val="13"/>
              </w:rPr>
              <w:t>2</w:t>
            </w:r>
            <w:r>
              <w:rPr>
                <w:sz w:val="21"/>
              </w:rPr>
              <w:t>，矸石临时</w:t>
            </w:r>
          </w:p>
          <w:p>
            <w:pPr>
              <w:pStyle w:val="19"/>
              <w:spacing w:before="57"/>
              <w:ind w:left="53" w:right="35"/>
              <w:rPr>
                <w:sz w:val="21"/>
              </w:rPr>
            </w:pPr>
            <w:r>
              <w:rPr>
                <w:sz w:val="21"/>
              </w:rPr>
              <w:t>堆放场地周围设置拦矸坝和截流沟。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73" w:type="dxa"/>
            <w:vMerge w:val="continue"/>
            <w:tcBorders>
              <w:top w:val="nil"/>
              <w:bottom w:val="single" w:color="000000" w:sz="4" w:space="0"/>
              <w:right w:val="single" w:color="000000" w:sz="4" w:space="0"/>
            </w:tcBorders>
          </w:tcPr>
          <w:p>
            <w:pPr>
              <w:rPr>
                <w:sz w:val="2"/>
                <w:szCs w:val="2"/>
              </w:rPr>
            </w:pPr>
          </w:p>
        </w:tc>
        <w:tc>
          <w:tcPr>
            <w:tcW w:w="2130" w:type="dxa"/>
            <w:tcBorders>
              <w:top w:val="single" w:color="000000" w:sz="4" w:space="0"/>
              <w:left w:val="single" w:color="000000" w:sz="4" w:space="0"/>
              <w:bottom w:val="single" w:color="000000" w:sz="4" w:space="0"/>
              <w:right w:val="single" w:color="000000" w:sz="4" w:space="0"/>
            </w:tcBorders>
          </w:tcPr>
          <w:p>
            <w:pPr>
              <w:pStyle w:val="19"/>
              <w:spacing w:before="48"/>
              <w:ind w:left="208" w:right="191"/>
              <w:rPr>
                <w:sz w:val="21"/>
              </w:rPr>
            </w:pPr>
            <w:r>
              <w:rPr>
                <w:sz w:val="21"/>
              </w:rPr>
              <w:t>危废暂存间</w:t>
            </w:r>
          </w:p>
        </w:tc>
        <w:tc>
          <w:tcPr>
            <w:tcW w:w="6677" w:type="dxa"/>
            <w:tcBorders>
              <w:top w:val="single" w:color="000000" w:sz="4" w:space="0"/>
              <w:left w:val="single" w:color="000000" w:sz="4" w:space="0"/>
              <w:bottom w:val="single" w:color="000000" w:sz="4" w:space="0"/>
            </w:tcBorders>
          </w:tcPr>
          <w:p>
            <w:pPr>
              <w:pStyle w:val="19"/>
              <w:spacing w:before="48"/>
              <w:ind w:left="56" w:right="35"/>
              <w:rPr>
                <w:sz w:val="21"/>
              </w:rPr>
            </w:pPr>
            <w:r>
              <w:rPr>
                <w:sz w:val="21"/>
              </w:rPr>
              <w:t xml:space="preserve">用于存放机修间维修产生的废机油，建筑面积约 </w:t>
            </w:r>
            <w:r>
              <w:rPr>
                <w:rFonts w:ascii="Times New Roman" w:eastAsia="Times New Roman"/>
                <w:sz w:val="21"/>
              </w:rPr>
              <w:t>10m</w:t>
            </w:r>
            <w:r>
              <w:rPr>
                <w:rFonts w:ascii="Times New Roman" w:eastAsia="Times New Roman"/>
                <w:position w:val="7"/>
                <w:sz w:val="13"/>
              </w:rPr>
              <w:t>2</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20" w:hRule="atLeast"/>
        </w:trPr>
        <w:tc>
          <w:tcPr>
            <w:tcW w:w="473" w:type="dxa"/>
            <w:vMerge w:val="restart"/>
            <w:tcBorders>
              <w:top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139" w:line="292" w:lineRule="auto"/>
              <w:ind w:left="131" w:right="115"/>
              <w:jc w:val="both"/>
              <w:rPr>
                <w:sz w:val="21"/>
              </w:rPr>
            </w:pPr>
            <w:r>
              <w:rPr>
                <w:sz w:val="21"/>
              </w:rPr>
              <w:t>公用工程</w:t>
            </w:r>
          </w:p>
        </w:tc>
        <w:tc>
          <w:tcPr>
            <w:tcW w:w="2130"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15"/>
              </w:rPr>
            </w:pPr>
          </w:p>
          <w:p>
            <w:pPr>
              <w:pStyle w:val="19"/>
              <w:ind w:left="205" w:right="191"/>
              <w:rPr>
                <w:sz w:val="21"/>
              </w:rPr>
            </w:pPr>
            <w:r>
              <w:rPr>
                <w:sz w:val="21"/>
              </w:rPr>
              <w:t>供电</w:t>
            </w:r>
          </w:p>
        </w:tc>
        <w:tc>
          <w:tcPr>
            <w:tcW w:w="6677" w:type="dxa"/>
            <w:tcBorders>
              <w:top w:val="single" w:color="000000" w:sz="4" w:space="0"/>
              <w:left w:val="single" w:color="000000" w:sz="4" w:space="0"/>
              <w:bottom w:val="single" w:color="000000" w:sz="4" w:space="0"/>
            </w:tcBorders>
          </w:tcPr>
          <w:p>
            <w:pPr>
              <w:pStyle w:val="19"/>
              <w:spacing w:line="364" w:lineRule="auto"/>
              <w:ind w:left="113" w:right="85" w:firstLine="424"/>
              <w:jc w:val="left"/>
              <w:rPr>
                <w:sz w:val="21"/>
              </w:rPr>
            </w:pPr>
            <w:r>
              <w:rPr>
                <w:spacing w:val="-7"/>
                <w:sz w:val="21"/>
              </w:rPr>
              <w:t xml:space="preserve">该矿现已建成一座 </w:t>
            </w:r>
            <w:r>
              <w:rPr>
                <w:rFonts w:ascii="Times New Roman" w:eastAsia="Times New Roman"/>
                <w:sz w:val="21"/>
              </w:rPr>
              <w:t xml:space="preserve">10kV </w:t>
            </w:r>
            <w:r>
              <w:rPr>
                <w:sz w:val="21"/>
              </w:rPr>
              <w:t>变电所，该变电所位于矿井工业场地内。</w:t>
            </w:r>
            <w:r>
              <w:rPr>
                <w:spacing w:val="-12"/>
                <w:sz w:val="21"/>
              </w:rPr>
              <w:t xml:space="preserve">一回电源引自农电变电所，导线为 </w:t>
            </w:r>
            <w:r>
              <w:rPr>
                <w:rFonts w:ascii="Times New Roman" w:eastAsia="Times New Roman"/>
                <w:sz w:val="21"/>
              </w:rPr>
              <w:t xml:space="preserve">JKLYJ-120 </w:t>
            </w:r>
            <w:r>
              <w:rPr>
                <w:sz w:val="21"/>
              </w:rPr>
              <w:t>铝芯交联聚乙烯绝缘架空</w:t>
            </w:r>
          </w:p>
          <w:p>
            <w:pPr>
              <w:pStyle w:val="19"/>
              <w:spacing w:line="267" w:lineRule="exact"/>
              <w:ind w:left="2081"/>
              <w:jc w:val="left"/>
              <w:rPr>
                <w:sz w:val="21"/>
              </w:rPr>
            </w:pPr>
            <w:r>
              <w:rPr>
                <w:sz w:val="21"/>
              </w:rPr>
              <w:t>电缆，至盟度公司变电所。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473" w:type="dxa"/>
            <w:vMerge w:val="continue"/>
            <w:tcBorders>
              <w:top w:val="nil"/>
              <w:right w:val="single" w:color="000000" w:sz="4" w:space="0"/>
            </w:tcBorders>
          </w:tcPr>
          <w:p>
            <w:pPr>
              <w:rPr>
                <w:sz w:val="2"/>
                <w:szCs w:val="2"/>
              </w:rPr>
            </w:pPr>
          </w:p>
        </w:tc>
        <w:tc>
          <w:tcPr>
            <w:tcW w:w="2130" w:type="dxa"/>
            <w:tcBorders>
              <w:top w:val="single" w:color="000000" w:sz="4" w:space="0"/>
              <w:left w:val="single" w:color="000000" w:sz="4" w:space="0"/>
              <w:bottom w:val="single" w:color="000000" w:sz="4" w:space="0"/>
              <w:right w:val="single" w:color="000000" w:sz="4" w:space="0"/>
            </w:tcBorders>
          </w:tcPr>
          <w:p>
            <w:pPr>
              <w:pStyle w:val="19"/>
              <w:spacing w:line="265" w:lineRule="exact"/>
              <w:ind w:left="208" w:right="191"/>
              <w:rPr>
                <w:sz w:val="21"/>
              </w:rPr>
            </w:pPr>
            <w:r>
              <w:rPr>
                <w:sz w:val="21"/>
              </w:rPr>
              <w:t>供水水源</w:t>
            </w:r>
          </w:p>
        </w:tc>
        <w:tc>
          <w:tcPr>
            <w:tcW w:w="6677" w:type="dxa"/>
            <w:tcBorders>
              <w:top w:val="single" w:color="000000" w:sz="4" w:space="0"/>
              <w:left w:val="single" w:color="000000" w:sz="4" w:space="0"/>
              <w:bottom w:val="single" w:color="000000" w:sz="4" w:space="0"/>
            </w:tcBorders>
          </w:tcPr>
          <w:p>
            <w:pPr>
              <w:pStyle w:val="19"/>
              <w:spacing w:line="265" w:lineRule="exact"/>
              <w:ind w:left="36" w:right="35"/>
              <w:rPr>
                <w:sz w:val="21"/>
              </w:rPr>
            </w:pPr>
            <w:r>
              <w:rPr>
                <w:sz w:val="21"/>
              </w:rPr>
              <w:t>生活用水由原有水源井供给。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473" w:type="dxa"/>
            <w:vMerge w:val="continue"/>
            <w:tcBorders>
              <w:top w:val="nil"/>
              <w:right w:val="single" w:color="000000" w:sz="4" w:space="0"/>
            </w:tcBorders>
          </w:tcPr>
          <w:p>
            <w:pPr>
              <w:rPr>
                <w:sz w:val="2"/>
                <w:szCs w:val="2"/>
              </w:rPr>
            </w:pPr>
          </w:p>
        </w:tc>
        <w:tc>
          <w:tcPr>
            <w:tcW w:w="2130" w:type="dxa"/>
            <w:tcBorders>
              <w:top w:val="single" w:color="000000" w:sz="4" w:space="0"/>
              <w:left w:val="single" w:color="000000" w:sz="4" w:space="0"/>
              <w:bottom w:val="single" w:color="000000" w:sz="4" w:space="0"/>
              <w:right w:val="single" w:color="000000" w:sz="4" w:space="0"/>
            </w:tcBorders>
          </w:tcPr>
          <w:p>
            <w:pPr>
              <w:pStyle w:val="19"/>
              <w:spacing w:line="264" w:lineRule="exact"/>
              <w:ind w:left="205" w:right="191"/>
              <w:rPr>
                <w:sz w:val="21"/>
              </w:rPr>
            </w:pPr>
            <w:r>
              <w:rPr>
                <w:sz w:val="21"/>
              </w:rPr>
              <w:t>供暖</w:t>
            </w:r>
          </w:p>
        </w:tc>
        <w:tc>
          <w:tcPr>
            <w:tcW w:w="6677" w:type="dxa"/>
            <w:tcBorders>
              <w:top w:val="single" w:color="000000" w:sz="4" w:space="0"/>
              <w:left w:val="single" w:color="000000" w:sz="4" w:space="0"/>
              <w:bottom w:val="single" w:color="000000" w:sz="4" w:space="0"/>
            </w:tcBorders>
          </w:tcPr>
          <w:p>
            <w:pPr>
              <w:pStyle w:val="19"/>
              <w:spacing w:line="264" w:lineRule="exact"/>
              <w:ind w:left="58" w:right="35"/>
              <w:rPr>
                <w:sz w:val="21"/>
              </w:rPr>
            </w:pPr>
            <w:r>
              <w:rPr>
                <w:rFonts w:ascii="Times New Roman" w:eastAsia="Times New Roman"/>
                <w:sz w:val="21"/>
              </w:rPr>
              <w:t xml:space="preserve">1 </w:t>
            </w:r>
            <w:r>
              <w:rPr>
                <w:sz w:val="21"/>
              </w:rPr>
              <w:t xml:space="preserve">台 </w:t>
            </w:r>
            <w:r>
              <w:rPr>
                <w:rFonts w:ascii="Times New Roman" w:eastAsia="Times New Roman"/>
                <w:sz w:val="21"/>
              </w:rPr>
              <w:t xml:space="preserve">1.4MW </w:t>
            </w:r>
            <w:r>
              <w:rPr>
                <w:sz w:val="21"/>
              </w:rPr>
              <w:t>热水锅炉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473" w:type="dxa"/>
            <w:vMerge w:val="continue"/>
            <w:tcBorders>
              <w:top w:val="nil"/>
              <w:right w:val="single" w:color="000000" w:sz="4" w:space="0"/>
            </w:tcBorders>
          </w:tcPr>
          <w:p>
            <w:pPr>
              <w:rPr>
                <w:sz w:val="2"/>
                <w:szCs w:val="2"/>
              </w:rPr>
            </w:pPr>
          </w:p>
        </w:tc>
        <w:tc>
          <w:tcPr>
            <w:tcW w:w="2130" w:type="dxa"/>
            <w:tcBorders>
              <w:top w:val="single" w:color="000000" w:sz="4" w:space="0"/>
              <w:left w:val="single" w:color="000000" w:sz="4" w:space="0"/>
              <w:bottom w:val="single" w:color="000000" w:sz="4" w:space="0"/>
              <w:right w:val="single" w:color="000000" w:sz="4" w:space="0"/>
            </w:tcBorders>
          </w:tcPr>
          <w:p>
            <w:pPr>
              <w:pStyle w:val="19"/>
              <w:spacing w:before="44"/>
              <w:ind w:left="205" w:right="191"/>
              <w:rPr>
                <w:sz w:val="21"/>
              </w:rPr>
            </w:pPr>
            <w:r>
              <w:rPr>
                <w:sz w:val="21"/>
              </w:rPr>
              <w:t>通讯</w:t>
            </w:r>
          </w:p>
        </w:tc>
        <w:tc>
          <w:tcPr>
            <w:tcW w:w="6677" w:type="dxa"/>
            <w:tcBorders>
              <w:top w:val="single" w:color="000000" w:sz="4" w:space="0"/>
              <w:left w:val="single" w:color="000000" w:sz="4" w:space="0"/>
              <w:bottom w:val="single" w:color="000000" w:sz="4" w:space="0"/>
            </w:tcBorders>
          </w:tcPr>
          <w:p>
            <w:pPr>
              <w:pStyle w:val="19"/>
              <w:spacing w:before="44"/>
              <w:ind w:left="58" w:right="35"/>
              <w:rPr>
                <w:sz w:val="21"/>
              </w:rPr>
            </w:pPr>
            <w:r>
              <w:rPr>
                <w:sz w:val="21"/>
              </w:rPr>
              <w:t>通讯网可以覆盖矿区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473" w:type="dxa"/>
            <w:vMerge w:val="continue"/>
            <w:tcBorders>
              <w:top w:val="nil"/>
              <w:right w:val="single" w:color="000000" w:sz="4" w:space="0"/>
            </w:tcBorders>
          </w:tcPr>
          <w:p>
            <w:pPr>
              <w:rPr>
                <w:sz w:val="2"/>
                <w:szCs w:val="2"/>
              </w:rPr>
            </w:pPr>
          </w:p>
        </w:tc>
        <w:tc>
          <w:tcPr>
            <w:tcW w:w="2130" w:type="dxa"/>
            <w:tcBorders>
              <w:top w:val="single" w:color="000000" w:sz="4" w:space="0"/>
              <w:left w:val="single" w:color="000000" w:sz="4" w:space="0"/>
              <w:bottom w:val="single" w:color="000000" w:sz="4" w:space="0"/>
              <w:right w:val="single" w:color="000000" w:sz="4" w:space="0"/>
            </w:tcBorders>
          </w:tcPr>
          <w:p>
            <w:pPr>
              <w:pStyle w:val="19"/>
              <w:spacing w:before="44"/>
              <w:ind w:left="208" w:right="189"/>
              <w:rPr>
                <w:sz w:val="21"/>
              </w:rPr>
            </w:pPr>
            <w:r>
              <w:rPr>
                <w:sz w:val="21"/>
              </w:rPr>
              <w:t>行政与公共设施</w:t>
            </w:r>
          </w:p>
        </w:tc>
        <w:tc>
          <w:tcPr>
            <w:tcW w:w="6677" w:type="dxa"/>
            <w:tcBorders>
              <w:top w:val="single" w:color="000000" w:sz="4" w:space="0"/>
              <w:left w:val="single" w:color="000000" w:sz="4" w:space="0"/>
              <w:bottom w:val="single" w:color="000000" w:sz="4" w:space="0"/>
            </w:tcBorders>
          </w:tcPr>
          <w:p>
            <w:pPr>
              <w:pStyle w:val="19"/>
              <w:spacing w:before="44"/>
              <w:ind w:left="53" w:right="35"/>
              <w:rPr>
                <w:sz w:val="21"/>
              </w:rPr>
            </w:pPr>
            <w:r>
              <w:rPr>
                <w:sz w:val="21"/>
              </w:rPr>
              <w:t>综合办公室、更衣室等场区设施等。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473" w:type="dxa"/>
            <w:vMerge w:val="continue"/>
            <w:tcBorders>
              <w:top w:val="nil"/>
              <w:right w:val="single" w:color="000000" w:sz="4" w:space="0"/>
            </w:tcBorders>
          </w:tcPr>
          <w:p>
            <w:pPr>
              <w:rPr>
                <w:sz w:val="2"/>
                <w:szCs w:val="2"/>
              </w:rPr>
            </w:pPr>
          </w:p>
        </w:tc>
        <w:tc>
          <w:tcPr>
            <w:tcW w:w="2130" w:type="dxa"/>
            <w:tcBorders>
              <w:top w:val="single" w:color="000000" w:sz="4" w:space="0"/>
              <w:left w:val="single" w:color="000000" w:sz="4" w:space="0"/>
              <w:bottom w:val="single" w:color="000000" w:sz="4" w:space="0"/>
              <w:right w:val="single" w:color="000000" w:sz="4" w:space="0"/>
            </w:tcBorders>
          </w:tcPr>
          <w:p>
            <w:pPr>
              <w:pStyle w:val="19"/>
              <w:spacing w:before="46"/>
              <w:ind w:left="205" w:right="191"/>
              <w:rPr>
                <w:sz w:val="21"/>
              </w:rPr>
            </w:pPr>
            <w:r>
              <w:rPr>
                <w:sz w:val="21"/>
              </w:rPr>
              <w:t>浴室</w:t>
            </w:r>
          </w:p>
        </w:tc>
        <w:tc>
          <w:tcPr>
            <w:tcW w:w="6677" w:type="dxa"/>
            <w:tcBorders>
              <w:top w:val="single" w:color="000000" w:sz="4" w:space="0"/>
              <w:left w:val="single" w:color="000000" w:sz="4" w:space="0"/>
              <w:bottom w:val="single" w:color="000000" w:sz="4" w:space="0"/>
            </w:tcBorders>
          </w:tcPr>
          <w:p>
            <w:pPr>
              <w:pStyle w:val="19"/>
              <w:spacing w:before="46"/>
              <w:ind w:left="58" w:right="35"/>
              <w:rPr>
                <w:sz w:val="21"/>
              </w:rPr>
            </w:pPr>
            <w:r>
              <w:rPr>
                <w:sz w:val="21"/>
              </w:rPr>
              <w:t xml:space="preserve">浴室建筑面积约 </w:t>
            </w:r>
            <w:r>
              <w:rPr>
                <w:rFonts w:ascii="Times New Roman" w:eastAsia="Times New Roman"/>
                <w:sz w:val="21"/>
              </w:rPr>
              <w:t>324m</w:t>
            </w:r>
            <w:r>
              <w:rPr>
                <w:rFonts w:ascii="Times New Roman" w:eastAsia="Times New Roman"/>
                <w:position w:val="7"/>
                <w:sz w:val="13"/>
              </w:rPr>
              <w:t>2</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473" w:type="dxa"/>
            <w:vMerge w:val="continue"/>
            <w:tcBorders>
              <w:top w:val="nil"/>
              <w:right w:val="single" w:color="000000" w:sz="4" w:space="0"/>
            </w:tcBorders>
          </w:tcPr>
          <w:p>
            <w:pPr>
              <w:rPr>
                <w:sz w:val="2"/>
                <w:szCs w:val="2"/>
              </w:rPr>
            </w:pPr>
          </w:p>
        </w:tc>
        <w:tc>
          <w:tcPr>
            <w:tcW w:w="2130" w:type="dxa"/>
            <w:tcBorders>
              <w:top w:val="single" w:color="000000" w:sz="4" w:space="0"/>
              <w:left w:val="single" w:color="000000" w:sz="4" w:space="0"/>
              <w:right w:val="single" w:color="000000" w:sz="4" w:space="0"/>
            </w:tcBorders>
          </w:tcPr>
          <w:p>
            <w:pPr>
              <w:pStyle w:val="19"/>
              <w:spacing w:before="45"/>
              <w:ind w:left="205" w:right="191"/>
              <w:rPr>
                <w:sz w:val="21"/>
              </w:rPr>
            </w:pPr>
            <w:r>
              <w:rPr>
                <w:sz w:val="21"/>
              </w:rPr>
              <w:t>食堂</w:t>
            </w:r>
          </w:p>
        </w:tc>
        <w:tc>
          <w:tcPr>
            <w:tcW w:w="6677" w:type="dxa"/>
            <w:tcBorders>
              <w:top w:val="single" w:color="000000" w:sz="4" w:space="0"/>
              <w:left w:val="single" w:color="000000" w:sz="4" w:space="0"/>
            </w:tcBorders>
          </w:tcPr>
          <w:p>
            <w:pPr>
              <w:pStyle w:val="19"/>
              <w:spacing w:before="45"/>
              <w:ind w:left="58" w:right="35"/>
              <w:rPr>
                <w:sz w:val="21"/>
              </w:rPr>
            </w:pPr>
            <w:r>
              <w:rPr>
                <w:sz w:val="21"/>
              </w:rPr>
              <w:t xml:space="preserve">建筑面积约 </w:t>
            </w:r>
            <w:r>
              <w:rPr>
                <w:rFonts w:ascii="Times New Roman" w:eastAsia="Times New Roman"/>
                <w:sz w:val="21"/>
              </w:rPr>
              <w:t>468.1m</w:t>
            </w:r>
            <w:r>
              <w:rPr>
                <w:rFonts w:ascii="Times New Roman" w:eastAsia="Times New Roman"/>
                <w:position w:val="7"/>
                <w:sz w:val="13"/>
              </w:rPr>
              <w:t>2</w:t>
            </w:r>
            <w:r>
              <w:rPr>
                <w:sz w:val="21"/>
              </w:rPr>
              <w:t>。位于宿舍楼一楼左部</w:t>
            </w:r>
          </w:p>
        </w:tc>
      </w:tr>
    </w:tbl>
    <w:p>
      <w:pPr>
        <w:spacing w:before="1"/>
        <w:ind w:left="303" w:right="330" w:firstLine="0"/>
        <w:jc w:val="center"/>
        <w:rPr>
          <w:b/>
          <w:sz w:val="21"/>
        </w:rPr>
      </w:pPr>
      <w:r>
        <w:rPr>
          <w:b/>
          <w:sz w:val="21"/>
        </w:rPr>
        <w:t xml:space="preserve">表 </w:t>
      </w:r>
      <w:r>
        <w:rPr>
          <w:rFonts w:ascii="Times New Roman" w:eastAsia="Times New Roman"/>
          <w:b/>
          <w:sz w:val="21"/>
        </w:rPr>
        <w:t xml:space="preserve">2.1-4 </w:t>
      </w:r>
      <w:r>
        <w:rPr>
          <w:b/>
          <w:sz w:val="21"/>
        </w:rPr>
        <w:t>弘泰六矿现有工程组成一览表</w:t>
      </w:r>
    </w:p>
    <w:p>
      <w:pPr>
        <w:pStyle w:val="9"/>
        <w:spacing w:before="11"/>
        <w:rPr>
          <w:b/>
          <w:sz w:val="10"/>
        </w:rPr>
      </w:pPr>
    </w:p>
    <w:tbl>
      <w:tblPr>
        <w:tblStyle w:val="1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7"/>
        <w:gridCol w:w="557"/>
        <w:gridCol w:w="1573"/>
        <w:gridCol w:w="667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034" w:type="dxa"/>
            <w:gridSpan w:val="2"/>
            <w:tcBorders>
              <w:bottom w:val="single" w:color="000000" w:sz="4" w:space="0"/>
              <w:right w:val="single" w:color="000000" w:sz="4" w:space="0"/>
            </w:tcBorders>
          </w:tcPr>
          <w:p>
            <w:pPr>
              <w:pStyle w:val="19"/>
              <w:spacing w:line="269" w:lineRule="exact"/>
              <w:ind w:left="306"/>
              <w:jc w:val="left"/>
              <w:rPr>
                <w:sz w:val="21"/>
              </w:rPr>
            </w:pPr>
            <w:r>
              <w:rPr>
                <w:spacing w:val="-1"/>
                <w:w w:val="95"/>
                <w:sz w:val="21"/>
              </w:rPr>
              <w:t>工程</w:t>
            </w:r>
          </w:p>
          <w:p>
            <w:pPr>
              <w:pStyle w:val="19"/>
              <w:spacing w:before="57"/>
              <w:ind w:left="306"/>
              <w:jc w:val="left"/>
              <w:rPr>
                <w:sz w:val="21"/>
              </w:rPr>
            </w:pPr>
            <w:r>
              <w:rPr>
                <w:spacing w:val="-1"/>
                <w:w w:val="95"/>
                <w:sz w:val="21"/>
              </w:rPr>
              <w:t>类别</w:t>
            </w:r>
          </w:p>
        </w:tc>
        <w:tc>
          <w:tcPr>
            <w:tcW w:w="1573" w:type="dxa"/>
            <w:tcBorders>
              <w:left w:val="single" w:color="000000" w:sz="4" w:space="0"/>
              <w:bottom w:val="single" w:color="000000" w:sz="4" w:space="0"/>
              <w:right w:val="single" w:color="000000" w:sz="4" w:space="0"/>
            </w:tcBorders>
          </w:tcPr>
          <w:p>
            <w:pPr>
              <w:pStyle w:val="19"/>
              <w:spacing w:before="162"/>
              <w:ind w:left="350" w:right="333"/>
              <w:rPr>
                <w:sz w:val="21"/>
              </w:rPr>
            </w:pPr>
            <w:r>
              <w:rPr>
                <w:sz w:val="21"/>
              </w:rPr>
              <w:t>单项工程</w:t>
            </w:r>
          </w:p>
        </w:tc>
        <w:tc>
          <w:tcPr>
            <w:tcW w:w="6677" w:type="dxa"/>
            <w:tcBorders>
              <w:left w:val="single" w:color="000000" w:sz="4" w:space="0"/>
              <w:bottom w:val="single" w:color="000000" w:sz="4" w:space="0"/>
            </w:tcBorders>
          </w:tcPr>
          <w:p>
            <w:pPr>
              <w:pStyle w:val="19"/>
              <w:spacing w:before="162"/>
              <w:ind w:left="54" w:right="35"/>
              <w:rPr>
                <w:sz w:val="21"/>
              </w:rPr>
            </w:pPr>
            <w:r>
              <w:rPr>
                <w:sz w:val="21"/>
              </w:rPr>
              <w:t>项目概况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25" w:hRule="atLeast"/>
        </w:trPr>
        <w:tc>
          <w:tcPr>
            <w:tcW w:w="477" w:type="dxa"/>
            <w:vMerge w:val="restart"/>
            <w:tcBorders>
              <w:top w:val="single" w:color="000000" w:sz="4" w:space="0"/>
              <w:bottom w:val="single" w:color="000000" w:sz="4" w:space="0"/>
              <w:right w:val="single" w:color="000000" w:sz="4" w:space="0"/>
            </w:tcBorders>
          </w:tcPr>
          <w:p>
            <w:pPr>
              <w:pStyle w:val="19"/>
              <w:jc w:val="left"/>
              <w:rPr>
                <w:b/>
                <w:sz w:val="20"/>
              </w:rPr>
            </w:pPr>
          </w:p>
          <w:p>
            <w:pPr>
              <w:pStyle w:val="19"/>
              <w:spacing w:before="138" w:line="290" w:lineRule="auto"/>
              <w:ind w:left="133" w:right="117"/>
              <w:jc w:val="both"/>
              <w:rPr>
                <w:sz w:val="21"/>
              </w:rPr>
            </w:pPr>
            <w:r>
              <w:rPr>
                <w:sz w:val="21"/>
              </w:rPr>
              <w:t>主体工程</w:t>
            </w:r>
          </w:p>
        </w:tc>
        <w:tc>
          <w:tcPr>
            <w:tcW w:w="557" w:type="dxa"/>
            <w:vMerge w:val="restart"/>
            <w:tcBorders>
              <w:top w:val="single" w:color="000000" w:sz="4" w:space="0"/>
              <w:left w:val="single" w:color="000000" w:sz="4" w:space="0"/>
              <w:bottom w:val="single" w:color="000000" w:sz="4" w:space="0"/>
              <w:right w:val="single" w:color="000000" w:sz="4" w:space="0"/>
            </w:tcBorders>
          </w:tcPr>
          <w:p>
            <w:pPr>
              <w:pStyle w:val="19"/>
              <w:spacing w:before="176" w:line="292" w:lineRule="auto"/>
              <w:ind w:left="177" w:right="158"/>
              <w:jc w:val="both"/>
              <w:rPr>
                <w:sz w:val="21"/>
              </w:rPr>
            </w:pPr>
            <w:r>
              <w:rPr>
                <w:sz w:val="21"/>
              </w:rPr>
              <w:t>矿井工程</w:t>
            </w:r>
          </w:p>
        </w:tc>
        <w:tc>
          <w:tcPr>
            <w:tcW w:w="1573"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1"/>
              <w:jc w:val="left"/>
              <w:rPr>
                <w:b/>
                <w:sz w:val="15"/>
              </w:rPr>
            </w:pPr>
          </w:p>
          <w:p>
            <w:pPr>
              <w:pStyle w:val="19"/>
              <w:ind w:left="332" w:right="333"/>
              <w:rPr>
                <w:sz w:val="21"/>
              </w:rPr>
            </w:pPr>
            <w:r>
              <w:rPr>
                <w:sz w:val="21"/>
              </w:rPr>
              <w:t>主井</w:t>
            </w:r>
          </w:p>
        </w:tc>
        <w:tc>
          <w:tcPr>
            <w:tcW w:w="6677" w:type="dxa"/>
            <w:tcBorders>
              <w:top w:val="single" w:color="000000" w:sz="4" w:space="0"/>
              <w:left w:val="single" w:color="000000" w:sz="4" w:space="0"/>
              <w:bottom w:val="single" w:color="000000" w:sz="4" w:space="0"/>
            </w:tcBorders>
          </w:tcPr>
          <w:p>
            <w:pPr>
              <w:pStyle w:val="19"/>
              <w:spacing w:before="1" w:line="364" w:lineRule="auto"/>
              <w:ind w:left="111" w:right="104" w:firstLine="460"/>
              <w:jc w:val="left"/>
              <w:rPr>
                <w:sz w:val="21"/>
              </w:rPr>
            </w:pPr>
            <w:r>
              <w:rPr>
                <w:sz w:val="21"/>
              </w:rPr>
              <w:t xml:space="preserve">主开拓方式片盘斜井， 中央并列式通风， 串车提升、集中排水。主井长度 </w:t>
            </w:r>
            <w:r>
              <w:rPr>
                <w:rFonts w:ascii="Times New Roman" w:hAnsi="Times New Roman" w:eastAsia="Times New Roman"/>
                <w:sz w:val="21"/>
              </w:rPr>
              <w:t>860m</w:t>
            </w:r>
            <w:r>
              <w:rPr>
                <w:sz w:val="21"/>
              </w:rPr>
              <w:t xml:space="preserve">， 坡度 </w:t>
            </w:r>
            <w:r>
              <w:rPr>
                <w:rFonts w:ascii="Times New Roman" w:hAnsi="Times New Roman" w:eastAsia="Times New Roman"/>
                <w:sz w:val="21"/>
              </w:rPr>
              <w:t>19</w:t>
            </w:r>
            <w:r>
              <w:rPr>
                <w:sz w:val="21"/>
              </w:rPr>
              <w:t xml:space="preserve">°， 断面 </w:t>
            </w:r>
            <w:r>
              <w:rPr>
                <w:rFonts w:ascii="Times New Roman" w:hAnsi="Times New Roman" w:eastAsia="Times New Roman"/>
                <w:sz w:val="21"/>
              </w:rPr>
              <w:t xml:space="preserve">7.0 </w:t>
            </w:r>
            <w:r>
              <w:rPr>
                <w:sz w:val="21"/>
              </w:rPr>
              <w:t xml:space="preserve">㎡。风井长度 </w:t>
            </w:r>
            <w:r>
              <w:rPr>
                <w:rFonts w:ascii="Times New Roman" w:hAnsi="Times New Roman" w:eastAsia="Times New Roman"/>
                <w:sz w:val="21"/>
              </w:rPr>
              <w:t>680m</w:t>
            </w:r>
            <w:r>
              <w:rPr>
                <w:sz w:val="21"/>
              </w:rPr>
              <w:t>，</w:t>
            </w:r>
          </w:p>
          <w:p>
            <w:pPr>
              <w:pStyle w:val="19"/>
              <w:ind w:left="111"/>
              <w:jc w:val="left"/>
              <w:rPr>
                <w:sz w:val="21"/>
              </w:rPr>
            </w:pPr>
            <w:r>
              <w:rPr>
                <w:sz w:val="21"/>
              </w:rPr>
              <w:t xml:space="preserve">坡度 </w:t>
            </w:r>
            <w:r>
              <w:rPr>
                <w:rFonts w:ascii="Times New Roman" w:hAnsi="Times New Roman" w:eastAsia="Times New Roman"/>
                <w:sz w:val="21"/>
              </w:rPr>
              <w:t>20</w:t>
            </w:r>
            <w:r>
              <w:rPr>
                <w:sz w:val="21"/>
              </w:rPr>
              <w:t xml:space="preserve">°， 断面 </w:t>
            </w:r>
            <w:r>
              <w:rPr>
                <w:rFonts w:ascii="Times New Roman" w:hAnsi="Times New Roman" w:eastAsia="Times New Roman"/>
                <w:sz w:val="21"/>
              </w:rPr>
              <w:t xml:space="preserve">7.0 </w:t>
            </w:r>
            <w:r>
              <w:rPr>
                <w:sz w:val="21"/>
              </w:rPr>
              <w:t>㎡。两条井筒平行， 井底标高为</w:t>
            </w:r>
            <w:r>
              <w:rPr>
                <w:rFonts w:ascii="Times New Roman" w:hAnsi="Times New Roman" w:eastAsia="Times New Roman"/>
                <w:sz w:val="21"/>
              </w:rPr>
              <w:t>+125m</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77" w:type="dxa"/>
            <w:vMerge w:val="continue"/>
            <w:tcBorders>
              <w:top w:val="nil"/>
              <w:bottom w:val="single" w:color="000000" w:sz="4" w:space="0"/>
              <w:right w:val="single" w:color="000000" w:sz="4" w:space="0"/>
            </w:tcBorders>
          </w:tcPr>
          <w:p>
            <w:pPr>
              <w:rPr>
                <w:sz w:val="2"/>
                <w:szCs w:val="2"/>
              </w:rPr>
            </w:pPr>
          </w:p>
        </w:tc>
        <w:tc>
          <w:tcPr>
            <w:tcW w:w="557" w:type="dxa"/>
            <w:vMerge w:val="continue"/>
            <w:tcBorders>
              <w:top w:val="nil"/>
              <w:left w:val="single" w:color="000000" w:sz="4" w:space="0"/>
              <w:bottom w:val="single" w:color="000000" w:sz="4" w:space="0"/>
              <w:right w:val="single" w:color="000000" w:sz="4" w:space="0"/>
            </w:tcBorders>
          </w:tcPr>
          <w:p>
            <w:pPr>
              <w:rPr>
                <w:sz w:val="2"/>
                <w:szCs w:val="2"/>
              </w:rPr>
            </w:pPr>
          </w:p>
        </w:tc>
        <w:tc>
          <w:tcPr>
            <w:tcW w:w="1573" w:type="dxa"/>
            <w:tcBorders>
              <w:top w:val="single" w:color="000000" w:sz="4" w:space="0"/>
              <w:left w:val="single" w:color="000000" w:sz="4" w:space="0"/>
              <w:bottom w:val="single" w:color="000000" w:sz="4" w:space="0"/>
              <w:right w:val="single" w:color="000000" w:sz="4" w:space="0"/>
            </w:tcBorders>
          </w:tcPr>
          <w:p>
            <w:pPr>
              <w:pStyle w:val="19"/>
              <w:spacing w:before="49"/>
              <w:ind w:left="332" w:right="333"/>
              <w:rPr>
                <w:sz w:val="21"/>
              </w:rPr>
            </w:pPr>
            <w:r>
              <w:rPr>
                <w:sz w:val="21"/>
              </w:rPr>
              <w:t>风井</w:t>
            </w:r>
          </w:p>
        </w:tc>
        <w:tc>
          <w:tcPr>
            <w:tcW w:w="6677" w:type="dxa"/>
            <w:tcBorders>
              <w:top w:val="single" w:color="000000" w:sz="4" w:space="0"/>
              <w:left w:val="single" w:color="000000" w:sz="4" w:space="0"/>
              <w:bottom w:val="single" w:color="000000" w:sz="4" w:space="0"/>
            </w:tcBorders>
          </w:tcPr>
          <w:p>
            <w:pPr>
              <w:pStyle w:val="19"/>
              <w:spacing w:before="8"/>
              <w:ind w:left="572"/>
              <w:jc w:val="left"/>
              <w:rPr>
                <w:sz w:val="21"/>
              </w:rPr>
            </w:pPr>
            <w:r>
              <w:rPr>
                <w:sz w:val="21"/>
              </w:rPr>
              <w:t>担负矿井回风任务， 兼做安全出口。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77" w:type="dxa"/>
            <w:vMerge w:val="continue"/>
            <w:tcBorders>
              <w:top w:val="nil"/>
              <w:bottom w:val="single" w:color="000000" w:sz="4" w:space="0"/>
              <w:right w:val="single" w:color="000000" w:sz="4" w:space="0"/>
            </w:tcBorders>
          </w:tcPr>
          <w:p>
            <w:pPr>
              <w:rPr>
                <w:sz w:val="2"/>
                <w:szCs w:val="2"/>
              </w:rPr>
            </w:pPr>
          </w:p>
        </w:tc>
        <w:tc>
          <w:tcPr>
            <w:tcW w:w="2130" w:type="dxa"/>
            <w:gridSpan w:val="2"/>
            <w:tcBorders>
              <w:top w:val="single" w:color="000000" w:sz="4" w:space="0"/>
              <w:left w:val="single" w:color="000000" w:sz="4" w:space="0"/>
              <w:bottom w:val="single" w:color="000000" w:sz="4" w:space="0"/>
              <w:right w:val="single" w:color="000000" w:sz="4" w:space="0"/>
            </w:tcBorders>
          </w:tcPr>
          <w:p>
            <w:pPr>
              <w:pStyle w:val="19"/>
              <w:spacing w:before="48"/>
              <w:ind w:left="650"/>
              <w:jc w:val="left"/>
              <w:rPr>
                <w:sz w:val="21"/>
              </w:rPr>
            </w:pPr>
            <w:r>
              <w:rPr>
                <w:sz w:val="21"/>
              </w:rPr>
              <w:t>热风炉房</w:t>
            </w:r>
          </w:p>
        </w:tc>
        <w:tc>
          <w:tcPr>
            <w:tcW w:w="6677" w:type="dxa"/>
            <w:tcBorders>
              <w:top w:val="single" w:color="000000" w:sz="4" w:space="0"/>
              <w:left w:val="single" w:color="000000" w:sz="4" w:space="0"/>
              <w:bottom w:val="single" w:color="000000" w:sz="4" w:space="0"/>
            </w:tcBorders>
          </w:tcPr>
          <w:p>
            <w:pPr>
              <w:pStyle w:val="19"/>
              <w:spacing w:before="48"/>
              <w:ind w:left="111"/>
              <w:jc w:val="left"/>
              <w:rPr>
                <w:sz w:val="21"/>
              </w:rPr>
            </w:pPr>
            <w:r>
              <w:rPr>
                <w:sz w:val="21"/>
              </w:rPr>
              <w:t xml:space="preserve">热风炉一台，冬季用于井筒防冻；烟囱高度为 </w:t>
            </w:r>
            <w:r>
              <w:rPr>
                <w:rFonts w:ascii="Times New Roman" w:eastAsia="Times New Roman"/>
                <w:sz w:val="21"/>
              </w:rPr>
              <w:t>30m</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2" w:hRule="atLeast"/>
        </w:trPr>
        <w:tc>
          <w:tcPr>
            <w:tcW w:w="477" w:type="dxa"/>
            <w:vMerge w:val="restart"/>
            <w:tcBorders>
              <w:top w:val="single" w:color="000000" w:sz="4" w:space="0"/>
              <w:right w:val="single" w:color="000000" w:sz="4" w:space="0"/>
            </w:tcBorders>
          </w:tcPr>
          <w:p>
            <w:pPr>
              <w:pStyle w:val="19"/>
              <w:jc w:val="left"/>
              <w:rPr>
                <w:b/>
                <w:sz w:val="20"/>
              </w:rPr>
            </w:pPr>
          </w:p>
          <w:p>
            <w:pPr>
              <w:pStyle w:val="19"/>
              <w:spacing w:before="151" w:line="290" w:lineRule="auto"/>
              <w:ind w:left="133" w:right="117"/>
              <w:jc w:val="both"/>
              <w:rPr>
                <w:sz w:val="21"/>
              </w:rPr>
            </w:pPr>
            <w:r>
              <w:rPr>
                <w:sz w:val="21"/>
              </w:rPr>
              <w:t>储运工程</w:t>
            </w:r>
          </w:p>
        </w:tc>
        <w:tc>
          <w:tcPr>
            <w:tcW w:w="2130" w:type="dxa"/>
            <w:gridSpan w:val="2"/>
            <w:tcBorders>
              <w:top w:val="single" w:color="000000" w:sz="4" w:space="0"/>
              <w:left w:val="single" w:color="000000" w:sz="4" w:space="0"/>
              <w:bottom w:val="single" w:color="000000" w:sz="4" w:space="0"/>
              <w:right w:val="single" w:color="000000" w:sz="4" w:space="0"/>
            </w:tcBorders>
          </w:tcPr>
          <w:p>
            <w:pPr>
              <w:pStyle w:val="19"/>
              <w:spacing w:before="1"/>
              <w:jc w:val="left"/>
              <w:rPr>
                <w:b/>
                <w:sz w:val="19"/>
              </w:rPr>
            </w:pPr>
          </w:p>
          <w:p>
            <w:pPr>
              <w:pStyle w:val="19"/>
              <w:ind w:left="208" w:right="190"/>
              <w:rPr>
                <w:sz w:val="21"/>
              </w:rPr>
            </w:pPr>
            <w:r>
              <w:rPr>
                <w:sz w:val="21"/>
              </w:rPr>
              <w:t>道路</w:t>
            </w:r>
          </w:p>
        </w:tc>
        <w:tc>
          <w:tcPr>
            <w:tcW w:w="6677" w:type="dxa"/>
            <w:tcBorders>
              <w:top w:val="single" w:color="000000" w:sz="4" w:space="0"/>
              <w:left w:val="single" w:color="000000" w:sz="4" w:space="0"/>
              <w:bottom w:val="single" w:color="000000" w:sz="4" w:space="0"/>
            </w:tcBorders>
          </w:tcPr>
          <w:p>
            <w:pPr>
              <w:pStyle w:val="19"/>
              <w:ind w:left="673"/>
              <w:jc w:val="left"/>
              <w:rPr>
                <w:sz w:val="21"/>
              </w:rPr>
            </w:pPr>
            <w:r>
              <w:rPr>
                <w:sz w:val="21"/>
              </w:rPr>
              <w:t xml:space="preserve">本区交通运输以公路为主，双鸭山市区通往桦南县的 </w:t>
            </w:r>
            <w:r>
              <w:rPr>
                <w:rFonts w:ascii="Times New Roman" w:eastAsia="Times New Roman"/>
                <w:sz w:val="21"/>
              </w:rPr>
              <w:t xml:space="preserve">307 </w:t>
            </w:r>
            <w:r>
              <w:rPr>
                <w:sz w:val="21"/>
              </w:rPr>
              <w:t>省道在</w:t>
            </w:r>
          </w:p>
          <w:p>
            <w:pPr>
              <w:pStyle w:val="19"/>
              <w:spacing w:before="139"/>
              <w:ind w:left="111"/>
              <w:jc w:val="left"/>
              <w:rPr>
                <w:sz w:val="21"/>
              </w:rPr>
            </w:pPr>
            <w:r>
              <w:rPr>
                <w:sz w:val="21"/>
              </w:rPr>
              <w:t xml:space="preserve">井口北侧 </w:t>
            </w:r>
            <w:r>
              <w:rPr>
                <w:rFonts w:ascii="Times New Roman" w:eastAsia="Times New Roman"/>
                <w:sz w:val="21"/>
              </w:rPr>
              <w:t xml:space="preserve">300m </w:t>
            </w:r>
            <w:r>
              <w:rPr>
                <w:sz w:val="21"/>
              </w:rPr>
              <w:t>处经过。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477" w:type="dxa"/>
            <w:vMerge w:val="continue"/>
            <w:tcBorders>
              <w:top w:val="nil"/>
              <w:right w:val="single" w:color="000000" w:sz="4" w:space="0"/>
            </w:tcBorders>
          </w:tcPr>
          <w:p>
            <w:pPr>
              <w:rPr>
                <w:sz w:val="2"/>
                <w:szCs w:val="2"/>
              </w:rPr>
            </w:pPr>
          </w:p>
        </w:tc>
        <w:tc>
          <w:tcPr>
            <w:tcW w:w="2130" w:type="dxa"/>
            <w:gridSpan w:val="2"/>
            <w:tcBorders>
              <w:top w:val="single" w:color="000000" w:sz="4" w:space="0"/>
              <w:left w:val="single" w:color="000000" w:sz="4" w:space="0"/>
              <w:bottom w:val="single" w:color="000000" w:sz="4" w:space="0"/>
              <w:right w:val="single" w:color="000000" w:sz="4" w:space="0"/>
            </w:tcBorders>
          </w:tcPr>
          <w:p>
            <w:pPr>
              <w:pStyle w:val="19"/>
              <w:spacing w:before="44"/>
              <w:ind w:left="206" w:right="191"/>
              <w:rPr>
                <w:sz w:val="21"/>
              </w:rPr>
            </w:pPr>
            <w:r>
              <w:rPr>
                <w:sz w:val="21"/>
              </w:rPr>
              <w:t>煤仓</w:t>
            </w:r>
          </w:p>
        </w:tc>
        <w:tc>
          <w:tcPr>
            <w:tcW w:w="6677" w:type="dxa"/>
            <w:tcBorders>
              <w:top w:val="single" w:color="000000" w:sz="4" w:space="0"/>
              <w:left w:val="single" w:color="000000" w:sz="4" w:space="0"/>
              <w:bottom w:val="single" w:color="000000" w:sz="4" w:space="0"/>
            </w:tcBorders>
          </w:tcPr>
          <w:p>
            <w:pPr>
              <w:pStyle w:val="19"/>
              <w:spacing w:before="3"/>
              <w:ind w:left="111"/>
              <w:jc w:val="left"/>
              <w:rPr>
                <w:rFonts w:ascii="Times New Roman" w:eastAsia="Times New Roman"/>
                <w:sz w:val="13"/>
              </w:rPr>
            </w:pPr>
            <w:r>
              <w:rPr>
                <w:sz w:val="21"/>
              </w:rPr>
              <w:t xml:space="preserve">主井工业场地场设有储煤场 </w:t>
            </w:r>
            <w:r>
              <w:rPr>
                <w:rFonts w:ascii="Times New Roman" w:eastAsia="Times New Roman"/>
                <w:sz w:val="21"/>
              </w:rPr>
              <w:t>5000m</w:t>
            </w:r>
            <w:r>
              <w:rPr>
                <w:rFonts w:ascii="Times New Roman" w:eastAsia="Times New Roman"/>
                <w:position w:val="7"/>
                <w:sz w:val="13"/>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477" w:type="dxa"/>
            <w:vMerge w:val="continue"/>
            <w:tcBorders>
              <w:top w:val="nil"/>
              <w:right w:val="single" w:color="000000" w:sz="4" w:space="0"/>
            </w:tcBorders>
          </w:tcPr>
          <w:p>
            <w:pPr>
              <w:rPr>
                <w:sz w:val="2"/>
                <w:szCs w:val="2"/>
              </w:rPr>
            </w:pPr>
          </w:p>
        </w:tc>
        <w:tc>
          <w:tcPr>
            <w:tcW w:w="2130" w:type="dxa"/>
            <w:gridSpan w:val="2"/>
            <w:tcBorders>
              <w:top w:val="single" w:color="000000" w:sz="4" w:space="0"/>
              <w:left w:val="single" w:color="000000" w:sz="4" w:space="0"/>
              <w:bottom w:val="single" w:color="000000" w:sz="4" w:space="0"/>
              <w:right w:val="single" w:color="000000" w:sz="4" w:space="0"/>
            </w:tcBorders>
          </w:tcPr>
          <w:p>
            <w:pPr>
              <w:pStyle w:val="19"/>
              <w:spacing w:before="43"/>
              <w:ind w:left="112"/>
              <w:jc w:val="left"/>
              <w:rPr>
                <w:sz w:val="21"/>
              </w:rPr>
            </w:pPr>
            <w:r>
              <w:rPr>
                <w:sz w:val="21"/>
              </w:rPr>
              <w:t>矸石临时堆放场地</w:t>
            </w:r>
          </w:p>
        </w:tc>
        <w:tc>
          <w:tcPr>
            <w:tcW w:w="6677" w:type="dxa"/>
            <w:tcBorders>
              <w:top w:val="single" w:color="000000" w:sz="4" w:space="0"/>
              <w:left w:val="single" w:color="000000" w:sz="4" w:space="0"/>
              <w:bottom w:val="single" w:color="000000" w:sz="4" w:space="0"/>
            </w:tcBorders>
          </w:tcPr>
          <w:p>
            <w:pPr>
              <w:pStyle w:val="19"/>
              <w:spacing w:before="43"/>
              <w:ind w:left="111"/>
              <w:jc w:val="left"/>
              <w:rPr>
                <w:sz w:val="21"/>
              </w:rPr>
            </w:pPr>
            <w:r>
              <w:rPr>
                <w:sz w:val="21"/>
              </w:rPr>
              <w:t xml:space="preserve">副井工业场地场区南部有矸石临时堆放场地，占地约 </w:t>
            </w:r>
            <w:r>
              <w:rPr>
                <w:rFonts w:ascii="Times New Roman" w:eastAsia="Times New Roman"/>
                <w:sz w:val="21"/>
              </w:rPr>
              <w:t>900m</w:t>
            </w:r>
            <w:r>
              <w:rPr>
                <w:rFonts w:ascii="Times New Roman" w:eastAsia="Times New Roman"/>
                <w:position w:val="7"/>
                <w:sz w:val="13"/>
              </w:rPr>
              <w:t>2</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7" w:hRule="atLeast"/>
        </w:trPr>
        <w:tc>
          <w:tcPr>
            <w:tcW w:w="477" w:type="dxa"/>
            <w:vMerge w:val="continue"/>
            <w:tcBorders>
              <w:top w:val="nil"/>
              <w:right w:val="single" w:color="000000" w:sz="4" w:space="0"/>
            </w:tcBorders>
          </w:tcPr>
          <w:p>
            <w:pPr>
              <w:rPr>
                <w:sz w:val="2"/>
                <w:szCs w:val="2"/>
              </w:rPr>
            </w:pPr>
          </w:p>
        </w:tc>
        <w:tc>
          <w:tcPr>
            <w:tcW w:w="2130" w:type="dxa"/>
            <w:gridSpan w:val="2"/>
            <w:tcBorders>
              <w:top w:val="single" w:color="000000" w:sz="4" w:space="0"/>
              <w:left w:val="single" w:color="000000" w:sz="4" w:space="0"/>
              <w:right w:val="single" w:color="000000" w:sz="4" w:space="0"/>
            </w:tcBorders>
          </w:tcPr>
          <w:p>
            <w:pPr>
              <w:pStyle w:val="19"/>
              <w:spacing w:before="45"/>
              <w:ind w:left="544"/>
              <w:jc w:val="left"/>
              <w:rPr>
                <w:sz w:val="21"/>
              </w:rPr>
            </w:pPr>
            <w:r>
              <w:rPr>
                <w:sz w:val="21"/>
              </w:rPr>
              <w:t>危废暂存间</w:t>
            </w:r>
          </w:p>
        </w:tc>
        <w:tc>
          <w:tcPr>
            <w:tcW w:w="6677" w:type="dxa"/>
            <w:tcBorders>
              <w:top w:val="single" w:color="000000" w:sz="4" w:space="0"/>
              <w:left w:val="single" w:color="000000" w:sz="4" w:space="0"/>
            </w:tcBorders>
          </w:tcPr>
          <w:p>
            <w:pPr>
              <w:pStyle w:val="19"/>
              <w:spacing w:before="45"/>
              <w:ind w:left="111"/>
              <w:jc w:val="left"/>
              <w:rPr>
                <w:sz w:val="21"/>
              </w:rPr>
            </w:pPr>
            <w:r>
              <w:rPr>
                <w:sz w:val="21"/>
              </w:rPr>
              <w:t xml:space="preserve">用于存放机修间维修产生的废机油，建筑面积约 </w:t>
            </w:r>
            <w:r>
              <w:rPr>
                <w:rFonts w:ascii="Times New Roman" w:eastAsia="Times New Roman"/>
                <w:sz w:val="21"/>
              </w:rPr>
              <w:t>10m</w:t>
            </w:r>
            <w:r>
              <w:rPr>
                <w:rFonts w:ascii="Times New Roman" w:eastAsia="Times New Roman"/>
                <w:position w:val="7"/>
                <w:sz w:val="13"/>
              </w:rPr>
              <w:t>2</w:t>
            </w:r>
            <w:r>
              <w:rPr>
                <w:sz w:val="21"/>
              </w:rPr>
              <w:t>。</w:t>
            </w:r>
          </w:p>
        </w:tc>
      </w:tr>
    </w:tbl>
    <w:p>
      <w:pPr>
        <w:spacing w:after="0"/>
        <w:jc w:val="left"/>
        <w:rPr>
          <w:sz w:val="21"/>
        </w:rPr>
        <w:sectPr>
          <w:pgSz w:w="11910" w:h="16840"/>
          <w:pgMar w:top="1400" w:right="1160" w:bottom="1180" w:left="1200" w:header="0" w:footer="993" w:gutter="0"/>
        </w:sectPr>
      </w:pPr>
    </w:p>
    <w:tbl>
      <w:tblPr>
        <w:tblStyle w:val="1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7"/>
        <w:gridCol w:w="2130"/>
        <w:gridCol w:w="667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2" w:hRule="atLeast"/>
        </w:trPr>
        <w:tc>
          <w:tcPr>
            <w:tcW w:w="477" w:type="dxa"/>
            <w:vMerge w:val="restart"/>
            <w:tcBorders>
              <w:right w:val="single" w:color="000000" w:sz="4" w:space="0"/>
            </w:tcBorders>
          </w:tcPr>
          <w:p>
            <w:pPr>
              <w:pStyle w:val="19"/>
              <w:jc w:val="left"/>
              <w:rPr>
                <w:b/>
                <w:sz w:val="20"/>
              </w:rPr>
            </w:pPr>
          </w:p>
          <w:p>
            <w:pPr>
              <w:pStyle w:val="19"/>
              <w:spacing w:before="11"/>
              <w:jc w:val="left"/>
              <w:rPr>
                <w:b/>
                <w:sz w:val="28"/>
              </w:rPr>
            </w:pPr>
          </w:p>
          <w:p>
            <w:pPr>
              <w:pStyle w:val="19"/>
              <w:spacing w:line="290" w:lineRule="auto"/>
              <w:ind w:left="133" w:right="117"/>
              <w:jc w:val="both"/>
              <w:rPr>
                <w:sz w:val="21"/>
              </w:rPr>
            </w:pPr>
            <w:r>
              <w:rPr>
                <w:sz w:val="21"/>
              </w:rPr>
              <w:t>公用工程</w:t>
            </w:r>
          </w:p>
        </w:tc>
        <w:tc>
          <w:tcPr>
            <w:tcW w:w="2130" w:type="dxa"/>
            <w:tcBorders>
              <w:left w:val="single" w:color="000000" w:sz="4" w:space="0"/>
              <w:bottom w:val="single" w:color="000000" w:sz="4" w:space="0"/>
              <w:right w:val="single" w:color="000000" w:sz="4" w:space="0"/>
            </w:tcBorders>
          </w:tcPr>
          <w:p>
            <w:pPr>
              <w:pStyle w:val="19"/>
              <w:spacing w:before="3"/>
              <w:jc w:val="left"/>
              <w:rPr>
                <w:b/>
                <w:sz w:val="19"/>
              </w:rPr>
            </w:pPr>
          </w:p>
          <w:p>
            <w:pPr>
              <w:pStyle w:val="19"/>
              <w:ind w:left="206" w:right="191"/>
              <w:rPr>
                <w:sz w:val="21"/>
              </w:rPr>
            </w:pPr>
            <w:r>
              <w:rPr>
                <w:sz w:val="21"/>
              </w:rPr>
              <w:t>供电</w:t>
            </w:r>
          </w:p>
        </w:tc>
        <w:tc>
          <w:tcPr>
            <w:tcW w:w="6677" w:type="dxa"/>
            <w:tcBorders>
              <w:left w:val="single" w:color="000000" w:sz="4" w:space="0"/>
              <w:bottom w:val="single" w:color="000000" w:sz="4" w:space="0"/>
            </w:tcBorders>
          </w:tcPr>
          <w:p>
            <w:pPr>
              <w:pStyle w:val="19"/>
              <w:spacing w:before="2"/>
              <w:ind w:left="531"/>
              <w:jc w:val="left"/>
              <w:rPr>
                <w:sz w:val="21"/>
              </w:rPr>
            </w:pPr>
            <w:r>
              <w:rPr>
                <w:sz w:val="21"/>
              </w:rPr>
              <w:t xml:space="preserve">该矿现已建成一座 </w:t>
            </w:r>
            <w:r>
              <w:rPr>
                <w:rFonts w:ascii="Times New Roman" w:eastAsia="Times New Roman"/>
                <w:sz w:val="21"/>
              </w:rPr>
              <w:t xml:space="preserve">10kV </w:t>
            </w:r>
            <w:r>
              <w:rPr>
                <w:sz w:val="21"/>
              </w:rPr>
              <w:t>变电所，该变电所位于矿井工业场地内。</w:t>
            </w:r>
          </w:p>
          <w:p>
            <w:pPr>
              <w:pStyle w:val="19"/>
              <w:spacing w:before="139"/>
              <w:ind w:left="111"/>
              <w:jc w:val="left"/>
              <w:rPr>
                <w:rFonts w:ascii="Times New Roman" w:eastAsia="Times New Roman"/>
                <w:sz w:val="21"/>
              </w:rPr>
            </w:pPr>
            <w:r>
              <w:rPr>
                <w:sz w:val="21"/>
              </w:rPr>
              <w:t xml:space="preserve">引自农电变电所， 电压等级为 </w:t>
            </w:r>
            <w:r>
              <w:rPr>
                <w:rFonts w:ascii="Times New Roman" w:eastAsia="Times New Roman"/>
                <w:sz w:val="21"/>
              </w:rPr>
              <w:t>10kV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477" w:type="dxa"/>
            <w:vMerge w:val="continue"/>
            <w:tcBorders>
              <w:top w:val="nil"/>
              <w:right w:val="single" w:color="000000" w:sz="4" w:space="0"/>
            </w:tcBorders>
          </w:tcPr>
          <w:p>
            <w:pPr>
              <w:rPr>
                <w:sz w:val="2"/>
                <w:szCs w:val="2"/>
              </w:rPr>
            </w:pPr>
          </w:p>
        </w:tc>
        <w:tc>
          <w:tcPr>
            <w:tcW w:w="2130" w:type="dxa"/>
            <w:tcBorders>
              <w:top w:val="single" w:color="000000" w:sz="4" w:space="0"/>
              <w:left w:val="single" w:color="000000" w:sz="4" w:space="0"/>
              <w:bottom w:val="single" w:color="000000" w:sz="4" w:space="0"/>
              <w:right w:val="single" w:color="000000" w:sz="4" w:space="0"/>
            </w:tcBorders>
          </w:tcPr>
          <w:p>
            <w:pPr>
              <w:pStyle w:val="19"/>
              <w:spacing w:before="46"/>
              <w:ind w:left="208" w:right="190"/>
              <w:rPr>
                <w:sz w:val="21"/>
              </w:rPr>
            </w:pPr>
            <w:r>
              <w:rPr>
                <w:sz w:val="21"/>
              </w:rPr>
              <w:t>供水水源</w:t>
            </w:r>
          </w:p>
        </w:tc>
        <w:tc>
          <w:tcPr>
            <w:tcW w:w="6677" w:type="dxa"/>
            <w:tcBorders>
              <w:top w:val="single" w:color="000000" w:sz="4" w:space="0"/>
              <w:left w:val="single" w:color="000000" w:sz="4" w:space="0"/>
              <w:bottom w:val="single" w:color="000000" w:sz="4" w:space="0"/>
            </w:tcBorders>
          </w:tcPr>
          <w:p>
            <w:pPr>
              <w:pStyle w:val="19"/>
              <w:spacing w:before="46"/>
              <w:ind w:left="37" w:right="35"/>
              <w:rPr>
                <w:sz w:val="21"/>
              </w:rPr>
            </w:pPr>
            <w:r>
              <w:rPr>
                <w:sz w:val="21"/>
              </w:rPr>
              <w:t>生活用水由矿内水源井供给。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477" w:type="dxa"/>
            <w:vMerge w:val="continue"/>
            <w:tcBorders>
              <w:top w:val="nil"/>
              <w:right w:val="single" w:color="000000" w:sz="4" w:space="0"/>
            </w:tcBorders>
          </w:tcPr>
          <w:p>
            <w:pPr>
              <w:rPr>
                <w:sz w:val="2"/>
                <w:szCs w:val="2"/>
              </w:rPr>
            </w:pPr>
          </w:p>
        </w:tc>
        <w:tc>
          <w:tcPr>
            <w:tcW w:w="2130" w:type="dxa"/>
            <w:tcBorders>
              <w:top w:val="single" w:color="000000" w:sz="4" w:space="0"/>
              <w:left w:val="single" w:color="000000" w:sz="4" w:space="0"/>
              <w:bottom w:val="single" w:color="000000" w:sz="4" w:space="0"/>
              <w:right w:val="single" w:color="000000" w:sz="4" w:space="0"/>
            </w:tcBorders>
          </w:tcPr>
          <w:p>
            <w:pPr>
              <w:pStyle w:val="19"/>
              <w:spacing w:before="45"/>
              <w:ind w:left="206" w:right="191"/>
              <w:rPr>
                <w:sz w:val="21"/>
              </w:rPr>
            </w:pPr>
            <w:r>
              <w:rPr>
                <w:sz w:val="21"/>
              </w:rPr>
              <w:t>通讯</w:t>
            </w:r>
          </w:p>
        </w:tc>
        <w:tc>
          <w:tcPr>
            <w:tcW w:w="6677" w:type="dxa"/>
            <w:tcBorders>
              <w:top w:val="single" w:color="000000" w:sz="4" w:space="0"/>
              <w:left w:val="single" w:color="000000" w:sz="4" w:space="0"/>
              <w:bottom w:val="single" w:color="000000" w:sz="4" w:space="0"/>
            </w:tcBorders>
          </w:tcPr>
          <w:p>
            <w:pPr>
              <w:pStyle w:val="19"/>
              <w:spacing w:before="45"/>
              <w:ind w:left="58" w:right="34"/>
              <w:rPr>
                <w:sz w:val="21"/>
              </w:rPr>
            </w:pPr>
            <w:r>
              <w:rPr>
                <w:sz w:val="21"/>
              </w:rPr>
              <w:t>通讯网可以覆盖矿区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477" w:type="dxa"/>
            <w:vMerge w:val="continue"/>
            <w:tcBorders>
              <w:top w:val="nil"/>
              <w:right w:val="single" w:color="000000" w:sz="4" w:space="0"/>
            </w:tcBorders>
          </w:tcPr>
          <w:p>
            <w:pPr>
              <w:rPr>
                <w:sz w:val="2"/>
                <w:szCs w:val="2"/>
              </w:rPr>
            </w:pPr>
          </w:p>
        </w:tc>
        <w:tc>
          <w:tcPr>
            <w:tcW w:w="2130" w:type="dxa"/>
            <w:tcBorders>
              <w:top w:val="single" w:color="000000" w:sz="4" w:space="0"/>
              <w:left w:val="single" w:color="000000" w:sz="4" w:space="0"/>
              <w:bottom w:val="single" w:color="000000" w:sz="4" w:space="0"/>
              <w:right w:val="single" w:color="000000" w:sz="4" w:space="0"/>
            </w:tcBorders>
          </w:tcPr>
          <w:p>
            <w:pPr>
              <w:pStyle w:val="19"/>
              <w:spacing w:before="45"/>
              <w:ind w:left="206" w:right="191"/>
              <w:rPr>
                <w:sz w:val="21"/>
              </w:rPr>
            </w:pPr>
            <w:r>
              <w:rPr>
                <w:sz w:val="21"/>
              </w:rPr>
              <w:t>行政与公共设施</w:t>
            </w:r>
          </w:p>
        </w:tc>
        <w:tc>
          <w:tcPr>
            <w:tcW w:w="6677" w:type="dxa"/>
            <w:tcBorders>
              <w:top w:val="single" w:color="000000" w:sz="4" w:space="0"/>
              <w:left w:val="single" w:color="000000" w:sz="4" w:space="0"/>
              <w:bottom w:val="single" w:color="000000" w:sz="4" w:space="0"/>
            </w:tcBorders>
          </w:tcPr>
          <w:p>
            <w:pPr>
              <w:pStyle w:val="19"/>
              <w:spacing w:before="45"/>
              <w:ind w:left="54" w:right="35"/>
              <w:rPr>
                <w:sz w:val="21"/>
              </w:rPr>
            </w:pPr>
            <w:r>
              <w:rPr>
                <w:sz w:val="21"/>
              </w:rPr>
              <w:t>综合办公室、更衣室等场区设施等。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477" w:type="dxa"/>
            <w:vMerge w:val="continue"/>
            <w:tcBorders>
              <w:top w:val="nil"/>
              <w:right w:val="single" w:color="000000" w:sz="4" w:space="0"/>
            </w:tcBorders>
          </w:tcPr>
          <w:p>
            <w:pPr>
              <w:rPr>
                <w:sz w:val="2"/>
                <w:szCs w:val="2"/>
              </w:rPr>
            </w:pPr>
          </w:p>
        </w:tc>
        <w:tc>
          <w:tcPr>
            <w:tcW w:w="2130" w:type="dxa"/>
            <w:tcBorders>
              <w:top w:val="single" w:color="000000" w:sz="4" w:space="0"/>
              <w:left w:val="single" w:color="000000" w:sz="4" w:space="0"/>
              <w:right w:val="single" w:color="000000" w:sz="4" w:space="0"/>
            </w:tcBorders>
          </w:tcPr>
          <w:p>
            <w:pPr>
              <w:pStyle w:val="19"/>
              <w:spacing w:before="44"/>
              <w:ind w:left="206" w:right="191"/>
              <w:rPr>
                <w:sz w:val="21"/>
              </w:rPr>
            </w:pPr>
            <w:r>
              <w:rPr>
                <w:sz w:val="21"/>
              </w:rPr>
              <w:t>浴室</w:t>
            </w:r>
          </w:p>
        </w:tc>
        <w:tc>
          <w:tcPr>
            <w:tcW w:w="6677" w:type="dxa"/>
            <w:tcBorders>
              <w:top w:val="single" w:color="000000" w:sz="4" w:space="0"/>
              <w:left w:val="single" w:color="000000" w:sz="4" w:space="0"/>
            </w:tcBorders>
          </w:tcPr>
          <w:p>
            <w:pPr>
              <w:pStyle w:val="19"/>
              <w:spacing w:before="44"/>
              <w:ind w:left="58" w:right="34"/>
              <w:rPr>
                <w:sz w:val="21"/>
              </w:rPr>
            </w:pPr>
            <w:r>
              <w:rPr>
                <w:sz w:val="21"/>
              </w:rPr>
              <w:t xml:space="preserve">浴室建筑面积约 </w:t>
            </w:r>
            <w:r>
              <w:rPr>
                <w:rFonts w:ascii="Times New Roman" w:eastAsia="Times New Roman"/>
                <w:sz w:val="21"/>
              </w:rPr>
              <w:t>70m</w:t>
            </w:r>
            <w:r>
              <w:rPr>
                <w:rFonts w:ascii="Times New Roman" w:eastAsia="Times New Roman"/>
                <w:position w:val="7"/>
                <w:sz w:val="13"/>
              </w:rPr>
              <w:t>2</w:t>
            </w:r>
            <w:r>
              <w:rPr>
                <w:sz w:val="21"/>
              </w:rPr>
              <w:t>。</w:t>
            </w:r>
          </w:p>
        </w:tc>
      </w:tr>
    </w:tbl>
    <w:p>
      <w:pPr>
        <w:pStyle w:val="5"/>
        <w:numPr>
          <w:ilvl w:val="1"/>
          <w:numId w:val="27"/>
        </w:numPr>
        <w:tabs>
          <w:tab w:val="left" w:pos="744"/>
        </w:tabs>
        <w:spacing w:before="4" w:after="0" w:line="240" w:lineRule="auto"/>
        <w:ind w:left="744" w:right="0" w:hanging="526"/>
        <w:jc w:val="left"/>
      </w:pPr>
      <w:bookmarkStart w:id="134" w:name="2.2 改扩建生产项目概况"/>
      <w:bookmarkEnd w:id="134"/>
      <w:bookmarkStart w:id="135" w:name="2.2 改扩建生产项目概况"/>
      <w:bookmarkEnd w:id="135"/>
      <w:r>
        <w:t>改扩建生产项目概况</w:t>
      </w:r>
    </w:p>
    <w:p>
      <w:pPr>
        <w:pStyle w:val="6"/>
        <w:numPr>
          <w:ilvl w:val="2"/>
          <w:numId w:val="27"/>
        </w:numPr>
        <w:tabs>
          <w:tab w:val="left" w:pos="917"/>
        </w:tabs>
        <w:spacing w:before="197" w:after="0" w:line="240" w:lineRule="auto"/>
        <w:ind w:left="916" w:right="0" w:hanging="699"/>
        <w:jc w:val="left"/>
        <w:rPr>
          <w:rFonts w:ascii="Times New Roman" w:eastAsia="Times New Roman"/>
        </w:rPr>
      </w:pPr>
      <w:bookmarkStart w:id="136" w:name="2.2.1 项目名称、建设规模、建设性质与建设地点"/>
      <w:bookmarkEnd w:id="136"/>
      <w:bookmarkStart w:id="137" w:name="2.2.1 项目名称、建设规模、建设性质与建设地点"/>
      <w:bookmarkEnd w:id="137"/>
      <w:r>
        <w:t>项目名称、建设规模、建设性质与建设地点</w:t>
      </w:r>
    </w:p>
    <w:p>
      <w:pPr>
        <w:pStyle w:val="18"/>
        <w:numPr>
          <w:ilvl w:val="3"/>
          <w:numId w:val="27"/>
        </w:numPr>
        <w:tabs>
          <w:tab w:val="left" w:pos="1304"/>
        </w:tabs>
        <w:spacing w:before="186" w:after="0" w:line="364" w:lineRule="auto"/>
        <w:ind w:left="218" w:right="258" w:firstLine="480"/>
        <w:jc w:val="left"/>
        <w:rPr>
          <w:sz w:val="24"/>
        </w:rPr>
      </w:pPr>
      <w:r>
        <w:rPr>
          <w:sz w:val="24"/>
        </w:rPr>
        <w:t>项目名称：双鸭山盟度矿业有限责任公司（原双鸭山双兴时代矿业有限责任公司第二煤矿）资源整合项目</w:t>
      </w:r>
    </w:p>
    <w:p>
      <w:pPr>
        <w:pStyle w:val="18"/>
        <w:numPr>
          <w:ilvl w:val="3"/>
          <w:numId w:val="27"/>
        </w:numPr>
        <w:tabs>
          <w:tab w:val="left" w:pos="1300"/>
        </w:tabs>
        <w:spacing w:before="0" w:after="0" w:line="306" w:lineRule="exact"/>
        <w:ind w:left="1299" w:right="0" w:hanging="602"/>
        <w:jc w:val="left"/>
        <w:rPr>
          <w:rFonts w:ascii="Times New Roman" w:eastAsia="Times New Roman"/>
          <w:sz w:val="24"/>
        </w:rPr>
      </w:pPr>
      <w:r>
        <w:rPr>
          <w:sz w:val="24"/>
        </w:rPr>
        <w:t>建设规模：</w:t>
      </w:r>
      <w:r>
        <w:rPr>
          <w:rFonts w:ascii="Times New Roman" w:eastAsia="Times New Roman"/>
          <w:sz w:val="24"/>
        </w:rPr>
        <w:t xml:space="preserve">30 </w:t>
      </w:r>
      <w:r>
        <w:rPr>
          <w:spacing w:val="-30"/>
          <w:sz w:val="24"/>
        </w:rPr>
        <w:t xml:space="preserve">万 </w:t>
      </w:r>
      <w:r>
        <w:rPr>
          <w:rFonts w:ascii="Times New Roman" w:eastAsia="Times New Roman"/>
          <w:sz w:val="24"/>
        </w:rPr>
        <w:t>t/a</w:t>
      </w:r>
    </w:p>
    <w:p>
      <w:pPr>
        <w:pStyle w:val="18"/>
        <w:numPr>
          <w:ilvl w:val="3"/>
          <w:numId w:val="27"/>
        </w:numPr>
        <w:tabs>
          <w:tab w:val="left" w:pos="1300"/>
        </w:tabs>
        <w:spacing w:before="160" w:after="0" w:line="240" w:lineRule="auto"/>
        <w:ind w:left="1299" w:right="0" w:hanging="602"/>
        <w:jc w:val="left"/>
        <w:rPr>
          <w:sz w:val="24"/>
        </w:rPr>
      </w:pPr>
      <w:r>
        <w:rPr>
          <w:sz w:val="24"/>
        </w:rPr>
        <w:t>建设性质：资源整合</w:t>
      </w:r>
    </w:p>
    <w:p>
      <w:pPr>
        <w:pStyle w:val="18"/>
        <w:numPr>
          <w:ilvl w:val="3"/>
          <w:numId w:val="27"/>
        </w:numPr>
        <w:tabs>
          <w:tab w:val="left" w:pos="1300"/>
        </w:tabs>
        <w:spacing w:before="158" w:after="0" w:line="240" w:lineRule="auto"/>
        <w:ind w:left="1299" w:right="0" w:hanging="602"/>
        <w:jc w:val="left"/>
        <w:rPr>
          <w:sz w:val="24"/>
        </w:rPr>
      </w:pPr>
      <w:r>
        <w:rPr>
          <w:sz w:val="24"/>
        </w:rPr>
        <w:t>建设地点：双鸭山市岭东区七道坝</w:t>
      </w:r>
    </w:p>
    <w:p>
      <w:pPr>
        <w:pStyle w:val="18"/>
        <w:numPr>
          <w:ilvl w:val="3"/>
          <w:numId w:val="27"/>
        </w:numPr>
        <w:tabs>
          <w:tab w:val="left" w:pos="1300"/>
        </w:tabs>
        <w:spacing w:before="161" w:after="0" w:line="240" w:lineRule="auto"/>
        <w:ind w:left="1299" w:right="0" w:hanging="602"/>
        <w:jc w:val="left"/>
        <w:rPr>
          <w:sz w:val="24"/>
        </w:rPr>
      </w:pPr>
      <w:r>
        <w:rPr>
          <w:sz w:val="24"/>
        </w:rPr>
        <w:t>建设单位：双鸭山盟度矿业有限责任公司</w:t>
      </w:r>
    </w:p>
    <w:p>
      <w:pPr>
        <w:pStyle w:val="6"/>
        <w:numPr>
          <w:ilvl w:val="2"/>
          <w:numId w:val="28"/>
        </w:numPr>
        <w:tabs>
          <w:tab w:val="left" w:pos="917"/>
        </w:tabs>
        <w:spacing w:before="159" w:after="0" w:line="240" w:lineRule="auto"/>
        <w:ind w:left="916" w:right="0" w:hanging="699"/>
        <w:jc w:val="left"/>
      </w:pPr>
      <w:bookmarkStart w:id="138" w:name="2.2.3 项目建设外部条件"/>
      <w:bookmarkEnd w:id="138"/>
      <w:bookmarkStart w:id="139" w:name="2.2.3 项目建设外部条件"/>
      <w:bookmarkEnd w:id="139"/>
      <w:r>
        <w:t>项目建设外部条件</w:t>
      </w:r>
    </w:p>
    <w:p>
      <w:pPr>
        <w:pStyle w:val="18"/>
        <w:numPr>
          <w:ilvl w:val="3"/>
          <w:numId w:val="28"/>
        </w:numPr>
        <w:tabs>
          <w:tab w:val="left" w:pos="880"/>
        </w:tabs>
        <w:spacing w:before="185" w:after="0" w:line="240" w:lineRule="auto"/>
        <w:ind w:left="879" w:right="0" w:hanging="182"/>
        <w:jc w:val="left"/>
        <w:rPr>
          <w:sz w:val="24"/>
        </w:rPr>
      </w:pPr>
      <w:r>
        <w:rPr>
          <w:sz w:val="24"/>
        </w:rPr>
        <w:t>运输</w:t>
      </w:r>
    </w:p>
    <w:p>
      <w:pPr>
        <w:pStyle w:val="9"/>
        <w:spacing w:before="160" w:line="364" w:lineRule="auto"/>
        <w:ind w:left="218" w:right="257" w:firstLine="480"/>
        <w:jc w:val="both"/>
      </w:pPr>
      <w:r>
        <w:rPr>
          <w:spacing w:val="-8"/>
        </w:rPr>
        <w:t>目前本区交通运输以公路为主，双鸭山市区通往桦南县的</w:t>
      </w:r>
      <w:r>
        <w:rPr>
          <w:rFonts w:ascii="Times New Roman" w:eastAsia="Times New Roman"/>
        </w:rPr>
        <w:t xml:space="preserve">307 </w:t>
      </w:r>
      <w:r>
        <w:rPr>
          <w:spacing w:val="5"/>
        </w:rPr>
        <w:t>省道在井口北侧</w:t>
      </w:r>
      <w:r>
        <w:rPr>
          <w:rFonts w:ascii="Times New Roman" w:eastAsia="Times New Roman"/>
          <w:spacing w:val="-4"/>
        </w:rPr>
        <w:t xml:space="preserve">200m </w:t>
      </w:r>
      <w:r>
        <w:rPr>
          <w:spacing w:val="-9"/>
        </w:rPr>
        <w:t xml:space="preserve">处经过。目前矿方已经将工业场地至 </w:t>
      </w:r>
      <w:r>
        <w:rPr>
          <w:rFonts w:ascii="Times New Roman" w:eastAsia="Times New Roman"/>
        </w:rPr>
        <w:t xml:space="preserve">307 </w:t>
      </w:r>
      <w:r>
        <w:rPr>
          <w:spacing w:val="-6"/>
        </w:rPr>
        <w:t xml:space="preserve">省道的简易公路改造为 </w:t>
      </w:r>
      <w:r>
        <w:rPr>
          <w:rFonts w:ascii="Times New Roman" w:eastAsia="Times New Roman"/>
        </w:rPr>
        <w:t xml:space="preserve">2 </w:t>
      </w:r>
      <w:r>
        <w:rPr>
          <w:spacing w:val="-6"/>
        </w:rPr>
        <w:t>级场外公路。综上所</w:t>
      </w:r>
      <w:r>
        <w:t>述，该矿外部公路系统基本完善，公路运输较为便利。</w:t>
      </w:r>
    </w:p>
    <w:p>
      <w:pPr>
        <w:pStyle w:val="18"/>
        <w:numPr>
          <w:ilvl w:val="3"/>
          <w:numId w:val="28"/>
        </w:numPr>
        <w:tabs>
          <w:tab w:val="left" w:pos="880"/>
        </w:tabs>
        <w:spacing w:before="0" w:after="0" w:line="305" w:lineRule="exact"/>
        <w:ind w:left="879" w:right="0" w:hanging="182"/>
        <w:jc w:val="left"/>
        <w:rPr>
          <w:sz w:val="24"/>
        </w:rPr>
      </w:pPr>
      <w:r>
        <w:rPr>
          <w:sz w:val="24"/>
        </w:rPr>
        <w:t>供电</w:t>
      </w:r>
    </w:p>
    <w:p>
      <w:pPr>
        <w:pStyle w:val="9"/>
        <w:spacing w:before="161" w:line="364" w:lineRule="auto"/>
        <w:ind w:left="218" w:right="257" w:firstLine="480"/>
        <w:jc w:val="both"/>
        <w:rPr>
          <w:rFonts w:ascii="Times New Roman" w:eastAsia="Times New Roman"/>
        </w:rPr>
      </w:pPr>
      <w:r>
        <w:rPr>
          <w:spacing w:val="-5"/>
        </w:rPr>
        <w:t>盟度公司现有两回电源供电，一回引自双桦变电所，另一回引自农电变电所，电压</w:t>
      </w:r>
      <w:r>
        <w:rPr>
          <w:spacing w:val="-12"/>
        </w:rPr>
        <w:t xml:space="preserve">等级均为 </w:t>
      </w:r>
      <w:r>
        <w:rPr>
          <w:rFonts w:ascii="Times New Roman" w:eastAsia="Times New Roman"/>
        </w:rPr>
        <w:t>10kV</w:t>
      </w:r>
    </w:p>
    <w:p>
      <w:pPr>
        <w:pStyle w:val="18"/>
        <w:numPr>
          <w:ilvl w:val="3"/>
          <w:numId w:val="28"/>
        </w:numPr>
        <w:tabs>
          <w:tab w:val="left" w:pos="880"/>
        </w:tabs>
        <w:spacing w:before="0" w:after="0" w:line="306" w:lineRule="exact"/>
        <w:ind w:left="879" w:right="0" w:hanging="182"/>
        <w:jc w:val="left"/>
        <w:rPr>
          <w:sz w:val="24"/>
        </w:rPr>
      </w:pPr>
      <w:r>
        <w:rPr>
          <w:sz w:val="24"/>
        </w:rPr>
        <w:t>供水</w:t>
      </w:r>
    </w:p>
    <w:p>
      <w:pPr>
        <w:pStyle w:val="9"/>
        <w:spacing w:before="160"/>
        <w:ind w:left="698"/>
      </w:pPr>
      <w:r>
        <w:t>生活饮用水及食堂用水全部由井水供给。</w:t>
      </w:r>
    </w:p>
    <w:p>
      <w:pPr>
        <w:pStyle w:val="6"/>
        <w:numPr>
          <w:ilvl w:val="2"/>
          <w:numId w:val="28"/>
        </w:numPr>
        <w:tabs>
          <w:tab w:val="left" w:pos="917"/>
        </w:tabs>
        <w:spacing w:before="159" w:after="0" w:line="240" w:lineRule="auto"/>
        <w:ind w:left="916" w:right="0" w:hanging="699"/>
        <w:jc w:val="left"/>
      </w:pPr>
      <w:bookmarkStart w:id="140" w:name="2.2.4 项目组成"/>
      <w:bookmarkEnd w:id="140"/>
      <w:bookmarkStart w:id="141" w:name="2.2.4 项目组成"/>
      <w:bookmarkEnd w:id="141"/>
      <w:r>
        <w:t>项目组成</w:t>
      </w:r>
    </w:p>
    <w:p>
      <w:pPr>
        <w:pStyle w:val="9"/>
        <w:spacing w:before="185" w:line="364" w:lineRule="auto"/>
        <w:ind w:left="218" w:right="257" w:firstLine="480"/>
        <w:jc w:val="both"/>
      </w:pPr>
      <w:r>
        <w:rPr>
          <w:spacing w:val="-4"/>
        </w:rPr>
        <w:t>本矿井改扩建工程主要内容为矿井的开采系统、通风系统、地面供电系统、给排水</w:t>
      </w:r>
      <w:r>
        <w:rPr>
          <w:spacing w:val="-8"/>
        </w:rPr>
        <w:t>系统、地面消防系统等各系统的改造和完善，增加了相应的地面建、构筑物。本项目组</w:t>
      </w:r>
      <w:r>
        <w:t>成详见下表。</w:t>
      </w:r>
    </w:p>
    <w:p>
      <w:pPr>
        <w:spacing w:after="0" w:line="364" w:lineRule="auto"/>
        <w:jc w:val="both"/>
        <w:sectPr>
          <w:pgSz w:w="11910" w:h="16840"/>
          <w:pgMar w:top="1400" w:right="1160" w:bottom="1180" w:left="1200" w:header="0" w:footer="993" w:gutter="0"/>
        </w:sectPr>
      </w:pPr>
    </w:p>
    <w:p>
      <w:pPr>
        <w:spacing w:before="60"/>
        <w:ind w:left="312" w:right="330" w:firstLine="0"/>
        <w:jc w:val="center"/>
        <w:rPr>
          <w:b/>
          <w:sz w:val="21"/>
        </w:rPr>
      </w:pPr>
      <w:r>
        <w:rPr>
          <w:b/>
          <w:spacing w:val="-28"/>
          <w:sz w:val="21"/>
        </w:rPr>
        <w:t xml:space="preserve">表 </w:t>
      </w:r>
      <w:r>
        <w:rPr>
          <w:rFonts w:ascii="Times New Roman" w:eastAsia="Times New Roman"/>
          <w:b/>
          <w:sz w:val="21"/>
        </w:rPr>
        <w:t>2.2-1</w:t>
      </w:r>
      <w:r>
        <w:rPr>
          <w:rFonts w:ascii="Times New Roman" w:eastAsia="Times New Roman"/>
          <w:b/>
          <w:spacing w:val="51"/>
          <w:sz w:val="21"/>
        </w:rPr>
        <w:t xml:space="preserve"> </w:t>
      </w:r>
      <w:r>
        <w:rPr>
          <w:b/>
          <w:sz w:val="21"/>
        </w:rPr>
        <w:t>双鸭山盟度矿业有限责任公司改扩建项目组成一览表</w:t>
      </w:r>
    </w:p>
    <w:p>
      <w:pPr>
        <w:pStyle w:val="9"/>
        <w:spacing w:before="11" w:after="1"/>
        <w:rPr>
          <w:b/>
          <w:sz w:val="10"/>
        </w:rPr>
      </w:pP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0"/>
        <w:gridCol w:w="556"/>
        <w:gridCol w:w="1575"/>
        <w:gridCol w:w="66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036" w:type="dxa"/>
            <w:gridSpan w:val="2"/>
            <w:tcBorders>
              <w:bottom w:val="single" w:color="000000" w:sz="4" w:space="0"/>
              <w:right w:val="single" w:color="000000" w:sz="4" w:space="0"/>
            </w:tcBorders>
          </w:tcPr>
          <w:p>
            <w:pPr>
              <w:pStyle w:val="19"/>
              <w:spacing w:before="1"/>
              <w:ind w:left="307"/>
              <w:jc w:val="left"/>
              <w:rPr>
                <w:sz w:val="21"/>
              </w:rPr>
            </w:pPr>
            <w:r>
              <w:rPr>
                <w:spacing w:val="-1"/>
                <w:w w:val="95"/>
                <w:sz w:val="21"/>
              </w:rPr>
              <w:t>工程</w:t>
            </w:r>
          </w:p>
          <w:p>
            <w:pPr>
              <w:pStyle w:val="19"/>
              <w:spacing w:before="55"/>
              <w:ind w:left="307"/>
              <w:jc w:val="left"/>
              <w:rPr>
                <w:sz w:val="21"/>
              </w:rPr>
            </w:pPr>
            <w:r>
              <w:rPr>
                <w:spacing w:val="-1"/>
                <w:w w:val="95"/>
                <w:sz w:val="21"/>
              </w:rPr>
              <w:t>类别</w:t>
            </w:r>
          </w:p>
        </w:tc>
        <w:tc>
          <w:tcPr>
            <w:tcW w:w="1575" w:type="dxa"/>
            <w:tcBorders>
              <w:left w:val="single" w:color="000000" w:sz="4" w:space="0"/>
              <w:bottom w:val="single" w:color="000000" w:sz="4" w:space="0"/>
              <w:right w:val="single" w:color="000000" w:sz="4" w:space="0"/>
            </w:tcBorders>
          </w:tcPr>
          <w:p>
            <w:pPr>
              <w:pStyle w:val="19"/>
              <w:spacing w:before="164"/>
              <w:ind w:left="156" w:right="143"/>
              <w:rPr>
                <w:sz w:val="21"/>
              </w:rPr>
            </w:pPr>
            <w:r>
              <w:rPr>
                <w:sz w:val="21"/>
              </w:rPr>
              <w:t>单项工程</w:t>
            </w:r>
          </w:p>
        </w:tc>
        <w:tc>
          <w:tcPr>
            <w:tcW w:w="6675" w:type="dxa"/>
            <w:tcBorders>
              <w:left w:val="single" w:color="000000" w:sz="4" w:space="0"/>
              <w:bottom w:val="single" w:color="000000" w:sz="4" w:space="0"/>
            </w:tcBorders>
          </w:tcPr>
          <w:p>
            <w:pPr>
              <w:pStyle w:val="19"/>
              <w:spacing w:before="164"/>
              <w:ind w:left="37" w:right="17"/>
              <w:rPr>
                <w:sz w:val="21"/>
              </w:rPr>
            </w:pPr>
            <w:r>
              <w:rPr>
                <w:sz w:val="21"/>
              </w:rPr>
              <w:t>项目概况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60" w:hRule="atLeast"/>
        </w:trPr>
        <w:tc>
          <w:tcPr>
            <w:tcW w:w="480" w:type="dxa"/>
            <w:vMerge w:val="restart"/>
            <w:tcBorders>
              <w:top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4"/>
              <w:jc w:val="left"/>
              <w:rPr>
                <w:b/>
                <w:sz w:val="19"/>
              </w:rPr>
            </w:pPr>
          </w:p>
          <w:p>
            <w:pPr>
              <w:pStyle w:val="19"/>
              <w:spacing w:before="1" w:line="290" w:lineRule="auto"/>
              <w:ind w:left="134" w:right="119"/>
              <w:jc w:val="both"/>
              <w:rPr>
                <w:sz w:val="21"/>
              </w:rPr>
            </w:pPr>
            <w:r>
              <w:rPr>
                <w:sz w:val="21"/>
              </w:rPr>
              <w:t>主体工程</w:t>
            </w:r>
          </w:p>
        </w:tc>
        <w:tc>
          <w:tcPr>
            <w:tcW w:w="556"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4"/>
              <w:jc w:val="left"/>
              <w:rPr>
                <w:b/>
                <w:sz w:val="19"/>
              </w:rPr>
            </w:pPr>
          </w:p>
          <w:p>
            <w:pPr>
              <w:pStyle w:val="19"/>
              <w:spacing w:before="1" w:line="290" w:lineRule="auto"/>
              <w:ind w:left="177" w:right="157"/>
              <w:jc w:val="both"/>
              <w:rPr>
                <w:sz w:val="21"/>
              </w:rPr>
            </w:pPr>
            <w:r>
              <w:rPr>
                <w:sz w:val="21"/>
              </w:rPr>
              <w:t>矿井工程</w:t>
            </w:r>
          </w:p>
        </w:tc>
        <w:tc>
          <w:tcPr>
            <w:tcW w:w="1575"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spacing w:before="9"/>
              <w:jc w:val="left"/>
              <w:rPr>
                <w:b/>
                <w:sz w:val="23"/>
              </w:rPr>
            </w:pPr>
          </w:p>
          <w:p>
            <w:pPr>
              <w:pStyle w:val="19"/>
              <w:ind w:left="159" w:right="143"/>
              <w:rPr>
                <w:sz w:val="21"/>
              </w:rPr>
            </w:pPr>
            <w:r>
              <w:rPr>
                <w:sz w:val="21"/>
              </w:rPr>
              <w:t>主井</w:t>
            </w:r>
          </w:p>
        </w:tc>
        <w:tc>
          <w:tcPr>
            <w:tcW w:w="6675" w:type="dxa"/>
            <w:tcBorders>
              <w:top w:val="single" w:color="000000" w:sz="4" w:space="0"/>
              <w:left w:val="single" w:color="000000" w:sz="4" w:space="0"/>
              <w:bottom w:val="single" w:color="000000" w:sz="4" w:space="0"/>
            </w:tcBorders>
          </w:tcPr>
          <w:p>
            <w:pPr>
              <w:pStyle w:val="19"/>
              <w:spacing w:line="292" w:lineRule="auto"/>
              <w:ind w:left="113" w:right="96" w:firstLine="468"/>
              <w:jc w:val="both"/>
              <w:rPr>
                <w:sz w:val="21"/>
              </w:rPr>
            </w:pPr>
            <w:r>
              <w:rPr>
                <w:sz w:val="21"/>
              </w:rPr>
              <w:t xml:space="preserve">主要承担矿井的煤炭提升任务， 同时兼作矿井的进风井及安全出口。倾角 </w:t>
            </w:r>
            <w:r>
              <w:rPr>
                <w:rFonts w:ascii="Times New Roman" w:hAnsi="Times New Roman" w:eastAsia="Times New Roman"/>
                <w:sz w:val="21"/>
              </w:rPr>
              <w:t>19</w:t>
            </w:r>
            <w:r>
              <w:rPr>
                <w:sz w:val="21"/>
              </w:rPr>
              <w:t>º， 井口标高</w:t>
            </w:r>
            <w:r>
              <w:rPr>
                <w:rFonts w:ascii="Times New Roman" w:hAnsi="Times New Roman" w:eastAsia="Times New Roman"/>
                <w:sz w:val="21"/>
              </w:rPr>
              <w:t>+350.1m</w:t>
            </w:r>
            <w:r>
              <w:rPr>
                <w:sz w:val="21"/>
              </w:rPr>
              <w:t xml:space="preserve">， 斜长 </w:t>
            </w:r>
            <w:r>
              <w:rPr>
                <w:rFonts w:ascii="Times New Roman" w:hAnsi="Times New Roman" w:eastAsia="Times New Roman"/>
                <w:sz w:val="21"/>
              </w:rPr>
              <w:t>860m</w:t>
            </w:r>
            <w:r>
              <w:rPr>
                <w:sz w:val="21"/>
              </w:rPr>
              <w:t xml:space="preserve">； 井筒采用半圆拱形断面，净宽 </w:t>
            </w:r>
            <w:r>
              <w:rPr>
                <w:rFonts w:ascii="Times New Roman" w:hAnsi="Times New Roman" w:eastAsia="Times New Roman"/>
                <w:sz w:val="21"/>
              </w:rPr>
              <w:t>3.0m</w:t>
            </w:r>
            <w:r>
              <w:rPr>
                <w:sz w:val="21"/>
              </w:rPr>
              <w:t xml:space="preserve">，净断面积 </w:t>
            </w:r>
            <w:r>
              <w:rPr>
                <w:rFonts w:ascii="Times New Roman" w:hAnsi="Times New Roman" w:eastAsia="Times New Roman"/>
                <w:sz w:val="21"/>
              </w:rPr>
              <w:t>7m</w:t>
            </w:r>
            <w:r>
              <w:rPr>
                <w:sz w:val="21"/>
              </w:rPr>
              <w:t xml:space="preserve">²，表土与风化基岩段采用钢筋砼砌碹支护，基岩段采用挂网锚喷支护。井筒内铺设 </w:t>
            </w:r>
            <w:r>
              <w:rPr>
                <w:rFonts w:ascii="Times New Roman" w:hAnsi="Times New Roman" w:eastAsia="Times New Roman"/>
                <w:sz w:val="21"/>
              </w:rPr>
              <w:t xml:space="preserve">600mm </w:t>
            </w:r>
            <w:r>
              <w:rPr>
                <w:sz w:val="21"/>
              </w:rPr>
              <w:t xml:space="preserve">轨距，轨型 </w:t>
            </w:r>
            <w:r>
              <w:rPr>
                <w:rFonts w:ascii="Times New Roman" w:hAnsi="Times New Roman" w:eastAsia="Times New Roman"/>
                <w:sz w:val="21"/>
              </w:rPr>
              <w:t xml:space="preserve">30kg/m </w:t>
            </w:r>
            <w:r>
              <w:rPr>
                <w:sz w:val="21"/>
              </w:rPr>
              <w:t>的钢轨，主要担负矿井煤炭提升任务，井筒内</w:t>
            </w:r>
          </w:p>
          <w:p>
            <w:pPr>
              <w:pStyle w:val="19"/>
              <w:spacing w:line="262" w:lineRule="exact"/>
              <w:ind w:left="20" w:right="17"/>
              <w:rPr>
                <w:sz w:val="21"/>
              </w:rPr>
            </w:pPr>
            <w:r>
              <w:rPr>
                <w:sz w:val="21"/>
              </w:rPr>
              <w:t>设台阶及扶手， 为矿井主进风井兼作安全出口。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15" w:hRule="atLeast"/>
        </w:trPr>
        <w:tc>
          <w:tcPr>
            <w:tcW w:w="480" w:type="dxa"/>
            <w:vMerge w:val="continue"/>
            <w:tcBorders>
              <w:top w:val="nil"/>
              <w:bottom w:val="single" w:color="000000" w:sz="4" w:space="0"/>
              <w:right w:val="single" w:color="000000" w:sz="4" w:space="0"/>
            </w:tcBorders>
          </w:tcPr>
          <w:p>
            <w:pPr>
              <w:rPr>
                <w:sz w:val="2"/>
                <w:szCs w:val="2"/>
              </w:rPr>
            </w:pPr>
          </w:p>
        </w:tc>
        <w:tc>
          <w:tcPr>
            <w:tcW w:w="556" w:type="dxa"/>
            <w:vMerge w:val="continue"/>
            <w:tcBorders>
              <w:top w:val="nil"/>
              <w:left w:val="single" w:color="000000" w:sz="4" w:space="0"/>
              <w:bottom w:val="single" w:color="000000" w:sz="4" w:space="0"/>
              <w:right w:val="single" w:color="000000" w:sz="4" w:space="0"/>
            </w:tcBorders>
          </w:tcPr>
          <w:p>
            <w:pPr>
              <w:rPr>
                <w:sz w:val="2"/>
                <w:szCs w:val="2"/>
              </w:rPr>
            </w:pPr>
          </w:p>
        </w:tc>
        <w:tc>
          <w:tcPr>
            <w:tcW w:w="1575"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spacing w:before="4"/>
              <w:jc w:val="left"/>
              <w:rPr>
                <w:b/>
                <w:sz w:val="29"/>
              </w:rPr>
            </w:pPr>
          </w:p>
          <w:p>
            <w:pPr>
              <w:pStyle w:val="19"/>
              <w:ind w:left="159" w:right="143"/>
              <w:rPr>
                <w:sz w:val="21"/>
              </w:rPr>
            </w:pPr>
            <w:r>
              <w:rPr>
                <w:sz w:val="21"/>
              </w:rPr>
              <w:t>副井</w:t>
            </w:r>
          </w:p>
        </w:tc>
        <w:tc>
          <w:tcPr>
            <w:tcW w:w="6675" w:type="dxa"/>
            <w:tcBorders>
              <w:top w:val="single" w:color="000000" w:sz="4" w:space="0"/>
              <w:left w:val="single" w:color="000000" w:sz="4" w:space="0"/>
              <w:bottom w:val="single" w:color="000000" w:sz="4" w:space="0"/>
            </w:tcBorders>
          </w:tcPr>
          <w:p>
            <w:pPr>
              <w:pStyle w:val="19"/>
              <w:spacing w:before="2" w:line="290" w:lineRule="auto"/>
              <w:ind w:left="115" w:right="105" w:firstLine="465"/>
              <w:jc w:val="left"/>
              <w:rPr>
                <w:sz w:val="21"/>
              </w:rPr>
            </w:pPr>
            <w:r>
              <w:rPr>
                <w:spacing w:val="18"/>
                <w:w w:val="95"/>
                <w:sz w:val="21"/>
              </w:rPr>
              <w:t xml:space="preserve">主要担负矿井的人员、矸石提升、材料下放以及设备升降等 </w:t>
            </w:r>
            <w:r>
              <w:rPr>
                <w:spacing w:val="8"/>
                <w:sz w:val="21"/>
              </w:rPr>
              <w:t>辅助提升任务， 同时兼作矿井的辅助进风井及安全出口。倾角</w:t>
            </w:r>
            <w:r>
              <w:rPr>
                <w:rFonts w:ascii="Times New Roman" w:hAnsi="Times New Roman" w:eastAsia="Times New Roman"/>
                <w:spacing w:val="9"/>
                <w:sz w:val="21"/>
              </w:rPr>
              <w:t>23</w:t>
            </w:r>
            <w:r>
              <w:rPr>
                <w:spacing w:val="1"/>
                <w:sz w:val="21"/>
              </w:rPr>
              <w:t>°， 井筒标高</w:t>
            </w:r>
            <w:r>
              <w:rPr>
                <w:rFonts w:ascii="Times New Roman" w:hAnsi="Times New Roman" w:eastAsia="Times New Roman"/>
                <w:spacing w:val="8"/>
                <w:sz w:val="21"/>
              </w:rPr>
              <w:t>+303.1m</w:t>
            </w:r>
            <w:r>
              <w:rPr>
                <w:spacing w:val="-20"/>
                <w:sz w:val="21"/>
              </w:rPr>
              <w:t xml:space="preserve">， 斜长 </w:t>
            </w:r>
            <w:r>
              <w:rPr>
                <w:rFonts w:ascii="Times New Roman" w:hAnsi="Times New Roman" w:eastAsia="Times New Roman"/>
                <w:spacing w:val="10"/>
                <w:sz w:val="21"/>
              </w:rPr>
              <w:t>870m</w:t>
            </w:r>
            <w:r>
              <w:rPr>
                <w:spacing w:val="7"/>
                <w:sz w:val="21"/>
              </w:rPr>
              <w:t>。井筒断面为半圆拱形， 净</w:t>
            </w:r>
            <w:r>
              <w:rPr>
                <w:spacing w:val="-13"/>
                <w:sz w:val="21"/>
              </w:rPr>
              <w:t xml:space="preserve">宽 </w:t>
            </w:r>
            <w:r>
              <w:rPr>
                <w:rFonts w:ascii="Times New Roman" w:hAnsi="Times New Roman" w:eastAsia="Times New Roman"/>
                <w:spacing w:val="8"/>
                <w:sz w:val="21"/>
              </w:rPr>
              <w:t>2.8m</w:t>
            </w:r>
            <w:r>
              <w:rPr>
                <w:spacing w:val="-12"/>
                <w:sz w:val="21"/>
              </w:rPr>
              <w:t xml:space="preserve">， 直墙高 </w:t>
            </w:r>
            <w:r>
              <w:rPr>
                <w:rFonts w:ascii="Times New Roman" w:hAnsi="Times New Roman" w:eastAsia="Times New Roman"/>
                <w:spacing w:val="7"/>
                <w:sz w:val="21"/>
              </w:rPr>
              <w:t>1m</w:t>
            </w:r>
            <w:r>
              <w:rPr>
                <w:spacing w:val="-8"/>
                <w:sz w:val="21"/>
              </w:rPr>
              <w:t xml:space="preserve">， 净断面积 </w:t>
            </w:r>
            <w:r>
              <w:rPr>
                <w:rFonts w:ascii="Times New Roman" w:hAnsi="Times New Roman" w:eastAsia="Times New Roman"/>
                <w:spacing w:val="12"/>
                <w:sz w:val="21"/>
              </w:rPr>
              <w:t>5.9m</w:t>
            </w:r>
            <w:r>
              <w:rPr>
                <w:spacing w:val="12"/>
                <w:sz w:val="21"/>
              </w:rPr>
              <w:t>²</w:t>
            </w:r>
            <w:r>
              <w:rPr>
                <w:spacing w:val="17"/>
                <w:sz w:val="21"/>
              </w:rPr>
              <w:t>。表土与风化基岩段采用</w:t>
            </w:r>
            <w:r>
              <w:rPr>
                <w:spacing w:val="7"/>
                <w:sz w:val="21"/>
              </w:rPr>
              <w:t>钢筋砼砌碹支护， 基岩段采用挂网锚喷支护。井筒内设台阶及扶</w:t>
            </w:r>
            <w:r>
              <w:rPr>
                <w:spacing w:val="-14"/>
                <w:sz w:val="21"/>
              </w:rPr>
              <w:t xml:space="preserve">手， 铺设 </w:t>
            </w:r>
            <w:r>
              <w:rPr>
                <w:rFonts w:ascii="Times New Roman" w:hAnsi="Times New Roman" w:eastAsia="Times New Roman"/>
                <w:spacing w:val="7"/>
                <w:sz w:val="21"/>
              </w:rPr>
              <w:t>SMJ140</w:t>
            </w:r>
            <w:r>
              <w:rPr>
                <w:rFonts w:ascii="Times New Roman" w:hAnsi="Times New Roman" w:eastAsia="Times New Roman"/>
                <w:spacing w:val="16"/>
                <w:sz w:val="21"/>
              </w:rPr>
              <w:t xml:space="preserve"> </w:t>
            </w:r>
            <w:r>
              <w:rPr>
                <w:spacing w:val="-1"/>
                <w:sz w:val="21"/>
              </w:rPr>
              <w:t xml:space="preserve">异型轨， 初期采用 </w:t>
            </w:r>
            <w:r>
              <w:rPr>
                <w:rFonts w:ascii="Times New Roman" w:hAnsi="Times New Roman" w:eastAsia="Times New Roman"/>
                <w:spacing w:val="8"/>
                <w:sz w:val="21"/>
              </w:rPr>
              <w:t>RKQ10-6/6</w:t>
            </w:r>
            <w:r>
              <w:rPr>
                <w:rFonts w:ascii="Times New Roman" w:hAnsi="Times New Roman" w:eastAsia="Times New Roman"/>
                <w:spacing w:val="16"/>
                <w:sz w:val="21"/>
              </w:rPr>
              <w:t xml:space="preserve"> </w:t>
            </w:r>
            <w:r>
              <w:rPr>
                <w:spacing w:val="16"/>
                <w:sz w:val="21"/>
              </w:rPr>
              <w:t>型全路况卡轨人</w:t>
            </w:r>
            <w:r>
              <w:rPr>
                <w:spacing w:val="7"/>
                <w:sz w:val="21"/>
              </w:rPr>
              <w:t>车运送人员， 敷设排水管、消防洒水管、通讯及信号电缆等管线</w:t>
            </w:r>
          </w:p>
          <w:p>
            <w:pPr>
              <w:pStyle w:val="19"/>
              <w:spacing w:before="6"/>
              <w:ind w:left="2995"/>
              <w:jc w:val="left"/>
              <w:rPr>
                <w:sz w:val="21"/>
              </w:rPr>
            </w:pPr>
            <w:r>
              <w:rPr>
                <w:sz w:val="21"/>
              </w:rPr>
              <w:t>设施。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6" w:hRule="atLeast"/>
        </w:trPr>
        <w:tc>
          <w:tcPr>
            <w:tcW w:w="480" w:type="dxa"/>
            <w:vMerge w:val="continue"/>
            <w:tcBorders>
              <w:top w:val="nil"/>
              <w:bottom w:val="single" w:color="000000" w:sz="4" w:space="0"/>
              <w:right w:val="single" w:color="000000" w:sz="4" w:space="0"/>
            </w:tcBorders>
          </w:tcPr>
          <w:p>
            <w:pPr>
              <w:rPr>
                <w:sz w:val="2"/>
                <w:szCs w:val="2"/>
              </w:rPr>
            </w:pPr>
          </w:p>
        </w:tc>
        <w:tc>
          <w:tcPr>
            <w:tcW w:w="556" w:type="dxa"/>
            <w:vMerge w:val="continue"/>
            <w:tcBorders>
              <w:top w:val="nil"/>
              <w:left w:val="single" w:color="000000" w:sz="4" w:space="0"/>
              <w:bottom w:val="single" w:color="000000" w:sz="4" w:space="0"/>
              <w:right w:val="single" w:color="000000" w:sz="4" w:space="0"/>
            </w:tcBorders>
          </w:tcPr>
          <w:p>
            <w:pPr>
              <w:rPr>
                <w:sz w:val="2"/>
                <w:szCs w:val="2"/>
              </w:rPr>
            </w:pPr>
          </w:p>
        </w:tc>
        <w:tc>
          <w:tcPr>
            <w:tcW w:w="1575" w:type="dxa"/>
            <w:tcBorders>
              <w:top w:val="single" w:color="000000" w:sz="4" w:space="0"/>
              <w:left w:val="single" w:color="000000" w:sz="4" w:space="0"/>
              <w:bottom w:val="single" w:color="000000" w:sz="4" w:space="0"/>
              <w:right w:val="single" w:color="000000" w:sz="4" w:space="0"/>
            </w:tcBorders>
          </w:tcPr>
          <w:p>
            <w:pPr>
              <w:pStyle w:val="19"/>
              <w:spacing w:before="163" w:line="290" w:lineRule="auto"/>
              <w:ind w:left="161" w:right="143"/>
              <w:rPr>
                <w:sz w:val="21"/>
              </w:rPr>
            </w:pPr>
            <w:r>
              <w:rPr>
                <w:sz w:val="21"/>
              </w:rPr>
              <w:t>行人井（</w:t>
            </w:r>
            <w:r>
              <w:rPr>
                <w:spacing w:val="-7"/>
                <w:sz w:val="21"/>
              </w:rPr>
              <w:t>位于</w:t>
            </w:r>
            <w:r>
              <w:rPr>
                <w:sz w:val="21"/>
              </w:rPr>
              <w:t>副井工业广 场）</w:t>
            </w:r>
          </w:p>
        </w:tc>
        <w:tc>
          <w:tcPr>
            <w:tcW w:w="6675" w:type="dxa"/>
            <w:tcBorders>
              <w:top w:val="single" w:color="000000" w:sz="4" w:space="0"/>
              <w:left w:val="single" w:color="000000" w:sz="4" w:space="0"/>
              <w:bottom w:val="single" w:color="000000" w:sz="4" w:space="0"/>
            </w:tcBorders>
          </w:tcPr>
          <w:p>
            <w:pPr>
              <w:pStyle w:val="19"/>
              <w:spacing w:line="290" w:lineRule="auto"/>
              <w:ind w:left="134" w:right="83" w:hanging="20"/>
              <w:jc w:val="both"/>
              <w:rPr>
                <w:sz w:val="21"/>
              </w:rPr>
            </w:pPr>
            <w:r>
              <w:rPr>
                <w:spacing w:val="-20"/>
                <w:sz w:val="21"/>
              </w:rPr>
              <w:t xml:space="preserve">倾角 </w:t>
            </w:r>
            <w:r>
              <w:rPr>
                <w:rFonts w:ascii="Times New Roman" w:hAnsi="Times New Roman" w:eastAsia="Times New Roman"/>
                <w:spacing w:val="-5"/>
                <w:sz w:val="21"/>
              </w:rPr>
              <w:t>20</w:t>
            </w:r>
            <w:r>
              <w:rPr>
                <w:spacing w:val="-5"/>
                <w:sz w:val="21"/>
              </w:rPr>
              <w:t>º</w:t>
            </w:r>
            <w:r>
              <w:rPr>
                <w:spacing w:val="-2"/>
                <w:sz w:val="21"/>
              </w:rPr>
              <w:t>，井口标高</w:t>
            </w:r>
            <w:r>
              <w:rPr>
                <w:rFonts w:ascii="Times New Roman" w:hAnsi="Times New Roman" w:eastAsia="Times New Roman"/>
                <w:spacing w:val="-3"/>
                <w:sz w:val="21"/>
              </w:rPr>
              <w:t>+348m</w:t>
            </w:r>
            <w:r>
              <w:rPr>
                <w:spacing w:val="-17"/>
                <w:sz w:val="21"/>
              </w:rPr>
              <w:t xml:space="preserve">，斜长 </w:t>
            </w:r>
            <w:r>
              <w:rPr>
                <w:rFonts w:ascii="Times New Roman" w:hAnsi="Times New Roman" w:eastAsia="Times New Roman"/>
                <w:spacing w:val="-3"/>
                <w:sz w:val="21"/>
              </w:rPr>
              <w:t>620m</w:t>
            </w:r>
            <w:r>
              <w:rPr>
                <w:spacing w:val="-4"/>
                <w:sz w:val="21"/>
              </w:rPr>
              <w:t>；井筒采用半圆拱形断面，净宽</w:t>
            </w:r>
            <w:r>
              <w:rPr>
                <w:rFonts w:ascii="Times New Roman" w:hAnsi="Times New Roman" w:eastAsia="Times New Roman"/>
                <w:spacing w:val="-4"/>
                <w:sz w:val="21"/>
              </w:rPr>
              <w:t>2.8m</w:t>
            </w:r>
            <w:r>
              <w:rPr>
                <w:spacing w:val="-15"/>
                <w:sz w:val="21"/>
              </w:rPr>
              <w:t xml:space="preserve">，直墙高 </w:t>
            </w:r>
            <w:r>
              <w:rPr>
                <w:rFonts w:ascii="Times New Roman" w:hAnsi="Times New Roman" w:eastAsia="Times New Roman"/>
                <w:sz w:val="21"/>
              </w:rPr>
              <w:t>1m</w:t>
            </w:r>
            <w:r>
              <w:rPr>
                <w:spacing w:val="-10"/>
                <w:sz w:val="21"/>
              </w:rPr>
              <w:t xml:space="preserve">，净断面积 </w:t>
            </w:r>
            <w:r>
              <w:rPr>
                <w:rFonts w:ascii="Times New Roman" w:hAnsi="Times New Roman" w:eastAsia="Times New Roman"/>
                <w:sz w:val="21"/>
              </w:rPr>
              <w:t>5.9m</w:t>
            </w:r>
            <w:r>
              <w:rPr>
                <w:sz w:val="21"/>
              </w:rPr>
              <w:t>²，表土与风化基岩段采用钢筋砼砌</w:t>
            </w:r>
            <w:r>
              <w:rPr>
                <w:spacing w:val="-8"/>
                <w:w w:val="95"/>
                <w:sz w:val="21"/>
              </w:rPr>
              <w:t>碹支护，基岩段采用挂网锚喷支护，后期担负人员升降任务，兼做辅助</w:t>
            </w:r>
          </w:p>
          <w:p>
            <w:pPr>
              <w:pStyle w:val="19"/>
              <w:spacing w:before="3"/>
              <w:ind w:left="56" w:right="10"/>
              <w:rPr>
                <w:sz w:val="21"/>
              </w:rPr>
            </w:pPr>
            <w:r>
              <w:rPr>
                <w:sz w:val="21"/>
              </w:rPr>
              <w:t>入风。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6" w:hRule="atLeast"/>
        </w:trPr>
        <w:tc>
          <w:tcPr>
            <w:tcW w:w="480" w:type="dxa"/>
            <w:vMerge w:val="continue"/>
            <w:tcBorders>
              <w:top w:val="nil"/>
              <w:bottom w:val="single" w:color="000000" w:sz="4" w:space="0"/>
              <w:right w:val="single" w:color="000000" w:sz="4" w:space="0"/>
            </w:tcBorders>
          </w:tcPr>
          <w:p>
            <w:pPr>
              <w:rPr>
                <w:sz w:val="2"/>
                <w:szCs w:val="2"/>
              </w:rPr>
            </w:pPr>
          </w:p>
        </w:tc>
        <w:tc>
          <w:tcPr>
            <w:tcW w:w="556" w:type="dxa"/>
            <w:vMerge w:val="continue"/>
            <w:tcBorders>
              <w:top w:val="nil"/>
              <w:left w:val="single" w:color="000000" w:sz="4" w:space="0"/>
              <w:bottom w:val="single" w:color="000000" w:sz="4" w:space="0"/>
              <w:right w:val="single" w:color="000000" w:sz="4" w:space="0"/>
            </w:tcBorders>
          </w:tcPr>
          <w:p>
            <w:pPr>
              <w:rPr>
                <w:sz w:val="2"/>
                <w:szCs w:val="2"/>
              </w:rPr>
            </w:pPr>
          </w:p>
        </w:tc>
        <w:tc>
          <w:tcPr>
            <w:tcW w:w="1575" w:type="dxa"/>
            <w:tcBorders>
              <w:top w:val="single" w:color="000000" w:sz="4" w:space="0"/>
              <w:left w:val="single" w:color="000000" w:sz="4" w:space="0"/>
              <w:bottom w:val="single" w:color="000000" w:sz="4" w:space="0"/>
              <w:right w:val="single" w:color="000000" w:sz="4" w:space="0"/>
            </w:tcBorders>
          </w:tcPr>
          <w:p>
            <w:pPr>
              <w:pStyle w:val="19"/>
              <w:spacing w:before="18" w:line="290" w:lineRule="auto"/>
              <w:ind w:left="161" w:right="131" w:hanging="12"/>
              <w:rPr>
                <w:sz w:val="21"/>
              </w:rPr>
            </w:pPr>
            <w:r>
              <w:rPr>
                <w:sz w:val="21"/>
              </w:rPr>
              <w:t>回风斜井（位于主井工业广场）</w:t>
            </w:r>
          </w:p>
        </w:tc>
        <w:tc>
          <w:tcPr>
            <w:tcW w:w="6675" w:type="dxa"/>
            <w:tcBorders>
              <w:top w:val="single" w:color="000000" w:sz="4" w:space="0"/>
              <w:left w:val="single" w:color="000000" w:sz="4" w:space="0"/>
              <w:bottom w:val="single" w:color="000000" w:sz="4" w:space="0"/>
            </w:tcBorders>
          </w:tcPr>
          <w:p>
            <w:pPr>
              <w:pStyle w:val="19"/>
              <w:spacing w:before="18" w:line="290" w:lineRule="auto"/>
              <w:ind w:left="137" w:right="86" w:hanging="27"/>
              <w:rPr>
                <w:sz w:val="21"/>
              </w:rPr>
            </w:pPr>
            <w:r>
              <w:rPr>
                <w:spacing w:val="-20"/>
                <w:sz w:val="21"/>
              </w:rPr>
              <w:t xml:space="preserve">倾角 </w:t>
            </w:r>
            <w:r>
              <w:rPr>
                <w:rFonts w:ascii="Times New Roman" w:hAnsi="Times New Roman" w:eastAsia="Times New Roman"/>
                <w:sz w:val="21"/>
              </w:rPr>
              <w:t>20</w:t>
            </w:r>
            <w:r>
              <w:rPr>
                <w:sz w:val="21"/>
              </w:rPr>
              <w:t>º，井口标高</w:t>
            </w:r>
            <w:r>
              <w:rPr>
                <w:rFonts w:ascii="Times New Roman" w:hAnsi="Times New Roman" w:eastAsia="Times New Roman"/>
                <w:sz w:val="21"/>
              </w:rPr>
              <w:t>+348.32m</w:t>
            </w:r>
            <w:r>
              <w:rPr>
                <w:spacing w:val="-15"/>
                <w:sz w:val="21"/>
              </w:rPr>
              <w:t xml:space="preserve">，斜长 </w:t>
            </w:r>
            <w:r>
              <w:rPr>
                <w:rFonts w:ascii="Times New Roman" w:hAnsi="Times New Roman" w:eastAsia="Times New Roman"/>
                <w:sz w:val="21"/>
              </w:rPr>
              <w:t>680m</w:t>
            </w:r>
            <w:r>
              <w:rPr>
                <w:sz w:val="21"/>
              </w:rPr>
              <w:t xml:space="preserve">；井筒采用半圆拱形断面， </w:t>
            </w:r>
            <w:r>
              <w:rPr>
                <w:spacing w:val="-20"/>
                <w:sz w:val="21"/>
              </w:rPr>
              <w:t xml:space="preserve">净宽 </w:t>
            </w:r>
            <w:r>
              <w:rPr>
                <w:rFonts w:ascii="Times New Roman" w:hAnsi="Times New Roman" w:eastAsia="Times New Roman"/>
                <w:spacing w:val="-3"/>
                <w:sz w:val="21"/>
              </w:rPr>
              <w:t>3m</w:t>
            </w:r>
            <w:r>
              <w:rPr>
                <w:spacing w:val="-14"/>
                <w:sz w:val="21"/>
              </w:rPr>
              <w:t xml:space="preserve">，直墙高 </w:t>
            </w:r>
            <w:r>
              <w:rPr>
                <w:rFonts w:ascii="Times New Roman" w:hAnsi="Times New Roman" w:eastAsia="Times New Roman"/>
                <w:spacing w:val="-3"/>
                <w:sz w:val="21"/>
              </w:rPr>
              <w:t>1m</w:t>
            </w:r>
            <w:r>
              <w:rPr>
                <w:spacing w:val="-12"/>
                <w:sz w:val="21"/>
              </w:rPr>
              <w:t xml:space="preserve">，净断面积 </w:t>
            </w:r>
            <w:r>
              <w:rPr>
                <w:rFonts w:ascii="Times New Roman" w:hAnsi="Times New Roman" w:eastAsia="Times New Roman"/>
                <w:sz w:val="21"/>
              </w:rPr>
              <w:t>7.0m</w:t>
            </w:r>
            <w:r>
              <w:rPr>
                <w:sz w:val="21"/>
              </w:rPr>
              <w:t>²</w:t>
            </w:r>
            <w:r>
              <w:rPr>
                <w:spacing w:val="-2"/>
                <w:sz w:val="21"/>
              </w:rPr>
              <w:t>，锚网喷支护，担负矿井回风任务，兼做安全出口。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7" w:hRule="atLeast"/>
        </w:trPr>
        <w:tc>
          <w:tcPr>
            <w:tcW w:w="480" w:type="dxa"/>
            <w:vMerge w:val="restart"/>
            <w:tcBorders>
              <w:top w:val="single" w:color="000000" w:sz="4" w:space="0"/>
              <w:bottom w:val="single" w:color="000000" w:sz="4" w:space="0"/>
              <w:right w:val="single" w:color="000000" w:sz="4" w:space="0"/>
            </w:tcBorders>
          </w:tcPr>
          <w:p>
            <w:pPr>
              <w:pStyle w:val="19"/>
              <w:spacing w:before="2"/>
              <w:jc w:val="left"/>
              <w:rPr>
                <w:b/>
                <w:sz w:val="15"/>
              </w:rPr>
            </w:pPr>
          </w:p>
          <w:p>
            <w:pPr>
              <w:pStyle w:val="19"/>
              <w:spacing w:line="290" w:lineRule="auto"/>
              <w:ind w:left="134" w:right="119"/>
              <w:jc w:val="both"/>
              <w:rPr>
                <w:sz w:val="21"/>
              </w:rPr>
            </w:pPr>
            <w:r>
              <w:rPr>
                <w:sz w:val="21"/>
              </w:rPr>
              <w:t>辅助生产系统</w:t>
            </w:r>
          </w:p>
        </w:tc>
        <w:tc>
          <w:tcPr>
            <w:tcW w:w="2131" w:type="dxa"/>
            <w:gridSpan w:val="2"/>
            <w:tcBorders>
              <w:top w:val="single" w:color="000000" w:sz="4" w:space="0"/>
              <w:left w:val="single" w:color="000000" w:sz="4" w:space="0"/>
              <w:bottom w:val="single" w:color="000000" w:sz="4" w:space="0"/>
              <w:right w:val="single" w:color="000000" w:sz="4" w:space="0"/>
            </w:tcBorders>
          </w:tcPr>
          <w:p>
            <w:pPr>
              <w:pStyle w:val="19"/>
              <w:spacing w:before="5"/>
              <w:jc w:val="left"/>
              <w:rPr>
                <w:b/>
                <w:sz w:val="14"/>
              </w:rPr>
            </w:pPr>
          </w:p>
          <w:p>
            <w:pPr>
              <w:pStyle w:val="19"/>
              <w:ind w:left="439"/>
              <w:jc w:val="left"/>
              <w:rPr>
                <w:sz w:val="21"/>
              </w:rPr>
            </w:pPr>
            <w:r>
              <w:rPr>
                <w:sz w:val="21"/>
              </w:rPr>
              <w:t>矿井辅助设施</w:t>
            </w:r>
          </w:p>
        </w:tc>
        <w:tc>
          <w:tcPr>
            <w:tcW w:w="6675" w:type="dxa"/>
            <w:tcBorders>
              <w:top w:val="single" w:color="000000" w:sz="4" w:space="0"/>
              <w:left w:val="single" w:color="000000" w:sz="4" w:space="0"/>
              <w:bottom w:val="single" w:color="000000" w:sz="4" w:space="0"/>
            </w:tcBorders>
          </w:tcPr>
          <w:p>
            <w:pPr>
              <w:pStyle w:val="19"/>
              <w:spacing w:before="5"/>
              <w:jc w:val="left"/>
              <w:rPr>
                <w:b/>
                <w:sz w:val="14"/>
              </w:rPr>
            </w:pPr>
          </w:p>
          <w:p>
            <w:pPr>
              <w:pStyle w:val="19"/>
              <w:ind w:left="39" w:right="17"/>
              <w:rPr>
                <w:sz w:val="21"/>
              </w:rPr>
            </w:pPr>
            <w:r>
              <w:rPr>
                <w:sz w:val="21"/>
              </w:rPr>
              <w:t>机修车间、材料库、段室、瓦斯抽放站、消防泵房等辅助生产设施。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480" w:type="dxa"/>
            <w:vMerge w:val="continue"/>
            <w:tcBorders>
              <w:top w:val="nil"/>
              <w:bottom w:val="single" w:color="000000" w:sz="4" w:space="0"/>
              <w:right w:val="single" w:color="000000" w:sz="4" w:space="0"/>
            </w:tcBorders>
          </w:tcPr>
          <w:p>
            <w:pPr>
              <w:rPr>
                <w:sz w:val="2"/>
                <w:szCs w:val="2"/>
              </w:rPr>
            </w:pPr>
          </w:p>
        </w:tc>
        <w:tc>
          <w:tcPr>
            <w:tcW w:w="2131" w:type="dxa"/>
            <w:gridSpan w:val="2"/>
            <w:tcBorders>
              <w:top w:val="single" w:color="000000" w:sz="4" w:space="0"/>
              <w:left w:val="single" w:color="000000" w:sz="4" w:space="0"/>
              <w:bottom w:val="single" w:color="000000" w:sz="4" w:space="0"/>
              <w:right w:val="single" w:color="000000" w:sz="4" w:space="0"/>
            </w:tcBorders>
          </w:tcPr>
          <w:p>
            <w:pPr>
              <w:pStyle w:val="19"/>
              <w:spacing w:before="163"/>
              <w:ind w:left="545"/>
              <w:jc w:val="left"/>
              <w:rPr>
                <w:sz w:val="21"/>
              </w:rPr>
            </w:pPr>
            <w:r>
              <w:rPr>
                <w:sz w:val="21"/>
              </w:rPr>
              <w:t>主井锅炉房</w:t>
            </w:r>
          </w:p>
        </w:tc>
        <w:tc>
          <w:tcPr>
            <w:tcW w:w="6675" w:type="dxa"/>
            <w:tcBorders>
              <w:top w:val="single" w:color="000000" w:sz="4" w:space="0"/>
              <w:left w:val="single" w:color="000000" w:sz="4" w:space="0"/>
              <w:bottom w:val="single" w:color="000000" w:sz="4" w:space="0"/>
            </w:tcBorders>
          </w:tcPr>
          <w:p>
            <w:pPr>
              <w:pStyle w:val="19"/>
              <w:spacing w:line="269" w:lineRule="exact"/>
              <w:ind w:left="115" w:right="-29"/>
              <w:jc w:val="left"/>
              <w:rPr>
                <w:sz w:val="21"/>
              </w:rPr>
            </w:pPr>
            <w:r>
              <w:rPr>
                <w:spacing w:val="-5"/>
                <w:sz w:val="21"/>
              </w:rPr>
              <w:t xml:space="preserve">主井工业广场锅炉房设置 </w:t>
            </w:r>
            <w:r>
              <w:rPr>
                <w:rFonts w:ascii="Times New Roman" w:eastAsia="Times New Roman"/>
                <w:sz w:val="21"/>
              </w:rPr>
              <w:t>1</w:t>
            </w:r>
            <w:r>
              <w:rPr>
                <w:rFonts w:ascii="Times New Roman" w:eastAsia="Times New Roman"/>
                <w:spacing w:val="-4"/>
                <w:sz w:val="21"/>
              </w:rPr>
              <w:t xml:space="preserve"> </w:t>
            </w:r>
            <w:r>
              <w:rPr>
                <w:spacing w:val="-29"/>
                <w:sz w:val="21"/>
              </w:rPr>
              <w:t xml:space="preserve">台 </w:t>
            </w:r>
            <w:r>
              <w:rPr>
                <w:rFonts w:ascii="Times New Roman" w:eastAsia="Times New Roman"/>
                <w:sz w:val="21"/>
              </w:rPr>
              <w:t>1.4MW</w:t>
            </w:r>
            <w:r>
              <w:rPr>
                <w:rFonts w:ascii="Times New Roman" w:eastAsia="Times New Roman"/>
                <w:spacing w:val="-6"/>
                <w:sz w:val="21"/>
              </w:rPr>
              <w:t xml:space="preserve"> </w:t>
            </w:r>
            <w:r>
              <w:rPr>
                <w:spacing w:val="-8"/>
                <w:sz w:val="21"/>
              </w:rPr>
              <w:t>热水锅炉，冬季为井筒加热供热，</w:t>
            </w:r>
          </w:p>
          <w:p>
            <w:pPr>
              <w:pStyle w:val="19"/>
              <w:spacing w:before="57"/>
              <w:ind w:left="1764"/>
              <w:jc w:val="left"/>
              <w:rPr>
                <w:sz w:val="21"/>
              </w:rPr>
            </w:pPr>
            <w:r>
              <w:rPr>
                <w:sz w:val="21"/>
              </w:rPr>
              <w:t xml:space="preserve">配套布袋除尘器，烟囱高度 </w:t>
            </w:r>
            <w:r>
              <w:rPr>
                <w:rFonts w:ascii="Times New Roman" w:eastAsia="Times New Roman"/>
                <w:sz w:val="21"/>
              </w:rPr>
              <w:t>30m</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480" w:type="dxa"/>
            <w:vMerge w:val="continue"/>
            <w:tcBorders>
              <w:top w:val="nil"/>
              <w:bottom w:val="single" w:color="000000" w:sz="4" w:space="0"/>
              <w:right w:val="single" w:color="000000" w:sz="4" w:space="0"/>
            </w:tcBorders>
          </w:tcPr>
          <w:p>
            <w:pPr>
              <w:rPr>
                <w:sz w:val="2"/>
                <w:szCs w:val="2"/>
              </w:rPr>
            </w:pPr>
          </w:p>
        </w:tc>
        <w:tc>
          <w:tcPr>
            <w:tcW w:w="2131" w:type="dxa"/>
            <w:gridSpan w:val="2"/>
            <w:tcBorders>
              <w:top w:val="single" w:color="000000" w:sz="4" w:space="0"/>
              <w:left w:val="single" w:color="000000" w:sz="4" w:space="0"/>
              <w:bottom w:val="single" w:color="000000" w:sz="4" w:space="0"/>
              <w:right w:val="single" w:color="000000" w:sz="4" w:space="0"/>
            </w:tcBorders>
          </w:tcPr>
          <w:p>
            <w:pPr>
              <w:pStyle w:val="19"/>
              <w:spacing w:before="7"/>
              <w:jc w:val="left"/>
              <w:rPr>
                <w:b/>
                <w:sz w:val="25"/>
              </w:rPr>
            </w:pPr>
          </w:p>
          <w:p>
            <w:pPr>
              <w:pStyle w:val="19"/>
              <w:ind w:left="545"/>
              <w:jc w:val="left"/>
              <w:rPr>
                <w:sz w:val="21"/>
              </w:rPr>
            </w:pPr>
            <w:r>
              <w:rPr>
                <w:sz w:val="21"/>
              </w:rPr>
              <w:t>副井锅炉房</w:t>
            </w:r>
          </w:p>
        </w:tc>
        <w:tc>
          <w:tcPr>
            <w:tcW w:w="6675" w:type="dxa"/>
            <w:tcBorders>
              <w:top w:val="single" w:color="000000" w:sz="4" w:space="0"/>
              <w:left w:val="single" w:color="000000" w:sz="4" w:space="0"/>
              <w:bottom w:val="single" w:color="000000" w:sz="4" w:space="0"/>
            </w:tcBorders>
          </w:tcPr>
          <w:p>
            <w:pPr>
              <w:pStyle w:val="19"/>
              <w:spacing w:before="1"/>
              <w:ind w:left="113" w:firstLine="19"/>
              <w:jc w:val="left"/>
              <w:rPr>
                <w:sz w:val="21"/>
              </w:rPr>
            </w:pPr>
            <w:r>
              <w:rPr>
                <w:sz w:val="21"/>
              </w:rPr>
              <w:t xml:space="preserve">工业广场设置 </w:t>
            </w:r>
            <w:r>
              <w:rPr>
                <w:rFonts w:ascii="Times New Roman" w:eastAsia="Times New Roman"/>
                <w:sz w:val="21"/>
              </w:rPr>
              <w:t xml:space="preserve">1 </w:t>
            </w:r>
            <w:r>
              <w:rPr>
                <w:sz w:val="21"/>
              </w:rPr>
              <w:t xml:space="preserve">台 </w:t>
            </w:r>
            <w:r>
              <w:rPr>
                <w:rFonts w:ascii="Times New Roman" w:eastAsia="Times New Roman"/>
                <w:sz w:val="21"/>
              </w:rPr>
              <w:t xml:space="preserve">2.8MW </w:t>
            </w:r>
            <w:r>
              <w:rPr>
                <w:sz w:val="21"/>
              </w:rPr>
              <w:t>热水锅炉，为工业场地构筑物的采暖及员工</w:t>
            </w:r>
          </w:p>
          <w:p>
            <w:pPr>
              <w:pStyle w:val="19"/>
              <w:spacing w:before="7" w:line="320" w:lineRule="atLeast"/>
              <w:ind w:left="1975" w:right="88" w:hanging="1863"/>
              <w:jc w:val="left"/>
              <w:rPr>
                <w:sz w:val="21"/>
              </w:rPr>
            </w:pPr>
            <w:r>
              <w:rPr>
                <w:sz w:val="21"/>
              </w:rPr>
              <w:t>洗浴供热；</w:t>
            </w:r>
            <w:r>
              <w:rPr>
                <w:rFonts w:ascii="Times New Roman" w:eastAsia="Times New Roman"/>
                <w:sz w:val="21"/>
              </w:rPr>
              <w:t xml:space="preserve">1 </w:t>
            </w:r>
            <w:r>
              <w:rPr>
                <w:sz w:val="21"/>
              </w:rPr>
              <w:t xml:space="preserve">台热风炉，冬季用于井筒防冻，燃烧生物质燃料，烟囱高度为 </w:t>
            </w:r>
            <w:r>
              <w:rPr>
                <w:rFonts w:ascii="Times New Roman" w:eastAsia="Times New Roman"/>
                <w:sz w:val="21"/>
              </w:rPr>
              <w:t>30m</w:t>
            </w:r>
            <w:r>
              <w:rPr>
                <w:sz w:val="21"/>
              </w:rPr>
              <w:t>，配套布袋除尘器。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7" w:hRule="atLeast"/>
        </w:trPr>
        <w:tc>
          <w:tcPr>
            <w:tcW w:w="480" w:type="dxa"/>
            <w:vMerge w:val="restart"/>
            <w:tcBorders>
              <w:top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spacing w:before="12"/>
              <w:jc w:val="left"/>
              <w:rPr>
                <w:b/>
                <w:sz w:val="18"/>
              </w:rPr>
            </w:pPr>
          </w:p>
          <w:p>
            <w:pPr>
              <w:pStyle w:val="19"/>
              <w:spacing w:line="290" w:lineRule="auto"/>
              <w:ind w:left="134" w:right="119"/>
              <w:jc w:val="both"/>
              <w:rPr>
                <w:sz w:val="21"/>
              </w:rPr>
            </w:pPr>
            <w:r>
              <w:rPr>
                <w:sz w:val="21"/>
              </w:rPr>
              <w:t>储运工程</w:t>
            </w:r>
          </w:p>
        </w:tc>
        <w:tc>
          <w:tcPr>
            <w:tcW w:w="2131" w:type="dxa"/>
            <w:gridSpan w:val="2"/>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2"/>
              <w:jc w:val="left"/>
              <w:rPr>
                <w:b/>
                <w:sz w:val="18"/>
              </w:rPr>
            </w:pPr>
          </w:p>
          <w:p>
            <w:pPr>
              <w:pStyle w:val="19"/>
              <w:ind w:left="313" w:right="295"/>
              <w:rPr>
                <w:sz w:val="21"/>
              </w:rPr>
            </w:pPr>
            <w:r>
              <w:rPr>
                <w:sz w:val="21"/>
              </w:rPr>
              <w:t>道路</w:t>
            </w:r>
          </w:p>
        </w:tc>
        <w:tc>
          <w:tcPr>
            <w:tcW w:w="6675" w:type="dxa"/>
            <w:tcBorders>
              <w:top w:val="single" w:color="000000" w:sz="4" w:space="0"/>
              <w:left w:val="single" w:color="000000" w:sz="4" w:space="0"/>
              <w:bottom w:val="single" w:color="000000" w:sz="4" w:space="0"/>
            </w:tcBorders>
          </w:tcPr>
          <w:p>
            <w:pPr>
              <w:pStyle w:val="19"/>
              <w:spacing w:line="290" w:lineRule="auto"/>
              <w:ind w:left="113" w:right="35" w:firstLine="568"/>
              <w:jc w:val="both"/>
              <w:rPr>
                <w:sz w:val="21"/>
              </w:rPr>
            </w:pPr>
            <w:r>
              <w:rPr>
                <w:spacing w:val="-3"/>
                <w:sz w:val="21"/>
              </w:rPr>
              <w:t xml:space="preserve">目前本区交通运输以公路为主，双鸭山市区通往桦南县的 </w:t>
            </w:r>
            <w:r>
              <w:rPr>
                <w:rFonts w:ascii="Times New Roman" w:eastAsia="Times New Roman"/>
                <w:sz w:val="21"/>
              </w:rPr>
              <w:t xml:space="preserve">307 </w:t>
            </w:r>
            <w:r>
              <w:rPr>
                <w:sz w:val="21"/>
              </w:rPr>
              <w:t>省</w:t>
            </w:r>
            <w:r>
              <w:rPr>
                <w:spacing w:val="-8"/>
                <w:sz w:val="21"/>
              </w:rPr>
              <w:t xml:space="preserve">道在井口北侧 </w:t>
            </w:r>
            <w:r>
              <w:rPr>
                <w:rFonts w:ascii="Times New Roman" w:eastAsia="Times New Roman"/>
                <w:sz w:val="21"/>
              </w:rPr>
              <w:t xml:space="preserve">200m </w:t>
            </w:r>
            <w:r>
              <w:rPr>
                <w:spacing w:val="-5"/>
                <w:sz w:val="21"/>
              </w:rPr>
              <w:t xml:space="preserve">处经过。目前矿方已经将工业场地至 </w:t>
            </w:r>
            <w:r>
              <w:rPr>
                <w:rFonts w:ascii="Times New Roman" w:eastAsia="Times New Roman"/>
                <w:sz w:val="21"/>
              </w:rPr>
              <w:t xml:space="preserve">307 </w:t>
            </w:r>
            <w:r>
              <w:rPr>
                <w:sz w:val="21"/>
              </w:rPr>
              <w:t>省道的简</w:t>
            </w:r>
            <w:r>
              <w:rPr>
                <w:spacing w:val="-9"/>
                <w:sz w:val="21"/>
              </w:rPr>
              <w:t xml:space="preserve">易公路改造为 </w:t>
            </w:r>
            <w:r>
              <w:rPr>
                <w:rFonts w:ascii="Times New Roman" w:eastAsia="Times New Roman"/>
                <w:sz w:val="21"/>
              </w:rPr>
              <w:t xml:space="preserve">2 </w:t>
            </w:r>
            <w:r>
              <w:rPr>
                <w:sz w:val="21"/>
              </w:rPr>
              <w:t>级场外公路。综上所述，该矿外部公路系统基本完善，</w:t>
            </w:r>
          </w:p>
          <w:p>
            <w:pPr>
              <w:pStyle w:val="19"/>
              <w:spacing w:before="4"/>
              <w:ind w:left="37" w:right="17"/>
              <w:rPr>
                <w:sz w:val="21"/>
              </w:rPr>
            </w:pPr>
            <w:r>
              <w:rPr>
                <w:sz w:val="21"/>
              </w:rPr>
              <w:t>公路运输较为便利。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7" w:hRule="atLeast"/>
        </w:trPr>
        <w:tc>
          <w:tcPr>
            <w:tcW w:w="480" w:type="dxa"/>
            <w:vMerge w:val="continue"/>
            <w:tcBorders>
              <w:top w:val="nil"/>
              <w:bottom w:val="single" w:color="000000" w:sz="4" w:space="0"/>
              <w:right w:val="single" w:color="000000" w:sz="4" w:space="0"/>
            </w:tcBorders>
          </w:tcPr>
          <w:p>
            <w:pPr>
              <w:rPr>
                <w:sz w:val="2"/>
                <w:szCs w:val="2"/>
              </w:rPr>
            </w:pPr>
          </w:p>
        </w:tc>
        <w:tc>
          <w:tcPr>
            <w:tcW w:w="2131" w:type="dxa"/>
            <w:gridSpan w:val="2"/>
            <w:tcBorders>
              <w:top w:val="single" w:color="000000" w:sz="4" w:space="0"/>
              <w:left w:val="single" w:color="000000" w:sz="4" w:space="0"/>
              <w:bottom w:val="single" w:color="000000" w:sz="4" w:space="0"/>
              <w:right w:val="single" w:color="000000" w:sz="4" w:space="0"/>
            </w:tcBorders>
          </w:tcPr>
          <w:p>
            <w:pPr>
              <w:pStyle w:val="19"/>
              <w:spacing w:before="45"/>
              <w:ind w:left="313" w:right="298"/>
              <w:rPr>
                <w:sz w:val="21"/>
              </w:rPr>
            </w:pPr>
            <w:r>
              <w:rPr>
                <w:sz w:val="21"/>
              </w:rPr>
              <w:t>储煤场</w:t>
            </w:r>
          </w:p>
        </w:tc>
        <w:tc>
          <w:tcPr>
            <w:tcW w:w="6675" w:type="dxa"/>
            <w:tcBorders>
              <w:top w:val="single" w:color="000000" w:sz="4" w:space="0"/>
              <w:left w:val="single" w:color="000000" w:sz="4" w:space="0"/>
              <w:bottom w:val="single" w:color="000000" w:sz="4" w:space="0"/>
            </w:tcBorders>
          </w:tcPr>
          <w:p>
            <w:pPr>
              <w:pStyle w:val="19"/>
              <w:spacing w:before="45"/>
              <w:ind w:left="40" w:right="17"/>
              <w:rPr>
                <w:rFonts w:ascii="Times New Roman" w:eastAsia="Times New Roman"/>
                <w:sz w:val="13"/>
              </w:rPr>
            </w:pPr>
            <w:r>
              <w:rPr>
                <w:sz w:val="21"/>
              </w:rPr>
              <w:t xml:space="preserve">主井工业场地场设有储煤场 </w:t>
            </w:r>
            <w:r>
              <w:rPr>
                <w:rFonts w:ascii="Times New Roman" w:eastAsia="Times New Roman"/>
                <w:sz w:val="21"/>
              </w:rPr>
              <w:t>3600m</w:t>
            </w:r>
            <w:r>
              <w:rPr>
                <w:rFonts w:ascii="Times New Roman" w:eastAsia="Times New Roman"/>
                <w:position w:val="7"/>
                <w:sz w:val="13"/>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480" w:type="dxa"/>
            <w:vMerge w:val="continue"/>
            <w:tcBorders>
              <w:top w:val="nil"/>
              <w:bottom w:val="single" w:color="000000" w:sz="4" w:space="0"/>
              <w:right w:val="single" w:color="000000" w:sz="4" w:space="0"/>
            </w:tcBorders>
          </w:tcPr>
          <w:p>
            <w:pPr>
              <w:rPr>
                <w:sz w:val="2"/>
                <w:szCs w:val="2"/>
              </w:rPr>
            </w:pPr>
          </w:p>
        </w:tc>
        <w:tc>
          <w:tcPr>
            <w:tcW w:w="2131" w:type="dxa"/>
            <w:gridSpan w:val="2"/>
            <w:tcBorders>
              <w:top w:val="single" w:color="000000" w:sz="4" w:space="0"/>
              <w:left w:val="single" w:color="000000" w:sz="4" w:space="0"/>
              <w:bottom w:val="single" w:color="000000" w:sz="4" w:space="0"/>
              <w:right w:val="single" w:color="000000" w:sz="4" w:space="0"/>
            </w:tcBorders>
          </w:tcPr>
          <w:p>
            <w:pPr>
              <w:pStyle w:val="19"/>
              <w:spacing w:before="165"/>
              <w:ind w:left="230"/>
              <w:jc w:val="left"/>
              <w:rPr>
                <w:sz w:val="21"/>
              </w:rPr>
            </w:pPr>
            <w:r>
              <w:rPr>
                <w:sz w:val="21"/>
              </w:rPr>
              <w:t>矸石临时堆放场地</w:t>
            </w:r>
          </w:p>
        </w:tc>
        <w:tc>
          <w:tcPr>
            <w:tcW w:w="6675" w:type="dxa"/>
            <w:tcBorders>
              <w:top w:val="single" w:color="000000" w:sz="4" w:space="0"/>
              <w:left w:val="single" w:color="000000" w:sz="4" w:space="0"/>
              <w:bottom w:val="single" w:color="000000" w:sz="4" w:space="0"/>
            </w:tcBorders>
          </w:tcPr>
          <w:p>
            <w:pPr>
              <w:pStyle w:val="19"/>
              <w:spacing w:before="1"/>
              <w:ind w:left="39" w:right="17"/>
              <w:rPr>
                <w:sz w:val="21"/>
              </w:rPr>
            </w:pPr>
            <w:r>
              <w:rPr>
                <w:sz w:val="21"/>
              </w:rPr>
              <w:t xml:space="preserve">副井工业场地场区南部有矸石临时堆放场地，占地约 </w:t>
            </w:r>
            <w:r>
              <w:rPr>
                <w:rFonts w:ascii="Times New Roman" w:eastAsia="Times New Roman"/>
                <w:sz w:val="21"/>
              </w:rPr>
              <w:t>800m</w:t>
            </w:r>
            <w:r>
              <w:rPr>
                <w:rFonts w:ascii="Times New Roman" w:eastAsia="Times New Roman"/>
                <w:position w:val="7"/>
                <w:sz w:val="13"/>
              </w:rPr>
              <w:t>2</w:t>
            </w:r>
            <w:r>
              <w:rPr>
                <w:sz w:val="21"/>
              </w:rPr>
              <w:t>，矸石临时</w:t>
            </w:r>
          </w:p>
          <w:p>
            <w:pPr>
              <w:pStyle w:val="19"/>
              <w:spacing w:before="58"/>
              <w:ind w:left="37" w:right="17"/>
              <w:rPr>
                <w:sz w:val="21"/>
              </w:rPr>
            </w:pPr>
            <w:r>
              <w:rPr>
                <w:sz w:val="21"/>
              </w:rPr>
              <w:t>堆放场地周围设置拦矸坝和截流沟。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0" w:hRule="atLeast"/>
        </w:trPr>
        <w:tc>
          <w:tcPr>
            <w:tcW w:w="480" w:type="dxa"/>
            <w:vMerge w:val="continue"/>
            <w:tcBorders>
              <w:top w:val="nil"/>
              <w:bottom w:val="single" w:color="000000" w:sz="4" w:space="0"/>
              <w:right w:val="single" w:color="000000" w:sz="4" w:space="0"/>
            </w:tcBorders>
          </w:tcPr>
          <w:p>
            <w:pPr>
              <w:rPr>
                <w:sz w:val="2"/>
                <w:szCs w:val="2"/>
              </w:rPr>
            </w:pPr>
          </w:p>
        </w:tc>
        <w:tc>
          <w:tcPr>
            <w:tcW w:w="2131" w:type="dxa"/>
            <w:gridSpan w:val="2"/>
            <w:tcBorders>
              <w:top w:val="single" w:color="000000" w:sz="4" w:space="0"/>
              <w:left w:val="single" w:color="000000" w:sz="4" w:space="0"/>
              <w:bottom w:val="single" w:color="000000" w:sz="4" w:space="0"/>
              <w:right w:val="single" w:color="000000" w:sz="4" w:space="0"/>
            </w:tcBorders>
          </w:tcPr>
          <w:p>
            <w:pPr>
              <w:pStyle w:val="19"/>
              <w:spacing w:before="40"/>
              <w:ind w:left="545"/>
              <w:jc w:val="left"/>
              <w:rPr>
                <w:sz w:val="21"/>
              </w:rPr>
            </w:pPr>
            <w:r>
              <w:rPr>
                <w:sz w:val="21"/>
              </w:rPr>
              <w:t>危废暂存间</w:t>
            </w:r>
          </w:p>
        </w:tc>
        <w:tc>
          <w:tcPr>
            <w:tcW w:w="6675" w:type="dxa"/>
            <w:tcBorders>
              <w:top w:val="single" w:color="000000" w:sz="4" w:space="0"/>
              <w:left w:val="single" w:color="000000" w:sz="4" w:space="0"/>
              <w:bottom w:val="single" w:color="000000" w:sz="4" w:space="0"/>
            </w:tcBorders>
          </w:tcPr>
          <w:p>
            <w:pPr>
              <w:pStyle w:val="19"/>
              <w:spacing w:before="40"/>
              <w:ind w:left="39" w:right="17"/>
              <w:rPr>
                <w:sz w:val="21"/>
              </w:rPr>
            </w:pPr>
            <w:r>
              <w:rPr>
                <w:sz w:val="21"/>
              </w:rPr>
              <w:t xml:space="preserve">用于存放机修间维修产生的废机油，建筑面积约 </w:t>
            </w:r>
            <w:r>
              <w:rPr>
                <w:rFonts w:ascii="Times New Roman" w:eastAsia="Times New Roman"/>
                <w:sz w:val="21"/>
              </w:rPr>
              <w:t>10m</w:t>
            </w:r>
            <w:r>
              <w:rPr>
                <w:rFonts w:ascii="Times New Roman" w:eastAsia="Times New Roman"/>
                <w:position w:val="7"/>
                <w:sz w:val="13"/>
              </w:rPr>
              <w:t>2</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0" w:hRule="atLeast"/>
        </w:trPr>
        <w:tc>
          <w:tcPr>
            <w:tcW w:w="480" w:type="dxa"/>
            <w:tcBorders>
              <w:top w:val="single" w:color="000000" w:sz="4" w:space="0"/>
              <w:right w:val="single" w:color="000000" w:sz="4" w:space="0"/>
            </w:tcBorders>
          </w:tcPr>
          <w:p>
            <w:pPr>
              <w:pStyle w:val="19"/>
              <w:spacing w:before="163"/>
              <w:ind w:left="134"/>
              <w:jc w:val="left"/>
              <w:rPr>
                <w:sz w:val="21"/>
              </w:rPr>
            </w:pPr>
            <w:r>
              <w:rPr>
                <w:w w:val="99"/>
                <w:sz w:val="21"/>
              </w:rPr>
              <w:t>公</w:t>
            </w:r>
          </w:p>
        </w:tc>
        <w:tc>
          <w:tcPr>
            <w:tcW w:w="2131" w:type="dxa"/>
            <w:gridSpan w:val="2"/>
            <w:tcBorders>
              <w:top w:val="single" w:color="000000" w:sz="4" w:space="0"/>
              <w:left w:val="single" w:color="000000" w:sz="4" w:space="0"/>
              <w:right w:val="single" w:color="000000" w:sz="4" w:space="0"/>
            </w:tcBorders>
          </w:tcPr>
          <w:p>
            <w:pPr>
              <w:pStyle w:val="19"/>
              <w:spacing w:before="163"/>
              <w:ind w:left="313" w:right="298"/>
              <w:rPr>
                <w:sz w:val="21"/>
              </w:rPr>
            </w:pPr>
            <w:r>
              <w:rPr>
                <w:sz w:val="21"/>
              </w:rPr>
              <w:t>供电</w:t>
            </w:r>
          </w:p>
        </w:tc>
        <w:tc>
          <w:tcPr>
            <w:tcW w:w="6675" w:type="dxa"/>
            <w:tcBorders>
              <w:top w:val="single" w:color="000000" w:sz="4" w:space="0"/>
              <w:left w:val="single" w:color="000000" w:sz="4" w:space="0"/>
            </w:tcBorders>
          </w:tcPr>
          <w:p>
            <w:pPr>
              <w:pStyle w:val="19"/>
              <w:ind w:left="16" w:right="17"/>
              <w:rPr>
                <w:sz w:val="21"/>
              </w:rPr>
            </w:pPr>
            <w:r>
              <w:rPr>
                <w:sz w:val="21"/>
              </w:rPr>
              <w:t>盟度公司现有两回电源供电， 一回引自双桦变电所， 另一回引自</w:t>
            </w:r>
          </w:p>
          <w:p>
            <w:pPr>
              <w:pStyle w:val="19"/>
              <w:spacing w:before="57"/>
              <w:ind w:left="27" w:right="17"/>
              <w:rPr>
                <w:rFonts w:ascii="Times New Roman" w:eastAsia="Times New Roman"/>
                <w:sz w:val="21"/>
              </w:rPr>
            </w:pPr>
            <w:r>
              <w:rPr>
                <w:sz w:val="21"/>
              </w:rPr>
              <w:t xml:space="preserve">农电变电所， 电压等级均为 </w:t>
            </w:r>
            <w:r>
              <w:rPr>
                <w:rFonts w:ascii="Times New Roman" w:eastAsia="Times New Roman"/>
                <w:sz w:val="21"/>
              </w:rPr>
              <w:t>10kV</w:t>
            </w:r>
          </w:p>
        </w:tc>
      </w:tr>
    </w:tbl>
    <w:p>
      <w:pPr>
        <w:spacing w:after="0"/>
        <w:rPr>
          <w:rFonts w:ascii="Times New Roman" w:eastAsia="Times New Roman"/>
          <w:sz w:val="21"/>
        </w:rPr>
        <w:sectPr>
          <w:pgSz w:w="11910" w:h="16840"/>
          <w:pgMar w:top="1340" w:right="1160" w:bottom="1180" w:left="1200" w:header="0" w:footer="993" w:gutter="0"/>
        </w:sectPr>
      </w:pP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0"/>
        <w:gridCol w:w="2131"/>
        <w:gridCol w:w="66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0" w:hRule="atLeast"/>
        </w:trPr>
        <w:tc>
          <w:tcPr>
            <w:tcW w:w="480" w:type="dxa"/>
            <w:vMerge w:val="restart"/>
            <w:tcBorders>
              <w:bottom w:val="single" w:color="000000" w:sz="4" w:space="0"/>
              <w:right w:val="single" w:color="000000" w:sz="4" w:space="0"/>
            </w:tcBorders>
          </w:tcPr>
          <w:p>
            <w:pPr>
              <w:pStyle w:val="19"/>
              <w:spacing w:line="292" w:lineRule="auto"/>
              <w:ind w:left="134" w:right="119"/>
              <w:jc w:val="both"/>
              <w:rPr>
                <w:sz w:val="21"/>
              </w:rPr>
            </w:pPr>
            <w:r>
              <w:rPr>
                <w:sz w:val="21"/>
              </w:rPr>
              <w:t>用工程</w:t>
            </w:r>
          </w:p>
        </w:tc>
        <w:tc>
          <w:tcPr>
            <w:tcW w:w="2131" w:type="dxa"/>
            <w:tcBorders>
              <w:left w:val="single" w:color="000000" w:sz="4" w:space="0"/>
              <w:bottom w:val="single" w:color="000000" w:sz="4" w:space="0"/>
              <w:right w:val="single" w:color="000000" w:sz="4" w:space="0"/>
            </w:tcBorders>
          </w:tcPr>
          <w:p>
            <w:pPr>
              <w:pStyle w:val="19"/>
              <w:spacing w:before="172"/>
              <w:ind w:left="313" w:right="296"/>
              <w:rPr>
                <w:sz w:val="21"/>
              </w:rPr>
            </w:pPr>
            <w:r>
              <w:rPr>
                <w:sz w:val="21"/>
              </w:rPr>
              <w:t>供水水源</w:t>
            </w:r>
          </w:p>
        </w:tc>
        <w:tc>
          <w:tcPr>
            <w:tcW w:w="6675" w:type="dxa"/>
            <w:tcBorders>
              <w:left w:val="single" w:color="000000" w:sz="4" w:space="0"/>
              <w:bottom w:val="single" w:color="000000" w:sz="4" w:space="0"/>
            </w:tcBorders>
          </w:tcPr>
          <w:p>
            <w:pPr>
              <w:pStyle w:val="19"/>
              <w:spacing w:before="172"/>
              <w:ind w:left="20" w:right="17"/>
              <w:rPr>
                <w:sz w:val="21"/>
              </w:rPr>
            </w:pPr>
            <w:r>
              <w:rPr>
                <w:sz w:val="21"/>
              </w:rPr>
              <w:t>生活用水由原有水源井供给。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480" w:type="dxa"/>
            <w:vMerge w:val="continue"/>
            <w:tcBorders>
              <w:top w:val="nil"/>
              <w:bottom w:val="single" w:color="000000" w:sz="4" w:space="0"/>
              <w:right w:val="single" w:color="000000" w:sz="4" w:space="0"/>
            </w:tcBorders>
          </w:tcPr>
          <w:p>
            <w:pPr>
              <w:rPr>
                <w:sz w:val="2"/>
                <w:szCs w:val="2"/>
              </w:rPr>
            </w:pPr>
          </w:p>
        </w:tc>
        <w:tc>
          <w:tcPr>
            <w:tcW w:w="2131" w:type="dxa"/>
            <w:tcBorders>
              <w:top w:val="single" w:color="000000" w:sz="4" w:space="0"/>
              <w:left w:val="single" w:color="000000" w:sz="4" w:space="0"/>
              <w:bottom w:val="single" w:color="000000" w:sz="4" w:space="0"/>
              <w:right w:val="single" w:color="000000" w:sz="4" w:space="0"/>
            </w:tcBorders>
          </w:tcPr>
          <w:p>
            <w:pPr>
              <w:pStyle w:val="19"/>
              <w:spacing w:before="1"/>
              <w:ind w:left="313" w:right="298"/>
              <w:rPr>
                <w:sz w:val="21"/>
              </w:rPr>
            </w:pPr>
            <w:r>
              <w:rPr>
                <w:sz w:val="21"/>
              </w:rPr>
              <w:t>通讯</w:t>
            </w:r>
          </w:p>
        </w:tc>
        <w:tc>
          <w:tcPr>
            <w:tcW w:w="6675" w:type="dxa"/>
            <w:tcBorders>
              <w:top w:val="single" w:color="000000" w:sz="4" w:space="0"/>
              <w:left w:val="single" w:color="000000" w:sz="4" w:space="0"/>
              <w:bottom w:val="single" w:color="000000" w:sz="4" w:space="0"/>
            </w:tcBorders>
          </w:tcPr>
          <w:p>
            <w:pPr>
              <w:pStyle w:val="19"/>
              <w:spacing w:before="1"/>
              <w:ind w:left="37" w:right="17"/>
              <w:rPr>
                <w:sz w:val="21"/>
              </w:rPr>
            </w:pPr>
            <w:r>
              <w:rPr>
                <w:sz w:val="21"/>
              </w:rPr>
              <w:t>通讯网可以覆盖矿区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2" w:hRule="atLeast"/>
        </w:trPr>
        <w:tc>
          <w:tcPr>
            <w:tcW w:w="480" w:type="dxa"/>
            <w:vMerge w:val="continue"/>
            <w:tcBorders>
              <w:top w:val="nil"/>
              <w:bottom w:val="single" w:color="000000" w:sz="4" w:space="0"/>
              <w:right w:val="single" w:color="000000" w:sz="4" w:space="0"/>
            </w:tcBorders>
          </w:tcPr>
          <w:p>
            <w:pPr>
              <w:rPr>
                <w:sz w:val="2"/>
                <w:szCs w:val="2"/>
              </w:rPr>
            </w:pPr>
          </w:p>
        </w:tc>
        <w:tc>
          <w:tcPr>
            <w:tcW w:w="2131" w:type="dxa"/>
            <w:tcBorders>
              <w:top w:val="single" w:color="000000" w:sz="4" w:space="0"/>
              <w:left w:val="single" w:color="000000" w:sz="4" w:space="0"/>
              <w:bottom w:val="single" w:color="000000" w:sz="4" w:space="0"/>
              <w:right w:val="single" w:color="000000" w:sz="4" w:space="0"/>
            </w:tcBorders>
          </w:tcPr>
          <w:p>
            <w:pPr>
              <w:pStyle w:val="19"/>
              <w:spacing w:before="26"/>
              <w:ind w:left="313" w:right="298"/>
              <w:rPr>
                <w:sz w:val="21"/>
              </w:rPr>
            </w:pPr>
            <w:r>
              <w:rPr>
                <w:sz w:val="21"/>
              </w:rPr>
              <w:t>行政与公共设施</w:t>
            </w:r>
          </w:p>
        </w:tc>
        <w:tc>
          <w:tcPr>
            <w:tcW w:w="6675" w:type="dxa"/>
            <w:tcBorders>
              <w:top w:val="single" w:color="000000" w:sz="4" w:space="0"/>
              <w:left w:val="single" w:color="000000" w:sz="4" w:space="0"/>
              <w:bottom w:val="single" w:color="000000" w:sz="4" w:space="0"/>
            </w:tcBorders>
          </w:tcPr>
          <w:p>
            <w:pPr>
              <w:pStyle w:val="19"/>
              <w:spacing w:before="26"/>
              <w:ind w:left="37" w:right="17"/>
              <w:rPr>
                <w:sz w:val="21"/>
              </w:rPr>
            </w:pPr>
            <w:r>
              <w:rPr>
                <w:sz w:val="21"/>
              </w:rPr>
              <w:t>综合办公室、更衣室等场区设施等。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1" w:hRule="atLeast"/>
        </w:trPr>
        <w:tc>
          <w:tcPr>
            <w:tcW w:w="480" w:type="dxa"/>
            <w:vMerge w:val="continue"/>
            <w:tcBorders>
              <w:top w:val="nil"/>
              <w:bottom w:val="single" w:color="000000" w:sz="4" w:space="0"/>
              <w:right w:val="single" w:color="000000" w:sz="4" w:space="0"/>
            </w:tcBorders>
          </w:tcPr>
          <w:p>
            <w:pPr>
              <w:rPr>
                <w:sz w:val="2"/>
                <w:szCs w:val="2"/>
              </w:rPr>
            </w:pPr>
          </w:p>
        </w:tc>
        <w:tc>
          <w:tcPr>
            <w:tcW w:w="2131" w:type="dxa"/>
            <w:tcBorders>
              <w:top w:val="single" w:color="000000" w:sz="4" w:space="0"/>
              <w:left w:val="single" w:color="000000" w:sz="4" w:space="0"/>
              <w:bottom w:val="single" w:color="000000" w:sz="4" w:space="0"/>
              <w:right w:val="single" w:color="000000" w:sz="4" w:space="0"/>
            </w:tcBorders>
          </w:tcPr>
          <w:p>
            <w:pPr>
              <w:pStyle w:val="19"/>
              <w:spacing w:before="28"/>
              <w:ind w:left="313" w:right="298"/>
              <w:rPr>
                <w:sz w:val="21"/>
              </w:rPr>
            </w:pPr>
            <w:r>
              <w:rPr>
                <w:sz w:val="21"/>
              </w:rPr>
              <w:t>浴室</w:t>
            </w:r>
          </w:p>
        </w:tc>
        <w:tc>
          <w:tcPr>
            <w:tcW w:w="6675" w:type="dxa"/>
            <w:tcBorders>
              <w:top w:val="single" w:color="000000" w:sz="4" w:space="0"/>
              <w:left w:val="single" w:color="000000" w:sz="4" w:space="0"/>
              <w:bottom w:val="single" w:color="000000" w:sz="4" w:space="0"/>
            </w:tcBorders>
          </w:tcPr>
          <w:p>
            <w:pPr>
              <w:pStyle w:val="19"/>
              <w:spacing w:before="28"/>
              <w:ind w:left="39" w:right="17"/>
              <w:rPr>
                <w:sz w:val="21"/>
              </w:rPr>
            </w:pPr>
            <w:r>
              <w:rPr>
                <w:sz w:val="21"/>
              </w:rPr>
              <w:t xml:space="preserve">浴室建筑面积约 </w:t>
            </w:r>
            <w:r>
              <w:rPr>
                <w:rFonts w:ascii="Times New Roman" w:eastAsia="Times New Roman"/>
                <w:sz w:val="21"/>
              </w:rPr>
              <w:t>324m</w:t>
            </w:r>
            <w:r>
              <w:rPr>
                <w:rFonts w:ascii="Times New Roman" w:eastAsia="Times New Roman"/>
                <w:position w:val="7"/>
                <w:sz w:val="13"/>
              </w:rPr>
              <w:t>2</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2" w:hRule="atLeast"/>
        </w:trPr>
        <w:tc>
          <w:tcPr>
            <w:tcW w:w="480" w:type="dxa"/>
            <w:vMerge w:val="continue"/>
            <w:tcBorders>
              <w:top w:val="nil"/>
              <w:bottom w:val="single" w:color="000000" w:sz="4" w:space="0"/>
              <w:right w:val="single" w:color="000000" w:sz="4" w:space="0"/>
            </w:tcBorders>
          </w:tcPr>
          <w:p>
            <w:pPr>
              <w:rPr>
                <w:sz w:val="2"/>
                <w:szCs w:val="2"/>
              </w:rPr>
            </w:pPr>
          </w:p>
        </w:tc>
        <w:tc>
          <w:tcPr>
            <w:tcW w:w="2131" w:type="dxa"/>
            <w:tcBorders>
              <w:top w:val="single" w:color="000000" w:sz="4" w:space="0"/>
              <w:left w:val="single" w:color="000000" w:sz="4" w:space="0"/>
              <w:bottom w:val="single" w:color="000000" w:sz="4" w:space="0"/>
              <w:right w:val="single" w:color="000000" w:sz="4" w:space="0"/>
            </w:tcBorders>
          </w:tcPr>
          <w:p>
            <w:pPr>
              <w:pStyle w:val="19"/>
              <w:spacing w:before="27"/>
              <w:ind w:left="313" w:right="298"/>
              <w:rPr>
                <w:sz w:val="21"/>
              </w:rPr>
            </w:pPr>
            <w:r>
              <w:rPr>
                <w:sz w:val="21"/>
              </w:rPr>
              <w:t>食堂</w:t>
            </w:r>
          </w:p>
        </w:tc>
        <w:tc>
          <w:tcPr>
            <w:tcW w:w="6675" w:type="dxa"/>
            <w:tcBorders>
              <w:top w:val="single" w:color="000000" w:sz="4" w:space="0"/>
              <w:left w:val="single" w:color="000000" w:sz="4" w:space="0"/>
              <w:bottom w:val="single" w:color="000000" w:sz="4" w:space="0"/>
            </w:tcBorders>
          </w:tcPr>
          <w:p>
            <w:pPr>
              <w:pStyle w:val="19"/>
              <w:spacing w:before="27"/>
              <w:ind w:left="42" w:right="17"/>
              <w:rPr>
                <w:sz w:val="21"/>
              </w:rPr>
            </w:pPr>
            <w:r>
              <w:rPr>
                <w:sz w:val="21"/>
              </w:rPr>
              <w:t xml:space="preserve">建筑面积约 </w:t>
            </w:r>
            <w:r>
              <w:rPr>
                <w:rFonts w:ascii="Times New Roman" w:eastAsia="Times New Roman"/>
                <w:sz w:val="21"/>
              </w:rPr>
              <w:t>468.1m</w:t>
            </w:r>
            <w:r>
              <w:rPr>
                <w:rFonts w:ascii="Times New Roman" w:eastAsia="Times New Roman"/>
                <w:position w:val="7"/>
                <w:sz w:val="13"/>
              </w:rPr>
              <w:t>2</w:t>
            </w:r>
            <w:r>
              <w:rPr>
                <w:sz w:val="21"/>
              </w:rPr>
              <w:t>。位于宿舍楼一楼左侧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9" w:hRule="atLeast"/>
        </w:trPr>
        <w:tc>
          <w:tcPr>
            <w:tcW w:w="480" w:type="dxa"/>
            <w:vMerge w:val="restart"/>
            <w:tcBorders>
              <w:top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163" w:line="292" w:lineRule="auto"/>
              <w:ind w:left="134" w:right="119"/>
              <w:jc w:val="both"/>
              <w:rPr>
                <w:sz w:val="21"/>
              </w:rPr>
            </w:pPr>
            <w:r>
              <w:rPr>
                <w:sz w:val="21"/>
              </w:rPr>
              <w:t>环保工程</w:t>
            </w:r>
          </w:p>
        </w:tc>
        <w:tc>
          <w:tcPr>
            <w:tcW w:w="2131"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spacing w:before="140"/>
              <w:ind w:left="313" w:right="296"/>
              <w:rPr>
                <w:sz w:val="21"/>
              </w:rPr>
            </w:pPr>
            <w:r>
              <w:rPr>
                <w:sz w:val="21"/>
              </w:rPr>
              <w:t>大气工程</w:t>
            </w:r>
          </w:p>
        </w:tc>
        <w:tc>
          <w:tcPr>
            <w:tcW w:w="6675" w:type="dxa"/>
            <w:tcBorders>
              <w:top w:val="single" w:color="000000" w:sz="4" w:space="0"/>
              <w:left w:val="single" w:color="000000" w:sz="4" w:space="0"/>
              <w:bottom w:val="single" w:color="000000" w:sz="4" w:space="0"/>
            </w:tcBorders>
          </w:tcPr>
          <w:p>
            <w:pPr>
              <w:pStyle w:val="19"/>
              <w:spacing w:line="290" w:lineRule="auto"/>
              <w:ind w:left="139" w:right="115"/>
              <w:rPr>
                <w:sz w:val="21"/>
              </w:rPr>
            </w:pPr>
            <w:r>
              <w:rPr>
                <w:w w:val="95"/>
                <w:sz w:val="21"/>
              </w:rPr>
              <w:t>主井工业广场锅炉房设置</w:t>
            </w:r>
            <w:r>
              <w:rPr>
                <w:rFonts w:ascii="Times New Roman" w:eastAsia="Times New Roman"/>
                <w:w w:val="95"/>
                <w:sz w:val="21"/>
              </w:rPr>
              <w:t>1</w:t>
            </w:r>
            <w:r>
              <w:rPr>
                <w:w w:val="95"/>
                <w:sz w:val="21"/>
              </w:rPr>
              <w:t xml:space="preserve">台热风炉，冬季为井筒加热供热，配套布袋  </w:t>
            </w:r>
            <w:r>
              <w:rPr>
                <w:sz w:val="21"/>
              </w:rPr>
              <w:t>除尘器，烟囱高度</w:t>
            </w:r>
            <w:r>
              <w:rPr>
                <w:rFonts w:ascii="Times New Roman" w:eastAsia="Times New Roman"/>
                <w:sz w:val="21"/>
              </w:rPr>
              <w:t>30m</w:t>
            </w:r>
            <w:r>
              <w:rPr>
                <w:sz w:val="21"/>
              </w:rPr>
              <w:t>。</w:t>
            </w:r>
          </w:p>
          <w:p>
            <w:pPr>
              <w:pStyle w:val="19"/>
              <w:spacing w:before="1" w:line="290" w:lineRule="auto"/>
              <w:ind w:left="132" w:right="105"/>
              <w:rPr>
                <w:sz w:val="21"/>
              </w:rPr>
            </w:pPr>
            <w:r>
              <w:rPr>
                <w:w w:val="95"/>
                <w:sz w:val="21"/>
              </w:rPr>
              <w:t>副井工业广场设置</w:t>
            </w:r>
            <w:r>
              <w:rPr>
                <w:rFonts w:ascii="Times New Roman" w:eastAsia="Times New Roman"/>
                <w:w w:val="95"/>
                <w:sz w:val="21"/>
              </w:rPr>
              <w:t>1</w:t>
            </w:r>
            <w:r>
              <w:rPr>
                <w:w w:val="95"/>
                <w:sz w:val="21"/>
              </w:rPr>
              <w:t>台</w:t>
            </w:r>
            <w:r>
              <w:rPr>
                <w:rFonts w:ascii="Times New Roman" w:eastAsia="Times New Roman"/>
                <w:w w:val="95"/>
                <w:sz w:val="21"/>
              </w:rPr>
              <w:t>1.4MW</w:t>
            </w:r>
            <w:r>
              <w:rPr>
                <w:w w:val="95"/>
                <w:sz w:val="21"/>
              </w:rPr>
              <w:t>热水锅炉，为工业场地构筑物的采暖及员  工洗浴供热，</w:t>
            </w:r>
            <w:r>
              <w:rPr>
                <w:rFonts w:ascii="Times New Roman" w:eastAsia="Times New Roman"/>
                <w:w w:val="95"/>
                <w:sz w:val="21"/>
              </w:rPr>
              <w:t>1</w:t>
            </w:r>
            <w:r>
              <w:rPr>
                <w:w w:val="95"/>
                <w:sz w:val="21"/>
              </w:rPr>
              <w:t>台热风炉，冬季用于井筒防冻；燃烧生物质燃料，烟囱</w:t>
            </w:r>
          </w:p>
          <w:p>
            <w:pPr>
              <w:pStyle w:val="19"/>
              <w:spacing w:before="4"/>
              <w:ind w:left="41" w:right="17"/>
              <w:rPr>
                <w:sz w:val="21"/>
              </w:rPr>
            </w:pPr>
            <w:r>
              <w:rPr>
                <w:sz w:val="21"/>
              </w:rPr>
              <w:t>高度为</w:t>
            </w:r>
            <w:r>
              <w:rPr>
                <w:rFonts w:ascii="Times New Roman" w:eastAsia="Times New Roman"/>
                <w:sz w:val="21"/>
              </w:rPr>
              <w:t>30m</w:t>
            </w:r>
            <w:r>
              <w:rPr>
                <w:sz w:val="21"/>
              </w:rPr>
              <w:t>，配套布袋除尘器。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7" w:hRule="atLeast"/>
        </w:trPr>
        <w:tc>
          <w:tcPr>
            <w:tcW w:w="480" w:type="dxa"/>
            <w:vMerge w:val="continue"/>
            <w:tcBorders>
              <w:top w:val="nil"/>
              <w:right w:val="single" w:color="000000" w:sz="4" w:space="0"/>
            </w:tcBorders>
          </w:tcPr>
          <w:p>
            <w:pPr>
              <w:rPr>
                <w:sz w:val="2"/>
                <w:szCs w:val="2"/>
              </w:rPr>
            </w:pPr>
          </w:p>
        </w:tc>
        <w:tc>
          <w:tcPr>
            <w:tcW w:w="2131"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16"/>
              </w:rPr>
            </w:pPr>
          </w:p>
          <w:p>
            <w:pPr>
              <w:pStyle w:val="19"/>
              <w:ind w:left="313" w:right="296"/>
              <w:rPr>
                <w:sz w:val="21"/>
              </w:rPr>
            </w:pPr>
            <w:r>
              <w:rPr>
                <w:sz w:val="21"/>
              </w:rPr>
              <w:t>废水工程</w:t>
            </w:r>
          </w:p>
        </w:tc>
        <w:tc>
          <w:tcPr>
            <w:tcW w:w="6675" w:type="dxa"/>
            <w:tcBorders>
              <w:top w:val="single" w:color="000000" w:sz="4" w:space="0"/>
              <w:left w:val="single" w:color="000000" w:sz="4" w:space="0"/>
              <w:bottom w:val="single" w:color="000000" w:sz="4" w:space="0"/>
            </w:tcBorders>
          </w:tcPr>
          <w:p>
            <w:pPr>
              <w:pStyle w:val="19"/>
              <w:numPr>
                <w:ilvl w:val="0"/>
                <w:numId w:val="29"/>
              </w:numPr>
              <w:tabs>
                <w:tab w:val="left" w:pos="679"/>
              </w:tabs>
              <w:spacing w:before="0" w:after="0" w:line="290" w:lineRule="auto"/>
              <w:ind w:left="151" w:right="127" w:firstLine="0"/>
              <w:jc w:val="left"/>
              <w:rPr>
                <w:sz w:val="21"/>
              </w:rPr>
            </w:pPr>
            <w:r>
              <w:rPr>
                <w:spacing w:val="-8"/>
                <w:sz w:val="21"/>
              </w:rPr>
              <w:t xml:space="preserve">新建处理能力为 </w:t>
            </w:r>
            <w:r>
              <w:rPr>
                <w:rFonts w:ascii="Times New Roman" w:eastAsia="Times New Roman"/>
                <w:sz w:val="21"/>
              </w:rPr>
              <w:t>200m</w:t>
            </w:r>
            <w:r>
              <w:rPr>
                <w:rFonts w:ascii="Times New Roman" w:eastAsia="Times New Roman"/>
                <w:position w:val="7"/>
                <w:sz w:val="13"/>
              </w:rPr>
              <w:t>3</w:t>
            </w:r>
            <w:r>
              <w:rPr>
                <w:rFonts w:ascii="Times New Roman" w:eastAsia="Times New Roman"/>
                <w:sz w:val="21"/>
              </w:rPr>
              <w:t>/d</w:t>
            </w:r>
            <w:r>
              <w:rPr>
                <w:rFonts w:ascii="Times New Roman" w:eastAsia="Times New Roman"/>
                <w:spacing w:val="-5"/>
                <w:sz w:val="21"/>
              </w:rPr>
              <w:t xml:space="preserve"> </w:t>
            </w:r>
            <w:r>
              <w:rPr>
                <w:sz w:val="21"/>
              </w:rPr>
              <w:t>的矿井水处理站，处理后的采煤废水部分回用，剩余部分外排至安邦河；</w:t>
            </w:r>
          </w:p>
          <w:p>
            <w:pPr>
              <w:pStyle w:val="19"/>
              <w:numPr>
                <w:ilvl w:val="0"/>
                <w:numId w:val="29"/>
              </w:numPr>
              <w:tabs>
                <w:tab w:val="left" w:pos="638"/>
              </w:tabs>
              <w:spacing w:before="0" w:after="0" w:line="290" w:lineRule="auto"/>
              <w:ind w:left="113" w:right="88" w:firstLine="0"/>
              <w:jc w:val="left"/>
              <w:rPr>
                <w:sz w:val="21"/>
              </w:rPr>
            </w:pPr>
            <w:r>
              <w:rPr>
                <w:spacing w:val="-8"/>
                <w:sz w:val="21"/>
              </w:rPr>
              <w:t xml:space="preserve">新建处理能力为 </w:t>
            </w:r>
            <w:r>
              <w:rPr>
                <w:rFonts w:ascii="Times New Roman" w:eastAsia="Times New Roman"/>
                <w:sz w:val="21"/>
              </w:rPr>
              <w:t>1600m</w:t>
            </w:r>
            <w:r>
              <w:rPr>
                <w:rFonts w:ascii="Times New Roman" w:eastAsia="Times New Roman"/>
                <w:position w:val="7"/>
                <w:sz w:val="13"/>
              </w:rPr>
              <w:t>3</w:t>
            </w:r>
            <w:r>
              <w:rPr>
                <w:rFonts w:ascii="Times New Roman" w:eastAsia="Times New Roman"/>
                <w:sz w:val="21"/>
              </w:rPr>
              <w:t>/d</w:t>
            </w:r>
            <w:r>
              <w:rPr>
                <w:rFonts w:ascii="Times New Roman" w:eastAsia="Times New Roman"/>
                <w:spacing w:val="-7"/>
                <w:sz w:val="21"/>
              </w:rPr>
              <w:t xml:space="preserve"> </w:t>
            </w:r>
            <w:r>
              <w:rPr>
                <w:spacing w:val="-2"/>
                <w:sz w:val="21"/>
              </w:rPr>
              <w:t>的生活污水处理站，生活污水处理达标后全部回用；</w:t>
            </w:r>
          </w:p>
          <w:p>
            <w:pPr>
              <w:pStyle w:val="19"/>
              <w:numPr>
                <w:ilvl w:val="0"/>
                <w:numId w:val="29"/>
              </w:numPr>
              <w:tabs>
                <w:tab w:val="left" w:pos="664"/>
              </w:tabs>
              <w:spacing w:before="0" w:after="0" w:line="290" w:lineRule="auto"/>
              <w:ind w:left="113" w:right="88" w:hanging="1"/>
              <w:jc w:val="left"/>
              <w:rPr>
                <w:sz w:val="21"/>
              </w:rPr>
            </w:pPr>
            <w:r>
              <w:rPr>
                <w:sz w:val="21"/>
              </w:rPr>
              <w:t>在工业场区四周布设截洪沟，收集场区内初期雨水，雨水重力自</w:t>
            </w:r>
            <w:r>
              <w:rPr>
                <w:spacing w:val="-5"/>
                <w:w w:val="95"/>
                <w:sz w:val="21"/>
              </w:rPr>
              <w:t>流至集水池中沉淀，再通过管线排至生活污水处理站处理后外排。集水</w:t>
            </w:r>
          </w:p>
          <w:p>
            <w:pPr>
              <w:pStyle w:val="19"/>
              <w:spacing w:before="2"/>
              <w:ind w:left="39" w:right="17"/>
              <w:rPr>
                <w:sz w:val="21"/>
              </w:rPr>
            </w:pPr>
            <w:r>
              <w:rPr>
                <w:sz w:val="21"/>
              </w:rPr>
              <w:t xml:space="preserve">池容积为 </w:t>
            </w:r>
            <w:r>
              <w:rPr>
                <w:rFonts w:ascii="Times New Roman" w:eastAsia="Times New Roman"/>
                <w:sz w:val="21"/>
              </w:rPr>
              <w:t>800m</w:t>
            </w:r>
            <w:r>
              <w:rPr>
                <w:rFonts w:ascii="Times New Roman" w:eastAsia="Times New Roman"/>
                <w:position w:val="7"/>
                <w:sz w:val="13"/>
              </w:rPr>
              <w:t>3</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480" w:type="dxa"/>
            <w:vMerge w:val="continue"/>
            <w:tcBorders>
              <w:top w:val="nil"/>
              <w:right w:val="single" w:color="000000" w:sz="4" w:space="0"/>
            </w:tcBorders>
          </w:tcPr>
          <w:p>
            <w:pPr>
              <w:rPr>
                <w:sz w:val="2"/>
                <w:szCs w:val="2"/>
              </w:rPr>
            </w:pPr>
          </w:p>
        </w:tc>
        <w:tc>
          <w:tcPr>
            <w:tcW w:w="2131" w:type="dxa"/>
            <w:tcBorders>
              <w:top w:val="single" w:color="000000" w:sz="4" w:space="0"/>
              <w:left w:val="single" w:color="000000" w:sz="4" w:space="0"/>
              <w:bottom w:val="single" w:color="000000" w:sz="4" w:space="0"/>
              <w:right w:val="single" w:color="000000" w:sz="4" w:space="0"/>
            </w:tcBorders>
          </w:tcPr>
          <w:p>
            <w:pPr>
              <w:pStyle w:val="19"/>
              <w:spacing w:before="159"/>
              <w:ind w:left="313" w:right="296"/>
              <w:rPr>
                <w:sz w:val="21"/>
              </w:rPr>
            </w:pPr>
            <w:r>
              <w:rPr>
                <w:sz w:val="21"/>
              </w:rPr>
              <w:t>噪声工程</w:t>
            </w:r>
          </w:p>
        </w:tc>
        <w:tc>
          <w:tcPr>
            <w:tcW w:w="6675" w:type="dxa"/>
            <w:tcBorders>
              <w:top w:val="single" w:color="000000" w:sz="4" w:space="0"/>
              <w:left w:val="single" w:color="000000" w:sz="4" w:space="0"/>
              <w:bottom w:val="single" w:color="000000" w:sz="4" w:space="0"/>
            </w:tcBorders>
          </w:tcPr>
          <w:p>
            <w:pPr>
              <w:pStyle w:val="19"/>
              <w:spacing w:line="265" w:lineRule="exact"/>
              <w:ind w:left="92" w:right="17"/>
              <w:rPr>
                <w:sz w:val="21"/>
              </w:rPr>
            </w:pPr>
            <w:r>
              <w:rPr>
                <w:sz w:val="21"/>
              </w:rPr>
              <w:t>高噪设备车间安装吸声、隔声材料以及减震基础，必要的加设隔声罩；</w:t>
            </w:r>
          </w:p>
          <w:p>
            <w:pPr>
              <w:pStyle w:val="19"/>
              <w:spacing w:before="55"/>
              <w:ind w:left="39" w:right="17"/>
              <w:rPr>
                <w:sz w:val="21"/>
              </w:rPr>
            </w:pPr>
            <w:r>
              <w:rPr>
                <w:sz w:val="21"/>
              </w:rPr>
              <w:t>主扇配套安装消音器；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480" w:type="dxa"/>
            <w:vMerge w:val="continue"/>
            <w:tcBorders>
              <w:top w:val="nil"/>
              <w:right w:val="single" w:color="000000" w:sz="4" w:space="0"/>
            </w:tcBorders>
          </w:tcPr>
          <w:p>
            <w:pPr>
              <w:rPr>
                <w:sz w:val="2"/>
                <w:szCs w:val="2"/>
              </w:rPr>
            </w:pPr>
          </w:p>
        </w:tc>
        <w:tc>
          <w:tcPr>
            <w:tcW w:w="2131" w:type="dxa"/>
            <w:tcBorders>
              <w:top w:val="single" w:color="000000" w:sz="4" w:space="0"/>
              <w:left w:val="single" w:color="000000" w:sz="4" w:space="0"/>
              <w:bottom w:val="single" w:color="000000" w:sz="4" w:space="0"/>
              <w:right w:val="single" w:color="000000" w:sz="4" w:space="0"/>
            </w:tcBorders>
          </w:tcPr>
          <w:p>
            <w:pPr>
              <w:pStyle w:val="19"/>
              <w:spacing w:before="158"/>
              <w:ind w:left="313" w:right="296"/>
              <w:rPr>
                <w:sz w:val="21"/>
              </w:rPr>
            </w:pPr>
            <w:r>
              <w:rPr>
                <w:sz w:val="21"/>
              </w:rPr>
              <w:t>固体废物</w:t>
            </w:r>
          </w:p>
        </w:tc>
        <w:tc>
          <w:tcPr>
            <w:tcW w:w="6675" w:type="dxa"/>
            <w:tcBorders>
              <w:top w:val="single" w:color="000000" w:sz="4" w:space="0"/>
              <w:left w:val="single" w:color="000000" w:sz="4" w:space="0"/>
              <w:bottom w:val="single" w:color="000000" w:sz="4" w:space="0"/>
            </w:tcBorders>
          </w:tcPr>
          <w:p>
            <w:pPr>
              <w:pStyle w:val="19"/>
              <w:spacing w:line="264" w:lineRule="exact"/>
              <w:ind w:left="39" w:right="17"/>
              <w:rPr>
                <w:sz w:val="21"/>
              </w:rPr>
            </w:pPr>
            <w:r>
              <w:rPr>
                <w:sz w:val="21"/>
              </w:rPr>
              <w:t>污水处理站产生的污泥与生活垃圾委托市政环卫处理；锅炉每年产生的</w:t>
            </w:r>
          </w:p>
          <w:p>
            <w:pPr>
              <w:pStyle w:val="19"/>
              <w:spacing w:before="57"/>
              <w:ind w:left="39" w:right="17"/>
              <w:rPr>
                <w:sz w:val="21"/>
              </w:rPr>
            </w:pPr>
            <w:r>
              <w:rPr>
                <w:sz w:val="21"/>
              </w:rPr>
              <w:t>炉渣，全部作为肥料。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4" w:hRule="atLeast"/>
        </w:trPr>
        <w:tc>
          <w:tcPr>
            <w:tcW w:w="480" w:type="dxa"/>
            <w:vMerge w:val="continue"/>
            <w:tcBorders>
              <w:top w:val="nil"/>
              <w:right w:val="single" w:color="000000" w:sz="4" w:space="0"/>
            </w:tcBorders>
          </w:tcPr>
          <w:p>
            <w:pPr>
              <w:rPr>
                <w:sz w:val="2"/>
                <w:szCs w:val="2"/>
              </w:rPr>
            </w:pPr>
          </w:p>
        </w:tc>
        <w:tc>
          <w:tcPr>
            <w:tcW w:w="2131" w:type="dxa"/>
            <w:tcBorders>
              <w:top w:val="single" w:color="000000" w:sz="4" w:space="0"/>
              <w:left w:val="single" w:color="000000" w:sz="4" w:space="0"/>
              <w:right w:val="single" w:color="000000" w:sz="4" w:space="0"/>
            </w:tcBorders>
          </w:tcPr>
          <w:p>
            <w:pPr>
              <w:pStyle w:val="19"/>
              <w:spacing w:before="12"/>
              <w:jc w:val="left"/>
              <w:rPr>
                <w:b/>
                <w:sz w:val="24"/>
              </w:rPr>
            </w:pPr>
          </w:p>
          <w:p>
            <w:pPr>
              <w:pStyle w:val="19"/>
              <w:ind w:left="313" w:right="296"/>
              <w:rPr>
                <w:sz w:val="21"/>
              </w:rPr>
            </w:pPr>
            <w:r>
              <w:rPr>
                <w:sz w:val="21"/>
              </w:rPr>
              <w:t>生态环境</w:t>
            </w:r>
          </w:p>
        </w:tc>
        <w:tc>
          <w:tcPr>
            <w:tcW w:w="6675" w:type="dxa"/>
            <w:tcBorders>
              <w:top w:val="single" w:color="000000" w:sz="4" w:space="0"/>
              <w:left w:val="single" w:color="000000" w:sz="4" w:space="0"/>
            </w:tcBorders>
          </w:tcPr>
          <w:p>
            <w:pPr>
              <w:pStyle w:val="19"/>
              <w:spacing w:line="265" w:lineRule="exact"/>
              <w:ind w:left="42" w:right="17"/>
              <w:rPr>
                <w:sz w:val="21"/>
              </w:rPr>
            </w:pPr>
            <w:r>
              <w:rPr>
                <w:sz w:val="21"/>
              </w:rPr>
              <w:t>（</w:t>
            </w:r>
            <w:r>
              <w:rPr>
                <w:rFonts w:ascii="Times New Roman" w:eastAsia="Times New Roman"/>
                <w:sz w:val="21"/>
              </w:rPr>
              <w:t>1</w:t>
            </w:r>
            <w:r>
              <w:rPr>
                <w:sz w:val="21"/>
              </w:rPr>
              <w:t xml:space="preserve">）加强办公生活区的场地绿化，绿化率为 </w:t>
            </w:r>
            <w:r>
              <w:rPr>
                <w:rFonts w:ascii="Times New Roman" w:eastAsia="Times New Roman"/>
                <w:sz w:val="21"/>
              </w:rPr>
              <w:t>20%</w:t>
            </w:r>
            <w:r>
              <w:rPr>
                <w:sz w:val="21"/>
              </w:rPr>
              <w:t>。</w:t>
            </w:r>
          </w:p>
          <w:p>
            <w:pPr>
              <w:pStyle w:val="19"/>
              <w:spacing w:before="55"/>
              <w:ind w:left="39" w:right="17"/>
              <w:rPr>
                <w:sz w:val="21"/>
              </w:rPr>
            </w:pPr>
            <w:r>
              <w:rPr>
                <w:sz w:val="21"/>
              </w:rPr>
              <w:t>（</w:t>
            </w:r>
            <w:r>
              <w:rPr>
                <w:rFonts w:ascii="Times New Roman" w:eastAsia="Times New Roman"/>
                <w:sz w:val="21"/>
              </w:rPr>
              <w:t>2</w:t>
            </w:r>
            <w:r>
              <w:rPr>
                <w:sz w:val="21"/>
              </w:rPr>
              <w:t>）加强塌陷区治理措施；</w:t>
            </w:r>
          </w:p>
          <w:p>
            <w:pPr>
              <w:pStyle w:val="19"/>
              <w:spacing w:before="59"/>
              <w:ind w:left="39" w:right="17"/>
              <w:rPr>
                <w:sz w:val="21"/>
              </w:rPr>
            </w:pPr>
            <w:r>
              <w:rPr>
                <w:sz w:val="21"/>
              </w:rPr>
              <w:t>（</w:t>
            </w:r>
            <w:r>
              <w:rPr>
                <w:rFonts w:ascii="Times New Roman" w:eastAsia="Times New Roman"/>
                <w:sz w:val="21"/>
              </w:rPr>
              <w:t>3</w:t>
            </w:r>
            <w:r>
              <w:rPr>
                <w:sz w:val="21"/>
              </w:rPr>
              <w:t>）加强工业场地、运输道路等水土保持措施；</w:t>
            </w:r>
          </w:p>
        </w:tc>
      </w:tr>
    </w:tbl>
    <w:p>
      <w:pPr>
        <w:pStyle w:val="6"/>
        <w:numPr>
          <w:ilvl w:val="2"/>
          <w:numId w:val="28"/>
        </w:numPr>
        <w:tabs>
          <w:tab w:val="left" w:pos="848"/>
        </w:tabs>
        <w:spacing w:before="4" w:after="0" w:line="240" w:lineRule="auto"/>
        <w:ind w:left="847" w:right="0" w:hanging="630"/>
        <w:jc w:val="left"/>
      </w:pPr>
      <w:bookmarkStart w:id="142" w:name="2.2.5地理位置及交通"/>
      <w:bookmarkEnd w:id="142"/>
      <w:bookmarkStart w:id="143" w:name="2.2.5地理位置及交通"/>
      <w:bookmarkEnd w:id="143"/>
      <w:r>
        <w:t>地理位置及交通</w:t>
      </w:r>
    </w:p>
    <w:p>
      <w:pPr>
        <w:pStyle w:val="9"/>
        <w:spacing w:before="183"/>
        <w:ind w:left="777"/>
        <w:jc w:val="both"/>
      </w:pPr>
      <w:r>
        <w:t xml:space="preserve">目前本区交通运输以公路为主，双鸭山市区通往桦南县的 </w:t>
      </w:r>
      <w:r>
        <w:rPr>
          <w:rFonts w:ascii="Times New Roman" w:eastAsia="Times New Roman"/>
        </w:rPr>
        <w:t xml:space="preserve">307 </w:t>
      </w:r>
      <w:r>
        <w:t>省道在井口北侧</w:t>
      </w:r>
    </w:p>
    <w:p>
      <w:pPr>
        <w:pStyle w:val="9"/>
        <w:spacing w:before="161" w:line="362" w:lineRule="auto"/>
        <w:ind w:left="218" w:right="190"/>
      </w:pPr>
      <w:r>
        <w:rPr>
          <w:rFonts w:ascii="Times New Roman" w:eastAsia="Times New Roman"/>
        </w:rPr>
        <w:t xml:space="preserve">200m </w:t>
      </w:r>
      <w:r>
        <w:t xml:space="preserve">处经过。目前矿方已经将工业场地至 </w:t>
      </w:r>
      <w:r>
        <w:rPr>
          <w:rFonts w:ascii="Times New Roman" w:eastAsia="Times New Roman"/>
        </w:rPr>
        <w:t xml:space="preserve">307 </w:t>
      </w:r>
      <w:r>
        <w:t xml:space="preserve">省道的简易公路改造为 </w:t>
      </w:r>
      <w:r>
        <w:rPr>
          <w:rFonts w:ascii="Times New Roman" w:eastAsia="Times New Roman"/>
        </w:rPr>
        <w:t xml:space="preserve">2 </w:t>
      </w:r>
      <w:r>
        <w:t>级场外公路。综上所述，该矿外部公路系统基本完善，公路运输较为便利。</w:t>
      </w:r>
    </w:p>
    <w:p>
      <w:pPr>
        <w:pStyle w:val="6"/>
        <w:numPr>
          <w:ilvl w:val="2"/>
          <w:numId w:val="28"/>
        </w:numPr>
        <w:tabs>
          <w:tab w:val="left" w:pos="848"/>
        </w:tabs>
        <w:spacing w:before="5" w:after="0" w:line="240" w:lineRule="auto"/>
        <w:ind w:left="847" w:right="0" w:hanging="630"/>
        <w:jc w:val="left"/>
      </w:pPr>
      <w:bookmarkStart w:id="144" w:name="2.2.6产品方案与流向"/>
      <w:bookmarkEnd w:id="144"/>
      <w:bookmarkStart w:id="145" w:name="2.2.6产品方案与流向"/>
      <w:bookmarkEnd w:id="145"/>
      <w:r>
        <w:t>产品方案与流向</w:t>
      </w:r>
    </w:p>
    <w:p>
      <w:pPr>
        <w:pStyle w:val="9"/>
        <w:spacing w:before="186"/>
        <w:ind w:left="777"/>
        <w:jc w:val="both"/>
      </w:pPr>
      <w:r>
        <w:t xml:space="preserve">矿井设计规模为 </w:t>
      </w:r>
      <w:r>
        <w:rPr>
          <w:rFonts w:ascii="Times New Roman" w:eastAsia="Times New Roman"/>
        </w:rPr>
        <w:t xml:space="preserve">30 </w:t>
      </w:r>
      <w:r>
        <w:t xml:space="preserve">万 </w:t>
      </w:r>
      <w:r>
        <w:rPr>
          <w:rFonts w:ascii="Times New Roman" w:eastAsia="Times New Roman"/>
        </w:rPr>
        <w:t>t/a</w:t>
      </w:r>
      <w:r>
        <w:t xml:space="preserve">，对外煤炭运量按 </w:t>
      </w:r>
      <w:r>
        <w:rPr>
          <w:rFonts w:ascii="Times New Roman" w:eastAsia="Times New Roman"/>
        </w:rPr>
        <w:t xml:space="preserve">30 </w:t>
      </w:r>
      <w:r>
        <w:t xml:space="preserve">万 </w:t>
      </w:r>
      <w:r>
        <w:rPr>
          <w:rFonts w:ascii="Times New Roman" w:eastAsia="Times New Roman"/>
        </w:rPr>
        <w:t xml:space="preserve">t/a </w:t>
      </w:r>
      <w:r>
        <w:t>考虑。</w:t>
      </w:r>
    </w:p>
    <w:p>
      <w:pPr>
        <w:pStyle w:val="9"/>
        <w:spacing w:before="160" w:line="362" w:lineRule="auto"/>
        <w:ind w:left="218" w:right="253" w:firstLine="480"/>
        <w:jc w:val="both"/>
      </w:pPr>
      <w:r>
        <w:rPr>
          <w:spacing w:val="-7"/>
        </w:rPr>
        <w:t>根据《双鸭山市煤炭淘汰落后产能升级改造专项规划环境影响报告书》，本区域内</w:t>
      </w:r>
      <w:r>
        <w:rPr>
          <w:spacing w:val="-3"/>
        </w:rPr>
        <w:t xml:space="preserve">已建、在建及拟建洗煤厂的洗选能力 </w:t>
      </w:r>
      <w:r>
        <w:rPr>
          <w:rFonts w:ascii="Times New Roman" w:eastAsia="Times New Roman"/>
        </w:rPr>
        <w:t xml:space="preserve">11.75Mt/a </w:t>
      </w:r>
      <w:r>
        <w:t>与本区域矿井生产能力相差不大，规划内矿井与选煤厂规模基本匹配，本项目竣工后原煤送往周边选厂进行洗选。</w:t>
      </w:r>
    </w:p>
    <w:p>
      <w:pPr>
        <w:pStyle w:val="6"/>
        <w:numPr>
          <w:ilvl w:val="2"/>
          <w:numId w:val="28"/>
        </w:numPr>
        <w:tabs>
          <w:tab w:val="left" w:pos="848"/>
        </w:tabs>
        <w:spacing w:before="7" w:after="0" w:line="240" w:lineRule="auto"/>
        <w:ind w:left="847" w:right="0" w:hanging="630"/>
        <w:jc w:val="left"/>
      </w:pPr>
      <w:bookmarkStart w:id="146" w:name="2.2.7项目总平面布置"/>
      <w:bookmarkEnd w:id="146"/>
      <w:bookmarkStart w:id="147" w:name="2.2.7项目总平面布置"/>
      <w:bookmarkEnd w:id="147"/>
      <w:r>
        <w:t>项目总平面布置</w:t>
      </w:r>
    </w:p>
    <w:p>
      <w:pPr>
        <w:pStyle w:val="8"/>
        <w:numPr>
          <w:ilvl w:val="3"/>
          <w:numId w:val="30"/>
        </w:numPr>
        <w:tabs>
          <w:tab w:val="left" w:pos="939"/>
        </w:tabs>
        <w:spacing w:before="185" w:after="0" w:line="240" w:lineRule="auto"/>
        <w:ind w:left="938" w:right="0" w:hanging="721"/>
        <w:jc w:val="left"/>
      </w:pPr>
      <w:bookmarkStart w:id="148" w:name="2.2.7.1项目地面布置"/>
      <w:bookmarkEnd w:id="148"/>
      <w:bookmarkStart w:id="149" w:name="2.2.7.1项目地面布置"/>
      <w:bookmarkEnd w:id="149"/>
      <w:r>
        <w:t>项目地面布置</w:t>
      </w:r>
    </w:p>
    <w:p>
      <w:pPr>
        <w:spacing w:after="0" w:line="240" w:lineRule="auto"/>
        <w:jc w:val="left"/>
        <w:sectPr>
          <w:footerReference r:id="rId8" w:type="default"/>
          <w:pgSz w:w="11910" w:h="16840"/>
          <w:pgMar w:top="1400" w:right="1160" w:bottom="1100" w:left="1200" w:header="0" w:footer="913" w:gutter="0"/>
          <w:pgNumType w:start="50"/>
        </w:sectPr>
      </w:pPr>
    </w:p>
    <w:p>
      <w:pPr>
        <w:pStyle w:val="9"/>
        <w:spacing w:before="41" w:line="364" w:lineRule="auto"/>
        <w:ind w:left="218" w:right="257" w:firstLine="480"/>
        <w:jc w:val="both"/>
      </w:pPr>
      <w:r>
        <w:rPr>
          <w:spacing w:val="-3"/>
        </w:rPr>
        <w:t>双鸭山盟度矿业有限责任公司</w:t>
      </w:r>
      <w:r>
        <w:t>（原双鸭山双兴时代矿业有限责任公司第二煤矿</w:t>
      </w:r>
      <w:r>
        <w:rPr>
          <w:spacing w:val="-24"/>
        </w:rPr>
        <w:t>）</w:t>
      </w:r>
      <w:r>
        <w:rPr>
          <w:spacing w:val="-18"/>
        </w:rPr>
        <w:t>矿</w:t>
      </w:r>
      <w:r>
        <w:rPr>
          <w:spacing w:val="-3"/>
        </w:rPr>
        <w:t xml:space="preserve">井扩储后矿区范围后面积 </w:t>
      </w:r>
      <w:r>
        <w:rPr>
          <w:rFonts w:ascii="Times New Roman" w:hAnsi="Times New Roman" w:eastAsia="Times New Roman"/>
        </w:rPr>
        <w:t>6.1999km²</w:t>
      </w:r>
      <w:r>
        <w:t>，矿井资源整合完成后，仍利用矿井原有的工业场</w:t>
      </w:r>
      <w:r>
        <w:rPr>
          <w:spacing w:val="-8"/>
        </w:rPr>
        <w:t>地，矿井工业广场总平面布置生产系统简化流畅，按现代化矿山模式规划。生产、辅助</w:t>
      </w:r>
      <w:r>
        <w:rPr>
          <w:spacing w:val="-5"/>
        </w:rPr>
        <w:t>和生活区集中布置，本地区地形属低山丘陵区，本井区地势较平坦，井口标高在最高洪</w:t>
      </w:r>
      <w:r>
        <w:t>水位以上，布置较为合理，基本上能够满足矿井改扩建后生产和生活的需要。</w:t>
      </w:r>
    </w:p>
    <w:p>
      <w:pPr>
        <w:pStyle w:val="8"/>
        <w:numPr>
          <w:ilvl w:val="3"/>
          <w:numId w:val="30"/>
        </w:numPr>
        <w:tabs>
          <w:tab w:val="left" w:pos="939"/>
        </w:tabs>
        <w:spacing w:before="0" w:after="0" w:line="306" w:lineRule="exact"/>
        <w:ind w:left="938" w:right="0" w:hanging="721"/>
        <w:jc w:val="both"/>
      </w:pPr>
      <w:bookmarkStart w:id="150" w:name="2.2.7.2工业场地平面布置"/>
      <w:bookmarkEnd w:id="150"/>
      <w:bookmarkStart w:id="151" w:name="2.2.7.2工业场地平面布置"/>
      <w:bookmarkEnd w:id="151"/>
      <w:r>
        <w:t>工业场地平面布置</w:t>
      </w:r>
    </w:p>
    <w:p>
      <w:pPr>
        <w:pStyle w:val="9"/>
        <w:spacing w:before="158"/>
        <w:ind w:left="777"/>
      </w:pPr>
      <w:r>
        <w:t>（一）平面布置依据</w:t>
      </w:r>
    </w:p>
    <w:p>
      <w:pPr>
        <w:pStyle w:val="9"/>
        <w:spacing w:before="161"/>
        <w:ind w:left="777"/>
      </w:pPr>
      <w:r>
        <w:rPr>
          <w:rFonts w:ascii="Times New Roman" w:eastAsia="Times New Roman"/>
        </w:rPr>
        <w:t>1</w:t>
      </w:r>
      <w:r>
        <w:t xml:space="preserve">、矿井设计生产能力 </w:t>
      </w:r>
      <w:r>
        <w:rPr>
          <w:rFonts w:ascii="Times New Roman" w:eastAsia="Times New Roman"/>
        </w:rPr>
        <w:t xml:space="preserve">30 </w:t>
      </w:r>
      <w:r>
        <w:t xml:space="preserve">万 </w:t>
      </w:r>
      <w:r>
        <w:rPr>
          <w:rFonts w:ascii="Times New Roman" w:eastAsia="Times New Roman"/>
        </w:rPr>
        <w:t>t/a</w:t>
      </w:r>
      <w:r>
        <w:t>；</w:t>
      </w:r>
    </w:p>
    <w:p>
      <w:pPr>
        <w:pStyle w:val="9"/>
        <w:spacing w:before="158"/>
        <w:ind w:left="777"/>
      </w:pPr>
      <w:r>
        <w:rPr>
          <w:rFonts w:ascii="Times New Roman" w:eastAsia="Times New Roman"/>
        </w:rPr>
        <w:t>2</w:t>
      </w:r>
      <w:r>
        <w:t>、矿井提供的工程地质及气象地震资料；</w:t>
      </w:r>
    </w:p>
    <w:p>
      <w:pPr>
        <w:pStyle w:val="9"/>
        <w:spacing w:before="160"/>
        <w:ind w:left="777"/>
      </w:pPr>
      <w:r>
        <w:rPr>
          <w:rFonts w:ascii="Times New Roman" w:eastAsia="Times New Roman"/>
        </w:rPr>
        <w:t>3</w:t>
      </w:r>
      <w:r>
        <w:t>、矿方提供的工业广场总平面布置图及现有建筑、构筑物实测位置图。</w:t>
      </w:r>
    </w:p>
    <w:p>
      <w:pPr>
        <w:pStyle w:val="9"/>
        <w:spacing w:before="158"/>
        <w:ind w:left="777"/>
      </w:pPr>
      <w:r>
        <w:t>（二）平面布置原则</w:t>
      </w:r>
    </w:p>
    <w:p>
      <w:pPr>
        <w:pStyle w:val="9"/>
        <w:spacing w:before="161" w:line="362" w:lineRule="auto"/>
        <w:ind w:left="218" w:right="220" w:firstLine="559"/>
      </w:pPr>
      <w:r>
        <w:rPr>
          <w:rFonts w:ascii="Times New Roman" w:eastAsia="Times New Roman"/>
        </w:rPr>
        <w:t>1</w:t>
      </w:r>
      <w:r>
        <w:t>、综合协调井下开拓与地面生产系统、提升系统及运输系统的整体合理性，满足生产要求，工艺流程合理，并注意适应当地区域经济规划；</w:t>
      </w:r>
    </w:p>
    <w:p>
      <w:pPr>
        <w:pStyle w:val="9"/>
        <w:spacing w:before="5"/>
        <w:ind w:left="777"/>
      </w:pPr>
      <w:r>
        <w:rPr>
          <w:rFonts w:ascii="Times New Roman" w:eastAsia="Times New Roman"/>
        </w:rPr>
        <w:t>2</w:t>
      </w:r>
      <w:r>
        <w:t>、充分利用场地现有设施，减少拆除及重复建设工程量；</w:t>
      </w:r>
    </w:p>
    <w:p>
      <w:pPr>
        <w:pStyle w:val="9"/>
        <w:spacing w:before="160" w:line="364" w:lineRule="auto"/>
        <w:ind w:left="218" w:right="257" w:firstLine="559"/>
        <w:jc w:val="both"/>
      </w:pPr>
      <w:r>
        <w:rPr>
          <w:rFonts w:ascii="Times New Roman" w:eastAsia="Times New Roman"/>
        </w:rPr>
        <w:t>3</w:t>
      </w:r>
      <w:r>
        <w:rPr>
          <w:spacing w:val="-5"/>
        </w:rPr>
        <w:t>、充分利用场地地形、工程及水文地质条件，因地制宜合理布置，在满足工艺流</w:t>
      </w:r>
      <w:r>
        <w:rPr>
          <w:spacing w:val="-9"/>
        </w:rPr>
        <w:t>程、生产联系、装卸作业、场地防洪排涝及场地稳定性的前提下，总体减少建筑物基础</w:t>
      </w:r>
      <w:r>
        <w:t>处理工程量及场地平整、支护工程量，减少地面设施用地总面积；</w:t>
      </w:r>
    </w:p>
    <w:p>
      <w:pPr>
        <w:pStyle w:val="9"/>
        <w:spacing w:line="364" w:lineRule="auto"/>
        <w:ind w:left="218" w:right="137" w:firstLine="559"/>
      </w:pPr>
      <w:r>
        <w:rPr>
          <w:rFonts w:ascii="Times New Roman" w:eastAsia="Times New Roman"/>
        </w:rPr>
        <w:t>4</w:t>
      </w:r>
      <w:r>
        <w:rPr>
          <w:spacing w:val="-3"/>
        </w:rPr>
        <w:t>、重视节约用地，建、构筑物布置力求分区明确、紧凑合理、整齐美观，兼顾动</w:t>
      </w:r>
      <w:r>
        <w:rPr>
          <w:spacing w:val="-15"/>
        </w:rPr>
        <w:t xml:space="preserve">力设施的负荷距离，以减少室外管网敷设及运输线路长度，适当考虑场地预留发展用地， </w:t>
      </w:r>
      <w:r>
        <w:t>解决好前后期生产联系及用地的关系；</w:t>
      </w:r>
    </w:p>
    <w:p>
      <w:pPr>
        <w:pStyle w:val="9"/>
        <w:spacing w:line="362" w:lineRule="auto"/>
        <w:ind w:left="218" w:right="246" w:firstLine="559"/>
      </w:pPr>
      <w:r>
        <w:rPr>
          <w:rFonts w:ascii="Times New Roman" w:eastAsia="Times New Roman"/>
        </w:rPr>
        <w:t>5</w:t>
      </w:r>
      <w:r>
        <w:t>、适应内外运输，线路短捷顺直，满足车辆运转与室外操作、露天堆放的要求， 并兼顾场地消防要求；</w:t>
      </w:r>
    </w:p>
    <w:p>
      <w:pPr>
        <w:pStyle w:val="9"/>
        <w:spacing w:before="2" w:line="364" w:lineRule="auto"/>
        <w:ind w:left="218" w:right="257" w:firstLine="559"/>
        <w:jc w:val="both"/>
      </w:pPr>
      <w:r>
        <w:rPr>
          <w:rFonts w:ascii="Times New Roman" w:eastAsia="Times New Roman"/>
        </w:rPr>
        <w:t>6</w:t>
      </w:r>
      <w:r>
        <w:rPr>
          <w:spacing w:val="-5"/>
        </w:rPr>
        <w:t>、平面布置与竖向设计统筹考虑，符合现行的煤矿安全规程及设计规范、规程之</w:t>
      </w:r>
      <w:r>
        <w:rPr>
          <w:spacing w:val="-7"/>
        </w:rPr>
        <w:t>规定，满足场地防洪及场内排雨水要求，注意场地范围内永久工程边坡的稳定性，杜绝</w:t>
      </w:r>
      <w:r>
        <w:t>安全隐患；</w:t>
      </w:r>
    </w:p>
    <w:p>
      <w:pPr>
        <w:pStyle w:val="9"/>
        <w:spacing w:line="364" w:lineRule="auto"/>
        <w:ind w:left="218" w:right="257" w:firstLine="559"/>
        <w:jc w:val="both"/>
      </w:pPr>
      <w:r>
        <w:rPr>
          <w:rFonts w:ascii="Times New Roman" w:eastAsia="Times New Roman"/>
        </w:rPr>
        <w:t>7</w:t>
      </w:r>
      <w:r>
        <w:rPr>
          <w:spacing w:val="-4"/>
        </w:rPr>
        <w:t>、了解风向、朝向，尽可能地减少环境污染，满足建筑物之间防火、防爆、防振</w:t>
      </w:r>
      <w:r>
        <w:rPr>
          <w:spacing w:val="-8"/>
        </w:rPr>
        <w:t>及防噪、防尘的间距要求，满足建筑物自然通风、日照、采光、室外管网敷设及室外景</w:t>
      </w:r>
      <w:r>
        <w:t>观设置的要求；</w:t>
      </w:r>
    </w:p>
    <w:p>
      <w:pPr>
        <w:pStyle w:val="9"/>
        <w:spacing w:line="362" w:lineRule="auto"/>
        <w:ind w:left="218" w:right="220" w:firstLine="559"/>
      </w:pPr>
      <w:r>
        <w:rPr>
          <w:rFonts w:ascii="Times New Roman" w:eastAsia="Times New Roman"/>
        </w:rPr>
        <w:t>8</w:t>
      </w:r>
      <w:r>
        <w:t>、注重场地绿化、美化及硬化设计，杜绝场地范围内水土流失现象，塑造现代企业形象。</w:t>
      </w:r>
    </w:p>
    <w:p>
      <w:pPr>
        <w:spacing w:after="0" w:line="362" w:lineRule="auto"/>
        <w:sectPr>
          <w:pgSz w:w="11910" w:h="16840"/>
          <w:pgMar w:top="1360" w:right="1160" w:bottom="1180" w:left="1200" w:header="0" w:footer="913" w:gutter="0"/>
        </w:sectPr>
      </w:pPr>
    </w:p>
    <w:p>
      <w:pPr>
        <w:pStyle w:val="9"/>
        <w:spacing w:before="41"/>
        <w:ind w:left="777"/>
      </w:pPr>
      <w:r>
        <w:t>（三）总平面的布置</w:t>
      </w:r>
    </w:p>
    <w:p>
      <w:pPr>
        <w:pStyle w:val="9"/>
        <w:spacing w:before="158" w:line="364" w:lineRule="auto"/>
        <w:ind w:left="218" w:right="257" w:firstLine="559"/>
        <w:jc w:val="both"/>
      </w:pPr>
      <w:r>
        <w:t>经过现场踏勘及资料分析，本次设计利用一矿工业场地，依据井田开拓、生产系</w:t>
      </w:r>
      <w:r>
        <w:rPr>
          <w:spacing w:val="-5"/>
        </w:rPr>
        <w:t>统的布置及地面运输的要求，本着节约用地的原则，本次设计根据矿方提供的地面实测</w:t>
      </w:r>
      <w:r>
        <w:rPr>
          <w:spacing w:val="-7"/>
        </w:rPr>
        <w:t>图，落实现有生产设施和建筑，尽量利用现有建筑和设施，以整体合理性为原则进行了</w:t>
      </w:r>
      <w:r>
        <w:t>工业场地总平面布置。</w:t>
      </w:r>
    </w:p>
    <w:p>
      <w:pPr>
        <w:pStyle w:val="9"/>
        <w:spacing w:line="362" w:lineRule="auto"/>
        <w:ind w:left="218" w:right="256" w:firstLine="559"/>
      </w:pPr>
      <w:r>
        <w:t>依据上述布置原则，工业场地内建（构）筑物按功能用途划分为四个区：主生产区、辅助生产区、行政办公区、风井区。</w:t>
      </w:r>
    </w:p>
    <w:p>
      <w:pPr>
        <w:pStyle w:val="9"/>
        <w:spacing w:before="5"/>
        <w:ind w:left="777"/>
      </w:pPr>
      <w:r>
        <w:rPr>
          <w:rFonts w:ascii="Times New Roman" w:eastAsia="Times New Roman"/>
        </w:rPr>
        <w:t>1</w:t>
      </w:r>
      <w:r>
        <w:t>、主生产区</w:t>
      </w:r>
    </w:p>
    <w:p>
      <w:pPr>
        <w:pStyle w:val="9"/>
        <w:spacing w:before="158" w:line="364" w:lineRule="auto"/>
        <w:ind w:left="218" w:right="256" w:firstLine="559"/>
      </w:pPr>
      <w:r>
        <w:t>主生产系统布置有主斜井井口房、带式输送机走廊、简易筛分车间、储煤场地、地磅房、门卫等。</w:t>
      </w:r>
    </w:p>
    <w:p>
      <w:pPr>
        <w:pStyle w:val="9"/>
        <w:spacing w:line="306" w:lineRule="exact"/>
        <w:ind w:left="777"/>
      </w:pPr>
      <w:r>
        <w:rPr>
          <w:rFonts w:ascii="Times New Roman" w:eastAsia="Times New Roman"/>
        </w:rPr>
        <w:t>2</w:t>
      </w:r>
      <w:r>
        <w:t>、辅助生产区、</w:t>
      </w:r>
    </w:p>
    <w:p>
      <w:pPr>
        <w:pStyle w:val="9"/>
        <w:spacing w:before="161" w:line="362" w:lineRule="auto"/>
        <w:ind w:left="218" w:right="194" w:firstLine="480"/>
      </w:pPr>
      <w:r>
        <w:t>辅助生产系统布置有副斜井井口房、副斜井空气加热室、设备库、器材库、消防水池、坑木储存库、段、队工作室、锅炉房、变电所、空压机房、静压水池等。</w:t>
      </w:r>
    </w:p>
    <w:p>
      <w:pPr>
        <w:pStyle w:val="9"/>
        <w:spacing w:before="5"/>
        <w:ind w:left="698"/>
      </w:pPr>
      <w:r>
        <w:rPr>
          <w:rFonts w:ascii="Times New Roman" w:eastAsia="Times New Roman"/>
        </w:rPr>
        <w:t>3</w:t>
      </w:r>
      <w:r>
        <w:t>、行政办公区</w:t>
      </w:r>
    </w:p>
    <w:p>
      <w:pPr>
        <w:pStyle w:val="9"/>
        <w:spacing w:before="160"/>
        <w:ind w:left="698"/>
      </w:pPr>
      <w:r>
        <w:t>行政办公区布置有矿办公室、停车场、休闲绿化场地等。</w:t>
      </w:r>
    </w:p>
    <w:p>
      <w:pPr>
        <w:pStyle w:val="9"/>
        <w:spacing w:before="158"/>
        <w:ind w:left="698"/>
      </w:pPr>
      <w:r>
        <w:rPr>
          <w:rFonts w:ascii="Times New Roman" w:eastAsia="Times New Roman"/>
        </w:rPr>
        <w:t>4</w:t>
      </w:r>
      <w:r>
        <w:t>、风井区</w:t>
      </w:r>
    </w:p>
    <w:p>
      <w:pPr>
        <w:pStyle w:val="9"/>
        <w:spacing w:before="161" w:line="362" w:lineRule="auto"/>
        <w:ind w:left="698" w:right="4765"/>
      </w:pPr>
      <w:r>
        <w:t>风井场地布置有风机房、风机值班室。本项目工业广场平面布置图见附图。</w:t>
      </w:r>
    </w:p>
    <w:p>
      <w:pPr>
        <w:pStyle w:val="6"/>
        <w:numPr>
          <w:ilvl w:val="2"/>
          <w:numId w:val="28"/>
        </w:numPr>
        <w:tabs>
          <w:tab w:val="left" w:pos="848"/>
        </w:tabs>
        <w:spacing w:before="6" w:after="0" w:line="240" w:lineRule="auto"/>
        <w:ind w:left="847" w:right="0" w:hanging="630"/>
        <w:jc w:val="left"/>
      </w:pPr>
      <w:bookmarkStart w:id="152" w:name="2.2.8地面运输"/>
      <w:bookmarkEnd w:id="152"/>
      <w:bookmarkStart w:id="153" w:name="2.2.8地面运输"/>
      <w:bookmarkEnd w:id="153"/>
      <w:r>
        <w:t>地面运输</w:t>
      </w:r>
    </w:p>
    <w:p>
      <w:pPr>
        <w:pStyle w:val="9"/>
        <w:spacing w:before="185"/>
        <w:ind w:left="698"/>
      </w:pPr>
      <w:r>
        <w:rPr>
          <w:rFonts w:ascii="Times New Roman" w:eastAsia="Times New Roman"/>
        </w:rPr>
        <w:t>1</w:t>
      </w:r>
      <w:r>
        <w:t>、运输方式</w:t>
      </w:r>
    </w:p>
    <w:p>
      <w:pPr>
        <w:pStyle w:val="9"/>
        <w:spacing w:before="158" w:line="364" w:lineRule="auto"/>
        <w:ind w:left="218" w:right="205" w:firstLine="480"/>
        <w:jc w:val="both"/>
      </w:pPr>
      <w:r>
        <w:rPr>
          <w:spacing w:val="-1"/>
        </w:rPr>
        <w:t>矿井周边现有公路比较方便，运煤车辆可来源于社会，投资在本工程中不予考虑。</w:t>
      </w:r>
      <w:r>
        <w:rPr>
          <w:spacing w:val="-6"/>
        </w:rPr>
        <w:t>因此，煤炭外运方式采用公路运输，可充分利用现有发达的公路网和社会运力，既节省了基建投资，又使运输更灵活。</w:t>
      </w:r>
    </w:p>
    <w:p>
      <w:pPr>
        <w:pStyle w:val="9"/>
        <w:spacing w:line="305" w:lineRule="exact"/>
        <w:ind w:left="698"/>
      </w:pPr>
      <w:r>
        <w:rPr>
          <w:rFonts w:ascii="Times New Roman" w:eastAsia="Times New Roman"/>
        </w:rPr>
        <w:t>2</w:t>
      </w:r>
      <w:r>
        <w:t>、厂外道路</w:t>
      </w:r>
    </w:p>
    <w:p>
      <w:pPr>
        <w:pStyle w:val="9"/>
        <w:spacing w:before="160" w:line="364" w:lineRule="auto"/>
        <w:ind w:left="218" w:right="194" w:firstLine="480"/>
      </w:pPr>
      <w:r>
        <w:t>本矿井对外运输的主要为公路运输，该公路路况较好，能够满足矿井改造后煤炭外运的要求。</w:t>
      </w:r>
    </w:p>
    <w:p>
      <w:pPr>
        <w:pStyle w:val="9"/>
        <w:spacing w:line="306" w:lineRule="exact"/>
        <w:ind w:left="698"/>
      </w:pPr>
      <w:r>
        <w:rPr>
          <w:rFonts w:ascii="Times New Roman" w:eastAsia="Times New Roman"/>
        </w:rPr>
        <w:t>3</w:t>
      </w:r>
      <w:r>
        <w:t>、场内运输</w:t>
      </w:r>
    </w:p>
    <w:p>
      <w:pPr>
        <w:pStyle w:val="9"/>
        <w:spacing w:before="161"/>
        <w:ind w:left="698"/>
      </w:pPr>
      <w:r>
        <w:t>煤炭运输和生活区外接现有道路，进出便捷。</w:t>
      </w:r>
    </w:p>
    <w:p>
      <w:pPr>
        <w:pStyle w:val="6"/>
        <w:numPr>
          <w:ilvl w:val="2"/>
          <w:numId w:val="28"/>
        </w:numPr>
        <w:tabs>
          <w:tab w:val="left" w:pos="848"/>
        </w:tabs>
        <w:spacing w:before="159" w:after="0" w:line="240" w:lineRule="auto"/>
        <w:ind w:left="847" w:right="0" w:hanging="630"/>
        <w:jc w:val="left"/>
      </w:pPr>
      <w:bookmarkStart w:id="154" w:name="2.2.9劳动组织与定员"/>
      <w:bookmarkEnd w:id="154"/>
      <w:bookmarkStart w:id="155" w:name="2.2.9劳动组织与定员"/>
      <w:bookmarkEnd w:id="155"/>
      <w:r>
        <w:t>劳动组织与定员</w:t>
      </w:r>
    </w:p>
    <w:p>
      <w:pPr>
        <w:spacing w:after="0" w:line="240" w:lineRule="auto"/>
        <w:jc w:val="left"/>
        <w:sectPr>
          <w:pgSz w:w="11910" w:h="16840"/>
          <w:pgMar w:top="1360" w:right="1160" w:bottom="1180" w:left="1200" w:header="0" w:footer="913" w:gutter="0"/>
        </w:sectPr>
      </w:pPr>
    </w:p>
    <w:p>
      <w:pPr>
        <w:pStyle w:val="9"/>
        <w:spacing w:before="61"/>
        <w:ind w:left="736"/>
        <w:rPr>
          <w:rFonts w:ascii="Times New Roman" w:eastAsia="Times New Roman"/>
        </w:rPr>
      </w:pPr>
      <w:r>
        <w:t xml:space="preserve">经计算矿井设计达产 </w:t>
      </w:r>
      <w:r>
        <w:rPr>
          <w:rFonts w:ascii="Times New Roman" w:eastAsia="Times New Roman"/>
        </w:rPr>
        <w:t xml:space="preserve">30 </w:t>
      </w:r>
      <w:r>
        <w:t xml:space="preserve">万 </w:t>
      </w:r>
      <w:r>
        <w:rPr>
          <w:rFonts w:ascii="Times New Roman" w:eastAsia="Times New Roman"/>
        </w:rPr>
        <w:t xml:space="preserve">t/a </w:t>
      </w:r>
      <w:r>
        <w:t xml:space="preserve">时矿井在籍人员为 </w:t>
      </w:r>
      <w:r>
        <w:rPr>
          <w:rFonts w:ascii="Times New Roman" w:eastAsia="Times New Roman"/>
        </w:rPr>
        <w:t xml:space="preserve">405 </w:t>
      </w:r>
      <w:r>
        <w:t xml:space="preserve">人，其中：井下工人 </w:t>
      </w:r>
      <w:r>
        <w:rPr>
          <w:rFonts w:ascii="Times New Roman" w:eastAsia="Times New Roman"/>
        </w:rPr>
        <w:t>327</w:t>
      </w:r>
    </w:p>
    <w:p>
      <w:pPr>
        <w:pStyle w:val="9"/>
        <w:spacing w:before="158" w:line="364" w:lineRule="auto"/>
        <w:ind w:left="698" w:right="1026" w:hanging="480"/>
      </w:pPr>
      <w:r>
        <w:rPr>
          <w:spacing w:val="-8"/>
        </w:rPr>
        <w:t xml:space="preserve">人； 地面工人 </w:t>
      </w:r>
      <w:r>
        <w:rPr>
          <w:rFonts w:ascii="Times New Roman" w:eastAsia="Times New Roman"/>
          <w:spacing w:val="3"/>
        </w:rPr>
        <w:t xml:space="preserve">47 </w:t>
      </w:r>
      <w:r>
        <w:rPr>
          <w:spacing w:val="-8"/>
        </w:rPr>
        <w:t xml:space="preserve">人； 管理人员 </w:t>
      </w:r>
      <w:r>
        <w:rPr>
          <w:rFonts w:ascii="Times New Roman" w:eastAsia="Times New Roman"/>
          <w:spacing w:val="3"/>
        </w:rPr>
        <w:t xml:space="preserve">28 </w:t>
      </w:r>
      <w:r>
        <w:rPr>
          <w:spacing w:val="-8"/>
        </w:rPr>
        <w:t xml:space="preserve">人； 服务人员 </w:t>
      </w:r>
      <w:r>
        <w:rPr>
          <w:rFonts w:ascii="Times New Roman" w:eastAsia="Times New Roman"/>
          <w:spacing w:val="3"/>
        </w:rPr>
        <w:t xml:space="preserve">32 </w:t>
      </w:r>
      <w:r>
        <w:rPr>
          <w:spacing w:val="-8"/>
        </w:rPr>
        <w:t xml:space="preserve">人； 其他人员 </w:t>
      </w:r>
      <w:r>
        <w:rPr>
          <w:rFonts w:ascii="Times New Roman" w:eastAsia="Times New Roman"/>
          <w:spacing w:val="3"/>
        </w:rPr>
        <w:t xml:space="preserve">18 </w:t>
      </w:r>
      <w:r>
        <w:rPr>
          <w:spacing w:val="9"/>
        </w:rPr>
        <w:t>人。劳动定员详见下表。</w:t>
      </w:r>
    </w:p>
    <w:p>
      <w:pPr>
        <w:spacing w:before="0" w:after="3"/>
        <w:ind w:left="298" w:right="330" w:firstLine="0"/>
        <w:jc w:val="center"/>
        <w:rPr>
          <w:b/>
          <w:sz w:val="21"/>
        </w:rPr>
      </w:pPr>
      <w:r>
        <w:rPr>
          <w:b/>
          <w:spacing w:val="-28"/>
          <w:sz w:val="21"/>
        </w:rPr>
        <w:t xml:space="preserve">表 </w:t>
      </w:r>
      <w:r>
        <w:rPr>
          <w:rFonts w:ascii="Times New Roman" w:eastAsia="Times New Roman"/>
          <w:b/>
          <w:sz w:val="21"/>
        </w:rPr>
        <w:t>2.2-2</w:t>
      </w:r>
      <w:r>
        <w:rPr>
          <w:rFonts w:ascii="Times New Roman" w:eastAsia="Times New Roman"/>
          <w:b/>
          <w:spacing w:val="52"/>
          <w:sz w:val="21"/>
        </w:rPr>
        <w:t xml:space="preserve"> </w:t>
      </w:r>
      <w:r>
        <w:rPr>
          <w:b/>
          <w:sz w:val="21"/>
        </w:rPr>
        <w:t>劳动定员汇总表</w:t>
      </w:r>
    </w:p>
    <w:tbl>
      <w:tblPr>
        <w:tblStyle w:val="15"/>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51"/>
        <w:gridCol w:w="552"/>
        <w:gridCol w:w="3168"/>
        <w:gridCol w:w="691"/>
        <w:gridCol w:w="691"/>
        <w:gridCol w:w="691"/>
        <w:gridCol w:w="554"/>
        <w:gridCol w:w="691"/>
        <w:gridCol w:w="881"/>
        <w:gridCol w:w="8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0" w:hRule="atLeast"/>
        </w:trPr>
        <w:tc>
          <w:tcPr>
            <w:tcW w:w="551" w:type="dxa"/>
            <w:vMerge w:val="restart"/>
            <w:tcBorders>
              <w:bottom w:val="single" w:color="000000" w:sz="4" w:space="0"/>
              <w:right w:val="single" w:color="000000" w:sz="4" w:space="0"/>
            </w:tcBorders>
          </w:tcPr>
          <w:p>
            <w:pPr>
              <w:pStyle w:val="19"/>
              <w:spacing w:before="9"/>
              <w:jc w:val="left"/>
              <w:rPr>
                <w:b/>
                <w:sz w:val="17"/>
              </w:rPr>
            </w:pPr>
          </w:p>
          <w:p>
            <w:pPr>
              <w:pStyle w:val="19"/>
              <w:spacing w:line="242" w:lineRule="auto"/>
              <w:ind w:left="168" w:right="156"/>
              <w:jc w:val="left"/>
              <w:rPr>
                <w:sz w:val="21"/>
              </w:rPr>
            </w:pPr>
            <w:r>
              <w:rPr>
                <w:sz w:val="21"/>
              </w:rPr>
              <w:t>序号</w:t>
            </w:r>
          </w:p>
        </w:tc>
        <w:tc>
          <w:tcPr>
            <w:tcW w:w="3720" w:type="dxa"/>
            <w:gridSpan w:val="2"/>
            <w:vMerge w:val="restart"/>
            <w:tcBorders>
              <w:left w:val="single" w:color="000000" w:sz="4" w:space="0"/>
              <w:bottom w:val="single" w:color="000000" w:sz="4" w:space="0"/>
              <w:right w:val="single" w:color="000000" w:sz="4" w:space="0"/>
            </w:tcBorders>
          </w:tcPr>
          <w:p>
            <w:pPr>
              <w:pStyle w:val="19"/>
              <w:spacing w:before="5"/>
              <w:jc w:val="left"/>
              <w:rPr>
                <w:b/>
                <w:sz w:val="28"/>
              </w:rPr>
            </w:pPr>
          </w:p>
          <w:p>
            <w:pPr>
              <w:pStyle w:val="19"/>
              <w:ind w:left="1422" w:right="1407"/>
              <w:rPr>
                <w:sz w:val="21"/>
              </w:rPr>
            </w:pPr>
            <w:r>
              <w:rPr>
                <w:sz w:val="21"/>
              </w:rPr>
              <w:t>人员类别</w:t>
            </w:r>
          </w:p>
        </w:tc>
        <w:tc>
          <w:tcPr>
            <w:tcW w:w="3318" w:type="dxa"/>
            <w:gridSpan w:val="5"/>
            <w:tcBorders>
              <w:left w:val="single" w:color="000000" w:sz="4" w:space="0"/>
              <w:bottom w:val="single" w:color="000000" w:sz="4" w:space="0"/>
              <w:right w:val="single" w:color="000000" w:sz="4" w:space="0"/>
            </w:tcBorders>
          </w:tcPr>
          <w:p>
            <w:pPr>
              <w:pStyle w:val="19"/>
              <w:spacing w:before="107"/>
              <w:ind w:left="1221" w:right="1207"/>
              <w:rPr>
                <w:sz w:val="21"/>
              </w:rPr>
            </w:pPr>
            <w:r>
              <w:rPr>
                <w:sz w:val="21"/>
              </w:rPr>
              <w:t>出勤人数</w:t>
            </w:r>
          </w:p>
        </w:tc>
        <w:tc>
          <w:tcPr>
            <w:tcW w:w="881" w:type="dxa"/>
            <w:vMerge w:val="restart"/>
            <w:tcBorders>
              <w:left w:val="single" w:color="000000" w:sz="4" w:space="0"/>
              <w:bottom w:val="single" w:color="000000" w:sz="4" w:space="0"/>
              <w:right w:val="single" w:color="000000" w:sz="4" w:space="0"/>
            </w:tcBorders>
          </w:tcPr>
          <w:p>
            <w:pPr>
              <w:pStyle w:val="19"/>
              <w:spacing w:before="9"/>
              <w:jc w:val="left"/>
              <w:rPr>
                <w:b/>
                <w:sz w:val="17"/>
              </w:rPr>
            </w:pPr>
          </w:p>
          <w:p>
            <w:pPr>
              <w:pStyle w:val="19"/>
              <w:spacing w:line="242" w:lineRule="auto"/>
              <w:ind w:left="338" w:right="110" w:hanging="209"/>
              <w:jc w:val="left"/>
              <w:rPr>
                <w:sz w:val="21"/>
              </w:rPr>
            </w:pPr>
            <w:r>
              <w:rPr>
                <w:sz w:val="21"/>
              </w:rPr>
              <w:t>在籍系数</w:t>
            </w:r>
          </w:p>
        </w:tc>
        <w:tc>
          <w:tcPr>
            <w:tcW w:w="812" w:type="dxa"/>
            <w:vMerge w:val="restart"/>
            <w:tcBorders>
              <w:left w:val="single" w:color="000000" w:sz="4" w:space="0"/>
              <w:bottom w:val="single" w:color="000000" w:sz="4" w:space="0"/>
            </w:tcBorders>
          </w:tcPr>
          <w:p>
            <w:pPr>
              <w:pStyle w:val="19"/>
              <w:spacing w:before="9"/>
              <w:jc w:val="left"/>
              <w:rPr>
                <w:b/>
                <w:sz w:val="17"/>
              </w:rPr>
            </w:pPr>
          </w:p>
          <w:p>
            <w:pPr>
              <w:pStyle w:val="19"/>
              <w:spacing w:line="242" w:lineRule="auto"/>
              <w:ind w:left="199" w:right="177"/>
              <w:jc w:val="left"/>
              <w:rPr>
                <w:sz w:val="21"/>
              </w:rPr>
            </w:pPr>
            <w:r>
              <w:rPr>
                <w:sz w:val="21"/>
              </w:rPr>
              <w:t>在籍人数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51" w:type="dxa"/>
            <w:vMerge w:val="continue"/>
            <w:tcBorders>
              <w:top w:val="nil"/>
              <w:bottom w:val="single" w:color="000000" w:sz="4" w:space="0"/>
              <w:right w:val="single" w:color="000000" w:sz="4" w:space="0"/>
            </w:tcBorders>
          </w:tcPr>
          <w:p>
            <w:pPr>
              <w:rPr>
                <w:sz w:val="2"/>
                <w:szCs w:val="2"/>
              </w:rPr>
            </w:pPr>
          </w:p>
        </w:tc>
        <w:tc>
          <w:tcPr>
            <w:tcW w:w="372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4"/>
              <w:ind w:left="16"/>
              <w:rPr>
                <w:sz w:val="21"/>
              </w:rPr>
            </w:pPr>
            <w:r>
              <w:rPr>
                <w:w w:val="99"/>
                <w:sz w:val="21"/>
              </w:rPr>
              <w:t>Ⅰ</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4"/>
              <w:ind w:left="16"/>
              <w:rPr>
                <w:sz w:val="21"/>
              </w:rPr>
            </w:pPr>
            <w:r>
              <w:rPr>
                <w:w w:val="99"/>
                <w:sz w:val="21"/>
              </w:rPr>
              <w:t>Ⅱ</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4"/>
              <w:ind w:left="244"/>
              <w:jc w:val="left"/>
              <w:rPr>
                <w:sz w:val="21"/>
              </w:rPr>
            </w:pPr>
            <w:r>
              <w:rPr>
                <w:w w:val="99"/>
                <w:sz w:val="21"/>
              </w:rPr>
              <w:t>Ⅲ</w:t>
            </w:r>
          </w:p>
        </w:tc>
        <w:tc>
          <w:tcPr>
            <w:tcW w:w="554" w:type="dxa"/>
            <w:tcBorders>
              <w:top w:val="single" w:color="000000" w:sz="4" w:space="0"/>
              <w:left w:val="single" w:color="000000" w:sz="4" w:space="0"/>
              <w:bottom w:val="single" w:color="000000" w:sz="4" w:space="0"/>
              <w:right w:val="single" w:color="000000" w:sz="4" w:space="0"/>
            </w:tcBorders>
          </w:tcPr>
          <w:p>
            <w:pPr>
              <w:pStyle w:val="19"/>
              <w:spacing w:before="114"/>
              <w:ind w:left="177"/>
              <w:jc w:val="left"/>
              <w:rPr>
                <w:sz w:val="21"/>
              </w:rPr>
            </w:pPr>
            <w:r>
              <w:rPr>
                <w:w w:val="99"/>
                <w:sz w:val="21"/>
              </w:rPr>
              <w:t>Ⅳ</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4"/>
              <w:ind w:left="115" w:right="100"/>
              <w:rPr>
                <w:sz w:val="21"/>
              </w:rPr>
            </w:pPr>
            <w:r>
              <w:rPr>
                <w:sz w:val="21"/>
              </w:rPr>
              <w:t>合计</w:t>
            </w:r>
          </w:p>
        </w:tc>
        <w:tc>
          <w:tcPr>
            <w:tcW w:w="881" w:type="dxa"/>
            <w:vMerge w:val="continue"/>
            <w:tcBorders>
              <w:top w:val="nil"/>
              <w:left w:val="single" w:color="000000" w:sz="4" w:space="0"/>
              <w:bottom w:val="single" w:color="000000" w:sz="4" w:space="0"/>
              <w:right w:val="single" w:color="000000" w:sz="4" w:space="0"/>
            </w:tcBorders>
          </w:tcPr>
          <w:p>
            <w:pPr>
              <w:rPr>
                <w:sz w:val="2"/>
                <w:szCs w:val="2"/>
              </w:rPr>
            </w:pPr>
          </w:p>
        </w:tc>
        <w:tc>
          <w:tcPr>
            <w:tcW w:w="812"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51" w:type="dxa"/>
            <w:vMerge w:val="restart"/>
            <w:tcBorders>
              <w:top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168"/>
              <w:ind w:left="168"/>
              <w:jc w:val="left"/>
              <w:rPr>
                <w:sz w:val="21"/>
              </w:rPr>
            </w:pPr>
            <w:r>
              <w:rPr>
                <w:w w:val="99"/>
                <w:sz w:val="21"/>
              </w:rPr>
              <w:t>一</w:t>
            </w:r>
          </w:p>
        </w:tc>
        <w:tc>
          <w:tcPr>
            <w:tcW w:w="552"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spacing w:before="11"/>
              <w:jc w:val="left"/>
              <w:rPr>
                <w:b/>
                <w:sz w:val="19"/>
              </w:rPr>
            </w:pPr>
          </w:p>
          <w:p>
            <w:pPr>
              <w:pStyle w:val="19"/>
              <w:spacing w:before="1" w:line="242" w:lineRule="auto"/>
              <w:ind w:left="174" w:right="156"/>
              <w:jc w:val="both"/>
              <w:rPr>
                <w:sz w:val="21"/>
              </w:rPr>
            </w:pPr>
            <w:r>
              <w:rPr>
                <w:sz w:val="21"/>
              </w:rPr>
              <w:t>原煤生产人员</w:t>
            </w:r>
          </w:p>
        </w:tc>
        <w:tc>
          <w:tcPr>
            <w:tcW w:w="3168" w:type="dxa"/>
            <w:tcBorders>
              <w:top w:val="single" w:color="000000" w:sz="4" w:space="0"/>
              <w:left w:val="single" w:color="000000" w:sz="4" w:space="0"/>
              <w:bottom w:val="single" w:color="000000" w:sz="4" w:space="0"/>
              <w:right w:val="single" w:color="000000" w:sz="4" w:space="0"/>
            </w:tcBorders>
          </w:tcPr>
          <w:p>
            <w:pPr>
              <w:pStyle w:val="19"/>
              <w:spacing w:before="112"/>
              <w:ind w:left="621" w:right="606"/>
              <w:rPr>
                <w:sz w:val="21"/>
              </w:rPr>
            </w:pPr>
            <w:r>
              <w:rPr>
                <w:sz w:val="21"/>
              </w:rPr>
              <w:t>1、生产工人</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2"/>
              <w:ind w:left="115" w:right="98"/>
              <w:rPr>
                <w:sz w:val="21"/>
              </w:rPr>
            </w:pPr>
            <w:r>
              <w:rPr>
                <w:sz w:val="21"/>
              </w:rPr>
              <w:t>59</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2"/>
              <w:ind w:left="115" w:right="98"/>
              <w:rPr>
                <w:sz w:val="21"/>
              </w:rPr>
            </w:pPr>
            <w:r>
              <w:rPr>
                <w:sz w:val="21"/>
              </w:rPr>
              <w:t>59</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2"/>
              <w:ind w:left="244"/>
              <w:jc w:val="left"/>
              <w:rPr>
                <w:sz w:val="21"/>
              </w:rPr>
            </w:pPr>
            <w:r>
              <w:rPr>
                <w:sz w:val="21"/>
              </w:rPr>
              <w:t>59</w:t>
            </w:r>
          </w:p>
        </w:tc>
        <w:tc>
          <w:tcPr>
            <w:tcW w:w="554" w:type="dxa"/>
            <w:tcBorders>
              <w:top w:val="single" w:color="000000" w:sz="4" w:space="0"/>
              <w:left w:val="single" w:color="000000" w:sz="4" w:space="0"/>
              <w:bottom w:val="single" w:color="000000" w:sz="4" w:space="0"/>
              <w:right w:val="single" w:color="000000" w:sz="4" w:space="0"/>
            </w:tcBorders>
          </w:tcPr>
          <w:p>
            <w:pPr>
              <w:pStyle w:val="19"/>
              <w:spacing w:before="112"/>
              <w:ind w:left="177"/>
              <w:jc w:val="left"/>
              <w:rPr>
                <w:sz w:val="21"/>
              </w:rPr>
            </w:pPr>
            <w:r>
              <w:rPr>
                <w:sz w:val="21"/>
              </w:rPr>
              <w:t>59</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2"/>
              <w:ind w:left="115" w:right="96"/>
              <w:rPr>
                <w:sz w:val="21"/>
              </w:rPr>
            </w:pPr>
            <w:r>
              <w:rPr>
                <w:sz w:val="21"/>
              </w:rPr>
              <w:t>236</w:t>
            </w:r>
          </w:p>
        </w:tc>
        <w:tc>
          <w:tcPr>
            <w:tcW w:w="881" w:type="dxa"/>
            <w:tcBorders>
              <w:top w:val="single" w:color="000000" w:sz="4" w:space="0"/>
              <w:left w:val="single" w:color="000000" w:sz="4" w:space="0"/>
              <w:bottom w:val="single" w:color="000000" w:sz="4" w:space="0"/>
              <w:right w:val="single" w:color="000000" w:sz="4" w:space="0"/>
            </w:tcBorders>
          </w:tcPr>
          <w:p>
            <w:pPr>
              <w:pStyle w:val="19"/>
              <w:spacing w:before="112"/>
              <w:ind w:left="16"/>
              <w:rPr>
                <w:sz w:val="21"/>
              </w:rPr>
            </w:pPr>
            <w:r>
              <w:rPr>
                <w:w w:val="99"/>
                <w:sz w:val="21"/>
              </w:rPr>
              <w:t>/</w:t>
            </w:r>
          </w:p>
        </w:tc>
        <w:tc>
          <w:tcPr>
            <w:tcW w:w="812" w:type="dxa"/>
            <w:tcBorders>
              <w:top w:val="single" w:color="000000" w:sz="4" w:space="0"/>
              <w:left w:val="single" w:color="000000" w:sz="4" w:space="0"/>
              <w:bottom w:val="single" w:color="000000" w:sz="4" w:space="0"/>
            </w:tcBorders>
          </w:tcPr>
          <w:p>
            <w:pPr>
              <w:pStyle w:val="19"/>
              <w:spacing w:before="112"/>
              <w:ind w:left="232" w:right="209"/>
              <w:rPr>
                <w:sz w:val="21"/>
              </w:rPr>
            </w:pPr>
            <w:r>
              <w:rPr>
                <w:sz w:val="21"/>
              </w:rPr>
              <w:t>327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51" w:type="dxa"/>
            <w:vMerge w:val="continue"/>
            <w:tcBorders>
              <w:top w:val="nil"/>
              <w:bottom w:val="single" w:color="000000" w:sz="4" w:space="0"/>
              <w:right w:val="single" w:color="000000" w:sz="4" w:space="0"/>
            </w:tcBorders>
          </w:tcPr>
          <w:p>
            <w:pPr>
              <w:rPr>
                <w:sz w:val="2"/>
                <w:szCs w:val="2"/>
              </w:rPr>
            </w:pPr>
          </w:p>
        </w:tc>
        <w:tc>
          <w:tcPr>
            <w:tcW w:w="552" w:type="dxa"/>
            <w:vMerge w:val="continue"/>
            <w:tcBorders>
              <w:top w:val="nil"/>
              <w:left w:val="single" w:color="000000" w:sz="4" w:space="0"/>
              <w:bottom w:val="single" w:color="000000" w:sz="4" w:space="0"/>
              <w:right w:val="single" w:color="000000" w:sz="4" w:space="0"/>
            </w:tcBorders>
          </w:tcPr>
          <w:p>
            <w:pPr>
              <w:rPr>
                <w:sz w:val="2"/>
                <w:szCs w:val="2"/>
              </w:rPr>
            </w:pPr>
          </w:p>
        </w:tc>
        <w:tc>
          <w:tcPr>
            <w:tcW w:w="3168" w:type="dxa"/>
            <w:tcBorders>
              <w:top w:val="single" w:color="000000" w:sz="4" w:space="0"/>
              <w:left w:val="single" w:color="000000" w:sz="4" w:space="0"/>
              <w:bottom w:val="single" w:color="000000" w:sz="4" w:space="0"/>
              <w:right w:val="single" w:color="000000" w:sz="4" w:space="0"/>
            </w:tcBorders>
          </w:tcPr>
          <w:p>
            <w:pPr>
              <w:pStyle w:val="19"/>
              <w:spacing w:before="114"/>
              <w:ind w:left="621" w:right="606"/>
              <w:rPr>
                <w:sz w:val="21"/>
              </w:rPr>
            </w:pPr>
            <w:r>
              <w:rPr>
                <w:sz w:val="21"/>
              </w:rPr>
              <w:t>其中：井下</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4"/>
              <w:ind w:left="115" w:right="98"/>
              <w:rPr>
                <w:sz w:val="21"/>
              </w:rPr>
            </w:pPr>
            <w:r>
              <w:rPr>
                <w:sz w:val="21"/>
              </w:rPr>
              <w:t>50</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4"/>
              <w:ind w:left="115" w:right="98"/>
              <w:rPr>
                <w:sz w:val="21"/>
              </w:rPr>
            </w:pPr>
            <w:r>
              <w:rPr>
                <w:sz w:val="21"/>
              </w:rPr>
              <w:t>50</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4"/>
              <w:ind w:left="244"/>
              <w:jc w:val="left"/>
              <w:rPr>
                <w:sz w:val="21"/>
              </w:rPr>
            </w:pPr>
            <w:r>
              <w:rPr>
                <w:sz w:val="21"/>
              </w:rPr>
              <w:t>50</w:t>
            </w:r>
          </w:p>
        </w:tc>
        <w:tc>
          <w:tcPr>
            <w:tcW w:w="554" w:type="dxa"/>
            <w:tcBorders>
              <w:top w:val="single" w:color="000000" w:sz="4" w:space="0"/>
              <w:left w:val="single" w:color="000000" w:sz="4" w:space="0"/>
              <w:bottom w:val="single" w:color="000000" w:sz="4" w:space="0"/>
              <w:right w:val="single" w:color="000000" w:sz="4" w:space="0"/>
            </w:tcBorders>
          </w:tcPr>
          <w:p>
            <w:pPr>
              <w:pStyle w:val="19"/>
              <w:spacing w:before="114"/>
              <w:ind w:left="177"/>
              <w:jc w:val="left"/>
              <w:rPr>
                <w:sz w:val="21"/>
              </w:rPr>
            </w:pPr>
            <w:r>
              <w:rPr>
                <w:sz w:val="21"/>
              </w:rPr>
              <w:t>50</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4"/>
              <w:ind w:left="115" w:right="96"/>
              <w:rPr>
                <w:sz w:val="21"/>
              </w:rPr>
            </w:pPr>
            <w:r>
              <w:rPr>
                <w:sz w:val="21"/>
              </w:rPr>
              <w:t>200</w:t>
            </w:r>
          </w:p>
        </w:tc>
        <w:tc>
          <w:tcPr>
            <w:tcW w:w="881" w:type="dxa"/>
            <w:tcBorders>
              <w:top w:val="single" w:color="000000" w:sz="4" w:space="0"/>
              <w:left w:val="single" w:color="000000" w:sz="4" w:space="0"/>
              <w:bottom w:val="single" w:color="000000" w:sz="4" w:space="0"/>
              <w:right w:val="single" w:color="000000" w:sz="4" w:space="0"/>
            </w:tcBorders>
          </w:tcPr>
          <w:p>
            <w:pPr>
              <w:pStyle w:val="19"/>
              <w:spacing w:before="114"/>
              <w:ind w:left="109" w:right="90"/>
              <w:rPr>
                <w:sz w:val="21"/>
              </w:rPr>
            </w:pPr>
            <w:r>
              <w:rPr>
                <w:sz w:val="21"/>
              </w:rPr>
              <w:t>1.40</w:t>
            </w:r>
          </w:p>
        </w:tc>
        <w:tc>
          <w:tcPr>
            <w:tcW w:w="812" w:type="dxa"/>
            <w:tcBorders>
              <w:top w:val="single" w:color="000000" w:sz="4" w:space="0"/>
              <w:left w:val="single" w:color="000000" w:sz="4" w:space="0"/>
              <w:bottom w:val="single" w:color="000000" w:sz="4" w:space="0"/>
            </w:tcBorders>
          </w:tcPr>
          <w:p>
            <w:pPr>
              <w:pStyle w:val="19"/>
              <w:spacing w:before="114"/>
              <w:ind w:left="232" w:right="209"/>
              <w:rPr>
                <w:sz w:val="21"/>
              </w:rPr>
            </w:pPr>
            <w:r>
              <w:rPr>
                <w:sz w:val="21"/>
              </w:rPr>
              <w:t>280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51" w:type="dxa"/>
            <w:vMerge w:val="continue"/>
            <w:tcBorders>
              <w:top w:val="nil"/>
              <w:bottom w:val="single" w:color="000000" w:sz="4" w:space="0"/>
              <w:right w:val="single" w:color="000000" w:sz="4" w:space="0"/>
            </w:tcBorders>
          </w:tcPr>
          <w:p>
            <w:pPr>
              <w:rPr>
                <w:sz w:val="2"/>
                <w:szCs w:val="2"/>
              </w:rPr>
            </w:pPr>
          </w:p>
        </w:tc>
        <w:tc>
          <w:tcPr>
            <w:tcW w:w="552" w:type="dxa"/>
            <w:vMerge w:val="continue"/>
            <w:tcBorders>
              <w:top w:val="nil"/>
              <w:left w:val="single" w:color="000000" w:sz="4" w:space="0"/>
              <w:bottom w:val="single" w:color="000000" w:sz="4" w:space="0"/>
              <w:right w:val="single" w:color="000000" w:sz="4" w:space="0"/>
            </w:tcBorders>
          </w:tcPr>
          <w:p>
            <w:pPr>
              <w:rPr>
                <w:sz w:val="2"/>
                <w:szCs w:val="2"/>
              </w:rPr>
            </w:pPr>
          </w:p>
        </w:tc>
        <w:tc>
          <w:tcPr>
            <w:tcW w:w="3168" w:type="dxa"/>
            <w:tcBorders>
              <w:top w:val="single" w:color="000000" w:sz="4" w:space="0"/>
              <w:left w:val="single" w:color="000000" w:sz="4" w:space="0"/>
              <w:bottom w:val="single" w:color="000000" w:sz="4" w:space="0"/>
              <w:right w:val="single" w:color="000000" w:sz="4" w:space="0"/>
            </w:tcBorders>
          </w:tcPr>
          <w:p>
            <w:pPr>
              <w:pStyle w:val="19"/>
              <w:spacing w:before="112"/>
              <w:ind w:left="621" w:right="603"/>
              <w:rPr>
                <w:sz w:val="21"/>
              </w:rPr>
            </w:pPr>
            <w:r>
              <w:rPr>
                <w:sz w:val="21"/>
              </w:rPr>
              <w:t>地面</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2"/>
              <w:ind w:left="17"/>
              <w:rPr>
                <w:sz w:val="21"/>
              </w:rPr>
            </w:pPr>
            <w:r>
              <w:rPr>
                <w:w w:val="99"/>
                <w:sz w:val="21"/>
              </w:rPr>
              <w:t>9</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2"/>
              <w:ind w:left="17"/>
              <w:rPr>
                <w:sz w:val="21"/>
              </w:rPr>
            </w:pPr>
            <w:r>
              <w:rPr>
                <w:w w:val="99"/>
                <w:sz w:val="21"/>
              </w:rPr>
              <w:t>9</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2"/>
              <w:ind w:left="297"/>
              <w:jc w:val="left"/>
              <w:rPr>
                <w:sz w:val="21"/>
              </w:rPr>
            </w:pPr>
            <w:r>
              <w:rPr>
                <w:w w:val="99"/>
                <w:sz w:val="21"/>
              </w:rPr>
              <w:t>9</w:t>
            </w:r>
          </w:p>
        </w:tc>
        <w:tc>
          <w:tcPr>
            <w:tcW w:w="554" w:type="dxa"/>
            <w:tcBorders>
              <w:top w:val="single" w:color="000000" w:sz="4" w:space="0"/>
              <w:left w:val="single" w:color="000000" w:sz="4" w:space="0"/>
              <w:bottom w:val="single" w:color="000000" w:sz="4" w:space="0"/>
              <w:right w:val="single" w:color="000000" w:sz="4" w:space="0"/>
            </w:tcBorders>
          </w:tcPr>
          <w:p>
            <w:pPr>
              <w:pStyle w:val="19"/>
              <w:spacing w:before="112"/>
              <w:ind w:left="227"/>
              <w:jc w:val="left"/>
              <w:rPr>
                <w:sz w:val="21"/>
              </w:rPr>
            </w:pPr>
            <w:r>
              <w:rPr>
                <w:w w:val="99"/>
                <w:sz w:val="21"/>
              </w:rPr>
              <w:t>9</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2"/>
              <w:ind w:left="115" w:right="96"/>
              <w:rPr>
                <w:sz w:val="21"/>
              </w:rPr>
            </w:pPr>
            <w:r>
              <w:rPr>
                <w:sz w:val="21"/>
              </w:rPr>
              <w:t>36</w:t>
            </w:r>
          </w:p>
        </w:tc>
        <w:tc>
          <w:tcPr>
            <w:tcW w:w="881" w:type="dxa"/>
            <w:tcBorders>
              <w:top w:val="single" w:color="000000" w:sz="4" w:space="0"/>
              <w:left w:val="single" w:color="000000" w:sz="4" w:space="0"/>
              <w:bottom w:val="single" w:color="000000" w:sz="4" w:space="0"/>
              <w:right w:val="single" w:color="000000" w:sz="4" w:space="0"/>
            </w:tcBorders>
          </w:tcPr>
          <w:p>
            <w:pPr>
              <w:pStyle w:val="19"/>
              <w:spacing w:before="112"/>
              <w:ind w:left="109" w:right="90"/>
              <w:rPr>
                <w:sz w:val="21"/>
              </w:rPr>
            </w:pPr>
            <w:r>
              <w:rPr>
                <w:sz w:val="21"/>
              </w:rPr>
              <w:t>1.30</w:t>
            </w:r>
          </w:p>
        </w:tc>
        <w:tc>
          <w:tcPr>
            <w:tcW w:w="812" w:type="dxa"/>
            <w:tcBorders>
              <w:top w:val="single" w:color="000000" w:sz="4" w:space="0"/>
              <w:left w:val="single" w:color="000000" w:sz="4" w:space="0"/>
              <w:bottom w:val="single" w:color="000000" w:sz="4" w:space="0"/>
            </w:tcBorders>
          </w:tcPr>
          <w:p>
            <w:pPr>
              <w:pStyle w:val="19"/>
              <w:spacing w:before="112"/>
              <w:ind w:left="232" w:right="209"/>
              <w:rPr>
                <w:sz w:val="21"/>
              </w:rPr>
            </w:pPr>
            <w:r>
              <w:rPr>
                <w:sz w:val="21"/>
              </w:rPr>
              <w:t>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51" w:type="dxa"/>
            <w:vMerge w:val="continue"/>
            <w:tcBorders>
              <w:top w:val="nil"/>
              <w:bottom w:val="single" w:color="000000" w:sz="4" w:space="0"/>
              <w:right w:val="single" w:color="000000" w:sz="4" w:space="0"/>
            </w:tcBorders>
          </w:tcPr>
          <w:p>
            <w:pPr>
              <w:rPr>
                <w:sz w:val="2"/>
                <w:szCs w:val="2"/>
              </w:rPr>
            </w:pPr>
          </w:p>
        </w:tc>
        <w:tc>
          <w:tcPr>
            <w:tcW w:w="552" w:type="dxa"/>
            <w:vMerge w:val="continue"/>
            <w:tcBorders>
              <w:top w:val="nil"/>
              <w:left w:val="single" w:color="000000" w:sz="4" w:space="0"/>
              <w:bottom w:val="single" w:color="000000" w:sz="4" w:space="0"/>
              <w:right w:val="single" w:color="000000" w:sz="4" w:space="0"/>
            </w:tcBorders>
          </w:tcPr>
          <w:p>
            <w:pPr>
              <w:rPr>
                <w:sz w:val="2"/>
                <w:szCs w:val="2"/>
              </w:rPr>
            </w:pPr>
          </w:p>
        </w:tc>
        <w:tc>
          <w:tcPr>
            <w:tcW w:w="3168" w:type="dxa"/>
            <w:tcBorders>
              <w:top w:val="single" w:color="000000" w:sz="4" w:space="0"/>
              <w:left w:val="single" w:color="000000" w:sz="4" w:space="0"/>
              <w:bottom w:val="single" w:color="000000" w:sz="4" w:space="0"/>
              <w:right w:val="single" w:color="000000" w:sz="4" w:space="0"/>
            </w:tcBorders>
          </w:tcPr>
          <w:p>
            <w:pPr>
              <w:pStyle w:val="19"/>
              <w:spacing w:before="114"/>
              <w:ind w:left="621" w:right="606"/>
              <w:rPr>
                <w:sz w:val="21"/>
              </w:rPr>
            </w:pPr>
            <w:r>
              <w:rPr>
                <w:sz w:val="21"/>
              </w:rPr>
              <w:t>2、管理人员</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4"/>
              <w:ind w:left="17"/>
              <w:rPr>
                <w:sz w:val="21"/>
              </w:rPr>
            </w:pPr>
            <w:r>
              <w:rPr>
                <w:w w:val="99"/>
                <w:sz w:val="21"/>
              </w:rPr>
              <w:t>7</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4"/>
              <w:ind w:left="17"/>
              <w:rPr>
                <w:sz w:val="21"/>
              </w:rPr>
            </w:pPr>
            <w:r>
              <w:rPr>
                <w:w w:val="99"/>
                <w:sz w:val="21"/>
              </w:rPr>
              <w:t>7</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4"/>
              <w:ind w:left="297"/>
              <w:jc w:val="left"/>
              <w:rPr>
                <w:sz w:val="21"/>
              </w:rPr>
            </w:pPr>
            <w:r>
              <w:rPr>
                <w:w w:val="99"/>
                <w:sz w:val="21"/>
              </w:rPr>
              <w:t>7</w:t>
            </w:r>
          </w:p>
        </w:tc>
        <w:tc>
          <w:tcPr>
            <w:tcW w:w="554" w:type="dxa"/>
            <w:tcBorders>
              <w:top w:val="single" w:color="000000" w:sz="4" w:space="0"/>
              <w:left w:val="single" w:color="000000" w:sz="4" w:space="0"/>
              <w:bottom w:val="single" w:color="000000" w:sz="4" w:space="0"/>
              <w:right w:val="single" w:color="000000" w:sz="4" w:space="0"/>
            </w:tcBorders>
          </w:tcPr>
          <w:p>
            <w:pPr>
              <w:pStyle w:val="19"/>
              <w:spacing w:before="114"/>
              <w:ind w:left="227"/>
              <w:jc w:val="left"/>
              <w:rPr>
                <w:sz w:val="21"/>
              </w:rPr>
            </w:pPr>
            <w:r>
              <w:rPr>
                <w:w w:val="99"/>
                <w:sz w:val="21"/>
              </w:rPr>
              <w:t>7</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4"/>
              <w:ind w:left="115" w:right="96"/>
              <w:rPr>
                <w:sz w:val="21"/>
              </w:rPr>
            </w:pPr>
            <w:r>
              <w:rPr>
                <w:sz w:val="21"/>
              </w:rPr>
              <w:t>28</w:t>
            </w:r>
          </w:p>
        </w:tc>
        <w:tc>
          <w:tcPr>
            <w:tcW w:w="881" w:type="dxa"/>
            <w:tcBorders>
              <w:top w:val="single" w:color="000000" w:sz="4" w:space="0"/>
              <w:left w:val="single" w:color="000000" w:sz="4" w:space="0"/>
              <w:bottom w:val="single" w:color="000000" w:sz="4" w:space="0"/>
              <w:right w:val="single" w:color="000000" w:sz="4" w:space="0"/>
            </w:tcBorders>
          </w:tcPr>
          <w:p>
            <w:pPr>
              <w:pStyle w:val="19"/>
              <w:spacing w:before="114"/>
              <w:ind w:left="109" w:right="90"/>
              <w:rPr>
                <w:sz w:val="21"/>
              </w:rPr>
            </w:pPr>
            <w:r>
              <w:rPr>
                <w:sz w:val="21"/>
              </w:rPr>
              <w:t>1.00</w:t>
            </w:r>
          </w:p>
        </w:tc>
        <w:tc>
          <w:tcPr>
            <w:tcW w:w="812" w:type="dxa"/>
            <w:tcBorders>
              <w:top w:val="single" w:color="000000" w:sz="4" w:space="0"/>
              <w:left w:val="single" w:color="000000" w:sz="4" w:space="0"/>
              <w:bottom w:val="single" w:color="000000" w:sz="4" w:space="0"/>
            </w:tcBorders>
          </w:tcPr>
          <w:p>
            <w:pPr>
              <w:pStyle w:val="19"/>
              <w:spacing w:before="114"/>
              <w:ind w:left="232" w:right="209"/>
              <w:rPr>
                <w:sz w:val="21"/>
              </w:rPr>
            </w:pPr>
            <w:r>
              <w:rPr>
                <w:sz w:val="21"/>
              </w:rPr>
              <w:t>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9" w:hRule="atLeast"/>
        </w:trPr>
        <w:tc>
          <w:tcPr>
            <w:tcW w:w="551" w:type="dxa"/>
            <w:vMerge w:val="continue"/>
            <w:tcBorders>
              <w:top w:val="nil"/>
              <w:bottom w:val="single" w:color="000000" w:sz="4" w:space="0"/>
              <w:right w:val="single" w:color="000000" w:sz="4" w:space="0"/>
            </w:tcBorders>
          </w:tcPr>
          <w:p>
            <w:pPr>
              <w:rPr>
                <w:sz w:val="2"/>
                <w:szCs w:val="2"/>
              </w:rPr>
            </w:pPr>
          </w:p>
        </w:tc>
        <w:tc>
          <w:tcPr>
            <w:tcW w:w="552" w:type="dxa"/>
            <w:vMerge w:val="continue"/>
            <w:tcBorders>
              <w:top w:val="nil"/>
              <w:left w:val="single" w:color="000000" w:sz="4" w:space="0"/>
              <w:bottom w:val="single" w:color="000000" w:sz="4" w:space="0"/>
              <w:right w:val="single" w:color="000000" w:sz="4" w:space="0"/>
            </w:tcBorders>
          </w:tcPr>
          <w:p>
            <w:pPr>
              <w:rPr>
                <w:sz w:val="2"/>
                <w:szCs w:val="2"/>
              </w:rPr>
            </w:pPr>
          </w:p>
        </w:tc>
        <w:tc>
          <w:tcPr>
            <w:tcW w:w="3168" w:type="dxa"/>
            <w:tcBorders>
              <w:top w:val="single" w:color="000000" w:sz="4" w:space="0"/>
              <w:left w:val="single" w:color="000000" w:sz="4" w:space="0"/>
              <w:bottom w:val="single" w:color="000000" w:sz="4" w:space="0"/>
              <w:right w:val="single" w:color="000000" w:sz="4" w:space="0"/>
            </w:tcBorders>
          </w:tcPr>
          <w:p>
            <w:pPr>
              <w:pStyle w:val="19"/>
              <w:spacing w:before="112"/>
              <w:ind w:left="621" w:right="606"/>
              <w:rPr>
                <w:sz w:val="21"/>
              </w:rPr>
            </w:pPr>
            <w:r>
              <w:rPr>
                <w:sz w:val="21"/>
              </w:rPr>
              <w:t>其中：工程技术人员</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2"/>
              <w:ind w:left="17"/>
              <w:rPr>
                <w:sz w:val="21"/>
              </w:rPr>
            </w:pPr>
            <w:r>
              <w:rPr>
                <w:w w:val="99"/>
                <w:sz w:val="21"/>
              </w:rPr>
              <w:t>2</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2"/>
              <w:ind w:left="17"/>
              <w:rPr>
                <w:sz w:val="21"/>
              </w:rPr>
            </w:pPr>
            <w:r>
              <w:rPr>
                <w:w w:val="99"/>
                <w:sz w:val="21"/>
              </w:rPr>
              <w:t>2</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2"/>
              <w:ind w:left="297"/>
              <w:jc w:val="left"/>
              <w:rPr>
                <w:sz w:val="21"/>
              </w:rPr>
            </w:pPr>
            <w:r>
              <w:rPr>
                <w:w w:val="99"/>
                <w:sz w:val="21"/>
              </w:rPr>
              <w:t>2</w:t>
            </w:r>
          </w:p>
        </w:tc>
        <w:tc>
          <w:tcPr>
            <w:tcW w:w="554" w:type="dxa"/>
            <w:tcBorders>
              <w:top w:val="single" w:color="000000" w:sz="4" w:space="0"/>
              <w:left w:val="single" w:color="000000" w:sz="4" w:space="0"/>
              <w:bottom w:val="single" w:color="000000" w:sz="4" w:space="0"/>
              <w:right w:val="single" w:color="000000" w:sz="4" w:space="0"/>
            </w:tcBorders>
          </w:tcPr>
          <w:p>
            <w:pPr>
              <w:pStyle w:val="19"/>
              <w:spacing w:before="112"/>
              <w:ind w:left="227"/>
              <w:jc w:val="left"/>
              <w:rPr>
                <w:sz w:val="21"/>
              </w:rPr>
            </w:pPr>
            <w:r>
              <w:rPr>
                <w:w w:val="99"/>
                <w:sz w:val="21"/>
              </w:rPr>
              <w:t>2</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2"/>
              <w:ind w:left="19"/>
              <w:rPr>
                <w:sz w:val="21"/>
              </w:rPr>
            </w:pPr>
            <w:r>
              <w:rPr>
                <w:w w:val="99"/>
                <w:sz w:val="21"/>
              </w:rPr>
              <w:t>8</w:t>
            </w:r>
          </w:p>
        </w:tc>
        <w:tc>
          <w:tcPr>
            <w:tcW w:w="881" w:type="dxa"/>
            <w:tcBorders>
              <w:top w:val="single" w:color="000000" w:sz="4" w:space="0"/>
              <w:left w:val="single" w:color="000000" w:sz="4" w:space="0"/>
              <w:bottom w:val="single" w:color="000000" w:sz="4" w:space="0"/>
              <w:right w:val="single" w:color="000000" w:sz="4" w:space="0"/>
            </w:tcBorders>
          </w:tcPr>
          <w:p>
            <w:pPr>
              <w:pStyle w:val="19"/>
              <w:spacing w:before="112"/>
              <w:ind w:left="109" w:right="90"/>
              <w:rPr>
                <w:sz w:val="21"/>
              </w:rPr>
            </w:pPr>
            <w:r>
              <w:rPr>
                <w:sz w:val="21"/>
              </w:rPr>
              <w:t>1.00</w:t>
            </w:r>
          </w:p>
        </w:tc>
        <w:tc>
          <w:tcPr>
            <w:tcW w:w="812" w:type="dxa"/>
            <w:tcBorders>
              <w:top w:val="single" w:color="000000" w:sz="4" w:space="0"/>
              <w:left w:val="single" w:color="000000" w:sz="4" w:space="0"/>
              <w:bottom w:val="single" w:color="000000" w:sz="4" w:space="0"/>
            </w:tcBorders>
          </w:tcPr>
          <w:p>
            <w:pPr>
              <w:pStyle w:val="19"/>
              <w:spacing w:before="112"/>
              <w:ind w:left="23"/>
              <w:rPr>
                <w:sz w:val="21"/>
              </w:rPr>
            </w:pPr>
            <w:r>
              <w:rPr>
                <w:w w:val="99"/>
                <w:sz w:val="21"/>
              </w:rPr>
              <w:t>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1" w:hRule="atLeast"/>
        </w:trPr>
        <w:tc>
          <w:tcPr>
            <w:tcW w:w="551" w:type="dxa"/>
            <w:vMerge w:val="continue"/>
            <w:tcBorders>
              <w:top w:val="nil"/>
              <w:bottom w:val="single" w:color="000000" w:sz="4" w:space="0"/>
              <w:right w:val="single" w:color="000000" w:sz="4" w:space="0"/>
            </w:tcBorders>
          </w:tcPr>
          <w:p>
            <w:pPr>
              <w:rPr>
                <w:sz w:val="2"/>
                <w:szCs w:val="2"/>
              </w:rPr>
            </w:pPr>
          </w:p>
        </w:tc>
        <w:tc>
          <w:tcPr>
            <w:tcW w:w="552" w:type="dxa"/>
            <w:vMerge w:val="continue"/>
            <w:tcBorders>
              <w:top w:val="nil"/>
              <w:left w:val="single" w:color="000000" w:sz="4" w:space="0"/>
              <w:bottom w:val="single" w:color="000000" w:sz="4" w:space="0"/>
              <w:right w:val="single" w:color="000000" w:sz="4" w:space="0"/>
            </w:tcBorders>
          </w:tcPr>
          <w:p>
            <w:pPr>
              <w:rPr>
                <w:sz w:val="2"/>
                <w:szCs w:val="2"/>
              </w:rPr>
            </w:pPr>
          </w:p>
        </w:tc>
        <w:tc>
          <w:tcPr>
            <w:tcW w:w="3168" w:type="dxa"/>
            <w:tcBorders>
              <w:top w:val="single" w:color="000000" w:sz="4" w:space="0"/>
              <w:left w:val="single" w:color="000000" w:sz="4" w:space="0"/>
              <w:bottom w:val="single" w:color="000000" w:sz="4" w:space="0"/>
              <w:right w:val="single" w:color="000000" w:sz="4" w:space="0"/>
            </w:tcBorders>
          </w:tcPr>
          <w:p>
            <w:pPr>
              <w:pStyle w:val="19"/>
              <w:spacing w:before="173"/>
              <w:ind w:left="621" w:right="603"/>
              <w:rPr>
                <w:sz w:val="21"/>
              </w:rPr>
            </w:pPr>
            <w:r>
              <w:rPr>
                <w:sz w:val="21"/>
              </w:rPr>
              <w:t>合计</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73"/>
              <w:ind w:left="115" w:right="98"/>
              <w:rPr>
                <w:sz w:val="21"/>
              </w:rPr>
            </w:pPr>
            <w:r>
              <w:rPr>
                <w:sz w:val="21"/>
              </w:rPr>
              <w:t>66</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73"/>
              <w:ind w:left="115" w:right="98"/>
              <w:rPr>
                <w:sz w:val="21"/>
              </w:rPr>
            </w:pPr>
            <w:r>
              <w:rPr>
                <w:sz w:val="21"/>
              </w:rPr>
              <w:t>66</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73"/>
              <w:ind w:left="244"/>
              <w:jc w:val="left"/>
              <w:rPr>
                <w:sz w:val="21"/>
              </w:rPr>
            </w:pPr>
            <w:r>
              <w:rPr>
                <w:sz w:val="21"/>
              </w:rPr>
              <w:t>66</w:t>
            </w:r>
          </w:p>
        </w:tc>
        <w:tc>
          <w:tcPr>
            <w:tcW w:w="554" w:type="dxa"/>
            <w:tcBorders>
              <w:top w:val="single" w:color="000000" w:sz="4" w:space="0"/>
              <w:left w:val="single" w:color="000000" w:sz="4" w:space="0"/>
              <w:bottom w:val="single" w:color="000000" w:sz="4" w:space="0"/>
              <w:right w:val="single" w:color="000000" w:sz="4" w:space="0"/>
            </w:tcBorders>
          </w:tcPr>
          <w:p>
            <w:pPr>
              <w:pStyle w:val="19"/>
              <w:spacing w:before="173"/>
              <w:ind w:left="177"/>
              <w:jc w:val="left"/>
              <w:rPr>
                <w:sz w:val="21"/>
              </w:rPr>
            </w:pPr>
            <w:r>
              <w:rPr>
                <w:sz w:val="21"/>
              </w:rPr>
              <w:t>66</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73"/>
              <w:ind w:left="115" w:right="96"/>
              <w:rPr>
                <w:sz w:val="21"/>
              </w:rPr>
            </w:pPr>
            <w:r>
              <w:rPr>
                <w:sz w:val="21"/>
              </w:rPr>
              <w:t>264</w:t>
            </w:r>
          </w:p>
        </w:tc>
        <w:tc>
          <w:tcPr>
            <w:tcW w:w="881" w:type="dxa"/>
            <w:tcBorders>
              <w:top w:val="single" w:color="000000" w:sz="4" w:space="0"/>
              <w:left w:val="single" w:color="000000" w:sz="4" w:space="0"/>
              <w:bottom w:val="single" w:color="000000" w:sz="4" w:space="0"/>
              <w:right w:val="single" w:color="000000" w:sz="4" w:space="0"/>
            </w:tcBorders>
          </w:tcPr>
          <w:p>
            <w:pPr>
              <w:pStyle w:val="19"/>
              <w:spacing w:before="173"/>
              <w:ind w:left="16"/>
              <w:rPr>
                <w:sz w:val="21"/>
              </w:rPr>
            </w:pPr>
            <w:r>
              <w:rPr>
                <w:w w:val="99"/>
                <w:sz w:val="21"/>
              </w:rPr>
              <w:t>/</w:t>
            </w:r>
          </w:p>
        </w:tc>
        <w:tc>
          <w:tcPr>
            <w:tcW w:w="812" w:type="dxa"/>
            <w:tcBorders>
              <w:top w:val="single" w:color="000000" w:sz="4" w:space="0"/>
              <w:left w:val="single" w:color="000000" w:sz="4" w:space="0"/>
              <w:bottom w:val="single" w:color="000000" w:sz="4" w:space="0"/>
            </w:tcBorders>
          </w:tcPr>
          <w:p>
            <w:pPr>
              <w:pStyle w:val="19"/>
              <w:spacing w:before="173"/>
              <w:ind w:left="232" w:right="209"/>
              <w:rPr>
                <w:sz w:val="21"/>
              </w:rPr>
            </w:pPr>
            <w:r>
              <w:rPr>
                <w:sz w:val="21"/>
              </w:rPr>
              <w:t>355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51" w:type="dxa"/>
            <w:tcBorders>
              <w:top w:val="single" w:color="000000" w:sz="4" w:space="0"/>
              <w:bottom w:val="single" w:color="000000" w:sz="4" w:space="0"/>
              <w:right w:val="single" w:color="000000" w:sz="4" w:space="0"/>
            </w:tcBorders>
          </w:tcPr>
          <w:p>
            <w:pPr>
              <w:pStyle w:val="19"/>
              <w:spacing w:before="113"/>
              <w:ind w:right="156"/>
              <w:jc w:val="right"/>
              <w:rPr>
                <w:sz w:val="21"/>
              </w:rPr>
            </w:pPr>
            <w:r>
              <w:rPr>
                <w:w w:val="99"/>
                <w:sz w:val="21"/>
              </w:rPr>
              <w:t>二</w:t>
            </w:r>
          </w:p>
        </w:tc>
        <w:tc>
          <w:tcPr>
            <w:tcW w:w="3720" w:type="dxa"/>
            <w:gridSpan w:val="2"/>
            <w:tcBorders>
              <w:top w:val="single" w:color="000000" w:sz="4" w:space="0"/>
              <w:left w:val="single" w:color="000000" w:sz="4" w:space="0"/>
              <w:bottom w:val="single" w:color="000000" w:sz="4" w:space="0"/>
              <w:right w:val="single" w:color="000000" w:sz="4" w:space="0"/>
            </w:tcBorders>
          </w:tcPr>
          <w:p>
            <w:pPr>
              <w:pStyle w:val="19"/>
              <w:spacing w:before="113"/>
              <w:ind w:left="1422" w:right="1407"/>
              <w:rPr>
                <w:sz w:val="21"/>
              </w:rPr>
            </w:pPr>
            <w:r>
              <w:rPr>
                <w:sz w:val="21"/>
              </w:rPr>
              <w:t>服务人员</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3"/>
              <w:ind w:left="17"/>
              <w:rPr>
                <w:sz w:val="21"/>
              </w:rPr>
            </w:pPr>
            <w:r>
              <w:rPr>
                <w:w w:val="99"/>
                <w:sz w:val="21"/>
              </w:rPr>
              <w:t>9</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3"/>
              <w:ind w:left="17"/>
              <w:rPr>
                <w:sz w:val="21"/>
              </w:rPr>
            </w:pPr>
            <w:r>
              <w:rPr>
                <w:w w:val="99"/>
                <w:sz w:val="21"/>
              </w:rPr>
              <w:t>9</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3"/>
              <w:ind w:left="297"/>
              <w:jc w:val="left"/>
              <w:rPr>
                <w:sz w:val="21"/>
              </w:rPr>
            </w:pPr>
            <w:r>
              <w:rPr>
                <w:w w:val="99"/>
                <w:sz w:val="21"/>
              </w:rPr>
              <w:t>9</w:t>
            </w:r>
          </w:p>
        </w:tc>
        <w:tc>
          <w:tcPr>
            <w:tcW w:w="554" w:type="dxa"/>
            <w:tcBorders>
              <w:top w:val="single" w:color="000000" w:sz="4" w:space="0"/>
              <w:left w:val="single" w:color="000000" w:sz="4" w:space="0"/>
              <w:bottom w:val="single" w:color="000000" w:sz="4" w:space="0"/>
              <w:right w:val="single" w:color="000000" w:sz="4" w:space="0"/>
            </w:tcBorders>
          </w:tcPr>
          <w:p>
            <w:pPr>
              <w:pStyle w:val="19"/>
              <w:spacing w:before="113"/>
              <w:ind w:left="227"/>
              <w:jc w:val="left"/>
              <w:rPr>
                <w:sz w:val="21"/>
              </w:rPr>
            </w:pPr>
            <w:r>
              <w:rPr>
                <w:w w:val="99"/>
                <w:sz w:val="21"/>
              </w:rPr>
              <w:t>5</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3"/>
              <w:ind w:left="115" w:right="96"/>
              <w:rPr>
                <w:sz w:val="21"/>
              </w:rPr>
            </w:pPr>
            <w:r>
              <w:rPr>
                <w:sz w:val="21"/>
              </w:rPr>
              <w:t>32</w:t>
            </w:r>
          </w:p>
        </w:tc>
        <w:tc>
          <w:tcPr>
            <w:tcW w:w="881" w:type="dxa"/>
            <w:tcBorders>
              <w:top w:val="single" w:color="000000" w:sz="4" w:space="0"/>
              <w:left w:val="single" w:color="000000" w:sz="4" w:space="0"/>
              <w:bottom w:val="single" w:color="000000" w:sz="4" w:space="0"/>
              <w:right w:val="single" w:color="000000" w:sz="4" w:space="0"/>
            </w:tcBorders>
          </w:tcPr>
          <w:p>
            <w:pPr>
              <w:pStyle w:val="19"/>
              <w:spacing w:before="113"/>
              <w:ind w:left="109" w:right="90"/>
              <w:rPr>
                <w:sz w:val="21"/>
              </w:rPr>
            </w:pPr>
            <w:r>
              <w:rPr>
                <w:sz w:val="21"/>
              </w:rPr>
              <w:t>1.00</w:t>
            </w:r>
          </w:p>
        </w:tc>
        <w:tc>
          <w:tcPr>
            <w:tcW w:w="812" w:type="dxa"/>
            <w:tcBorders>
              <w:top w:val="single" w:color="000000" w:sz="4" w:space="0"/>
              <w:left w:val="single" w:color="000000" w:sz="4" w:space="0"/>
              <w:bottom w:val="single" w:color="000000" w:sz="4" w:space="0"/>
            </w:tcBorders>
          </w:tcPr>
          <w:p>
            <w:pPr>
              <w:pStyle w:val="19"/>
              <w:spacing w:before="113"/>
              <w:ind w:left="232" w:right="209"/>
              <w:rPr>
                <w:sz w:val="21"/>
              </w:rPr>
            </w:pPr>
            <w:r>
              <w:rPr>
                <w:sz w:val="21"/>
              </w:rPr>
              <w:t>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51" w:type="dxa"/>
            <w:tcBorders>
              <w:top w:val="single" w:color="000000" w:sz="4" w:space="0"/>
              <w:bottom w:val="single" w:color="000000" w:sz="4" w:space="0"/>
              <w:right w:val="single" w:color="000000" w:sz="4" w:space="0"/>
            </w:tcBorders>
          </w:tcPr>
          <w:p>
            <w:pPr>
              <w:pStyle w:val="19"/>
              <w:spacing w:before="114"/>
              <w:ind w:right="156"/>
              <w:jc w:val="right"/>
              <w:rPr>
                <w:sz w:val="21"/>
              </w:rPr>
            </w:pPr>
            <w:r>
              <w:rPr>
                <w:w w:val="99"/>
                <w:sz w:val="21"/>
              </w:rPr>
              <w:t>三</w:t>
            </w:r>
          </w:p>
        </w:tc>
        <w:tc>
          <w:tcPr>
            <w:tcW w:w="3720" w:type="dxa"/>
            <w:gridSpan w:val="2"/>
            <w:tcBorders>
              <w:top w:val="single" w:color="000000" w:sz="4" w:space="0"/>
              <w:left w:val="single" w:color="000000" w:sz="4" w:space="0"/>
              <w:bottom w:val="single" w:color="000000" w:sz="4" w:space="0"/>
              <w:right w:val="single" w:color="000000" w:sz="4" w:space="0"/>
            </w:tcBorders>
          </w:tcPr>
          <w:p>
            <w:pPr>
              <w:pStyle w:val="19"/>
              <w:spacing w:before="114"/>
              <w:ind w:left="1422" w:right="1407"/>
              <w:rPr>
                <w:sz w:val="21"/>
              </w:rPr>
            </w:pPr>
            <w:r>
              <w:rPr>
                <w:sz w:val="21"/>
              </w:rPr>
              <w:t>其他人员</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4"/>
              <w:ind w:left="17"/>
              <w:rPr>
                <w:sz w:val="21"/>
              </w:rPr>
            </w:pPr>
            <w:r>
              <w:rPr>
                <w:w w:val="99"/>
                <w:sz w:val="21"/>
              </w:rPr>
              <w:t>5</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4"/>
              <w:ind w:left="17"/>
              <w:rPr>
                <w:sz w:val="21"/>
              </w:rPr>
            </w:pPr>
            <w:r>
              <w:rPr>
                <w:w w:val="99"/>
                <w:sz w:val="21"/>
              </w:rPr>
              <w:t>5</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4"/>
              <w:ind w:left="297"/>
              <w:jc w:val="left"/>
              <w:rPr>
                <w:sz w:val="21"/>
              </w:rPr>
            </w:pPr>
            <w:r>
              <w:rPr>
                <w:w w:val="99"/>
                <w:sz w:val="21"/>
              </w:rPr>
              <w:t>5</w:t>
            </w:r>
          </w:p>
        </w:tc>
        <w:tc>
          <w:tcPr>
            <w:tcW w:w="554" w:type="dxa"/>
            <w:tcBorders>
              <w:top w:val="single" w:color="000000" w:sz="4" w:space="0"/>
              <w:left w:val="single" w:color="000000" w:sz="4" w:space="0"/>
              <w:bottom w:val="single" w:color="000000" w:sz="4" w:space="0"/>
              <w:right w:val="single" w:color="000000" w:sz="4" w:space="0"/>
            </w:tcBorders>
          </w:tcPr>
          <w:p>
            <w:pPr>
              <w:pStyle w:val="19"/>
              <w:spacing w:before="114"/>
              <w:ind w:left="227"/>
              <w:jc w:val="left"/>
              <w:rPr>
                <w:sz w:val="21"/>
              </w:rPr>
            </w:pPr>
            <w:r>
              <w:rPr>
                <w:w w:val="99"/>
                <w:sz w:val="21"/>
              </w:rPr>
              <w:t>3</w:t>
            </w:r>
          </w:p>
        </w:tc>
        <w:tc>
          <w:tcPr>
            <w:tcW w:w="691" w:type="dxa"/>
            <w:tcBorders>
              <w:top w:val="single" w:color="000000" w:sz="4" w:space="0"/>
              <w:left w:val="single" w:color="000000" w:sz="4" w:space="0"/>
              <w:bottom w:val="single" w:color="000000" w:sz="4" w:space="0"/>
              <w:right w:val="single" w:color="000000" w:sz="4" w:space="0"/>
            </w:tcBorders>
          </w:tcPr>
          <w:p>
            <w:pPr>
              <w:pStyle w:val="19"/>
              <w:spacing w:before="114"/>
              <w:ind w:left="115" w:right="96"/>
              <w:rPr>
                <w:sz w:val="21"/>
              </w:rPr>
            </w:pPr>
            <w:r>
              <w:rPr>
                <w:sz w:val="21"/>
              </w:rPr>
              <w:t>18</w:t>
            </w:r>
          </w:p>
        </w:tc>
        <w:tc>
          <w:tcPr>
            <w:tcW w:w="881" w:type="dxa"/>
            <w:tcBorders>
              <w:top w:val="single" w:color="000000" w:sz="4" w:space="0"/>
              <w:left w:val="single" w:color="000000" w:sz="4" w:space="0"/>
              <w:bottom w:val="single" w:color="000000" w:sz="4" w:space="0"/>
              <w:right w:val="single" w:color="000000" w:sz="4" w:space="0"/>
            </w:tcBorders>
          </w:tcPr>
          <w:p>
            <w:pPr>
              <w:pStyle w:val="19"/>
              <w:spacing w:before="114"/>
              <w:ind w:left="109" w:right="90"/>
              <w:rPr>
                <w:sz w:val="21"/>
              </w:rPr>
            </w:pPr>
            <w:r>
              <w:rPr>
                <w:sz w:val="21"/>
              </w:rPr>
              <w:t>1.00</w:t>
            </w:r>
          </w:p>
        </w:tc>
        <w:tc>
          <w:tcPr>
            <w:tcW w:w="812" w:type="dxa"/>
            <w:tcBorders>
              <w:top w:val="single" w:color="000000" w:sz="4" w:space="0"/>
              <w:left w:val="single" w:color="000000" w:sz="4" w:space="0"/>
              <w:bottom w:val="single" w:color="000000" w:sz="4" w:space="0"/>
            </w:tcBorders>
          </w:tcPr>
          <w:p>
            <w:pPr>
              <w:pStyle w:val="19"/>
              <w:spacing w:before="114"/>
              <w:ind w:left="232" w:right="209"/>
              <w:rPr>
                <w:sz w:val="21"/>
              </w:rPr>
            </w:pPr>
            <w:r>
              <w:rPr>
                <w:sz w:val="21"/>
              </w:rPr>
              <w:t>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9" w:hRule="atLeast"/>
        </w:trPr>
        <w:tc>
          <w:tcPr>
            <w:tcW w:w="551" w:type="dxa"/>
            <w:tcBorders>
              <w:top w:val="single" w:color="000000" w:sz="4" w:space="0"/>
              <w:right w:val="single" w:color="000000" w:sz="4" w:space="0"/>
            </w:tcBorders>
          </w:tcPr>
          <w:p>
            <w:pPr>
              <w:pStyle w:val="19"/>
              <w:spacing w:before="113"/>
              <w:ind w:right="156"/>
              <w:jc w:val="right"/>
              <w:rPr>
                <w:sz w:val="21"/>
              </w:rPr>
            </w:pPr>
            <w:r>
              <w:rPr>
                <w:w w:val="99"/>
                <w:sz w:val="21"/>
              </w:rPr>
              <w:t>四</w:t>
            </w:r>
          </w:p>
        </w:tc>
        <w:tc>
          <w:tcPr>
            <w:tcW w:w="3720" w:type="dxa"/>
            <w:gridSpan w:val="2"/>
            <w:tcBorders>
              <w:top w:val="single" w:color="000000" w:sz="4" w:space="0"/>
              <w:left w:val="single" w:color="000000" w:sz="4" w:space="0"/>
              <w:right w:val="single" w:color="000000" w:sz="4" w:space="0"/>
            </w:tcBorders>
          </w:tcPr>
          <w:p>
            <w:pPr>
              <w:pStyle w:val="19"/>
              <w:spacing w:before="113"/>
              <w:ind w:left="1422" w:right="1407"/>
              <w:rPr>
                <w:sz w:val="21"/>
              </w:rPr>
            </w:pPr>
            <w:r>
              <w:rPr>
                <w:sz w:val="21"/>
              </w:rPr>
              <w:t>全部定员</w:t>
            </w:r>
          </w:p>
        </w:tc>
        <w:tc>
          <w:tcPr>
            <w:tcW w:w="691" w:type="dxa"/>
            <w:tcBorders>
              <w:top w:val="single" w:color="000000" w:sz="4" w:space="0"/>
              <w:left w:val="single" w:color="000000" w:sz="4" w:space="0"/>
              <w:right w:val="single" w:color="000000" w:sz="4" w:space="0"/>
            </w:tcBorders>
          </w:tcPr>
          <w:p>
            <w:pPr>
              <w:pStyle w:val="19"/>
              <w:spacing w:before="113"/>
              <w:ind w:left="17"/>
              <w:rPr>
                <w:sz w:val="21"/>
              </w:rPr>
            </w:pPr>
            <w:r>
              <w:rPr>
                <w:w w:val="99"/>
                <w:sz w:val="21"/>
              </w:rPr>
              <w:t>/</w:t>
            </w:r>
          </w:p>
        </w:tc>
        <w:tc>
          <w:tcPr>
            <w:tcW w:w="691" w:type="dxa"/>
            <w:tcBorders>
              <w:top w:val="single" w:color="000000" w:sz="4" w:space="0"/>
              <w:left w:val="single" w:color="000000" w:sz="4" w:space="0"/>
              <w:right w:val="single" w:color="000000" w:sz="4" w:space="0"/>
            </w:tcBorders>
          </w:tcPr>
          <w:p>
            <w:pPr>
              <w:pStyle w:val="19"/>
              <w:spacing w:before="113"/>
              <w:ind w:left="17"/>
              <w:rPr>
                <w:sz w:val="21"/>
              </w:rPr>
            </w:pPr>
            <w:r>
              <w:rPr>
                <w:w w:val="99"/>
                <w:sz w:val="21"/>
              </w:rPr>
              <w:t>/</w:t>
            </w:r>
          </w:p>
        </w:tc>
        <w:tc>
          <w:tcPr>
            <w:tcW w:w="691" w:type="dxa"/>
            <w:tcBorders>
              <w:top w:val="single" w:color="000000" w:sz="4" w:space="0"/>
              <w:left w:val="single" w:color="000000" w:sz="4" w:space="0"/>
              <w:right w:val="single" w:color="000000" w:sz="4" w:space="0"/>
            </w:tcBorders>
          </w:tcPr>
          <w:p>
            <w:pPr>
              <w:pStyle w:val="19"/>
              <w:spacing w:before="113"/>
              <w:ind w:left="297"/>
              <w:jc w:val="left"/>
              <w:rPr>
                <w:sz w:val="21"/>
              </w:rPr>
            </w:pPr>
            <w:r>
              <w:rPr>
                <w:w w:val="99"/>
                <w:sz w:val="21"/>
              </w:rPr>
              <w:t>/</w:t>
            </w:r>
          </w:p>
        </w:tc>
        <w:tc>
          <w:tcPr>
            <w:tcW w:w="554" w:type="dxa"/>
            <w:tcBorders>
              <w:top w:val="single" w:color="000000" w:sz="4" w:space="0"/>
              <w:left w:val="single" w:color="000000" w:sz="4" w:space="0"/>
              <w:right w:val="single" w:color="000000" w:sz="4" w:space="0"/>
            </w:tcBorders>
          </w:tcPr>
          <w:p>
            <w:pPr>
              <w:pStyle w:val="19"/>
              <w:spacing w:before="113"/>
              <w:ind w:left="227"/>
              <w:jc w:val="left"/>
              <w:rPr>
                <w:sz w:val="21"/>
              </w:rPr>
            </w:pPr>
            <w:r>
              <w:rPr>
                <w:w w:val="99"/>
                <w:sz w:val="21"/>
              </w:rPr>
              <w:t>/</w:t>
            </w:r>
          </w:p>
        </w:tc>
        <w:tc>
          <w:tcPr>
            <w:tcW w:w="691" w:type="dxa"/>
            <w:tcBorders>
              <w:top w:val="single" w:color="000000" w:sz="4" w:space="0"/>
              <w:left w:val="single" w:color="000000" w:sz="4" w:space="0"/>
              <w:right w:val="single" w:color="000000" w:sz="4" w:space="0"/>
            </w:tcBorders>
          </w:tcPr>
          <w:p>
            <w:pPr>
              <w:pStyle w:val="19"/>
              <w:spacing w:before="113"/>
              <w:ind w:left="115" w:right="96"/>
              <w:rPr>
                <w:sz w:val="21"/>
              </w:rPr>
            </w:pPr>
            <w:r>
              <w:rPr>
                <w:sz w:val="21"/>
              </w:rPr>
              <w:t>314</w:t>
            </w:r>
          </w:p>
        </w:tc>
        <w:tc>
          <w:tcPr>
            <w:tcW w:w="881" w:type="dxa"/>
            <w:tcBorders>
              <w:top w:val="single" w:color="000000" w:sz="4" w:space="0"/>
              <w:left w:val="single" w:color="000000" w:sz="4" w:space="0"/>
              <w:right w:val="single" w:color="000000" w:sz="4" w:space="0"/>
            </w:tcBorders>
          </w:tcPr>
          <w:p>
            <w:pPr>
              <w:pStyle w:val="19"/>
              <w:spacing w:before="113"/>
              <w:ind w:left="16"/>
              <w:rPr>
                <w:sz w:val="21"/>
              </w:rPr>
            </w:pPr>
            <w:r>
              <w:rPr>
                <w:w w:val="99"/>
                <w:sz w:val="21"/>
              </w:rPr>
              <w:t>/</w:t>
            </w:r>
          </w:p>
        </w:tc>
        <w:tc>
          <w:tcPr>
            <w:tcW w:w="812" w:type="dxa"/>
            <w:tcBorders>
              <w:top w:val="single" w:color="000000" w:sz="4" w:space="0"/>
              <w:left w:val="single" w:color="000000" w:sz="4" w:space="0"/>
            </w:tcBorders>
          </w:tcPr>
          <w:p>
            <w:pPr>
              <w:pStyle w:val="19"/>
              <w:spacing w:before="113"/>
              <w:ind w:left="232" w:right="209"/>
              <w:rPr>
                <w:sz w:val="21"/>
              </w:rPr>
            </w:pPr>
            <w:r>
              <w:rPr>
                <w:sz w:val="21"/>
              </w:rPr>
              <w:t>405</w:t>
            </w:r>
          </w:p>
        </w:tc>
      </w:tr>
    </w:tbl>
    <w:p>
      <w:pPr>
        <w:pStyle w:val="6"/>
        <w:numPr>
          <w:ilvl w:val="2"/>
          <w:numId w:val="28"/>
        </w:numPr>
        <w:tabs>
          <w:tab w:val="left" w:pos="989"/>
        </w:tabs>
        <w:spacing w:before="3" w:after="0" w:line="240" w:lineRule="auto"/>
        <w:ind w:left="988" w:right="0" w:hanging="771"/>
        <w:jc w:val="left"/>
      </w:pPr>
      <w:bookmarkStart w:id="156" w:name="2.2.10项目实施计划"/>
      <w:bookmarkEnd w:id="156"/>
      <w:bookmarkStart w:id="157" w:name="2.2.10项目实施计划"/>
      <w:bookmarkEnd w:id="157"/>
      <w:r>
        <w:t>项目实施计划</w:t>
      </w:r>
    </w:p>
    <w:p>
      <w:pPr>
        <w:pStyle w:val="9"/>
        <w:spacing w:before="186"/>
        <w:ind w:left="698"/>
      </w:pPr>
      <w:r>
        <w:t xml:space="preserve">根据矿井建设工期安排，确定矿井建设工期为 </w:t>
      </w:r>
      <w:r>
        <w:rPr>
          <w:rFonts w:ascii="Times New Roman" w:eastAsia="Times New Roman"/>
        </w:rPr>
        <w:t xml:space="preserve">21 </w:t>
      </w:r>
      <w:r>
        <w:t>个月。</w:t>
      </w:r>
    </w:p>
    <w:p>
      <w:pPr>
        <w:pStyle w:val="6"/>
        <w:numPr>
          <w:ilvl w:val="2"/>
          <w:numId w:val="28"/>
        </w:numPr>
        <w:tabs>
          <w:tab w:val="left" w:pos="972"/>
        </w:tabs>
        <w:spacing w:before="158" w:after="0" w:line="240" w:lineRule="auto"/>
        <w:ind w:left="972" w:right="0" w:hanging="754"/>
        <w:jc w:val="left"/>
      </w:pPr>
      <w:bookmarkStart w:id="158" w:name="2.2.11工程总投资及资金筹措"/>
      <w:bookmarkEnd w:id="158"/>
      <w:bookmarkStart w:id="159" w:name="2.2.11工程总投资及资金筹措"/>
      <w:bookmarkEnd w:id="159"/>
      <w:r>
        <w:t>工程总投资及资金筹措</w:t>
      </w:r>
    </w:p>
    <w:p>
      <w:pPr>
        <w:spacing w:before="186"/>
        <w:ind w:left="698" w:right="0" w:firstLine="0"/>
        <w:jc w:val="left"/>
        <w:rPr>
          <w:sz w:val="24"/>
        </w:rPr>
      </w:pPr>
      <w:r>
        <w:rPr>
          <w:spacing w:val="-7"/>
          <w:sz w:val="24"/>
        </w:rPr>
        <w:t xml:space="preserve">矿井建设总投资为 </w:t>
      </w:r>
      <w:r>
        <w:rPr>
          <w:sz w:val="21"/>
        </w:rPr>
        <w:t>4036.6</w:t>
      </w:r>
      <w:r>
        <w:rPr>
          <w:spacing w:val="-54"/>
          <w:sz w:val="21"/>
        </w:rPr>
        <w:t xml:space="preserve"> </w:t>
      </w:r>
      <w:r>
        <w:rPr>
          <w:sz w:val="24"/>
        </w:rPr>
        <w:t>万元。工程主要技术经济指标见下表。</w:t>
      </w:r>
    </w:p>
    <w:p>
      <w:pPr>
        <w:spacing w:before="159" w:after="2"/>
        <w:ind w:left="303" w:right="330" w:firstLine="0"/>
        <w:jc w:val="center"/>
        <w:rPr>
          <w:b/>
          <w:sz w:val="21"/>
        </w:rPr>
      </w:pPr>
      <w:r>
        <w:rPr>
          <w:b/>
          <w:spacing w:val="-26"/>
          <w:sz w:val="21"/>
        </w:rPr>
        <w:t xml:space="preserve">表 </w:t>
      </w:r>
      <w:r>
        <w:rPr>
          <w:rFonts w:ascii="Times New Roman" w:eastAsia="Times New Roman"/>
          <w:b/>
          <w:sz w:val="21"/>
        </w:rPr>
        <w:t>2.2-3</w:t>
      </w:r>
      <w:r>
        <w:rPr>
          <w:rFonts w:ascii="Times New Roman" w:eastAsia="Times New Roman"/>
          <w:b/>
          <w:spacing w:val="52"/>
          <w:sz w:val="21"/>
        </w:rPr>
        <w:t xml:space="preserve"> </w:t>
      </w:r>
      <w:r>
        <w:rPr>
          <w:b/>
          <w:sz w:val="21"/>
        </w:rPr>
        <w:t>矿井设计主要技术经济指标表</w:t>
      </w:r>
    </w:p>
    <w:tbl>
      <w:tblPr>
        <w:tblStyle w:val="15"/>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68"/>
        <w:gridCol w:w="3276"/>
        <w:gridCol w:w="994"/>
        <w:gridCol w:w="1998"/>
        <w:gridCol w:w="18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1168" w:type="dxa"/>
            <w:tcBorders>
              <w:bottom w:val="single" w:color="000000" w:sz="4" w:space="0"/>
              <w:right w:val="single" w:color="000000" w:sz="4" w:space="0"/>
            </w:tcBorders>
          </w:tcPr>
          <w:p>
            <w:pPr>
              <w:pStyle w:val="19"/>
              <w:spacing w:before="23"/>
              <w:ind w:left="243" w:right="234"/>
              <w:rPr>
                <w:sz w:val="21"/>
              </w:rPr>
            </w:pPr>
            <w:bookmarkStart w:id="160" w:name="_bookmark16"/>
            <w:bookmarkEnd w:id="160"/>
            <w:r>
              <w:rPr>
                <w:sz w:val="21"/>
              </w:rPr>
              <w:t>序号</w:t>
            </w:r>
          </w:p>
        </w:tc>
        <w:tc>
          <w:tcPr>
            <w:tcW w:w="3276" w:type="dxa"/>
            <w:tcBorders>
              <w:left w:val="single" w:color="000000" w:sz="4" w:space="0"/>
              <w:bottom w:val="single" w:color="000000" w:sz="4" w:space="0"/>
              <w:right w:val="single" w:color="000000" w:sz="4" w:space="0"/>
            </w:tcBorders>
          </w:tcPr>
          <w:p>
            <w:pPr>
              <w:pStyle w:val="19"/>
              <w:spacing w:before="23"/>
              <w:ind w:left="465" w:right="448"/>
              <w:rPr>
                <w:sz w:val="21"/>
              </w:rPr>
            </w:pPr>
            <w:r>
              <w:rPr>
                <w:sz w:val="21"/>
              </w:rPr>
              <w:t>指标名称</w:t>
            </w:r>
          </w:p>
        </w:tc>
        <w:tc>
          <w:tcPr>
            <w:tcW w:w="994" w:type="dxa"/>
            <w:tcBorders>
              <w:left w:val="single" w:color="000000" w:sz="4" w:space="0"/>
              <w:bottom w:val="single" w:color="000000" w:sz="4" w:space="0"/>
              <w:right w:val="single" w:color="000000" w:sz="4" w:space="0"/>
            </w:tcBorders>
          </w:tcPr>
          <w:p>
            <w:pPr>
              <w:pStyle w:val="19"/>
              <w:spacing w:before="23"/>
              <w:ind w:left="165" w:right="148"/>
              <w:rPr>
                <w:sz w:val="21"/>
              </w:rPr>
            </w:pPr>
            <w:r>
              <w:rPr>
                <w:sz w:val="21"/>
              </w:rPr>
              <w:t>单位</w:t>
            </w:r>
          </w:p>
        </w:tc>
        <w:tc>
          <w:tcPr>
            <w:tcW w:w="1998" w:type="dxa"/>
            <w:tcBorders>
              <w:left w:val="single" w:color="000000" w:sz="4" w:space="0"/>
              <w:bottom w:val="single" w:color="000000" w:sz="4" w:space="0"/>
              <w:right w:val="single" w:color="000000" w:sz="4" w:space="0"/>
            </w:tcBorders>
          </w:tcPr>
          <w:p>
            <w:pPr>
              <w:pStyle w:val="19"/>
              <w:spacing w:before="23"/>
              <w:ind w:left="351" w:right="336"/>
              <w:rPr>
                <w:sz w:val="21"/>
              </w:rPr>
            </w:pPr>
            <w:r>
              <w:rPr>
                <w:sz w:val="21"/>
              </w:rPr>
              <w:t>指标</w:t>
            </w:r>
          </w:p>
        </w:tc>
        <w:tc>
          <w:tcPr>
            <w:tcW w:w="1846" w:type="dxa"/>
            <w:tcBorders>
              <w:left w:val="single" w:color="000000" w:sz="4" w:space="0"/>
              <w:bottom w:val="single" w:color="000000" w:sz="4" w:space="0"/>
            </w:tcBorders>
          </w:tcPr>
          <w:p>
            <w:pPr>
              <w:pStyle w:val="19"/>
              <w:spacing w:before="23"/>
              <w:ind w:left="432" w:right="411"/>
              <w:rPr>
                <w:sz w:val="21"/>
              </w:rPr>
            </w:pPr>
            <w:r>
              <w:rPr>
                <w:sz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13"/>
              <w:rPr>
                <w:sz w:val="21"/>
              </w:rPr>
            </w:pPr>
            <w:r>
              <w:rPr>
                <w:w w:val="99"/>
                <w:sz w:val="21"/>
              </w:rPr>
              <w:t>1</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5" w:right="448"/>
              <w:rPr>
                <w:sz w:val="21"/>
              </w:rPr>
            </w:pPr>
            <w:r>
              <w:rPr>
                <w:sz w:val="21"/>
              </w:rPr>
              <w:t>井田范围</w:t>
            </w:r>
          </w:p>
        </w:tc>
        <w:tc>
          <w:tcPr>
            <w:tcW w:w="9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1.1</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5" w:right="448"/>
              <w:rPr>
                <w:sz w:val="21"/>
              </w:rPr>
            </w:pPr>
            <w:r>
              <w:rPr>
                <w:sz w:val="21"/>
              </w:rPr>
              <w:t>井田面积</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66" w:right="148"/>
              <w:rPr>
                <w:sz w:val="21"/>
              </w:rPr>
            </w:pPr>
            <w:r>
              <w:rPr>
                <w:sz w:val="21"/>
              </w:rPr>
              <w:t>km²</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351" w:right="332"/>
              <w:rPr>
                <w:sz w:val="21"/>
              </w:rPr>
            </w:pPr>
            <w:r>
              <w:rPr>
                <w:sz w:val="21"/>
              </w:rPr>
              <w:t>7.14</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1.2</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5" w:right="448"/>
              <w:rPr>
                <w:sz w:val="21"/>
              </w:rPr>
            </w:pPr>
            <w:r>
              <w:rPr>
                <w:sz w:val="21"/>
              </w:rPr>
              <w:t>开采深度</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6"/>
              <w:rPr>
                <w:sz w:val="21"/>
              </w:rPr>
            </w:pPr>
            <w:r>
              <w:rPr>
                <w:w w:val="99"/>
                <w:sz w:val="21"/>
              </w:rPr>
              <w:t>m</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351" w:right="335"/>
              <w:rPr>
                <w:sz w:val="21"/>
              </w:rPr>
            </w:pPr>
            <w:r>
              <w:rPr>
                <w:sz w:val="21"/>
              </w:rPr>
              <w:t>+350m～-250m</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13"/>
              <w:rPr>
                <w:sz w:val="21"/>
              </w:rPr>
            </w:pPr>
            <w:r>
              <w:rPr>
                <w:w w:val="99"/>
                <w:sz w:val="21"/>
              </w:rPr>
              <w:t>2</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3" w:right="448"/>
              <w:rPr>
                <w:sz w:val="21"/>
              </w:rPr>
            </w:pPr>
            <w:r>
              <w:rPr>
                <w:sz w:val="21"/>
              </w:rPr>
              <w:t>煤层</w:t>
            </w:r>
          </w:p>
        </w:tc>
        <w:tc>
          <w:tcPr>
            <w:tcW w:w="9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2.1</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5" w:right="448"/>
              <w:rPr>
                <w:sz w:val="21"/>
              </w:rPr>
            </w:pPr>
            <w:r>
              <w:rPr>
                <w:sz w:val="21"/>
              </w:rPr>
              <w:t>可采煤层数</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9"/>
              <w:rPr>
                <w:sz w:val="21"/>
              </w:rPr>
            </w:pPr>
            <w:r>
              <w:rPr>
                <w:w w:val="99"/>
                <w:sz w:val="21"/>
              </w:rPr>
              <w:t>层</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19"/>
              <w:rPr>
                <w:sz w:val="21"/>
              </w:rPr>
            </w:pPr>
            <w:r>
              <w:rPr>
                <w:w w:val="99"/>
                <w:sz w:val="21"/>
              </w:rPr>
              <w:t>5</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2.2</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8" w:right="448"/>
              <w:rPr>
                <w:sz w:val="21"/>
              </w:rPr>
            </w:pPr>
            <w:r>
              <w:rPr>
                <w:sz w:val="21"/>
              </w:rPr>
              <w:t>可采煤层总厚度（平均）</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6"/>
              <w:rPr>
                <w:sz w:val="21"/>
              </w:rPr>
            </w:pPr>
            <w:r>
              <w:rPr>
                <w:w w:val="99"/>
                <w:sz w:val="21"/>
              </w:rPr>
              <w:t>m</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351" w:right="332"/>
              <w:rPr>
                <w:sz w:val="21"/>
              </w:rPr>
            </w:pPr>
            <w:r>
              <w:rPr>
                <w:sz w:val="21"/>
              </w:rPr>
              <w:t>4.05</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247" w:right="234"/>
              <w:rPr>
                <w:sz w:val="21"/>
              </w:rPr>
            </w:pPr>
            <w:r>
              <w:rPr>
                <w:sz w:val="21"/>
              </w:rPr>
              <w:t>2.3</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3" w:right="448"/>
              <w:rPr>
                <w:sz w:val="21"/>
              </w:rPr>
            </w:pPr>
            <w:r>
              <w:rPr>
                <w:sz w:val="21"/>
              </w:rPr>
              <w:t>首采煤层厚度（平均）</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9"/>
              <w:ind w:left="16"/>
              <w:rPr>
                <w:sz w:val="21"/>
              </w:rPr>
            </w:pPr>
            <w:r>
              <w:rPr>
                <w:w w:val="99"/>
                <w:sz w:val="21"/>
              </w:rPr>
              <w:t>m</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9"/>
              <w:ind w:left="351" w:right="332"/>
              <w:rPr>
                <w:sz w:val="21"/>
              </w:rPr>
            </w:pPr>
            <w:r>
              <w:rPr>
                <w:sz w:val="21"/>
              </w:rPr>
              <w:t>1.74</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2.4</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5" w:right="448"/>
              <w:rPr>
                <w:sz w:val="21"/>
              </w:rPr>
            </w:pPr>
            <w:r>
              <w:rPr>
                <w:sz w:val="21"/>
              </w:rPr>
              <w:t>煤层倾角</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66" w:right="148"/>
              <w:rPr>
                <w:sz w:val="21"/>
              </w:rPr>
            </w:pPr>
            <w:r>
              <w:rPr>
                <w:sz w:val="21"/>
              </w:rPr>
              <w:t>(°)</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351" w:right="333"/>
              <w:rPr>
                <w:sz w:val="21"/>
              </w:rPr>
            </w:pPr>
            <w:r>
              <w:rPr>
                <w:sz w:val="21"/>
              </w:rPr>
              <w:t>6°～15°</w:t>
            </w:r>
          </w:p>
        </w:tc>
        <w:tc>
          <w:tcPr>
            <w:tcW w:w="1846" w:type="dxa"/>
            <w:tcBorders>
              <w:top w:val="single" w:color="000000" w:sz="4" w:space="0"/>
              <w:left w:val="single" w:color="000000" w:sz="4" w:space="0"/>
              <w:bottom w:val="single" w:color="000000" w:sz="4" w:space="0"/>
            </w:tcBorders>
          </w:tcPr>
          <w:p>
            <w:pPr>
              <w:pStyle w:val="19"/>
              <w:spacing w:before="28"/>
              <w:ind w:left="434" w:right="411"/>
              <w:rPr>
                <w:sz w:val="21"/>
              </w:rPr>
            </w:pPr>
            <w:r>
              <w:rPr>
                <w:sz w:val="21"/>
              </w:rPr>
              <w:t>平均 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13"/>
              <w:rPr>
                <w:sz w:val="21"/>
              </w:rPr>
            </w:pPr>
            <w:r>
              <w:rPr>
                <w:w w:val="99"/>
                <w:sz w:val="21"/>
              </w:rPr>
              <w:t>3</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3" w:right="448"/>
              <w:rPr>
                <w:sz w:val="21"/>
              </w:rPr>
            </w:pPr>
            <w:r>
              <w:rPr>
                <w:sz w:val="21"/>
              </w:rPr>
              <w:t>资源/储量</w:t>
            </w:r>
          </w:p>
        </w:tc>
        <w:tc>
          <w:tcPr>
            <w:tcW w:w="9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247" w:right="234"/>
              <w:rPr>
                <w:sz w:val="21"/>
              </w:rPr>
            </w:pPr>
            <w:r>
              <w:rPr>
                <w:sz w:val="21"/>
              </w:rPr>
              <w:t>3.2</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3" w:right="448"/>
              <w:rPr>
                <w:sz w:val="21"/>
              </w:rPr>
            </w:pPr>
            <w:r>
              <w:rPr>
                <w:sz w:val="21"/>
              </w:rPr>
              <w:t>工业资源/储量</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9"/>
              <w:ind w:left="166" w:right="148"/>
              <w:rPr>
                <w:sz w:val="21"/>
              </w:rPr>
            </w:pPr>
            <w:r>
              <w:rPr>
                <w:sz w:val="21"/>
              </w:rPr>
              <w:t>万 t</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9"/>
              <w:ind w:left="351" w:right="335"/>
              <w:rPr>
                <w:sz w:val="21"/>
              </w:rPr>
            </w:pPr>
            <w:r>
              <w:rPr>
                <w:sz w:val="21"/>
              </w:rPr>
              <w:t>1346.2</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68" w:type="dxa"/>
            <w:tcBorders>
              <w:top w:val="single" w:color="000000" w:sz="4" w:space="0"/>
              <w:right w:val="single" w:color="000000" w:sz="4" w:space="0"/>
            </w:tcBorders>
          </w:tcPr>
          <w:p>
            <w:pPr>
              <w:pStyle w:val="19"/>
              <w:spacing w:before="28"/>
              <w:ind w:left="247" w:right="234"/>
              <w:rPr>
                <w:sz w:val="21"/>
              </w:rPr>
            </w:pPr>
            <w:r>
              <w:rPr>
                <w:sz w:val="21"/>
              </w:rPr>
              <w:t>3.3</w:t>
            </w:r>
          </w:p>
        </w:tc>
        <w:tc>
          <w:tcPr>
            <w:tcW w:w="3276" w:type="dxa"/>
            <w:tcBorders>
              <w:top w:val="single" w:color="000000" w:sz="4" w:space="0"/>
              <w:left w:val="single" w:color="000000" w:sz="4" w:space="0"/>
              <w:right w:val="single" w:color="000000" w:sz="4" w:space="0"/>
            </w:tcBorders>
          </w:tcPr>
          <w:p>
            <w:pPr>
              <w:pStyle w:val="19"/>
              <w:spacing w:before="28"/>
              <w:ind w:left="463" w:right="448"/>
              <w:rPr>
                <w:sz w:val="21"/>
              </w:rPr>
            </w:pPr>
            <w:r>
              <w:rPr>
                <w:sz w:val="21"/>
              </w:rPr>
              <w:t>设计可采储量</w:t>
            </w:r>
          </w:p>
        </w:tc>
        <w:tc>
          <w:tcPr>
            <w:tcW w:w="994" w:type="dxa"/>
            <w:tcBorders>
              <w:top w:val="single" w:color="000000" w:sz="4" w:space="0"/>
              <w:left w:val="single" w:color="000000" w:sz="4" w:space="0"/>
              <w:right w:val="single" w:color="000000" w:sz="4" w:space="0"/>
            </w:tcBorders>
          </w:tcPr>
          <w:p>
            <w:pPr>
              <w:pStyle w:val="19"/>
              <w:spacing w:before="28"/>
              <w:ind w:left="166" w:right="148"/>
              <w:rPr>
                <w:sz w:val="21"/>
              </w:rPr>
            </w:pPr>
            <w:r>
              <w:rPr>
                <w:sz w:val="21"/>
              </w:rPr>
              <w:t>万 t</w:t>
            </w:r>
          </w:p>
        </w:tc>
        <w:tc>
          <w:tcPr>
            <w:tcW w:w="1998" w:type="dxa"/>
            <w:tcBorders>
              <w:top w:val="single" w:color="000000" w:sz="4" w:space="0"/>
              <w:left w:val="single" w:color="000000" w:sz="4" w:space="0"/>
              <w:right w:val="single" w:color="000000" w:sz="4" w:space="0"/>
            </w:tcBorders>
          </w:tcPr>
          <w:p>
            <w:pPr>
              <w:pStyle w:val="19"/>
              <w:spacing w:before="28"/>
              <w:ind w:left="351" w:right="335"/>
              <w:rPr>
                <w:sz w:val="21"/>
              </w:rPr>
            </w:pPr>
            <w:r>
              <w:rPr>
                <w:sz w:val="21"/>
              </w:rPr>
              <w:t>645.38</w:t>
            </w:r>
          </w:p>
        </w:tc>
        <w:tc>
          <w:tcPr>
            <w:tcW w:w="1846" w:type="dxa"/>
            <w:tcBorders>
              <w:top w:val="single" w:color="000000" w:sz="4" w:space="0"/>
              <w:left w:val="single" w:color="000000" w:sz="4" w:space="0"/>
            </w:tcBorders>
          </w:tcPr>
          <w:p>
            <w:pPr>
              <w:pStyle w:val="19"/>
              <w:jc w:val="left"/>
              <w:rPr>
                <w:rFonts w:ascii="Times New Roman"/>
                <w:sz w:val="20"/>
              </w:rPr>
            </w:pPr>
          </w:p>
        </w:tc>
      </w:tr>
    </w:tbl>
    <w:p>
      <w:pPr>
        <w:spacing w:after="0"/>
        <w:jc w:val="left"/>
        <w:rPr>
          <w:rFonts w:ascii="Times New Roman"/>
          <w:sz w:val="20"/>
        </w:rPr>
        <w:sectPr>
          <w:pgSz w:w="11910" w:h="16840"/>
          <w:pgMar w:top="1340" w:right="1160" w:bottom="1180" w:left="1200" w:header="0" w:footer="913" w:gutter="0"/>
        </w:sectPr>
      </w:pPr>
    </w:p>
    <w:tbl>
      <w:tblPr>
        <w:tblStyle w:val="15"/>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68"/>
        <w:gridCol w:w="3276"/>
        <w:gridCol w:w="994"/>
        <w:gridCol w:w="1998"/>
        <w:gridCol w:w="18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1168" w:type="dxa"/>
            <w:tcBorders>
              <w:bottom w:val="single" w:color="000000" w:sz="4" w:space="0"/>
              <w:right w:val="single" w:color="000000" w:sz="4" w:space="0"/>
            </w:tcBorders>
          </w:tcPr>
          <w:p>
            <w:pPr>
              <w:pStyle w:val="19"/>
              <w:spacing w:before="23"/>
              <w:ind w:left="243" w:right="234"/>
              <w:rPr>
                <w:sz w:val="21"/>
              </w:rPr>
            </w:pPr>
            <w:r>
              <w:rPr>
                <w:sz w:val="21"/>
              </w:rPr>
              <w:t>序号</w:t>
            </w:r>
          </w:p>
        </w:tc>
        <w:tc>
          <w:tcPr>
            <w:tcW w:w="3276" w:type="dxa"/>
            <w:tcBorders>
              <w:left w:val="single" w:color="000000" w:sz="4" w:space="0"/>
              <w:bottom w:val="single" w:color="000000" w:sz="4" w:space="0"/>
              <w:right w:val="single" w:color="000000" w:sz="4" w:space="0"/>
            </w:tcBorders>
          </w:tcPr>
          <w:p>
            <w:pPr>
              <w:pStyle w:val="19"/>
              <w:spacing w:before="23"/>
              <w:ind w:left="465" w:right="448"/>
              <w:rPr>
                <w:sz w:val="21"/>
              </w:rPr>
            </w:pPr>
            <w:r>
              <w:rPr>
                <w:sz w:val="21"/>
              </w:rPr>
              <w:t>指标名称</w:t>
            </w:r>
          </w:p>
        </w:tc>
        <w:tc>
          <w:tcPr>
            <w:tcW w:w="994" w:type="dxa"/>
            <w:tcBorders>
              <w:left w:val="single" w:color="000000" w:sz="4" w:space="0"/>
              <w:bottom w:val="single" w:color="000000" w:sz="4" w:space="0"/>
              <w:right w:val="single" w:color="000000" w:sz="4" w:space="0"/>
            </w:tcBorders>
          </w:tcPr>
          <w:p>
            <w:pPr>
              <w:pStyle w:val="19"/>
              <w:spacing w:before="23"/>
              <w:ind w:left="165" w:right="148"/>
              <w:rPr>
                <w:sz w:val="21"/>
              </w:rPr>
            </w:pPr>
            <w:r>
              <w:rPr>
                <w:sz w:val="21"/>
              </w:rPr>
              <w:t>单位</w:t>
            </w:r>
          </w:p>
        </w:tc>
        <w:tc>
          <w:tcPr>
            <w:tcW w:w="1998" w:type="dxa"/>
            <w:tcBorders>
              <w:left w:val="single" w:color="000000" w:sz="4" w:space="0"/>
              <w:bottom w:val="single" w:color="000000" w:sz="4" w:space="0"/>
              <w:right w:val="single" w:color="000000" w:sz="4" w:space="0"/>
            </w:tcBorders>
          </w:tcPr>
          <w:p>
            <w:pPr>
              <w:pStyle w:val="19"/>
              <w:spacing w:before="23"/>
              <w:ind w:left="351" w:right="336"/>
              <w:rPr>
                <w:sz w:val="21"/>
              </w:rPr>
            </w:pPr>
            <w:r>
              <w:rPr>
                <w:sz w:val="21"/>
              </w:rPr>
              <w:t>指标</w:t>
            </w:r>
          </w:p>
        </w:tc>
        <w:tc>
          <w:tcPr>
            <w:tcW w:w="1846" w:type="dxa"/>
            <w:tcBorders>
              <w:left w:val="single" w:color="000000" w:sz="4" w:space="0"/>
              <w:bottom w:val="single" w:color="000000" w:sz="4" w:space="0"/>
            </w:tcBorders>
          </w:tcPr>
          <w:p>
            <w:pPr>
              <w:pStyle w:val="19"/>
              <w:spacing w:before="23"/>
              <w:ind w:left="432" w:right="411"/>
              <w:rPr>
                <w:sz w:val="21"/>
              </w:rPr>
            </w:pPr>
            <w:r>
              <w:rPr>
                <w:sz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13"/>
              <w:rPr>
                <w:sz w:val="21"/>
              </w:rPr>
            </w:pPr>
            <w:r>
              <w:rPr>
                <w:w w:val="99"/>
                <w:sz w:val="21"/>
              </w:rPr>
              <w:t>4</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3" w:right="448"/>
              <w:rPr>
                <w:sz w:val="21"/>
              </w:rPr>
            </w:pPr>
            <w:r>
              <w:rPr>
                <w:sz w:val="21"/>
              </w:rPr>
              <w:t>煤类</w:t>
            </w:r>
          </w:p>
        </w:tc>
        <w:tc>
          <w:tcPr>
            <w:tcW w:w="9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9"/>
              <w:ind w:left="351" w:right="336"/>
              <w:rPr>
                <w:sz w:val="21"/>
              </w:rPr>
            </w:pPr>
            <w:r>
              <w:rPr>
                <w:sz w:val="21"/>
              </w:rPr>
              <w:t>气煤、肥气煤</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13"/>
              <w:rPr>
                <w:sz w:val="21"/>
              </w:rPr>
            </w:pPr>
            <w:r>
              <w:rPr>
                <w:w w:val="99"/>
                <w:sz w:val="21"/>
              </w:rPr>
              <w:t>5</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3" w:right="448"/>
              <w:rPr>
                <w:sz w:val="21"/>
              </w:rPr>
            </w:pPr>
            <w:r>
              <w:rPr>
                <w:sz w:val="21"/>
              </w:rPr>
              <w:t>煤质</w:t>
            </w:r>
          </w:p>
        </w:tc>
        <w:tc>
          <w:tcPr>
            <w:tcW w:w="9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5.1</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6" w:right="448"/>
              <w:rPr>
                <w:sz w:val="21"/>
              </w:rPr>
            </w:pPr>
            <w:r>
              <w:rPr>
                <w:sz w:val="21"/>
              </w:rPr>
              <w:t>原煤灰分 Ad</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6"/>
              <w:rPr>
                <w:sz w:val="21"/>
              </w:rPr>
            </w:pPr>
            <w:r>
              <w:rPr>
                <w:w w:val="99"/>
                <w:sz w:val="21"/>
              </w:rPr>
              <w:t>%</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351" w:right="335"/>
              <w:rPr>
                <w:sz w:val="21"/>
              </w:rPr>
            </w:pPr>
            <w:r>
              <w:rPr>
                <w:sz w:val="21"/>
              </w:rPr>
              <w:t>12.73～40.44</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247" w:right="234"/>
              <w:rPr>
                <w:sz w:val="21"/>
              </w:rPr>
            </w:pPr>
            <w:r>
              <w:rPr>
                <w:sz w:val="21"/>
              </w:rPr>
              <w:t>5.2</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4" w:right="448"/>
              <w:rPr>
                <w:sz w:val="21"/>
              </w:rPr>
            </w:pPr>
            <w:r>
              <w:rPr>
                <w:sz w:val="21"/>
              </w:rPr>
              <w:t>原煤硫分 St·d</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9"/>
              <w:ind w:left="16"/>
              <w:rPr>
                <w:sz w:val="21"/>
              </w:rPr>
            </w:pPr>
            <w:r>
              <w:rPr>
                <w:w w:val="99"/>
                <w:sz w:val="21"/>
              </w:rPr>
              <w:t>%</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9"/>
              <w:ind w:left="351" w:right="332"/>
              <w:rPr>
                <w:sz w:val="21"/>
              </w:rPr>
            </w:pPr>
            <w:r>
              <w:rPr>
                <w:sz w:val="21"/>
              </w:rPr>
              <w:t>0.49～0.9</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5.3</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8" w:right="447"/>
              <w:rPr>
                <w:sz w:val="21"/>
              </w:rPr>
            </w:pPr>
            <w:r>
              <w:rPr>
                <w:sz w:val="21"/>
              </w:rPr>
              <w:t>原煤挥发分 Vdaf</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6"/>
              <w:rPr>
                <w:sz w:val="21"/>
              </w:rPr>
            </w:pPr>
            <w:r>
              <w:rPr>
                <w:w w:val="99"/>
                <w:sz w:val="21"/>
              </w:rPr>
              <w:t>%</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351" w:right="335"/>
              <w:rPr>
                <w:sz w:val="21"/>
              </w:rPr>
            </w:pPr>
            <w:r>
              <w:rPr>
                <w:sz w:val="21"/>
              </w:rPr>
              <w:t>7.89～37.04</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5.4</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3" w:right="448"/>
              <w:rPr>
                <w:sz w:val="21"/>
              </w:rPr>
            </w:pPr>
            <w:r>
              <w:rPr>
                <w:sz w:val="21"/>
              </w:rPr>
              <w:t>发热量 Qgr.d（平均）</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66" w:right="148"/>
              <w:rPr>
                <w:sz w:val="21"/>
              </w:rPr>
            </w:pPr>
            <w:r>
              <w:rPr>
                <w:sz w:val="21"/>
              </w:rPr>
              <w:t>MJ/kg</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351" w:right="335"/>
              <w:rPr>
                <w:sz w:val="21"/>
              </w:rPr>
            </w:pPr>
            <w:r>
              <w:rPr>
                <w:sz w:val="21"/>
              </w:rPr>
              <w:t>28.99～36.93</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13"/>
              <w:rPr>
                <w:sz w:val="21"/>
              </w:rPr>
            </w:pPr>
            <w:r>
              <w:rPr>
                <w:w w:val="99"/>
                <w:sz w:val="21"/>
              </w:rPr>
              <w:t>6</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5" w:right="448"/>
              <w:rPr>
                <w:sz w:val="21"/>
              </w:rPr>
            </w:pPr>
            <w:r>
              <w:rPr>
                <w:sz w:val="21"/>
              </w:rPr>
              <w:t>矿井设计生产能力</w:t>
            </w:r>
          </w:p>
        </w:tc>
        <w:tc>
          <w:tcPr>
            <w:tcW w:w="9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6.1</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5" w:right="448"/>
              <w:rPr>
                <w:sz w:val="21"/>
              </w:rPr>
            </w:pPr>
            <w:r>
              <w:rPr>
                <w:sz w:val="21"/>
              </w:rPr>
              <w:t>年生产能力</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66" w:right="148"/>
              <w:rPr>
                <w:sz w:val="21"/>
              </w:rPr>
            </w:pPr>
            <w:r>
              <w:rPr>
                <w:sz w:val="21"/>
              </w:rPr>
              <w:t>万 t/a</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351" w:right="332"/>
              <w:rPr>
                <w:sz w:val="21"/>
              </w:rPr>
            </w:pPr>
            <w:r>
              <w:rPr>
                <w:sz w:val="21"/>
              </w:rPr>
              <w:t>30</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6.2</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5" w:right="448"/>
              <w:rPr>
                <w:sz w:val="21"/>
              </w:rPr>
            </w:pPr>
            <w:r>
              <w:rPr>
                <w:sz w:val="21"/>
              </w:rPr>
              <w:t>日生产能力</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66" w:right="146"/>
              <w:rPr>
                <w:sz w:val="21"/>
              </w:rPr>
            </w:pPr>
            <w:r>
              <w:rPr>
                <w:sz w:val="21"/>
              </w:rPr>
              <w:t>t/d</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351" w:right="332"/>
              <w:rPr>
                <w:sz w:val="21"/>
              </w:rPr>
            </w:pPr>
            <w:r>
              <w:rPr>
                <w:sz w:val="21"/>
              </w:rPr>
              <w:t>909</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13"/>
              <w:rPr>
                <w:sz w:val="21"/>
              </w:rPr>
            </w:pPr>
            <w:r>
              <w:rPr>
                <w:w w:val="99"/>
                <w:sz w:val="21"/>
              </w:rPr>
              <w:t>7</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3" w:right="448"/>
              <w:rPr>
                <w:sz w:val="21"/>
              </w:rPr>
            </w:pPr>
            <w:r>
              <w:rPr>
                <w:sz w:val="21"/>
              </w:rPr>
              <w:t>矿井服务年限</w:t>
            </w:r>
          </w:p>
        </w:tc>
        <w:tc>
          <w:tcPr>
            <w:tcW w:w="9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7.1</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3" w:right="448"/>
              <w:rPr>
                <w:sz w:val="21"/>
              </w:rPr>
            </w:pPr>
            <w:r>
              <w:rPr>
                <w:sz w:val="21"/>
              </w:rPr>
              <w:t>设计生产年限</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6"/>
              <w:rPr>
                <w:sz w:val="21"/>
              </w:rPr>
            </w:pPr>
            <w:r>
              <w:rPr>
                <w:w w:val="99"/>
                <w:sz w:val="21"/>
              </w:rPr>
              <w:t>a</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351" w:right="332"/>
              <w:rPr>
                <w:sz w:val="21"/>
              </w:rPr>
            </w:pPr>
            <w:r>
              <w:rPr>
                <w:sz w:val="21"/>
              </w:rPr>
              <w:t>15.4</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13"/>
              <w:rPr>
                <w:sz w:val="21"/>
              </w:rPr>
            </w:pPr>
            <w:r>
              <w:rPr>
                <w:w w:val="99"/>
                <w:sz w:val="21"/>
              </w:rPr>
              <w:t>8</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5" w:right="448"/>
              <w:rPr>
                <w:sz w:val="21"/>
              </w:rPr>
            </w:pPr>
            <w:r>
              <w:rPr>
                <w:sz w:val="21"/>
              </w:rPr>
              <w:t>矿井设计工作制度</w:t>
            </w:r>
          </w:p>
        </w:tc>
        <w:tc>
          <w:tcPr>
            <w:tcW w:w="9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247" w:right="234"/>
              <w:rPr>
                <w:sz w:val="21"/>
              </w:rPr>
            </w:pPr>
            <w:r>
              <w:rPr>
                <w:sz w:val="21"/>
              </w:rPr>
              <w:t>8.1</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5" w:right="448"/>
              <w:rPr>
                <w:sz w:val="21"/>
              </w:rPr>
            </w:pPr>
            <w:r>
              <w:rPr>
                <w:sz w:val="21"/>
              </w:rPr>
              <w:t>年工作天数</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9"/>
              <w:ind w:left="16"/>
              <w:rPr>
                <w:sz w:val="21"/>
              </w:rPr>
            </w:pPr>
            <w:r>
              <w:rPr>
                <w:w w:val="99"/>
                <w:sz w:val="21"/>
              </w:rPr>
              <w:t>d</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9"/>
              <w:ind w:left="351" w:right="332"/>
              <w:rPr>
                <w:sz w:val="21"/>
              </w:rPr>
            </w:pPr>
            <w:r>
              <w:rPr>
                <w:sz w:val="21"/>
              </w:rPr>
              <w:t>330</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8.2</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5" w:right="448"/>
              <w:rPr>
                <w:sz w:val="21"/>
              </w:rPr>
            </w:pPr>
            <w:r>
              <w:rPr>
                <w:sz w:val="21"/>
              </w:rPr>
              <w:t>日工作班数</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9"/>
              <w:rPr>
                <w:sz w:val="21"/>
              </w:rPr>
            </w:pPr>
            <w:r>
              <w:rPr>
                <w:w w:val="99"/>
                <w:sz w:val="21"/>
              </w:rPr>
              <w:t>班</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19"/>
              <w:rPr>
                <w:sz w:val="21"/>
              </w:rPr>
            </w:pPr>
            <w:r>
              <w:rPr>
                <w:w w:val="99"/>
                <w:sz w:val="21"/>
              </w:rPr>
              <w:t>4</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13"/>
              <w:rPr>
                <w:sz w:val="21"/>
              </w:rPr>
            </w:pPr>
            <w:r>
              <w:rPr>
                <w:w w:val="99"/>
                <w:sz w:val="21"/>
              </w:rPr>
              <w:t>9</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5" w:right="448"/>
              <w:rPr>
                <w:sz w:val="21"/>
              </w:rPr>
            </w:pPr>
            <w:r>
              <w:rPr>
                <w:sz w:val="21"/>
              </w:rPr>
              <w:t>井田开拓</w:t>
            </w:r>
          </w:p>
        </w:tc>
        <w:tc>
          <w:tcPr>
            <w:tcW w:w="9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247" w:right="234"/>
              <w:rPr>
                <w:sz w:val="21"/>
              </w:rPr>
            </w:pPr>
            <w:r>
              <w:rPr>
                <w:sz w:val="21"/>
              </w:rPr>
              <w:t>9.1</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5" w:right="448"/>
              <w:rPr>
                <w:sz w:val="21"/>
              </w:rPr>
            </w:pPr>
            <w:r>
              <w:rPr>
                <w:sz w:val="21"/>
              </w:rPr>
              <w:t>开拓方式</w:t>
            </w:r>
          </w:p>
        </w:tc>
        <w:tc>
          <w:tcPr>
            <w:tcW w:w="9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9"/>
              <w:ind w:left="351" w:right="336"/>
              <w:rPr>
                <w:sz w:val="21"/>
              </w:rPr>
            </w:pPr>
            <w:r>
              <w:rPr>
                <w:sz w:val="21"/>
              </w:rPr>
              <w:t>斜井</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9.2</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5" w:right="448"/>
              <w:rPr>
                <w:sz w:val="21"/>
              </w:rPr>
            </w:pPr>
            <w:r>
              <w:rPr>
                <w:sz w:val="21"/>
              </w:rPr>
              <w:t>水平数目</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9"/>
              <w:rPr>
                <w:sz w:val="21"/>
              </w:rPr>
            </w:pPr>
            <w:r>
              <w:rPr>
                <w:w w:val="99"/>
                <w:sz w:val="21"/>
              </w:rPr>
              <w:t>个</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19"/>
              <w:rPr>
                <w:sz w:val="21"/>
              </w:rPr>
            </w:pPr>
            <w:r>
              <w:rPr>
                <w:w w:val="99"/>
                <w:sz w:val="21"/>
              </w:rPr>
              <w:t>1</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9.3</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5" w:right="448"/>
              <w:rPr>
                <w:sz w:val="21"/>
              </w:rPr>
            </w:pPr>
            <w:r>
              <w:rPr>
                <w:sz w:val="21"/>
              </w:rPr>
              <w:t>水平标高</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6"/>
              <w:rPr>
                <w:sz w:val="21"/>
              </w:rPr>
            </w:pPr>
            <w:r>
              <w:rPr>
                <w:w w:val="99"/>
                <w:sz w:val="21"/>
              </w:rPr>
              <w:t>m</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351" w:right="332"/>
              <w:rPr>
                <w:sz w:val="21"/>
              </w:rPr>
            </w:pPr>
            <w:r>
              <w:rPr>
                <w:sz w:val="21"/>
              </w:rPr>
              <w:t>+80m</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247" w:right="234"/>
              <w:rPr>
                <w:sz w:val="21"/>
              </w:rPr>
            </w:pPr>
            <w:r>
              <w:rPr>
                <w:sz w:val="21"/>
              </w:rPr>
              <w:t>9.4</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5" w:right="448"/>
              <w:rPr>
                <w:sz w:val="21"/>
              </w:rPr>
            </w:pPr>
            <w:r>
              <w:rPr>
                <w:sz w:val="21"/>
              </w:rPr>
              <w:t>主运输方式</w:t>
            </w:r>
          </w:p>
        </w:tc>
        <w:tc>
          <w:tcPr>
            <w:tcW w:w="9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9"/>
              <w:ind w:left="351" w:right="336"/>
              <w:rPr>
                <w:sz w:val="21"/>
              </w:rPr>
            </w:pPr>
            <w:r>
              <w:rPr>
                <w:sz w:val="21"/>
              </w:rPr>
              <w:t>绞车</w:t>
            </w:r>
          </w:p>
        </w:tc>
        <w:tc>
          <w:tcPr>
            <w:tcW w:w="1846" w:type="dxa"/>
            <w:tcBorders>
              <w:top w:val="single" w:color="000000" w:sz="4" w:space="0"/>
              <w:left w:val="single" w:color="000000" w:sz="4" w:space="0"/>
              <w:bottom w:val="single" w:color="000000" w:sz="4" w:space="0"/>
            </w:tcBorders>
          </w:tcPr>
          <w:p>
            <w:pPr>
              <w:pStyle w:val="19"/>
              <w:spacing w:before="29"/>
              <w:ind w:left="297"/>
              <w:jc w:val="left"/>
              <w:rPr>
                <w:sz w:val="21"/>
              </w:rPr>
            </w:pPr>
            <w:r>
              <w:rPr>
                <w:sz w:val="21"/>
              </w:rPr>
              <w:t>JK-2.5×2/20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9.5</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3" w:right="448"/>
              <w:rPr>
                <w:sz w:val="21"/>
              </w:rPr>
            </w:pPr>
            <w:r>
              <w:rPr>
                <w:sz w:val="21"/>
              </w:rPr>
              <w:t>辅助运输方式</w:t>
            </w:r>
          </w:p>
        </w:tc>
        <w:tc>
          <w:tcPr>
            <w:tcW w:w="9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351" w:right="336"/>
              <w:rPr>
                <w:sz w:val="21"/>
              </w:rPr>
            </w:pPr>
            <w:r>
              <w:rPr>
                <w:sz w:val="21"/>
              </w:rPr>
              <w:t>机车</w:t>
            </w:r>
          </w:p>
        </w:tc>
        <w:tc>
          <w:tcPr>
            <w:tcW w:w="1846" w:type="dxa"/>
            <w:tcBorders>
              <w:top w:val="single" w:color="000000" w:sz="4" w:space="0"/>
              <w:left w:val="single" w:color="000000" w:sz="4" w:space="0"/>
              <w:bottom w:val="single" w:color="000000" w:sz="4" w:space="0"/>
            </w:tcBorders>
          </w:tcPr>
          <w:p>
            <w:pPr>
              <w:pStyle w:val="19"/>
              <w:spacing w:before="1"/>
              <w:ind w:left="165"/>
              <w:jc w:val="left"/>
              <w:rPr>
                <w:sz w:val="21"/>
              </w:rPr>
            </w:pPr>
            <w:r>
              <w:rPr>
                <w:sz w:val="21"/>
              </w:rPr>
              <w:t>CTY-5/0.6/90 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10</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3" w:right="448"/>
              <w:rPr>
                <w:sz w:val="21"/>
              </w:rPr>
            </w:pPr>
            <w:r>
              <w:rPr>
                <w:sz w:val="21"/>
              </w:rPr>
              <w:t>采区</w:t>
            </w:r>
          </w:p>
        </w:tc>
        <w:tc>
          <w:tcPr>
            <w:tcW w:w="9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19"/>
              <w:rPr>
                <w:sz w:val="21"/>
              </w:rPr>
            </w:pPr>
            <w:r>
              <w:rPr>
                <w:w w:val="99"/>
                <w:sz w:val="21"/>
              </w:rPr>
              <w:t>1</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247" w:right="234"/>
              <w:rPr>
                <w:sz w:val="21"/>
              </w:rPr>
            </w:pPr>
            <w:r>
              <w:rPr>
                <w:sz w:val="21"/>
              </w:rPr>
              <w:t>10.1</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8" w:right="448"/>
              <w:rPr>
                <w:sz w:val="21"/>
              </w:rPr>
            </w:pPr>
            <w:r>
              <w:rPr>
                <w:sz w:val="21"/>
              </w:rPr>
              <w:t>回采工作面个数</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9"/>
              <w:ind w:left="19"/>
              <w:rPr>
                <w:sz w:val="21"/>
              </w:rPr>
            </w:pPr>
            <w:r>
              <w:rPr>
                <w:w w:val="99"/>
                <w:sz w:val="21"/>
              </w:rPr>
              <w:t>个</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9"/>
              <w:ind w:left="19"/>
              <w:rPr>
                <w:sz w:val="21"/>
              </w:rPr>
            </w:pPr>
            <w:r>
              <w:rPr>
                <w:w w:val="99"/>
                <w:sz w:val="21"/>
              </w:rPr>
              <w:t>1</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10.2</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8" w:right="448"/>
              <w:rPr>
                <w:sz w:val="21"/>
              </w:rPr>
            </w:pPr>
            <w:r>
              <w:rPr>
                <w:sz w:val="21"/>
              </w:rPr>
              <w:t>掘进工作面个数</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9"/>
              <w:rPr>
                <w:sz w:val="21"/>
              </w:rPr>
            </w:pPr>
            <w:r>
              <w:rPr>
                <w:w w:val="99"/>
                <w:sz w:val="21"/>
              </w:rPr>
              <w:t>个</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19"/>
              <w:rPr>
                <w:sz w:val="21"/>
              </w:rPr>
            </w:pPr>
            <w:r>
              <w:rPr>
                <w:w w:val="99"/>
                <w:sz w:val="21"/>
              </w:rPr>
              <w:t>6</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10.3</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5" w:right="448"/>
              <w:rPr>
                <w:sz w:val="21"/>
              </w:rPr>
            </w:pPr>
            <w:r>
              <w:rPr>
                <w:sz w:val="21"/>
              </w:rPr>
              <w:t>采煤方法</w:t>
            </w:r>
          </w:p>
        </w:tc>
        <w:tc>
          <w:tcPr>
            <w:tcW w:w="9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261" w:right="336"/>
              <w:rPr>
                <w:sz w:val="21"/>
              </w:rPr>
            </w:pPr>
            <w:r>
              <w:rPr>
                <w:sz w:val="21"/>
              </w:rPr>
              <w:t>走向长壁</w:t>
            </w:r>
          </w:p>
        </w:tc>
        <w:tc>
          <w:tcPr>
            <w:tcW w:w="1846" w:type="dxa"/>
            <w:tcBorders>
              <w:top w:val="single" w:color="000000" w:sz="4" w:space="0"/>
              <w:left w:val="single" w:color="000000" w:sz="4" w:space="0"/>
              <w:bottom w:val="single" w:color="000000" w:sz="4" w:space="0"/>
            </w:tcBorders>
          </w:tcPr>
          <w:p>
            <w:pPr>
              <w:pStyle w:val="19"/>
              <w:ind w:right="168"/>
              <w:jc w:val="right"/>
              <w:rPr>
                <w:sz w:val="21"/>
              </w:rPr>
            </w:pPr>
            <w:r>
              <w:rPr>
                <w:w w:val="95"/>
                <w:sz w:val="21"/>
              </w:rPr>
              <w:t>走向长壁后退式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247" w:right="234"/>
              <w:rPr>
                <w:sz w:val="21"/>
              </w:rPr>
            </w:pPr>
            <w:r>
              <w:rPr>
                <w:sz w:val="21"/>
              </w:rPr>
              <w:t>10.4</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5" w:right="448"/>
              <w:rPr>
                <w:sz w:val="21"/>
              </w:rPr>
            </w:pPr>
            <w:r>
              <w:rPr>
                <w:sz w:val="21"/>
              </w:rPr>
              <w:t>采煤工艺</w:t>
            </w:r>
          </w:p>
        </w:tc>
        <w:tc>
          <w:tcPr>
            <w:tcW w:w="9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9"/>
              <w:ind w:left="351" w:right="333"/>
              <w:rPr>
                <w:sz w:val="21"/>
              </w:rPr>
            </w:pPr>
            <w:r>
              <w:rPr>
                <w:sz w:val="21"/>
              </w:rPr>
              <w:t>高档普采</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11</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3" w:right="448"/>
              <w:rPr>
                <w:sz w:val="21"/>
              </w:rPr>
            </w:pPr>
            <w:r>
              <w:rPr>
                <w:sz w:val="21"/>
              </w:rPr>
              <w:t>矿井主要设备</w:t>
            </w:r>
          </w:p>
        </w:tc>
        <w:tc>
          <w:tcPr>
            <w:tcW w:w="9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11.1</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8" w:right="448"/>
              <w:rPr>
                <w:sz w:val="21"/>
              </w:rPr>
            </w:pPr>
            <w:r>
              <w:rPr>
                <w:sz w:val="21"/>
              </w:rPr>
              <w:t>主斜井运输设备</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9"/>
              <w:rPr>
                <w:sz w:val="21"/>
              </w:rPr>
            </w:pPr>
            <w:r>
              <w:rPr>
                <w:w w:val="99"/>
                <w:sz w:val="21"/>
              </w:rPr>
              <w:t>台</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19"/>
              <w:rPr>
                <w:sz w:val="21"/>
              </w:rPr>
            </w:pPr>
            <w:r>
              <w:rPr>
                <w:w w:val="99"/>
                <w:sz w:val="21"/>
              </w:rPr>
              <w:t>1</w:t>
            </w:r>
          </w:p>
        </w:tc>
        <w:tc>
          <w:tcPr>
            <w:tcW w:w="1846" w:type="dxa"/>
            <w:tcBorders>
              <w:top w:val="single" w:color="000000" w:sz="4" w:space="0"/>
              <w:left w:val="single" w:color="000000" w:sz="4" w:space="0"/>
              <w:bottom w:val="single" w:color="000000" w:sz="4" w:space="0"/>
            </w:tcBorders>
          </w:tcPr>
          <w:p>
            <w:pPr>
              <w:pStyle w:val="19"/>
              <w:spacing w:before="28"/>
              <w:ind w:left="112"/>
              <w:jc w:val="left"/>
              <w:rPr>
                <w:sz w:val="21"/>
              </w:rPr>
            </w:pPr>
            <w:r>
              <w:rPr>
                <w:sz w:val="21"/>
              </w:rPr>
              <w:t>JK-2.5×2/20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247" w:right="234"/>
              <w:rPr>
                <w:sz w:val="21"/>
              </w:rPr>
            </w:pPr>
            <w:r>
              <w:rPr>
                <w:sz w:val="21"/>
              </w:rPr>
              <w:t>11.2</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8" w:right="448"/>
              <w:rPr>
                <w:sz w:val="21"/>
              </w:rPr>
            </w:pPr>
            <w:r>
              <w:rPr>
                <w:sz w:val="21"/>
              </w:rPr>
              <w:t>副斜井</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9"/>
              <w:ind w:left="19"/>
              <w:rPr>
                <w:sz w:val="21"/>
              </w:rPr>
            </w:pPr>
            <w:r>
              <w:rPr>
                <w:w w:val="99"/>
                <w:sz w:val="21"/>
              </w:rPr>
              <w:t>台</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9"/>
              <w:ind w:left="19"/>
              <w:rPr>
                <w:sz w:val="21"/>
              </w:rPr>
            </w:pPr>
            <w:r>
              <w:rPr>
                <w:w w:val="99"/>
                <w:sz w:val="21"/>
              </w:rPr>
              <w:t>1</w:t>
            </w:r>
          </w:p>
        </w:tc>
        <w:tc>
          <w:tcPr>
            <w:tcW w:w="1846" w:type="dxa"/>
            <w:tcBorders>
              <w:top w:val="single" w:color="000000" w:sz="4" w:space="0"/>
              <w:left w:val="single" w:color="000000" w:sz="4" w:space="0"/>
              <w:bottom w:val="single" w:color="000000" w:sz="4" w:space="0"/>
            </w:tcBorders>
          </w:tcPr>
          <w:p>
            <w:pPr>
              <w:pStyle w:val="19"/>
              <w:spacing w:before="29"/>
              <w:ind w:left="244"/>
              <w:jc w:val="left"/>
              <w:rPr>
                <w:sz w:val="21"/>
              </w:rPr>
            </w:pPr>
            <w:r>
              <w:rPr>
                <w:sz w:val="21"/>
              </w:rPr>
              <w:t>JK-2.5×2p/20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11.3</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5" w:right="448"/>
              <w:rPr>
                <w:sz w:val="21"/>
              </w:rPr>
            </w:pPr>
            <w:r>
              <w:rPr>
                <w:sz w:val="21"/>
              </w:rPr>
              <w:t>通风设备</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9"/>
              <w:rPr>
                <w:sz w:val="21"/>
              </w:rPr>
            </w:pPr>
            <w:r>
              <w:rPr>
                <w:w w:val="99"/>
                <w:sz w:val="21"/>
              </w:rPr>
              <w:t>台</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19"/>
              <w:rPr>
                <w:sz w:val="21"/>
              </w:rPr>
            </w:pPr>
            <w:r>
              <w:rPr>
                <w:w w:val="99"/>
                <w:sz w:val="21"/>
              </w:rPr>
              <w:t>2</w:t>
            </w:r>
          </w:p>
        </w:tc>
        <w:tc>
          <w:tcPr>
            <w:tcW w:w="1846" w:type="dxa"/>
            <w:tcBorders>
              <w:top w:val="single" w:color="000000" w:sz="4" w:space="0"/>
              <w:left w:val="single" w:color="000000" w:sz="4" w:space="0"/>
              <w:bottom w:val="single" w:color="000000" w:sz="4" w:space="0"/>
            </w:tcBorders>
          </w:tcPr>
          <w:p>
            <w:pPr>
              <w:pStyle w:val="19"/>
              <w:spacing w:before="28"/>
              <w:ind w:left="165"/>
              <w:jc w:val="left"/>
              <w:rPr>
                <w:sz w:val="21"/>
              </w:rPr>
            </w:pPr>
            <w:r>
              <w:rPr>
                <w:sz w:val="21"/>
              </w:rPr>
              <w:t>FBCDZ-6-№17 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11.4</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5" w:right="448"/>
              <w:rPr>
                <w:sz w:val="21"/>
              </w:rPr>
            </w:pPr>
            <w:r>
              <w:rPr>
                <w:sz w:val="21"/>
              </w:rPr>
              <w:t>排水设备</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9"/>
              <w:rPr>
                <w:sz w:val="21"/>
              </w:rPr>
            </w:pPr>
            <w:r>
              <w:rPr>
                <w:w w:val="99"/>
                <w:sz w:val="21"/>
              </w:rPr>
              <w:t>台</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19"/>
              <w:rPr>
                <w:sz w:val="21"/>
              </w:rPr>
            </w:pPr>
            <w:r>
              <w:rPr>
                <w:w w:val="99"/>
                <w:sz w:val="21"/>
              </w:rPr>
              <w:t>3</w:t>
            </w:r>
          </w:p>
        </w:tc>
        <w:tc>
          <w:tcPr>
            <w:tcW w:w="1846" w:type="dxa"/>
            <w:tcBorders>
              <w:top w:val="single" w:color="000000" w:sz="4" w:space="0"/>
              <w:left w:val="single" w:color="000000" w:sz="4" w:space="0"/>
              <w:bottom w:val="single" w:color="000000" w:sz="4" w:space="0"/>
            </w:tcBorders>
          </w:tcPr>
          <w:p>
            <w:pPr>
              <w:pStyle w:val="19"/>
              <w:spacing w:before="28"/>
              <w:ind w:right="194"/>
              <w:jc w:val="right"/>
              <w:rPr>
                <w:sz w:val="21"/>
              </w:rPr>
            </w:pPr>
            <w:r>
              <w:rPr>
                <w:sz w:val="21"/>
              </w:rPr>
              <w:t>MD155-67×7 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247" w:right="234"/>
              <w:rPr>
                <w:sz w:val="21"/>
              </w:rPr>
            </w:pPr>
            <w:r>
              <w:rPr>
                <w:sz w:val="21"/>
              </w:rPr>
              <w:t>12</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5" w:right="448"/>
              <w:rPr>
                <w:sz w:val="21"/>
              </w:rPr>
            </w:pPr>
            <w:r>
              <w:rPr>
                <w:sz w:val="21"/>
              </w:rPr>
              <w:t>地面运输</w:t>
            </w:r>
          </w:p>
        </w:tc>
        <w:tc>
          <w:tcPr>
            <w:tcW w:w="9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9"/>
              <w:ind w:left="351" w:right="336"/>
              <w:rPr>
                <w:sz w:val="21"/>
              </w:rPr>
            </w:pPr>
            <w:r>
              <w:rPr>
                <w:sz w:val="21"/>
              </w:rPr>
              <w:t>汽车</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13</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5" w:right="448"/>
              <w:rPr>
                <w:sz w:val="21"/>
              </w:rPr>
            </w:pPr>
            <w:r>
              <w:rPr>
                <w:sz w:val="21"/>
              </w:rPr>
              <w:t>建设用地</w:t>
            </w:r>
          </w:p>
        </w:tc>
        <w:tc>
          <w:tcPr>
            <w:tcW w:w="9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13.1</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5" w:right="448"/>
              <w:rPr>
                <w:sz w:val="21"/>
              </w:rPr>
            </w:pPr>
            <w:r>
              <w:rPr>
                <w:sz w:val="21"/>
              </w:rPr>
              <w:t>用地总面积</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66" w:right="148"/>
              <w:rPr>
                <w:sz w:val="21"/>
              </w:rPr>
            </w:pPr>
            <w:r>
              <w:rPr>
                <w:sz w:val="21"/>
              </w:rPr>
              <w:t>hm²</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351" w:right="335"/>
              <w:rPr>
                <w:sz w:val="21"/>
              </w:rPr>
            </w:pPr>
            <w:r>
              <w:rPr>
                <w:sz w:val="21"/>
              </w:rPr>
              <w:t>4.985</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249" w:right="234"/>
              <w:rPr>
                <w:sz w:val="21"/>
              </w:rPr>
            </w:pPr>
            <w:r>
              <w:rPr>
                <w:sz w:val="21"/>
              </w:rPr>
              <w:t>13.1.1</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3" w:right="448"/>
              <w:rPr>
                <w:sz w:val="21"/>
              </w:rPr>
            </w:pPr>
            <w:r>
              <w:rPr>
                <w:sz w:val="21"/>
              </w:rPr>
              <w:t>主井工业场地</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9"/>
              <w:ind w:left="166" w:right="148"/>
              <w:rPr>
                <w:sz w:val="21"/>
              </w:rPr>
            </w:pPr>
            <w:r>
              <w:rPr>
                <w:sz w:val="21"/>
              </w:rPr>
              <w:t>hm²</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9"/>
              <w:ind w:left="351" w:right="335"/>
              <w:rPr>
                <w:sz w:val="21"/>
              </w:rPr>
            </w:pPr>
            <w:r>
              <w:rPr>
                <w:sz w:val="21"/>
              </w:rPr>
              <w:t>1.952</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9" w:right="234"/>
              <w:rPr>
                <w:sz w:val="21"/>
              </w:rPr>
            </w:pPr>
            <w:r>
              <w:rPr>
                <w:sz w:val="21"/>
              </w:rPr>
              <w:t>13.1.2</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3" w:right="448"/>
              <w:rPr>
                <w:sz w:val="21"/>
              </w:rPr>
            </w:pPr>
            <w:r>
              <w:rPr>
                <w:sz w:val="21"/>
              </w:rPr>
              <w:t>副井工业场地</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66" w:right="148"/>
              <w:rPr>
                <w:sz w:val="21"/>
              </w:rPr>
            </w:pPr>
            <w:r>
              <w:rPr>
                <w:sz w:val="21"/>
              </w:rPr>
              <w:t>hm²</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351" w:right="335"/>
              <w:rPr>
                <w:sz w:val="21"/>
              </w:rPr>
            </w:pPr>
            <w:r>
              <w:rPr>
                <w:sz w:val="21"/>
              </w:rPr>
              <w:t>3.033</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14</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5" w:right="448"/>
              <w:rPr>
                <w:sz w:val="21"/>
              </w:rPr>
            </w:pPr>
            <w:r>
              <w:rPr>
                <w:sz w:val="21"/>
              </w:rPr>
              <w:t>地面建筑</w:t>
            </w:r>
          </w:p>
        </w:tc>
        <w:tc>
          <w:tcPr>
            <w:tcW w:w="9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247" w:right="234"/>
              <w:rPr>
                <w:sz w:val="21"/>
              </w:rPr>
            </w:pPr>
            <w:r>
              <w:rPr>
                <w:sz w:val="21"/>
              </w:rPr>
              <w:t>14.1</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5" w:right="448"/>
              <w:rPr>
                <w:sz w:val="21"/>
              </w:rPr>
            </w:pPr>
            <w:r>
              <w:rPr>
                <w:sz w:val="21"/>
              </w:rPr>
              <w:t>工业建(构)筑物总体积</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9"/>
              <w:ind w:left="166" w:right="148"/>
              <w:rPr>
                <w:sz w:val="21"/>
              </w:rPr>
            </w:pPr>
            <w:r>
              <w:rPr>
                <w:sz w:val="21"/>
              </w:rPr>
              <w:t>m³</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9"/>
              <w:ind w:left="351" w:right="335"/>
              <w:rPr>
                <w:sz w:val="21"/>
              </w:rPr>
            </w:pPr>
            <w:r>
              <w:rPr>
                <w:sz w:val="21"/>
              </w:rPr>
              <w:t>6011.3</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15</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5" w:right="448"/>
              <w:rPr>
                <w:sz w:val="21"/>
              </w:rPr>
            </w:pPr>
            <w:r>
              <w:rPr>
                <w:sz w:val="21"/>
              </w:rPr>
              <w:t>人员配置</w:t>
            </w:r>
          </w:p>
        </w:tc>
        <w:tc>
          <w:tcPr>
            <w:tcW w:w="9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247" w:right="234"/>
              <w:rPr>
                <w:sz w:val="21"/>
              </w:rPr>
            </w:pPr>
            <w:r>
              <w:rPr>
                <w:sz w:val="21"/>
              </w:rPr>
              <w:t>15.1</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8" w:right="448"/>
              <w:rPr>
                <w:sz w:val="21"/>
              </w:rPr>
            </w:pPr>
            <w:r>
              <w:rPr>
                <w:sz w:val="21"/>
              </w:rPr>
              <w:t>在籍员工总人数</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9"/>
              <w:ind w:left="19"/>
              <w:rPr>
                <w:sz w:val="21"/>
              </w:rPr>
            </w:pPr>
            <w:r>
              <w:rPr>
                <w:w w:val="99"/>
                <w:sz w:val="21"/>
              </w:rPr>
              <w:t>人</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9"/>
              <w:ind w:left="351" w:right="332"/>
              <w:rPr>
                <w:sz w:val="21"/>
              </w:rPr>
            </w:pPr>
            <w:r>
              <w:rPr>
                <w:sz w:val="21"/>
              </w:rPr>
              <w:t>405</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68" w:type="dxa"/>
            <w:tcBorders>
              <w:top w:val="single" w:color="000000" w:sz="4" w:space="0"/>
              <w:right w:val="single" w:color="000000" w:sz="4" w:space="0"/>
            </w:tcBorders>
          </w:tcPr>
          <w:p>
            <w:pPr>
              <w:pStyle w:val="19"/>
              <w:spacing w:before="29"/>
              <w:ind w:left="249" w:right="234"/>
              <w:rPr>
                <w:sz w:val="21"/>
              </w:rPr>
            </w:pPr>
            <w:r>
              <w:rPr>
                <w:sz w:val="21"/>
              </w:rPr>
              <w:t>15.1.1</w:t>
            </w:r>
          </w:p>
        </w:tc>
        <w:tc>
          <w:tcPr>
            <w:tcW w:w="3276" w:type="dxa"/>
            <w:tcBorders>
              <w:top w:val="single" w:color="000000" w:sz="4" w:space="0"/>
              <w:left w:val="single" w:color="000000" w:sz="4" w:space="0"/>
              <w:right w:val="single" w:color="000000" w:sz="4" w:space="0"/>
            </w:tcBorders>
          </w:tcPr>
          <w:p>
            <w:pPr>
              <w:pStyle w:val="19"/>
              <w:spacing w:before="29"/>
              <w:ind w:left="468" w:right="448"/>
              <w:rPr>
                <w:sz w:val="21"/>
              </w:rPr>
            </w:pPr>
            <w:r>
              <w:rPr>
                <w:sz w:val="21"/>
              </w:rPr>
              <w:t>其中：生产员工</w:t>
            </w:r>
          </w:p>
        </w:tc>
        <w:tc>
          <w:tcPr>
            <w:tcW w:w="994" w:type="dxa"/>
            <w:tcBorders>
              <w:top w:val="single" w:color="000000" w:sz="4" w:space="0"/>
              <w:left w:val="single" w:color="000000" w:sz="4" w:space="0"/>
              <w:right w:val="single" w:color="000000" w:sz="4" w:space="0"/>
            </w:tcBorders>
          </w:tcPr>
          <w:p>
            <w:pPr>
              <w:pStyle w:val="19"/>
              <w:spacing w:before="29"/>
              <w:ind w:left="19"/>
              <w:rPr>
                <w:sz w:val="21"/>
              </w:rPr>
            </w:pPr>
            <w:r>
              <w:rPr>
                <w:w w:val="99"/>
                <w:sz w:val="21"/>
              </w:rPr>
              <w:t>人</w:t>
            </w:r>
          </w:p>
        </w:tc>
        <w:tc>
          <w:tcPr>
            <w:tcW w:w="1998" w:type="dxa"/>
            <w:tcBorders>
              <w:top w:val="single" w:color="000000" w:sz="4" w:space="0"/>
              <w:left w:val="single" w:color="000000" w:sz="4" w:space="0"/>
              <w:right w:val="single" w:color="000000" w:sz="4" w:space="0"/>
            </w:tcBorders>
          </w:tcPr>
          <w:p>
            <w:pPr>
              <w:pStyle w:val="19"/>
              <w:spacing w:before="29"/>
              <w:ind w:left="351" w:right="332"/>
              <w:rPr>
                <w:sz w:val="21"/>
              </w:rPr>
            </w:pPr>
            <w:r>
              <w:rPr>
                <w:sz w:val="21"/>
              </w:rPr>
              <w:t>355</w:t>
            </w:r>
          </w:p>
        </w:tc>
        <w:tc>
          <w:tcPr>
            <w:tcW w:w="1846" w:type="dxa"/>
            <w:tcBorders>
              <w:top w:val="single" w:color="000000" w:sz="4" w:space="0"/>
              <w:left w:val="single" w:color="000000" w:sz="4" w:space="0"/>
            </w:tcBorders>
          </w:tcPr>
          <w:p>
            <w:pPr>
              <w:pStyle w:val="19"/>
              <w:jc w:val="left"/>
              <w:rPr>
                <w:rFonts w:ascii="Times New Roman"/>
                <w:sz w:val="20"/>
              </w:rPr>
            </w:pPr>
          </w:p>
        </w:tc>
      </w:tr>
    </w:tbl>
    <w:p>
      <w:pPr>
        <w:spacing w:after="0"/>
        <w:jc w:val="left"/>
        <w:rPr>
          <w:rFonts w:ascii="Times New Roman"/>
          <w:sz w:val="20"/>
        </w:rPr>
        <w:sectPr>
          <w:pgSz w:w="11910" w:h="16840"/>
          <w:pgMar w:top="1400" w:right="1160" w:bottom="1100" w:left="1200" w:header="0" w:footer="913" w:gutter="0"/>
        </w:sectPr>
      </w:pPr>
    </w:p>
    <w:tbl>
      <w:tblPr>
        <w:tblStyle w:val="15"/>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68"/>
        <w:gridCol w:w="3276"/>
        <w:gridCol w:w="994"/>
        <w:gridCol w:w="1998"/>
        <w:gridCol w:w="18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1168" w:type="dxa"/>
            <w:tcBorders>
              <w:bottom w:val="single" w:color="000000" w:sz="4" w:space="0"/>
              <w:right w:val="single" w:color="000000" w:sz="4" w:space="0"/>
            </w:tcBorders>
          </w:tcPr>
          <w:p>
            <w:pPr>
              <w:pStyle w:val="19"/>
              <w:spacing w:before="23"/>
              <w:ind w:left="243" w:right="234"/>
              <w:rPr>
                <w:sz w:val="21"/>
              </w:rPr>
            </w:pPr>
            <w:r>
              <w:rPr>
                <w:sz w:val="21"/>
              </w:rPr>
              <w:t>序号</w:t>
            </w:r>
          </w:p>
        </w:tc>
        <w:tc>
          <w:tcPr>
            <w:tcW w:w="3276" w:type="dxa"/>
            <w:tcBorders>
              <w:left w:val="single" w:color="000000" w:sz="4" w:space="0"/>
              <w:bottom w:val="single" w:color="000000" w:sz="4" w:space="0"/>
              <w:right w:val="single" w:color="000000" w:sz="4" w:space="0"/>
            </w:tcBorders>
          </w:tcPr>
          <w:p>
            <w:pPr>
              <w:pStyle w:val="19"/>
              <w:spacing w:before="23"/>
              <w:ind w:left="465" w:right="448"/>
              <w:rPr>
                <w:sz w:val="21"/>
              </w:rPr>
            </w:pPr>
            <w:r>
              <w:rPr>
                <w:sz w:val="21"/>
              </w:rPr>
              <w:t>指标名称</w:t>
            </w:r>
          </w:p>
        </w:tc>
        <w:tc>
          <w:tcPr>
            <w:tcW w:w="994" w:type="dxa"/>
            <w:tcBorders>
              <w:left w:val="single" w:color="000000" w:sz="4" w:space="0"/>
              <w:bottom w:val="single" w:color="000000" w:sz="4" w:space="0"/>
              <w:right w:val="single" w:color="000000" w:sz="4" w:space="0"/>
            </w:tcBorders>
          </w:tcPr>
          <w:p>
            <w:pPr>
              <w:pStyle w:val="19"/>
              <w:spacing w:before="23"/>
              <w:ind w:left="165" w:right="148"/>
              <w:rPr>
                <w:sz w:val="21"/>
              </w:rPr>
            </w:pPr>
            <w:r>
              <w:rPr>
                <w:sz w:val="21"/>
              </w:rPr>
              <w:t>单位</w:t>
            </w:r>
          </w:p>
        </w:tc>
        <w:tc>
          <w:tcPr>
            <w:tcW w:w="1998" w:type="dxa"/>
            <w:tcBorders>
              <w:left w:val="single" w:color="000000" w:sz="4" w:space="0"/>
              <w:bottom w:val="single" w:color="000000" w:sz="4" w:space="0"/>
              <w:right w:val="single" w:color="000000" w:sz="4" w:space="0"/>
            </w:tcBorders>
          </w:tcPr>
          <w:p>
            <w:pPr>
              <w:pStyle w:val="19"/>
              <w:spacing w:before="23"/>
              <w:ind w:left="351" w:right="336"/>
              <w:rPr>
                <w:sz w:val="21"/>
              </w:rPr>
            </w:pPr>
            <w:r>
              <w:rPr>
                <w:sz w:val="21"/>
              </w:rPr>
              <w:t>指标</w:t>
            </w:r>
          </w:p>
        </w:tc>
        <w:tc>
          <w:tcPr>
            <w:tcW w:w="1846" w:type="dxa"/>
            <w:tcBorders>
              <w:left w:val="single" w:color="000000" w:sz="4" w:space="0"/>
              <w:bottom w:val="single" w:color="000000" w:sz="4" w:space="0"/>
            </w:tcBorders>
          </w:tcPr>
          <w:p>
            <w:pPr>
              <w:pStyle w:val="19"/>
              <w:spacing w:before="23"/>
              <w:ind w:left="432" w:right="411"/>
              <w:rPr>
                <w:sz w:val="21"/>
              </w:rPr>
            </w:pPr>
            <w:r>
              <w:rPr>
                <w:sz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249" w:right="234"/>
              <w:rPr>
                <w:sz w:val="21"/>
              </w:rPr>
            </w:pPr>
            <w:r>
              <w:rPr>
                <w:sz w:val="21"/>
              </w:rPr>
              <w:t>15.1.2</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5" w:right="448"/>
              <w:rPr>
                <w:sz w:val="21"/>
              </w:rPr>
            </w:pPr>
            <w:r>
              <w:rPr>
                <w:sz w:val="21"/>
              </w:rPr>
              <w:t>其他人员</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9"/>
              <w:ind w:left="19"/>
              <w:rPr>
                <w:sz w:val="21"/>
              </w:rPr>
            </w:pPr>
            <w:r>
              <w:rPr>
                <w:w w:val="99"/>
                <w:sz w:val="21"/>
              </w:rPr>
              <w:t>人</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9"/>
              <w:ind w:left="351" w:right="332"/>
              <w:rPr>
                <w:sz w:val="21"/>
              </w:rPr>
            </w:pPr>
            <w:r>
              <w:rPr>
                <w:sz w:val="21"/>
              </w:rPr>
              <w:t>50</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15.2</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3" w:right="448"/>
              <w:rPr>
                <w:sz w:val="21"/>
              </w:rPr>
            </w:pPr>
            <w:r>
              <w:rPr>
                <w:sz w:val="21"/>
              </w:rPr>
              <w:t>原煤生产效率</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65" w:right="148"/>
              <w:rPr>
                <w:sz w:val="21"/>
              </w:rPr>
            </w:pPr>
            <w:r>
              <w:rPr>
                <w:sz w:val="21"/>
              </w:rPr>
              <w:t>t/工</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351" w:right="332"/>
              <w:rPr>
                <w:sz w:val="21"/>
              </w:rPr>
            </w:pPr>
            <w:r>
              <w:rPr>
                <w:sz w:val="21"/>
              </w:rPr>
              <w:t>3.4</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16</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5" w:right="448"/>
              <w:rPr>
                <w:sz w:val="21"/>
              </w:rPr>
            </w:pPr>
            <w:r>
              <w:rPr>
                <w:sz w:val="21"/>
              </w:rPr>
              <w:t>项目投资</w:t>
            </w:r>
          </w:p>
        </w:tc>
        <w:tc>
          <w:tcPr>
            <w:tcW w:w="9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247" w:right="234"/>
              <w:rPr>
                <w:sz w:val="21"/>
              </w:rPr>
            </w:pPr>
            <w:r>
              <w:rPr>
                <w:sz w:val="21"/>
              </w:rPr>
              <w:t>16.1</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5" w:right="448"/>
              <w:rPr>
                <w:sz w:val="21"/>
              </w:rPr>
            </w:pPr>
            <w:r>
              <w:rPr>
                <w:sz w:val="21"/>
              </w:rPr>
              <w:t>建设项目静态投资</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9"/>
              <w:ind w:left="165" w:right="148"/>
              <w:rPr>
                <w:sz w:val="21"/>
              </w:rPr>
            </w:pPr>
            <w:r>
              <w:rPr>
                <w:sz w:val="21"/>
              </w:rPr>
              <w:t>万元</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9"/>
              <w:ind w:left="351" w:right="335"/>
              <w:rPr>
                <w:sz w:val="21"/>
              </w:rPr>
            </w:pPr>
            <w:r>
              <w:rPr>
                <w:sz w:val="21"/>
              </w:rPr>
              <w:t>3589.99</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9" w:right="234"/>
              <w:rPr>
                <w:sz w:val="21"/>
              </w:rPr>
            </w:pPr>
            <w:r>
              <w:rPr>
                <w:sz w:val="21"/>
              </w:rPr>
              <w:t>16.1.1</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8" w:right="448"/>
              <w:rPr>
                <w:sz w:val="21"/>
              </w:rPr>
            </w:pPr>
            <w:r>
              <w:rPr>
                <w:sz w:val="21"/>
              </w:rPr>
              <w:t>其中：井巷工程</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65" w:right="148"/>
              <w:rPr>
                <w:sz w:val="21"/>
              </w:rPr>
            </w:pPr>
            <w:r>
              <w:rPr>
                <w:sz w:val="21"/>
              </w:rPr>
              <w:t>万元</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351" w:right="335"/>
              <w:rPr>
                <w:sz w:val="21"/>
              </w:rPr>
            </w:pPr>
            <w:r>
              <w:rPr>
                <w:sz w:val="21"/>
              </w:rPr>
              <w:t>1007.45</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9" w:right="234"/>
              <w:rPr>
                <w:sz w:val="21"/>
              </w:rPr>
            </w:pPr>
            <w:r>
              <w:rPr>
                <w:sz w:val="21"/>
              </w:rPr>
              <w:t>16.1.2</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3" w:right="448"/>
              <w:rPr>
                <w:sz w:val="21"/>
              </w:rPr>
            </w:pPr>
            <w:r>
              <w:rPr>
                <w:sz w:val="21"/>
              </w:rPr>
              <w:t>地面建筑工程</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65" w:right="148"/>
              <w:rPr>
                <w:sz w:val="21"/>
              </w:rPr>
            </w:pPr>
            <w:r>
              <w:rPr>
                <w:sz w:val="21"/>
              </w:rPr>
              <w:t>万元</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351" w:right="335"/>
              <w:rPr>
                <w:sz w:val="21"/>
              </w:rPr>
            </w:pPr>
            <w:r>
              <w:rPr>
                <w:sz w:val="21"/>
              </w:rPr>
              <w:t>99.55</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247" w:right="234"/>
              <w:rPr>
                <w:sz w:val="21"/>
              </w:rPr>
            </w:pPr>
            <w:r>
              <w:rPr>
                <w:sz w:val="21"/>
              </w:rPr>
              <w:t>16.2</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5" w:right="448"/>
              <w:rPr>
                <w:sz w:val="21"/>
              </w:rPr>
            </w:pPr>
            <w:r>
              <w:rPr>
                <w:sz w:val="21"/>
              </w:rPr>
              <w:t>设备及工器具配置</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9"/>
              <w:ind w:left="165" w:right="148"/>
              <w:rPr>
                <w:sz w:val="21"/>
              </w:rPr>
            </w:pPr>
            <w:r>
              <w:rPr>
                <w:sz w:val="21"/>
              </w:rPr>
              <w:t>万元</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9"/>
              <w:ind w:left="351" w:right="335"/>
              <w:rPr>
                <w:sz w:val="21"/>
              </w:rPr>
            </w:pPr>
            <w:r>
              <w:rPr>
                <w:sz w:val="21"/>
              </w:rPr>
              <w:t>1452.56</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9" w:right="234"/>
              <w:rPr>
                <w:sz w:val="21"/>
              </w:rPr>
            </w:pPr>
            <w:r>
              <w:rPr>
                <w:sz w:val="21"/>
              </w:rPr>
              <w:t>16.2.1</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5" w:right="448"/>
              <w:rPr>
                <w:sz w:val="21"/>
              </w:rPr>
            </w:pPr>
            <w:r>
              <w:rPr>
                <w:sz w:val="21"/>
              </w:rPr>
              <w:t>安装工程</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65" w:right="148"/>
              <w:rPr>
                <w:sz w:val="21"/>
              </w:rPr>
            </w:pPr>
            <w:r>
              <w:rPr>
                <w:sz w:val="21"/>
              </w:rPr>
              <w:t>万元</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351" w:right="335"/>
              <w:rPr>
                <w:sz w:val="21"/>
              </w:rPr>
            </w:pPr>
            <w:r>
              <w:rPr>
                <w:sz w:val="21"/>
              </w:rPr>
              <w:t>386.82</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17</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5" w:right="448"/>
              <w:rPr>
                <w:sz w:val="21"/>
              </w:rPr>
            </w:pPr>
            <w:r>
              <w:rPr>
                <w:sz w:val="21"/>
              </w:rPr>
              <w:t>其他费用</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65" w:right="148"/>
              <w:rPr>
                <w:sz w:val="21"/>
              </w:rPr>
            </w:pPr>
            <w:r>
              <w:rPr>
                <w:sz w:val="21"/>
              </w:rPr>
              <w:t>万元</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351" w:right="335"/>
              <w:rPr>
                <w:sz w:val="21"/>
              </w:rPr>
            </w:pPr>
            <w:r>
              <w:rPr>
                <w:sz w:val="21"/>
              </w:rPr>
              <w:t>472.65</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247" w:right="234"/>
              <w:rPr>
                <w:sz w:val="21"/>
              </w:rPr>
            </w:pPr>
            <w:r>
              <w:rPr>
                <w:sz w:val="21"/>
              </w:rPr>
              <w:t>17.1</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5" w:right="448"/>
              <w:rPr>
                <w:sz w:val="21"/>
              </w:rPr>
            </w:pPr>
            <w:r>
              <w:rPr>
                <w:sz w:val="21"/>
              </w:rPr>
              <w:t>工程预备费</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9"/>
              <w:ind w:left="165" w:right="148"/>
              <w:rPr>
                <w:sz w:val="21"/>
              </w:rPr>
            </w:pPr>
            <w:r>
              <w:rPr>
                <w:sz w:val="21"/>
              </w:rPr>
              <w:t>万元</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9"/>
              <w:ind w:left="351" w:right="335"/>
              <w:rPr>
                <w:sz w:val="21"/>
              </w:rPr>
            </w:pPr>
            <w:r>
              <w:rPr>
                <w:sz w:val="21"/>
              </w:rPr>
              <w:t>170.95</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18</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8" w:right="448"/>
              <w:rPr>
                <w:sz w:val="21"/>
              </w:rPr>
            </w:pPr>
            <w:r>
              <w:rPr>
                <w:sz w:val="21"/>
              </w:rPr>
              <w:t>建设期贷款利息</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65" w:right="148"/>
              <w:rPr>
                <w:sz w:val="21"/>
              </w:rPr>
            </w:pPr>
            <w:r>
              <w:rPr>
                <w:sz w:val="21"/>
              </w:rPr>
              <w:t>万元</w:t>
            </w:r>
          </w:p>
        </w:tc>
        <w:tc>
          <w:tcPr>
            <w:tcW w:w="1998"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18.1</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3" w:right="448"/>
              <w:rPr>
                <w:sz w:val="21"/>
              </w:rPr>
            </w:pPr>
            <w:r>
              <w:rPr>
                <w:sz w:val="21"/>
              </w:rPr>
              <w:t>铺底流动资金</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65" w:right="148"/>
              <w:rPr>
                <w:sz w:val="21"/>
              </w:rPr>
            </w:pPr>
            <w:r>
              <w:rPr>
                <w:sz w:val="21"/>
              </w:rPr>
              <w:t>万元</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351" w:right="335"/>
              <w:rPr>
                <w:sz w:val="21"/>
              </w:rPr>
            </w:pPr>
            <w:r>
              <w:rPr>
                <w:sz w:val="21"/>
              </w:rPr>
              <w:t>446.62</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247" w:right="234"/>
              <w:rPr>
                <w:sz w:val="21"/>
              </w:rPr>
            </w:pPr>
            <w:r>
              <w:rPr>
                <w:sz w:val="21"/>
              </w:rPr>
              <w:t>19</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5" w:right="448"/>
              <w:rPr>
                <w:sz w:val="21"/>
              </w:rPr>
            </w:pPr>
            <w:r>
              <w:rPr>
                <w:sz w:val="21"/>
              </w:rPr>
              <w:t>项目总投资</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9"/>
              <w:ind w:left="165" w:right="148"/>
              <w:rPr>
                <w:sz w:val="21"/>
              </w:rPr>
            </w:pPr>
            <w:r>
              <w:rPr>
                <w:sz w:val="21"/>
              </w:rPr>
              <w:t>万元</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9"/>
              <w:ind w:left="351" w:right="335"/>
              <w:rPr>
                <w:sz w:val="21"/>
              </w:rPr>
            </w:pPr>
            <w:r>
              <w:rPr>
                <w:sz w:val="21"/>
              </w:rPr>
              <w:t>4036.6</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19.1</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3" w:right="448"/>
              <w:rPr>
                <w:sz w:val="21"/>
              </w:rPr>
            </w:pPr>
            <w:r>
              <w:rPr>
                <w:sz w:val="21"/>
              </w:rPr>
              <w:t>吨煤静态投资</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8"/>
              <w:ind w:left="166" w:right="148"/>
              <w:rPr>
                <w:sz w:val="21"/>
              </w:rPr>
            </w:pPr>
            <w:r>
              <w:rPr>
                <w:sz w:val="21"/>
              </w:rPr>
              <w:t>元/t</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8"/>
              <w:ind w:left="351" w:right="335"/>
              <w:rPr>
                <w:sz w:val="21"/>
              </w:rPr>
            </w:pPr>
            <w:r>
              <w:rPr>
                <w:sz w:val="21"/>
              </w:rPr>
              <w:t>119.67</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19.2</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8" w:right="448"/>
              <w:rPr>
                <w:sz w:val="21"/>
              </w:rPr>
            </w:pPr>
            <w:r>
              <w:rPr>
                <w:sz w:val="21"/>
              </w:rPr>
              <w:t>原煤成本与售价</w:t>
            </w:r>
          </w:p>
        </w:tc>
        <w:tc>
          <w:tcPr>
            <w:tcW w:w="9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9"/>
              <w:ind w:left="247" w:right="234"/>
              <w:rPr>
                <w:sz w:val="21"/>
              </w:rPr>
            </w:pPr>
            <w:r>
              <w:rPr>
                <w:sz w:val="21"/>
              </w:rPr>
              <w:t>19.3</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9"/>
              <w:ind w:left="465" w:right="448"/>
              <w:rPr>
                <w:sz w:val="21"/>
              </w:rPr>
            </w:pPr>
            <w:r>
              <w:rPr>
                <w:sz w:val="21"/>
              </w:rPr>
              <w:t>吨煤成本</w:t>
            </w:r>
          </w:p>
        </w:tc>
        <w:tc>
          <w:tcPr>
            <w:tcW w:w="994" w:type="dxa"/>
            <w:tcBorders>
              <w:top w:val="single" w:color="000000" w:sz="4" w:space="0"/>
              <w:left w:val="single" w:color="000000" w:sz="4" w:space="0"/>
              <w:bottom w:val="single" w:color="000000" w:sz="4" w:space="0"/>
              <w:right w:val="single" w:color="000000" w:sz="4" w:space="0"/>
            </w:tcBorders>
          </w:tcPr>
          <w:p>
            <w:pPr>
              <w:pStyle w:val="19"/>
              <w:spacing w:before="29"/>
              <w:ind w:left="166" w:right="148"/>
              <w:rPr>
                <w:sz w:val="21"/>
              </w:rPr>
            </w:pPr>
            <w:r>
              <w:rPr>
                <w:sz w:val="21"/>
              </w:rPr>
              <w:t>元/t</w:t>
            </w:r>
          </w:p>
        </w:tc>
        <w:tc>
          <w:tcPr>
            <w:tcW w:w="1998" w:type="dxa"/>
            <w:tcBorders>
              <w:top w:val="single" w:color="000000" w:sz="4" w:space="0"/>
              <w:left w:val="single" w:color="000000" w:sz="4" w:space="0"/>
              <w:bottom w:val="single" w:color="000000" w:sz="4" w:space="0"/>
              <w:right w:val="single" w:color="000000" w:sz="4" w:space="0"/>
            </w:tcBorders>
          </w:tcPr>
          <w:p>
            <w:pPr>
              <w:pStyle w:val="19"/>
              <w:spacing w:before="29"/>
              <w:ind w:left="351" w:right="335"/>
              <w:rPr>
                <w:sz w:val="21"/>
              </w:rPr>
            </w:pPr>
            <w:r>
              <w:rPr>
                <w:sz w:val="21"/>
              </w:rPr>
              <w:t>388.36</w:t>
            </w: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9"/>
              <w:spacing w:before="28"/>
              <w:ind w:left="247" w:right="234"/>
              <w:rPr>
                <w:sz w:val="21"/>
              </w:rPr>
            </w:pPr>
            <w:r>
              <w:rPr>
                <w:sz w:val="21"/>
              </w:rPr>
              <w:t>19.4</w:t>
            </w:r>
          </w:p>
        </w:tc>
        <w:tc>
          <w:tcPr>
            <w:tcW w:w="3276" w:type="dxa"/>
            <w:tcBorders>
              <w:top w:val="single" w:color="000000" w:sz="4" w:space="0"/>
              <w:left w:val="single" w:color="000000" w:sz="4" w:space="0"/>
              <w:bottom w:val="single" w:color="000000" w:sz="4" w:space="0"/>
              <w:right w:val="single" w:color="000000" w:sz="4" w:space="0"/>
            </w:tcBorders>
          </w:tcPr>
          <w:p>
            <w:pPr>
              <w:pStyle w:val="19"/>
              <w:spacing w:before="28"/>
              <w:ind w:left="465" w:right="448"/>
              <w:rPr>
                <w:sz w:val="21"/>
              </w:rPr>
            </w:pPr>
            <w:r>
              <w:rPr>
                <w:sz w:val="21"/>
              </w:rPr>
              <w:t>项目建设期</w:t>
            </w:r>
          </w:p>
        </w:tc>
        <w:tc>
          <w:tcPr>
            <w:tcW w:w="9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9" w:hRule="atLeast"/>
        </w:trPr>
        <w:tc>
          <w:tcPr>
            <w:tcW w:w="1168" w:type="dxa"/>
            <w:tcBorders>
              <w:top w:val="single" w:color="000000" w:sz="4" w:space="0"/>
              <w:right w:val="single" w:color="000000" w:sz="4" w:space="0"/>
            </w:tcBorders>
          </w:tcPr>
          <w:p>
            <w:pPr>
              <w:pStyle w:val="19"/>
              <w:spacing w:before="28"/>
              <w:ind w:left="247" w:right="234"/>
              <w:rPr>
                <w:sz w:val="21"/>
              </w:rPr>
            </w:pPr>
            <w:r>
              <w:rPr>
                <w:sz w:val="21"/>
              </w:rPr>
              <w:t>19.5</w:t>
            </w:r>
          </w:p>
        </w:tc>
        <w:tc>
          <w:tcPr>
            <w:tcW w:w="3276" w:type="dxa"/>
            <w:tcBorders>
              <w:top w:val="single" w:color="000000" w:sz="4" w:space="0"/>
              <w:left w:val="single" w:color="000000" w:sz="4" w:space="0"/>
              <w:right w:val="single" w:color="000000" w:sz="4" w:space="0"/>
            </w:tcBorders>
          </w:tcPr>
          <w:p>
            <w:pPr>
              <w:pStyle w:val="19"/>
              <w:spacing w:before="28"/>
              <w:ind w:left="465" w:right="448"/>
              <w:rPr>
                <w:sz w:val="21"/>
              </w:rPr>
            </w:pPr>
            <w:r>
              <w:rPr>
                <w:sz w:val="21"/>
              </w:rPr>
              <w:t>建设总工期</w:t>
            </w:r>
          </w:p>
        </w:tc>
        <w:tc>
          <w:tcPr>
            <w:tcW w:w="994" w:type="dxa"/>
            <w:tcBorders>
              <w:top w:val="single" w:color="000000" w:sz="4" w:space="0"/>
              <w:left w:val="single" w:color="000000" w:sz="4" w:space="0"/>
              <w:right w:val="single" w:color="000000" w:sz="4" w:space="0"/>
            </w:tcBorders>
          </w:tcPr>
          <w:p>
            <w:pPr>
              <w:pStyle w:val="19"/>
              <w:spacing w:before="28"/>
              <w:ind w:left="19"/>
              <w:rPr>
                <w:sz w:val="21"/>
              </w:rPr>
            </w:pPr>
            <w:r>
              <w:rPr>
                <w:w w:val="99"/>
                <w:sz w:val="21"/>
              </w:rPr>
              <w:t>月</w:t>
            </w:r>
          </w:p>
        </w:tc>
        <w:tc>
          <w:tcPr>
            <w:tcW w:w="1998" w:type="dxa"/>
            <w:tcBorders>
              <w:top w:val="single" w:color="000000" w:sz="4" w:space="0"/>
              <w:left w:val="single" w:color="000000" w:sz="4" w:space="0"/>
              <w:right w:val="single" w:color="000000" w:sz="4" w:space="0"/>
            </w:tcBorders>
          </w:tcPr>
          <w:p>
            <w:pPr>
              <w:pStyle w:val="19"/>
              <w:spacing w:before="28"/>
              <w:ind w:left="351" w:right="332"/>
              <w:rPr>
                <w:sz w:val="21"/>
              </w:rPr>
            </w:pPr>
            <w:r>
              <w:rPr>
                <w:sz w:val="21"/>
              </w:rPr>
              <w:t>21</w:t>
            </w:r>
          </w:p>
        </w:tc>
        <w:tc>
          <w:tcPr>
            <w:tcW w:w="1846" w:type="dxa"/>
            <w:tcBorders>
              <w:top w:val="single" w:color="000000" w:sz="4" w:space="0"/>
              <w:left w:val="single" w:color="000000" w:sz="4" w:space="0"/>
            </w:tcBorders>
          </w:tcPr>
          <w:p>
            <w:pPr>
              <w:pStyle w:val="19"/>
              <w:jc w:val="left"/>
              <w:rPr>
                <w:rFonts w:ascii="Times New Roman"/>
                <w:sz w:val="20"/>
              </w:rPr>
            </w:pPr>
          </w:p>
        </w:tc>
      </w:tr>
    </w:tbl>
    <w:p>
      <w:pPr>
        <w:pStyle w:val="5"/>
        <w:numPr>
          <w:ilvl w:val="1"/>
          <w:numId w:val="27"/>
        </w:numPr>
        <w:tabs>
          <w:tab w:val="left" w:pos="744"/>
        </w:tabs>
        <w:spacing w:before="4" w:after="0" w:line="240" w:lineRule="auto"/>
        <w:ind w:left="744" w:right="0" w:hanging="526"/>
        <w:jc w:val="left"/>
      </w:pPr>
      <w:bookmarkStart w:id="161" w:name="2.3 工程分析"/>
      <w:bookmarkEnd w:id="161"/>
      <w:bookmarkStart w:id="162" w:name="2.3 工程分析"/>
      <w:bookmarkEnd w:id="162"/>
      <w:r>
        <w:t>工程分析</w:t>
      </w:r>
    </w:p>
    <w:p>
      <w:pPr>
        <w:pStyle w:val="6"/>
        <w:numPr>
          <w:ilvl w:val="2"/>
          <w:numId w:val="27"/>
        </w:numPr>
        <w:tabs>
          <w:tab w:val="left" w:pos="848"/>
        </w:tabs>
        <w:spacing w:before="198" w:after="0" w:line="240" w:lineRule="auto"/>
        <w:ind w:left="847" w:right="0" w:hanging="630"/>
        <w:jc w:val="left"/>
        <w:rPr>
          <w:rFonts w:ascii="Times New Roman" w:eastAsia="Times New Roman"/>
        </w:rPr>
      </w:pPr>
      <w:bookmarkStart w:id="163" w:name="2.3.1原有工程污染情况"/>
      <w:bookmarkEnd w:id="163"/>
      <w:bookmarkStart w:id="164" w:name="2.3.1原有工程污染情况"/>
      <w:bookmarkEnd w:id="164"/>
      <w:r>
        <w:t>原有工程污染情况</w:t>
      </w:r>
    </w:p>
    <w:p>
      <w:pPr>
        <w:pStyle w:val="9"/>
        <w:spacing w:before="185"/>
        <w:ind w:left="698"/>
      </w:pPr>
      <w:r>
        <w:rPr>
          <w:rFonts w:ascii="Times New Roman" w:eastAsia="Times New Roman"/>
        </w:rPr>
        <w:t>1</w:t>
      </w:r>
      <w:r>
        <w:t>、环境空气污染分析及源强</w:t>
      </w:r>
    </w:p>
    <w:p>
      <w:pPr>
        <w:pStyle w:val="18"/>
        <w:numPr>
          <w:ilvl w:val="0"/>
          <w:numId w:val="31"/>
        </w:numPr>
        <w:tabs>
          <w:tab w:val="left" w:pos="1300"/>
        </w:tabs>
        <w:spacing w:before="160" w:after="0" w:line="240" w:lineRule="auto"/>
        <w:ind w:left="1299" w:right="0" w:hanging="602"/>
        <w:jc w:val="left"/>
        <w:rPr>
          <w:sz w:val="24"/>
        </w:rPr>
      </w:pPr>
      <w:r>
        <w:rPr>
          <w:sz w:val="24"/>
        </w:rPr>
        <w:t>锅炉废气</w:t>
      </w:r>
    </w:p>
    <w:p>
      <w:pPr>
        <w:pStyle w:val="9"/>
        <w:spacing w:before="155" w:line="364" w:lineRule="auto"/>
        <w:ind w:left="218" w:right="253" w:firstLine="480"/>
        <w:jc w:val="both"/>
      </w:pPr>
      <w:r>
        <w:rPr>
          <w:spacing w:val="-4"/>
          <w:position w:val="2"/>
        </w:rPr>
        <w:t>锅炉运行产生的污染物为烟尘、</w:t>
      </w:r>
      <w:r>
        <w:rPr>
          <w:rFonts w:ascii="Times New Roman" w:eastAsia="Times New Roman"/>
          <w:position w:val="2"/>
        </w:rPr>
        <w:t>SO</w:t>
      </w:r>
      <w:r>
        <w:rPr>
          <w:rFonts w:ascii="Times New Roman" w:eastAsia="Times New Roman"/>
          <w:position w:val="2"/>
          <w:vertAlign w:val="subscript"/>
        </w:rPr>
        <w:t>2</w:t>
      </w:r>
      <w:r>
        <w:rPr>
          <w:rFonts w:ascii="Times New Roman" w:eastAsia="Times New Roman"/>
          <w:position w:val="2"/>
          <w:vertAlign w:val="baseline"/>
        </w:rPr>
        <w:t xml:space="preserve"> </w:t>
      </w:r>
      <w:r>
        <w:rPr>
          <w:spacing w:val="-30"/>
          <w:position w:val="2"/>
          <w:vertAlign w:val="baseline"/>
        </w:rPr>
        <w:t xml:space="preserve">与 </w:t>
      </w:r>
      <w:r>
        <w:rPr>
          <w:rFonts w:ascii="Times New Roman" w:eastAsia="Times New Roman"/>
          <w:position w:val="2"/>
          <w:vertAlign w:val="baseline"/>
        </w:rPr>
        <w:t xml:space="preserve">NOx </w:t>
      </w:r>
      <w:r>
        <w:rPr>
          <w:spacing w:val="-10"/>
          <w:position w:val="2"/>
          <w:vertAlign w:val="baseline"/>
        </w:rPr>
        <w:t>等，为有组织排放。原双鸭山双兴时代</w:t>
      </w:r>
      <w:r>
        <w:rPr>
          <w:spacing w:val="-5"/>
          <w:vertAlign w:val="baseline"/>
        </w:rPr>
        <w:t xml:space="preserve">矿业有限责任公司一井锅炉使用情况为：原双桦二井设有一台 </w:t>
      </w:r>
      <w:r>
        <w:rPr>
          <w:rFonts w:ascii="Times New Roman" w:eastAsia="Times New Roman"/>
          <w:vertAlign w:val="baseline"/>
        </w:rPr>
        <w:t xml:space="preserve">CLSG </w:t>
      </w:r>
      <w:r>
        <w:rPr>
          <w:spacing w:val="-7"/>
          <w:vertAlign w:val="baseline"/>
        </w:rPr>
        <w:t>型常压锅炉、一台</w:t>
      </w:r>
      <w:r>
        <w:rPr>
          <w:vertAlign w:val="baseline"/>
        </w:rPr>
        <w:t>热风炉；弘泰第六煤矿设有热风炉一台，均燃用本煤矿原煤。</w:t>
      </w:r>
    </w:p>
    <w:p>
      <w:pPr>
        <w:pStyle w:val="9"/>
        <w:spacing w:line="362" w:lineRule="auto"/>
        <w:ind w:left="218" w:right="253" w:firstLine="480"/>
        <w:jc w:val="both"/>
      </w:pPr>
      <w:r>
        <w:rPr>
          <w:spacing w:val="-7"/>
        </w:rPr>
        <w:t xml:space="preserve">原工程燃煤量约为 </w:t>
      </w:r>
      <w:r>
        <w:rPr>
          <w:rFonts w:ascii="Times New Roman" w:eastAsia="Times New Roman"/>
          <w:spacing w:val="-5"/>
        </w:rPr>
        <w:t>2000t/a</w:t>
      </w:r>
      <w:r>
        <w:rPr>
          <w:spacing w:val="-8"/>
        </w:rPr>
        <w:t>，锅炉无脱硝脱硫除尘设施，锅炉排放烟气不能达标。锅</w:t>
      </w:r>
      <w:r>
        <w:t>炉正常运转时设备指标见下表。</w:t>
      </w:r>
    </w:p>
    <w:p>
      <w:pPr>
        <w:spacing w:before="175"/>
        <w:ind w:left="3196" w:right="0" w:firstLine="0"/>
        <w:jc w:val="both"/>
        <w:rPr>
          <w:b/>
          <w:sz w:val="21"/>
        </w:rPr>
      </w:pPr>
      <w:r>
        <w:rPr>
          <w:b/>
          <w:color w:val="FF0000"/>
          <w:spacing w:val="-28"/>
          <w:sz w:val="21"/>
        </w:rPr>
        <w:t xml:space="preserve">表 </w:t>
      </w:r>
      <w:r>
        <w:rPr>
          <w:rFonts w:ascii="Times New Roman" w:eastAsia="Times New Roman"/>
          <w:b/>
          <w:color w:val="FF0000"/>
          <w:sz w:val="21"/>
        </w:rPr>
        <w:t>2.3-1</w:t>
      </w:r>
      <w:r>
        <w:rPr>
          <w:rFonts w:ascii="Times New Roman" w:eastAsia="Times New Roman"/>
          <w:b/>
          <w:color w:val="FF0000"/>
          <w:spacing w:val="52"/>
          <w:sz w:val="21"/>
        </w:rPr>
        <w:t xml:space="preserve"> </w:t>
      </w:r>
      <w:r>
        <w:rPr>
          <w:b/>
          <w:color w:val="FF0000"/>
          <w:sz w:val="21"/>
        </w:rPr>
        <w:t>锅炉正常运转时设备指标</w:t>
      </w:r>
    </w:p>
    <w:p>
      <w:pPr>
        <w:pStyle w:val="9"/>
        <w:spacing w:before="3"/>
        <w:rPr>
          <w:b/>
          <w:sz w:val="12"/>
        </w:rPr>
      </w:pPr>
    </w:p>
    <w:tbl>
      <w:tblPr>
        <w:tblStyle w:val="15"/>
        <w:tblW w:w="0" w:type="auto"/>
        <w:tblInd w:w="3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29"/>
        <w:gridCol w:w="929"/>
        <w:gridCol w:w="929"/>
        <w:gridCol w:w="995"/>
        <w:gridCol w:w="995"/>
        <w:gridCol w:w="995"/>
        <w:gridCol w:w="995"/>
        <w:gridCol w:w="995"/>
        <w:gridCol w:w="99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9" w:hRule="atLeast"/>
        </w:trPr>
        <w:tc>
          <w:tcPr>
            <w:tcW w:w="929" w:type="dxa"/>
            <w:vMerge w:val="restart"/>
            <w:tcBorders>
              <w:bottom w:val="single" w:color="000000" w:sz="4" w:space="0"/>
              <w:right w:val="single" w:color="000000" w:sz="4" w:space="0"/>
            </w:tcBorders>
          </w:tcPr>
          <w:p>
            <w:pPr>
              <w:pStyle w:val="19"/>
              <w:jc w:val="left"/>
              <w:rPr>
                <w:b/>
                <w:sz w:val="20"/>
              </w:rPr>
            </w:pPr>
          </w:p>
          <w:p>
            <w:pPr>
              <w:pStyle w:val="19"/>
              <w:spacing w:before="10"/>
              <w:jc w:val="left"/>
              <w:rPr>
                <w:b/>
                <w:sz w:val="18"/>
              </w:rPr>
            </w:pPr>
          </w:p>
          <w:p>
            <w:pPr>
              <w:pStyle w:val="19"/>
              <w:ind w:left="147"/>
              <w:jc w:val="left"/>
              <w:rPr>
                <w:sz w:val="21"/>
              </w:rPr>
            </w:pPr>
            <w:r>
              <w:rPr>
                <w:color w:val="FF0000"/>
                <w:sz w:val="21"/>
              </w:rPr>
              <w:t>污染源</w:t>
            </w:r>
          </w:p>
        </w:tc>
        <w:tc>
          <w:tcPr>
            <w:tcW w:w="1858" w:type="dxa"/>
            <w:gridSpan w:val="2"/>
            <w:vMerge w:val="restart"/>
            <w:tcBorders>
              <w:left w:val="single" w:color="000000" w:sz="4" w:space="0"/>
              <w:bottom w:val="single" w:color="000000" w:sz="4" w:space="0"/>
              <w:right w:val="single" w:color="000000" w:sz="4" w:space="0"/>
            </w:tcBorders>
          </w:tcPr>
          <w:p>
            <w:pPr>
              <w:pStyle w:val="19"/>
              <w:jc w:val="left"/>
              <w:rPr>
                <w:b/>
                <w:sz w:val="20"/>
              </w:rPr>
            </w:pPr>
          </w:p>
          <w:p>
            <w:pPr>
              <w:pStyle w:val="19"/>
              <w:spacing w:before="10"/>
              <w:jc w:val="left"/>
              <w:rPr>
                <w:b/>
                <w:sz w:val="18"/>
              </w:rPr>
            </w:pPr>
          </w:p>
          <w:p>
            <w:pPr>
              <w:pStyle w:val="19"/>
              <w:ind w:left="514"/>
              <w:jc w:val="left"/>
              <w:rPr>
                <w:sz w:val="21"/>
              </w:rPr>
            </w:pPr>
            <w:r>
              <w:rPr>
                <w:color w:val="FF0000"/>
                <w:sz w:val="21"/>
              </w:rPr>
              <w:t>排放特征</w:t>
            </w:r>
          </w:p>
        </w:tc>
        <w:tc>
          <w:tcPr>
            <w:tcW w:w="5973" w:type="dxa"/>
            <w:gridSpan w:val="6"/>
            <w:tcBorders>
              <w:left w:val="single" w:color="000000" w:sz="4" w:space="0"/>
              <w:bottom w:val="single" w:color="000000" w:sz="4" w:space="0"/>
            </w:tcBorders>
          </w:tcPr>
          <w:p>
            <w:pPr>
              <w:pStyle w:val="19"/>
              <w:spacing w:before="79"/>
              <w:ind w:left="2549" w:right="2108"/>
              <w:rPr>
                <w:sz w:val="21"/>
              </w:rPr>
            </w:pPr>
            <w:r>
              <w:rPr>
                <w:color w:val="FF0000"/>
                <w:sz w:val="21"/>
              </w:rPr>
              <w:t>排放量（</w:t>
            </w:r>
            <w:r>
              <w:rPr>
                <w:rFonts w:ascii="Times New Roman" w:eastAsia="Times New Roman"/>
                <w:color w:val="FF0000"/>
                <w:sz w:val="21"/>
              </w:rPr>
              <w:t>t/a</w:t>
            </w:r>
            <w:r>
              <w:rPr>
                <w:color w:val="FF0000"/>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929" w:type="dxa"/>
            <w:vMerge w:val="continue"/>
            <w:tcBorders>
              <w:top w:val="nil"/>
              <w:bottom w:val="single" w:color="000000" w:sz="4" w:space="0"/>
              <w:right w:val="single" w:color="000000" w:sz="4" w:space="0"/>
            </w:tcBorders>
          </w:tcPr>
          <w:p>
            <w:pPr>
              <w:rPr>
                <w:sz w:val="2"/>
                <w:szCs w:val="2"/>
              </w:rPr>
            </w:pPr>
          </w:p>
        </w:tc>
        <w:tc>
          <w:tcPr>
            <w:tcW w:w="185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990" w:type="dxa"/>
            <w:gridSpan w:val="2"/>
            <w:tcBorders>
              <w:top w:val="single" w:color="000000" w:sz="4" w:space="0"/>
              <w:left w:val="single" w:color="000000" w:sz="4" w:space="0"/>
              <w:bottom w:val="single" w:color="000000" w:sz="4" w:space="0"/>
              <w:right w:val="single" w:color="000000" w:sz="4" w:space="0"/>
            </w:tcBorders>
          </w:tcPr>
          <w:p>
            <w:pPr>
              <w:pStyle w:val="19"/>
              <w:spacing w:before="11" w:line="242" w:lineRule="exact"/>
              <w:ind w:left="743" w:right="547"/>
              <w:rPr>
                <w:rFonts w:ascii="Times New Roman"/>
                <w:sz w:val="21"/>
              </w:rPr>
            </w:pPr>
            <w:r>
              <w:rPr>
                <w:rFonts w:ascii="Times New Roman"/>
                <w:color w:val="FF0000"/>
                <w:position w:val="2"/>
                <w:sz w:val="21"/>
              </w:rPr>
              <w:t>SO</w:t>
            </w:r>
            <w:r>
              <w:rPr>
                <w:rFonts w:ascii="Times New Roman"/>
                <w:color w:val="FF0000"/>
                <w:position w:val="2"/>
                <w:sz w:val="21"/>
                <w:vertAlign w:val="subscript"/>
              </w:rPr>
              <w:t>2</w:t>
            </w:r>
          </w:p>
        </w:tc>
        <w:tc>
          <w:tcPr>
            <w:tcW w:w="1990" w:type="dxa"/>
            <w:gridSpan w:val="2"/>
            <w:tcBorders>
              <w:top w:val="single" w:color="000000" w:sz="4" w:space="0"/>
              <w:left w:val="single" w:color="000000" w:sz="4" w:space="0"/>
              <w:bottom w:val="single" w:color="000000" w:sz="4" w:space="0"/>
              <w:right w:val="single" w:color="000000" w:sz="4" w:space="0"/>
            </w:tcBorders>
          </w:tcPr>
          <w:p>
            <w:pPr>
              <w:pStyle w:val="19"/>
              <w:spacing w:line="252" w:lineRule="exact"/>
              <w:ind w:left="561"/>
              <w:jc w:val="left"/>
              <w:rPr>
                <w:sz w:val="21"/>
              </w:rPr>
            </w:pPr>
            <w:r>
              <w:rPr>
                <w:color w:val="FF0000"/>
                <w:sz w:val="21"/>
              </w:rPr>
              <w:t>烟（粉）尘</w:t>
            </w:r>
          </w:p>
        </w:tc>
        <w:tc>
          <w:tcPr>
            <w:tcW w:w="1993" w:type="dxa"/>
            <w:gridSpan w:val="2"/>
            <w:tcBorders>
              <w:top w:val="single" w:color="000000" w:sz="4" w:space="0"/>
              <w:left w:val="single" w:color="000000" w:sz="4" w:space="0"/>
              <w:bottom w:val="single" w:color="000000" w:sz="4" w:space="0"/>
            </w:tcBorders>
          </w:tcPr>
          <w:p>
            <w:pPr>
              <w:pStyle w:val="19"/>
              <w:spacing w:before="14" w:line="238" w:lineRule="exact"/>
              <w:ind w:left="798" w:right="599"/>
              <w:rPr>
                <w:rFonts w:ascii="Times New Roman"/>
                <w:sz w:val="21"/>
              </w:rPr>
            </w:pPr>
            <w:r>
              <w:rPr>
                <w:rFonts w:ascii="Times New Roman"/>
                <w:color w:val="FF0000"/>
                <w:sz w:val="21"/>
              </w:rPr>
              <w:t>NOx</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929" w:type="dxa"/>
            <w:vMerge w:val="continue"/>
            <w:tcBorders>
              <w:top w:val="nil"/>
              <w:bottom w:val="single" w:color="000000" w:sz="4" w:space="0"/>
              <w:right w:val="single" w:color="000000" w:sz="4" w:space="0"/>
            </w:tcBorders>
          </w:tcPr>
          <w:p>
            <w:pPr>
              <w:rPr>
                <w:sz w:val="2"/>
                <w:szCs w:val="2"/>
              </w:rPr>
            </w:pPr>
          </w:p>
        </w:tc>
        <w:tc>
          <w:tcPr>
            <w:tcW w:w="185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995" w:type="dxa"/>
            <w:tcBorders>
              <w:top w:val="single" w:color="000000" w:sz="4" w:space="0"/>
              <w:left w:val="single" w:color="000000" w:sz="4" w:space="0"/>
              <w:bottom w:val="single" w:color="000000" w:sz="4" w:space="0"/>
              <w:right w:val="single" w:color="000000" w:sz="4" w:space="0"/>
            </w:tcBorders>
          </w:tcPr>
          <w:p>
            <w:pPr>
              <w:pStyle w:val="19"/>
              <w:ind w:left="113"/>
              <w:jc w:val="left"/>
              <w:rPr>
                <w:sz w:val="21"/>
              </w:rPr>
            </w:pPr>
            <w:r>
              <w:rPr>
                <w:color w:val="FF0000"/>
                <w:spacing w:val="-10"/>
                <w:w w:val="95"/>
                <w:sz w:val="21"/>
              </w:rPr>
              <w:t>排放浓度</w:t>
            </w:r>
          </w:p>
          <w:p>
            <w:pPr>
              <w:pStyle w:val="19"/>
              <w:spacing w:before="3" w:line="252" w:lineRule="exact"/>
              <w:ind w:left="113"/>
              <w:jc w:val="left"/>
              <w:rPr>
                <w:sz w:val="21"/>
              </w:rPr>
            </w:pPr>
            <w:r>
              <w:rPr>
                <w:rFonts w:ascii="Times New Roman" w:eastAsia="Times New Roman"/>
                <w:color w:val="FF0000"/>
                <w:spacing w:val="-10"/>
                <w:sz w:val="21"/>
              </w:rPr>
              <w:t>(mg/m</w:t>
            </w:r>
            <w:r>
              <w:rPr>
                <w:rFonts w:ascii="Times New Roman" w:eastAsia="Times New Roman"/>
                <w:color w:val="FF0000"/>
                <w:spacing w:val="-10"/>
                <w:position w:val="7"/>
                <w:sz w:val="13"/>
              </w:rPr>
              <w:t>3</w:t>
            </w:r>
            <w:r>
              <w:rPr>
                <w:color w:val="FF0000"/>
                <w:spacing w:val="-10"/>
                <w:sz w:val="21"/>
              </w:rPr>
              <w:t>）</w:t>
            </w:r>
          </w:p>
        </w:tc>
        <w:tc>
          <w:tcPr>
            <w:tcW w:w="995" w:type="dxa"/>
            <w:tcBorders>
              <w:top w:val="single" w:color="000000" w:sz="4" w:space="0"/>
              <w:left w:val="single" w:color="000000" w:sz="4" w:space="0"/>
              <w:bottom w:val="single" w:color="000000" w:sz="4" w:space="0"/>
              <w:right w:val="single" w:color="000000" w:sz="4" w:space="0"/>
            </w:tcBorders>
          </w:tcPr>
          <w:p>
            <w:pPr>
              <w:pStyle w:val="19"/>
              <w:ind w:left="112"/>
              <w:jc w:val="left"/>
              <w:rPr>
                <w:sz w:val="21"/>
              </w:rPr>
            </w:pPr>
            <w:r>
              <w:rPr>
                <w:color w:val="FF0000"/>
                <w:sz w:val="21"/>
              </w:rPr>
              <w:t>排 放 量</w:t>
            </w:r>
          </w:p>
          <w:p>
            <w:pPr>
              <w:pStyle w:val="19"/>
              <w:spacing w:before="3" w:line="252" w:lineRule="exact"/>
              <w:ind w:left="112"/>
              <w:jc w:val="left"/>
              <w:rPr>
                <w:sz w:val="21"/>
              </w:rPr>
            </w:pPr>
            <w:r>
              <w:rPr>
                <w:color w:val="FF0000"/>
                <w:sz w:val="21"/>
              </w:rPr>
              <w:t>（</w:t>
            </w:r>
            <w:r>
              <w:rPr>
                <w:rFonts w:ascii="Times New Roman" w:eastAsia="Times New Roman"/>
                <w:color w:val="FF0000"/>
                <w:sz w:val="21"/>
              </w:rPr>
              <w:t>t/a</w:t>
            </w:r>
            <w:r>
              <w:rPr>
                <w:color w:val="FF0000"/>
                <w:sz w:val="21"/>
              </w:rPr>
              <w:t>）</w:t>
            </w:r>
          </w:p>
        </w:tc>
        <w:tc>
          <w:tcPr>
            <w:tcW w:w="995" w:type="dxa"/>
            <w:tcBorders>
              <w:top w:val="single" w:color="000000" w:sz="4" w:space="0"/>
              <w:left w:val="single" w:color="000000" w:sz="4" w:space="0"/>
              <w:bottom w:val="single" w:color="000000" w:sz="4" w:space="0"/>
              <w:right w:val="single" w:color="000000" w:sz="4" w:space="0"/>
            </w:tcBorders>
          </w:tcPr>
          <w:p>
            <w:pPr>
              <w:pStyle w:val="19"/>
              <w:ind w:left="113"/>
              <w:jc w:val="left"/>
              <w:rPr>
                <w:sz w:val="21"/>
              </w:rPr>
            </w:pPr>
            <w:r>
              <w:rPr>
                <w:color w:val="FF0000"/>
                <w:spacing w:val="-10"/>
                <w:w w:val="95"/>
                <w:sz w:val="21"/>
              </w:rPr>
              <w:t>排放浓度</w:t>
            </w:r>
          </w:p>
          <w:p>
            <w:pPr>
              <w:pStyle w:val="19"/>
              <w:spacing w:before="3" w:line="252" w:lineRule="exact"/>
              <w:ind w:left="113"/>
              <w:jc w:val="left"/>
              <w:rPr>
                <w:sz w:val="21"/>
              </w:rPr>
            </w:pPr>
            <w:r>
              <w:rPr>
                <w:rFonts w:ascii="Times New Roman" w:eastAsia="Times New Roman"/>
                <w:color w:val="FF0000"/>
                <w:spacing w:val="-10"/>
                <w:sz w:val="21"/>
              </w:rPr>
              <w:t>(mg/m</w:t>
            </w:r>
            <w:r>
              <w:rPr>
                <w:rFonts w:ascii="Times New Roman" w:eastAsia="Times New Roman"/>
                <w:color w:val="FF0000"/>
                <w:spacing w:val="-10"/>
                <w:position w:val="7"/>
                <w:sz w:val="13"/>
              </w:rPr>
              <w:t>3</w:t>
            </w:r>
            <w:r>
              <w:rPr>
                <w:color w:val="FF0000"/>
                <w:spacing w:val="-10"/>
                <w:sz w:val="21"/>
              </w:rPr>
              <w:t>）</w:t>
            </w:r>
          </w:p>
        </w:tc>
        <w:tc>
          <w:tcPr>
            <w:tcW w:w="995" w:type="dxa"/>
            <w:tcBorders>
              <w:top w:val="single" w:color="000000" w:sz="4" w:space="0"/>
              <w:left w:val="single" w:color="000000" w:sz="4" w:space="0"/>
              <w:bottom w:val="single" w:color="000000" w:sz="4" w:space="0"/>
              <w:right w:val="single" w:color="000000" w:sz="4" w:space="0"/>
            </w:tcBorders>
          </w:tcPr>
          <w:p>
            <w:pPr>
              <w:pStyle w:val="19"/>
              <w:ind w:left="111"/>
              <w:jc w:val="left"/>
              <w:rPr>
                <w:sz w:val="21"/>
              </w:rPr>
            </w:pPr>
            <w:r>
              <w:rPr>
                <w:color w:val="FF0000"/>
                <w:sz w:val="21"/>
              </w:rPr>
              <w:t>排 放 量</w:t>
            </w:r>
          </w:p>
          <w:p>
            <w:pPr>
              <w:pStyle w:val="19"/>
              <w:spacing w:before="3" w:line="252" w:lineRule="exact"/>
              <w:ind w:left="111"/>
              <w:jc w:val="left"/>
              <w:rPr>
                <w:sz w:val="21"/>
              </w:rPr>
            </w:pPr>
            <w:r>
              <w:rPr>
                <w:color w:val="FF0000"/>
                <w:sz w:val="21"/>
              </w:rPr>
              <w:t>（</w:t>
            </w:r>
            <w:r>
              <w:rPr>
                <w:rFonts w:ascii="Times New Roman" w:eastAsia="Times New Roman"/>
                <w:color w:val="FF0000"/>
                <w:sz w:val="21"/>
              </w:rPr>
              <w:t>t/a</w:t>
            </w:r>
            <w:r>
              <w:rPr>
                <w:color w:val="FF0000"/>
                <w:sz w:val="21"/>
              </w:rPr>
              <w:t>）</w:t>
            </w:r>
          </w:p>
        </w:tc>
        <w:tc>
          <w:tcPr>
            <w:tcW w:w="995" w:type="dxa"/>
            <w:tcBorders>
              <w:top w:val="single" w:color="000000" w:sz="4" w:space="0"/>
              <w:left w:val="single" w:color="000000" w:sz="4" w:space="0"/>
              <w:bottom w:val="single" w:color="000000" w:sz="4" w:space="0"/>
              <w:right w:val="single" w:color="000000" w:sz="4" w:space="0"/>
            </w:tcBorders>
          </w:tcPr>
          <w:p>
            <w:pPr>
              <w:pStyle w:val="19"/>
              <w:ind w:left="112"/>
              <w:jc w:val="left"/>
              <w:rPr>
                <w:sz w:val="21"/>
              </w:rPr>
            </w:pPr>
            <w:r>
              <w:rPr>
                <w:color w:val="FF0000"/>
                <w:spacing w:val="-10"/>
                <w:w w:val="95"/>
                <w:sz w:val="21"/>
              </w:rPr>
              <w:t>排放浓度</w:t>
            </w:r>
          </w:p>
          <w:p>
            <w:pPr>
              <w:pStyle w:val="19"/>
              <w:spacing w:before="3" w:line="252" w:lineRule="exact"/>
              <w:ind w:left="112"/>
              <w:jc w:val="left"/>
              <w:rPr>
                <w:sz w:val="21"/>
              </w:rPr>
            </w:pPr>
            <w:r>
              <w:rPr>
                <w:rFonts w:ascii="Times New Roman" w:eastAsia="Times New Roman"/>
                <w:color w:val="FF0000"/>
                <w:spacing w:val="-10"/>
                <w:sz w:val="21"/>
              </w:rPr>
              <w:t>(mg/m</w:t>
            </w:r>
            <w:r>
              <w:rPr>
                <w:rFonts w:ascii="Times New Roman" w:eastAsia="Times New Roman"/>
                <w:color w:val="FF0000"/>
                <w:spacing w:val="-10"/>
                <w:position w:val="7"/>
                <w:sz w:val="13"/>
              </w:rPr>
              <w:t>3</w:t>
            </w:r>
            <w:r>
              <w:rPr>
                <w:color w:val="FF0000"/>
                <w:spacing w:val="-10"/>
                <w:sz w:val="21"/>
              </w:rPr>
              <w:t>）</w:t>
            </w:r>
          </w:p>
        </w:tc>
        <w:tc>
          <w:tcPr>
            <w:tcW w:w="998" w:type="dxa"/>
            <w:tcBorders>
              <w:top w:val="single" w:color="000000" w:sz="4" w:space="0"/>
              <w:left w:val="single" w:color="000000" w:sz="4" w:space="0"/>
              <w:bottom w:val="single" w:color="000000" w:sz="4" w:space="0"/>
            </w:tcBorders>
          </w:tcPr>
          <w:p>
            <w:pPr>
              <w:pStyle w:val="19"/>
              <w:ind w:left="113"/>
              <w:jc w:val="left"/>
              <w:rPr>
                <w:sz w:val="21"/>
              </w:rPr>
            </w:pPr>
            <w:r>
              <w:rPr>
                <w:color w:val="FF0000"/>
                <w:sz w:val="21"/>
              </w:rPr>
              <w:t>排 放 量</w:t>
            </w:r>
          </w:p>
          <w:p>
            <w:pPr>
              <w:pStyle w:val="19"/>
              <w:spacing w:before="3" w:line="252" w:lineRule="exact"/>
              <w:ind w:left="113"/>
              <w:jc w:val="left"/>
              <w:rPr>
                <w:sz w:val="21"/>
              </w:rPr>
            </w:pPr>
            <w:r>
              <w:rPr>
                <w:color w:val="FF0000"/>
                <w:sz w:val="21"/>
              </w:rPr>
              <w:t>（</w:t>
            </w:r>
            <w:r>
              <w:rPr>
                <w:rFonts w:ascii="Times New Roman" w:eastAsia="Times New Roman"/>
                <w:color w:val="FF0000"/>
                <w:sz w:val="21"/>
              </w:rPr>
              <w:t>t/a</w:t>
            </w:r>
            <w:r>
              <w:rPr>
                <w:color w:val="FF0000"/>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929" w:type="dxa"/>
            <w:tcBorders>
              <w:top w:val="single" w:color="000000" w:sz="4" w:space="0"/>
              <w:bottom w:val="single" w:color="000000" w:sz="4" w:space="0"/>
              <w:right w:val="single" w:color="000000" w:sz="4" w:space="0"/>
            </w:tcBorders>
          </w:tcPr>
          <w:p>
            <w:pPr>
              <w:pStyle w:val="19"/>
              <w:spacing w:before="1" w:line="242" w:lineRule="auto"/>
              <w:ind w:left="147" w:right="135"/>
              <w:rPr>
                <w:sz w:val="21"/>
              </w:rPr>
            </w:pPr>
            <w:r>
              <w:rPr>
                <w:color w:val="FF0000"/>
                <w:sz w:val="21"/>
              </w:rPr>
              <w:t>原双桦二井锅</w:t>
            </w:r>
          </w:p>
          <w:p>
            <w:pPr>
              <w:pStyle w:val="19"/>
              <w:spacing w:before="1" w:line="251" w:lineRule="exact"/>
              <w:ind w:left="12"/>
              <w:rPr>
                <w:sz w:val="21"/>
              </w:rPr>
            </w:pPr>
            <w:r>
              <w:rPr>
                <w:color w:val="FF0000"/>
                <w:w w:val="99"/>
                <w:sz w:val="21"/>
              </w:rPr>
              <w:t>炉</w:t>
            </w:r>
          </w:p>
        </w:tc>
        <w:tc>
          <w:tcPr>
            <w:tcW w:w="929" w:type="dxa"/>
            <w:tcBorders>
              <w:top w:val="single" w:color="000000" w:sz="4" w:space="0"/>
              <w:left w:val="single" w:color="000000" w:sz="4" w:space="0"/>
              <w:bottom w:val="single" w:color="000000" w:sz="4" w:space="0"/>
              <w:right w:val="single" w:color="000000" w:sz="4" w:space="0"/>
            </w:tcBorders>
          </w:tcPr>
          <w:p>
            <w:pPr>
              <w:pStyle w:val="19"/>
              <w:spacing w:before="3"/>
              <w:jc w:val="left"/>
              <w:rPr>
                <w:b/>
                <w:sz w:val="21"/>
              </w:rPr>
            </w:pPr>
          </w:p>
          <w:p>
            <w:pPr>
              <w:pStyle w:val="19"/>
              <w:ind w:left="236" w:right="222"/>
              <w:rPr>
                <w:sz w:val="21"/>
              </w:rPr>
            </w:pPr>
            <w:r>
              <w:rPr>
                <w:color w:val="FF0000"/>
                <w:sz w:val="21"/>
              </w:rPr>
              <w:t>点源</w:t>
            </w:r>
          </w:p>
        </w:tc>
        <w:tc>
          <w:tcPr>
            <w:tcW w:w="929" w:type="dxa"/>
            <w:tcBorders>
              <w:top w:val="single" w:color="000000" w:sz="4" w:space="0"/>
              <w:left w:val="single" w:color="000000" w:sz="4" w:space="0"/>
              <w:bottom w:val="single" w:color="000000" w:sz="4" w:space="0"/>
              <w:right w:val="single" w:color="000000" w:sz="4" w:space="0"/>
            </w:tcBorders>
          </w:tcPr>
          <w:p>
            <w:pPr>
              <w:pStyle w:val="19"/>
              <w:spacing w:before="152"/>
              <w:ind w:left="154"/>
              <w:jc w:val="left"/>
              <w:rPr>
                <w:sz w:val="21"/>
              </w:rPr>
            </w:pPr>
            <w:r>
              <w:rPr>
                <w:color w:val="FF0000"/>
                <w:sz w:val="21"/>
              </w:rPr>
              <w:t>耗煤量</w:t>
            </w:r>
          </w:p>
          <w:p>
            <w:pPr>
              <w:pStyle w:val="19"/>
              <w:spacing w:before="2"/>
              <w:ind w:left="207"/>
              <w:jc w:val="left"/>
              <w:rPr>
                <w:rFonts w:ascii="Times New Roman"/>
                <w:sz w:val="21"/>
              </w:rPr>
            </w:pPr>
            <w:r>
              <w:rPr>
                <w:rFonts w:ascii="Times New Roman"/>
                <w:color w:val="FF0000"/>
                <w:sz w:val="21"/>
              </w:rPr>
              <w:t>600t/a</w:t>
            </w:r>
          </w:p>
        </w:tc>
        <w:tc>
          <w:tcPr>
            <w:tcW w:w="995" w:type="dxa"/>
            <w:tcBorders>
              <w:top w:val="single" w:color="000000" w:sz="4" w:space="0"/>
              <w:left w:val="single" w:color="000000" w:sz="4" w:space="0"/>
              <w:bottom w:val="single" w:color="000000" w:sz="4" w:space="0"/>
              <w:right w:val="single" w:color="000000" w:sz="4" w:space="0"/>
            </w:tcBorders>
          </w:tcPr>
          <w:p>
            <w:pPr>
              <w:pStyle w:val="19"/>
              <w:spacing w:before="4"/>
              <w:jc w:val="left"/>
              <w:rPr>
                <w:b/>
                <w:sz w:val="22"/>
              </w:rPr>
            </w:pPr>
          </w:p>
          <w:p>
            <w:pPr>
              <w:pStyle w:val="19"/>
              <w:ind w:left="214"/>
              <w:jc w:val="left"/>
              <w:rPr>
                <w:rFonts w:ascii="Times New Roman"/>
                <w:sz w:val="21"/>
              </w:rPr>
            </w:pPr>
            <w:r>
              <w:rPr>
                <w:rFonts w:ascii="Times New Roman"/>
                <w:color w:val="FF0000"/>
                <w:sz w:val="21"/>
              </w:rPr>
              <w:t>101.22</w:t>
            </w:r>
          </w:p>
        </w:tc>
        <w:tc>
          <w:tcPr>
            <w:tcW w:w="995" w:type="dxa"/>
            <w:tcBorders>
              <w:top w:val="single" w:color="000000" w:sz="4" w:space="0"/>
              <w:left w:val="single" w:color="000000" w:sz="4" w:space="0"/>
              <w:bottom w:val="single" w:color="000000" w:sz="4" w:space="0"/>
              <w:right w:val="single" w:color="000000" w:sz="4" w:space="0"/>
            </w:tcBorders>
          </w:tcPr>
          <w:p>
            <w:pPr>
              <w:pStyle w:val="19"/>
              <w:spacing w:before="4"/>
              <w:jc w:val="left"/>
              <w:rPr>
                <w:b/>
                <w:sz w:val="22"/>
              </w:rPr>
            </w:pPr>
          </w:p>
          <w:p>
            <w:pPr>
              <w:pStyle w:val="19"/>
              <w:ind w:left="193" w:right="173"/>
              <w:rPr>
                <w:rFonts w:ascii="Times New Roman"/>
                <w:sz w:val="21"/>
              </w:rPr>
            </w:pPr>
            <w:r>
              <w:rPr>
                <w:rFonts w:ascii="Times New Roman"/>
                <w:color w:val="FF0000"/>
                <w:sz w:val="21"/>
              </w:rPr>
              <w:t>0.85</w:t>
            </w:r>
          </w:p>
        </w:tc>
        <w:tc>
          <w:tcPr>
            <w:tcW w:w="995" w:type="dxa"/>
            <w:tcBorders>
              <w:top w:val="single" w:color="000000" w:sz="4" w:space="0"/>
              <w:left w:val="single" w:color="000000" w:sz="4" w:space="0"/>
              <w:bottom w:val="single" w:color="000000" w:sz="4" w:space="0"/>
              <w:right w:val="single" w:color="000000" w:sz="4" w:space="0"/>
            </w:tcBorders>
          </w:tcPr>
          <w:p>
            <w:pPr>
              <w:pStyle w:val="19"/>
              <w:spacing w:before="4"/>
              <w:jc w:val="left"/>
              <w:rPr>
                <w:b/>
                <w:sz w:val="22"/>
              </w:rPr>
            </w:pPr>
          </w:p>
          <w:p>
            <w:pPr>
              <w:pStyle w:val="19"/>
              <w:ind w:left="193" w:right="174"/>
              <w:rPr>
                <w:rFonts w:ascii="Times New Roman"/>
                <w:sz w:val="21"/>
              </w:rPr>
            </w:pPr>
            <w:r>
              <w:rPr>
                <w:rFonts w:ascii="Times New Roman"/>
                <w:color w:val="FF0000"/>
                <w:sz w:val="21"/>
              </w:rPr>
              <w:t>1329.8</w:t>
            </w:r>
          </w:p>
        </w:tc>
        <w:tc>
          <w:tcPr>
            <w:tcW w:w="995" w:type="dxa"/>
            <w:tcBorders>
              <w:top w:val="single" w:color="000000" w:sz="4" w:space="0"/>
              <w:left w:val="single" w:color="000000" w:sz="4" w:space="0"/>
              <w:bottom w:val="single" w:color="000000" w:sz="4" w:space="0"/>
              <w:right w:val="single" w:color="000000" w:sz="4" w:space="0"/>
            </w:tcBorders>
          </w:tcPr>
          <w:p>
            <w:pPr>
              <w:pStyle w:val="19"/>
              <w:spacing w:before="4"/>
              <w:jc w:val="left"/>
              <w:rPr>
                <w:b/>
                <w:sz w:val="22"/>
              </w:rPr>
            </w:pPr>
          </w:p>
          <w:p>
            <w:pPr>
              <w:pStyle w:val="19"/>
              <w:ind w:left="193" w:right="174"/>
              <w:rPr>
                <w:rFonts w:ascii="Times New Roman"/>
                <w:sz w:val="21"/>
              </w:rPr>
            </w:pPr>
            <w:r>
              <w:rPr>
                <w:rFonts w:ascii="Times New Roman"/>
                <w:color w:val="FF0000"/>
                <w:sz w:val="21"/>
              </w:rPr>
              <w:t>11.12</w:t>
            </w:r>
          </w:p>
        </w:tc>
        <w:tc>
          <w:tcPr>
            <w:tcW w:w="995" w:type="dxa"/>
            <w:tcBorders>
              <w:top w:val="single" w:color="000000" w:sz="4" w:space="0"/>
              <w:left w:val="single" w:color="000000" w:sz="4" w:space="0"/>
              <w:bottom w:val="single" w:color="000000" w:sz="4" w:space="0"/>
              <w:right w:val="single" w:color="000000" w:sz="4" w:space="0"/>
            </w:tcBorders>
          </w:tcPr>
          <w:p>
            <w:pPr>
              <w:pStyle w:val="19"/>
              <w:spacing w:before="4"/>
              <w:jc w:val="left"/>
              <w:rPr>
                <w:b/>
                <w:sz w:val="22"/>
              </w:rPr>
            </w:pPr>
          </w:p>
          <w:p>
            <w:pPr>
              <w:pStyle w:val="19"/>
              <w:ind w:left="193" w:right="174"/>
              <w:rPr>
                <w:rFonts w:ascii="Times New Roman"/>
                <w:sz w:val="21"/>
              </w:rPr>
            </w:pPr>
            <w:r>
              <w:rPr>
                <w:rFonts w:ascii="Times New Roman"/>
                <w:color w:val="FF0000"/>
                <w:sz w:val="21"/>
              </w:rPr>
              <w:t>210.86</w:t>
            </w:r>
          </w:p>
        </w:tc>
        <w:tc>
          <w:tcPr>
            <w:tcW w:w="998" w:type="dxa"/>
            <w:tcBorders>
              <w:top w:val="single" w:color="000000" w:sz="4" w:space="0"/>
              <w:left w:val="single" w:color="000000" w:sz="4" w:space="0"/>
              <w:bottom w:val="single" w:color="000000" w:sz="4" w:space="0"/>
            </w:tcBorders>
          </w:tcPr>
          <w:p>
            <w:pPr>
              <w:pStyle w:val="19"/>
              <w:spacing w:before="4"/>
              <w:jc w:val="left"/>
              <w:rPr>
                <w:b/>
                <w:sz w:val="22"/>
              </w:rPr>
            </w:pPr>
          </w:p>
          <w:p>
            <w:pPr>
              <w:pStyle w:val="19"/>
              <w:ind w:left="300" w:right="275"/>
              <w:rPr>
                <w:rFonts w:ascii="Times New Roman"/>
                <w:sz w:val="21"/>
              </w:rPr>
            </w:pPr>
            <w:r>
              <w:rPr>
                <w:rFonts w:ascii="Times New Roman"/>
                <w:color w:val="FF0000"/>
                <w:sz w:val="21"/>
              </w:rPr>
              <w:t>1.76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0" w:hRule="atLeast"/>
        </w:trPr>
        <w:tc>
          <w:tcPr>
            <w:tcW w:w="929" w:type="dxa"/>
            <w:tcBorders>
              <w:top w:val="single" w:color="000000" w:sz="4" w:space="0"/>
              <w:right w:val="single" w:color="000000" w:sz="4" w:space="0"/>
            </w:tcBorders>
          </w:tcPr>
          <w:p>
            <w:pPr>
              <w:pStyle w:val="19"/>
              <w:spacing w:before="2" w:line="249" w:lineRule="exact"/>
              <w:ind w:left="147"/>
              <w:jc w:val="left"/>
              <w:rPr>
                <w:sz w:val="21"/>
              </w:rPr>
            </w:pPr>
            <w:r>
              <w:rPr>
                <w:color w:val="FF0000"/>
                <w:sz w:val="21"/>
              </w:rPr>
              <w:t>原双桦</w:t>
            </w:r>
          </w:p>
        </w:tc>
        <w:tc>
          <w:tcPr>
            <w:tcW w:w="929" w:type="dxa"/>
            <w:tcBorders>
              <w:top w:val="single" w:color="000000" w:sz="4" w:space="0"/>
              <w:left w:val="single" w:color="000000" w:sz="4" w:space="0"/>
              <w:right w:val="single" w:color="000000" w:sz="4" w:space="0"/>
            </w:tcBorders>
          </w:tcPr>
          <w:p>
            <w:pPr>
              <w:pStyle w:val="19"/>
              <w:spacing w:before="2" w:line="249" w:lineRule="exact"/>
              <w:ind w:left="236" w:right="222"/>
              <w:rPr>
                <w:sz w:val="21"/>
              </w:rPr>
            </w:pPr>
            <w:r>
              <w:rPr>
                <w:color w:val="FF0000"/>
                <w:sz w:val="21"/>
              </w:rPr>
              <w:t>点源</w:t>
            </w:r>
          </w:p>
        </w:tc>
        <w:tc>
          <w:tcPr>
            <w:tcW w:w="929" w:type="dxa"/>
            <w:tcBorders>
              <w:top w:val="single" w:color="000000" w:sz="4" w:space="0"/>
              <w:left w:val="single" w:color="000000" w:sz="4" w:space="0"/>
              <w:right w:val="single" w:color="000000" w:sz="4" w:space="0"/>
            </w:tcBorders>
          </w:tcPr>
          <w:p>
            <w:pPr>
              <w:pStyle w:val="19"/>
              <w:spacing w:before="2" w:line="249" w:lineRule="exact"/>
              <w:ind w:left="154"/>
              <w:jc w:val="left"/>
              <w:rPr>
                <w:sz w:val="21"/>
              </w:rPr>
            </w:pPr>
            <w:r>
              <w:rPr>
                <w:color w:val="FF0000"/>
                <w:sz w:val="21"/>
              </w:rPr>
              <w:t>耗煤量</w:t>
            </w:r>
          </w:p>
        </w:tc>
        <w:tc>
          <w:tcPr>
            <w:tcW w:w="995" w:type="dxa"/>
            <w:tcBorders>
              <w:top w:val="single" w:color="000000" w:sz="4" w:space="0"/>
              <w:left w:val="single" w:color="000000" w:sz="4" w:space="0"/>
              <w:right w:val="single" w:color="000000" w:sz="4" w:space="0"/>
            </w:tcBorders>
          </w:tcPr>
          <w:p>
            <w:pPr>
              <w:pStyle w:val="19"/>
              <w:spacing w:before="16" w:line="235" w:lineRule="exact"/>
              <w:ind w:left="214"/>
              <w:jc w:val="left"/>
              <w:rPr>
                <w:rFonts w:ascii="Times New Roman"/>
                <w:sz w:val="21"/>
              </w:rPr>
            </w:pPr>
            <w:r>
              <w:rPr>
                <w:rFonts w:ascii="Times New Roman"/>
                <w:color w:val="FF0000"/>
                <w:sz w:val="21"/>
              </w:rPr>
              <w:t>101.22</w:t>
            </w:r>
          </w:p>
        </w:tc>
        <w:tc>
          <w:tcPr>
            <w:tcW w:w="995" w:type="dxa"/>
            <w:tcBorders>
              <w:top w:val="single" w:color="000000" w:sz="4" w:space="0"/>
              <w:left w:val="single" w:color="000000" w:sz="4" w:space="0"/>
              <w:right w:val="single" w:color="000000" w:sz="4" w:space="0"/>
            </w:tcBorders>
          </w:tcPr>
          <w:p>
            <w:pPr>
              <w:pStyle w:val="19"/>
              <w:spacing w:before="16" w:line="235" w:lineRule="exact"/>
              <w:ind w:left="193" w:right="173"/>
              <w:rPr>
                <w:rFonts w:ascii="Times New Roman"/>
                <w:sz w:val="21"/>
              </w:rPr>
            </w:pPr>
            <w:r>
              <w:rPr>
                <w:rFonts w:ascii="Times New Roman"/>
                <w:color w:val="FF0000"/>
                <w:sz w:val="21"/>
              </w:rPr>
              <w:t>1.41</w:t>
            </w:r>
          </w:p>
        </w:tc>
        <w:tc>
          <w:tcPr>
            <w:tcW w:w="995" w:type="dxa"/>
            <w:tcBorders>
              <w:top w:val="single" w:color="000000" w:sz="4" w:space="0"/>
              <w:left w:val="single" w:color="000000" w:sz="4" w:space="0"/>
              <w:right w:val="single" w:color="000000" w:sz="4" w:space="0"/>
            </w:tcBorders>
          </w:tcPr>
          <w:p>
            <w:pPr>
              <w:pStyle w:val="19"/>
              <w:spacing w:before="16" w:line="235" w:lineRule="exact"/>
              <w:ind w:left="193" w:right="174"/>
              <w:rPr>
                <w:rFonts w:ascii="Times New Roman"/>
                <w:sz w:val="21"/>
              </w:rPr>
            </w:pPr>
            <w:r>
              <w:rPr>
                <w:rFonts w:ascii="Times New Roman"/>
                <w:color w:val="FF0000"/>
                <w:sz w:val="21"/>
              </w:rPr>
              <w:t>1329.8</w:t>
            </w:r>
          </w:p>
        </w:tc>
        <w:tc>
          <w:tcPr>
            <w:tcW w:w="995" w:type="dxa"/>
            <w:tcBorders>
              <w:top w:val="single" w:color="000000" w:sz="4" w:space="0"/>
              <w:left w:val="single" w:color="000000" w:sz="4" w:space="0"/>
              <w:right w:val="single" w:color="000000" w:sz="4" w:space="0"/>
            </w:tcBorders>
          </w:tcPr>
          <w:p>
            <w:pPr>
              <w:pStyle w:val="19"/>
              <w:spacing w:before="16" w:line="235" w:lineRule="exact"/>
              <w:ind w:left="193" w:right="174"/>
              <w:rPr>
                <w:rFonts w:ascii="Times New Roman"/>
                <w:sz w:val="21"/>
              </w:rPr>
            </w:pPr>
            <w:r>
              <w:rPr>
                <w:rFonts w:ascii="Times New Roman"/>
                <w:color w:val="FF0000"/>
                <w:sz w:val="21"/>
              </w:rPr>
              <w:t>18.54</w:t>
            </w:r>
          </w:p>
        </w:tc>
        <w:tc>
          <w:tcPr>
            <w:tcW w:w="995" w:type="dxa"/>
            <w:tcBorders>
              <w:top w:val="single" w:color="000000" w:sz="4" w:space="0"/>
              <w:left w:val="single" w:color="000000" w:sz="4" w:space="0"/>
              <w:right w:val="single" w:color="000000" w:sz="4" w:space="0"/>
            </w:tcBorders>
          </w:tcPr>
          <w:p>
            <w:pPr>
              <w:pStyle w:val="19"/>
              <w:spacing w:before="16" w:line="235" w:lineRule="exact"/>
              <w:ind w:left="193" w:right="174"/>
              <w:rPr>
                <w:rFonts w:ascii="Times New Roman"/>
                <w:sz w:val="21"/>
              </w:rPr>
            </w:pPr>
            <w:r>
              <w:rPr>
                <w:rFonts w:ascii="Times New Roman"/>
                <w:color w:val="FF0000"/>
                <w:sz w:val="21"/>
              </w:rPr>
              <w:t>210.86</w:t>
            </w:r>
          </w:p>
        </w:tc>
        <w:tc>
          <w:tcPr>
            <w:tcW w:w="998" w:type="dxa"/>
            <w:tcBorders>
              <w:top w:val="single" w:color="000000" w:sz="4" w:space="0"/>
              <w:left w:val="single" w:color="000000" w:sz="4" w:space="0"/>
            </w:tcBorders>
          </w:tcPr>
          <w:p>
            <w:pPr>
              <w:pStyle w:val="19"/>
              <w:spacing w:before="16" w:line="235" w:lineRule="exact"/>
              <w:ind w:left="300" w:right="275"/>
              <w:rPr>
                <w:rFonts w:ascii="Times New Roman"/>
                <w:sz w:val="21"/>
              </w:rPr>
            </w:pPr>
            <w:r>
              <w:rPr>
                <w:rFonts w:ascii="Times New Roman"/>
                <w:color w:val="FF0000"/>
                <w:sz w:val="21"/>
              </w:rPr>
              <w:t>2.94</w:t>
            </w:r>
          </w:p>
        </w:tc>
      </w:tr>
    </w:tbl>
    <w:p>
      <w:pPr>
        <w:spacing w:after="0" w:line="235" w:lineRule="exact"/>
        <w:rPr>
          <w:rFonts w:ascii="Times New Roman"/>
          <w:sz w:val="21"/>
        </w:rPr>
        <w:sectPr>
          <w:pgSz w:w="11910" w:h="16840"/>
          <w:pgMar w:top="1400" w:right="1160" w:bottom="1100" w:left="1200" w:header="0" w:footer="913" w:gutter="0"/>
        </w:sectPr>
      </w:pPr>
    </w:p>
    <w:tbl>
      <w:tblPr>
        <w:tblStyle w:val="15"/>
        <w:tblW w:w="0" w:type="auto"/>
        <w:tblInd w:w="3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29"/>
        <w:gridCol w:w="929"/>
        <w:gridCol w:w="929"/>
        <w:gridCol w:w="995"/>
        <w:gridCol w:w="995"/>
        <w:gridCol w:w="995"/>
        <w:gridCol w:w="995"/>
        <w:gridCol w:w="995"/>
        <w:gridCol w:w="99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5" w:hRule="atLeast"/>
        </w:trPr>
        <w:tc>
          <w:tcPr>
            <w:tcW w:w="929" w:type="dxa"/>
            <w:tcBorders>
              <w:bottom w:val="single" w:color="000000" w:sz="4" w:space="0"/>
              <w:right w:val="single" w:color="000000" w:sz="4" w:space="0"/>
            </w:tcBorders>
          </w:tcPr>
          <w:p>
            <w:pPr>
              <w:pStyle w:val="19"/>
              <w:spacing w:line="259" w:lineRule="exact"/>
              <w:ind w:left="126" w:right="117"/>
              <w:rPr>
                <w:sz w:val="21"/>
              </w:rPr>
            </w:pPr>
            <w:r>
              <w:rPr>
                <w:color w:val="FF0000"/>
                <w:sz w:val="21"/>
              </w:rPr>
              <w:t>二井热</w:t>
            </w:r>
          </w:p>
          <w:p>
            <w:pPr>
              <w:pStyle w:val="19"/>
              <w:spacing w:before="4" w:line="251" w:lineRule="exact"/>
              <w:ind w:left="144" w:right="135"/>
              <w:rPr>
                <w:sz w:val="21"/>
              </w:rPr>
            </w:pPr>
            <w:r>
              <w:rPr>
                <w:color w:val="FF0000"/>
                <w:sz w:val="21"/>
              </w:rPr>
              <w:t>风炉</w:t>
            </w:r>
          </w:p>
        </w:tc>
        <w:tc>
          <w:tcPr>
            <w:tcW w:w="929" w:type="dxa"/>
            <w:tcBorders>
              <w:left w:val="single" w:color="000000" w:sz="4" w:space="0"/>
              <w:bottom w:val="single" w:color="000000" w:sz="4" w:space="0"/>
              <w:right w:val="single" w:color="000000" w:sz="4" w:space="0"/>
            </w:tcBorders>
          </w:tcPr>
          <w:p>
            <w:pPr>
              <w:pStyle w:val="19"/>
              <w:jc w:val="left"/>
              <w:rPr>
                <w:rFonts w:ascii="Times New Roman"/>
                <w:sz w:val="22"/>
              </w:rPr>
            </w:pPr>
          </w:p>
        </w:tc>
        <w:tc>
          <w:tcPr>
            <w:tcW w:w="929" w:type="dxa"/>
            <w:tcBorders>
              <w:left w:val="single" w:color="000000" w:sz="4" w:space="0"/>
              <w:bottom w:val="single" w:color="000000" w:sz="4" w:space="0"/>
              <w:right w:val="single" w:color="000000" w:sz="4" w:space="0"/>
            </w:tcBorders>
          </w:tcPr>
          <w:p>
            <w:pPr>
              <w:pStyle w:val="19"/>
              <w:spacing w:line="231" w:lineRule="exact"/>
              <w:ind w:left="154"/>
              <w:jc w:val="left"/>
              <w:rPr>
                <w:rFonts w:ascii="Times New Roman"/>
                <w:sz w:val="21"/>
              </w:rPr>
            </w:pPr>
            <w:r>
              <w:rPr>
                <w:rFonts w:ascii="Times New Roman"/>
                <w:color w:val="FF0000"/>
                <w:sz w:val="21"/>
              </w:rPr>
              <w:t>1000t/a</w:t>
            </w:r>
          </w:p>
        </w:tc>
        <w:tc>
          <w:tcPr>
            <w:tcW w:w="995" w:type="dxa"/>
            <w:tcBorders>
              <w:left w:val="single" w:color="000000" w:sz="4" w:space="0"/>
              <w:bottom w:val="single" w:color="000000" w:sz="4" w:space="0"/>
              <w:right w:val="single" w:color="000000" w:sz="4" w:space="0"/>
            </w:tcBorders>
          </w:tcPr>
          <w:p>
            <w:pPr>
              <w:pStyle w:val="19"/>
              <w:jc w:val="left"/>
              <w:rPr>
                <w:rFonts w:ascii="Times New Roman"/>
                <w:sz w:val="22"/>
              </w:rPr>
            </w:pPr>
          </w:p>
        </w:tc>
        <w:tc>
          <w:tcPr>
            <w:tcW w:w="995" w:type="dxa"/>
            <w:tcBorders>
              <w:left w:val="single" w:color="000000" w:sz="4" w:space="0"/>
              <w:bottom w:val="single" w:color="000000" w:sz="4" w:space="0"/>
              <w:right w:val="single" w:color="000000" w:sz="4" w:space="0"/>
            </w:tcBorders>
          </w:tcPr>
          <w:p>
            <w:pPr>
              <w:pStyle w:val="19"/>
              <w:jc w:val="left"/>
              <w:rPr>
                <w:rFonts w:ascii="Times New Roman"/>
                <w:sz w:val="22"/>
              </w:rPr>
            </w:pPr>
          </w:p>
        </w:tc>
        <w:tc>
          <w:tcPr>
            <w:tcW w:w="995" w:type="dxa"/>
            <w:tcBorders>
              <w:left w:val="single" w:color="000000" w:sz="4" w:space="0"/>
              <w:bottom w:val="single" w:color="000000" w:sz="4" w:space="0"/>
              <w:right w:val="single" w:color="000000" w:sz="4" w:space="0"/>
            </w:tcBorders>
          </w:tcPr>
          <w:p>
            <w:pPr>
              <w:pStyle w:val="19"/>
              <w:jc w:val="left"/>
              <w:rPr>
                <w:rFonts w:ascii="Times New Roman"/>
                <w:sz w:val="22"/>
              </w:rPr>
            </w:pPr>
          </w:p>
        </w:tc>
        <w:tc>
          <w:tcPr>
            <w:tcW w:w="995" w:type="dxa"/>
            <w:tcBorders>
              <w:left w:val="single" w:color="000000" w:sz="4" w:space="0"/>
              <w:bottom w:val="single" w:color="000000" w:sz="4" w:space="0"/>
              <w:right w:val="single" w:color="000000" w:sz="4" w:space="0"/>
            </w:tcBorders>
          </w:tcPr>
          <w:p>
            <w:pPr>
              <w:pStyle w:val="19"/>
              <w:jc w:val="left"/>
              <w:rPr>
                <w:rFonts w:ascii="Times New Roman"/>
                <w:sz w:val="22"/>
              </w:rPr>
            </w:pPr>
          </w:p>
        </w:tc>
        <w:tc>
          <w:tcPr>
            <w:tcW w:w="995" w:type="dxa"/>
            <w:tcBorders>
              <w:left w:val="single" w:color="000000" w:sz="4" w:space="0"/>
              <w:bottom w:val="single" w:color="000000" w:sz="4" w:space="0"/>
              <w:right w:val="single" w:color="000000" w:sz="4" w:space="0"/>
            </w:tcBorders>
          </w:tcPr>
          <w:p>
            <w:pPr>
              <w:pStyle w:val="19"/>
              <w:jc w:val="left"/>
              <w:rPr>
                <w:rFonts w:ascii="Times New Roman"/>
                <w:sz w:val="22"/>
              </w:rPr>
            </w:pPr>
          </w:p>
        </w:tc>
        <w:tc>
          <w:tcPr>
            <w:tcW w:w="998" w:type="dxa"/>
            <w:tcBorders>
              <w:left w:val="single" w:color="000000" w:sz="4" w:space="0"/>
              <w:bottom w:val="single" w:color="000000" w:sz="4" w:space="0"/>
            </w:tcBorders>
          </w:tcPr>
          <w:p>
            <w:pPr>
              <w:pStyle w:val="19"/>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929" w:type="dxa"/>
            <w:tcBorders>
              <w:top w:val="single" w:color="000000" w:sz="4" w:space="0"/>
              <w:bottom w:val="single" w:color="000000" w:sz="4" w:space="0"/>
              <w:right w:val="single" w:color="000000" w:sz="4" w:space="0"/>
            </w:tcBorders>
          </w:tcPr>
          <w:p>
            <w:pPr>
              <w:pStyle w:val="19"/>
              <w:spacing w:line="268" w:lineRule="exact"/>
              <w:ind w:left="147"/>
              <w:jc w:val="left"/>
              <w:rPr>
                <w:sz w:val="21"/>
              </w:rPr>
            </w:pPr>
            <w:r>
              <w:rPr>
                <w:color w:val="FF0000"/>
                <w:w w:val="95"/>
                <w:sz w:val="21"/>
              </w:rPr>
              <w:t>弘泰第</w:t>
            </w:r>
          </w:p>
          <w:p>
            <w:pPr>
              <w:pStyle w:val="19"/>
              <w:spacing w:before="3" w:line="270" w:lineRule="atLeast"/>
              <w:ind w:left="147" w:right="135"/>
              <w:jc w:val="left"/>
              <w:rPr>
                <w:sz w:val="21"/>
              </w:rPr>
            </w:pPr>
            <w:r>
              <w:rPr>
                <w:color w:val="FF0000"/>
                <w:spacing w:val="-6"/>
                <w:sz w:val="21"/>
              </w:rPr>
              <w:t>六煤矿</w:t>
            </w:r>
            <w:r>
              <w:rPr>
                <w:color w:val="FF0000"/>
                <w:spacing w:val="-6"/>
                <w:w w:val="95"/>
                <w:sz w:val="21"/>
              </w:rPr>
              <w:t>热风炉</w:t>
            </w:r>
          </w:p>
        </w:tc>
        <w:tc>
          <w:tcPr>
            <w:tcW w:w="929" w:type="dxa"/>
            <w:tcBorders>
              <w:top w:val="single" w:color="000000" w:sz="4" w:space="0"/>
              <w:left w:val="single" w:color="000000" w:sz="4" w:space="0"/>
              <w:bottom w:val="single" w:color="000000" w:sz="4" w:space="0"/>
              <w:right w:val="single" w:color="000000" w:sz="4" w:space="0"/>
            </w:tcBorders>
          </w:tcPr>
          <w:p>
            <w:pPr>
              <w:pStyle w:val="19"/>
              <w:spacing w:before="3"/>
              <w:jc w:val="left"/>
              <w:rPr>
                <w:b/>
                <w:sz w:val="21"/>
              </w:rPr>
            </w:pPr>
          </w:p>
          <w:p>
            <w:pPr>
              <w:pStyle w:val="19"/>
              <w:spacing w:before="1"/>
              <w:ind w:left="257"/>
              <w:jc w:val="left"/>
              <w:rPr>
                <w:sz w:val="21"/>
              </w:rPr>
            </w:pPr>
            <w:r>
              <w:rPr>
                <w:color w:val="FF0000"/>
                <w:sz w:val="21"/>
              </w:rPr>
              <w:t>点源</w:t>
            </w:r>
          </w:p>
        </w:tc>
        <w:tc>
          <w:tcPr>
            <w:tcW w:w="929" w:type="dxa"/>
            <w:tcBorders>
              <w:top w:val="single" w:color="000000" w:sz="4" w:space="0"/>
              <w:left w:val="single" w:color="000000" w:sz="4" w:space="0"/>
              <w:bottom w:val="single" w:color="000000" w:sz="4" w:space="0"/>
              <w:right w:val="single" w:color="000000" w:sz="4" w:space="0"/>
            </w:tcBorders>
          </w:tcPr>
          <w:p>
            <w:pPr>
              <w:pStyle w:val="19"/>
              <w:spacing w:before="150"/>
              <w:ind w:left="154"/>
              <w:jc w:val="left"/>
              <w:rPr>
                <w:sz w:val="21"/>
              </w:rPr>
            </w:pPr>
            <w:r>
              <w:rPr>
                <w:color w:val="FF0000"/>
                <w:sz w:val="21"/>
              </w:rPr>
              <w:t>耗煤量</w:t>
            </w:r>
          </w:p>
          <w:p>
            <w:pPr>
              <w:pStyle w:val="19"/>
              <w:spacing w:before="2"/>
              <w:ind w:left="207"/>
              <w:jc w:val="left"/>
              <w:rPr>
                <w:rFonts w:ascii="Times New Roman"/>
                <w:sz w:val="21"/>
              </w:rPr>
            </w:pPr>
            <w:r>
              <w:rPr>
                <w:rFonts w:ascii="Times New Roman"/>
                <w:color w:val="FF0000"/>
                <w:sz w:val="21"/>
              </w:rPr>
              <w:t>400t/a</w:t>
            </w:r>
          </w:p>
        </w:tc>
        <w:tc>
          <w:tcPr>
            <w:tcW w:w="995" w:type="dxa"/>
            <w:tcBorders>
              <w:top w:val="single" w:color="000000" w:sz="4" w:space="0"/>
              <w:left w:val="single" w:color="000000" w:sz="4" w:space="0"/>
              <w:bottom w:val="single" w:color="000000" w:sz="4" w:space="0"/>
              <w:right w:val="single" w:color="000000" w:sz="4" w:space="0"/>
            </w:tcBorders>
          </w:tcPr>
          <w:p>
            <w:pPr>
              <w:pStyle w:val="19"/>
              <w:spacing w:before="5"/>
              <w:jc w:val="left"/>
              <w:rPr>
                <w:b/>
                <w:sz w:val="22"/>
              </w:rPr>
            </w:pPr>
          </w:p>
          <w:p>
            <w:pPr>
              <w:pStyle w:val="19"/>
              <w:ind w:left="214"/>
              <w:jc w:val="left"/>
              <w:rPr>
                <w:rFonts w:ascii="Times New Roman"/>
                <w:sz w:val="21"/>
              </w:rPr>
            </w:pPr>
            <w:r>
              <w:rPr>
                <w:rFonts w:ascii="Times New Roman"/>
                <w:color w:val="FF0000"/>
                <w:sz w:val="21"/>
              </w:rPr>
              <w:t>101.22</w:t>
            </w:r>
          </w:p>
        </w:tc>
        <w:tc>
          <w:tcPr>
            <w:tcW w:w="995" w:type="dxa"/>
            <w:tcBorders>
              <w:top w:val="single" w:color="000000" w:sz="4" w:space="0"/>
              <w:left w:val="single" w:color="000000" w:sz="4" w:space="0"/>
              <w:bottom w:val="single" w:color="000000" w:sz="4" w:space="0"/>
              <w:right w:val="single" w:color="000000" w:sz="4" w:space="0"/>
            </w:tcBorders>
          </w:tcPr>
          <w:p>
            <w:pPr>
              <w:pStyle w:val="19"/>
              <w:spacing w:before="5"/>
              <w:jc w:val="left"/>
              <w:rPr>
                <w:b/>
                <w:sz w:val="22"/>
              </w:rPr>
            </w:pPr>
          </w:p>
          <w:p>
            <w:pPr>
              <w:pStyle w:val="19"/>
              <w:ind w:left="318"/>
              <w:jc w:val="left"/>
              <w:rPr>
                <w:rFonts w:ascii="Times New Roman"/>
                <w:sz w:val="21"/>
              </w:rPr>
            </w:pPr>
            <w:r>
              <w:rPr>
                <w:rFonts w:ascii="Times New Roman"/>
                <w:color w:val="FF0000"/>
                <w:sz w:val="21"/>
              </w:rPr>
              <w:t>0.56</w:t>
            </w:r>
          </w:p>
        </w:tc>
        <w:tc>
          <w:tcPr>
            <w:tcW w:w="995" w:type="dxa"/>
            <w:tcBorders>
              <w:top w:val="single" w:color="000000" w:sz="4" w:space="0"/>
              <w:left w:val="single" w:color="000000" w:sz="4" w:space="0"/>
              <w:bottom w:val="single" w:color="000000" w:sz="4" w:space="0"/>
              <w:right w:val="single" w:color="000000" w:sz="4" w:space="0"/>
            </w:tcBorders>
          </w:tcPr>
          <w:p>
            <w:pPr>
              <w:pStyle w:val="19"/>
              <w:spacing w:before="5"/>
              <w:jc w:val="left"/>
              <w:rPr>
                <w:b/>
                <w:sz w:val="22"/>
              </w:rPr>
            </w:pPr>
          </w:p>
          <w:p>
            <w:pPr>
              <w:pStyle w:val="19"/>
              <w:ind w:left="213"/>
              <w:jc w:val="left"/>
              <w:rPr>
                <w:rFonts w:ascii="Times New Roman"/>
                <w:sz w:val="21"/>
              </w:rPr>
            </w:pPr>
            <w:r>
              <w:rPr>
                <w:rFonts w:ascii="Times New Roman"/>
                <w:color w:val="FF0000"/>
                <w:sz w:val="21"/>
              </w:rPr>
              <w:t>1329.8</w:t>
            </w:r>
          </w:p>
        </w:tc>
        <w:tc>
          <w:tcPr>
            <w:tcW w:w="995" w:type="dxa"/>
            <w:tcBorders>
              <w:top w:val="single" w:color="000000" w:sz="4" w:space="0"/>
              <w:left w:val="single" w:color="000000" w:sz="4" w:space="0"/>
              <w:bottom w:val="single" w:color="000000" w:sz="4" w:space="0"/>
              <w:right w:val="single" w:color="000000" w:sz="4" w:space="0"/>
            </w:tcBorders>
          </w:tcPr>
          <w:p>
            <w:pPr>
              <w:pStyle w:val="19"/>
              <w:spacing w:before="5"/>
              <w:jc w:val="left"/>
              <w:rPr>
                <w:b/>
                <w:sz w:val="22"/>
              </w:rPr>
            </w:pPr>
          </w:p>
          <w:p>
            <w:pPr>
              <w:pStyle w:val="19"/>
              <w:ind w:left="317"/>
              <w:jc w:val="left"/>
              <w:rPr>
                <w:rFonts w:ascii="Times New Roman"/>
                <w:sz w:val="21"/>
              </w:rPr>
            </w:pPr>
            <w:r>
              <w:rPr>
                <w:rFonts w:ascii="Times New Roman"/>
                <w:color w:val="FF0000"/>
                <w:sz w:val="21"/>
              </w:rPr>
              <w:t>7.42</w:t>
            </w:r>
          </w:p>
        </w:tc>
        <w:tc>
          <w:tcPr>
            <w:tcW w:w="995" w:type="dxa"/>
            <w:tcBorders>
              <w:top w:val="single" w:color="000000" w:sz="4" w:space="0"/>
              <w:left w:val="single" w:color="000000" w:sz="4" w:space="0"/>
              <w:bottom w:val="single" w:color="000000" w:sz="4" w:space="0"/>
              <w:right w:val="single" w:color="000000" w:sz="4" w:space="0"/>
            </w:tcBorders>
          </w:tcPr>
          <w:p>
            <w:pPr>
              <w:pStyle w:val="19"/>
              <w:spacing w:before="5"/>
              <w:jc w:val="left"/>
              <w:rPr>
                <w:b/>
                <w:sz w:val="22"/>
              </w:rPr>
            </w:pPr>
          </w:p>
          <w:p>
            <w:pPr>
              <w:pStyle w:val="19"/>
              <w:ind w:left="213"/>
              <w:jc w:val="left"/>
              <w:rPr>
                <w:rFonts w:ascii="Times New Roman"/>
                <w:sz w:val="21"/>
              </w:rPr>
            </w:pPr>
            <w:r>
              <w:rPr>
                <w:rFonts w:ascii="Times New Roman"/>
                <w:color w:val="FF0000"/>
                <w:sz w:val="21"/>
              </w:rPr>
              <w:t>210.86</w:t>
            </w:r>
          </w:p>
        </w:tc>
        <w:tc>
          <w:tcPr>
            <w:tcW w:w="998" w:type="dxa"/>
            <w:tcBorders>
              <w:top w:val="single" w:color="000000" w:sz="4" w:space="0"/>
              <w:left w:val="single" w:color="000000" w:sz="4" w:space="0"/>
              <w:bottom w:val="single" w:color="000000" w:sz="4" w:space="0"/>
            </w:tcBorders>
          </w:tcPr>
          <w:p>
            <w:pPr>
              <w:pStyle w:val="19"/>
              <w:spacing w:before="5"/>
              <w:jc w:val="left"/>
              <w:rPr>
                <w:b/>
                <w:sz w:val="22"/>
              </w:rPr>
            </w:pPr>
          </w:p>
          <w:p>
            <w:pPr>
              <w:pStyle w:val="19"/>
              <w:ind w:left="320"/>
              <w:jc w:val="left"/>
              <w:rPr>
                <w:rFonts w:ascii="Times New Roman"/>
                <w:sz w:val="21"/>
              </w:rPr>
            </w:pPr>
            <w:r>
              <w:rPr>
                <w:rFonts w:ascii="Times New Roman"/>
                <w:color w:val="FF0000"/>
                <w:sz w:val="21"/>
              </w:rPr>
              <w:t>1.18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6" w:hRule="atLeast"/>
        </w:trPr>
        <w:tc>
          <w:tcPr>
            <w:tcW w:w="2787" w:type="dxa"/>
            <w:gridSpan w:val="3"/>
            <w:tcBorders>
              <w:top w:val="single" w:color="000000" w:sz="4" w:space="0"/>
              <w:right w:val="single" w:color="000000" w:sz="4" w:space="0"/>
            </w:tcBorders>
          </w:tcPr>
          <w:p>
            <w:pPr>
              <w:pStyle w:val="19"/>
              <w:spacing w:before="137"/>
              <w:ind w:left="951" w:right="940"/>
              <w:rPr>
                <w:sz w:val="21"/>
              </w:rPr>
            </w:pPr>
            <w:r>
              <w:rPr>
                <w:color w:val="FF0000"/>
                <w:sz w:val="21"/>
              </w:rPr>
              <w:t>总排放量</w:t>
            </w:r>
          </w:p>
        </w:tc>
        <w:tc>
          <w:tcPr>
            <w:tcW w:w="1990" w:type="dxa"/>
            <w:gridSpan w:val="2"/>
            <w:tcBorders>
              <w:top w:val="single" w:color="000000" w:sz="4" w:space="0"/>
              <w:left w:val="single" w:color="000000" w:sz="4" w:space="0"/>
              <w:right w:val="single" w:color="000000" w:sz="4" w:space="0"/>
            </w:tcBorders>
          </w:tcPr>
          <w:p>
            <w:pPr>
              <w:pStyle w:val="19"/>
              <w:spacing w:before="151"/>
              <w:ind w:left="722" w:right="703"/>
              <w:rPr>
                <w:rFonts w:ascii="Times New Roman"/>
                <w:sz w:val="21"/>
              </w:rPr>
            </w:pPr>
            <w:r>
              <w:rPr>
                <w:rFonts w:ascii="Times New Roman"/>
                <w:color w:val="FF0000"/>
                <w:sz w:val="21"/>
              </w:rPr>
              <w:t>2.82</w:t>
            </w:r>
          </w:p>
        </w:tc>
        <w:tc>
          <w:tcPr>
            <w:tcW w:w="1990" w:type="dxa"/>
            <w:gridSpan w:val="2"/>
            <w:tcBorders>
              <w:top w:val="single" w:color="000000" w:sz="4" w:space="0"/>
              <w:left w:val="single" w:color="000000" w:sz="4" w:space="0"/>
              <w:right w:val="single" w:color="000000" w:sz="4" w:space="0"/>
            </w:tcBorders>
          </w:tcPr>
          <w:p>
            <w:pPr>
              <w:pStyle w:val="19"/>
              <w:spacing w:before="151"/>
              <w:ind w:left="723" w:right="703"/>
              <w:rPr>
                <w:rFonts w:ascii="Times New Roman"/>
                <w:sz w:val="21"/>
              </w:rPr>
            </w:pPr>
            <w:r>
              <w:rPr>
                <w:rFonts w:ascii="Times New Roman"/>
                <w:color w:val="FF0000"/>
                <w:sz w:val="21"/>
              </w:rPr>
              <w:t>37.08</w:t>
            </w:r>
          </w:p>
        </w:tc>
        <w:tc>
          <w:tcPr>
            <w:tcW w:w="1993" w:type="dxa"/>
            <w:gridSpan w:val="2"/>
            <w:tcBorders>
              <w:top w:val="single" w:color="000000" w:sz="4" w:space="0"/>
              <w:left w:val="single" w:color="000000" w:sz="4" w:space="0"/>
            </w:tcBorders>
          </w:tcPr>
          <w:p>
            <w:pPr>
              <w:pStyle w:val="19"/>
              <w:spacing w:before="151"/>
              <w:ind w:left="691" w:right="665"/>
              <w:rPr>
                <w:rFonts w:ascii="Times New Roman"/>
                <w:sz w:val="21"/>
              </w:rPr>
            </w:pPr>
            <w:r>
              <w:rPr>
                <w:rFonts w:ascii="Times New Roman"/>
                <w:color w:val="FF0000"/>
                <w:sz w:val="21"/>
              </w:rPr>
              <w:t>5.88</w:t>
            </w:r>
          </w:p>
        </w:tc>
      </w:tr>
    </w:tbl>
    <w:p>
      <w:pPr>
        <w:pStyle w:val="18"/>
        <w:numPr>
          <w:ilvl w:val="0"/>
          <w:numId w:val="31"/>
        </w:numPr>
        <w:tabs>
          <w:tab w:val="left" w:pos="1300"/>
        </w:tabs>
        <w:spacing w:before="1" w:after="0" w:line="240" w:lineRule="auto"/>
        <w:ind w:left="1299" w:right="0" w:hanging="602"/>
        <w:jc w:val="left"/>
        <w:rPr>
          <w:sz w:val="24"/>
        </w:rPr>
      </w:pPr>
      <w:r>
        <w:rPr>
          <w:sz w:val="24"/>
        </w:rPr>
        <w:t>粉尘</w:t>
      </w:r>
    </w:p>
    <w:p>
      <w:pPr>
        <w:pStyle w:val="9"/>
        <w:spacing w:before="161" w:line="362" w:lineRule="auto"/>
        <w:ind w:left="218" w:right="137" w:firstLine="480"/>
      </w:pPr>
      <w:r>
        <w:rPr>
          <w:spacing w:val="-10"/>
        </w:rPr>
        <w:t xml:space="preserve">原有工程粉尘污染源主要为原煤物料、煤炭运输过程中产生的扬尘，为无组织排放， </w:t>
      </w:r>
      <w:r>
        <w:t>对周围环境空气有一定影响。</w:t>
      </w:r>
    </w:p>
    <w:p>
      <w:pPr>
        <w:pStyle w:val="9"/>
        <w:spacing w:before="5"/>
        <w:ind w:left="698"/>
      </w:pPr>
      <w:r>
        <w:rPr>
          <w:rFonts w:ascii="Times New Roman" w:eastAsia="Times New Roman"/>
        </w:rPr>
        <w:t>2</w:t>
      </w:r>
      <w:r>
        <w:t>、水污染分析及源强</w:t>
      </w:r>
    </w:p>
    <w:p>
      <w:pPr>
        <w:pStyle w:val="9"/>
        <w:spacing w:before="158" w:line="364" w:lineRule="auto"/>
        <w:ind w:left="218" w:right="131" w:firstLine="480"/>
      </w:pPr>
      <w:r>
        <w:rPr>
          <w:spacing w:val="-4"/>
        </w:rPr>
        <w:t xml:space="preserve">该矿改扩建前采煤废水排放量为 </w:t>
      </w:r>
      <w:r>
        <w:rPr>
          <w:rFonts w:ascii="Times New Roman" w:hAnsi="Times New Roman" w:eastAsia="Times New Roman"/>
        </w:rPr>
        <w:t>1</w:t>
      </w:r>
      <w:r>
        <w:rPr>
          <w:rFonts w:ascii="Cambria" w:hAnsi="Cambria" w:eastAsia="Cambria"/>
        </w:rPr>
        <w:t>1</w:t>
      </w:r>
      <w:r>
        <w:rPr>
          <w:rFonts w:ascii="Times New Roman" w:hAnsi="Times New Roman" w:eastAsia="Times New Roman"/>
        </w:rPr>
        <w:t>00m</w:t>
      </w:r>
      <w:r>
        <w:rPr>
          <w:rFonts w:ascii="Times New Roman" w:hAnsi="Times New Roman" w:eastAsia="Times New Roman"/>
          <w:position w:val="8"/>
          <w:sz w:val="15"/>
        </w:rPr>
        <w:t>3</w:t>
      </w:r>
      <w:r>
        <w:rPr>
          <w:rFonts w:ascii="Times New Roman" w:hAnsi="Times New Roman" w:eastAsia="Times New Roman"/>
        </w:rPr>
        <w:t>/d</w:t>
      </w:r>
      <w:r>
        <w:rPr>
          <w:spacing w:val="-6"/>
        </w:rPr>
        <w:t xml:space="preserve">；生活污水排放量约为 </w:t>
      </w:r>
      <w:r>
        <w:rPr>
          <w:rFonts w:ascii="Times New Roman" w:hAnsi="Times New Roman" w:eastAsia="Times New Roman"/>
        </w:rPr>
        <w:t>200m</w:t>
      </w:r>
      <w:r>
        <w:rPr>
          <w:rFonts w:ascii="Times New Roman" w:hAnsi="Times New Roman" w:eastAsia="Times New Roman"/>
          <w:position w:val="8"/>
          <w:sz w:val="15"/>
        </w:rPr>
        <w:t>3</w:t>
      </w:r>
      <w:r>
        <w:rPr>
          <w:rFonts w:ascii="Times New Roman" w:hAnsi="Times New Roman" w:eastAsia="Times New Roman"/>
        </w:rPr>
        <w:t>/d</w:t>
      </w:r>
      <w:r>
        <w:rPr>
          <w:spacing w:val="-2"/>
        </w:rPr>
        <w:t>。污水直</w:t>
      </w:r>
      <w:r>
        <w:rPr>
          <w:spacing w:val="-5"/>
        </w:rPr>
        <w:t xml:space="preserve">接外排，总排水量约为 </w:t>
      </w:r>
      <w:r>
        <w:rPr>
          <w:rFonts w:ascii="Cambria" w:hAnsi="Cambria" w:eastAsia="Cambria"/>
        </w:rPr>
        <w:t>47.45</w:t>
      </w:r>
      <w:r>
        <w:rPr>
          <w:rFonts w:ascii="Arial" w:hAnsi="Arial" w:eastAsia="Arial"/>
          <w:sz w:val="19"/>
        </w:rPr>
        <w:t>X</w:t>
      </w:r>
      <w:r>
        <w:rPr>
          <w:rFonts w:ascii="Times New Roman" w:hAnsi="Times New Roman" w:eastAsia="Times New Roman"/>
        </w:rPr>
        <w:t>10</w:t>
      </w:r>
      <w:r>
        <w:rPr>
          <w:rFonts w:ascii="Times New Roman" w:hAnsi="Times New Roman" w:eastAsia="Times New Roman"/>
          <w:position w:val="8"/>
          <w:sz w:val="15"/>
        </w:rPr>
        <w:t>5</w:t>
      </w:r>
      <w:r>
        <w:rPr>
          <w:rFonts w:ascii="Times New Roman" w:hAnsi="Times New Roman" w:eastAsia="Times New Roman"/>
        </w:rPr>
        <w:t>m</w:t>
      </w:r>
      <w:r>
        <w:rPr>
          <w:rFonts w:ascii="Times New Roman" w:hAnsi="Times New Roman" w:eastAsia="Times New Roman"/>
          <w:position w:val="8"/>
          <w:sz w:val="15"/>
        </w:rPr>
        <w:t>3</w:t>
      </w:r>
      <w:r>
        <w:rPr>
          <w:rFonts w:ascii="Times New Roman" w:hAnsi="Times New Roman" w:eastAsia="Times New Roman"/>
        </w:rPr>
        <w:t>/</w:t>
      </w:r>
      <w:r>
        <w:rPr>
          <w:rFonts w:ascii="Cambria" w:hAnsi="Cambria" w:eastAsia="Cambria"/>
        </w:rPr>
        <w:t>a</w:t>
      </w:r>
      <w:r>
        <w:t>。污水排放浓度不能满足《煤炭工业污染物排放</w:t>
      </w:r>
      <w:r>
        <w:rPr>
          <w:spacing w:val="-49"/>
        </w:rPr>
        <w:t>标准》</w:t>
      </w:r>
      <w:r>
        <w:rPr>
          <w:spacing w:val="-6"/>
        </w:rPr>
        <w:t>（</w:t>
      </w:r>
      <w:r>
        <w:rPr>
          <w:rFonts w:ascii="Times New Roman" w:hAnsi="Times New Roman" w:eastAsia="Times New Roman"/>
          <w:spacing w:val="-6"/>
        </w:rPr>
        <w:t>GB20426-2006</w:t>
      </w:r>
      <w:r>
        <w:rPr>
          <w:spacing w:val="-6"/>
        </w:rPr>
        <w:t>）</w:t>
      </w:r>
      <w:r>
        <w:rPr>
          <w:spacing w:val="-29"/>
        </w:rPr>
        <w:t xml:space="preserve">表 </w:t>
      </w:r>
      <w:r>
        <w:rPr>
          <w:rFonts w:ascii="Times New Roman" w:hAnsi="Times New Roman" w:eastAsia="Times New Roman"/>
        </w:rPr>
        <w:t>1</w:t>
      </w:r>
      <w:r>
        <w:rPr>
          <w:spacing w:val="-75"/>
        </w:rPr>
        <w:t>、</w:t>
      </w:r>
      <w:r>
        <w:rPr>
          <w:rFonts w:ascii="Times New Roman" w:hAnsi="Times New Roman" w:eastAsia="Times New Roman"/>
        </w:rPr>
        <w:t>2</w:t>
      </w:r>
      <w:r>
        <w:rPr>
          <w:rFonts w:ascii="Times New Roman" w:hAnsi="Times New Roman" w:eastAsia="Times New Roman"/>
          <w:spacing w:val="2"/>
        </w:rPr>
        <w:t xml:space="preserve"> </w:t>
      </w:r>
      <w:r>
        <w:rPr>
          <w:spacing w:val="-9"/>
        </w:rPr>
        <w:t>标准限值要求及《地表水环境质量标准</w:t>
      </w:r>
      <w:r>
        <w:rPr>
          <w:spacing w:val="-144"/>
        </w:rPr>
        <w:t>》</w:t>
      </w:r>
      <w:r>
        <w:t>（</w:t>
      </w:r>
      <w:r>
        <w:rPr>
          <w:rFonts w:ascii="Times New Roman" w:hAnsi="Times New Roman" w:eastAsia="Times New Roman"/>
        </w:rPr>
        <w:t>GB3838-2002</w:t>
      </w:r>
      <w:r>
        <w:t>） 中Ⅳ类标准限值。</w:t>
      </w:r>
    </w:p>
    <w:p>
      <w:pPr>
        <w:pStyle w:val="9"/>
        <w:spacing w:line="305" w:lineRule="exact"/>
        <w:ind w:left="698"/>
      </w:pPr>
      <w:r>
        <w:rPr>
          <w:rFonts w:ascii="Times New Roman" w:eastAsia="Times New Roman"/>
        </w:rPr>
        <w:t>3</w:t>
      </w:r>
      <w:r>
        <w:t>、声污染分析及源强</w:t>
      </w:r>
    </w:p>
    <w:p>
      <w:pPr>
        <w:pStyle w:val="9"/>
        <w:spacing w:before="160" w:line="364" w:lineRule="auto"/>
        <w:ind w:left="218" w:right="257" w:firstLine="480"/>
        <w:jc w:val="both"/>
      </w:pPr>
      <w:r>
        <w:rPr>
          <w:spacing w:val="-4"/>
        </w:rPr>
        <w:t xml:space="preserve">声环境主要噪声源为通风机房的通风机及压风机等，噪声声级一般在 </w:t>
      </w:r>
      <w:r>
        <w:rPr>
          <w:rFonts w:ascii="Times New Roman" w:eastAsia="Times New Roman"/>
          <w:spacing w:val="-10"/>
        </w:rPr>
        <w:t>90dB</w:t>
      </w:r>
      <w:r>
        <w:rPr>
          <w:spacing w:val="-10"/>
        </w:rPr>
        <w:t>（</w:t>
      </w:r>
      <w:r>
        <w:rPr>
          <w:rFonts w:ascii="Times New Roman" w:eastAsia="Times New Roman"/>
          <w:spacing w:val="-10"/>
        </w:rPr>
        <w:t>A</w:t>
      </w:r>
      <w:r>
        <w:rPr>
          <w:spacing w:val="-10"/>
        </w:rPr>
        <w:t xml:space="preserve">）～ </w:t>
      </w:r>
      <w:r>
        <w:rPr>
          <w:rFonts w:ascii="Times New Roman" w:eastAsia="Times New Roman"/>
        </w:rPr>
        <w:t>100dB</w:t>
      </w:r>
      <w:r>
        <w:t>（</w:t>
      </w:r>
      <w:r>
        <w:rPr>
          <w:rFonts w:ascii="Times New Roman" w:eastAsia="Times New Roman"/>
        </w:rPr>
        <w:t>A</w:t>
      </w:r>
      <w:r>
        <w:t>）之间。另外还有运输车辆产生的运输噪声，为随机性噪声源。对声环境有一定的影响。</w:t>
      </w:r>
    </w:p>
    <w:p>
      <w:pPr>
        <w:pStyle w:val="9"/>
        <w:spacing w:line="307" w:lineRule="exact"/>
        <w:ind w:left="698"/>
      </w:pPr>
      <w:r>
        <w:rPr>
          <w:rFonts w:ascii="Times New Roman" w:eastAsia="Times New Roman"/>
        </w:rPr>
        <w:t>4</w:t>
      </w:r>
      <w:r>
        <w:t>、固体废物</w:t>
      </w:r>
    </w:p>
    <w:p>
      <w:pPr>
        <w:pStyle w:val="9"/>
        <w:spacing w:before="158" w:line="362" w:lineRule="auto"/>
        <w:ind w:left="218" w:right="194" w:firstLine="480"/>
      </w:pPr>
      <w:r>
        <w:t>固体废物主要为矸石及生活垃圾。矸石产生量较少，大部分回填采空区；生活垃圾产生量较少，集中收集，按市政环卫部门要求统一处理。</w:t>
      </w:r>
    </w:p>
    <w:p>
      <w:pPr>
        <w:pStyle w:val="9"/>
        <w:spacing w:before="5"/>
        <w:ind w:left="698"/>
      </w:pPr>
      <w:r>
        <w:rPr>
          <w:rFonts w:ascii="Times New Roman" w:eastAsia="Times New Roman"/>
        </w:rPr>
        <w:t>5</w:t>
      </w:r>
      <w:r>
        <w:t>、生态环境</w:t>
      </w:r>
    </w:p>
    <w:p>
      <w:pPr>
        <w:pStyle w:val="9"/>
        <w:spacing w:before="161" w:line="362" w:lineRule="auto"/>
        <w:ind w:left="218" w:right="194" w:firstLine="480"/>
      </w:pPr>
      <w:r>
        <w:t>通过对矿区及周围相关区域的实地调查，矿山地表矸石堆积较少，井下产生矸石大多回填采空区。</w:t>
      </w:r>
    </w:p>
    <w:p>
      <w:pPr>
        <w:pStyle w:val="6"/>
        <w:numPr>
          <w:ilvl w:val="2"/>
          <w:numId w:val="27"/>
        </w:numPr>
        <w:tabs>
          <w:tab w:val="left" w:pos="848"/>
        </w:tabs>
        <w:spacing w:before="6" w:after="0" w:line="240" w:lineRule="auto"/>
        <w:ind w:left="847" w:right="0" w:hanging="630"/>
        <w:jc w:val="left"/>
        <w:rPr>
          <w:rFonts w:ascii="Times New Roman" w:eastAsia="Times New Roman"/>
        </w:rPr>
      </w:pPr>
      <w:bookmarkStart w:id="165" w:name="2.3.2改扩建工程"/>
      <w:bookmarkEnd w:id="165"/>
      <w:bookmarkStart w:id="166" w:name="2.3.2改扩建工程"/>
      <w:bookmarkEnd w:id="166"/>
      <w:r>
        <w:t>改扩建工程</w:t>
      </w:r>
    </w:p>
    <w:p>
      <w:pPr>
        <w:pStyle w:val="8"/>
        <w:numPr>
          <w:ilvl w:val="3"/>
          <w:numId w:val="32"/>
        </w:numPr>
        <w:tabs>
          <w:tab w:val="left" w:pos="939"/>
        </w:tabs>
        <w:spacing w:before="185" w:after="0" w:line="240" w:lineRule="auto"/>
        <w:ind w:left="938" w:right="0" w:hanging="721"/>
        <w:jc w:val="left"/>
      </w:pPr>
      <w:bookmarkStart w:id="167" w:name="2.3.2.1井田境界及储量"/>
      <w:bookmarkEnd w:id="167"/>
      <w:bookmarkStart w:id="168" w:name="2.3.2.1井田境界及储量"/>
      <w:bookmarkEnd w:id="168"/>
      <w:r>
        <w:rPr>
          <w:w w:val="95"/>
        </w:rPr>
        <w:t>井田境界及储量</w:t>
      </w:r>
    </w:p>
    <w:p>
      <w:pPr>
        <w:pStyle w:val="18"/>
        <w:numPr>
          <w:ilvl w:val="4"/>
          <w:numId w:val="32"/>
        </w:numPr>
        <w:tabs>
          <w:tab w:val="left" w:pos="1300"/>
        </w:tabs>
        <w:spacing w:before="158" w:after="0" w:line="240" w:lineRule="auto"/>
        <w:ind w:left="1299" w:right="0" w:hanging="602"/>
        <w:jc w:val="left"/>
        <w:rPr>
          <w:sz w:val="24"/>
        </w:rPr>
      </w:pPr>
      <w:r>
        <w:rPr>
          <w:sz w:val="24"/>
        </w:rPr>
        <w:t>井田境界</w:t>
      </w:r>
    </w:p>
    <w:p>
      <w:pPr>
        <w:pStyle w:val="9"/>
        <w:spacing w:before="160" w:line="362" w:lineRule="auto"/>
        <w:ind w:left="218" w:right="275" w:firstLine="518"/>
      </w:pPr>
      <w:r>
        <w:t xml:space="preserve">矿井扩储后矿区范围后面积 </w:t>
      </w:r>
      <w:r>
        <w:rPr>
          <w:rFonts w:ascii="Times New Roman" w:hAnsi="Times New Roman" w:eastAsia="Times New Roman"/>
        </w:rPr>
        <w:t>61999km²</w:t>
      </w:r>
      <w:r>
        <w:t>，改扩建后双鸭山盟度矿业有限责任公司（ 原双鸭山双兴时代矿业有限责任公司第二煤矿）范围拐点坐标见下表。</w:t>
      </w:r>
    </w:p>
    <w:p>
      <w:pPr>
        <w:spacing w:before="4"/>
        <w:ind w:left="2380" w:right="0" w:firstLine="0"/>
        <w:jc w:val="left"/>
        <w:rPr>
          <w:b/>
          <w:sz w:val="21"/>
        </w:rPr>
      </w:pPr>
      <w:r>
        <mc:AlternateContent>
          <mc:Choice Requires="wps">
            <w:drawing>
              <wp:anchor distT="0" distB="0" distL="0" distR="0" simplePos="0" relativeHeight="251675648" behindDoc="1" locked="0" layoutInCell="1" allowOverlap="1">
                <wp:simplePos x="0" y="0"/>
                <wp:positionH relativeFrom="page">
                  <wp:posOffset>1108075</wp:posOffset>
                </wp:positionH>
                <wp:positionV relativeFrom="paragraph">
                  <wp:posOffset>267335</wp:posOffset>
                </wp:positionV>
                <wp:extent cx="5344160" cy="281305"/>
                <wp:effectExtent l="6350" t="6350" r="21590" b="17145"/>
                <wp:wrapTopAndBottom/>
                <wp:docPr id="142" name="文本框 15"/>
                <wp:cNvGraphicFramePr/>
                <a:graphic xmlns:a="http://schemas.openxmlformats.org/drawingml/2006/main">
                  <a:graphicData uri="http://schemas.microsoft.com/office/word/2010/wordprocessingShape">
                    <wps:wsp>
                      <wps:cNvSpPr txBox="1"/>
                      <wps:spPr>
                        <a:xfrm>
                          <a:off x="0" y="0"/>
                          <a:ext cx="5344160" cy="281305"/>
                        </a:xfrm>
                        <a:prstGeom prst="rect">
                          <a:avLst/>
                        </a:prstGeom>
                        <a:noFill/>
                        <a:ln w="12192" cap="flat" cmpd="sng">
                          <a:solidFill>
                            <a:srgbClr val="000000"/>
                          </a:solidFill>
                          <a:prstDash val="solid"/>
                          <a:miter/>
                          <a:headEnd type="none" w="med" len="med"/>
                          <a:tailEnd type="none" w="med" len="med"/>
                        </a:ln>
                      </wps:spPr>
                      <wps:txbx>
                        <w:txbxContent>
                          <w:p>
                            <w:pPr>
                              <w:spacing w:before="51"/>
                              <w:ind w:left="2734" w:right="2735" w:firstLine="0"/>
                              <w:jc w:val="center"/>
                              <w:rPr>
                                <w:sz w:val="21"/>
                              </w:rPr>
                            </w:pPr>
                            <w:r>
                              <w:rPr>
                                <w:rFonts w:ascii="Times New Roman" w:eastAsia="Times New Roman"/>
                                <w:sz w:val="21"/>
                              </w:rPr>
                              <w:t xml:space="preserve">5 </w:t>
                            </w:r>
                            <w:r>
                              <w:rPr>
                                <w:sz w:val="21"/>
                              </w:rPr>
                              <w:t>号煤层扩后矿区范围拐点坐标</w:t>
                            </w:r>
                          </w:p>
                        </w:txbxContent>
                      </wps:txbx>
                      <wps:bodyPr lIns="0" tIns="0" rIns="0" bIns="0" upright="1"/>
                    </wps:wsp>
                  </a:graphicData>
                </a:graphic>
              </wp:anchor>
            </w:drawing>
          </mc:Choice>
          <mc:Fallback>
            <w:pict>
              <v:shape id="文本框 15" o:spid="_x0000_s1026" o:spt="202" type="#_x0000_t202" style="position:absolute;left:0pt;margin-left:87.25pt;margin-top:21.05pt;height:22.15pt;width:420.8pt;mso-position-horizontal-relative:page;mso-wrap-distance-bottom:0pt;mso-wrap-distance-top:0pt;z-index:-251640832;mso-width-relative:page;mso-height-relative:page;" filled="f" stroked="t" coordsize="21600,21600" o:gfxdata="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jF/AraAAAACgEAAA8AAAAAAAAAAQAgAAAAIgAAAGRycy9kb3du&#10;cmV2LnhtbFBLAQIUABQAAAAIAIdO4kAvNpWP/QEAAOcDAAAOAAAAAAAAAAEAIAAAACkBAABkcnMv&#10;ZTJvRG9jLnhtbFBLBQYAAAAABgAGAFkBAACYBQAAAAA=&#10;">
                <v:fill on="f" focussize="0,0"/>
                <v:stroke weight="0.96pt" color="#000000" joinstyle="miter"/>
                <v:imagedata o:title=""/>
                <o:lock v:ext="edit" aspectratio="f"/>
                <v:textbox inset="0mm,0mm,0mm,0mm">
                  <w:txbxContent>
                    <w:p>
                      <w:pPr>
                        <w:spacing w:before="51"/>
                        <w:ind w:left="2734" w:right="2735" w:firstLine="0"/>
                        <w:jc w:val="center"/>
                        <w:rPr>
                          <w:sz w:val="21"/>
                        </w:rPr>
                      </w:pPr>
                      <w:r>
                        <w:rPr>
                          <w:rFonts w:ascii="Times New Roman" w:eastAsia="Times New Roman"/>
                          <w:sz w:val="21"/>
                        </w:rPr>
                        <w:t xml:space="preserve">5 </w:t>
                      </w:r>
                      <w:r>
                        <w:rPr>
                          <w:sz w:val="21"/>
                        </w:rPr>
                        <w:t>号煤层扩后矿区范围拐点坐标</w:t>
                      </w:r>
                    </w:p>
                  </w:txbxContent>
                </v:textbox>
                <w10:wrap type="topAndBottom"/>
              </v:shape>
            </w:pict>
          </mc:Fallback>
        </mc:AlternateContent>
      </w:r>
      <w:r>
        <w:rPr>
          <w:b/>
          <w:sz w:val="21"/>
        </w:rPr>
        <w:t>表</w:t>
      </w:r>
      <w:r>
        <w:rPr>
          <w:rFonts w:ascii="Times New Roman" w:eastAsia="Times New Roman"/>
          <w:b/>
          <w:sz w:val="21"/>
        </w:rPr>
        <w:t>2.3-2</w:t>
      </w:r>
      <w:r>
        <w:rPr>
          <w:rFonts w:ascii="Times New Roman" w:eastAsia="Times New Roman"/>
          <w:b/>
          <w:spacing w:val="51"/>
          <w:sz w:val="21"/>
        </w:rPr>
        <w:t xml:space="preserve"> </w:t>
      </w:r>
      <w:r>
        <w:rPr>
          <w:b/>
          <w:sz w:val="21"/>
        </w:rPr>
        <w:t>改造后矿区范围拐点坐标表（</w:t>
      </w:r>
      <w:r>
        <w:rPr>
          <w:rFonts w:ascii="Times New Roman" w:eastAsia="Times New Roman"/>
          <w:b/>
          <w:sz w:val="21"/>
        </w:rPr>
        <w:t>2000</w:t>
      </w:r>
      <w:r>
        <w:rPr>
          <w:b/>
          <w:sz w:val="21"/>
        </w:rPr>
        <w:t>坐标系）</w:t>
      </w:r>
    </w:p>
    <w:p>
      <w:pPr>
        <w:spacing w:after="0"/>
        <w:jc w:val="left"/>
        <w:rPr>
          <w:sz w:val="21"/>
        </w:rPr>
        <w:sectPr>
          <w:pgSz w:w="11910" w:h="16840"/>
          <w:pgMar w:top="1400" w:right="1160" w:bottom="1180" w:left="1200" w:header="0" w:footer="913" w:gutter="0"/>
        </w:sectPr>
      </w:pPr>
    </w:p>
    <w:tbl>
      <w:tblPr>
        <w:tblStyle w:val="15"/>
        <w:tblW w:w="0" w:type="auto"/>
        <w:tblInd w:w="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81"/>
        <w:gridCol w:w="1607"/>
        <w:gridCol w:w="182"/>
        <w:gridCol w:w="1546"/>
        <w:gridCol w:w="252"/>
        <w:gridCol w:w="571"/>
        <w:gridCol w:w="327"/>
        <w:gridCol w:w="1439"/>
        <w:gridCol w:w="155"/>
        <w:gridCol w:w="15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bottom w:val="single" w:color="000000" w:sz="4" w:space="0"/>
              <w:right w:val="single" w:color="000000" w:sz="4" w:space="0"/>
            </w:tcBorders>
          </w:tcPr>
          <w:p>
            <w:pPr>
              <w:pStyle w:val="19"/>
              <w:spacing w:before="50"/>
              <w:ind w:left="133" w:right="133"/>
              <w:rPr>
                <w:sz w:val="21"/>
              </w:rPr>
            </w:pPr>
            <w:r>
              <w:rPr>
                <w:sz w:val="21"/>
              </w:rPr>
              <w:t>点号</w:t>
            </w:r>
          </w:p>
        </w:tc>
        <w:tc>
          <w:tcPr>
            <w:tcW w:w="1607" w:type="dxa"/>
            <w:tcBorders>
              <w:left w:val="single" w:color="000000" w:sz="4" w:space="0"/>
              <w:bottom w:val="single" w:color="000000" w:sz="4" w:space="0"/>
              <w:right w:val="single" w:color="000000" w:sz="4" w:space="0"/>
            </w:tcBorders>
          </w:tcPr>
          <w:p>
            <w:pPr>
              <w:pStyle w:val="19"/>
              <w:spacing w:before="66"/>
              <w:ind w:left="19"/>
              <w:rPr>
                <w:rFonts w:ascii="Times New Roman"/>
                <w:sz w:val="21"/>
              </w:rPr>
            </w:pPr>
            <w:r>
              <w:rPr>
                <w:rFonts w:ascii="Times New Roman"/>
                <w:w w:val="99"/>
                <w:sz w:val="21"/>
              </w:rPr>
              <w:t>X</w:t>
            </w:r>
          </w:p>
        </w:tc>
        <w:tc>
          <w:tcPr>
            <w:tcW w:w="1728" w:type="dxa"/>
            <w:gridSpan w:val="2"/>
            <w:tcBorders>
              <w:left w:val="single" w:color="000000" w:sz="4" w:space="0"/>
              <w:bottom w:val="single" w:color="000000" w:sz="4" w:space="0"/>
              <w:right w:val="single" w:color="000000" w:sz="4" w:space="0"/>
            </w:tcBorders>
          </w:tcPr>
          <w:p>
            <w:pPr>
              <w:pStyle w:val="19"/>
              <w:spacing w:before="66"/>
              <w:ind w:left="49"/>
              <w:rPr>
                <w:rFonts w:ascii="Times New Roman"/>
                <w:sz w:val="21"/>
              </w:rPr>
            </w:pPr>
            <w:r>
              <w:rPr>
                <w:rFonts w:ascii="Times New Roman"/>
                <w:w w:val="99"/>
                <w:sz w:val="21"/>
              </w:rPr>
              <w:t>Y</w:t>
            </w:r>
          </w:p>
        </w:tc>
        <w:tc>
          <w:tcPr>
            <w:tcW w:w="823" w:type="dxa"/>
            <w:gridSpan w:val="2"/>
            <w:tcBorders>
              <w:left w:val="single" w:color="000000" w:sz="4" w:space="0"/>
              <w:bottom w:val="single" w:color="000000" w:sz="4" w:space="0"/>
              <w:right w:val="single" w:color="000000" w:sz="4" w:space="0"/>
            </w:tcBorders>
          </w:tcPr>
          <w:p>
            <w:pPr>
              <w:pStyle w:val="19"/>
              <w:spacing w:before="50"/>
              <w:ind w:left="222"/>
              <w:jc w:val="left"/>
              <w:rPr>
                <w:sz w:val="21"/>
              </w:rPr>
            </w:pPr>
            <w:r>
              <w:rPr>
                <w:sz w:val="21"/>
              </w:rPr>
              <w:t>点号</w:t>
            </w:r>
          </w:p>
        </w:tc>
        <w:tc>
          <w:tcPr>
            <w:tcW w:w="1766" w:type="dxa"/>
            <w:gridSpan w:val="2"/>
            <w:tcBorders>
              <w:left w:val="single" w:color="000000" w:sz="4" w:space="0"/>
              <w:bottom w:val="single" w:color="000000" w:sz="4" w:space="0"/>
              <w:right w:val="single" w:color="000000" w:sz="4" w:space="0"/>
            </w:tcBorders>
          </w:tcPr>
          <w:p>
            <w:pPr>
              <w:pStyle w:val="19"/>
              <w:spacing w:before="66"/>
              <w:ind w:left="36"/>
              <w:rPr>
                <w:rFonts w:ascii="Times New Roman"/>
                <w:sz w:val="21"/>
              </w:rPr>
            </w:pPr>
            <w:r>
              <w:rPr>
                <w:rFonts w:ascii="Times New Roman"/>
                <w:w w:val="99"/>
                <w:sz w:val="21"/>
              </w:rPr>
              <w:t>X</w:t>
            </w:r>
          </w:p>
        </w:tc>
        <w:tc>
          <w:tcPr>
            <w:tcW w:w="1702" w:type="dxa"/>
            <w:gridSpan w:val="2"/>
            <w:tcBorders>
              <w:left w:val="single" w:color="000000" w:sz="4" w:space="0"/>
              <w:bottom w:val="single" w:color="000000" w:sz="4" w:space="0"/>
            </w:tcBorders>
          </w:tcPr>
          <w:p>
            <w:pPr>
              <w:pStyle w:val="19"/>
              <w:spacing w:before="66"/>
              <w:ind w:left="38"/>
              <w:rPr>
                <w:rFonts w:ascii="Times New Roman"/>
                <w:sz w:val="21"/>
              </w:rPr>
            </w:pPr>
            <w:r>
              <w:rPr>
                <w:rFonts w:ascii="Times New Roman"/>
                <w:w w:val="99"/>
                <w:sz w:val="21"/>
              </w:rPr>
              <w:t>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9"/>
              <w:spacing w:before="68"/>
              <w:ind w:left="4"/>
              <w:rPr>
                <w:rFonts w:ascii="Times New Roman"/>
                <w:sz w:val="21"/>
              </w:rPr>
            </w:pPr>
            <w:r>
              <w:rPr>
                <w:rFonts w:ascii="Times New Roman"/>
                <w:w w:val="99"/>
                <w:sz w:val="21"/>
              </w:rPr>
              <w:t>1</w:t>
            </w:r>
          </w:p>
        </w:tc>
        <w:tc>
          <w:tcPr>
            <w:tcW w:w="1607" w:type="dxa"/>
            <w:tcBorders>
              <w:top w:val="single" w:color="000000" w:sz="4" w:space="0"/>
              <w:left w:val="single" w:color="000000" w:sz="4" w:space="0"/>
              <w:bottom w:val="single" w:color="000000" w:sz="4" w:space="0"/>
              <w:right w:val="single" w:color="000000" w:sz="4" w:space="0"/>
            </w:tcBorders>
          </w:tcPr>
          <w:p>
            <w:pPr>
              <w:pStyle w:val="19"/>
              <w:spacing w:before="1"/>
              <w:ind w:right="287"/>
              <w:jc w:val="right"/>
              <w:rPr>
                <w:rFonts w:ascii="Times New Roman"/>
                <w:sz w:val="21"/>
              </w:rPr>
            </w:pPr>
            <w:r>
              <w:rPr>
                <w:rFonts w:ascii="Times New Roman"/>
                <w:w w:val="95"/>
                <w:sz w:val="21"/>
              </w:rPr>
              <w:t>5142232.15</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9"/>
              <w:spacing w:before="1"/>
              <w:ind w:left="335"/>
              <w:jc w:val="left"/>
              <w:rPr>
                <w:rFonts w:ascii="Times New Roman"/>
                <w:sz w:val="21"/>
              </w:rPr>
            </w:pPr>
            <w:r>
              <w:rPr>
                <w:rFonts w:ascii="Times New Roman"/>
                <w:sz w:val="21"/>
              </w:rPr>
              <w:t>44430787.47</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9"/>
              <w:spacing w:before="68"/>
              <w:ind w:left="49"/>
              <w:rPr>
                <w:rFonts w:ascii="Times New Roman"/>
                <w:sz w:val="21"/>
              </w:rPr>
            </w:pPr>
            <w:r>
              <w:rPr>
                <w:rFonts w:ascii="Times New Roman"/>
                <w:w w:val="99"/>
                <w:sz w:val="21"/>
              </w:rPr>
              <w:t>2</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9"/>
              <w:spacing w:before="1"/>
              <w:ind w:left="398"/>
              <w:jc w:val="left"/>
              <w:rPr>
                <w:rFonts w:ascii="Times New Roman"/>
                <w:sz w:val="21"/>
              </w:rPr>
            </w:pPr>
            <w:r>
              <w:rPr>
                <w:rFonts w:ascii="Times New Roman"/>
                <w:sz w:val="21"/>
              </w:rPr>
              <w:t>5142122.15</w:t>
            </w:r>
          </w:p>
        </w:tc>
        <w:tc>
          <w:tcPr>
            <w:tcW w:w="1702" w:type="dxa"/>
            <w:gridSpan w:val="2"/>
            <w:tcBorders>
              <w:top w:val="single" w:color="000000" w:sz="4" w:space="0"/>
              <w:left w:val="single" w:color="000000" w:sz="4" w:space="0"/>
              <w:bottom w:val="single" w:color="000000" w:sz="4" w:space="0"/>
            </w:tcBorders>
          </w:tcPr>
          <w:p>
            <w:pPr>
              <w:pStyle w:val="19"/>
              <w:spacing w:before="1"/>
              <w:ind w:left="312"/>
              <w:jc w:val="left"/>
              <w:rPr>
                <w:rFonts w:ascii="Times New Roman"/>
                <w:sz w:val="21"/>
              </w:rPr>
            </w:pPr>
            <w:r>
              <w:rPr>
                <w:rFonts w:ascii="Times New Roman"/>
                <w:sz w:val="21"/>
              </w:rPr>
              <w:t>44430947.47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9"/>
              <w:spacing w:before="67"/>
              <w:ind w:left="4"/>
              <w:rPr>
                <w:rFonts w:ascii="Times New Roman"/>
                <w:sz w:val="21"/>
              </w:rPr>
            </w:pPr>
            <w:r>
              <w:rPr>
                <w:rFonts w:ascii="Times New Roman"/>
                <w:w w:val="99"/>
                <w:sz w:val="21"/>
              </w:rPr>
              <w:t>3</w:t>
            </w:r>
          </w:p>
        </w:tc>
        <w:tc>
          <w:tcPr>
            <w:tcW w:w="1607" w:type="dxa"/>
            <w:tcBorders>
              <w:top w:val="single" w:color="000000" w:sz="4" w:space="0"/>
              <w:left w:val="single" w:color="000000" w:sz="4" w:space="0"/>
              <w:bottom w:val="single" w:color="000000" w:sz="4" w:space="0"/>
              <w:right w:val="single" w:color="000000" w:sz="4" w:space="0"/>
            </w:tcBorders>
          </w:tcPr>
          <w:p>
            <w:pPr>
              <w:pStyle w:val="19"/>
              <w:ind w:right="287"/>
              <w:jc w:val="right"/>
              <w:rPr>
                <w:rFonts w:ascii="Times New Roman"/>
                <w:sz w:val="21"/>
              </w:rPr>
            </w:pPr>
            <w:r>
              <w:rPr>
                <w:rFonts w:ascii="Times New Roman"/>
                <w:w w:val="95"/>
                <w:sz w:val="21"/>
              </w:rPr>
              <w:t>5142070.15</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9"/>
              <w:ind w:left="335"/>
              <w:jc w:val="left"/>
              <w:rPr>
                <w:rFonts w:ascii="Times New Roman"/>
                <w:sz w:val="21"/>
              </w:rPr>
            </w:pPr>
            <w:r>
              <w:rPr>
                <w:rFonts w:ascii="Times New Roman"/>
                <w:sz w:val="21"/>
              </w:rPr>
              <w:t>44431527.48</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9"/>
              <w:spacing w:before="67"/>
              <w:ind w:left="49"/>
              <w:rPr>
                <w:rFonts w:ascii="Times New Roman"/>
                <w:sz w:val="21"/>
              </w:rPr>
            </w:pPr>
            <w:r>
              <w:rPr>
                <w:rFonts w:ascii="Times New Roman"/>
                <w:w w:val="99"/>
                <w:sz w:val="21"/>
              </w:rPr>
              <w:t>4</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9"/>
              <w:ind w:left="398"/>
              <w:jc w:val="left"/>
              <w:rPr>
                <w:rFonts w:ascii="Times New Roman"/>
                <w:sz w:val="21"/>
              </w:rPr>
            </w:pPr>
            <w:r>
              <w:rPr>
                <w:rFonts w:ascii="Times New Roman"/>
                <w:sz w:val="21"/>
              </w:rPr>
              <w:t>5141820.15</w:t>
            </w:r>
          </w:p>
        </w:tc>
        <w:tc>
          <w:tcPr>
            <w:tcW w:w="1702" w:type="dxa"/>
            <w:gridSpan w:val="2"/>
            <w:tcBorders>
              <w:top w:val="single" w:color="000000" w:sz="4" w:space="0"/>
              <w:left w:val="single" w:color="000000" w:sz="4" w:space="0"/>
              <w:bottom w:val="single" w:color="000000" w:sz="4" w:space="0"/>
            </w:tcBorders>
          </w:tcPr>
          <w:p>
            <w:pPr>
              <w:pStyle w:val="19"/>
              <w:ind w:left="312"/>
              <w:jc w:val="left"/>
              <w:rPr>
                <w:rFonts w:ascii="Times New Roman"/>
                <w:sz w:val="21"/>
              </w:rPr>
            </w:pPr>
            <w:r>
              <w:rPr>
                <w:rFonts w:ascii="Times New Roman"/>
                <w:sz w:val="21"/>
              </w:rPr>
              <w:t>44431487.48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9"/>
              <w:spacing w:before="67"/>
              <w:ind w:left="4"/>
              <w:rPr>
                <w:rFonts w:ascii="Times New Roman"/>
                <w:sz w:val="21"/>
              </w:rPr>
            </w:pPr>
            <w:r>
              <w:rPr>
                <w:rFonts w:ascii="Times New Roman"/>
                <w:w w:val="99"/>
                <w:sz w:val="21"/>
              </w:rPr>
              <w:t>5</w:t>
            </w:r>
          </w:p>
        </w:tc>
        <w:tc>
          <w:tcPr>
            <w:tcW w:w="1607" w:type="dxa"/>
            <w:tcBorders>
              <w:top w:val="single" w:color="000000" w:sz="4" w:space="0"/>
              <w:left w:val="single" w:color="000000" w:sz="4" w:space="0"/>
              <w:bottom w:val="single" w:color="000000" w:sz="4" w:space="0"/>
              <w:right w:val="single" w:color="000000" w:sz="4" w:space="0"/>
            </w:tcBorders>
          </w:tcPr>
          <w:p>
            <w:pPr>
              <w:pStyle w:val="19"/>
              <w:spacing w:line="241" w:lineRule="exact"/>
              <w:ind w:right="287"/>
              <w:jc w:val="right"/>
              <w:rPr>
                <w:rFonts w:ascii="Times New Roman"/>
                <w:sz w:val="21"/>
              </w:rPr>
            </w:pPr>
            <w:r>
              <w:rPr>
                <w:rFonts w:ascii="Times New Roman"/>
                <w:w w:val="95"/>
                <w:sz w:val="21"/>
              </w:rPr>
              <w:t>5141916.15</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9"/>
              <w:spacing w:line="241" w:lineRule="exact"/>
              <w:ind w:left="335"/>
              <w:jc w:val="left"/>
              <w:rPr>
                <w:rFonts w:ascii="Times New Roman"/>
                <w:sz w:val="21"/>
              </w:rPr>
            </w:pPr>
            <w:r>
              <w:rPr>
                <w:rFonts w:ascii="Times New Roman"/>
                <w:sz w:val="21"/>
              </w:rPr>
              <w:t>44430879.47</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9"/>
              <w:spacing w:before="67"/>
              <w:ind w:left="49"/>
              <w:rPr>
                <w:rFonts w:ascii="Times New Roman"/>
                <w:sz w:val="21"/>
              </w:rPr>
            </w:pPr>
            <w:r>
              <w:rPr>
                <w:rFonts w:ascii="Times New Roman"/>
                <w:w w:val="99"/>
                <w:sz w:val="21"/>
              </w:rPr>
              <w:t>6</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9"/>
              <w:spacing w:line="241" w:lineRule="exact"/>
              <w:ind w:left="398"/>
              <w:jc w:val="left"/>
              <w:rPr>
                <w:rFonts w:ascii="Times New Roman"/>
                <w:sz w:val="21"/>
              </w:rPr>
            </w:pPr>
            <w:r>
              <w:rPr>
                <w:rFonts w:ascii="Times New Roman"/>
                <w:sz w:val="21"/>
              </w:rPr>
              <w:t>5142080.15</w:t>
            </w:r>
          </w:p>
        </w:tc>
        <w:tc>
          <w:tcPr>
            <w:tcW w:w="1702" w:type="dxa"/>
            <w:gridSpan w:val="2"/>
            <w:tcBorders>
              <w:top w:val="single" w:color="000000" w:sz="4" w:space="0"/>
              <w:left w:val="single" w:color="000000" w:sz="4" w:space="0"/>
              <w:bottom w:val="single" w:color="000000" w:sz="4" w:space="0"/>
            </w:tcBorders>
          </w:tcPr>
          <w:p>
            <w:pPr>
              <w:pStyle w:val="19"/>
              <w:spacing w:line="241" w:lineRule="exact"/>
              <w:ind w:left="312"/>
              <w:jc w:val="left"/>
              <w:rPr>
                <w:rFonts w:ascii="Times New Roman"/>
                <w:sz w:val="21"/>
              </w:rPr>
            </w:pPr>
            <w:r>
              <w:rPr>
                <w:rFonts w:ascii="Times New Roman"/>
                <w:sz w:val="21"/>
              </w:rPr>
              <w:t>44430699.47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8407" w:type="dxa"/>
            <w:gridSpan w:val="10"/>
            <w:tcBorders>
              <w:top w:val="single" w:color="000000" w:sz="4" w:space="0"/>
              <w:bottom w:val="single" w:color="000000" w:sz="4" w:space="0"/>
            </w:tcBorders>
          </w:tcPr>
          <w:p>
            <w:pPr>
              <w:pStyle w:val="19"/>
              <w:spacing w:before="50"/>
              <w:ind w:left="1165" w:right="1135"/>
              <w:rPr>
                <w:rFonts w:ascii="Times New Roman" w:eastAsia="Times New Roman"/>
                <w:sz w:val="21"/>
              </w:rPr>
            </w:pPr>
            <w:r>
              <w:rPr>
                <w:sz w:val="21"/>
              </w:rPr>
              <w:t>开采标高：</w:t>
            </w:r>
            <w:r>
              <w:rPr>
                <w:rFonts w:ascii="Times New Roman" w:eastAsia="Times New Roman"/>
                <w:sz w:val="21"/>
              </w:rPr>
              <w:t xml:space="preserve">350m </w:t>
            </w:r>
            <w:r>
              <w:rPr>
                <w:sz w:val="21"/>
              </w:rPr>
              <w:t xml:space="preserve">至 </w:t>
            </w:r>
            <w:r>
              <w:rPr>
                <w:rFonts w:ascii="Times New Roman" w:eastAsia="Times New Roman"/>
                <w:sz w:val="21"/>
              </w:rPr>
              <w:t>120m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8407" w:type="dxa"/>
            <w:gridSpan w:val="10"/>
            <w:tcBorders>
              <w:top w:val="single" w:color="000000" w:sz="4" w:space="0"/>
              <w:bottom w:val="single" w:color="000000" w:sz="4" w:space="0"/>
            </w:tcBorders>
          </w:tcPr>
          <w:p>
            <w:pPr>
              <w:pStyle w:val="19"/>
              <w:spacing w:before="49"/>
              <w:ind w:left="1161" w:right="1135"/>
              <w:rPr>
                <w:sz w:val="21"/>
              </w:rPr>
            </w:pPr>
            <w:r>
              <w:rPr>
                <w:rFonts w:ascii="Times New Roman" w:eastAsia="Times New Roman"/>
                <w:sz w:val="21"/>
              </w:rPr>
              <w:t xml:space="preserve">9 </w:t>
            </w:r>
            <w:r>
              <w:rPr>
                <w:sz w:val="21"/>
              </w:rPr>
              <w:t>号煤层扩后矿区范围拐点坐标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9"/>
              <w:spacing w:before="51"/>
              <w:ind w:left="153" w:right="114"/>
              <w:rPr>
                <w:sz w:val="21"/>
              </w:rPr>
            </w:pPr>
            <w:r>
              <w:rPr>
                <w:sz w:val="21"/>
              </w:rPr>
              <w:t>点号</w:t>
            </w:r>
          </w:p>
        </w:tc>
        <w:tc>
          <w:tcPr>
            <w:tcW w:w="1607" w:type="dxa"/>
            <w:tcBorders>
              <w:top w:val="single" w:color="000000" w:sz="4" w:space="0"/>
              <w:left w:val="single" w:color="000000" w:sz="4" w:space="0"/>
              <w:bottom w:val="single" w:color="000000" w:sz="4" w:space="0"/>
              <w:right w:val="single" w:color="000000" w:sz="4" w:space="0"/>
            </w:tcBorders>
          </w:tcPr>
          <w:p>
            <w:pPr>
              <w:pStyle w:val="19"/>
              <w:spacing w:before="67"/>
              <w:ind w:left="24"/>
              <w:rPr>
                <w:rFonts w:ascii="Times New Roman"/>
                <w:sz w:val="21"/>
              </w:rPr>
            </w:pPr>
            <w:r>
              <w:rPr>
                <w:rFonts w:ascii="Times New Roman"/>
                <w:w w:val="99"/>
                <w:sz w:val="21"/>
              </w:rPr>
              <w:t>X</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9"/>
              <w:spacing w:before="67"/>
              <w:ind w:right="34"/>
              <w:rPr>
                <w:rFonts w:ascii="Times New Roman"/>
                <w:sz w:val="21"/>
              </w:rPr>
            </w:pPr>
            <w:r>
              <w:rPr>
                <w:rFonts w:ascii="Times New Roman"/>
                <w:w w:val="99"/>
                <w:sz w:val="21"/>
              </w:rPr>
              <w:t>Y</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9"/>
              <w:spacing w:before="51"/>
              <w:ind w:left="184"/>
              <w:jc w:val="left"/>
              <w:rPr>
                <w:sz w:val="21"/>
              </w:rPr>
            </w:pPr>
            <w:r>
              <w:rPr>
                <w:sz w:val="21"/>
              </w:rPr>
              <w:t>点号</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9"/>
              <w:spacing w:before="67"/>
              <w:ind w:left="21"/>
              <w:rPr>
                <w:rFonts w:ascii="Times New Roman"/>
                <w:sz w:val="21"/>
              </w:rPr>
            </w:pPr>
            <w:r>
              <w:rPr>
                <w:rFonts w:ascii="Times New Roman"/>
                <w:w w:val="99"/>
                <w:sz w:val="21"/>
              </w:rPr>
              <w:t>X</w:t>
            </w:r>
          </w:p>
        </w:tc>
        <w:tc>
          <w:tcPr>
            <w:tcW w:w="1702" w:type="dxa"/>
            <w:gridSpan w:val="2"/>
            <w:tcBorders>
              <w:top w:val="single" w:color="000000" w:sz="4" w:space="0"/>
              <w:left w:val="single" w:color="000000" w:sz="4" w:space="0"/>
              <w:bottom w:val="single" w:color="000000" w:sz="4" w:space="0"/>
            </w:tcBorders>
          </w:tcPr>
          <w:p>
            <w:pPr>
              <w:pStyle w:val="19"/>
              <w:spacing w:before="67"/>
              <w:ind w:left="38"/>
              <w:rPr>
                <w:rFonts w:ascii="Times New Roman"/>
                <w:sz w:val="21"/>
              </w:rPr>
            </w:pPr>
            <w:r>
              <w:rPr>
                <w:rFonts w:ascii="Times New Roman"/>
                <w:w w:val="99"/>
                <w:sz w:val="21"/>
              </w:rPr>
              <w:t>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9"/>
              <w:spacing w:before="67"/>
              <w:ind w:left="42"/>
              <w:rPr>
                <w:rFonts w:ascii="Times New Roman"/>
                <w:sz w:val="21"/>
              </w:rPr>
            </w:pPr>
            <w:r>
              <w:rPr>
                <w:rFonts w:ascii="Times New Roman"/>
                <w:w w:val="99"/>
                <w:sz w:val="21"/>
              </w:rPr>
              <w:t>1</w:t>
            </w:r>
          </w:p>
        </w:tc>
        <w:tc>
          <w:tcPr>
            <w:tcW w:w="1607" w:type="dxa"/>
            <w:tcBorders>
              <w:top w:val="single" w:color="000000" w:sz="4" w:space="0"/>
              <w:left w:val="single" w:color="000000" w:sz="4" w:space="0"/>
              <w:bottom w:val="single" w:color="000000" w:sz="4" w:space="0"/>
              <w:right w:val="single" w:color="000000" w:sz="4" w:space="0"/>
            </w:tcBorders>
          </w:tcPr>
          <w:p>
            <w:pPr>
              <w:pStyle w:val="19"/>
              <w:spacing w:line="241" w:lineRule="exact"/>
              <w:ind w:right="284"/>
              <w:jc w:val="right"/>
              <w:rPr>
                <w:rFonts w:ascii="Times New Roman"/>
                <w:sz w:val="21"/>
              </w:rPr>
            </w:pPr>
            <w:r>
              <w:rPr>
                <w:rFonts w:ascii="Times New Roman"/>
                <w:w w:val="95"/>
                <w:sz w:val="21"/>
              </w:rPr>
              <w:t>5142205.15</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9"/>
              <w:spacing w:line="241" w:lineRule="exact"/>
              <w:ind w:left="290"/>
              <w:jc w:val="left"/>
              <w:rPr>
                <w:rFonts w:ascii="Times New Roman"/>
                <w:sz w:val="21"/>
              </w:rPr>
            </w:pPr>
            <w:r>
              <w:rPr>
                <w:rFonts w:ascii="Times New Roman"/>
                <w:sz w:val="21"/>
              </w:rPr>
              <w:t>44430672.47</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9"/>
              <w:spacing w:line="241" w:lineRule="exact"/>
              <w:ind w:right="20"/>
              <w:rPr>
                <w:rFonts w:ascii="Times New Roman"/>
                <w:sz w:val="21"/>
              </w:rPr>
            </w:pPr>
            <w:r>
              <w:rPr>
                <w:rFonts w:ascii="Times New Roman"/>
                <w:w w:val="99"/>
                <w:sz w:val="21"/>
              </w:rPr>
              <w:t>2</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9"/>
              <w:spacing w:line="241" w:lineRule="exact"/>
              <w:ind w:left="388"/>
              <w:jc w:val="left"/>
              <w:rPr>
                <w:rFonts w:ascii="Times New Roman"/>
                <w:sz w:val="21"/>
              </w:rPr>
            </w:pPr>
            <w:r>
              <w:rPr>
                <w:rFonts w:ascii="Times New Roman"/>
                <w:sz w:val="21"/>
              </w:rPr>
              <w:t>5142120.16</w:t>
            </w:r>
          </w:p>
        </w:tc>
        <w:tc>
          <w:tcPr>
            <w:tcW w:w="1702" w:type="dxa"/>
            <w:gridSpan w:val="2"/>
            <w:tcBorders>
              <w:top w:val="single" w:color="000000" w:sz="4" w:space="0"/>
              <w:left w:val="single" w:color="000000" w:sz="4" w:space="0"/>
              <w:bottom w:val="single" w:color="000000" w:sz="4" w:space="0"/>
            </w:tcBorders>
          </w:tcPr>
          <w:p>
            <w:pPr>
              <w:pStyle w:val="19"/>
              <w:spacing w:line="241" w:lineRule="exact"/>
              <w:ind w:left="312"/>
              <w:jc w:val="left"/>
              <w:rPr>
                <w:rFonts w:ascii="Times New Roman"/>
                <w:sz w:val="21"/>
              </w:rPr>
            </w:pPr>
            <w:r>
              <w:rPr>
                <w:rFonts w:ascii="Times New Roman"/>
                <w:sz w:val="21"/>
              </w:rPr>
              <w:t>44431537.48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9"/>
              <w:spacing w:before="66"/>
              <w:ind w:left="42"/>
              <w:rPr>
                <w:rFonts w:ascii="Times New Roman"/>
                <w:sz w:val="21"/>
              </w:rPr>
            </w:pPr>
            <w:r>
              <w:rPr>
                <w:rFonts w:ascii="Times New Roman"/>
                <w:w w:val="99"/>
                <w:sz w:val="21"/>
              </w:rPr>
              <w:t>3</w:t>
            </w:r>
          </w:p>
        </w:tc>
        <w:tc>
          <w:tcPr>
            <w:tcW w:w="1607" w:type="dxa"/>
            <w:tcBorders>
              <w:top w:val="single" w:color="000000" w:sz="4" w:space="0"/>
              <w:left w:val="single" w:color="000000" w:sz="4" w:space="0"/>
              <w:bottom w:val="single" w:color="000000" w:sz="4" w:space="0"/>
              <w:right w:val="single" w:color="000000" w:sz="4" w:space="0"/>
            </w:tcBorders>
          </w:tcPr>
          <w:p>
            <w:pPr>
              <w:pStyle w:val="19"/>
              <w:spacing w:line="241" w:lineRule="exact"/>
              <w:ind w:right="284"/>
              <w:jc w:val="right"/>
              <w:rPr>
                <w:rFonts w:ascii="Times New Roman"/>
                <w:sz w:val="21"/>
              </w:rPr>
            </w:pPr>
            <w:r>
              <w:rPr>
                <w:rFonts w:ascii="Times New Roman"/>
                <w:w w:val="95"/>
                <w:sz w:val="21"/>
              </w:rPr>
              <w:t>5141820.15</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9"/>
              <w:spacing w:line="241" w:lineRule="exact"/>
              <w:ind w:left="290"/>
              <w:jc w:val="left"/>
              <w:rPr>
                <w:rFonts w:ascii="Times New Roman"/>
                <w:sz w:val="21"/>
              </w:rPr>
            </w:pPr>
            <w:r>
              <w:rPr>
                <w:rFonts w:ascii="Times New Roman"/>
                <w:sz w:val="21"/>
              </w:rPr>
              <w:t>44431487.48</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9"/>
              <w:spacing w:line="241" w:lineRule="exact"/>
              <w:ind w:right="20"/>
              <w:rPr>
                <w:rFonts w:ascii="Times New Roman"/>
                <w:sz w:val="21"/>
              </w:rPr>
            </w:pPr>
            <w:r>
              <w:rPr>
                <w:rFonts w:ascii="Times New Roman"/>
                <w:w w:val="99"/>
                <w:sz w:val="21"/>
              </w:rPr>
              <w:t>4</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9"/>
              <w:spacing w:line="241" w:lineRule="exact"/>
              <w:ind w:left="388"/>
              <w:jc w:val="left"/>
              <w:rPr>
                <w:rFonts w:ascii="Times New Roman"/>
                <w:sz w:val="21"/>
              </w:rPr>
            </w:pPr>
            <w:r>
              <w:rPr>
                <w:rFonts w:ascii="Times New Roman"/>
                <w:sz w:val="21"/>
              </w:rPr>
              <w:t>5141950.15</w:t>
            </w:r>
          </w:p>
        </w:tc>
        <w:tc>
          <w:tcPr>
            <w:tcW w:w="1702" w:type="dxa"/>
            <w:gridSpan w:val="2"/>
            <w:tcBorders>
              <w:top w:val="single" w:color="000000" w:sz="4" w:space="0"/>
              <w:left w:val="single" w:color="000000" w:sz="4" w:space="0"/>
              <w:bottom w:val="single" w:color="000000" w:sz="4" w:space="0"/>
            </w:tcBorders>
          </w:tcPr>
          <w:p>
            <w:pPr>
              <w:pStyle w:val="19"/>
              <w:spacing w:line="241" w:lineRule="exact"/>
              <w:ind w:left="312"/>
              <w:jc w:val="left"/>
              <w:rPr>
                <w:rFonts w:ascii="Times New Roman"/>
                <w:sz w:val="21"/>
              </w:rPr>
            </w:pPr>
            <w:r>
              <w:rPr>
                <w:rFonts w:ascii="Times New Roman"/>
                <w:sz w:val="21"/>
              </w:rPr>
              <w:t>44430667.47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8407" w:type="dxa"/>
            <w:gridSpan w:val="10"/>
            <w:tcBorders>
              <w:top w:val="single" w:color="000000" w:sz="4" w:space="0"/>
              <w:bottom w:val="single" w:color="000000" w:sz="4" w:space="0"/>
            </w:tcBorders>
          </w:tcPr>
          <w:p>
            <w:pPr>
              <w:pStyle w:val="19"/>
              <w:spacing w:before="49"/>
              <w:ind w:left="1161" w:right="1135"/>
              <w:rPr>
                <w:sz w:val="21"/>
              </w:rPr>
            </w:pPr>
            <w:r>
              <w:rPr>
                <w:sz w:val="21"/>
              </w:rPr>
              <w:t>煤层开采标高：</w:t>
            </w:r>
            <w:r>
              <w:rPr>
                <w:rFonts w:ascii="Times New Roman" w:eastAsia="Times New Roman"/>
                <w:sz w:val="21"/>
              </w:rPr>
              <w:t xml:space="preserve">350m </w:t>
            </w:r>
            <w:r>
              <w:rPr>
                <w:sz w:val="21"/>
              </w:rPr>
              <w:t xml:space="preserve">至 </w:t>
            </w:r>
            <w:r>
              <w:rPr>
                <w:rFonts w:ascii="Times New Roman" w:eastAsia="Times New Roman"/>
                <w:sz w:val="21"/>
              </w:rPr>
              <w:t>60m</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8407" w:type="dxa"/>
            <w:gridSpan w:val="10"/>
            <w:tcBorders>
              <w:top w:val="single" w:color="000000" w:sz="4" w:space="0"/>
              <w:bottom w:val="single" w:color="000000" w:sz="4" w:space="0"/>
            </w:tcBorders>
          </w:tcPr>
          <w:p>
            <w:pPr>
              <w:pStyle w:val="19"/>
              <w:spacing w:before="51"/>
              <w:ind w:left="1163" w:right="1135"/>
              <w:rPr>
                <w:sz w:val="21"/>
              </w:rPr>
            </w:pPr>
            <w:r>
              <w:rPr>
                <w:rFonts w:ascii="Times New Roman" w:eastAsia="Times New Roman"/>
                <w:sz w:val="21"/>
              </w:rPr>
              <w:t>12</w:t>
            </w:r>
            <w:r>
              <w:rPr>
                <w:sz w:val="21"/>
              </w:rPr>
              <w:t>、</w:t>
            </w:r>
            <w:r>
              <w:rPr>
                <w:rFonts w:ascii="Times New Roman" w:eastAsia="Times New Roman"/>
                <w:sz w:val="21"/>
              </w:rPr>
              <w:t xml:space="preserve">16 </w:t>
            </w:r>
            <w:r>
              <w:rPr>
                <w:sz w:val="21"/>
              </w:rPr>
              <w:t>号煤层扩后矿区范围拐点坐标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9"/>
              <w:spacing w:before="50"/>
              <w:ind w:left="133" w:right="133"/>
              <w:rPr>
                <w:sz w:val="21"/>
              </w:rPr>
            </w:pPr>
            <w:r>
              <w:rPr>
                <w:sz w:val="21"/>
              </w:rPr>
              <w:t>点号</w:t>
            </w:r>
          </w:p>
        </w:tc>
        <w:tc>
          <w:tcPr>
            <w:tcW w:w="1789" w:type="dxa"/>
            <w:gridSpan w:val="2"/>
            <w:tcBorders>
              <w:top w:val="single" w:color="000000" w:sz="4" w:space="0"/>
              <w:left w:val="single" w:color="000000" w:sz="4" w:space="0"/>
              <w:bottom w:val="single" w:color="000000" w:sz="4" w:space="0"/>
              <w:right w:val="single" w:color="000000" w:sz="4" w:space="0"/>
            </w:tcBorders>
          </w:tcPr>
          <w:p>
            <w:pPr>
              <w:pStyle w:val="19"/>
              <w:spacing w:before="67"/>
              <w:ind w:left="10"/>
              <w:rPr>
                <w:rFonts w:ascii="Times New Roman"/>
                <w:sz w:val="21"/>
              </w:rPr>
            </w:pPr>
            <w:r>
              <w:rPr>
                <w:rFonts w:ascii="Times New Roman"/>
                <w:w w:val="99"/>
                <w:sz w:val="21"/>
              </w:rPr>
              <w:t>X</w:t>
            </w:r>
          </w:p>
        </w:tc>
        <w:tc>
          <w:tcPr>
            <w:tcW w:w="1798" w:type="dxa"/>
            <w:gridSpan w:val="2"/>
            <w:tcBorders>
              <w:top w:val="single" w:color="000000" w:sz="4" w:space="0"/>
              <w:left w:val="single" w:color="000000" w:sz="4" w:space="0"/>
              <w:bottom w:val="single" w:color="000000" w:sz="4" w:space="0"/>
              <w:right w:val="single" w:color="000000" w:sz="4" w:space="0"/>
            </w:tcBorders>
          </w:tcPr>
          <w:p>
            <w:pPr>
              <w:pStyle w:val="19"/>
              <w:spacing w:before="67"/>
              <w:ind w:left="23"/>
              <w:rPr>
                <w:rFonts w:ascii="Times New Roman"/>
                <w:sz w:val="21"/>
              </w:rPr>
            </w:pPr>
            <w:r>
              <w:rPr>
                <w:rFonts w:ascii="Times New Roman"/>
                <w:w w:val="99"/>
                <w:sz w:val="21"/>
              </w:rPr>
              <w:t>Y</w:t>
            </w:r>
          </w:p>
        </w:tc>
        <w:tc>
          <w:tcPr>
            <w:tcW w:w="898" w:type="dxa"/>
            <w:gridSpan w:val="2"/>
            <w:tcBorders>
              <w:top w:val="single" w:color="000000" w:sz="4" w:space="0"/>
              <w:left w:val="single" w:color="000000" w:sz="4" w:space="0"/>
              <w:bottom w:val="single" w:color="000000" w:sz="4" w:space="0"/>
              <w:right w:val="single" w:color="000000" w:sz="4" w:space="0"/>
            </w:tcBorders>
          </w:tcPr>
          <w:p>
            <w:pPr>
              <w:pStyle w:val="19"/>
              <w:spacing w:before="50"/>
              <w:ind w:left="249"/>
              <w:jc w:val="left"/>
              <w:rPr>
                <w:sz w:val="21"/>
              </w:rPr>
            </w:pPr>
            <w:r>
              <w:rPr>
                <w:sz w:val="21"/>
              </w:rPr>
              <w:t>点号</w:t>
            </w:r>
          </w:p>
        </w:tc>
        <w:tc>
          <w:tcPr>
            <w:tcW w:w="1594" w:type="dxa"/>
            <w:gridSpan w:val="2"/>
            <w:tcBorders>
              <w:top w:val="single" w:color="000000" w:sz="4" w:space="0"/>
              <w:left w:val="single" w:color="000000" w:sz="4" w:space="0"/>
              <w:bottom w:val="single" w:color="000000" w:sz="4" w:space="0"/>
              <w:right w:val="single" w:color="000000" w:sz="4" w:space="0"/>
            </w:tcBorders>
          </w:tcPr>
          <w:p>
            <w:pPr>
              <w:pStyle w:val="19"/>
              <w:spacing w:before="67"/>
              <w:ind w:left="34"/>
              <w:rPr>
                <w:rFonts w:ascii="Times New Roman"/>
                <w:sz w:val="21"/>
              </w:rPr>
            </w:pPr>
            <w:r>
              <w:rPr>
                <w:rFonts w:ascii="Times New Roman"/>
                <w:w w:val="99"/>
                <w:sz w:val="21"/>
              </w:rPr>
              <w:t>X</w:t>
            </w:r>
          </w:p>
        </w:tc>
        <w:tc>
          <w:tcPr>
            <w:tcW w:w="1547" w:type="dxa"/>
            <w:tcBorders>
              <w:top w:val="single" w:color="000000" w:sz="4" w:space="0"/>
              <w:left w:val="single" w:color="000000" w:sz="4" w:space="0"/>
              <w:bottom w:val="single" w:color="000000" w:sz="4" w:space="0"/>
            </w:tcBorders>
          </w:tcPr>
          <w:p>
            <w:pPr>
              <w:pStyle w:val="19"/>
              <w:spacing w:before="67"/>
              <w:ind w:left="42"/>
              <w:rPr>
                <w:rFonts w:ascii="Times New Roman"/>
                <w:sz w:val="21"/>
              </w:rPr>
            </w:pPr>
            <w:r>
              <w:rPr>
                <w:rFonts w:ascii="Times New Roman"/>
                <w:w w:val="99"/>
                <w:sz w:val="21"/>
              </w:rPr>
              <w:t>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9"/>
              <w:spacing w:before="66"/>
              <w:ind w:left="4"/>
              <w:rPr>
                <w:rFonts w:ascii="Times New Roman"/>
                <w:sz w:val="21"/>
              </w:rPr>
            </w:pPr>
            <w:r>
              <w:rPr>
                <w:rFonts w:ascii="Times New Roman"/>
                <w:w w:val="99"/>
                <w:sz w:val="21"/>
              </w:rPr>
              <w:t>1</w:t>
            </w:r>
          </w:p>
        </w:tc>
        <w:tc>
          <w:tcPr>
            <w:tcW w:w="1789" w:type="dxa"/>
            <w:gridSpan w:val="2"/>
            <w:tcBorders>
              <w:top w:val="single" w:color="000000" w:sz="4" w:space="0"/>
              <w:left w:val="single" w:color="000000" w:sz="4" w:space="0"/>
              <w:bottom w:val="single" w:color="000000" w:sz="4" w:space="0"/>
              <w:right w:val="single" w:color="000000" w:sz="4" w:space="0"/>
            </w:tcBorders>
          </w:tcPr>
          <w:p>
            <w:pPr>
              <w:pStyle w:val="19"/>
              <w:spacing w:line="241" w:lineRule="exact"/>
              <w:ind w:left="396"/>
              <w:jc w:val="left"/>
              <w:rPr>
                <w:rFonts w:ascii="Times New Roman"/>
                <w:sz w:val="21"/>
              </w:rPr>
            </w:pPr>
            <w:r>
              <w:rPr>
                <w:rFonts w:ascii="Times New Roman"/>
                <w:sz w:val="21"/>
              </w:rPr>
              <w:t>5142960.16</w:t>
            </w:r>
          </w:p>
        </w:tc>
        <w:tc>
          <w:tcPr>
            <w:tcW w:w="1798" w:type="dxa"/>
            <w:gridSpan w:val="2"/>
            <w:tcBorders>
              <w:top w:val="single" w:color="000000" w:sz="4" w:space="0"/>
              <w:left w:val="single" w:color="000000" w:sz="4" w:space="0"/>
              <w:bottom w:val="single" w:color="000000" w:sz="4" w:space="0"/>
              <w:right w:val="single" w:color="000000" w:sz="4" w:space="0"/>
            </w:tcBorders>
          </w:tcPr>
          <w:p>
            <w:pPr>
              <w:pStyle w:val="19"/>
              <w:spacing w:line="241" w:lineRule="exact"/>
              <w:ind w:left="355"/>
              <w:jc w:val="left"/>
              <w:rPr>
                <w:rFonts w:ascii="Times New Roman"/>
                <w:sz w:val="21"/>
              </w:rPr>
            </w:pPr>
            <w:r>
              <w:rPr>
                <w:rFonts w:ascii="Times New Roman"/>
                <w:sz w:val="21"/>
              </w:rPr>
              <w:t>44431037.47</w:t>
            </w:r>
          </w:p>
        </w:tc>
        <w:tc>
          <w:tcPr>
            <w:tcW w:w="898" w:type="dxa"/>
            <w:gridSpan w:val="2"/>
            <w:tcBorders>
              <w:top w:val="single" w:color="000000" w:sz="4" w:space="0"/>
              <w:left w:val="single" w:color="000000" w:sz="4" w:space="0"/>
              <w:bottom w:val="single" w:color="000000" w:sz="4" w:space="0"/>
              <w:right w:val="single" w:color="000000" w:sz="4" w:space="0"/>
            </w:tcBorders>
          </w:tcPr>
          <w:p>
            <w:pPr>
              <w:pStyle w:val="19"/>
              <w:spacing w:before="66"/>
              <w:ind w:left="26"/>
              <w:rPr>
                <w:rFonts w:ascii="Times New Roman"/>
                <w:sz w:val="21"/>
              </w:rPr>
            </w:pPr>
            <w:r>
              <w:rPr>
                <w:rFonts w:ascii="Times New Roman"/>
                <w:w w:val="99"/>
                <w:sz w:val="21"/>
              </w:rPr>
              <w:t>2</w:t>
            </w:r>
          </w:p>
        </w:tc>
        <w:tc>
          <w:tcPr>
            <w:tcW w:w="1594" w:type="dxa"/>
            <w:gridSpan w:val="2"/>
            <w:tcBorders>
              <w:top w:val="single" w:color="000000" w:sz="4" w:space="0"/>
              <w:left w:val="single" w:color="000000" w:sz="4" w:space="0"/>
              <w:bottom w:val="single" w:color="000000" w:sz="4" w:space="0"/>
              <w:right w:val="single" w:color="000000" w:sz="4" w:space="0"/>
            </w:tcBorders>
          </w:tcPr>
          <w:p>
            <w:pPr>
              <w:pStyle w:val="19"/>
              <w:spacing w:line="241" w:lineRule="exact"/>
              <w:ind w:left="308"/>
              <w:jc w:val="left"/>
              <w:rPr>
                <w:rFonts w:ascii="Times New Roman"/>
                <w:sz w:val="21"/>
              </w:rPr>
            </w:pPr>
            <w:r>
              <w:rPr>
                <w:rFonts w:ascii="Times New Roman"/>
                <w:sz w:val="21"/>
              </w:rPr>
              <w:t>5142605.16</w:t>
            </w:r>
          </w:p>
        </w:tc>
        <w:tc>
          <w:tcPr>
            <w:tcW w:w="1547" w:type="dxa"/>
            <w:tcBorders>
              <w:top w:val="single" w:color="000000" w:sz="4" w:space="0"/>
              <w:left w:val="single" w:color="000000" w:sz="4" w:space="0"/>
              <w:bottom w:val="single" w:color="000000" w:sz="4" w:space="0"/>
            </w:tcBorders>
          </w:tcPr>
          <w:p>
            <w:pPr>
              <w:pStyle w:val="19"/>
              <w:spacing w:line="241" w:lineRule="exact"/>
              <w:ind w:left="216" w:right="173"/>
              <w:rPr>
                <w:rFonts w:ascii="Times New Roman"/>
                <w:sz w:val="21"/>
              </w:rPr>
            </w:pPr>
            <w:r>
              <w:rPr>
                <w:rFonts w:ascii="Times New Roman"/>
                <w:sz w:val="21"/>
              </w:rPr>
              <w:t>44432702.48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9"/>
              <w:spacing w:before="68"/>
              <w:ind w:left="4"/>
              <w:rPr>
                <w:rFonts w:ascii="Times New Roman"/>
                <w:sz w:val="21"/>
              </w:rPr>
            </w:pPr>
            <w:r>
              <w:rPr>
                <w:rFonts w:ascii="Times New Roman"/>
                <w:w w:val="99"/>
                <w:sz w:val="21"/>
              </w:rPr>
              <w:t>3</w:t>
            </w:r>
          </w:p>
        </w:tc>
        <w:tc>
          <w:tcPr>
            <w:tcW w:w="1789" w:type="dxa"/>
            <w:gridSpan w:val="2"/>
            <w:tcBorders>
              <w:top w:val="single" w:color="000000" w:sz="4" w:space="0"/>
              <w:left w:val="single" w:color="000000" w:sz="4" w:space="0"/>
              <w:bottom w:val="single" w:color="000000" w:sz="4" w:space="0"/>
              <w:right w:val="single" w:color="000000" w:sz="4" w:space="0"/>
            </w:tcBorders>
          </w:tcPr>
          <w:p>
            <w:pPr>
              <w:pStyle w:val="19"/>
              <w:spacing w:before="1"/>
              <w:ind w:left="396"/>
              <w:jc w:val="left"/>
              <w:rPr>
                <w:rFonts w:ascii="Times New Roman"/>
                <w:sz w:val="21"/>
              </w:rPr>
            </w:pPr>
            <w:r>
              <w:rPr>
                <w:rFonts w:ascii="Times New Roman"/>
                <w:sz w:val="21"/>
              </w:rPr>
              <w:t>5139950.15</w:t>
            </w:r>
          </w:p>
        </w:tc>
        <w:tc>
          <w:tcPr>
            <w:tcW w:w="1798" w:type="dxa"/>
            <w:gridSpan w:val="2"/>
            <w:tcBorders>
              <w:top w:val="single" w:color="000000" w:sz="4" w:space="0"/>
              <w:left w:val="single" w:color="000000" w:sz="4" w:space="0"/>
              <w:bottom w:val="single" w:color="000000" w:sz="4" w:space="0"/>
              <w:right w:val="single" w:color="000000" w:sz="4" w:space="0"/>
            </w:tcBorders>
          </w:tcPr>
          <w:p>
            <w:pPr>
              <w:pStyle w:val="19"/>
              <w:spacing w:before="1"/>
              <w:ind w:left="355"/>
              <w:jc w:val="left"/>
              <w:rPr>
                <w:rFonts w:ascii="Times New Roman"/>
                <w:sz w:val="21"/>
              </w:rPr>
            </w:pPr>
            <w:r>
              <w:rPr>
                <w:rFonts w:ascii="Times New Roman"/>
                <w:sz w:val="21"/>
              </w:rPr>
              <w:t>44433407.50</w:t>
            </w:r>
          </w:p>
        </w:tc>
        <w:tc>
          <w:tcPr>
            <w:tcW w:w="898" w:type="dxa"/>
            <w:gridSpan w:val="2"/>
            <w:tcBorders>
              <w:top w:val="single" w:color="000000" w:sz="4" w:space="0"/>
              <w:left w:val="single" w:color="000000" w:sz="4" w:space="0"/>
              <w:bottom w:val="single" w:color="000000" w:sz="4" w:space="0"/>
              <w:right w:val="single" w:color="000000" w:sz="4" w:space="0"/>
            </w:tcBorders>
          </w:tcPr>
          <w:p>
            <w:pPr>
              <w:pStyle w:val="19"/>
              <w:spacing w:before="68"/>
              <w:ind w:left="26"/>
              <w:rPr>
                <w:rFonts w:ascii="Times New Roman"/>
                <w:sz w:val="21"/>
              </w:rPr>
            </w:pPr>
            <w:r>
              <w:rPr>
                <w:rFonts w:ascii="Times New Roman"/>
                <w:w w:val="99"/>
                <w:sz w:val="21"/>
              </w:rPr>
              <w:t>4</w:t>
            </w:r>
          </w:p>
        </w:tc>
        <w:tc>
          <w:tcPr>
            <w:tcW w:w="1594" w:type="dxa"/>
            <w:gridSpan w:val="2"/>
            <w:tcBorders>
              <w:top w:val="single" w:color="000000" w:sz="4" w:space="0"/>
              <w:left w:val="single" w:color="000000" w:sz="4" w:space="0"/>
              <w:bottom w:val="single" w:color="000000" w:sz="4" w:space="0"/>
              <w:right w:val="single" w:color="000000" w:sz="4" w:space="0"/>
            </w:tcBorders>
          </w:tcPr>
          <w:p>
            <w:pPr>
              <w:pStyle w:val="19"/>
              <w:spacing w:before="1"/>
              <w:ind w:left="308"/>
              <w:jc w:val="left"/>
              <w:rPr>
                <w:rFonts w:ascii="Times New Roman"/>
                <w:sz w:val="21"/>
              </w:rPr>
            </w:pPr>
            <w:r>
              <w:rPr>
                <w:rFonts w:ascii="Times New Roman"/>
                <w:sz w:val="21"/>
              </w:rPr>
              <w:t>5140310.15</w:t>
            </w:r>
          </w:p>
        </w:tc>
        <w:tc>
          <w:tcPr>
            <w:tcW w:w="1547" w:type="dxa"/>
            <w:tcBorders>
              <w:top w:val="single" w:color="000000" w:sz="4" w:space="0"/>
              <w:left w:val="single" w:color="000000" w:sz="4" w:space="0"/>
              <w:bottom w:val="single" w:color="000000" w:sz="4" w:space="0"/>
            </w:tcBorders>
          </w:tcPr>
          <w:p>
            <w:pPr>
              <w:pStyle w:val="19"/>
              <w:spacing w:before="1"/>
              <w:ind w:left="216" w:right="173"/>
              <w:rPr>
                <w:rFonts w:ascii="Times New Roman"/>
                <w:sz w:val="21"/>
              </w:rPr>
            </w:pPr>
            <w:r>
              <w:rPr>
                <w:rFonts w:ascii="Times New Roman"/>
                <w:sz w:val="21"/>
              </w:rPr>
              <w:t>44432387.49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9"/>
              <w:spacing w:before="67"/>
              <w:ind w:left="4"/>
              <w:rPr>
                <w:rFonts w:ascii="Times New Roman"/>
                <w:sz w:val="21"/>
              </w:rPr>
            </w:pPr>
            <w:r>
              <w:rPr>
                <w:rFonts w:ascii="Times New Roman"/>
                <w:w w:val="99"/>
                <w:sz w:val="21"/>
              </w:rPr>
              <w:t>5</w:t>
            </w:r>
          </w:p>
        </w:tc>
        <w:tc>
          <w:tcPr>
            <w:tcW w:w="1789" w:type="dxa"/>
            <w:gridSpan w:val="2"/>
            <w:tcBorders>
              <w:top w:val="single" w:color="000000" w:sz="4" w:space="0"/>
              <w:left w:val="single" w:color="000000" w:sz="4" w:space="0"/>
              <w:bottom w:val="single" w:color="000000" w:sz="4" w:space="0"/>
              <w:right w:val="single" w:color="000000" w:sz="4" w:space="0"/>
            </w:tcBorders>
          </w:tcPr>
          <w:p>
            <w:pPr>
              <w:pStyle w:val="19"/>
              <w:ind w:left="396"/>
              <w:jc w:val="left"/>
              <w:rPr>
                <w:rFonts w:ascii="Times New Roman"/>
                <w:sz w:val="21"/>
              </w:rPr>
            </w:pPr>
            <w:r>
              <w:rPr>
                <w:rFonts w:ascii="Times New Roman"/>
                <w:sz w:val="21"/>
              </w:rPr>
              <w:t>5141895.15</w:t>
            </w:r>
          </w:p>
        </w:tc>
        <w:tc>
          <w:tcPr>
            <w:tcW w:w="1798" w:type="dxa"/>
            <w:gridSpan w:val="2"/>
            <w:tcBorders>
              <w:top w:val="single" w:color="000000" w:sz="4" w:space="0"/>
              <w:left w:val="single" w:color="000000" w:sz="4" w:space="0"/>
              <w:bottom w:val="single" w:color="000000" w:sz="4" w:space="0"/>
              <w:right w:val="single" w:color="000000" w:sz="4" w:space="0"/>
            </w:tcBorders>
          </w:tcPr>
          <w:p>
            <w:pPr>
              <w:pStyle w:val="19"/>
              <w:ind w:left="355"/>
              <w:jc w:val="left"/>
              <w:rPr>
                <w:rFonts w:ascii="Times New Roman"/>
                <w:sz w:val="21"/>
              </w:rPr>
            </w:pPr>
            <w:r>
              <w:rPr>
                <w:rFonts w:ascii="Times New Roman"/>
                <w:sz w:val="21"/>
              </w:rPr>
              <w:t>44430167.47</w:t>
            </w:r>
          </w:p>
        </w:tc>
        <w:tc>
          <w:tcPr>
            <w:tcW w:w="898" w:type="dxa"/>
            <w:gridSpan w:val="2"/>
            <w:tcBorders>
              <w:top w:val="single" w:color="000000" w:sz="4" w:space="0"/>
              <w:left w:val="single" w:color="000000" w:sz="4" w:space="0"/>
              <w:bottom w:val="single" w:color="000000" w:sz="4" w:space="0"/>
              <w:right w:val="single" w:color="000000" w:sz="4" w:space="0"/>
            </w:tcBorders>
          </w:tcPr>
          <w:p>
            <w:pPr>
              <w:pStyle w:val="19"/>
              <w:spacing w:before="67"/>
              <w:ind w:left="26"/>
              <w:rPr>
                <w:rFonts w:ascii="Times New Roman"/>
                <w:sz w:val="21"/>
              </w:rPr>
            </w:pPr>
            <w:r>
              <w:rPr>
                <w:rFonts w:ascii="Times New Roman"/>
                <w:w w:val="99"/>
                <w:sz w:val="21"/>
              </w:rPr>
              <w:t>6</w:t>
            </w:r>
          </w:p>
        </w:tc>
        <w:tc>
          <w:tcPr>
            <w:tcW w:w="1594" w:type="dxa"/>
            <w:gridSpan w:val="2"/>
            <w:tcBorders>
              <w:top w:val="single" w:color="000000" w:sz="4" w:space="0"/>
              <w:left w:val="single" w:color="000000" w:sz="4" w:space="0"/>
              <w:bottom w:val="single" w:color="000000" w:sz="4" w:space="0"/>
              <w:right w:val="single" w:color="000000" w:sz="4" w:space="0"/>
            </w:tcBorders>
          </w:tcPr>
          <w:p>
            <w:pPr>
              <w:pStyle w:val="19"/>
              <w:ind w:left="308"/>
              <w:jc w:val="left"/>
              <w:rPr>
                <w:rFonts w:ascii="Times New Roman"/>
                <w:sz w:val="21"/>
              </w:rPr>
            </w:pPr>
            <w:r>
              <w:rPr>
                <w:rFonts w:ascii="Times New Roman"/>
                <w:sz w:val="21"/>
              </w:rPr>
              <w:t>5142330.15</w:t>
            </w:r>
          </w:p>
        </w:tc>
        <w:tc>
          <w:tcPr>
            <w:tcW w:w="1547" w:type="dxa"/>
            <w:tcBorders>
              <w:top w:val="single" w:color="000000" w:sz="4" w:space="0"/>
              <w:left w:val="single" w:color="000000" w:sz="4" w:space="0"/>
              <w:bottom w:val="single" w:color="000000" w:sz="4" w:space="0"/>
            </w:tcBorders>
          </w:tcPr>
          <w:p>
            <w:pPr>
              <w:pStyle w:val="19"/>
              <w:ind w:left="216" w:right="173"/>
              <w:rPr>
                <w:rFonts w:ascii="Times New Roman"/>
                <w:sz w:val="21"/>
              </w:rPr>
            </w:pPr>
            <w:r>
              <w:rPr>
                <w:rFonts w:ascii="Times New Roman"/>
                <w:sz w:val="21"/>
              </w:rPr>
              <w:t>44431037.47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8407" w:type="dxa"/>
            <w:gridSpan w:val="10"/>
            <w:tcBorders>
              <w:top w:val="single" w:color="000000" w:sz="4" w:space="0"/>
              <w:bottom w:val="single" w:color="000000" w:sz="4" w:space="0"/>
            </w:tcBorders>
          </w:tcPr>
          <w:p>
            <w:pPr>
              <w:pStyle w:val="19"/>
              <w:spacing w:before="50"/>
              <w:ind w:left="1168" w:right="1135"/>
              <w:rPr>
                <w:sz w:val="21"/>
              </w:rPr>
            </w:pPr>
            <w:r>
              <w:rPr>
                <w:sz w:val="21"/>
              </w:rPr>
              <w:t>开采标高：</w:t>
            </w:r>
            <w:r>
              <w:rPr>
                <w:rFonts w:ascii="Times New Roman" w:eastAsia="Times New Roman"/>
                <w:sz w:val="21"/>
              </w:rPr>
              <w:t xml:space="preserve">12 </w:t>
            </w:r>
            <w:r>
              <w:rPr>
                <w:sz w:val="21"/>
              </w:rPr>
              <w:t xml:space="preserve">号煤层 </w:t>
            </w:r>
            <w:r>
              <w:rPr>
                <w:rFonts w:ascii="Times New Roman" w:eastAsia="Times New Roman"/>
                <w:sz w:val="21"/>
              </w:rPr>
              <w:t xml:space="preserve">350m </w:t>
            </w:r>
            <w:r>
              <w:rPr>
                <w:sz w:val="21"/>
              </w:rPr>
              <w:t>至</w:t>
            </w:r>
            <w:r>
              <w:rPr>
                <w:rFonts w:ascii="Times New Roman" w:eastAsia="Times New Roman"/>
                <w:sz w:val="21"/>
              </w:rPr>
              <w:t>-150m</w:t>
            </w:r>
            <w:r>
              <w:rPr>
                <w:sz w:val="21"/>
              </w:rPr>
              <w:t>，</w:t>
            </w:r>
            <w:r>
              <w:rPr>
                <w:rFonts w:ascii="Times New Roman" w:eastAsia="Times New Roman"/>
                <w:sz w:val="21"/>
              </w:rPr>
              <w:t xml:space="preserve">16 </w:t>
            </w:r>
            <w:r>
              <w:rPr>
                <w:sz w:val="21"/>
              </w:rPr>
              <w:t xml:space="preserve">号煤层 </w:t>
            </w:r>
            <w:r>
              <w:rPr>
                <w:rFonts w:ascii="Times New Roman" w:eastAsia="Times New Roman"/>
                <w:sz w:val="21"/>
              </w:rPr>
              <w:t xml:space="preserve">350m </w:t>
            </w:r>
            <w:r>
              <w:rPr>
                <w:sz w:val="21"/>
              </w:rPr>
              <w:t>至</w:t>
            </w:r>
            <w:r>
              <w:rPr>
                <w:rFonts w:ascii="Times New Roman" w:eastAsia="Times New Roman"/>
                <w:sz w:val="21"/>
              </w:rPr>
              <w:t>-300m</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8407" w:type="dxa"/>
            <w:gridSpan w:val="10"/>
            <w:tcBorders>
              <w:top w:val="single" w:color="000000" w:sz="4" w:space="0"/>
              <w:bottom w:val="single" w:color="000000" w:sz="4" w:space="0"/>
            </w:tcBorders>
          </w:tcPr>
          <w:p>
            <w:pPr>
              <w:pStyle w:val="19"/>
              <w:spacing w:before="50"/>
              <w:ind w:left="1161" w:right="1135"/>
              <w:rPr>
                <w:sz w:val="21"/>
              </w:rPr>
            </w:pPr>
            <w:r>
              <w:rPr>
                <w:rFonts w:ascii="Times New Roman" w:eastAsia="Times New Roman"/>
                <w:sz w:val="21"/>
              </w:rPr>
              <w:t xml:space="preserve">14 </w:t>
            </w:r>
            <w:r>
              <w:rPr>
                <w:sz w:val="21"/>
              </w:rPr>
              <w:t>号煤层扩后矿区范围拐点坐标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9"/>
              <w:spacing w:before="49"/>
              <w:ind w:left="133" w:right="133"/>
              <w:rPr>
                <w:sz w:val="21"/>
              </w:rPr>
            </w:pPr>
            <w:r>
              <w:rPr>
                <w:sz w:val="21"/>
              </w:rPr>
              <w:t>点号</w:t>
            </w:r>
          </w:p>
        </w:tc>
        <w:tc>
          <w:tcPr>
            <w:tcW w:w="1607" w:type="dxa"/>
            <w:tcBorders>
              <w:top w:val="single" w:color="000000" w:sz="4" w:space="0"/>
              <w:left w:val="single" w:color="000000" w:sz="4" w:space="0"/>
              <w:bottom w:val="single" w:color="000000" w:sz="4" w:space="0"/>
              <w:right w:val="single" w:color="000000" w:sz="4" w:space="0"/>
            </w:tcBorders>
          </w:tcPr>
          <w:p>
            <w:pPr>
              <w:pStyle w:val="19"/>
              <w:spacing w:before="68"/>
              <w:ind w:left="19"/>
              <w:rPr>
                <w:rFonts w:ascii="Times New Roman"/>
                <w:sz w:val="21"/>
              </w:rPr>
            </w:pPr>
            <w:r>
              <w:rPr>
                <w:rFonts w:ascii="Times New Roman"/>
                <w:w w:val="99"/>
                <w:sz w:val="21"/>
              </w:rPr>
              <w:t>X</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9"/>
              <w:spacing w:before="68"/>
              <w:ind w:left="49"/>
              <w:rPr>
                <w:rFonts w:ascii="Times New Roman"/>
                <w:sz w:val="21"/>
              </w:rPr>
            </w:pPr>
            <w:r>
              <w:rPr>
                <w:rFonts w:ascii="Times New Roman"/>
                <w:w w:val="99"/>
                <w:sz w:val="21"/>
              </w:rPr>
              <w:t>Y</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9"/>
              <w:spacing w:before="49"/>
              <w:ind w:left="222"/>
              <w:jc w:val="left"/>
              <w:rPr>
                <w:sz w:val="21"/>
              </w:rPr>
            </w:pPr>
            <w:r>
              <w:rPr>
                <w:sz w:val="21"/>
              </w:rPr>
              <w:t>点号</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9"/>
              <w:spacing w:before="68"/>
              <w:ind w:left="36"/>
              <w:rPr>
                <w:rFonts w:ascii="Times New Roman"/>
                <w:sz w:val="21"/>
              </w:rPr>
            </w:pPr>
            <w:r>
              <w:rPr>
                <w:rFonts w:ascii="Times New Roman"/>
                <w:w w:val="99"/>
                <w:sz w:val="21"/>
              </w:rPr>
              <w:t>X</w:t>
            </w:r>
          </w:p>
        </w:tc>
        <w:tc>
          <w:tcPr>
            <w:tcW w:w="1702" w:type="dxa"/>
            <w:gridSpan w:val="2"/>
            <w:tcBorders>
              <w:top w:val="single" w:color="000000" w:sz="4" w:space="0"/>
              <w:left w:val="single" w:color="000000" w:sz="4" w:space="0"/>
              <w:bottom w:val="single" w:color="000000" w:sz="4" w:space="0"/>
            </w:tcBorders>
          </w:tcPr>
          <w:p>
            <w:pPr>
              <w:pStyle w:val="19"/>
              <w:spacing w:before="68"/>
              <w:ind w:left="38"/>
              <w:rPr>
                <w:rFonts w:ascii="Times New Roman"/>
                <w:sz w:val="21"/>
              </w:rPr>
            </w:pPr>
            <w:r>
              <w:rPr>
                <w:rFonts w:ascii="Times New Roman"/>
                <w:w w:val="99"/>
                <w:sz w:val="21"/>
              </w:rPr>
              <w:t>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9"/>
              <w:spacing w:before="67"/>
              <w:ind w:left="4"/>
              <w:rPr>
                <w:rFonts w:ascii="Times New Roman"/>
                <w:sz w:val="21"/>
              </w:rPr>
            </w:pPr>
            <w:r>
              <w:rPr>
                <w:rFonts w:ascii="Times New Roman"/>
                <w:w w:val="99"/>
                <w:sz w:val="21"/>
              </w:rPr>
              <w:t>1</w:t>
            </w:r>
          </w:p>
        </w:tc>
        <w:tc>
          <w:tcPr>
            <w:tcW w:w="1607" w:type="dxa"/>
            <w:tcBorders>
              <w:top w:val="single" w:color="000000" w:sz="4" w:space="0"/>
              <w:left w:val="single" w:color="000000" w:sz="4" w:space="0"/>
              <w:bottom w:val="single" w:color="000000" w:sz="4" w:space="0"/>
              <w:right w:val="single" w:color="000000" w:sz="4" w:space="0"/>
            </w:tcBorders>
          </w:tcPr>
          <w:p>
            <w:pPr>
              <w:pStyle w:val="19"/>
              <w:ind w:right="287"/>
              <w:jc w:val="right"/>
              <w:rPr>
                <w:rFonts w:ascii="Times New Roman"/>
                <w:sz w:val="21"/>
              </w:rPr>
            </w:pPr>
            <w:r>
              <w:rPr>
                <w:rFonts w:ascii="Times New Roman"/>
                <w:w w:val="95"/>
                <w:sz w:val="21"/>
              </w:rPr>
              <w:t>5142960.16</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9"/>
              <w:ind w:left="335"/>
              <w:jc w:val="left"/>
              <w:rPr>
                <w:rFonts w:ascii="Times New Roman"/>
                <w:sz w:val="21"/>
              </w:rPr>
            </w:pPr>
            <w:r>
              <w:rPr>
                <w:rFonts w:ascii="Times New Roman"/>
                <w:sz w:val="21"/>
              </w:rPr>
              <w:t>44431037.47</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9"/>
              <w:spacing w:before="67"/>
              <w:ind w:left="49"/>
              <w:rPr>
                <w:rFonts w:ascii="Times New Roman"/>
                <w:sz w:val="21"/>
              </w:rPr>
            </w:pPr>
            <w:r>
              <w:rPr>
                <w:rFonts w:ascii="Times New Roman"/>
                <w:w w:val="99"/>
                <w:sz w:val="21"/>
              </w:rPr>
              <w:t>2</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9"/>
              <w:ind w:left="398"/>
              <w:jc w:val="left"/>
              <w:rPr>
                <w:rFonts w:ascii="Times New Roman"/>
                <w:sz w:val="21"/>
              </w:rPr>
            </w:pPr>
            <w:r>
              <w:rPr>
                <w:rFonts w:ascii="Times New Roman"/>
                <w:sz w:val="21"/>
              </w:rPr>
              <w:t>5142605.16</w:t>
            </w:r>
          </w:p>
        </w:tc>
        <w:tc>
          <w:tcPr>
            <w:tcW w:w="1702" w:type="dxa"/>
            <w:gridSpan w:val="2"/>
            <w:tcBorders>
              <w:top w:val="single" w:color="000000" w:sz="4" w:space="0"/>
              <w:left w:val="single" w:color="000000" w:sz="4" w:space="0"/>
              <w:bottom w:val="single" w:color="000000" w:sz="4" w:space="0"/>
            </w:tcBorders>
          </w:tcPr>
          <w:p>
            <w:pPr>
              <w:pStyle w:val="19"/>
              <w:ind w:left="312"/>
              <w:jc w:val="left"/>
              <w:rPr>
                <w:rFonts w:ascii="Times New Roman"/>
                <w:sz w:val="21"/>
              </w:rPr>
            </w:pPr>
            <w:r>
              <w:rPr>
                <w:rFonts w:ascii="Times New Roman"/>
                <w:sz w:val="21"/>
              </w:rPr>
              <w:t>44432702.48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9"/>
              <w:spacing w:before="67"/>
              <w:ind w:left="4"/>
              <w:rPr>
                <w:rFonts w:ascii="Times New Roman"/>
                <w:sz w:val="21"/>
              </w:rPr>
            </w:pPr>
            <w:r>
              <w:rPr>
                <w:rFonts w:ascii="Times New Roman"/>
                <w:w w:val="99"/>
                <w:sz w:val="21"/>
              </w:rPr>
              <w:t>3</w:t>
            </w:r>
          </w:p>
        </w:tc>
        <w:tc>
          <w:tcPr>
            <w:tcW w:w="1607" w:type="dxa"/>
            <w:tcBorders>
              <w:top w:val="single" w:color="000000" w:sz="4" w:space="0"/>
              <w:left w:val="single" w:color="000000" w:sz="4" w:space="0"/>
              <w:bottom w:val="single" w:color="000000" w:sz="4" w:space="0"/>
              <w:right w:val="single" w:color="000000" w:sz="4" w:space="0"/>
            </w:tcBorders>
          </w:tcPr>
          <w:p>
            <w:pPr>
              <w:pStyle w:val="19"/>
              <w:spacing w:line="241" w:lineRule="exact"/>
              <w:ind w:right="287"/>
              <w:jc w:val="right"/>
              <w:rPr>
                <w:rFonts w:ascii="Times New Roman"/>
                <w:sz w:val="21"/>
              </w:rPr>
            </w:pPr>
            <w:r>
              <w:rPr>
                <w:rFonts w:ascii="Times New Roman"/>
                <w:w w:val="95"/>
                <w:sz w:val="21"/>
              </w:rPr>
              <w:t>5141395.16</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9"/>
              <w:spacing w:line="241" w:lineRule="exact"/>
              <w:ind w:left="335"/>
              <w:jc w:val="left"/>
              <w:rPr>
                <w:rFonts w:ascii="Times New Roman"/>
                <w:sz w:val="21"/>
              </w:rPr>
            </w:pPr>
            <w:r>
              <w:rPr>
                <w:rFonts w:ascii="Times New Roman"/>
                <w:sz w:val="21"/>
              </w:rPr>
              <w:t>44433023.47</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9"/>
              <w:spacing w:before="67"/>
              <w:ind w:left="49"/>
              <w:rPr>
                <w:rFonts w:ascii="Times New Roman"/>
                <w:sz w:val="21"/>
              </w:rPr>
            </w:pPr>
            <w:r>
              <w:rPr>
                <w:rFonts w:ascii="Times New Roman"/>
                <w:w w:val="99"/>
                <w:sz w:val="21"/>
              </w:rPr>
              <w:t>4</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9"/>
              <w:spacing w:line="241" w:lineRule="exact"/>
              <w:ind w:left="398"/>
              <w:jc w:val="left"/>
              <w:rPr>
                <w:rFonts w:ascii="Times New Roman"/>
                <w:sz w:val="21"/>
              </w:rPr>
            </w:pPr>
            <w:r>
              <w:rPr>
                <w:rFonts w:ascii="Times New Roman"/>
                <w:sz w:val="21"/>
              </w:rPr>
              <w:t>5141630.16</w:t>
            </w:r>
          </w:p>
        </w:tc>
        <w:tc>
          <w:tcPr>
            <w:tcW w:w="1702" w:type="dxa"/>
            <w:gridSpan w:val="2"/>
            <w:tcBorders>
              <w:top w:val="single" w:color="000000" w:sz="4" w:space="0"/>
              <w:left w:val="single" w:color="000000" w:sz="4" w:space="0"/>
              <w:bottom w:val="single" w:color="000000" w:sz="4" w:space="0"/>
            </w:tcBorders>
          </w:tcPr>
          <w:p>
            <w:pPr>
              <w:pStyle w:val="19"/>
              <w:spacing w:line="241" w:lineRule="exact"/>
              <w:ind w:left="312"/>
              <w:jc w:val="left"/>
              <w:rPr>
                <w:rFonts w:ascii="Times New Roman"/>
                <w:sz w:val="21"/>
              </w:rPr>
            </w:pPr>
            <w:r>
              <w:rPr>
                <w:rFonts w:ascii="Times New Roman"/>
                <w:sz w:val="21"/>
              </w:rPr>
              <w:t>44433483.47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9"/>
              <w:spacing w:before="66"/>
              <w:ind w:left="4"/>
              <w:rPr>
                <w:rFonts w:ascii="Times New Roman"/>
                <w:sz w:val="21"/>
              </w:rPr>
            </w:pPr>
            <w:r>
              <w:rPr>
                <w:rFonts w:ascii="Times New Roman"/>
                <w:w w:val="99"/>
                <w:sz w:val="21"/>
              </w:rPr>
              <w:t>5</w:t>
            </w:r>
          </w:p>
        </w:tc>
        <w:tc>
          <w:tcPr>
            <w:tcW w:w="1607" w:type="dxa"/>
            <w:tcBorders>
              <w:top w:val="single" w:color="000000" w:sz="4" w:space="0"/>
              <w:left w:val="single" w:color="000000" w:sz="4" w:space="0"/>
              <w:bottom w:val="single" w:color="000000" w:sz="4" w:space="0"/>
              <w:right w:val="single" w:color="000000" w:sz="4" w:space="0"/>
            </w:tcBorders>
          </w:tcPr>
          <w:p>
            <w:pPr>
              <w:pStyle w:val="19"/>
              <w:spacing w:line="241" w:lineRule="exact"/>
              <w:ind w:right="287"/>
              <w:jc w:val="right"/>
              <w:rPr>
                <w:rFonts w:ascii="Times New Roman"/>
                <w:sz w:val="21"/>
              </w:rPr>
            </w:pPr>
            <w:r>
              <w:rPr>
                <w:rFonts w:ascii="Times New Roman"/>
                <w:w w:val="95"/>
                <w:sz w:val="21"/>
              </w:rPr>
              <w:t>5141605.16</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9"/>
              <w:spacing w:line="241" w:lineRule="exact"/>
              <w:ind w:left="335"/>
              <w:jc w:val="left"/>
              <w:rPr>
                <w:rFonts w:ascii="Times New Roman"/>
                <w:sz w:val="21"/>
              </w:rPr>
            </w:pPr>
            <w:r>
              <w:rPr>
                <w:rFonts w:ascii="Times New Roman"/>
                <w:sz w:val="21"/>
              </w:rPr>
              <w:t>44433553.47</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9"/>
              <w:spacing w:before="66"/>
              <w:ind w:left="49"/>
              <w:rPr>
                <w:rFonts w:ascii="Times New Roman"/>
                <w:sz w:val="21"/>
              </w:rPr>
            </w:pPr>
            <w:r>
              <w:rPr>
                <w:rFonts w:ascii="Times New Roman"/>
                <w:w w:val="99"/>
                <w:sz w:val="21"/>
              </w:rPr>
              <w:t>6</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9"/>
              <w:spacing w:line="241" w:lineRule="exact"/>
              <w:ind w:left="400"/>
              <w:jc w:val="left"/>
              <w:rPr>
                <w:rFonts w:ascii="Times New Roman"/>
                <w:sz w:val="21"/>
              </w:rPr>
            </w:pPr>
            <w:r>
              <w:rPr>
                <w:rFonts w:ascii="Times New Roman"/>
                <w:sz w:val="21"/>
              </w:rPr>
              <w:t>5141135.16</w:t>
            </w:r>
          </w:p>
        </w:tc>
        <w:tc>
          <w:tcPr>
            <w:tcW w:w="1702" w:type="dxa"/>
            <w:gridSpan w:val="2"/>
            <w:tcBorders>
              <w:top w:val="single" w:color="000000" w:sz="4" w:space="0"/>
              <w:left w:val="single" w:color="000000" w:sz="4" w:space="0"/>
              <w:bottom w:val="single" w:color="000000" w:sz="4" w:space="0"/>
            </w:tcBorders>
          </w:tcPr>
          <w:p>
            <w:pPr>
              <w:pStyle w:val="19"/>
              <w:spacing w:line="241" w:lineRule="exact"/>
              <w:ind w:left="312"/>
              <w:jc w:val="left"/>
              <w:rPr>
                <w:rFonts w:ascii="Times New Roman"/>
                <w:sz w:val="21"/>
              </w:rPr>
            </w:pPr>
            <w:r>
              <w:rPr>
                <w:rFonts w:ascii="Times New Roman"/>
                <w:sz w:val="21"/>
              </w:rPr>
              <w:t>44433752.47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9"/>
              <w:spacing w:before="68"/>
              <w:ind w:left="4"/>
              <w:rPr>
                <w:rFonts w:ascii="Times New Roman"/>
                <w:sz w:val="21"/>
              </w:rPr>
            </w:pPr>
            <w:r>
              <w:rPr>
                <w:rFonts w:ascii="Times New Roman"/>
                <w:w w:val="99"/>
                <w:sz w:val="21"/>
              </w:rPr>
              <w:t>7</w:t>
            </w:r>
          </w:p>
        </w:tc>
        <w:tc>
          <w:tcPr>
            <w:tcW w:w="1607" w:type="dxa"/>
            <w:tcBorders>
              <w:top w:val="single" w:color="000000" w:sz="4" w:space="0"/>
              <w:left w:val="single" w:color="000000" w:sz="4" w:space="0"/>
              <w:bottom w:val="single" w:color="000000" w:sz="4" w:space="0"/>
              <w:right w:val="single" w:color="000000" w:sz="4" w:space="0"/>
            </w:tcBorders>
          </w:tcPr>
          <w:p>
            <w:pPr>
              <w:pStyle w:val="19"/>
              <w:spacing w:before="1"/>
              <w:ind w:right="287"/>
              <w:jc w:val="right"/>
              <w:rPr>
                <w:rFonts w:ascii="Times New Roman"/>
                <w:sz w:val="21"/>
              </w:rPr>
            </w:pPr>
            <w:r>
              <w:rPr>
                <w:rFonts w:ascii="Times New Roman"/>
                <w:w w:val="95"/>
                <w:sz w:val="21"/>
              </w:rPr>
              <w:t>5139989.27</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9"/>
              <w:spacing w:before="1"/>
              <w:ind w:left="338"/>
              <w:jc w:val="left"/>
              <w:rPr>
                <w:rFonts w:ascii="Times New Roman"/>
                <w:sz w:val="21"/>
              </w:rPr>
            </w:pPr>
            <w:r>
              <w:rPr>
                <w:rFonts w:ascii="Times New Roman"/>
                <w:sz w:val="21"/>
              </w:rPr>
              <w:t>44433397.11</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9"/>
              <w:spacing w:before="68"/>
              <w:ind w:left="49"/>
              <w:rPr>
                <w:rFonts w:ascii="Times New Roman"/>
                <w:sz w:val="21"/>
              </w:rPr>
            </w:pPr>
            <w:r>
              <w:rPr>
                <w:rFonts w:ascii="Times New Roman"/>
                <w:w w:val="99"/>
                <w:sz w:val="21"/>
              </w:rPr>
              <w:t>8</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9"/>
              <w:spacing w:before="1"/>
              <w:ind w:left="398"/>
              <w:jc w:val="left"/>
              <w:rPr>
                <w:rFonts w:ascii="Times New Roman"/>
                <w:sz w:val="21"/>
              </w:rPr>
            </w:pPr>
            <w:r>
              <w:rPr>
                <w:rFonts w:ascii="Times New Roman"/>
                <w:sz w:val="21"/>
              </w:rPr>
              <w:t>5139950.15</w:t>
            </w:r>
          </w:p>
        </w:tc>
        <w:tc>
          <w:tcPr>
            <w:tcW w:w="1702" w:type="dxa"/>
            <w:gridSpan w:val="2"/>
            <w:tcBorders>
              <w:top w:val="single" w:color="000000" w:sz="4" w:space="0"/>
              <w:left w:val="single" w:color="000000" w:sz="4" w:space="0"/>
              <w:bottom w:val="single" w:color="000000" w:sz="4" w:space="0"/>
            </w:tcBorders>
          </w:tcPr>
          <w:p>
            <w:pPr>
              <w:pStyle w:val="19"/>
              <w:spacing w:before="1"/>
              <w:ind w:left="312"/>
              <w:jc w:val="left"/>
              <w:rPr>
                <w:rFonts w:ascii="Times New Roman"/>
                <w:sz w:val="21"/>
              </w:rPr>
            </w:pPr>
            <w:r>
              <w:rPr>
                <w:rFonts w:ascii="Times New Roman"/>
                <w:sz w:val="21"/>
              </w:rPr>
              <w:t>44433407.50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9"/>
              <w:spacing w:before="67"/>
              <w:ind w:left="4"/>
              <w:rPr>
                <w:rFonts w:ascii="Times New Roman"/>
                <w:sz w:val="21"/>
              </w:rPr>
            </w:pPr>
            <w:r>
              <w:rPr>
                <w:rFonts w:ascii="Times New Roman"/>
                <w:w w:val="99"/>
                <w:sz w:val="21"/>
              </w:rPr>
              <w:t>9</w:t>
            </w:r>
          </w:p>
        </w:tc>
        <w:tc>
          <w:tcPr>
            <w:tcW w:w="1607" w:type="dxa"/>
            <w:tcBorders>
              <w:top w:val="single" w:color="000000" w:sz="4" w:space="0"/>
              <w:left w:val="single" w:color="000000" w:sz="4" w:space="0"/>
              <w:bottom w:val="single" w:color="000000" w:sz="4" w:space="0"/>
              <w:right w:val="single" w:color="000000" w:sz="4" w:space="0"/>
            </w:tcBorders>
          </w:tcPr>
          <w:p>
            <w:pPr>
              <w:pStyle w:val="19"/>
              <w:ind w:right="287"/>
              <w:jc w:val="right"/>
              <w:rPr>
                <w:rFonts w:ascii="Times New Roman"/>
                <w:sz w:val="21"/>
              </w:rPr>
            </w:pPr>
            <w:r>
              <w:rPr>
                <w:rFonts w:ascii="Times New Roman"/>
                <w:w w:val="95"/>
                <w:sz w:val="21"/>
              </w:rPr>
              <w:t>5139950.14</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9"/>
              <w:ind w:left="335"/>
              <w:jc w:val="left"/>
              <w:rPr>
                <w:rFonts w:ascii="Times New Roman"/>
                <w:sz w:val="21"/>
              </w:rPr>
            </w:pPr>
            <w:r>
              <w:rPr>
                <w:rFonts w:ascii="Times New Roman"/>
                <w:sz w:val="21"/>
              </w:rPr>
              <w:t>44432057.89</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9"/>
              <w:spacing w:before="67"/>
              <w:ind w:left="308" w:right="255"/>
              <w:rPr>
                <w:rFonts w:ascii="Times New Roman"/>
                <w:sz w:val="21"/>
              </w:rPr>
            </w:pPr>
            <w:r>
              <w:rPr>
                <w:rFonts w:ascii="Times New Roman"/>
                <w:sz w:val="21"/>
              </w:rPr>
              <w:t>10</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9"/>
              <w:ind w:left="398"/>
              <w:jc w:val="left"/>
              <w:rPr>
                <w:rFonts w:ascii="Times New Roman"/>
                <w:sz w:val="21"/>
              </w:rPr>
            </w:pPr>
            <w:r>
              <w:rPr>
                <w:rFonts w:ascii="Times New Roman"/>
                <w:sz w:val="21"/>
              </w:rPr>
              <w:t>5141231.42</w:t>
            </w:r>
          </w:p>
        </w:tc>
        <w:tc>
          <w:tcPr>
            <w:tcW w:w="1702" w:type="dxa"/>
            <w:gridSpan w:val="2"/>
            <w:tcBorders>
              <w:top w:val="single" w:color="000000" w:sz="4" w:space="0"/>
              <w:left w:val="single" w:color="000000" w:sz="4" w:space="0"/>
              <w:bottom w:val="single" w:color="000000" w:sz="4" w:space="0"/>
            </w:tcBorders>
          </w:tcPr>
          <w:p>
            <w:pPr>
              <w:pStyle w:val="19"/>
              <w:ind w:left="312"/>
              <w:jc w:val="left"/>
              <w:rPr>
                <w:rFonts w:ascii="Times New Roman"/>
                <w:sz w:val="21"/>
              </w:rPr>
            </w:pPr>
            <w:r>
              <w:rPr>
                <w:rFonts w:ascii="Times New Roman"/>
                <w:sz w:val="21"/>
              </w:rPr>
              <w:t>44430869.58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9"/>
              <w:spacing w:before="67"/>
              <w:ind w:left="142" w:right="133"/>
              <w:rPr>
                <w:rFonts w:ascii="Times New Roman"/>
                <w:sz w:val="21"/>
              </w:rPr>
            </w:pPr>
            <w:r>
              <w:rPr>
                <w:rFonts w:ascii="Times New Roman"/>
                <w:sz w:val="21"/>
              </w:rPr>
              <w:t>11</w:t>
            </w:r>
          </w:p>
        </w:tc>
        <w:tc>
          <w:tcPr>
            <w:tcW w:w="1607" w:type="dxa"/>
            <w:tcBorders>
              <w:top w:val="single" w:color="000000" w:sz="4" w:space="0"/>
              <w:left w:val="single" w:color="000000" w:sz="4" w:space="0"/>
              <w:bottom w:val="single" w:color="000000" w:sz="4" w:space="0"/>
              <w:right w:val="single" w:color="000000" w:sz="4" w:space="0"/>
            </w:tcBorders>
          </w:tcPr>
          <w:p>
            <w:pPr>
              <w:pStyle w:val="19"/>
              <w:spacing w:line="241" w:lineRule="exact"/>
              <w:ind w:right="287"/>
              <w:jc w:val="right"/>
              <w:rPr>
                <w:rFonts w:ascii="Times New Roman"/>
                <w:sz w:val="21"/>
              </w:rPr>
            </w:pPr>
            <w:r>
              <w:rPr>
                <w:rFonts w:ascii="Times New Roman"/>
                <w:w w:val="95"/>
                <w:sz w:val="21"/>
              </w:rPr>
              <w:t>5141313.48</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9"/>
              <w:spacing w:line="241" w:lineRule="exact"/>
              <w:ind w:left="335"/>
              <w:jc w:val="left"/>
              <w:rPr>
                <w:rFonts w:ascii="Times New Roman"/>
                <w:sz w:val="21"/>
              </w:rPr>
            </w:pPr>
            <w:r>
              <w:rPr>
                <w:rFonts w:ascii="Times New Roman"/>
                <w:sz w:val="21"/>
              </w:rPr>
              <w:t>44430982.19</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9"/>
              <w:spacing w:before="67"/>
              <w:ind w:left="308" w:right="255"/>
              <w:rPr>
                <w:rFonts w:ascii="Times New Roman"/>
                <w:sz w:val="21"/>
              </w:rPr>
            </w:pPr>
            <w:r>
              <w:rPr>
                <w:rFonts w:ascii="Times New Roman"/>
                <w:sz w:val="21"/>
              </w:rPr>
              <w:t>12</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9"/>
              <w:spacing w:line="241" w:lineRule="exact"/>
              <w:ind w:left="398"/>
              <w:jc w:val="left"/>
              <w:rPr>
                <w:rFonts w:ascii="Times New Roman"/>
                <w:sz w:val="21"/>
              </w:rPr>
            </w:pPr>
            <w:r>
              <w:rPr>
                <w:rFonts w:ascii="Times New Roman"/>
                <w:sz w:val="21"/>
              </w:rPr>
              <w:t>5141895.15</w:t>
            </w:r>
          </w:p>
        </w:tc>
        <w:tc>
          <w:tcPr>
            <w:tcW w:w="1702" w:type="dxa"/>
            <w:gridSpan w:val="2"/>
            <w:tcBorders>
              <w:top w:val="single" w:color="000000" w:sz="4" w:space="0"/>
              <w:left w:val="single" w:color="000000" w:sz="4" w:space="0"/>
              <w:bottom w:val="single" w:color="000000" w:sz="4" w:space="0"/>
            </w:tcBorders>
          </w:tcPr>
          <w:p>
            <w:pPr>
              <w:pStyle w:val="19"/>
              <w:spacing w:line="241" w:lineRule="exact"/>
              <w:ind w:left="312"/>
              <w:jc w:val="left"/>
              <w:rPr>
                <w:rFonts w:ascii="Times New Roman"/>
                <w:sz w:val="21"/>
              </w:rPr>
            </w:pPr>
            <w:r>
              <w:rPr>
                <w:rFonts w:ascii="Times New Roman"/>
                <w:sz w:val="21"/>
              </w:rPr>
              <w:t>44430167.47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9"/>
              <w:spacing w:before="66"/>
              <w:ind w:left="137" w:right="133"/>
              <w:rPr>
                <w:rFonts w:ascii="Times New Roman"/>
                <w:sz w:val="21"/>
              </w:rPr>
            </w:pPr>
            <w:r>
              <w:rPr>
                <w:rFonts w:ascii="Times New Roman"/>
                <w:sz w:val="21"/>
              </w:rPr>
              <w:t>13</w:t>
            </w:r>
          </w:p>
        </w:tc>
        <w:tc>
          <w:tcPr>
            <w:tcW w:w="1607" w:type="dxa"/>
            <w:tcBorders>
              <w:top w:val="single" w:color="000000" w:sz="4" w:space="0"/>
              <w:left w:val="single" w:color="000000" w:sz="4" w:space="0"/>
              <w:bottom w:val="single" w:color="000000" w:sz="4" w:space="0"/>
              <w:right w:val="single" w:color="000000" w:sz="4" w:space="0"/>
            </w:tcBorders>
          </w:tcPr>
          <w:p>
            <w:pPr>
              <w:pStyle w:val="19"/>
              <w:spacing w:before="66"/>
              <w:ind w:left="178"/>
              <w:jc w:val="left"/>
              <w:rPr>
                <w:rFonts w:ascii="Times New Roman"/>
                <w:sz w:val="21"/>
              </w:rPr>
            </w:pPr>
            <w:r>
              <w:rPr>
                <w:rFonts w:ascii="Times New Roman"/>
                <w:sz w:val="21"/>
              </w:rPr>
              <w:t>5142083.99</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9"/>
              <w:spacing w:before="66"/>
              <w:ind w:left="335"/>
              <w:jc w:val="left"/>
              <w:rPr>
                <w:rFonts w:ascii="Times New Roman"/>
                <w:sz w:val="21"/>
              </w:rPr>
            </w:pPr>
            <w:r>
              <w:rPr>
                <w:rFonts w:ascii="Times New Roman"/>
                <w:sz w:val="21"/>
              </w:rPr>
              <w:t>44430545.14</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9"/>
              <w:spacing w:before="66"/>
              <w:ind w:left="308" w:right="255"/>
              <w:rPr>
                <w:rFonts w:ascii="Times New Roman"/>
                <w:sz w:val="21"/>
              </w:rPr>
            </w:pPr>
            <w:r>
              <w:rPr>
                <w:rFonts w:ascii="Times New Roman"/>
                <w:sz w:val="21"/>
              </w:rPr>
              <w:t>14</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9"/>
              <w:spacing w:before="66"/>
              <w:ind w:left="398"/>
              <w:jc w:val="left"/>
              <w:rPr>
                <w:rFonts w:ascii="Times New Roman"/>
                <w:sz w:val="21"/>
              </w:rPr>
            </w:pPr>
            <w:r>
              <w:rPr>
                <w:rFonts w:ascii="Times New Roman"/>
                <w:sz w:val="21"/>
              </w:rPr>
              <w:t>5142330.15</w:t>
            </w:r>
          </w:p>
        </w:tc>
        <w:tc>
          <w:tcPr>
            <w:tcW w:w="1702" w:type="dxa"/>
            <w:gridSpan w:val="2"/>
            <w:tcBorders>
              <w:top w:val="single" w:color="000000" w:sz="4" w:space="0"/>
              <w:left w:val="single" w:color="000000" w:sz="4" w:space="0"/>
              <w:bottom w:val="single" w:color="000000" w:sz="4" w:space="0"/>
            </w:tcBorders>
          </w:tcPr>
          <w:p>
            <w:pPr>
              <w:pStyle w:val="19"/>
              <w:spacing w:before="66"/>
              <w:ind w:left="312"/>
              <w:jc w:val="left"/>
              <w:rPr>
                <w:rFonts w:ascii="Times New Roman"/>
                <w:sz w:val="21"/>
              </w:rPr>
            </w:pPr>
            <w:r>
              <w:rPr>
                <w:rFonts w:ascii="Times New Roman"/>
                <w:sz w:val="21"/>
              </w:rPr>
              <w:t>44431037.47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8407" w:type="dxa"/>
            <w:gridSpan w:val="10"/>
            <w:tcBorders>
              <w:top w:val="single" w:color="000000" w:sz="4" w:space="0"/>
            </w:tcBorders>
          </w:tcPr>
          <w:p>
            <w:pPr>
              <w:pStyle w:val="19"/>
              <w:spacing w:before="49"/>
              <w:ind w:left="1162" w:right="1135"/>
              <w:rPr>
                <w:rFonts w:ascii="Times New Roman" w:eastAsia="Times New Roman"/>
                <w:sz w:val="21"/>
              </w:rPr>
            </w:pPr>
            <w:r>
              <w:rPr>
                <w:sz w:val="21"/>
              </w:rPr>
              <w:t>开采标高：</w:t>
            </w:r>
            <w:r>
              <w:rPr>
                <w:rFonts w:ascii="Times New Roman" w:eastAsia="Times New Roman"/>
                <w:sz w:val="21"/>
              </w:rPr>
              <w:t xml:space="preserve">350m </w:t>
            </w:r>
            <w:r>
              <w:rPr>
                <w:sz w:val="21"/>
              </w:rPr>
              <w:t>至</w:t>
            </w:r>
            <w:r>
              <w:rPr>
                <w:rFonts w:ascii="Times New Roman" w:eastAsia="Times New Roman"/>
                <w:sz w:val="21"/>
              </w:rPr>
              <w:t>-300m</w:t>
            </w:r>
          </w:p>
        </w:tc>
      </w:tr>
    </w:tbl>
    <w:p>
      <w:pPr>
        <w:pStyle w:val="9"/>
        <w:spacing w:before="2"/>
        <w:ind w:left="698"/>
      </w:pPr>
      <w:r>
        <w:t>本项目井田境界见附图。</w:t>
      </w:r>
    </w:p>
    <w:p>
      <w:pPr>
        <w:pStyle w:val="18"/>
        <w:numPr>
          <w:ilvl w:val="4"/>
          <w:numId w:val="32"/>
        </w:numPr>
        <w:tabs>
          <w:tab w:val="left" w:pos="1300"/>
        </w:tabs>
        <w:spacing w:before="158" w:after="0" w:line="240" w:lineRule="auto"/>
        <w:ind w:left="1299" w:right="0" w:hanging="602"/>
        <w:jc w:val="left"/>
        <w:rPr>
          <w:sz w:val="24"/>
        </w:rPr>
      </w:pPr>
      <w:r>
        <w:rPr>
          <w:sz w:val="24"/>
        </w:rPr>
        <w:t>储量</w:t>
      </w:r>
    </w:p>
    <w:p>
      <w:pPr>
        <w:pStyle w:val="9"/>
        <w:spacing w:before="160" w:line="364" w:lineRule="auto"/>
        <w:ind w:left="218" w:right="131" w:firstLine="480"/>
        <w:jc w:val="both"/>
      </w:pPr>
      <w:r>
        <w:rPr>
          <w:spacing w:val="-5"/>
        </w:rPr>
        <w:t xml:space="preserve">盟度公司整合后保有资源储量 </w:t>
      </w:r>
      <w:r>
        <w:rPr>
          <w:rFonts w:ascii="Times New Roman" w:eastAsia="Times New Roman"/>
        </w:rPr>
        <w:t>1450.78</w:t>
      </w:r>
      <w:r>
        <w:rPr>
          <w:rFonts w:ascii="Times New Roman" w:eastAsia="Times New Roman"/>
          <w:spacing w:val="4"/>
        </w:rPr>
        <w:t xml:space="preserve"> </w:t>
      </w:r>
      <w:r>
        <w:rPr>
          <w:spacing w:val="-28"/>
        </w:rPr>
        <w:t xml:space="preserve">万 </w:t>
      </w:r>
      <w:r>
        <w:rPr>
          <w:rFonts w:ascii="Times New Roman" w:eastAsia="Times New Roman"/>
          <w:spacing w:val="-21"/>
        </w:rPr>
        <w:t>t</w:t>
      </w:r>
      <w:r>
        <w:rPr>
          <w:spacing w:val="-9"/>
        </w:rPr>
        <w:t>，其中，</w:t>
      </w:r>
      <w:r>
        <w:rPr>
          <w:spacing w:val="-12"/>
        </w:rPr>
        <w:t>（</w:t>
      </w:r>
      <w:r>
        <w:rPr>
          <w:rFonts w:ascii="Times New Roman" w:eastAsia="Times New Roman"/>
          <w:spacing w:val="-12"/>
        </w:rPr>
        <w:t>111b</w:t>
      </w:r>
      <w:r>
        <w:rPr>
          <w:spacing w:val="-12"/>
        </w:rPr>
        <w:t>）</w:t>
      </w:r>
      <w:r>
        <w:rPr>
          <w:rFonts w:ascii="Times New Roman" w:eastAsia="Times New Roman"/>
          <w:spacing w:val="-12"/>
        </w:rPr>
        <w:t>738.37</w:t>
      </w:r>
      <w:r>
        <w:rPr>
          <w:rFonts w:ascii="Times New Roman" w:eastAsia="Times New Roman"/>
          <w:spacing w:val="4"/>
        </w:rPr>
        <w:t xml:space="preserve"> </w:t>
      </w:r>
      <w:r>
        <w:rPr>
          <w:spacing w:val="-29"/>
        </w:rPr>
        <w:t xml:space="preserve">万 </w:t>
      </w:r>
      <w:r>
        <w:rPr>
          <w:rFonts w:ascii="Times New Roman" w:eastAsia="Times New Roman"/>
          <w:spacing w:val="-4"/>
        </w:rPr>
        <w:t>t</w:t>
      </w:r>
      <w:r>
        <w:rPr>
          <w:spacing w:val="-4"/>
        </w:rPr>
        <w:t>，</w:t>
      </w:r>
      <w:r>
        <w:rPr>
          <w:rFonts w:ascii="Times New Roman" w:eastAsia="Times New Roman"/>
          <w:spacing w:val="-4"/>
        </w:rPr>
        <w:t xml:space="preserve">(331)189.56 </w:t>
      </w:r>
      <w:r>
        <w:rPr>
          <w:spacing w:val="-31"/>
        </w:rPr>
        <w:t xml:space="preserve">万 </w:t>
      </w:r>
      <w:r>
        <w:rPr>
          <w:rFonts w:ascii="Times New Roman" w:eastAsia="Times New Roman"/>
          <w:spacing w:val="-4"/>
        </w:rPr>
        <w:t>t</w:t>
      </w:r>
      <w:r>
        <w:rPr>
          <w:spacing w:val="-4"/>
        </w:rPr>
        <w:t>，（</w:t>
      </w:r>
      <w:r>
        <w:rPr>
          <w:rFonts w:ascii="Times New Roman" w:eastAsia="Times New Roman"/>
          <w:spacing w:val="-4"/>
        </w:rPr>
        <w:t>122b</w:t>
      </w:r>
      <w:r>
        <w:rPr>
          <w:spacing w:val="-4"/>
        </w:rPr>
        <w:t>）</w:t>
      </w:r>
      <w:r>
        <w:rPr>
          <w:rFonts w:ascii="Times New Roman" w:eastAsia="Times New Roman"/>
          <w:spacing w:val="-4"/>
        </w:rPr>
        <w:t>51.29</w:t>
      </w:r>
      <w:r>
        <w:rPr>
          <w:rFonts w:ascii="Times New Roman" w:eastAsia="Times New Roman"/>
          <w:spacing w:val="-1"/>
        </w:rPr>
        <w:t xml:space="preserve"> </w:t>
      </w:r>
      <w:r>
        <w:rPr>
          <w:spacing w:val="-30"/>
        </w:rPr>
        <w:t xml:space="preserve">万 </w:t>
      </w:r>
      <w:r>
        <w:rPr>
          <w:rFonts w:ascii="Times New Roman" w:eastAsia="Times New Roman"/>
        </w:rPr>
        <w:t>t</w:t>
      </w:r>
      <w:r>
        <w:t>，</w:t>
      </w:r>
      <w:r>
        <w:rPr>
          <w:rFonts w:ascii="Times New Roman" w:eastAsia="Times New Roman"/>
        </w:rPr>
        <w:t>(332)155.86</w:t>
      </w:r>
      <w:r>
        <w:rPr>
          <w:rFonts w:ascii="Times New Roman" w:eastAsia="Times New Roman"/>
          <w:spacing w:val="1"/>
        </w:rPr>
        <w:t xml:space="preserve"> </w:t>
      </w:r>
      <w:r>
        <w:rPr>
          <w:spacing w:val="-30"/>
        </w:rPr>
        <w:t xml:space="preserve">万 </w:t>
      </w:r>
      <w:r>
        <w:rPr>
          <w:rFonts w:ascii="Times New Roman" w:eastAsia="Times New Roman"/>
          <w:spacing w:val="-3"/>
        </w:rPr>
        <w:t>t</w:t>
      </w:r>
      <w:r>
        <w:rPr>
          <w:spacing w:val="-3"/>
        </w:rPr>
        <w:t>，（</w:t>
      </w:r>
      <w:r>
        <w:rPr>
          <w:rFonts w:ascii="Times New Roman" w:eastAsia="Times New Roman"/>
          <w:spacing w:val="-3"/>
        </w:rPr>
        <w:t>333</w:t>
      </w:r>
      <w:r>
        <w:rPr>
          <w:spacing w:val="-3"/>
        </w:rPr>
        <w:t>）</w:t>
      </w:r>
      <w:r>
        <w:rPr>
          <w:rFonts w:ascii="Times New Roman" w:eastAsia="Times New Roman"/>
          <w:spacing w:val="-3"/>
        </w:rPr>
        <w:t>315.70</w:t>
      </w:r>
      <w:r>
        <w:rPr>
          <w:rFonts w:ascii="Times New Roman" w:eastAsia="Times New Roman"/>
          <w:spacing w:val="-1"/>
        </w:rPr>
        <w:t xml:space="preserve"> </w:t>
      </w:r>
      <w:r>
        <w:rPr>
          <w:spacing w:val="-31"/>
        </w:rPr>
        <w:t xml:space="preserve">万 </w:t>
      </w:r>
      <w:r>
        <w:rPr>
          <w:rFonts w:ascii="Times New Roman" w:eastAsia="Times New Roman"/>
        </w:rPr>
        <w:t>t</w:t>
      </w:r>
      <w:r>
        <w:rPr>
          <w:spacing w:val="-5"/>
        </w:rPr>
        <w:t>。盟度公司</w:t>
      </w:r>
      <w:r>
        <w:t>（整合矿区范围</w:t>
      </w:r>
      <w:r>
        <w:rPr>
          <w:spacing w:val="-15"/>
        </w:rPr>
        <w:t>）</w:t>
      </w:r>
      <w:r>
        <w:t>内</w:t>
      </w:r>
      <w:r>
        <w:rPr>
          <w:rFonts w:ascii="Times New Roman" w:eastAsia="Times New Roman"/>
        </w:rPr>
        <w:t>-249m</w:t>
      </w:r>
      <w:r>
        <w:rPr>
          <w:rFonts w:ascii="Times New Roman" w:eastAsia="Times New Roman"/>
          <w:spacing w:val="4"/>
        </w:rPr>
        <w:t xml:space="preserve"> </w:t>
      </w:r>
      <w:r>
        <w:rPr>
          <w:spacing w:val="-5"/>
        </w:rPr>
        <w:t xml:space="preserve">标高以下分割出去资源储量 </w:t>
      </w:r>
      <w:r>
        <w:rPr>
          <w:rFonts w:ascii="Times New Roman" w:eastAsia="Times New Roman"/>
        </w:rPr>
        <w:t>44.98</w:t>
      </w:r>
      <w:r>
        <w:rPr>
          <w:rFonts w:ascii="Times New Roman" w:eastAsia="Times New Roman"/>
          <w:spacing w:val="2"/>
        </w:rPr>
        <w:t xml:space="preserve"> </w:t>
      </w:r>
      <w:r>
        <w:rPr>
          <w:spacing w:val="-29"/>
        </w:rPr>
        <w:t xml:space="preserve">万 </w:t>
      </w:r>
      <w:r>
        <w:rPr>
          <w:rFonts w:ascii="Times New Roman" w:eastAsia="Times New Roman"/>
          <w:spacing w:val="-6"/>
        </w:rPr>
        <w:t>t</w:t>
      </w:r>
      <w:r>
        <w:rPr>
          <w:spacing w:val="-3"/>
        </w:rPr>
        <w:t>，其中：</w:t>
      </w:r>
      <w:r>
        <w:rPr>
          <w:spacing w:val="-4"/>
        </w:rPr>
        <w:t>（</w:t>
      </w:r>
      <w:r>
        <w:rPr>
          <w:rFonts w:ascii="Times New Roman" w:eastAsia="Times New Roman"/>
          <w:spacing w:val="-4"/>
        </w:rPr>
        <w:t>122b</w:t>
      </w:r>
      <w:r>
        <w:rPr>
          <w:spacing w:val="-4"/>
        </w:rPr>
        <w:t>）</w:t>
      </w:r>
      <w:r>
        <w:rPr>
          <w:rFonts w:ascii="Times New Roman" w:eastAsia="Times New Roman"/>
          <w:spacing w:val="-4"/>
        </w:rPr>
        <w:t>14.70</w:t>
      </w:r>
      <w:r>
        <w:rPr>
          <w:rFonts w:ascii="Times New Roman" w:eastAsia="Times New Roman"/>
          <w:spacing w:val="2"/>
        </w:rPr>
        <w:t xml:space="preserve"> </w:t>
      </w:r>
      <w:r>
        <w:rPr>
          <w:spacing w:val="-29"/>
        </w:rPr>
        <w:t xml:space="preserve">万 </w:t>
      </w:r>
      <w:r>
        <w:rPr>
          <w:rFonts w:ascii="Times New Roman" w:eastAsia="Times New Roman"/>
          <w:spacing w:val="-6"/>
        </w:rPr>
        <w:t>t</w:t>
      </w:r>
      <w:r>
        <w:rPr>
          <w:spacing w:val="-6"/>
        </w:rPr>
        <w:t>，（</w:t>
      </w:r>
      <w:r>
        <w:rPr>
          <w:rFonts w:ascii="Times New Roman" w:eastAsia="Times New Roman"/>
          <w:spacing w:val="-6"/>
        </w:rPr>
        <w:t>332</w:t>
      </w:r>
      <w:r>
        <w:rPr>
          <w:spacing w:val="-6"/>
        </w:rPr>
        <w:t>）</w:t>
      </w:r>
    </w:p>
    <w:p>
      <w:pPr>
        <w:pStyle w:val="9"/>
        <w:spacing w:line="307" w:lineRule="exact"/>
        <w:ind w:left="218"/>
        <w:jc w:val="both"/>
      </w:pPr>
      <w:r>
        <w:rPr>
          <w:rFonts w:ascii="Times New Roman" w:eastAsia="Times New Roman"/>
        </w:rPr>
        <w:t>12.60</w:t>
      </w:r>
      <w:r>
        <w:rPr>
          <w:rFonts w:ascii="Times New Roman" w:eastAsia="Times New Roman"/>
          <w:spacing w:val="2"/>
        </w:rPr>
        <w:t xml:space="preserve"> </w:t>
      </w:r>
      <w:r>
        <w:rPr>
          <w:spacing w:val="-30"/>
        </w:rPr>
        <w:t xml:space="preserve">万 </w:t>
      </w:r>
      <w:r>
        <w:rPr>
          <w:rFonts w:ascii="Times New Roman" w:eastAsia="Times New Roman"/>
          <w:spacing w:val="-9"/>
        </w:rPr>
        <w:t>t</w:t>
      </w:r>
      <w:r>
        <w:rPr>
          <w:spacing w:val="-9"/>
        </w:rPr>
        <w:t>，（</w:t>
      </w:r>
      <w:r>
        <w:rPr>
          <w:rFonts w:ascii="Times New Roman" w:eastAsia="Times New Roman"/>
          <w:spacing w:val="-9"/>
        </w:rPr>
        <w:t>333</w:t>
      </w:r>
      <w:r>
        <w:rPr>
          <w:spacing w:val="-9"/>
        </w:rPr>
        <w:t>）</w:t>
      </w:r>
      <w:r>
        <w:rPr>
          <w:rFonts w:ascii="Times New Roman" w:eastAsia="Times New Roman"/>
          <w:spacing w:val="-9"/>
        </w:rPr>
        <w:t>17.68</w:t>
      </w:r>
      <w:r>
        <w:rPr>
          <w:rFonts w:ascii="Times New Roman" w:eastAsia="Times New Roman"/>
          <w:spacing w:val="5"/>
        </w:rPr>
        <w:t xml:space="preserve"> </w:t>
      </w:r>
      <w:r>
        <w:rPr>
          <w:spacing w:val="-29"/>
        </w:rPr>
        <w:t xml:space="preserve">万 </w:t>
      </w:r>
      <w:r>
        <w:rPr>
          <w:rFonts w:ascii="Times New Roman" w:eastAsia="Times New Roman"/>
        </w:rPr>
        <w:t>t</w:t>
      </w:r>
      <w:r>
        <w:rPr>
          <w:spacing w:val="-10"/>
        </w:rPr>
        <w:t xml:space="preserve">。分割后盟度公司保有资源储量 </w:t>
      </w:r>
      <w:r>
        <w:rPr>
          <w:rFonts w:ascii="Times New Roman" w:eastAsia="Times New Roman"/>
        </w:rPr>
        <w:t>1405.8</w:t>
      </w:r>
      <w:r>
        <w:rPr>
          <w:rFonts w:ascii="Times New Roman" w:eastAsia="Times New Roman"/>
          <w:spacing w:val="2"/>
        </w:rPr>
        <w:t xml:space="preserve"> </w:t>
      </w:r>
      <w:r>
        <w:rPr>
          <w:spacing w:val="-29"/>
        </w:rPr>
        <w:t xml:space="preserve">万 </w:t>
      </w:r>
      <w:r>
        <w:rPr>
          <w:rFonts w:ascii="Times New Roman" w:eastAsia="Times New Roman"/>
          <w:spacing w:val="-17"/>
        </w:rPr>
        <w:t>t</w:t>
      </w:r>
      <w:r>
        <w:rPr>
          <w:spacing w:val="-8"/>
        </w:rPr>
        <w:t>，其中，</w:t>
      </w:r>
      <w:r>
        <w:rPr>
          <w:spacing w:val="-13"/>
        </w:rPr>
        <w:t>（</w:t>
      </w:r>
      <w:r>
        <w:rPr>
          <w:rFonts w:ascii="Times New Roman" w:eastAsia="Times New Roman"/>
          <w:spacing w:val="-13"/>
        </w:rPr>
        <w:t>111b</w:t>
      </w:r>
      <w:r>
        <w:rPr>
          <w:spacing w:val="-13"/>
        </w:rPr>
        <w:t>）</w:t>
      </w:r>
    </w:p>
    <w:p>
      <w:pPr>
        <w:spacing w:after="0" w:line="307" w:lineRule="exact"/>
        <w:jc w:val="both"/>
        <w:sectPr>
          <w:pgSz w:w="11910" w:h="16840"/>
          <w:pgMar w:top="1400" w:right="1160" w:bottom="1180" w:left="1200" w:header="0" w:footer="913" w:gutter="0"/>
        </w:sectPr>
      </w:pPr>
    </w:p>
    <w:p>
      <w:pPr>
        <w:pStyle w:val="9"/>
        <w:spacing w:before="61"/>
        <w:ind w:left="218"/>
        <w:rPr>
          <w:rFonts w:ascii="Times New Roman" w:eastAsia="Times New Roman"/>
        </w:rPr>
      </w:pPr>
      <w:r>
        <w:rPr>
          <w:rFonts w:ascii="Times New Roman" w:eastAsia="Times New Roman"/>
        </w:rPr>
        <w:t xml:space="preserve">738.37 </w:t>
      </w:r>
      <w:r>
        <w:t xml:space="preserve">万 </w:t>
      </w:r>
      <w:r>
        <w:rPr>
          <w:rFonts w:ascii="Times New Roman" w:eastAsia="Times New Roman"/>
        </w:rPr>
        <w:t>t</w:t>
      </w:r>
      <w:r>
        <w:t>，</w:t>
      </w:r>
      <w:r>
        <w:rPr>
          <w:rFonts w:ascii="Times New Roman" w:eastAsia="Times New Roman"/>
        </w:rPr>
        <w:t xml:space="preserve">(331) 189.56 </w:t>
      </w:r>
      <w:r>
        <w:t xml:space="preserve">万 </w:t>
      </w:r>
      <w:r>
        <w:rPr>
          <w:rFonts w:ascii="Times New Roman" w:eastAsia="Times New Roman"/>
        </w:rPr>
        <w:t>t</w:t>
      </w:r>
      <w:r>
        <w:t>，（</w:t>
      </w:r>
      <w:r>
        <w:rPr>
          <w:rFonts w:ascii="Times New Roman" w:eastAsia="Times New Roman"/>
        </w:rPr>
        <w:t>122b</w:t>
      </w:r>
      <w:r>
        <w:t>）</w:t>
      </w:r>
      <w:r>
        <w:rPr>
          <w:rFonts w:ascii="Times New Roman" w:eastAsia="Times New Roman"/>
        </w:rPr>
        <w:t xml:space="preserve">36.59 </w:t>
      </w:r>
      <w:r>
        <w:t xml:space="preserve">万 </w:t>
      </w:r>
      <w:r>
        <w:rPr>
          <w:rFonts w:ascii="Times New Roman" w:eastAsia="Times New Roman"/>
        </w:rPr>
        <w:t>t</w:t>
      </w:r>
      <w:r>
        <w:t>，</w:t>
      </w:r>
      <w:r>
        <w:rPr>
          <w:rFonts w:ascii="Times New Roman" w:eastAsia="Times New Roman"/>
        </w:rPr>
        <w:t xml:space="preserve">(332) 143.26 </w:t>
      </w:r>
      <w:r>
        <w:t xml:space="preserve">万 </w:t>
      </w:r>
      <w:r>
        <w:rPr>
          <w:rFonts w:ascii="Times New Roman" w:eastAsia="Times New Roman"/>
        </w:rPr>
        <w:t>t</w:t>
      </w:r>
      <w:r>
        <w:t>，（</w:t>
      </w:r>
      <w:r>
        <w:rPr>
          <w:rFonts w:ascii="Times New Roman" w:eastAsia="Times New Roman"/>
        </w:rPr>
        <w:t>333</w:t>
      </w:r>
      <w:r>
        <w:t>）</w:t>
      </w:r>
      <w:r>
        <w:rPr>
          <w:rFonts w:ascii="Times New Roman" w:eastAsia="Times New Roman"/>
        </w:rPr>
        <w:t>298.02</w:t>
      </w:r>
    </w:p>
    <w:p>
      <w:pPr>
        <w:pStyle w:val="9"/>
        <w:spacing w:before="158"/>
        <w:ind w:left="218"/>
      </w:pPr>
      <w:r>
        <w:t xml:space="preserve">万 </w:t>
      </w:r>
      <w:r>
        <w:rPr>
          <w:rFonts w:ascii="Times New Roman" w:eastAsia="Times New Roman"/>
        </w:rPr>
        <w:t>t</w:t>
      </w:r>
      <w:r>
        <w:t>。</w:t>
      </w:r>
    </w:p>
    <w:p>
      <w:pPr>
        <w:pStyle w:val="9"/>
        <w:spacing w:before="161"/>
        <w:ind w:left="698"/>
      </w:pPr>
      <w:r>
        <w:t xml:space="preserve">矿井设计可采储量为 </w:t>
      </w:r>
      <w:r>
        <w:rPr>
          <w:rFonts w:ascii="Times New Roman" w:eastAsia="Times New Roman"/>
        </w:rPr>
        <w:t xml:space="preserve">645.38 </w:t>
      </w:r>
      <w:r>
        <w:t xml:space="preserve">万 </w:t>
      </w:r>
      <w:r>
        <w:rPr>
          <w:rFonts w:ascii="Times New Roman" w:eastAsia="Times New Roman"/>
        </w:rPr>
        <w:t>t</w:t>
      </w:r>
      <w:r>
        <w:t xml:space="preserve">，矿井服务年限为 </w:t>
      </w:r>
      <w:r>
        <w:rPr>
          <w:rFonts w:ascii="Times New Roman" w:eastAsia="Times New Roman"/>
        </w:rPr>
        <w:t>15.4a</w:t>
      </w:r>
      <w:r>
        <w:t>。</w:t>
      </w:r>
    </w:p>
    <w:p>
      <w:pPr>
        <w:pStyle w:val="8"/>
        <w:numPr>
          <w:ilvl w:val="3"/>
          <w:numId w:val="32"/>
        </w:numPr>
        <w:tabs>
          <w:tab w:val="left" w:pos="939"/>
        </w:tabs>
        <w:spacing w:before="160" w:after="0" w:line="240" w:lineRule="auto"/>
        <w:ind w:left="938" w:right="0" w:hanging="721"/>
        <w:jc w:val="left"/>
      </w:pPr>
      <w:bookmarkStart w:id="169" w:name="2.3.2.2矿区地质特征"/>
      <w:bookmarkEnd w:id="169"/>
      <w:bookmarkStart w:id="170" w:name="2.3.2.2矿区地质特征"/>
      <w:bookmarkEnd w:id="170"/>
      <w:r>
        <w:t>矿区地质特征</w:t>
      </w:r>
    </w:p>
    <w:p>
      <w:pPr>
        <w:pStyle w:val="9"/>
        <w:spacing w:before="158"/>
        <w:ind w:left="698"/>
      </w:pPr>
      <w:r>
        <w:t>（一）地层</w:t>
      </w:r>
    </w:p>
    <w:p>
      <w:pPr>
        <w:pStyle w:val="9"/>
        <w:spacing w:before="161"/>
        <w:ind w:left="698"/>
      </w:pPr>
      <w:r>
        <w:rPr>
          <w:rFonts w:ascii="Times New Roman" w:eastAsia="Times New Roman"/>
        </w:rPr>
        <w:t>1</w:t>
      </w:r>
      <w:r>
        <w:t>、元古界变质岩系</w:t>
      </w:r>
    </w:p>
    <w:p>
      <w:pPr>
        <w:pStyle w:val="9"/>
        <w:spacing w:before="158" w:line="364" w:lineRule="auto"/>
        <w:ind w:left="218" w:right="205" w:firstLine="480"/>
        <w:jc w:val="both"/>
      </w:pPr>
      <w:r>
        <w:rPr>
          <w:spacing w:val="-1"/>
        </w:rPr>
        <w:t>主要在文胜勘探区的西部及北部广泛出露。其岩性见有黑云母片麻岩、石英片岩、</w:t>
      </w:r>
      <w:r>
        <w:rPr>
          <w:spacing w:val="-6"/>
        </w:rPr>
        <w:t>角闪石片岩、绿泥石片岩、大理岩。古老的花岗岩均显片麻状构造，广泛出露，组成煤系地层之基底。</w:t>
      </w:r>
    </w:p>
    <w:p>
      <w:pPr>
        <w:pStyle w:val="9"/>
        <w:spacing w:line="307" w:lineRule="exact"/>
        <w:ind w:left="698"/>
      </w:pPr>
      <w:r>
        <w:rPr>
          <w:rFonts w:ascii="Times New Roman" w:eastAsia="Times New Roman"/>
        </w:rPr>
        <w:t>2</w:t>
      </w:r>
      <w:r>
        <w:t>、白垩系鸡西群</w:t>
      </w:r>
    </w:p>
    <w:p>
      <w:pPr>
        <w:pStyle w:val="9"/>
        <w:spacing w:before="158"/>
        <w:ind w:left="698"/>
      </w:pPr>
      <w:r>
        <w:t>该群在本区发育有城子河组和穆棱组，分述如下：</w:t>
      </w:r>
    </w:p>
    <w:p>
      <w:pPr>
        <w:pStyle w:val="18"/>
        <w:numPr>
          <w:ilvl w:val="0"/>
          <w:numId w:val="33"/>
        </w:numPr>
        <w:tabs>
          <w:tab w:val="left" w:pos="1301"/>
        </w:tabs>
        <w:spacing w:before="160" w:after="0" w:line="362" w:lineRule="auto"/>
        <w:ind w:left="218" w:right="257" w:firstLine="480"/>
        <w:jc w:val="left"/>
        <w:rPr>
          <w:rFonts w:ascii="Times New Roman" w:eastAsia="Times New Roman"/>
          <w:sz w:val="24"/>
        </w:rPr>
      </w:pPr>
      <w:r>
        <w:rPr>
          <w:sz w:val="24"/>
        </w:rPr>
        <w:t>城子河组（</w:t>
      </w:r>
      <w:r>
        <w:rPr>
          <w:rFonts w:ascii="Times New Roman" w:eastAsia="Times New Roman"/>
          <w:sz w:val="24"/>
        </w:rPr>
        <w:t>K1ch</w:t>
      </w:r>
      <w:r>
        <w:rPr>
          <w:sz w:val="24"/>
        </w:rPr>
        <w:t>）：</w:t>
      </w:r>
      <w:r>
        <w:rPr>
          <w:spacing w:val="-1"/>
          <w:sz w:val="24"/>
        </w:rPr>
        <w:t>本组下限呈不整合覆盖于基底之上，由陆相碎屑岩所组</w:t>
      </w:r>
      <w:r>
        <w:rPr>
          <w:spacing w:val="-17"/>
          <w:sz w:val="24"/>
        </w:rPr>
        <w:t xml:space="preserve">成，旋迥结构明显，主要岩性为灰白色砂岩、砾岩、深灰色粉砂岩，灰绿色泞灰岩 </w:t>
      </w:r>
      <w:r>
        <w:rPr>
          <w:rFonts w:ascii="Times New Roman" w:eastAsia="Times New Roman"/>
          <w:spacing w:val="-5"/>
          <w:sz w:val="24"/>
        </w:rPr>
        <w:t>14-22</w:t>
      </w:r>
    </w:p>
    <w:p>
      <w:pPr>
        <w:pStyle w:val="9"/>
        <w:spacing w:before="5"/>
        <w:ind w:left="218"/>
      </w:pPr>
      <w:r>
        <w:rPr>
          <w:spacing w:val="-13"/>
        </w:rPr>
        <w:t xml:space="preserve">层及含煤 </w:t>
      </w:r>
      <w:r>
        <w:rPr>
          <w:rFonts w:ascii="Times New Roman" w:eastAsia="Times New Roman"/>
        </w:rPr>
        <w:t xml:space="preserve">40-50 </w:t>
      </w:r>
      <w:r>
        <w:rPr>
          <w:spacing w:val="-12"/>
        </w:rPr>
        <w:t xml:space="preserve">层；煤层厚度大于 </w:t>
      </w:r>
      <w:r>
        <w:rPr>
          <w:rFonts w:ascii="Times New Roman" w:eastAsia="Times New Roman"/>
        </w:rPr>
        <w:t xml:space="preserve">0.5-0.6 </w:t>
      </w:r>
      <w:r>
        <w:rPr>
          <w:spacing w:val="-30"/>
        </w:rPr>
        <w:t xml:space="preserve">米 </w:t>
      </w:r>
      <w:r>
        <w:rPr>
          <w:rFonts w:ascii="Times New Roman" w:eastAsia="Times New Roman"/>
        </w:rPr>
        <w:t xml:space="preserve">6 </w:t>
      </w:r>
      <w:r>
        <w:rPr>
          <w:spacing w:val="-13"/>
        </w:rPr>
        <w:t xml:space="preserve">层，全区较稳定 </w:t>
      </w:r>
      <w:r>
        <w:rPr>
          <w:rFonts w:ascii="Times New Roman" w:eastAsia="Times New Roman"/>
        </w:rPr>
        <w:t xml:space="preserve">2 </w:t>
      </w:r>
      <w:r>
        <w:rPr>
          <w:spacing w:val="-6"/>
        </w:rPr>
        <w:t>层，主要煤层均集中在</w:t>
      </w:r>
    </w:p>
    <w:p>
      <w:pPr>
        <w:pStyle w:val="9"/>
        <w:spacing w:before="161" w:line="362" w:lineRule="auto"/>
        <w:ind w:left="218" w:right="184"/>
      </w:pPr>
      <w:r>
        <w:t xml:space="preserve">本组中部，可采煤层总厚 </w:t>
      </w:r>
      <w:r>
        <w:rPr>
          <w:rFonts w:ascii="Times New Roman" w:eastAsia="Times New Roman"/>
        </w:rPr>
        <w:t xml:space="preserve">3-8 </w:t>
      </w:r>
      <w:r>
        <w:t>米。依据空间分布规律，将城子河组划分上、中、下三部分。</w:t>
      </w:r>
    </w:p>
    <w:p>
      <w:pPr>
        <w:pStyle w:val="9"/>
        <w:spacing w:before="5" w:line="362" w:lineRule="auto"/>
        <w:ind w:left="218" w:right="253" w:firstLine="480"/>
        <w:rPr>
          <w:rFonts w:ascii="Times New Roman" w:eastAsia="Times New Roman"/>
        </w:rPr>
      </w:pPr>
      <w:r>
        <w:rPr>
          <w:spacing w:val="-11"/>
        </w:rPr>
        <w:t>下部</w:t>
      </w:r>
      <w:r>
        <w:t>（</w:t>
      </w:r>
      <w:r>
        <w:rPr>
          <w:rFonts w:ascii="Times New Roman" w:eastAsia="Times New Roman"/>
        </w:rPr>
        <w:t xml:space="preserve">17 </w:t>
      </w:r>
      <w:r>
        <w:t>号煤层之下</w:t>
      </w:r>
      <w:r>
        <w:rPr>
          <w:spacing w:val="-23"/>
        </w:rPr>
        <w:t>）</w:t>
      </w:r>
      <w:r>
        <w:rPr>
          <w:spacing w:val="-9"/>
        </w:rPr>
        <w:t>：以灰白色中、粗砂岩及深灰色粉砂岩为主，向下部粒径变</w:t>
      </w:r>
      <w:r>
        <w:rPr>
          <w:spacing w:val="-13"/>
        </w:rPr>
        <w:t>粗，并出现含砾砂岩</w:t>
      </w:r>
      <w:r>
        <w:t>（砾石成分主要是花岗岩</w:t>
      </w:r>
      <w:r>
        <w:rPr>
          <w:spacing w:val="-55"/>
        </w:rPr>
        <w:t>）</w:t>
      </w:r>
      <w:r>
        <w:rPr>
          <w:spacing w:val="-13"/>
        </w:rPr>
        <w:t xml:space="preserve">，夹灰绿色薄层泞灰岩 </w:t>
      </w:r>
      <w:r>
        <w:rPr>
          <w:rFonts w:ascii="Times New Roman" w:eastAsia="Times New Roman"/>
        </w:rPr>
        <w:t>4-6</w:t>
      </w:r>
      <w:r>
        <w:rPr>
          <w:rFonts w:ascii="Times New Roman" w:eastAsia="Times New Roman"/>
          <w:spacing w:val="3"/>
        </w:rPr>
        <w:t xml:space="preserve"> </w:t>
      </w:r>
      <w:r>
        <w:rPr>
          <w:spacing w:val="-24"/>
        </w:rPr>
        <w:t xml:space="preserve">层。含煤 </w:t>
      </w:r>
      <w:r>
        <w:rPr>
          <w:rFonts w:ascii="Times New Roman" w:eastAsia="Times New Roman"/>
          <w:spacing w:val="-4"/>
        </w:rPr>
        <w:t>6-13</w:t>
      </w:r>
    </w:p>
    <w:p>
      <w:pPr>
        <w:pStyle w:val="9"/>
        <w:spacing w:before="2"/>
        <w:ind w:left="218"/>
      </w:pPr>
      <w:r>
        <w:rPr>
          <w:spacing w:val="-4"/>
        </w:rPr>
        <w:t xml:space="preserve">层，分布范围很小，局部可采 </w:t>
      </w:r>
      <w:r>
        <w:rPr>
          <w:rFonts w:ascii="Times New Roman" w:eastAsia="Times New Roman"/>
        </w:rPr>
        <w:t>2-5</w:t>
      </w:r>
      <w:r>
        <w:rPr>
          <w:rFonts w:ascii="Times New Roman" w:eastAsia="Times New Roman"/>
          <w:spacing w:val="8"/>
        </w:rPr>
        <w:t xml:space="preserve"> </w:t>
      </w:r>
      <w:r>
        <w:rPr>
          <w:spacing w:val="-10"/>
        </w:rPr>
        <w:t xml:space="preserve">层，厚度在 </w:t>
      </w:r>
      <w:r>
        <w:rPr>
          <w:rFonts w:ascii="Times New Roman" w:eastAsia="Times New Roman"/>
        </w:rPr>
        <w:t>0.1-0.90</w:t>
      </w:r>
      <w:r>
        <w:rPr>
          <w:rFonts w:ascii="Times New Roman" w:eastAsia="Times New Roman"/>
          <w:spacing w:val="6"/>
        </w:rPr>
        <w:t xml:space="preserve"> </w:t>
      </w:r>
      <w:r>
        <w:t>米，很不稳定，无工业价值。岩</w:t>
      </w:r>
    </w:p>
    <w:p>
      <w:pPr>
        <w:pStyle w:val="9"/>
        <w:spacing w:before="161"/>
        <w:ind w:left="218"/>
        <w:jc w:val="both"/>
      </w:pPr>
      <w:r>
        <w:t xml:space="preserve">相变化频繁，分选、滚园均差，总厚 </w:t>
      </w:r>
      <w:r>
        <w:rPr>
          <w:rFonts w:ascii="Times New Roman" w:eastAsia="Times New Roman"/>
        </w:rPr>
        <w:t xml:space="preserve">50-180 </w:t>
      </w:r>
      <w:r>
        <w:t>米。</w:t>
      </w:r>
    </w:p>
    <w:p>
      <w:pPr>
        <w:pStyle w:val="9"/>
        <w:spacing w:before="160" w:line="362" w:lineRule="auto"/>
        <w:ind w:left="218" w:right="256" w:firstLine="480"/>
        <w:jc w:val="both"/>
      </w:pPr>
      <w:r>
        <w:t>中部（</w:t>
      </w:r>
      <w:r>
        <w:rPr>
          <w:rFonts w:ascii="Times New Roman" w:eastAsia="Times New Roman"/>
        </w:rPr>
        <w:t xml:space="preserve">5 </w:t>
      </w:r>
      <w:r>
        <w:t>号煤层以下）：</w:t>
      </w:r>
      <w:r>
        <w:rPr>
          <w:spacing w:val="-1"/>
        </w:rPr>
        <w:t>是具有工业基础价值主要含煤段，其岩性为灰色、深灰色</w:t>
      </w:r>
      <w:r>
        <w:rPr>
          <w:spacing w:val="-3"/>
        </w:rPr>
        <w:t xml:space="preserve">富含植物碎屑粉砂岩，灰白色中、细砂岩及层厚小于 </w:t>
      </w:r>
      <w:r>
        <w:rPr>
          <w:rFonts w:ascii="Times New Roman" w:eastAsia="Times New Roman"/>
        </w:rPr>
        <w:t xml:space="preserve">0.5 </w:t>
      </w:r>
      <w:r>
        <w:rPr>
          <w:spacing w:val="-1"/>
        </w:rPr>
        <w:t>米细砂岩与粉砂岩互层。夹薄</w:t>
      </w:r>
    </w:p>
    <w:p>
      <w:pPr>
        <w:pStyle w:val="9"/>
        <w:spacing w:before="5" w:line="364" w:lineRule="auto"/>
        <w:ind w:left="218" w:right="251"/>
        <w:jc w:val="both"/>
      </w:pPr>
      <w:r>
        <w:rPr>
          <w:spacing w:val="-13"/>
        </w:rPr>
        <w:t xml:space="preserve">层泞灰岩 </w:t>
      </w:r>
      <w:r>
        <w:rPr>
          <w:rFonts w:ascii="Times New Roman" w:eastAsia="Times New Roman"/>
        </w:rPr>
        <w:t xml:space="preserve">8-13 </w:t>
      </w:r>
      <w:r>
        <w:rPr>
          <w:spacing w:val="-8"/>
        </w:rPr>
        <w:t xml:space="preserve">层，可作对比标志。含煤 </w:t>
      </w:r>
      <w:r>
        <w:rPr>
          <w:rFonts w:ascii="Times New Roman" w:eastAsia="Times New Roman"/>
        </w:rPr>
        <w:t xml:space="preserve">15-25 </w:t>
      </w:r>
      <w:r>
        <w:rPr>
          <w:spacing w:val="-11"/>
        </w:rPr>
        <w:t xml:space="preserve">层，全区稳定 </w:t>
      </w:r>
      <w:r>
        <w:rPr>
          <w:rFonts w:ascii="Times New Roman" w:eastAsia="Times New Roman"/>
        </w:rPr>
        <w:t xml:space="preserve">2 </w:t>
      </w:r>
      <w:r>
        <w:rPr>
          <w:spacing w:val="-17"/>
        </w:rPr>
        <w:t xml:space="preserve">层，为 </w:t>
      </w:r>
      <w:r>
        <w:rPr>
          <w:rFonts w:ascii="Times New Roman" w:eastAsia="Times New Roman"/>
        </w:rPr>
        <w:t>5#</w:t>
      </w:r>
      <w:r>
        <w:rPr>
          <w:spacing w:val="-8"/>
        </w:rPr>
        <w:t>、</w:t>
      </w:r>
      <w:r>
        <w:rPr>
          <w:rFonts w:ascii="Times New Roman" w:eastAsia="Times New Roman"/>
        </w:rPr>
        <w:t>14#</w:t>
      </w:r>
      <w:r>
        <w:rPr>
          <w:spacing w:val="-2"/>
        </w:rPr>
        <w:t>煤层；局</w:t>
      </w:r>
      <w:r>
        <w:rPr>
          <w:spacing w:val="-17"/>
        </w:rPr>
        <w:t xml:space="preserve">部可采 </w:t>
      </w:r>
      <w:r>
        <w:rPr>
          <w:rFonts w:ascii="Times New Roman" w:eastAsia="Times New Roman"/>
        </w:rPr>
        <w:t xml:space="preserve">4-5 </w:t>
      </w:r>
      <w:r>
        <w:rPr>
          <w:spacing w:val="-10"/>
        </w:rPr>
        <w:t xml:space="preserve">层，分别为 </w:t>
      </w:r>
      <w:r>
        <w:rPr>
          <w:rFonts w:ascii="Times New Roman" w:eastAsia="Times New Roman"/>
        </w:rPr>
        <w:t>9#</w:t>
      </w:r>
      <w:r>
        <w:t>、</w:t>
      </w:r>
      <w:r>
        <w:rPr>
          <w:rFonts w:ascii="Times New Roman" w:eastAsia="Times New Roman"/>
          <w:spacing w:val="-4"/>
        </w:rPr>
        <w:t>11#</w:t>
      </w:r>
      <w:r>
        <w:t>、</w:t>
      </w:r>
      <w:r>
        <w:rPr>
          <w:rFonts w:ascii="Times New Roman" w:eastAsia="Times New Roman"/>
        </w:rPr>
        <w:t>12#</w:t>
      </w:r>
      <w:r>
        <w:t>、</w:t>
      </w:r>
      <w:r>
        <w:rPr>
          <w:rFonts w:ascii="Times New Roman" w:eastAsia="Times New Roman"/>
        </w:rPr>
        <w:t>16#</w:t>
      </w:r>
      <w:r>
        <w:t>、</w:t>
      </w:r>
      <w:r>
        <w:rPr>
          <w:rFonts w:ascii="Times New Roman" w:eastAsia="Times New Roman"/>
        </w:rPr>
        <w:t>17#</w:t>
      </w:r>
      <w:r>
        <w:rPr>
          <w:spacing w:val="-6"/>
        </w:rPr>
        <w:t xml:space="preserve">煤层等，另有零星可采 </w:t>
      </w:r>
      <w:r>
        <w:rPr>
          <w:rFonts w:ascii="Times New Roman" w:eastAsia="Times New Roman"/>
        </w:rPr>
        <w:t>19#</w:t>
      </w:r>
      <w:r>
        <w:rPr>
          <w:spacing w:val="-3"/>
        </w:rPr>
        <w:t>煤层。总厚</w:t>
      </w:r>
      <w:r>
        <w:rPr>
          <w:rFonts w:ascii="Times New Roman" w:eastAsia="Times New Roman"/>
        </w:rPr>
        <w:t xml:space="preserve">220-260 </w:t>
      </w:r>
      <w:r>
        <w:t>米。</w:t>
      </w:r>
    </w:p>
    <w:p>
      <w:pPr>
        <w:pStyle w:val="9"/>
        <w:spacing w:line="364" w:lineRule="auto"/>
        <w:ind w:left="218" w:right="253" w:firstLine="480"/>
        <w:jc w:val="both"/>
      </w:pPr>
      <w:r>
        <w:t>上部（</w:t>
      </w:r>
      <w:r>
        <w:rPr>
          <w:rFonts w:ascii="Times New Roman" w:eastAsia="Times New Roman"/>
        </w:rPr>
        <w:t xml:space="preserve">5 </w:t>
      </w:r>
      <w:r>
        <w:t>号以上至穆棱组界线）：</w:t>
      </w:r>
      <w:r>
        <w:rPr>
          <w:spacing w:val="-1"/>
        </w:rPr>
        <w:t xml:space="preserve">岩性为灰白色中、细砂岩，深灰色粉砂岩为主， </w:t>
      </w:r>
      <w:r>
        <w:rPr>
          <w:spacing w:val="-8"/>
        </w:rPr>
        <w:t xml:space="preserve">夹绿色泞灰质岩 </w:t>
      </w:r>
      <w:r>
        <w:rPr>
          <w:rFonts w:ascii="Times New Roman" w:eastAsia="Times New Roman"/>
        </w:rPr>
        <w:t xml:space="preserve">1-3 </w:t>
      </w:r>
      <w:r>
        <w:rPr>
          <w:spacing w:val="-17"/>
        </w:rPr>
        <w:t xml:space="preserve">层。含煤 </w:t>
      </w:r>
      <w:r>
        <w:rPr>
          <w:rFonts w:ascii="Times New Roman" w:eastAsia="Times New Roman"/>
        </w:rPr>
        <w:t xml:space="preserve">5-13 </w:t>
      </w:r>
      <w:r>
        <w:rPr>
          <w:spacing w:val="-9"/>
        </w:rPr>
        <w:t>层，均为薄煤，无工业基础价值，但个别点达到可采</w:t>
      </w:r>
      <w:r>
        <w:t>厚度，发育不稳定。</w:t>
      </w:r>
    </w:p>
    <w:p>
      <w:pPr>
        <w:pStyle w:val="18"/>
        <w:numPr>
          <w:ilvl w:val="0"/>
          <w:numId w:val="33"/>
        </w:numPr>
        <w:tabs>
          <w:tab w:val="left" w:pos="1300"/>
        </w:tabs>
        <w:spacing w:before="0" w:after="0" w:line="307" w:lineRule="exact"/>
        <w:ind w:left="1299" w:right="0" w:hanging="602"/>
        <w:jc w:val="left"/>
        <w:rPr>
          <w:rFonts w:ascii="Times New Roman" w:eastAsia="Times New Roman"/>
          <w:sz w:val="24"/>
        </w:rPr>
      </w:pPr>
      <w:r>
        <w:rPr>
          <w:sz w:val="24"/>
        </w:rPr>
        <w:t>穆棱组</w:t>
      </w:r>
      <w:r>
        <w:rPr>
          <w:rFonts w:ascii="Times New Roman" w:eastAsia="Times New Roman"/>
          <w:sz w:val="24"/>
        </w:rPr>
        <w:t>(K1m)</w:t>
      </w:r>
    </w:p>
    <w:p>
      <w:pPr>
        <w:pStyle w:val="9"/>
        <w:spacing w:before="156"/>
        <w:ind w:left="698"/>
      </w:pPr>
      <w:r>
        <w:rPr>
          <w:spacing w:val="-10"/>
        </w:rPr>
        <w:t>本组与城子河组呈整合接触，主要岩性均微带绿色及微黄色，以深灰色粉砂岩为主，</w:t>
      </w:r>
    </w:p>
    <w:p>
      <w:pPr>
        <w:spacing w:after="0"/>
        <w:sectPr>
          <w:pgSz w:w="11910" w:h="16840"/>
          <w:pgMar w:top="1340" w:right="1160" w:bottom="1180" w:left="1200" w:header="0" w:footer="913" w:gutter="0"/>
        </w:sectPr>
      </w:pPr>
    </w:p>
    <w:p>
      <w:pPr>
        <w:pStyle w:val="9"/>
        <w:spacing w:before="61"/>
        <w:ind w:left="218"/>
      </w:pPr>
      <w:r>
        <w:t xml:space="preserve">其次厚度小于 </w:t>
      </w:r>
      <w:r>
        <w:rPr>
          <w:rFonts w:ascii="Times New Roman" w:eastAsia="Times New Roman"/>
        </w:rPr>
        <w:t xml:space="preserve">0.5 </w:t>
      </w:r>
      <w:r>
        <w:t>米细砂岩、粉砂岩互层，和少量中砂岩、粗砂岩。旋迥结构不明显，</w:t>
      </w:r>
    </w:p>
    <w:p>
      <w:pPr>
        <w:pStyle w:val="9"/>
        <w:spacing w:before="158"/>
        <w:ind w:left="218"/>
      </w:pPr>
      <w:r>
        <w:t xml:space="preserve">经后期剥蚀作用最大厚度为 </w:t>
      </w:r>
      <w:r>
        <w:rPr>
          <w:rFonts w:ascii="Times New Roman" w:eastAsia="Times New Roman"/>
        </w:rPr>
        <w:t xml:space="preserve">500 </w:t>
      </w:r>
      <w:r>
        <w:t>米。</w:t>
      </w:r>
    </w:p>
    <w:p>
      <w:pPr>
        <w:pStyle w:val="18"/>
        <w:numPr>
          <w:ilvl w:val="0"/>
          <w:numId w:val="33"/>
        </w:numPr>
        <w:tabs>
          <w:tab w:val="left" w:pos="1300"/>
        </w:tabs>
        <w:spacing w:before="161" w:after="0" w:line="240" w:lineRule="auto"/>
        <w:ind w:left="1299" w:right="0" w:hanging="602"/>
        <w:jc w:val="left"/>
        <w:rPr>
          <w:sz w:val="24"/>
        </w:rPr>
      </w:pPr>
      <w:r>
        <w:rPr>
          <w:sz w:val="24"/>
        </w:rPr>
        <w:t>白垩系火山岩组（</w:t>
      </w:r>
      <w:r>
        <w:rPr>
          <w:rFonts w:ascii="Times New Roman" w:eastAsia="Times New Roman"/>
          <w:sz w:val="24"/>
        </w:rPr>
        <w:t>K2</w:t>
      </w:r>
      <w:r>
        <w:rPr>
          <w:sz w:val="24"/>
        </w:rPr>
        <w:t>）</w:t>
      </w:r>
    </w:p>
    <w:p>
      <w:pPr>
        <w:pStyle w:val="9"/>
        <w:spacing w:before="160" w:line="362" w:lineRule="auto"/>
        <w:ind w:left="218" w:right="257" w:firstLine="480"/>
      </w:pPr>
      <w:r>
        <w:rPr>
          <w:spacing w:val="-4"/>
        </w:rPr>
        <w:t>该组地层主要在向斜轴以南至分水岭，呈大面积覆盖于煤系地层之上，从槽探实见</w:t>
      </w:r>
      <w:r>
        <w:rPr>
          <w:spacing w:val="-9"/>
        </w:rPr>
        <w:t xml:space="preserve">为不整合接触。从地表及 </w:t>
      </w:r>
      <w:r>
        <w:rPr>
          <w:rFonts w:ascii="Times New Roman" w:eastAsia="Times New Roman"/>
        </w:rPr>
        <w:t xml:space="preserve">522 </w:t>
      </w:r>
      <w:r>
        <w:rPr>
          <w:spacing w:val="-3"/>
        </w:rPr>
        <w:t>孔证实全部由安山质角砾岩、集块岩及安山质泞灰熔岩组</w:t>
      </w:r>
    </w:p>
    <w:p>
      <w:pPr>
        <w:pStyle w:val="9"/>
        <w:spacing w:before="5"/>
        <w:ind w:left="218"/>
      </w:pPr>
      <w:r>
        <w:t xml:space="preserve">成。目前控制厚度 </w:t>
      </w:r>
      <w:r>
        <w:rPr>
          <w:rFonts w:ascii="Times New Roman" w:eastAsia="Times New Roman"/>
        </w:rPr>
        <w:t xml:space="preserve">470 </w:t>
      </w:r>
      <w:r>
        <w:t>米，其时代经讨论确定为伊林组（</w:t>
      </w:r>
      <w:r>
        <w:rPr>
          <w:rFonts w:ascii="Times New Roman" w:eastAsia="Times New Roman"/>
        </w:rPr>
        <w:t>K2</w:t>
      </w:r>
      <w:r>
        <w:t>）。</w:t>
      </w:r>
    </w:p>
    <w:p>
      <w:pPr>
        <w:pStyle w:val="18"/>
        <w:numPr>
          <w:ilvl w:val="0"/>
          <w:numId w:val="33"/>
        </w:numPr>
        <w:tabs>
          <w:tab w:val="left" w:pos="1300"/>
        </w:tabs>
        <w:spacing w:before="158" w:after="0" w:line="240" w:lineRule="auto"/>
        <w:ind w:left="1299" w:right="0" w:hanging="602"/>
        <w:jc w:val="left"/>
        <w:rPr>
          <w:rFonts w:ascii="Times New Roman" w:hAnsi="Times New Roman" w:eastAsia="Times New Roman"/>
          <w:sz w:val="24"/>
        </w:rPr>
      </w:pPr>
      <w:r>
        <w:rPr>
          <w:sz w:val="24"/>
        </w:rPr>
        <w:t>新近系玄武岩</w:t>
      </w:r>
      <w:r>
        <w:rPr>
          <w:rFonts w:ascii="Times New Roman" w:hAnsi="Times New Roman" w:eastAsia="Times New Roman"/>
          <w:sz w:val="24"/>
        </w:rPr>
        <w:t>(βN2)</w:t>
      </w:r>
    </w:p>
    <w:p>
      <w:pPr>
        <w:pStyle w:val="9"/>
        <w:spacing w:before="161" w:line="362" w:lineRule="auto"/>
        <w:ind w:left="218" w:right="137" w:firstLine="480"/>
      </w:pPr>
      <w:r>
        <w:rPr>
          <w:spacing w:val="-13"/>
        </w:rPr>
        <w:t>见有气孔状和致密状两种，均为橄榄玄武岩，偶见气孔中充填少量次生碳酸盐矿物。</w:t>
      </w:r>
      <w:r>
        <w:t>并有少量的辉石，覆盖于白垩系及煤系基盘之上。</w:t>
      </w:r>
    </w:p>
    <w:p>
      <w:pPr>
        <w:pStyle w:val="18"/>
        <w:numPr>
          <w:ilvl w:val="0"/>
          <w:numId w:val="33"/>
        </w:numPr>
        <w:tabs>
          <w:tab w:val="left" w:pos="1300"/>
        </w:tabs>
        <w:spacing w:before="5" w:after="0" w:line="240" w:lineRule="auto"/>
        <w:ind w:left="1299" w:right="0" w:hanging="602"/>
        <w:jc w:val="left"/>
        <w:rPr>
          <w:rFonts w:ascii="Times New Roman" w:eastAsia="Times New Roman"/>
          <w:sz w:val="24"/>
        </w:rPr>
      </w:pPr>
      <w:r>
        <w:rPr>
          <w:sz w:val="24"/>
        </w:rPr>
        <w:t>第四系冲积层</w:t>
      </w:r>
      <w:r>
        <w:rPr>
          <w:rFonts w:ascii="Times New Roman" w:eastAsia="Times New Roman"/>
          <w:sz w:val="24"/>
        </w:rPr>
        <w:t>(Q4)</w:t>
      </w:r>
    </w:p>
    <w:p>
      <w:pPr>
        <w:pStyle w:val="9"/>
        <w:spacing w:before="158"/>
        <w:ind w:left="698"/>
      </w:pPr>
      <w:r>
        <w:t xml:space="preserve">主要分布在河流两侧，最大厚度 </w:t>
      </w:r>
      <w:r>
        <w:rPr>
          <w:rFonts w:ascii="Times New Roman" w:eastAsia="Times New Roman"/>
        </w:rPr>
        <w:t xml:space="preserve">10 </w:t>
      </w:r>
      <w:r>
        <w:t>米左右，由花岗岩、流纹岩等砾石以及粗砂和</w:t>
      </w:r>
    </w:p>
    <w:p>
      <w:pPr>
        <w:pStyle w:val="9"/>
        <w:spacing w:before="160" w:line="362" w:lineRule="auto"/>
        <w:ind w:left="218" w:right="137"/>
      </w:pPr>
      <w:r>
        <w:rPr>
          <w:spacing w:val="-11"/>
        </w:rPr>
        <w:t xml:space="preserve">矽质粘土组成，上面有一层 </w:t>
      </w:r>
      <w:r>
        <w:rPr>
          <w:rFonts w:ascii="Times New Roman" w:eastAsia="Times New Roman"/>
        </w:rPr>
        <w:t xml:space="preserve">0.5 </w:t>
      </w:r>
      <w:r>
        <w:rPr>
          <w:spacing w:val="-11"/>
        </w:rPr>
        <w:t xml:space="preserve">米腐植土，在山坡地带分布 </w:t>
      </w:r>
      <w:r>
        <w:rPr>
          <w:rFonts w:ascii="Times New Roman" w:eastAsia="Times New Roman"/>
        </w:rPr>
        <w:t xml:space="preserve">0.5-2.00 </w:t>
      </w:r>
      <w:r>
        <w:rPr>
          <w:spacing w:val="-2"/>
        </w:rPr>
        <w:t xml:space="preserve">米坡积和残积物质， </w:t>
      </w:r>
      <w:r>
        <w:t>在高山区侵蚀作用显著。</w:t>
      </w:r>
    </w:p>
    <w:p>
      <w:pPr>
        <w:spacing w:before="4"/>
        <w:ind w:left="298" w:right="330" w:firstLine="0"/>
        <w:jc w:val="center"/>
        <w:rPr>
          <w:b/>
          <w:sz w:val="21"/>
        </w:rPr>
      </w:pPr>
      <w:r>
        <w:rPr>
          <w:b/>
          <w:spacing w:val="-28"/>
          <w:sz w:val="21"/>
        </w:rPr>
        <w:t xml:space="preserve">表 </w:t>
      </w:r>
      <w:r>
        <w:rPr>
          <w:rFonts w:ascii="Times New Roman" w:eastAsia="Times New Roman"/>
          <w:b/>
          <w:sz w:val="21"/>
        </w:rPr>
        <w:t>2.3-3</w:t>
      </w:r>
      <w:r>
        <w:rPr>
          <w:rFonts w:ascii="Times New Roman" w:eastAsia="Times New Roman"/>
          <w:b/>
          <w:spacing w:val="52"/>
          <w:sz w:val="21"/>
        </w:rPr>
        <w:t xml:space="preserve"> </w:t>
      </w:r>
      <w:r>
        <w:rPr>
          <w:b/>
          <w:sz w:val="21"/>
        </w:rPr>
        <w:t>井田地层层序表</w:t>
      </w:r>
    </w:p>
    <w:p>
      <w:pPr>
        <w:pStyle w:val="9"/>
        <w:spacing w:before="11"/>
        <w:rPr>
          <w:b/>
          <w:sz w:val="10"/>
        </w:rPr>
      </w:pP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85"/>
        <w:gridCol w:w="1272"/>
        <w:gridCol w:w="2036"/>
        <w:gridCol w:w="2036"/>
        <w:gridCol w:w="1133"/>
        <w:gridCol w:w="17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85" w:type="dxa"/>
            <w:tcBorders>
              <w:bottom w:val="single" w:color="000000" w:sz="4" w:space="0"/>
              <w:right w:val="single" w:color="000000" w:sz="4" w:space="0"/>
            </w:tcBorders>
          </w:tcPr>
          <w:p>
            <w:pPr>
              <w:pStyle w:val="19"/>
              <w:spacing w:before="49"/>
              <w:ind w:left="12"/>
              <w:rPr>
                <w:sz w:val="21"/>
              </w:rPr>
            </w:pPr>
            <w:r>
              <w:rPr>
                <w:w w:val="99"/>
                <w:sz w:val="21"/>
              </w:rPr>
              <w:t>界</w:t>
            </w:r>
          </w:p>
        </w:tc>
        <w:tc>
          <w:tcPr>
            <w:tcW w:w="1272" w:type="dxa"/>
            <w:tcBorders>
              <w:left w:val="single" w:color="000000" w:sz="4" w:space="0"/>
              <w:bottom w:val="single" w:color="000000" w:sz="4" w:space="0"/>
              <w:right w:val="single" w:color="000000" w:sz="4" w:space="0"/>
            </w:tcBorders>
          </w:tcPr>
          <w:p>
            <w:pPr>
              <w:pStyle w:val="19"/>
              <w:spacing w:before="49"/>
              <w:ind w:left="17"/>
              <w:rPr>
                <w:sz w:val="21"/>
              </w:rPr>
            </w:pPr>
            <w:r>
              <w:rPr>
                <w:w w:val="99"/>
                <w:sz w:val="21"/>
              </w:rPr>
              <w:t>系</w:t>
            </w:r>
          </w:p>
        </w:tc>
        <w:tc>
          <w:tcPr>
            <w:tcW w:w="2036" w:type="dxa"/>
            <w:tcBorders>
              <w:left w:val="single" w:color="000000" w:sz="4" w:space="0"/>
              <w:bottom w:val="single" w:color="000000" w:sz="4" w:space="0"/>
              <w:right w:val="single" w:color="000000" w:sz="4" w:space="0"/>
            </w:tcBorders>
          </w:tcPr>
          <w:p>
            <w:pPr>
              <w:pStyle w:val="19"/>
              <w:spacing w:before="49"/>
              <w:ind w:left="16"/>
              <w:rPr>
                <w:sz w:val="21"/>
              </w:rPr>
            </w:pPr>
            <w:r>
              <w:rPr>
                <w:w w:val="99"/>
                <w:sz w:val="21"/>
              </w:rPr>
              <w:t>统</w:t>
            </w:r>
          </w:p>
        </w:tc>
        <w:tc>
          <w:tcPr>
            <w:tcW w:w="2036" w:type="dxa"/>
            <w:tcBorders>
              <w:left w:val="single" w:color="000000" w:sz="4" w:space="0"/>
              <w:bottom w:val="single" w:color="000000" w:sz="4" w:space="0"/>
              <w:right w:val="single" w:color="000000" w:sz="4" w:space="0"/>
            </w:tcBorders>
          </w:tcPr>
          <w:p>
            <w:pPr>
              <w:pStyle w:val="19"/>
              <w:spacing w:before="49"/>
              <w:ind w:left="19"/>
              <w:rPr>
                <w:sz w:val="21"/>
              </w:rPr>
            </w:pPr>
            <w:r>
              <w:rPr>
                <w:w w:val="99"/>
                <w:sz w:val="21"/>
              </w:rPr>
              <w:t>组</w:t>
            </w:r>
          </w:p>
        </w:tc>
        <w:tc>
          <w:tcPr>
            <w:tcW w:w="1133" w:type="dxa"/>
            <w:tcBorders>
              <w:left w:val="single" w:color="000000" w:sz="4" w:space="0"/>
              <w:bottom w:val="single" w:color="000000" w:sz="4" w:space="0"/>
              <w:right w:val="single" w:color="000000" w:sz="4" w:space="0"/>
            </w:tcBorders>
          </w:tcPr>
          <w:p>
            <w:pPr>
              <w:pStyle w:val="19"/>
              <w:spacing w:before="49"/>
              <w:ind w:right="342"/>
              <w:jc w:val="right"/>
              <w:rPr>
                <w:sz w:val="21"/>
              </w:rPr>
            </w:pPr>
            <w:r>
              <w:rPr>
                <w:w w:val="95"/>
                <w:sz w:val="21"/>
              </w:rPr>
              <w:t>代号</w:t>
            </w:r>
          </w:p>
        </w:tc>
        <w:tc>
          <w:tcPr>
            <w:tcW w:w="1720" w:type="dxa"/>
            <w:tcBorders>
              <w:left w:val="single" w:color="000000" w:sz="4" w:space="0"/>
              <w:bottom w:val="single" w:color="000000" w:sz="4" w:space="0"/>
            </w:tcBorders>
          </w:tcPr>
          <w:p>
            <w:pPr>
              <w:pStyle w:val="19"/>
              <w:spacing w:before="49"/>
              <w:ind w:left="329" w:right="308"/>
              <w:rPr>
                <w:sz w:val="21"/>
              </w:rPr>
            </w:pPr>
            <w:r>
              <w:rPr>
                <w:sz w:val="21"/>
              </w:rPr>
              <w:t>厚度（</w:t>
            </w:r>
            <w:r>
              <w:rPr>
                <w:rFonts w:ascii="Times New Roman" w:eastAsia="Times New Roman"/>
                <w:sz w:val="21"/>
              </w:rPr>
              <w:t>M</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85" w:type="dxa"/>
            <w:vMerge w:val="restart"/>
            <w:tcBorders>
              <w:top w:val="single" w:color="000000" w:sz="4" w:space="0"/>
              <w:bottom w:val="single" w:color="000000" w:sz="4" w:space="0"/>
              <w:right w:val="single" w:color="000000" w:sz="4" w:space="0"/>
            </w:tcBorders>
          </w:tcPr>
          <w:p>
            <w:pPr>
              <w:pStyle w:val="19"/>
              <w:spacing w:before="8"/>
              <w:jc w:val="left"/>
              <w:rPr>
                <w:b/>
                <w:sz w:val="20"/>
              </w:rPr>
            </w:pPr>
          </w:p>
          <w:p>
            <w:pPr>
              <w:pStyle w:val="19"/>
              <w:ind w:left="225"/>
              <w:jc w:val="left"/>
              <w:rPr>
                <w:sz w:val="21"/>
              </w:rPr>
            </w:pPr>
            <w:r>
              <w:rPr>
                <w:sz w:val="21"/>
              </w:rPr>
              <w:t>新生界</w:t>
            </w:r>
          </w:p>
        </w:tc>
        <w:tc>
          <w:tcPr>
            <w:tcW w:w="1272" w:type="dxa"/>
            <w:tcBorders>
              <w:top w:val="single" w:color="000000" w:sz="4" w:space="0"/>
              <w:left w:val="single" w:color="000000" w:sz="4" w:space="0"/>
              <w:bottom w:val="single" w:color="000000" w:sz="4" w:space="0"/>
              <w:right w:val="single" w:color="000000" w:sz="4" w:space="0"/>
            </w:tcBorders>
          </w:tcPr>
          <w:p>
            <w:pPr>
              <w:pStyle w:val="19"/>
              <w:spacing w:before="49"/>
              <w:ind w:left="199" w:right="180"/>
              <w:rPr>
                <w:sz w:val="21"/>
              </w:rPr>
            </w:pPr>
            <w:r>
              <w:rPr>
                <w:sz w:val="21"/>
              </w:rPr>
              <w:t>第四系</w:t>
            </w:r>
          </w:p>
        </w:tc>
        <w:tc>
          <w:tcPr>
            <w:tcW w:w="2036" w:type="dxa"/>
            <w:tcBorders>
              <w:top w:val="single" w:color="000000" w:sz="4" w:space="0"/>
              <w:left w:val="single" w:color="000000" w:sz="4" w:space="0"/>
              <w:bottom w:val="single" w:color="000000" w:sz="4" w:space="0"/>
              <w:right w:val="single" w:color="000000" w:sz="4" w:space="0"/>
            </w:tcBorders>
          </w:tcPr>
          <w:p>
            <w:pPr>
              <w:pStyle w:val="19"/>
              <w:spacing w:before="49"/>
              <w:ind w:left="580" w:right="562"/>
              <w:rPr>
                <w:sz w:val="21"/>
              </w:rPr>
            </w:pPr>
            <w:r>
              <w:rPr>
                <w:sz w:val="21"/>
              </w:rPr>
              <w:t>全新统</w:t>
            </w:r>
          </w:p>
        </w:tc>
        <w:tc>
          <w:tcPr>
            <w:tcW w:w="2036" w:type="dxa"/>
            <w:tcBorders>
              <w:top w:val="single" w:color="000000" w:sz="4" w:space="0"/>
              <w:left w:val="single" w:color="000000" w:sz="4" w:space="0"/>
              <w:bottom w:val="single" w:color="000000" w:sz="4" w:space="0"/>
              <w:right w:val="single" w:color="000000" w:sz="4" w:space="0"/>
            </w:tcBorders>
          </w:tcPr>
          <w:p>
            <w:pPr>
              <w:pStyle w:val="19"/>
              <w:spacing w:before="49"/>
              <w:ind w:left="580" w:right="563"/>
              <w:rPr>
                <w:sz w:val="21"/>
              </w:rPr>
            </w:pPr>
            <w:r>
              <w:rPr>
                <w:sz w:val="21"/>
              </w:rPr>
              <w:t>冲积层</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62"/>
              <w:ind w:left="150" w:right="131"/>
              <w:rPr>
                <w:rFonts w:ascii="Times New Roman"/>
                <w:sz w:val="21"/>
              </w:rPr>
            </w:pPr>
            <w:r>
              <w:rPr>
                <w:rFonts w:ascii="Times New Roman"/>
                <w:position w:val="2"/>
                <w:sz w:val="21"/>
              </w:rPr>
              <w:t>Q</w:t>
            </w:r>
            <w:r>
              <w:rPr>
                <w:rFonts w:ascii="Times New Roman"/>
                <w:position w:val="2"/>
                <w:sz w:val="21"/>
                <w:vertAlign w:val="subscript"/>
              </w:rPr>
              <w:t>4</w:t>
            </w:r>
          </w:p>
        </w:tc>
        <w:tc>
          <w:tcPr>
            <w:tcW w:w="1720" w:type="dxa"/>
            <w:tcBorders>
              <w:top w:val="single" w:color="000000" w:sz="4" w:space="0"/>
              <w:left w:val="single" w:color="000000" w:sz="4" w:space="0"/>
              <w:bottom w:val="single" w:color="000000" w:sz="4" w:space="0"/>
            </w:tcBorders>
          </w:tcPr>
          <w:p>
            <w:pPr>
              <w:pStyle w:val="19"/>
              <w:spacing w:before="65"/>
              <w:ind w:left="329" w:right="306"/>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85" w:type="dxa"/>
            <w:vMerge w:val="continue"/>
            <w:tcBorders>
              <w:top w:val="nil"/>
              <w:bottom w:val="single" w:color="000000" w:sz="4" w:space="0"/>
              <w:right w:val="single" w:color="000000" w:sz="4" w:space="0"/>
            </w:tcBorders>
          </w:tcPr>
          <w:p>
            <w:pPr>
              <w:rPr>
                <w:sz w:val="2"/>
                <w:szCs w:val="2"/>
              </w:rPr>
            </w:pPr>
          </w:p>
        </w:tc>
        <w:tc>
          <w:tcPr>
            <w:tcW w:w="1272" w:type="dxa"/>
            <w:tcBorders>
              <w:top w:val="single" w:color="000000" w:sz="4" w:space="0"/>
              <w:left w:val="single" w:color="000000" w:sz="4" w:space="0"/>
              <w:bottom w:val="single" w:color="000000" w:sz="4" w:space="0"/>
              <w:right w:val="single" w:color="000000" w:sz="4" w:space="0"/>
            </w:tcBorders>
          </w:tcPr>
          <w:p>
            <w:pPr>
              <w:pStyle w:val="19"/>
              <w:spacing w:before="48"/>
              <w:ind w:left="199" w:right="180"/>
              <w:rPr>
                <w:sz w:val="21"/>
              </w:rPr>
            </w:pPr>
            <w:r>
              <w:rPr>
                <w:sz w:val="21"/>
              </w:rPr>
              <w:t>新近系</w:t>
            </w:r>
          </w:p>
        </w:tc>
        <w:tc>
          <w:tcPr>
            <w:tcW w:w="2036" w:type="dxa"/>
            <w:tcBorders>
              <w:top w:val="single" w:color="000000" w:sz="4" w:space="0"/>
              <w:left w:val="single" w:color="000000" w:sz="4" w:space="0"/>
              <w:bottom w:val="single" w:color="000000" w:sz="4" w:space="0"/>
              <w:right w:val="single" w:color="000000" w:sz="4" w:space="0"/>
            </w:tcBorders>
          </w:tcPr>
          <w:p>
            <w:pPr>
              <w:pStyle w:val="19"/>
              <w:spacing w:before="48"/>
              <w:ind w:left="580" w:right="562"/>
              <w:rPr>
                <w:sz w:val="21"/>
              </w:rPr>
            </w:pPr>
            <w:r>
              <w:rPr>
                <w:sz w:val="21"/>
              </w:rPr>
              <w:t>中新统</w:t>
            </w:r>
          </w:p>
        </w:tc>
        <w:tc>
          <w:tcPr>
            <w:tcW w:w="2036" w:type="dxa"/>
            <w:tcBorders>
              <w:top w:val="single" w:color="000000" w:sz="4" w:space="0"/>
              <w:left w:val="single" w:color="000000" w:sz="4" w:space="0"/>
              <w:bottom w:val="single" w:color="000000" w:sz="4" w:space="0"/>
              <w:right w:val="single" w:color="000000" w:sz="4" w:space="0"/>
            </w:tcBorders>
          </w:tcPr>
          <w:p>
            <w:pPr>
              <w:pStyle w:val="19"/>
              <w:spacing w:before="48"/>
              <w:ind w:left="580" w:right="563"/>
              <w:rPr>
                <w:sz w:val="21"/>
              </w:rPr>
            </w:pPr>
            <w:r>
              <w:rPr>
                <w:sz w:val="21"/>
              </w:rPr>
              <w:t>玄武岩</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64"/>
              <w:ind w:right="413"/>
              <w:jc w:val="right"/>
              <w:rPr>
                <w:rFonts w:ascii="Times New Roman" w:hAnsi="Times New Roman"/>
                <w:sz w:val="21"/>
              </w:rPr>
            </w:pPr>
            <w:r>
              <w:rPr>
                <w:rFonts w:ascii="Times New Roman" w:hAnsi="Times New Roman"/>
                <w:position w:val="2"/>
                <w:sz w:val="21"/>
              </w:rPr>
              <w:t>β</w:t>
            </w:r>
            <w:r>
              <w:rPr>
                <w:rFonts w:ascii="Times New Roman" w:hAnsi="Times New Roman"/>
                <w:position w:val="2"/>
                <w:sz w:val="21"/>
                <w:vertAlign w:val="subscript"/>
              </w:rPr>
              <w:t>N2</w:t>
            </w:r>
          </w:p>
        </w:tc>
        <w:tc>
          <w:tcPr>
            <w:tcW w:w="1720" w:type="dxa"/>
            <w:tcBorders>
              <w:top w:val="single" w:color="000000" w:sz="4" w:space="0"/>
              <w:left w:val="single" w:color="000000" w:sz="4" w:space="0"/>
              <w:bottom w:val="single" w:color="000000" w:sz="4" w:space="0"/>
            </w:tcBorders>
          </w:tcPr>
          <w:p>
            <w:pPr>
              <w:pStyle w:val="19"/>
              <w:spacing w:before="67"/>
              <w:ind w:left="329" w:right="306"/>
              <w:rPr>
                <w:rFonts w:ascii="Times New Roman"/>
                <w:sz w:val="21"/>
              </w:rPr>
            </w:pPr>
            <w:r>
              <w:rPr>
                <w:rFonts w:ascii="Times New Roman"/>
                <w:sz w:val="21"/>
              </w:rPr>
              <w:t>10-150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85" w:type="dxa"/>
            <w:vMerge w:val="restart"/>
            <w:tcBorders>
              <w:top w:val="single" w:color="000000" w:sz="4" w:space="0"/>
              <w:bottom w:val="single" w:color="000000" w:sz="4" w:space="0"/>
              <w:right w:val="single" w:color="000000" w:sz="4" w:space="0"/>
            </w:tcBorders>
          </w:tcPr>
          <w:p>
            <w:pPr>
              <w:pStyle w:val="19"/>
              <w:jc w:val="left"/>
              <w:rPr>
                <w:b/>
                <w:sz w:val="20"/>
              </w:rPr>
            </w:pPr>
          </w:p>
          <w:p>
            <w:pPr>
              <w:pStyle w:val="19"/>
              <w:spacing w:before="10"/>
              <w:jc w:val="left"/>
              <w:rPr>
                <w:b/>
                <w:sz w:val="17"/>
              </w:rPr>
            </w:pPr>
          </w:p>
          <w:p>
            <w:pPr>
              <w:pStyle w:val="19"/>
              <w:ind w:left="225"/>
              <w:jc w:val="left"/>
              <w:rPr>
                <w:sz w:val="21"/>
              </w:rPr>
            </w:pPr>
            <w:r>
              <w:rPr>
                <w:sz w:val="21"/>
              </w:rPr>
              <w:t>中生界</w:t>
            </w:r>
          </w:p>
        </w:tc>
        <w:tc>
          <w:tcPr>
            <w:tcW w:w="1272"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10"/>
              <w:jc w:val="left"/>
              <w:rPr>
                <w:b/>
                <w:sz w:val="17"/>
              </w:rPr>
            </w:pPr>
          </w:p>
          <w:p>
            <w:pPr>
              <w:pStyle w:val="19"/>
              <w:ind w:left="326"/>
              <w:jc w:val="left"/>
              <w:rPr>
                <w:sz w:val="21"/>
              </w:rPr>
            </w:pPr>
            <w:r>
              <w:rPr>
                <w:sz w:val="21"/>
              </w:rPr>
              <w:t>白垩系</w:t>
            </w:r>
          </w:p>
        </w:tc>
        <w:tc>
          <w:tcPr>
            <w:tcW w:w="2036" w:type="dxa"/>
            <w:tcBorders>
              <w:top w:val="single" w:color="000000" w:sz="4" w:space="0"/>
              <w:left w:val="single" w:color="000000" w:sz="4" w:space="0"/>
              <w:bottom w:val="single" w:color="000000" w:sz="4" w:space="0"/>
              <w:right w:val="single" w:color="000000" w:sz="4" w:space="0"/>
            </w:tcBorders>
          </w:tcPr>
          <w:p>
            <w:pPr>
              <w:pStyle w:val="19"/>
              <w:spacing w:before="50"/>
              <w:ind w:left="580" w:right="562"/>
              <w:rPr>
                <w:sz w:val="21"/>
              </w:rPr>
            </w:pPr>
            <w:r>
              <w:rPr>
                <w:sz w:val="21"/>
              </w:rPr>
              <w:t>上统</w:t>
            </w:r>
          </w:p>
        </w:tc>
        <w:tc>
          <w:tcPr>
            <w:tcW w:w="2036" w:type="dxa"/>
            <w:tcBorders>
              <w:top w:val="single" w:color="000000" w:sz="4" w:space="0"/>
              <w:left w:val="single" w:color="000000" w:sz="4" w:space="0"/>
              <w:bottom w:val="single" w:color="000000" w:sz="4" w:space="0"/>
              <w:right w:val="single" w:color="000000" w:sz="4" w:space="0"/>
            </w:tcBorders>
          </w:tcPr>
          <w:p>
            <w:pPr>
              <w:pStyle w:val="19"/>
              <w:spacing w:before="50"/>
              <w:ind w:left="580" w:right="563"/>
              <w:rPr>
                <w:sz w:val="21"/>
              </w:rPr>
            </w:pPr>
            <w:r>
              <w:rPr>
                <w:sz w:val="21"/>
              </w:rPr>
              <w:t>伊林组</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63"/>
              <w:ind w:right="403"/>
              <w:jc w:val="right"/>
              <w:rPr>
                <w:rFonts w:ascii="Times New Roman"/>
                <w:sz w:val="21"/>
              </w:rPr>
            </w:pPr>
            <w:r>
              <w:rPr>
                <w:rFonts w:ascii="Times New Roman"/>
                <w:position w:val="2"/>
                <w:sz w:val="21"/>
              </w:rPr>
              <w:t>K</w:t>
            </w:r>
            <w:r>
              <w:rPr>
                <w:rFonts w:ascii="Times New Roman"/>
                <w:position w:val="2"/>
                <w:sz w:val="21"/>
                <w:vertAlign w:val="subscript"/>
              </w:rPr>
              <w:t>2y</w:t>
            </w:r>
          </w:p>
        </w:tc>
        <w:tc>
          <w:tcPr>
            <w:tcW w:w="1720" w:type="dxa"/>
            <w:tcBorders>
              <w:top w:val="single" w:color="000000" w:sz="4" w:space="0"/>
              <w:left w:val="single" w:color="000000" w:sz="4" w:space="0"/>
              <w:bottom w:val="single" w:color="000000" w:sz="4" w:space="0"/>
            </w:tcBorders>
          </w:tcPr>
          <w:p>
            <w:pPr>
              <w:pStyle w:val="19"/>
              <w:spacing w:before="50"/>
              <w:ind w:left="329" w:right="306"/>
              <w:rPr>
                <w:rFonts w:ascii="Times New Roman" w:hAnsi="Times New Roman"/>
                <w:sz w:val="21"/>
              </w:rPr>
            </w:pPr>
            <w:r>
              <w:rPr>
                <w:sz w:val="21"/>
              </w:rPr>
              <w:t>›</w:t>
            </w:r>
            <w:r>
              <w:rPr>
                <w:rFonts w:ascii="Times New Roman" w:hAnsi="Times New Roman"/>
                <w:sz w:val="21"/>
              </w:rPr>
              <w:t>470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85" w:type="dxa"/>
            <w:vMerge w:val="continue"/>
            <w:tcBorders>
              <w:top w:val="nil"/>
              <w:bottom w:val="single" w:color="000000" w:sz="4" w:space="0"/>
              <w:right w:val="single" w:color="000000" w:sz="4" w:space="0"/>
            </w:tcBorders>
          </w:tcPr>
          <w:p>
            <w:pPr>
              <w:rPr>
                <w:sz w:val="2"/>
                <w:szCs w:val="2"/>
              </w:rPr>
            </w:pPr>
          </w:p>
        </w:tc>
        <w:tc>
          <w:tcPr>
            <w:tcW w:w="1272" w:type="dxa"/>
            <w:vMerge w:val="continue"/>
            <w:tcBorders>
              <w:top w:val="nil"/>
              <w:left w:val="single" w:color="000000" w:sz="4" w:space="0"/>
              <w:bottom w:val="single" w:color="000000" w:sz="4" w:space="0"/>
              <w:right w:val="single" w:color="000000" w:sz="4" w:space="0"/>
            </w:tcBorders>
          </w:tcPr>
          <w:p>
            <w:pPr>
              <w:rPr>
                <w:sz w:val="2"/>
                <w:szCs w:val="2"/>
              </w:rPr>
            </w:pPr>
          </w:p>
        </w:tc>
        <w:tc>
          <w:tcPr>
            <w:tcW w:w="2036" w:type="dxa"/>
            <w:vMerge w:val="restart"/>
            <w:tcBorders>
              <w:top w:val="single" w:color="000000" w:sz="4" w:space="0"/>
              <w:left w:val="single" w:color="000000" w:sz="4" w:space="0"/>
              <w:bottom w:val="single" w:color="000000" w:sz="4" w:space="0"/>
              <w:right w:val="single" w:color="000000" w:sz="4" w:space="0"/>
            </w:tcBorders>
          </w:tcPr>
          <w:p>
            <w:pPr>
              <w:pStyle w:val="19"/>
              <w:spacing w:before="9"/>
              <w:jc w:val="left"/>
              <w:rPr>
                <w:b/>
                <w:sz w:val="20"/>
              </w:rPr>
            </w:pPr>
          </w:p>
          <w:p>
            <w:pPr>
              <w:pStyle w:val="19"/>
              <w:ind w:left="580" w:right="562"/>
              <w:rPr>
                <w:sz w:val="21"/>
              </w:rPr>
            </w:pPr>
            <w:r>
              <w:rPr>
                <w:sz w:val="21"/>
              </w:rPr>
              <w:t>下统</w:t>
            </w:r>
          </w:p>
        </w:tc>
        <w:tc>
          <w:tcPr>
            <w:tcW w:w="2036" w:type="dxa"/>
            <w:tcBorders>
              <w:top w:val="single" w:color="000000" w:sz="4" w:space="0"/>
              <w:left w:val="single" w:color="000000" w:sz="4" w:space="0"/>
              <w:bottom w:val="single" w:color="000000" w:sz="4" w:space="0"/>
              <w:right w:val="single" w:color="000000" w:sz="4" w:space="0"/>
            </w:tcBorders>
          </w:tcPr>
          <w:p>
            <w:pPr>
              <w:pStyle w:val="19"/>
              <w:spacing w:before="49"/>
              <w:ind w:left="580" w:right="563"/>
              <w:rPr>
                <w:sz w:val="21"/>
              </w:rPr>
            </w:pPr>
            <w:r>
              <w:rPr>
                <w:sz w:val="21"/>
              </w:rPr>
              <w:t>穆棱组</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62"/>
              <w:ind w:right="384"/>
              <w:jc w:val="right"/>
              <w:rPr>
                <w:rFonts w:ascii="Times New Roman"/>
                <w:sz w:val="21"/>
              </w:rPr>
            </w:pPr>
            <w:r>
              <w:rPr>
                <w:rFonts w:ascii="Times New Roman"/>
                <w:position w:val="2"/>
                <w:sz w:val="21"/>
              </w:rPr>
              <w:t>K</w:t>
            </w:r>
            <w:r>
              <w:rPr>
                <w:rFonts w:ascii="Times New Roman"/>
                <w:position w:val="2"/>
                <w:sz w:val="21"/>
                <w:vertAlign w:val="subscript"/>
              </w:rPr>
              <w:t>1m</w:t>
            </w:r>
          </w:p>
        </w:tc>
        <w:tc>
          <w:tcPr>
            <w:tcW w:w="1720" w:type="dxa"/>
            <w:tcBorders>
              <w:top w:val="single" w:color="000000" w:sz="4" w:space="0"/>
              <w:left w:val="single" w:color="000000" w:sz="4" w:space="0"/>
              <w:bottom w:val="single" w:color="000000" w:sz="4" w:space="0"/>
            </w:tcBorders>
          </w:tcPr>
          <w:p>
            <w:pPr>
              <w:pStyle w:val="19"/>
              <w:spacing w:before="49"/>
              <w:ind w:left="329" w:right="306"/>
              <w:rPr>
                <w:rFonts w:ascii="Times New Roman" w:hAnsi="Times New Roman"/>
                <w:sz w:val="21"/>
              </w:rPr>
            </w:pPr>
            <w:r>
              <w:rPr>
                <w:sz w:val="21"/>
              </w:rPr>
              <w:t>›</w:t>
            </w:r>
            <w:r>
              <w:rPr>
                <w:rFonts w:ascii="Times New Roman" w:hAnsi="Times New Roman"/>
                <w:sz w:val="21"/>
              </w:rPr>
              <w:t>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085" w:type="dxa"/>
            <w:vMerge w:val="continue"/>
            <w:tcBorders>
              <w:top w:val="nil"/>
              <w:bottom w:val="single" w:color="000000" w:sz="4" w:space="0"/>
              <w:right w:val="single" w:color="000000" w:sz="4" w:space="0"/>
            </w:tcBorders>
          </w:tcPr>
          <w:p>
            <w:pPr>
              <w:rPr>
                <w:sz w:val="2"/>
                <w:szCs w:val="2"/>
              </w:rPr>
            </w:pPr>
          </w:p>
        </w:tc>
        <w:tc>
          <w:tcPr>
            <w:tcW w:w="1272" w:type="dxa"/>
            <w:vMerge w:val="continue"/>
            <w:tcBorders>
              <w:top w:val="nil"/>
              <w:left w:val="single" w:color="000000" w:sz="4" w:space="0"/>
              <w:bottom w:val="single" w:color="000000" w:sz="4" w:space="0"/>
              <w:right w:val="single" w:color="000000" w:sz="4" w:space="0"/>
            </w:tcBorders>
          </w:tcPr>
          <w:p>
            <w:pPr>
              <w:rPr>
                <w:sz w:val="2"/>
                <w:szCs w:val="2"/>
              </w:rPr>
            </w:pPr>
          </w:p>
        </w:tc>
        <w:tc>
          <w:tcPr>
            <w:tcW w:w="2036" w:type="dxa"/>
            <w:vMerge w:val="continue"/>
            <w:tcBorders>
              <w:top w:val="nil"/>
              <w:left w:val="single" w:color="000000" w:sz="4" w:space="0"/>
              <w:bottom w:val="single" w:color="000000" w:sz="4" w:space="0"/>
              <w:right w:val="single" w:color="000000" w:sz="4" w:space="0"/>
            </w:tcBorders>
          </w:tcPr>
          <w:p>
            <w:pPr>
              <w:rPr>
                <w:sz w:val="2"/>
                <w:szCs w:val="2"/>
              </w:rPr>
            </w:pPr>
          </w:p>
        </w:tc>
        <w:tc>
          <w:tcPr>
            <w:tcW w:w="2036" w:type="dxa"/>
            <w:tcBorders>
              <w:top w:val="single" w:color="000000" w:sz="4" w:space="0"/>
              <w:left w:val="single" w:color="000000" w:sz="4" w:space="0"/>
              <w:bottom w:val="single" w:color="000000" w:sz="4" w:space="0"/>
              <w:right w:val="single" w:color="000000" w:sz="4" w:space="0"/>
            </w:tcBorders>
          </w:tcPr>
          <w:p>
            <w:pPr>
              <w:pStyle w:val="19"/>
              <w:spacing w:before="49"/>
              <w:ind w:left="580" w:right="566"/>
              <w:rPr>
                <w:sz w:val="21"/>
              </w:rPr>
            </w:pPr>
            <w:r>
              <w:rPr>
                <w:sz w:val="21"/>
              </w:rPr>
              <w:t>城子河组</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62"/>
              <w:ind w:right="374"/>
              <w:jc w:val="right"/>
              <w:rPr>
                <w:rFonts w:ascii="Times New Roman"/>
                <w:sz w:val="21"/>
              </w:rPr>
            </w:pPr>
            <w:r>
              <w:rPr>
                <w:rFonts w:ascii="Times New Roman"/>
                <w:position w:val="2"/>
                <w:sz w:val="21"/>
              </w:rPr>
              <w:t>K</w:t>
            </w:r>
            <w:r>
              <w:rPr>
                <w:rFonts w:ascii="Times New Roman"/>
                <w:position w:val="2"/>
                <w:sz w:val="21"/>
                <w:vertAlign w:val="subscript"/>
              </w:rPr>
              <w:t>1ch</w:t>
            </w:r>
          </w:p>
        </w:tc>
        <w:tc>
          <w:tcPr>
            <w:tcW w:w="1720" w:type="dxa"/>
            <w:tcBorders>
              <w:top w:val="single" w:color="000000" w:sz="4" w:space="0"/>
              <w:left w:val="single" w:color="000000" w:sz="4" w:space="0"/>
              <w:bottom w:val="single" w:color="000000" w:sz="4" w:space="0"/>
            </w:tcBorders>
          </w:tcPr>
          <w:p>
            <w:pPr>
              <w:pStyle w:val="19"/>
              <w:spacing w:before="49"/>
              <w:ind w:left="329" w:right="306"/>
              <w:rPr>
                <w:rFonts w:ascii="Times New Roman" w:hAnsi="Times New Roman"/>
                <w:sz w:val="21"/>
              </w:rPr>
            </w:pPr>
            <w:r>
              <w:rPr>
                <w:rFonts w:ascii="Times New Roman" w:hAnsi="Times New Roman"/>
                <w:sz w:val="21"/>
              </w:rPr>
              <w:t>350</w:t>
            </w:r>
            <w:r>
              <w:rPr>
                <w:sz w:val="21"/>
              </w:rPr>
              <w:t>—</w:t>
            </w:r>
            <w:r>
              <w:rPr>
                <w:rFonts w:ascii="Times New Roman" w:hAnsi="Times New Roman"/>
                <w:sz w:val="21"/>
              </w:rPr>
              <w:t>1200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085" w:type="dxa"/>
            <w:tcBorders>
              <w:top w:val="single" w:color="000000" w:sz="4" w:space="0"/>
              <w:right w:val="single" w:color="000000" w:sz="4" w:space="0"/>
            </w:tcBorders>
          </w:tcPr>
          <w:p>
            <w:pPr>
              <w:pStyle w:val="19"/>
              <w:spacing w:before="48"/>
              <w:ind w:left="205" w:right="195"/>
              <w:rPr>
                <w:sz w:val="21"/>
              </w:rPr>
            </w:pPr>
            <w:r>
              <w:rPr>
                <w:sz w:val="21"/>
              </w:rPr>
              <w:t>元古界</w:t>
            </w:r>
          </w:p>
        </w:tc>
        <w:tc>
          <w:tcPr>
            <w:tcW w:w="1272" w:type="dxa"/>
            <w:tcBorders>
              <w:top w:val="single" w:color="000000" w:sz="4" w:space="0"/>
              <w:left w:val="single" w:color="000000" w:sz="4" w:space="0"/>
              <w:right w:val="single" w:color="000000" w:sz="4" w:space="0"/>
            </w:tcBorders>
          </w:tcPr>
          <w:p>
            <w:pPr>
              <w:pStyle w:val="19"/>
              <w:spacing w:before="48"/>
              <w:ind w:left="199" w:right="182"/>
              <w:rPr>
                <w:sz w:val="21"/>
              </w:rPr>
            </w:pPr>
            <w:r>
              <w:rPr>
                <w:sz w:val="21"/>
              </w:rPr>
              <w:t>羊鼻山群</w:t>
            </w:r>
          </w:p>
        </w:tc>
        <w:tc>
          <w:tcPr>
            <w:tcW w:w="2036" w:type="dxa"/>
            <w:tcBorders>
              <w:top w:val="single" w:color="000000" w:sz="4" w:space="0"/>
              <w:left w:val="single" w:color="000000" w:sz="4" w:space="0"/>
              <w:right w:val="single" w:color="000000" w:sz="4" w:space="0"/>
            </w:tcBorders>
          </w:tcPr>
          <w:p>
            <w:pPr>
              <w:pStyle w:val="19"/>
              <w:jc w:val="left"/>
              <w:rPr>
                <w:rFonts w:ascii="Times New Roman"/>
                <w:sz w:val="22"/>
              </w:rPr>
            </w:pPr>
          </w:p>
        </w:tc>
        <w:tc>
          <w:tcPr>
            <w:tcW w:w="2036" w:type="dxa"/>
            <w:tcBorders>
              <w:top w:val="single" w:color="000000" w:sz="4" w:space="0"/>
              <w:left w:val="single" w:color="000000" w:sz="4" w:space="0"/>
              <w:right w:val="single" w:color="000000" w:sz="4" w:space="0"/>
            </w:tcBorders>
          </w:tcPr>
          <w:p>
            <w:pPr>
              <w:pStyle w:val="19"/>
              <w:spacing w:before="48"/>
              <w:ind w:left="580" w:right="566"/>
              <w:rPr>
                <w:sz w:val="21"/>
              </w:rPr>
            </w:pPr>
            <w:r>
              <w:rPr>
                <w:sz w:val="21"/>
              </w:rPr>
              <w:t>变质岩系</w:t>
            </w:r>
          </w:p>
        </w:tc>
        <w:tc>
          <w:tcPr>
            <w:tcW w:w="1133" w:type="dxa"/>
            <w:tcBorders>
              <w:top w:val="single" w:color="000000" w:sz="4" w:space="0"/>
              <w:left w:val="single" w:color="000000" w:sz="4" w:space="0"/>
              <w:right w:val="single" w:color="000000" w:sz="4" w:space="0"/>
            </w:tcBorders>
          </w:tcPr>
          <w:p>
            <w:pPr>
              <w:pStyle w:val="19"/>
              <w:spacing w:before="64"/>
              <w:ind w:right="337"/>
              <w:jc w:val="right"/>
              <w:rPr>
                <w:rFonts w:ascii="Times New Roman"/>
                <w:sz w:val="13"/>
              </w:rPr>
            </w:pPr>
            <w:r>
              <w:rPr>
                <w:rFonts w:ascii="Times New Roman"/>
                <w:position w:val="2"/>
                <w:sz w:val="21"/>
              </w:rPr>
              <w:t>A</w:t>
            </w:r>
            <w:r>
              <w:rPr>
                <w:rFonts w:ascii="Times New Roman"/>
                <w:sz w:val="13"/>
              </w:rPr>
              <w:t>r2ms</w:t>
            </w:r>
          </w:p>
        </w:tc>
        <w:tc>
          <w:tcPr>
            <w:tcW w:w="1720" w:type="dxa"/>
            <w:tcBorders>
              <w:top w:val="single" w:color="000000" w:sz="4" w:space="0"/>
              <w:left w:val="single" w:color="000000" w:sz="4" w:space="0"/>
            </w:tcBorders>
          </w:tcPr>
          <w:p>
            <w:pPr>
              <w:pStyle w:val="19"/>
              <w:spacing w:before="48"/>
              <w:ind w:left="329" w:right="306"/>
              <w:rPr>
                <w:rFonts w:ascii="Times New Roman" w:hAnsi="Times New Roman"/>
                <w:sz w:val="21"/>
              </w:rPr>
            </w:pPr>
            <w:r>
              <w:rPr>
                <w:sz w:val="21"/>
              </w:rPr>
              <w:t>›</w:t>
            </w:r>
            <w:r>
              <w:rPr>
                <w:rFonts w:ascii="Times New Roman" w:hAnsi="Times New Roman"/>
                <w:sz w:val="21"/>
              </w:rPr>
              <w:t>5000</w:t>
            </w:r>
          </w:p>
        </w:tc>
      </w:tr>
    </w:tbl>
    <w:p>
      <w:pPr>
        <w:pStyle w:val="9"/>
        <w:spacing w:before="1"/>
        <w:ind w:left="698"/>
        <w:jc w:val="both"/>
      </w:pPr>
      <w:r>
        <w:rPr>
          <w:rFonts w:ascii="Times New Roman" w:eastAsia="Times New Roman"/>
        </w:rPr>
        <w:t>(</w:t>
      </w:r>
      <w:r>
        <w:t>二</w:t>
      </w:r>
      <w:r>
        <w:rPr>
          <w:rFonts w:ascii="Times New Roman" w:eastAsia="Times New Roman"/>
        </w:rPr>
        <w:t xml:space="preserve">) </w:t>
      </w:r>
      <w:r>
        <w:t>构造</w:t>
      </w:r>
    </w:p>
    <w:p>
      <w:pPr>
        <w:pStyle w:val="9"/>
        <w:spacing w:before="160" w:line="364" w:lineRule="auto"/>
        <w:ind w:left="218" w:right="257" w:firstLine="480"/>
        <w:jc w:val="both"/>
      </w:pPr>
      <w:r>
        <w:rPr>
          <w:spacing w:val="-4"/>
        </w:rPr>
        <w:t>双鸭山煤田在中国大地构造体系中依据地质力学解释，属新华夏系第二隆起带上的</w:t>
      </w:r>
      <w:r>
        <w:rPr>
          <w:spacing w:val="-5"/>
        </w:rPr>
        <w:t>一个拗折带，即三江</w:t>
      </w:r>
      <w:r>
        <w:rPr>
          <w:rFonts w:ascii="Times New Roman" w:hAnsi="Times New Roman" w:eastAsia="Times New Roman"/>
        </w:rPr>
        <w:t>—</w:t>
      </w:r>
      <w:r>
        <w:rPr>
          <w:spacing w:val="-4"/>
        </w:rPr>
        <w:t>穆棱河聚煤区。双鸭山煤田从属于三江</w:t>
      </w:r>
      <w:r>
        <w:rPr>
          <w:rFonts w:ascii="Times New Roman" w:hAnsi="Times New Roman" w:eastAsia="Times New Roman"/>
        </w:rPr>
        <w:t>—</w:t>
      </w:r>
      <w:r>
        <w:rPr>
          <w:spacing w:val="-2"/>
        </w:rPr>
        <w:t>穆棱河聚煤区中的西南</w:t>
      </w:r>
      <w:r>
        <w:t>部，在中生代下白垩世沉积城子河组和穆棱组含煤地层。</w:t>
      </w:r>
    </w:p>
    <w:p>
      <w:pPr>
        <w:pStyle w:val="9"/>
        <w:spacing w:line="364" w:lineRule="auto"/>
        <w:ind w:left="218" w:right="137" w:firstLine="480"/>
      </w:pPr>
      <w:r>
        <w:t>双鸭山煤田的总体构造形态是处于安邦河</w:t>
      </w:r>
      <w:r>
        <w:rPr>
          <w:rFonts w:ascii="Times New Roman" w:eastAsia="Times New Roman"/>
        </w:rPr>
        <w:t>-</w:t>
      </w:r>
      <w:r>
        <w:t>七星河弧形复式向斜的中部地区，呈弧</w:t>
      </w:r>
      <w:r>
        <w:rPr>
          <w:spacing w:val="-14"/>
        </w:rPr>
        <w:t xml:space="preserve">形展布的向斜构造，地层倾角南翼陡北翼缓，被后期双鸭山煤田南部逆冲断层切割破坏， </w:t>
      </w:r>
      <w:r>
        <w:t>它是改造双鸭山煤田总体构造形态的主干断裂。</w:t>
      </w:r>
    </w:p>
    <w:p>
      <w:pPr>
        <w:pStyle w:val="9"/>
        <w:spacing w:line="362" w:lineRule="auto"/>
        <w:ind w:left="218" w:right="275" w:firstLine="518"/>
      </w:pPr>
      <w:r>
        <w:t>双鸭山盟度矿业有限责任公司处于三江—穆棱河聚煤区的西南边缘地带，它在双桦— 双鸭山— 集贤— 绥滨凹陷的南端， 处在安邦河— 七星河复式向斜的南</w:t>
      </w:r>
    </w:p>
    <w:p>
      <w:pPr>
        <w:spacing w:after="0" w:line="362" w:lineRule="auto"/>
        <w:sectPr>
          <w:pgSz w:w="11910" w:h="16840"/>
          <w:pgMar w:top="1340" w:right="1160" w:bottom="1180" w:left="1200" w:header="0" w:footer="913" w:gutter="0"/>
        </w:sectPr>
      </w:pPr>
    </w:p>
    <w:p>
      <w:pPr>
        <w:pStyle w:val="9"/>
        <w:spacing w:before="41" w:line="362" w:lineRule="auto"/>
        <w:ind w:left="218" w:right="275"/>
      </w:pPr>
      <w:r>
        <w:t>部。煤田的中部有一轴向北西西且向东倾伏的背斜构造，其背南、北两侧分别为向斜构造。</w:t>
      </w:r>
    </w:p>
    <w:p>
      <w:pPr>
        <w:pStyle w:val="9"/>
        <w:spacing w:before="5" w:line="364" w:lineRule="auto"/>
        <w:ind w:left="218" w:right="275" w:firstLine="518"/>
        <w:jc w:val="both"/>
      </w:pPr>
      <w:r>
        <w:rPr>
          <w:spacing w:val="15"/>
        </w:rPr>
        <w:t>本项目处在北侧向斜的北翼的西段，井田内呈向斜构造，其轴向近东西；地</w:t>
      </w:r>
      <w:r>
        <w:rPr>
          <w:spacing w:val="8"/>
        </w:rPr>
        <w:t xml:space="preserve">层北翼走向北 </w:t>
      </w:r>
      <w:r>
        <w:rPr>
          <w:spacing w:val="7"/>
        </w:rPr>
        <w:t>70</w:t>
      </w:r>
      <w:r>
        <w:rPr>
          <w:spacing w:val="-46"/>
        </w:rPr>
        <w:t xml:space="preserve">° </w:t>
      </w:r>
      <w:r>
        <w:t>～</w:t>
      </w:r>
      <w:r>
        <w:rPr>
          <w:spacing w:val="-99"/>
        </w:rPr>
        <w:t xml:space="preserve"> </w:t>
      </w:r>
      <w:r>
        <w:rPr>
          <w:spacing w:val="6"/>
        </w:rPr>
        <w:t>85</w:t>
      </w:r>
      <w:r>
        <w:rPr>
          <w:spacing w:val="-25"/>
        </w:rPr>
        <w:t xml:space="preserve">° 东， 倾角 </w:t>
      </w:r>
      <w:r>
        <w:rPr>
          <w:spacing w:val="7"/>
        </w:rPr>
        <w:t>55</w:t>
      </w:r>
      <w:r>
        <w:rPr>
          <w:spacing w:val="-46"/>
        </w:rPr>
        <w:t xml:space="preserve">° </w:t>
      </w:r>
      <w:r>
        <w:t>～</w:t>
      </w:r>
      <w:r>
        <w:rPr>
          <w:spacing w:val="-99"/>
        </w:rPr>
        <w:t xml:space="preserve"> </w:t>
      </w:r>
      <w:r>
        <w:rPr>
          <w:spacing w:val="10"/>
        </w:rPr>
        <w:t>70</w:t>
      </w:r>
      <w:r>
        <w:rPr>
          <w:spacing w:val="-5"/>
        </w:rPr>
        <w:t xml:space="preserve">°； 南翼走向北 </w:t>
      </w:r>
      <w:r>
        <w:rPr>
          <w:spacing w:val="10"/>
        </w:rPr>
        <w:t>50°～</w:t>
      </w:r>
      <w:r>
        <w:rPr>
          <w:spacing w:val="-99"/>
        </w:rPr>
        <w:t xml:space="preserve"> </w:t>
      </w:r>
      <w:r>
        <w:rPr>
          <w:spacing w:val="7"/>
        </w:rPr>
        <w:t>75</w:t>
      </w:r>
      <w:r>
        <w:rPr>
          <w:spacing w:val="-30"/>
        </w:rPr>
        <w:t>° 西， 倾</w:t>
      </w:r>
      <w:r>
        <w:rPr>
          <w:spacing w:val="-33"/>
        </w:rPr>
        <w:t xml:space="preserve">角 </w:t>
      </w:r>
      <w:r>
        <w:rPr>
          <w:spacing w:val="14"/>
        </w:rPr>
        <w:t>10°～15</w:t>
      </w:r>
      <w:r>
        <w:rPr>
          <w:spacing w:val="11"/>
        </w:rPr>
        <w:t xml:space="preserve">°。井田内见到四条落差大于 </w:t>
      </w:r>
      <w:r>
        <w:rPr>
          <w:spacing w:val="5"/>
        </w:rPr>
        <w:t>30m</w:t>
      </w:r>
      <w:r>
        <w:rPr>
          <w:spacing w:val="-1"/>
        </w:rPr>
        <w:t xml:space="preserve"> 断层。</w:t>
      </w:r>
    </w:p>
    <w:p>
      <w:pPr>
        <w:pStyle w:val="9"/>
      </w:pPr>
    </w:p>
    <w:p>
      <w:pPr>
        <w:spacing w:before="173" w:after="4"/>
        <w:ind w:left="578" w:right="128" w:firstLine="0"/>
        <w:jc w:val="center"/>
        <w:rPr>
          <w:b/>
          <w:sz w:val="21"/>
        </w:rPr>
      </w:pPr>
      <w:r>
        <w:rPr>
          <w:b/>
          <w:spacing w:val="-28"/>
          <w:sz w:val="21"/>
        </w:rPr>
        <w:t xml:space="preserve">表 </w:t>
      </w:r>
      <w:r>
        <w:rPr>
          <w:rFonts w:ascii="Times New Roman" w:eastAsia="Times New Roman"/>
          <w:b/>
          <w:sz w:val="21"/>
        </w:rPr>
        <w:t>2.3-4</w:t>
      </w:r>
      <w:r>
        <w:rPr>
          <w:rFonts w:ascii="Times New Roman" w:eastAsia="Times New Roman"/>
          <w:b/>
          <w:spacing w:val="52"/>
          <w:sz w:val="21"/>
        </w:rPr>
        <w:t xml:space="preserve"> </w:t>
      </w:r>
      <w:r>
        <w:rPr>
          <w:b/>
          <w:sz w:val="21"/>
        </w:rPr>
        <w:t>矿井主要断层一览表</w:t>
      </w:r>
    </w:p>
    <w:tbl>
      <w:tblPr>
        <w:tblStyle w:val="15"/>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80"/>
        <w:gridCol w:w="1367"/>
        <w:gridCol w:w="780"/>
        <w:gridCol w:w="1330"/>
        <w:gridCol w:w="502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780" w:type="dxa"/>
            <w:tcBorders>
              <w:bottom w:val="single" w:color="000000" w:sz="4" w:space="0"/>
              <w:right w:val="single" w:color="000000" w:sz="4" w:space="0"/>
            </w:tcBorders>
          </w:tcPr>
          <w:p>
            <w:pPr>
              <w:pStyle w:val="19"/>
              <w:spacing w:before="8"/>
              <w:jc w:val="left"/>
              <w:rPr>
                <w:b/>
                <w:sz w:val="14"/>
              </w:rPr>
            </w:pPr>
          </w:p>
          <w:p>
            <w:pPr>
              <w:pStyle w:val="19"/>
              <w:spacing w:before="1"/>
              <w:ind w:left="159" w:right="146"/>
              <w:rPr>
                <w:sz w:val="21"/>
              </w:rPr>
            </w:pPr>
            <w:r>
              <w:rPr>
                <w:sz w:val="21"/>
              </w:rPr>
              <w:t>编号</w:t>
            </w:r>
          </w:p>
        </w:tc>
        <w:tc>
          <w:tcPr>
            <w:tcW w:w="1367" w:type="dxa"/>
            <w:tcBorders>
              <w:left w:val="single" w:color="000000" w:sz="4" w:space="0"/>
              <w:bottom w:val="single" w:color="000000" w:sz="4" w:space="0"/>
              <w:right w:val="single" w:color="000000" w:sz="4" w:space="0"/>
            </w:tcBorders>
          </w:tcPr>
          <w:p>
            <w:pPr>
              <w:pStyle w:val="19"/>
              <w:spacing w:before="8"/>
              <w:jc w:val="left"/>
              <w:rPr>
                <w:b/>
                <w:sz w:val="14"/>
              </w:rPr>
            </w:pPr>
          </w:p>
          <w:p>
            <w:pPr>
              <w:pStyle w:val="19"/>
              <w:spacing w:before="1"/>
              <w:ind w:left="194" w:right="177"/>
              <w:rPr>
                <w:sz w:val="21"/>
              </w:rPr>
            </w:pPr>
            <w:r>
              <w:rPr>
                <w:sz w:val="21"/>
              </w:rPr>
              <w:t>方位</w:t>
            </w:r>
          </w:p>
        </w:tc>
        <w:tc>
          <w:tcPr>
            <w:tcW w:w="780" w:type="dxa"/>
            <w:tcBorders>
              <w:left w:val="single" w:color="000000" w:sz="4" w:space="0"/>
              <w:bottom w:val="single" w:color="000000" w:sz="4" w:space="0"/>
              <w:right w:val="single" w:color="000000" w:sz="4" w:space="0"/>
            </w:tcBorders>
          </w:tcPr>
          <w:p>
            <w:pPr>
              <w:pStyle w:val="19"/>
              <w:spacing w:before="8"/>
              <w:jc w:val="left"/>
              <w:rPr>
                <w:b/>
                <w:sz w:val="14"/>
              </w:rPr>
            </w:pPr>
          </w:p>
          <w:p>
            <w:pPr>
              <w:pStyle w:val="19"/>
              <w:spacing w:before="1"/>
              <w:ind w:left="162" w:right="147"/>
              <w:rPr>
                <w:sz w:val="21"/>
              </w:rPr>
            </w:pPr>
            <w:r>
              <w:rPr>
                <w:sz w:val="21"/>
              </w:rPr>
              <w:t>性质</w:t>
            </w:r>
          </w:p>
        </w:tc>
        <w:tc>
          <w:tcPr>
            <w:tcW w:w="1330" w:type="dxa"/>
            <w:tcBorders>
              <w:left w:val="single" w:color="000000" w:sz="4" w:space="0"/>
              <w:bottom w:val="single" w:color="000000" w:sz="4" w:space="0"/>
              <w:right w:val="single" w:color="000000" w:sz="4" w:space="0"/>
            </w:tcBorders>
          </w:tcPr>
          <w:p>
            <w:pPr>
              <w:pStyle w:val="19"/>
              <w:spacing w:before="8"/>
              <w:jc w:val="left"/>
              <w:rPr>
                <w:b/>
                <w:sz w:val="14"/>
              </w:rPr>
            </w:pPr>
          </w:p>
          <w:p>
            <w:pPr>
              <w:pStyle w:val="19"/>
              <w:spacing w:before="1"/>
              <w:ind w:left="175" w:right="160"/>
              <w:rPr>
                <w:sz w:val="21"/>
              </w:rPr>
            </w:pPr>
            <w:r>
              <w:rPr>
                <w:sz w:val="21"/>
              </w:rPr>
              <w:t>落差（m）</w:t>
            </w:r>
          </w:p>
        </w:tc>
        <w:tc>
          <w:tcPr>
            <w:tcW w:w="5025" w:type="dxa"/>
            <w:tcBorders>
              <w:left w:val="single" w:color="000000" w:sz="4" w:space="0"/>
              <w:bottom w:val="single" w:color="000000" w:sz="4" w:space="0"/>
            </w:tcBorders>
          </w:tcPr>
          <w:p>
            <w:pPr>
              <w:pStyle w:val="19"/>
              <w:spacing w:before="8"/>
              <w:jc w:val="left"/>
              <w:rPr>
                <w:b/>
                <w:sz w:val="14"/>
              </w:rPr>
            </w:pPr>
          </w:p>
          <w:p>
            <w:pPr>
              <w:pStyle w:val="19"/>
              <w:spacing w:before="1"/>
              <w:ind w:left="39" w:right="19"/>
              <w:rPr>
                <w:sz w:val="21"/>
              </w:rPr>
            </w:pPr>
            <w:r>
              <w:rPr>
                <w:sz w:val="21"/>
              </w:rPr>
              <w:t>控制程度及可靠性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780" w:type="dxa"/>
            <w:tcBorders>
              <w:top w:val="single" w:color="000000" w:sz="4" w:space="0"/>
              <w:bottom w:val="single" w:color="000000" w:sz="4" w:space="0"/>
              <w:right w:val="single" w:color="000000" w:sz="4" w:space="0"/>
            </w:tcBorders>
          </w:tcPr>
          <w:p>
            <w:pPr>
              <w:pStyle w:val="19"/>
              <w:spacing w:before="135"/>
              <w:ind w:left="159" w:right="146"/>
              <w:rPr>
                <w:sz w:val="10"/>
              </w:rPr>
            </w:pPr>
            <w:r>
              <w:rPr>
                <w:spacing w:val="1"/>
                <w:w w:val="99"/>
                <w:sz w:val="21"/>
              </w:rPr>
              <w:t>F</w:t>
            </w:r>
            <w:r>
              <w:rPr>
                <w:w w:val="106"/>
                <w:position w:val="-2"/>
                <w:sz w:val="10"/>
              </w:rPr>
              <w:t>6</w:t>
            </w:r>
          </w:p>
        </w:tc>
        <w:tc>
          <w:tcPr>
            <w:tcW w:w="1367" w:type="dxa"/>
            <w:tcBorders>
              <w:top w:val="single" w:color="000000" w:sz="4" w:space="0"/>
              <w:left w:val="single" w:color="000000" w:sz="4" w:space="0"/>
              <w:bottom w:val="single" w:color="000000" w:sz="4" w:space="0"/>
              <w:right w:val="single" w:color="000000" w:sz="4" w:space="0"/>
            </w:tcBorders>
          </w:tcPr>
          <w:p>
            <w:pPr>
              <w:pStyle w:val="19"/>
              <w:spacing w:before="135"/>
              <w:ind w:left="191" w:right="177"/>
              <w:rPr>
                <w:sz w:val="21"/>
              </w:rPr>
            </w:pPr>
            <w:r>
              <w:rPr>
                <w:sz w:val="21"/>
              </w:rPr>
              <w:t>近东西向</w:t>
            </w:r>
          </w:p>
        </w:tc>
        <w:tc>
          <w:tcPr>
            <w:tcW w:w="780" w:type="dxa"/>
            <w:tcBorders>
              <w:top w:val="single" w:color="000000" w:sz="4" w:space="0"/>
              <w:left w:val="single" w:color="000000" w:sz="4" w:space="0"/>
              <w:bottom w:val="single" w:color="000000" w:sz="4" w:space="0"/>
              <w:right w:val="single" w:color="000000" w:sz="4" w:space="0"/>
            </w:tcBorders>
          </w:tcPr>
          <w:p>
            <w:pPr>
              <w:pStyle w:val="19"/>
              <w:spacing w:before="135"/>
              <w:ind w:left="18"/>
              <w:rPr>
                <w:sz w:val="21"/>
              </w:rPr>
            </w:pPr>
            <w:r>
              <w:rPr>
                <w:w w:val="99"/>
                <w:sz w:val="21"/>
              </w:rPr>
              <w:t>逆</w:t>
            </w:r>
          </w:p>
        </w:tc>
        <w:tc>
          <w:tcPr>
            <w:tcW w:w="1330" w:type="dxa"/>
            <w:tcBorders>
              <w:top w:val="single" w:color="000000" w:sz="4" w:space="0"/>
              <w:left w:val="single" w:color="000000" w:sz="4" w:space="0"/>
              <w:bottom w:val="single" w:color="000000" w:sz="4" w:space="0"/>
              <w:right w:val="single" w:color="000000" w:sz="4" w:space="0"/>
            </w:tcBorders>
          </w:tcPr>
          <w:p>
            <w:pPr>
              <w:pStyle w:val="19"/>
              <w:spacing w:before="135"/>
              <w:ind w:left="175" w:right="159"/>
              <w:rPr>
                <w:sz w:val="21"/>
              </w:rPr>
            </w:pPr>
            <w:r>
              <w:rPr>
                <w:sz w:val="21"/>
              </w:rPr>
              <w:t>100</w:t>
            </w:r>
          </w:p>
        </w:tc>
        <w:tc>
          <w:tcPr>
            <w:tcW w:w="5025" w:type="dxa"/>
            <w:tcBorders>
              <w:top w:val="single" w:color="000000" w:sz="4" w:space="0"/>
              <w:left w:val="single" w:color="000000" w:sz="4" w:space="0"/>
              <w:bottom w:val="single" w:color="000000" w:sz="4" w:space="0"/>
            </w:tcBorders>
          </w:tcPr>
          <w:p>
            <w:pPr>
              <w:pStyle w:val="19"/>
              <w:ind w:left="41" w:right="19"/>
              <w:rPr>
                <w:sz w:val="21"/>
              </w:rPr>
            </w:pPr>
            <w:r>
              <w:rPr>
                <w:sz w:val="21"/>
              </w:rPr>
              <w:t>开采 12、14、16 有二条片盘点实见及主井实见，可</w:t>
            </w:r>
          </w:p>
          <w:p>
            <w:pPr>
              <w:pStyle w:val="19"/>
              <w:spacing w:before="2" w:line="252" w:lineRule="exact"/>
              <w:ind w:left="41" w:right="19"/>
              <w:rPr>
                <w:sz w:val="21"/>
              </w:rPr>
            </w:pPr>
            <w:r>
              <w:rPr>
                <w:sz w:val="21"/>
              </w:rPr>
              <w:t>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80" w:type="dxa"/>
            <w:tcBorders>
              <w:top w:val="single" w:color="000000" w:sz="4" w:space="0"/>
              <w:bottom w:val="single" w:color="000000" w:sz="4" w:space="0"/>
              <w:right w:val="single" w:color="000000" w:sz="4" w:space="0"/>
            </w:tcBorders>
          </w:tcPr>
          <w:p>
            <w:pPr>
              <w:pStyle w:val="19"/>
              <w:spacing w:before="2" w:line="251" w:lineRule="exact"/>
              <w:ind w:left="159" w:right="146"/>
              <w:rPr>
                <w:sz w:val="10"/>
              </w:rPr>
            </w:pPr>
            <w:r>
              <w:rPr>
                <w:spacing w:val="1"/>
                <w:w w:val="99"/>
                <w:position w:val="3"/>
                <w:sz w:val="21"/>
              </w:rPr>
              <w:t>F</w:t>
            </w:r>
            <w:r>
              <w:rPr>
                <w:spacing w:val="-1"/>
                <w:w w:val="106"/>
                <w:sz w:val="10"/>
              </w:rPr>
              <w:t>1</w:t>
            </w:r>
            <w:r>
              <w:rPr>
                <w:w w:val="106"/>
                <w:sz w:val="10"/>
              </w:rPr>
              <w:t>0</w:t>
            </w:r>
          </w:p>
        </w:tc>
        <w:tc>
          <w:tcPr>
            <w:tcW w:w="1367" w:type="dxa"/>
            <w:tcBorders>
              <w:top w:val="single" w:color="000000" w:sz="4" w:space="0"/>
              <w:left w:val="single" w:color="000000" w:sz="4" w:space="0"/>
              <w:bottom w:val="single" w:color="000000" w:sz="4" w:space="0"/>
              <w:right w:val="single" w:color="000000" w:sz="4" w:space="0"/>
            </w:tcBorders>
          </w:tcPr>
          <w:p>
            <w:pPr>
              <w:pStyle w:val="19"/>
              <w:spacing w:before="1" w:line="252" w:lineRule="exact"/>
              <w:ind w:left="194" w:right="177"/>
              <w:rPr>
                <w:sz w:val="21"/>
              </w:rPr>
            </w:pPr>
            <w:r>
              <w:rPr>
                <w:sz w:val="21"/>
              </w:rPr>
              <w:t>北 60°西</w:t>
            </w:r>
          </w:p>
        </w:tc>
        <w:tc>
          <w:tcPr>
            <w:tcW w:w="780" w:type="dxa"/>
            <w:tcBorders>
              <w:top w:val="single" w:color="000000" w:sz="4" w:space="0"/>
              <w:left w:val="single" w:color="000000" w:sz="4" w:space="0"/>
              <w:bottom w:val="single" w:color="000000" w:sz="4" w:space="0"/>
              <w:right w:val="single" w:color="000000" w:sz="4" w:space="0"/>
            </w:tcBorders>
          </w:tcPr>
          <w:p>
            <w:pPr>
              <w:pStyle w:val="19"/>
              <w:spacing w:before="1" w:line="252" w:lineRule="exact"/>
              <w:ind w:left="18"/>
              <w:rPr>
                <w:sz w:val="21"/>
              </w:rPr>
            </w:pPr>
            <w:r>
              <w:rPr>
                <w:w w:val="99"/>
                <w:sz w:val="21"/>
              </w:rPr>
              <w:t>正</w:t>
            </w:r>
          </w:p>
        </w:tc>
        <w:tc>
          <w:tcPr>
            <w:tcW w:w="1330" w:type="dxa"/>
            <w:tcBorders>
              <w:top w:val="single" w:color="000000" w:sz="4" w:space="0"/>
              <w:left w:val="single" w:color="000000" w:sz="4" w:space="0"/>
              <w:bottom w:val="single" w:color="000000" w:sz="4" w:space="0"/>
              <w:right w:val="single" w:color="000000" w:sz="4" w:space="0"/>
            </w:tcBorders>
          </w:tcPr>
          <w:p>
            <w:pPr>
              <w:pStyle w:val="19"/>
              <w:spacing w:before="1" w:line="252" w:lineRule="exact"/>
              <w:ind w:left="175" w:right="157"/>
              <w:rPr>
                <w:sz w:val="21"/>
              </w:rPr>
            </w:pPr>
            <w:r>
              <w:rPr>
                <w:sz w:val="21"/>
              </w:rPr>
              <w:t>75-100</w:t>
            </w:r>
          </w:p>
        </w:tc>
        <w:tc>
          <w:tcPr>
            <w:tcW w:w="5025" w:type="dxa"/>
            <w:tcBorders>
              <w:top w:val="single" w:color="000000" w:sz="4" w:space="0"/>
              <w:left w:val="single" w:color="000000" w:sz="4" w:space="0"/>
              <w:bottom w:val="single" w:color="000000" w:sz="4" w:space="0"/>
            </w:tcBorders>
          </w:tcPr>
          <w:p>
            <w:pPr>
              <w:pStyle w:val="19"/>
              <w:spacing w:before="1" w:line="252" w:lineRule="exact"/>
              <w:ind w:left="41" w:right="19"/>
              <w:rPr>
                <w:sz w:val="21"/>
              </w:rPr>
            </w:pPr>
            <w:r>
              <w:rPr>
                <w:sz w:val="21"/>
              </w:rPr>
              <w:t>有钻孔及槽、井探控制，可靠。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5" w:hRule="atLeast"/>
        </w:trPr>
        <w:tc>
          <w:tcPr>
            <w:tcW w:w="780" w:type="dxa"/>
            <w:tcBorders>
              <w:top w:val="single" w:color="000000" w:sz="4" w:space="0"/>
              <w:bottom w:val="single" w:color="000000" w:sz="4" w:space="0"/>
              <w:right w:val="single" w:color="000000" w:sz="4" w:space="0"/>
            </w:tcBorders>
          </w:tcPr>
          <w:p>
            <w:pPr>
              <w:pStyle w:val="19"/>
              <w:spacing w:before="170"/>
              <w:ind w:left="159" w:right="146"/>
              <w:rPr>
                <w:sz w:val="10"/>
              </w:rPr>
            </w:pPr>
            <w:r>
              <w:rPr>
                <w:spacing w:val="1"/>
                <w:w w:val="99"/>
                <w:position w:val="3"/>
                <w:sz w:val="21"/>
              </w:rPr>
              <w:t>F</w:t>
            </w:r>
            <w:r>
              <w:rPr>
                <w:spacing w:val="-1"/>
                <w:w w:val="106"/>
                <w:sz w:val="10"/>
              </w:rPr>
              <w:t>1</w:t>
            </w:r>
            <w:r>
              <w:rPr>
                <w:w w:val="106"/>
                <w:sz w:val="10"/>
              </w:rPr>
              <w:t>2</w:t>
            </w:r>
          </w:p>
        </w:tc>
        <w:tc>
          <w:tcPr>
            <w:tcW w:w="1367" w:type="dxa"/>
            <w:tcBorders>
              <w:top w:val="single" w:color="000000" w:sz="4" w:space="0"/>
              <w:left w:val="single" w:color="000000" w:sz="4" w:space="0"/>
              <w:bottom w:val="single" w:color="000000" w:sz="4" w:space="0"/>
              <w:right w:val="single" w:color="000000" w:sz="4" w:space="0"/>
            </w:tcBorders>
          </w:tcPr>
          <w:p>
            <w:pPr>
              <w:pStyle w:val="19"/>
              <w:spacing w:before="171"/>
              <w:ind w:left="191" w:right="177"/>
              <w:rPr>
                <w:sz w:val="21"/>
              </w:rPr>
            </w:pPr>
            <w:r>
              <w:rPr>
                <w:sz w:val="21"/>
              </w:rPr>
              <w:t>近东西向</w:t>
            </w:r>
          </w:p>
        </w:tc>
        <w:tc>
          <w:tcPr>
            <w:tcW w:w="780" w:type="dxa"/>
            <w:tcBorders>
              <w:top w:val="single" w:color="000000" w:sz="4" w:space="0"/>
              <w:left w:val="single" w:color="000000" w:sz="4" w:space="0"/>
              <w:bottom w:val="single" w:color="000000" w:sz="4" w:space="0"/>
              <w:right w:val="single" w:color="000000" w:sz="4" w:space="0"/>
            </w:tcBorders>
          </w:tcPr>
          <w:p>
            <w:pPr>
              <w:pStyle w:val="19"/>
              <w:spacing w:before="171"/>
              <w:ind w:left="18"/>
              <w:rPr>
                <w:sz w:val="21"/>
              </w:rPr>
            </w:pPr>
            <w:r>
              <w:rPr>
                <w:w w:val="99"/>
                <w:sz w:val="21"/>
              </w:rPr>
              <w:t>逆</w:t>
            </w:r>
          </w:p>
        </w:tc>
        <w:tc>
          <w:tcPr>
            <w:tcW w:w="1330" w:type="dxa"/>
            <w:tcBorders>
              <w:top w:val="single" w:color="000000" w:sz="4" w:space="0"/>
              <w:left w:val="single" w:color="000000" w:sz="4" w:space="0"/>
              <w:bottom w:val="single" w:color="000000" w:sz="4" w:space="0"/>
              <w:right w:val="single" w:color="000000" w:sz="4" w:space="0"/>
            </w:tcBorders>
          </w:tcPr>
          <w:p>
            <w:pPr>
              <w:pStyle w:val="19"/>
              <w:spacing w:before="171"/>
              <w:ind w:left="175" w:right="157"/>
              <w:rPr>
                <w:sz w:val="21"/>
              </w:rPr>
            </w:pPr>
            <w:r>
              <w:rPr>
                <w:sz w:val="21"/>
              </w:rPr>
              <w:t>50-60</w:t>
            </w:r>
          </w:p>
        </w:tc>
        <w:tc>
          <w:tcPr>
            <w:tcW w:w="5025" w:type="dxa"/>
            <w:tcBorders>
              <w:top w:val="single" w:color="000000" w:sz="4" w:space="0"/>
              <w:left w:val="single" w:color="000000" w:sz="4" w:space="0"/>
              <w:bottom w:val="single" w:color="000000" w:sz="4" w:space="0"/>
            </w:tcBorders>
          </w:tcPr>
          <w:p>
            <w:pPr>
              <w:pStyle w:val="19"/>
              <w:spacing w:before="34"/>
              <w:ind w:left="16" w:right="19"/>
              <w:rPr>
                <w:sz w:val="21"/>
              </w:rPr>
            </w:pPr>
            <w:r>
              <w:rPr>
                <w:sz w:val="21"/>
              </w:rPr>
              <w:t>506 孔与龙生井之间，83-3 孔与龙生井之间，501 与</w:t>
            </w:r>
          </w:p>
          <w:p>
            <w:pPr>
              <w:pStyle w:val="19"/>
              <w:spacing w:before="5"/>
              <w:ind w:left="41" w:right="19"/>
              <w:rPr>
                <w:sz w:val="21"/>
              </w:rPr>
            </w:pPr>
            <w:r>
              <w:rPr>
                <w:sz w:val="21"/>
              </w:rPr>
              <w:t>518 孔控制，较可靠。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780" w:type="dxa"/>
            <w:tcBorders>
              <w:top w:val="single" w:color="000000" w:sz="4" w:space="0"/>
              <w:right w:val="single" w:color="000000" w:sz="4" w:space="0"/>
            </w:tcBorders>
          </w:tcPr>
          <w:p>
            <w:pPr>
              <w:pStyle w:val="19"/>
              <w:spacing w:before="135"/>
              <w:ind w:left="159" w:right="146"/>
              <w:rPr>
                <w:sz w:val="10"/>
              </w:rPr>
            </w:pPr>
            <w:r>
              <w:rPr>
                <w:spacing w:val="1"/>
                <w:w w:val="99"/>
                <w:position w:val="3"/>
                <w:sz w:val="21"/>
              </w:rPr>
              <w:t>F</w:t>
            </w:r>
            <w:r>
              <w:rPr>
                <w:spacing w:val="-1"/>
                <w:w w:val="106"/>
                <w:sz w:val="10"/>
              </w:rPr>
              <w:t>1</w:t>
            </w:r>
            <w:r>
              <w:rPr>
                <w:w w:val="106"/>
                <w:sz w:val="10"/>
              </w:rPr>
              <w:t>3</w:t>
            </w:r>
          </w:p>
        </w:tc>
        <w:tc>
          <w:tcPr>
            <w:tcW w:w="1367" w:type="dxa"/>
            <w:tcBorders>
              <w:top w:val="single" w:color="000000" w:sz="4" w:space="0"/>
              <w:left w:val="single" w:color="000000" w:sz="4" w:space="0"/>
              <w:right w:val="single" w:color="000000" w:sz="4" w:space="0"/>
            </w:tcBorders>
          </w:tcPr>
          <w:p>
            <w:pPr>
              <w:pStyle w:val="19"/>
              <w:spacing w:before="134"/>
              <w:ind w:left="191" w:right="177"/>
              <w:rPr>
                <w:sz w:val="21"/>
              </w:rPr>
            </w:pPr>
            <w:r>
              <w:rPr>
                <w:sz w:val="21"/>
              </w:rPr>
              <w:t>近东西向</w:t>
            </w:r>
          </w:p>
        </w:tc>
        <w:tc>
          <w:tcPr>
            <w:tcW w:w="780" w:type="dxa"/>
            <w:tcBorders>
              <w:top w:val="single" w:color="000000" w:sz="4" w:space="0"/>
              <w:left w:val="single" w:color="000000" w:sz="4" w:space="0"/>
              <w:right w:val="single" w:color="000000" w:sz="4" w:space="0"/>
            </w:tcBorders>
          </w:tcPr>
          <w:p>
            <w:pPr>
              <w:pStyle w:val="19"/>
              <w:spacing w:before="134"/>
              <w:ind w:left="18"/>
              <w:rPr>
                <w:sz w:val="21"/>
              </w:rPr>
            </w:pPr>
            <w:r>
              <w:rPr>
                <w:w w:val="99"/>
                <w:sz w:val="21"/>
              </w:rPr>
              <w:t>逆</w:t>
            </w:r>
          </w:p>
        </w:tc>
        <w:tc>
          <w:tcPr>
            <w:tcW w:w="1330" w:type="dxa"/>
            <w:tcBorders>
              <w:top w:val="single" w:color="000000" w:sz="4" w:space="0"/>
              <w:left w:val="single" w:color="000000" w:sz="4" w:space="0"/>
              <w:right w:val="single" w:color="000000" w:sz="4" w:space="0"/>
            </w:tcBorders>
          </w:tcPr>
          <w:p>
            <w:pPr>
              <w:pStyle w:val="19"/>
              <w:spacing w:before="134"/>
              <w:ind w:left="175" w:right="154"/>
              <w:rPr>
                <w:sz w:val="21"/>
              </w:rPr>
            </w:pPr>
            <w:r>
              <w:rPr>
                <w:sz w:val="21"/>
              </w:rPr>
              <w:t>50</w:t>
            </w:r>
          </w:p>
        </w:tc>
        <w:tc>
          <w:tcPr>
            <w:tcW w:w="5025" w:type="dxa"/>
            <w:tcBorders>
              <w:top w:val="single" w:color="000000" w:sz="4" w:space="0"/>
              <w:left w:val="single" w:color="000000" w:sz="4" w:space="0"/>
            </w:tcBorders>
          </w:tcPr>
          <w:p>
            <w:pPr>
              <w:pStyle w:val="19"/>
              <w:ind w:left="44" w:right="19"/>
              <w:rPr>
                <w:sz w:val="21"/>
              </w:rPr>
            </w:pPr>
            <w:r>
              <w:rPr>
                <w:sz w:val="21"/>
              </w:rPr>
              <w:t>505</w:t>
            </w:r>
            <w:r>
              <w:rPr>
                <w:spacing w:val="-36"/>
                <w:sz w:val="21"/>
              </w:rPr>
              <w:t xml:space="preserve"> 与 </w:t>
            </w:r>
            <w:r>
              <w:rPr>
                <w:sz w:val="21"/>
              </w:rPr>
              <w:t>506</w:t>
            </w:r>
            <w:r>
              <w:rPr>
                <w:spacing w:val="-17"/>
                <w:sz w:val="21"/>
              </w:rPr>
              <w:t xml:space="preserve"> 钻孔，</w:t>
            </w:r>
            <w:r>
              <w:rPr>
                <w:spacing w:val="-9"/>
                <w:sz w:val="21"/>
              </w:rPr>
              <w:t>523</w:t>
            </w:r>
            <w:r>
              <w:rPr>
                <w:spacing w:val="-37"/>
                <w:sz w:val="21"/>
              </w:rPr>
              <w:t xml:space="preserve"> 与 </w:t>
            </w:r>
            <w:r>
              <w:rPr>
                <w:sz w:val="21"/>
              </w:rPr>
              <w:t>03－4</w:t>
            </w:r>
            <w:r>
              <w:rPr>
                <w:spacing w:val="-9"/>
                <w:sz w:val="21"/>
              </w:rPr>
              <w:t xml:space="preserve"> 钻孔之间控制，501</w:t>
            </w:r>
            <w:r>
              <w:rPr>
                <w:spacing w:val="-28"/>
                <w:sz w:val="21"/>
              </w:rPr>
              <w:t xml:space="preserve"> 孔</w:t>
            </w:r>
          </w:p>
          <w:p>
            <w:pPr>
              <w:pStyle w:val="19"/>
              <w:spacing w:before="2" w:line="253" w:lineRule="exact"/>
              <w:ind w:left="41" w:right="19"/>
              <w:rPr>
                <w:sz w:val="21"/>
              </w:rPr>
            </w:pPr>
            <w:r>
              <w:rPr>
                <w:sz w:val="21"/>
              </w:rPr>
              <w:t>实见，可靠。</w:t>
            </w:r>
          </w:p>
        </w:tc>
      </w:tr>
    </w:tbl>
    <w:p>
      <w:pPr>
        <w:pStyle w:val="9"/>
        <w:spacing w:before="1" w:line="362" w:lineRule="auto"/>
        <w:ind w:left="218" w:right="277" w:firstLine="518"/>
        <w:jc w:val="both"/>
      </w:pPr>
      <w:r>
        <w:t>除上述四条较大的断裂外，西北部尚有 F</w:t>
      </w:r>
      <w:r>
        <w:rPr>
          <w:position w:val="-3"/>
          <w:sz w:val="12"/>
        </w:rPr>
        <w:t xml:space="preserve">5 </w:t>
      </w:r>
      <w:r>
        <w:t>和另外两条断层出现，在矿井开发的各条片盘中及地表施工的槽探工程中见有数十条方向各异的断层，性质有正有逆， 其落差大则 10m，小的只有 1～2m。</w:t>
      </w:r>
    </w:p>
    <w:p>
      <w:pPr>
        <w:pStyle w:val="9"/>
        <w:spacing w:before="3"/>
        <w:ind w:left="736"/>
      </w:pPr>
      <w:r>
        <w:t>（三）岩浆岩</w:t>
      </w:r>
    </w:p>
    <w:p>
      <w:pPr>
        <w:pStyle w:val="9"/>
        <w:spacing w:before="158" w:line="364" w:lineRule="auto"/>
        <w:ind w:left="218" w:right="275" w:firstLine="518"/>
        <w:jc w:val="both"/>
      </w:pPr>
      <w:r>
        <w:t>矿井范围内岩浆岩活动较为频繁， 在盟度公司 12、14、16 号三煤层均见有大面积火成岩侵入体，将煤层全部或部分吞噬。其中：12 号层中 2 线以西 504 及</w:t>
      </w:r>
    </w:p>
    <w:p>
      <w:pPr>
        <w:pStyle w:val="9"/>
        <w:spacing w:line="364" w:lineRule="auto"/>
        <w:ind w:left="218" w:right="275"/>
        <w:jc w:val="both"/>
      </w:pPr>
      <w:r>
        <w:t>83-4 孔中所见，呈岩床产出；16 号层中侵入位置同 12 号层范围，也是呈岩床产出；14 号层中侵入面积较大。除同 12 号、16 号两煤层有相同一块外，在 F13 与F10 两断层之间有较大一片岩床侵入体， 03-4 及 14 巷道均实见， 岩性均是闪长玢岩类； 除上述岩床外， 在已开采的 14 号、16 号两煤层的浅部井巷中及所施工的钻孔中均见有多条闪长岩类侵入体， 多呈岩脉或岩墙产出。</w:t>
      </w:r>
    </w:p>
    <w:p>
      <w:pPr>
        <w:pStyle w:val="9"/>
        <w:spacing w:line="306" w:lineRule="exact"/>
        <w:ind w:left="736"/>
        <w:jc w:val="both"/>
      </w:pPr>
      <w:r>
        <w:t>在弘泰第六煤矿 5、9 号煤层中， 也见有火成岩岩墙， 对煤层影响较大。</w:t>
      </w:r>
    </w:p>
    <w:p>
      <w:pPr>
        <w:pStyle w:val="9"/>
        <w:spacing w:before="159" w:line="362" w:lineRule="auto"/>
        <w:ind w:left="218" w:right="275" w:firstLine="518"/>
      </w:pPr>
      <w:r>
        <w:t>整合矿区范围内断层对生产布置有一定影响，局部相互切割交叉；总体为向斜构造；火成岩较发育。因此， 本井及整合矿区内构造复杂程度评价为中等。</w:t>
      </w:r>
    </w:p>
    <w:p>
      <w:pPr>
        <w:pStyle w:val="18"/>
        <w:numPr>
          <w:ilvl w:val="1"/>
          <w:numId w:val="14"/>
        </w:numPr>
        <w:tabs>
          <w:tab w:val="left" w:pos="880"/>
        </w:tabs>
        <w:spacing w:before="5" w:after="0" w:line="240" w:lineRule="auto"/>
        <w:ind w:left="879" w:right="0" w:hanging="182"/>
        <w:jc w:val="left"/>
        <w:rPr>
          <w:sz w:val="24"/>
        </w:rPr>
      </w:pPr>
      <w:r>
        <w:rPr>
          <w:sz w:val="24"/>
        </w:rPr>
        <w:t>煤层及煤质</w:t>
      </w:r>
    </w:p>
    <w:p>
      <w:pPr>
        <w:pStyle w:val="9"/>
        <w:spacing w:before="158"/>
        <w:ind w:left="698"/>
      </w:pPr>
      <w:r>
        <w:t>（一）煤层</w:t>
      </w:r>
    </w:p>
    <w:p>
      <w:pPr>
        <w:pStyle w:val="9"/>
        <w:spacing w:before="161"/>
        <w:ind w:left="698"/>
      </w:pPr>
      <w:r>
        <w:t xml:space="preserve">盟度公司整合扩储后，批准开采 </w:t>
      </w:r>
      <w:r>
        <w:rPr>
          <w:rFonts w:ascii="Times New Roman" w:eastAsia="Times New Roman"/>
        </w:rPr>
        <w:t>5</w:t>
      </w:r>
      <w:r>
        <w:t>、</w:t>
      </w:r>
      <w:r>
        <w:rPr>
          <w:rFonts w:ascii="Times New Roman" w:eastAsia="Times New Roman"/>
        </w:rPr>
        <w:t>9</w:t>
      </w:r>
      <w:r>
        <w:t>、</w:t>
      </w:r>
      <w:r>
        <w:rPr>
          <w:rFonts w:ascii="Times New Roman" w:eastAsia="Times New Roman"/>
        </w:rPr>
        <w:t>12</w:t>
      </w:r>
      <w:r>
        <w:t>、</w:t>
      </w:r>
      <w:r>
        <w:rPr>
          <w:rFonts w:ascii="Times New Roman" w:eastAsia="Times New Roman"/>
        </w:rPr>
        <w:t>14</w:t>
      </w:r>
      <w:r>
        <w:t>、</w:t>
      </w:r>
      <w:r>
        <w:rPr>
          <w:rFonts w:ascii="Times New Roman" w:eastAsia="Times New Roman"/>
        </w:rPr>
        <w:t xml:space="preserve">16 </w:t>
      </w:r>
      <w:r>
        <w:t>号等五个煤层，均赋存在城子</w:t>
      </w:r>
    </w:p>
    <w:p>
      <w:pPr>
        <w:spacing w:after="0"/>
        <w:sectPr>
          <w:footerReference r:id="rId9" w:type="default"/>
          <w:pgSz w:w="11910" w:h="16840"/>
          <w:pgMar w:top="1360" w:right="1160" w:bottom="1180" w:left="1200" w:header="0" w:footer="993" w:gutter="0"/>
          <w:pgNumType w:start="60"/>
        </w:sectPr>
      </w:pPr>
    </w:p>
    <w:p>
      <w:pPr>
        <w:pStyle w:val="9"/>
        <w:spacing w:before="41"/>
        <w:ind w:left="218"/>
      </w:pPr>
      <w:r>
        <w:t>河组含煤组中部含煤段的下部，各煤层分述如下：</w:t>
      </w:r>
    </w:p>
    <w:p>
      <w:pPr>
        <w:pStyle w:val="9"/>
        <w:spacing w:before="158" w:line="364" w:lineRule="auto"/>
        <w:ind w:left="218" w:right="137" w:firstLine="480"/>
      </w:pPr>
      <w:r>
        <w:rPr>
          <w:rFonts w:ascii="Times New Roman" w:eastAsia="Times New Roman"/>
        </w:rPr>
        <w:t xml:space="preserve">5 </w:t>
      </w:r>
      <w:r>
        <w:rPr>
          <w:spacing w:val="-4"/>
        </w:rPr>
        <w:t xml:space="preserve">号层是该地区最上部的一层可采层，煤厚 </w:t>
      </w:r>
      <w:r>
        <w:rPr>
          <w:rFonts w:ascii="Times New Roman" w:eastAsia="Times New Roman"/>
        </w:rPr>
        <w:t>0</w:t>
      </w:r>
      <w:r>
        <w:t>～</w:t>
      </w:r>
      <w:r>
        <w:rPr>
          <w:rFonts w:ascii="Times New Roman" w:eastAsia="Times New Roman"/>
        </w:rPr>
        <w:t>0.85m</w:t>
      </w:r>
      <w:r>
        <w:rPr>
          <w:spacing w:val="-16"/>
        </w:rPr>
        <w:t xml:space="preserve">，平均 </w:t>
      </w:r>
      <w:r>
        <w:rPr>
          <w:rFonts w:ascii="Times New Roman" w:eastAsia="Times New Roman"/>
        </w:rPr>
        <w:t>0.63m</w:t>
      </w:r>
      <w:r>
        <w:t>；全区发育，整</w:t>
      </w:r>
      <w:r>
        <w:rPr>
          <w:spacing w:val="-14"/>
        </w:rPr>
        <w:t xml:space="preserve">合区仅原界可采，东部和南部变薄不可采，属局部可采煤层。煤层结构以单一结构为主， </w:t>
      </w:r>
      <w:r>
        <w:rPr>
          <w:spacing w:val="-21"/>
        </w:rPr>
        <w:t xml:space="preserve">中部 </w:t>
      </w:r>
      <w:r>
        <w:rPr>
          <w:rFonts w:ascii="Times New Roman" w:eastAsia="Times New Roman"/>
        </w:rPr>
        <w:t xml:space="preserve">69-505 </w:t>
      </w:r>
      <w:r>
        <w:rPr>
          <w:spacing w:val="-6"/>
        </w:rPr>
        <w:t xml:space="preserve">孔含一层夹矸，厚度 </w:t>
      </w:r>
      <w:r>
        <w:rPr>
          <w:rFonts w:ascii="Times New Roman" w:eastAsia="Times New Roman"/>
        </w:rPr>
        <w:t>0.34m</w:t>
      </w:r>
      <w:r>
        <w:t>。属半亮型煤。煤层顶、底板岩性均为粉砂岩。</w:t>
      </w:r>
      <w:r>
        <w:rPr>
          <w:spacing w:val="-15"/>
        </w:rPr>
        <w:t xml:space="preserve">距下伏 </w:t>
      </w:r>
      <w:r>
        <w:rPr>
          <w:rFonts w:ascii="Times New Roman" w:eastAsia="Times New Roman"/>
        </w:rPr>
        <w:t xml:space="preserve">9 </w:t>
      </w:r>
      <w:r>
        <w:rPr>
          <w:spacing w:val="-10"/>
        </w:rPr>
        <w:t xml:space="preserve">号煤层距离 </w:t>
      </w:r>
      <w:r>
        <w:rPr>
          <w:rFonts w:ascii="Times New Roman" w:eastAsia="Times New Roman"/>
        </w:rPr>
        <w:t xml:space="preserve">30-40 </w:t>
      </w:r>
      <w:r>
        <w:t>米。</w:t>
      </w:r>
    </w:p>
    <w:p>
      <w:pPr>
        <w:pStyle w:val="9"/>
        <w:spacing w:line="364" w:lineRule="auto"/>
        <w:ind w:left="218" w:right="131" w:firstLine="480"/>
      </w:pPr>
      <w:r>
        <w:rPr>
          <w:rFonts w:ascii="Times New Roman" w:eastAsia="Times New Roman"/>
        </w:rPr>
        <w:t xml:space="preserve">9 </w:t>
      </w:r>
      <w:r>
        <w:rPr>
          <w:spacing w:val="-12"/>
        </w:rPr>
        <w:t xml:space="preserve">号层煤厚 </w:t>
      </w:r>
      <w:r>
        <w:rPr>
          <w:rFonts w:ascii="Times New Roman" w:eastAsia="Times New Roman"/>
          <w:spacing w:val="-6"/>
        </w:rPr>
        <w:t>0.60</w:t>
      </w:r>
      <w:r>
        <w:rPr>
          <w:spacing w:val="-6"/>
        </w:rPr>
        <w:t>～</w:t>
      </w:r>
      <w:r>
        <w:rPr>
          <w:rFonts w:ascii="Times New Roman" w:eastAsia="Times New Roman"/>
          <w:spacing w:val="-6"/>
        </w:rPr>
        <w:t>0.80m</w:t>
      </w:r>
      <w:r>
        <w:rPr>
          <w:spacing w:val="-17"/>
        </w:rPr>
        <w:t xml:space="preserve">，平均 </w:t>
      </w:r>
      <w:r>
        <w:rPr>
          <w:rFonts w:ascii="Times New Roman" w:eastAsia="Times New Roman"/>
          <w:spacing w:val="-10"/>
        </w:rPr>
        <w:t>0.67m</w:t>
      </w:r>
      <w:r>
        <w:rPr>
          <w:spacing w:val="-10"/>
        </w:rPr>
        <w:t xml:space="preserve">，整合范围内全区可采，但向东部变为不可采； </w:t>
      </w:r>
      <w:r>
        <w:rPr>
          <w:spacing w:val="-2"/>
        </w:rPr>
        <w:t xml:space="preserve">单一结构；半亮型煤；煤层顶板岩性为粉砂岩，底板岩性为细砂岩。距下伏 </w:t>
      </w:r>
      <w:r>
        <w:rPr>
          <w:rFonts w:ascii="Times New Roman" w:eastAsia="Times New Roman"/>
          <w:spacing w:val="-3"/>
        </w:rPr>
        <w:t xml:space="preserve">11 </w:t>
      </w:r>
      <w:r>
        <w:t>号煤层</w:t>
      </w:r>
      <w:r>
        <w:rPr>
          <w:spacing w:val="-20"/>
        </w:rPr>
        <w:t xml:space="preserve">距离 </w:t>
      </w:r>
      <w:r>
        <w:rPr>
          <w:rFonts w:ascii="Times New Roman" w:eastAsia="Times New Roman"/>
        </w:rPr>
        <w:t xml:space="preserve">36m </w:t>
      </w:r>
      <w:r>
        <w:t>左右。</w:t>
      </w:r>
    </w:p>
    <w:p>
      <w:pPr>
        <w:pStyle w:val="9"/>
        <w:spacing w:line="364" w:lineRule="auto"/>
        <w:ind w:left="218" w:right="253" w:firstLine="480"/>
        <w:jc w:val="both"/>
      </w:pPr>
      <w:r>
        <w:rPr>
          <w:rFonts w:ascii="Times New Roman" w:eastAsia="Times New Roman"/>
        </w:rPr>
        <w:t>12</w:t>
      </w:r>
      <w:r>
        <w:rPr>
          <w:rFonts w:ascii="Times New Roman" w:eastAsia="Times New Roman"/>
          <w:spacing w:val="13"/>
        </w:rPr>
        <w:t xml:space="preserve"> </w:t>
      </w:r>
      <w:r>
        <w:rPr>
          <w:spacing w:val="-2"/>
        </w:rPr>
        <w:t xml:space="preserve">号层为局部可采层，只在中部和东部可采；煤厚 </w:t>
      </w:r>
      <w:r>
        <w:rPr>
          <w:rFonts w:ascii="Times New Roman" w:eastAsia="Times New Roman"/>
        </w:rPr>
        <w:t>0.23</w:t>
      </w:r>
      <w:r>
        <w:t>～</w:t>
      </w:r>
      <w:r>
        <w:rPr>
          <w:rFonts w:ascii="Times New Roman" w:eastAsia="Times New Roman"/>
        </w:rPr>
        <w:t>0.74m</w:t>
      </w:r>
      <w:r>
        <w:rPr>
          <w:spacing w:val="-12"/>
        </w:rPr>
        <w:t xml:space="preserve">，平均 </w:t>
      </w:r>
      <w:r>
        <w:rPr>
          <w:rFonts w:ascii="Times New Roman" w:eastAsia="Times New Roman"/>
        </w:rPr>
        <w:t>0.43m</w:t>
      </w:r>
      <w:r>
        <w:t>；单</w:t>
      </w:r>
      <w:r>
        <w:rPr>
          <w:spacing w:val="-8"/>
        </w:rPr>
        <w:t>一结构。该煤层以亮煤为主，夹有少量镜煤与暗煤条带，层状构造，半亮型煤。顶底板</w:t>
      </w:r>
      <w:r>
        <w:rPr>
          <w:spacing w:val="-5"/>
        </w:rPr>
        <w:t xml:space="preserve">岩性均为灰白色细砂岩。距下伏 </w:t>
      </w:r>
      <w:r>
        <w:rPr>
          <w:rFonts w:ascii="Times New Roman" w:eastAsia="Times New Roman"/>
        </w:rPr>
        <w:t xml:space="preserve">14 </w:t>
      </w:r>
      <w:r>
        <w:rPr>
          <w:spacing w:val="-10"/>
        </w:rPr>
        <w:t xml:space="preserve">号煤层距离 </w:t>
      </w:r>
      <w:r>
        <w:rPr>
          <w:rFonts w:ascii="Times New Roman" w:eastAsia="Times New Roman"/>
        </w:rPr>
        <w:t>20-42m</w:t>
      </w:r>
      <w:r>
        <w:t>。</w:t>
      </w:r>
    </w:p>
    <w:p>
      <w:pPr>
        <w:pStyle w:val="9"/>
        <w:spacing w:line="364" w:lineRule="auto"/>
        <w:ind w:left="218" w:right="133" w:firstLine="480"/>
      </w:pPr>
      <w:r>
        <w:rPr>
          <w:rFonts w:ascii="Times New Roman" w:eastAsia="Times New Roman"/>
        </w:rPr>
        <w:t>14</w:t>
      </w:r>
      <w:r>
        <w:rPr>
          <w:rFonts w:ascii="Times New Roman" w:eastAsia="Times New Roman"/>
          <w:spacing w:val="-6"/>
        </w:rPr>
        <w:t xml:space="preserve"> </w:t>
      </w:r>
      <w:r>
        <w:rPr>
          <w:spacing w:val="-10"/>
        </w:rPr>
        <w:t xml:space="preserve">号层煤层厚度 </w:t>
      </w:r>
      <w:r>
        <w:rPr>
          <w:rFonts w:ascii="Times New Roman" w:eastAsia="Times New Roman"/>
        </w:rPr>
        <w:t>0.90</w:t>
      </w:r>
      <w:r>
        <w:t>～</w:t>
      </w:r>
      <w:r>
        <w:rPr>
          <w:rFonts w:ascii="Times New Roman" w:eastAsia="Times New Roman"/>
        </w:rPr>
        <w:t>2.12m</w:t>
      </w:r>
      <w:r>
        <w:rPr>
          <w:spacing w:val="-17"/>
        </w:rPr>
        <w:t xml:space="preserve">，平均 </w:t>
      </w:r>
      <w:r>
        <w:rPr>
          <w:rFonts w:ascii="Times New Roman" w:eastAsia="Times New Roman"/>
          <w:spacing w:val="-4"/>
        </w:rPr>
        <w:t>1.74m</w:t>
      </w:r>
      <w:r>
        <w:rPr>
          <w:spacing w:val="-5"/>
        </w:rPr>
        <w:t>；局部被火成岩侵蚀，为全区可采煤层。</w:t>
      </w:r>
      <w:r>
        <w:rPr>
          <w:spacing w:val="-2"/>
        </w:rPr>
        <w:t xml:space="preserve">煤层结构多为单一结构，局部含一至两层夹矸，其厚度为 </w:t>
      </w:r>
      <w:r>
        <w:rPr>
          <w:rFonts w:ascii="Times New Roman" w:eastAsia="Times New Roman"/>
        </w:rPr>
        <w:t>0.08</w:t>
      </w:r>
      <w:r>
        <w:t>～</w:t>
      </w:r>
      <w:r>
        <w:rPr>
          <w:rFonts w:ascii="Times New Roman" w:eastAsia="Times New Roman"/>
        </w:rPr>
        <w:t>0.40m</w:t>
      </w:r>
      <w:r>
        <w:t>，夹矸岩性为含</w:t>
      </w:r>
      <w:r>
        <w:rPr>
          <w:spacing w:val="-5"/>
        </w:rPr>
        <w:t>炭较高的深灰黑色粉砂岩。煤层以亮煤为主，夹有暗煤带条，层状构造，半亮型煤；顶</w:t>
      </w:r>
      <w:r>
        <w:rPr>
          <w:spacing w:val="-9"/>
        </w:rPr>
        <w:t xml:space="preserve">底板岩性均为粉砂岩。距下伏 </w:t>
      </w:r>
      <w:r>
        <w:rPr>
          <w:rFonts w:ascii="Times New Roman" w:eastAsia="Times New Roman"/>
        </w:rPr>
        <w:t xml:space="preserve">16 </w:t>
      </w:r>
      <w:r>
        <w:rPr>
          <w:spacing w:val="-10"/>
        </w:rPr>
        <w:t xml:space="preserve">号煤层距离 </w:t>
      </w:r>
      <w:r>
        <w:rPr>
          <w:rFonts w:ascii="Times New Roman" w:eastAsia="Times New Roman"/>
        </w:rPr>
        <w:t>63</w:t>
      </w:r>
      <w:r>
        <w:t>～</w:t>
      </w:r>
      <w:r>
        <w:rPr>
          <w:rFonts w:ascii="Times New Roman" w:eastAsia="Times New Roman"/>
        </w:rPr>
        <w:t>120m</w:t>
      </w:r>
      <w:r>
        <w:t>。</w:t>
      </w:r>
    </w:p>
    <w:p>
      <w:pPr>
        <w:pStyle w:val="9"/>
        <w:spacing w:line="364" w:lineRule="auto"/>
        <w:ind w:left="218" w:right="131" w:firstLine="480"/>
      </w:pPr>
      <w:r>
        <w:rPr>
          <w:rFonts w:ascii="Times New Roman" w:eastAsia="Times New Roman"/>
        </w:rPr>
        <w:t xml:space="preserve">16 </w:t>
      </w:r>
      <w:r>
        <w:rPr>
          <w:spacing w:val="-8"/>
        </w:rPr>
        <w:t xml:space="preserve">号层煤层厚度 </w:t>
      </w:r>
      <w:r>
        <w:rPr>
          <w:rFonts w:ascii="Times New Roman" w:eastAsia="Times New Roman"/>
        </w:rPr>
        <w:t>0.38</w:t>
      </w:r>
      <w:r>
        <w:t>～</w:t>
      </w:r>
      <w:r>
        <w:rPr>
          <w:rFonts w:ascii="Times New Roman" w:eastAsia="Times New Roman"/>
        </w:rPr>
        <w:t>1.23m</w:t>
      </w:r>
      <w:r>
        <w:rPr>
          <w:spacing w:val="-13"/>
        </w:rPr>
        <w:t xml:space="preserve">，平均 </w:t>
      </w:r>
      <w:r>
        <w:rPr>
          <w:rFonts w:ascii="Times New Roman" w:eastAsia="Times New Roman"/>
        </w:rPr>
        <w:t>0.58m</w:t>
      </w:r>
      <w:r>
        <w:t>；全区发育，西部变薄不可采，为大部</w:t>
      </w:r>
      <w:r>
        <w:rPr>
          <w:spacing w:val="-16"/>
        </w:rPr>
        <w:t xml:space="preserve">可采煤层。多为单一结构，仅 </w:t>
      </w:r>
      <w:r>
        <w:rPr>
          <w:rFonts w:ascii="Times New Roman" w:eastAsia="Times New Roman"/>
        </w:rPr>
        <w:t xml:space="preserve">71-523 </w:t>
      </w:r>
      <w:r>
        <w:rPr>
          <w:spacing w:val="-12"/>
        </w:rPr>
        <w:t xml:space="preserve">孔含一层夹矸，夹矸厚度 </w:t>
      </w:r>
      <w:r>
        <w:rPr>
          <w:rFonts w:ascii="Times New Roman" w:eastAsia="Times New Roman"/>
        </w:rPr>
        <w:t>0.39m</w:t>
      </w:r>
      <w:r>
        <w:rPr>
          <w:spacing w:val="-9"/>
        </w:rPr>
        <w:t xml:space="preserve">。煤层以暗煤为主， </w:t>
      </w:r>
      <w:r>
        <w:rPr>
          <w:spacing w:val="-5"/>
        </w:rPr>
        <w:t>夹有亮煤及镜煤条带，层状构造，半暗型煤；顶板浅部为细砂和粉砂岩互层，深部均是细砂岩，底板为灰白色细砂岩夹有薄层粉砂岩。</w:t>
      </w:r>
    </w:p>
    <w:p>
      <w:pPr>
        <w:pStyle w:val="9"/>
        <w:spacing w:line="305" w:lineRule="exact"/>
        <w:ind w:left="698"/>
      </w:pPr>
      <w:r>
        <w:t>（二）煤质</w:t>
      </w:r>
    </w:p>
    <w:p>
      <w:pPr>
        <w:pStyle w:val="9"/>
        <w:spacing w:before="155" w:line="362" w:lineRule="auto"/>
        <w:ind w:left="218" w:right="253" w:firstLine="480"/>
      </w:pPr>
      <w:r>
        <w:rPr>
          <w:spacing w:val="-8"/>
        </w:rPr>
        <w:t>依据《双桦煤田文胜勘探区普查地质报告》和《双桦煤矿二井田补充勘探报告》煤</w:t>
      </w:r>
      <w:r>
        <w:t>质情况如下：</w:t>
      </w:r>
    </w:p>
    <w:p>
      <w:pPr>
        <w:pStyle w:val="9"/>
        <w:spacing w:before="5"/>
        <w:ind w:left="698"/>
      </w:pPr>
      <w:r>
        <w:rPr>
          <w:rFonts w:ascii="Times New Roman" w:eastAsia="Times New Roman"/>
        </w:rPr>
        <w:t>1</w:t>
      </w:r>
      <w:r>
        <w:t>、物理性质</w:t>
      </w:r>
    </w:p>
    <w:p>
      <w:pPr>
        <w:pStyle w:val="9"/>
        <w:spacing w:before="158" w:line="364" w:lineRule="auto"/>
        <w:ind w:left="218" w:right="137" w:firstLine="480"/>
      </w:pPr>
      <w:r>
        <w:rPr>
          <w:spacing w:val="-4"/>
        </w:rPr>
        <w:t>肉眼观察为深黑色至黑色，具玻璃光泽，性脆而软，易碎成小块状或粉状，参差状</w:t>
      </w:r>
      <w:r>
        <w:rPr>
          <w:spacing w:val="-8"/>
        </w:rPr>
        <w:t>或贝壳状断口，内生裂隙发育，外生裂隙中有方解石充填。煤岩类型多为光亮型和半亮</w:t>
      </w:r>
      <w:r>
        <w:rPr>
          <w:spacing w:val="-18"/>
        </w:rPr>
        <w:t>型煤组成，呈条带状结构；其次也见有块状结构。</w:t>
      </w:r>
      <w:r>
        <w:rPr>
          <w:rFonts w:ascii="Times New Roman" w:hAnsi="Times New Roman" w:eastAsia="Times New Roman"/>
        </w:rPr>
        <w:t xml:space="preserve">524 </w:t>
      </w:r>
      <w:r>
        <w:rPr>
          <w:spacing w:val="-20"/>
        </w:rPr>
        <w:t xml:space="preserve">号孔 </w:t>
      </w:r>
      <w:r>
        <w:rPr>
          <w:rFonts w:ascii="Times New Roman" w:hAnsi="Times New Roman" w:eastAsia="Times New Roman"/>
        </w:rPr>
        <w:t xml:space="preserve">14 </w:t>
      </w:r>
      <w:r>
        <w:rPr>
          <w:spacing w:val="-2"/>
        </w:rPr>
        <w:t xml:space="preserve">号煤层光片显微镜下鉴定： </w:t>
      </w:r>
      <w:r>
        <w:rPr>
          <w:spacing w:val="-4"/>
        </w:rPr>
        <w:t>煤岩组分以浅灰色泞胶化基质居多，与泥岩、丝炭细碎体混生，其次镜煤呈灰白色，丝</w:t>
      </w:r>
      <w:r>
        <w:rPr>
          <w:spacing w:val="-9"/>
        </w:rPr>
        <w:t>炭化物质可见，丝炭化结构不完整，胞膛部分被泥岩充填，突起底，半丝炭化基体，半</w:t>
      </w:r>
      <w:r>
        <w:rPr>
          <w:spacing w:val="-17"/>
        </w:rPr>
        <w:t xml:space="preserve">泞胶化基质体皆可见。稳定组：可见叶角质层，低突起，深灰色矿物杂质；泥岩含量多， </w:t>
      </w:r>
      <w:r>
        <w:rPr>
          <w:spacing w:val="-2"/>
        </w:rPr>
        <w:t xml:space="preserve">其它陆源碎屑物含量少，经煤变阶段为Ⅳ，煤岩类型为 </w:t>
      </w:r>
      <w:r>
        <w:rPr>
          <w:rFonts w:ascii="Times New Roman" w:hAnsi="Times New Roman" w:eastAsia="Times New Roman"/>
        </w:rPr>
        <w:t xml:space="preserve">K1 </w:t>
      </w:r>
      <w:r>
        <w:rPr>
          <w:spacing w:val="-8"/>
        </w:rPr>
        <w:t xml:space="preserve">阶段。容重 </w:t>
      </w:r>
      <w:r>
        <w:rPr>
          <w:rFonts w:ascii="Times New Roman" w:hAnsi="Times New Roman" w:eastAsia="Times New Roman"/>
        </w:rPr>
        <w:t>1.37</w:t>
      </w:r>
      <w:r>
        <w:t>～</w:t>
      </w:r>
      <w:r>
        <w:rPr>
          <w:rFonts w:ascii="Times New Roman" w:hAnsi="Times New Roman" w:eastAsia="Times New Roman"/>
        </w:rPr>
        <w:t>1.49</w:t>
      </w:r>
      <w:r>
        <w:t>，一</w:t>
      </w:r>
    </w:p>
    <w:p>
      <w:pPr>
        <w:spacing w:after="0" w:line="364" w:lineRule="auto"/>
        <w:sectPr>
          <w:pgSz w:w="11910" w:h="16840"/>
          <w:pgMar w:top="1360" w:right="1160" w:bottom="1180" w:left="1200" w:header="0" w:footer="993" w:gutter="0"/>
        </w:sectPr>
      </w:pPr>
    </w:p>
    <w:p>
      <w:pPr>
        <w:pStyle w:val="9"/>
        <w:spacing w:before="61"/>
        <w:ind w:left="218"/>
      </w:pPr>
      <w:r>
        <w:t xml:space="preserve">般 </w:t>
      </w:r>
      <w:r>
        <w:rPr>
          <w:rFonts w:ascii="Times New Roman" w:eastAsia="Times New Roman"/>
        </w:rPr>
        <w:t>1.40</w:t>
      </w:r>
      <w:r>
        <w:t>。</w:t>
      </w:r>
    </w:p>
    <w:p>
      <w:pPr>
        <w:pStyle w:val="9"/>
        <w:spacing w:before="158"/>
        <w:ind w:left="698"/>
      </w:pPr>
      <w:r>
        <w:rPr>
          <w:rFonts w:ascii="Times New Roman" w:eastAsia="Times New Roman"/>
        </w:rPr>
        <w:t>2</w:t>
      </w:r>
      <w:r>
        <w:t>、化学性质和工艺性质</w:t>
      </w:r>
    </w:p>
    <w:p>
      <w:pPr>
        <w:pStyle w:val="9"/>
        <w:spacing w:before="161" w:line="364" w:lineRule="auto"/>
        <w:ind w:left="218" w:right="128" w:firstLine="480"/>
      </w:pPr>
      <w:r>
        <w:rPr>
          <w:spacing w:val="-11"/>
        </w:rPr>
        <w:t xml:space="preserve">原煤灰分 </w:t>
      </w:r>
      <w:r>
        <w:rPr>
          <w:rFonts w:ascii="Times New Roman" w:eastAsia="Times New Roman"/>
          <w:spacing w:val="-3"/>
        </w:rPr>
        <w:t>12.73%</w:t>
      </w:r>
      <w:r>
        <w:rPr>
          <w:spacing w:val="-3"/>
        </w:rPr>
        <w:t>～</w:t>
      </w:r>
      <w:r>
        <w:rPr>
          <w:rFonts w:ascii="Times New Roman" w:eastAsia="Times New Roman"/>
          <w:spacing w:val="-3"/>
        </w:rPr>
        <w:t>40.44%</w:t>
      </w:r>
      <w:r>
        <w:rPr>
          <w:spacing w:val="-12"/>
        </w:rPr>
        <w:t xml:space="preserve">；挥发份 </w:t>
      </w:r>
      <w:r>
        <w:rPr>
          <w:rFonts w:ascii="Times New Roman" w:eastAsia="Times New Roman"/>
          <w:spacing w:val="-3"/>
        </w:rPr>
        <w:t>7.89%</w:t>
      </w:r>
      <w:r>
        <w:rPr>
          <w:spacing w:val="-3"/>
        </w:rPr>
        <w:t>～</w:t>
      </w:r>
      <w:r>
        <w:rPr>
          <w:rFonts w:ascii="Times New Roman" w:eastAsia="Times New Roman"/>
          <w:spacing w:val="-3"/>
        </w:rPr>
        <w:t>37.04%</w:t>
      </w:r>
      <w:r>
        <w:rPr>
          <w:spacing w:val="-8"/>
        </w:rPr>
        <w:t>；胶质层厚度</w:t>
      </w:r>
      <w:r>
        <w:rPr>
          <w:spacing w:val="-4"/>
        </w:rPr>
        <w:t>（</w:t>
      </w:r>
      <w:r>
        <w:rPr>
          <w:rFonts w:ascii="Times New Roman" w:eastAsia="Times New Roman"/>
          <w:spacing w:val="-4"/>
        </w:rPr>
        <w:t>Y</w:t>
      </w:r>
      <w:r>
        <w:rPr>
          <w:spacing w:val="-4"/>
        </w:rPr>
        <w:t>）</w:t>
      </w:r>
      <w:r>
        <w:rPr>
          <w:rFonts w:ascii="Times New Roman" w:eastAsia="Times New Roman"/>
          <w:spacing w:val="-4"/>
        </w:rPr>
        <w:t>0</w:t>
      </w:r>
      <w:r>
        <w:rPr>
          <w:spacing w:val="-4"/>
        </w:rPr>
        <w:t>～</w:t>
      </w:r>
      <w:r>
        <w:rPr>
          <w:rFonts w:ascii="Times New Roman" w:eastAsia="Times New Roman"/>
          <w:spacing w:val="-4"/>
        </w:rPr>
        <w:t>23.0mm</w:t>
      </w:r>
      <w:r>
        <w:rPr>
          <w:spacing w:val="-4"/>
        </w:rPr>
        <w:t xml:space="preserve">； </w:t>
      </w:r>
      <w:r>
        <w:t>发热量（</w:t>
      </w:r>
      <w:r>
        <w:rPr>
          <w:rFonts w:ascii="Times New Roman" w:eastAsia="Times New Roman"/>
        </w:rPr>
        <w:t>Qr.dr</w:t>
      </w:r>
      <w:r>
        <w:t>）</w:t>
      </w:r>
      <w:r>
        <w:rPr>
          <w:rFonts w:ascii="Times New Roman" w:eastAsia="Times New Roman"/>
        </w:rPr>
        <w:t>28.910</w:t>
      </w:r>
      <w:r>
        <w:t>～</w:t>
      </w:r>
      <w:r>
        <w:rPr>
          <w:rFonts w:ascii="Times New Roman" w:eastAsia="Times New Roman"/>
        </w:rPr>
        <w:t>36.93 MJ/kg</w:t>
      </w:r>
      <w:r>
        <w:rPr>
          <w:spacing w:val="-13"/>
        </w:rPr>
        <w:t xml:space="preserve">；硫小于 </w:t>
      </w:r>
      <w:r>
        <w:rPr>
          <w:rFonts w:ascii="Times New Roman" w:eastAsia="Times New Roman"/>
        </w:rPr>
        <w:t>0.9%</w:t>
      </w:r>
      <w:r>
        <w:rPr>
          <w:spacing w:val="-16"/>
        </w:rPr>
        <w:t xml:space="preserve">，一般 </w:t>
      </w:r>
      <w:r>
        <w:rPr>
          <w:rFonts w:ascii="Times New Roman" w:eastAsia="Times New Roman"/>
        </w:rPr>
        <w:t>0.40%</w:t>
      </w:r>
      <w:r>
        <w:rPr>
          <w:spacing w:val="-9"/>
        </w:rPr>
        <w:t xml:space="preserve">；磷含量小于 </w:t>
      </w:r>
      <w:r>
        <w:rPr>
          <w:rFonts w:ascii="Times New Roman" w:eastAsia="Times New Roman"/>
        </w:rPr>
        <w:t>0.01%</w:t>
      </w:r>
      <w:r>
        <w:t xml:space="preserve">， </w:t>
      </w:r>
      <w:r>
        <w:rPr>
          <w:spacing w:val="-15"/>
        </w:rPr>
        <w:t xml:space="preserve">一般在 </w:t>
      </w:r>
      <w:r>
        <w:rPr>
          <w:rFonts w:ascii="Times New Roman" w:eastAsia="Times New Roman"/>
        </w:rPr>
        <w:t>0.005%</w:t>
      </w:r>
      <w:r>
        <w:t>详见下表。</w:t>
      </w:r>
    </w:p>
    <w:p>
      <w:pPr>
        <w:spacing w:before="0" w:after="3" w:line="267" w:lineRule="exact"/>
        <w:ind w:left="578" w:right="131" w:firstLine="0"/>
        <w:jc w:val="center"/>
        <w:rPr>
          <w:b/>
          <w:sz w:val="21"/>
        </w:rPr>
      </w:pPr>
      <w:r>
        <w:rPr>
          <w:b/>
          <w:sz w:val="21"/>
        </w:rPr>
        <w:t>表 2.3-6 煤层煤质特征表</w:t>
      </w:r>
    </w:p>
    <w:tbl>
      <w:tblPr>
        <w:tblStyle w:val="15"/>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45"/>
        <w:gridCol w:w="1851"/>
        <w:gridCol w:w="1735"/>
        <w:gridCol w:w="1488"/>
        <w:gridCol w:w="1787"/>
        <w:gridCol w:w="127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145" w:type="dxa"/>
            <w:vMerge w:val="restart"/>
            <w:tcBorders>
              <w:bottom w:val="single" w:color="000000" w:sz="4" w:space="0"/>
              <w:right w:val="single" w:color="000000" w:sz="4" w:space="0"/>
            </w:tcBorders>
          </w:tcPr>
          <w:p>
            <w:pPr>
              <w:pStyle w:val="19"/>
              <w:jc w:val="left"/>
              <w:rPr>
                <w:b/>
                <w:sz w:val="22"/>
              </w:rPr>
            </w:pPr>
          </w:p>
          <w:p>
            <w:pPr>
              <w:pStyle w:val="19"/>
              <w:ind w:left="255"/>
              <w:jc w:val="left"/>
              <w:rPr>
                <w:sz w:val="21"/>
              </w:rPr>
            </w:pPr>
            <w:r>
              <w:rPr>
                <w:sz w:val="21"/>
              </w:rPr>
              <w:t>煤层号</w:t>
            </w:r>
          </w:p>
        </w:tc>
        <w:tc>
          <w:tcPr>
            <w:tcW w:w="5074" w:type="dxa"/>
            <w:gridSpan w:val="3"/>
            <w:tcBorders>
              <w:left w:val="single" w:color="000000" w:sz="4" w:space="0"/>
              <w:bottom w:val="single" w:color="000000" w:sz="4" w:space="0"/>
              <w:right w:val="single" w:color="000000" w:sz="4" w:space="0"/>
            </w:tcBorders>
          </w:tcPr>
          <w:p>
            <w:pPr>
              <w:pStyle w:val="19"/>
              <w:spacing w:line="252" w:lineRule="exact"/>
              <w:ind w:left="2099" w:right="2085"/>
              <w:rPr>
                <w:sz w:val="21"/>
              </w:rPr>
            </w:pPr>
            <w:r>
              <w:rPr>
                <w:sz w:val="21"/>
              </w:rPr>
              <w:t>工业分析</w:t>
            </w:r>
          </w:p>
        </w:tc>
        <w:tc>
          <w:tcPr>
            <w:tcW w:w="1787" w:type="dxa"/>
            <w:tcBorders>
              <w:left w:val="single" w:color="000000" w:sz="4" w:space="0"/>
              <w:bottom w:val="single" w:color="000000" w:sz="4" w:space="0"/>
              <w:right w:val="single" w:color="000000" w:sz="4" w:space="0"/>
            </w:tcBorders>
          </w:tcPr>
          <w:p>
            <w:pPr>
              <w:pStyle w:val="19"/>
              <w:spacing w:line="252" w:lineRule="exact"/>
              <w:ind w:left="244" w:right="229"/>
              <w:rPr>
                <w:sz w:val="21"/>
              </w:rPr>
            </w:pPr>
            <w:r>
              <w:rPr>
                <w:sz w:val="21"/>
              </w:rPr>
              <w:t>发热量</w:t>
            </w:r>
          </w:p>
        </w:tc>
        <w:tc>
          <w:tcPr>
            <w:tcW w:w="1278" w:type="dxa"/>
            <w:tcBorders>
              <w:left w:val="single" w:color="000000" w:sz="4" w:space="0"/>
              <w:bottom w:val="single" w:color="000000" w:sz="4" w:space="0"/>
            </w:tcBorders>
          </w:tcPr>
          <w:p>
            <w:pPr>
              <w:pStyle w:val="19"/>
              <w:spacing w:line="252" w:lineRule="exact"/>
              <w:ind w:left="433"/>
              <w:jc w:val="left"/>
              <w:rPr>
                <w:sz w:val="21"/>
              </w:rPr>
            </w:pPr>
            <w:r>
              <w:rPr>
                <w:sz w:val="21"/>
              </w:rPr>
              <w:t>煤类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1145" w:type="dxa"/>
            <w:vMerge w:val="continue"/>
            <w:tcBorders>
              <w:top w:val="nil"/>
              <w:bottom w:val="single" w:color="000000" w:sz="4" w:space="0"/>
              <w:right w:val="single" w:color="000000" w:sz="4" w:space="0"/>
            </w:tcBorders>
          </w:tcPr>
          <w:p>
            <w:pPr>
              <w:rPr>
                <w:sz w:val="2"/>
                <w:szCs w:val="2"/>
              </w:rPr>
            </w:pPr>
          </w:p>
        </w:tc>
        <w:tc>
          <w:tcPr>
            <w:tcW w:w="1851" w:type="dxa"/>
            <w:tcBorders>
              <w:top w:val="single" w:color="000000" w:sz="4" w:space="0"/>
              <w:left w:val="single" w:color="000000" w:sz="4" w:space="0"/>
              <w:bottom w:val="single" w:color="000000" w:sz="4" w:space="0"/>
              <w:right w:val="single" w:color="000000" w:sz="4" w:space="0"/>
            </w:tcBorders>
          </w:tcPr>
          <w:p>
            <w:pPr>
              <w:pStyle w:val="19"/>
              <w:spacing w:line="252" w:lineRule="exact"/>
              <w:ind w:left="260" w:right="242"/>
              <w:rPr>
                <w:sz w:val="21"/>
              </w:rPr>
            </w:pPr>
            <w:r>
              <w:rPr>
                <w:sz w:val="21"/>
              </w:rPr>
              <w:t>Ag</w:t>
            </w:r>
          </w:p>
        </w:tc>
        <w:tc>
          <w:tcPr>
            <w:tcW w:w="1735" w:type="dxa"/>
            <w:tcBorders>
              <w:top w:val="single" w:color="000000" w:sz="4" w:space="0"/>
              <w:left w:val="single" w:color="000000" w:sz="4" w:space="0"/>
              <w:bottom w:val="single" w:color="000000" w:sz="4" w:space="0"/>
              <w:right w:val="single" w:color="000000" w:sz="4" w:space="0"/>
            </w:tcBorders>
          </w:tcPr>
          <w:p>
            <w:pPr>
              <w:pStyle w:val="19"/>
              <w:spacing w:line="252" w:lineRule="exact"/>
              <w:ind w:left="587" w:right="570"/>
              <w:rPr>
                <w:sz w:val="21"/>
              </w:rPr>
            </w:pPr>
            <w:r>
              <w:rPr>
                <w:sz w:val="21"/>
              </w:rPr>
              <w:t>Vr</w:t>
            </w:r>
          </w:p>
        </w:tc>
        <w:tc>
          <w:tcPr>
            <w:tcW w:w="1488" w:type="dxa"/>
            <w:tcBorders>
              <w:top w:val="single" w:color="000000" w:sz="4" w:space="0"/>
              <w:left w:val="single" w:color="000000" w:sz="4" w:space="0"/>
              <w:bottom w:val="single" w:color="000000" w:sz="4" w:space="0"/>
              <w:right w:val="single" w:color="000000" w:sz="4" w:space="0"/>
            </w:tcBorders>
          </w:tcPr>
          <w:p>
            <w:pPr>
              <w:pStyle w:val="19"/>
              <w:spacing w:line="252" w:lineRule="exact"/>
              <w:ind w:left="200" w:right="184"/>
              <w:rPr>
                <w:sz w:val="21"/>
              </w:rPr>
            </w:pPr>
            <w:r>
              <w:rPr>
                <w:sz w:val="21"/>
              </w:rPr>
              <w:t>胶质层</w:t>
            </w:r>
          </w:p>
        </w:tc>
        <w:tc>
          <w:tcPr>
            <w:tcW w:w="1787" w:type="dxa"/>
            <w:tcBorders>
              <w:top w:val="single" w:color="000000" w:sz="4" w:space="0"/>
              <w:left w:val="single" w:color="000000" w:sz="4" w:space="0"/>
              <w:bottom w:val="single" w:color="000000" w:sz="4" w:space="0"/>
              <w:right w:val="single" w:color="000000" w:sz="4" w:space="0"/>
            </w:tcBorders>
          </w:tcPr>
          <w:p>
            <w:pPr>
              <w:pStyle w:val="19"/>
              <w:spacing w:line="252" w:lineRule="exact"/>
              <w:ind w:left="245" w:right="229"/>
              <w:rPr>
                <w:sz w:val="21"/>
              </w:rPr>
            </w:pPr>
            <w:r>
              <w:rPr>
                <w:sz w:val="21"/>
              </w:rPr>
              <w:t>Qr.dr</w:t>
            </w:r>
          </w:p>
        </w:tc>
        <w:tc>
          <w:tcPr>
            <w:tcW w:w="1278" w:type="dxa"/>
            <w:vMerge w:val="restart"/>
            <w:tcBorders>
              <w:top w:val="single" w:color="000000" w:sz="4" w:space="0"/>
              <w:left w:val="single" w:color="000000" w:sz="4" w:space="0"/>
              <w:bottom w:val="single" w:color="000000" w:sz="4" w:space="0"/>
            </w:tcBorders>
          </w:tcPr>
          <w:p>
            <w:pPr>
              <w:pStyle w:val="19"/>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1145" w:type="dxa"/>
            <w:vMerge w:val="continue"/>
            <w:tcBorders>
              <w:top w:val="nil"/>
              <w:bottom w:val="single" w:color="000000" w:sz="4" w:space="0"/>
              <w:right w:val="single" w:color="000000" w:sz="4" w:space="0"/>
            </w:tcBorders>
          </w:tcPr>
          <w:p>
            <w:pPr>
              <w:rPr>
                <w:sz w:val="2"/>
                <w:szCs w:val="2"/>
              </w:rPr>
            </w:pPr>
          </w:p>
        </w:tc>
        <w:tc>
          <w:tcPr>
            <w:tcW w:w="1851" w:type="dxa"/>
            <w:tcBorders>
              <w:top w:val="single" w:color="000000" w:sz="4" w:space="0"/>
              <w:left w:val="single" w:color="000000" w:sz="4" w:space="0"/>
              <w:bottom w:val="single" w:color="000000" w:sz="4" w:space="0"/>
              <w:right w:val="single" w:color="000000" w:sz="4" w:space="0"/>
            </w:tcBorders>
          </w:tcPr>
          <w:p>
            <w:pPr>
              <w:pStyle w:val="19"/>
              <w:spacing w:before="1" w:line="252" w:lineRule="exact"/>
              <w:ind w:left="18"/>
              <w:rPr>
                <w:sz w:val="21"/>
              </w:rPr>
            </w:pPr>
            <w:r>
              <w:rPr>
                <w:w w:val="99"/>
                <w:sz w:val="21"/>
              </w:rPr>
              <w:t>%</w:t>
            </w:r>
          </w:p>
        </w:tc>
        <w:tc>
          <w:tcPr>
            <w:tcW w:w="1735" w:type="dxa"/>
            <w:tcBorders>
              <w:top w:val="single" w:color="000000" w:sz="4" w:space="0"/>
              <w:left w:val="single" w:color="000000" w:sz="4" w:space="0"/>
              <w:bottom w:val="single" w:color="000000" w:sz="4" w:space="0"/>
              <w:right w:val="single" w:color="000000" w:sz="4" w:space="0"/>
            </w:tcBorders>
          </w:tcPr>
          <w:p>
            <w:pPr>
              <w:pStyle w:val="19"/>
              <w:spacing w:before="1" w:line="252" w:lineRule="exact"/>
              <w:ind w:left="17"/>
              <w:rPr>
                <w:sz w:val="21"/>
              </w:rPr>
            </w:pPr>
            <w:r>
              <w:rPr>
                <w:w w:val="99"/>
                <w:sz w:val="21"/>
              </w:rPr>
              <w:t>%</w:t>
            </w:r>
          </w:p>
        </w:tc>
        <w:tc>
          <w:tcPr>
            <w:tcW w:w="1488" w:type="dxa"/>
            <w:tcBorders>
              <w:top w:val="single" w:color="000000" w:sz="4" w:space="0"/>
              <w:left w:val="single" w:color="000000" w:sz="4" w:space="0"/>
              <w:bottom w:val="single" w:color="000000" w:sz="4" w:space="0"/>
              <w:right w:val="single" w:color="000000" w:sz="4" w:space="0"/>
            </w:tcBorders>
          </w:tcPr>
          <w:p>
            <w:pPr>
              <w:pStyle w:val="19"/>
              <w:spacing w:before="1" w:line="252" w:lineRule="exact"/>
              <w:ind w:left="200" w:right="184"/>
              <w:rPr>
                <w:sz w:val="21"/>
              </w:rPr>
            </w:pPr>
            <w:r>
              <w:rPr>
                <w:sz w:val="21"/>
              </w:rPr>
              <w:t>Y（mm）</w:t>
            </w:r>
          </w:p>
        </w:tc>
        <w:tc>
          <w:tcPr>
            <w:tcW w:w="1787" w:type="dxa"/>
            <w:tcBorders>
              <w:top w:val="single" w:color="000000" w:sz="4" w:space="0"/>
              <w:left w:val="single" w:color="000000" w:sz="4" w:space="0"/>
              <w:bottom w:val="single" w:color="000000" w:sz="4" w:space="0"/>
              <w:right w:val="single" w:color="000000" w:sz="4" w:space="0"/>
            </w:tcBorders>
          </w:tcPr>
          <w:p>
            <w:pPr>
              <w:pStyle w:val="19"/>
              <w:spacing w:before="1" w:line="252" w:lineRule="exact"/>
              <w:ind w:left="245" w:right="229"/>
              <w:rPr>
                <w:sz w:val="21"/>
              </w:rPr>
            </w:pPr>
            <w:r>
              <w:rPr>
                <w:sz w:val="21"/>
              </w:rPr>
              <w:t>MJ/Kg</w:t>
            </w:r>
          </w:p>
        </w:tc>
        <w:tc>
          <w:tcPr>
            <w:tcW w:w="127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1145" w:type="dxa"/>
            <w:vMerge w:val="restart"/>
            <w:tcBorders>
              <w:top w:val="single" w:color="000000" w:sz="4" w:space="0"/>
              <w:bottom w:val="single" w:color="000000" w:sz="4" w:space="0"/>
              <w:right w:val="single" w:color="000000" w:sz="4" w:space="0"/>
            </w:tcBorders>
          </w:tcPr>
          <w:p>
            <w:pPr>
              <w:pStyle w:val="19"/>
              <w:spacing w:before="140"/>
              <w:ind w:left="14"/>
              <w:rPr>
                <w:sz w:val="21"/>
              </w:rPr>
            </w:pPr>
            <w:r>
              <w:rPr>
                <w:w w:val="99"/>
                <w:sz w:val="21"/>
              </w:rPr>
              <w:t>5</w:t>
            </w:r>
          </w:p>
        </w:tc>
        <w:tc>
          <w:tcPr>
            <w:tcW w:w="1851" w:type="dxa"/>
            <w:tcBorders>
              <w:top w:val="single" w:color="000000" w:sz="4" w:space="0"/>
              <w:left w:val="single" w:color="000000" w:sz="4" w:space="0"/>
              <w:bottom w:val="single" w:color="000000" w:sz="4" w:space="0"/>
              <w:right w:val="single" w:color="000000" w:sz="4" w:space="0"/>
            </w:tcBorders>
          </w:tcPr>
          <w:p>
            <w:pPr>
              <w:pStyle w:val="19"/>
              <w:spacing w:line="252" w:lineRule="exact"/>
              <w:ind w:left="260" w:right="240"/>
              <w:rPr>
                <w:sz w:val="21"/>
              </w:rPr>
            </w:pPr>
            <w:r>
              <w:rPr>
                <w:sz w:val="21"/>
              </w:rPr>
              <w:t>18.99</w:t>
            </w:r>
          </w:p>
        </w:tc>
        <w:tc>
          <w:tcPr>
            <w:tcW w:w="1735" w:type="dxa"/>
            <w:tcBorders>
              <w:top w:val="single" w:color="000000" w:sz="4" w:space="0"/>
              <w:left w:val="single" w:color="000000" w:sz="4" w:space="0"/>
              <w:bottom w:val="single" w:color="000000" w:sz="4" w:space="0"/>
              <w:right w:val="single" w:color="000000" w:sz="4" w:space="0"/>
            </w:tcBorders>
          </w:tcPr>
          <w:p>
            <w:pPr>
              <w:pStyle w:val="19"/>
              <w:spacing w:line="252" w:lineRule="exact"/>
              <w:ind w:left="590" w:right="570"/>
              <w:rPr>
                <w:sz w:val="21"/>
              </w:rPr>
            </w:pPr>
            <w:r>
              <w:rPr>
                <w:sz w:val="21"/>
              </w:rPr>
              <w:t>37.04</w:t>
            </w:r>
          </w:p>
        </w:tc>
        <w:tc>
          <w:tcPr>
            <w:tcW w:w="1488" w:type="dxa"/>
            <w:tcBorders>
              <w:top w:val="single" w:color="000000" w:sz="4" w:space="0"/>
              <w:left w:val="single" w:color="000000" w:sz="4" w:space="0"/>
              <w:bottom w:val="single" w:color="000000" w:sz="4" w:space="0"/>
              <w:right w:val="single" w:color="000000" w:sz="4" w:space="0"/>
            </w:tcBorders>
          </w:tcPr>
          <w:p>
            <w:pPr>
              <w:pStyle w:val="19"/>
              <w:spacing w:line="252" w:lineRule="exact"/>
              <w:ind w:left="203" w:right="183"/>
              <w:rPr>
                <w:sz w:val="21"/>
              </w:rPr>
            </w:pPr>
            <w:r>
              <w:rPr>
                <w:sz w:val="21"/>
              </w:rPr>
              <w:t>11.0</w:t>
            </w:r>
          </w:p>
        </w:tc>
        <w:tc>
          <w:tcPr>
            <w:tcW w:w="1787" w:type="dxa"/>
            <w:tcBorders>
              <w:top w:val="single" w:color="000000" w:sz="4" w:space="0"/>
              <w:left w:val="single" w:color="000000" w:sz="4" w:space="0"/>
              <w:bottom w:val="single" w:color="000000" w:sz="4" w:space="0"/>
              <w:right w:val="single" w:color="000000" w:sz="4" w:space="0"/>
            </w:tcBorders>
          </w:tcPr>
          <w:p>
            <w:pPr>
              <w:pStyle w:val="19"/>
              <w:spacing w:line="252" w:lineRule="exact"/>
              <w:ind w:left="248" w:right="229"/>
              <w:rPr>
                <w:sz w:val="21"/>
              </w:rPr>
            </w:pPr>
            <w:r>
              <w:rPr>
                <w:sz w:val="21"/>
              </w:rPr>
              <w:t>33.910-35.26</w:t>
            </w:r>
          </w:p>
        </w:tc>
        <w:tc>
          <w:tcPr>
            <w:tcW w:w="1278" w:type="dxa"/>
            <w:vMerge w:val="restart"/>
            <w:tcBorders>
              <w:top w:val="single" w:color="000000" w:sz="4" w:space="0"/>
              <w:left w:val="single" w:color="000000" w:sz="4" w:space="0"/>
              <w:bottom w:val="single" w:color="000000" w:sz="4" w:space="0"/>
            </w:tcBorders>
          </w:tcPr>
          <w:p>
            <w:pPr>
              <w:pStyle w:val="19"/>
              <w:spacing w:before="140"/>
              <w:ind w:left="249"/>
              <w:jc w:val="left"/>
              <w:rPr>
                <w:sz w:val="21"/>
              </w:rPr>
            </w:pPr>
            <w:r>
              <w:rPr>
                <w:sz w:val="21"/>
              </w:rPr>
              <w:t>1/3 焦煤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145" w:type="dxa"/>
            <w:vMerge w:val="continue"/>
            <w:tcBorders>
              <w:top w:val="nil"/>
              <w:bottom w:val="single" w:color="000000" w:sz="4" w:space="0"/>
              <w:right w:val="single" w:color="000000" w:sz="4" w:space="0"/>
            </w:tcBorders>
          </w:tcPr>
          <w:p>
            <w:pPr>
              <w:rPr>
                <w:sz w:val="2"/>
                <w:szCs w:val="2"/>
              </w:rPr>
            </w:pPr>
          </w:p>
        </w:tc>
        <w:tc>
          <w:tcPr>
            <w:tcW w:w="1851" w:type="dxa"/>
            <w:tcBorders>
              <w:top w:val="single" w:color="000000" w:sz="4" w:space="0"/>
              <w:left w:val="single" w:color="000000" w:sz="4" w:space="0"/>
              <w:bottom w:val="single" w:color="000000" w:sz="4" w:space="0"/>
              <w:right w:val="single" w:color="000000" w:sz="4" w:space="0"/>
            </w:tcBorders>
          </w:tcPr>
          <w:p>
            <w:pPr>
              <w:pStyle w:val="19"/>
              <w:spacing w:line="252" w:lineRule="exact"/>
              <w:ind w:left="457"/>
              <w:jc w:val="left"/>
              <w:rPr>
                <w:sz w:val="21"/>
              </w:rPr>
            </w:pPr>
            <w:r>
              <w:rPr>
                <w:sz w:val="21"/>
              </w:rPr>
              <w:t>18.99 (1)</w:t>
            </w:r>
          </w:p>
        </w:tc>
        <w:tc>
          <w:tcPr>
            <w:tcW w:w="1735" w:type="dxa"/>
            <w:tcBorders>
              <w:top w:val="single" w:color="000000" w:sz="4" w:space="0"/>
              <w:left w:val="single" w:color="000000" w:sz="4" w:space="0"/>
              <w:bottom w:val="single" w:color="000000" w:sz="4" w:space="0"/>
              <w:right w:val="single" w:color="000000" w:sz="4" w:space="0"/>
            </w:tcBorders>
          </w:tcPr>
          <w:p>
            <w:pPr>
              <w:pStyle w:val="19"/>
              <w:spacing w:line="252" w:lineRule="exact"/>
              <w:ind w:right="327"/>
              <w:jc w:val="right"/>
              <w:rPr>
                <w:sz w:val="21"/>
              </w:rPr>
            </w:pPr>
            <w:r>
              <w:rPr>
                <w:w w:val="95"/>
                <w:sz w:val="21"/>
              </w:rPr>
              <w:t>37.04（1）</w:t>
            </w:r>
          </w:p>
        </w:tc>
        <w:tc>
          <w:tcPr>
            <w:tcW w:w="1488" w:type="dxa"/>
            <w:tcBorders>
              <w:top w:val="single" w:color="000000" w:sz="4" w:space="0"/>
              <w:left w:val="single" w:color="000000" w:sz="4" w:space="0"/>
              <w:bottom w:val="single" w:color="000000" w:sz="4" w:space="0"/>
              <w:right w:val="single" w:color="000000" w:sz="4" w:space="0"/>
            </w:tcBorders>
          </w:tcPr>
          <w:p>
            <w:pPr>
              <w:pStyle w:val="19"/>
              <w:spacing w:line="252" w:lineRule="exact"/>
              <w:ind w:left="201" w:right="184"/>
              <w:rPr>
                <w:sz w:val="21"/>
              </w:rPr>
            </w:pPr>
            <w:r>
              <w:rPr>
                <w:sz w:val="21"/>
              </w:rPr>
              <w:t>11.0（1）</w:t>
            </w:r>
          </w:p>
        </w:tc>
        <w:tc>
          <w:tcPr>
            <w:tcW w:w="1787" w:type="dxa"/>
            <w:tcBorders>
              <w:top w:val="single" w:color="000000" w:sz="4" w:space="0"/>
              <w:left w:val="single" w:color="000000" w:sz="4" w:space="0"/>
              <w:bottom w:val="single" w:color="000000" w:sz="4" w:space="0"/>
              <w:right w:val="single" w:color="000000" w:sz="4" w:space="0"/>
            </w:tcBorders>
          </w:tcPr>
          <w:p>
            <w:pPr>
              <w:pStyle w:val="19"/>
              <w:spacing w:line="252" w:lineRule="exact"/>
              <w:ind w:left="246" w:right="229"/>
              <w:rPr>
                <w:sz w:val="21"/>
              </w:rPr>
            </w:pPr>
            <w:r>
              <w:rPr>
                <w:sz w:val="21"/>
              </w:rPr>
              <w:t>34.72（12）</w:t>
            </w:r>
          </w:p>
        </w:tc>
        <w:tc>
          <w:tcPr>
            <w:tcW w:w="127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145" w:type="dxa"/>
            <w:vMerge w:val="restart"/>
            <w:tcBorders>
              <w:top w:val="single" w:color="000000" w:sz="4" w:space="0"/>
              <w:bottom w:val="single" w:color="000000" w:sz="4" w:space="0"/>
              <w:right w:val="single" w:color="000000" w:sz="4" w:space="0"/>
            </w:tcBorders>
          </w:tcPr>
          <w:p>
            <w:pPr>
              <w:pStyle w:val="19"/>
              <w:spacing w:before="3"/>
              <w:jc w:val="left"/>
              <w:rPr>
                <w:b/>
                <w:sz w:val="15"/>
              </w:rPr>
            </w:pPr>
          </w:p>
          <w:p>
            <w:pPr>
              <w:pStyle w:val="19"/>
              <w:spacing w:before="1"/>
              <w:ind w:left="14"/>
              <w:rPr>
                <w:sz w:val="21"/>
              </w:rPr>
            </w:pPr>
            <w:r>
              <w:rPr>
                <w:w w:val="99"/>
                <w:sz w:val="21"/>
              </w:rPr>
              <w:t>9</w:t>
            </w:r>
          </w:p>
        </w:tc>
        <w:tc>
          <w:tcPr>
            <w:tcW w:w="1851" w:type="dxa"/>
            <w:tcBorders>
              <w:top w:val="single" w:color="000000" w:sz="4" w:space="0"/>
              <w:left w:val="single" w:color="000000" w:sz="4" w:space="0"/>
              <w:bottom w:val="single" w:color="000000" w:sz="4" w:space="0"/>
              <w:right w:val="single" w:color="000000" w:sz="4" w:space="0"/>
            </w:tcBorders>
          </w:tcPr>
          <w:p>
            <w:pPr>
              <w:pStyle w:val="19"/>
              <w:spacing w:before="1" w:line="251" w:lineRule="exact"/>
              <w:ind w:left="260" w:right="242"/>
              <w:rPr>
                <w:sz w:val="21"/>
              </w:rPr>
            </w:pPr>
            <w:r>
              <w:rPr>
                <w:sz w:val="21"/>
              </w:rPr>
              <w:t>17.47-40.44</w:t>
            </w:r>
          </w:p>
        </w:tc>
        <w:tc>
          <w:tcPr>
            <w:tcW w:w="1735" w:type="dxa"/>
            <w:tcBorders>
              <w:top w:val="single" w:color="000000" w:sz="4" w:space="0"/>
              <w:left w:val="single" w:color="000000" w:sz="4" w:space="0"/>
              <w:bottom w:val="single" w:color="000000" w:sz="4" w:space="0"/>
              <w:right w:val="single" w:color="000000" w:sz="4" w:space="0"/>
            </w:tcBorders>
          </w:tcPr>
          <w:p>
            <w:pPr>
              <w:pStyle w:val="19"/>
              <w:spacing w:before="1" w:line="251" w:lineRule="exact"/>
              <w:ind w:right="273"/>
              <w:jc w:val="right"/>
              <w:rPr>
                <w:sz w:val="21"/>
              </w:rPr>
            </w:pPr>
            <w:r>
              <w:rPr>
                <w:w w:val="95"/>
                <w:sz w:val="21"/>
              </w:rPr>
              <w:t>16.04-35.48</w:t>
            </w:r>
          </w:p>
        </w:tc>
        <w:tc>
          <w:tcPr>
            <w:tcW w:w="1488" w:type="dxa"/>
            <w:tcBorders>
              <w:top w:val="single" w:color="000000" w:sz="4" w:space="0"/>
              <w:left w:val="single" w:color="000000" w:sz="4" w:space="0"/>
              <w:bottom w:val="single" w:color="000000" w:sz="4" w:space="0"/>
              <w:right w:val="single" w:color="000000" w:sz="4" w:space="0"/>
            </w:tcBorders>
          </w:tcPr>
          <w:p>
            <w:pPr>
              <w:pStyle w:val="19"/>
              <w:spacing w:before="1" w:line="251" w:lineRule="exact"/>
              <w:ind w:left="202" w:right="184"/>
              <w:rPr>
                <w:sz w:val="21"/>
              </w:rPr>
            </w:pPr>
            <w:r>
              <w:rPr>
                <w:sz w:val="21"/>
              </w:rPr>
              <w:t>0-13.5</w:t>
            </w:r>
          </w:p>
        </w:tc>
        <w:tc>
          <w:tcPr>
            <w:tcW w:w="1787" w:type="dxa"/>
            <w:tcBorders>
              <w:top w:val="single" w:color="000000" w:sz="4" w:space="0"/>
              <w:left w:val="single" w:color="000000" w:sz="4" w:space="0"/>
              <w:bottom w:val="single" w:color="000000" w:sz="4" w:space="0"/>
              <w:right w:val="single" w:color="000000" w:sz="4" w:space="0"/>
            </w:tcBorders>
          </w:tcPr>
          <w:p>
            <w:pPr>
              <w:pStyle w:val="19"/>
              <w:spacing w:before="1" w:line="251" w:lineRule="exact"/>
              <w:ind w:left="248" w:right="229"/>
              <w:rPr>
                <w:sz w:val="21"/>
              </w:rPr>
            </w:pPr>
            <w:r>
              <w:rPr>
                <w:sz w:val="21"/>
              </w:rPr>
              <w:t>34.87-36.93</w:t>
            </w:r>
          </w:p>
        </w:tc>
        <w:tc>
          <w:tcPr>
            <w:tcW w:w="1278" w:type="dxa"/>
            <w:vMerge w:val="restart"/>
            <w:tcBorders>
              <w:top w:val="single" w:color="000000" w:sz="4" w:space="0"/>
              <w:left w:val="single" w:color="000000" w:sz="4" w:space="0"/>
              <w:bottom w:val="single" w:color="000000" w:sz="4" w:space="0"/>
            </w:tcBorders>
          </w:tcPr>
          <w:p>
            <w:pPr>
              <w:pStyle w:val="19"/>
              <w:spacing w:before="3"/>
              <w:jc w:val="left"/>
              <w:rPr>
                <w:b/>
                <w:sz w:val="15"/>
              </w:rPr>
            </w:pPr>
          </w:p>
          <w:p>
            <w:pPr>
              <w:pStyle w:val="19"/>
              <w:spacing w:before="1"/>
              <w:ind w:left="249"/>
              <w:jc w:val="left"/>
              <w:rPr>
                <w:sz w:val="21"/>
              </w:rPr>
            </w:pPr>
            <w:r>
              <w:rPr>
                <w:sz w:val="21"/>
              </w:rPr>
              <w:t>1/3 焦煤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145" w:type="dxa"/>
            <w:vMerge w:val="continue"/>
            <w:tcBorders>
              <w:top w:val="nil"/>
              <w:bottom w:val="single" w:color="000000" w:sz="4" w:space="0"/>
              <w:right w:val="single" w:color="000000" w:sz="4" w:space="0"/>
            </w:tcBorders>
          </w:tcPr>
          <w:p>
            <w:pPr>
              <w:rPr>
                <w:sz w:val="2"/>
                <w:szCs w:val="2"/>
              </w:rPr>
            </w:pPr>
          </w:p>
        </w:tc>
        <w:tc>
          <w:tcPr>
            <w:tcW w:w="1851" w:type="dxa"/>
            <w:tcBorders>
              <w:top w:val="single" w:color="000000" w:sz="4" w:space="0"/>
              <w:left w:val="single" w:color="000000" w:sz="4" w:space="0"/>
              <w:bottom w:val="single" w:color="000000" w:sz="4" w:space="0"/>
              <w:right w:val="single" w:color="000000" w:sz="4" w:space="0"/>
            </w:tcBorders>
          </w:tcPr>
          <w:p>
            <w:pPr>
              <w:pStyle w:val="19"/>
              <w:spacing w:before="52"/>
              <w:ind w:left="260" w:right="243"/>
              <w:rPr>
                <w:sz w:val="21"/>
              </w:rPr>
            </w:pPr>
            <w:r>
              <w:rPr>
                <w:sz w:val="21"/>
              </w:rPr>
              <w:t>23.24（5）</w:t>
            </w:r>
          </w:p>
        </w:tc>
        <w:tc>
          <w:tcPr>
            <w:tcW w:w="1735" w:type="dxa"/>
            <w:tcBorders>
              <w:top w:val="single" w:color="000000" w:sz="4" w:space="0"/>
              <w:left w:val="single" w:color="000000" w:sz="4" w:space="0"/>
              <w:bottom w:val="single" w:color="000000" w:sz="4" w:space="0"/>
              <w:right w:val="single" w:color="000000" w:sz="4" w:space="0"/>
            </w:tcBorders>
          </w:tcPr>
          <w:p>
            <w:pPr>
              <w:pStyle w:val="19"/>
              <w:spacing w:before="52"/>
              <w:ind w:right="327"/>
              <w:jc w:val="right"/>
              <w:rPr>
                <w:sz w:val="21"/>
              </w:rPr>
            </w:pPr>
            <w:r>
              <w:rPr>
                <w:w w:val="95"/>
                <w:sz w:val="21"/>
              </w:rPr>
              <w:t>31.40（4）</w:t>
            </w:r>
          </w:p>
        </w:tc>
        <w:tc>
          <w:tcPr>
            <w:tcW w:w="1488" w:type="dxa"/>
            <w:tcBorders>
              <w:top w:val="single" w:color="000000" w:sz="4" w:space="0"/>
              <w:left w:val="single" w:color="000000" w:sz="4" w:space="0"/>
              <w:bottom w:val="single" w:color="000000" w:sz="4" w:space="0"/>
              <w:right w:val="single" w:color="000000" w:sz="4" w:space="0"/>
            </w:tcBorders>
          </w:tcPr>
          <w:p>
            <w:pPr>
              <w:pStyle w:val="19"/>
              <w:spacing w:before="52"/>
              <w:ind w:left="201" w:right="184"/>
              <w:rPr>
                <w:sz w:val="21"/>
              </w:rPr>
            </w:pPr>
            <w:r>
              <w:rPr>
                <w:sz w:val="21"/>
              </w:rPr>
              <w:t>9.0（4）</w:t>
            </w:r>
          </w:p>
        </w:tc>
        <w:tc>
          <w:tcPr>
            <w:tcW w:w="1787" w:type="dxa"/>
            <w:tcBorders>
              <w:top w:val="single" w:color="000000" w:sz="4" w:space="0"/>
              <w:left w:val="single" w:color="000000" w:sz="4" w:space="0"/>
              <w:bottom w:val="single" w:color="000000" w:sz="4" w:space="0"/>
              <w:right w:val="single" w:color="000000" w:sz="4" w:space="0"/>
            </w:tcBorders>
          </w:tcPr>
          <w:p>
            <w:pPr>
              <w:pStyle w:val="19"/>
              <w:spacing w:before="52"/>
              <w:ind w:left="246" w:right="229"/>
              <w:rPr>
                <w:sz w:val="21"/>
              </w:rPr>
            </w:pPr>
            <w:r>
              <w:rPr>
                <w:sz w:val="21"/>
              </w:rPr>
              <w:t>35.77（4）</w:t>
            </w:r>
          </w:p>
        </w:tc>
        <w:tc>
          <w:tcPr>
            <w:tcW w:w="127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145" w:type="dxa"/>
            <w:vMerge w:val="restart"/>
            <w:tcBorders>
              <w:top w:val="single" w:color="000000" w:sz="4" w:space="0"/>
              <w:bottom w:val="single" w:color="000000" w:sz="4" w:space="0"/>
              <w:right w:val="single" w:color="000000" w:sz="4" w:space="0"/>
            </w:tcBorders>
          </w:tcPr>
          <w:p>
            <w:pPr>
              <w:pStyle w:val="19"/>
              <w:spacing w:before="140"/>
              <w:ind w:left="447" w:right="433"/>
              <w:rPr>
                <w:sz w:val="21"/>
              </w:rPr>
            </w:pPr>
            <w:r>
              <w:rPr>
                <w:sz w:val="21"/>
              </w:rPr>
              <w:t>12</w:t>
            </w:r>
          </w:p>
        </w:tc>
        <w:tc>
          <w:tcPr>
            <w:tcW w:w="1851" w:type="dxa"/>
            <w:tcBorders>
              <w:top w:val="single" w:color="000000" w:sz="4" w:space="0"/>
              <w:left w:val="single" w:color="000000" w:sz="4" w:space="0"/>
              <w:bottom w:val="single" w:color="000000" w:sz="4" w:space="0"/>
              <w:right w:val="single" w:color="000000" w:sz="4" w:space="0"/>
            </w:tcBorders>
          </w:tcPr>
          <w:p>
            <w:pPr>
              <w:pStyle w:val="19"/>
              <w:spacing w:line="251" w:lineRule="exact"/>
              <w:ind w:left="260" w:right="242"/>
              <w:rPr>
                <w:sz w:val="21"/>
              </w:rPr>
            </w:pPr>
            <w:r>
              <w:rPr>
                <w:sz w:val="21"/>
              </w:rPr>
              <w:t>12.31-20.62</w:t>
            </w:r>
          </w:p>
        </w:tc>
        <w:tc>
          <w:tcPr>
            <w:tcW w:w="1735" w:type="dxa"/>
            <w:tcBorders>
              <w:top w:val="single" w:color="000000" w:sz="4" w:space="0"/>
              <w:left w:val="single" w:color="000000" w:sz="4" w:space="0"/>
              <w:bottom w:val="single" w:color="000000" w:sz="4" w:space="0"/>
              <w:right w:val="single" w:color="000000" w:sz="4" w:space="0"/>
            </w:tcBorders>
          </w:tcPr>
          <w:p>
            <w:pPr>
              <w:pStyle w:val="19"/>
              <w:spacing w:line="251" w:lineRule="exact"/>
              <w:ind w:right="273"/>
              <w:jc w:val="right"/>
              <w:rPr>
                <w:sz w:val="21"/>
              </w:rPr>
            </w:pPr>
            <w:r>
              <w:rPr>
                <w:w w:val="95"/>
                <w:sz w:val="21"/>
              </w:rPr>
              <w:t>26.38-33.87</w:t>
            </w:r>
          </w:p>
        </w:tc>
        <w:tc>
          <w:tcPr>
            <w:tcW w:w="1488" w:type="dxa"/>
            <w:tcBorders>
              <w:top w:val="single" w:color="000000" w:sz="4" w:space="0"/>
              <w:left w:val="single" w:color="000000" w:sz="4" w:space="0"/>
              <w:bottom w:val="single" w:color="000000" w:sz="4" w:space="0"/>
              <w:right w:val="single" w:color="000000" w:sz="4" w:space="0"/>
            </w:tcBorders>
          </w:tcPr>
          <w:p>
            <w:pPr>
              <w:pStyle w:val="19"/>
              <w:spacing w:line="251" w:lineRule="exact"/>
              <w:ind w:left="203" w:right="183"/>
              <w:rPr>
                <w:sz w:val="21"/>
              </w:rPr>
            </w:pPr>
            <w:r>
              <w:rPr>
                <w:sz w:val="21"/>
              </w:rPr>
              <w:t>14.0</w:t>
            </w:r>
          </w:p>
        </w:tc>
        <w:tc>
          <w:tcPr>
            <w:tcW w:w="1787" w:type="dxa"/>
            <w:tcBorders>
              <w:top w:val="single" w:color="000000" w:sz="4" w:space="0"/>
              <w:left w:val="single" w:color="000000" w:sz="4" w:space="0"/>
              <w:bottom w:val="single" w:color="000000" w:sz="4" w:space="0"/>
              <w:right w:val="single" w:color="000000" w:sz="4" w:space="0"/>
            </w:tcBorders>
          </w:tcPr>
          <w:p>
            <w:pPr>
              <w:pStyle w:val="19"/>
              <w:spacing w:line="251" w:lineRule="exact"/>
              <w:ind w:left="248" w:right="229"/>
              <w:rPr>
                <w:sz w:val="21"/>
              </w:rPr>
            </w:pPr>
            <w:r>
              <w:rPr>
                <w:sz w:val="21"/>
              </w:rPr>
              <w:t>35.43-35.83</w:t>
            </w:r>
          </w:p>
        </w:tc>
        <w:tc>
          <w:tcPr>
            <w:tcW w:w="1278" w:type="dxa"/>
            <w:vMerge w:val="restart"/>
            <w:tcBorders>
              <w:top w:val="single" w:color="000000" w:sz="4" w:space="0"/>
              <w:left w:val="single" w:color="000000" w:sz="4" w:space="0"/>
              <w:bottom w:val="single" w:color="000000" w:sz="4" w:space="0"/>
            </w:tcBorders>
          </w:tcPr>
          <w:p>
            <w:pPr>
              <w:pStyle w:val="19"/>
              <w:spacing w:before="140"/>
              <w:ind w:left="249"/>
              <w:jc w:val="left"/>
              <w:rPr>
                <w:sz w:val="21"/>
              </w:rPr>
            </w:pPr>
            <w:r>
              <w:rPr>
                <w:sz w:val="21"/>
              </w:rPr>
              <w:t>1/3 焦煤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1145" w:type="dxa"/>
            <w:vMerge w:val="continue"/>
            <w:tcBorders>
              <w:top w:val="nil"/>
              <w:bottom w:val="single" w:color="000000" w:sz="4" w:space="0"/>
              <w:right w:val="single" w:color="000000" w:sz="4" w:space="0"/>
            </w:tcBorders>
          </w:tcPr>
          <w:p>
            <w:pPr>
              <w:rPr>
                <w:sz w:val="2"/>
                <w:szCs w:val="2"/>
              </w:rPr>
            </w:pPr>
          </w:p>
        </w:tc>
        <w:tc>
          <w:tcPr>
            <w:tcW w:w="1851" w:type="dxa"/>
            <w:tcBorders>
              <w:top w:val="single" w:color="000000" w:sz="4" w:space="0"/>
              <w:left w:val="single" w:color="000000" w:sz="4" w:space="0"/>
              <w:bottom w:val="single" w:color="000000" w:sz="4" w:space="0"/>
              <w:right w:val="single" w:color="000000" w:sz="4" w:space="0"/>
            </w:tcBorders>
          </w:tcPr>
          <w:p>
            <w:pPr>
              <w:pStyle w:val="19"/>
              <w:spacing w:before="2" w:line="250" w:lineRule="exact"/>
              <w:ind w:left="260" w:right="243"/>
              <w:rPr>
                <w:sz w:val="21"/>
              </w:rPr>
            </w:pPr>
            <w:r>
              <w:rPr>
                <w:sz w:val="21"/>
              </w:rPr>
              <w:t>16.472（2）</w:t>
            </w:r>
          </w:p>
        </w:tc>
        <w:tc>
          <w:tcPr>
            <w:tcW w:w="1735" w:type="dxa"/>
            <w:tcBorders>
              <w:top w:val="single" w:color="000000" w:sz="4" w:space="0"/>
              <w:left w:val="single" w:color="000000" w:sz="4" w:space="0"/>
              <w:bottom w:val="single" w:color="000000" w:sz="4" w:space="0"/>
              <w:right w:val="single" w:color="000000" w:sz="4" w:space="0"/>
            </w:tcBorders>
          </w:tcPr>
          <w:p>
            <w:pPr>
              <w:pStyle w:val="19"/>
              <w:spacing w:before="2" w:line="250" w:lineRule="exact"/>
              <w:ind w:right="327"/>
              <w:jc w:val="right"/>
              <w:rPr>
                <w:sz w:val="21"/>
              </w:rPr>
            </w:pPr>
            <w:r>
              <w:rPr>
                <w:w w:val="95"/>
                <w:sz w:val="21"/>
              </w:rPr>
              <w:t>31.09（3）</w:t>
            </w:r>
          </w:p>
        </w:tc>
        <w:tc>
          <w:tcPr>
            <w:tcW w:w="1488" w:type="dxa"/>
            <w:tcBorders>
              <w:top w:val="single" w:color="000000" w:sz="4" w:space="0"/>
              <w:left w:val="single" w:color="000000" w:sz="4" w:space="0"/>
              <w:bottom w:val="single" w:color="000000" w:sz="4" w:space="0"/>
              <w:right w:val="single" w:color="000000" w:sz="4" w:space="0"/>
            </w:tcBorders>
          </w:tcPr>
          <w:p>
            <w:pPr>
              <w:pStyle w:val="19"/>
              <w:spacing w:before="2" w:line="250" w:lineRule="exact"/>
              <w:ind w:left="201" w:right="184"/>
              <w:rPr>
                <w:sz w:val="21"/>
              </w:rPr>
            </w:pPr>
            <w:r>
              <w:rPr>
                <w:sz w:val="21"/>
              </w:rPr>
              <w:t>14.0（1）</w:t>
            </w:r>
          </w:p>
        </w:tc>
        <w:tc>
          <w:tcPr>
            <w:tcW w:w="1787" w:type="dxa"/>
            <w:tcBorders>
              <w:top w:val="single" w:color="000000" w:sz="4" w:space="0"/>
              <w:left w:val="single" w:color="000000" w:sz="4" w:space="0"/>
              <w:bottom w:val="single" w:color="000000" w:sz="4" w:space="0"/>
              <w:right w:val="single" w:color="000000" w:sz="4" w:space="0"/>
            </w:tcBorders>
          </w:tcPr>
          <w:p>
            <w:pPr>
              <w:pStyle w:val="19"/>
              <w:spacing w:before="2" w:line="250" w:lineRule="exact"/>
              <w:ind w:left="246" w:right="229"/>
              <w:rPr>
                <w:sz w:val="21"/>
              </w:rPr>
            </w:pPr>
            <w:r>
              <w:rPr>
                <w:sz w:val="21"/>
              </w:rPr>
              <w:t>35.67（4）</w:t>
            </w:r>
          </w:p>
        </w:tc>
        <w:tc>
          <w:tcPr>
            <w:tcW w:w="127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1145" w:type="dxa"/>
            <w:vMerge w:val="restart"/>
            <w:tcBorders>
              <w:top w:val="single" w:color="000000" w:sz="4" w:space="0"/>
              <w:bottom w:val="single" w:color="000000" w:sz="4" w:space="0"/>
              <w:right w:val="single" w:color="000000" w:sz="4" w:space="0"/>
            </w:tcBorders>
          </w:tcPr>
          <w:p>
            <w:pPr>
              <w:pStyle w:val="19"/>
              <w:spacing w:before="142"/>
              <w:ind w:left="447" w:right="433"/>
              <w:rPr>
                <w:sz w:val="21"/>
              </w:rPr>
            </w:pPr>
            <w:r>
              <w:rPr>
                <w:sz w:val="21"/>
              </w:rPr>
              <w:t>14</w:t>
            </w:r>
          </w:p>
        </w:tc>
        <w:tc>
          <w:tcPr>
            <w:tcW w:w="1851" w:type="dxa"/>
            <w:tcBorders>
              <w:top w:val="single" w:color="000000" w:sz="4" w:space="0"/>
              <w:left w:val="single" w:color="000000" w:sz="4" w:space="0"/>
              <w:bottom w:val="single" w:color="000000" w:sz="4" w:space="0"/>
              <w:right w:val="single" w:color="000000" w:sz="4" w:space="0"/>
            </w:tcBorders>
          </w:tcPr>
          <w:p>
            <w:pPr>
              <w:pStyle w:val="19"/>
              <w:spacing w:line="252" w:lineRule="exact"/>
              <w:ind w:left="260" w:right="242"/>
              <w:rPr>
                <w:sz w:val="21"/>
              </w:rPr>
            </w:pPr>
            <w:r>
              <w:rPr>
                <w:sz w:val="21"/>
              </w:rPr>
              <w:t>12.73-27.74</w:t>
            </w:r>
          </w:p>
        </w:tc>
        <w:tc>
          <w:tcPr>
            <w:tcW w:w="1735" w:type="dxa"/>
            <w:tcBorders>
              <w:top w:val="single" w:color="000000" w:sz="4" w:space="0"/>
              <w:left w:val="single" w:color="000000" w:sz="4" w:space="0"/>
              <w:bottom w:val="single" w:color="000000" w:sz="4" w:space="0"/>
              <w:right w:val="single" w:color="000000" w:sz="4" w:space="0"/>
            </w:tcBorders>
          </w:tcPr>
          <w:p>
            <w:pPr>
              <w:pStyle w:val="19"/>
              <w:spacing w:line="252" w:lineRule="exact"/>
              <w:ind w:right="273"/>
              <w:jc w:val="right"/>
              <w:rPr>
                <w:sz w:val="21"/>
              </w:rPr>
            </w:pPr>
            <w:r>
              <w:rPr>
                <w:w w:val="95"/>
                <w:sz w:val="21"/>
              </w:rPr>
              <w:t>15.73-32.83</w:t>
            </w:r>
          </w:p>
        </w:tc>
        <w:tc>
          <w:tcPr>
            <w:tcW w:w="1488" w:type="dxa"/>
            <w:tcBorders>
              <w:top w:val="single" w:color="000000" w:sz="4" w:space="0"/>
              <w:left w:val="single" w:color="000000" w:sz="4" w:space="0"/>
              <w:bottom w:val="single" w:color="000000" w:sz="4" w:space="0"/>
              <w:right w:val="single" w:color="000000" w:sz="4" w:space="0"/>
            </w:tcBorders>
          </w:tcPr>
          <w:p>
            <w:pPr>
              <w:pStyle w:val="19"/>
              <w:spacing w:line="252" w:lineRule="exact"/>
              <w:ind w:left="199" w:right="184"/>
              <w:rPr>
                <w:sz w:val="21"/>
              </w:rPr>
            </w:pPr>
            <w:r>
              <w:rPr>
                <w:sz w:val="21"/>
              </w:rPr>
              <w:t>13.0-17.0</w:t>
            </w:r>
          </w:p>
        </w:tc>
        <w:tc>
          <w:tcPr>
            <w:tcW w:w="1787" w:type="dxa"/>
            <w:tcBorders>
              <w:top w:val="single" w:color="000000" w:sz="4" w:space="0"/>
              <w:left w:val="single" w:color="000000" w:sz="4" w:space="0"/>
              <w:bottom w:val="single" w:color="000000" w:sz="4" w:space="0"/>
              <w:right w:val="single" w:color="000000" w:sz="4" w:space="0"/>
            </w:tcBorders>
          </w:tcPr>
          <w:p>
            <w:pPr>
              <w:pStyle w:val="19"/>
              <w:spacing w:line="252" w:lineRule="exact"/>
              <w:ind w:left="248" w:right="229"/>
              <w:rPr>
                <w:sz w:val="21"/>
              </w:rPr>
            </w:pPr>
            <w:r>
              <w:rPr>
                <w:sz w:val="21"/>
              </w:rPr>
              <w:t>28.910-36.59</w:t>
            </w:r>
          </w:p>
        </w:tc>
        <w:tc>
          <w:tcPr>
            <w:tcW w:w="1278" w:type="dxa"/>
            <w:vMerge w:val="restart"/>
            <w:tcBorders>
              <w:top w:val="single" w:color="000000" w:sz="4" w:space="0"/>
              <w:left w:val="single" w:color="000000" w:sz="4" w:space="0"/>
              <w:bottom w:val="single" w:color="000000" w:sz="4" w:space="0"/>
            </w:tcBorders>
          </w:tcPr>
          <w:p>
            <w:pPr>
              <w:pStyle w:val="19"/>
              <w:spacing w:before="142"/>
              <w:ind w:left="249"/>
              <w:jc w:val="left"/>
              <w:rPr>
                <w:sz w:val="21"/>
              </w:rPr>
            </w:pPr>
            <w:r>
              <w:rPr>
                <w:sz w:val="21"/>
              </w:rPr>
              <w:t>1/3 焦煤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1145" w:type="dxa"/>
            <w:vMerge w:val="continue"/>
            <w:tcBorders>
              <w:top w:val="nil"/>
              <w:bottom w:val="single" w:color="000000" w:sz="4" w:space="0"/>
              <w:right w:val="single" w:color="000000" w:sz="4" w:space="0"/>
            </w:tcBorders>
          </w:tcPr>
          <w:p>
            <w:pPr>
              <w:rPr>
                <w:sz w:val="2"/>
                <w:szCs w:val="2"/>
              </w:rPr>
            </w:pPr>
          </w:p>
        </w:tc>
        <w:tc>
          <w:tcPr>
            <w:tcW w:w="1851" w:type="dxa"/>
            <w:tcBorders>
              <w:top w:val="single" w:color="000000" w:sz="4" w:space="0"/>
              <w:left w:val="single" w:color="000000" w:sz="4" w:space="0"/>
              <w:bottom w:val="single" w:color="000000" w:sz="4" w:space="0"/>
              <w:right w:val="single" w:color="000000" w:sz="4" w:space="0"/>
            </w:tcBorders>
          </w:tcPr>
          <w:p>
            <w:pPr>
              <w:pStyle w:val="19"/>
              <w:spacing w:line="251" w:lineRule="exact"/>
              <w:ind w:left="260" w:right="243"/>
              <w:rPr>
                <w:sz w:val="21"/>
              </w:rPr>
            </w:pPr>
            <w:r>
              <w:rPr>
                <w:sz w:val="21"/>
              </w:rPr>
              <w:t>21.49（8）</w:t>
            </w:r>
          </w:p>
        </w:tc>
        <w:tc>
          <w:tcPr>
            <w:tcW w:w="1735" w:type="dxa"/>
            <w:tcBorders>
              <w:top w:val="single" w:color="000000" w:sz="4" w:space="0"/>
              <w:left w:val="single" w:color="000000" w:sz="4" w:space="0"/>
              <w:bottom w:val="single" w:color="000000" w:sz="4" w:space="0"/>
              <w:right w:val="single" w:color="000000" w:sz="4" w:space="0"/>
            </w:tcBorders>
          </w:tcPr>
          <w:p>
            <w:pPr>
              <w:pStyle w:val="19"/>
              <w:spacing w:line="251" w:lineRule="exact"/>
              <w:ind w:right="327"/>
              <w:jc w:val="right"/>
              <w:rPr>
                <w:sz w:val="21"/>
              </w:rPr>
            </w:pPr>
            <w:r>
              <w:rPr>
                <w:w w:val="95"/>
                <w:sz w:val="21"/>
              </w:rPr>
              <w:t>28.51（8）</w:t>
            </w:r>
          </w:p>
        </w:tc>
        <w:tc>
          <w:tcPr>
            <w:tcW w:w="1488" w:type="dxa"/>
            <w:tcBorders>
              <w:top w:val="single" w:color="000000" w:sz="4" w:space="0"/>
              <w:left w:val="single" w:color="000000" w:sz="4" w:space="0"/>
              <w:bottom w:val="single" w:color="000000" w:sz="4" w:space="0"/>
              <w:right w:val="single" w:color="000000" w:sz="4" w:space="0"/>
            </w:tcBorders>
          </w:tcPr>
          <w:p>
            <w:pPr>
              <w:pStyle w:val="19"/>
              <w:spacing w:line="251" w:lineRule="exact"/>
              <w:ind w:left="203" w:right="184"/>
              <w:rPr>
                <w:sz w:val="21"/>
              </w:rPr>
            </w:pPr>
            <w:r>
              <w:rPr>
                <w:sz w:val="21"/>
              </w:rPr>
              <w:t>14.63（6）</w:t>
            </w:r>
          </w:p>
        </w:tc>
        <w:tc>
          <w:tcPr>
            <w:tcW w:w="1787" w:type="dxa"/>
            <w:tcBorders>
              <w:top w:val="single" w:color="000000" w:sz="4" w:space="0"/>
              <w:left w:val="single" w:color="000000" w:sz="4" w:space="0"/>
              <w:bottom w:val="single" w:color="000000" w:sz="4" w:space="0"/>
              <w:right w:val="single" w:color="000000" w:sz="4" w:space="0"/>
            </w:tcBorders>
          </w:tcPr>
          <w:p>
            <w:pPr>
              <w:pStyle w:val="19"/>
              <w:spacing w:line="251" w:lineRule="exact"/>
              <w:ind w:left="246" w:right="229"/>
              <w:rPr>
                <w:sz w:val="21"/>
              </w:rPr>
            </w:pPr>
            <w:r>
              <w:rPr>
                <w:sz w:val="21"/>
              </w:rPr>
              <w:t>35.06（15）</w:t>
            </w:r>
          </w:p>
        </w:tc>
        <w:tc>
          <w:tcPr>
            <w:tcW w:w="127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8" w:hRule="atLeast"/>
        </w:trPr>
        <w:tc>
          <w:tcPr>
            <w:tcW w:w="1145" w:type="dxa"/>
            <w:vMerge w:val="restart"/>
            <w:tcBorders>
              <w:top w:val="single" w:color="000000" w:sz="4" w:space="0"/>
              <w:right w:val="single" w:color="000000" w:sz="4" w:space="0"/>
            </w:tcBorders>
          </w:tcPr>
          <w:p>
            <w:pPr>
              <w:pStyle w:val="19"/>
              <w:spacing w:before="141"/>
              <w:ind w:left="447" w:right="433"/>
              <w:rPr>
                <w:sz w:val="21"/>
              </w:rPr>
            </w:pPr>
            <w:r>
              <w:rPr>
                <w:sz w:val="21"/>
              </w:rPr>
              <w:t>16</w:t>
            </w:r>
          </w:p>
        </w:tc>
        <w:tc>
          <w:tcPr>
            <w:tcW w:w="1851" w:type="dxa"/>
            <w:tcBorders>
              <w:top w:val="single" w:color="000000" w:sz="4" w:space="0"/>
              <w:left w:val="single" w:color="000000" w:sz="4" w:space="0"/>
              <w:bottom w:val="single" w:color="000000" w:sz="4" w:space="0"/>
              <w:right w:val="single" w:color="000000" w:sz="4" w:space="0"/>
            </w:tcBorders>
          </w:tcPr>
          <w:p>
            <w:pPr>
              <w:pStyle w:val="19"/>
              <w:spacing w:before="2" w:line="246" w:lineRule="exact"/>
              <w:ind w:left="260" w:right="242"/>
              <w:rPr>
                <w:sz w:val="21"/>
              </w:rPr>
            </w:pPr>
            <w:r>
              <w:rPr>
                <w:sz w:val="21"/>
              </w:rPr>
              <w:t>18.97-40.93</w:t>
            </w:r>
          </w:p>
        </w:tc>
        <w:tc>
          <w:tcPr>
            <w:tcW w:w="1735" w:type="dxa"/>
            <w:tcBorders>
              <w:top w:val="single" w:color="000000" w:sz="4" w:space="0"/>
              <w:left w:val="single" w:color="000000" w:sz="4" w:space="0"/>
              <w:bottom w:val="single" w:color="000000" w:sz="4" w:space="0"/>
              <w:right w:val="single" w:color="000000" w:sz="4" w:space="0"/>
            </w:tcBorders>
          </w:tcPr>
          <w:p>
            <w:pPr>
              <w:pStyle w:val="19"/>
              <w:spacing w:before="2" w:line="246" w:lineRule="exact"/>
              <w:ind w:right="273"/>
              <w:jc w:val="right"/>
              <w:rPr>
                <w:sz w:val="21"/>
              </w:rPr>
            </w:pPr>
            <w:r>
              <w:rPr>
                <w:w w:val="95"/>
                <w:sz w:val="21"/>
              </w:rPr>
              <w:t>7.810-33.58</w:t>
            </w:r>
          </w:p>
        </w:tc>
        <w:tc>
          <w:tcPr>
            <w:tcW w:w="1488" w:type="dxa"/>
            <w:tcBorders>
              <w:top w:val="single" w:color="000000" w:sz="4" w:space="0"/>
              <w:left w:val="single" w:color="000000" w:sz="4" w:space="0"/>
              <w:bottom w:val="single" w:color="000000" w:sz="4" w:space="0"/>
              <w:right w:val="single" w:color="000000" w:sz="4" w:space="0"/>
            </w:tcBorders>
          </w:tcPr>
          <w:p>
            <w:pPr>
              <w:pStyle w:val="19"/>
              <w:spacing w:before="2" w:line="246" w:lineRule="exact"/>
              <w:ind w:left="203" w:right="183"/>
              <w:rPr>
                <w:sz w:val="21"/>
              </w:rPr>
            </w:pPr>
            <w:r>
              <w:rPr>
                <w:sz w:val="21"/>
              </w:rPr>
              <w:t>23.0</w:t>
            </w:r>
          </w:p>
        </w:tc>
        <w:tc>
          <w:tcPr>
            <w:tcW w:w="1787" w:type="dxa"/>
            <w:tcBorders>
              <w:top w:val="single" w:color="000000" w:sz="4" w:space="0"/>
              <w:left w:val="single" w:color="000000" w:sz="4" w:space="0"/>
              <w:bottom w:val="single" w:color="000000" w:sz="4" w:space="0"/>
              <w:right w:val="single" w:color="000000" w:sz="4" w:space="0"/>
            </w:tcBorders>
          </w:tcPr>
          <w:p>
            <w:pPr>
              <w:pStyle w:val="19"/>
              <w:spacing w:before="2" w:line="246" w:lineRule="exact"/>
              <w:ind w:left="248" w:right="229"/>
              <w:rPr>
                <w:sz w:val="21"/>
              </w:rPr>
            </w:pPr>
            <w:r>
              <w:rPr>
                <w:sz w:val="21"/>
              </w:rPr>
              <w:t>28.910-36.12</w:t>
            </w:r>
          </w:p>
        </w:tc>
        <w:tc>
          <w:tcPr>
            <w:tcW w:w="1278" w:type="dxa"/>
            <w:vMerge w:val="restart"/>
            <w:tcBorders>
              <w:top w:val="single" w:color="000000" w:sz="4" w:space="0"/>
              <w:left w:val="single" w:color="000000" w:sz="4" w:space="0"/>
            </w:tcBorders>
          </w:tcPr>
          <w:p>
            <w:pPr>
              <w:pStyle w:val="19"/>
              <w:spacing w:before="141"/>
              <w:ind w:left="249"/>
              <w:jc w:val="left"/>
              <w:rPr>
                <w:sz w:val="21"/>
              </w:rPr>
            </w:pPr>
            <w:r>
              <w:rPr>
                <w:sz w:val="21"/>
              </w:rPr>
              <w:t>1/3 焦煤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6" w:hRule="atLeast"/>
        </w:trPr>
        <w:tc>
          <w:tcPr>
            <w:tcW w:w="1145" w:type="dxa"/>
            <w:vMerge w:val="continue"/>
            <w:tcBorders>
              <w:top w:val="nil"/>
              <w:right w:val="single" w:color="000000" w:sz="4" w:space="0"/>
            </w:tcBorders>
          </w:tcPr>
          <w:p>
            <w:pPr>
              <w:rPr>
                <w:sz w:val="2"/>
                <w:szCs w:val="2"/>
              </w:rPr>
            </w:pPr>
          </w:p>
        </w:tc>
        <w:tc>
          <w:tcPr>
            <w:tcW w:w="1851" w:type="dxa"/>
            <w:tcBorders>
              <w:top w:val="single" w:color="000000" w:sz="4" w:space="0"/>
              <w:left w:val="single" w:color="000000" w:sz="4" w:space="0"/>
              <w:right w:val="single" w:color="000000" w:sz="4" w:space="0"/>
            </w:tcBorders>
          </w:tcPr>
          <w:p>
            <w:pPr>
              <w:pStyle w:val="19"/>
              <w:spacing w:line="247" w:lineRule="exact"/>
              <w:ind w:left="260" w:right="243"/>
              <w:rPr>
                <w:sz w:val="21"/>
              </w:rPr>
            </w:pPr>
            <w:r>
              <w:rPr>
                <w:sz w:val="21"/>
              </w:rPr>
              <w:t>29.24（5）</w:t>
            </w:r>
          </w:p>
        </w:tc>
        <w:tc>
          <w:tcPr>
            <w:tcW w:w="1735" w:type="dxa"/>
            <w:tcBorders>
              <w:top w:val="single" w:color="000000" w:sz="4" w:space="0"/>
              <w:left w:val="single" w:color="000000" w:sz="4" w:space="0"/>
              <w:right w:val="single" w:color="000000" w:sz="4" w:space="0"/>
            </w:tcBorders>
          </w:tcPr>
          <w:p>
            <w:pPr>
              <w:pStyle w:val="19"/>
              <w:spacing w:line="247" w:lineRule="exact"/>
              <w:ind w:right="327"/>
              <w:jc w:val="right"/>
              <w:rPr>
                <w:sz w:val="21"/>
              </w:rPr>
            </w:pPr>
            <w:r>
              <w:rPr>
                <w:w w:val="95"/>
                <w:sz w:val="21"/>
              </w:rPr>
              <w:t>27.00（5）</w:t>
            </w:r>
          </w:p>
        </w:tc>
        <w:tc>
          <w:tcPr>
            <w:tcW w:w="1488" w:type="dxa"/>
            <w:tcBorders>
              <w:top w:val="single" w:color="000000" w:sz="4" w:space="0"/>
              <w:left w:val="single" w:color="000000" w:sz="4" w:space="0"/>
              <w:right w:val="single" w:color="000000" w:sz="4" w:space="0"/>
            </w:tcBorders>
          </w:tcPr>
          <w:p>
            <w:pPr>
              <w:pStyle w:val="19"/>
              <w:spacing w:line="247" w:lineRule="exact"/>
              <w:ind w:left="201" w:right="184"/>
              <w:rPr>
                <w:sz w:val="21"/>
              </w:rPr>
            </w:pPr>
            <w:r>
              <w:rPr>
                <w:sz w:val="21"/>
              </w:rPr>
              <w:t>23.0（1）</w:t>
            </w:r>
          </w:p>
        </w:tc>
        <w:tc>
          <w:tcPr>
            <w:tcW w:w="1787" w:type="dxa"/>
            <w:tcBorders>
              <w:top w:val="single" w:color="000000" w:sz="4" w:space="0"/>
              <w:left w:val="single" w:color="000000" w:sz="4" w:space="0"/>
              <w:right w:val="single" w:color="000000" w:sz="4" w:space="0"/>
            </w:tcBorders>
          </w:tcPr>
          <w:p>
            <w:pPr>
              <w:pStyle w:val="19"/>
              <w:spacing w:line="247" w:lineRule="exact"/>
              <w:ind w:left="246" w:right="229"/>
              <w:rPr>
                <w:sz w:val="21"/>
              </w:rPr>
            </w:pPr>
            <w:r>
              <w:rPr>
                <w:sz w:val="21"/>
              </w:rPr>
              <w:t>35.71（5）</w:t>
            </w:r>
          </w:p>
        </w:tc>
        <w:tc>
          <w:tcPr>
            <w:tcW w:w="1278" w:type="dxa"/>
            <w:vMerge w:val="continue"/>
            <w:tcBorders>
              <w:top w:val="nil"/>
              <w:left w:val="single" w:color="000000" w:sz="4" w:space="0"/>
            </w:tcBorders>
          </w:tcPr>
          <w:p>
            <w:pPr>
              <w:rPr>
                <w:sz w:val="2"/>
                <w:szCs w:val="2"/>
              </w:rPr>
            </w:pPr>
          </w:p>
        </w:tc>
      </w:tr>
    </w:tbl>
    <w:p>
      <w:pPr>
        <w:pStyle w:val="8"/>
        <w:numPr>
          <w:ilvl w:val="3"/>
          <w:numId w:val="32"/>
        </w:numPr>
        <w:tabs>
          <w:tab w:val="left" w:pos="939"/>
        </w:tabs>
        <w:spacing w:before="2" w:after="0" w:line="240" w:lineRule="auto"/>
        <w:ind w:left="938" w:right="0" w:hanging="721"/>
        <w:jc w:val="left"/>
      </w:pPr>
      <w:bookmarkStart w:id="171" w:name="2.3.2.3井田开拓与开采"/>
      <w:bookmarkEnd w:id="171"/>
      <w:bookmarkStart w:id="172" w:name="2.3.2.3井田开拓与开采"/>
      <w:bookmarkEnd w:id="172"/>
      <w:r>
        <w:t>井田开拓与开采</w:t>
      </w:r>
    </w:p>
    <w:p>
      <w:pPr>
        <w:pStyle w:val="9"/>
        <w:spacing w:before="158"/>
        <w:ind w:left="698"/>
      </w:pPr>
      <w:r>
        <w:rPr>
          <w:rFonts w:ascii="Times New Roman" w:eastAsia="Times New Roman"/>
        </w:rPr>
        <w:t>1</w:t>
      </w:r>
      <w:r>
        <w:t>、井田开拓方式</w:t>
      </w:r>
    </w:p>
    <w:p>
      <w:pPr>
        <w:pStyle w:val="9"/>
        <w:spacing w:before="161" w:line="364" w:lineRule="auto"/>
        <w:ind w:left="218" w:right="140" w:firstLine="518"/>
      </w:pPr>
      <w:r>
        <w:rPr>
          <w:spacing w:val="16"/>
        </w:rPr>
        <w:t>整合后的盟度公司设有两个工业场地，主井工业场地位于井田西部边界，副</w:t>
      </w:r>
      <w:r>
        <w:rPr>
          <w:spacing w:val="21"/>
        </w:rPr>
        <w:t>井场地位于井田北部边界</w:t>
      </w:r>
      <w:r>
        <w:rPr>
          <w:rFonts w:ascii="Times New Roman" w:hAnsi="Times New Roman" w:eastAsia="Times New Roman"/>
          <w:spacing w:val="13"/>
        </w:rPr>
        <w:t>(</w:t>
      </w:r>
      <w:r>
        <w:rPr>
          <w:spacing w:val="21"/>
        </w:rPr>
        <w:t>煤层走向中央附近</w:t>
      </w:r>
      <w:r>
        <w:rPr>
          <w:rFonts w:ascii="Times New Roman" w:hAnsi="Times New Roman" w:eastAsia="Times New Roman"/>
          <w:spacing w:val="5"/>
        </w:rPr>
        <w:t>)</w:t>
      </w:r>
      <w:r>
        <w:rPr>
          <w:spacing w:val="1"/>
        </w:rPr>
        <w:t xml:space="preserve">， 两个场地直线距离 </w:t>
      </w:r>
      <w:r>
        <w:rPr>
          <w:rFonts w:ascii="Times New Roman" w:hAnsi="Times New Roman" w:eastAsia="Times New Roman"/>
          <w:spacing w:val="8"/>
        </w:rPr>
        <w:t>1.1km</w:t>
      </w:r>
      <w:r>
        <w:rPr>
          <w:spacing w:val="-18"/>
        </w:rPr>
        <w:t>， 现地</w:t>
      </w:r>
      <w:r>
        <w:rPr>
          <w:spacing w:val="14"/>
        </w:rPr>
        <w:t>面生产系统完善。矿井采用斜井开拓，共有主斜井、副斜井、回风斜井和行人井</w:t>
      </w:r>
      <w:r>
        <w:rPr>
          <w:spacing w:val="15"/>
        </w:rPr>
        <w:t xml:space="preserve">四个井筒。主斜井井筒长度 </w:t>
      </w:r>
      <w:r>
        <w:rPr>
          <w:rFonts w:ascii="Times New Roman" w:hAnsi="Times New Roman" w:eastAsia="Times New Roman"/>
          <w:spacing w:val="8"/>
        </w:rPr>
        <w:t>860m</w:t>
      </w:r>
      <w:r>
        <w:rPr>
          <w:spacing w:val="-21"/>
        </w:rPr>
        <w:t xml:space="preserve">， 倾角 </w:t>
      </w:r>
      <w:r>
        <w:rPr>
          <w:rFonts w:ascii="Times New Roman" w:hAnsi="Times New Roman" w:eastAsia="Times New Roman"/>
          <w:spacing w:val="11"/>
        </w:rPr>
        <w:t>19</w:t>
      </w:r>
      <w:r>
        <w:rPr>
          <w:spacing w:val="-5"/>
        </w:rPr>
        <w:t xml:space="preserve">°， 半圆拱形断面， 净断面 </w:t>
      </w:r>
      <w:r>
        <w:rPr>
          <w:rFonts w:ascii="Times New Roman" w:hAnsi="Times New Roman" w:eastAsia="Times New Roman"/>
          <w:spacing w:val="10"/>
        </w:rPr>
        <w:t>7.0m</w:t>
      </w:r>
      <w:r>
        <w:rPr>
          <w:spacing w:val="10"/>
        </w:rPr>
        <w:t xml:space="preserve">²， </w:t>
      </w:r>
      <w:r>
        <w:rPr>
          <w:spacing w:val="15"/>
        </w:rPr>
        <w:t xml:space="preserve">担负矿井原煤的提升任务。副斜井井筒长度 </w:t>
      </w:r>
      <w:r>
        <w:rPr>
          <w:rFonts w:ascii="Times New Roman" w:hAnsi="Times New Roman" w:eastAsia="Times New Roman"/>
          <w:spacing w:val="7"/>
        </w:rPr>
        <w:t>870m</w:t>
      </w:r>
      <w:r>
        <w:rPr>
          <w:spacing w:val="-21"/>
        </w:rPr>
        <w:t xml:space="preserve">， 倾角 </w:t>
      </w:r>
      <w:r>
        <w:rPr>
          <w:rFonts w:ascii="Times New Roman" w:hAnsi="Times New Roman" w:eastAsia="Times New Roman"/>
          <w:spacing w:val="10"/>
        </w:rPr>
        <w:t>23</w:t>
      </w:r>
      <w:r>
        <w:rPr>
          <w:spacing w:val="2"/>
        </w:rPr>
        <w:t xml:space="preserve">°， 半圆拱形断面， </w:t>
      </w:r>
      <w:r>
        <w:t xml:space="preserve">净断面 </w:t>
      </w:r>
      <w:r>
        <w:rPr>
          <w:rFonts w:ascii="Times New Roman" w:hAnsi="Times New Roman" w:eastAsia="Times New Roman"/>
          <w:spacing w:val="10"/>
        </w:rPr>
        <w:t>5.9m</w:t>
      </w:r>
      <w:r>
        <w:rPr>
          <w:spacing w:val="10"/>
        </w:rPr>
        <w:t>²</w:t>
      </w:r>
      <w:r>
        <w:rPr>
          <w:spacing w:val="12"/>
        </w:rPr>
        <w:t xml:space="preserve">，担负矿井辅助材料的升降任务。回风斜井斜长 </w:t>
      </w:r>
      <w:r>
        <w:rPr>
          <w:rFonts w:ascii="Times New Roman" w:hAnsi="Times New Roman" w:eastAsia="Times New Roman"/>
          <w:spacing w:val="8"/>
        </w:rPr>
        <w:t>680m</w:t>
      </w:r>
      <w:r>
        <w:rPr>
          <w:spacing w:val="-3"/>
        </w:rPr>
        <w:t xml:space="preserve">，倾角 </w:t>
      </w:r>
      <w:r>
        <w:rPr>
          <w:rFonts w:ascii="Times New Roman" w:hAnsi="Times New Roman" w:eastAsia="Times New Roman"/>
          <w:spacing w:val="10"/>
        </w:rPr>
        <w:t>20</w:t>
      </w:r>
      <w:r>
        <w:rPr>
          <w:spacing w:val="10"/>
        </w:rPr>
        <w:t xml:space="preserve">°， </w:t>
      </w:r>
      <w:r>
        <w:rPr>
          <w:spacing w:val="2"/>
        </w:rPr>
        <w:t xml:space="preserve">半圆拱断面，净断面 </w:t>
      </w:r>
      <w:r>
        <w:rPr>
          <w:rFonts w:ascii="Times New Roman" w:hAnsi="Times New Roman" w:eastAsia="Times New Roman"/>
          <w:spacing w:val="6"/>
        </w:rPr>
        <w:t>7m</w:t>
      </w:r>
      <w:r>
        <w:rPr>
          <w:spacing w:val="6"/>
        </w:rPr>
        <w:t>²</w:t>
      </w:r>
      <w:r>
        <w:rPr>
          <w:spacing w:val="-4"/>
        </w:rPr>
        <w:t xml:space="preserve"> ，担负矿井回风任务。行人井井筒长度 </w:t>
      </w:r>
      <w:r>
        <w:rPr>
          <w:rFonts w:ascii="Times New Roman" w:hAnsi="Times New Roman" w:eastAsia="Times New Roman"/>
          <w:spacing w:val="-7"/>
        </w:rPr>
        <w:t>870m</w:t>
      </w:r>
      <w:r>
        <w:rPr>
          <w:spacing w:val="-5"/>
        </w:rPr>
        <w:t xml:space="preserve">，倾角 </w:t>
      </w:r>
      <w:r>
        <w:rPr>
          <w:rFonts w:ascii="Times New Roman" w:hAnsi="Times New Roman" w:eastAsia="Times New Roman"/>
          <w:spacing w:val="9"/>
        </w:rPr>
        <w:t>23</w:t>
      </w:r>
      <w:r>
        <w:rPr>
          <w:spacing w:val="9"/>
        </w:rPr>
        <w:t xml:space="preserve">°， </w:t>
      </w:r>
      <w:r>
        <w:rPr>
          <w:spacing w:val="12"/>
        </w:rPr>
        <w:t xml:space="preserve">半圆拱形断面，净断面 </w:t>
      </w:r>
      <w:r>
        <w:rPr>
          <w:rFonts w:ascii="Times New Roman" w:hAnsi="Times New Roman" w:eastAsia="Times New Roman"/>
          <w:spacing w:val="12"/>
        </w:rPr>
        <w:t>7.0m</w:t>
      </w:r>
      <w:r>
        <w:rPr>
          <w:spacing w:val="12"/>
        </w:rPr>
        <w:t>²</w:t>
      </w:r>
      <w:r>
        <w:rPr>
          <w:spacing w:val="15"/>
        </w:rPr>
        <w:t>，担负矿井人员的升降任务。</w:t>
      </w:r>
    </w:p>
    <w:p>
      <w:pPr>
        <w:pStyle w:val="9"/>
        <w:spacing w:line="364" w:lineRule="auto"/>
        <w:ind w:left="218" w:right="275" w:firstLine="518"/>
        <w:jc w:val="both"/>
      </w:pPr>
      <w:r>
        <w:t>开采一采区时，利用盟度公司原有的二段轨道下山，二段回风下山和新建的一采区运输巷形成两入一回的生产布局。其中：二段轨道下山通过石门与副井相连，担负一采区的辅助材料、矸石及人员的升降任务；新建的一采区运输巷内安装带式输送机，担负一采区的煤炭提升任务，原煤通过一采区运输巷到达井底煤仓，再由通过主井提升至地面；二段回风下山为盟度公司原有巷道，担负一采区的回风任务。</w:t>
      </w:r>
    </w:p>
    <w:p>
      <w:pPr>
        <w:spacing w:after="0" w:line="364" w:lineRule="auto"/>
        <w:jc w:val="both"/>
        <w:sectPr>
          <w:pgSz w:w="11910" w:h="16840"/>
          <w:pgMar w:top="1340" w:right="1160" w:bottom="1180" w:left="1200" w:header="0" w:footer="993" w:gutter="0"/>
        </w:sectPr>
      </w:pPr>
    </w:p>
    <w:p>
      <w:pPr>
        <w:pStyle w:val="9"/>
        <w:spacing w:before="61" w:line="364" w:lineRule="auto"/>
        <w:ind w:left="218" w:right="275" w:firstLine="518"/>
        <w:jc w:val="both"/>
      </w:pPr>
      <w:r>
        <w:t>矿井划分为一个水平， 在</w:t>
      </w:r>
      <w:r>
        <w:rPr>
          <w:rFonts w:ascii="Times New Roman" w:eastAsia="Times New Roman"/>
        </w:rPr>
        <w:t xml:space="preserve">+80m </w:t>
      </w:r>
      <w:r>
        <w:t xml:space="preserve">水平（ 一水平） 主、副斜井井底布置井底车场，自井底车场向南沿 </w:t>
      </w:r>
      <w:r>
        <w:rPr>
          <w:rFonts w:ascii="Times New Roman" w:eastAsia="Times New Roman"/>
        </w:rPr>
        <w:t xml:space="preserve">16 </w:t>
      </w:r>
      <w:r>
        <w:t>煤层顶板岩层布置</w:t>
      </w:r>
      <w:r>
        <w:rPr>
          <w:rFonts w:ascii="Times New Roman" w:eastAsia="Times New Roman"/>
        </w:rPr>
        <w:t xml:space="preserve">+80m </w:t>
      </w:r>
      <w:r>
        <w:t>集中运输大巷，在井田南部与二采区上山相连接。</w:t>
      </w:r>
    </w:p>
    <w:p>
      <w:pPr>
        <w:pStyle w:val="9"/>
        <w:spacing w:line="362" w:lineRule="auto"/>
        <w:ind w:left="218" w:right="275" w:firstLine="518"/>
      </w:pPr>
      <w:r>
        <w:t>主、副斜井通过运输大巷、采区上山、回风石门与回风斜井相连接，形成矿井运输及通风系统，矿井采用中央并列抽出式通风系统。</w:t>
      </w:r>
    </w:p>
    <w:p>
      <w:pPr>
        <w:pStyle w:val="9"/>
        <w:spacing w:before="4"/>
        <w:ind w:left="698"/>
      </w:pPr>
      <w:r>
        <w:t>井上下对照图见附图。</w:t>
      </w:r>
    </w:p>
    <w:p>
      <w:pPr>
        <w:pStyle w:val="9"/>
        <w:spacing w:before="159"/>
        <w:ind w:left="712"/>
      </w:pPr>
      <w:r>
        <w:rPr>
          <w:rFonts w:ascii="Times New Roman" w:eastAsia="Times New Roman"/>
        </w:rPr>
        <w:t>2</w:t>
      </w:r>
      <w:r>
        <w:t>、井口数目</w:t>
      </w:r>
    </w:p>
    <w:p>
      <w:pPr>
        <w:pStyle w:val="9"/>
        <w:spacing w:before="160" w:line="362" w:lineRule="auto"/>
        <w:ind w:left="218" w:right="200" w:firstLine="480"/>
      </w:pPr>
      <w:r>
        <w:t>本矿井投产时布置四条井筒，分别为主井、副井、行人井、回风井。四条井筒均为利用原有井筒。</w:t>
      </w:r>
    </w:p>
    <w:p>
      <w:pPr>
        <w:pStyle w:val="9"/>
        <w:spacing w:before="5"/>
        <w:ind w:left="698"/>
      </w:pPr>
      <w:r>
        <w:rPr>
          <w:rFonts w:ascii="Times New Roman" w:eastAsia="Times New Roman"/>
        </w:rPr>
        <w:t>3</w:t>
      </w:r>
      <w:r>
        <w:t>、井筒用途、装备及布置</w:t>
      </w:r>
    </w:p>
    <w:p>
      <w:pPr>
        <w:pStyle w:val="18"/>
        <w:numPr>
          <w:ilvl w:val="0"/>
          <w:numId w:val="34"/>
        </w:numPr>
        <w:tabs>
          <w:tab w:val="left" w:pos="1388"/>
        </w:tabs>
        <w:spacing w:before="158" w:after="0" w:line="240" w:lineRule="auto"/>
        <w:ind w:left="1387" w:right="0" w:hanging="652"/>
        <w:jc w:val="left"/>
        <w:rPr>
          <w:sz w:val="24"/>
        </w:rPr>
      </w:pPr>
      <w:r>
        <w:rPr>
          <w:spacing w:val="19"/>
          <w:sz w:val="24"/>
        </w:rPr>
        <w:t>）</w:t>
      </w:r>
      <w:r>
        <w:rPr>
          <w:spacing w:val="14"/>
          <w:sz w:val="24"/>
        </w:rPr>
        <w:t>主井井筒</w:t>
      </w:r>
    </w:p>
    <w:p>
      <w:pPr>
        <w:pStyle w:val="9"/>
        <w:spacing w:before="161"/>
        <w:ind w:left="736"/>
        <w:jc w:val="both"/>
        <w:rPr>
          <w:rFonts w:ascii="Times New Roman" w:eastAsia="Times New Roman"/>
        </w:rPr>
      </w:pPr>
      <w:r>
        <w:t xml:space="preserve">主要承担矿井的煤炭提升任务，同时兼作矿井的进风井及安全出口。倾角 </w:t>
      </w:r>
      <w:r>
        <w:rPr>
          <w:rFonts w:ascii="Times New Roman" w:eastAsia="Times New Roman"/>
        </w:rPr>
        <w:t>19</w:t>
      </w:r>
    </w:p>
    <w:p>
      <w:pPr>
        <w:pStyle w:val="9"/>
        <w:spacing w:before="158" w:line="364" w:lineRule="auto"/>
        <w:ind w:left="218" w:right="270"/>
        <w:jc w:val="both"/>
      </w:pPr>
      <w:r>
        <w:t>º，井口标高</w:t>
      </w:r>
      <w:r>
        <w:rPr>
          <w:rFonts w:ascii="Times New Roman" w:hAnsi="Times New Roman" w:eastAsia="Times New Roman"/>
        </w:rPr>
        <w:t>+350.1m</w:t>
      </w:r>
      <w:r>
        <w:t xml:space="preserve">，斜长 </w:t>
      </w:r>
      <w:r>
        <w:rPr>
          <w:rFonts w:ascii="Times New Roman" w:hAnsi="Times New Roman" w:eastAsia="Times New Roman"/>
        </w:rPr>
        <w:t>860m</w:t>
      </w:r>
      <w:r>
        <w:t xml:space="preserve">；井筒采用半圆拱形断面，净宽 </w:t>
      </w:r>
      <w:r>
        <w:rPr>
          <w:rFonts w:ascii="Times New Roman" w:hAnsi="Times New Roman" w:eastAsia="Times New Roman"/>
        </w:rPr>
        <w:t>3.0m</w:t>
      </w:r>
      <w:r>
        <w:t xml:space="preserve">，净断面积 </w:t>
      </w:r>
      <w:r>
        <w:rPr>
          <w:rFonts w:ascii="Times New Roman" w:hAnsi="Times New Roman" w:eastAsia="Times New Roman"/>
        </w:rPr>
        <w:t>7m</w:t>
      </w:r>
      <w:r>
        <w:t>²</w:t>
      </w:r>
      <w:r>
        <w:rPr>
          <w:position w:val="12"/>
          <w:sz w:val="12"/>
        </w:rPr>
        <w:t xml:space="preserve">， </w:t>
      </w:r>
      <w:r>
        <w:t xml:space="preserve">表土与风化基岩段采用钢筋砼砌碹支护， 基岩段采用挂网锚喷支护。井筒内铺设 </w:t>
      </w:r>
      <w:r>
        <w:rPr>
          <w:rFonts w:ascii="Times New Roman" w:hAnsi="Times New Roman" w:eastAsia="Times New Roman"/>
        </w:rPr>
        <w:t xml:space="preserve">600mm </w:t>
      </w:r>
      <w:r>
        <w:t xml:space="preserve">轨距，轨型 </w:t>
      </w:r>
      <w:r>
        <w:rPr>
          <w:rFonts w:ascii="Times New Roman" w:hAnsi="Times New Roman" w:eastAsia="Times New Roman"/>
        </w:rPr>
        <w:t xml:space="preserve">30kg/m </w:t>
      </w:r>
      <w:r>
        <w:t>的钢轨，主要担负矿井煤炭提升任务，井筒内设台阶及扶手， 为矿井主进风井兼作安全出口。</w:t>
      </w:r>
    </w:p>
    <w:p>
      <w:pPr>
        <w:pStyle w:val="18"/>
        <w:numPr>
          <w:ilvl w:val="0"/>
          <w:numId w:val="34"/>
        </w:numPr>
        <w:tabs>
          <w:tab w:val="left" w:pos="1388"/>
        </w:tabs>
        <w:spacing w:before="0" w:after="0" w:line="240" w:lineRule="auto"/>
        <w:ind w:left="1387" w:right="0" w:hanging="652"/>
        <w:jc w:val="left"/>
        <w:rPr>
          <w:sz w:val="24"/>
        </w:rPr>
      </w:pPr>
      <w:r>
        <w:rPr>
          <w:spacing w:val="19"/>
          <w:sz w:val="24"/>
        </w:rPr>
        <w:t>）</w:t>
      </w:r>
      <w:r>
        <w:rPr>
          <w:spacing w:val="14"/>
          <w:sz w:val="24"/>
        </w:rPr>
        <w:t>副井井筒</w:t>
      </w:r>
    </w:p>
    <w:p>
      <w:pPr>
        <w:pStyle w:val="9"/>
        <w:spacing w:before="158" w:line="364" w:lineRule="auto"/>
        <w:ind w:left="218" w:right="246" w:firstLine="518"/>
        <w:jc w:val="both"/>
      </w:pPr>
      <w:r>
        <w:t xml:space="preserve">主要担负矿井的人员、矸石提升、材料下放以及设备升降等辅助提升任务， 同时兼作矿井的辅助进风井及安全出口。倾角 </w:t>
      </w:r>
      <w:r>
        <w:rPr>
          <w:rFonts w:ascii="Times New Roman" w:hAnsi="Times New Roman" w:eastAsia="Times New Roman"/>
        </w:rPr>
        <w:t xml:space="preserve">23 </w:t>
      </w:r>
      <w:r>
        <w:t>° ， 井筒标高</w:t>
      </w:r>
      <w:r>
        <w:rPr>
          <w:rFonts w:ascii="Times New Roman" w:hAnsi="Times New Roman" w:eastAsia="Times New Roman"/>
        </w:rPr>
        <w:t>+303.1m</w:t>
      </w:r>
      <w:r>
        <w:t>， 斜长</w:t>
      </w:r>
      <w:r>
        <w:rPr>
          <w:rFonts w:ascii="Times New Roman" w:hAnsi="Times New Roman" w:eastAsia="Times New Roman"/>
        </w:rPr>
        <w:t>870m</w:t>
      </w:r>
      <w:r>
        <w:t xml:space="preserve">。井筒断面为半圆拱形，净宽 </w:t>
      </w:r>
      <w:r>
        <w:rPr>
          <w:rFonts w:ascii="Times New Roman" w:hAnsi="Times New Roman" w:eastAsia="Times New Roman"/>
        </w:rPr>
        <w:t>2.8m</w:t>
      </w:r>
      <w:r>
        <w:t xml:space="preserve">，直墙高 </w:t>
      </w:r>
      <w:r>
        <w:rPr>
          <w:rFonts w:ascii="Times New Roman" w:hAnsi="Times New Roman" w:eastAsia="Times New Roman"/>
        </w:rPr>
        <w:t>1m</w:t>
      </w:r>
      <w:r>
        <w:t xml:space="preserve">，净断面积 </w:t>
      </w:r>
      <w:r>
        <w:rPr>
          <w:rFonts w:ascii="Times New Roman" w:hAnsi="Times New Roman" w:eastAsia="Times New Roman"/>
        </w:rPr>
        <w:t>5.9m</w:t>
      </w:r>
      <w:r>
        <w:t xml:space="preserve">²。表土与风化基岩段采用钢筋砼砌碹支护，基岩段采用挂网锚喷支护。井筒内设台阶及扶手，铺设 </w:t>
      </w:r>
      <w:r>
        <w:rPr>
          <w:rFonts w:ascii="Times New Roman" w:hAnsi="Times New Roman" w:eastAsia="Times New Roman"/>
        </w:rPr>
        <w:t xml:space="preserve">SMJ140 </w:t>
      </w:r>
      <w:r>
        <w:t xml:space="preserve">异型轨，初期采用 </w:t>
      </w:r>
      <w:r>
        <w:rPr>
          <w:rFonts w:ascii="Times New Roman" w:hAnsi="Times New Roman" w:eastAsia="Times New Roman"/>
        </w:rPr>
        <w:t xml:space="preserve">RKQ10-6/6 </w:t>
      </w:r>
      <w:r>
        <w:t>型全路况卡轨人车运送人员，敷设排水管、消防洒水管、通讯及信号电缆等管线设施。</w:t>
      </w:r>
    </w:p>
    <w:p>
      <w:pPr>
        <w:pStyle w:val="18"/>
        <w:numPr>
          <w:ilvl w:val="0"/>
          <w:numId w:val="34"/>
        </w:numPr>
        <w:tabs>
          <w:tab w:val="left" w:pos="1388"/>
        </w:tabs>
        <w:spacing w:before="0" w:after="0" w:line="304" w:lineRule="exact"/>
        <w:ind w:left="1387" w:right="0" w:hanging="652"/>
        <w:jc w:val="left"/>
        <w:rPr>
          <w:sz w:val="24"/>
        </w:rPr>
      </w:pPr>
      <w:r>
        <w:rPr>
          <w:spacing w:val="19"/>
          <w:sz w:val="24"/>
        </w:rPr>
        <w:t>）</w:t>
      </w:r>
      <w:r>
        <w:rPr>
          <w:spacing w:val="15"/>
          <w:sz w:val="24"/>
        </w:rPr>
        <w:t>行人井井筒</w:t>
      </w:r>
    </w:p>
    <w:p>
      <w:pPr>
        <w:pStyle w:val="9"/>
        <w:spacing w:before="160" w:line="364" w:lineRule="auto"/>
        <w:ind w:left="218" w:right="140" w:firstLine="518"/>
      </w:pPr>
      <w:r>
        <w:t xml:space="preserve">倾角 </w:t>
      </w:r>
      <w:r>
        <w:rPr>
          <w:rFonts w:ascii="Times New Roman" w:hAnsi="Times New Roman" w:eastAsia="Times New Roman"/>
        </w:rPr>
        <w:t>20</w:t>
      </w:r>
      <w:r>
        <w:t>º，井口标高</w:t>
      </w:r>
      <w:r>
        <w:rPr>
          <w:rFonts w:ascii="Times New Roman" w:hAnsi="Times New Roman" w:eastAsia="Times New Roman"/>
        </w:rPr>
        <w:t>+348m</w:t>
      </w:r>
      <w:r>
        <w:t xml:space="preserve">，斜长 </w:t>
      </w:r>
      <w:r>
        <w:rPr>
          <w:rFonts w:ascii="Times New Roman" w:hAnsi="Times New Roman" w:eastAsia="Times New Roman"/>
        </w:rPr>
        <w:t>620m</w:t>
      </w:r>
      <w:r>
        <w:t xml:space="preserve">；井筒采用半圆拱形断面，净宽 </w:t>
      </w:r>
      <w:r>
        <w:rPr>
          <w:rFonts w:ascii="Times New Roman" w:hAnsi="Times New Roman" w:eastAsia="Times New Roman"/>
        </w:rPr>
        <w:t>2.8m</w:t>
      </w:r>
      <w:r>
        <w:t xml:space="preserve">， 直墙高 </w:t>
      </w:r>
      <w:r>
        <w:rPr>
          <w:rFonts w:ascii="Times New Roman" w:hAnsi="Times New Roman" w:eastAsia="Times New Roman"/>
        </w:rPr>
        <w:t>1m</w:t>
      </w:r>
      <w:r>
        <w:t xml:space="preserve">，净断面积 </w:t>
      </w:r>
      <w:r>
        <w:rPr>
          <w:rFonts w:ascii="Times New Roman" w:hAnsi="Times New Roman" w:eastAsia="Times New Roman"/>
        </w:rPr>
        <w:t>5.9m</w:t>
      </w:r>
      <w:r>
        <w:t>²，表土与风化基岩段采用钢筋砼砌碹支护，基岩段采用挂网锚喷支护，后期担负人员升降任务，兼做辅助入风。</w:t>
      </w:r>
    </w:p>
    <w:p>
      <w:pPr>
        <w:pStyle w:val="18"/>
        <w:numPr>
          <w:ilvl w:val="0"/>
          <w:numId w:val="34"/>
        </w:numPr>
        <w:tabs>
          <w:tab w:val="left" w:pos="1388"/>
        </w:tabs>
        <w:spacing w:before="0" w:after="0" w:line="304" w:lineRule="exact"/>
        <w:ind w:left="1387" w:right="0" w:hanging="652"/>
        <w:jc w:val="left"/>
        <w:rPr>
          <w:sz w:val="24"/>
        </w:rPr>
      </w:pPr>
      <w:r>
        <w:rPr>
          <w:spacing w:val="19"/>
          <w:sz w:val="24"/>
        </w:rPr>
        <w:t>）</w:t>
      </w:r>
      <w:r>
        <w:rPr>
          <w:spacing w:val="15"/>
          <w:sz w:val="24"/>
        </w:rPr>
        <w:t>回风井井筒</w:t>
      </w:r>
    </w:p>
    <w:p>
      <w:pPr>
        <w:pStyle w:val="9"/>
        <w:spacing w:before="161" w:line="362" w:lineRule="auto"/>
        <w:ind w:left="218" w:right="272" w:firstLine="518"/>
      </w:pPr>
      <w:r>
        <w:t xml:space="preserve">倾角 </w:t>
      </w:r>
      <w:r>
        <w:rPr>
          <w:rFonts w:ascii="Times New Roman" w:hAnsi="Times New Roman" w:eastAsia="Times New Roman"/>
        </w:rPr>
        <w:t>20</w:t>
      </w:r>
      <w:r>
        <w:t>º， 井口标高</w:t>
      </w:r>
      <w:r>
        <w:rPr>
          <w:rFonts w:ascii="Times New Roman" w:hAnsi="Times New Roman" w:eastAsia="Times New Roman"/>
        </w:rPr>
        <w:t>+348.32m</w:t>
      </w:r>
      <w:r>
        <w:t xml:space="preserve">， 斜长 </w:t>
      </w:r>
      <w:r>
        <w:rPr>
          <w:rFonts w:ascii="Times New Roman" w:hAnsi="Times New Roman" w:eastAsia="Times New Roman"/>
        </w:rPr>
        <w:t>680m</w:t>
      </w:r>
      <w:r>
        <w:t>； 井筒采用半圆拱形断面， 净宽</w:t>
      </w:r>
      <w:r>
        <w:rPr>
          <w:rFonts w:ascii="Times New Roman" w:hAnsi="Times New Roman" w:eastAsia="Times New Roman"/>
        </w:rPr>
        <w:t>3m</w:t>
      </w:r>
      <w:r>
        <w:t xml:space="preserve">， 直墙高 </w:t>
      </w:r>
      <w:r>
        <w:rPr>
          <w:rFonts w:ascii="Times New Roman" w:hAnsi="Times New Roman" w:eastAsia="Times New Roman"/>
        </w:rPr>
        <w:t>1m</w:t>
      </w:r>
      <w:r>
        <w:t xml:space="preserve">， 净断面积 </w:t>
      </w:r>
      <w:r>
        <w:rPr>
          <w:rFonts w:ascii="Times New Roman" w:hAnsi="Times New Roman" w:eastAsia="Times New Roman"/>
        </w:rPr>
        <w:t>7.0m</w:t>
      </w:r>
      <w:r>
        <w:t>²， 锚网喷支护， 担负矿井回风任务， 兼做安全</w:t>
      </w:r>
    </w:p>
    <w:p>
      <w:pPr>
        <w:spacing w:after="0" w:line="362" w:lineRule="auto"/>
        <w:sectPr>
          <w:pgSz w:w="11910" w:h="16840"/>
          <w:pgMar w:top="1340" w:right="1160" w:bottom="1180" w:left="1200" w:header="0" w:footer="993" w:gutter="0"/>
        </w:sectPr>
      </w:pPr>
    </w:p>
    <w:p>
      <w:pPr>
        <w:pStyle w:val="9"/>
        <w:spacing w:before="41"/>
        <w:ind w:left="218"/>
      </w:pPr>
      <w:r>
        <w:t>出口。</w:t>
      </w:r>
    </w:p>
    <w:p>
      <w:pPr>
        <w:pStyle w:val="9"/>
        <w:spacing w:before="158"/>
        <w:ind w:left="698"/>
      </w:pPr>
      <w:r>
        <w:rPr>
          <w:rFonts w:ascii="Times New Roman" w:eastAsia="Times New Roman"/>
          <w:color w:val="FF0000"/>
        </w:rPr>
        <w:t>4</w:t>
      </w:r>
      <w:r>
        <w:rPr>
          <w:color w:val="FF0000"/>
        </w:rPr>
        <w:t>、井下开采</w:t>
      </w:r>
    </w:p>
    <w:p>
      <w:pPr>
        <w:pStyle w:val="18"/>
        <w:numPr>
          <w:ilvl w:val="0"/>
          <w:numId w:val="35"/>
        </w:numPr>
        <w:tabs>
          <w:tab w:val="left" w:pos="1300"/>
        </w:tabs>
        <w:spacing w:before="161" w:after="0" w:line="240" w:lineRule="auto"/>
        <w:ind w:left="1299" w:right="0" w:hanging="602"/>
        <w:jc w:val="left"/>
        <w:rPr>
          <w:sz w:val="24"/>
        </w:rPr>
      </w:pPr>
      <w:r>
        <w:rPr>
          <w:color w:val="FF0000"/>
          <w:sz w:val="24"/>
        </w:rPr>
        <w:t>采区划分</w:t>
      </w:r>
    </w:p>
    <w:p>
      <w:pPr>
        <w:pStyle w:val="9"/>
        <w:spacing w:before="160" w:line="364" w:lineRule="auto"/>
        <w:ind w:left="218" w:right="275" w:firstLine="518"/>
        <w:jc w:val="both"/>
      </w:pPr>
      <w:r>
        <w:rPr>
          <w:color w:val="FF0000"/>
        </w:rPr>
        <w:t>根据井田地质特征、煤层赋存条件、煤层生产能力、开拓开采方式及水平划分， 并综合考虑矿井开采范围内走向长度、倾斜宽度， 设计井田走向上以 F</w:t>
      </w:r>
      <w:r>
        <w:rPr>
          <w:color w:val="FF0000"/>
          <w:position w:val="-2"/>
          <w:sz w:val="12"/>
        </w:rPr>
        <w:t xml:space="preserve">13 </w:t>
      </w:r>
      <w:r>
        <w:rPr>
          <w:color w:val="FF0000"/>
        </w:rPr>
        <w:t>断层以北划分为一采区， F</w:t>
      </w:r>
      <w:r>
        <w:rPr>
          <w:color w:val="FF0000"/>
          <w:position w:val="-2"/>
          <w:sz w:val="12"/>
        </w:rPr>
        <w:t xml:space="preserve">14 </w:t>
      </w:r>
      <w:r>
        <w:rPr>
          <w:color w:val="FF0000"/>
        </w:rPr>
        <w:t>断层以东划分为二采区， F</w:t>
      </w:r>
      <w:r>
        <w:rPr>
          <w:color w:val="FF0000"/>
          <w:position w:val="-2"/>
          <w:sz w:val="12"/>
        </w:rPr>
        <w:t xml:space="preserve">13 </w:t>
      </w:r>
      <w:r>
        <w:rPr>
          <w:color w:val="FF0000"/>
        </w:rPr>
        <w:t>断层以南 F</w:t>
      </w:r>
      <w:r>
        <w:rPr>
          <w:color w:val="FF0000"/>
          <w:position w:val="-2"/>
          <w:sz w:val="12"/>
        </w:rPr>
        <w:t xml:space="preserve">14 </w:t>
      </w:r>
      <w:r>
        <w:rPr>
          <w:color w:val="FF0000"/>
        </w:rPr>
        <w:t>断层以西划分为三采区， 全矿井共划分为三个采区。</w:t>
      </w:r>
    </w:p>
    <w:p>
      <w:pPr>
        <w:pStyle w:val="18"/>
        <w:numPr>
          <w:ilvl w:val="0"/>
          <w:numId w:val="35"/>
        </w:numPr>
        <w:tabs>
          <w:tab w:val="left" w:pos="1300"/>
        </w:tabs>
        <w:spacing w:before="0" w:after="0" w:line="305" w:lineRule="exact"/>
        <w:ind w:left="1299" w:right="0" w:hanging="602"/>
        <w:jc w:val="left"/>
        <w:rPr>
          <w:sz w:val="24"/>
        </w:rPr>
      </w:pPr>
      <w:r>
        <w:rPr>
          <w:color w:val="FF0000"/>
          <w:sz w:val="24"/>
        </w:rPr>
        <w:t>采区接续</w:t>
      </w:r>
    </w:p>
    <w:p>
      <w:pPr>
        <w:pStyle w:val="9"/>
        <w:spacing w:before="158"/>
        <w:ind w:left="736"/>
      </w:pPr>
      <w:r>
        <w:rPr>
          <w:color w:val="FF0000"/>
        </w:rPr>
        <w:t>采区接续顺序：二采区→三采区→一采区。</w:t>
      </w:r>
    </w:p>
    <w:p>
      <w:pPr>
        <w:pStyle w:val="9"/>
        <w:spacing w:before="161"/>
        <w:ind w:left="736"/>
      </w:pPr>
      <w:r>
        <w:rPr>
          <w:color w:val="FF0000"/>
        </w:rPr>
        <w:t>区段间，原则上先开采上区段， 后开采下区段。</w:t>
      </w:r>
    </w:p>
    <w:p>
      <w:pPr>
        <w:pStyle w:val="9"/>
        <w:spacing w:before="158" w:line="364" w:lineRule="auto"/>
        <w:ind w:left="218" w:right="275" w:firstLine="518"/>
      </w:pPr>
      <w:r>
        <w:rPr>
          <w:color w:val="FF0000"/>
        </w:rPr>
        <w:t>煤层之间：合理安排开采顺序，根据煤层间距，在下层煤不破坏上层煤的情况可以先采下层。</w:t>
      </w:r>
    </w:p>
    <w:p>
      <w:pPr>
        <w:pStyle w:val="9"/>
        <w:spacing w:line="306" w:lineRule="exact"/>
        <w:ind w:left="736"/>
      </w:pPr>
      <w:r>
        <w:rPr>
          <w:color w:val="FF0000"/>
        </w:rPr>
        <w:t>回采工作面为走向长壁后退式， 即由采区边界向上山方向推进。</w:t>
      </w:r>
    </w:p>
    <w:p>
      <w:pPr>
        <w:pStyle w:val="18"/>
        <w:numPr>
          <w:ilvl w:val="0"/>
          <w:numId w:val="35"/>
        </w:numPr>
        <w:tabs>
          <w:tab w:val="left" w:pos="1300"/>
        </w:tabs>
        <w:spacing w:before="160" w:after="0" w:line="240" w:lineRule="auto"/>
        <w:ind w:left="1299" w:right="0" w:hanging="602"/>
        <w:jc w:val="left"/>
        <w:rPr>
          <w:sz w:val="24"/>
        </w:rPr>
      </w:pPr>
      <w:r>
        <w:rPr>
          <w:color w:val="FF0000"/>
          <w:sz w:val="24"/>
        </w:rPr>
        <w:t>首采区位置</w:t>
      </w:r>
    </w:p>
    <w:p>
      <w:pPr>
        <w:pStyle w:val="9"/>
        <w:spacing w:before="161" w:line="362" w:lineRule="auto"/>
        <w:ind w:left="218" w:right="145" w:firstLine="518"/>
      </w:pPr>
      <w:r>
        <w:rPr>
          <w:color w:val="FF0000"/>
          <w:spacing w:val="6"/>
        </w:rPr>
        <w:t xml:space="preserve">根据煤层赋存条件、井田开拓方式及采区划分方案，投产采区位置为二采区， </w:t>
      </w:r>
      <w:r>
        <w:rPr>
          <w:color w:val="FF0000"/>
          <w:spacing w:val="-15"/>
        </w:rPr>
        <w:t xml:space="preserve">即 </w:t>
      </w:r>
      <w:r>
        <w:rPr>
          <w:color w:val="FF0000"/>
          <w:spacing w:val="5"/>
        </w:rPr>
        <w:t>F</w:t>
      </w:r>
      <w:r>
        <w:rPr>
          <w:color w:val="FF0000"/>
          <w:spacing w:val="5"/>
          <w:position w:val="-2"/>
          <w:sz w:val="12"/>
        </w:rPr>
        <w:t>14</w:t>
      </w:r>
      <w:r>
        <w:rPr>
          <w:color w:val="FF0000"/>
          <w:spacing w:val="-12"/>
          <w:position w:val="-2"/>
          <w:sz w:val="12"/>
        </w:rPr>
        <w:t xml:space="preserve"> </w:t>
      </w:r>
      <w:r>
        <w:rPr>
          <w:color w:val="FF0000"/>
          <w:spacing w:val="16"/>
        </w:rPr>
        <w:t>断层至井田西界。</w:t>
      </w:r>
    </w:p>
    <w:p>
      <w:pPr>
        <w:pStyle w:val="18"/>
        <w:numPr>
          <w:ilvl w:val="0"/>
          <w:numId w:val="35"/>
        </w:numPr>
        <w:tabs>
          <w:tab w:val="left" w:pos="1300"/>
        </w:tabs>
        <w:spacing w:before="5" w:after="0" w:line="240" w:lineRule="auto"/>
        <w:ind w:left="1299" w:right="0" w:hanging="602"/>
        <w:jc w:val="left"/>
        <w:rPr>
          <w:sz w:val="24"/>
        </w:rPr>
      </w:pPr>
      <w:r>
        <w:rPr>
          <w:color w:val="FF0000"/>
          <w:sz w:val="24"/>
        </w:rPr>
        <w:t>采区巷道布置</w:t>
      </w:r>
    </w:p>
    <w:p>
      <w:pPr>
        <w:pStyle w:val="9"/>
        <w:spacing w:before="158" w:line="362" w:lineRule="auto"/>
        <w:ind w:left="218" w:right="143" w:firstLine="518"/>
      </w:pPr>
      <w:r>
        <w:rPr>
          <w:color w:val="FF0000"/>
        </w:rPr>
        <w:t>投产采区为二采区，采区走向长约 2600m，倾斜宽约 1000m，采区上限为+250m，采区下限为+50m，采区垂高为 200m。</w:t>
      </w:r>
    </w:p>
    <w:p>
      <w:pPr>
        <w:pStyle w:val="8"/>
        <w:numPr>
          <w:ilvl w:val="3"/>
          <w:numId w:val="32"/>
        </w:numPr>
        <w:tabs>
          <w:tab w:val="left" w:pos="939"/>
        </w:tabs>
        <w:spacing w:before="5" w:after="0" w:line="240" w:lineRule="auto"/>
        <w:ind w:left="938" w:right="0" w:hanging="721"/>
        <w:jc w:val="left"/>
      </w:pPr>
      <w:bookmarkStart w:id="173" w:name="2.3.2.4矿井通风"/>
      <w:bookmarkEnd w:id="173"/>
      <w:bookmarkStart w:id="174" w:name="2.3.2.4矿井通风"/>
      <w:bookmarkEnd w:id="174"/>
      <w:r>
        <w:t>矿井通风</w:t>
      </w:r>
    </w:p>
    <w:p>
      <w:pPr>
        <w:pStyle w:val="9"/>
        <w:spacing w:before="160" w:line="362" w:lineRule="auto"/>
        <w:ind w:left="218" w:right="145" w:firstLine="518"/>
      </w:pPr>
      <w:r>
        <w:t>本矿井为高瓦斯矿井，采用中央并列通风方式，机械抽出式通风方法。由主、副斜井进风，回风斜井回风。</w:t>
      </w:r>
    </w:p>
    <w:p>
      <w:pPr>
        <w:pStyle w:val="8"/>
        <w:numPr>
          <w:ilvl w:val="3"/>
          <w:numId w:val="32"/>
        </w:numPr>
        <w:tabs>
          <w:tab w:val="left" w:pos="939"/>
        </w:tabs>
        <w:spacing w:before="5" w:after="0" w:line="240" w:lineRule="auto"/>
        <w:ind w:left="938" w:right="0" w:hanging="721"/>
        <w:jc w:val="left"/>
      </w:pPr>
      <w:bookmarkStart w:id="175" w:name="2.3.2.5瓦斯赋存状况及瓦斯涌出量"/>
      <w:bookmarkEnd w:id="175"/>
      <w:bookmarkStart w:id="176" w:name="2.3.2.5瓦斯赋存状况及瓦斯涌出量"/>
      <w:bookmarkEnd w:id="176"/>
      <w:r>
        <w:t>瓦斯赋存状况及瓦斯涌出量</w:t>
      </w:r>
    </w:p>
    <w:p>
      <w:pPr>
        <w:pStyle w:val="9"/>
        <w:spacing w:before="158" w:line="364" w:lineRule="auto"/>
        <w:ind w:left="218" w:right="275" w:firstLine="518"/>
        <w:jc w:val="both"/>
      </w:pPr>
      <w:r>
        <w:rPr>
          <w:spacing w:val="-5"/>
        </w:rPr>
        <w:t xml:space="preserve">根据 </w:t>
      </w:r>
      <w:r>
        <w:rPr>
          <w:spacing w:val="6"/>
        </w:rPr>
        <w:t>2018</w:t>
      </w:r>
      <w:r>
        <w:rPr>
          <w:spacing w:val="1"/>
        </w:rPr>
        <w:t xml:space="preserve"> 年本矿井瓦斯涌出量测定结果， 矿瓦斯相对涌出量为 </w:t>
      </w:r>
      <w:r>
        <w:rPr>
          <w:spacing w:val="10"/>
        </w:rPr>
        <w:t xml:space="preserve">1.72m³/t， </w:t>
      </w:r>
      <w:r>
        <w:rPr>
          <w:spacing w:val="12"/>
        </w:rPr>
        <w:t>二氧化碳相对涌出量为 3.8m³/t</w:t>
      </w:r>
      <w:r>
        <w:rPr>
          <w:spacing w:val="10"/>
        </w:rPr>
        <w:t xml:space="preserve">；瓦斯绝对涌出量为 </w:t>
      </w:r>
      <w:r>
        <w:rPr>
          <w:spacing w:val="4"/>
        </w:rPr>
        <w:t>0.3</w:t>
      </w:r>
      <w:r>
        <w:rPr>
          <w:spacing w:val="-24"/>
        </w:rPr>
        <w:t xml:space="preserve"> </w:t>
      </w:r>
      <w:r>
        <w:rPr>
          <w:spacing w:val="12"/>
        </w:rPr>
        <w:t>m³/min</w:t>
      </w:r>
      <w:r>
        <w:rPr>
          <w:spacing w:val="14"/>
        </w:rPr>
        <w:t>，二氧化碳绝对</w:t>
      </w:r>
      <w:r>
        <w:rPr>
          <w:spacing w:val="4"/>
        </w:rPr>
        <w:t xml:space="preserve">涌出量为 </w:t>
      </w:r>
      <w:r>
        <w:rPr>
          <w:spacing w:val="11"/>
        </w:rPr>
        <w:t>0.82m³/min</w:t>
      </w:r>
      <w:r>
        <w:rPr>
          <w:spacing w:val="14"/>
        </w:rPr>
        <w:t>，为高瓦斯矿井。</w:t>
      </w:r>
    </w:p>
    <w:p>
      <w:pPr>
        <w:pStyle w:val="8"/>
        <w:numPr>
          <w:ilvl w:val="3"/>
          <w:numId w:val="36"/>
        </w:numPr>
        <w:tabs>
          <w:tab w:val="left" w:pos="939"/>
        </w:tabs>
        <w:spacing w:before="0" w:after="0" w:line="307" w:lineRule="exact"/>
        <w:ind w:left="938" w:right="0" w:hanging="721"/>
        <w:jc w:val="both"/>
      </w:pPr>
      <w:bookmarkStart w:id="177" w:name="2.3.2.5矿井地面生产系统"/>
      <w:bookmarkEnd w:id="177"/>
      <w:bookmarkStart w:id="178" w:name="2.3.2.5矿井地面生产系统"/>
      <w:bookmarkEnd w:id="178"/>
      <w:r>
        <w:t>矿井地面生产系统</w:t>
      </w:r>
    </w:p>
    <w:p>
      <w:pPr>
        <w:pStyle w:val="9"/>
        <w:spacing w:before="159"/>
        <w:ind w:left="698"/>
      </w:pPr>
      <w:r>
        <w:rPr>
          <w:rFonts w:ascii="Times New Roman" w:eastAsia="Times New Roman"/>
        </w:rPr>
        <w:t>1</w:t>
      </w:r>
      <w:r>
        <w:t>、主井生产系统</w:t>
      </w:r>
    </w:p>
    <w:p>
      <w:pPr>
        <w:pStyle w:val="9"/>
        <w:spacing w:before="160" w:line="362" w:lineRule="auto"/>
        <w:ind w:left="218" w:right="269" w:firstLine="518"/>
      </w:pPr>
      <w:r>
        <w:t>本次资源整合将弘泰第六煤矿混合提升主井改为盟度公司主井，担负提煤任务， 主井斜长 860m， 倾角 19°。原煤经运输顺槽到采区带式输送机上山，+80m</w:t>
      </w:r>
    </w:p>
    <w:p>
      <w:pPr>
        <w:spacing w:after="0" w:line="362" w:lineRule="auto"/>
        <w:sectPr>
          <w:pgSz w:w="11910" w:h="16840"/>
          <w:pgMar w:top="1360" w:right="1160" w:bottom="1180" w:left="1200" w:header="0" w:footer="993" w:gutter="0"/>
        </w:sectPr>
      </w:pPr>
    </w:p>
    <w:p>
      <w:pPr>
        <w:pStyle w:val="9"/>
        <w:spacing w:before="41" w:line="364" w:lineRule="auto"/>
        <w:ind w:left="218" w:right="277"/>
        <w:jc w:val="both"/>
      </w:pPr>
      <w:r>
        <w:rPr>
          <w:spacing w:val="-4"/>
        </w:rPr>
        <w:t xml:space="preserve">运输大巷， 再由主井井底提升到井上， 通过井上车场翻车机到栈桥皮带， 经 </w:t>
      </w:r>
      <w:r>
        <w:rPr>
          <w:spacing w:val="6"/>
        </w:rPr>
        <w:t xml:space="preserve">40m </w:t>
      </w:r>
      <w:r>
        <w:t xml:space="preserve">处自制 </w:t>
      </w:r>
      <w:r>
        <w:rPr>
          <w:spacing w:val="6"/>
        </w:rPr>
        <w:t xml:space="preserve">50mm 长孔振动筛筛分后送至煤场装车。煤场容积约为 </w:t>
      </w:r>
      <w:r>
        <w:t>6</w:t>
      </w:r>
      <w:r>
        <w:rPr>
          <w:spacing w:val="-27"/>
        </w:rPr>
        <w:t xml:space="preserve"> 万 </w:t>
      </w:r>
      <w:r>
        <w:rPr>
          <w:spacing w:val="-10"/>
        </w:rPr>
        <w:t>t</w:t>
      </w:r>
      <w:r>
        <w:rPr>
          <w:spacing w:val="10"/>
        </w:rPr>
        <w:t>，可供扩建后</w:t>
      </w:r>
      <w:r>
        <w:rPr>
          <w:spacing w:val="16"/>
        </w:rPr>
        <w:t>矿井两月煤炭储存。</w:t>
      </w:r>
    </w:p>
    <w:p>
      <w:pPr>
        <w:pStyle w:val="9"/>
        <w:spacing w:line="362" w:lineRule="auto"/>
        <w:ind w:left="736" w:right="5188"/>
        <w:jc w:val="both"/>
      </w:pPr>
      <w:r>
        <w:t>主井地面生产系统主要设备有： 1、主斜井提升机 1 台</w:t>
      </w:r>
    </w:p>
    <w:p>
      <w:pPr>
        <w:pStyle w:val="9"/>
        <w:spacing w:before="4" w:line="362" w:lineRule="auto"/>
        <w:ind w:left="218" w:right="181" w:firstLine="518"/>
        <w:jc w:val="both"/>
      </w:pPr>
      <w:r>
        <w:rPr>
          <w:spacing w:val="1"/>
        </w:rPr>
        <w:t xml:space="preserve">型号为 </w:t>
      </w:r>
      <w:r>
        <w:rPr>
          <w:spacing w:val="11"/>
        </w:rPr>
        <w:t>JK-2.5×2/20</w:t>
      </w:r>
      <w:r>
        <w:rPr>
          <w:spacing w:val="2"/>
        </w:rPr>
        <w:t xml:space="preserve">；电动机为变频电动机， 功率 </w:t>
      </w:r>
      <w:r>
        <w:rPr>
          <w:spacing w:val="11"/>
        </w:rPr>
        <w:t>450kW</w:t>
      </w:r>
      <w:r>
        <w:rPr>
          <w:spacing w:val="-1"/>
        </w:rPr>
        <w:t xml:space="preserve">，转速 </w:t>
      </w:r>
      <w:r>
        <w:rPr>
          <w:spacing w:val="8"/>
        </w:rPr>
        <w:t xml:space="preserve">730r/min， </w:t>
      </w:r>
      <w:r>
        <w:rPr>
          <w:spacing w:val="-6"/>
        </w:rPr>
        <w:t xml:space="preserve">电压 </w:t>
      </w:r>
      <w:r>
        <w:rPr>
          <w:spacing w:val="11"/>
        </w:rPr>
        <w:t>660V</w:t>
      </w:r>
      <w:r>
        <w:rPr>
          <w:spacing w:val="9"/>
        </w:rPr>
        <w:t xml:space="preserve">；天然纤维芯钢丝绳 </w:t>
      </w:r>
      <w:r>
        <w:rPr>
          <w:spacing w:val="8"/>
        </w:rPr>
        <w:t>28NAT6</w:t>
      </w:r>
      <w:r>
        <w:rPr>
          <w:spacing w:val="-46"/>
        </w:rPr>
        <w:t xml:space="preserve">× </w:t>
      </w:r>
      <w:r>
        <w:rPr>
          <w:spacing w:val="11"/>
        </w:rPr>
        <w:t>7+FC</w:t>
      </w:r>
      <w:r>
        <w:rPr>
          <w:spacing w:val="7"/>
        </w:rPr>
        <w:t xml:space="preserve">，抗拉强度为 </w:t>
      </w:r>
      <w:r>
        <w:rPr>
          <w:spacing w:val="9"/>
        </w:rPr>
        <w:t>1670Mpa</w:t>
      </w:r>
      <w:r>
        <w:t>。</w:t>
      </w:r>
    </w:p>
    <w:p>
      <w:pPr>
        <w:pStyle w:val="9"/>
        <w:spacing w:before="5"/>
        <w:ind w:left="736"/>
        <w:jc w:val="both"/>
      </w:pPr>
      <w:r>
        <w:t>2、翻车机 2 台</w:t>
      </w:r>
    </w:p>
    <w:p>
      <w:pPr>
        <w:pStyle w:val="9"/>
        <w:spacing w:before="158"/>
        <w:ind w:left="736"/>
      </w:pPr>
      <w:r>
        <w:t>电动机 N=11kW/台。</w:t>
      </w:r>
    </w:p>
    <w:p>
      <w:pPr>
        <w:pStyle w:val="9"/>
        <w:spacing w:before="161" w:line="364" w:lineRule="auto"/>
        <w:ind w:left="736" w:right="2195"/>
      </w:pPr>
      <w:r>
        <w:rPr>
          <w:spacing w:val="13"/>
        </w:rPr>
        <w:t xml:space="preserve">翻车间至自制振动筛上运带式输送机     </w:t>
      </w:r>
      <w:r>
        <w:t>1</w:t>
      </w:r>
      <w:r>
        <w:rPr>
          <w:spacing w:val="1"/>
        </w:rPr>
        <w:t xml:space="preserve">     台</w:t>
      </w:r>
      <w:r>
        <w:rPr>
          <w:spacing w:val="8"/>
        </w:rPr>
        <w:t>B=800，</w:t>
      </w:r>
      <w:r>
        <w:rPr>
          <w:spacing w:val="-91"/>
        </w:rPr>
        <w:t xml:space="preserve"> </w:t>
      </w:r>
      <w:r>
        <w:rPr>
          <w:spacing w:val="10"/>
        </w:rPr>
        <w:t>Q=150t/h，V=1.25m/s，N=15kW，α=0</w:t>
      </w:r>
      <w:r>
        <w:rPr>
          <w:spacing w:val="-24"/>
        </w:rPr>
        <w:t xml:space="preserve">°， </w:t>
      </w:r>
      <w:r>
        <w:rPr>
          <w:spacing w:val="9"/>
        </w:rPr>
        <w:t>L=40m</w:t>
      </w:r>
      <w:r>
        <w:t>。</w:t>
      </w:r>
      <w:r>
        <w:rPr>
          <w:spacing w:val="12"/>
        </w:rPr>
        <w:t>3</w:t>
      </w:r>
      <w:r>
        <w:rPr>
          <w:spacing w:val="19"/>
        </w:rPr>
        <w:t>、自制</w:t>
      </w:r>
      <w:r>
        <w:rPr>
          <w:spacing w:val="12"/>
        </w:rPr>
        <w:t xml:space="preserve">振动筛至煤场带式输送机 </w:t>
      </w:r>
      <w:r>
        <w:t>1</w:t>
      </w:r>
      <w:r>
        <w:rPr>
          <w:spacing w:val="-22"/>
        </w:rPr>
        <w:t xml:space="preserve"> 台</w:t>
      </w:r>
    </w:p>
    <w:p>
      <w:pPr>
        <w:pStyle w:val="9"/>
        <w:spacing w:line="364" w:lineRule="auto"/>
        <w:ind w:left="736" w:right="1926" w:firstLine="141"/>
      </w:pPr>
      <w:r>
        <w:rPr>
          <w:spacing w:val="9"/>
        </w:rPr>
        <w:t>B=800，Q=150t/h</w:t>
      </w:r>
      <w:r>
        <w:rPr>
          <w:spacing w:val="-43"/>
        </w:rPr>
        <w:t xml:space="preserve">， </w:t>
      </w:r>
      <w:r>
        <w:rPr>
          <w:spacing w:val="9"/>
        </w:rPr>
        <w:t>V=1.25m/s，N=30kW</w:t>
      </w:r>
      <w:r>
        <w:rPr>
          <w:spacing w:val="-43"/>
        </w:rPr>
        <w:t xml:space="preserve">， </w:t>
      </w:r>
      <w:r>
        <w:rPr>
          <w:spacing w:val="12"/>
        </w:rPr>
        <w:t>α=0°，L=100m</w:t>
      </w:r>
      <w:r>
        <w:t>。</w:t>
      </w:r>
      <w:r>
        <w:rPr>
          <w:spacing w:val="12"/>
        </w:rPr>
        <w:t>4</w:t>
      </w:r>
      <w:r>
        <w:rPr>
          <w:spacing w:val="7"/>
        </w:rPr>
        <w:t xml:space="preserve">、自制振动筛 </w:t>
      </w:r>
      <w:r>
        <w:t>1</w:t>
      </w:r>
      <w:r>
        <w:rPr>
          <w:spacing w:val="-23"/>
        </w:rPr>
        <w:t xml:space="preserve"> 台</w:t>
      </w:r>
    </w:p>
    <w:p>
      <w:pPr>
        <w:pStyle w:val="9"/>
        <w:ind w:left="736"/>
      </w:pPr>
      <w:r>
        <w:t>电动机 N=4kW，长孔 50mm。</w:t>
      </w:r>
    </w:p>
    <w:p>
      <w:pPr>
        <w:pStyle w:val="9"/>
        <w:spacing w:before="156"/>
        <w:ind w:left="698"/>
      </w:pPr>
      <w:r>
        <w:rPr>
          <w:rFonts w:ascii="Times New Roman" w:eastAsia="Times New Roman"/>
        </w:rPr>
        <w:t>2</w:t>
      </w:r>
      <w:r>
        <w:t>、副井生产系统</w:t>
      </w:r>
    </w:p>
    <w:p>
      <w:pPr>
        <w:pStyle w:val="9"/>
        <w:spacing w:before="161" w:line="362" w:lineRule="auto"/>
        <w:ind w:left="218" w:right="275" w:firstLine="518"/>
      </w:pPr>
      <w:r>
        <w:t>将盟度公司原有主井改为辅助提升的副井， 副井斜长 870m， 倾角 23°， 担负整个矿井的矸石、材料、设备、人员等辅助提升任务。</w:t>
      </w:r>
    </w:p>
    <w:p>
      <w:pPr>
        <w:pStyle w:val="9"/>
        <w:spacing w:before="2" w:line="364" w:lineRule="auto"/>
        <w:ind w:left="218" w:right="277" w:firstLine="518"/>
      </w:pPr>
      <w:r>
        <w:t>矸石由井下二段提升机提至副井井底车场，再由副井提升机提至地面翻车机房， 由矸石堆放场地绞车提至矸石堆放场地。</w:t>
      </w:r>
    </w:p>
    <w:p>
      <w:pPr>
        <w:pStyle w:val="9"/>
        <w:spacing w:before="2" w:line="362" w:lineRule="auto"/>
        <w:ind w:left="736" w:right="5188"/>
      </w:pPr>
      <w:r>
        <w:t>副井地面生产系统主要设备有： 1、副斜井提升机 1 台</w:t>
      </w:r>
    </w:p>
    <w:p>
      <w:pPr>
        <w:pStyle w:val="9"/>
        <w:spacing w:before="4" w:line="362" w:lineRule="auto"/>
        <w:ind w:left="218" w:right="275" w:firstLine="518"/>
      </w:pPr>
      <w:r>
        <w:rPr>
          <w:spacing w:val="-5"/>
        </w:rPr>
        <w:t xml:space="preserve">型号 </w:t>
      </w:r>
      <w:r>
        <w:rPr>
          <w:spacing w:val="8"/>
        </w:rPr>
        <w:t>JK-2.5</w:t>
      </w:r>
      <w:r>
        <w:rPr>
          <w:spacing w:val="-45"/>
        </w:rPr>
        <w:t xml:space="preserve">× </w:t>
      </w:r>
      <w:r>
        <w:rPr>
          <w:spacing w:val="9"/>
        </w:rPr>
        <w:t>2/20；电动机为变频电动机，功率 280W，</w:t>
      </w:r>
      <w:r>
        <w:rPr>
          <w:spacing w:val="21"/>
        </w:rPr>
        <w:t xml:space="preserve">转速 </w:t>
      </w:r>
      <w:r>
        <w:rPr>
          <w:spacing w:val="9"/>
        </w:rPr>
        <w:t>730r/min，</w:t>
      </w:r>
      <w:r>
        <w:t>电</w:t>
      </w:r>
      <w:r>
        <w:rPr>
          <w:spacing w:val="-18"/>
        </w:rPr>
        <w:t xml:space="preserve">压 </w:t>
      </w:r>
      <w:r>
        <w:rPr>
          <w:spacing w:val="11"/>
        </w:rPr>
        <w:t>660V</w:t>
      </w:r>
      <w:r>
        <w:rPr>
          <w:spacing w:val="9"/>
        </w:rPr>
        <w:t xml:space="preserve">；天然纤维芯钢丝绳 </w:t>
      </w:r>
      <w:r>
        <w:rPr>
          <w:spacing w:val="11"/>
        </w:rPr>
        <w:t>28NAT6×7+FC</w:t>
      </w:r>
      <w:r>
        <w:rPr>
          <w:spacing w:val="7"/>
        </w:rPr>
        <w:t xml:space="preserve">，抗拉强度为 </w:t>
      </w:r>
      <w:r>
        <w:rPr>
          <w:spacing w:val="9"/>
        </w:rPr>
        <w:t>1670Mpa</w:t>
      </w:r>
      <w:r>
        <w:t>。</w:t>
      </w:r>
    </w:p>
    <w:p>
      <w:pPr>
        <w:pStyle w:val="9"/>
        <w:spacing w:before="5" w:line="364" w:lineRule="auto"/>
        <w:ind w:left="736" w:right="6865"/>
      </w:pPr>
      <w:r>
        <w:t>2、翻车机 1 台电动机 N=11kW。3、排矸绞车 1 台</w:t>
      </w:r>
    </w:p>
    <w:p>
      <w:pPr>
        <w:pStyle w:val="9"/>
        <w:spacing w:line="304" w:lineRule="exact"/>
        <w:ind w:left="736"/>
      </w:pPr>
      <w:r>
        <w:rPr>
          <w:spacing w:val="8"/>
        </w:rPr>
        <w:t>D=1.2m</w:t>
      </w:r>
      <w:r>
        <w:rPr>
          <w:spacing w:val="-46"/>
        </w:rPr>
        <w:t xml:space="preserve">， </w:t>
      </w:r>
      <w:r>
        <w:rPr>
          <w:spacing w:val="9"/>
        </w:rPr>
        <w:t>N=55kW</w:t>
      </w:r>
      <w:r>
        <w:t>。</w:t>
      </w:r>
    </w:p>
    <w:p>
      <w:pPr>
        <w:pStyle w:val="9"/>
        <w:spacing w:before="161"/>
        <w:ind w:left="698"/>
      </w:pPr>
      <w:r>
        <w:rPr>
          <w:rFonts w:ascii="Times New Roman" w:eastAsia="Times New Roman"/>
        </w:rPr>
        <w:t>3</w:t>
      </w:r>
      <w:r>
        <w:t>、矸石系统</w:t>
      </w:r>
    </w:p>
    <w:p>
      <w:pPr>
        <w:pStyle w:val="9"/>
        <w:spacing w:before="158"/>
        <w:ind w:left="736"/>
      </w:pPr>
      <w:r>
        <w:t xml:space="preserve">本矿出井矸石量为产量的 </w:t>
      </w:r>
      <w:r>
        <w:rPr>
          <w:rFonts w:ascii="Times New Roman" w:eastAsia="Times New Roman"/>
        </w:rPr>
        <w:t>10%</w:t>
      </w:r>
      <w:r>
        <w:t xml:space="preserve">左右，井下矸石用 </w:t>
      </w:r>
      <w:r>
        <w:rPr>
          <w:rFonts w:ascii="Times New Roman" w:eastAsia="Times New Roman"/>
        </w:rPr>
        <w:t xml:space="preserve">1t </w:t>
      </w:r>
      <w:r>
        <w:t>矿车提运出井后，沿窄轨</w:t>
      </w:r>
    </w:p>
    <w:p>
      <w:pPr>
        <w:spacing w:after="0"/>
        <w:sectPr>
          <w:pgSz w:w="11910" w:h="16840"/>
          <w:pgMar w:top="1360" w:right="1160" w:bottom="1180" w:left="1200" w:header="0" w:footer="993" w:gutter="0"/>
        </w:sectPr>
      </w:pPr>
    </w:p>
    <w:p>
      <w:pPr>
        <w:pStyle w:val="9"/>
        <w:spacing w:before="41" w:line="362" w:lineRule="auto"/>
        <w:ind w:left="218" w:right="275"/>
      </w:pPr>
      <w:r>
        <w:t>甩车至翻车机，翻车机卸矸，然后再由矸石山绞车牵引三面翻矸车运至临时排矸场地。</w:t>
      </w:r>
    </w:p>
    <w:p>
      <w:pPr>
        <w:pStyle w:val="9"/>
        <w:spacing w:before="5"/>
        <w:ind w:left="698"/>
      </w:pPr>
      <w:r>
        <w:rPr>
          <w:rFonts w:ascii="Times New Roman" w:eastAsia="Times New Roman"/>
        </w:rPr>
        <w:t>4</w:t>
      </w:r>
      <w:r>
        <w:t>、原煤的洗选加工系统</w:t>
      </w:r>
    </w:p>
    <w:p>
      <w:pPr>
        <w:pStyle w:val="9"/>
        <w:spacing w:before="161"/>
        <w:ind w:left="698"/>
      </w:pPr>
      <w:r>
        <w:t>本矿原煤技术加工性能没有洗煤设备，只对原煤进行筛分。</w:t>
      </w:r>
    </w:p>
    <w:p>
      <w:pPr>
        <w:pStyle w:val="9"/>
        <w:spacing w:before="158" w:line="364" w:lineRule="auto"/>
        <w:ind w:left="218" w:right="194" w:firstLine="480"/>
      </w:pPr>
      <w:r>
        <w:t>井下煤炭由主井皮带提至地面，在翻卸过程中通过篦条筛进行简易筛分，筛分后的煤炭通过地面运煤皮带系统分别进入地面储煤厂。</w:t>
      </w:r>
    </w:p>
    <w:p>
      <w:pPr>
        <w:pStyle w:val="9"/>
        <w:spacing w:line="364" w:lineRule="auto"/>
        <w:ind w:left="218" w:right="253" w:firstLine="480"/>
        <w:jc w:val="both"/>
      </w:pPr>
      <w:r>
        <w:rPr>
          <w:spacing w:val="-7"/>
        </w:rPr>
        <w:t>根据《双鸭山市煤炭淘汰落后产能升级改造专项规划环境影响报告书》，本区域内</w:t>
      </w:r>
      <w:r>
        <w:rPr>
          <w:spacing w:val="-3"/>
        </w:rPr>
        <w:t xml:space="preserve">已建、在建及拟建洗煤厂的洗选能力 </w:t>
      </w:r>
      <w:r>
        <w:rPr>
          <w:rFonts w:ascii="Times New Roman" w:eastAsia="Times New Roman"/>
        </w:rPr>
        <w:t xml:space="preserve">11.75Mt/a </w:t>
      </w:r>
      <w:r>
        <w:t>与本区域矿井生产能力相差不大，规划内矿井与选煤厂规模基本匹配，本项目竣工后原煤送往周边选厂进行洗选。</w:t>
      </w:r>
    </w:p>
    <w:p>
      <w:pPr>
        <w:pStyle w:val="9"/>
        <w:spacing w:line="364" w:lineRule="auto"/>
        <w:ind w:left="218" w:right="249" w:firstLine="480"/>
        <w:jc w:val="both"/>
      </w:pPr>
      <w:r>
        <w:rPr>
          <w:spacing w:val="-2"/>
        </w:rPr>
        <w:t>井下煤炭由皮带主井提至地面在翻卸过程中通过篦条筛进行简易筛分，煤炭加工方</w:t>
      </w:r>
      <w:r>
        <w:rPr>
          <w:spacing w:val="-13"/>
        </w:rPr>
        <w:t xml:space="preserve">案为矿井所产原煤进行简易筛分，产品分三级，即：小于 </w:t>
      </w:r>
      <w:r>
        <w:rPr>
          <w:rFonts w:ascii="Times New Roman" w:eastAsia="Times New Roman"/>
        </w:rPr>
        <w:t xml:space="preserve">50mm </w:t>
      </w:r>
      <w:r>
        <w:rPr>
          <w:spacing w:val="-2"/>
        </w:rPr>
        <w:t>的末煤，</w:t>
      </w:r>
      <w:r>
        <w:rPr>
          <w:rFonts w:ascii="Times New Roman" w:eastAsia="Times New Roman"/>
          <w:spacing w:val="-7"/>
        </w:rPr>
        <w:t>50mm</w:t>
      </w:r>
      <w:r>
        <w:rPr>
          <w:spacing w:val="-7"/>
        </w:rPr>
        <w:t>～</w:t>
      </w:r>
      <w:r>
        <w:rPr>
          <w:rFonts w:ascii="Times New Roman" w:eastAsia="Times New Roman"/>
          <w:spacing w:val="-7"/>
        </w:rPr>
        <w:t xml:space="preserve">300mm </w:t>
      </w:r>
      <w:r>
        <w:rPr>
          <w:spacing w:val="-8"/>
        </w:rPr>
        <w:t xml:space="preserve">的中块煤，大于 </w:t>
      </w:r>
      <w:r>
        <w:rPr>
          <w:rFonts w:ascii="Times New Roman" w:eastAsia="Times New Roman"/>
        </w:rPr>
        <w:t xml:space="preserve">300mm </w:t>
      </w:r>
      <w:r>
        <w:t>的大块煤。</w:t>
      </w:r>
    </w:p>
    <w:p>
      <w:pPr>
        <w:pStyle w:val="9"/>
        <w:spacing w:line="364" w:lineRule="auto"/>
        <w:ind w:left="218" w:right="137" w:firstLine="480"/>
        <w:jc w:val="both"/>
      </w:pPr>
      <w:r>
        <w:rPr>
          <w:spacing w:val="-18"/>
        </w:rPr>
        <w:t>工艺流程：原煤入分级筛</w:t>
      </w:r>
      <w:r>
        <w:t>（筛孔</w:t>
      </w:r>
      <w:r>
        <w:rPr>
          <w:rFonts w:ascii="Times New Roman" w:hAnsi="Times New Roman" w:eastAsia="Times New Roman"/>
          <w:spacing w:val="-15"/>
        </w:rPr>
        <w:t>Φ50mm</w:t>
      </w:r>
      <w:r>
        <w:rPr>
          <w:spacing w:val="-15"/>
        </w:rPr>
        <w:t>）</w:t>
      </w:r>
      <w:r>
        <w:rPr>
          <w:spacing w:val="-8"/>
        </w:rPr>
        <w:t>分级，＜</w:t>
      </w:r>
      <w:r>
        <w:rPr>
          <w:rFonts w:ascii="Times New Roman" w:hAnsi="Times New Roman" w:eastAsia="Times New Roman"/>
          <w:spacing w:val="-15"/>
        </w:rPr>
        <w:t xml:space="preserve">50mm </w:t>
      </w:r>
      <w:r>
        <w:rPr>
          <w:spacing w:val="-4"/>
        </w:rPr>
        <w:t>混煤直接入混煤仓；＞</w:t>
      </w:r>
      <w:r>
        <w:rPr>
          <w:rFonts w:ascii="Times New Roman" w:hAnsi="Times New Roman" w:eastAsia="Times New Roman"/>
          <w:spacing w:val="-15"/>
        </w:rPr>
        <w:t xml:space="preserve">50mm </w:t>
      </w:r>
      <w:r>
        <w:rPr>
          <w:spacing w:val="-9"/>
        </w:rPr>
        <w:t>入手选带式输送机，经人工手选出的杂物和矸石入矸石仓，＞</w:t>
      </w:r>
      <w:r>
        <w:rPr>
          <w:rFonts w:ascii="Times New Roman" w:hAnsi="Times New Roman" w:eastAsia="Times New Roman"/>
          <w:spacing w:val="-11"/>
        </w:rPr>
        <w:t xml:space="preserve">50mm </w:t>
      </w:r>
      <w:r>
        <w:rPr>
          <w:spacing w:val="-2"/>
        </w:rPr>
        <w:t>级大块煤入块煤仓。</w:t>
      </w:r>
    </w:p>
    <w:p>
      <w:pPr>
        <w:pStyle w:val="9"/>
        <w:ind w:left="698"/>
      </w:pPr>
      <w:r>
        <w:rPr>
          <w:rFonts w:ascii="Times New Roman" w:eastAsia="Times New Roman"/>
        </w:rPr>
        <w:t>5</w:t>
      </w:r>
      <w:r>
        <w:t>、瓦斯泵房</w:t>
      </w:r>
    </w:p>
    <w:p>
      <w:pPr>
        <w:pStyle w:val="18"/>
        <w:numPr>
          <w:ilvl w:val="4"/>
          <w:numId w:val="36"/>
        </w:numPr>
        <w:tabs>
          <w:tab w:val="left" w:pos="1388"/>
        </w:tabs>
        <w:spacing w:before="154" w:after="0" w:line="240" w:lineRule="auto"/>
        <w:ind w:left="1387" w:right="0" w:hanging="652"/>
        <w:jc w:val="left"/>
        <w:rPr>
          <w:sz w:val="24"/>
        </w:rPr>
      </w:pPr>
      <w:r>
        <w:rPr>
          <w:spacing w:val="19"/>
          <w:sz w:val="24"/>
        </w:rPr>
        <w:t>）</w:t>
      </w:r>
      <w:r>
        <w:rPr>
          <w:spacing w:val="14"/>
          <w:sz w:val="24"/>
        </w:rPr>
        <w:t>泵站结构</w:t>
      </w:r>
    </w:p>
    <w:p>
      <w:pPr>
        <w:pStyle w:val="9"/>
        <w:spacing w:before="161"/>
        <w:ind w:left="736"/>
      </w:pPr>
      <w:r>
        <w:t>抽采泵站由瓦斯泵房、值班室、水泵间、管道间和配电室组成。</w:t>
      </w:r>
    </w:p>
    <w:p>
      <w:pPr>
        <w:pStyle w:val="18"/>
        <w:numPr>
          <w:ilvl w:val="4"/>
          <w:numId w:val="36"/>
        </w:numPr>
        <w:tabs>
          <w:tab w:val="left" w:pos="1388"/>
        </w:tabs>
        <w:spacing w:before="158" w:after="0" w:line="240" w:lineRule="auto"/>
        <w:ind w:left="1387" w:right="0" w:hanging="652"/>
        <w:jc w:val="left"/>
        <w:rPr>
          <w:sz w:val="24"/>
        </w:rPr>
      </w:pPr>
      <w:r>
        <w:rPr>
          <w:spacing w:val="19"/>
          <w:sz w:val="24"/>
        </w:rPr>
        <w:t>）</w:t>
      </w:r>
      <w:r>
        <w:rPr>
          <w:spacing w:val="16"/>
          <w:sz w:val="24"/>
        </w:rPr>
        <w:t>瓦斯泵房设备布置</w:t>
      </w:r>
    </w:p>
    <w:p>
      <w:pPr>
        <w:pStyle w:val="9"/>
        <w:spacing w:before="158" w:line="364" w:lineRule="auto"/>
        <w:ind w:left="218" w:right="246" w:firstLine="518"/>
        <w:jc w:val="both"/>
      </w:pPr>
      <w:r>
        <w:t>在瓦斯泵房内安装 2BE-253 型抽放两台。形成一台运作，一台备用。泵房内还布置有真空泵配套电机、减速器、气水分离器、管路、控制阀门和循环管等。主要附属设备有正、负压自动放水器、水封式防爆和防回火装置、放空管、冷却循环水泵、检测装置及避雷装置等。</w:t>
      </w:r>
    </w:p>
    <w:p>
      <w:pPr>
        <w:pStyle w:val="9"/>
        <w:ind w:left="698"/>
      </w:pPr>
      <w:r>
        <w:rPr>
          <w:rFonts w:ascii="Times New Roman" w:eastAsia="Times New Roman"/>
        </w:rPr>
        <w:t>6</w:t>
      </w:r>
      <w:r>
        <w:t>、辅助设施</w:t>
      </w:r>
    </w:p>
    <w:p>
      <w:pPr>
        <w:pStyle w:val="9"/>
        <w:spacing w:before="158" w:line="364" w:lineRule="auto"/>
        <w:ind w:left="218" w:right="137" w:firstLine="480"/>
      </w:pPr>
      <w:r>
        <w:rPr>
          <w:spacing w:val="-15"/>
        </w:rPr>
        <w:t>该矿在工业广场内，设置矿井修理车间，主要承担该矿机电设备的小修和日常维护、</w:t>
      </w:r>
      <w:r>
        <w:t>保养，亦可承担部分难度不大的中修任务及矿车、拱形金属支架等材料性设备的修理</w:t>
      </w:r>
      <w:r>
        <w:rPr>
          <w:rFonts w:ascii="Times New Roman" w:eastAsia="Times New Roman"/>
        </w:rPr>
        <w:t xml:space="preserve">, </w:t>
      </w:r>
      <w:r>
        <w:rPr>
          <w:spacing w:val="-3"/>
        </w:rPr>
        <w:t>难度较大的设备大修及中修工作全部外委修理。维修中所需的标准件外购，非标准件中容易加工的零件自制，其余精度高、加工难度大的零件外委加工。</w:t>
      </w:r>
    </w:p>
    <w:p>
      <w:pPr>
        <w:pStyle w:val="8"/>
        <w:numPr>
          <w:ilvl w:val="2"/>
          <w:numId w:val="27"/>
        </w:numPr>
        <w:tabs>
          <w:tab w:val="left" w:pos="759"/>
        </w:tabs>
        <w:spacing w:before="0" w:after="0" w:line="305" w:lineRule="exact"/>
        <w:ind w:left="758" w:right="0" w:hanging="541"/>
        <w:jc w:val="left"/>
        <w:rPr>
          <w:rFonts w:ascii="Times New Roman" w:eastAsia="Times New Roman"/>
        </w:rPr>
      </w:pPr>
      <w:bookmarkStart w:id="179" w:name="2.3.3场外道路工程"/>
      <w:bookmarkEnd w:id="179"/>
      <w:bookmarkStart w:id="180" w:name="2.3.3场外道路工程"/>
      <w:bookmarkEnd w:id="180"/>
      <w:r>
        <w:t>场外道路工程</w:t>
      </w:r>
    </w:p>
    <w:p>
      <w:pPr>
        <w:pStyle w:val="9"/>
        <w:spacing w:before="160"/>
        <w:ind w:left="736"/>
      </w:pPr>
      <w:r>
        <w:t>利用现有道路，进出便捷。</w:t>
      </w:r>
    </w:p>
    <w:p>
      <w:pPr>
        <w:spacing w:after="0"/>
        <w:sectPr>
          <w:pgSz w:w="11910" w:h="16840"/>
          <w:pgMar w:top="1360" w:right="1160" w:bottom="1180" w:left="1200" w:header="0" w:footer="993" w:gutter="0"/>
        </w:sectPr>
      </w:pPr>
    </w:p>
    <w:p>
      <w:pPr>
        <w:pStyle w:val="6"/>
        <w:numPr>
          <w:ilvl w:val="2"/>
          <w:numId w:val="27"/>
        </w:numPr>
        <w:tabs>
          <w:tab w:val="left" w:pos="848"/>
        </w:tabs>
        <w:spacing w:before="42" w:after="0" w:line="240" w:lineRule="auto"/>
        <w:ind w:left="847" w:right="0" w:hanging="630"/>
        <w:jc w:val="left"/>
        <w:rPr>
          <w:rFonts w:ascii="Times New Roman" w:eastAsia="Times New Roman"/>
        </w:rPr>
      </w:pPr>
      <w:bookmarkStart w:id="181" w:name="2.3.4给排水、供热与能耗"/>
      <w:bookmarkEnd w:id="181"/>
      <w:bookmarkStart w:id="182" w:name="2.3.4给排水、供热与能耗"/>
      <w:bookmarkEnd w:id="182"/>
      <w:r>
        <w:t>给排水、供热与能耗</w:t>
      </w:r>
    </w:p>
    <w:p>
      <w:pPr>
        <w:pStyle w:val="8"/>
        <w:numPr>
          <w:ilvl w:val="3"/>
          <w:numId w:val="37"/>
        </w:numPr>
        <w:tabs>
          <w:tab w:val="left" w:pos="999"/>
        </w:tabs>
        <w:spacing w:before="185" w:after="0" w:line="240" w:lineRule="auto"/>
        <w:ind w:left="998" w:right="0" w:hanging="781"/>
        <w:jc w:val="left"/>
      </w:pPr>
      <w:bookmarkStart w:id="183" w:name="2.3.4.1 给排水"/>
      <w:bookmarkEnd w:id="183"/>
      <w:bookmarkStart w:id="184" w:name="2.3.4.1 给排水"/>
      <w:bookmarkEnd w:id="184"/>
      <w:r>
        <w:t>给排水</w:t>
      </w:r>
    </w:p>
    <w:p>
      <w:pPr>
        <w:pStyle w:val="18"/>
        <w:numPr>
          <w:ilvl w:val="4"/>
          <w:numId w:val="37"/>
        </w:numPr>
        <w:tabs>
          <w:tab w:val="left" w:pos="1302"/>
        </w:tabs>
        <w:spacing w:before="158" w:after="0" w:line="240" w:lineRule="auto"/>
        <w:ind w:left="1301" w:right="0" w:hanging="602"/>
        <w:jc w:val="left"/>
        <w:rPr>
          <w:sz w:val="24"/>
        </w:rPr>
      </w:pPr>
      <w:r>
        <w:rPr>
          <w:sz w:val="24"/>
        </w:rPr>
        <w:t>用水量</w:t>
      </w:r>
    </w:p>
    <w:p>
      <w:pPr>
        <w:pStyle w:val="9"/>
        <w:spacing w:before="161"/>
        <w:ind w:left="698"/>
      </w:pPr>
      <w:r>
        <w:t>改扩建后生活、生产用水量见下表。</w:t>
      </w:r>
    </w:p>
    <w:p>
      <w:pPr>
        <w:spacing w:before="159" w:after="3"/>
        <w:ind w:left="578" w:right="193" w:firstLine="0"/>
        <w:jc w:val="center"/>
        <w:rPr>
          <w:b/>
          <w:sz w:val="21"/>
        </w:rPr>
      </w:pPr>
      <w:r>
        <w:rPr>
          <w:b/>
          <w:sz w:val="21"/>
        </w:rPr>
        <w:t xml:space="preserve">表 </w:t>
      </w:r>
      <w:r>
        <w:rPr>
          <w:rFonts w:ascii="Times New Roman" w:eastAsia="Times New Roman"/>
          <w:b/>
          <w:sz w:val="21"/>
        </w:rPr>
        <w:t xml:space="preserve">2.3-6 </w:t>
      </w:r>
      <w:r>
        <w:rPr>
          <w:b/>
          <w:sz w:val="21"/>
        </w:rPr>
        <w:t>本工程各项用水量计算表</w:t>
      </w:r>
    </w:p>
    <w:tbl>
      <w:tblPr>
        <w:tblStyle w:val="15"/>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6"/>
        <w:gridCol w:w="2793"/>
        <w:gridCol w:w="2964"/>
        <w:gridCol w:w="309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426" w:type="dxa"/>
            <w:tcBorders>
              <w:bottom w:val="single" w:color="000000" w:sz="4" w:space="0"/>
              <w:right w:val="single" w:color="000000" w:sz="4" w:space="0"/>
            </w:tcBorders>
          </w:tcPr>
          <w:p>
            <w:pPr>
              <w:pStyle w:val="19"/>
              <w:spacing w:line="268" w:lineRule="exact"/>
              <w:ind w:left="108"/>
              <w:jc w:val="left"/>
              <w:rPr>
                <w:sz w:val="21"/>
              </w:rPr>
            </w:pPr>
            <w:r>
              <w:rPr>
                <w:w w:val="99"/>
                <w:sz w:val="21"/>
              </w:rPr>
              <w:t>序</w:t>
            </w:r>
          </w:p>
          <w:p>
            <w:pPr>
              <w:pStyle w:val="19"/>
              <w:spacing w:before="57"/>
              <w:ind w:left="108"/>
              <w:jc w:val="left"/>
              <w:rPr>
                <w:sz w:val="21"/>
              </w:rPr>
            </w:pPr>
            <w:r>
              <w:rPr>
                <w:w w:val="99"/>
                <w:sz w:val="21"/>
              </w:rPr>
              <w:t>号</w:t>
            </w:r>
          </w:p>
        </w:tc>
        <w:tc>
          <w:tcPr>
            <w:tcW w:w="2793" w:type="dxa"/>
            <w:tcBorders>
              <w:left w:val="single" w:color="000000" w:sz="4" w:space="0"/>
              <w:bottom w:val="single" w:color="000000" w:sz="4" w:space="0"/>
              <w:right w:val="single" w:color="000000" w:sz="4" w:space="0"/>
            </w:tcBorders>
          </w:tcPr>
          <w:p>
            <w:pPr>
              <w:pStyle w:val="19"/>
              <w:spacing w:before="162"/>
              <w:ind w:left="223" w:right="207"/>
              <w:rPr>
                <w:sz w:val="21"/>
              </w:rPr>
            </w:pPr>
            <w:r>
              <w:rPr>
                <w:sz w:val="21"/>
              </w:rPr>
              <w:t>用水项目</w:t>
            </w:r>
          </w:p>
        </w:tc>
        <w:tc>
          <w:tcPr>
            <w:tcW w:w="2964" w:type="dxa"/>
            <w:tcBorders>
              <w:left w:val="single" w:color="000000" w:sz="4" w:space="0"/>
              <w:bottom w:val="single" w:color="000000" w:sz="4" w:space="0"/>
              <w:right w:val="single" w:color="000000" w:sz="4" w:space="0"/>
            </w:tcBorders>
          </w:tcPr>
          <w:p>
            <w:pPr>
              <w:pStyle w:val="19"/>
              <w:spacing w:before="162"/>
              <w:ind w:left="62" w:right="48"/>
              <w:rPr>
                <w:sz w:val="21"/>
              </w:rPr>
            </w:pPr>
            <w:r>
              <w:rPr>
                <w:sz w:val="21"/>
              </w:rPr>
              <w:t>用水标准</w:t>
            </w:r>
          </w:p>
        </w:tc>
        <w:tc>
          <w:tcPr>
            <w:tcW w:w="3099" w:type="dxa"/>
            <w:tcBorders>
              <w:left w:val="single" w:color="000000" w:sz="4" w:space="0"/>
              <w:bottom w:val="single" w:color="000000" w:sz="4" w:space="0"/>
            </w:tcBorders>
          </w:tcPr>
          <w:p>
            <w:pPr>
              <w:pStyle w:val="19"/>
              <w:spacing w:before="18"/>
              <w:ind w:left="79" w:right="58"/>
              <w:rPr>
                <w:sz w:val="21"/>
              </w:rPr>
            </w:pPr>
            <w:r>
              <w:rPr>
                <w:sz w:val="21"/>
              </w:rPr>
              <w:t>用水量</w:t>
            </w:r>
          </w:p>
          <w:p>
            <w:pPr>
              <w:pStyle w:val="19"/>
              <w:spacing w:before="55"/>
              <w:ind w:left="84" w:right="58"/>
              <w:rPr>
                <w:rFonts w:ascii="Times New Roman" w:hAnsi="Times New Roman"/>
                <w:sz w:val="21"/>
              </w:rPr>
            </w:pPr>
            <w:r>
              <w:rPr>
                <w:rFonts w:ascii="Times New Roman" w:hAnsi="Times New Roman"/>
                <w:sz w:val="21"/>
              </w:rPr>
              <w:t>(m³/d)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9"/>
              <w:spacing w:before="49"/>
              <w:ind w:left="108"/>
              <w:jc w:val="left"/>
              <w:rPr>
                <w:sz w:val="21"/>
              </w:rPr>
            </w:pPr>
            <w:r>
              <w:rPr>
                <w:w w:val="99"/>
                <w:sz w:val="21"/>
              </w:rPr>
              <w:t>一</w:t>
            </w:r>
          </w:p>
        </w:tc>
        <w:tc>
          <w:tcPr>
            <w:tcW w:w="2793" w:type="dxa"/>
            <w:tcBorders>
              <w:top w:val="single" w:color="000000" w:sz="4" w:space="0"/>
              <w:left w:val="single" w:color="000000" w:sz="4" w:space="0"/>
              <w:bottom w:val="single" w:color="000000" w:sz="4" w:space="0"/>
              <w:right w:val="single" w:color="000000" w:sz="4" w:space="0"/>
            </w:tcBorders>
          </w:tcPr>
          <w:p>
            <w:pPr>
              <w:pStyle w:val="19"/>
              <w:spacing w:before="49"/>
              <w:ind w:left="223" w:right="207"/>
              <w:rPr>
                <w:sz w:val="21"/>
              </w:rPr>
            </w:pPr>
            <w:r>
              <w:rPr>
                <w:sz w:val="21"/>
              </w:rPr>
              <w:t>生活用水</w:t>
            </w:r>
          </w:p>
        </w:tc>
        <w:tc>
          <w:tcPr>
            <w:tcW w:w="296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2"/>
              </w:rPr>
            </w:pPr>
          </w:p>
        </w:tc>
        <w:tc>
          <w:tcPr>
            <w:tcW w:w="3099" w:type="dxa"/>
            <w:tcBorders>
              <w:top w:val="single" w:color="000000" w:sz="4" w:space="0"/>
              <w:left w:val="single" w:color="000000" w:sz="4" w:space="0"/>
              <w:bottom w:val="single" w:color="000000" w:sz="4" w:space="0"/>
            </w:tcBorders>
          </w:tcPr>
          <w:p>
            <w:pPr>
              <w:pStyle w:val="19"/>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9"/>
              <w:spacing w:before="67"/>
              <w:ind w:left="108"/>
              <w:jc w:val="left"/>
              <w:rPr>
                <w:rFonts w:ascii="Times New Roman"/>
                <w:sz w:val="21"/>
              </w:rPr>
            </w:pPr>
            <w:r>
              <w:rPr>
                <w:rFonts w:ascii="Times New Roman"/>
                <w:w w:val="99"/>
                <w:sz w:val="21"/>
              </w:rPr>
              <w:t>1</w:t>
            </w:r>
          </w:p>
        </w:tc>
        <w:tc>
          <w:tcPr>
            <w:tcW w:w="2793" w:type="dxa"/>
            <w:tcBorders>
              <w:top w:val="single" w:color="000000" w:sz="4" w:space="0"/>
              <w:left w:val="single" w:color="000000" w:sz="4" w:space="0"/>
              <w:bottom w:val="single" w:color="000000" w:sz="4" w:space="0"/>
              <w:right w:val="single" w:color="000000" w:sz="4" w:space="0"/>
            </w:tcBorders>
          </w:tcPr>
          <w:p>
            <w:pPr>
              <w:pStyle w:val="19"/>
              <w:spacing w:before="51"/>
              <w:ind w:left="223" w:right="207"/>
              <w:rPr>
                <w:sz w:val="21"/>
              </w:rPr>
            </w:pPr>
            <w:r>
              <w:rPr>
                <w:sz w:val="21"/>
              </w:rPr>
              <w:t>生活用水</w:t>
            </w:r>
          </w:p>
        </w:tc>
        <w:tc>
          <w:tcPr>
            <w:tcW w:w="2964" w:type="dxa"/>
            <w:tcBorders>
              <w:top w:val="single" w:color="000000" w:sz="4" w:space="0"/>
              <w:left w:val="single" w:color="000000" w:sz="4" w:space="0"/>
              <w:bottom w:val="single" w:color="000000" w:sz="4" w:space="0"/>
              <w:right w:val="single" w:color="000000" w:sz="4" w:space="0"/>
            </w:tcBorders>
          </w:tcPr>
          <w:p>
            <w:pPr>
              <w:pStyle w:val="19"/>
              <w:spacing w:before="51"/>
              <w:ind w:left="65" w:right="46"/>
              <w:rPr>
                <w:sz w:val="21"/>
              </w:rPr>
            </w:pPr>
            <w:r>
              <w:rPr>
                <w:rFonts w:ascii="Times New Roman" w:hAnsi="Times New Roman" w:eastAsia="Times New Roman"/>
                <w:sz w:val="21"/>
              </w:rPr>
              <w:t>50L/</w:t>
            </w:r>
            <w:r>
              <w:rPr>
                <w:sz w:val="21"/>
              </w:rPr>
              <w:t>人</w:t>
            </w:r>
            <w:r>
              <w:rPr>
                <w:rFonts w:ascii="Times New Roman" w:hAnsi="Times New Roman" w:eastAsia="Times New Roman"/>
                <w:sz w:val="21"/>
              </w:rPr>
              <w:t>·</w:t>
            </w:r>
            <w:r>
              <w:rPr>
                <w:sz w:val="21"/>
              </w:rPr>
              <w:t>班；</w:t>
            </w:r>
            <w:r>
              <w:rPr>
                <w:rFonts w:ascii="Times New Roman" w:hAnsi="Times New Roman" w:eastAsia="Times New Roman"/>
                <w:sz w:val="21"/>
              </w:rPr>
              <w:t xml:space="preserve">405 </w:t>
            </w:r>
            <w:r>
              <w:rPr>
                <w:sz w:val="21"/>
              </w:rPr>
              <w:t>人</w:t>
            </w:r>
          </w:p>
        </w:tc>
        <w:tc>
          <w:tcPr>
            <w:tcW w:w="3099" w:type="dxa"/>
            <w:tcBorders>
              <w:top w:val="single" w:color="000000" w:sz="4" w:space="0"/>
              <w:left w:val="single" w:color="000000" w:sz="4" w:space="0"/>
              <w:bottom w:val="single" w:color="000000" w:sz="4" w:space="0"/>
            </w:tcBorders>
          </w:tcPr>
          <w:p>
            <w:pPr>
              <w:pStyle w:val="19"/>
              <w:spacing w:before="67"/>
              <w:ind w:left="83" w:right="58"/>
              <w:rPr>
                <w:rFonts w:ascii="Times New Roman"/>
                <w:sz w:val="21"/>
              </w:rPr>
            </w:pPr>
            <w:r>
              <w:rPr>
                <w:rFonts w:ascii="Times New Roman"/>
                <w:sz w:val="21"/>
              </w:rPr>
              <w:t>20.25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9"/>
              <w:spacing w:before="66"/>
              <w:ind w:left="108"/>
              <w:jc w:val="left"/>
              <w:rPr>
                <w:rFonts w:ascii="Times New Roman"/>
                <w:sz w:val="21"/>
              </w:rPr>
            </w:pPr>
            <w:r>
              <w:rPr>
                <w:rFonts w:ascii="Times New Roman"/>
                <w:w w:val="99"/>
                <w:sz w:val="21"/>
              </w:rPr>
              <w:t>2</w:t>
            </w:r>
          </w:p>
        </w:tc>
        <w:tc>
          <w:tcPr>
            <w:tcW w:w="2793" w:type="dxa"/>
            <w:tcBorders>
              <w:top w:val="single" w:color="000000" w:sz="4" w:space="0"/>
              <w:left w:val="single" w:color="000000" w:sz="4" w:space="0"/>
              <w:bottom w:val="single" w:color="000000" w:sz="4" w:space="0"/>
              <w:right w:val="single" w:color="000000" w:sz="4" w:space="0"/>
            </w:tcBorders>
          </w:tcPr>
          <w:p>
            <w:pPr>
              <w:pStyle w:val="19"/>
              <w:spacing w:before="50"/>
              <w:ind w:left="223" w:right="207"/>
              <w:rPr>
                <w:sz w:val="21"/>
              </w:rPr>
            </w:pPr>
            <w:r>
              <w:rPr>
                <w:sz w:val="21"/>
              </w:rPr>
              <w:t>食堂用水</w:t>
            </w:r>
          </w:p>
        </w:tc>
        <w:tc>
          <w:tcPr>
            <w:tcW w:w="2964" w:type="dxa"/>
            <w:tcBorders>
              <w:top w:val="single" w:color="000000" w:sz="4" w:space="0"/>
              <w:left w:val="single" w:color="000000" w:sz="4" w:space="0"/>
              <w:bottom w:val="single" w:color="000000" w:sz="4" w:space="0"/>
              <w:right w:val="single" w:color="000000" w:sz="4" w:space="0"/>
            </w:tcBorders>
          </w:tcPr>
          <w:p>
            <w:pPr>
              <w:pStyle w:val="19"/>
              <w:spacing w:before="50"/>
              <w:ind w:left="65" w:right="46"/>
              <w:rPr>
                <w:sz w:val="21"/>
              </w:rPr>
            </w:pPr>
            <w:r>
              <w:rPr>
                <w:rFonts w:ascii="Times New Roman" w:hAnsi="Times New Roman" w:eastAsia="Times New Roman"/>
                <w:sz w:val="21"/>
              </w:rPr>
              <w:t>20L/</w:t>
            </w:r>
            <w:r>
              <w:rPr>
                <w:sz w:val="21"/>
              </w:rPr>
              <w:t>人</w:t>
            </w:r>
            <w:r>
              <w:rPr>
                <w:rFonts w:ascii="Times New Roman" w:hAnsi="Times New Roman" w:eastAsia="Times New Roman"/>
                <w:sz w:val="21"/>
              </w:rPr>
              <w:t>·</w:t>
            </w:r>
            <w:r>
              <w:rPr>
                <w:sz w:val="21"/>
              </w:rPr>
              <w:t>餐；</w:t>
            </w:r>
            <w:r>
              <w:rPr>
                <w:rFonts w:ascii="Times New Roman" w:hAnsi="Times New Roman" w:eastAsia="Times New Roman"/>
                <w:sz w:val="21"/>
              </w:rPr>
              <w:t xml:space="preserve">2 </w:t>
            </w:r>
            <w:r>
              <w:rPr>
                <w:sz w:val="21"/>
              </w:rPr>
              <w:t>餐</w:t>
            </w:r>
            <w:r>
              <w:rPr>
                <w:rFonts w:ascii="Times New Roman" w:hAnsi="Times New Roman" w:eastAsia="Times New Roman"/>
                <w:sz w:val="21"/>
              </w:rPr>
              <w:t>/</w:t>
            </w:r>
            <w:r>
              <w:rPr>
                <w:sz w:val="21"/>
              </w:rPr>
              <w:t>人</w:t>
            </w:r>
          </w:p>
        </w:tc>
        <w:tc>
          <w:tcPr>
            <w:tcW w:w="3099" w:type="dxa"/>
            <w:tcBorders>
              <w:top w:val="single" w:color="000000" w:sz="4" w:space="0"/>
              <w:left w:val="single" w:color="000000" w:sz="4" w:space="0"/>
              <w:bottom w:val="single" w:color="000000" w:sz="4" w:space="0"/>
            </w:tcBorders>
          </w:tcPr>
          <w:p>
            <w:pPr>
              <w:pStyle w:val="19"/>
              <w:spacing w:before="66"/>
              <w:ind w:left="83" w:right="58"/>
              <w:rPr>
                <w:rFonts w:ascii="Times New Roman"/>
                <w:sz w:val="21"/>
              </w:rPr>
            </w:pPr>
            <w:r>
              <w:rPr>
                <w:rFonts w:ascii="Times New Roman"/>
                <w:sz w:val="21"/>
              </w:rPr>
              <w:t>16.20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9"/>
              <w:spacing w:before="66"/>
              <w:ind w:left="108"/>
              <w:jc w:val="left"/>
              <w:rPr>
                <w:rFonts w:ascii="Times New Roman"/>
                <w:sz w:val="21"/>
              </w:rPr>
            </w:pPr>
            <w:r>
              <w:rPr>
                <w:rFonts w:ascii="Times New Roman"/>
                <w:w w:val="99"/>
                <w:sz w:val="21"/>
              </w:rPr>
              <w:t>3</w:t>
            </w:r>
          </w:p>
        </w:tc>
        <w:tc>
          <w:tcPr>
            <w:tcW w:w="2793" w:type="dxa"/>
            <w:tcBorders>
              <w:top w:val="single" w:color="000000" w:sz="4" w:space="0"/>
              <w:left w:val="single" w:color="000000" w:sz="4" w:space="0"/>
              <w:bottom w:val="single" w:color="000000" w:sz="4" w:space="0"/>
              <w:right w:val="single" w:color="000000" w:sz="4" w:space="0"/>
            </w:tcBorders>
          </w:tcPr>
          <w:p>
            <w:pPr>
              <w:pStyle w:val="19"/>
              <w:spacing w:before="49"/>
              <w:ind w:left="223" w:right="207"/>
              <w:rPr>
                <w:sz w:val="21"/>
              </w:rPr>
            </w:pPr>
            <w:r>
              <w:rPr>
                <w:sz w:val="21"/>
              </w:rPr>
              <w:t>浴室用水：淋浴用水</w:t>
            </w:r>
          </w:p>
        </w:tc>
        <w:tc>
          <w:tcPr>
            <w:tcW w:w="2964" w:type="dxa"/>
            <w:tcBorders>
              <w:top w:val="single" w:color="000000" w:sz="4" w:space="0"/>
              <w:left w:val="single" w:color="000000" w:sz="4" w:space="0"/>
              <w:bottom w:val="single" w:color="000000" w:sz="4" w:space="0"/>
              <w:right w:val="single" w:color="000000" w:sz="4" w:space="0"/>
            </w:tcBorders>
          </w:tcPr>
          <w:p>
            <w:pPr>
              <w:pStyle w:val="19"/>
              <w:spacing w:before="49"/>
              <w:ind w:left="65" w:right="46"/>
              <w:rPr>
                <w:sz w:val="21"/>
              </w:rPr>
            </w:pPr>
            <w:r>
              <w:rPr>
                <w:rFonts w:ascii="Times New Roman" w:eastAsia="Times New Roman"/>
                <w:sz w:val="21"/>
              </w:rPr>
              <w:t xml:space="preserve">32 </w:t>
            </w:r>
            <w:r>
              <w:rPr>
                <w:sz w:val="21"/>
              </w:rPr>
              <w:t>个淋浴头；</w:t>
            </w:r>
            <w:r>
              <w:rPr>
                <w:rFonts w:ascii="Times New Roman" w:eastAsia="Times New Roman"/>
                <w:sz w:val="21"/>
              </w:rPr>
              <w:t>150L/</w:t>
            </w:r>
            <w:r>
              <w:rPr>
                <w:sz w:val="21"/>
              </w:rPr>
              <w:t>人</w:t>
            </w:r>
          </w:p>
        </w:tc>
        <w:tc>
          <w:tcPr>
            <w:tcW w:w="3099" w:type="dxa"/>
            <w:tcBorders>
              <w:top w:val="single" w:color="000000" w:sz="4" w:space="0"/>
              <w:left w:val="single" w:color="000000" w:sz="4" w:space="0"/>
              <w:bottom w:val="single" w:color="000000" w:sz="4" w:space="0"/>
            </w:tcBorders>
          </w:tcPr>
          <w:p>
            <w:pPr>
              <w:pStyle w:val="19"/>
              <w:spacing w:before="66"/>
              <w:ind w:left="83" w:right="58"/>
              <w:rPr>
                <w:rFonts w:ascii="Times New Roman"/>
                <w:sz w:val="21"/>
              </w:rPr>
            </w:pPr>
            <w:r>
              <w:rPr>
                <w:rFonts w:ascii="Times New Roman"/>
                <w:sz w:val="21"/>
              </w:rPr>
              <w:t>60.75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9"/>
              <w:spacing w:before="67"/>
              <w:ind w:left="108"/>
              <w:jc w:val="left"/>
              <w:rPr>
                <w:rFonts w:ascii="Times New Roman"/>
                <w:sz w:val="21"/>
              </w:rPr>
            </w:pPr>
            <w:r>
              <w:rPr>
                <w:rFonts w:ascii="Times New Roman"/>
                <w:w w:val="99"/>
                <w:sz w:val="21"/>
              </w:rPr>
              <w:t>4</w:t>
            </w:r>
          </w:p>
        </w:tc>
        <w:tc>
          <w:tcPr>
            <w:tcW w:w="2793" w:type="dxa"/>
            <w:tcBorders>
              <w:top w:val="single" w:color="000000" w:sz="4" w:space="0"/>
              <w:left w:val="single" w:color="000000" w:sz="4" w:space="0"/>
              <w:bottom w:val="single" w:color="000000" w:sz="4" w:space="0"/>
              <w:right w:val="single" w:color="000000" w:sz="4" w:space="0"/>
            </w:tcBorders>
          </w:tcPr>
          <w:p>
            <w:pPr>
              <w:pStyle w:val="19"/>
              <w:spacing w:before="49"/>
              <w:ind w:left="223" w:right="207"/>
              <w:rPr>
                <w:sz w:val="21"/>
              </w:rPr>
            </w:pPr>
            <w:r>
              <w:rPr>
                <w:sz w:val="21"/>
              </w:rPr>
              <w:t>洗衣房用水</w:t>
            </w:r>
          </w:p>
        </w:tc>
        <w:tc>
          <w:tcPr>
            <w:tcW w:w="2964" w:type="dxa"/>
            <w:tcBorders>
              <w:top w:val="single" w:color="000000" w:sz="4" w:space="0"/>
              <w:left w:val="single" w:color="000000" w:sz="4" w:space="0"/>
              <w:bottom w:val="single" w:color="000000" w:sz="4" w:space="0"/>
              <w:right w:val="single" w:color="000000" w:sz="4" w:space="0"/>
            </w:tcBorders>
          </w:tcPr>
          <w:p>
            <w:pPr>
              <w:pStyle w:val="19"/>
              <w:spacing w:before="49"/>
              <w:ind w:left="65" w:right="47"/>
              <w:rPr>
                <w:rFonts w:ascii="Times New Roman" w:hAnsi="Times New Roman" w:eastAsia="Times New Roman"/>
                <w:sz w:val="21"/>
              </w:rPr>
            </w:pPr>
            <w:r>
              <w:rPr>
                <w:rFonts w:ascii="Times New Roman" w:hAnsi="Times New Roman" w:eastAsia="Times New Roman"/>
                <w:sz w:val="21"/>
              </w:rPr>
              <w:t>1.5kg/</w:t>
            </w:r>
            <w:r>
              <w:rPr>
                <w:sz w:val="21"/>
              </w:rPr>
              <w:t>人</w:t>
            </w:r>
            <w:r>
              <w:rPr>
                <w:rFonts w:ascii="Times New Roman" w:hAnsi="Times New Roman" w:eastAsia="Times New Roman"/>
                <w:sz w:val="21"/>
              </w:rPr>
              <w:t>·3d</w:t>
            </w:r>
            <w:r>
              <w:rPr>
                <w:sz w:val="21"/>
              </w:rPr>
              <w:t>；</w:t>
            </w:r>
            <w:r>
              <w:rPr>
                <w:rFonts w:ascii="Times New Roman" w:hAnsi="Times New Roman" w:eastAsia="Times New Roman"/>
                <w:sz w:val="21"/>
              </w:rPr>
              <w:t>60L/kg</w:t>
            </w:r>
          </w:p>
        </w:tc>
        <w:tc>
          <w:tcPr>
            <w:tcW w:w="3099" w:type="dxa"/>
            <w:tcBorders>
              <w:top w:val="single" w:color="000000" w:sz="4" w:space="0"/>
              <w:left w:val="single" w:color="000000" w:sz="4" w:space="0"/>
              <w:bottom w:val="single" w:color="000000" w:sz="4" w:space="0"/>
            </w:tcBorders>
          </w:tcPr>
          <w:p>
            <w:pPr>
              <w:pStyle w:val="19"/>
              <w:spacing w:before="67"/>
              <w:ind w:left="83" w:right="58"/>
              <w:rPr>
                <w:rFonts w:ascii="Times New Roman"/>
                <w:sz w:val="21"/>
              </w:rPr>
            </w:pPr>
            <w:r>
              <w:rPr>
                <w:rFonts w:ascii="Times New Roman"/>
                <w:sz w:val="21"/>
              </w:rPr>
              <w:t>12.15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9"/>
              <w:spacing w:before="67"/>
              <w:ind w:left="108"/>
              <w:jc w:val="left"/>
              <w:rPr>
                <w:rFonts w:ascii="Times New Roman"/>
                <w:sz w:val="21"/>
              </w:rPr>
            </w:pPr>
            <w:r>
              <w:rPr>
                <w:rFonts w:ascii="Times New Roman"/>
                <w:w w:val="99"/>
                <w:sz w:val="21"/>
              </w:rPr>
              <w:t>5</w:t>
            </w:r>
          </w:p>
        </w:tc>
        <w:tc>
          <w:tcPr>
            <w:tcW w:w="2793" w:type="dxa"/>
            <w:tcBorders>
              <w:top w:val="single" w:color="000000" w:sz="4" w:space="0"/>
              <w:left w:val="single" w:color="000000" w:sz="4" w:space="0"/>
              <w:bottom w:val="single" w:color="000000" w:sz="4" w:space="0"/>
              <w:right w:val="single" w:color="000000" w:sz="4" w:space="0"/>
            </w:tcBorders>
          </w:tcPr>
          <w:p>
            <w:pPr>
              <w:pStyle w:val="19"/>
              <w:spacing w:before="50"/>
              <w:ind w:left="223" w:right="207"/>
              <w:rPr>
                <w:sz w:val="21"/>
              </w:rPr>
            </w:pPr>
            <w:r>
              <w:rPr>
                <w:sz w:val="21"/>
              </w:rPr>
              <w:t>锅炉房补水</w:t>
            </w:r>
          </w:p>
        </w:tc>
        <w:tc>
          <w:tcPr>
            <w:tcW w:w="296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2"/>
              </w:rPr>
            </w:pPr>
          </w:p>
        </w:tc>
        <w:tc>
          <w:tcPr>
            <w:tcW w:w="3099" w:type="dxa"/>
            <w:tcBorders>
              <w:top w:val="single" w:color="000000" w:sz="4" w:space="0"/>
              <w:left w:val="single" w:color="000000" w:sz="4" w:space="0"/>
              <w:bottom w:val="single" w:color="000000" w:sz="4" w:space="0"/>
            </w:tcBorders>
          </w:tcPr>
          <w:p>
            <w:pPr>
              <w:pStyle w:val="19"/>
              <w:spacing w:before="50"/>
              <w:ind w:left="79" w:right="58"/>
              <w:rPr>
                <w:sz w:val="21"/>
              </w:rPr>
            </w:pPr>
            <w:r>
              <w:rPr>
                <w:rFonts w:ascii="Times New Roman" w:eastAsia="Times New Roman"/>
                <w:sz w:val="21"/>
              </w:rPr>
              <w:t>1.50</w:t>
            </w:r>
            <w:r>
              <w:rPr>
                <w:sz w:val="21"/>
              </w:rPr>
              <w:t>（夏季）</w:t>
            </w:r>
            <w:r>
              <w:rPr>
                <w:rFonts w:ascii="Times New Roman" w:eastAsia="Times New Roman"/>
                <w:sz w:val="21"/>
              </w:rPr>
              <w:t>/2.5</w:t>
            </w:r>
            <w:r>
              <w:rPr>
                <w:sz w:val="21"/>
              </w:rPr>
              <w:t>（冬季）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9"/>
              <w:jc w:val="left"/>
              <w:rPr>
                <w:rFonts w:ascii="Times New Roman"/>
                <w:sz w:val="22"/>
              </w:rPr>
            </w:pPr>
          </w:p>
        </w:tc>
        <w:tc>
          <w:tcPr>
            <w:tcW w:w="2793" w:type="dxa"/>
            <w:tcBorders>
              <w:top w:val="single" w:color="000000" w:sz="4" w:space="0"/>
              <w:left w:val="single" w:color="000000" w:sz="4" w:space="0"/>
              <w:bottom w:val="single" w:color="000000" w:sz="4" w:space="0"/>
              <w:right w:val="single" w:color="000000" w:sz="4" w:space="0"/>
            </w:tcBorders>
          </w:tcPr>
          <w:p>
            <w:pPr>
              <w:pStyle w:val="19"/>
              <w:spacing w:before="50"/>
              <w:ind w:left="221" w:right="207"/>
              <w:rPr>
                <w:sz w:val="21"/>
              </w:rPr>
            </w:pPr>
            <w:r>
              <w:rPr>
                <w:sz w:val="21"/>
              </w:rPr>
              <w:t>小计</w:t>
            </w:r>
          </w:p>
        </w:tc>
        <w:tc>
          <w:tcPr>
            <w:tcW w:w="296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2"/>
              </w:rPr>
            </w:pPr>
          </w:p>
        </w:tc>
        <w:tc>
          <w:tcPr>
            <w:tcW w:w="3099" w:type="dxa"/>
            <w:tcBorders>
              <w:top w:val="single" w:color="000000" w:sz="4" w:space="0"/>
              <w:left w:val="single" w:color="000000" w:sz="4" w:space="0"/>
              <w:bottom w:val="single" w:color="000000" w:sz="4" w:space="0"/>
            </w:tcBorders>
          </w:tcPr>
          <w:p>
            <w:pPr>
              <w:pStyle w:val="19"/>
              <w:spacing w:before="50"/>
              <w:ind w:left="79" w:right="58"/>
              <w:rPr>
                <w:sz w:val="21"/>
              </w:rPr>
            </w:pPr>
            <w:r>
              <w:rPr>
                <w:rFonts w:ascii="Times New Roman" w:eastAsia="Times New Roman"/>
                <w:sz w:val="21"/>
              </w:rPr>
              <w:t>110.85</w:t>
            </w:r>
            <w:r>
              <w:rPr>
                <w:sz w:val="21"/>
              </w:rPr>
              <w:t>（夏季）</w:t>
            </w:r>
            <w:r>
              <w:rPr>
                <w:rFonts w:ascii="Times New Roman" w:eastAsia="Times New Roman"/>
                <w:sz w:val="21"/>
              </w:rPr>
              <w:t>/111.85</w:t>
            </w:r>
            <w:r>
              <w:rPr>
                <w:sz w:val="21"/>
              </w:rPr>
              <w:t>（冬季）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9"/>
              <w:spacing w:before="49"/>
              <w:ind w:left="108"/>
              <w:jc w:val="left"/>
              <w:rPr>
                <w:sz w:val="21"/>
              </w:rPr>
            </w:pPr>
            <w:r>
              <w:rPr>
                <w:w w:val="99"/>
                <w:sz w:val="21"/>
              </w:rPr>
              <w:t>二</w:t>
            </w:r>
          </w:p>
        </w:tc>
        <w:tc>
          <w:tcPr>
            <w:tcW w:w="2793" w:type="dxa"/>
            <w:tcBorders>
              <w:top w:val="single" w:color="000000" w:sz="4" w:space="0"/>
              <w:left w:val="single" w:color="000000" w:sz="4" w:space="0"/>
              <w:bottom w:val="single" w:color="000000" w:sz="4" w:space="0"/>
              <w:right w:val="single" w:color="000000" w:sz="4" w:space="0"/>
            </w:tcBorders>
          </w:tcPr>
          <w:p>
            <w:pPr>
              <w:pStyle w:val="19"/>
              <w:spacing w:before="49"/>
              <w:ind w:left="223" w:right="207"/>
              <w:rPr>
                <w:sz w:val="21"/>
              </w:rPr>
            </w:pPr>
            <w:r>
              <w:rPr>
                <w:sz w:val="21"/>
              </w:rPr>
              <w:t>生产用水</w:t>
            </w:r>
          </w:p>
        </w:tc>
        <w:tc>
          <w:tcPr>
            <w:tcW w:w="296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2"/>
              </w:rPr>
            </w:pPr>
          </w:p>
        </w:tc>
        <w:tc>
          <w:tcPr>
            <w:tcW w:w="3099" w:type="dxa"/>
            <w:tcBorders>
              <w:top w:val="single" w:color="000000" w:sz="4" w:space="0"/>
              <w:left w:val="single" w:color="000000" w:sz="4" w:space="0"/>
              <w:bottom w:val="single" w:color="000000" w:sz="4" w:space="0"/>
            </w:tcBorders>
          </w:tcPr>
          <w:p>
            <w:pPr>
              <w:pStyle w:val="19"/>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9"/>
              <w:spacing w:before="67"/>
              <w:ind w:left="158"/>
              <w:jc w:val="left"/>
              <w:rPr>
                <w:rFonts w:ascii="Times New Roman"/>
                <w:sz w:val="21"/>
              </w:rPr>
            </w:pPr>
            <w:r>
              <w:rPr>
                <w:rFonts w:ascii="Times New Roman"/>
                <w:w w:val="99"/>
                <w:sz w:val="21"/>
              </w:rPr>
              <w:t>1</w:t>
            </w:r>
          </w:p>
        </w:tc>
        <w:tc>
          <w:tcPr>
            <w:tcW w:w="2793" w:type="dxa"/>
            <w:tcBorders>
              <w:top w:val="single" w:color="000000" w:sz="4" w:space="0"/>
              <w:left w:val="single" w:color="000000" w:sz="4" w:space="0"/>
              <w:bottom w:val="single" w:color="000000" w:sz="4" w:space="0"/>
              <w:right w:val="single" w:color="000000" w:sz="4" w:space="0"/>
            </w:tcBorders>
          </w:tcPr>
          <w:p>
            <w:pPr>
              <w:pStyle w:val="19"/>
              <w:spacing w:before="49"/>
              <w:ind w:left="221" w:right="207"/>
              <w:rPr>
                <w:sz w:val="21"/>
              </w:rPr>
            </w:pPr>
            <w:r>
              <w:rPr>
                <w:sz w:val="21"/>
              </w:rPr>
              <w:t>井下生产用水</w:t>
            </w:r>
          </w:p>
        </w:tc>
        <w:tc>
          <w:tcPr>
            <w:tcW w:w="296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2"/>
              </w:rPr>
            </w:pPr>
          </w:p>
        </w:tc>
        <w:tc>
          <w:tcPr>
            <w:tcW w:w="3099" w:type="dxa"/>
            <w:tcBorders>
              <w:top w:val="single" w:color="000000" w:sz="4" w:space="0"/>
              <w:left w:val="single" w:color="000000" w:sz="4" w:space="0"/>
              <w:bottom w:val="single" w:color="000000" w:sz="4" w:space="0"/>
            </w:tcBorders>
          </w:tcPr>
          <w:p>
            <w:pPr>
              <w:pStyle w:val="19"/>
              <w:spacing w:before="67"/>
              <w:ind w:left="83" w:right="58"/>
              <w:rPr>
                <w:rFonts w:ascii="Times New Roman"/>
                <w:sz w:val="21"/>
              </w:rPr>
            </w:pPr>
            <w:r>
              <w:rPr>
                <w:rFonts w:ascii="Times New Roman"/>
                <w:sz w:val="21"/>
              </w:rPr>
              <w:t>246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9"/>
              <w:spacing w:before="67"/>
              <w:ind w:left="158"/>
              <w:jc w:val="left"/>
              <w:rPr>
                <w:rFonts w:ascii="Times New Roman"/>
                <w:sz w:val="21"/>
              </w:rPr>
            </w:pPr>
            <w:r>
              <w:rPr>
                <w:rFonts w:ascii="Times New Roman"/>
                <w:w w:val="99"/>
                <w:sz w:val="21"/>
              </w:rPr>
              <w:t>2</w:t>
            </w:r>
          </w:p>
        </w:tc>
        <w:tc>
          <w:tcPr>
            <w:tcW w:w="2793" w:type="dxa"/>
            <w:tcBorders>
              <w:top w:val="single" w:color="000000" w:sz="4" w:space="0"/>
              <w:left w:val="single" w:color="000000" w:sz="4" w:space="0"/>
              <w:bottom w:val="single" w:color="000000" w:sz="4" w:space="0"/>
              <w:right w:val="single" w:color="000000" w:sz="4" w:space="0"/>
            </w:tcBorders>
          </w:tcPr>
          <w:p>
            <w:pPr>
              <w:pStyle w:val="19"/>
              <w:spacing w:before="50"/>
              <w:ind w:left="223" w:right="207"/>
              <w:rPr>
                <w:sz w:val="21"/>
              </w:rPr>
            </w:pPr>
            <w:r>
              <w:rPr>
                <w:sz w:val="21"/>
              </w:rPr>
              <w:t>道路洒水</w:t>
            </w:r>
          </w:p>
        </w:tc>
        <w:tc>
          <w:tcPr>
            <w:tcW w:w="2964" w:type="dxa"/>
            <w:tcBorders>
              <w:top w:val="single" w:color="000000" w:sz="4" w:space="0"/>
              <w:left w:val="single" w:color="000000" w:sz="4" w:space="0"/>
              <w:bottom w:val="single" w:color="000000" w:sz="4" w:space="0"/>
              <w:right w:val="single" w:color="000000" w:sz="4" w:space="0"/>
            </w:tcBorders>
          </w:tcPr>
          <w:p>
            <w:pPr>
              <w:pStyle w:val="19"/>
              <w:spacing w:before="67"/>
              <w:ind w:left="65" w:right="45"/>
              <w:rPr>
                <w:rFonts w:ascii="Times New Roman"/>
                <w:sz w:val="13"/>
              </w:rPr>
            </w:pPr>
            <w:r>
              <w:rPr>
                <w:rFonts w:ascii="Times New Roman"/>
                <w:sz w:val="21"/>
              </w:rPr>
              <w:t>2L/m</w:t>
            </w:r>
            <w:r>
              <w:rPr>
                <w:rFonts w:ascii="Times New Roman"/>
                <w:position w:val="7"/>
                <w:sz w:val="13"/>
              </w:rPr>
              <w:t>2</w:t>
            </w:r>
          </w:p>
        </w:tc>
        <w:tc>
          <w:tcPr>
            <w:tcW w:w="3099" w:type="dxa"/>
            <w:tcBorders>
              <w:top w:val="single" w:color="000000" w:sz="4" w:space="0"/>
              <w:left w:val="single" w:color="000000" w:sz="4" w:space="0"/>
              <w:bottom w:val="single" w:color="000000" w:sz="4" w:space="0"/>
            </w:tcBorders>
          </w:tcPr>
          <w:p>
            <w:pPr>
              <w:pStyle w:val="19"/>
              <w:spacing w:before="67"/>
              <w:ind w:left="25"/>
              <w:rPr>
                <w:rFonts w:ascii="Times New Roman"/>
                <w:sz w:val="21"/>
              </w:rPr>
            </w:pPr>
            <w:r>
              <w:rPr>
                <w:rFonts w:ascii="Times New Roman"/>
                <w:w w:val="99"/>
                <w:sz w:val="21"/>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9"/>
              <w:spacing w:before="66"/>
              <w:ind w:left="158"/>
              <w:jc w:val="left"/>
              <w:rPr>
                <w:rFonts w:ascii="Times New Roman"/>
                <w:sz w:val="21"/>
              </w:rPr>
            </w:pPr>
            <w:r>
              <w:rPr>
                <w:rFonts w:ascii="Times New Roman"/>
                <w:w w:val="99"/>
                <w:sz w:val="21"/>
              </w:rPr>
              <w:t>3</w:t>
            </w:r>
          </w:p>
        </w:tc>
        <w:tc>
          <w:tcPr>
            <w:tcW w:w="2793" w:type="dxa"/>
            <w:tcBorders>
              <w:top w:val="single" w:color="000000" w:sz="4" w:space="0"/>
              <w:left w:val="single" w:color="000000" w:sz="4" w:space="0"/>
              <w:bottom w:val="single" w:color="000000" w:sz="4" w:space="0"/>
              <w:right w:val="single" w:color="000000" w:sz="4" w:space="0"/>
            </w:tcBorders>
          </w:tcPr>
          <w:p>
            <w:pPr>
              <w:pStyle w:val="19"/>
              <w:spacing w:before="50"/>
              <w:ind w:left="226" w:right="207"/>
              <w:rPr>
                <w:sz w:val="21"/>
              </w:rPr>
            </w:pPr>
            <w:r>
              <w:rPr>
                <w:sz w:val="21"/>
              </w:rPr>
              <w:t>排矸场及储煤场抑尘用水</w:t>
            </w:r>
          </w:p>
        </w:tc>
        <w:tc>
          <w:tcPr>
            <w:tcW w:w="296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2"/>
              </w:rPr>
            </w:pPr>
          </w:p>
        </w:tc>
        <w:tc>
          <w:tcPr>
            <w:tcW w:w="3099" w:type="dxa"/>
            <w:tcBorders>
              <w:top w:val="single" w:color="000000" w:sz="4" w:space="0"/>
              <w:left w:val="single" w:color="000000" w:sz="4" w:space="0"/>
              <w:bottom w:val="single" w:color="000000" w:sz="4" w:space="0"/>
            </w:tcBorders>
          </w:tcPr>
          <w:p>
            <w:pPr>
              <w:pStyle w:val="19"/>
              <w:spacing w:before="66"/>
              <w:ind w:left="83" w:right="58"/>
              <w:rPr>
                <w:rFonts w:ascii="Times New Roman"/>
                <w:sz w:val="21"/>
              </w:rPr>
            </w:pPr>
            <w:r>
              <w:rPr>
                <w:rFonts w:ascii="Times New Roman"/>
                <w:sz w:val="21"/>
              </w:rPr>
              <w:t>13.2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9"/>
              <w:spacing w:before="66"/>
              <w:ind w:left="158"/>
              <w:jc w:val="left"/>
              <w:rPr>
                <w:rFonts w:ascii="Times New Roman"/>
                <w:sz w:val="21"/>
              </w:rPr>
            </w:pPr>
            <w:r>
              <w:rPr>
                <w:rFonts w:ascii="Times New Roman"/>
                <w:w w:val="99"/>
                <w:sz w:val="21"/>
              </w:rPr>
              <w:t>4</w:t>
            </w:r>
          </w:p>
        </w:tc>
        <w:tc>
          <w:tcPr>
            <w:tcW w:w="2793" w:type="dxa"/>
            <w:tcBorders>
              <w:top w:val="single" w:color="000000" w:sz="4" w:space="0"/>
              <w:left w:val="single" w:color="000000" w:sz="4" w:space="0"/>
              <w:bottom w:val="single" w:color="000000" w:sz="4" w:space="0"/>
              <w:right w:val="single" w:color="000000" w:sz="4" w:space="0"/>
            </w:tcBorders>
          </w:tcPr>
          <w:p>
            <w:pPr>
              <w:pStyle w:val="19"/>
              <w:spacing w:before="49"/>
              <w:ind w:left="226" w:right="207"/>
              <w:rPr>
                <w:sz w:val="21"/>
              </w:rPr>
            </w:pPr>
            <w:r>
              <w:rPr>
                <w:sz w:val="21"/>
              </w:rPr>
              <w:t>绿化及其它用水</w:t>
            </w:r>
          </w:p>
        </w:tc>
        <w:tc>
          <w:tcPr>
            <w:tcW w:w="2964" w:type="dxa"/>
            <w:tcBorders>
              <w:top w:val="single" w:color="000000" w:sz="4" w:space="0"/>
              <w:left w:val="single" w:color="000000" w:sz="4" w:space="0"/>
              <w:bottom w:val="single" w:color="000000" w:sz="4" w:space="0"/>
              <w:right w:val="single" w:color="000000" w:sz="4" w:space="0"/>
            </w:tcBorders>
          </w:tcPr>
          <w:p>
            <w:pPr>
              <w:pStyle w:val="19"/>
              <w:spacing w:before="49"/>
              <w:ind w:left="65" w:right="46"/>
              <w:rPr>
                <w:sz w:val="21"/>
              </w:rPr>
            </w:pPr>
            <w:r>
              <w:rPr>
                <w:rFonts w:ascii="Times New Roman" w:hAnsi="Times New Roman" w:eastAsia="Times New Roman"/>
                <w:sz w:val="21"/>
              </w:rPr>
              <w:t>0.03m³/t</w:t>
            </w:r>
            <w:r>
              <w:rPr>
                <w:sz w:val="21"/>
              </w:rPr>
              <w:t>（夏季）</w:t>
            </w:r>
          </w:p>
        </w:tc>
        <w:tc>
          <w:tcPr>
            <w:tcW w:w="3099" w:type="dxa"/>
            <w:tcBorders>
              <w:top w:val="single" w:color="000000" w:sz="4" w:space="0"/>
              <w:left w:val="single" w:color="000000" w:sz="4" w:space="0"/>
              <w:bottom w:val="single" w:color="000000" w:sz="4" w:space="0"/>
            </w:tcBorders>
          </w:tcPr>
          <w:p>
            <w:pPr>
              <w:pStyle w:val="19"/>
              <w:spacing w:before="49"/>
              <w:ind w:left="79" w:right="58"/>
              <w:rPr>
                <w:sz w:val="21"/>
              </w:rPr>
            </w:pPr>
            <w:r>
              <w:rPr>
                <w:rFonts w:ascii="Times New Roman" w:eastAsia="Times New Roman"/>
                <w:sz w:val="21"/>
              </w:rPr>
              <w:t>26.1</w:t>
            </w:r>
            <w:r>
              <w:rPr>
                <w:sz w:val="21"/>
              </w:rPr>
              <w:t>（夏季）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9"/>
              <w:jc w:val="left"/>
              <w:rPr>
                <w:rFonts w:ascii="Times New Roman"/>
                <w:sz w:val="22"/>
              </w:rPr>
            </w:pPr>
          </w:p>
        </w:tc>
        <w:tc>
          <w:tcPr>
            <w:tcW w:w="2793" w:type="dxa"/>
            <w:tcBorders>
              <w:top w:val="single" w:color="000000" w:sz="4" w:space="0"/>
              <w:left w:val="single" w:color="000000" w:sz="4" w:space="0"/>
              <w:bottom w:val="single" w:color="000000" w:sz="4" w:space="0"/>
              <w:right w:val="single" w:color="000000" w:sz="4" w:space="0"/>
            </w:tcBorders>
          </w:tcPr>
          <w:p>
            <w:pPr>
              <w:pStyle w:val="19"/>
              <w:spacing w:before="49"/>
              <w:ind w:left="221" w:right="207"/>
              <w:rPr>
                <w:sz w:val="21"/>
              </w:rPr>
            </w:pPr>
            <w:r>
              <w:rPr>
                <w:sz w:val="21"/>
              </w:rPr>
              <w:t>小计</w:t>
            </w:r>
          </w:p>
        </w:tc>
        <w:tc>
          <w:tcPr>
            <w:tcW w:w="296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2"/>
              </w:rPr>
            </w:pPr>
          </w:p>
        </w:tc>
        <w:tc>
          <w:tcPr>
            <w:tcW w:w="3099" w:type="dxa"/>
            <w:tcBorders>
              <w:top w:val="single" w:color="000000" w:sz="4" w:space="0"/>
              <w:left w:val="single" w:color="000000" w:sz="4" w:space="0"/>
              <w:bottom w:val="single" w:color="000000" w:sz="4" w:space="0"/>
            </w:tcBorders>
          </w:tcPr>
          <w:p>
            <w:pPr>
              <w:pStyle w:val="19"/>
              <w:spacing w:before="49"/>
              <w:ind w:left="79" w:right="58"/>
              <w:rPr>
                <w:sz w:val="21"/>
              </w:rPr>
            </w:pPr>
            <w:r>
              <w:rPr>
                <w:rFonts w:ascii="Times New Roman" w:eastAsia="Times New Roman"/>
                <w:sz w:val="21"/>
              </w:rPr>
              <w:t>289.3</w:t>
            </w:r>
            <w:r>
              <w:rPr>
                <w:sz w:val="21"/>
              </w:rPr>
              <w:t>（夏季）</w:t>
            </w:r>
            <w:r>
              <w:rPr>
                <w:rFonts w:ascii="Times New Roman" w:eastAsia="Times New Roman"/>
                <w:sz w:val="21"/>
              </w:rPr>
              <w:t>/263.2</w:t>
            </w:r>
            <w:r>
              <w:rPr>
                <w:sz w:val="21"/>
              </w:rPr>
              <w:t>（冬季）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9"/>
              <w:jc w:val="left"/>
              <w:rPr>
                <w:rFonts w:ascii="Times New Roman"/>
                <w:sz w:val="22"/>
              </w:rPr>
            </w:pPr>
          </w:p>
        </w:tc>
        <w:tc>
          <w:tcPr>
            <w:tcW w:w="2793" w:type="dxa"/>
            <w:tcBorders>
              <w:top w:val="single" w:color="000000" w:sz="4" w:space="0"/>
              <w:left w:val="single" w:color="000000" w:sz="4" w:space="0"/>
              <w:bottom w:val="single" w:color="000000" w:sz="4" w:space="0"/>
              <w:right w:val="single" w:color="000000" w:sz="4" w:space="0"/>
            </w:tcBorders>
          </w:tcPr>
          <w:p>
            <w:pPr>
              <w:pStyle w:val="19"/>
              <w:spacing w:before="50"/>
              <w:ind w:left="223" w:right="207"/>
              <w:rPr>
                <w:sz w:val="21"/>
              </w:rPr>
            </w:pPr>
            <w:r>
              <w:rPr>
                <w:sz w:val="21"/>
              </w:rPr>
              <w:t>未预见用水</w:t>
            </w:r>
          </w:p>
        </w:tc>
        <w:tc>
          <w:tcPr>
            <w:tcW w:w="2964" w:type="dxa"/>
            <w:tcBorders>
              <w:top w:val="single" w:color="000000" w:sz="4" w:space="0"/>
              <w:left w:val="single" w:color="000000" w:sz="4" w:space="0"/>
              <w:bottom w:val="single" w:color="000000" w:sz="4" w:space="0"/>
              <w:right w:val="single" w:color="000000" w:sz="4" w:space="0"/>
            </w:tcBorders>
          </w:tcPr>
          <w:p>
            <w:pPr>
              <w:pStyle w:val="19"/>
              <w:spacing w:before="50"/>
              <w:ind w:left="65" w:right="48"/>
              <w:rPr>
                <w:sz w:val="21"/>
              </w:rPr>
            </w:pPr>
            <w:r>
              <w:rPr>
                <w:sz w:val="21"/>
              </w:rPr>
              <w:t xml:space="preserve">按以上各项用水之合的 </w:t>
            </w:r>
            <w:r>
              <w:rPr>
                <w:rFonts w:ascii="Times New Roman" w:eastAsia="Times New Roman"/>
                <w:sz w:val="21"/>
              </w:rPr>
              <w:t>10%</w:t>
            </w:r>
            <w:r>
              <w:rPr>
                <w:sz w:val="21"/>
              </w:rPr>
              <w:t>计</w:t>
            </w:r>
          </w:p>
        </w:tc>
        <w:tc>
          <w:tcPr>
            <w:tcW w:w="3099" w:type="dxa"/>
            <w:tcBorders>
              <w:top w:val="single" w:color="000000" w:sz="4" w:space="0"/>
              <w:left w:val="single" w:color="000000" w:sz="4" w:space="0"/>
              <w:bottom w:val="single" w:color="000000" w:sz="4" w:space="0"/>
            </w:tcBorders>
          </w:tcPr>
          <w:p>
            <w:pPr>
              <w:pStyle w:val="19"/>
              <w:spacing w:before="67"/>
              <w:ind w:left="80" w:right="58"/>
              <w:rPr>
                <w:rFonts w:ascii="Times New Roman"/>
                <w:sz w:val="21"/>
              </w:rPr>
            </w:pPr>
            <w:r>
              <w:rPr>
                <w:rFonts w:ascii="Times New Roman"/>
                <w:sz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426" w:type="dxa"/>
            <w:tcBorders>
              <w:top w:val="single" w:color="000000" w:sz="4" w:space="0"/>
              <w:right w:val="single" w:color="000000" w:sz="4" w:space="0"/>
            </w:tcBorders>
          </w:tcPr>
          <w:p>
            <w:pPr>
              <w:pStyle w:val="19"/>
              <w:jc w:val="left"/>
              <w:rPr>
                <w:rFonts w:ascii="Times New Roman"/>
                <w:sz w:val="22"/>
              </w:rPr>
            </w:pPr>
          </w:p>
        </w:tc>
        <w:tc>
          <w:tcPr>
            <w:tcW w:w="2793" w:type="dxa"/>
            <w:tcBorders>
              <w:top w:val="single" w:color="000000" w:sz="4" w:space="0"/>
              <w:left w:val="single" w:color="000000" w:sz="4" w:space="0"/>
              <w:right w:val="single" w:color="000000" w:sz="4" w:space="0"/>
            </w:tcBorders>
          </w:tcPr>
          <w:p>
            <w:pPr>
              <w:pStyle w:val="19"/>
              <w:spacing w:before="50"/>
              <w:ind w:left="221" w:right="207"/>
              <w:rPr>
                <w:sz w:val="21"/>
              </w:rPr>
            </w:pPr>
            <w:r>
              <w:rPr>
                <w:sz w:val="21"/>
              </w:rPr>
              <w:t>总计</w:t>
            </w:r>
          </w:p>
        </w:tc>
        <w:tc>
          <w:tcPr>
            <w:tcW w:w="2964" w:type="dxa"/>
            <w:tcBorders>
              <w:top w:val="single" w:color="000000" w:sz="4" w:space="0"/>
              <w:left w:val="single" w:color="000000" w:sz="4" w:space="0"/>
              <w:right w:val="single" w:color="000000" w:sz="4" w:space="0"/>
            </w:tcBorders>
          </w:tcPr>
          <w:p>
            <w:pPr>
              <w:pStyle w:val="19"/>
              <w:jc w:val="left"/>
              <w:rPr>
                <w:rFonts w:ascii="Times New Roman"/>
                <w:sz w:val="22"/>
              </w:rPr>
            </w:pPr>
          </w:p>
        </w:tc>
        <w:tc>
          <w:tcPr>
            <w:tcW w:w="3099" w:type="dxa"/>
            <w:tcBorders>
              <w:top w:val="single" w:color="000000" w:sz="4" w:space="0"/>
              <w:left w:val="single" w:color="000000" w:sz="4" w:space="0"/>
            </w:tcBorders>
          </w:tcPr>
          <w:p>
            <w:pPr>
              <w:pStyle w:val="19"/>
              <w:spacing w:before="50"/>
              <w:ind w:left="85" w:right="52"/>
              <w:rPr>
                <w:sz w:val="21"/>
              </w:rPr>
            </w:pPr>
            <w:r>
              <w:rPr>
                <w:rFonts w:ascii="Times New Roman" w:eastAsia="Times New Roman"/>
                <w:sz w:val="21"/>
              </w:rPr>
              <w:t>440.15</w:t>
            </w:r>
            <w:r>
              <w:rPr>
                <w:sz w:val="21"/>
              </w:rPr>
              <w:t>（夏季）</w:t>
            </w:r>
            <w:r>
              <w:rPr>
                <w:rFonts w:ascii="Times New Roman" w:eastAsia="Times New Roman"/>
                <w:sz w:val="21"/>
              </w:rPr>
              <w:t>/415.05</w:t>
            </w:r>
            <w:r>
              <w:rPr>
                <w:sz w:val="21"/>
              </w:rPr>
              <w:t>（冬季）</w:t>
            </w:r>
          </w:p>
        </w:tc>
      </w:tr>
    </w:tbl>
    <w:p>
      <w:pPr>
        <w:pStyle w:val="18"/>
        <w:numPr>
          <w:ilvl w:val="4"/>
          <w:numId w:val="37"/>
        </w:numPr>
        <w:tabs>
          <w:tab w:val="left" w:pos="1302"/>
        </w:tabs>
        <w:spacing w:before="3" w:after="0" w:line="240" w:lineRule="auto"/>
        <w:ind w:left="1301" w:right="0" w:hanging="602"/>
        <w:jc w:val="left"/>
        <w:rPr>
          <w:sz w:val="24"/>
        </w:rPr>
      </w:pPr>
      <w:r>
        <w:rPr>
          <w:sz w:val="24"/>
        </w:rPr>
        <w:t>给水系统</w:t>
      </w:r>
    </w:p>
    <w:p>
      <w:pPr>
        <w:pStyle w:val="18"/>
        <w:numPr>
          <w:ilvl w:val="0"/>
          <w:numId w:val="38"/>
        </w:numPr>
        <w:tabs>
          <w:tab w:val="left" w:pos="1062"/>
        </w:tabs>
        <w:spacing w:before="158" w:after="0" w:line="240" w:lineRule="auto"/>
        <w:ind w:left="1061" w:right="0" w:hanging="362"/>
        <w:jc w:val="left"/>
        <w:rPr>
          <w:sz w:val="24"/>
        </w:rPr>
      </w:pPr>
      <w:r>
        <w:rPr>
          <w:sz w:val="24"/>
        </w:rPr>
        <w:t>水源选择</w:t>
      </w:r>
    </w:p>
    <w:p>
      <w:pPr>
        <w:pStyle w:val="9"/>
        <w:spacing w:before="160"/>
        <w:ind w:left="700"/>
      </w:pPr>
      <w:r>
        <w:t>生活饮用水源为原有水井。</w:t>
      </w:r>
    </w:p>
    <w:p>
      <w:pPr>
        <w:pStyle w:val="9"/>
        <w:spacing w:before="158" w:line="364" w:lineRule="auto"/>
        <w:ind w:left="218" w:right="257" w:firstLine="482"/>
      </w:pPr>
      <w:r>
        <w:rPr>
          <w:spacing w:val="-8"/>
        </w:rPr>
        <w:t>生产、非生活饮用水源来自井下涌水，由水泵加压输送至采煤废水处理站，经处理</w:t>
      </w:r>
      <w:r>
        <w:t>后通过水泵设备输送至各用水点。</w:t>
      </w:r>
    </w:p>
    <w:p>
      <w:pPr>
        <w:pStyle w:val="18"/>
        <w:numPr>
          <w:ilvl w:val="0"/>
          <w:numId w:val="38"/>
        </w:numPr>
        <w:tabs>
          <w:tab w:val="left" w:pos="1060"/>
        </w:tabs>
        <w:spacing w:before="0" w:after="0" w:line="306" w:lineRule="exact"/>
        <w:ind w:left="1059" w:right="0" w:hanging="362"/>
        <w:jc w:val="left"/>
        <w:rPr>
          <w:sz w:val="24"/>
        </w:rPr>
      </w:pPr>
      <w:r>
        <w:rPr>
          <w:sz w:val="24"/>
        </w:rPr>
        <w:t>给水系统</w:t>
      </w:r>
    </w:p>
    <w:p>
      <w:pPr>
        <w:pStyle w:val="9"/>
        <w:spacing w:before="161" w:line="364" w:lineRule="auto"/>
        <w:ind w:left="218" w:right="272" w:firstLine="518"/>
        <w:jc w:val="both"/>
      </w:pPr>
      <w:r>
        <w:t xml:space="preserve">工业场地内设有生产、生活及消防合用供水管网，呈环状布置，管材为钢丝骨架塑料复合管，电热熔连接，管道压力为 </w:t>
      </w:r>
      <w:r>
        <w:rPr>
          <w:rFonts w:ascii="Times New Roman" w:eastAsia="Times New Roman"/>
        </w:rPr>
        <w:t>1.25MPa</w:t>
      </w:r>
      <w:r>
        <w:t xml:space="preserve">。干管管径为 </w:t>
      </w:r>
      <w:r>
        <w:rPr>
          <w:rFonts w:ascii="Times New Roman" w:eastAsia="Times New Roman"/>
        </w:rPr>
        <w:t>DN200</w:t>
      </w:r>
      <w:r>
        <w:t xml:space="preserve">。工业场地内设有绿化洒水回用水管网，呈支状布置，管材采用内外涂环氧树脂复合钢管，干管管径为 </w:t>
      </w:r>
      <w:r>
        <w:rPr>
          <w:rFonts w:ascii="Times New Roman" w:eastAsia="Times New Roman"/>
        </w:rPr>
        <w:t>DN80</w:t>
      </w:r>
      <w:r>
        <w:t xml:space="preserve">。在运煤干道处及主要的绿化地带，每隔 </w:t>
      </w:r>
      <w:r>
        <w:rPr>
          <w:rFonts w:ascii="Times New Roman" w:eastAsia="Times New Roman"/>
        </w:rPr>
        <w:t xml:space="preserve">30m </w:t>
      </w:r>
      <w:r>
        <w:t>设置一处摇</w:t>
      </w:r>
    </w:p>
    <w:p>
      <w:pPr>
        <w:spacing w:after="0" w:line="364" w:lineRule="auto"/>
        <w:jc w:val="both"/>
        <w:sectPr>
          <w:pgSz w:w="11910" w:h="16840"/>
          <w:pgMar w:top="1360" w:right="1160" w:bottom="1180" w:left="1200" w:header="0" w:footer="993" w:gutter="0"/>
        </w:sectPr>
      </w:pPr>
    </w:p>
    <w:p>
      <w:pPr>
        <w:pStyle w:val="9"/>
        <w:spacing w:before="41"/>
        <w:ind w:left="218"/>
      </w:pPr>
      <w:r>
        <w:t>臂式洒水喷头，供绿化及地面防尘使用。</w:t>
      </w:r>
    </w:p>
    <w:p>
      <w:pPr>
        <w:pStyle w:val="18"/>
        <w:numPr>
          <w:ilvl w:val="4"/>
          <w:numId w:val="37"/>
        </w:numPr>
        <w:tabs>
          <w:tab w:val="left" w:pos="1300"/>
        </w:tabs>
        <w:spacing w:before="158" w:after="0" w:line="240" w:lineRule="auto"/>
        <w:ind w:left="1299" w:right="0" w:hanging="602"/>
        <w:jc w:val="left"/>
        <w:rPr>
          <w:sz w:val="24"/>
        </w:rPr>
      </w:pPr>
      <w:r>
        <w:rPr>
          <w:sz w:val="24"/>
        </w:rPr>
        <w:t>排水系统</w:t>
      </w:r>
    </w:p>
    <w:p>
      <w:pPr>
        <w:pStyle w:val="9"/>
        <w:spacing w:before="161" w:line="364" w:lineRule="auto"/>
        <w:ind w:left="218" w:right="257" w:firstLine="480"/>
      </w:pPr>
      <w:r>
        <w:rPr>
          <w:spacing w:val="-7"/>
        </w:rPr>
        <w:t xml:space="preserve">矿井正常涌水量为 </w:t>
      </w:r>
      <w:r>
        <w:rPr>
          <w:rFonts w:ascii="Times New Roman" w:hAnsi="Times New Roman" w:eastAsia="Times New Roman"/>
          <w:spacing w:val="-11"/>
        </w:rPr>
        <w:t>60m³/h</w:t>
      </w:r>
      <w:r>
        <w:rPr>
          <w:spacing w:val="-4"/>
        </w:rPr>
        <w:t>，经采煤废水处理站处理后达标后部分回用于井下生产用</w:t>
      </w:r>
      <w:r>
        <w:t>水、洗浴用水、洗衣用水和锅炉补水等非饮用生活用水，部分外排至安邦河。</w:t>
      </w:r>
    </w:p>
    <w:p>
      <w:pPr>
        <w:pStyle w:val="9"/>
        <w:spacing w:line="306" w:lineRule="exact"/>
        <w:ind w:left="698"/>
      </w:pPr>
      <w:r>
        <w:t>生活污水经污水处理装置处理达标后全部回用。</w:t>
      </w:r>
    </w:p>
    <w:p>
      <w:pPr>
        <w:pStyle w:val="18"/>
        <w:numPr>
          <w:ilvl w:val="4"/>
          <w:numId w:val="37"/>
        </w:numPr>
        <w:tabs>
          <w:tab w:val="left" w:pos="1300"/>
        </w:tabs>
        <w:spacing w:before="160" w:after="0" w:line="240" w:lineRule="auto"/>
        <w:ind w:left="1299" w:right="0" w:hanging="602"/>
        <w:jc w:val="left"/>
        <w:rPr>
          <w:sz w:val="24"/>
        </w:rPr>
      </w:pPr>
      <w:r>
        <w:rPr>
          <w:sz w:val="24"/>
        </w:rPr>
        <w:t>井下消防及洒水</w:t>
      </w:r>
    </w:p>
    <w:p>
      <w:pPr>
        <w:pStyle w:val="9"/>
        <w:spacing w:before="158"/>
        <w:ind w:left="698"/>
      </w:pPr>
      <w:r>
        <w:t>矿井设有独立完善的井下消防系统。供水水源为井筒内一座专用消防洒水水池。</w:t>
      </w:r>
    </w:p>
    <w:p>
      <w:pPr>
        <w:pStyle w:val="18"/>
        <w:numPr>
          <w:ilvl w:val="4"/>
          <w:numId w:val="37"/>
        </w:numPr>
        <w:tabs>
          <w:tab w:val="left" w:pos="1300"/>
        </w:tabs>
        <w:spacing w:before="161" w:after="0" w:line="240" w:lineRule="auto"/>
        <w:ind w:left="1299" w:right="0" w:hanging="602"/>
        <w:jc w:val="left"/>
        <w:rPr>
          <w:sz w:val="24"/>
        </w:rPr>
      </w:pPr>
      <w:r>
        <w:rPr>
          <w:sz w:val="24"/>
        </w:rPr>
        <w:t>水量平衡分析</w:t>
      </w:r>
    </w:p>
    <w:p>
      <w:pPr>
        <w:pStyle w:val="9"/>
        <w:spacing w:before="158"/>
        <w:ind w:left="698"/>
      </w:pPr>
      <w:r>
        <w:t>本项目工业场地水量平衡见下图。</w:t>
      </w:r>
    </w:p>
    <w:p>
      <w:pPr>
        <w:spacing w:after="0"/>
        <w:sectPr>
          <w:pgSz w:w="11910" w:h="16840"/>
          <w:pgMar w:top="1360" w:right="1160" w:bottom="1180" w:left="1200" w:header="0" w:footer="993" w:gutter="0"/>
        </w:sectPr>
      </w:pPr>
    </w:p>
    <w:p>
      <w:pPr>
        <w:pStyle w:val="9"/>
        <w:ind w:left="595"/>
        <w:rPr>
          <w:sz w:val="20"/>
        </w:rPr>
      </w:pPr>
      <w:r>
        <w:rPr>
          <w:sz w:val="20"/>
        </w:rPr>
        <w:drawing>
          <wp:inline distT="0" distB="0" distL="0" distR="0">
            <wp:extent cx="4267200" cy="585216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39" cstate="print"/>
                    <a:stretch>
                      <a:fillRect/>
                    </a:stretch>
                  </pic:blipFill>
                  <pic:spPr>
                    <a:xfrm>
                      <a:off x="0" y="0"/>
                      <a:ext cx="4267200" cy="5852160"/>
                    </a:xfrm>
                    <a:prstGeom prst="rect">
                      <a:avLst/>
                    </a:prstGeom>
                  </pic:spPr>
                </pic:pic>
              </a:graphicData>
            </a:graphic>
          </wp:inline>
        </w:drawing>
      </w:r>
    </w:p>
    <w:p>
      <w:pPr>
        <w:pStyle w:val="9"/>
        <w:rPr>
          <w:sz w:val="20"/>
        </w:rPr>
      </w:pPr>
    </w:p>
    <w:p>
      <w:pPr>
        <w:pStyle w:val="9"/>
        <w:spacing w:before="11"/>
        <w:rPr>
          <w:sz w:val="16"/>
        </w:rPr>
      </w:pPr>
    </w:p>
    <w:p>
      <w:pPr>
        <w:spacing w:before="80"/>
        <w:ind w:left="304" w:right="330" w:firstLine="0"/>
        <w:jc w:val="center"/>
        <w:rPr>
          <w:rFonts w:ascii="Times New Roman" w:eastAsia="Times New Roman"/>
          <w:b/>
          <w:sz w:val="21"/>
        </w:rPr>
      </w:pPr>
      <w:r>
        <w:rPr>
          <w:b/>
          <w:spacing w:val="-28"/>
          <w:sz w:val="21"/>
        </w:rPr>
        <w:t xml:space="preserve">图 </w:t>
      </w:r>
      <w:r>
        <w:rPr>
          <w:rFonts w:ascii="Times New Roman" w:eastAsia="Times New Roman"/>
          <w:b/>
          <w:sz w:val="21"/>
        </w:rPr>
        <w:t>2.3-1</w:t>
      </w:r>
      <w:r>
        <w:rPr>
          <w:rFonts w:ascii="Times New Roman" w:eastAsia="Times New Roman"/>
          <w:b/>
          <w:spacing w:val="52"/>
          <w:sz w:val="21"/>
        </w:rPr>
        <w:t xml:space="preserve"> </w:t>
      </w:r>
      <w:r>
        <w:rPr>
          <w:b/>
          <w:sz w:val="21"/>
        </w:rPr>
        <w:t>水量平衡图（夏季</w:t>
      </w:r>
      <w:r>
        <w:rPr>
          <w:rFonts w:ascii="Times New Roman" w:eastAsia="Times New Roman"/>
          <w:b/>
          <w:sz w:val="21"/>
        </w:rPr>
        <w:t>/</w:t>
      </w:r>
      <w:r>
        <w:rPr>
          <w:b/>
          <w:sz w:val="21"/>
        </w:rPr>
        <w:t>冬季）</w:t>
      </w:r>
      <w:r>
        <w:rPr>
          <w:rFonts w:ascii="Times New Roman" w:eastAsia="Times New Roman"/>
          <w:b/>
          <w:sz w:val="21"/>
        </w:rPr>
        <w:t>m</w:t>
      </w:r>
      <w:r>
        <w:rPr>
          <w:rFonts w:ascii="Times New Roman" w:eastAsia="Times New Roman"/>
          <w:b/>
          <w:position w:val="7"/>
          <w:sz w:val="13"/>
        </w:rPr>
        <w:t>3</w:t>
      </w:r>
      <w:r>
        <w:rPr>
          <w:rFonts w:ascii="Times New Roman" w:eastAsia="Times New Roman"/>
          <w:b/>
          <w:sz w:val="21"/>
        </w:rPr>
        <w:t>/d</w:t>
      </w:r>
    </w:p>
    <w:p>
      <w:pPr>
        <w:pStyle w:val="8"/>
        <w:numPr>
          <w:ilvl w:val="3"/>
          <w:numId w:val="37"/>
        </w:numPr>
        <w:tabs>
          <w:tab w:val="left" w:pos="999"/>
        </w:tabs>
        <w:spacing w:before="142" w:after="0" w:line="240" w:lineRule="auto"/>
        <w:ind w:left="998" w:right="0" w:hanging="781"/>
        <w:jc w:val="left"/>
      </w:pPr>
      <w:bookmarkStart w:id="185" w:name="2.3.4.2 采暖供热"/>
      <w:bookmarkEnd w:id="185"/>
      <w:bookmarkStart w:id="186" w:name="2.3.4.2 采暖供热"/>
      <w:bookmarkEnd w:id="186"/>
      <w:r>
        <w:t>采暖供热</w:t>
      </w:r>
    </w:p>
    <w:p>
      <w:pPr>
        <w:pStyle w:val="18"/>
        <w:numPr>
          <w:ilvl w:val="0"/>
          <w:numId w:val="39"/>
        </w:numPr>
        <w:tabs>
          <w:tab w:val="left" w:pos="1300"/>
        </w:tabs>
        <w:spacing w:before="158" w:after="0" w:line="240" w:lineRule="auto"/>
        <w:ind w:left="1299" w:right="0" w:hanging="602"/>
        <w:jc w:val="left"/>
        <w:rPr>
          <w:sz w:val="24"/>
        </w:rPr>
      </w:pPr>
      <w:r>
        <w:rPr>
          <w:sz w:val="24"/>
        </w:rPr>
        <w:t>采暖</w:t>
      </w:r>
    </w:p>
    <w:p>
      <w:pPr>
        <w:pStyle w:val="9"/>
        <w:spacing w:before="11"/>
        <w:rPr>
          <w:sz w:val="17"/>
        </w:rPr>
      </w:pPr>
    </w:p>
    <w:p>
      <w:pPr>
        <w:pStyle w:val="9"/>
        <w:spacing w:before="74" w:line="374" w:lineRule="auto"/>
        <w:ind w:left="218" w:right="257" w:firstLine="480"/>
        <w:jc w:val="both"/>
      </w:pPr>
      <w:r>
        <w:rPr>
          <w:spacing w:val="-4"/>
        </w:rPr>
        <w:t xml:space="preserve">本次资源整合后副井工业广场新建 </w:t>
      </w:r>
      <w:r>
        <w:rPr>
          <w:rFonts w:ascii="Times New Roman" w:eastAsia="Times New Roman"/>
        </w:rPr>
        <w:t xml:space="preserve">1 </w:t>
      </w:r>
      <w:r>
        <w:rPr>
          <w:spacing w:val="-30"/>
        </w:rPr>
        <w:t xml:space="preserve">台 </w:t>
      </w:r>
      <w:r>
        <w:rPr>
          <w:rFonts w:ascii="Times New Roman" w:eastAsia="Times New Roman"/>
        </w:rPr>
        <w:t xml:space="preserve">1.4MW </w:t>
      </w:r>
      <w:r>
        <w:t>热水生物质锅炉供暖。废气采用布</w:t>
      </w:r>
      <w:r>
        <w:rPr>
          <w:spacing w:val="-11"/>
        </w:rPr>
        <w:t xml:space="preserve">袋除尘器除尘，烟气分别经 </w:t>
      </w:r>
      <w:r>
        <w:rPr>
          <w:rFonts w:ascii="Times New Roman" w:eastAsia="Times New Roman"/>
        </w:rPr>
        <w:t xml:space="preserve">30m </w:t>
      </w:r>
      <w:r>
        <w:rPr>
          <w:spacing w:val="-9"/>
        </w:rPr>
        <w:t>高排气筒排放；主井工业广场供暖建筑较少且分散，采</w:t>
      </w:r>
      <w:r>
        <w:t>用电暖气加热取暖方式；</w:t>
      </w:r>
    </w:p>
    <w:p>
      <w:pPr>
        <w:pStyle w:val="18"/>
        <w:numPr>
          <w:ilvl w:val="0"/>
          <w:numId w:val="39"/>
        </w:numPr>
        <w:tabs>
          <w:tab w:val="left" w:pos="1300"/>
        </w:tabs>
        <w:spacing w:before="0" w:after="0" w:line="287" w:lineRule="exact"/>
        <w:ind w:left="1299" w:right="0" w:hanging="602"/>
        <w:jc w:val="left"/>
        <w:rPr>
          <w:sz w:val="24"/>
        </w:rPr>
      </w:pPr>
      <w:r>
        <w:rPr>
          <w:sz w:val="24"/>
        </w:rPr>
        <w:t>井筒防冻</w:t>
      </w:r>
    </w:p>
    <w:p>
      <w:pPr>
        <w:pStyle w:val="9"/>
        <w:spacing w:before="158"/>
        <w:ind w:left="698"/>
      </w:pPr>
      <w:r>
        <w:t>井筒防冻采用热风炉加热方式，主井及副井工业广场分别设置一台热风炉，均采用</w:t>
      </w:r>
    </w:p>
    <w:p>
      <w:pPr>
        <w:spacing w:after="0"/>
        <w:sectPr>
          <w:pgSz w:w="11910" w:h="16840"/>
          <w:pgMar w:top="1580" w:right="1160" w:bottom="1180" w:left="1200" w:header="0" w:footer="993" w:gutter="0"/>
        </w:sectPr>
      </w:pPr>
    </w:p>
    <w:p>
      <w:pPr>
        <w:pStyle w:val="9"/>
        <w:spacing w:before="61"/>
        <w:ind w:left="218"/>
      </w:pPr>
      <w:r>
        <w:t xml:space="preserve">布袋除尘器除尘，烟气除尘后经 </w:t>
      </w:r>
      <w:r>
        <w:rPr>
          <w:rFonts w:ascii="Times New Roman" w:eastAsia="Times New Roman"/>
        </w:rPr>
        <w:t xml:space="preserve">30m </w:t>
      </w:r>
      <w:r>
        <w:t>高烟囱排放。</w:t>
      </w:r>
    </w:p>
    <w:p>
      <w:pPr>
        <w:pStyle w:val="18"/>
        <w:numPr>
          <w:ilvl w:val="0"/>
          <w:numId w:val="39"/>
        </w:numPr>
        <w:tabs>
          <w:tab w:val="left" w:pos="1300"/>
        </w:tabs>
        <w:spacing w:before="158" w:after="0" w:line="240" w:lineRule="auto"/>
        <w:ind w:left="1299" w:right="0" w:hanging="602"/>
        <w:jc w:val="left"/>
        <w:rPr>
          <w:sz w:val="24"/>
        </w:rPr>
      </w:pPr>
      <w:r>
        <w:rPr>
          <w:sz w:val="24"/>
        </w:rPr>
        <w:t>锅炉燃料</w:t>
      </w:r>
    </w:p>
    <w:p>
      <w:pPr>
        <w:pStyle w:val="9"/>
        <w:spacing w:before="161"/>
        <w:ind w:left="698"/>
      </w:pPr>
      <w:r>
        <w:t xml:space="preserve">采暖、洗浴及井筒加热锅炉燃烧均为生物质，燃料总用量为 </w:t>
      </w:r>
      <w:r>
        <w:rPr>
          <w:rFonts w:ascii="Times New Roman" w:eastAsia="Times New Roman"/>
        </w:rPr>
        <w:t>4080t/a</w:t>
      </w:r>
      <w:r>
        <w:t>。</w:t>
      </w:r>
    </w:p>
    <w:p>
      <w:pPr>
        <w:pStyle w:val="6"/>
        <w:numPr>
          <w:ilvl w:val="2"/>
          <w:numId w:val="27"/>
        </w:numPr>
        <w:tabs>
          <w:tab w:val="left" w:pos="848"/>
        </w:tabs>
        <w:spacing w:before="161" w:after="0" w:line="240" w:lineRule="auto"/>
        <w:ind w:left="847" w:right="0" w:hanging="630"/>
        <w:jc w:val="left"/>
        <w:rPr>
          <w:rFonts w:ascii="Times New Roman" w:eastAsia="Times New Roman"/>
        </w:rPr>
      </w:pPr>
      <w:bookmarkStart w:id="187" w:name="2.3.5供电"/>
      <w:bookmarkEnd w:id="187"/>
      <w:bookmarkStart w:id="188" w:name="2.3.5供电"/>
      <w:bookmarkEnd w:id="188"/>
      <w:r>
        <w:t>供电</w:t>
      </w:r>
    </w:p>
    <w:p>
      <w:pPr>
        <w:pStyle w:val="9"/>
        <w:spacing w:before="185" w:line="362" w:lineRule="auto"/>
        <w:ind w:left="218" w:right="194" w:firstLine="480"/>
        <w:rPr>
          <w:rFonts w:ascii="Times New Roman" w:eastAsia="Times New Roman"/>
        </w:rPr>
      </w:pPr>
      <w:bookmarkStart w:id="189" w:name="_bookmark17"/>
      <w:bookmarkEnd w:id="189"/>
      <w:r>
        <w:t xml:space="preserve">盟度公司现有两回电源供电，一回引自双桦变电所，另一回引自农电变电所，电压等级均为 </w:t>
      </w:r>
      <w:r>
        <w:rPr>
          <w:rFonts w:ascii="Times New Roman" w:eastAsia="Times New Roman"/>
        </w:rPr>
        <w:t>10kV</w:t>
      </w:r>
    </w:p>
    <w:p>
      <w:pPr>
        <w:pStyle w:val="5"/>
        <w:numPr>
          <w:ilvl w:val="1"/>
          <w:numId w:val="40"/>
        </w:numPr>
        <w:tabs>
          <w:tab w:val="left" w:pos="744"/>
        </w:tabs>
        <w:spacing w:before="5" w:after="0" w:line="240" w:lineRule="auto"/>
        <w:ind w:left="744" w:right="0" w:hanging="526"/>
        <w:jc w:val="left"/>
      </w:pPr>
      <w:bookmarkStart w:id="190" w:name="2.4 污染源及环境影响因素分析"/>
      <w:bookmarkEnd w:id="190"/>
      <w:bookmarkStart w:id="191" w:name="2.4 污染源及环境影响因素分析"/>
      <w:bookmarkEnd w:id="191"/>
      <w:r>
        <w:t>污染源及环境影响因素分析</w:t>
      </w:r>
    </w:p>
    <w:p>
      <w:pPr>
        <w:pStyle w:val="6"/>
        <w:numPr>
          <w:ilvl w:val="2"/>
          <w:numId w:val="40"/>
        </w:numPr>
        <w:tabs>
          <w:tab w:val="left" w:pos="848"/>
        </w:tabs>
        <w:spacing w:before="200" w:after="0" w:line="240" w:lineRule="auto"/>
        <w:ind w:left="847" w:right="0" w:hanging="630"/>
        <w:jc w:val="left"/>
      </w:pPr>
      <w:bookmarkStart w:id="192" w:name="2.4.1原有工程现存的主要环境问题"/>
      <w:bookmarkEnd w:id="192"/>
      <w:bookmarkStart w:id="193" w:name="2.4.1原有工程现存的主要环境问题"/>
      <w:bookmarkEnd w:id="193"/>
      <w:r>
        <w:t>原有工程现存的主要环境问题</w:t>
      </w:r>
    </w:p>
    <w:p>
      <w:pPr>
        <w:pStyle w:val="18"/>
        <w:numPr>
          <w:ilvl w:val="3"/>
          <w:numId w:val="40"/>
        </w:numPr>
        <w:tabs>
          <w:tab w:val="left" w:pos="1300"/>
        </w:tabs>
        <w:spacing w:before="182" w:after="0" w:line="362" w:lineRule="auto"/>
        <w:ind w:left="218" w:right="137" w:firstLine="480"/>
        <w:jc w:val="left"/>
        <w:rPr>
          <w:sz w:val="24"/>
        </w:rPr>
      </w:pPr>
      <w:r>
        <w:rPr>
          <w:spacing w:val="-1"/>
          <w:position w:val="2"/>
          <w:sz w:val="24"/>
        </w:rPr>
        <w:t>矿区生活污水直接排放，</w:t>
      </w:r>
      <w:r>
        <w:rPr>
          <w:rFonts w:ascii="Times New Roman" w:eastAsia="Times New Roman"/>
          <w:spacing w:val="-7"/>
          <w:position w:val="2"/>
          <w:sz w:val="24"/>
        </w:rPr>
        <w:t>COD</w:t>
      </w:r>
      <w:r>
        <w:rPr>
          <w:spacing w:val="-24"/>
          <w:position w:val="2"/>
          <w:sz w:val="24"/>
        </w:rPr>
        <w:t>、</w:t>
      </w:r>
      <w:r>
        <w:rPr>
          <w:rFonts w:ascii="Times New Roman" w:eastAsia="Times New Roman"/>
          <w:position w:val="2"/>
          <w:sz w:val="24"/>
        </w:rPr>
        <w:t>BOD</w:t>
      </w:r>
      <w:r>
        <w:rPr>
          <w:rFonts w:ascii="Times New Roman" w:eastAsia="Times New Roman"/>
          <w:position w:val="2"/>
          <w:sz w:val="24"/>
          <w:vertAlign w:val="subscript"/>
        </w:rPr>
        <w:t>5</w:t>
      </w:r>
      <w:r>
        <w:rPr>
          <w:rFonts w:ascii="Times New Roman" w:eastAsia="Times New Roman"/>
          <w:spacing w:val="-22"/>
          <w:position w:val="2"/>
          <w:sz w:val="24"/>
          <w:vertAlign w:val="baseline"/>
        </w:rPr>
        <w:t xml:space="preserve"> </w:t>
      </w:r>
      <w:r>
        <w:rPr>
          <w:spacing w:val="-4"/>
          <w:position w:val="2"/>
          <w:sz w:val="24"/>
          <w:vertAlign w:val="baseline"/>
        </w:rPr>
        <w:t>和氨氮浓度较高，采煤废水及生活污水</w:t>
      </w:r>
      <w:r>
        <w:rPr>
          <w:spacing w:val="-9"/>
          <w:sz w:val="24"/>
          <w:vertAlign w:val="baseline"/>
        </w:rPr>
        <w:t>排放浓度不能够满足《煤炭工业污染物排放标准》</w:t>
      </w:r>
      <w:r>
        <w:rPr>
          <w:sz w:val="24"/>
          <w:vertAlign w:val="baseline"/>
        </w:rPr>
        <w:t>（</w:t>
      </w:r>
      <w:r>
        <w:rPr>
          <w:rFonts w:ascii="Times New Roman" w:eastAsia="Times New Roman"/>
          <w:sz w:val="24"/>
          <w:vertAlign w:val="baseline"/>
        </w:rPr>
        <w:t>GB20426-2006</w:t>
      </w:r>
      <w:r>
        <w:rPr>
          <w:sz w:val="24"/>
          <w:vertAlign w:val="baseline"/>
        </w:rPr>
        <w:t>）</w:t>
      </w:r>
      <w:r>
        <w:rPr>
          <w:spacing w:val="-35"/>
          <w:sz w:val="24"/>
          <w:vertAlign w:val="baseline"/>
        </w:rPr>
        <w:t xml:space="preserve">表 </w:t>
      </w:r>
      <w:r>
        <w:rPr>
          <w:rFonts w:ascii="Times New Roman" w:eastAsia="Times New Roman"/>
          <w:sz w:val="24"/>
          <w:vertAlign w:val="baseline"/>
        </w:rPr>
        <w:t>1</w:t>
      </w:r>
      <w:r>
        <w:rPr>
          <w:spacing w:val="-20"/>
          <w:sz w:val="24"/>
          <w:vertAlign w:val="baseline"/>
        </w:rPr>
        <w:t>、</w:t>
      </w:r>
      <w:r>
        <w:rPr>
          <w:rFonts w:ascii="Times New Roman" w:eastAsia="Times New Roman"/>
          <w:sz w:val="24"/>
          <w:vertAlign w:val="baseline"/>
        </w:rPr>
        <w:t>2</w:t>
      </w:r>
      <w:r>
        <w:rPr>
          <w:rFonts w:ascii="Times New Roman" w:eastAsia="Times New Roman"/>
          <w:spacing w:val="-10"/>
          <w:sz w:val="24"/>
          <w:vertAlign w:val="baseline"/>
        </w:rPr>
        <w:t xml:space="preserve"> </w:t>
      </w:r>
      <w:r>
        <w:rPr>
          <w:spacing w:val="-4"/>
          <w:sz w:val="24"/>
          <w:vertAlign w:val="baseline"/>
        </w:rPr>
        <w:t>标准限值。</w:t>
      </w:r>
    </w:p>
    <w:p>
      <w:pPr>
        <w:pStyle w:val="18"/>
        <w:numPr>
          <w:ilvl w:val="3"/>
          <w:numId w:val="40"/>
        </w:numPr>
        <w:tabs>
          <w:tab w:val="left" w:pos="1304"/>
        </w:tabs>
        <w:spacing w:before="4" w:after="0" w:line="362" w:lineRule="auto"/>
        <w:ind w:left="218" w:right="258" w:firstLine="480"/>
        <w:jc w:val="left"/>
        <w:rPr>
          <w:sz w:val="24"/>
        </w:rPr>
      </w:pPr>
      <w:r>
        <w:rPr>
          <w:sz w:val="24"/>
        </w:rPr>
        <w:t>煤场、临时矸石堆场无洒水设施，矸石翻倒时及煤场、临时矸石堆置场产生粉尘，无相应收集处理措施，对周围环境有一定影响。</w:t>
      </w:r>
    </w:p>
    <w:p>
      <w:pPr>
        <w:pStyle w:val="18"/>
        <w:numPr>
          <w:ilvl w:val="3"/>
          <w:numId w:val="40"/>
        </w:numPr>
        <w:tabs>
          <w:tab w:val="left" w:pos="1325"/>
        </w:tabs>
        <w:spacing w:before="5" w:after="0" w:line="240" w:lineRule="auto"/>
        <w:ind w:left="1324" w:right="0" w:hanging="627"/>
        <w:jc w:val="left"/>
        <w:rPr>
          <w:sz w:val="24"/>
        </w:rPr>
      </w:pPr>
      <w:r>
        <w:rPr>
          <w:spacing w:val="6"/>
          <w:sz w:val="24"/>
        </w:rPr>
        <w:t>燃煤锅炉无环保设施，烟尘排放浓度达不到《锅炉大气污染物排放标准》</w:t>
      </w:r>
    </w:p>
    <w:p>
      <w:pPr>
        <w:pStyle w:val="9"/>
        <w:spacing w:before="158"/>
        <w:ind w:left="218"/>
      </w:pPr>
      <w:r>
        <w:t>（</w:t>
      </w:r>
      <w:r>
        <w:rPr>
          <w:rFonts w:ascii="Times New Roman" w:eastAsia="Times New Roman"/>
        </w:rPr>
        <w:t>GB13271-2014</w:t>
      </w:r>
      <w:r>
        <w:t xml:space="preserve">）中表 </w:t>
      </w:r>
      <w:r>
        <w:rPr>
          <w:rFonts w:ascii="Times New Roman" w:eastAsia="Times New Roman"/>
        </w:rPr>
        <w:t xml:space="preserve">1 </w:t>
      </w:r>
      <w:r>
        <w:t>燃煤锅炉排放限值要求。</w:t>
      </w:r>
    </w:p>
    <w:p>
      <w:pPr>
        <w:pStyle w:val="9"/>
        <w:spacing w:before="11"/>
      </w:pPr>
    </w:p>
    <w:p>
      <w:pPr>
        <w:pStyle w:val="18"/>
        <w:numPr>
          <w:ilvl w:val="3"/>
          <w:numId w:val="40"/>
        </w:numPr>
        <w:tabs>
          <w:tab w:val="left" w:pos="1300"/>
        </w:tabs>
        <w:spacing w:before="0" w:after="0" w:line="240" w:lineRule="auto"/>
        <w:ind w:left="1299" w:right="0" w:hanging="602"/>
        <w:jc w:val="left"/>
        <w:rPr>
          <w:sz w:val="24"/>
        </w:rPr>
      </w:pPr>
      <w:r>
        <w:rPr>
          <w:sz w:val="24"/>
        </w:rPr>
        <w:t>未设置初期雨水收集设施。</w:t>
      </w:r>
    </w:p>
    <w:p>
      <w:pPr>
        <w:pStyle w:val="6"/>
        <w:numPr>
          <w:ilvl w:val="2"/>
          <w:numId w:val="40"/>
        </w:numPr>
        <w:tabs>
          <w:tab w:val="left" w:pos="848"/>
        </w:tabs>
        <w:spacing w:before="34" w:after="0" w:line="240" w:lineRule="auto"/>
        <w:ind w:left="847" w:right="0" w:hanging="630"/>
        <w:jc w:val="left"/>
      </w:pPr>
      <w:bookmarkStart w:id="194" w:name="2.4.2改扩建后工程污染源分析"/>
      <w:bookmarkEnd w:id="194"/>
      <w:bookmarkStart w:id="195" w:name="2.4.2改扩建后工程污染源分析"/>
      <w:bookmarkEnd w:id="195"/>
      <w:r>
        <w:t>改扩建后工程污染源分析</w:t>
      </w:r>
    </w:p>
    <w:p>
      <w:pPr>
        <w:pStyle w:val="9"/>
        <w:spacing w:before="185"/>
        <w:ind w:left="698"/>
      </w:pPr>
      <w:r>
        <w:rPr>
          <w:rFonts w:ascii="Times New Roman" w:eastAsia="Times New Roman"/>
        </w:rPr>
        <w:t>1</w:t>
      </w:r>
      <w:r>
        <w:t>、建设期主要环境问题</w:t>
      </w:r>
    </w:p>
    <w:p>
      <w:pPr>
        <w:pStyle w:val="18"/>
        <w:numPr>
          <w:ilvl w:val="0"/>
          <w:numId w:val="41"/>
        </w:numPr>
        <w:tabs>
          <w:tab w:val="left" w:pos="1300"/>
        </w:tabs>
        <w:spacing w:before="161" w:after="0" w:line="240" w:lineRule="auto"/>
        <w:ind w:left="1299" w:right="0" w:hanging="602"/>
        <w:jc w:val="left"/>
        <w:rPr>
          <w:sz w:val="24"/>
        </w:rPr>
      </w:pPr>
      <w:r>
        <w:rPr>
          <w:sz w:val="24"/>
        </w:rPr>
        <w:t>建设期施工概况</w:t>
      </w:r>
    </w:p>
    <w:p>
      <w:pPr>
        <w:pStyle w:val="9"/>
        <w:spacing w:before="158" w:line="364" w:lineRule="auto"/>
        <w:ind w:left="218" w:right="201" w:firstLine="480"/>
      </w:pPr>
      <w:r>
        <w:t xml:space="preserve">本项目由矿井工程、煤炭储运系统、辅助生产系统、公用工程、环保工程五部分组成，均处于矿井工业场地内。本项目施工期为 </w:t>
      </w:r>
      <w:r>
        <w:rPr>
          <w:rFonts w:ascii="Times New Roman" w:eastAsia="Times New Roman"/>
        </w:rPr>
        <w:t xml:space="preserve">21 </w:t>
      </w:r>
      <w:r>
        <w:t>个月。</w:t>
      </w:r>
    </w:p>
    <w:p>
      <w:pPr>
        <w:pStyle w:val="18"/>
        <w:numPr>
          <w:ilvl w:val="0"/>
          <w:numId w:val="42"/>
        </w:numPr>
        <w:tabs>
          <w:tab w:val="left" w:pos="1060"/>
        </w:tabs>
        <w:spacing w:before="0" w:after="0" w:line="306" w:lineRule="exact"/>
        <w:ind w:left="1059" w:right="0" w:hanging="362"/>
        <w:jc w:val="left"/>
        <w:rPr>
          <w:sz w:val="24"/>
        </w:rPr>
      </w:pPr>
      <w:r>
        <w:rPr>
          <w:sz w:val="24"/>
        </w:rPr>
        <w:t>基础施工</w:t>
      </w:r>
    </w:p>
    <w:p>
      <w:pPr>
        <w:pStyle w:val="9"/>
        <w:spacing w:before="161" w:line="364" w:lineRule="auto"/>
        <w:ind w:left="218" w:right="253" w:firstLine="480"/>
        <w:jc w:val="both"/>
      </w:pPr>
      <w:r>
        <w:rPr>
          <w:spacing w:val="-7"/>
        </w:rPr>
        <w:t xml:space="preserve">工业场地清理采用推土机或挖掘机，人工配合清理。清理杂物后，采用 </w:t>
      </w:r>
      <w:r>
        <w:rPr>
          <w:rFonts w:ascii="Times New Roman" w:eastAsia="Times New Roman"/>
        </w:rPr>
        <w:t xml:space="preserve">74KW </w:t>
      </w:r>
      <w:r>
        <w:rPr>
          <w:spacing w:val="-7"/>
        </w:rPr>
        <w:t>推土</w:t>
      </w:r>
      <w:r>
        <w:rPr>
          <w:spacing w:val="-9"/>
        </w:rPr>
        <w:t xml:space="preserve">机清理表土层，剥离厚度 </w:t>
      </w:r>
      <w:r>
        <w:rPr>
          <w:rFonts w:ascii="Times New Roman" w:eastAsia="Times New Roman"/>
          <w:spacing w:val="-6"/>
        </w:rPr>
        <w:t>20cm</w:t>
      </w:r>
      <w:r>
        <w:rPr>
          <w:spacing w:val="-8"/>
        </w:rPr>
        <w:t xml:space="preserve">，堆放于矿区办公室东南侧。然后用 </w:t>
      </w:r>
      <w:r>
        <w:rPr>
          <w:rFonts w:ascii="Times New Roman" w:eastAsia="Times New Roman"/>
        </w:rPr>
        <w:t xml:space="preserve">10t </w:t>
      </w:r>
      <w:r>
        <w:rPr>
          <w:spacing w:val="-8"/>
        </w:rPr>
        <w:t>振动碾，将场地</w:t>
      </w:r>
      <w:r>
        <w:rPr>
          <w:spacing w:val="-6"/>
        </w:rPr>
        <w:t>碾平。建筑物的基础开挖均采用小型挖掘机配人工开挖清理</w:t>
      </w:r>
      <w:r>
        <w:t>（</w:t>
      </w:r>
      <w:r>
        <w:rPr>
          <w:spacing w:val="-2"/>
        </w:rPr>
        <w:t>包括基础之间的地下电缆</w:t>
      </w:r>
      <w:r>
        <w:t>沟），开挖土方就近堆与各建筑物附近，基础施工结束后及时回填。</w:t>
      </w:r>
    </w:p>
    <w:p>
      <w:pPr>
        <w:pStyle w:val="18"/>
        <w:numPr>
          <w:ilvl w:val="0"/>
          <w:numId w:val="42"/>
        </w:numPr>
        <w:tabs>
          <w:tab w:val="left" w:pos="1060"/>
        </w:tabs>
        <w:spacing w:before="0" w:after="0" w:line="305" w:lineRule="exact"/>
        <w:ind w:left="1059" w:right="0" w:hanging="362"/>
        <w:jc w:val="left"/>
        <w:rPr>
          <w:sz w:val="24"/>
        </w:rPr>
      </w:pPr>
      <w:r>
        <w:rPr>
          <w:sz w:val="24"/>
        </w:rPr>
        <w:t>工业场地建筑施工</w:t>
      </w:r>
    </w:p>
    <w:p>
      <w:pPr>
        <w:pStyle w:val="9"/>
        <w:spacing w:before="160" w:line="362" w:lineRule="auto"/>
        <w:ind w:left="218" w:right="194" w:firstLine="480"/>
      </w:pPr>
      <w:r>
        <w:t>建筑物为砖混结构，先进行砖墙砌筑，墙体砌筑为人工施工，建筑材料吊装采用塔吊或者升降机。</w:t>
      </w:r>
    </w:p>
    <w:p>
      <w:pPr>
        <w:pStyle w:val="18"/>
        <w:numPr>
          <w:ilvl w:val="0"/>
          <w:numId w:val="41"/>
        </w:numPr>
        <w:tabs>
          <w:tab w:val="left" w:pos="1300"/>
        </w:tabs>
        <w:spacing w:before="3" w:after="0" w:line="240" w:lineRule="auto"/>
        <w:ind w:left="1299" w:right="0" w:hanging="602"/>
        <w:jc w:val="left"/>
        <w:rPr>
          <w:sz w:val="24"/>
        </w:rPr>
      </w:pPr>
      <w:r>
        <w:rPr>
          <w:sz w:val="24"/>
        </w:rPr>
        <w:t>建设期主要环境问题</w:t>
      </w:r>
    </w:p>
    <w:p>
      <w:pPr>
        <w:spacing w:after="0" w:line="240" w:lineRule="auto"/>
        <w:jc w:val="left"/>
        <w:rPr>
          <w:sz w:val="24"/>
        </w:rPr>
        <w:sectPr>
          <w:footerReference r:id="rId10" w:type="default"/>
          <w:pgSz w:w="11910" w:h="16840"/>
          <w:pgMar w:top="1340" w:right="1160" w:bottom="1180" w:left="1200" w:header="0" w:footer="993" w:gutter="0"/>
          <w:pgNumType w:start="70"/>
        </w:sectPr>
      </w:pPr>
    </w:p>
    <w:p>
      <w:pPr>
        <w:pStyle w:val="9"/>
        <w:spacing w:before="41"/>
        <w:ind w:left="698"/>
      </w:pPr>
      <w:r>
        <w:t>建设期污染工序见下图。</w:t>
      </w:r>
    </w:p>
    <w:p>
      <w:pPr>
        <w:pStyle w:val="9"/>
        <w:spacing w:before="10"/>
        <w:rPr>
          <w:sz w:val="16"/>
        </w:rPr>
      </w:pPr>
      <w:r>
        <w:drawing>
          <wp:anchor distT="0" distB="0" distL="0" distR="0" simplePos="0" relativeHeight="1024" behindDoc="0" locked="0" layoutInCell="1" allowOverlap="1">
            <wp:simplePos x="0" y="0"/>
            <wp:positionH relativeFrom="page">
              <wp:posOffset>1233805</wp:posOffset>
            </wp:positionH>
            <wp:positionV relativeFrom="paragraph">
              <wp:posOffset>161290</wp:posOffset>
            </wp:positionV>
            <wp:extent cx="5095875" cy="327152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40" cstate="print"/>
                    <a:stretch>
                      <a:fillRect/>
                    </a:stretch>
                  </pic:blipFill>
                  <pic:spPr>
                    <a:xfrm>
                      <a:off x="0" y="0"/>
                      <a:ext cx="5096120" cy="3271266"/>
                    </a:xfrm>
                    <a:prstGeom prst="rect">
                      <a:avLst/>
                    </a:prstGeom>
                  </pic:spPr>
                </pic:pic>
              </a:graphicData>
            </a:graphic>
          </wp:anchor>
        </w:drawing>
      </w:r>
    </w:p>
    <w:p>
      <w:pPr>
        <w:spacing w:before="4"/>
        <w:ind w:left="3616" w:right="0" w:firstLine="0"/>
        <w:jc w:val="left"/>
        <w:rPr>
          <w:b/>
          <w:sz w:val="21"/>
        </w:rPr>
      </w:pPr>
      <w:r>
        <w:rPr>
          <w:b/>
          <w:spacing w:val="-28"/>
          <w:sz w:val="21"/>
        </w:rPr>
        <w:t xml:space="preserve">图 </w:t>
      </w:r>
      <w:r>
        <w:rPr>
          <w:rFonts w:ascii="Times New Roman" w:eastAsia="Times New Roman"/>
          <w:b/>
          <w:sz w:val="21"/>
        </w:rPr>
        <w:t>2.4-1</w:t>
      </w:r>
      <w:r>
        <w:rPr>
          <w:rFonts w:ascii="Times New Roman" w:eastAsia="Times New Roman"/>
          <w:b/>
          <w:spacing w:val="52"/>
          <w:sz w:val="21"/>
        </w:rPr>
        <w:t xml:space="preserve"> </w:t>
      </w:r>
      <w:r>
        <w:rPr>
          <w:b/>
          <w:sz w:val="21"/>
        </w:rPr>
        <w:t>建设期污染工序框图</w:t>
      </w:r>
    </w:p>
    <w:p>
      <w:pPr>
        <w:pStyle w:val="9"/>
        <w:spacing w:before="143" w:line="362" w:lineRule="auto"/>
        <w:ind w:left="218" w:right="194" w:firstLine="480"/>
      </w:pPr>
      <w:r>
        <w:t>根据本工程建设期施工内容，结合同类煤炭建设项目的普遍特征分析，本项目建设期存在的主要环境问题表现为：</w:t>
      </w:r>
    </w:p>
    <w:p>
      <w:pPr>
        <w:pStyle w:val="9"/>
        <w:spacing w:before="5" w:line="362" w:lineRule="auto"/>
        <w:ind w:left="218" w:right="200" w:firstLine="480"/>
      </w:pPr>
      <w:r>
        <w:t>①设备运输，维护材料的准备将增加当地交通运输量，会对当地交通运输状况，以及道路两侧及施工场地周围的声环境产生不良影响。</w:t>
      </w:r>
    </w:p>
    <w:p>
      <w:pPr>
        <w:pStyle w:val="9"/>
        <w:spacing w:before="5"/>
        <w:ind w:left="698"/>
      </w:pPr>
      <w:r>
        <w:t>②施工过程与交通运输等扬尘将对环境空气质量产生不利影响。</w:t>
      </w:r>
    </w:p>
    <w:p>
      <w:pPr>
        <w:pStyle w:val="9"/>
        <w:spacing w:before="158"/>
        <w:ind w:left="698"/>
      </w:pPr>
      <w:r>
        <w:rPr>
          <w:rFonts w:ascii="Times New Roman" w:eastAsia="Times New Roman"/>
        </w:rPr>
        <w:t>2</w:t>
      </w:r>
      <w:r>
        <w:t>、建设期环境影响分析与防治措施</w:t>
      </w:r>
    </w:p>
    <w:p>
      <w:pPr>
        <w:pStyle w:val="9"/>
        <w:spacing w:before="160"/>
        <w:ind w:left="698"/>
      </w:pPr>
      <w:r>
        <w:t>（</w:t>
      </w:r>
      <w:r>
        <w:rPr>
          <w:rFonts w:ascii="Times New Roman" w:eastAsia="Times New Roman"/>
        </w:rPr>
        <w:t>1</w:t>
      </w:r>
      <w:r>
        <w:t>）主要污染源及污染物</w:t>
      </w:r>
    </w:p>
    <w:p>
      <w:pPr>
        <w:pStyle w:val="9"/>
        <w:spacing w:before="158"/>
        <w:ind w:left="698"/>
      </w:pPr>
      <w:r>
        <w:t>①大气污染源</w:t>
      </w:r>
    </w:p>
    <w:p>
      <w:pPr>
        <w:pStyle w:val="9"/>
        <w:spacing w:before="161"/>
        <w:ind w:left="698"/>
      </w:pPr>
      <w:r>
        <w:t>项目在施工过程中对环境空气的影响主要有下面几个方面：</w:t>
      </w:r>
    </w:p>
    <w:p>
      <w:pPr>
        <w:pStyle w:val="18"/>
        <w:numPr>
          <w:ilvl w:val="0"/>
          <w:numId w:val="43"/>
        </w:numPr>
        <w:tabs>
          <w:tab w:val="left" w:pos="900"/>
        </w:tabs>
        <w:spacing w:before="158" w:after="0" w:line="240" w:lineRule="auto"/>
        <w:ind w:left="899" w:right="0" w:hanging="202"/>
        <w:jc w:val="left"/>
        <w:rPr>
          <w:sz w:val="24"/>
        </w:rPr>
      </w:pPr>
      <w:r>
        <w:rPr>
          <w:sz w:val="24"/>
        </w:rPr>
        <w:t>施工作业面和施工交通运输产生的扬尘；</w:t>
      </w:r>
    </w:p>
    <w:p>
      <w:pPr>
        <w:pStyle w:val="18"/>
        <w:numPr>
          <w:ilvl w:val="0"/>
          <w:numId w:val="43"/>
        </w:numPr>
        <w:tabs>
          <w:tab w:val="left" w:pos="900"/>
        </w:tabs>
        <w:spacing w:before="161" w:after="0" w:line="240" w:lineRule="auto"/>
        <w:ind w:left="899" w:right="0" w:hanging="202"/>
        <w:jc w:val="left"/>
        <w:rPr>
          <w:sz w:val="24"/>
        </w:rPr>
      </w:pPr>
      <w:r>
        <w:rPr>
          <w:sz w:val="24"/>
        </w:rPr>
        <w:t>散状物料堆放等扬尘；</w:t>
      </w:r>
    </w:p>
    <w:p>
      <w:pPr>
        <w:pStyle w:val="18"/>
        <w:numPr>
          <w:ilvl w:val="0"/>
          <w:numId w:val="43"/>
        </w:numPr>
        <w:tabs>
          <w:tab w:val="left" w:pos="900"/>
        </w:tabs>
        <w:spacing w:before="160" w:after="0" w:line="240" w:lineRule="auto"/>
        <w:ind w:left="899" w:right="0" w:hanging="202"/>
        <w:jc w:val="left"/>
        <w:rPr>
          <w:sz w:val="24"/>
        </w:rPr>
      </w:pPr>
      <w:r>
        <w:rPr>
          <w:sz w:val="24"/>
        </w:rPr>
        <w:t>交通工具释放的尾气。</w:t>
      </w:r>
    </w:p>
    <w:p>
      <w:pPr>
        <w:pStyle w:val="9"/>
        <w:spacing w:before="158" w:line="364" w:lineRule="auto"/>
        <w:ind w:left="218" w:right="253" w:firstLine="480"/>
        <w:jc w:val="both"/>
      </w:pPr>
      <w:r>
        <w:rPr>
          <w:spacing w:val="-11"/>
        </w:rPr>
        <w:t xml:space="preserve">有关研究表明，施工工地的扬尘 </w:t>
      </w:r>
      <w:r>
        <w:rPr>
          <w:rFonts w:ascii="Times New Roman" w:hAnsi="Times New Roman" w:eastAsia="Times New Roman"/>
        </w:rPr>
        <w:t>60</w:t>
      </w:r>
      <w:r>
        <w:rPr>
          <w:spacing w:val="-5"/>
        </w:rPr>
        <w:t>％以上是施工交通运输引起的道路扬尘。道路扬</w:t>
      </w:r>
      <w:r>
        <w:rPr>
          <w:spacing w:val="-7"/>
        </w:rPr>
        <w:t>尘量的大小与车速、车型、车流量、风速、道路表面积尘量等多种因素有关。一般情况</w:t>
      </w:r>
      <w:r>
        <w:rPr>
          <w:spacing w:val="-4"/>
        </w:rPr>
        <w:t xml:space="preserve">下运输弃土车辆的道路扬尘量约 </w:t>
      </w:r>
      <w:r>
        <w:rPr>
          <w:rFonts w:ascii="Times New Roman" w:hAnsi="Times New Roman" w:eastAsia="Times New Roman"/>
        </w:rPr>
        <w:t>1.37 kg/km·</w:t>
      </w:r>
      <w:r>
        <w:rPr>
          <w:spacing w:val="-11"/>
        </w:rPr>
        <w:t>辆，本工程项目施工现场距离村庄等敏感目</w:t>
      </w:r>
      <w:r>
        <w:t>标较远，总体看来施工期扬尘对村民影响较小。</w:t>
      </w:r>
    </w:p>
    <w:p>
      <w:pPr>
        <w:pStyle w:val="9"/>
        <w:spacing w:line="305" w:lineRule="exact"/>
        <w:ind w:left="698"/>
      </w:pPr>
      <w:r>
        <w:t>②水污染源</w:t>
      </w:r>
    </w:p>
    <w:p>
      <w:pPr>
        <w:spacing w:after="0" w:line="305" w:lineRule="exact"/>
        <w:sectPr>
          <w:pgSz w:w="11910" w:h="16840"/>
          <w:pgMar w:top="1360" w:right="1160" w:bottom="1180" w:left="1200" w:header="0" w:footer="993" w:gutter="0"/>
        </w:sectPr>
      </w:pPr>
    </w:p>
    <w:p>
      <w:pPr>
        <w:pStyle w:val="9"/>
        <w:spacing w:before="41" w:line="364" w:lineRule="auto"/>
        <w:ind w:left="218" w:right="253" w:firstLine="480"/>
        <w:jc w:val="both"/>
      </w:pPr>
      <w:r>
        <w:rPr>
          <w:spacing w:val="-6"/>
        </w:rPr>
        <w:t>为确保生产安全，建井时先排水，后施工，确保踩空积水标高控制在施工作业标高</w:t>
      </w:r>
      <w:r>
        <w:rPr>
          <w:spacing w:val="-8"/>
        </w:rPr>
        <w:t>以下。排水经沉淀处理后回用。建设期水环境的主要污染源为巷道施工过程中产生的泥</w:t>
      </w:r>
      <w:r>
        <w:rPr>
          <w:spacing w:val="-7"/>
        </w:rPr>
        <w:t xml:space="preserve">浆废水，污水量约 </w:t>
      </w:r>
      <w:r>
        <w:rPr>
          <w:rFonts w:ascii="Times New Roman" w:eastAsia="Times New Roman"/>
        </w:rPr>
        <w:t>800t/</w:t>
      </w:r>
      <w:r>
        <w:rPr>
          <w:spacing w:val="5"/>
        </w:rPr>
        <w:t>施工期。主要污染物为</w:t>
      </w:r>
      <w:r>
        <w:rPr>
          <w:rFonts w:ascii="Times New Roman" w:eastAsia="Times New Roman"/>
        </w:rPr>
        <w:t>SS</w:t>
      </w:r>
      <w:r>
        <w:t>、</w:t>
      </w:r>
      <w:r>
        <w:rPr>
          <w:rFonts w:ascii="Times New Roman" w:eastAsia="Times New Roman"/>
        </w:rPr>
        <w:t>COD</w:t>
      </w:r>
      <w:r>
        <w:rPr>
          <w:spacing w:val="-1"/>
        </w:rPr>
        <w:t>；砂砾料冲洗产生的废水，主</w:t>
      </w:r>
      <w:r>
        <w:rPr>
          <w:spacing w:val="-11"/>
        </w:rPr>
        <w:t xml:space="preserve">要污染物为 </w:t>
      </w:r>
      <w:r>
        <w:rPr>
          <w:rFonts w:ascii="Times New Roman" w:eastAsia="Times New Roman"/>
        </w:rPr>
        <w:t>SS</w:t>
      </w:r>
      <w:r>
        <w:rPr>
          <w:spacing w:val="-1"/>
        </w:rPr>
        <w:t>；混凝土拌和站产生的碱性废水，主要污染物为碱性物质</w:t>
      </w:r>
      <w:r>
        <w:t>（</w:t>
      </w:r>
      <w:r>
        <w:rPr>
          <w:rFonts w:ascii="Times New Roman" w:eastAsia="Times New Roman"/>
        </w:rPr>
        <w:t xml:space="preserve">pH </w:t>
      </w:r>
      <w:r>
        <w:t>值高</w:t>
      </w:r>
      <w:r>
        <w:rPr>
          <w:spacing w:val="-3"/>
        </w:rPr>
        <w:t>）</w:t>
      </w:r>
      <w:r>
        <w:rPr>
          <w:spacing w:val="-14"/>
        </w:rPr>
        <w:t>与</w:t>
      </w:r>
      <w:r>
        <w:rPr>
          <w:rFonts w:ascii="Times New Roman" w:eastAsia="Times New Roman"/>
          <w:spacing w:val="-5"/>
          <w:position w:val="2"/>
        </w:rPr>
        <w:t>SS</w:t>
      </w:r>
      <w:r>
        <w:rPr>
          <w:spacing w:val="-6"/>
          <w:position w:val="2"/>
        </w:rPr>
        <w:t xml:space="preserve">；施工队伍产生的生活污水，主要污染物为 </w:t>
      </w:r>
      <w:r>
        <w:rPr>
          <w:rFonts w:ascii="Times New Roman" w:eastAsia="Times New Roman"/>
          <w:position w:val="2"/>
        </w:rPr>
        <w:t>SS</w:t>
      </w:r>
      <w:r>
        <w:rPr>
          <w:spacing w:val="-12"/>
          <w:position w:val="2"/>
        </w:rPr>
        <w:t>、</w:t>
      </w:r>
      <w:r>
        <w:rPr>
          <w:rFonts w:ascii="Times New Roman" w:eastAsia="Times New Roman"/>
          <w:position w:val="2"/>
        </w:rPr>
        <w:t>BOD</w:t>
      </w:r>
      <w:r>
        <w:rPr>
          <w:rFonts w:ascii="Times New Roman" w:eastAsia="Times New Roman"/>
          <w:position w:val="2"/>
          <w:vertAlign w:val="subscript"/>
        </w:rPr>
        <w:t>5</w:t>
      </w:r>
      <w:r>
        <w:rPr>
          <w:spacing w:val="-10"/>
          <w:position w:val="2"/>
          <w:vertAlign w:val="baseline"/>
        </w:rPr>
        <w:t>、</w:t>
      </w:r>
      <w:r>
        <w:rPr>
          <w:rFonts w:ascii="Times New Roman" w:eastAsia="Times New Roman"/>
          <w:position w:val="2"/>
          <w:vertAlign w:val="baseline"/>
        </w:rPr>
        <w:t>COD</w:t>
      </w:r>
      <w:r>
        <w:rPr>
          <w:spacing w:val="-4"/>
          <w:position w:val="2"/>
          <w:vertAlign w:val="baseline"/>
        </w:rPr>
        <w:t>、高锰酸盐指数及氨氮</w:t>
      </w:r>
      <w:r>
        <w:rPr>
          <w:vertAlign w:val="baseline"/>
        </w:rPr>
        <w:t>等。</w:t>
      </w:r>
    </w:p>
    <w:p>
      <w:pPr>
        <w:pStyle w:val="9"/>
        <w:spacing w:line="301" w:lineRule="exact"/>
        <w:ind w:left="698"/>
        <w:jc w:val="both"/>
      </w:pPr>
      <w:r>
        <w:rPr>
          <w:position w:val="2"/>
        </w:rPr>
        <w:t xml:space="preserve">根据同类工程类比调查，生产废水中的污染物以 </w:t>
      </w:r>
      <w:r>
        <w:rPr>
          <w:rFonts w:ascii="Times New Roman" w:eastAsia="Times New Roman"/>
          <w:position w:val="2"/>
        </w:rPr>
        <w:t>SS</w:t>
      </w:r>
      <w:r>
        <w:rPr>
          <w:position w:val="2"/>
        </w:rPr>
        <w:t>、</w:t>
      </w:r>
      <w:r>
        <w:rPr>
          <w:rFonts w:ascii="Times New Roman" w:eastAsia="Times New Roman"/>
          <w:position w:val="2"/>
        </w:rPr>
        <w:t>COD</w:t>
      </w:r>
      <w:r>
        <w:rPr>
          <w:position w:val="2"/>
        </w:rPr>
        <w:t>、</w:t>
      </w:r>
      <w:r>
        <w:rPr>
          <w:rFonts w:ascii="Times New Roman" w:eastAsia="Times New Roman"/>
          <w:position w:val="2"/>
        </w:rPr>
        <w:t>BOD</w:t>
      </w:r>
      <w:r>
        <w:rPr>
          <w:rFonts w:ascii="Times New Roman" w:eastAsia="Times New Roman"/>
          <w:position w:val="2"/>
          <w:vertAlign w:val="subscript"/>
        </w:rPr>
        <w:t>5</w:t>
      </w:r>
      <w:r>
        <w:rPr>
          <w:position w:val="2"/>
          <w:vertAlign w:val="baseline"/>
        </w:rPr>
        <w:t>、氨氮为主。</w:t>
      </w:r>
    </w:p>
    <w:p>
      <w:pPr>
        <w:pStyle w:val="9"/>
        <w:spacing w:before="159"/>
        <w:ind w:left="293" w:right="330"/>
        <w:jc w:val="center"/>
        <w:rPr>
          <w:rFonts w:ascii="Times New Roman" w:hAnsi="Times New Roman" w:eastAsia="Times New Roman"/>
        </w:rPr>
      </w:pPr>
      <w:r>
        <w:rPr>
          <w:rFonts w:ascii="Times New Roman" w:hAnsi="Times New Roman" w:eastAsia="Times New Roman"/>
        </w:rPr>
        <w:t>Qs=</w:t>
      </w:r>
      <w:r>
        <w:t>（</w:t>
      </w:r>
      <w:r>
        <w:rPr>
          <w:rFonts w:ascii="Times New Roman" w:hAnsi="Times New Roman" w:eastAsia="Times New Roman"/>
        </w:rPr>
        <w:t>q·N</w:t>
      </w:r>
      <w:r>
        <w:t>）</w:t>
      </w:r>
      <w:r>
        <w:rPr>
          <w:rFonts w:ascii="Times New Roman" w:hAnsi="Times New Roman" w:eastAsia="Times New Roman"/>
        </w:rPr>
        <w:t>/1000</w:t>
      </w:r>
    </w:p>
    <w:p>
      <w:pPr>
        <w:pStyle w:val="9"/>
        <w:spacing w:before="158"/>
        <w:ind w:left="698"/>
      </w:pPr>
      <w:r>
        <w:rPr>
          <w:position w:val="2"/>
        </w:rPr>
        <w:t>式中：</w:t>
      </w:r>
      <w:r>
        <w:rPr>
          <w:rFonts w:ascii="Times New Roman" w:hAnsi="Times New Roman" w:eastAsia="Times New Roman"/>
          <w:position w:val="2"/>
        </w:rPr>
        <w:t>Q</w:t>
      </w:r>
      <w:r>
        <w:rPr>
          <w:rFonts w:ascii="Times New Roman" w:hAnsi="Times New Roman" w:eastAsia="Times New Roman"/>
          <w:position w:val="2"/>
          <w:vertAlign w:val="subscript"/>
        </w:rPr>
        <w:t>S</w:t>
      </w:r>
      <w:r>
        <w:rPr>
          <w:rFonts w:ascii="Times New Roman" w:hAnsi="Times New Roman" w:eastAsia="Times New Roman"/>
          <w:position w:val="2"/>
          <w:vertAlign w:val="baseline"/>
        </w:rPr>
        <w:t>——</w:t>
      </w:r>
      <w:r>
        <w:rPr>
          <w:position w:val="2"/>
          <w:vertAlign w:val="baseline"/>
        </w:rPr>
        <w:t>生活污水产生量</w:t>
      </w:r>
      <w:r>
        <w:rPr>
          <w:rFonts w:ascii="Times New Roman" w:hAnsi="Times New Roman" w:eastAsia="Times New Roman"/>
          <w:position w:val="2"/>
          <w:vertAlign w:val="baseline"/>
        </w:rPr>
        <w:t>(t/d)</w:t>
      </w:r>
      <w:r>
        <w:rPr>
          <w:position w:val="2"/>
          <w:vertAlign w:val="baseline"/>
        </w:rPr>
        <w:t>；</w:t>
      </w:r>
    </w:p>
    <w:p>
      <w:pPr>
        <w:pStyle w:val="9"/>
        <w:spacing w:before="157" w:line="362" w:lineRule="auto"/>
        <w:ind w:left="1418" w:right="3659"/>
      </w:pPr>
      <w:r>
        <w:rPr>
          <w:rFonts w:ascii="Times New Roman" w:hAnsi="Times New Roman" w:eastAsia="Times New Roman"/>
        </w:rPr>
        <w:t>q——</w:t>
      </w:r>
      <w:r>
        <w:t>每人每天生活污水量定额</w:t>
      </w:r>
      <w:r>
        <w:rPr>
          <w:rFonts w:ascii="Times New Roman" w:hAnsi="Times New Roman" w:eastAsia="Times New Roman"/>
        </w:rPr>
        <w:t>(L</w:t>
      </w:r>
      <w:r>
        <w:t>，人</w:t>
      </w:r>
      <w:r>
        <w:rPr>
          <w:rFonts w:ascii="Times New Roman" w:hAnsi="Times New Roman" w:eastAsia="Times New Roman"/>
        </w:rPr>
        <w:t>·d)</w:t>
      </w:r>
      <w:r>
        <w:t xml:space="preserve">； </w:t>
      </w:r>
      <w:r>
        <w:rPr>
          <w:rFonts w:ascii="Times New Roman" w:hAnsi="Times New Roman" w:eastAsia="Times New Roman"/>
        </w:rPr>
        <w:t>N——</w:t>
      </w:r>
      <w:r>
        <w:t>人数</w:t>
      </w:r>
      <w:r>
        <w:rPr>
          <w:rFonts w:ascii="Times New Roman" w:hAnsi="Times New Roman" w:eastAsia="Times New Roman"/>
        </w:rPr>
        <w:t>(</w:t>
      </w:r>
      <w:r>
        <w:t>人</w:t>
      </w:r>
      <w:r>
        <w:rPr>
          <w:rFonts w:ascii="Times New Roman" w:hAnsi="Times New Roman" w:eastAsia="Times New Roman"/>
        </w:rPr>
        <w:t>)</w:t>
      </w:r>
      <w:r>
        <w:t>。</w:t>
      </w:r>
    </w:p>
    <w:p>
      <w:pPr>
        <w:pStyle w:val="9"/>
        <w:spacing w:before="5"/>
        <w:ind w:left="698"/>
      </w:pPr>
      <w:r>
        <w:t>施工营地生活污水污染物成分及其浓度详见下表。</w:t>
      </w:r>
    </w:p>
    <w:p>
      <w:pPr>
        <w:spacing w:before="156" w:after="5"/>
        <w:ind w:left="2985" w:right="0" w:firstLine="0"/>
        <w:jc w:val="left"/>
        <w:rPr>
          <w:b/>
          <w:sz w:val="21"/>
        </w:rPr>
      </w:pPr>
      <w:r>
        <w:rPr>
          <w:b/>
          <w:spacing w:val="-26"/>
          <w:sz w:val="21"/>
        </w:rPr>
        <w:t xml:space="preserve">表 </w:t>
      </w:r>
      <w:r>
        <w:rPr>
          <w:rFonts w:ascii="Times New Roman" w:eastAsia="Times New Roman"/>
          <w:b/>
          <w:sz w:val="21"/>
        </w:rPr>
        <w:t>2.4-1</w:t>
      </w:r>
      <w:r>
        <w:rPr>
          <w:rFonts w:ascii="Times New Roman" w:eastAsia="Times New Roman"/>
          <w:b/>
          <w:spacing w:val="52"/>
          <w:sz w:val="21"/>
        </w:rPr>
        <w:t xml:space="preserve"> </w:t>
      </w:r>
      <w:r>
        <w:rPr>
          <w:b/>
          <w:sz w:val="21"/>
        </w:rPr>
        <w:t>施工营地生活污水成分及浓度</w:t>
      </w: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56"/>
        <w:gridCol w:w="1857"/>
        <w:gridCol w:w="1859"/>
        <w:gridCol w:w="1857"/>
        <w:gridCol w:w="18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856" w:type="dxa"/>
            <w:tcBorders>
              <w:bottom w:val="single" w:color="000000" w:sz="4" w:space="0"/>
              <w:right w:val="single" w:color="000000" w:sz="4" w:space="0"/>
            </w:tcBorders>
          </w:tcPr>
          <w:p>
            <w:pPr>
              <w:pStyle w:val="19"/>
              <w:spacing w:before="76"/>
              <w:ind w:left="260" w:right="246"/>
              <w:rPr>
                <w:sz w:val="21"/>
              </w:rPr>
            </w:pPr>
            <w:r>
              <w:rPr>
                <w:sz w:val="21"/>
              </w:rPr>
              <w:t>主要污染物</w:t>
            </w:r>
          </w:p>
        </w:tc>
        <w:tc>
          <w:tcPr>
            <w:tcW w:w="1857" w:type="dxa"/>
            <w:tcBorders>
              <w:left w:val="single" w:color="000000" w:sz="4" w:space="0"/>
              <w:bottom w:val="single" w:color="000000" w:sz="4" w:space="0"/>
              <w:right w:val="single" w:color="000000" w:sz="4" w:space="0"/>
            </w:tcBorders>
          </w:tcPr>
          <w:p>
            <w:pPr>
              <w:pStyle w:val="19"/>
              <w:spacing w:before="90"/>
              <w:ind w:left="815"/>
              <w:jc w:val="left"/>
              <w:rPr>
                <w:rFonts w:ascii="Times New Roman"/>
                <w:sz w:val="21"/>
              </w:rPr>
            </w:pPr>
            <w:r>
              <w:rPr>
                <w:rFonts w:ascii="Times New Roman"/>
                <w:sz w:val="21"/>
              </w:rPr>
              <w:t>SS</w:t>
            </w:r>
          </w:p>
        </w:tc>
        <w:tc>
          <w:tcPr>
            <w:tcW w:w="1859" w:type="dxa"/>
            <w:tcBorders>
              <w:left w:val="single" w:color="000000" w:sz="4" w:space="0"/>
              <w:bottom w:val="single" w:color="000000" w:sz="4" w:space="0"/>
              <w:right w:val="single" w:color="000000" w:sz="4" w:space="0"/>
            </w:tcBorders>
          </w:tcPr>
          <w:p>
            <w:pPr>
              <w:pStyle w:val="19"/>
              <w:spacing w:before="90"/>
              <w:ind w:left="691" w:right="674"/>
              <w:rPr>
                <w:rFonts w:ascii="Times New Roman"/>
                <w:sz w:val="21"/>
              </w:rPr>
            </w:pPr>
            <w:r>
              <w:rPr>
                <w:rFonts w:ascii="Times New Roman"/>
                <w:sz w:val="21"/>
              </w:rPr>
              <w:t>COD</w:t>
            </w:r>
          </w:p>
        </w:tc>
        <w:tc>
          <w:tcPr>
            <w:tcW w:w="1857" w:type="dxa"/>
            <w:tcBorders>
              <w:left w:val="single" w:color="000000" w:sz="4" w:space="0"/>
              <w:bottom w:val="single" w:color="000000" w:sz="4" w:space="0"/>
              <w:right w:val="single" w:color="000000" w:sz="4" w:space="0"/>
            </w:tcBorders>
          </w:tcPr>
          <w:p>
            <w:pPr>
              <w:pStyle w:val="19"/>
              <w:spacing w:before="87"/>
              <w:ind w:left="656" w:right="638"/>
              <w:rPr>
                <w:rFonts w:ascii="Times New Roman"/>
                <w:sz w:val="21"/>
              </w:rPr>
            </w:pPr>
            <w:r>
              <w:rPr>
                <w:rFonts w:ascii="Times New Roman"/>
                <w:position w:val="2"/>
                <w:sz w:val="21"/>
              </w:rPr>
              <w:t>BOD</w:t>
            </w:r>
            <w:r>
              <w:rPr>
                <w:rFonts w:ascii="Times New Roman"/>
                <w:position w:val="2"/>
                <w:sz w:val="21"/>
                <w:vertAlign w:val="subscript"/>
              </w:rPr>
              <w:t>5</w:t>
            </w:r>
          </w:p>
        </w:tc>
        <w:tc>
          <w:tcPr>
            <w:tcW w:w="1857" w:type="dxa"/>
            <w:tcBorders>
              <w:left w:val="single" w:color="000000" w:sz="4" w:space="0"/>
              <w:bottom w:val="single" w:color="000000" w:sz="4" w:space="0"/>
            </w:tcBorders>
          </w:tcPr>
          <w:p>
            <w:pPr>
              <w:pStyle w:val="19"/>
              <w:spacing w:before="76"/>
              <w:ind w:left="700" w:right="682"/>
              <w:rPr>
                <w:sz w:val="21"/>
              </w:rPr>
            </w:pPr>
            <w:r>
              <w:rPr>
                <w:sz w:val="21"/>
              </w:rPr>
              <w:t>氨氮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856" w:type="dxa"/>
            <w:tcBorders>
              <w:top w:val="single" w:color="000000" w:sz="4" w:space="0"/>
              <w:right w:val="single" w:color="000000" w:sz="4" w:space="0"/>
            </w:tcBorders>
          </w:tcPr>
          <w:p>
            <w:pPr>
              <w:pStyle w:val="19"/>
              <w:spacing w:before="76"/>
              <w:ind w:left="260" w:right="246"/>
              <w:rPr>
                <w:sz w:val="21"/>
              </w:rPr>
            </w:pPr>
            <w:r>
              <w:rPr>
                <w:sz w:val="21"/>
              </w:rPr>
              <w:t>浓度（</w:t>
            </w:r>
            <w:r>
              <w:rPr>
                <w:rFonts w:ascii="Times New Roman" w:eastAsia="Times New Roman"/>
                <w:sz w:val="21"/>
              </w:rPr>
              <w:t>mg/L</w:t>
            </w:r>
            <w:r>
              <w:rPr>
                <w:sz w:val="21"/>
              </w:rPr>
              <w:t>）</w:t>
            </w:r>
          </w:p>
        </w:tc>
        <w:tc>
          <w:tcPr>
            <w:tcW w:w="1857" w:type="dxa"/>
            <w:tcBorders>
              <w:top w:val="single" w:color="000000" w:sz="4" w:space="0"/>
              <w:left w:val="single" w:color="000000" w:sz="4" w:space="0"/>
              <w:right w:val="single" w:color="000000" w:sz="4" w:space="0"/>
            </w:tcBorders>
          </w:tcPr>
          <w:p>
            <w:pPr>
              <w:pStyle w:val="19"/>
              <w:spacing w:before="90"/>
              <w:ind w:left="774"/>
              <w:jc w:val="left"/>
              <w:rPr>
                <w:rFonts w:ascii="Times New Roman"/>
                <w:sz w:val="21"/>
              </w:rPr>
            </w:pPr>
            <w:r>
              <w:rPr>
                <w:rFonts w:ascii="Times New Roman"/>
                <w:sz w:val="21"/>
              </w:rPr>
              <w:t>220</w:t>
            </w:r>
          </w:p>
        </w:tc>
        <w:tc>
          <w:tcPr>
            <w:tcW w:w="1859" w:type="dxa"/>
            <w:tcBorders>
              <w:top w:val="single" w:color="000000" w:sz="4" w:space="0"/>
              <w:left w:val="single" w:color="000000" w:sz="4" w:space="0"/>
              <w:right w:val="single" w:color="000000" w:sz="4" w:space="0"/>
            </w:tcBorders>
          </w:tcPr>
          <w:p>
            <w:pPr>
              <w:pStyle w:val="19"/>
              <w:spacing w:before="90"/>
              <w:ind w:left="691" w:right="670"/>
              <w:rPr>
                <w:rFonts w:ascii="Times New Roman"/>
                <w:sz w:val="21"/>
              </w:rPr>
            </w:pPr>
            <w:r>
              <w:rPr>
                <w:rFonts w:ascii="Times New Roman"/>
                <w:sz w:val="21"/>
              </w:rPr>
              <w:t>300</w:t>
            </w:r>
          </w:p>
        </w:tc>
        <w:tc>
          <w:tcPr>
            <w:tcW w:w="1857" w:type="dxa"/>
            <w:tcBorders>
              <w:top w:val="single" w:color="000000" w:sz="4" w:space="0"/>
              <w:left w:val="single" w:color="000000" w:sz="4" w:space="0"/>
              <w:right w:val="single" w:color="000000" w:sz="4" w:space="0"/>
            </w:tcBorders>
          </w:tcPr>
          <w:p>
            <w:pPr>
              <w:pStyle w:val="19"/>
              <w:spacing w:before="90"/>
              <w:ind w:left="656" w:right="635"/>
              <w:rPr>
                <w:rFonts w:ascii="Times New Roman"/>
                <w:sz w:val="21"/>
              </w:rPr>
            </w:pPr>
            <w:r>
              <w:rPr>
                <w:rFonts w:ascii="Times New Roman"/>
                <w:sz w:val="21"/>
              </w:rPr>
              <w:t>120</w:t>
            </w:r>
          </w:p>
        </w:tc>
        <w:tc>
          <w:tcPr>
            <w:tcW w:w="1857" w:type="dxa"/>
            <w:tcBorders>
              <w:top w:val="single" w:color="000000" w:sz="4" w:space="0"/>
              <w:left w:val="single" w:color="000000" w:sz="4" w:space="0"/>
            </w:tcBorders>
          </w:tcPr>
          <w:p>
            <w:pPr>
              <w:pStyle w:val="19"/>
              <w:spacing w:before="90"/>
              <w:ind w:left="700" w:right="678"/>
              <w:rPr>
                <w:rFonts w:ascii="Times New Roman"/>
                <w:sz w:val="21"/>
              </w:rPr>
            </w:pPr>
            <w:r>
              <w:rPr>
                <w:rFonts w:ascii="Times New Roman"/>
                <w:sz w:val="21"/>
              </w:rPr>
              <w:t>15</w:t>
            </w:r>
          </w:p>
        </w:tc>
      </w:tr>
    </w:tbl>
    <w:p>
      <w:pPr>
        <w:pStyle w:val="9"/>
        <w:spacing w:before="2" w:line="362" w:lineRule="auto"/>
        <w:ind w:left="218" w:right="128" w:firstLine="480"/>
      </w:pPr>
      <w:r>
        <w:rPr>
          <w:spacing w:val="-4"/>
        </w:rPr>
        <w:t xml:space="preserve">本工程建设期施工人员约为 </w:t>
      </w:r>
      <w:r>
        <w:rPr>
          <w:rFonts w:ascii="Times New Roman" w:hAnsi="Times New Roman" w:eastAsia="Times New Roman"/>
        </w:rPr>
        <w:t xml:space="preserve">50 </w:t>
      </w:r>
      <w:r>
        <w:rPr>
          <w:spacing w:val="-4"/>
        </w:rPr>
        <w:t xml:space="preserve">人，施工人员生活用水量按 </w:t>
      </w:r>
      <w:r>
        <w:rPr>
          <w:rFonts w:ascii="Times New Roman" w:hAnsi="Times New Roman" w:eastAsia="Times New Roman"/>
        </w:rPr>
        <w:t>20L/d·</w:t>
      </w:r>
      <w:r>
        <w:t>人计算，则生活</w:t>
      </w:r>
      <w:r>
        <w:rPr>
          <w:spacing w:val="-10"/>
          <w:position w:val="2"/>
        </w:rPr>
        <w:t xml:space="preserve">污水产生量 </w:t>
      </w:r>
      <w:r>
        <w:rPr>
          <w:rFonts w:ascii="Times New Roman" w:hAnsi="Times New Roman" w:eastAsia="Times New Roman"/>
          <w:position w:val="2"/>
        </w:rPr>
        <w:t>1t/d</w:t>
      </w:r>
      <w:r>
        <w:rPr>
          <w:spacing w:val="-18"/>
          <w:position w:val="2"/>
        </w:rPr>
        <w:t xml:space="preserve">，施工期生活污水共约 </w:t>
      </w:r>
      <w:r>
        <w:rPr>
          <w:rFonts w:ascii="Times New Roman" w:hAnsi="Times New Roman" w:eastAsia="Times New Roman"/>
          <w:position w:val="2"/>
        </w:rPr>
        <w:t>840t</w:t>
      </w:r>
      <w:r>
        <w:rPr>
          <w:spacing w:val="-18"/>
          <w:position w:val="2"/>
        </w:rPr>
        <w:t xml:space="preserve">，其中水污染物产生量 </w:t>
      </w:r>
      <w:r>
        <w:rPr>
          <w:rFonts w:ascii="Times New Roman" w:hAnsi="Times New Roman" w:eastAsia="Times New Roman"/>
          <w:position w:val="2"/>
        </w:rPr>
        <w:t>C</w:t>
      </w:r>
      <w:r>
        <w:rPr>
          <w:rFonts w:ascii="Times New Roman" w:hAnsi="Times New Roman" w:eastAsia="Times New Roman"/>
          <w:spacing w:val="-1"/>
          <w:position w:val="2"/>
        </w:rPr>
        <w:t>OD</w:t>
      </w:r>
      <w:r>
        <w:rPr>
          <w:rFonts w:ascii="Times New Roman" w:hAnsi="Times New Roman" w:eastAsia="Times New Roman"/>
          <w:position w:val="2"/>
        </w:rPr>
        <w:t>0.25t</w:t>
      </w:r>
      <w:r>
        <w:rPr>
          <w:spacing w:val="-113"/>
          <w:position w:val="2"/>
        </w:rPr>
        <w:t>、</w:t>
      </w:r>
      <w:r>
        <w:rPr>
          <w:rFonts w:ascii="Times New Roman" w:hAnsi="Times New Roman" w:eastAsia="Times New Roman"/>
          <w:spacing w:val="-4"/>
          <w:position w:val="2"/>
        </w:rPr>
        <w:t>B</w:t>
      </w:r>
      <w:r>
        <w:rPr>
          <w:rFonts w:ascii="Times New Roman" w:hAnsi="Times New Roman" w:eastAsia="Times New Roman"/>
          <w:spacing w:val="-3"/>
          <w:position w:val="2"/>
        </w:rPr>
        <w:t>O</w:t>
      </w:r>
      <w:r>
        <w:rPr>
          <w:rFonts w:ascii="Times New Roman" w:hAnsi="Times New Roman" w:eastAsia="Times New Roman"/>
          <w:spacing w:val="-1"/>
          <w:position w:val="2"/>
        </w:rPr>
        <w:t>D</w:t>
      </w:r>
      <w:r>
        <w:rPr>
          <w:rFonts w:ascii="Times New Roman" w:hAnsi="Times New Roman" w:eastAsia="Times New Roman"/>
          <w:spacing w:val="-1"/>
          <w:w w:val="103"/>
          <w:position w:val="2"/>
          <w:vertAlign w:val="subscript"/>
        </w:rPr>
        <w:t>5</w:t>
      </w:r>
      <w:r>
        <w:rPr>
          <w:rFonts w:ascii="Times New Roman" w:hAnsi="Times New Roman" w:eastAsia="Times New Roman"/>
          <w:spacing w:val="-2"/>
          <w:position w:val="2"/>
          <w:vertAlign w:val="baseline"/>
        </w:rPr>
        <w:t>0.10t</w:t>
      </w:r>
      <w:r>
        <w:rPr>
          <w:spacing w:val="-2"/>
          <w:position w:val="2"/>
          <w:vertAlign w:val="baseline"/>
        </w:rPr>
        <w:t>，</w:t>
      </w:r>
      <w:r>
        <w:rPr>
          <w:position w:val="2"/>
          <w:vertAlign w:val="baseline"/>
        </w:rPr>
        <w:t xml:space="preserve"> </w:t>
      </w:r>
      <w:r>
        <w:rPr>
          <w:rFonts w:ascii="Times New Roman" w:hAnsi="Times New Roman" w:eastAsia="Times New Roman"/>
          <w:vertAlign w:val="baseline"/>
        </w:rPr>
        <w:t>SS0.18t</w:t>
      </w:r>
      <w:r>
        <w:rPr>
          <w:spacing w:val="-16"/>
          <w:vertAlign w:val="baseline"/>
        </w:rPr>
        <w:t xml:space="preserve">，氨氮 </w:t>
      </w:r>
      <w:r>
        <w:rPr>
          <w:rFonts w:ascii="Times New Roman" w:hAnsi="Times New Roman" w:eastAsia="Times New Roman"/>
          <w:vertAlign w:val="baseline"/>
        </w:rPr>
        <w:t>0.013t</w:t>
      </w:r>
      <w:r>
        <w:rPr>
          <w:vertAlign w:val="baseline"/>
        </w:rPr>
        <w:t>。</w:t>
      </w:r>
    </w:p>
    <w:p>
      <w:pPr>
        <w:pStyle w:val="9"/>
        <w:spacing w:before="2"/>
        <w:ind w:left="698"/>
      </w:pPr>
      <w:r>
        <w:t>③噪声污染源</w:t>
      </w:r>
    </w:p>
    <w:p>
      <w:pPr>
        <w:pStyle w:val="9"/>
        <w:spacing w:before="160" w:line="364" w:lineRule="auto"/>
        <w:ind w:left="218" w:right="205" w:firstLine="480"/>
      </w:pPr>
      <w:r>
        <w:t xml:space="preserve">施工期噪声污染源主要为施工过程中的机械噪声与交通运输噪声。根据类比调查， 本项目施工期的主要噪声源与噪声级见表 </w:t>
      </w:r>
      <w:r>
        <w:rPr>
          <w:rFonts w:ascii="Times New Roman" w:eastAsia="Times New Roman"/>
        </w:rPr>
        <w:t>2.4-2</w:t>
      </w:r>
      <w:r>
        <w:t>。</w:t>
      </w:r>
    </w:p>
    <w:p>
      <w:pPr>
        <w:spacing w:before="0" w:after="3" w:line="267" w:lineRule="exact"/>
        <w:ind w:left="3091" w:right="0" w:firstLine="0"/>
        <w:jc w:val="left"/>
        <w:rPr>
          <w:b/>
          <w:sz w:val="21"/>
        </w:rPr>
      </w:pPr>
      <w:r>
        <w:rPr>
          <w:b/>
          <w:spacing w:val="-28"/>
          <w:sz w:val="21"/>
        </w:rPr>
        <w:t xml:space="preserve">表 </w:t>
      </w:r>
      <w:r>
        <w:rPr>
          <w:rFonts w:ascii="Times New Roman" w:eastAsia="Times New Roman"/>
          <w:b/>
          <w:sz w:val="21"/>
        </w:rPr>
        <w:t>2.4-2</w:t>
      </w:r>
      <w:r>
        <w:rPr>
          <w:rFonts w:ascii="Times New Roman" w:eastAsia="Times New Roman"/>
          <w:b/>
          <w:spacing w:val="52"/>
          <w:sz w:val="21"/>
        </w:rPr>
        <w:t xml:space="preserve"> </w:t>
      </w:r>
      <w:r>
        <w:rPr>
          <w:b/>
          <w:sz w:val="21"/>
        </w:rPr>
        <w:t>施工期主要噪声源与噪声级</w:t>
      </w: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76"/>
        <w:gridCol w:w="2009"/>
        <w:gridCol w:w="1860"/>
        <w:gridCol w:w="1555"/>
        <w:gridCol w:w="248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76" w:type="dxa"/>
            <w:tcBorders>
              <w:bottom w:val="single" w:color="000000" w:sz="4" w:space="0"/>
              <w:right w:val="single" w:color="000000" w:sz="4" w:space="0"/>
            </w:tcBorders>
          </w:tcPr>
          <w:p>
            <w:pPr>
              <w:pStyle w:val="19"/>
              <w:spacing w:before="49"/>
              <w:ind w:left="266"/>
              <w:jc w:val="left"/>
              <w:rPr>
                <w:sz w:val="21"/>
              </w:rPr>
            </w:pPr>
            <w:r>
              <w:rPr>
                <w:sz w:val="21"/>
              </w:rPr>
              <w:t>施工阶段</w:t>
            </w:r>
          </w:p>
        </w:tc>
        <w:tc>
          <w:tcPr>
            <w:tcW w:w="2009" w:type="dxa"/>
            <w:tcBorders>
              <w:left w:val="single" w:color="000000" w:sz="4" w:space="0"/>
              <w:bottom w:val="single" w:color="000000" w:sz="4" w:space="0"/>
              <w:right w:val="single" w:color="000000" w:sz="4" w:space="0"/>
            </w:tcBorders>
          </w:tcPr>
          <w:p>
            <w:pPr>
              <w:pStyle w:val="19"/>
              <w:spacing w:before="49"/>
              <w:ind w:left="220" w:right="207"/>
              <w:rPr>
                <w:sz w:val="21"/>
              </w:rPr>
            </w:pPr>
            <w:r>
              <w:rPr>
                <w:sz w:val="21"/>
              </w:rPr>
              <w:t>设备名称</w:t>
            </w:r>
          </w:p>
        </w:tc>
        <w:tc>
          <w:tcPr>
            <w:tcW w:w="1860" w:type="dxa"/>
            <w:tcBorders>
              <w:left w:val="single" w:color="000000" w:sz="4" w:space="0"/>
              <w:bottom w:val="single" w:color="000000" w:sz="4" w:space="0"/>
              <w:right w:val="single" w:color="000000" w:sz="4" w:space="0"/>
            </w:tcBorders>
          </w:tcPr>
          <w:p>
            <w:pPr>
              <w:pStyle w:val="19"/>
              <w:spacing w:before="49"/>
              <w:ind w:left="279" w:right="259"/>
              <w:rPr>
                <w:rFonts w:ascii="Times New Roman" w:eastAsia="Times New Roman"/>
                <w:sz w:val="21"/>
              </w:rPr>
            </w:pPr>
            <w:r>
              <w:rPr>
                <w:sz w:val="21"/>
              </w:rPr>
              <w:t xml:space="preserve">声级值 </w:t>
            </w:r>
            <w:r>
              <w:rPr>
                <w:rFonts w:ascii="Times New Roman" w:eastAsia="Times New Roman"/>
                <w:sz w:val="21"/>
              </w:rPr>
              <w:t>dB(A)</w:t>
            </w:r>
          </w:p>
        </w:tc>
        <w:tc>
          <w:tcPr>
            <w:tcW w:w="1555" w:type="dxa"/>
            <w:tcBorders>
              <w:left w:val="single" w:color="000000" w:sz="4" w:space="0"/>
              <w:bottom w:val="single" w:color="000000" w:sz="4" w:space="0"/>
              <w:right w:val="single" w:color="000000" w:sz="4" w:space="0"/>
            </w:tcBorders>
          </w:tcPr>
          <w:p>
            <w:pPr>
              <w:pStyle w:val="19"/>
              <w:spacing w:before="49"/>
              <w:ind w:left="189" w:right="171"/>
              <w:rPr>
                <w:rFonts w:ascii="Times New Roman" w:eastAsia="Times New Roman"/>
                <w:sz w:val="21"/>
              </w:rPr>
            </w:pPr>
            <w:r>
              <w:rPr>
                <w:sz w:val="21"/>
              </w:rPr>
              <w:t>测点距离</w:t>
            </w:r>
            <w:r>
              <w:rPr>
                <w:rFonts w:ascii="Times New Roman" w:eastAsia="Times New Roman"/>
                <w:sz w:val="21"/>
              </w:rPr>
              <w:t>(m)</w:t>
            </w:r>
          </w:p>
        </w:tc>
        <w:tc>
          <w:tcPr>
            <w:tcW w:w="2486" w:type="dxa"/>
            <w:tcBorders>
              <w:left w:val="single" w:color="000000" w:sz="4" w:space="0"/>
              <w:bottom w:val="single" w:color="000000" w:sz="4" w:space="0"/>
            </w:tcBorders>
          </w:tcPr>
          <w:p>
            <w:pPr>
              <w:pStyle w:val="19"/>
              <w:spacing w:before="49"/>
              <w:ind w:left="70" w:right="47"/>
              <w:rPr>
                <w:sz w:val="21"/>
              </w:rPr>
            </w:pPr>
            <w:r>
              <w:rPr>
                <w:sz w:val="21"/>
              </w:rPr>
              <w:t>特点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76" w:type="dxa"/>
            <w:vMerge w:val="restart"/>
            <w:tcBorders>
              <w:top w:val="single" w:color="000000" w:sz="4" w:space="0"/>
              <w:bottom w:val="single" w:color="000000" w:sz="4" w:space="0"/>
              <w:right w:val="single" w:color="000000" w:sz="4" w:space="0"/>
            </w:tcBorders>
          </w:tcPr>
          <w:p>
            <w:pPr>
              <w:pStyle w:val="19"/>
              <w:spacing w:before="1"/>
              <w:jc w:val="left"/>
              <w:rPr>
                <w:b/>
                <w:sz w:val="25"/>
              </w:rPr>
            </w:pPr>
          </w:p>
          <w:p>
            <w:pPr>
              <w:pStyle w:val="19"/>
              <w:tabs>
                <w:tab w:val="left" w:pos="897"/>
              </w:tabs>
              <w:spacing w:before="1" w:line="288" w:lineRule="auto"/>
              <w:ind w:left="266" w:right="252"/>
              <w:jc w:val="left"/>
              <w:rPr>
                <w:sz w:val="21"/>
              </w:rPr>
            </w:pPr>
            <w:r>
              <w:rPr>
                <w:sz w:val="21"/>
              </w:rPr>
              <w:t>基础施</w:t>
            </w:r>
            <w:r>
              <w:rPr>
                <w:spacing w:val="-13"/>
                <w:sz w:val="21"/>
              </w:rPr>
              <w:t>工</w:t>
            </w:r>
            <w:r>
              <w:rPr>
                <w:sz w:val="21"/>
              </w:rPr>
              <w:t>阶</w:t>
            </w:r>
            <w:r>
              <w:rPr>
                <w:sz w:val="21"/>
              </w:rPr>
              <w:tab/>
            </w:r>
            <w:r>
              <w:rPr>
                <w:spacing w:val="-17"/>
                <w:sz w:val="21"/>
              </w:rPr>
              <w:t>段</w:t>
            </w:r>
          </w:p>
        </w:tc>
        <w:tc>
          <w:tcPr>
            <w:tcW w:w="2009" w:type="dxa"/>
            <w:tcBorders>
              <w:top w:val="single" w:color="000000" w:sz="4" w:space="0"/>
              <w:left w:val="single" w:color="000000" w:sz="4" w:space="0"/>
              <w:bottom w:val="single" w:color="000000" w:sz="4" w:space="0"/>
              <w:right w:val="single" w:color="000000" w:sz="4" w:space="0"/>
            </w:tcBorders>
          </w:tcPr>
          <w:p>
            <w:pPr>
              <w:pStyle w:val="19"/>
              <w:spacing w:before="51"/>
              <w:ind w:left="222" w:right="207"/>
              <w:rPr>
                <w:sz w:val="21"/>
              </w:rPr>
            </w:pPr>
            <w:r>
              <w:rPr>
                <w:sz w:val="21"/>
              </w:rPr>
              <w:t>挖桩机</w:t>
            </w:r>
          </w:p>
        </w:tc>
        <w:tc>
          <w:tcPr>
            <w:tcW w:w="1860" w:type="dxa"/>
            <w:tcBorders>
              <w:top w:val="single" w:color="000000" w:sz="4" w:space="0"/>
              <w:left w:val="single" w:color="000000" w:sz="4" w:space="0"/>
              <w:bottom w:val="single" w:color="000000" w:sz="4" w:space="0"/>
              <w:right w:val="single" w:color="000000" w:sz="4" w:space="0"/>
            </w:tcBorders>
          </w:tcPr>
          <w:p>
            <w:pPr>
              <w:pStyle w:val="19"/>
              <w:spacing w:before="67"/>
              <w:ind w:left="278" w:right="259"/>
              <w:rPr>
                <w:rFonts w:ascii="Times New Roman"/>
                <w:sz w:val="21"/>
              </w:rPr>
            </w:pPr>
            <w:r>
              <w:rPr>
                <w:rFonts w:ascii="Times New Roman"/>
                <w:sz w:val="21"/>
              </w:rPr>
              <w:t>70</w:t>
            </w:r>
          </w:p>
        </w:tc>
        <w:tc>
          <w:tcPr>
            <w:tcW w:w="1555" w:type="dxa"/>
            <w:tcBorders>
              <w:top w:val="single" w:color="000000" w:sz="4" w:space="0"/>
              <w:left w:val="single" w:color="000000" w:sz="4" w:space="0"/>
              <w:bottom w:val="single" w:color="000000" w:sz="4" w:space="0"/>
              <w:right w:val="single" w:color="000000" w:sz="4" w:space="0"/>
            </w:tcBorders>
          </w:tcPr>
          <w:p>
            <w:pPr>
              <w:pStyle w:val="19"/>
              <w:spacing w:before="67"/>
              <w:ind w:left="17"/>
              <w:rPr>
                <w:rFonts w:ascii="Times New Roman"/>
                <w:sz w:val="21"/>
              </w:rPr>
            </w:pPr>
            <w:r>
              <w:rPr>
                <w:rFonts w:ascii="Times New Roman"/>
                <w:w w:val="99"/>
                <w:sz w:val="21"/>
              </w:rPr>
              <w:t>5</w:t>
            </w:r>
          </w:p>
        </w:tc>
        <w:tc>
          <w:tcPr>
            <w:tcW w:w="2486" w:type="dxa"/>
            <w:vMerge w:val="restart"/>
            <w:tcBorders>
              <w:top w:val="single" w:color="000000" w:sz="4" w:space="0"/>
              <w:left w:val="single" w:color="000000" w:sz="4" w:space="0"/>
              <w:bottom w:val="single" w:color="000000" w:sz="4" w:space="0"/>
            </w:tcBorders>
          </w:tcPr>
          <w:p>
            <w:pPr>
              <w:pStyle w:val="19"/>
              <w:spacing w:before="1"/>
              <w:jc w:val="left"/>
              <w:rPr>
                <w:b/>
                <w:sz w:val="25"/>
              </w:rPr>
            </w:pPr>
          </w:p>
          <w:p>
            <w:pPr>
              <w:pStyle w:val="19"/>
              <w:spacing w:before="1" w:line="288" w:lineRule="auto"/>
              <w:ind w:left="932" w:right="172" w:hanging="735"/>
              <w:jc w:val="left"/>
              <w:rPr>
                <w:sz w:val="21"/>
              </w:rPr>
            </w:pPr>
            <w:r>
              <w:rPr>
                <w:sz w:val="21"/>
              </w:rPr>
              <w:t>该阶段声源主要为固定噪声源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76" w:type="dxa"/>
            <w:vMerge w:val="continue"/>
            <w:tcBorders>
              <w:top w:val="nil"/>
              <w:bottom w:val="single" w:color="000000" w:sz="4" w:space="0"/>
              <w:right w:val="single" w:color="000000" w:sz="4" w:space="0"/>
            </w:tcBorders>
          </w:tcPr>
          <w:p>
            <w:pPr>
              <w:rPr>
                <w:sz w:val="2"/>
                <w:szCs w:val="2"/>
              </w:rPr>
            </w:pPr>
          </w:p>
        </w:tc>
        <w:tc>
          <w:tcPr>
            <w:tcW w:w="2009" w:type="dxa"/>
            <w:tcBorders>
              <w:top w:val="single" w:color="000000" w:sz="4" w:space="0"/>
              <w:left w:val="single" w:color="000000" w:sz="4" w:space="0"/>
              <w:bottom w:val="single" w:color="000000" w:sz="4" w:space="0"/>
              <w:right w:val="single" w:color="000000" w:sz="4" w:space="0"/>
            </w:tcBorders>
          </w:tcPr>
          <w:p>
            <w:pPr>
              <w:pStyle w:val="19"/>
              <w:spacing w:before="50"/>
              <w:ind w:left="222" w:right="207"/>
              <w:rPr>
                <w:sz w:val="21"/>
              </w:rPr>
            </w:pPr>
            <w:r>
              <w:rPr>
                <w:sz w:val="21"/>
              </w:rPr>
              <w:t>吊车</w:t>
            </w:r>
          </w:p>
        </w:tc>
        <w:tc>
          <w:tcPr>
            <w:tcW w:w="1860" w:type="dxa"/>
            <w:tcBorders>
              <w:top w:val="single" w:color="000000" w:sz="4" w:space="0"/>
              <w:left w:val="single" w:color="000000" w:sz="4" w:space="0"/>
              <w:bottom w:val="single" w:color="000000" w:sz="4" w:space="0"/>
              <w:right w:val="single" w:color="000000" w:sz="4" w:space="0"/>
            </w:tcBorders>
          </w:tcPr>
          <w:p>
            <w:pPr>
              <w:pStyle w:val="19"/>
              <w:spacing w:before="66"/>
              <w:ind w:left="278" w:right="259"/>
              <w:rPr>
                <w:rFonts w:ascii="Times New Roman"/>
                <w:sz w:val="21"/>
              </w:rPr>
            </w:pPr>
            <w:r>
              <w:rPr>
                <w:rFonts w:ascii="Times New Roman"/>
                <w:sz w:val="21"/>
              </w:rPr>
              <w:t>71-76</w:t>
            </w:r>
          </w:p>
        </w:tc>
        <w:tc>
          <w:tcPr>
            <w:tcW w:w="1555" w:type="dxa"/>
            <w:tcBorders>
              <w:top w:val="single" w:color="000000" w:sz="4" w:space="0"/>
              <w:left w:val="single" w:color="000000" w:sz="4" w:space="0"/>
              <w:bottom w:val="single" w:color="000000" w:sz="4" w:space="0"/>
              <w:right w:val="single" w:color="000000" w:sz="4" w:space="0"/>
            </w:tcBorders>
          </w:tcPr>
          <w:p>
            <w:pPr>
              <w:pStyle w:val="19"/>
              <w:spacing w:before="66"/>
              <w:ind w:left="17"/>
              <w:rPr>
                <w:rFonts w:ascii="Times New Roman"/>
                <w:sz w:val="21"/>
              </w:rPr>
            </w:pPr>
            <w:r>
              <w:rPr>
                <w:rFonts w:ascii="Times New Roman"/>
                <w:w w:val="99"/>
                <w:sz w:val="21"/>
              </w:rPr>
              <w:t>5</w:t>
            </w:r>
          </w:p>
        </w:tc>
        <w:tc>
          <w:tcPr>
            <w:tcW w:w="2486"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76" w:type="dxa"/>
            <w:vMerge w:val="continue"/>
            <w:tcBorders>
              <w:top w:val="nil"/>
              <w:bottom w:val="single" w:color="000000" w:sz="4" w:space="0"/>
              <w:right w:val="single" w:color="000000" w:sz="4" w:space="0"/>
            </w:tcBorders>
          </w:tcPr>
          <w:p>
            <w:pPr>
              <w:rPr>
                <w:sz w:val="2"/>
                <w:szCs w:val="2"/>
              </w:rPr>
            </w:pPr>
          </w:p>
        </w:tc>
        <w:tc>
          <w:tcPr>
            <w:tcW w:w="2009" w:type="dxa"/>
            <w:tcBorders>
              <w:top w:val="single" w:color="000000" w:sz="4" w:space="0"/>
              <w:left w:val="single" w:color="000000" w:sz="4" w:space="0"/>
              <w:bottom w:val="single" w:color="000000" w:sz="4" w:space="0"/>
              <w:right w:val="single" w:color="000000" w:sz="4" w:space="0"/>
            </w:tcBorders>
          </w:tcPr>
          <w:p>
            <w:pPr>
              <w:pStyle w:val="19"/>
              <w:spacing w:before="50"/>
              <w:ind w:left="222" w:right="207"/>
              <w:rPr>
                <w:sz w:val="21"/>
              </w:rPr>
            </w:pPr>
            <w:r>
              <w:rPr>
                <w:sz w:val="21"/>
              </w:rPr>
              <w:t>平地机</w:t>
            </w:r>
          </w:p>
        </w:tc>
        <w:tc>
          <w:tcPr>
            <w:tcW w:w="1860" w:type="dxa"/>
            <w:tcBorders>
              <w:top w:val="single" w:color="000000" w:sz="4" w:space="0"/>
              <w:left w:val="single" w:color="000000" w:sz="4" w:space="0"/>
              <w:bottom w:val="single" w:color="000000" w:sz="4" w:space="0"/>
              <w:right w:val="single" w:color="000000" w:sz="4" w:space="0"/>
            </w:tcBorders>
          </w:tcPr>
          <w:p>
            <w:pPr>
              <w:pStyle w:val="19"/>
              <w:spacing w:before="66"/>
              <w:ind w:left="278" w:right="259"/>
              <w:rPr>
                <w:rFonts w:ascii="Times New Roman"/>
                <w:sz w:val="21"/>
              </w:rPr>
            </w:pPr>
            <w:r>
              <w:rPr>
                <w:rFonts w:ascii="Times New Roman"/>
                <w:sz w:val="21"/>
              </w:rPr>
              <w:t>86-98</w:t>
            </w:r>
          </w:p>
        </w:tc>
        <w:tc>
          <w:tcPr>
            <w:tcW w:w="1555" w:type="dxa"/>
            <w:tcBorders>
              <w:top w:val="single" w:color="000000" w:sz="4" w:space="0"/>
              <w:left w:val="single" w:color="000000" w:sz="4" w:space="0"/>
              <w:bottom w:val="single" w:color="000000" w:sz="4" w:space="0"/>
              <w:right w:val="single" w:color="000000" w:sz="4" w:space="0"/>
            </w:tcBorders>
          </w:tcPr>
          <w:p>
            <w:pPr>
              <w:pStyle w:val="19"/>
              <w:spacing w:before="66"/>
              <w:ind w:left="17"/>
              <w:rPr>
                <w:rFonts w:ascii="Times New Roman"/>
                <w:sz w:val="21"/>
              </w:rPr>
            </w:pPr>
            <w:r>
              <w:rPr>
                <w:rFonts w:ascii="Times New Roman"/>
                <w:w w:val="99"/>
                <w:sz w:val="21"/>
              </w:rPr>
              <w:t>5</w:t>
            </w:r>
          </w:p>
        </w:tc>
        <w:tc>
          <w:tcPr>
            <w:tcW w:w="2486"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1376" w:type="dxa"/>
            <w:vMerge w:val="restart"/>
            <w:tcBorders>
              <w:top w:val="single" w:color="000000" w:sz="4" w:space="0"/>
              <w:right w:val="single" w:color="000000" w:sz="4" w:space="0"/>
            </w:tcBorders>
          </w:tcPr>
          <w:p>
            <w:pPr>
              <w:pStyle w:val="19"/>
              <w:jc w:val="left"/>
              <w:rPr>
                <w:b/>
                <w:sz w:val="20"/>
              </w:rPr>
            </w:pPr>
          </w:p>
          <w:p>
            <w:pPr>
              <w:pStyle w:val="19"/>
              <w:jc w:val="left"/>
              <w:rPr>
                <w:b/>
                <w:sz w:val="22"/>
              </w:rPr>
            </w:pPr>
          </w:p>
          <w:p>
            <w:pPr>
              <w:pStyle w:val="19"/>
              <w:tabs>
                <w:tab w:val="left" w:pos="897"/>
              </w:tabs>
              <w:spacing w:line="290" w:lineRule="auto"/>
              <w:ind w:left="266" w:right="252"/>
              <w:jc w:val="left"/>
              <w:rPr>
                <w:sz w:val="21"/>
              </w:rPr>
            </w:pPr>
            <w:r>
              <w:rPr>
                <w:sz w:val="21"/>
              </w:rPr>
              <w:t>结构施</w:t>
            </w:r>
            <w:r>
              <w:rPr>
                <w:spacing w:val="-13"/>
                <w:sz w:val="21"/>
              </w:rPr>
              <w:t>工</w:t>
            </w:r>
            <w:r>
              <w:rPr>
                <w:sz w:val="21"/>
              </w:rPr>
              <w:t>阶</w:t>
            </w:r>
            <w:r>
              <w:rPr>
                <w:sz w:val="21"/>
              </w:rPr>
              <w:tab/>
            </w:r>
            <w:r>
              <w:rPr>
                <w:spacing w:val="-17"/>
                <w:sz w:val="21"/>
              </w:rPr>
              <w:t>段</w:t>
            </w:r>
          </w:p>
        </w:tc>
        <w:tc>
          <w:tcPr>
            <w:tcW w:w="2009" w:type="dxa"/>
            <w:tcBorders>
              <w:top w:val="single" w:color="000000" w:sz="4" w:space="0"/>
              <w:left w:val="single" w:color="000000" w:sz="4" w:space="0"/>
              <w:bottom w:val="single" w:color="000000" w:sz="4" w:space="0"/>
              <w:right w:val="single" w:color="000000" w:sz="4" w:space="0"/>
            </w:tcBorders>
          </w:tcPr>
          <w:p>
            <w:pPr>
              <w:pStyle w:val="19"/>
              <w:spacing w:before="49"/>
              <w:ind w:left="222" w:right="207"/>
              <w:rPr>
                <w:sz w:val="21"/>
              </w:rPr>
            </w:pPr>
            <w:r>
              <w:rPr>
                <w:sz w:val="21"/>
              </w:rPr>
              <w:t>振捣棒</w:t>
            </w:r>
          </w:p>
        </w:tc>
        <w:tc>
          <w:tcPr>
            <w:tcW w:w="1860" w:type="dxa"/>
            <w:tcBorders>
              <w:top w:val="single" w:color="000000" w:sz="4" w:space="0"/>
              <w:left w:val="single" w:color="000000" w:sz="4" w:space="0"/>
              <w:bottom w:val="single" w:color="000000" w:sz="4" w:space="0"/>
              <w:right w:val="single" w:color="000000" w:sz="4" w:space="0"/>
            </w:tcBorders>
          </w:tcPr>
          <w:p>
            <w:pPr>
              <w:pStyle w:val="19"/>
              <w:spacing w:before="68"/>
              <w:ind w:left="278" w:right="259"/>
              <w:rPr>
                <w:rFonts w:ascii="Times New Roman"/>
                <w:sz w:val="21"/>
              </w:rPr>
            </w:pPr>
            <w:r>
              <w:rPr>
                <w:rFonts w:ascii="Times New Roman"/>
                <w:sz w:val="21"/>
              </w:rPr>
              <w:t>87</w:t>
            </w:r>
          </w:p>
        </w:tc>
        <w:tc>
          <w:tcPr>
            <w:tcW w:w="1555" w:type="dxa"/>
            <w:tcBorders>
              <w:top w:val="single" w:color="000000" w:sz="4" w:space="0"/>
              <w:left w:val="single" w:color="000000" w:sz="4" w:space="0"/>
              <w:bottom w:val="single" w:color="000000" w:sz="4" w:space="0"/>
              <w:right w:val="single" w:color="000000" w:sz="4" w:space="0"/>
            </w:tcBorders>
          </w:tcPr>
          <w:p>
            <w:pPr>
              <w:pStyle w:val="19"/>
              <w:spacing w:before="68"/>
              <w:ind w:left="17"/>
              <w:rPr>
                <w:rFonts w:ascii="Times New Roman"/>
                <w:sz w:val="21"/>
              </w:rPr>
            </w:pPr>
            <w:r>
              <w:rPr>
                <w:rFonts w:ascii="Times New Roman"/>
                <w:w w:val="99"/>
                <w:sz w:val="21"/>
              </w:rPr>
              <w:t>2</w:t>
            </w:r>
          </w:p>
        </w:tc>
        <w:tc>
          <w:tcPr>
            <w:tcW w:w="2486" w:type="dxa"/>
            <w:vMerge w:val="restart"/>
            <w:tcBorders>
              <w:top w:val="single" w:color="000000" w:sz="4" w:space="0"/>
              <w:left w:val="single" w:color="000000" w:sz="4" w:space="0"/>
            </w:tcBorders>
          </w:tcPr>
          <w:p>
            <w:pPr>
              <w:pStyle w:val="19"/>
              <w:spacing w:before="4"/>
              <w:jc w:val="left"/>
              <w:rPr>
                <w:b/>
                <w:sz w:val="29"/>
              </w:rPr>
            </w:pPr>
          </w:p>
          <w:p>
            <w:pPr>
              <w:pStyle w:val="19"/>
              <w:spacing w:line="290" w:lineRule="auto"/>
              <w:ind w:left="112" w:right="47"/>
              <w:rPr>
                <w:sz w:val="21"/>
              </w:rPr>
            </w:pPr>
            <w:r>
              <w:rPr>
                <w:spacing w:val="-2"/>
                <w:sz w:val="21"/>
              </w:rPr>
              <w:t xml:space="preserve">该阶段时间长，设备多， </w:t>
            </w:r>
            <w:r>
              <w:rPr>
                <w:sz w:val="21"/>
              </w:rPr>
              <w:t>既有移动声源又有固定 声源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376" w:type="dxa"/>
            <w:vMerge w:val="continue"/>
            <w:tcBorders>
              <w:top w:val="nil"/>
              <w:right w:val="single" w:color="000000" w:sz="4" w:space="0"/>
            </w:tcBorders>
          </w:tcPr>
          <w:p>
            <w:pPr>
              <w:rPr>
                <w:sz w:val="2"/>
                <w:szCs w:val="2"/>
              </w:rPr>
            </w:pPr>
          </w:p>
        </w:tc>
        <w:tc>
          <w:tcPr>
            <w:tcW w:w="2009" w:type="dxa"/>
            <w:tcBorders>
              <w:top w:val="single" w:color="000000" w:sz="4" w:space="0"/>
              <w:left w:val="single" w:color="000000" w:sz="4" w:space="0"/>
              <w:bottom w:val="single" w:color="000000" w:sz="4" w:space="0"/>
              <w:right w:val="single" w:color="000000" w:sz="4" w:space="0"/>
            </w:tcBorders>
          </w:tcPr>
          <w:p>
            <w:pPr>
              <w:pStyle w:val="19"/>
              <w:spacing w:before="46"/>
              <w:ind w:left="220" w:right="207"/>
              <w:rPr>
                <w:sz w:val="21"/>
              </w:rPr>
            </w:pPr>
            <w:r>
              <w:rPr>
                <w:sz w:val="21"/>
              </w:rPr>
              <w:t>砼搅拌机</w:t>
            </w:r>
          </w:p>
        </w:tc>
        <w:tc>
          <w:tcPr>
            <w:tcW w:w="1860" w:type="dxa"/>
            <w:tcBorders>
              <w:top w:val="single" w:color="000000" w:sz="4" w:space="0"/>
              <w:left w:val="single" w:color="000000" w:sz="4" w:space="0"/>
              <w:bottom w:val="single" w:color="000000" w:sz="4" w:space="0"/>
              <w:right w:val="single" w:color="000000" w:sz="4" w:space="0"/>
            </w:tcBorders>
          </w:tcPr>
          <w:p>
            <w:pPr>
              <w:pStyle w:val="19"/>
              <w:spacing w:before="62"/>
              <w:ind w:left="278" w:right="259"/>
              <w:rPr>
                <w:rFonts w:ascii="Times New Roman"/>
                <w:sz w:val="21"/>
              </w:rPr>
            </w:pPr>
            <w:r>
              <w:rPr>
                <w:rFonts w:ascii="Times New Roman"/>
                <w:sz w:val="21"/>
              </w:rPr>
              <w:t>72-91</w:t>
            </w:r>
          </w:p>
        </w:tc>
        <w:tc>
          <w:tcPr>
            <w:tcW w:w="1555" w:type="dxa"/>
            <w:tcBorders>
              <w:top w:val="single" w:color="000000" w:sz="4" w:space="0"/>
              <w:left w:val="single" w:color="000000" w:sz="4" w:space="0"/>
              <w:bottom w:val="single" w:color="000000" w:sz="4" w:space="0"/>
              <w:right w:val="single" w:color="000000" w:sz="4" w:space="0"/>
            </w:tcBorders>
          </w:tcPr>
          <w:p>
            <w:pPr>
              <w:pStyle w:val="19"/>
              <w:spacing w:before="62"/>
              <w:ind w:left="17"/>
              <w:rPr>
                <w:rFonts w:ascii="Times New Roman"/>
                <w:sz w:val="21"/>
              </w:rPr>
            </w:pPr>
            <w:r>
              <w:rPr>
                <w:rFonts w:ascii="Times New Roman"/>
                <w:w w:val="99"/>
                <w:sz w:val="21"/>
              </w:rPr>
              <w:t>3</w:t>
            </w:r>
          </w:p>
        </w:tc>
        <w:tc>
          <w:tcPr>
            <w:tcW w:w="2486"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376" w:type="dxa"/>
            <w:vMerge w:val="continue"/>
            <w:tcBorders>
              <w:top w:val="nil"/>
              <w:right w:val="single" w:color="000000" w:sz="4" w:space="0"/>
            </w:tcBorders>
          </w:tcPr>
          <w:p>
            <w:pPr>
              <w:rPr>
                <w:sz w:val="2"/>
                <w:szCs w:val="2"/>
              </w:rPr>
            </w:pPr>
          </w:p>
        </w:tc>
        <w:tc>
          <w:tcPr>
            <w:tcW w:w="2009" w:type="dxa"/>
            <w:tcBorders>
              <w:top w:val="single" w:color="000000" w:sz="4" w:space="0"/>
              <w:left w:val="single" w:color="000000" w:sz="4" w:space="0"/>
              <w:bottom w:val="single" w:color="000000" w:sz="4" w:space="0"/>
              <w:right w:val="single" w:color="000000" w:sz="4" w:space="0"/>
            </w:tcBorders>
          </w:tcPr>
          <w:p>
            <w:pPr>
              <w:pStyle w:val="19"/>
              <w:spacing w:before="45"/>
              <w:ind w:left="222" w:right="207"/>
              <w:rPr>
                <w:sz w:val="21"/>
              </w:rPr>
            </w:pPr>
            <w:r>
              <w:rPr>
                <w:sz w:val="21"/>
              </w:rPr>
              <w:t>电据</w:t>
            </w:r>
          </w:p>
        </w:tc>
        <w:tc>
          <w:tcPr>
            <w:tcW w:w="1860" w:type="dxa"/>
            <w:tcBorders>
              <w:top w:val="single" w:color="000000" w:sz="4" w:space="0"/>
              <w:left w:val="single" w:color="000000" w:sz="4" w:space="0"/>
              <w:bottom w:val="single" w:color="000000" w:sz="4" w:space="0"/>
              <w:right w:val="single" w:color="000000" w:sz="4" w:space="0"/>
            </w:tcBorders>
          </w:tcPr>
          <w:p>
            <w:pPr>
              <w:pStyle w:val="19"/>
              <w:spacing w:before="61"/>
              <w:ind w:left="278" w:right="259"/>
              <w:rPr>
                <w:rFonts w:ascii="Times New Roman"/>
                <w:sz w:val="21"/>
              </w:rPr>
            </w:pPr>
            <w:r>
              <w:rPr>
                <w:rFonts w:ascii="Times New Roman"/>
                <w:sz w:val="21"/>
              </w:rPr>
              <w:t>90-95</w:t>
            </w:r>
          </w:p>
        </w:tc>
        <w:tc>
          <w:tcPr>
            <w:tcW w:w="1555" w:type="dxa"/>
            <w:tcBorders>
              <w:top w:val="single" w:color="000000" w:sz="4" w:space="0"/>
              <w:left w:val="single" w:color="000000" w:sz="4" w:space="0"/>
              <w:bottom w:val="single" w:color="000000" w:sz="4" w:space="0"/>
              <w:right w:val="single" w:color="000000" w:sz="4" w:space="0"/>
            </w:tcBorders>
          </w:tcPr>
          <w:p>
            <w:pPr>
              <w:pStyle w:val="19"/>
              <w:spacing w:before="61"/>
              <w:ind w:left="17"/>
              <w:rPr>
                <w:rFonts w:ascii="Times New Roman"/>
                <w:sz w:val="21"/>
              </w:rPr>
            </w:pPr>
            <w:r>
              <w:rPr>
                <w:rFonts w:ascii="Times New Roman"/>
                <w:w w:val="99"/>
                <w:sz w:val="21"/>
              </w:rPr>
              <w:t>5</w:t>
            </w:r>
          </w:p>
        </w:tc>
        <w:tc>
          <w:tcPr>
            <w:tcW w:w="2486"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1376" w:type="dxa"/>
            <w:vMerge w:val="continue"/>
            <w:tcBorders>
              <w:top w:val="nil"/>
              <w:right w:val="single" w:color="000000" w:sz="4" w:space="0"/>
            </w:tcBorders>
          </w:tcPr>
          <w:p>
            <w:pPr>
              <w:rPr>
                <w:sz w:val="2"/>
                <w:szCs w:val="2"/>
              </w:rPr>
            </w:pPr>
          </w:p>
        </w:tc>
        <w:tc>
          <w:tcPr>
            <w:tcW w:w="2009" w:type="dxa"/>
            <w:tcBorders>
              <w:top w:val="single" w:color="000000" w:sz="4" w:space="0"/>
              <w:left w:val="single" w:color="000000" w:sz="4" w:space="0"/>
              <w:right w:val="single" w:color="000000" w:sz="4" w:space="0"/>
            </w:tcBorders>
          </w:tcPr>
          <w:p>
            <w:pPr>
              <w:pStyle w:val="19"/>
              <w:spacing w:before="44"/>
              <w:ind w:left="222" w:right="207"/>
              <w:rPr>
                <w:sz w:val="21"/>
              </w:rPr>
            </w:pPr>
            <w:r>
              <w:rPr>
                <w:sz w:val="21"/>
              </w:rPr>
              <w:t>汽车吊车（</w:t>
            </w:r>
            <w:r>
              <w:rPr>
                <w:rFonts w:ascii="Times New Roman" w:eastAsia="Times New Roman"/>
                <w:sz w:val="21"/>
              </w:rPr>
              <w:t>16t</w:t>
            </w:r>
            <w:r>
              <w:rPr>
                <w:sz w:val="21"/>
              </w:rPr>
              <w:t>）</w:t>
            </w:r>
          </w:p>
        </w:tc>
        <w:tc>
          <w:tcPr>
            <w:tcW w:w="1860" w:type="dxa"/>
            <w:tcBorders>
              <w:top w:val="single" w:color="000000" w:sz="4" w:space="0"/>
              <w:left w:val="single" w:color="000000" w:sz="4" w:space="0"/>
              <w:right w:val="single" w:color="000000" w:sz="4" w:space="0"/>
            </w:tcBorders>
          </w:tcPr>
          <w:p>
            <w:pPr>
              <w:pStyle w:val="19"/>
              <w:spacing w:before="61"/>
              <w:ind w:left="278" w:right="259"/>
              <w:rPr>
                <w:rFonts w:ascii="Times New Roman"/>
                <w:sz w:val="21"/>
              </w:rPr>
            </w:pPr>
            <w:r>
              <w:rPr>
                <w:rFonts w:ascii="Times New Roman"/>
                <w:sz w:val="21"/>
              </w:rPr>
              <w:t>72</w:t>
            </w:r>
          </w:p>
        </w:tc>
        <w:tc>
          <w:tcPr>
            <w:tcW w:w="1555" w:type="dxa"/>
            <w:tcBorders>
              <w:top w:val="single" w:color="000000" w:sz="4" w:space="0"/>
              <w:left w:val="single" w:color="000000" w:sz="4" w:space="0"/>
              <w:right w:val="single" w:color="000000" w:sz="4" w:space="0"/>
            </w:tcBorders>
          </w:tcPr>
          <w:p>
            <w:pPr>
              <w:pStyle w:val="19"/>
              <w:spacing w:before="61"/>
              <w:ind w:left="17"/>
              <w:rPr>
                <w:rFonts w:ascii="Times New Roman"/>
                <w:sz w:val="21"/>
              </w:rPr>
            </w:pPr>
            <w:r>
              <w:rPr>
                <w:rFonts w:ascii="Times New Roman"/>
                <w:w w:val="99"/>
                <w:sz w:val="21"/>
              </w:rPr>
              <w:t>5</w:t>
            </w:r>
          </w:p>
        </w:tc>
        <w:tc>
          <w:tcPr>
            <w:tcW w:w="2486" w:type="dxa"/>
            <w:vMerge w:val="continue"/>
            <w:tcBorders>
              <w:top w:val="nil"/>
              <w:left w:val="single" w:color="000000" w:sz="4" w:space="0"/>
            </w:tcBorders>
          </w:tcPr>
          <w:p>
            <w:pPr>
              <w:rPr>
                <w:sz w:val="2"/>
                <w:szCs w:val="2"/>
              </w:rPr>
            </w:pPr>
          </w:p>
        </w:tc>
      </w:tr>
    </w:tbl>
    <w:p>
      <w:pPr>
        <w:pStyle w:val="9"/>
        <w:spacing w:before="2"/>
        <w:ind w:left="698"/>
      </w:pPr>
      <w:r>
        <w:t>④固体废物</w:t>
      </w:r>
    </w:p>
    <w:p>
      <w:pPr>
        <w:spacing w:after="0"/>
        <w:sectPr>
          <w:pgSz w:w="11910" w:h="16840"/>
          <w:pgMar w:top="1360" w:right="1160" w:bottom="1180" w:left="1200" w:header="0" w:footer="993" w:gutter="0"/>
        </w:sectPr>
      </w:pPr>
    </w:p>
    <w:p>
      <w:pPr>
        <w:pStyle w:val="9"/>
        <w:spacing w:before="41" w:line="364" w:lineRule="auto"/>
        <w:ind w:left="218" w:right="257" w:firstLine="480"/>
        <w:jc w:val="both"/>
      </w:pPr>
      <w:r>
        <w:rPr>
          <w:spacing w:val="3"/>
        </w:rPr>
        <w:t>施工期排弃的固体废物主要为地面建筑物建设过程中产生的建筑垃圾和和少量生</w:t>
      </w:r>
      <w:r>
        <w:rPr>
          <w:spacing w:val="-5"/>
        </w:rPr>
        <w:t>活垃圾。固体废物如随意堆放将占压土地，经雨水冲刷可能污染土壤和水体，大风干燥</w:t>
      </w:r>
      <w:r>
        <w:t>季节可能形成扬尘污染。</w:t>
      </w:r>
    </w:p>
    <w:p>
      <w:pPr>
        <w:pStyle w:val="9"/>
        <w:spacing w:line="364" w:lineRule="auto"/>
        <w:ind w:left="218" w:right="253" w:firstLine="480"/>
        <w:jc w:val="both"/>
      </w:pPr>
      <w:r>
        <w:rPr>
          <w:spacing w:val="-2"/>
        </w:rPr>
        <w:t xml:space="preserve">施工期矸石产生用于工业场地平整。施工固体废物处理率达 </w:t>
      </w:r>
      <w:r>
        <w:rPr>
          <w:rFonts w:ascii="Times New Roman" w:hAnsi="Times New Roman" w:eastAsia="Times New Roman"/>
        </w:rPr>
        <w:t>100%</w:t>
      </w:r>
      <w:r>
        <w:t>，对环境影响较</w:t>
      </w:r>
      <w:r>
        <w:rPr>
          <w:spacing w:val="-3"/>
        </w:rPr>
        <w:t xml:space="preserve">小。施工期施工人员生活垃圾产生量按 </w:t>
      </w:r>
      <w:r>
        <w:rPr>
          <w:rFonts w:ascii="Times New Roman" w:hAnsi="Times New Roman" w:eastAsia="Times New Roman"/>
        </w:rPr>
        <w:t>0.5kg/d·</w:t>
      </w:r>
      <w:r>
        <w:rPr>
          <w:spacing w:val="-6"/>
        </w:rPr>
        <w:t xml:space="preserve">人计，则产生量为 </w:t>
      </w:r>
      <w:r>
        <w:rPr>
          <w:rFonts w:ascii="Times New Roman" w:hAnsi="Times New Roman" w:eastAsia="Times New Roman"/>
        </w:rPr>
        <w:t>30kg/d</w:t>
      </w:r>
      <w:r>
        <w:t>，如不合理处置就会对周边环境造成污染影响，将对破坏区内景观。</w:t>
      </w:r>
    </w:p>
    <w:p>
      <w:pPr>
        <w:pStyle w:val="9"/>
        <w:spacing w:line="304" w:lineRule="exact"/>
        <w:ind w:left="698"/>
      </w:pPr>
      <w:r>
        <w:t>（</w:t>
      </w:r>
      <w:r>
        <w:rPr>
          <w:rFonts w:ascii="Times New Roman" w:eastAsia="Times New Roman"/>
        </w:rPr>
        <w:t>5</w:t>
      </w:r>
      <w:r>
        <w:t>）生态环境影响</w:t>
      </w:r>
    </w:p>
    <w:p>
      <w:pPr>
        <w:pStyle w:val="9"/>
        <w:spacing w:before="160" w:line="364" w:lineRule="auto"/>
        <w:ind w:left="218" w:right="257" w:firstLine="480"/>
        <w:jc w:val="both"/>
      </w:pPr>
      <w:r>
        <w:rPr>
          <w:spacing w:val="-4"/>
        </w:rPr>
        <w:t>施工过程中的场地开挖对土地造成扰动影响，地表开挖、堆填土石方、取土石方等</w:t>
      </w:r>
      <w:r>
        <w:rPr>
          <w:spacing w:val="-5"/>
        </w:rPr>
        <w:t>工程将引起水土流失量增加，引起局部生态环境恶化。但本项目施工位于原工业广场内</w:t>
      </w:r>
      <w:r>
        <w:t>对生态环境影响不大。</w:t>
      </w:r>
    </w:p>
    <w:p>
      <w:pPr>
        <w:pStyle w:val="9"/>
        <w:spacing w:line="305" w:lineRule="exact"/>
        <w:ind w:left="698"/>
      </w:pPr>
      <w:r>
        <w:rPr>
          <w:rFonts w:ascii="Times New Roman" w:eastAsia="Times New Roman"/>
        </w:rPr>
        <w:t>3</w:t>
      </w:r>
      <w:r>
        <w:t>、施工期拟采取的污染防治措施</w:t>
      </w:r>
    </w:p>
    <w:p>
      <w:pPr>
        <w:pStyle w:val="18"/>
        <w:numPr>
          <w:ilvl w:val="0"/>
          <w:numId w:val="44"/>
        </w:numPr>
        <w:tabs>
          <w:tab w:val="left" w:pos="1060"/>
        </w:tabs>
        <w:spacing w:before="161" w:after="0" w:line="240" w:lineRule="auto"/>
        <w:ind w:left="1059" w:right="0" w:hanging="362"/>
        <w:jc w:val="left"/>
        <w:rPr>
          <w:sz w:val="24"/>
        </w:rPr>
      </w:pPr>
      <w:r>
        <w:rPr>
          <w:sz w:val="24"/>
        </w:rPr>
        <w:t>干燥季节施工采取洒水降尘措施。</w:t>
      </w:r>
    </w:p>
    <w:p>
      <w:pPr>
        <w:pStyle w:val="18"/>
        <w:numPr>
          <w:ilvl w:val="0"/>
          <w:numId w:val="44"/>
        </w:numPr>
        <w:tabs>
          <w:tab w:val="left" w:pos="1064"/>
        </w:tabs>
        <w:spacing w:before="158" w:after="0" w:line="364" w:lineRule="auto"/>
        <w:ind w:left="218" w:right="256" w:firstLine="480"/>
        <w:jc w:val="left"/>
        <w:rPr>
          <w:sz w:val="24"/>
        </w:rPr>
      </w:pPr>
      <w:r>
        <w:rPr>
          <w:sz w:val="24"/>
        </w:rPr>
        <w:t>施工过程使用的水泥及其它易飞扬的细颗粒散体材料，储存在库房内或密闭存放，运输时防止漏洒和飞扬。</w:t>
      </w:r>
    </w:p>
    <w:p>
      <w:pPr>
        <w:pStyle w:val="18"/>
        <w:numPr>
          <w:ilvl w:val="0"/>
          <w:numId w:val="44"/>
        </w:numPr>
        <w:tabs>
          <w:tab w:val="left" w:pos="1064"/>
        </w:tabs>
        <w:spacing w:before="1" w:after="0" w:line="362" w:lineRule="auto"/>
        <w:ind w:left="218" w:right="256" w:firstLine="480"/>
        <w:jc w:val="left"/>
        <w:rPr>
          <w:sz w:val="24"/>
        </w:rPr>
      </w:pPr>
      <w:r>
        <w:rPr>
          <w:sz w:val="24"/>
        </w:rPr>
        <w:t>散装物料装卸应尽可能降低落差、轻装慢卸，车辆上应覆盖篷布；车辆出工地前应尽可能清除表面粘附的泥土等。</w:t>
      </w:r>
    </w:p>
    <w:p>
      <w:pPr>
        <w:pStyle w:val="18"/>
        <w:numPr>
          <w:ilvl w:val="0"/>
          <w:numId w:val="44"/>
        </w:numPr>
        <w:tabs>
          <w:tab w:val="left" w:pos="1066"/>
        </w:tabs>
        <w:spacing w:before="5" w:after="0" w:line="240" w:lineRule="auto"/>
        <w:ind w:left="1065" w:right="0" w:hanging="368"/>
        <w:jc w:val="left"/>
        <w:rPr>
          <w:rFonts w:ascii="Times New Roman" w:eastAsia="Times New Roman"/>
          <w:sz w:val="24"/>
        </w:rPr>
      </w:pPr>
      <w:r>
        <w:rPr>
          <w:spacing w:val="-4"/>
          <w:sz w:val="24"/>
        </w:rPr>
        <w:t xml:space="preserve">施工场地、施工道路每天洒水 </w:t>
      </w:r>
      <w:r>
        <w:rPr>
          <w:rFonts w:ascii="Times New Roman" w:eastAsia="Times New Roman"/>
          <w:sz w:val="24"/>
        </w:rPr>
        <w:t>4-5</w:t>
      </w:r>
      <w:r>
        <w:rPr>
          <w:rFonts w:ascii="Times New Roman" w:eastAsia="Times New Roman"/>
          <w:spacing w:val="7"/>
          <w:sz w:val="24"/>
        </w:rPr>
        <w:t xml:space="preserve"> </w:t>
      </w:r>
      <w:r>
        <w:rPr>
          <w:spacing w:val="-3"/>
          <w:sz w:val="24"/>
        </w:rPr>
        <w:t xml:space="preserve">次，并及时清扫道路。可使扬尘造成的 </w:t>
      </w:r>
      <w:r>
        <w:rPr>
          <w:rFonts w:ascii="Times New Roman" w:eastAsia="Times New Roman"/>
          <w:sz w:val="24"/>
        </w:rPr>
        <w:t>TSP</w:t>
      </w:r>
    </w:p>
    <w:p>
      <w:pPr>
        <w:pStyle w:val="9"/>
        <w:spacing w:before="158"/>
        <w:ind w:left="218"/>
      </w:pPr>
      <w:r>
        <w:t xml:space="preserve">污染距离缩小到 </w:t>
      </w:r>
      <w:r>
        <w:rPr>
          <w:rFonts w:ascii="Times New Roman" w:eastAsia="Times New Roman"/>
        </w:rPr>
        <w:t xml:space="preserve">20-50m </w:t>
      </w:r>
      <w:r>
        <w:t>范围。</w:t>
      </w:r>
    </w:p>
    <w:p>
      <w:pPr>
        <w:pStyle w:val="18"/>
        <w:numPr>
          <w:ilvl w:val="0"/>
          <w:numId w:val="44"/>
        </w:numPr>
        <w:tabs>
          <w:tab w:val="left" w:pos="1060"/>
        </w:tabs>
        <w:spacing w:before="158" w:after="0" w:line="240" w:lineRule="auto"/>
        <w:ind w:left="1059" w:right="0" w:hanging="362"/>
        <w:jc w:val="left"/>
        <w:rPr>
          <w:sz w:val="24"/>
        </w:rPr>
      </w:pPr>
      <w:r>
        <w:rPr>
          <w:sz w:val="24"/>
        </w:rPr>
        <w:t>施工排水主要是生活污水，经旱厕集中收集后用于堆肥。</w:t>
      </w:r>
    </w:p>
    <w:p>
      <w:pPr>
        <w:pStyle w:val="18"/>
        <w:numPr>
          <w:ilvl w:val="0"/>
          <w:numId w:val="44"/>
        </w:numPr>
        <w:tabs>
          <w:tab w:val="left" w:pos="1060"/>
        </w:tabs>
        <w:spacing w:before="160" w:after="0" w:line="240" w:lineRule="auto"/>
        <w:ind w:left="1059" w:right="0" w:hanging="362"/>
        <w:jc w:val="left"/>
        <w:rPr>
          <w:sz w:val="24"/>
        </w:rPr>
      </w:pPr>
      <w:r>
        <w:rPr>
          <w:sz w:val="24"/>
        </w:rPr>
        <w:t>优化施工方案，控制作业时间，避免夜间施工噪声扰民。</w:t>
      </w:r>
    </w:p>
    <w:p>
      <w:pPr>
        <w:pStyle w:val="18"/>
        <w:numPr>
          <w:ilvl w:val="0"/>
          <w:numId w:val="44"/>
        </w:numPr>
        <w:tabs>
          <w:tab w:val="left" w:pos="1060"/>
        </w:tabs>
        <w:spacing w:before="161" w:after="0" w:line="240" w:lineRule="auto"/>
        <w:ind w:left="1059" w:right="0" w:hanging="362"/>
        <w:jc w:val="left"/>
        <w:rPr>
          <w:sz w:val="24"/>
        </w:rPr>
      </w:pPr>
      <w:r>
        <w:rPr>
          <w:sz w:val="24"/>
        </w:rPr>
        <w:t>制订施工期环保规章制度，加强施工人员环保意识。</w:t>
      </w:r>
    </w:p>
    <w:p>
      <w:pPr>
        <w:pStyle w:val="18"/>
        <w:numPr>
          <w:ilvl w:val="0"/>
          <w:numId w:val="44"/>
        </w:numPr>
        <w:tabs>
          <w:tab w:val="left" w:pos="1060"/>
        </w:tabs>
        <w:spacing w:before="158" w:after="0" w:line="364" w:lineRule="auto"/>
        <w:ind w:left="218" w:right="257" w:firstLine="480"/>
        <w:jc w:val="left"/>
        <w:rPr>
          <w:sz w:val="24"/>
        </w:rPr>
      </w:pPr>
      <w:r>
        <w:rPr>
          <w:spacing w:val="-6"/>
          <w:sz w:val="24"/>
        </w:rPr>
        <w:t xml:space="preserve">本项目施工建设工期为 </w:t>
      </w:r>
      <w:r>
        <w:rPr>
          <w:rFonts w:ascii="Times New Roman" w:eastAsia="Times New Roman"/>
          <w:sz w:val="24"/>
        </w:rPr>
        <w:t xml:space="preserve">21 </w:t>
      </w:r>
      <w:r>
        <w:rPr>
          <w:spacing w:val="-5"/>
          <w:sz w:val="24"/>
        </w:rPr>
        <w:t>个月，在矿井施工现场需要为施工人员建设临时集中生活区，会排放一定量的生活污水，此外还有井下初期少量涌水和施工废水。</w:t>
      </w:r>
    </w:p>
    <w:p>
      <w:pPr>
        <w:pStyle w:val="9"/>
        <w:spacing w:line="364" w:lineRule="auto"/>
        <w:ind w:left="218" w:right="194" w:firstLine="480"/>
      </w:pPr>
      <w:r>
        <w:t>本项目的井巷掘进将会产生一定量的采煤废水，矿井水主要污染物为悬浮物，经沉淀后用于施工期洒水降尘，对地下水环境影响较小。</w:t>
      </w:r>
    </w:p>
    <w:p>
      <w:pPr>
        <w:pStyle w:val="9"/>
        <w:spacing w:line="364" w:lineRule="auto"/>
        <w:ind w:left="218" w:right="257" w:firstLine="480"/>
        <w:jc w:val="both"/>
      </w:pPr>
      <w:r>
        <w:rPr>
          <w:spacing w:val="-4"/>
        </w:rPr>
        <w:t>矿井工业场地建设过程中将产生部分施工废水，施工废水包括混凝土养护和车辆冲</w:t>
      </w:r>
      <w:r>
        <w:rPr>
          <w:spacing w:val="-3"/>
        </w:rPr>
        <w:t xml:space="preserve">洗废水，主要污染因子为 </w:t>
      </w:r>
      <w:r>
        <w:rPr>
          <w:rFonts w:ascii="Times New Roman" w:eastAsia="Times New Roman"/>
        </w:rPr>
        <w:t>pH</w:t>
      </w:r>
      <w:r>
        <w:t>、</w:t>
      </w:r>
      <w:r>
        <w:rPr>
          <w:rFonts w:ascii="Times New Roman" w:eastAsia="Times New Roman"/>
        </w:rPr>
        <w:t>SS</w:t>
      </w:r>
      <w:r>
        <w:t>、石油类，经采取采用加酸中和、隔油、沉淀达标后回用，对地下水环境无影响。</w:t>
      </w:r>
    </w:p>
    <w:p>
      <w:pPr>
        <w:pStyle w:val="9"/>
        <w:spacing w:line="307" w:lineRule="exact"/>
        <w:ind w:left="698"/>
      </w:pPr>
      <w:r>
        <w:rPr>
          <w:rFonts w:ascii="Times New Roman" w:eastAsia="Times New Roman"/>
        </w:rPr>
        <w:t>4</w:t>
      </w:r>
      <w:r>
        <w:t>、营运期项目生产排污环节分析</w:t>
      </w:r>
    </w:p>
    <w:p>
      <w:pPr>
        <w:pStyle w:val="9"/>
        <w:spacing w:before="156"/>
        <w:ind w:left="698"/>
      </w:pPr>
      <w:r>
        <w:t>矿井开发对环境有影响的水主要污染源为：采煤废水、生活污水；大气主要污染源</w:t>
      </w:r>
    </w:p>
    <w:p>
      <w:pPr>
        <w:spacing w:after="0"/>
        <w:sectPr>
          <w:pgSz w:w="11910" w:h="16840"/>
          <w:pgMar w:top="1360" w:right="1160" w:bottom="1180" w:left="1200" w:header="0" w:footer="993" w:gutter="0"/>
        </w:sectPr>
      </w:pPr>
    </w:p>
    <w:p>
      <w:pPr>
        <w:pStyle w:val="9"/>
        <w:spacing w:before="58" w:line="364" w:lineRule="auto"/>
        <w:ind w:left="218" w:right="205"/>
        <w:jc w:val="both"/>
      </w:pPr>
      <w:r>
        <w:rPr>
          <w:position w:val="2"/>
        </w:rPr>
        <w:t>为锅炉及热风炉烟尘、</w:t>
      </w:r>
      <w:r>
        <w:rPr>
          <w:rFonts w:ascii="Times New Roman" w:eastAsia="Times New Roman"/>
          <w:position w:val="2"/>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NO</w:t>
      </w:r>
      <w:r>
        <w:rPr>
          <w:rFonts w:ascii="Times New Roman" w:eastAsia="Times New Roman"/>
          <w:position w:val="2"/>
          <w:vertAlign w:val="subscript"/>
        </w:rPr>
        <w:t>X</w:t>
      </w:r>
      <w:r>
        <w:rPr>
          <w:position w:val="2"/>
          <w:vertAlign w:val="baseline"/>
        </w:rPr>
        <w:t>；粉尘主要来源于矸石暂存场扬尘、筛分车间排放煤</w:t>
      </w:r>
      <w:r>
        <w:rPr>
          <w:vertAlign w:val="baseline"/>
        </w:rPr>
        <w:t>尘、储煤场扬尘；主要噪声源有风机房、压风机房及各种加工维修车间的强噪声设备； 固体废物为炉渣、污泥、矸石、厨余垃圾和生活垃圾。</w:t>
      </w:r>
    </w:p>
    <w:p>
      <w:pPr>
        <w:pStyle w:val="9"/>
        <w:spacing w:line="306" w:lineRule="exact"/>
        <w:ind w:left="698"/>
      </w:pPr>
      <w:r>
        <w:t>矿井工艺排污环节分析见下图。</w:t>
      </w:r>
    </w:p>
    <w:p>
      <w:pPr>
        <w:spacing w:after="0" w:line="306" w:lineRule="exact"/>
        <w:sectPr>
          <w:pgSz w:w="11910" w:h="16840"/>
          <w:pgMar w:top="1340" w:right="1160" w:bottom="1180" w:left="1200" w:header="0" w:footer="993" w:gutter="0"/>
        </w:sectPr>
      </w:pPr>
    </w:p>
    <w:p>
      <w:pPr>
        <w:pStyle w:val="9"/>
        <w:rPr>
          <w:sz w:val="20"/>
        </w:rPr>
      </w:pPr>
    </w:p>
    <w:p>
      <w:pPr>
        <w:pStyle w:val="9"/>
        <w:spacing w:before="6"/>
        <w:rPr>
          <w:sz w:val="29"/>
        </w:rPr>
      </w:pPr>
    </w:p>
    <w:p>
      <w:pPr>
        <w:pStyle w:val="9"/>
        <w:ind w:left="101"/>
        <w:rPr>
          <w:sz w:val="20"/>
        </w:rPr>
      </w:pPr>
      <w:r>
        <w:rPr>
          <w:sz w:val="20"/>
        </w:rPr>
        <w:drawing>
          <wp:inline distT="0" distB="0" distL="0" distR="0">
            <wp:extent cx="8273415" cy="440817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41" cstate="print"/>
                    <a:stretch>
                      <a:fillRect/>
                    </a:stretch>
                  </pic:blipFill>
                  <pic:spPr>
                    <a:xfrm>
                      <a:off x="0" y="0"/>
                      <a:ext cx="8274044" cy="4408170"/>
                    </a:xfrm>
                    <a:prstGeom prst="rect">
                      <a:avLst/>
                    </a:prstGeom>
                  </pic:spPr>
                </pic:pic>
              </a:graphicData>
            </a:graphic>
          </wp:inline>
        </w:drawing>
      </w:r>
    </w:p>
    <w:p>
      <w:pPr>
        <w:pStyle w:val="9"/>
        <w:rPr>
          <w:sz w:val="20"/>
        </w:rPr>
      </w:pPr>
    </w:p>
    <w:p>
      <w:pPr>
        <w:pStyle w:val="9"/>
        <w:rPr>
          <w:sz w:val="20"/>
        </w:rPr>
      </w:pPr>
    </w:p>
    <w:p>
      <w:pPr>
        <w:pStyle w:val="9"/>
        <w:spacing w:before="7"/>
        <w:rPr>
          <w:sz w:val="17"/>
        </w:rPr>
      </w:pPr>
    </w:p>
    <w:p>
      <w:pPr>
        <w:spacing w:before="0"/>
        <w:ind w:left="5095" w:right="5465" w:firstLine="0"/>
        <w:jc w:val="center"/>
        <w:rPr>
          <w:b/>
          <w:sz w:val="21"/>
        </w:rPr>
      </w:pPr>
      <w:r>
        <w:rPr>
          <w:b/>
          <w:spacing w:val="-28"/>
          <w:sz w:val="21"/>
        </w:rPr>
        <w:t xml:space="preserve">图 </w:t>
      </w:r>
      <w:r>
        <w:rPr>
          <w:rFonts w:ascii="Times New Roman" w:eastAsia="Times New Roman"/>
          <w:b/>
          <w:sz w:val="21"/>
        </w:rPr>
        <w:t>2.4-2</w:t>
      </w:r>
      <w:r>
        <w:rPr>
          <w:rFonts w:ascii="Times New Roman" w:eastAsia="Times New Roman"/>
          <w:b/>
          <w:spacing w:val="52"/>
          <w:sz w:val="21"/>
        </w:rPr>
        <w:t xml:space="preserve"> </w:t>
      </w:r>
      <w:r>
        <w:rPr>
          <w:b/>
          <w:sz w:val="21"/>
        </w:rPr>
        <w:t>矿井工艺排污环节图</w:t>
      </w:r>
    </w:p>
    <w:p>
      <w:pPr>
        <w:pStyle w:val="9"/>
        <w:rPr>
          <w:b/>
          <w:sz w:val="20"/>
        </w:rPr>
      </w:pPr>
    </w:p>
    <w:p>
      <w:pPr>
        <w:pStyle w:val="9"/>
        <w:rPr>
          <w:b/>
          <w:sz w:val="20"/>
        </w:rPr>
      </w:pPr>
    </w:p>
    <w:p>
      <w:pPr>
        <w:pStyle w:val="9"/>
        <w:rPr>
          <w:b/>
          <w:sz w:val="20"/>
        </w:rPr>
      </w:pPr>
    </w:p>
    <w:p>
      <w:pPr>
        <w:pStyle w:val="9"/>
        <w:spacing w:before="4"/>
        <w:rPr>
          <w:b/>
          <w:sz w:val="19"/>
        </w:rPr>
      </w:pPr>
    </w:p>
    <w:p>
      <w:pPr>
        <w:spacing w:before="0"/>
        <w:ind w:left="5087" w:right="5465" w:firstLine="0"/>
        <w:jc w:val="center"/>
        <w:rPr>
          <w:rFonts w:ascii="Times New Roman"/>
          <w:sz w:val="18"/>
        </w:rPr>
      </w:pPr>
      <w:r>
        <w:rPr>
          <w:rFonts w:ascii="Times New Roman"/>
          <w:sz w:val="18"/>
        </w:rPr>
        <w:t>75</w:t>
      </w:r>
    </w:p>
    <w:p>
      <w:pPr>
        <w:spacing w:after="0"/>
        <w:jc w:val="center"/>
        <w:rPr>
          <w:rFonts w:ascii="Times New Roman"/>
          <w:sz w:val="18"/>
        </w:rPr>
        <w:sectPr>
          <w:footerReference r:id="rId11" w:type="default"/>
          <w:pgSz w:w="16840" w:h="11910" w:orient="landscape"/>
          <w:pgMar w:top="1100" w:right="1580" w:bottom="280" w:left="1960" w:header="0" w:footer="0" w:gutter="0"/>
        </w:sectPr>
      </w:pPr>
    </w:p>
    <w:p>
      <w:pPr>
        <w:pStyle w:val="9"/>
        <w:spacing w:before="61"/>
        <w:ind w:left="698"/>
      </w:pPr>
      <w:r>
        <w:rPr>
          <w:rFonts w:ascii="Times New Roman" w:eastAsia="Times New Roman"/>
        </w:rPr>
        <w:t>5</w:t>
      </w:r>
      <w:r>
        <w:t>、营运期主要污染源、污染物及防治措施</w:t>
      </w:r>
    </w:p>
    <w:p>
      <w:pPr>
        <w:pStyle w:val="18"/>
        <w:numPr>
          <w:ilvl w:val="0"/>
          <w:numId w:val="45"/>
        </w:numPr>
        <w:tabs>
          <w:tab w:val="left" w:pos="1300"/>
        </w:tabs>
        <w:spacing w:before="158" w:after="0" w:line="240" w:lineRule="auto"/>
        <w:ind w:left="1299" w:right="0" w:hanging="602"/>
        <w:jc w:val="left"/>
        <w:rPr>
          <w:sz w:val="24"/>
        </w:rPr>
      </w:pPr>
      <w:r>
        <w:rPr>
          <w:sz w:val="24"/>
        </w:rPr>
        <w:t>环境空气污染源及治理措施</w:t>
      </w:r>
    </w:p>
    <w:p>
      <w:pPr>
        <w:pStyle w:val="9"/>
        <w:spacing w:before="161" w:line="364" w:lineRule="auto"/>
        <w:ind w:left="218" w:right="174" w:firstLine="480"/>
      </w:pPr>
      <w:r>
        <w:t>本项目可能对周围环境空气产生影响的主要环节有锅炉房、食堂油烟、储煤场、筛分车间、矸石暂存厂等。</w:t>
      </w:r>
    </w:p>
    <w:p>
      <w:pPr>
        <w:pStyle w:val="9"/>
        <w:spacing w:line="306" w:lineRule="exact"/>
        <w:ind w:left="698"/>
      </w:pPr>
      <w:r>
        <w:t>①锅炉烟气</w:t>
      </w:r>
    </w:p>
    <w:p>
      <w:pPr>
        <w:pStyle w:val="9"/>
        <w:spacing w:before="160"/>
        <w:ind w:left="698"/>
      </w:pPr>
      <w:r>
        <w:rPr>
          <w:rFonts w:ascii="Times New Roman" w:eastAsia="Times New Roman"/>
          <w:spacing w:val="-1"/>
        </w:rPr>
        <w:t>a</w:t>
      </w:r>
      <w:r>
        <w:t>、燃料用量</w:t>
      </w:r>
    </w:p>
    <w:p>
      <w:pPr>
        <w:pStyle w:val="9"/>
        <w:spacing w:before="158" w:line="364" w:lineRule="auto"/>
        <w:ind w:left="218" w:right="113" w:firstLine="480"/>
      </w:pPr>
      <w:r>
        <w:rPr>
          <w:spacing w:val="-3"/>
        </w:rPr>
        <w:t>本项目主井工业广场拟建一台热风炉；副井工业广场拟建一台热水锅炉、一台热风</w:t>
      </w:r>
      <w:r>
        <w:rPr>
          <w:spacing w:val="-23"/>
        </w:rPr>
        <w:t xml:space="preserve">炉，燃料均为生物质。根据《双鸭山盟度矿业有限责任公司改扩建项目可行性研究报告》， </w:t>
      </w:r>
      <w:r>
        <w:rPr>
          <w:spacing w:val="-1"/>
        </w:rPr>
        <w:t>本项目主井工业广场井筒加热热负荷：</w:t>
      </w:r>
      <w:r>
        <w:rPr>
          <w:rFonts w:ascii="Times New Roman" w:eastAsia="Times New Roman"/>
          <w:spacing w:val="-15"/>
        </w:rPr>
        <w:t>440kw</w:t>
      </w:r>
      <w:r>
        <w:rPr>
          <w:spacing w:val="-5"/>
        </w:rPr>
        <w:t>；副井工业广场井筒加热热负荷：</w:t>
      </w:r>
      <w:r>
        <w:rPr>
          <w:rFonts w:ascii="Times New Roman" w:eastAsia="Times New Roman"/>
          <w:spacing w:val="-8"/>
        </w:rPr>
        <w:t>1877kw</w:t>
      </w:r>
      <w:r>
        <w:rPr>
          <w:spacing w:val="-15"/>
        </w:rPr>
        <w:t>、</w:t>
      </w:r>
      <w:r>
        <w:rPr>
          <w:spacing w:val="-8"/>
        </w:rPr>
        <w:t xml:space="preserve">锅炉最大热负荷 </w:t>
      </w:r>
      <w:r>
        <w:rPr>
          <w:rFonts w:ascii="Times New Roman" w:eastAsia="Times New Roman"/>
        </w:rPr>
        <w:t>1160.5kw</w:t>
      </w:r>
      <w:r>
        <w:rPr>
          <w:spacing w:val="-9"/>
        </w:rPr>
        <w:t xml:space="preserve">，热效率均为 </w:t>
      </w:r>
      <w:r>
        <w:rPr>
          <w:rFonts w:ascii="Times New Roman" w:eastAsia="Times New Roman"/>
        </w:rPr>
        <w:t>88%</w:t>
      </w:r>
      <w:r>
        <w:t>，详见下表。</w:t>
      </w:r>
    </w:p>
    <w:p>
      <w:pPr>
        <w:spacing w:before="0" w:after="4" w:line="265" w:lineRule="exact"/>
        <w:ind w:left="3091" w:right="0" w:firstLine="0"/>
        <w:jc w:val="left"/>
        <w:rPr>
          <w:b/>
          <w:sz w:val="21"/>
        </w:rPr>
      </w:pPr>
      <w:r>
        <w:rPr>
          <w:b/>
          <w:spacing w:val="-28"/>
          <w:sz w:val="21"/>
        </w:rPr>
        <w:t xml:space="preserve">表 </w:t>
      </w:r>
      <w:r>
        <w:rPr>
          <w:rFonts w:ascii="Times New Roman" w:eastAsia="Times New Roman"/>
          <w:b/>
          <w:sz w:val="21"/>
        </w:rPr>
        <w:t>2.4-3</w:t>
      </w:r>
      <w:r>
        <w:rPr>
          <w:rFonts w:ascii="Times New Roman" w:eastAsia="Times New Roman"/>
          <w:b/>
          <w:spacing w:val="52"/>
          <w:sz w:val="21"/>
        </w:rPr>
        <w:t xml:space="preserve"> </w:t>
      </w:r>
      <w:r>
        <w:rPr>
          <w:b/>
          <w:sz w:val="21"/>
        </w:rPr>
        <w:t>施工期主要噪声源与噪声级</w:t>
      </w: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08"/>
        <w:gridCol w:w="1446"/>
        <w:gridCol w:w="1446"/>
        <w:gridCol w:w="1445"/>
        <w:gridCol w:w="1446"/>
        <w:gridCol w:w="1446"/>
        <w:gridCol w:w="144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54" w:hRule="atLeast"/>
        </w:trPr>
        <w:tc>
          <w:tcPr>
            <w:tcW w:w="608" w:type="dxa"/>
            <w:tcBorders>
              <w:bottom w:val="single" w:color="000000" w:sz="4" w:space="0"/>
              <w:right w:val="single" w:color="000000" w:sz="4" w:space="0"/>
            </w:tcBorders>
          </w:tcPr>
          <w:p>
            <w:pPr>
              <w:pStyle w:val="19"/>
              <w:ind w:left="189"/>
              <w:jc w:val="left"/>
              <w:rPr>
                <w:sz w:val="21"/>
              </w:rPr>
            </w:pPr>
            <w:r>
              <w:rPr>
                <w:w w:val="99"/>
                <w:sz w:val="21"/>
              </w:rPr>
              <w:t>序</w:t>
            </w:r>
          </w:p>
          <w:p>
            <w:pPr>
              <w:pStyle w:val="19"/>
              <w:spacing w:before="57"/>
              <w:ind w:left="189"/>
              <w:jc w:val="left"/>
              <w:rPr>
                <w:sz w:val="21"/>
              </w:rPr>
            </w:pPr>
            <w:r>
              <w:rPr>
                <w:w w:val="99"/>
                <w:sz w:val="21"/>
              </w:rPr>
              <w:t>号</w:t>
            </w:r>
          </w:p>
        </w:tc>
        <w:tc>
          <w:tcPr>
            <w:tcW w:w="1446" w:type="dxa"/>
            <w:tcBorders>
              <w:left w:val="single" w:color="000000" w:sz="4" w:space="0"/>
              <w:bottom w:val="single" w:color="000000" w:sz="4" w:space="0"/>
              <w:right w:val="single" w:color="000000" w:sz="4" w:space="0"/>
            </w:tcBorders>
          </w:tcPr>
          <w:p>
            <w:pPr>
              <w:pStyle w:val="19"/>
              <w:spacing w:before="163"/>
              <w:ind w:left="93" w:right="93"/>
              <w:rPr>
                <w:sz w:val="21"/>
              </w:rPr>
            </w:pPr>
            <w:r>
              <w:rPr>
                <w:sz w:val="21"/>
              </w:rPr>
              <w:t>用途</w:t>
            </w:r>
          </w:p>
        </w:tc>
        <w:tc>
          <w:tcPr>
            <w:tcW w:w="1446" w:type="dxa"/>
            <w:tcBorders>
              <w:left w:val="single" w:color="000000" w:sz="4" w:space="0"/>
              <w:bottom w:val="single" w:color="000000" w:sz="4" w:space="0"/>
              <w:right w:val="single" w:color="000000" w:sz="4" w:space="0"/>
            </w:tcBorders>
          </w:tcPr>
          <w:p>
            <w:pPr>
              <w:pStyle w:val="19"/>
              <w:spacing w:before="163"/>
              <w:ind w:left="93" w:right="94"/>
              <w:rPr>
                <w:sz w:val="21"/>
              </w:rPr>
            </w:pPr>
            <w:r>
              <w:rPr>
                <w:sz w:val="21"/>
              </w:rPr>
              <w:t>燃料</w:t>
            </w:r>
          </w:p>
        </w:tc>
        <w:tc>
          <w:tcPr>
            <w:tcW w:w="1445" w:type="dxa"/>
            <w:tcBorders>
              <w:left w:val="single" w:color="000000" w:sz="4" w:space="0"/>
              <w:bottom w:val="single" w:color="000000" w:sz="4" w:space="0"/>
              <w:right w:val="single" w:color="000000" w:sz="4" w:space="0"/>
            </w:tcBorders>
          </w:tcPr>
          <w:p>
            <w:pPr>
              <w:pStyle w:val="19"/>
              <w:spacing w:before="163"/>
              <w:ind w:left="171" w:right="174"/>
              <w:rPr>
                <w:sz w:val="21"/>
              </w:rPr>
            </w:pPr>
            <w:r>
              <w:rPr>
                <w:sz w:val="21"/>
              </w:rPr>
              <w:t>年运行时间</w:t>
            </w:r>
          </w:p>
        </w:tc>
        <w:tc>
          <w:tcPr>
            <w:tcW w:w="1446" w:type="dxa"/>
            <w:tcBorders>
              <w:left w:val="single" w:color="000000" w:sz="4" w:space="0"/>
              <w:bottom w:val="single" w:color="000000" w:sz="4" w:space="0"/>
              <w:right w:val="single" w:color="000000" w:sz="4" w:space="0"/>
            </w:tcBorders>
          </w:tcPr>
          <w:p>
            <w:pPr>
              <w:pStyle w:val="19"/>
              <w:spacing w:before="163"/>
              <w:ind w:left="93"/>
              <w:rPr>
                <w:sz w:val="21"/>
              </w:rPr>
            </w:pPr>
            <w:r>
              <w:rPr>
                <w:sz w:val="21"/>
              </w:rPr>
              <w:t>热负荷（</w:t>
            </w:r>
            <w:r>
              <w:rPr>
                <w:rFonts w:ascii="Times New Roman" w:eastAsia="Times New Roman"/>
                <w:sz w:val="21"/>
              </w:rPr>
              <w:t>kw</w:t>
            </w:r>
            <w:r>
              <w:rPr>
                <w:sz w:val="21"/>
              </w:rPr>
              <w:t>）</w:t>
            </w:r>
          </w:p>
        </w:tc>
        <w:tc>
          <w:tcPr>
            <w:tcW w:w="1446" w:type="dxa"/>
            <w:tcBorders>
              <w:left w:val="single" w:color="000000" w:sz="4" w:space="0"/>
              <w:bottom w:val="single" w:color="000000" w:sz="4" w:space="0"/>
              <w:right w:val="single" w:color="000000" w:sz="4" w:space="0"/>
            </w:tcBorders>
          </w:tcPr>
          <w:p>
            <w:pPr>
              <w:pStyle w:val="19"/>
              <w:spacing w:before="163"/>
              <w:ind w:left="112"/>
              <w:rPr>
                <w:sz w:val="21"/>
              </w:rPr>
            </w:pPr>
            <w:r>
              <w:rPr>
                <w:spacing w:val="6"/>
                <w:sz w:val="21"/>
              </w:rPr>
              <w:t>燃料量</w:t>
            </w:r>
            <w:r>
              <w:rPr>
                <w:sz w:val="21"/>
              </w:rPr>
              <w:t>（</w:t>
            </w:r>
            <w:r>
              <w:rPr>
                <w:spacing w:val="-87"/>
                <w:sz w:val="21"/>
              </w:rPr>
              <w:t xml:space="preserve"> </w:t>
            </w:r>
            <w:r>
              <w:rPr>
                <w:rFonts w:ascii="Times New Roman" w:eastAsia="Times New Roman"/>
                <w:spacing w:val="2"/>
                <w:sz w:val="21"/>
              </w:rPr>
              <w:t>t/a</w:t>
            </w:r>
            <w:r>
              <w:rPr>
                <w:spacing w:val="2"/>
                <w:sz w:val="21"/>
              </w:rPr>
              <w:t>）</w:t>
            </w:r>
          </w:p>
        </w:tc>
        <w:tc>
          <w:tcPr>
            <w:tcW w:w="1449" w:type="dxa"/>
            <w:tcBorders>
              <w:left w:val="single" w:color="000000" w:sz="4" w:space="0"/>
              <w:bottom w:val="single" w:color="000000" w:sz="4" w:space="0"/>
            </w:tcBorders>
          </w:tcPr>
          <w:p>
            <w:pPr>
              <w:pStyle w:val="19"/>
              <w:spacing w:before="163"/>
              <w:ind w:left="277" w:right="275"/>
              <w:rPr>
                <w:sz w:val="21"/>
              </w:rPr>
            </w:pPr>
            <w:r>
              <w:rPr>
                <w:sz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0" w:hRule="atLeast"/>
        </w:trPr>
        <w:tc>
          <w:tcPr>
            <w:tcW w:w="608" w:type="dxa"/>
            <w:tcBorders>
              <w:top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ind w:left="1"/>
              <w:rPr>
                <w:rFonts w:ascii="Times New Roman"/>
                <w:sz w:val="21"/>
              </w:rPr>
            </w:pPr>
            <w:r>
              <w:rPr>
                <w:rFonts w:ascii="Times New Roman"/>
                <w:w w:val="99"/>
                <w:sz w:val="21"/>
              </w:rPr>
              <w:t>1</w:t>
            </w:r>
          </w:p>
        </w:tc>
        <w:tc>
          <w:tcPr>
            <w:tcW w:w="1446" w:type="dxa"/>
            <w:tcBorders>
              <w:top w:val="single" w:color="000000" w:sz="4" w:space="0"/>
              <w:left w:val="single" w:color="000000" w:sz="4" w:space="0"/>
              <w:bottom w:val="single" w:color="000000" w:sz="4" w:space="0"/>
              <w:right w:val="single" w:color="000000" w:sz="4" w:space="0"/>
            </w:tcBorders>
          </w:tcPr>
          <w:p>
            <w:pPr>
              <w:pStyle w:val="19"/>
              <w:spacing w:before="11"/>
              <w:jc w:val="left"/>
              <w:rPr>
                <w:b/>
                <w:sz w:val="29"/>
              </w:rPr>
            </w:pPr>
          </w:p>
          <w:p>
            <w:pPr>
              <w:pStyle w:val="19"/>
              <w:spacing w:line="290" w:lineRule="auto"/>
              <w:ind w:left="623" w:right="181" w:hanging="420"/>
              <w:jc w:val="left"/>
              <w:rPr>
                <w:sz w:val="21"/>
              </w:rPr>
            </w:pPr>
            <w:r>
              <w:rPr>
                <w:sz w:val="21"/>
              </w:rPr>
              <w:t>副井井口加热</w:t>
            </w:r>
          </w:p>
        </w:tc>
        <w:tc>
          <w:tcPr>
            <w:tcW w:w="1446"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7"/>
              <w:jc w:val="left"/>
              <w:rPr>
                <w:b/>
                <w:sz w:val="22"/>
              </w:rPr>
            </w:pPr>
          </w:p>
          <w:p>
            <w:pPr>
              <w:pStyle w:val="19"/>
              <w:ind w:left="93" w:right="94"/>
              <w:rPr>
                <w:sz w:val="21"/>
              </w:rPr>
            </w:pPr>
            <w:r>
              <w:rPr>
                <w:sz w:val="21"/>
              </w:rPr>
              <w:t>生物质</w:t>
            </w:r>
          </w:p>
        </w:tc>
        <w:tc>
          <w:tcPr>
            <w:tcW w:w="1445" w:type="dxa"/>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ind w:left="171" w:right="154"/>
              <w:rPr>
                <w:rFonts w:ascii="Times New Roman"/>
                <w:sz w:val="21"/>
              </w:rPr>
            </w:pPr>
            <w:r>
              <w:rPr>
                <w:rFonts w:ascii="Times New Roman"/>
                <w:sz w:val="21"/>
              </w:rPr>
              <w:t>3240h</w:t>
            </w:r>
          </w:p>
        </w:tc>
        <w:tc>
          <w:tcPr>
            <w:tcW w:w="1446" w:type="dxa"/>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ind w:left="93" w:right="73"/>
              <w:rPr>
                <w:rFonts w:ascii="Times New Roman"/>
                <w:sz w:val="21"/>
              </w:rPr>
            </w:pPr>
            <w:r>
              <w:rPr>
                <w:rFonts w:ascii="Times New Roman"/>
                <w:sz w:val="21"/>
              </w:rPr>
              <w:t>1877</w:t>
            </w:r>
          </w:p>
        </w:tc>
        <w:tc>
          <w:tcPr>
            <w:tcW w:w="1446" w:type="dxa"/>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ind w:left="93" w:right="90"/>
              <w:rPr>
                <w:rFonts w:ascii="Times New Roman"/>
                <w:sz w:val="21"/>
              </w:rPr>
            </w:pPr>
            <w:r>
              <w:rPr>
                <w:rFonts w:ascii="Times New Roman"/>
                <w:sz w:val="21"/>
              </w:rPr>
              <w:t>1802</w:t>
            </w:r>
          </w:p>
        </w:tc>
        <w:tc>
          <w:tcPr>
            <w:tcW w:w="1449" w:type="dxa"/>
            <w:tcBorders>
              <w:top w:val="single" w:color="000000" w:sz="4" w:space="0"/>
              <w:left w:val="single" w:color="000000" w:sz="4" w:space="0"/>
              <w:bottom w:val="single" w:color="000000" w:sz="4" w:space="0"/>
            </w:tcBorders>
          </w:tcPr>
          <w:p>
            <w:pPr>
              <w:pStyle w:val="19"/>
              <w:jc w:val="left"/>
              <w:rPr>
                <w:b/>
                <w:sz w:val="20"/>
              </w:rPr>
            </w:pPr>
          </w:p>
          <w:p>
            <w:pPr>
              <w:pStyle w:val="19"/>
              <w:spacing w:before="7"/>
              <w:jc w:val="left"/>
              <w:rPr>
                <w:b/>
                <w:sz w:val="22"/>
              </w:rPr>
            </w:pPr>
          </w:p>
          <w:p>
            <w:pPr>
              <w:pStyle w:val="19"/>
              <w:ind w:left="277" w:right="277"/>
              <w:rPr>
                <w:sz w:val="21"/>
              </w:rPr>
            </w:pPr>
            <w:r>
              <w:rPr>
                <w:sz w:val="21"/>
              </w:rPr>
              <w:t>冬季运行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90" w:hRule="atLeast"/>
        </w:trPr>
        <w:tc>
          <w:tcPr>
            <w:tcW w:w="608" w:type="dxa"/>
            <w:tcBorders>
              <w:top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spacing w:before="5"/>
              <w:jc w:val="left"/>
              <w:rPr>
                <w:b/>
                <w:sz w:val="18"/>
              </w:rPr>
            </w:pPr>
          </w:p>
          <w:p>
            <w:pPr>
              <w:pStyle w:val="19"/>
              <w:ind w:left="1"/>
              <w:rPr>
                <w:rFonts w:ascii="Times New Roman"/>
                <w:sz w:val="21"/>
              </w:rPr>
            </w:pPr>
            <w:r>
              <w:rPr>
                <w:rFonts w:ascii="Times New Roman"/>
                <w:w w:val="99"/>
                <w:sz w:val="21"/>
              </w:rPr>
              <w:t>2</w:t>
            </w:r>
          </w:p>
        </w:tc>
        <w:tc>
          <w:tcPr>
            <w:tcW w:w="1446"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6"/>
              <w:jc w:val="left"/>
              <w:rPr>
                <w:b/>
                <w:sz w:val="15"/>
              </w:rPr>
            </w:pPr>
          </w:p>
          <w:p>
            <w:pPr>
              <w:pStyle w:val="19"/>
              <w:spacing w:line="290" w:lineRule="auto"/>
              <w:ind w:left="112" w:right="61" w:hanging="32"/>
              <w:rPr>
                <w:sz w:val="21"/>
              </w:rPr>
            </w:pPr>
            <w:r>
              <w:rPr>
                <w:sz w:val="21"/>
              </w:rPr>
              <w:t>副井洗浴</w:t>
            </w:r>
            <w:r>
              <w:rPr>
                <w:rFonts w:ascii="Times New Roman" w:eastAsia="Times New Roman"/>
                <w:sz w:val="21"/>
              </w:rPr>
              <w:t>,</w:t>
            </w:r>
            <w:r>
              <w:rPr>
                <w:sz w:val="21"/>
              </w:rPr>
              <w:t>烘干房等供热、冬季供暖</w:t>
            </w:r>
          </w:p>
        </w:tc>
        <w:tc>
          <w:tcPr>
            <w:tcW w:w="1446"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spacing w:before="12"/>
              <w:jc w:val="left"/>
              <w:rPr>
                <w:b/>
                <w:sz w:val="20"/>
              </w:rPr>
            </w:pPr>
          </w:p>
          <w:p>
            <w:pPr>
              <w:pStyle w:val="19"/>
              <w:ind w:left="93" w:right="94"/>
              <w:rPr>
                <w:sz w:val="21"/>
              </w:rPr>
            </w:pPr>
            <w:r>
              <w:rPr>
                <w:sz w:val="21"/>
              </w:rPr>
              <w:t>生物质</w:t>
            </w:r>
          </w:p>
        </w:tc>
        <w:tc>
          <w:tcPr>
            <w:tcW w:w="1445" w:type="dxa"/>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spacing w:before="5"/>
              <w:jc w:val="left"/>
              <w:rPr>
                <w:b/>
                <w:sz w:val="18"/>
              </w:rPr>
            </w:pPr>
          </w:p>
          <w:p>
            <w:pPr>
              <w:pStyle w:val="19"/>
              <w:ind w:left="171" w:right="152"/>
              <w:rPr>
                <w:rFonts w:ascii="Times New Roman"/>
                <w:sz w:val="21"/>
              </w:rPr>
            </w:pPr>
            <w:r>
              <w:rPr>
                <w:rFonts w:ascii="Times New Roman"/>
                <w:sz w:val="21"/>
              </w:rPr>
              <w:t>5400h</w:t>
            </w:r>
          </w:p>
        </w:tc>
        <w:tc>
          <w:tcPr>
            <w:tcW w:w="1446" w:type="dxa"/>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spacing w:before="5"/>
              <w:jc w:val="left"/>
              <w:rPr>
                <w:b/>
                <w:sz w:val="18"/>
              </w:rPr>
            </w:pPr>
          </w:p>
          <w:p>
            <w:pPr>
              <w:pStyle w:val="19"/>
              <w:ind w:left="93" w:right="73"/>
              <w:rPr>
                <w:rFonts w:ascii="Times New Roman"/>
                <w:sz w:val="21"/>
              </w:rPr>
            </w:pPr>
            <w:r>
              <w:rPr>
                <w:rFonts w:ascii="Times New Roman"/>
                <w:sz w:val="21"/>
              </w:rPr>
              <w:t>1160.5</w:t>
            </w:r>
          </w:p>
        </w:tc>
        <w:tc>
          <w:tcPr>
            <w:tcW w:w="1446" w:type="dxa"/>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spacing w:before="5"/>
              <w:jc w:val="left"/>
              <w:rPr>
                <w:b/>
                <w:sz w:val="18"/>
              </w:rPr>
            </w:pPr>
          </w:p>
          <w:p>
            <w:pPr>
              <w:pStyle w:val="19"/>
              <w:ind w:left="93" w:right="90"/>
              <w:rPr>
                <w:rFonts w:ascii="Times New Roman"/>
                <w:sz w:val="21"/>
              </w:rPr>
            </w:pPr>
            <w:r>
              <w:rPr>
                <w:rFonts w:ascii="Times New Roman"/>
                <w:sz w:val="21"/>
              </w:rPr>
              <w:t>1856</w:t>
            </w:r>
          </w:p>
        </w:tc>
        <w:tc>
          <w:tcPr>
            <w:tcW w:w="1449" w:type="dxa"/>
            <w:tcBorders>
              <w:top w:val="single" w:color="000000" w:sz="4" w:space="0"/>
              <w:left w:val="single" w:color="000000" w:sz="4" w:space="0"/>
              <w:bottom w:val="single" w:color="000000" w:sz="4" w:space="0"/>
            </w:tcBorders>
          </w:tcPr>
          <w:p>
            <w:pPr>
              <w:pStyle w:val="19"/>
              <w:jc w:val="left"/>
              <w:rPr>
                <w:b/>
                <w:sz w:val="20"/>
              </w:rPr>
            </w:pPr>
          </w:p>
          <w:p>
            <w:pPr>
              <w:pStyle w:val="19"/>
              <w:jc w:val="left"/>
              <w:rPr>
                <w:b/>
                <w:sz w:val="20"/>
              </w:rPr>
            </w:pPr>
          </w:p>
          <w:p>
            <w:pPr>
              <w:pStyle w:val="19"/>
              <w:spacing w:before="12"/>
              <w:jc w:val="left"/>
              <w:rPr>
                <w:b/>
                <w:sz w:val="20"/>
              </w:rPr>
            </w:pPr>
          </w:p>
          <w:p>
            <w:pPr>
              <w:pStyle w:val="19"/>
              <w:ind w:left="277" w:right="277"/>
              <w:rPr>
                <w:sz w:val="21"/>
              </w:rPr>
            </w:pPr>
            <w:r>
              <w:rPr>
                <w:sz w:val="21"/>
              </w:rPr>
              <w:t>全年运行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9" w:hRule="atLeast"/>
        </w:trPr>
        <w:tc>
          <w:tcPr>
            <w:tcW w:w="608" w:type="dxa"/>
            <w:tcBorders>
              <w:top w:val="single" w:color="000000" w:sz="4" w:space="0"/>
              <w:right w:val="single" w:color="000000" w:sz="4" w:space="0"/>
            </w:tcBorders>
          </w:tcPr>
          <w:p>
            <w:pPr>
              <w:pStyle w:val="19"/>
              <w:jc w:val="left"/>
              <w:rPr>
                <w:b/>
                <w:sz w:val="22"/>
              </w:rPr>
            </w:pPr>
          </w:p>
          <w:p>
            <w:pPr>
              <w:pStyle w:val="19"/>
              <w:spacing w:before="4"/>
              <w:jc w:val="left"/>
              <w:rPr>
                <w:b/>
                <w:sz w:val="22"/>
              </w:rPr>
            </w:pPr>
          </w:p>
          <w:p>
            <w:pPr>
              <w:pStyle w:val="19"/>
              <w:ind w:left="1"/>
              <w:rPr>
                <w:rFonts w:ascii="Times New Roman"/>
                <w:sz w:val="21"/>
              </w:rPr>
            </w:pPr>
            <w:r>
              <w:rPr>
                <w:rFonts w:ascii="Times New Roman"/>
                <w:w w:val="99"/>
                <w:sz w:val="21"/>
              </w:rPr>
              <w:t>3</w:t>
            </w:r>
          </w:p>
        </w:tc>
        <w:tc>
          <w:tcPr>
            <w:tcW w:w="1446" w:type="dxa"/>
            <w:tcBorders>
              <w:top w:val="single" w:color="000000" w:sz="4" w:space="0"/>
              <w:left w:val="single" w:color="000000" w:sz="4" w:space="0"/>
              <w:right w:val="single" w:color="000000" w:sz="4" w:space="0"/>
            </w:tcBorders>
          </w:tcPr>
          <w:p>
            <w:pPr>
              <w:pStyle w:val="19"/>
              <w:jc w:val="left"/>
              <w:rPr>
                <w:b/>
                <w:sz w:val="20"/>
              </w:rPr>
            </w:pPr>
          </w:p>
          <w:p>
            <w:pPr>
              <w:pStyle w:val="19"/>
              <w:spacing w:before="132" w:line="290" w:lineRule="auto"/>
              <w:ind w:left="623" w:right="181" w:hanging="420"/>
              <w:jc w:val="left"/>
              <w:rPr>
                <w:sz w:val="21"/>
              </w:rPr>
            </w:pPr>
            <w:r>
              <w:rPr>
                <w:sz w:val="21"/>
              </w:rPr>
              <w:t>主井井口加热</w:t>
            </w:r>
          </w:p>
        </w:tc>
        <w:tc>
          <w:tcPr>
            <w:tcW w:w="1446" w:type="dxa"/>
            <w:tcBorders>
              <w:top w:val="single" w:color="000000" w:sz="4" w:space="0"/>
              <w:left w:val="single" w:color="000000" w:sz="4" w:space="0"/>
              <w:right w:val="single" w:color="000000" w:sz="4" w:space="0"/>
            </w:tcBorders>
          </w:tcPr>
          <w:p>
            <w:pPr>
              <w:pStyle w:val="19"/>
              <w:jc w:val="left"/>
              <w:rPr>
                <w:b/>
                <w:sz w:val="20"/>
              </w:rPr>
            </w:pPr>
          </w:p>
          <w:p>
            <w:pPr>
              <w:pStyle w:val="19"/>
              <w:jc w:val="left"/>
              <w:rPr>
                <w:b/>
                <w:sz w:val="23"/>
              </w:rPr>
            </w:pPr>
          </w:p>
          <w:p>
            <w:pPr>
              <w:pStyle w:val="19"/>
              <w:spacing w:before="1"/>
              <w:ind w:left="93" w:right="94"/>
              <w:rPr>
                <w:sz w:val="21"/>
              </w:rPr>
            </w:pPr>
            <w:r>
              <w:rPr>
                <w:sz w:val="21"/>
              </w:rPr>
              <w:t>生物质</w:t>
            </w:r>
          </w:p>
        </w:tc>
        <w:tc>
          <w:tcPr>
            <w:tcW w:w="1445" w:type="dxa"/>
            <w:tcBorders>
              <w:top w:val="single" w:color="000000" w:sz="4" w:space="0"/>
              <w:left w:val="single" w:color="000000" w:sz="4" w:space="0"/>
              <w:right w:val="single" w:color="000000" w:sz="4" w:space="0"/>
            </w:tcBorders>
          </w:tcPr>
          <w:p>
            <w:pPr>
              <w:pStyle w:val="19"/>
              <w:jc w:val="left"/>
              <w:rPr>
                <w:b/>
                <w:sz w:val="22"/>
              </w:rPr>
            </w:pPr>
          </w:p>
          <w:p>
            <w:pPr>
              <w:pStyle w:val="19"/>
              <w:spacing w:before="4"/>
              <w:jc w:val="left"/>
              <w:rPr>
                <w:b/>
                <w:sz w:val="22"/>
              </w:rPr>
            </w:pPr>
          </w:p>
          <w:p>
            <w:pPr>
              <w:pStyle w:val="19"/>
              <w:ind w:left="171" w:right="154"/>
              <w:rPr>
                <w:rFonts w:ascii="Times New Roman"/>
                <w:sz w:val="21"/>
              </w:rPr>
            </w:pPr>
            <w:r>
              <w:rPr>
                <w:rFonts w:ascii="Times New Roman"/>
                <w:sz w:val="21"/>
              </w:rPr>
              <w:t>3240h</w:t>
            </w:r>
          </w:p>
        </w:tc>
        <w:tc>
          <w:tcPr>
            <w:tcW w:w="1446" w:type="dxa"/>
            <w:tcBorders>
              <w:top w:val="single" w:color="000000" w:sz="4" w:space="0"/>
              <w:left w:val="single" w:color="000000" w:sz="4" w:space="0"/>
              <w:right w:val="single" w:color="000000" w:sz="4" w:space="0"/>
            </w:tcBorders>
          </w:tcPr>
          <w:p>
            <w:pPr>
              <w:pStyle w:val="19"/>
              <w:jc w:val="left"/>
              <w:rPr>
                <w:b/>
                <w:sz w:val="22"/>
              </w:rPr>
            </w:pPr>
          </w:p>
          <w:p>
            <w:pPr>
              <w:pStyle w:val="19"/>
              <w:spacing w:before="4"/>
              <w:jc w:val="left"/>
              <w:rPr>
                <w:b/>
                <w:sz w:val="22"/>
              </w:rPr>
            </w:pPr>
          </w:p>
          <w:p>
            <w:pPr>
              <w:pStyle w:val="19"/>
              <w:ind w:left="93" w:right="73"/>
              <w:rPr>
                <w:rFonts w:ascii="Times New Roman"/>
                <w:sz w:val="21"/>
              </w:rPr>
            </w:pPr>
            <w:r>
              <w:rPr>
                <w:rFonts w:ascii="Times New Roman"/>
                <w:sz w:val="21"/>
              </w:rPr>
              <w:t>440</w:t>
            </w:r>
          </w:p>
        </w:tc>
        <w:tc>
          <w:tcPr>
            <w:tcW w:w="1446" w:type="dxa"/>
            <w:tcBorders>
              <w:top w:val="single" w:color="000000" w:sz="4" w:space="0"/>
              <w:left w:val="single" w:color="000000" w:sz="4" w:space="0"/>
              <w:right w:val="single" w:color="000000" w:sz="4" w:space="0"/>
            </w:tcBorders>
          </w:tcPr>
          <w:p>
            <w:pPr>
              <w:pStyle w:val="19"/>
              <w:jc w:val="left"/>
              <w:rPr>
                <w:b/>
                <w:sz w:val="22"/>
              </w:rPr>
            </w:pPr>
          </w:p>
          <w:p>
            <w:pPr>
              <w:pStyle w:val="19"/>
              <w:spacing w:before="4"/>
              <w:jc w:val="left"/>
              <w:rPr>
                <w:b/>
                <w:sz w:val="22"/>
              </w:rPr>
            </w:pPr>
          </w:p>
          <w:p>
            <w:pPr>
              <w:pStyle w:val="19"/>
              <w:ind w:left="93" w:right="90"/>
              <w:rPr>
                <w:rFonts w:ascii="Times New Roman"/>
                <w:sz w:val="21"/>
              </w:rPr>
            </w:pPr>
            <w:r>
              <w:rPr>
                <w:rFonts w:ascii="Times New Roman"/>
                <w:sz w:val="21"/>
              </w:rPr>
              <w:t>422</w:t>
            </w:r>
          </w:p>
        </w:tc>
        <w:tc>
          <w:tcPr>
            <w:tcW w:w="1449" w:type="dxa"/>
            <w:tcBorders>
              <w:top w:val="single" w:color="000000" w:sz="4" w:space="0"/>
              <w:left w:val="single" w:color="000000" w:sz="4" w:space="0"/>
            </w:tcBorders>
          </w:tcPr>
          <w:p>
            <w:pPr>
              <w:pStyle w:val="19"/>
              <w:jc w:val="left"/>
              <w:rPr>
                <w:b/>
                <w:sz w:val="20"/>
              </w:rPr>
            </w:pPr>
          </w:p>
          <w:p>
            <w:pPr>
              <w:pStyle w:val="19"/>
              <w:jc w:val="left"/>
              <w:rPr>
                <w:b/>
                <w:sz w:val="23"/>
              </w:rPr>
            </w:pPr>
          </w:p>
          <w:p>
            <w:pPr>
              <w:pStyle w:val="19"/>
              <w:spacing w:before="1"/>
              <w:ind w:left="277" w:right="277"/>
              <w:rPr>
                <w:sz w:val="21"/>
              </w:rPr>
            </w:pPr>
            <w:r>
              <w:rPr>
                <w:sz w:val="21"/>
              </w:rPr>
              <w:t>冬季运行</w:t>
            </w:r>
          </w:p>
        </w:tc>
      </w:tr>
    </w:tbl>
    <w:p>
      <w:pPr>
        <w:pStyle w:val="9"/>
        <w:spacing w:line="364" w:lineRule="auto"/>
        <w:ind w:left="218" w:right="111" w:firstLine="480"/>
      </w:pPr>
      <w:r>
        <w:rPr>
          <w:spacing w:val="-15"/>
          <w:position w:val="2"/>
        </w:rPr>
        <w:t xml:space="preserve">烟气中 </w:t>
      </w:r>
      <w:r>
        <w:rPr>
          <w:rFonts w:ascii="Times New Roman" w:eastAsia="Times New Roman"/>
          <w:position w:val="2"/>
        </w:rPr>
        <w:t>SO</w:t>
      </w:r>
      <w:r>
        <w:rPr>
          <w:rFonts w:ascii="Times New Roman" w:eastAsia="Times New Roman"/>
          <w:position w:val="2"/>
          <w:vertAlign w:val="subscript"/>
        </w:rPr>
        <w:t>2</w:t>
      </w:r>
      <w:r>
        <w:rPr>
          <w:spacing w:val="-47"/>
          <w:position w:val="2"/>
          <w:vertAlign w:val="baseline"/>
        </w:rPr>
        <w:t>、烟尘、</w:t>
      </w:r>
      <w:r>
        <w:rPr>
          <w:rFonts w:ascii="Times New Roman" w:eastAsia="Times New Roman"/>
          <w:position w:val="2"/>
          <w:vertAlign w:val="baseline"/>
        </w:rPr>
        <w:t>NO</w:t>
      </w:r>
      <w:r>
        <w:rPr>
          <w:rFonts w:ascii="Times New Roman" w:eastAsia="Times New Roman"/>
          <w:position w:val="2"/>
          <w:vertAlign w:val="subscript"/>
        </w:rPr>
        <w:t>x</w:t>
      </w:r>
      <w:r>
        <w:rPr>
          <w:rFonts w:ascii="Times New Roman" w:eastAsia="Times New Roman"/>
          <w:position w:val="2"/>
          <w:vertAlign w:val="baseline"/>
        </w:rPr>
        <w:t xml:space="preserve"> </w:t>
      </w:r>
      <w:r>
        <w:rPr>
          <w:spacing w:val="-10"/>
          <w:position w:val="2"/>
          <w:vertAlign w:val="baseline"/>
        </w:rPr>
        <w:t>排放量参照《污染源源强核算技术指南 锅炉</w:t>
      </w:r>
      <w:r>
        <w:rPr>
          <w:spacing w:val="-188"/>
          <w:position w:val="2"/>
          <w:vertAlign w:val="baseline"/>
        </w:rPr>
        <w:t>》</w:t>
      </w:r>
      <w:r>
        <w:rPr>
          <w:spacing w:val="-2"/>
          <w:position w:val="2"/>
          <w:vertAlign w:val="baseline"/>
        </w:rPr>
        <w:t>（</w:t>
      </w:r>
      <w:r>
        <w:rPr>
          <w:rFonts w:ascii="Times New Roman" w:eastAsia="Times New Roman"/>
          <w:spacing w:val="-2"/>
          <w:position w:val="2"/>
          <w:vertAlign w:val="baseline"/>
        </w:rPr>
        <w:t>HJ991-2018</w:t>
      </w:r>
      <w:r>
        <w:rPr>
          <w:spacing w:val="-2"/>
          <w:position w:val="2"/>
          <w:vertAlign w:val="baseline"/>
        </w:rPr>
        <w:t xml:space="preserve">） </w:t>
      </w:r>
      <w:r>
        <w:rPr>
          <w:vertAlign w:val="baseline"/>
        </w:rPr>
        <w:t>中的公式计算：</w:t>
      </w:r>
    </w:p>
    <w:p>
      <w:pPr>
        <w:pStyle w:val="9"/>
        <w:spacing w:line="305" w:lineRule="exact"/>
        <w:ind w:left="698"/>
      </w:pPr>
      <w:r>
        <w:rPr>
          <w:rFonts w:ascii="Times New Roman" w:eastAsia="Times New Roman"/>
        </w:rPr>
        <w:t>b</w:t>
      </w:r>
      <w:r>
        <w:t>、烟尘排放量：</w:t>
      </w:r>
    </w:p>
    <w:p>
      <w:pPr>
        <w:pStyle w:val="9"/>
        <w:spacing w:before="5"/>
        <w:rPr>
          <w:sz w:val="9"/>
        </w:rPr>
      </w:pPr>
      <w:r>
        <w:drawing>
          <wp:anchor distT="0" distB="0" distL="0" distR="0" simplePos="0" relativeHeight="1024" behindDoc="0" locked="0" layoutInCell="1" allowOverlap="1">
            <wp:simplePos x="0" y="0"/>
            <wp:positionH relativeFrom="page">
              <wp:posOffset>2684780</wp:posOffset>
            </wp:positionH>
            <wp:positionV relativeFrom="paragraph">
              <wp:posOffset>100965</wp:posOffset>
            </wp:positionV>
            <wp:extent cx="2297430" cy="90297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42" cstate="print"/>
                    <a:stretch>
                      <a:fillRect/>
                    </a:stretch>
                  </pic:blipFill>
                  <pic:spPr>
                    <a:xfrm>
                      <a:off x="0" y="0"/>
                      <a:ext cx="2297186" cy="902969"/>
                    </a:xfrm>
                    <a:prstGeom prst="rect">
                      <a:avLst/>
                    </a:prstGeom>
                  </pic:spPr>
                </pic:pic>
              </a:graphicData>
            </a:graphic>
          </wp:anchor>
        </w:drawing>
      </w:r>
    </w:p>
    <w:p>
      <w:pPr>
        <w:pStyle w:val="9"/>
        <w:spacing w:before="102"/>
        <w:ind w:left="698"/>
      </w:pPr>
      <w:r>
        <w:rPr>
          <w:position w:val="2"/>
        </w:rPr>
        <w:t>式中：</w:t>
      </w:r>
      <w:r>
        <w:rPr>
          <w:rFonts w:ascii="Times New Roman" w:hAnsi="Times New Roman" w:eastAsia="Times New Roman"/>
          <w:position w:val="2"/>
        </w:rPr>
        <w:t>E</w:t>
      </w:r>
      <w:r>
        <w:rPr>
          <w:rFonts w:ascii="Times New Roman" w:hAnsi="Times New Roman" w:eastAsia="Times New Roman"/>
          <w:position w:val="2"/>
          <w:vertAlign w:val="subscript"/>
        </w:rPr>
        <w:t>A</w:t>
      </w:r>
      <w:r>
        <w:rPr>
          <w:rFonts w:ascii="Times New Roman" w:hAnsi="Times New Roman" w:eastAsia="Times New Roman"/>
          <w:position w:val="2"/>
          <w:vertAlign w:val="baseline"/>
        </w:rPr>
        <w:t>—</w:t>
      </w:r>
      <w:r>
        <w:rPr>
          <w:position w:val="2"/>
          <w:vertAlign w:val="baseline"/>
        </w:rPr>
        <w:t>核算时段内烟尘排放量，</w:t>
      </w:r>
      <w:r>
        <w:rPr>
          <w:rFonts w:ascii="Times New Roman" w:hAnsi="Times New Roman" w:eastAsia="Times New Roman"/>
          <w:position w:val="2"/>
          <w:vertAlign w:val="baseline"/>
        </w:rPr>
        <w:t>t</w:t>
      </w:r>
      <w:r>
        <w:rPr>
          <w:position w:val="2"/>
          <w:vertAlign w:val="baseline"/>
        </w:rPr>
        <w:t>；</w:t>
      </w:r>
    </w:p>
    <w:p>
      <w:pPr>
        <w:spacing w:after="0"/>
        <w:sectPr>
          <w:footerReference r:id="rId12" w:type="default"/>
          <w:pgSz w:w="11910" w:h="16840"/>
          <w:pgMar w:top="1340" w:right="1180" w:bottom="1180" w:left="1200" w:header="0" w:footer="993" w:gutter="0"/>
          <w:pgNumType w:start="76"/>
        </w:sectPr>
      </w:pPr>
    </w:p>
    <w:p>
      <w:pPr>
        <w:pStyle w:val="9"/>
        <w:spacing w:before="61" w:line="360" w:lineRule="auto"/>
        <w:ind w:left="698" w:right="4830"/>
        <w:rPr>
          <w:rFonts w:ascii="Times New Roman" w:hAnsi="Times New Roman" w:eastAsia="Times New Roman"/>
        </w:rPr>
      </w:pPr>
      <w:r>
        <w:rPr>
          <w:rFonts w:ascii="Times New Roman" w:hAnsi="Times New Roman" w:eastAsia="Times New Roman"/>
        </w:rPr>
        <w:t>R—</w:t>
      </w:r>
      <w:r>
        <w:t>核算时段内锅炉燃料耗量，</w:t>
      </w:r>
      <w:r>
        <w:rPr>
          <w:rFonts w:ascii="Times New Roman" w:hAnsi="Times New Roman" w:eastAsia="Times New Roman"/>
        </w:rPr>
        <w:t>t</w:t>
      </w:r>
      <w:r>
        <w:t xml:space="preserve">； </w:t>
      </w:r>
      <w:r>
        <w:rPr>
          <w:rFonts w:ascii="Times New Roman" w:hAnsi="Times New Roman" w:eastAsia="Times New Roman"/>
          <w:position w:val="2"/>
        </w:rPr>
        <w:t>η</w:t>
      </w:r>
      <w:r>
        <w:rPr>
          <w:rFonts w:ascii="Times New Roman" w:hAnsi="Times New Roman" w:eastAsia="Times New Roman"/>
          <w:position w:val="2"/>
          <w:vertAlign w:val="subscript"/>
        </w:rPr>
        <w:t>c</w:t>
      </w:r>
      <w:r>
        <w:rPr>
          <w:rFonts w:ascii="Times New Roman" w:hAnsi="Times New Roman" w:eastAsia="Times New Roman"/>
          <w:position w:val="2"/>
          <w:vertAlign w:val="baseline"/>
        </w:rPr>
        <w:t>—</w:t>
      </w:r>
      <w:r>
        <w:rPr>
          <w:spacing w:val="-5"/>
          <w:position w:val="2"/>
          <w:vertAlign w:val="baseline"/>
        </w:rPr>
        <w:t xml:space="preserve">综合除尘效率；本次预测取 </w:t>
      </w:r>
      <w:r>
        <w:rPr>
          <w:rFonts w:ascii="Times New Roman" w:hAnsi="Times New Roman" w:eastAsia="Times New Roman"/>
          <w:spacing w:val="-4"/>
          <w:position w:val="2"/>
          <w:vertAlign w:val="baseline"/>
        </w:rPr>
        <w:t>99.9%</w:t>
      </w:r>
    </w:p>
    <w:p>
      <w:pPr>
        <w:pStyle w:val="9"/>
        <w:spacing w:before="7"/>
        <w:ind w:left="698"/>
      </w:pPr>
      <w:r>
        <w:rPr>
          <w:rFonts w:ascii="Times New Roman" w:hAnsi="Times New Roman" w:eastAsia="Times New Roman"/>
        </w:rPr>
        <w:t>Aar—</w:t>
      </w:r>
      <w:r>
        <w:t>收到基灰分的质量分数，</w:t>
      </w:r>
      <w:r>
        <w:rPr>
          <w:rFonts w:ascii="Times New Roman" w:hAnsi="Times New Roman" w:eastAsia="Times New Roman"/>
        </w:rPr>
        <w:t>%</w:t>
      </w:r>
      <w:r>
        <w:t>；</w:t>
      </w:r>
    </w:p>
    <w:p>
      <w:pPr>
        <w:pStyle w:val="9"/>
        <w:spacing w:before="157"/>
        <w:ind w:left="698"/>
        <w:rPr>
          <w:rFonts w:ascii="Times New Roman" w:hAnsi="Times New Roman" w:eastAsia="Times New Roman"/>
        </w:rPr>
      </w:pPr>
      <w:r>
        <w:rPr>
          <w:rFonts w:ascii="Times New Roman" w:hAnsi="Times New Roman" w:eastAsia="Times New Roman"/>
          <w:position w:val="2"/>
        </w:rPr>
        <w:t>d</w:t>
      </w:r>
      <w:r>
        <w:rPr>
          <w:rFonts w:ascii="Times New Roman" w:hAnsi="Times New Roman" w:eastAsia="Times New Roman"/>
          <w:position w:val="2"/>
          <w:vertAlign w:val="subscript"/>
        </w:rPr>
        <w:t>fh</w:t>
      </w:r>
      <w:r>
        <w:rPr>
          <w:rFonts w:ascii="Times New Roman" w:hAnsi="Times New Roman" w:eastAsia="Times New Roman"/>
          <w:position w:val="2"/>
          <w:vertAlign w:val="baseline"/>
        </w:rPr>
        <w:t>—</w:t>
      </w:r>
      <w:r>
        <w:rPr>
          <w:position w:val="2"/>
          <w:vertAlign w:val="baseline"/>
        </w:rPr>
        <w:t>锅炉烟气带出的飞灰份额，</w:t>
      </w:r>
      <w:r>
        <w:rPr>
          <w:rFonts w:ascii="Times New Roman" w:hAnsi="Times New Roman" w:eastAsia="Times New Roman"/>
          <w:position w:val="2"/>
          <w:vertAlign w:val="baseline"/>
        </w:rPr>
        <w:t>%</w:t>
      </w:r>
      <w:r>
        <w:rPr>
          <w:position w:val="2"/>
          <w:vertAlign w:val="baseline"/>
        </w:rPr>
        <w:t xml:space="preserve">；本次预测取 </w:t>
      </w:r>
      <w:r>
        <w:rPr>
          <w:rFonts w:ascii="Times New Roman" w:hAnsi="Times New Roman" w:eastAsia="Times New Roman"/>
          <w:position w:val="2"/>
          <w:vertAlign w:val="baseline"/>
        </w:rPr>
        <w:t>40%</w:t>
      </w:r>
    </w:p>
    <w:p>
      <w:pPr>
        <w:pStyle w:val="9"/>
        <w:spacing w:before="154" w:line="364" w:lineRule="auto"/>
        <w:ind w:left="698" w:right="4169"/>
      </w:pPr>
      <w:r>
        <w:rPr>
          <w:rFonts w:ascii="Times New Roman" w:hAnsi="Times New Roman" w:eastAsia="Times New Roman"/>
          <w:position w:val="2"/>
        </w:rPr>
        <w:t>C</w:t>
      </w:r>
      <w:r>
        <w:rPr>
          <w:rFonts w:ascii="Times New Roman" w:hAnsi="Times New Roman" w:eastAsia="Times New Roman"/>
          <w:position w:val="2"/>
          <w:vertAlign w:val="subscript"/>
        </w:rPr>
        <w:t>fh</w:t>
      </w:r>
      <w:r>
        <w:rPr>
          <w:rFonts w:ascii="Times New Roman" w:hAnsi="Times New Roman" w:eastAsia="Times New Roman"/>
          <w:position w:val="2"/>
          <w:vertAlign w:val="baseline"/>
        </w:rPr>
        <w:t>—</w:t>
      </w:r>
      <w:r>
        <w:rPr>
          <w:position w:val="2"/>
          <w:vertAlign w:val="baseline"/>
        </w:rPr>
        <w:t>飞灰中的可燃物含量，</w:t>
      </w:r>
      <w:r>
        <w:rPr>
          <w:rFonts w:ascii="Times New Roman" w:hAnsi="Times New Roman" w:eastAsia="Times New Roman"/>
          <w:position w:val="2"/>
          <w:vertAlign w:val="baseline"/>
        </w:rPr>
        <w:t>%</w:t>
      </w:r>
      <w:r>
        <w:rPr>
          <w:position w:val="2"/>
          <w:vertAlign w:val="baseline"/>
        </w:rPr>
        <w:t xml:space="preserve">；本次取 </w:t>
      </w:r>
      <w:r>
        <w:rPr>
          <w:rFonts w:ascii="Times New Roman" w:hAnsi="Times New Roman" w:eastAsia="Times New Roman"/>
          <w:position w:val="2"/>
          <w:vertAlign w:val="baseline"/>
        </w:rPr>
        <w:t xml:space="preserve">15% </w:t>
      </w:r>
      <w:r>
        <w:rPr>
          <w:rFonts w:ascii="Times New Roman" w:hAnsi="Times New Roman" w:eastAsia="Times New Roman"/>
          <w:vertAlign w:val="baseline"/>
        </w:rPr>
        <w:t>c</w:t>
      </w:r>
      <w:r>
        <w:rPr>
          <w:vertAlign w:val="baseline"/>
        </w:rPr>
        <w:t>、二氧化硫排放量</w:t>
      </w:r>
    </w:p>
    <w:p>
      <w:pPr>
        <w:pStyle w:val="9"/>
        <w:ind w:left="2399"/>
        <w:rPr>
          <w:sz w:val="20"/>
        </w:rPr>
      </w:pPr>
      <w:r>
        <w:rPr>
          <w:sz w:val="20"/>
        </w:rPr>
        <w:drawing>
          <wp:inline distT="0" distB="0" distL="0" distR="0">
            <wp:extent cx="3356610" cy="55753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43" cstate="print"/>
                    <a:stretch>
                      <a:fillRect/>
                    </a:stretch>
                  </pic:blipFill>
                  <pic:spPr>
                    <a:xfrm>
                      <a:off x="0" y="0"/>
                      <a:ext cx="3356848" cy="557783"/>
                    </a:xfrm>
                    <a:prstGeom prst="rect">
                      <a:avLst/>
                    </a:prstGeom>
                  </pic:spPr>
                </pic:pic>
              </a:graphicData>
            </a:graphic>
          </wp:inline>
        </w:drawing>
      </w:r>
    </w:p>
    <w:p>
      <w:pPr>
        <w:pStyle w:val="9"/>
        <w:spacing w:before="128"/>
        <w:ind w:left="698"/>
      </w:pPr>
      <w:r>
        <w:rPr>
          <w:position w:val="2"/>
        </w:rPr>
        <w:t>式中：</w:t>
      </w:r>
      <w:r>
        <w:rPr>
          <w:rFonts w:ascii="Times New Roman" w:hAnsi="Times New Roman" w:eastAsia="Times New Roman"/>
          <w:position w:val="2"/>
        </w:rPr>
        <w:t>E</w:t>
      </w:r>
      <w:r>
        <w:rPr>
          <w:rFonts w:ascii="Times New Roman" w:hAnsi="Times New Roman" w:eastAsia="Times New Roman"/>
          <w:position w:val="2"/>
          <w:vertAlign w:val="subscript"/>
        </w:rPr>
        <w:t>SO2</w:t>
      </w:r>
      <w:r>
        <w:rPr>
          <w:rFonts w:ascii="Times New Roman" w:hAnsi="Times New Roman" w:eastAsia="Times New Roman"/>
          <w:position w:val="2"/>
          <w:vertAlign w:val="baseline"/>
        </w:rPr>
        <w:t>—</w:t>
      </w:r>
      <w:r>
        <w:rPr>
          <w:position w:val="2"/>
          <w:vertAlign w:val="baseline"/>
        </w:rPr>
        <w:t>核算时段内二氧化硫排放量，</w:t>
      </w:r>
      <w:r>
        <w:rPr>
          <w:rFonts w:ascii="Times New Roman" w:hAnsi="Times New Roman" w:eastAsia="Times New Roman"/>
          <w:position w:val="2"/>
          <w:vertAlign w:val="baseline"/>
        </w:rPr>
        <w:t>t</w:t>
      </w:r>
      <w:r>
        <w:rPr>
          <w:position w:val="2"/>
          <w:vertAlign w:val="baseline"/>
        </w:rPr>
        <w:t>；</w:t>
      </w:r>
    </w:p>
    <w:p>
      <w:pPr>
        <w:pStyle w:val="9"/>
        <w:spacing w:before="159" w:line="360" w:lineRule="auto"/>
        <w:ind w:left="698" w:right="5225"/>
      </w:pPr>
      <w:r>
        <w:rPr>
          <w:rFonts w:ascii="Times New Roman" w:hAnsi="Times New Roman" w:eastAsia="Times New Roman"/>
        </w:rPr>
        <w:t>R—</w:t>
      </w:r>
      <w:r>
        <w:t>核算时段内锅炉燃料耗量，</w:t>
      </w:r>
      <w:r>
        <w:rPr>
          <w:rFonts w:ascii="Times New Roman" w:hAnsi="Times New Roman" w:eastAsia="Times New Roman"/>
        </w:rPr>
        <w:t>t</w:t>
      </w:r>
      <w:r>
        <w:t xml:space="preserve">； </w:t>
      </w:r>
      <w:r>
        <w:rPr>
          <w:rFonts w:ascii="Times New Roman" w:hAnsi="Times New Roman" w:eastAsia="Times New Roman"/>
          <w:position w:val="2"/>
        </w:rPr>
        <w:t>η</w:t>
      </w:r>
      <w:r>
        <w:rPr>
          <w:rFonts w:ascii="Times New Roman" w:hAnsi="Times New Roman" w:eastAsia="Times New Roman"/>
          <w:position w:val="2"/>
          <w:vertAlign w:val="subscript"/>
        </w:rPr>
        <w:t>s</w:t>
      </w:r>
      <w:r>
        <w:rPr>
          <w:rFonts w:ascii="Times New Roman" w:hAnsi="Times New Roman" w:eastAsia="Times New Roman"/>
          <w:position w:val="2"/>
          <w:vertAlign w:val="baseline"/>
        </w:rPr>
        <w:t>—</w:t>
      </w:r>
      <w:r>
        <w:rPr>
          <w:position w:val="2"/>
          <w:vertAlign w:val="baseline"/>
        </w:rPr>
        <w:t>脱硫效率，</w:t>
      </w:r>
      <w:r>
        <w:rPr>
          <w:rFonts w:ascii="Times New Roman" w:hAnsi="Times New Roman" w:eastAsia="Times New Roman"/>
          <w:position w:val="2"/>
          <w:vertAlign w:val="baseline"/>
        </w:rPr>
        <w:t>%</w:t>
      </w:r>
      <w:r>
        <w:rPr>
          <w:position w:val="2"/>
          <w:vertAlign w:val="baseline"/>
        </w:rPr>
        <w:t>；</w:t>
      </w:r>
    </w:p>
    <w:p>
      <w:pPr>
        <w:pStyle w:val="9"/>
        <w:spacing w:before="1"/>
        <w:ind w:left="698"/>
      </w:pPr>
      <w:r>
        <w:rPr>
          <w:rFonts w:ascii="Times New Roman" w:hAnsi="Times New Roman" w:eastAsia="Times New Roman"/>
          <w:position w:val="2"/>
        </w:rPr>
        <w:t>q</w:t>
      </w:r>
      <w:r>
        <w:rPr>
          <w:rFonts w:ascii="Times New Roman" w:hAnsi="Times New Roman" w:eastAsia="Times New Roman"/>
          <w:position w:val="2"/>
          <w:vertAlign w:val="subscript"/>
        </w:rPr>
        <w:t>4</w:t>
      </w:r>
      <w:r>
        <w:rPr>
          <w:rFonts w:ascii="Times New Roman" w:hAnsi="Times New Roman" w:eastAsia="Times New Roman"/>
          <w:position w:val="2"/>
          <w:vertAlign w:val="baseline"/>
        </w:rPr>
        <w:t>—</w:t>
      </w:r>
      <w:r>
        <w:rPr>
          <w:position w:val="2"/>
          <w:vertAlign w:val="baseline"/>
        </w:rPr>
        <w:t>锅炉机械不完全燃烧热损失，</w:t>
      </w:r>
      <w:r>
        <w:rPr>
          <w:rFonts w:ascii="Times New Roman" w:hAnsi="Times New Roman" w:eastAsia="Times New Roman"/>
          <w:position w:val="2"/>
          <w:vertAlign w:val="baseline"/>
        </w:rPr>
        <w:t>%</w:t>
      </w:r>
      <w:r>
        <w:rPr>
          <w:position w:val="2"/>
          <w:vertAlign w:val="baseline"/>
        </w:rPr>
        <w:t>；</w:t>
      </w:r>
    </w:p>
    <w:p>
      <w:pPr>
        <w:pStyle w:val="9"/>
        <w:spacing w:before="156" w:line="364" w:lineRule="auto"/>
        <w:ind w:left="698" w:right="4092"/>
        <w:jc w:val="both"/>
      </w:pPr>
      <w:r>
        <w:rPr>
          <w:rFonts w:ascii="Times New Roman" w:hAnsi="Times New Roman" w:eastAsia="Times New Roman"/>
          <w:position w:val="2"/>
        </w:rPr>
        <w:t>S</w:t>
      </w:r>
      <w:r>
        <w:rPr>
          <w:rFonts w:ascii="Times New Roman" w:hAnsi="Times New Roman" w:eastAsia="Times New Roman"/>
          <w:position w:val="2"/>
          <w:vertAlign w:val="subscript"/>
        </w:rPr>
        <w:t>ar</w:t>
      </w:r>
      <w:r>
        <w:rPr>
          <w:rFonts w:ascii="Times New Roman" w:hAnsi="Times New Roman" w:eastAsia="Times New Roman"/>
          <w:position w:val="2"/>
          <w:vertAlign w:val="baseline"/>
        </w:rPr>
        <w:t>—</w:t>
      </w:r>
      <w:r>
        <w:rPr>
          <w:position w:val="2"/>
          <w:vertAlign w:val="baseline"/>
        </w:rPr>
        <w:t>收到基硫的质量分数，</w:t>
      </w:r>
      <w:r>
        <w:rPr>
          <w:rFonts w:ascii="Times New Roman" w:hAnsi="Times New Roman" w:eastAsia="Times New Roman"/>
          <w:position w:val="2"/>
          <w:vertAlign w:val="baseline"/>
        </w:rPr>
        <w:t>%</w:t>
      </w:r>
      <w:r>
        <w:rPr>
          <w:spacing w:val="-12"/>
          <w:position w:val="2"/>
          <w:vertAlign w:val="baseline"/>
        </w:rPr>
        <w:t xml:space="preserve">；本次取 </w:t>
      </w:r>
      <w:r>
        <w:rPr>
          <w:rFonts w:ascii="Times New Roman" w:hAnsi="Times New Roman" w:eastAsia="Times New Roman"/>
          <w:position w:val="2"/>
          <w:sz w:val="21"/>
          <w:vertAlign w:val="baseline"/>
        </w:rPr>
        <w:t>0.02</w:t>
      </w:r>
      <w:r>
        <w:rPr>
          <w:rFonts w:ascii="Times New Roman" w:hAnsi="Times New Roman" w:eastAsia="Times New Roman"/>
          <w:position w:val="2"/>
          <w:vertAlign w:val="baseline"/>
        </w:rPr>
        <w:t xml:space="preserve">% </w:t>
      </w:r>
      <w:r>
        <w:rPr>
          <w:rFonts w:ascii="Times New Roman" w:hAnsi="Times New Roman" w:eastAsia="Times New Roman"/>
          <w:vertAlign w:val="baseline"/>
        </w:rPr>
        <w:t>K—</w:t>
      </w:r>
      <w:r>
        <w:rPr>
          <w:spacing w:val="-1"/>
          <w:vertAlign w:val="baseline"/>
        </w:rPr>
        <w:t>燃料中硫燃烧后氧化成二氧化硫的份额。</w:t>
      </w:r>
      <w:r>
        <w:rPr>
          <w:rFonts w:ascii="Times New Roman" w:hAnsi="Times New Roman" w:eastAsia="Times New Roman"/>
          <w:vertAlign w:val="baseline"/>
        </w:rPr>
        <w:t>d</w:t>
      </w:r>
      <w:r>
        <w:rPr>
          <w:vertAlign w:val="baseline"/>
        </w:rPr>
        <w:t>、氮氧化物排放量</w:t>
      </w:r>
    </w:p>
    <w:p>
      <w:pPr>
        <w:pStyle w:val="9"/>
        <w:ind w:left="2268"/>
        <w:rPr>
          <w:sz w:val="20"/>
        </w:rPr>
      </w:pPr>
      <w:r>
        <w:rPr>
          <w:sz w:val="20"/>
        </w:rPr>
        <w:drawing>
          <wp:inline distT="0" distB="0" distL="0" distR="0">
            <wp:extent cx="3061970" cy="60579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44" cstate="print"/>
                    <a:stretch>
                      <a:fillRect/>
                    </a:stretch>
                  </pic:blipFill>
                  <pic:spPr>
                    <a:xfrm>
                      <a:off x="0" y="0"/>
                      <a:ext cx="3062352" cy="606266"/>
                    </a:xfrm>
                    <a:prstGeom prst="rect">
                      <a:avLst/>
                    </a:prstGeom>
                  </pic:spPr>
                </pic:pic>
              </a:graphicData>
            </a:graphic>
          </wp:inline>
        </w:drawing>
      </w:r>
    </w:p>
    <w:p>
      <w:pPr>
        <w:pStyle w:val="9"/>
        <w:spacing w:before="135"/>
        <w:ind w:left="698"/>
      </w:pPr>
      <w:r>
        <w:rPr>
          <w:position w:val="2"/>
        </w:rPr>
        <w:t>式中：</w:t>
      </w:r>
      <w:r>
        <w:rPr>
          <w:rFonts w:ascii="Times New Roman" w:hAnsi="Times New Roman" w:eastAsia="Times New Roman"/>
          <w:position w:val="2"/>
        </w:rPr>
        <w:t>E</w:t>
      </w:r>
      <w:r>
        <w:rPr>
          <w:rFonts w:ascii="Times New Roman" w:hAnsi="Times New Roman" w:eastAsia="Times New Roman"/>
          <w:position w:val="2"/>
          <w:vertAlign w:val="subscript"/>
        </w:rPr>
        <w:t>NOx</w:t>
      </w:r>
      <w:r>
        <w:rPr>
          <w:rFonts w:ascii="Times New Roman" w:hAnsi="Times New Roman" w:eastAsia="Times New Roman"/>
          <w:position w:val="2"/>
          <w:vertAlign w:val="baseline"/>
        </w:rPr>
        <w:t>—</w:t>
      </w:r>
      <w:r>
        <w:rPr>
          <w:position w:val="2"/>
          <w:vertAlign w:val="baseline"/>
        </w:rPr>
        <w:t>核算时段内氮氧化物排放量，</w:t>
      </w:r>
      <w:r>
        <w:rPr>
          <w:rFonts w:ascii="Times New Roman" w:hAnsi="Times New Roman" w:eastAsia="Times New Roman"/>
          <w:position w:val="2"/>
          <w:vertAlign w:val="baseline"/>
        </w:rPr>
        <w:t>t</w:t>
      </w:r>
      <w:r>
        <w:rPr>
          <w:position w:val="2"/>
          <w:vertAlign w:val="baseline"/>
        </w:rPr>
        <w:t>；</w:t>
      </w:r>
    </w:p>
    <w:p>
      <w:pPr>
        <w:pStyle w:val="9"/>
        <w:spacing w:before="156" w:line="362" w:lineRule="auto"/>
        <w:ind w:left="698" w:right="1026"/>
      </w:pPr>
      <w:r>
        <w:rPr>
          <w:rFonts w:ascii="Times New Roman" w:hAnsi="Times New Roman" w:eastAsia="Times New Roman"/>
          <w:position w:val="2"/>
        </w:rPr>
        <w:t>ρ</w:t>
      </w:r>
      <w:r>
        <w:rPr>
          <w:rFonts w:ascii="Times New Roman" w:hAnsi="Times New Roman" w:eastAsia="Times New Roman"/>
          <w:position w:val="2"/>
          <w:vertAlign w:val="subscript"/>
        </w:rPr>
        <w:t>NOx</w:t>
      </w:r>
      <w:r>
        <w:rPr>
          <w:rFonts w:ascii="Times New Roman" w:hAnsi="Times New Roman" w:eastAsia="Times New Roman"/>
          <w:position w:val="2"/>
          <w:vertAlign w:val="baseline"/>
        </w:rPr>
        <w:t>—</w:t>
      </w:r>
      <w:r>
        <w:rPr>
          <w:spacing w:val="-8"/>
          <w:position w:val="2"/>
          <w:vertAlign w:val="baseline"/>
        </w:rPr>
        <w:t xml:space="preserve">锅炉炉膛出口 </w:t>
      </w:r>
      <w:r>
        <w:rPr>
          <w:rFonts w:ascii="Times New Roman" w:hAnsi="Times New Roman" w:eastAsia="Times New Roman"/>
          <w:position w:val="2"/>
          <w:vertAlign w:val="baseline"/>
        </w:rPr>
        <w:t xml:space="preserve">NOx </w:t>
      </w:r>
      <w:r>
        <w:rPr>
          <w:position w:val="2"/>
          <w:vertAlign w:val="baseline"/>
        </w:rPr>
        <w:t>质量浓度，</w:t>
      </w:r>
      <w:r>
        <w:rPr>
          <w:rFonts w:ascii="Times New Roman" w:hAnsi="Times New Roman" w:eastAsia="Times New Roman"/>
          <w:position w:val="2"/>
          <w:vertAlign w:val="baseline"/>
        </w:rPr>
        <w:t>mg/m</w:t>
      </w:r>
      <w:r>
        <w:rPr>
          <w:rFonts w:ascii="Times New Roman" w:hAnsi="Times New Roman" w:eastAsia="Times New Roman"/>
          <w:position w:val="2"/>
          <w:vertAlign w:val="superscript"/>
        </w:rPr>
        <w:t>3</w:t>
      </w:r>
      <w:r>
        <w:rPr>
          <w:position w:val="2"/>
          <w:vertAlign w:val="baseline"/>
        </w:rPr>
        <w:t>，</w:t>
      </w:r>
      <w:r>
        <w:rPr>
          <w:color w:val="FF0000"/>
          <w:spacing w:val="-9"/>
          <w:position w:val="2"/>
          <w:vertAlign w:val="baseline"/>
        </w:rPr>
        <w:t xml:space="preserve">本次预测取 </w:t>
      </w:r>
      <w:r>
        <w:rPr>
          <w:rFonts w:ascii="Times New Roman" w:hAnsi="Times New Roman" w:eastAsia="Times New Roman"/>
          <w:color w:val="FF0000"/>
          <w:spacing w:val="-4"/>
          <w:position w:val="2"/>
          <w:vertAlign w:val="baseline"/>
        </w:rPr>
        <w:t>161.8mg/m</w:t>
      </w:r>
      <w:r>
        <w:rPr>
          <w:rFonts w:ascii="Times New Roman" w:hAnsi="Times New Roman" w:eastAsia="Times New Roman"/>
          <w:color w:val="FF0000"/>
          <w:spacing w:val="-4"/>
          <w:position w:val="2"/>
          <w:vertAlign w:val="superscript"/>
        </w:rPr>
        <w:t>3</w:t>
      </w:r>
      <w:r>
        <w:rPr>
          <w:spacing w:val="-4"/>
          <w:position w:val="2"/>
          <w:vertAlign w:val="baseline"/>
        </w:rPr>
        <w:t xml:space="preserve">； </w:t>
      </w:r>
      <w:r>
        <w:rPr>
          <w:rFonts w:ascii="Times New Roman" w:hAnsi="Times New Roman" w:eastAsia="Times New Roman"/>
          <w:vertAlign w:val="baseline"/>
        </w:rPr>
        <w:t>Q—</w:t>
      </w:r>
      <w:r>
        <w:rPr>
          <w:vertAlign w:val="baseline"/>
        </w:rPr>
        <w:t>核算时段内标态干烟气排放量，</w:t>
      </w:r>
      <w:r>
        <w:rPr>
          <w:rFonts w:ascii="Times New Roman" w:hAnsi="Times New Roman" w:eastAsia="Times New Roman"/>
          <w:vertAlign w:val="baseline"/>
        </w:rPr>
        <w:t>m</w:t>
      </w:r>
      <w:r>
        <w:rPr>
          <w:rFonts w:ascii="Times New Roman" w:hAnsi="Times New Roman" w:eastAsia="Times New Roman"/>
          <w:position w:val="8"/>
          <w:sz w:val="15"/>
          <w:vertAlign w:val="baseline"/>
        </w:rPr>
        <w:t>3</w:t>
      </w:r>
      <w:r>
        <w:rPr>
          <w:vertAlign w:val="baseline"/>
        </w:rPr>
        <w:t>；</w:t>
      </w:r>
    </w:p>
    <w:p>
      <w:pPr>
        <w:pStyle w:val="9"/>
        <w:ind w:left="698"/>
      </w:pPr>
      <w:r>
        <w:rPr>
          <w:rFonts w:ascii="Times New Roman" w:hAnsi="Times New Roman" w:eastAsia="Times New Roman"/>
          <w:position w:val="2"/>
        </w:rPr>
        <w:t>η</w:t>
      </w:r>
      <w:r>
        <w:rPr>
          <w:rFonts w:ascii="Times New Roman" w:hAnsi="Times New Roman" w:eastAsia="Times New Roman"/>
          <w:position w:val="2"/>
          <w:vertAlign w:val="subscript"/>
        </w:rPr>
        <w:t>NOx</w:t>
      </w:r>
      <w:r>
        <w:rPr>
          <w:rFonts w:ascii="Times New Roman" w:hAnsi="Times New Roman" w:eastAsia="Times New Roman"/>
          <w:position w:val="2"/>
          <w:vertAlign w:val="baseline"/>
        </w:rPr>
        <w:t>—</w:t>
      </w:r>
      <w:r>
        <w:rPr>
          <w:position w:val="2"/>
          <w:vertAlign w:val="baseline"/>
        </w:rPr>
        <w:t>脱硝效率，</w:t>
      </w:r>
      <w:r>
        <w:rPr>
          <w:rFonts w:ascii="Times New Roman" w:hAnsi="Times New Roman" w:eastAsia="Times New Roman"/>
          <w:position w:val="2"/>
          <w:vertAlign w:val="baseline"/>
        </w:rPr>
        <w:t>%</w:t>
      </w:r>
      <w:r>
        <w:rPr>
          <w:position w:val="2"/>
          <w:vertAlign w:val="baseline"/>
        </w:rPr>
        <w:t>。</w:t>
      </w:r>
    </w:p>
    <w:p>
      <w:pPr>
        <w:pStyle w:val="9"/>
        <w:spacing w:before="157" w:line="364" w:lineRule="auto"/>
        <w:ind w:left="218" w:right="237" w:firstLine="480"/>
      </w:pPr>
      <w:r>
        <w:rPr>
          <w:color w:val="FF0000"/>
          <w:spacing w:val="-6"/>
        </w:rPr>
        <w:t>根据《排污许可证申请与核发技术规范 锅炉》</w:t>
      </w:r>
      <w:r>
        <w:rPr>
          <w:color w:val="FF0000"/>
        </w:rPr>
        <w:t>（</w:t>
      </w:r>
      <w:r>
        <w:rPr>
          <w:rFonts w:ascii="Times New Roman" w:eastAsia="Times New Roman"/>
          <w:color w:val="FF0000"/>
        </w:rPr>
        <w:t>HJ953-2018</w:t>
      </w:r>
      <w:r>
        <w:rPr>
          <w:color w:val="FF0000"/>
        </w:rPr>
        <w:t>）表</w:t>
      </w:r>
      <w:r>
        <w:rPr>
          <w:rFonts w:ascii="Times New Roman" w:eastAsia="Times New Roman"/>
          <w:color w:val="FF0000"/>
        </w:rPr>
        <w:t>F4</w:t>
      </w:r>
      <w:r>
        <w:rPr>
          <w:rFonts w:ascii="Times New Roman" w:eastAsia="Times New Roman"/>
          <w:color w:val="FF0000"/>
          <w:spacing w:val="55"/>
        </w:rPr>
        <w:t xml:space="preserve"> </w:t>
      </w:r>
      <w:r>
        <w:rPr>
          <w:color w:val="FF0000"/>
          <w:spacing w:val="-3"/>
        </w:rPr>
        <w:t>燃生物质工业</w:t>
      </w:r>
      <w:r>
        <w:rPr>
          <w:color w:val="FF0000"/>
        </w:rPr>
        <w:t>锅炉的废气产污系数，本项目废气无低氮燃烧且为直排，产污系数为</w:t>
      </w:r>
      <w:r>
        <w:rPr>
          <w:rFonts w:ascii="Times New Roman" w:eastAsia="Times New Roman"/>
          <w:color w:val="FF0000"/>
        </w:rPr>
        <w:t>1.02</w:t>
      </w:r>
      <w:r>
        <w:rPr>
          <w:color w:val="FF0000"/>
        </w:rPr>
        <w:t>千克</w:t>
      </w:r>
      <w:r>
        <w:rPr>
          <w:rFonts w:ascii="Times New Roman" w:eastAsia="Times New Roman"/>
          <w:color w:val="FF0000"/>
        </w:rPr>
        <w:t>/-</w:t>
      </w:r>
      <w:r>
        <w:rPr>
          <w:color w:val="FF0000"/>
        </w:rPr>
        <w:t>燃料， 经计算</w:t>
      </w:r>
      <w:r>
        <w:rPr>
          <w:rFonts w:ascii="Times New Roman" w:eastAsia="Times New Roman"/>
          <w:color w:val="FF0000"/>
        </w:rPr>
        <w:t>NOx</w:t>
      </w:r>
      <w:r>
        <w:rPr>
          <w:color w:val="FF0000"/>
        </w:rPr>
        <w:t>质量浓度为</w:t>
      </w:r>
      <w:r>
        <w:rPr>
          <w:rFonts w:ascii="Times New Roman" w:eastAsia="Times New Roman"/>
          <w:color w:val="FF0000"/>
        </w:rPr>
        <w:t>161.8mg/m</w:t>
      </w:r>
      <w:r>
        <w:rPr>
          <w:rFonts w:ascii="Times New Roman" w:eastAsia="Times New Roman"/>
          <w:color w:val="FF0000"/>
          <w:position w:val="8"/>
          <w:sz w:val="15"/>
        </w:rPr>
        <w:t>3</w:t>
      </w:r>
      <w:r>
        <w:rPr>
          <w:color w:val="FF0000"/>
        </w:rPr>
        <w:t>。</w:t>
      </w:r>
    </w:p>
    <w:p>
      <w:pPr>
        <w:pStyle w:val="9"/>
        <w:spacing w:line="307" w:lineRule="exact"/>
        <w:ind w:left="698"/>
      </w:pPr>
      <w:r>
        <w:rPr>
          <w:rFonts w:ascii="Times New Roman" w:eastAsia="Times New Roman"/>
        </w:rPr>
        <w:t>e</w:t>
      </w:r>
      <w:r>
        <w:t>、烟气量</w:t>
      </w:r>
    </w:p>
    <w:p>
      <w:pPr>
        <w:pStyle w:val="9"/>
        <w:spacing w:before="161" w:line="362" w:lineRule="auto"/>
        <w:ind w:left="218" w:right="321" w:firstLine="480"/>
      </w:pPr>
      <w:r>
        <w:t>根据《污染源源强核算技术指南 锅炉》（</w:t>
      </w:r>
      <w:r>
        <w:rPr>
          <w:rFonts w:ascii="Times New Roman" w:eastAsia="Times New Roman"/>
        </w:rPr>
        <w:t>HJ991-2018</w:t>
      </w:r>
      <w:r>
        <w:t>），没有元素分析时干烟气排放量的经验公式计算参照</w:t>
      </w:r>
      <w:r>
        <w:rPr>
          <w:rFonts w:ascii="Times New Roman" w:eastAsia="Times New Roman"/>
        </w:rPr>
        <w:t>HJ953</w:t>
      </w:r>
      <w:r>
        <w:t>，根据《排污许可证申请与核发技术规范 锅炉》</w:t>
      </w:r>
    </w:p>
    <w:p>
      <w:pPr>
        <w:pStyle w:val="9"/>
        <w:spacing w:before="5"/>
        <w:ind w:left="218"/>
      </w:pPr>
      <w:r>
        <w:t>（</w:t>
      </w:r>
      <w:r>
        <w:rPr>
          <w:rFonts w:ascii="Times New Roman" w:hAnsi="Times New Roman" w:eastAsia="Times New Roman"/>
        </w:rPr>
        <w:t>HJ953-2018</w:t>
      </w:r>
      <w:r>
        <w:t>），燃生物质锅炉</w:t>
      </w:r>
      <w:r>
        <w:rPr>
          <w:rFonts w:ascii="Times New Roman" w:hAnsi="Times New Roman" w:eastAsia="Times New Roman"/>
        </w:rPr>
        <w:t>Qnet</w:t>
      </w:r>
      <w:r>
        <w:t>，</w:t>
      </w:r>
      <w:r>
        <w:rPr>
          <w:rFonts w:ascii="Times New Roman" w:hAnsi="Times New Roman" w:eastAsia="Times New Roman"/>
        </w:rPr>
        <w:t>ar≥12.54MJ/kg</w:t>
      </w:r>
      <w:r>
        <w:t>且</w:t>
      </w:r>
      <w:r>
        <w:rPr>
          <w:rFonts w:ascii="Times New Roman" w:hAnsi="Times New Roman" w:eastAsia="Times New Roman"/>
        </w:rPr>
        <w:t>V≥15%</w:t>
      </w:r>
      <w:r>
        <w:t>时基准烟气量经验公式为</w:t>
      </w:r>
    </w:p>
    <w:p>
      <w:pPr>
        <w:pStyle w:val="9"/>
        <w:spacing w:before="7"/>
        <w:rPr>
          <w:sz w:val="18"/>
        </w:rPr>
      </w:pPr>
      <w:r>
        <w:drawing>
          <wp:anchor distT="0" distB="0" distL="0" distR="0" simplePos="0" relativeHeight="1024" behindDoc="0" locked="0" layoutInCell="1" allowOverlap="1">
            <wp:simplePos x="0" y="0"/>
            <wp:positionH relativeFrom="page">
              <wp:posOffset>2412365</wp:posOffset>
            </wp:positionH>
            <wp:positionV relativeFrom="paragraph">
              <wp:posOffset>175895</wp:posOffset>
            </wp:positionV>
            <wp:extent cx="2667635" cy="30480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45" cstate="print"/>
                    <a:stretch>
                      <a:fillRect/>
                    </a:stretch>
                  </pic:blipFill>
                  <pic:spPr>
                    <a:xfrm>
                      <a:off x="0" y="0"/>
                      <a:ext cx="2667334" cy="304800"/>
                    </a:xfrm>
                    <a:prstGeom prst="rect">
                      <a:avLst/>
                    </a:prstGeom>
                  </pic:spPr>
                </pic:pic>
              </a:graphicData>
            </a:graphic>
          </wp:anchor>
        </w:drawing>
      </w:r>
    </w:p>
    <w:p>
      <w:pPr>
        <w:spacing w:after="0"/>
        <w:rPr>
          <w:sz w:val="18"/>
        </w:rPr>
        <w:sectPr>
          <w:pgSz w:w="11910" w:h="16840"/>
          <w:pgMar w:top="1340" w:right="1180" w:bottom="1180" w:left="1200" w:header="0" w:footer="993" w:gutter="0"/>
        </w:sectPr>
      </w:pPr>
    </w:p>
    <w:p>
      <w:pPr>
        <w:pStyle w:val="9"/>
        <w:spacing w:before="58" w:line="362" w:lineRule="auto"/>
        <w:ind w:left="698" w:right="4995"/>
      </w:pPr>
      <w:r>
        <w:rPr>
          <w:position w:val="2"/>
        </w:rPr>
        <w:t xml:space="preserve">式中： </w:t>
      </w:r>
      <w:r>
        <w:rPr>
          <w:rFonts w:ascii="Times New Roman" w:hAnsi="Times New Roman" w:eastAsia="Times New Roman"/>
          <w:position w:val="2"/>
        </w:rPr>
        <w:t>V</w:t>
      </w:r>
      <w:r>
        <w:rPr>
          <w:rFonts w:ascii="Times New Roman" w:hAnsi="Times New Roman" w:eastAsia="Times New Roman"/>
          <w:position w:val="2"/>
          <w:vertAlign w:val="subscript"/>
        </w:rPr>
        <w:t>gy</w:t>
      </w:r>
      <w:r>
        <w:rPr>
          <w:rFonts w:ascii="Times New Roman" w:hAnsi="Times New Roman" w:eastAsia="Times New Roman"/>
          <w:position w:val="2"/>
          <w:vertAlign w:val="baseline"/>
        </w:rPr>
        <w:t>—</w:t>
      </w:r>
      <w:r>
        <w:rPr>
          <w:position w:val="2"/>
          <w:vertAlign w:val="baseline"/>
        </w:rPr>
        <w:t>基准烟气量，</w:t>
      </w:r>
      <w:r>
        <w:rPr>
          <w:rFonts w:ascii="Times New Roman" w:hAnsi="Times New Roman" w:eastAsia="Times New Roman"/>
          <w:position w:val="2"/>
          <w:vertAlign w:val="baseline"/>
        </w:rPr>
        <w:t>Nm</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/kg</w:t>
      </w:r>
      <w:r>
        <w:rPr>
          <w:position w:val="2"/>
          <w:vertAlign w:val="baseline"/>
        </w:rPr>
        <w:t xml:space="preserve">； </w:t>
      </w:r>
      <w:r>
        <w:rPr>
          <w:vertAlign w:val="baseline"/>
        </w:rPr>
        <w:t>本项目生物质分析报告见下表。</w:t>
      </w:r>
    </w:p>
    <w:p>
      <w:pPr>
        <w:spacing w:before="2" w:after="4"/>
        <w:ind w:left="3300" w:right="0" w:firstLine="0"/>
        <w:jc w:val="left"/>
        <w:rPr>
          <w:b/>
          <w:sz w:val="21"/>
        </w:rPr>
      </w:pPr>
      <w:r>
        <w:rPr>
          <w:b/>
          <w:sz w:val="21"/>
        </w:rPr>
        <w:t xml:space="preserve">表 </w:t>
      </w:r>
      <w:r>
        <w:rPr>
          <w:rFonts w:ascii="Times New Roman" w:eastAsia="Times New Roman"/>
          <w:b/>
          <w:sz w:val="21"/>
        </w:rPr>
        <w:t xml:space="preserve">2.4-4 </w:t>
      </w:r>
      <w:r>
        <w:rPr>
          <w:b/>
          <w:sz w:val="21"/>
        </w:rPr>
        <w:t>本项目生物质分析报告</w:t>
      </w: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19"/>
        <w:gridCol w:w="3709"/>
        <w:gridCol w:w="2136"/>
        <w:gridCol w:w="23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bottom w:val="single" w:color="000000" w:sz="4" w:space="0"/>
              <w:right w:val="single" w:color="000000" w:sz="4" w:space="0"/>
            </w:tcBorders>
          </w:tcPr>
          <w:p>
            <w:pPr>
              <w:pStyle w:val="19"/>
              <w:spacing w:before="1"/>
              <w:ind w:left="326" w:right="317"/>
              <w:rPr>
                <w:sz w:val="21"/>
              </w:rPr>
            </w:pPr>
            <w:r>
              <w:rPr>
                <w:sz w:val="21"/>
              </w:rPr>
              <w:t>序号</w:t>
            </w:r>
          </w:p>
        </w:tc>
        <w:tc>
          <w:tcPr>
            <w:tcW w:w="3709" w:type="dxa"/>
            <w:tcBorders>
              <w:left w:val="single" w:color="000000" w:sz="4" w:space="0"/>
              <w:bottom w:val="single" w:color="000000" w:sz="4" w:space="0"/>
              <w:right w:val="single" w:color="000000" w:sz="4" w:space="0"/>
            </w:tcBorders>
          </w:tcPr>
          <w:p>
            <w:pPr>
              <w:pStyle w:val="19"/>
              <w:spacing w:before="1"/>
              <w:ind w:left="1418" w:right="1401"/>
              <w:rPr>
                <w:sz w:val="21"/>
              </w:rPr>
            </w:pPr>
            <w:r>
              <w:rPr>
                <w:sz w:val="21"/>
              </w:rPr>
              <w:t>检测项目</w:t>
            </w:r>
          </w:p>
        </w:tc>
        <w:tc>
          <w:tcPr>
            <w:tcW w:w="2136" w:type="dxa"/>
            <w:tcBorders>
              <w:left w:val="single" w:color="000000" w:sz="4" w:space="0"/>
              <w:bottom w:val="single" w:color="000000" w:sz="4" w:space="0"/>
              <w:right w:val="single" w:color="000000" w:sz="4" w:space="0"/>
            </w:tcBorders>
          </w:tcPr>
          <w:p>
            <w:pPr>
              <w:pStyle w:val="19"/>
              <w:spacing w:before="1"/>
              <w:ind w:left="781" w:right="765"/>
              <w:rPr>
                <w:sz w:val="21"/>
              </w:rPr>
            </w:pPr>
            <w:r>
              <w:rPr>
                <w:sz w:val="21"/>
              </w:rPr>
              <w:t>单位</w:t>
            </w:r>
          </w:p>
        </w:tc>
        <w:tc>
          <w:tcPr>
            <w:tcW w:w="2322" w:type="dxa"/>
            <w:tcBorders>
              <w:left w:val="single" w:color="000000" w:sz="4" w:space="0"/>
              <w:bottom w:val="single" w:color="000000" w:sz="4" w:space="0"/>
            </w:tcBorders>
          </w:tcPr>
          <w:p>
            <w:pPr>
              <w:pStyle w:val="19"/>
              <w:spacing w:before="1"/>
              <w:ind w:left="531" w:right="511"/>
              <w:rPr>
                <w:sz w:val="21"/>
              </w:rPr>
            </w:pPr>
            <w:r>
              <w:rPr>
                <w:sz w:val="21"/>
              </w:rPr>
              <w:t>检测结果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top w:val="single" w:color="000000" w:sz="4" w:space="0"/>
              <w:bottom w:val="single" w:color="000000" w:sz="4" w:space="0"/>
              <w:right w:val="single" w:color="000000" w:sz="4" w:space="0"/>
            </w:tcBorders>
          </w:tcPr>
          <w:p>
            <w:pPr>
              <w:pStyle w:val="19"/>
              <w:spacing w:before="16"/>
              <w:ind w:left="13"/>
              <w:rPr>
                <w:rFonts w:ascii="Times New Roman"/>
                <w:sz w:val="21"/>
              </w:rPr>
            </w:pPr>
            <w:r>
              <w:rPr>
                <w:rFonts w:ascii="Times New Roman"/>
                <w:w w:val="99"/>
                <w:sz w:val="21"/>
              </w:rPr>
              <w:t>1</w:t>
            </w:r>
          </w:p>
        </w:tc>
        <w:tc>
          <w:tcPr>
            <w:tcW w:w="3709" w:type="dxa"/>
            <w:tcBorders>
              <w:top w:val="single" w:color="000000" w:sz="4" w:space="0"/>
              <w:left w:val="single" w:color="000000" w:sz="4" w:space="0"/>
              <w:bottom w:val="single" w:color="000000" w:sz="4" w:space="0"/>
              <w:right w:val="single" w:color="000000" w:sz="4" w:space="0"/>
            </w:tcBorders>
          </w:tcPr>
          <w:p>
            <w:pPr>
              <w:pStyle w:val="19"/>
              <w:ind w:left="1211"/>
              <w:jc w:val="left"/>
              <w:rPr>
                <w:sz w:val="21"/>
              </w:rPr>
            </w:pPr>
            <w:r>
              <w:rPr>
                <w:sz w:val="21"/>
              </w:rPr>
              <w:t>全水分（</w:t>
            </w:r>
            <w:r>
              <w:rPr>
                <w:rFonts w:ascii="Times New Roman" w:eastAsia="Times New Roman"/>
                <w:sz w:val="21"/>
              </w:rPr>
              <w:t>Mt</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9"/>
              <w:spacing w:before="16"/>
              <w:ind w:left="18"/>
              <w:rPr>
                <w:rFonts w:ascii="Times New Roman"/>
                <w:sz w:val="21"/>
              </w:rPr>
            </w:pPr>
            <w:r>
              <w:rPr>
                <w:rFonts w:ascii="Times New Roman"/>
                <w:w w:val="99"/>
                <w:sz w:val="21"/>
              </w:rPr>
              <w:t>%</w:t>
            </w:r>
          </w:p>
        </w:tc>
        <w:tc>
          <w:tcPr>
            <w:tcW w:w="2322" w:type="dxa"/>
            <w:tcBorders>
              <w:top w:val="single" w:color="000000" w:sz="4" w:space="0"/>
              <w:left w:val="single" w:color="000000" w:sz="4" w:space="0"/>
              <w:bottom w:val="single" w:color="000000" w:sz="4" w:space="0"/>
            </w:tcBorders>
          </w:tcPr>
          <w:p>
            <w:pPr>
              <w:pStyle w:val="19"/>
              <w:spacing w:before="16"/>
              <w:ind w:left="532" w:right="508"/>
              <w:rPr>
                <w:rFonts w:ascii="Times New Roman"/>
                <w:sz w:val="21"/>
              </w:rPr>
            </w:pPr>
            <w:r>
              <w:rPr>
                <w:rFonts w:ascii="Times New Roman"/>
                <w:sz w:val="21"/>
              </w:rPr>
              <w:t>8.88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top w:val="single" w:color="000000" w:sz="4" w:space="0"/>
              <w:bottom w:val="single" w:color="000000" w:sz="4" w:space="0"/>
              <w:right w:val="single" w:color="000000" w:sz="4" w:space="0"/>
            </w:tcBorders>
          </w:tcPr>
          <w:p>
            <w:pPr>
              <w:pStyle w:val="19"/>
              <w:spacing w:before="17"/>
              <w:ind w:left="13"/>
              <w:rPr>
                <w:rFonts w:ascii="Times New Roman"/>
                <w:sz w:val="21"/>
              </w:rPr>
            </w:pPr>
            <w:r>
              <w:rPr>
                <w:rFonts w:ascii="Times New Roman"/>
                <w:w w:val="99"/>
                <w:sz w:val="21"/>
              </w:rPr>
              <w:t>2</w:t>
            </w:r>
          </w:p>
        </w:tc>
        <w:tc>
          <w:tcPr>
            <w:tcW w:w="3709" w:type="dxa"/>
            <w:tcBorders>
              <w:top w:val="single" w:color="000000" w:sz="4" w:space="0"/>
              <w:left w:val="single" w:color="000000" w:sz="4" w:space="0"/>
              <w:bottom w:val="single" w:color="000000" w:sz="4" w:space="0"/>
              <w:right w:val="single" w:color="000000" w:sz="4" w:space="0"/>
            </w:tcBorders>
          </w:tcPr>
          <w:p>
            <w:pPr>
              <w:pStyle w:val="19"/>
              <w:spacing w:before="1"/>
              <w:ind w:left="721"/>
              <w:jc w:val="left"/>
              <w:rPr>
                <w:sz w:val="21"/>
              </w:rPr>
            </w:pPr>
            <w:r>
              <w:rPr>
                <w:sz w:val="21"/>
              </w:rPr>
              <w:t>空气干燥基水分（</w:t>
            </w:r>
            <w:r>
              <w:rPr>
                <w:rFonts w:ascii="Times New Roman" w:eastAsia="Times New Roman"/>
                <w:sz w:val="21"/>
              </w:rPr>
              <w:t>Mad</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9"/>
              <w:spacing w:before="17"/>
              <w:ind w:left="18"/>
              <w:rPr>
                <w:rFonts w:ascii="Times New Roman"/>
                <w:sz w:val="21"/>
              </w:rPr>
            </w:pPr>
            <w:r>
              <w:rPr>
                <w:rFonts w:ascii="Times New Roman"/>
                <w:w w:val="99"/>
                <w:sz w:val="21"/>
              </w:rPr>
              <w:t>%</w:t>
            </w:r>
          </w:p>
        </w:tc>
        <w:tc>
          <w:tcPr>
            <w:tcW w:w="2322" w:type="dxa"/>
            <w:tcBorders>
              <w:top w:val="single" w:color="000000" w:sz="4" w:space="0"/>
              <w:left w:val="single" w:color="000000" w:sz="4" w:space="0"/>
              <w:bottom w:val="single" w:color="000000" w:sz="4" w:space="0"/>
            </w:tcBorders>
          </w:tcPr>
          <w:p>
            <w:pPr>
              <w:pStyle w:val="19"/>
              <w:spacing w:before="17"/>
              <w:ind w:left="532" w:right="508"/>
              <w:rPr>
                <w:rFonts w:ascii="Times New Roman"/>
                <w:sz w:val="21"/>
              </w:rPr>
            </w:pPr>
            <w:r>
              <w:rPr>
                <w:rFonts w:ascii="Times New Roman"/>
                <w:sz w:val="21"/>
              </w:rPr>
              <w:t>8.88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119" w:type="dxa"/>
            <w:tcBorders>
              <w:top w:val="single" w:color="000000" w:sz="4" w:space="0"/>
              <w:bottom w:val="single" w:color="000000" w:sz="4" w:space="0"/>
              <w:right w:val="single" w:color="000000" w:sz="4" w:space="0"/>
            </w:tcBorders>
          </w:tcPr>
          <w:p>
            <w:pPr>
              <w:pStyle w:val="19"/>
              <w:spacing w:before="16"/>
              <w:ind w:left="13"/>
              <w:rPr>
                <w:rFonts w:ascii="Times New Roman"/>
                <w:sz w:val="21"/>
              </w:rPr>
            </w:pPr>
            <w:r>
              <w:rPr>
                <w:rFonts w:ascii="Times New Roman"/>
                <w:w w:val="99"/>
                <w:sz w:val="21"/>
              </w:rPr>
              <w:t>3</w:t>
            </w:r>
          </w:p>
        </w:tc>
        <w:tc>
          <w:tcPr>
            <w:tcW w:w="3709" w:type="dxa"/>
            <w:tcBorders>
              <w:top w:val="single" w:color="000000" w:sz="4" w:space="0"/>
              <w:left w:val="single" w:color="000000" w:sz="4" w:space="0"/>
              <w:bottom w:val="single" w:color="000000" w:sz="4" w:space="0"/>
              <w:right w:val="single" w:color="000000" w:sz="4" w:space="0"/>
            </w:tcBorders>
          </w:tcPr>
          <w:p>
            <w:pPr>
              <w:pStyle w:val="19"/>
              <w:ind w:left="995"/>
              <w:jc w:val="left"/>
              <w:rPr>
                <w:sz w:val="21"/>
              </w:rPr>
            </w:pPr>
            <w:r>
              <w:rPr>
                <w:sz w:val="21"/>
              </w:rPr>
              <w:t>干燥基灰分（</w:t>
            </w:r>
            <w:r>
              <w:rPr>
                <w:rFonts w:ascii="Times New Roman" w:eastAsia="Times New Roman"/>
                <w:sz w:val="21"/>
              </w:rPr>
              <w:t>Ad</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9"/>
              <w:spacing w:before="16"/>
              <w:ind w:left="18"/>
              <w:rPr>
                <w:rFonts w:ascii="Times New Roman"/>
                <w:sz w:val="21"/>
              </w:rPr>
            </w:pPr>
            <w:r>
              <w:rPr>
                <w:rFonts w:ascii="Times New Roman"/>
                <w:w w:val="99"/>
                <w:sz w:val="21"/>
              </w:rPr>
              <w:t>%</w:t>
            </w:r>
          </w:p>
        </w:tc>
        <w:tc>
          <w:tcPr>
            <w:tcW w:w="2322" w:type="dxa"/>
            <w:tcBorders>
              <w:top w:val="single" w:color="000000" w:sz="4" w:space="0"/>
              <w:left w:val="single" w:color="000000" w:sz="4" w:space="0"/>
              <w:bottom w:val="single" w:color="000000" w:sz="4" w:space="0"/>
            </w:tcBorders>
          </w:tcPr>
          <w:p>
            <w:pPr>
              <w:pStyle w:val="19"/>
              <w:spacing w:before="16"/>
              <w:ind w:left="532" w:right="506"/>
              <w:rPr>
                <w:rFonts w:ascii="Times New Roman"/>
                <w:sz w:val="21"/>
              </w:rPr>
            </w:pPr>
            <w:r>
              <w:rPr>
                <w:rFonts w:ascii="Times New Roman"/>
                <w:sz w:val="21"/>
              </w:rPr>
              <w:t>16.97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top w:val="single" w:color="000000" w:sz="4" w:space="0"/>
              <w:bottom w:val="single" w:color="000000" w:sz="4" w:space="0"/>
              <w:right w:val="single" w:color="000000" w:sz="4" w:space="0"/>
            </w:tcBorders>
          </w:tcPr>
          <w:p>
            <w:pPr>
              <w:pStyle w:val="19"/>
              <w:spacing w:before="19"/>
              <w:ind w:left="13"/>
              <w:rPr>
                <w:rFonts w:ascii="Times New Roman"/>
                <w:sz w:val="21"/>
              </w:rPr>
            </w:pPr>
            <w:r>
              <w:rPr>
                <w:rFonts w:ascii="Times New Roman"/>
                <w:w w:val="99"/>
                <w:sz w:val="21"/>
              </w:rPr>
              <w:t>4</w:t>
            </w:r>
          </w:p>
        </w:tc>
        <w:tc>
          <w:tcPr>
            <w:tcW w:w="3709" w:type="dxa"/>
            <w:tcBorders>
              <w:top w:val="single" w:color="000000" w:sz="4" w:space="0"/>
              <w:left w:val="single" w:color="000000" w:sz="4" w:space="0"/>
              <w:bottom w:val="single" w:color="000000" w:sz="4" w:space="0"/>
              <w:right w:val="single" w:color="000000" w:sz="4" w:space="0"/>
            </w:tcBorders>
          </w:tcPr>
          <w:p>
            <w:pPr>
              <w:pStyle w:val="19"/>
              <w:ind w:left="112"/>
              <w:jc w:val="left"/>
              <w:rPr>
                <w:sz w:val="21"/>
              </w:rPr>
            </w:pPr>
            <w:r>
              <w:rPr>
                <w:sz w:val="21"/>
              </w:rPr>
              <w:t>干燥无灰基挥发分（</w:t>
            </w:r>
            <w:r>
              <w:rPr>
                <w:rFonts w:ascii="Times New Roman" w:eastAsia="Times New Roman"/>
                <w:sz w:val="21"/>
              </w:rPr>
              <w:t>Vdaf</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9"/>
              <w:spacing w:before="19"/>
              <w:ind w:left="18"/>
              <w:rPr>
                <w:rFonts w:ascii="Times New Roman"/>
                <w:sz w:val="21"/>
              </w:rPr>
            </w:pPr>
            <w:r>
              <w:rPr>
                <w:rFonts w:ascii="Times New Roman"/>
                <w:w w:val="99"/>
                <w:sz w:val="21"/>
              </w:rPr>
              <w:t>%</w:t>
            </w:r>
          </w:p>
        </w:tc>
        <w:tc>
          <w:tcPr>
            <w:tcW w:w="2322" w:type="dxa"/>
            <w:tcBorders>
              <w:top w:val="single" w:color="000000" w:sz="4" w:space="0"/>
              <w:left w:val="single" w:color="000000" w:sz="4" w:space="0"/>
              <w:bottom w:val="single" w:color="000000" w:sz="4" w:space="0"/>
            </w:tcBorders>
          </w:tcPr>
          <w:p>
            <w:pPr>
              <w:pStyle w:val="19"/>
              <w:spacing w:before="19"/>
              <w:ind w:left="532" w:right="506"/>
              <w:rPr>
                <w:rFonts w:ascii="Times New Roman"/>
                <w:sz w:val="21"/>
              </w:rPr>
            </w:pPr>
            <w:r>
              <w:rPr>
                <w:rFonts w:ascii="Times New Roman"/>
                <w:sz w:val="21"/>
              </w:rPr>
              <w:t>79.80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top w:val="single" w:color="000000" w:sz="4" w:space="0"/>
              <w:bottom w:val="single" w:color="000000" w:sz="4" w:space="0"/>
              <w:right w:val="single" w:color="000000" w:sz="4" w:space="0"/>
            </w:tcBorders>
          </w:tcPr>
          <w:p>
            <w:pPr>
              <w:pStyle w:val="19"/>
              <w:spacing w:before="18"/>
              <w:ind w:left="13"/>
              <w:rPr>
                <w:rFonts w:ascii="Times New Roman"/>
                <w:sz w:val="21"/>
              </w:rPr>
            </w:pPr>
            <w:r>
              <w:rPr>
                <w:rFonts w:ascii="Times New Roman"/>
                <w:w w:val="99"/>
                <w:sz w:val="21"/>
              </w:rPr>
              <w:t>5</w:t>
            </w:r>
          </w:p>
        </w:tc>
        <w:tc>
          <w:tcPr>
            <w:tcW w:w="3709" w:type="dxa"/>
            <w:tcBorders>
              <w:top w:val="single" w:color="000000" w:sz="4" w:space="0"/>
              <w:left w:val="single" w:color="000000" w:sz="4" w:space="0"/>
              <w:bottom w:val="single" w:color="000000" w:sz="4" w:space="0"/>
              <w:right w:val="single" w:color="000000" w:sz="4" w:space="0"/>
            </w:tcBorders>
          </w:tcPr>
          <w:p>
            <w:pPr>
              <w:pStyle w:val="19"/>
              <w:spacing w:before="1"/>
              <w:ind w:left="1089"/>
              <w:jc w:val="left"/>
              <w:rPr>
                <w:sz w:val="21"/>
              </w:rPr>
            </w:pPr>
            <w:r>
              <w:rPr>
                <w:sz w:val="21"/>
              </w:rPr>
              <w:t>粘结特性（</w:t>
            </w:r>
            <w:r>
              <w:rPr>
                <w:rFonts w:ascii="Times New Roman" w:eastAsia="Times New Roman"/>
                <w:sz w:val="21"/>
              </w:rPr>
              <w:t>1-8</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9"/>
              <w:spacing w:before="18"/>
              <w:ind w:left="17"/>
              <w:rPr>
                <w:rFonts w:ascii="Times New Roman"/>
                <w:sz w:val="21"/>
              </w:rPr>
            </w:pPr>
            <w:r>
              <w:rPr>
                <w:rFonts w:ascii="Times New Roman"/>
                <w:w w:val="99"/>
                <w:sz w:val="21"/>
              </w:rPr>
              <w:t>/</w:t>
            </w:r>
          </w:p>
        </w:tc>
        <w:tc>
          <w:tcPr>
            <w:tcW w:w="2322" w:type="dxa"/>
            <w:tcBorders>
              <w:top w:val="single" w:color="000000" w:sz="4" w:space="0"/>
              <w:left w:val="single" w:color="000000" w:sz="4" w:space="0"/>
              <w:bottom w:val="single" w:color="000000" w:sz="4" w:space="0"/>
            </w:tcBorders>
          </w:tcPr>
          <w:p>
            <w:pPr>
              <w:pStyle w:val="19"/>
              <w:spacing w:before="18"/>
              <w:ind w:left="21"/>
              <w:rPr>
                <w:rFonts w:ascii="Times New Roman"/>
                <w:sz w:val="21"/>
              </w:rPr>
            </w:pPr>
            <w:r>
              <w:rPr>
                <w:rFonts w:ascii="Times New Roman"/>
                <w:w w:val="99"/>
                <w:sz w:val="21"/>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top w:val="single" w:color="000000" w:sz="4" w:space="0"/>
              <w:bottom w:val="single" w:color="000000" w:sz="4" w:space="0"/>
              <w:right w:val="single" w:color="000000" w:sz="4" w:space="0"/>
            </w:tcBorders>
          </w:tcPr>
          <w:p>
            <w:pPr>
              <w:pStyle w:val="19"/>
              <w:spacing w:before="17"/>
              <w:ind w:left="13"/>
              <w:rPr>
                <w:rFonts w:ascii="Times New Roman"/>
                <w:sz w:val="21"/>
              </w:rPr>
            </w:pPr>
            <w:r>
              <w:rPr>
                <w:rFonts w:ascii="Times New Roman"/>
                <w:w w:val="99"/>
                <w:sz w:val="21"/>
              </w:rPr>
              <w:t>6</w:t>
            </w:r>
          </w:p>
        </w:tc>
        <w:tc>
          <w:tcPr>
            <w:tcW w:w="3709" w:type="dxa"/>
            <w:tcBorders>
              <w:top w:val="single" w:color="000000" w:sz="4" w:space="0"/>
              <w:left w:val="single" w:color="000000" w:sz="4" w:space="0"/>
              <w:bottom w:val="single" w:color="000000" w:sz="4" w:space="0"/>
              <w:right w:val="single" w:color="000000" w:sz="4" w:space="0"/>
            </w:tcBorders>
          </w:tcPr>
          <w:p>
            <w:pPr>
              <w:pStyle w:val="19"/>
              <w:ind w:left="112" w:right="-15"/>
              <w:jc w:val="left"/>
              <w:rPr>
                <w:sz w:val="21"/>
              </w:rPr>
            </w:pPr>
            <w:r>
              <w:rPr>
                <w:spacing w:val="-3"/>
                <w:w w:val="95"/>
                <w:sz w:val="21"/>
              </w:rPr>
              <w:t>空气干燥基恒容高位发热量</w:t>
            </w:r>
            <w:r>
              <w:rPr>
                <w:spacing w:val="-5"/>
                <w:w w:val="95"/>
                <w:sz w:val="21"/>
              </w:rPr>
              <w:t>（</w:t>
            </w:r>
            <w:r>
              <w:rPr>
                <w:rFonts w:ascii="Times New Roman" w:eastAsia="Times New Roman"/>
                <w:spacing w:val="-5"/>
                <w:w w:val="95"/>
                <w:sz w:val="21"/>
              </w:rPr>
              <w:t>Qgr</w:t>
            </w:r>
            <w:r>
              <w:rPr>
                <w:spacing w:val="-5"/>
                <w:w w:val="95"/>
                <w:sz w:val="21"/>
              </w:rPr>
              <w:t>，</w:t>
            </w:r>
            <w:r>
              <w:rPr>
                <w:rFonts w:ascii="Times New Roman" w:eastAsia="Times New Roman"/>
                <w:spacing w:val="-5"/>
                <w:w w:val="95"/>
                <w:sz w:val="21"/>
              </w:rPr>
              <w:t>ad</w:t>
            </w:r>
            <w:r>
              <w:rPr>
                <w:spacing w:val="-5"/>
                <w:w w:val="95"/>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9"/>
              <w:spacing w:before="17"/>
              <w:ind w:left="783" w:right="765"/>
              <w:rPr>
                <w:rFonts w:ascii="Times New Roman"/>
                <w:sz w:val="21"/>
              </w:rPr>
            </w:pPr>
            <w:r>
              <w:rPr>
                <w:rFonts w:ascii="Times New Roman"/>
                <w:sz w:val="21"/>
              </w:rPr>
              <w:t>MJ/kg</w:t>
            </w:r>
          </w:p>
        </w:tc>
        <w:tc>
          <w:tcPr>
            <w:tcW w:w="2322" w:type="dxa"/>
            <w:tcBorders>
              <w:top w:val="single" w:color="000000" w:sz="4" w:space="0"/>
              <w:left w:val="single" w:color="000000" w:sz="4" w:space="0"/>
              <w:bottom w:val="single" w:color="000000" w:sz="4" w:space="0"/>
            </w:tcBorders>
          </w:tcPr>
          <w:p>
            <w:pPr>
              <w:pStyle w:val="19"/>
              <w:spacing w:before="17"/>
              <w:ind w:left="532" w:right="506"/>
              <w:rPr>
                <w:rFonts w:ascii="Times New Roman"/>
                <w:sz w:val="21"/>
              </w:rPr>
            </w:pPr>
            <w:r>
              <w:rPr>
                <w:rFonts w:ascii="Times New Roman"/>
                <w:sz w:val="21"/>
              </w:rPr>
              <w:t>15.21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119" w:type="dxa"/>
            <w:tcBorders>
              <w:top w:val="single" w:color="000000" w:sz="4" w:space="0"/>
              <w:bottom w:val="single" w:color="000000" w:sz="4" w:space="0"/>
              <w:right w:val="single" w:color="000000" w:sz="4" w:space="0"/>
            </w:tcBorders>
          </w:tcPr>
          <w:p>
            <w:pPr>
              <w:pStyle w:val="19"/>
              <w:spacing w:before="16"/>
              <w:ind w:left="13"/>
              <w:rPr>
                <w:rFonts w:ascii="Times New Roman"/>
                <w:sz w:val="21"/>
              </w:rPr>
            </w:pPr>
            <w:r>
              <w:rPr>
                <w:rFonts w:ascii="Times New Roman"/>
                <w:w w:val="99"/>
                <w:sz w:val="21"/>
              </w:rPr>
              <w:t>7</w:t>
            </w:r>
          </w:p>
        </w:tc>
        <w:tc>
          <w:tcPr>
            <w:tcW w:w="3709" w:type="dxa"/>
            <w:tcBorders>
              <w:top w:val="single" w:color="000000" w:sz="4" w:space="0"/>
              <w:left w:val="single" w:color="000000" w:sz="4" w:space="0"/>
              <w:bottom w:val="single" w:color="000000" w:sz="4" w:space="0"/>
              <w:right w:val="single" w:color="000000" w:sz="4" w:space="0"/>
            </w:tcBorders>
          </w:tcPr>
          <w:p>
            <w:pPr>
              <w:pStyle w:val="19"/>
              <w:spacing w:line="269" w:lineRule="exact"/>
              <w:ind w:left="114" w:right="-15"/>
              <w:jc w:val="left"/>
              <w:rPr>
                <w:sz w:val="21"/>
              </w:rPr>
            </w:pPr>
            <w:r>
              <w:rPr>
                <w:spacing w:val="-1"/>
                <w:w w:val="95"/>
                <w:sz w:val="21"/>
              </w:rPr>
              <w:t>收到基恒容低位发热量</w:t>
            </w:r>
            <w:r>
              <w:rPr>
                <w:w w:val="95"/>
                <w:sz w:val="21"/>
              </w:rPr>
              <w:t>（</w:t>
            </w:r>
            <w:r>
              <w:rPr>
                <w:rFonts w:ascii="Times New Roman" w:eastAsia="Times New Roman"/>
                <w:w w:val="95"/>
                <w:sz w:val="21"/>
              </w:rPr>
              <w:t>Qnet</w:t>
            </w:r>
            <w:r>
              <w:rPr>
                <w:w w:val="95"/>
                <w:sz w:val="21"/>
              </w:rPr>
              <w:t>，</w:t>
            </w:r>
            <w:r>
              <w:rPr>
                <w:rFonts w:ascii="Times New Roman" w:eastAsia="Times New Roman"/>
                <w:w w:val="95"/>
                <w:sz w:val="21"/>
              </w:rPr>
              <w:t>v</w:t>
            </w:r>
            <w:r>
              <w:rPr>
                <w:w w:val="95"/>
                <w:sz w:val="21"/>
              </w:rPr>
              <w:t>，</w:t>
            </w:r>
            <w:r>
              <w:rPr>
                <w:rFonts w:ascii="Times New Roman" w:eastAsia="Times New Roman"/>
                <w:w w:val="95"/>
                <w:sz w:val="21"/>
              </w:rPr>
              <w:t>ar</w:t>
            </w:r>
            <w:r>
              <w:rPr>
                <w:w w:val="95"/>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9"/>
              <w:spacing w:before="16"/>
              <w:ind w:left="783" w:right="765"/>
              <w:rPr>
                <w:rFonts w:ascii="Times New Roman"/>
                <w:sz w:val="21"/>
              </w:rPr>
            </w:pPr>
            <w:r>
              <w:rPr>
                <w:rFonts w:ascii="Times New Roman"/>
                <w:sz w:val="21"/>
              </w:rPr>
              <w:t>MJ/kg</w:t>
            </w:r>
          </w:p>
        </w:tc>
        <w:tc>
          <w:tcPr>
            <w:tcW w:w="2322" w:type="dxa"/>
            <w:tcBorders>
              <w:top w:val="single" w:color="000000" w:sz="4" w:space="0"/>
              <w:left w:val="single" w:color="000000" w:sz="4" w:space="0"/>
              <w:bottom w:val="single" w:color="000000" w:sz="4" w:space="0"/>
            </w:tcBorders>
          </w:tcPr>
          <w:p>
            <w:pPr>
              <w:pStyle w:val="19"/>
              <w:spacing w:before="16"/>
              <w:ind w:left="532" w:right="506"/>
              <w:rPr>
                <w:rFonts w:ascii="Times New Roman"/>
                <w:sz w:val="21"/>
              </w:rPr>
            </w:pPr>
            <w:r>
              <w:rPr>
                <w:rFonts w:ascii="Times New Roman"/>
                <w:sz w:val="21"/>
              </w:rPr>
              <w:t>13.81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119" w:type="dxa"/>
            <w:tcBorders>
              <w:top w:val="single" w:color="000000" w:sz="4" w:space="0"/>
              <w:bottom w:val="single" w:color="000000" w:sz="4" w:space="0"/>
              <w:right w:val="single" w:color="000000" w:sz="4" w:space="0"/>
            </w:tcBorders>
          </w:tcPr>
          <w:p>
            <w:pPr>
              <w:pStyle w:val="19"/>
              <w:spacing w:before="17"/>
              <w:ind w:left="13"/>
              <w:rPr>
                <w:rFonts w:ascii="Times New Roman"/>
                <w:sz w:val="21"/>
              </w:rPr>
            </w:pPr>
            <w:r>
              <w:rPr>
                <w:rFonts w:ascii="Times New Roman"/>
                <w:w w:val="99"/>
                <w:sz w:val="21"/>
              </w:rPr>
              <w:t>8</w:t>
            </w:r>
          </w:p>
        </w:tc>
        <w:tc>
          <w:tcPr>
            <w:tcW w:w="3709" w:type="dxa"/>
            <w:tcBorders>
              <w:top w:val="single" w:color="000000" w:sz="4" w:space="0"/>
              <w:left w:val="single" w:color="000000" w:sz="4" w:space="0"/>
              <w:bottom w:val="single" w:color="000000" w:sz="4" w:space="0"/>
              <w:right w:val="single" w:color="000000" w:sz="4" w:space="0"/>
            </w:tcBorders>
          </w:tcPr>
          <w:p>
            <w:pPr>
              <w:pStyle w:val="19"/>
              <w:spacing w:before="1"/>
              <w:ind w:left="623"/>
              <w:jc w:val="left"/>
              <w:rPr>
                <w:sz w:val="21"/>
              </w:rPr>
            </w:pPr>
            <w:r>
              <w:rPr>
                <w:sz w:val="21"/>
              </w:rPr>
              <w:t>空气干燥基全硫（</w:t>
            </w:r>
            <w:r>
              <w:rPr>
                <w:rFonts w:ascii="Times New Roman" w:eastAsia="Times New Roman"/>
                <w:sz w:val="21"/>
              </w:rPr>
              <w:t>St</w:t>
            </w:r>
            <w:r>
              <w:rPr>
                <w:sz w:val="21"/>
              </w:rPr>
              <w:t>，</w:t>
            </w:r>
            <w:r>
              <w:rPr>
                <w:rFonts w:ascii="Times New Roman" w:eastAsia="Times New Roman"/>
                <w:sz w:val="21"/>
              </w:rPr>
              <w:t>ad</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9"/>
              <w:spacing w:before="17"/>
              <w:ind w:left="18"/>
              <w:rPr>
                <w:rFonts w:ascii="Times New Roman"/>
                <w:sz w:val="21"/>
              </w:rPr>
            </w:pPr>
            <w:r>
              <w:rPr>
                <w:rFonts w:ascii="Times New Roman"/>
                <w:w w:val="99"/>
                <w:sz w:val="21"/>
              </w:rPr>
              <w:t>%</w:t>
            </w:r>
          </w:p>
        </w:tc>
        <w:tc>
          <w:tcPr>
            <w:tcW w:w="2322" w:type="dxa"/>
            <w:tcBorders>
              <w:top w:val="single" w:color="000000" w:sz="4" w:space="0"/>
              <w:left w:val="single" w:color="000000" w:sz="4" w:space="0"/>
              <w:bottom w:val="single" w:color="000000" w:sz="4" w:space="0"/>
            </w:tcBorders>
          </w:tcPr>
          <w:p>
            <w:pPr>
              <w:pStyle w:val="19"/>
              <w:spacing w:before="17"/>
              <w:ind w:left="532" w:right="508"/>
              <w:rPr>
                <w:rFonts w:ascii="Times New Roman"/>
                <w:sz w:val="21"/>
              </w:rPr>
            </w:pPr>
            <w:r>
              <w:rPr>
                <w:rFonts w:ascii="Times New Roman"/>
                <w:sz w:val="21"/>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119" w:type="dxa"/>
            <w:tcBorders>
              <w:top w:val="single" w:color="000000" w:sz="4" w:space="0"/>
              <w:right w:val="single" w:color="000000" w:sz="4" w:space="0"/>
            </w:tcBorders>
          </w:tcPr>
          <w:p>
            <w:pPr>
              <w:pStyle w:val="19"/>
              <w:spacing w:before="17"/>
              <w:ind w:left="13"/>
              <w:rPr>
                <w:rFonts w:ascii="Times New Roman"/>
                <w:sz w:val="21"/>
              </w:rPr>
            </w:pPr>
            <w:r>
              <w:rPr>
                <w:rFonts w:ascii="Times New Roman"/>
                <w:w w:val="99"/>
                <w:sz w:val="21"/>
              </w:rPr>
              <w:t>9</w:t>
            </w:r>
          </w:p>
        </w:tc>
        <w:tc>
          <w:tcPr>
            <w:tcW w:w="3709" w:type="dxa"/>
            <w:tcBorders>
              <w:top w:val="single" w:color="000000" w:sz="4" w:space="0"/>
              <w:left w:val="single" w:color="000000" w:sz="4" w:space="0"/>
              <w:right w:val="single" w:color="000000" w:sz="4" w:space="0"/>
            </w:tcBorders>
          </w:tcPr>
          <w:p>
            <w:pPr>
              <w:pStyle w:val="19"/>
              <w:spacing w:before="1"/>
              <w:ind w:left="844"/>
              <w:jc w:val="left"/>
              <w:rPr>
                <w:sz w:val="21"/>
              </w:rPr>
            </w:pPr>
            <w:r>
              <w:rPr>
                <w:sz w:val="21"/>
              </w:rPr>
              <w:t>空气干燥基氢（</w:t>
            </w:r>
            <w:r>
              <w:rPr>
                <w:rFonts w:ascii="Times New Roman" w:eastAsia="Times New Roman"/>
                <w:sz w:val="21"/>
              </w:rPr>
              <w:t>Had</w:t>
            </w:r>
            <w:r>
              <w:rPr>
                <w:sz w:val="21"/>
              </w:rPr>
              <w:t>）</w:t>
            </w:r>
          </w:p>
        </w:tc>
        <w:tc>
          <w:tcPr>
            <w:tcW w:w="2136" w:type="dxa"/>
            <w:tcBorders>
              <w:top w:val="single" w:color="000000" w:sz="4" w:space="0"/>
              <w:left w:val="single" w:color="000000" w:sz="4" w:space="0"/>
              <w:right w:val="single" w:color="000000" w:sz="4" w:space="0"/>
            </w:tcBorders>
          </w:tcPr>
          <w:p>
            <w:pPr>
              <w:pStyle w:val="19"/>
              <w:spacing w:before="17"/>
              <w:ind w:left="18"/>
              <w:rPr>
                <w:rFonts w:ascii="Times New Roman"/>
                <w:sz w:val="21"/>
              </w:rPr>
            </w:pPr>
            <w:r>
              <w:rPr>
                <w:rFonts w:ascii="Times New Roman"/>
                <w:w w:val="99"/>
                <w:sz w:val="21"/>
              </w:rPr>
              <w:t>%</w:t>
            </w:r>
          </w:p>
        </w:tc>
        <w:tc>
          <w:tcPr>
            <w:tcW w:w="2322" w:type="dxa"/>
            <w:tcBorders>
              <w:top w:val="single" w:color="000000" w:sz="4" w:space="0"/>
              <w:left w:val="single" w:color="000000" w:sz="4" w:space="0"/>
            </w:tcBorders>
          </w:tcPr>
          <w:p>
            <w:pPr>
              <w:pStyle w:val="19"/>
              <w:spacing w:before="17"/>
              <w:ind w:left="532" w:right="508"/>
              <w:rPr>
                <w:rFonts w:ascii="Times New Roman"/>
                <w:sz w:val="21"/>
              </w:rPr>
            </w:pPr>
            <w:r>
              <w:rPr>
                <w:rFonts w:ascii="Times New Roman"/>
                <w:sz w:val="21"/>
              </w:rPr>
              <w:t>8.07</w:t>
            </w:r>
          </w:p>
        </w:tc>
      </w:tr>
    </w:tbl>
    <w:p>
      <w:pPr>
        <w:pStyle w:val="9"/>
        <w:spacing w:before="3" w:line="362" w:lineRule="auto"/>
        <w:ind w:left="218" w:right="106" w:firstLine="480"/>
      </w:pPr>
      <w:r>
        <w:rPr>
          <w:spacing w:val="3"/>
        </w:rPr>
        <w:t>锅炉房及暖风炉房主要大气污染物是烟尘、二氧化硫和氮氧化物锅炉均燃用生物</w:t>
      </w:r>
      <w:r>
        <w:rPr>
          <w:spacing w:val="-4"/>
        </w:rPr>
        <w:t xml:space="preserve">质，锅炉及热风炉配套布袋除尘器，除尘效率为 </w:t>
      </w:r>
      <w:r>
        <w:rPr>
          <w:rFonts w:ascii="Times New Roman" w:eastAsia="Times New Roman"/>
        </w:rPr>
        <w:t>99.9%</w:t>
      </w:r>
      <w:r>
        <w:rPr>
          <w:spacing w:val="-1"/>
        </w:rPr>
        <w:t>，经计算，锅炉污染物排放浓度</w:t>
      </w:r>
      <w:r>
        <w:rPr>
          <w:spacing w:val="9"/>
          <w:position w:val="2"/>
        </w:rPr>
        <w:t>满足《锅炉大气污染物排放标准》</w:t>
      </w:r>
      <w:r>
        <w:rPr>
          <w:position w:val="2"/>
        </w:rPr>
        <w:t>（</w:t>
      </w:r>
      <w:r>
        <w:rPr>
          <w:rFonts w:ascii="Times New Roman" w:eastAsia="Times New Roman"/>
          <w:position w:val="2"/>
        </w:rPr>
        <w:t>GB13271-2014</w:t>
      </w:r>
      <w:r>
        <w:rPr>
          <w:position w:val="2"/>
        </w:rPr>
        <w:t>）</w:t>
      </w:r>
      <w:r>
        <w:rPr>
          <w:spacing w:val="-10"/>
          <w:position w:val="2"/>
        </w:rPr>
        <w:t xml:space="preserve">烟尘 </w:t>
      </w:r>
      <w:r>
        <w:rPr>
          <w:rFonts w:ascii="Times New Roman" w:eastAsia="Times New Roman"/>
          <w:position w:val="2"/>
        </w:rPr>
        <w:t>50mg/m</w:t>
      </w:r>
      <w:r>
        <w:rPr>
          <w:rFonts w:ascii="Times New Roman" w:eastAsia="Times New Roman"/>
          <w:position w:val="2"/>
          <w:vertAlign w:val="superscript"/>
        </w:rPr>
        <w:t>3</w:t>
      </w:r>
      <w:r>
        <w:rPr>
          <w:spacing w:val="9"/>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300mg/m</w:t>
      </w:r>
      <w:r>
        <w:rPr>
          <w:rFonts w:ascii="Times New Roman" w:eastAsia="Times New Roman"/>
          <w:position w:val="2"/>
          <w:vertAlign w:val="superscript"/>
        </w:rPr>
        <w:t>3</w:t>
      </w:r>
      <w:r>
        <w:rPr>
          <w:position w:val="2"/>
          <w:vertAlign w:val="baseline"/>
        </w:rPr>
        <w:t>、</w:t>
      </w:r>
      <w:r>
        <w:rPr>
          <w:rFonts w:ascii="Times New Roman" w:eastAsia="Times New Roman"/>
          <w:vertAlign w:val="baseline"/>
        </w:rPr>
        <w:t>NOx300mg/m</w:t>
      </w:r>
      <w:r>
        <w:rPr>
          <w:rFonts w:ascii="Times New Roman" w:eastAsia="Times New Roman"/>
          <w:position w:val="8"/>
          <w:sz w:val="15"/>
          <w:vertAlign w:val="baseline"/>
        </w:rPr>
        <w:t>3</w:t>
      </w:r>
      <w:r>
        <w:rPr>
          <w:rFonts w:ascii="Times New Roman" w:eastAsia="Times New Roman"/>
          <w:spacing w:val="2"/>
          <w:position w:val="8"/>
          <w:sz w:val="15"/>
          <w:vertAlign w:val="baseline"/>
        </w:rPr>
        <w:t xml:space="preserve"> </w:t>
      </w:r>
      <w:r>
        <w:rPr>
          <w:spacing w:val="-10"/>
          <w:vertAlign w:val="baseline"/>
        </w:rPr>
        <w:t>的标准限值要求；热风炉污染物排放浓度满足《工业炉窑大气污染物排放</w:t>
      </w:r>
      <w:r>
        <w:rPr>
          <w:spacing w:val="-37"/>
          <w:position w:val="2"/>
          <w:vertAlign w:val="baseline"/>
        </w:rPr>
        <w:t>标准》</w:t>
      </w:r>
      <w:r>
        <w:rPr>
          <w:spacing w:val="-4"/>
          <w:position w:val="2"/>
          <w:vertAlign w:val="baseline"/>
        </w:rPr>
        <w:t>（</w:t>
      </w:r>
      <w:r>
        <w:rPr>
          <w:rFonts w:ascii="Times New Roman" w:eastAsia="Times New Roman"/>
          <w:spacing w:val="-4"/>
          <w:position w:val="2"/>
          <w:vertAlign w:val="baseline"/>
        </w:rPr>
        <w:t>GB9078-1996</w:t>
      </w:r>
      <w:r>
        <w:rPr>
          <w:spacing w:val="-4"/>
          <w:position w:val="2"/>
          <w:vertAlign w:val="baseline"/>
        </w:rPr>
        <w:t>）</w:t>
      </w:r>
      <w:r>
        <w:rPr>
          <w:spacing w:val="-20"/>
          <w:position w:val="2"/>
          <w:vertAlign w:val="baseline"/>
        </w:rPr>
        <w:t xml:space="preserve">中表 </w:t>
      </w:r>
      <w:r>
        <w:rPr>
          <w:rFonts w:ascii="Times New Roman" w:eastAsia="Times New Roman"/>
          <w:position w:val="2"/>
          <w:vertAlign w:val="baseline"/>
        </w:rPr>
        <w:t>2</w:t>
      </w:r>
      <w:r>
        <w:rPr>
          <w:rFonts w:ascii="Times New Roman" w:eastAsia="Times New Roman"/>
          <w:spacing w:val="1"/>
          <w:position w:val="2"/>
          <w:vertAlign w:val="baseline"/>
        </w:rPr>
        <w:t xml:space="preserve"> </w:t>
      </w:r>
      <w:r>
        <w:rPr>
          <w:spacing w:val="-19"/>
          <w:position w:val="2"/>
          <w:vertAlign w:val="baseline"/>
        </w:rPr>
        <w:t xml:space="preserve">及表 </w:t>
      </w:r>
      <w:r>
        <w:rPr>
          <w:rFonts w:ascii="Times New Roman" w:eastAsia="Times New Roman"/>
          <w:position w:val="2"/>
          <w:vertAlign w:val="baseline"/>
        </w:rPr>
        <w:t>4</w:t>
      </w:r>
      <w:r>
        <w:rPr>
          <w:rFonts w:ascii="Times New Roman" w:eastAsia="Times New Roman"/>
          <w:spacing w:val="1"/>
          <w:position w:val="2"/>
          <w:vertAlign w:val="baseline"/>
        </w:rPr>
        <w:t xml:space="preserve"> </w:t>
      </w:r>
      <w:r>
        <w:rPr>
          <w:spacing w:val="-15"/>
          <w:position w:val="2"/>
          <w:vertAlign w:val="baseline"/>
        </w:rPr>
        <w:t xml:space="preserve">中烟尘 </w:t>
      </w:r>
      <w:r>
        <w:rPr>
          <w:rFonts w:ascii="Times New Roman" w:eastAsia="Times New Roman"/>
          <w:position w:val="2"/>
          <w:vertAlign w:val="baseline"/>
        </w:rPr>
        <w:t>200mg/m</w:t>
      </w:r>
      <w:r>
        <w:rPr>
          <w:rFonts w:ascii="Times New Roman" w:eastAsia="Times New Roman"/>
          <w:position w:val="2"/>
          <w:vertAlign w:val="superscript"/>
        </w:rPr>
        <w:t>3</w:t>
      </w:r>
      <w:r>
        <w:rPr>
          <w:spacing w:val="-46"/>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850mg/m</w:t>
      </w:r>
      <w:r>
        <w:rPr>
          <w:rFonts w:ascii="Times New Roman" w:eastAsia="Times New Roman"/>
          <w:position w:val="2"/>
          <w:vertAlign w:val="superscript"/>
        </w:rPr>
        <w:t>3</w:t>
      </w:r>
      <w:r>
        <w:rPr>
          <w:rFonts w:ascii="Times New Roman" w:eastAsia="Times New Roman"/>
          <w:spacing w:val="-20"/>
          <w:position w:val="2"/>
          <w:vertAlign w:val="baseline"/>
        </w:rPr>
        <w:t xml:space="preserve"> </w:t>
      </w:r>
      <w:r>
        <w:rPr>
          <w:spacing w:val="-2"/>
          <w:position w:val="2"/>
          <w:vertAlign w:val="baseline"/>
        </w:rPr>
        <w:t xml:space="preserve">的标准限值要求， </w:t>
      </w:r>
      <w:r>
        <w:rPr>
          <w:spacing w:val="-4"/>
          <w:vertAlign w:val="baseline"/>
        </w:rPr>
        <w:t xml:space="preserve">废气污染源源强核算结果及相关参数详见表 </w:t>
      </w:r>
      <w:r>
        <w:rPr>
          <w:rFonts w:ascii="Times New Roman" w:eastAsia="Times New Roman"/>
          <w:vertAlign w:val="baseline"/>
        </w:rPr>
        <w:t>2.4-6</w:t>
      </w:r>
      <w:r>
        <w:rPr>
          <w:vertAlign w:val="baseline"/>
        </w:rPr>
        <w:t>。</w:t>
      </w:r>
    </w:p>
    <w:p>
      <w:pPr>
        <w:pStyle w:val="9"/>
        <w:spacing w:before="7"/>
        <w:ind w:left="698"/>
      </w:pPr>
      <w:r>
        <w:rPr>
          <w:rFonts w:ascii="Times New Roman" w:eastAsia="Times New Roman"/>
        </w:rPr>
        <w:t>f</w:t>
      </w:r>
      <w:r>
        <w:t>、非正常工况</w:t>
      </w:r>
    </w:p>
    <w:p>
      <w:pPr>
        <w:pStyle w:val="9"/>
        <w:spacing w:before="158" w:line="364" w:lineRule="auto"/>
        <w:ind w:left="218" w:right="174" w:firstLine="480"/>
      </w:pPr>
      <w:r>
        <w:t>本项目非正常工况主要为锅炉除尘系统故障，导致除尘效率降低，本项目非正常工况设定情景如下：</w:t>
      </w:r>
    </w:p>
    <w:p>
      <w:pPr>
        <w:pStyle w:val="9"/>
        <w:spacing w:line="364" w:lineRule="auto"/>
        <w:ind w:left="698" w:right="1779"/>
      </w:pPr>
      <w:r>
        <w:t xml:space="preserve">除尘器当一个仓室发生故障时，除尘器整体除尘效率降为约 </w:t>
      </w:r>
      <w:r>
        <w:rPr>
          <w:rFonts w:ascii="Times New Roman" w:eastAsia="Times New Roman"/>
        </w:rPr>
        <w:t>90%</w:t>
      </w:r>
      <w:r>
        <w:t>。本项目非正常工况废气排放情况见下表。</w:t>
      </w:r>
    </w:p>
    <w:p>
      <w:pPr>
        <w:spacing w:before="0" w:line="267" w:lineRule="exact"/>
        <w:ind w:left="2671" w:right="0" w:firstLine="0"/>
        <w:jc w:val="left"/>
        <w:rPr>
          <w:b/>
          <w:sz w:val="21"/>
        </w:rPr>
      </w:pPr>
      <w:r>
        <w:rPr>
          <w:b/>
          <w:spacing w:val="-28"/>
          <w:sz w:val="21"/>
        </w:rPr>
        <w:t xml:space="preserve">表 </w:t>
      </w:r>
      <w:r>
        <w:rPr>
          <w:rFonts w:ascii="Times New Roman" w:eastAsia="Times New Roman"/>
          <w:b/>
          <w:sz w:val="21"/>
        </w:rPr>
        <w:t>2.4-5</w:t>
      </w:r>
      <w:r>
        <w:rPr>
          <w:rFonts w:ascii="Times New Roman" w:eastAsia="Times New Roman"/>
          <w:b/>
          <w:spacing w:val="52"/>
          <w:sz w:val="21"/>
        </w:rPr>
        <w:t xml:space="preserve"> </w:t>
      </w:r>
      <w:r>
        <w:rPr>
          <w:b/>
          <w:sz w:val="21"/>
        </w:rPr>
        <w:t>非正常工况下污染物排放情况一览表</w:t>
      </w:r>
    </w:p>
    <w:p>
      <w:pPr>
        <w:pStyle w:val="9"/>
        <w:spacing w:before="10"/>
        <w:rPr>
          <w:b/>
          <w:sz w:val="10"/>
        </w:rPr>
      </w:pP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31"/>
        <w:gridCol w:w="1496"/>
        <w:gridCol w:w="1515"/>
        <w:gridCol w:w="940"/>
        <w:gridCol w:w="940"/>
        <w:gridCol w:w="940"/>
        <w:gridCol w:w="1260"/>
        <w:gridCol w:w="12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931" w:type="dxa"/>
            <w:vMerge w:val="restart"/>
            <w:tcBorders>
              <w:bottom w:val="single" w:color="000000" w:sz="4" w:space="0"/>
              <w:right w:val="single" w:color="000000" w:sz="4" w:space="0"/>
            </w:tcBorders>
          </w:tcPr>
          <w:p>
            <w:pPr>
              <w:pStyle w:val="19"/>
              <w:jc w:val="left"/>
              <w:rPr>
                <w:b/>
                <w:sz w:val="20"/>
              </w:rPr>
            </w:pPr>
          </w:p>
          <w:p>
            <w:pPr>
              <w:pStyle w:val="19"/>
              <w:spacing w:before="153"/>
              <w:ind w:left="254"/>
              <w:jc w:val="left"/>
              <w:rPr>
                <w:sz w:val="21"/>
              </w:rPr>
            </w:pPr>
            <w:r>
              <w:rPr>
                <w:sz w:val="21"/>
              </w:rPr>
              <w:t>工况</w:t>
            </w:r>
          </w:p>
        </w:tc>
        <w:tc>
          <w:tcPr>
            <w:tcW w:w="1496" w:type="dxa"/>
            <w:vMerge w:val="restart"/>
            <w:tcBorders>
              <w:left w:val="single" w:color="000000" w:sz="4" w:space="0"/>
              <w:bottom w:val="single" w:color="000000" w:sz="4" w:space="0"/>
              <w:right w:val="single" w:color="000000" w:sz="4" w:space="0"/>
            </w:tcBorders>
          </w:tcPr>
          <w:p>
            <w:pPr>
              <w:pStyle w:val="19"/>
              <w:jc w:val="left"/>
              <w:rPr>
                <w:b/>
                <w:sz w:val="20"/>
              </w:rPr>
            </w:pPr>
          </w:p>
          <w:p>
            <w:pPr>
              <w:pStyle w:val="19"/>
              <w:spacing w:before="153"/>
              <w:ind w:left="437"/>
              <w:jc w:val="left"/>
              <w:rPr>
                <w:sz w:val="21"/>
              </w:rPr>
            </w:pPr>
            <w:r>
              <w:rPr>
                <w:sz w:val="21"/>
              </w:rPr>
              <w:t>污染源</w:t>
            </w:r>
          </w:p>
        </w:tc>
        <w:tc>
          <w:tcPr>
            <w:tcW w:w="1515" w:type="dxa"/>
            <w:vMerge w:val="restart"/>
            <w:tcBorders>
              <w:left w:val="single" w:color="000000" w:sz="4" w:space="0"/>
              <w:bottom w:val="single" w:color="000000" w:sz="4" w:space="0"/>
              <w:right w:val="single" w:color="000000" w:sz="4" w:space="0"/>
            </w:tcBorders>
          </w:tcPr>
          <w:p>
            <w:pPr>
              <w:pStyle w:val="19"/>
              <w:jc w:val="left"/>
              <w:rPr>
                <w:b/>
                <w:sz w:val="20"/>
              </w:rPr>
            </w:pPr>
          </w:p>
          <w:p>
            <w:pPr>
              <w:pStyle w:val="19"/>
              <w:spacing w:before="153"/>
              <w:ind w:left="340"/>
              <w:jc w:val="left"/>
              <w:rPr>
                <w:sz w:val="21"/>
              </w:rPr>
            </w:pPr>
            <w:r>
              <w:rPr>
                <w:sz w:val="21"/>
              </w:rPr>
              <w:t>情景模式</w:t>
            </w:r>
          </w:p>
        </w:tc>
        <w:tc>
          <w:tcPr>
            <w:tcW w:w="940" w:type="dxa"/>
            <w:vMerge w:val="restart"/>
            <w:tcBorders>
              <w:left w:val="single" w:color="000000" w:sz="4" w:space="0"/>
              <w:bottom w:val="single" w:color="000000" w:sz="4" w:space="0"/>
              <w:right w:val="single" w:color="000000" w:sz="4" w:space="0"/>
            </w:tcBorders>
          </w:tcPr>
          <w:p>
            <w:pPr>
              <w:pStyle w:val="19"/>
              <w:spacing w:before="1" w:line="364" w:lineRule="auto"/>
              <w:ind w:left="111" w:right="93"/>
              <w:jc w:val="left"/>
              <w:rPr>
                <w:sz w:val="21"/>
              </w:rPr>
            </w:pPr>
            <w:r>
              <w:rPr>
                <w:sz w:val="21"/>
              </w:rPr>
              <w:t>允许持续时间</w:t>
            </w:r>
          </w:p>
          <w:p>
            <w:pPr>
              <w:pStyle w:val="19"/>
              <w:spacing w:line="267" w:lineRule="exact"/>
              <w:ind w:left="111"/>
              <w:jc w:val="left"/>
              <w:rPr>
                <w:sz w:val="21"/>
              </w:rPr>
            </w:pPr>
            <w:r>
              <w:rPr>
                <w:sz w:val="21"/>
              </w:rPr>
              <w:t>（</w:t>
            </w:r>
            <w:r>
              <w:rPr>
                <w:rFonts w:ascii="Times New Roman" w:eastAsia="Times New Roman"/>
                <w:sz w:val="21"/>
              </w:rPr>
              <w:t>h</w:t>
            </w:r>
            <w:r>
              <w:rPr>
                <w:sz w:val="21"/>
              </w:rPr>
              <w:t>）</w:t>
            </w:r>
          </w:p>
        </w:tc>
        <w:tc>
          <w:tcPr>
            <w:tcW w:w="940" w:type="dxa"/>
            <w:vMerge w:val="restart"/>
            <w:tcBorders>
              <w:left w:val="single" w:color="000000" w:sz="4" w:space="0"/>
              <w:bottom w:val="single" w:color="000000" w:sz="4" w:space="0"/>
              <w:right w:val="single" w:color="000000" w:sz="4" w:space="0"/>
            </w:tcBorders>
          </w:tcPr>
          <w:p>
            <w:pPr>
              <w:pStyle w:val="19"/>
              <w:jc w:val="left"/>
              <w:rPr>
                <w:b/>
                <w:sz w:val="16"/>
              </w:rPr>
            </w:pPr>
          </w:p>
          <w:p>
            <w:pPr>
              <w:pStyle w:val="19"/>
              <w:spacing w:line="364" w:lineRule="auto"/>
              <w:ind w:left="263" w:right="138" w:hanging="104"/>
              <w:jc w:val="left"/>
              <w:rPr>
                <w:sz w:val="21"/>
              </w:rPr>
            </w:pPr>
            <w:r>
              <w:rPr>
                <w:sz w:val="21"/>
              </w:rPr>
              <w:t>污染物名称</w:t>
            </w:r>
          </w:p>
        </w:tc>
        <w:tc>
          <w:tcPr>
            <w:tcW w:w="940" w:type="dxa"/>
            <w:vMerge w:val="restart"/>
            <w:tcBorders>
              <w:left w:val="single" w:color="000000" w:sz="4" w:space="0"/>
              <w:bottom w:val="single" w:color="000000" w:sz="4" w:space="0"/>
              <w:right w:val="single" w:color="000000" w:sz="4" w:space="0"/>
            </w:tcBorders>
          </w:tcPr>
          <w:p>
            <w:pPr>
              <w:pStyle w:val="19"/>
              <w:jc w:val="left"/>
              <w:rPr>
                <w:b/>
                <w:sz w:val="16"/>
              </w:rPr>
            </w:pPr>
          </w:p>
          <w:p>
            <w:pPr>
              <w:pStyle w:val="19"/>
              <w:ind w:left="158"/>
              <w:jc w:val="left"/>
              <w:rPr>
                <w:sz w:val="21"/>
              </w:rPr>
            </w:pPr>
            <w:r>
              <w:rPr>
                <w:w w:val="95"/>
                <w:sz w:val="21"/>
              </w:rPr>
              <w:t>去除率</w:t>
            </w:r>
          </w:p>
          <w:p>
            <w:pPr>
              <w:pStyle w:val="19"/>
              <w:spacing w:before="139"/>
              <w:ind w:left="178"/>
              <w:jc w:val="left"/>
              <w:rPr>
                <w:sz w:val="21"/>
              </w:rPr>
            </w:pPr>
            <w:r>
              <w:rPr>
                <w:sz w:val="21"/>
              </w:rPr>
              <w:t>（</w:t>
            </w:r>
            <w:r>
              <w:rPr>
                <w:rFonts w:ascii="Times New Roman" w:eastAsia="Times New Roman"/>
                <w:sz w:val="21"/>
              </w:rPr>
              <w:t>%</w:t>
            </w:r>
            <w:r>
              <w:rPr>
                <w:sz w:val="21"/>
              </w:rPr>
              <w:t>）</w:t>
            </w:r>
          </w:p>
        </w:tc>
        <w:tc>
          <w:tcPr>
            <w:tcW w:w="2524" w:type="dxa"/>
            <w:gridSpan w:val="2"/>
            <w:tcBorders>
              <w:left w:val="single" w:color="000000" w:sz="4" w:space="0"/>
              <w:bottom w:val="single" w:color="000000" w:sz="4" w:space="0"/>
            </w:tcBorders>
          </w:tcPr>
          <w:p>
            <w:pPr>
              <w:pStyle w:val="19"/>
              <w:spacing w:before="1"/>
              <w:ind w:left="846"/>
              <w:jc w:val="left"/>
              <w:rPr>
                <w:sz w:val="21"/>
              </w:rPr>
            </w:pPr>
            <w:r>
              <w:rPr>
                <w:sz w:val="21"/>
              </w:rPr>
              <w:t>排放情况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7" w:hRule="atLeast"/>
        </w:trPr>
        <w:tc>
          <w:tcPr>
            <w:tcW w:w="931" w:type="dxa"/>
            <w:vMerge w:val="continue"/>
            <w:tcBorders>
              <w:top w:val="nil"/>
              <w:bottom w:val="single" w:color="000000" w:sz="4" w:space="0"/>
              <w:right w:val="single" w:color="000000" w:sz="4" w:space="0"/>
            </w:tcBorders>
          </w:tcPr>
          <w:p>
            <w:pPr>
              <w:rPr>
                <w:sz w:val="2"/>
                <w:szCs w:val="2"/>
              </w:rPr>
            </w:pPr>
          </w:p>
        </w:tc>
        <w:tc>
          <w:tcPr>
            <w:tcW w:w="1496" w:type="dxa"/>
            <w:vMerge w:val="continue"/>
            <w:tcBorders>
              <w:top w:val="nil"/>
              <w:left w:val="single" w:color="000000" w:sz="4" w:space="0"/>
              <w:bottom w:val="single" w:color="000000" w:sz="4" w:space="0"/>
              <w:right w:val="single" w:color="000000" w:sz="4" w:space="0"/>
            </w:tcBorders>
          </w:tcPr>
          <w:p>
            <w:pPr>
              <w:rPr>
                <w:sz w:val="2"/>
                <w:szCs w:val="2"/>
              </w:rPr>
            </w:pPr>
          </w:p>
        </w:tc>
        <w:tc>
          <w:tcPr>
            <w:tcW w:w="1515" w:type="dxa"/>
            <w:vMerge w:val="continue"/>
            <w:tcBorders>
              <w:top w:val="nil"/>
              <w:left w:val="single" w:color="000000" w:sz="4" w:space="0"/>
              <w:bottom w:val="single" w:color="000000" w:sz="4" w:space="0"/>
              <w:right w:val="single" w:color="000000" w:sz="4" w:space="0"/>
            </w:tcBorders>
          </w:tcPr>
          <w:p>
            <w:pPr>
              <w:rPr>
                <w:sz w:val="2"/>
                <w:szCs w:val="2"/>
              </w:rPr>
            </w:pPr>
          </w:p>
        </w:tc>
        <w:tc>
          <w:tcPr>
            <w:tcW w:w="940" w:type="dxa"/>
            <w:vMerge w:val="continue"/>
            <w:tcBorders>
              <w:top w:val="nil"/>
              <w:left w:val="single" w:color="000000" w:sz="4" w:space="0"/>
              <w:bottom w:val="single" w:color="000000" w:sz="4" w:space="0"/>
              <w:right w:val="single" w:color="000000" w:sz="4" w:space="0"/>
            </w:tcBorders>
          </w:tcPr>
          <w:p>
            <w:pPr>
              <w:rPr>
                <w:sz w:val="2"/>
                <w:szCs w:val="2"/>
              </w:rPr>
            </w:pPr>
          </w:p>
        </w:tc>
        <w:tc>
          <w:tcPr>
            <w:tcW w:w="940" w:type="dxa"/>
            <w:vMerge w:val="continue"/>
            <w:tcBorders>
              <w:top w:val="nil"/>
              <w:left w:val="single" w:color="000000" w:sz="4" w:space="0"/>
              <w:bottom w:val="single" w:color="000000" w:sz="4" w:space="0"/>
              <w:right w:val="single" w:color="000000" w:sz="4" w:space="0"/>
            </w:tcBorders>
          </w:tcPr>
          <w:p>
            <w:pPr>
              <w:rPr>
                <w:sz w:val="2"/>
                <w:szCs w:val="2"/>
              </w:rPr>
            </w:pPr>
          </w:p>
        </w:tc>
        <w:tc>
          <w:tcPr>
            <w:tcW w:w="940" w:type="dxa"/>
            <w:vMerge w:val="continue"/>
            <w:tcBorders>
              <w:top w:val="nil"/>
              <w:left w:val="single" w:color="000000" w:sz="4" w:space="0"/>
              <w:bottom w:val="single" w:color="000000" w:sz="4" w:space="0"/>
              <w:right w:val="single" w:color="000000" w:sz="4" w:space="0"/>
            </w:tcBorders>
          </w:tcPr>
          <w:p>
            <w:pPr>
              <w:rPr>
                <w:sz w:val="2"/>
                <w:szCs w:val="2"/>
              </w:rPr>
            </w:pPr>
          </w:p>
        </w:tc>
        <w:tc>
          <w:tcPr>
            <w:tcW w:w="1260" w:type="dxa"/>
            <w:tcBorders>
              <w:top w:val="single" w:color="000000" w:sz="4" w:space="0"/>
              <w:left w:val="single" w:color="000000" w:sz="4" w:space="0"/>
              <w:bottom w:val="single" w:color="000000" w:sz="4" w:space="0"/>
              <w:right w:val="single" w:color="000000" w:sz="4" w:space="0"/>
            </w:tcBorders>
          </w:tcPr>
          <w:p>
            <w:pPr>
              <w:pStyle w:val="19"/>
              <w:spacing w:before="199"/>
              <w:ind w:left="73" w:right="55"/>
              <w:rPr>
                <w:rFonts w:ascii="Times New Roman" w:eastAsia="Times New Roman"/>
                <w:sz w:val="13"/>
              </w:rPr>
            </w:pPr>
            <w:r>
              <w:rPr>
                <w:sz w:val="21"/>
              </w:rPr>
              <w:t xml:space="preserve">浓度 </w:t>
            </w:r>
            <w:r>
              <w:rPr>
                <w:rFonts w:ascii="Times New Roman" w:eastAsia="Times New Roman"/>
                <w:sz w:val="21"/>
              </w:rPr>
              <w:t>mg/m</w:t>
            </w:r>
            <w:r>
              <w:rPr>
                <w:rFonts w:ascii="Times New Roman" w:eastAsia="Times New Roman"/>
                <w:position w:val="7"/>
                <w:sz w:val="13"/>
              </w:rPr>
              <w:t>3</w:t>
            </w:r>
          </w:p>
        </w:tc>
        <w:tc>
          <w:tcPr>
            <w:tcW w:w="1264" w:type="dxa"/>
            <w:tcBorders>
              <w:top w:val="single" w:color="000000" w:sz="4" w:space="0"/>
              <w:left w:val="single" w:color="000000" w:sz="4" w:space="0"/>
              <w:bottom w:val="single" w:color="000000" w:sz="4" w:space="0"/>
            </w:tcBorders>
          </w:tcPr>
          <w:p>
            <w:pPr>
              <w:pStyle w:val="19"/>
              <w:spacing w:before="19"/>
              <w:ind w:left="191" w:right="168"/>
              <w:rPr>
                <w:sz w:val="21"/>
              </w:rPr>
            </w:pPr>
            <w:r>
              <w:rPr>
                <w:sz w:val="21"/>
              </w:rPr>
              <w:t>排放速率</w:t>
            </w:r>
          </w:p>
          <w:p>
            <w:pPr>
              <w:pStyle w:val="19"/>
              <w:spacing w:before="136"/>
              <w:ind w:left="191" w:right="169"/>
              <w:rPr>
                <w:rFonts w:ascii="Times New Roman"/>
                <w:sz w:val="21"/>
              </w:rPr>
            </w:pPr>
            <w:r>
              <w:rPr>
                <w:rFonts w:ascii="Times New Roman"/>
                <w:sz w:val="21"/>
              </w:rPr>
              <w:t>kg/h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931" w:type="dxa"/>
            <w:vMerge w:val="restart"/>
            <w:tcBorders>
              <w:top w:val="single" w:color="000000" w:sz="4" w:space="0"/>
              <w:right w:val="single" w:color="000000" w:sz="4" w:space="0"/>
            </w:tcBorders>
          </w:tcPr>
          <w:p>
            <w:pPr>
              <w:pStyle w:val="19"/>
              <w:jc w:val="left"/>
              <w:rPr>
                <w:b/>
                <w:sz w:val="20"/>
              </w:rPr>
            </w:pPr>
          </w:p>
          <w:p>
            <w:pPr>
              <w:pStyle w:val="19"/>
              <w:spacing w:before="5"/>
              <w:jc w:val="left"/>
              <w:rPr>
                <w:b/>
                <w:sz w:val="25"/>
              </w:rPr>
            </w:pPr>
          </w:p>
          <w:p>
            <w:pPr>
              <w:pStyle w:val="19"/>
              <w:spacing w:line="364" w:lineRule="auto"/>
              <w:ind w:left="254" w:right="136" w:hanging="106"/>
              <w:jc w:val="left"/>
              <w:rPr>
                <w:sz w:val="21"/>
              </w:rPr>
            </w:pPr>
            <w:r>
              <w:rPr>
                <w:sz w:val="21"/>
              </w:rPr>
              <w:t>非正常工况</w:t>
            </w:r>
          </w:p>
        </w:tc>
        <w:tc>
          <w:tcPr>
            <w:tcW w:w="1496" w:type="dxa"/>
            <w:tcBorders>
              <w:top w:val="single" w:color="000000" w:sz="4" w:space="0"/>
              <w:left w:val="single" w:color="000000" w:sz="4" w:space="0"/>
              <w:bottom w:val="single" w:color="000000" w:sz="4" w:space="0"/>
              <w:right w:val="single" w:color="000000" w:sz="4" w:space="0"/>
            </w:tcBorders>
          </w:tcPr>
          <w:p>
            <w:pPr>
              <w:pStyle w:val="19"/>
              <w:spacing w:before="1"/>
              <w:ind w:left="101" w:right="84"/>
              <w:rPr>
                <w:sz w:val="21"/>
              </w:rPr>
            </w:pPr>
            <w:r>
              <w:rPr>
                <w:sz w:val="21"/>
              </w:rPr>
              <w:t>主井暖风炉房</w:t>
            </w:r>
          </w:p>
          <w:p>
            <w:pPr>
              <w:pStyle w:val="19"/>
              <w:spacing w:before="55"/>
              <w:ind w:left="101" w:right="84"/>
              <w:rPr>
                <w:sz w:val="21"/>
              </w:rPr>
            </w:pPr>
            <w:r>
              <w:rPr>
                <w:sz w:val="21"/>
              </w:rPr>
              <w:t>烟囱</w:t>
            </w:r>
          </w:p>
        </w:tc>
        <w:tc>
          <w:tcPr>
            <w:tcW w:w="1515" w:type="dxa"/>
            <w:vMerge w:val="restart"/>
            <w:tcBorders>
              <w:top w:val="single" w:color="000000" w:sz="4" w:space="0"/>
              <w:left w:val="single" w:color="000000" w:sz="4" w:space="0"/>
              <w:right w:val="single" w:color="000000" w:sz="4" w:space="0"/>
            </w:tcBorders>
          </w:tcPr>
          <w:p>
            <w:pPr>
              <w:pStyle w:val="19"/>
              <w:jc w:val="left"/>
              <w:rPr>
                <w:b/>
                <w:sz w:val="20"/>
              </w:rPr>
            </w:pPr>
          </w:p>
          <w:p>
            <w:pPr>
              <w:pStyle w:val="19"/>
              <w:spacing w:before="5"/>
              <w:jc w:val="left"/>
              <w:rPr>
                <w:b/>
                <w:sz w:val="25"/>
              </w:rPr>
            </w:pPr>
          </w:p>
          <w:p>
            <w:pPr>
              <w:pStyle w:val="19"/>
              <w:spacing w:line="364" w:lineRule="auto"/>
              <w:ind w:left="445" w:right="113" w:hanging="315"/>
              <w:jc w:val="left"/>
              <w:rPr>
                <w:sz w:val="21"/>
              </w:rPr>
            </w:pPr>
            <w:r>
              <w:rPr>
                <w:sz w:val="21"/>
              </w:rPr>
              <w:t>布袋除尘器部分故障</w:t>
            </w:r>
          </w:p>
        </w:tc>
        <w:tc>
          <w:tcPr>
            <w:tcW w:w="940" w:type="dxa"/>
            <w:vMerge w:val="restart"/>
            <w:tcBorders>
              <w:top w:val="single" w:color="000000" w:sz="4" w:space="0"/>
              <w:left w:val="single" w:color="000000" w:sz="4" w:space="0"/>
              <w:right w:val="single" w:color="000000" w:sz="4" w:space="0"/>
            </w:tcBorders>
          </w:tcPr>
          <w:p>
            <w:pPr>
              <w:pStyle w:val="19"/>
              <w:jc w:val="left"/>
              <w:rPr>
                <w:b/>
                <w:sz w:val="22"/>
              </w:rPr>
            </w:pPr>
          </w:p>
          <w:p>
            <w:pPr>
              <w:pStyle w:val="19"/>
              <w:jc w:val="left"/>
              <w:rPr>
                <w:b/>
                <w:sz w:val="22"/>
              </w:rPr>
            </w:pPr>
          </w:p>
          <w:p>
            <w:pPr>
              <w:pStyle w:val="19"/>
              <w:spacing w:before="12"/>
              <w:jc w:val="left"/>
              <w:rPr>
                <w:b/>
                <w:sz w:val="18"/>
              </w:rPr>
            </w:pPr>
          </w:p>
          <w:p>
            <w:pPr>
              <w:pStyle w:val="19"/>
              <w:ind w:left="17"/>
              <w:rPr>
                <w:rFonts w:ascii="Times New Roman"/>
                <w:sz w:val="21"/>
              </w:rPr>
            </w:pPr>
            <w:r>
              <w:rPr>
                <w:rFonts w:ascii="Times New Roman"/>
                <w:w w:val="99"/>
                <w:sz w:val="21"/>
              </w:rPr>
              <w:t>1</w:t>
            </w:r>
          </w:p>
        </w:tc>
        <w:tc>
          <w:tcPr>
            <w:tcW w:w="940" w:type="dxa"/>
            <w:vMerge w:val="restart"/>
            <w:tcBorders>
              <w:top w:val="single" w:color="000000" w:sz="4" w:space="0"/>
              <w:left w:val="single" w:color="000000" w:sz="4" w:space="0"/>
              <w:right w:val="single" w:color="000000" w:sz="4" w:space="0"/>
            </w:tcBorders>
          </w:tcPr>
          <w:p>
            <w:pPr>
              <w:pStyle w:val="19"/>
              <w:jc w:val="left"/>
              <w:rPr>
                <w:b/>
                <w:sz w:val="20"/>
              </w:rPr>
            </w:pPr>
          </w:p>
          <w:p>
            <w:pPr>
              <w:pStyle w:val="19"/>
              <w:jc w:val="left"/>
              <w:rPr>
                <w:b/>
                <w:sz w:val="20"/>
              </w:rPr>
            </w:pPr>
          </w:p>
          <w:p>
            <w:pPr>
              <w:pStyle w:val="19"/>
              <w:spacing w:before="4"/>
              <w:jc w:val="left"/>
              <w:rPr>
                <w:b/>
                <w:sz w:val="21"/>
              </w:rPr>
            </w:pPr>
          </w:p>
          <w:p>
            <w:pPr>
              <w:pStyle w:val="19"/>
              <w:ind w:left="263"/>
              <w:jc w:val="left"/>
              <w:rPr>
                <w:sz w:val="21"/>
              </w:rPr>
            </w:pPr>
            <w:r>
              <w:rPr>
                <w:sz w:val="21"/>
              </w:rPr>
              <w:t>烟尘</w:t>
            </w:r>
          </w:p>
        </w:tc>
        <w:tc>
          <w:tcPr>
            <w:tcW w:w="940" w:type="dxa"/>
            <w:vMerge w:val="restart"/>
            <w:tcBorders>
              <w:top w:val="single" w:color="000000" w:sz="4" w:space="0"/>
              <w:left w:val="single" w:color="000000" w:sz="4" w:space="0"/>
              <w:right w:val="single" w:color="000000" w:sz="4" w:space="0"/>
            </w:tcBorders>
          </w:tcPr>
          <w:p>
            <w:pPr>
              <w:pStyle w:val="19"/>
              <w:jc w:val="left"/>
              <w:rPr>
                <w:b/>
                <w:sz w:val="22"/>
              </w:rPr>
            </w:pPr>
          </w:p>
          <w:p>
            <w:pPr>
              <w:pStyle w:val="19"/>
              <w:jc w:val="left"/>
              <w:rPr>
                <w:b/>
                <w:sz w:val="22"/>
              </w:rPr>
            </w:pPr>
          </w:p>
          <w:p>
            <w:pPr>
              <w:pStyle w:val="19"/>
              <w:spacing w:before="12"/>
              <w:jc w:val="left"/>
              <w:rPr>
                <w:b/>
                <w:sz w:val="18"/>
              </w:rPr>
            </w:pPr>
          </w:p>
          <w:p>
            <w:pPr>
              <w:pStyle w:val="19"/>
              <w:ind w:left="350" w:right="330"/>
              <w:rPr>
                <w:rFonts w:ascii="Times New Roman"/>
                <w:sz w:val="21"/>
              </w:rPr>
            </w:pPr>
            <w:r>
              <w:rPr>
                <w:rFonts w:ascii="Times New Roman"/>
                <w:sz w:val="21"/>
              </w:rPr>
              <w:t>90</w:t>
            </w:r>
          </w:p>
        </w:tc>
        <w:tc>
          <w:tcPr>
            <w:tcW w:w="1260" w:type="dxa"/>
            <w:tcBorders>
              <w:top w:val="single" w:color="000000" w:sz="4" w:space="0"/>
              <w:left w:val="single" w:color="000000" w:sz="4" w:space="0"/>
              <w:bottom w:val="single" w:color="000000" w:sz="4" w:space="0"/>
              <w:right w:val="single" w:color="000000" w:sz="4" w:space="0"/>
            </w:tcBorders>
          </w:tcPr>
          <w:p>
            <w:pPr>
              <w:pStyle w:val="19"/>
              <w:spacing w:before="144"/>
              <w:ind w:left="73" w:right="55"/>
              <w:rPr>
                <w:rFonts w:ascii="Times New Roman"/>
                <w:sz w:val="21"/>
              </w:rPr>
            </w:pPr>
            <w:r>
              <w:rPr>
                <w:rFonts w:ascii="Times New Roman"/>
                <w:sz w:val="21"/>
              </w:rPr>
              <w:t>845</w:t>
            </w:r>
          </w:p>
        </w:tc>
        <w:tc>
          <w:tcPr>
            <w:tcW w:w="1264" w:type="dxa"/>
            <w:tcBorders>
              <w:top w:val="single" w:color="000000" w:sz="4" w:space="0"/>
              <w:left w:val="single" w:color="000000" w:sz="4" w:space="0"/>
              <w:bottom w:val="single" w:color="000000" w:sz="4" w:space="0"/>
            </w:tcBorders>
          </w:tcPr>
          <w:p>
            <w:pPr>
              <w:pStyle w:val="19"/>
              <w:spacing w:before="144"/>
              <w:ind w:left="191" w:right="167"/>
              <w:rPr>
                <w:rFonts w:ascii="Times New Roman"/>
                <w:sz w:val="21"/>
              </w:rPr>
            </w:pPr>
            <w:r>
              <w:rPr>
                <w:rFonts w:ascii="Times New Roman"/>
                <w:sz w:val="21"/>
              </w:rPr>
              <w:t>1.04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931" w:type="dxa"/>
            <w:vMerge w:val="continue"/>
            <w:tcBorders>
              <w:top w:val="nil"/>
              <w:right w:val="single" w:color="000000" w:sz="4" w:space="0"/>
            </w:tcBorders>
          </w:tcPr>
          <w:p>
            <w:pPr>
              <w:rPr>
                <w:sz w:val="2"/>
                <w:szCs w:val="2"/>
              </w:rPr>
            </w:pPr>
          </w:p>
        </w:tc>
        <w:tc>
          <w:tcPr>
            <w:tcW w:w="1496" w:type="dxa"/>
            <w:tcBorders>
              <w:top w:val="single" w:color="000000" w:sz="4" w:space="0"/>
              <w:left w:val="single" w:color="000000" w:sz="4" w:space="0"/>
              <w:bottom w:val="single" w:color="000000" w:sz="4" w:space="0"/>
              <w:right w:val="single" w:color="000000" w:sz="4" w:space="0"/>
            </w:tcBorders>
          </w:tcPr>
          <w:p>
            <w:pPr>
              <w:pStyle w:val="19"/>
              <w:spacing w:line="264" w:lineRule="exact"/>
              <w:ind w:left="101" w:right="84"/>
              <w:rPr>
                <w:sz w:val="21"/>
              </w:rPr>
            </w:pPr>
            <w:r>
              <w:rPr>
                <w:sz w:val="21"/>
              </w:rPr>
              <w:t>副井暖风炉房</w:t>
            </w:r>
          </w:p>
          <w:p>
            <w:pPr>
              <w:pStyle w:val="19"/>
              <w:spacing w:before="57"/>
              <w:ind w:left="101" w:right="84"/>
              <w:rPr>
                <w:sz w:val="21"/>
              </w:rPr>
            </w:pPr>
            <w:r>
              <w:rPr>
                <w:sz w:val="21"/>
              </w:rPr>
              <w:t>烟囱</w:t>
            </w:r>
          </w:p>
        </w:tc>
        <w:tc>
          <w:tcPr>
            <w:tcW w:w="1515" w:type="dxa"/>
            <w:vMerge w:val="continue"/>
            <w:tcBorders>
              <w:top w:val="nil"/>
              <w:left w:val="single" w:color="000000" w:sz="4" w:space="0"/>
              <w:right w:val="single" w:color="000000" w:sz="4" w:space="0"/>
            </w:tcBorders>
          </w:tcPr>
          <w:p>
            <w:pPr>
              <w:rPr>
                <w:sz w:val="2"/>
                <w:szCs w:val="2"/>
              </w:rPr>
            </w:pPr>
          </w:p>
        </w:tc>
        <w:tc>
          <w:tcPr>
            <w:tcW w:w="940" w:type="dxa"/>
            <w:vMerge w:val="continue"/>
            <w:tcBorders>
              <w:top w:val="nil"/>
              <w:left w:val="single" w:color="000000" w:sz="4" w:space="0"/>
              <w:right w:val="single" w:color="000000" w:sz="4" w:space="0"/>
            </w:tcBorders>
          </w:tcPr>
          <w:p>
            <w:pPr>
              <w:rPr>
                <w:sz w:val="2"/>
                <w:szCs w:val="2"/>
              </w:rPr>
            </w:pPr>
          </w:p>
        </w:tc>
        <w:tc>
          <w:tcPr>
            <w:tcW w:w="940" w:type="dxa"/>
            <w:vMerge w:val="continue"/>
            <w:tcBorders>
              <w:top w:val="nil"/>
              <w:left w:val="single" w:color="000000" w:sz="4" w:space="0"/>
              <w:right w:val="single" w:color="000000" w:sz="4" w:space="0"/>
            </w:tcBorders>
          </w:tcPr>
          <w:p>
            <w:pPr>
              <w:rPr>
                <w:sz w:val="2"/>
                <w:szCs w:val="2"/>
              </w:rPr>
            </w:pPr>
          </w:p>
        </w:tc>
        <w:tc>
          <w:tcPr>
            <w:tcW w:w="940" w:type="dxa"/>
            <w:vMerge w:val="continue"/>
            <w:tcBorders>
              <w:top w:val="nil"/>
              <w:left w:val="single" w:color="000000" w:sz="4" w:space="0"/>
              <w:right w:val="single" w:color="000000" w:sz="4" w:space="0"/>
            </w:tcBorders>
          </w:tcPr>
          <w:p>
            <w:pPr>
              <w:rPr>
                <w:sz w:val="2"/>
                <w:szCs w:val="2"/>
              </w:rPr>
            </w:pPr>
          </w:p>
        </w:tc>
        <w:tc>
          <w:tcPr>
            <w:tcW w:w="1260" w:type="dxa"/>
            <w:tcBorders>
              <w:top w:val="single" w:color="000000" w:sz="4" w:space="0"/>
              <w:left w:val="single" w:color="000000" w:sz="4" w:space="0"/>
              <w:bottom w:val="single" w:color="000000" w:sz="4" w:space="0"/>
              <w:right w:val="single" w:color="000000" w:sz="4" w:space="0"/>
            </w:tcBorders>
          </w:tcPr>
          <w:p>
            <w:pPr>
              <w:pStyle w:val="19"/>
              <w:spacing w:before="138"/>
              <w:ind w:left="73" w:right="55"/>
              <w:rPr>
                <w:rFonts w:ascii="Times New Roman"/>
                <w:sz w:val="21"/>
              </w:rPr>
            </w:pPr>
            <w:r>
              <w:rPr>
                <w:rFonts w:ascii="Times New Roman"/>
                <w:sz w:val="21"/>
              </w:rPr>
              <w:t>1746</w:t>
            </w:r>
          </w:p>
        </w:tc>
        <w:tc>
          <w:tcPr>
            <w:tcW w:w="1264" w:type="dxa"/>
            <w:tcBorders>
              <w:top w:val="single" w:color="000000" w:sz="4" w:space="0"/>
              <w:left w:val="single" w:color="000000" w:sz="4" w:space="0"/>
              <w:bottom w:val="single" w:color="000000" w:sz="4" w:space="0"/>
            </w:tcBorders>
          </w:tcPr>
          <w:p>
            <w:pPr>
              <w:pStyle w:val="19"/>
              <w:spacing w:before="138"/>
              <w:ind w:left="191" w:right="167"/>
              <w:rPr>
                <w:rFonts w:ascii="Times New Roman"/>
                <w:sz w:val="21"/>
              </w:rPr>
            </w:pPr>
            <w:r>
              <w:rPr>
                <w:rFonts w:ascii="Times New Roman"/>
                <w:sz w:val="21"/>
              </w:rPr>
              <w:t>4.44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931" w:type="dxa"/>
            <w:vMerge w:val="continue"/>
            <w:tcBorders>
              <w:top w:val="nil"/>
              <w:right w:val="single" w:color="000000" w:sz="4" w:space="0"/>
            </w:tcBorders>
          </w:tcPr>
          <w:p>
            <w:pPr>
              <w:rPr>
                <w:sz w:val="2"/>
                <w:szCs w:val="2"/>
              </w:rPr>
            </w:pPr>
          </w:p>
        </w:tc>
        <w:tc>
          <w:tcPr>
            <w:tcW w:w="1496" w:type="dxa"/>
            <w:tcBorders>
              <w:top w:val="single" w:color="000000" w:sz="4" w:space="0"/>
              <w:left w:val="single" w:color="000000" w:sz="4" w:space="0"/>
              <w:right w:val="single" w:color="000000" w:sz="4" w:space="0"/>
            </w:tcBorders>
          </w:tcPr>
          <w:p>
            <w:pPr>
              <w:pStyle w:val="19"/>
              <w:spacing w:line="265" w:lineRule="exact"/>
              <w:ind w:left="101" w:right="84"/>
              <w:rPr>
                <w:sz w:val="21"/>
              </w:rPr>
            </w:pPr>
            <w:r>
              <w:rPr>
                <w:sz w:val="21"/>
              </w:rPr>
              <w:t>副井锅炉房烟</w:t>
            </w:r>
          </w:p>
          <w:p>
            <w:pPr>
              <w:pStyle w:val="19"/>
              <w:spacing w:before="57"/>
              <w:ind w:left="19"/>
              <w:rPr>
                <w:sz w:val="21"/>
              </w:rPr>
            </w:pPr>
            <w:r>
              <w:rPr>
                <w:w w:val="99"/>
                <w:sz w:val="21"/>
              </w:rPr>
              <w:t>囱</w:t>
            </w:r>
          </w:p>
        </w:tc>
        <w:tc>
          <w:tcPr>
            <w:tcW w:w="1515" w:type="dxa"/>
            <w:vMerge w:val="continue"/>
            <w:tcBorders>
              <w:top w:val="nil"/>
              <w:left w:val="single" w:color="000000" w:sz="4" w:space="0"/>
              <w:right w:val="single" w:color="000000" w:sz="4" w:space="0"/>
            </w:tcBorders>
          </w:tcPr>
          <w:p>
            <w:pPr>
              <w:rPr>
                <w:sz w:val="2"/>
                <w:szCs w:val="2"/>
              </w:rPr>
            </w:pPr>
          </w:p>
        </w:tc>
        <w:tc>
          <w:tcPr>
            <w:tcW w:w="940" w:type="dxa"/>
            <w:vMerge w:val="continue"/>
            <w:tcBorders>
              <w:top w:val="nil"/>
              <w:left w:val="single" w:color="000000" w:sz="4" w:space="0"/>
              <w:right w:val="single" w:color="000000" w:sz="4" w:space="0"/>
            </w:tcBorders>
          </w:tcPr>
          <w:p>
            <w:pPr>
              <w:rPr>
                <w:sz w:val="2"/>
                <w:szCs w:val="2"/>
              </w:rPr>
            </w:pPr>
          </w:p>
        </w:tc>
        <w:tc>
          <w:tcPr>
            <w:tcW w:w="940" w:type="dxa"/>
            <w:vMerge w:val="continue"/>
            <w:tcBorders>
              <w:top w:val="nil"/>
              <w:left w:val="single" w:color="000000" w:sz="4" w:space="0"/>
              <w:right w:val="single" w:color="000000" w:sz="4" w:space="0"/>
            </w:tcBorders>
          </w:tcPr>
          <w:p>
            <w:pPr>
              <w:rPr>
                <w:sz w:val="2"/>
                <w:szCs w:val="2"/>
              </w:rPr>
            </w:pPr>
          </w:p>
        </w:tc>
        <w:tc>
          <w:tcPr>
            <w:tcW w:w="940" w:type="dxa"/>
            <w:vMerge w:val="continue"/>
            <w:tcBorders>
              <w:top w:val="nil"/>
              <w:left w:val="single" w:color="000000" w:sz="4" w:space="0"/>
              <w:right w:val="single" w:color="000000" w:sz="4" w:space="0"/>
            </w:tcBorders>
          </w:tcPr>
          <w:p>
            <w:pPr>
              <w:rPr>
                <w:sz w:val="2"/>
                <w:szCs w:val="2"/>
              </w:rPr>
            </w:pPr>
          </w:p>
        </w:tc>
        <w:tc>
          <w:tcPr>
            <w:tcW w:w="1260" w:type="dxa"/>
            <w:tcBorders>
              <w:top w:val="single" w:color="000000" w:sz="4" w:space="0"/>
              <w:left w:val="single" w:color="000000" w:sz="4" w:space="0"/>
              <w:right w:val="single" w:color="000000" w:sz="4" w:space="0"/>
            </w:tcBorders>
          </w:tcPr>
          <w:p>
            <w:pPr>
              <w:pStyle w:val="19"/>
              <w:spacing w:before="140"/>
              <w:ind w:left="73" w:right="55"/>
              <w:rPr>
                <w:rFonts w:ascii="Times New Roman"/>
                <w:sz w:val="21"/>
              </w:rPr>
            </w:pPr>
            <w:r>
              <w:rPr>
                <w:rFonts w:ascii="Times New Roman"/>
                <w:sz w:val="21"/>
              </w:rPr>
              <w:t>2409</w:t>
            </w:r>
          </w:p>
        </w:tc>
        <w:tc>
          <w:tcPr>
            <w:tcW w:w="1264" w:type="dxa"/>
            <w:tcBorders>
              <w:top w:val="single" w:color="000000" w:sz="4" w:space="0"/>
              <w:left w:val="single" w:color="000000" w:sz="4" w:space="0"/>
            </w:tcBorders>
          </w:tcPr>
          <w:p>
            <w:pPr>
              <w:pStyle w:val="19"/>
              <w:spacing w:before="140"/>
              <w:ind w:left="191" w:right="167"/>
              <w:rPr>
                <w:rFonts w:ascii="Times New Roman"/>
                <w:sz w:val="21"/>
              </w:rPr>
            </w:pPr>
            <w:r>
              <w:rPr>
                <w:rFonts w:ascii="Times New Roman"/>
                <w:sz w:val="21"/>
              </w:rPr>
              <w:t>2.74</w:t>
            </w:r>
          </w:p>
        </w:tc>
      </w:tr>
    </w:tbl>
    <w:p>
      <w:pPr>
        <w:pStyle w:val="9"/>
        <w:spacing w:before="1"/>
        <w:ind w:left="698"/>
      </w:pPr>
      <w:r>
        <w:t xml:space="preserve">废气污染源源强核算结果及相关参数详见表 </w:t>
      </w:r>
      <w:r>
        <w:rPr>
          <w:rFonts w:ascii="Times New Roman" w:eastAsia="Times New Roman"/>
        </w:rPr>
        <w:t>2.4-6</w:t>
      </w:r>
      <w:r>
        <w:t>。</w:t>
      </w:r>
    </w:p>
    <w:p>
      <w:pPr>
        <w:spacing w:after="0"/>
        <w:sectPr>
          <w:pgSz w:w="11910" w:h="16840"/>
          <w:pgMar w:top="1340" w:right="1180" w:bottom="1180" w:left="1200" w:header="0" w:footer="993" w:gutter="0"/>
        </w:sectPr>
      </w:pPr>
    </w:p>
    <w:p>
      <w:pPr>
        <w:pStyle w:val="9"/>
        <w:spacing w:before="41"/>
        <w:ind w:left="698"/>
      </w:pPr>
      <w:r>
        <w:t>②粉尘</w:t>
      </w:r>
    </w:p>
    <w:p>
      <w:pPr>
        <w:pStyle w:val="9"/>
        <w:spacing w:before="158" w:line="364" w:lineRule="auto"/>
        <w:ind w:left="218" w:right="174" w:firstLine="480"/>
      </w:pPr>
      <w:r>
        <w:t>从地面工艺流程来看，粉尘主要来源于输送、卸料及筛分环节。煤仓全封闭且输送采用全封闭式输送栈桥，煤尘很少。</w:t>
      </w:r>
    </w:p>
    <w:p>
      <w:pPr>
        <w:pStyle w:val="9"/>
        <w:spacing w:before="1" w:line="364" w:lineRule="auto"/>
        <w:ind w:left="218" w:right="237" w:firstLine="480"/>
        <w:jc w:val="both"/>
      </w:pPr>
      <w:r>
        <w:rPr>
          <w:color w:val="FF0000"/>
          <w:spacing w:val="-8"/>
        </w:rPr>
        <w:t>依据《煤炭采选业清洁生产评价指标体系》Ⅰ级基准值要求，原煤分级筛、破碎机</w:t>
      </w:r>
      <w:r>
        <w:rPr>
          <w:color w:val="FF0000"/>
          <w:spacing w:val="-4"/>
        </w:rPr>
        <w:t>等干法作业及相关转载环节全部封闭作业，并设有集尘系统。本项目原煤分级筛所在筛</w:t>
      </w:r>
      <w:r>
        <w:rPr>
          <w:color w:val="FF0000"/>
        </w:rPr>
        <w:t>分车间全部封闭作业，并设有集尘系统。</w:t>
      </w:r>
    </w:p>
    <w:p>
      <w:pPr>
        <w:pStyle w:val="9"/>
        <w:spacing w:line="364" w:lineRule="auto"/>
        <w:ind w:left="218" w:right="207" w:firstLine="480"/>
        <w:jc w:val="both"/>
      </w:pPr>
      <w:r>
        <w:t>筛分车间粉尘产生浓度根据《清洁生产标准 煤炭采选业》（</w:t>
      </w:r>
      <w:r>
        <w:rPr>
          <w:rFonts w:ascii="Times New Roman" w:eastAsia="Times New Roman"/>
        </w:rPr>
        <w:t>HJ446-2008</w:t>
      </w:r>
      <w:r>
        <w:t>）中对原</w:t>
      </w:r>
      <w:r>
        <w:rPr>
          <w:spacing w:val="-2"/>
        </w:rPr>
        <w:t xml:space="preserve">煤筛分、破碎、转载点前含尘质量浓度的要求，筛分车间粉尘产生浓度取 </w:t>
      </w:r>
      <w:r>
        <w:rPr>
          <w:rFonts w:ascii="Times New Roman" w:eastAsia="Times New Roman"/>
          <w:spacing w:val="-3"/>
        </w:rPr>
        <w:t>4000mg/m</w:t>
      </w:r>
      <w:r>
        <w:rPr>
          <w:rFonts w:ascii="Times New Roman" w:eastAsia="Times New Roman"/>
          <w:spacing w:val="-3"/>
          <w:position w:val="8"/>
          <w:sz w:val="15"/>
        </w:rPr>
        <w:t>3</w:t>
      </w:r>
      <w:r>
        <w:rPr>
          <w:spacing w:val="-3"/>
        </w:rPr>
        <w:t xml:space="preserve">， </w:t>
      </w:r>
      <w:r>
        <w:rPr>
          <w:spacing w:val="3"/>
        </w:rPr>
        <w:t xml:space="preserve">本项目在筛分车间设置集气罩， 收集效率为 </w:t>
      </w:r>
      <w:r>
        <w:rPr>
          <w:rFonts w:ascii="Times New Roman" w:eastAsia="Times New Roman"/>
          <w:spacing w:val="12"/>
        </w:rPr>
        <w:t>90%</w:t>
      </w:r>
      <w:r>
        <w:rPr>
          <w:spacing w:val="-9"/>
        </w:rPr>
        <w:t>； 设置一套布袋除尘器，经布袋除</w:t>
      </w:r>
      <w:r>
        <w:t xml:space="preserve">尘器收处理后由排气筒排放，除尘器除尘效率 </w:t>
      </w:r>
      <w:r>
        <w:rPr>
          <w:rFonts w:ascii="Times New Roman" w:eastAsia="Times New Roman"/>
          <w:spacing w:val="2"/>
        </w:rPr>
        <w:t>99%</w:t>
      </w:r>
      <w:r>
        <w:rPr>
          <w:spacing w:val="2"/>
        </w:rPr>
        <w:t>，</w:t>
      </w:r>
      <w:r>
        <w:rPr>
          <w:color w:val="FF0000"/>
          <w:spacing w:val="3"/>
        </w:rPr>
        <w:t>经计算筛分车间有组织排放量为</w:t>
      </w:r>
    </w:p>
    <w:p>
      <w:pPr>
        <w:pStyle w:val="9"/>
        <w:spacing w:line="305" w:lineRule="exact"/>
        <w:ind w:left="218"/>
        <w:jc w:val="both"/>
      </w:pPr>
      <w:r>
        <w:rPr>
          <w:rFonts w:ascii="Times New Roman" w:eastAsia="Times New Roman"/>
          <w:color w:val="FF0000"/>
        </w:rPr>
        <w:t>0.47t/a</w:t>
      </w:r>
      <w:r>
        <w:rPr>
          <w:color w:val="FF0000"/>
        </w:rPr>
        <w:t>。本项目筛分车间全部封闭作业， 不对无组织排放粉尘进行核算。</w:t>
      </w:r>
    </w:p>
    <w:p>
      <w:pPr>
        <w:pStyle w:val="9"/>
        <w:spacing w:before="158"/>
        <w:ind w:left="698"/>
      </w:pPr>
      <w:r>
        <w:t>③食堂油烟</w:t>
      </w:r>
    </w:p>
    <w:p>
      <w:pPr>
        <w:pStyle w:val="9"/>
        <w:spacing w:before="158" w:line="364" w:lineRule="auto"/>
        <w:ind w:left="218" w:right="117" w:firstLine="480"/>
      </w:pPr>
      <w:r>
        <w:rPr>
          <w:spacing w:val="-12"/>
        </w:rPr>
        <w:t xml:space="preserve">项目运行期间食堂会产生油烟，油烟废气中含油质、有机质及加热分解或裂解产物， </w:t>
      </w:r>
      <w:r>
        <w:rPr>
          <w:spacing w:val="-8"/>
        </w:rPr>
        <w:t xml:space="preserve">本项目食堂设有 </w:t>
      </w:r>
      <w:r>
        <w:rPr>
          <w:rFonts w:ascii="Times New Roman" w:hAnsi="Times New Roman" w:eastAsia="Times New Roman"/>
        </w:rPr>
        <w:t xml:space="preserve">5 </w:t>
      </w:r>
      <w:r>
        <w:t>个灶头，根据《饮食业油烟排放标准（试行）》（</w:t>
      </w:r>
      <w:r>
        <w:rPr>
          <w:rFonts w:ascii="Times New Roman" w:hAnsi="Times New Roman" w:eastAsia="Times New Roman"/>
        </w:rPr>
        <w:t>GB18483-2001</w:t>
      </w:r>
      <w:r>
        <w:t xml:space="preserve">）， </w:t>
      </w:r>
      <w:r>
        <w:rPr>
          <w:spacing w:val="-4"/>
        </w:rPr>
        <w:t>属于中型饮食业单位。根据对居民用油情况的类比调查，目前居民人均日食用油用量约</w:t>
      </w:r>
      <w:r>
        <w:rPr>
          <w:rFonts w:ascii="Times New Roman" w:hAnsi="Times New Roman" w:eastAsia="Times New Roman"/>
          <w:spacing w:val="-4"/>
        </w:rPr>
        <w:t>20g/</w:t>
      </w:r>
      <w:r>
        <w:rPr>
          <w:spacing w:val="-4"/>
        </w:rPr>
        <w:t>人</w:t>
      </w:r>
      <w:r>
        <w:rPr>
          <w:rFonts w:ascii="Times New Roman" w:hAnsi="Times New Roman" w:eastAsia="Times New Roman"/>
          <w:spacing w:val="-4"/>
        </w:rPr>
        <w:t>·d</w:t>
      </w:r>
      <w:r>
        <w:rPr>
          <w:spacing w:val="-10"/>
        </w:rPr>
        <w:t xml:space="preserve">，本项目共有员工 </w:t>
      </w:r>
      <w:r>
        <w:rPr>
          <w:rFonts w:ascii="Times New Roman" w:hAnsi="Times New Roman" w:eastAsia="Times New Roman"/>
        </w:rPr>
        <w:t>405</w:t>
      </w:r>
      <w:r>
        <w:rPr>
          <w:rFonts w:ascii="Times New Roman" w:hAnsi="Times New Roman" w:eastAsia="Times New Roman"/>
          <w:spacing w:val="8"/>
        </w:rPr>
        <w:t xml:space="preserve"> </w:t>
      </w:r>
      <w:r>
        <w:rPr>
          <w:spacing w:val="-6"/>
        </w:rPr>
        <w:t xml:space="preserve">人，则食用油用量约 </w:t>
      </w:r>
      <w:r>
        <w:rPr>
          <w:rFonts w:ascii="Times New Roman" w:hAnsi="Times New Roman" w:eastAsia="Times New Roman"/>
        </w:rPr>
        <w:t>2.96t/a</w:t>
      </w:r>
      <w:r>
        <w:t>。一般油烟挥发量占耗油量</w:t>
      </w:r>
      <w:r>
        <w:rPr>
          <w:spacing w:val="-30"/>
        </w:rPr>
        <w:t xml:space="preserve">的 </w:t>
      </w:r>
      <w:r>
        <w:rPr>
          <w:rFonts w:ascii="Times New Roman" w:hAnsi="Times New Roman" w:eastAsia="Times New Roman"/>
        </w:rPr>
        <w:t>2</w:t>
      </w:r>
      <w:r>
        <w:t>～</w:t>
      </w:r>
      <w:r>
        <w:rPr>
          <w:rFonts w:ascii="Times New Roman" w:hAnsi="Times New Roman" w:eastAsia="Times New Roman"/>
        </w:rPr>
        <w:t>4%</w:t>
      </w:r>
      <w:r>
        <w:rPr>
          <w:spacing w:val="-20"/>
        </w:rPr>
        <w:t xml:space="preserve">，按 </w:t>
      </w:r>
      <w:r>
        <w:rPr>
          <w:rFonts w:ascii="Times New Roman" w:hAnsi="Times New Roman" w:eastAsia="Times New Roman"/>
        </w:rPr>
        <w:t>2.83%</w:t>
      </w:r>
      <w:r>
        <w:rPr>
          <w:spacing w:val="-8"/>
        </w:rPr>
        <w:t xml:space="preserve">计，油烟产生量 </w:t>
      </w:r>
      <w:r>
        <w:rPr>
          <w:rFonts w:ascii="Times New Roman" w:hAnsi="Times New Roman" w:eastAsia="Times New Roman"/>
        </w:rPr>
        <w:t>83.67kg/a</w:t>
      </w:r>
      <w:r>
        <w:rPr>
          <w:spacing w:val="-9"/>
        </w:rPr>
        <w:t xml:space="preserve">，风机风量为 </w:t>
      </w:r>
      <w:r>
        <w:rPr>
          <w:rFonts w:ascii="Times New Roman" w:hAnsi="Times New Roman" w:eastAsia="Times New Roman"/>
        </w:rPr>
        <w:t>15000m</w:t>
      </w:r>
      <w:r>
        <w:rPr>
          <w:rFonts w:ascii="Times New Roman" w:hAnsi="Times New Roman" w:eastAsia="Times New Roman"/>
          <w:position w:val="8"/>
          <w:sz w:val="15"/>
        </w:rPr>
        <w:t>3</w:t>
      </w:r>
      <w:r>
        <w:rPr>
          <w:rFonts w:ascii="Times New Roman" w:hAnsi="Times New Roman" w:eastAsia="Times New Roman"/>
        </w:rPr>
        <w:t>/h</w:t>
      </w:r>
      <w:r>
        <w:t xml:space="preserve">，按每日三餐， </w:t>
      </w:r>
      <w:r>
        <w:rPr>
          <w:spacing w:val="-21"/>
        </w:rPr>
        <w:t xml:space="preserve">每餐 </w:t>
      </w:r>
      <w:r>
        <w:rPr>
          <w:rFonts w:ascii="Times New Roman" w:hAnsi="Times New Roman" w:eastAsia="Times New Roman"/>
        </w:rPr>
        <w:t>2</w:t>
      </w:r>
      <w:r>
        <w:rPr>
          <w:rFonts w:ascii="Times New Roman" w:hAnsi="Times New Roman" w:eastAsia="Times New Roman"/>
          <w:spacing w:val="-1"/>
        </w:rPr>
        <w:t xml:space="preserve"> </w:t>
      </w:r>
      <w:r>
        <w:rPr>
          <w:spacing w:val="-11"/>
        </w:rPr>
        <w:t xml:space="preserve">小时计，则油烟产生量为 </w:t>
      </w:r>
      <w:r>
        <w:rPr>
          <w:rFonts w:ascii="Times New Roman" w:hAnsi="Times New Roman" w:eastAsia="Times New Roman"/>
        </w:rPr>
        <w:t>0.0573kg/h,</w:t>
      </w:r>
      <w:r>
        <w:rPr>
          <w:spacing w:val="-20"/>
        </w:rPr>
        <w:t xml:space="preserve">浓度 </w:t>
      </w:r>
      <w:r>
        <w:rPr>
          <w:rFonts w:ascii="Times New Roman" w:hAnsi="Times New Roman" w:eastAsia="Times New Roman"/>
        </w:rPr>
        <w:t>3.82mg/m</w:t>
      </w:r>
      <w:r>
        <w:rPr>
          <w:rFonts w:ascii="Times New Roman" w:hAnsi="Times New Roman" w:eastAsia="Times New Roman"/>
          <w:position w:val="8"/>
          <w:sz w:val="15"/>
        </w:rPr>
        <w:t>3</w:t>
      </w:r>
      <w:r>
        <w:rPr>
          <w:rFonts w:ascii="Times New Roman" w:hAnsi="Times New Roman" w:eastAsia="Times New Roman"/>
          <w:spacing w:val="-1"/>
          <w:position w:val="8"/>
          <w:sz w:val="15"/>
        </w:rPr>
        <w:t xml:space="preserve"> </w:t>
      </w:r>
      <w:r>
        <w:rPr>
          <w:spacing w:val="-10"/>
        </w:rPr>
        <w:t xml:space="preserve">安装去除率 </w:t>
      </w:r>
      <w:r>
        <w:rPr>
          <w:rFonts w:ascii="Times New Roman" w:hAnsi="Times New Roman" w:eastAsia="Times New Roman"/>
        </w:rPr>
        <w:t>75%</w:t>
      </w:r>
      <w:r>
        <w:t>以上的油烟</w:t>
      </w:r>
      <w:r>
        <w:rPr>
          <w:spacing w:val="4"/>
        </w:rPr>
        <w:t xml:space="preserve">净化装置，油烟经专用烟道引至屋顶排放，净化后排放浓度为 </w:t>
      </w:r>
      <w:r>
        <w:rPr>
          <w:rFonts w:ascii="Times New Roman" w:hAnsi="Times New Roman" w:eastAsia="Times New Roman"/>
        </w:rPr>
        <w:t>0.96mg/m</w:t>
      </w:r>
      <w:r>
        <w:rPr>
          <w:rFonts w:ascii="Times New Roman" w:hAnsi="Times New Roman" w:eastAsia="Times New Roman"/>
          <w:position w:val="8"/>
          <w:sz w:val="15"/>
        </w:rPr>
        <w:t>3</w:t>
      </w:r>
      <w:r>
        <w:rPr>
          <w:spacing w:val="4"/>
        </w:rPr>
        <w:t>，排放量为</w:t>
      </w:r>
      <w:r>
        <w:rPr>
          <w:rFonts w:ascii="Times New Roman" w:hAnsi="Times New Roman" w:eastAsia="Times New Roman"/>
          <w:spacing w:val="4"/>
        </w:rPr>
        <w:t>20.91kg/a</w:t>
      </w:r>
      <w:r>
        <w:rPr>
          <w:spacing w:val="-1"/>
        </w:rPr>
        <w:t>，可满足《饮食业油烟排放标准</w:t>
      </w:r>
      <w:r>
        <w:t>（试行</w:t>
      </w:r>
      <w:r>
        <w:rPr>
          <w:spacing w:val="-15"/>
        </w:rPr>
        <w:t>）</w:t>
      </w:r>
      <w:r>
        <w:rPr>
          <w:spacing w:val="-27"/>
        </w:rPr>
        <w:t>》</w:t>
      </w:r>
      <w:r>
        <w:t>（</w:t>
      </w:r>
      <w:r>
        <w:rPr>
          <w:rFonts w:ascii="Times New Roman" w:hAnsi="Times New Roman" w:eastAsia="Times New Roman"/>
        </w:rPr>
        <w:t>GB18483-2001</w:t>
      </w:r>
      <w:r>
        <w:t>）中型饮食业单位</w:t>
      </w:r>
      <w:r>
        <w:rPr>
          <w:spacing w:val="-9"/>
        </w:rPr>
        <w:t xml:space="preserve">的排放浓度 </w:t>
      </w:r>
      <w:r>
        <w:rPr>
          <w:rFonts w:ascii="Times New Roman" w:hAnsi="Times New Roman" w:eastAsia="Times New Roman"/>
        </w:rPr>
        <w:t>2.0mg/m</w:t>
      </w:r>
      <w:r>
        <w:rPr>
          <w:rFonts w:ascii="Times New Roman" w:hAnsi="Times New Roman" w:eastAsia="Times New Roman"/>
          <w:position w:val="8"/>
          <w:sz w:val="15"/>
        </w:rPr>
        <w:t>3</w:t>
      </w:r>
      <w:r>
        <w:rPr>
          <w:rFonts w:ascii="Times New Roman" w:hAnsi="Times New Roman" w:eastAsia="Times New Roman"/>
          <w:spacing w:val="9"/>
          <w:position w:val="8"/>
          <w:sz w:val="15"/>
        </w:rPr>
        <w:t xml:space="preserve"> </w:t>
      </w:r>
      <w:r>
        <w:t>的标准要求，处理后的油烟废气经专用烟道通过高于所在建筑物顶部的排气筒排放。</w:t>
      </w:r>
    </w:p>
    <w:p>
      <w:pPr>
        <w:pStyle w:val="9"/>
        <w:spacing w:line="362" w:lineRule="auto"/>
        <w:ind w:left="218" w:right="231" w:firstLine="480"/>
      </w:pPr>
      <w:r>
        <w:rPr>
          <w:spacing w:val="-3"/>
        </w:rPr>
        <w:t>食堂油烟经净化后满足《饮食业油烟排放标准</w:t>
      </w:r>
      <w:r>
        <w:t>（试行</w:t>
      </w:r>
      <w:r>
        <w:rPr>
          <w:spacing w:val="-17"/>
        </w:rPr>
        <w:t>）</w:t>
      </w:r>
      <w:r>
        <w:rPr>
          <w:spacing w:val="-34"/>
        </w:rPr>
        <w:t>》</w:t>
      </w:r>
      <w:r>
        <w:t>（</w:t>
      </w:r>
      <w:r>
        <w:rPr>
          <w:rFonts w:ascii="Times New Roman" w:eastAsia="Times New Roman"/>
        </w:rPr>
        <w:t>GB18483-2001</w:t>
      </w:r>
      <w:r>
        <w:t>）</w:t>
      </w:r>
      <w:r>
        <w:rPr>
          <w:spacing w:val="-5"/>
        </w:rPr>
        <w:t>中标准</w:t>
      </w:r>
      <w:r>
        <w:t>限值。</w:t>
      </w:r>
    </w:p>
    <w:p>
      <w:pPr>
        <w:pStyle w:val="9"/>
        <w:spacing w:before="1"/>
        <w:ind w:left="698"/>
      </w:pPr>
      <w:r>
        <w:t>④矸石暂存场产生的扬尘</w:t>
      </w:r>
    </w:p>
    <w:p>
      <w:pPr>
        <w:pStyle w:val="9"/>
        <w:spacing w:before="158" w:line="364" w:lineRule="auto"/>
        <w:ind w:left="218" w:right="237" w:firstLine="480"/>
        <w:jc w:val="both"/>
      </w:pPr>
      <w:r>
        <w:rPr>
          <w:spacing w:val="-3"/>
        </w:rPr>
        <w:t>矸石暂存场主要承担初步筛分栈桥产生的矸石和矿井井巷工程废弃矸石。在矸石堆</w:t>
      </w:r>
      <w:r>
        <w:rPr>
          <w:spacing w:val="-5"/>
        </w:rPr>
        <w:t>存期间将会产生装卸、运输引起的扬尘以及堆积存放期间风蚀扬尘，统称矸石暂存场产</w:t>
      </w:r>
      <w:r>
        <w:rPr>
          <w:spacing w:val="-3"/>
        </w:rPr>
        <w:t>生的扬尘，其扬尘产生量采用</w:t>
      </w:r>
      <w:r>
        <w:fldChar w:fldCharType="begin"/>
      </w:r>
      <w:r>
        <w:instrText xml:space="preserve"> HYPERLINK "http://www.mee.gov.cn/gkml/hbb/bgg/201501/W020150107594588131490.pdf" \h </w:instrText>
      </w:r>
      <w:r>
        <w:fldChar w:fldCharType="separate"/>
      </w:r>
      <w:r>
        <w:rPr>
          <w:spacing w:val="-1"/>
        </w:rPr>
        <w:t>《扬尘源颗粒物排放清单编制技术指南</w:t>
      </w:r>
      <w:r>
        <w:t>（试行</w:t>
      </w:r>
      <w:r>
        <w:rPr>
          <w:spacing w:val="-10"/>
        </w:rPr>
        <w:t>）</w:t>
      </w:r>
      <w:r>
        <w:rPr>
          <w:spacing w:val="-10"/>
        </w:rPr>
        <w:fldChar w:fldCharType="end"/>
      </w:r>
      <w:r>
        <w:rPr>
          <w:spacing w:val="-8"/>
        </w:rPr>
        <w:t>》中堆场</w:t>
      </w:r>
      <w:r>
        <w:t>扬尘排放量计算方法计算。计算公式如下：</w:t>
      </w:r>
    </w:p>
    <w:p>
      <w:pPr>
        <w:spacing w:after="0" w:line="364" w:lineRule="auto"/>
        <w:jc w:val="both"/>
        <w:sectPr>
          <w:pgSz w:w="11910" w:h="16840"/>
          <w:pgMar w:top="1360" w:right="1180" w:bottom="1180" w:left="1200" w:header="0" w:footer="993" w:gutter="0"/>
        </w:sectPr>
      </w:pPr>
    </w:p>
    <w:p>
      <w:pPr>
        <w:pStyle w:val="9"/>
        <w:spacing w:before="5"/>
        <w:rPr>
          <w:sz w:val="11"/>
        </w:rPr>
      </w:pPr>
    </w:p>
    <w:p>
      <w:pPr>
        <w:pStyle w:val="9"/>
        <w:ind w:left="1367"/>
        <w:rPr>
          <w:sz w:val="20"/>
        </w:rPr>
      </w:pPr>
      <w:r>
        <w:rPr>
          <w:sz w:val="20"/>
        </w:rPr>
        <w:drawing>
          <wp:inline distT="0" distB="0" distL="0" distR="0">
            <wp:extent cx="4300855" cy="517525"/>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46" cstate="print"/>
                    <a:stretch>
                      <a:fillRect/>
                    </a:stretch>
                  </pic:blipFill>
                  <pic:spPr>
                    <a:xfrm>
                      <a:off x="0" y="0"/>
                      <a:ext cx="4301183" cy="518159"/>
                    </a:xfrm>
                    <a:prstGeom prst="rect">
                      <a:avLst/>
                    </a:prstGeom>
                  </pic:spPr>
                </pic:pic>
              </a:graphicData>
            </a:graphic>
          </wp:inline>
        </w:drawing>
      </w:r>
    </w:p>
    <w:p>
      <w:pPr>
        <w:pStyle w:val="9"/>
        <w:spacing w:before="8"/>
        <w:rPr>
          <w:sz w:val="7"/>
        </w:rPr>
      </w:pPr>
    </w:p>
    <w:p>
      <w:pPr>
        <w:pStyle w:val="9"/>
        <w:spacing w:before="67"/>
        <w:ind w:left="698"/>
      </w:pPr>
      <w:r>
        <w:t>式中：</w:t>
      </w:r>
    </w:p>
    <w:p>
      <w:pPr>
        <w:pStyle w:val="9"/>
        <w:spacing w:before="155"/>
        <w:ind w:left="698"/>
      </w:pPr>
      <w:r>
        <w:rPr>
          <w:rFonts w:ascii="Times New Roman" w:eastAsia="Times New Roman"/>
          <w:position w:val="2"/>
        </w:rPr>
        <w:t>W</w:t>
      </w:r>
      <w:r>
        <w:rPr>
          <w:rFonts w:ascii="Times New Roman" w:eastAsia="Times New Roman"/>
          <w:position w:val="2"/>
          <w:vertAlign w:val="subscript"/>
        </w:rPr>
        <w:t>Y</w:t>
      </w:r>
      <w:r>
        <w:rPr>
          <w:rFonts w:ascii="Times New Roman" w:eastAsia="Times New Roman"/>
          <w:position w:val="2"/>
          <w:vertAlign w:val="baseline"/>
        </w:rPr>
        <w:t xml:space="preserve"> </w:t>
      </w:r>
      <w:r>
        <w:rPr>
          <w:position w:val="2"/>
          <w:vertAlign w:val="baseline"/>
        </w:rPr>
        <w:t>为堆场扬尘源中颗粒物总排放量，</w:t>
      </w:r>
      <w:r>
        <w:rPr>
          <w:rFonts w:ascii="Times New Roman" w:eastAsia="Times New Roman"/>
          <w:position w:val="2"/>
          <w:vertAlign w:val="baseline"/>
        </w:rPr>
        <w:t>t/a</w:t>
      </w:r>
      <w:r>
        <w:rPr>
          <w:position w:val="2"/>
          <w:vertAlign w:val="baseline"/>
        </w:rPr>
        <w:t>；</w:t>
      </w:r>
    </w:p>
    <w:p>
      <w:pPr>
        <w:pStyle w:val="9"/>
        <w:spacing w:before="153"/>
        <w:ind w:left="698"/>
      </w:pPr>
      <w:r>
        <w:rPr>
          <w:rFonts w:ascii="Times New Roman" w:eastAsia="Times New Roman"/>
          <w:position w:val="2"/>
        </w:rPr>
        <w:t>E</w:t>
      </w:r>
      <w:r>
        <w:rPr>
          <w:rFonts w:ascii="Times New Roman" w:eastAsia="Times New Roman"/>
          <w:position w:val="2"/>
          <w:vertAlign w:val="subscript"/>
        </w:rPr>
        <w:t>h</w:t>
      </w:r>
      <w:r>
        <w:rPr>
          <w:rFonts w:ascii="Times New Roman" w:eastAsia="Times New Roman"/>
          <w:position w:val="2"/>
          <w:vertAlign w:val="baseline"/>
        </w:rPr>
        <w:t xml:space="preserve"> </w:t>
      </w:r>
      <w:r>
        <w:rPr>
          <w:position w:val="2"/>
          <w:vertAlign w:val="baseline"/>
        </w:rPr>
        <w:t>为堆场装卸运输过程的扬尘颗粒物排放系数，</w:t>
      </w:r>
      <w:r>
        <w:rPr>
          <w:rFonts w:ascii="Times New Roman" w:eastAsia="Times New Roman"/>
          <w:position w:val="2"/>
          <w:vertAlign w:val="baseline"/>
        </w:rPr>
        <w:t>kg/t</w:t>
      </w:r>
      <w:r>
        <w:rPr>
          <w:position w:val="2"/>
          <w:vertAlign w:val="baseline"/>
        </w:rPr>
        <w:t>；</w:t>
      </w:r>
    </w:p>
    <w:p>
      <w:pPr>
        <w:pStyle w:val="9"/>
        <w:spacing w:before="160"/>
        <w:ind w:left="698"/>
      </w:pPr>
      <w:r>
        <w:rPr>
          <w:rFonts w:ascii="Times New Roman" w:eastAsia="Times New Roman"/>
        </w:rPr>
        <w:t xml:space="preserve">m </w:t>
      </w:r>
      <w:r>
        <w:t xml:space="preserve">为每年料堆物料装卸总次数，本次评价取 </w:t>
      </w:r>
      <w:r>
        <w:rPr>
          <w:rFonts w:ascii="Times New Roman" w:eastAsia="Times New Roman"/>
        </w:rPr>
        <w:t xml:space="preserve">30000 </w:t>
      </w:r>
      <w:r>
        <w:t>次；</w:t>
      </w:r>
    </w:p>
    <w:p>
      <w:pPr>
        <w:pStyle w:val="9"/>
        <w:spacing w:before="157" w:line="360" w:lineRule="auto"/>
        <w:ind w:left="698" w:right="1026"/>
      </w:pPr>
      <w:r>
        <w:rPr>
          <w:rFonts w:ascii="Times New Roman" w:eastAsia="Times New Roman"/>
          <w:spacing w:val="-4"/>
          <w:position w:val="2"/>
        </w:rPr>
        <w:t>G</w:t>
      </w:r>
      <w:r>
        <w:rPr>
          <w:rFonts w:ascii="Times New Roman" w:eastAsia="Times New Roman"/>
          <w:spacing w:val="-4"/>
          <w:position w:val="2"/>
          <w:vertAlign w:val="subscript"/>
        </w:rPr>
        <w:t>Yi</w:t>
      </w:r>
      <w:r>
        <w:rPr>
          <w:rFonts w:ascii="Times New Roman" w:eastAsia="Times New Roman"/>
          <w:spacing w:val="-4"/>
          <w:position w:val="2"/>
          <w:vertAlign w:val="baseline"/>
        </w:rPr>
        <w:t xml:space="preserve"> </w:t>
      </w:r>
      <w:r>
        <w:rPr>
          <w:spacing w:val="-20"/>
          <w:position w:val="2"/>
          <w:vertAlign w:val="baseline"/>
        </w:rPr>
        <w:t xml:space="preserve">为第 </w:t>
      </w:r>
      <w:r>
        <w:rPr>
          <w:rFonts w:ascii="Times New Roman" w:eastAsia="Times New Roman"/>
          <w:position w:val="2"/>
          <w:vertAlign w:val="baseline"/>
        </w:rPr>
        <w:t xml:space="preserve">i </w:t>
      </w:r>
      <w:r>
        <w:rPr>
          <w:spacing w:val="-3"/>
          <w:position w:val="2"/>
          <w:vertAlign w:val="baseline"/>
        </w:rPr>
        <w:t xml:space="preserve">次装卸过程的物料装卸量，本次评价取单个井下矿车载重量 </w:t>
      </w:r>
      <w:r>
        <w:rPr>
          <w:rFonts w:ascii="Times New Roman" w:eastAsia="Times New Roman"/>
          <w:spacing w:val="-7"/>
          <w:position w:val="2"/>
          <w:vertAlign w:val="baseline"/>
        </w:rPr>
        <w:t>1t</w:t>
      </w:r>
      <w:r>
        <w:rPr>
          <w:spacing w:val="-7"/>
          <w:position w:val="2"/>
          <w:vertAlign w:val="baseline"/>
        </w:rPr>
        <w:t xml:space="preserve">； </w:t>
      </w:r>
      <w:r>
        <w:rPr>
          <w:rFonts w:ascii="Times New Roman" w:eastAsia="Times New Roman"/>
          <w:position w:val="2"/>
          <w:vertAlign w:val="baseline"/>
        </w:rPr>
        <w:t>E</w:t>
      </w:r>
      <w:r>
        <w:rPr>
          <w:rFonts w:ascii="Times New Roman" w:eastAsia="Times New Roman"/>
          <w:position w:val="2"/>
          <w:vertAlign w:val="subscript"/>
        </w:rPr>
        <w:t>w</w:t>
      </w:r>
      <w:r>
        <w:rPr>
          <w:rFonts w:ascii="Times New Roman" w:eastAsia="Times New Roman"/>
          <w:position w:val="2"/>
          <w:vertAlign w:val="baseline"/>
        </w:rPr>
        <w:t xml:space="preserve"> </w:t>
      </w:r>
      <w:r>
        <w:rPr>
          <w:position w:val="2"/>
          <w:vertAlign w:val="baseline"/>
        </w:rPr>
        <w:t>为料堆受到风蚀作用的颗粒物排放系数，</w:t>
      </w:r>
      <w:r>
        <w:rPr>
          <w:rFonts w:ascii="Times New Roman" w:eastAsia="Times New Roman"/>
          <w:position w:val="2"/>
          <w:vertAlign w:val="baseline"/>
        </w:rPr>
        <w:t>kg/m</w:t>
      </w:r>
      <w:r>
        <w:rPr>
          <w:rFonts w:ascii="Times New Roman" w:eastAsia="Times New Roman"/>
          <w:position w:val="2"/>
          <w:vertAlign w:val="superscript"/>
        </w:rPr>
        <w:t>2</w:t>
      </w:r>
      <w:r>
        <w:rPr>
          <w:position w:val="2"/>
          <w:vertAlign w:val="baseline"/>
        </w:rPr>
        <w:t>；</w:t>
      </w:r>
    </w:p>
    <w:p>
      <w:pPr>
        <w:pStyle w:val="9"/>
        <w:spacing w:before="2"/>
        <w:ind w:left="698"/>
      </w:pPr>
      <w:r>
        <w:rPr>
          <w:rFonts w:ascii="Times New Roman" w:eastAsia="Times New Roman"/>
          <w:position w:val="2"/>
        </w:rPr>
        <w:t>A</w:t>
      </w:r>
      <w:r>
        <w:rPr>
          <w:rFonts w:ascii="Times New Roman" w:eastAsia="Times New Roman"/>
          <w:position w:val="2"/>
          <w:vertAlign w:val="subscript"/>
        </w:rPr>
        <w:t>Y</w:t>
      </w:r>
      <w:r>
        <w:rPr>
          <w:rFonts w:ascii="Times New Roman" w:eastAsia="Times New Roman"/>
          <w:position w:val="2"/>
          <w:vertAlign w:val="baseline"/>
        </w:rPr>
        <w:t xml:space="preserve"> </w:t>
      </w:r>
      <w:r>
        <w:rPr>
          <w:position w:val="2"/>
          <w:vertAlign w:val="baseline"/>
        </w:rPr>
        <w:t xml:space="preserve">为料堆表面积，本次评价取 </w:t>
      </w:r>
      <w:r>
        <w:rPr>
          <w:rFonts w:ascii="Times New Roman" w:eastAsia="Times New Roman"/>
          <w:position w:val="2"/>
          <w:vertAlign w:val="baseline"/>
        </w:rPr>
        <w:t>800m</w:t>
      </w:r>
      <w:r>
        <w:rPr>
          <w:rFonts w:ascii="Times New Roman" w:eastAsia="Times New Roman"/>
          <w:position w:val="2"/>
          <w:vertAlign w:val="superscript"/>
        </w:rPr>
        <w:t>2</w:t>
      </w:r>
      <w:r>
        <w:rPr>
          <w:position w:val="2"/>
          <w:vertAlign w:val="baseline"/>
        </w:rPr>
        <w:t>；</w:t>
      </w:r>
    </w:p>
    <w:p>
      <w:pPr>
        <w:pStyle w:val="9"/>
        <w:spacing w:before="154"/>
        <w:ind w:left="698"/>
      </w:pPr>
      <w:r>
        <w:rPr>
          <w:position w:val="2"/>
        </w:rPr>
        <w:t xml:space="preserve">装卸、运输物料过程扬尘排放系数 </w:t>
      </w:r>
      <w:r>
        <w:rPr>
          <w:rFonts w:ascii="Times New Roman" w:eastAsia="Times New Roman"/>
          <w:position w:val="2"/>
        </w:rPr>
        <w:t>E</w:t>
      </w:r>
      <w:r>
        <w:rPr>
          <w:rFonts w:ascii="Times New Roman" w:eastAsia="Times New Roman"/>
          <w:position w:val="2"/>
          <w:vertAlign w:val="subscript"/>
        </w:rPr>
        <w:t>h</w:t>
      </w:r>
      <w:r>
        <w:rPr>
          <w:rFonts w:ascii="Times New Roman" w:eastAsia="Times New Roman"/>
          <w:position w:val="2"/>
          <w:vertAlign w:val="baseline"/>
        </w:rPr>
        <w:t xml:space="preserve"> </w:t>
      </w:r>
      <w:r>
        <w:rPr>
          <w:position w:val="2"/>
          <w:vertAlign w:val="baseline"/>
        </w:rPr>
        <w:t>的计算方法</w:t>
      </w:r>
    </w:p>
    <w:p>
      <w:pPr>
        <w:pStyle w:val="9"/>
        <w:rPr>
          <w:sz w:val="20"/>
        </w:rPr>
      </w:pPr>
    </w:p>
    <w:p>
      <w:pPr>
        <w:pStyle w:val="9"/>
        <w:spacing w:before="5"/>
        <w:rPr>
          <w:sz w:val="19"/>
        </w:rPr>
      </w:pPr>
      <w:r>
        <w:drawing>
          <wp:anchor distT="0" distB="0" distL="0" distR="0" simplePos="0" relativeHeight="1024" behindDoc="0" locked="0" layoutInCell="1" allowOverlap="1">
            <wp:simplePos x="0" y="0"/>
            <wp:positionH relativeFrom="page">
              <wp:posOffset>2154555</wp:posOffset>
            </wp:positionH>
            <wp:positionV relativeFrom="paragraph">
              <wp:posOffset>182245</wp:posOffset>
            </wp:positionV>
            <wp:extent cx="3267710" cy="104013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47" cstate="print"/>
                    <a:stretch>
                      <a:fillRect/>
                    </a:stretch>
                  </pic:blipFill>
                  <pic:spPr>
                    <a:xfrm>
                      <a:off x="0" y="0"/>
                      <a:ext cx="3267419" cy="1040129"/>
                    </a:xfrm>
                    <a:prstGeom prst="rect">
                      <a:avLst/>
                    </a:prstGeom>
                  </pic:spPr>
                </pic:pic>
              </a:graphicData>
            </a:graphic>
          </wp:anchor>
        </w:drawing>
      </w:r>
    </w:p>
    <w:p>
      <w:pPr>
        <w:pStyle w:val="9"/>
        <w:spacing w:before="30"/>
        <w:ind w:left="698"/>
      </w:pPr>
      <w:r>
        <w:rPr>
          <w:rFonts w:ascii="Times New Roman" w:eastAsia="Times New Roman"/>
          <w:position w:val="2"/>
        </w:rPr>
        <w:t>E</w:t>
      </w:r>
      <w:r>
        <w:rPr>
          <w:rFonts w:ascii="Times New Roman" w:eastAsia="Times New Roman"/>
          <w:position w:val="2"/>
          <w:vertAlign w:val="subscript"/>
        </w:rPr>
        <w:t>h</w:t>
      </w:r>
      <w:r>
        <w:rPr>
          <w:rFonts w:ascii="Times New Roman" w:eastAsia="Times New Roman"/>
          <w:position w:val="2"/>
          <w:vertAlign w:val="baseline"/>
        </w:rPr>
        <w:t xml:space="preserve"> </w:t>
      </w:r>
      <w:r>
        <w:rPr>
          <w:position w:val="2"/>
          <w:vertAlign w:val="baseline"/>
        </w:rPr>
        <w:t>为堆场装卸扬尘的排放系数，</w:t>
      </w:r>
      <w:r>
        <w:rPr>
          <w:rFonts w:ascii="Times New Roman" w:eastAsia="Times New Roman"/>
          <w:position w:val="2"/>
          <w:vertAlign w:val="baseline"/>
        </w:rPr>
        <w:t>kg/t</w:t>
      </w:r>
      <w:r>
        <w:rPr>
          <w:position w:val="2"/>
          <w:vertAlign w:val="baseline"/>
        </w:rPr>
        <w:t>。</w:t>
      </w:r>
    </w:p>
    <w:p>
      <w:pPr>
        <w:pStyle w:val="9"/>
        <w:spacing w:before="154"/>
        <w:ind w:left="698"/>
      </w:pPr>
      <w:r>
        <w:rPr>
          <w:rFonts w:ascii="Times New Roman" w:eastAsia="Times New Roman"/>
          <w:position w:val="2"/>
        </w:rPr>
        <w:t>k</w:t>
      </w:r>
      <w:r>
        <w:rPr>
          <w:rFonts w:ascii="Times New Roman" w:eastAsia="Times New Roman"/>
          <w:position w:val="2"/>
          <w:vertAlign w:val="subscript"/>
        </w:rPr>
        <w:t>i</w:t>
      </w:r>
      <w:r>
        <w:rPr>
          <w:rFonts w:ascii="Times New Roman" w:eastAsia="Times New Roman"/>
          <w:position w:val="2"/>
          <w:vertAlign w:val="baseline"/>
        </w:rPr>
        <w:t xml:space="preserve"> </w:t>
      </w:r>
      <w:r>
        <w:rPr>
          <w:position w:val="2"/>
          <w:vertAlign w:val="baseline"/>
        </w:rPr>
        <w:t xml:space="preserve">为物料的粒度乘数，本次评价取 </w:t>
      </w:r>
      <w:r>
        <w:rPr>
          <w:rFonts w:ascii="Times New Roman" w:eastAsia="Times New Roman"/>
          <w:position w:val="2"/>
          <w:vertAlign w:val="baseline"/>
        </w:rPr>
        <w:t>TSP0.74</w:t>
      </w:r>
      <w:r>
        <w:rPr>
          <w:position w:val="2"/>
          <w:vertAlign w:val="baseline"/>
        </w:rPr>
        <w:t>。</w:t>
      </w:r>
    </w:p>
    <w:p>
      <w:pPr>
        <w:pStyle w:val="9"/>
        <w:spacing w:before="157" w:line="364" w:lineRule="auto"/>
        <w:ind w:left="698" w:right="2593"/>
      </w:pPr>
      <w:r>
        <w:rPr>
          <w:rFonts w:ascii="Times New Roman" w:eastAsia="Times New Roman"/>
        </w:rPr>
        <w:t xml:space="preserve">u </w:t>
      </w:r>
      <w:r>
        <w:t xml:space="preserve">为地面平均风速，本次评价取双鸭山市平均风速 </w:t>
      </w:r>
      <w:r>
        <w:rPr>
          <w:rFonts w:ascii="Times New Roman" w:eastAsia="Times New Roman"/>
        </w:rPr>
        <w:t>4.3m/s</w:t>
      </w:r>
      <w:r>
        <w:t>。</w:t>
      </w:r>
      <w:r>
        <w:rPr>
          <w:rFonts w:ascii="Times New Roman" w:eastAsia="Times New Roman"/>
        </w:rPr>
        <w:t xml:space="preserve">M </w:t>
      </w:r>
      <w:r>
        <w:t xml:space="preserve">为物料含水率，本次评价取 </w:t>
      </w:r>
      <w:r>
        <w:rPr>
          <w:rFonts w:ascii="Times New Roman" w:eastAsia="Times New Roman"/>
        </w:rPr>
        <w:t>6.9%</w:t>
      </w:r>
      <w:r>
        <w:t>。</w:t>
      </w:r>
    </w:p>
    <w:p>
      <w:pPr>
        <w:pStyle w:val="9"/>
        <w:spacing w:line="364" w:lineRule="auto"/>
        <w:ind w:left="698" w:right="453"/>
      </w:pPr>
      <w:r>
        <w:rPr>
          <w:rFonts w:ascii="Times New Roman" w:hAnsi="Times New Roman" w:eastAsia="Times New Roman"/>
        </w:rPr>
        <w:t>η</w:t>
      </w:r>
      <w:r>
        <w:t xml:space="preserve">为污染控制技术对扬尘的去除效率，本次评价取输送点位连续洒水操作 </w:t>
      </w:r>
      <w:r>
        <w:rPr>
          <w:rFonts w:ascii="Times New Roman" w:hAnsi="Times New Roman" w:eastAsia="Times New Roman"/>
        </w:rPr>
        <w:t>74%</w:t>
      </w:r>
      <w:r>
        <w:t>。堆场风蚀扬尘排放系数的计算方法</w:t>
      </w:r>
    </w:p>
    <w:p>
      <w:pPr>
        <w:pStyle w:val="9"/>
        <w:spacing w:before="4"/>
        <w:rPr>
          <w:sz w:val="13"/>
        </w:rPr>
      </w:pPr>
      <w:r>
        <w:drawing>
          <wp:anchor distT="0" distB="0" distL="0" distR="0" simplePos="0" relativeHeight="1024" behindDoc="0" locked="0" layoutInCell="1" allowOverlap="1">
            <wp:simplePos x="0" y="0"/>
            <wp:positionH relativeFrom="page">
              <wp:posOffset>1381125</wp:posOffset>
            </wp:positionH>
            <wp:positionV relativeFrom="paragraph">
              <wp:posOffset>133350</wp:posOffset>
            </wp:positionV>
            <wp:extent cx="4678045" cy="1618615"/>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48" cstate="print"/>
                    <a:stretch>
                      <a:fillRect/>
                    </a:stretch>
                  </pic:blipFill>
                  <pic:spPr>
                    <a:xfrm>
                      <a:off x="0" y="0"/>
                      <a:ext cx="4677830" cy="1618488"/>
                    </a:xfrm>
                    <a:prstGeom prst="rect">
                      <a:avLst/>
                    </a:prstGeom>
                  </pic:spPr>
                </pic:pic>
              </a:graphicData>
            </a:graphic>
          </wp:anchor>
        </w:drawing>
      </w:r>
    </w:p>
    <w:p>
      <w:pPr>
        <w:pStyle w:val="9"/>
        <w:spacing w:before="5"/>
        <w:rPr>
          <w:sz w:val="8"/>
        </w:rPr>
      </w:pPr>
    </w:p>
    <w:p>
      <w:pPr>
        <w:pStyle w:val="9"/>
        <w:spacing w:before="77"/>
        <w:ind w:left="698"/>
      </w:pPr>
      <w:r>
        <w:rPr>
          <w:rFonts w:ascii="Times New Roman" w:eastAsia="Times New Roman"/>
          <w:position w:val="2"/>
        </w:rPr>
        <w:t>E</w:t>
      </w:r>
      <w:r>
        <w:rPr>
          <w:rFonts w:ascii="Times New Roman" w:eastAsia="Times New Roman"/>
          <w:position w:val="2"/>
          <w:vertAlign w:val="subscript"/>
        </w:rPr>
        <w:t>w</w:t>
      </w:r>
      <w:r>
        <w:rPr>
          <w:rFonts w:ascii="Times New Roman" w:eastAsia="Times New Roman"/>
          <w:position w:val="2"/>
          <w:vertAlign w:val="baseline"/>
        </w:rPr>
        <w:t xml:space="preserve"> </w:t>
      </w:r>
      <w:r>
        <w:rPr>
          <w:position w:val="2"/>
          <w:vertAlign w:val="baseline"/>
        </w:rPr>
        <w:t>为堆场风蚀扬尘的排放系数，</w:t>
      </w:r>
      <w:r>
        <w:rPr>
          <w:rFonts w:ascii="Times New Roman" w:eastAsia="Times New Roman"/>
          <w:position w:val="2"/>
          <w:vertAlign w:val="baseline"/>
        </w:rPr>
        <w:t>kg/m</w:t>
      </w:r>
      <w:r>
        <w:rPr>
          <w:rFonts w:ascii="Times New Roman" w:eastAsia="Times New Roman"/>
          <w:position w:val="2"/>
          <w:vertAlign w:val="superscript"/>
        </w:rPr>
        <w:t>2</w:t>
      </w:r>
      <w:r>
        <w:rPr>
          <w:position w:val="2"/>
          <w:vertAlign w:val="baseline"/>
        </w:rPr>
        <w:t>。</w:t>
      </w:r>
    </w:p>
    <w:p>
      <w:pPr>
        <w:pStyle w:val="9"/>
        <w:spacing w:before="156"/>
        <w:ind w:left="698"/>
      </w:pPr>
      <w:r>
        <w:rPr>
          <w:rFonts w:ascii="Times New Roman" w:eastAsia="Times New Roman"/>
          <w:position w:val="2"/>
        </w:rPr>
        <w:t>k</w:t>
      </w:r>
      <w:r>
        <w:rPr>
          <w:rFonts w:ascii="Times New Roman" w:eastAsia="Times New Roman"/>
          <w:position w:val="2"/>
          <w:vertAlign w:val="subscript"/>
        </w:rPr>
        <w:t>i</w:t>
      </w:r>
      <w:r>
        <w:rPr>
          <w:rFonts w:ascii="Times New Roman" w:eastAsia="Times New Roman"/>
          <w:position w:val="2"/>
          <w:vertAlign w:val="baseline"/>
        </w:rPr>
        <w:t xml:space="preserve"> </w:t>
      </w:r>
      <w:r>
        <w:rPr>
          <w:position w:val="2"/>
          <w:vertAlign w:val="baseline"/>
        </w:rPr>
        <w:t xml:space="preserve">为物料的粒度乘数，本次评价取 </w:t>
      </w:r>
      <w:r>
        <w:rPr>
          <w:rFonts w:ascii="Times New Roman" w:eastAsia="Times New Roman"/>
          <w:position w:val="2"/>
          <w:vertAlign w:val="baseline"/>
        </w:rPr>
        <w:t>TSP1</w:t>
      </w:r>
      <w:r>
        <w:rPr>
          <w:position w:val="2"/>
          <w:vertAlign w:val="baseline"/>
        </w:rPr>
        <w:t>。</w:t>
      </w:r>
    </w:p>
    <w:p>
      <w:pPr>
        <w:spacing w:after="0"/>
        <w:sectPr>
          <w:footerReference r:id="rId13" w:type="default"/>
          <w:pgSz w:w="11910" w:h="16840"/>
          <w:pgMar w:top="1580" w:right="1180" w:bottom="1180" w:left="1200" w:header="0" w:footer="993" w:gutter="0"/>
          <w:pgNumType w:start="80"/>
        </w:sectPr>
      </w:pPr>
    </w:p>
    <w:p>
      <w:pPr>
        <w:pStyle w:val="9"/>
        <w:spacing w:before="61"/>
        <w:ind w:left="698"/>
      </w:pPr>
      <w:r>
        <w:rPr>
          <w:rFonts w:ascii="Times New Roman" w:eastAsia="Times New Roman"/>
        </w:rPr>
        <w:t xml:space="preserve">n </w:t>
      </w:r>
      <w:r>
        <w:t xml:space="preserve">为料堆每年受扰动的次数，本次评价取 </w:t>
      </w:r>
      <w:r>
        <w:rPr>
          <w:rFonts w:ascii="Times New Roman" w:eastAsia="Times New Roman"/>
        </w:rPr>
        <w:t xml:space="preserve">30000 </w:t>
      </w:r>
      <w:r>
        <w:t>次。</w:t>
      </w:r>
    </w:p>
    <w:p>
      <w:pPr>
        <w:pStyle w:val="9"/>
        <w:spacing w:before="155"/>
        <w:ind w:left="698"/>
      </w:pPr>
      <w:r>
        <w:rPr>
          <w:rFonts w:ascii="Times New Roman" w:eastAsia="Times New Roman"/>
          <w:position w:val="2"/>
        </w:rPr>
        <w:t>P</w:t>
      </w:r>
      <w:r>
        <w:rPr>
          <w:rFonts w:ascii="Times New Roman" w:eastAsia="Times New Roman"/>
          <w:position w:val="2"/>
          <w:vertAlign w:val="subscript"/>
        </w:rPr>
        <w:t>i</w:t>
      </w:r>
      <w:r>
        <w:rPr>
          <w:rFonts w:ascii="Times New Roman" w:eastAsia="Times New Roman"/>
          <w:position w:val="2"/>
          <w:vertAlign w:val="baseline"/>
        </w:rPr>
        <w:t xml:space="preserve"> </w:t>
      </w:r>
      <w:r>
        <w:rPr>
          <w:position w:val="2"/>
          <w:vertAlign w:val="baseline"/>
        </w:rPr>
        <w:t xml:space="preserve">为第 </w:t>
      </w:r>
      <w:r>
        <w:rPr>
          <w:rFonts w:ascii="Times New Roman" w:eastAsia="Times New Roman"/>
          <w:position w:val="2"/>
          <w:vertAlign w:val="baseline"/>
        </w:rPr>
        <w:t xml:space="preserve">i </w:t>
      </w:r>
      <w:r>
        <w:rPr>
          <w:position w:val="2"/>
          <w:vertAlign w:val="baseline"/>
        </w:rPr>
        <w:t>次扰动中观测的最大风速的风蚀潜势，</w:t>
      </w:r>
      <w:r>
        <w:rPr>
          <w:rFonts w:ascii="Times New Roman" w:eastAsia="Times New Roman"/>
          <w:position w:val="2"/>
          <w:vertAlign w:val="baseline"/>
        </w:rPr>
        <w:t>g/m</w:t>
      </w:r>
      <w:r>
        <w:rPr>
          <w:rFonts w:ascii="Times New Roman" w:eastAsia="Times New Roman"/>
          <w:position w:val="2"/>
          <w:vertAlign w:val="superscript"/>
        </w:rPr>
        <w:t>2</w:t>
      </w:r>
      <w:r>
        <w:rPr>
          <w:position w:val="2"/>
          <w:vertAlign w:val="baseline"/>
        </w:rPr>
        <w:t>。</w:t>
      </w:r>
    </w:p>
    <w:p>
      <w:pPr>
        <w:pStyle w:val="9"/>
        <w:spacing w:before="159" w:line="364" w:lineRule="auto"/>
        <w:ind w:left="698" w:right="1173"/>
      </w:pPr>
      <w:r>
        <w:rPr>
          <w:rFonts w:ascii="Times New Roman" w:hAnsi="Times New Roman" w:eastAsia="Times New Roman"/>
        </w:rPr>
        <w:t>η</w:t>
      </w:r>
      <w:r>
        <w:t xml:space="preserve">为污染控制技术对扬尘的去除效率，本次评价取矿料堆定期洒水 </w:t>
      </w:r>
      <w:r>
        <w:rPr>
          <w:rFonts w:ascii="Times New Roman" w:hAnsi="Times New Roman" w:eastAsia="Times New Roman"/>
        </w:rPr>
        <w:t>52%</w:t>
      </w:r>
      <w:r>
        <w:t>。</w:t>
      </w:r>
      <w:r>
        <w:rPr>
          <w:rFonts w:ascii="Times New Roman" w:hAnsi="Times New Roman" w:eastAsia="Times New Roman"/>
        </w:rPr>
        <w:t>u</w:t>
      </w:r>
      <w:r>
        <w:rPr>
          <w:rFonts w:ascii="Times New Roman" w:hAnsi="Times New Roman" w:eastAsia="Times New Roman"/>
          <w:position w:val="8"/>
          <w:sz w:val="15"/>
        </w:rPr>
        <w:t>*</w:t>
      </w:r>
      <w:r>
        <w:t>为摩擦风速，</w:t>
      </w:r>
      <w:r>
        <w:rPr>
          <w:rFonts w:ascii="Times New Roman" w:hAnsi="Times New Roman" w:eastAsia="Times New Roman"/>
        </w:rPr>
        <w:t>m/s</w:t>
      </w:r>
      <w:r>
        <w:t>。</w:t>
      </w:r>
    </w:p>
    <w:p>
      <w:pPr>
        <w:pStyle w:val="9"/>
        <w:spacing w:line="306" w:lineRule="exact"/>
        <w:ind w:left="698"/>
      </w:pPr>
      <w:r>
        <mc:AlternateContent>
          <mc:Choice Requires="wps">
            <w:drawing>
              <wp:anchor distT="0" distB="0" distL="114300" distR="114300" simplePos="0" relativeHeight="212743168" behindDoc="1" locked="0" layoutInCell="1" allowOverlap="1">
                <wp:simplePos x="0" y="0"/>
                <wp:positionH relativeFrom="page">
                  <wp:posOffset>1281430</wp:posOffset>
                </wp:positionH>
                <wp:positionV relativeFrom="paragraph">
                  <wp:posOffset>73660</wp:posOffset>
                </wp:positionV>
                <wp:extent cx="27940" cy="10985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27940" cy="109855"/>
                        </a:xfrm>
                        <a:prstGeom prst="rect">
                          <a:avLst/>
                        </a:prstGeom>
                        <a:noFill/>
                        <a:ln>
                          <a:noFill/>
                        </a:ln>
                      </wps:spPr>
                      <wps:txbx>
                        <w:txbxContent>
                          <w:p>
                            <w:pPr>
                              <w:spacing w:before="0" w:line="171" w:lineRule="exact"/>
                              <w:ind w:left="0" w:right="0" w:firstLine="0"/>
                              <w:jc w:val="left"/>
                              <w:rPr>
                                <w:rFonts w:ascii="Times New Roman"/>
                                <w:sz w:val="15"/>
                              </w:rPr>
                            </w:pPr>
                            <w:r>
                              <w:rPr>
                                <w:rFonts w:ascii="Times New Roman"/>
                                <w:w w:val="104"/>
                                <w:sz w:val="15"/>
                              </w:rPr>
                              <w:t>t</w:t>
                            </w:r>
                          </w:p>
                        </w:txbxContent>
                      </wps:txbx>
                      <wps:bodyPr lIns="0" tIns="0" rIns="0" bIns="0" upright="1"/>
                    </wps:wsp>
                  </a:graphicData>
                </a:graphic>
              </wp:anchor>
            </w:drawing>
          </mc:Choice>
          <mc:Fallback>
            <w:pict>
              <v:shape id="_x0000_s1026" o:spid="_x0000_s1026" o:spt="202" type="#_x0000_t202" style="position:absolute;left:0pt;margin-left:100.9pt;margin-top:5.8pt;height:8.65pt;width:2.2pt;mso-position-horizontal-relative:page;z-index:-290573312;mso-width-relative:page;mso-height-relative:page;" filled="f" stroked="f" coordsize="21600,21600" o:gfxdata="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t5KJo1wAAAAkBAAAPAAAAAAAAAAEA&#10;IAAAACIAAABkcnMvZG93bnJldi54bWxQSwECFAAUAAAACACHTuJAsWKb0J4BAAAkAwAADgAAAAAA&#10;AAABACAAAAAmAQAAZHJzL2Uyb0RvYy54bWxQSwUGAAAAAAYABgBZAQAANgUAAAAA&#10;">
                <v:fill on="f" focussize="0,0"/>
                <v:stroke on="f"/>
                <v:imagedata o:title=""/>
                <o:lock v:ext="edit" aspectratio="f"/>
                <v:textbox inset="0mm,0mm,0mm,0mm">
                  <w:txbxContent>
                    <w:p>
                      <w:pPr>
                        <w:spacing w:before="0" w:line="171" w:lineRule="exact"/>
                        <w:ind w:left="0" w:right="0" w:firstLine="0"/>
                        <w:jc w:val="left"/>
                        <w:rPr>
                          <w:rFonts w:ascii="Times New Roman"/>
                          <w:sz w:val="15"/>
                        </w:rPr>
                      </w:pPr>
                      <w:r>
                        <w:rPr>
                          <w:rFonts w:ascii="Times New Roman"/>
                          <w:w w:val="104"/>
                          <w:sz w:val="15"/>
                        </w:rPr>
                        <w:t>t</w:t>
                      </w:r>
                    </w:p>
                  </w:txbxContent>
                </v:textbox>
              </v:shape>
            </w:pict>
          </mc:Fallback>
        </mc:AlternateContent>
      </w:r>
      <w:r>
        <w:rPr>
          <w:rFonts w:ascii="Times New Roman" w:eastAsia="Times New Roman"/>
        </w:rPr>
        <w:t xml:space="preserve">u </w:t>
      </w:r>
      <w:r>
        <w:rPr>
          <w:rFonts w:ascii="Times New Roman" w:eastAsia="Times New Roman"/>
          <w:position w:val="8"/>
          <w:sz w:val="15"/>
        </w:rPr>
        <w:t>*</w:t>
      </w:r>
      <w:r>
        <w:t xml:space="preserve">为阈值摩擦风速，即起尘的临界摩擦风速，本次评价取煤矸石 </w:t>
      </w:r>
      <w:r>
        <w:rPr>
          <w:rFonts w:ascii="Times New Roman" w:eastAsia="Times New Roman"/>
        </w:rPr>
        <w:t>4.8m/s</w:t>
      </w:r>
      <w:r>
        <w:t>。</w:t>
      </w:r>
    </w:p>
    <w:p>
      <w:pPr>
        <w:pStyle w:val="9"/>
        <w:spacing w:before="3"/>
        <w:rPr>
          <w:sz w:val="9"/>
        </w:rPr>
      </w:pPr>
      <w:r>
        <w:drawing>
          <wp:anchor distT="0" distB="0" distL="0" distR="0" simplePos="0" relativeHeight="1024" behindDoc="0" locked="0" layoutInCell="1" allowOverlap="1">
            <wp:simplePos x="0" y="0"/>
            <wp:positionH relativeFrom="page">
              <wp:posOffset>1781175</wp:posOffset>
            </wp:positionH>
            <wp:positionV relativeFrom="paragraph">
              <wp:posOffset>99695</wp:posOffset>
            </wp:positionV>
            <wp:extent cx="4128770" cy="616585"/>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49" cstate="print"/>
                    <a:stretch>
                      <a:fillRect/>
                    </a:stretch>
                  </pic:blipFill>
                  <pic:spPr>
                    <a:xfrm>
                      <a:off x="0" y="0"/>
                      <a:ext cx="4128928" cy="616648"/>
                    </a:xfrm>
                    <a:prstGeom prst="rect">
                      <a:avLst/>
                    </a:prstGeom>
                  </pic:spPr>
                </pic:pic>
              </a:graphicData>
            </a:graphic>
          </wp:anchor>
        </w:drawing>
      </w:r>
    </w:p>
    <w:p>
      <w:pPr>
        <w:pStyle w:val="9"/>
        <w:spacing w:before="1"/>
        <w:rPr>
          <w:sz w:val="30"/>
        </w:rPr>
      </w:pPr>
    </w:p>
    <w:p>
      <w:pPr>
        <w:pStyle w:val="9"/>
        <w:spacing w:line="364" w:lineRule="auto"/>
        <w:ind w:left="698" w:right="2872"/>
      </w:pPr>
      <w:r>
        <w:rPr>
          <w:rFonts w:ascii="Times New Roman" w:eastAsia="Times New Roman"/>
        </w:rPr>
        <w:t>u(z)</w:t>
      </w:r>
      <w:r>
        <w:t xml:space="preserve">为地面风速，本次评价取双鸭山市平均风速 </w:t>
      </w:r>
      <w:r>
        <w:rPr>
          <w:rFonts w:ascii="Times New Roman" w:eastAsia="Times New Roman"/>
        </w:rPr>
        <w:t>4.3m/s</w:t>
      </w:r>
      <w:r>
        <w:t>。</w:t>
      </w:r>
      <w:r>
        <w:rPr>
          <w:rFonts w:ascii="Times New Roman" w:eastAsia="Times New Roman"/>
        </w:rPr>
        <w:t xml:space="preserve">z </w:t>
      </w:r>
      <w:r>
        <w:t xml:space="preserve">为地面风速检测高度，本次评价取 </w:t>
      </w:r>
      <w:r>
        <w:rPr>
          <w:rFonts w:ascii="Times New Roman" w:eastAsia="Times New Roman"/>
        </w:rPr>
        <w:t>1.2m</w:t>
      </w:r>
      <w:r>
        <w:t>。</w:t>
      </w:r>
    </w:p>
    <w:p>
      <w:pPr>
        <w:pStyle w:val="9"/>
        <w:spacing w:line="310" w:lineRule="exact"/>
        <w:ind w:left="698"/>
      </w:pPr>
      <w:r>
        <w:rPr>
          <w:rFonts w:ascii="Times New Roman" w:eastAsia="Times New Roman"/>
          <w:position w:val="2"/>
        </w:rPr>
        <w:t>z</w:t>
      </w:r>
      <w:r>
        <w:rPr>
          <w:rFonts w:ascii="Times New Roman" w:eastAsia="Times New Roman"/>
          <w:position w:val="2"/>
          <w:vertAlign w:val="subscript"/>
        </w:rPr>
        <w:t>0</w:t>
      </w:r>
      <w:r>
        <w:rPr>
          <w:rFonts w:ascii="Times New Roman" w:eastAsia="Times New Roman"/>
          <w:position w:val="2"/>
          <w:vertAlign w:val="baseline"/>
        </w:rPr>
        <w:t xml:space="preserve"> </w:t>
      </w:r>
      <w:r>
        <w:rPr>
          <w:position w:val="2"/>
          <w:vertAlign w:val="baseline"/>
        </w:rPr>
        <w:t xml:space="preserve">为地面粗糙度，本次评价取郊区 </w:t>
      </w:r>
      <w:r>
        <w:rPr>
          <w:rFonts w:ascii="Times New Roman" w:eastAsia="Times New Roman"/>
          <w:position w:val="2"/>
          <w:vertAlign w:val="baseline"/>
        </w:rPr>
        <w:t>0.2m</w:t>
      </w:r>
      <w:r>
        <w:rPr>
          <w:position w:val="2"/>
          <w:vertAlign w:val="baseline"/>
        </w:rPr>
        <w:t>。</w:t>
      </w:r>
    </w:p>
    <w:p>
      <w:pPr>
        <w:pStyle w:val="9"/>
        <w:spacing w:before="157"/>
        <w:ind w:left="698"/>
      </w:pPr>
      <w:r>
        <w:rPr>
          <w:rFonts w:ascii="Times New Roman" w:eastAsia="Times New Roman"/>
        </w:rPr>
        <w:t xml:space="preserve">0.4 </w:t>
      </w:r>
      <w:r>
        <w:t>为冯卡门常数，无量纲。</w:t>
      </w:r>
    </w:p>
    <w:p>
      <w:pPr>
        <w:pStyle w:val="9"/>
        <w:spacing w:before="158" w:line="364" w:lineRule="auto"/>
        <w:ind w:left="218" w:right="231" w:firstLine="480"/>
      </w:pPr>
      <w:r>
        <w:rPr>
          <w:spacing w:val="-7"/>
        </w:rPr>
        <w:t xml:space="preserve">经计算，本项目临时矸石堆场产生的扬尘为 </w:t>
      </w:r>
      <w:r>
        <w:rPr>
          <w:rFonts w:ascii="Times New Roman" w:eastAsia="Times New Roman"/>
          <w:spacing w:val="-3"/>
        </w:rPr>
        <w:t>0.015t/a</w:t>
      </w:r>
      <w:r>
        <w:rPr>
          <w:spacing w:val="-3"/>
        </w:rPr>
        <w:t>（</w:t>
      </w:r>
      <w:r>
        <w:rPr>
          <w:rFonts w:ascii="Times New Roman" w:eastAsia="Times New Roman"/>
          <w:spacing w:val="-3"/>
        </w:rPr>
        <w:t>0.0017kg/h</w:t>
      </w:r>
      <w:r>
        <w:rPr>
          <w:spacing w:val="-3"/>
        </w:rPr>
        <w:t>）</w:t>
      </w:r>
      <w:r>
        <w:rPr>
          <w:spacing w:val="-4"/>
        </w:rPr>
        <w:t>，采取洒水控制</w:t>
      </w:r>
      <w:r>
        <w:t>措施及围挡遮围（</w:t>
      </w:r>
      <w:r>
        <w:rPr>
          <w:spacing w:val="-21"/>
        </w:rPr>
        <w:t xml:space="preserve">效率 </w:t>
      </w:r>
      <w:r>
        <w:rPr>
          <w:rFonts w:ascii="Times New Roman" w:eastAsia="Times New Roman"/>
        </w:rPr>
        <w:t>74%</w:t>
      </w:r>
      <w:r>
        <w:t>），</w:t>
      </w:r>
      <w:r>
        <w:rPr>
          <w:spacing w:val="-5"/>
        </w:rPr>
        <w:t xml:space="preserve">临时矸石堆场扬尘排放量 </w:t>
      </w:r>
      <w:r>
        <w:rPr>
          <w:rFonts w:ascii="Times New Roman" w:eastAsia="Times New Roman"/>
        </w:rPr>
        <w:t>0.0039t/a</w:t>
      </w:r>
      <w:r>
        <w:t>（</w:t>
      </w:r>
      <w:r>
        <w:rPr>
          <w:rFonts w:ascii="Times New Roman" w:eastAsia="Times New Roman"/>
        </w:rPr>
        <w:t>0.0004kg/h</w:t>
      </w:r>
      <w:r>
        <w:t>）。</w:t>
      </w:r>
    </w:p>
    <w:p>
      <w:pPr>
        <w:pStyle w:val="9"/>
        <w:spacing w:line="306" w:lineRule="exact"/>
        <w:ind w:left="698"/>
      </w:pPr>
      <w:r>
        <w:t>环境空气污染源、污染防治措施及污染物排放情况详见下表。</w:t>
      </w:r>
    </w:p>
    <w:p>
      <w:pPr>
        <w:pStyle w:val="9"/>
        <w:spacing w:before="160"/>
        <w:ind w:left="698"/>
      </w:pPr>
      <w:r>
        <w:t>⑤储煤场产生的扬尘</w:t>
      </w:r>
    </w:p>
    <w:p>
      <w:pPr>
        <w:pStyle w:val="9"/>
        <w:spacing w:before="161" w:line="362" w:lineRule="auto"/>
        <w:ind w:left="218" w:right="174" w:firstLine="480"/>
      </w:pPr>
      <w:r>
        <w:t>储煤场产生的扬尘采用</w:t>
      </w:r>
      <w:r>
        <w:fldChar w:fldCharType="begin"/>
      </w:r>
      <w:r>
        <w:instrText xml:space="preserve"> HYPERLINK "http://www.mee.gov.cn/gkml/hbb/bgg/201501/W020150107594588131490.pdf" \h </w:instrText>
      </w:r>
      <w:r>
        <w:fldChar w:fldCharType="separate"/>
      </w:r>
      <w:r>
        <w:t>《扬尘源颗粒物排放清单编制技术指南（试行）</w:t>
      </w:r>
      <w:r>
        <w:fldChar w:fldCharType="end"/>
      </w:r>
      <w:r>
        <w:t>》中堆场扬尘排放量计算方法计算。计算公式如下：</w:t>
      </w:r>
    </w:p>
    <w:p>
      <w:pPr>
        <w:pStyle w:val="9"/>
        <w:spacing w:before="6"/>
        <w:rPr>
          <w:sz w:val="22"/>
        </w:rPr>
      </w:pPr>
      <w:r>
        <w:drawing>
          <wp:anchor distT="0" distB="0" distL="0" distR="0" simplePos="0" relativeHeight="1024" behindDoc="0" locked="0" layoutInCell="1" allowOverlap="1">
            <wp:simplePos x="0" y="0"/>
            <wp:positionH relativeFrom="page">
              <wp:posOffset>1630045</wp:posOffset>
            </wp:positionH>
            <wp:positionV relativeFrom="paragraph">
              <wp:posOffset>207645</wp:posOffset>
            </wp:positionV>
            <wp:extent cx="4301490" cy="518160"/>
            <wp:effectExtent l="0" t="0" r="0" b="0"/>
            <wp:wrapTopAndBottom/>
            <wp:docPr id="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3.jpeg"/>
                    <pic:cNvPicPr>
                      <a:picLocks noChangeAspect="1"/>
                    </pic:cNvPicPr>
                  </pic:nvPicPr>
                  <pic:blipFill>
                    <a:blip r:embed="rId46" cstate="print"/>
                    <a:stretch>
                      <a:fillRect/>
                    </a:stretch>
                  </pic:blipFill>
                  <pic:spPr>
                    <a:xfrm>
                      <a:off x="0" y="0"/>
                      <a:ext cx="4301183" cy="518160"/>
                    </a:xfrm>
                    <a:prstGeom prst="rect">
                      <a:avLst/>
                    </a:prstGeom>
                  </pic:spPr>
                </pic:pic>
              </a:graphicData>
            </a:graphic>
          </wp:anchor>
        </w:drawing>
      </w:r>
    </w:p>
    <w:p>
      <w:pPr>
        <w:pStyle w:val="9"/>
        <w:spacing w:before="136"/>
        <w:ind w:left="698"/>
      </w:pPr>
      <w:r>
        <w:t>式中：</w:t>
      </w:r>
    </w:p>
    <w:p>
      <w:pPr>
        <w:pStyle w:val="9"/>
        <w:spacing w:before="154"/>
        <w:ind w:left="698"/>
      </w:pPr>
      <w:r>
        <w:rPr>
          <w:rFonts w:ascii="Times New Roman" w:eastAsia="Times New Roman"/>
          <w:position w:val="2"/>
        </w:rPr>
        <w:t>W</w:t>
      </w:r>
      <w:r>
        <w:rPr>
          <w:rFonts w:ascii="Times New Roman" w:eastAsia="Times New Roman"/>
          <w:position w:val="2"/>
          <w:vertAlign w:val="subscript"/>
        </w:rPr>
        <w:t>Y</w:t>
      </w:r>
      <w:r>
        <w:rPr>
          <w:rFonts w:ascii="Times New Roman" w:eastAsia="Times New Roman"/>
          <w:position w:val="2"/>
          <w:vertAlign w:val="baseline"/>
        </w:rPr>
        <w:t xml:space="preserve"> </w:t>
      </w:r>
      <w:r>
        <w:rPr>
          <w:position w:val="2"/>
          <w:vertAlign w:val="baseline"/>
        </w:rPr>
        <w:t>为堆场扬尘源中颗粒物总排放量，</w:t>
      </w:r>
      <w:r>
        <w:rPr>
          <w:rFonts w:ascii="Times New Roman" w:eastAsia="Times New Roman"/>
          <w:position w:val="2"/>
          <w:vertAlign w:val="baseline"/>
        </w:rPr>
        <w:t>t/a</w:t>
      </w:r>
      <w:r>
        <w:rPr>
          <w:position w:val="2"/>
          <w:vertAlign w:val="baseline"/>
        </w:rPr>
        <w:t>；</w:t>
      </w:r>
    </w:p>
    <w:p>
      <w:pPr>
        <w:pStyle w:val="9"/>
        <w:spacing w:before="156"/>
        <w:ind w:left="698"/>
      </w:pPr>
      <w:r>
        <w:rPr>
          <w:rFonts w:ascii="Times New Roman" w:eastAsia="Times New Roman"/>
          <w:position w:val="2"/>
        </w:rPr>
        <w:t>E</w:t>
      </w:r>
      <w:r>
        <w:rPr>
          <w:rFonts w:ascii="Times New Roman" w:eastAsia="Times New Roman"/>
          <w:position w:val="2"/>
          <w:vertAlign w:val="subscript"/>
        </w:rPr>
        <w:t>h</w:t>
      </w:r>
      <w:r>
        <w:rPr>
          <w:rFonts w:ascii="Times New Roman" w:eastAsia="Times New Roman"/>
          <w:position w:val="2"/>
          <w:vertAlign w:val="baseline"/>
        </w:rPr>
        <w:t xml:space="preserve"> </w:t>
      </w:r>
      <w:r>
        <w:rPr>
          <w:position w:val="2"/>
          <w:vertAlign w:val="baseline"/>
        </w:rPr>
        <w:t>为堆场装卸运输过程的扬尘颗粒物排放系数，</w:t>
      </w:r>
      <w:r>
        <w:rPr>
          <w:rFonts w:ascii="Times New Roman" w:eastAsia="Times New Roman"/>
          <w:position w:val="2"/>
          <w:vertAlign w:val="baseline"/>
        </w:rPr>
        <w:t>kg/t</w:t>
      </w:r>
      <w:r>
        <w:rPr>
          <w:position w:val="2"/>
          <w:vertAlign w:val="baseline"/>
        </w:rPr>
        <w:t>；</w:t>
      </w:r>
    </w:p>
    <w:p>
      <w:pPr>
        <w:pStyle w:val="9"/>
        <w:spacing w:before="157"/>
        <w:ind w:left="698"/>
      </w:pPr>
      <w:r>
        <w:rPr>
          <w:rFonts w:ascii="Times New Roman" w:eastAsia="Times New Roman"/>
        </w:rPr>
        <w:t xml:space="preserve">m </w:t>
      </w:r>
      <w:r>
        <w:t xml:space="preserve">为每年料堆物料装卸总次数，本次评价取 </w:t>
      </w:r>
      <w:r>
        <w:rPr>
          <w:rFonts w:ascii="Times New Roman" w:eastAsia="Times New Roman"/>
        </w:rPr>
        <w:t xml:space="preserve">207692 </w:t>
      </w:r>
      <w:r>
        <w:t>次；</w:t>
      </w:r>
    </w:p>
    <w:p>
      <w:pPr>
        <w:pStyle w:val="9"/>
        <w:spacing w:before="158" w:line="362" w:lineRule="auto"/>
        <w:ind w:left="698" w:right="687"/>
      </w:pPr>
      <w:r>
        <w:rPr>
          <w:rFonts w:ascii="Times New Roman" w:eastAsia="Times New Roman"/>
          <w:spacing w:val="-4"/>
          <w:position w:val="2"/>
        </w:rPr>
        <w:t>G</w:t>
      </w:r>
      <w:r>
        <w:rPr>
          <w:rFonts w:ascii="Times New Roman" w:eastAsia="Times New Roman"/>
          <w:spacing w:val="-4"/>
          <w:position w:val="2"/>
          <w:vertAlign w:val="subscript"/>
        </w:rPr>
        <w:t>Yi</w:t>
      </w:r>
      <w:r>
        <w:rPr>
          <w:rFonts w:ascii="Times New Roman" w:eastAsia="Times New Roman"/>
          <w:spacing w:val="-4"/>
          <w:position w:val="2"/>
          <w:vertAlign w:val="baseline"/>
        </w:rPr>
        <w:t xml:space="preserve"> </w:t>
      </w:r>
      <w:r>
        <w:rPr>
          <w:spacing w:val="-20"/>
          <w:position w:val="2"/>
          <w:vertAlign w:val="baseline"/>
        </w:rPr>
        <w:t xml:space="preserve">为第 </w:t>
      </w:r>
      <w:r>
        <w:rPr>
          <w:rFonts w:ascii="Times New Roman" w:eastAsia="Times New Roman"/>
          <w:position w:val="2"/>
          <w:vertAlign w:val="baseline"/>
        </w:rPr>
        <w:t xml:space="preserve">i </w:t>
      </w:r>
      <w:r>
        <w:rPr>
          <w:spacing w:val="-3"/>
          <w:position w:val="2"/>
          <w:vertAlign w:val="baseline"/>
        </w:rPr>
        <w:t xml:space="preserve">次装卸过程的物料装卸量，本次评价取单个井下矿车载重量 </w:t>
      </w:r>
      <w:r>
        <w:rPr>
          <w:rFonts w:ascii="Times New Roman" w:eastAsia="Times New Roman"/>
          <w:spacing w:val="-4"/>
          <w:position w:val="2"/>
          <w:vertAlign w:val="baseline"/>
        </w:rPr>
        <w:t>1.3t</w:t>
      </w:r>
      <w:r>
        <w:rPr>
          <w:spacing w:val="-4"/>
          <w:position w:val="2"/>
          <w:vertAlign w:val="baseline"/>
        </w:rPr>
        <w:t xml:space="preserve">； </w:t>
      </w:r>
      <w:r>
        <w:rPr>
          <w:rFonts w:ascii="Times New Roman" w:eastAsia="Times New Roman"/>
          <w:position w:val="2"/>
          <w:vertAlign w:val="baseline"/>
        </w:rPr>
        <w:t>E</w:t>
      </w:r>
      <w:r>
        <w:rPr>
          <w:rFonts w:ascii="Times New Roman" w:eastAsia="Times New Roman"/>
          <w:position w:val="2"/>
          <w:vertAlign w:val="subscript"/>
        </w:rPr>
        <w:t>w</w:t>
      </w:r>
      <w:r>
        <w:rPr>
          <w:rFonts w:ascii="Times New Roman" w:eastAsia="Times New Roman"/>
          <w:position w:val="2"/>
          <w:vertAlign w:val="baseline"/>
        </w:rPr>
        <w:t xml:space="preserve"> </w:t>
      </w:r>
      <w:r>
        <w:rPr>
          <w:position w:val="2"/>
          <w:vertAlign w:val="baseline"/>
        </w:rPr>
        <w:t>为料堆受到风蚀作用的颗粒物排放系数，</w:t>
      </w:r>
      <w:r>
        <w:rPr>
          <w:rFonts w:ascii="Times New Roman" w:eastAsia="Times New Roman"/>
          <w:position w:val="2"/>
          <w:vertAlign w:val="baseline"/>
        </w:rPr>
        <w:t>kg/m</w:t>
      </w:r>
      <w:r>
        <w:rPr>
          <w:rFonts w:ascii="Times New Roman" w:eastAsia="Times New Roman"/>
          <w:position w:val="2"/>
          <w:vertAlign w:val="superscript"/>
        </w:rPr>
        <w:t>2</w:t>
      </w:r>
      <w:r>
        <w:rPr>
          <w:position w:val="2"/>
          <w:vertAlign w:val="baseline"/>
        </w:rPr>
        <w:t>；</w:t>
      </w:r>
    </w:p>
    <w:p>
      <w:pPr>
        <w:pStyle w:val="9"/>
        <w:spacing w:line="308" w:lineRule="exact"/>
        <w:ind w:left="698"/>
      </w:pPr>
      <w:r>
        <w:rPr>
          <w:rFonts w:ascii="Times New Roman" w:eastAsia="Times New Roman"/>
          <w:position w:val="2"/>
        </w:rPr>
        <w:t>A</w:t>
      </w:r>
      <w:r>
        <w:rPr>
          <w:rFonts w:ascii="Times New Roman" w:eastAsia="Times New Roman"/>
          <w:position w:val="2"/>
          <w:vertAlign w:val="subscript"/>
        </w:rPr>
        <w:t>Y</w:t>
      </w:r>
      <w:r>
        <w:rPr>
          <w:rFonts w:ascii="Times New Roman" w:eastAsia="Times New Roman"/>
          <w:position w:val="2"/>
          <w:vertAlign w:val="baseline"/>
        </w:rPr>
        <w:t xml:space="preserve"> </w:t>
      </w:r>
      <w:r>
        <w:rPr>
          <w:position w:val="2"/>
          <w:vertAlign w:val="baseline"/>
        </w:rPr>
        <w:t xml:space="preserve">为料堆表面积，本次评价取 </w:t>
      </w:r>
      <w:r>
        <w:rPr>
          <w:rFonts w:ascii="Times New Roman" w:eastAsia="Times New Roman"/>
          <w:position w:val="2"/>
          <w:vertAlign w:val="baseline"/>
        </w:rPr>
        <w:t>3600m</w:t>
      </w:r>
      <w:r>
        <w:rPr>
          <w:rFonts w:ascii="Times New Roman" w:eastAsia="Times New Roman"/>
          <w:position w:val="2"/>
          <w:vertAlign w:val="superscript"/>
        </w:rPr>
        <w:t>2</w:t>
      </w:r>
      <w:r>
        <w:rPr>
          <w:position w:val="2"/>
          <w:vertAlign w:val="baseline"/>
        </w:rPr>
        <w:t>；</w:t>
      </w:r>
    </w:p>
    <w:p>
      <w:pPr>
        <w:pStyle w:val="9"/>
        <w:spacing w:before="156"/>
        <w:ind w:left="698"/>
      </w:pPr>
      <w:r>
        <w:rPr>
          <w:position w:val="2"/>
        </w:rPr>
        <w:t xml:space="preserve">装卸、运输物料过程扬尘排放系数 </w:t>
      </w:r>
      <w:r>
        <w:rPr>
          <w:rFonts w:ascii="Times New Roman" w:eastAsia="Times New Roman"/>
          <w:position w:val="2"/>
        </w:rPr>
        <w:t>E</w:t>
      </w:r>
      <w:r>
        <w:rPr>
          <w:rFonts w:ascii="Times New Roman" w:eastAsia="Times New Roman"/>
          <w:position w:val="2"/>
          <w:vertAlign w:val="subscript"/>
        </w:rPr>
        <w:t>h</w:t>
      </w:r>
      <w:r>
        <w:rPr>
          <w:rFonts w:ascii="Times New Roman" w:eastAsia="Times New Roman"/>
          <w:position w:val="2"/>
          <w:vertAlign w:val="baseline"/>
        </w:rPr>
        <w:t xml:space="preserve"> </w:t>
      </w:r>
      <w:r>
        <w:rPr>
          <w:position w:val="2"/>
          <w:vertAlign w:val="baseline"/>
        </w:rPr>
        <w:t>的计算方法</w:t>
      </w:r>
    </w:p>
    <w:p>
      <w:pPr>
        <w:spacing w:after="0"/>
        <w:sectPr>
          <w:pgSz w:w="11910" w:h="16840"/>
          <w:pgMar w:top="1340" w:right="1180" w:bottom="1180" w:left="1200" w:header="0" w:footer="993" w:gutter="0"/>
        </w:sectPr>
      </w:pPr>
    </w:p>
    <w:p>
      <w:pPr>
        <w:pStyle w:val="9"/>
        <w:spacing w:before="3"/>
        <w:rPr>
          <w:sz w:val="16"/>
        </w:rPr>
      </w:pPr>
    </w:p>
    <w:p>
      <w:pPr>
        <w:pStyle w:val="9"/>
        <w:ind w:left="2193"/>
        <w:rPr>
          <w:sz w:val="20"/>
        </w:rPr>
      </w:pPr>
      <w:r>
        <w:rPr>
          <w:sz w:val="20"/>
        </w:rPr>
        <w:drawing>
          <wp:inline distT="0" distB="0" distL="0" distR="0">
            <wp:extent cx="3267075" cy="1039495"/>
            <wp:effectExtent l="0" t="0" r="0" b="0"/>
            <wp:docPr id="3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4.jpeg"/>
                    <pic:cNvPicPr>
                      <a:picLocks noChangeAspect="1"/>
                    </pic:cNvPicPr>
                  </pic:nvPicPr>
                  <pic:blipFill>
                    <a:blip r:embed="rId47" cstate="print"/>
                    <a:stretch>
                      <a:fillRect/>
                    </a:stretch>
                  </pic:blipFill>
                  <pic:spPr>
                    <a:xfrm>
                      <a:off x="0" y="0"/>
                      <a:ext cx="3267419" cy="1040129"/>
                    </a:xfrm>
                    <a:prstGeom prst="rect">
                      <a:avLst/>
                    </a:prstGeom>
                  </pic:spPr>
                </pic:pic>
              </a:graphicData>
            </a:graphic>
          </wp:inline>
        </w:drawing>
      </w:r>
    </w:p>
    <w:p>
      <w:pPr>
        <w:pStyle w:val="9"/>
        <w:spacing w:before="57"/>
        <w:ind w:left="698"/>
      </w:pPr>
      <w:r>
        <w:rPr>
          <w:rFonts w:ascii="Times New Roman" w:eastAsia="Times New Roman"/>
          <w:position w:val="2"/>
        </w:rPr>
        <w:t>E</w:t>
      </w:r>
      <w:r>
        <w:rPr>
          <w:rFonts w:ascii="Times New Roman" w:eastAsia="Times New Roman"/>
          <w:position w:val="2"/>
          <w:vertAlign w:val="subscript"/>
        </w:rPr>
        <w:t>h</w:t>
      </w:r>
      <w:r>
        <w:rPr>
          <w:rFonts w:ascii="Times New Roman" w:eastAsia="Times New Roman"/>
          <w:position w:val="2"/>
          <w:vertAlign w:val="baseline"/>
        </w:rPr>
        <w:t xml:space="preserve"> </w:t>
      </w:r>
      <w:r>
        <w:rPr>
          <w:position w:val="2"/>
          <w:vertAlign w:val="baseline"/>
        </w:rPr>
        <w:t>为堆场装卸扬尘的排放系数，</w:t>
      </w:r>
      <w:r>
        <w:rPr>
          <w:rFonts w:ascii="Times New Roman" w:eastAsia="Times New Roman"/>
          <w:position w:val="2"/>
          <w:vertAlign w:val="baseline"/>
        </w:rPr>
        <w:t>kg/t</w:t>
      </w:r>
      <w:r>
        <w:rPr>
          <w:position w:val="2"/>
          <w:vertAlign w:val="baseline"/>
        </w:rPr>
        <w:t>。</w:t>
      </w:r>
    </w:p>
    <w:p>
      <w:pPr>
        <w:pStyle w:val="9"/>
        <w:spacing w:before="154"/>
        <w:ind w:left="698"/>
      </w:pPr>
      <w:r>
        <w:rPr>
          <w:rFonts w:ascii="Times New Roman" w:eastAsia="Times New Roman"/>
          <w:position w:val="2"/>
        </w:rPr>
        <w:t>k</w:t>
      </w:r>
      <w:r>
        <w:rPr>
          <w:rFonts w:ascii="Times New Roman" w:eastAsia="Times New Roman"/>
          <w:position w:val="2"/>
          <w:vertAlign w:val="subscript"/>
        </w:rPr>
        <w:t>i</w:t>
      </w:r>
      <w:r>
        <w:rPr>
          <w:rFonts w:ascii="Times New Roman" w:eastAsia="Times New Roman"/>
          <w:position w:val="2"/>
          <w:vertAlign w:val="baseline"/>
        </w:rPr>
        <w:t xml:space="preserve"> </w:t>
      </w:r>
      <w:r>
        <w:rPr>
          <w:position w:val="2"/>
          <w:vertAlign w:val="baseline"/>
        </w:rPr>
        <w:t xml:space="preserve">为物料的粒度乘数，本次评价取 </w:t>
      </w:r>
      <w:r>
        <w:rPr>
          <w:rFonts w:ascii="Times New Roman" w:eastAsia="Times New Roman"/>
          <w:position w:val="2"/>
          <w:vertAlign w:val="baseline"/>
        </w:rPr>
        <w:t>TSP0.74</w:t>
      </w:r>
      <w:r>
        <w:rPr>
          <w:position w:val="2"/>
          <w:vertAlign w:val="baseline"/>
        </w:rPr>
        <w:t>。</w:t>
      </w:r>
    </w:p>
    <w:p>
      <w:pPr>
        <w:pStyle w:val="9"/>
        <w:spacing w:before="159" w:line="362" w:lineRule="auto"/>
        <w:ind w:left="698" w:right="2593"/>
      </w:pPr>
      <w:r>
        <w:rPr>
          <w:rFonts w:ascii="Times New Roman" w:eastAsia="Times New Roman"/>
        </w:rPr>
        <w:t xml:space="preserve">u </w:t>
      </w:r>
      <w:r>
        <w:t xml:space="preserve">为地面平均风速，本次评价取双鸭山市平均风速 </w:t>
      </w:r>
      <w:r>
        <w:rPr>
          <w:rFonts w:ascii="Times New Roman" w:eastAsia="Times New Roman"/>
        </w:rPr>
        <w:t>4.3m/s</w:t>
      </w:r>
      <w:r>
        <w:t>。</w:t>
      </w:r>
      <w:r>
        <w:rPr>
          <w:rFonts w:ascii="Times New Roman" w:eastAsia="Times New Roman"/>
        </w:rPr>
        <w:t xml:space="preserve">M </w:t>
      </w:r>
      <w:r>
        <w:t xml:space="preserve">为物料含水率，本次评价取 </w:t>
      </w:r>
      <w:r>
        <w:rPr>
          <w:rFonts w:ascii="Times New Roman" w:eastAsia="Times New Roman"/>
        </w:rPr>
        <w:t>6.9%</w:t>
      </w:r>
      <w:r>
        <w:t>。</w:t>
      </w:r>
    </w:p>
    <w:p>
      <w:pPr>
        <w:pStyle w:val="9"/>
        <w:spacing w:before="5" w:line="362" w:lineRule="auto"/>
        <w:ind w:left="698" w:right="453"/>
      </w:pPr>
      <w:r>
        <w:rPr>
          <w:rFonts w:ascii="Times New Roman" w:hAnsi="Times New Roman" w:eastAsia="Times New Roman"/>
        </w:rPr>
        <w:t>η</w:t>
      </w:r>
      <w:r>
        <w:t xml:space="preserve">为污染控制技术对扬尘的去除效率，本次评价取输送点位连续洒水操作 </w:t>
      </w:r>
      <w:r>
        <w:rPr>
          <w:rFonts w:ascii="Times New Roman" w:hAnsi="Times New Roman" w:eastAsia="Times New Roman"/>
        </w:rPr>
        <w:t>74%</w:t>
      </w:r>
      <w:r>
        <w:t>。堆场风蚀扬尘排放系数的计算方法</w:t>
      </w:r>
    </w:p>
    <w:p>
      <w:pPr>
        <w:pStyle w:val="9"/>
        <w:spacing w:before="11"/>
        <w:rPr>
          <w:sz w:val="13"/>
        </w:rPr>
      </w:pPr>
      <w:r>
        <w:drawing>
          <wp:anchor distT="0" distB="0" distL="0" distR="0" simplePos="0" relativeHeight="1024" behindDoc="0" locked="0" layoutInCell="1" allowOverlap="1">
            <wp:simplePos x="0" y="0"/>
            <wp:positionH relativeFrom="page">
              <wp:posOffset>1381125</wp:posOffset>
            </wp:positionH>
            <wp:positionV relativeFrom="paragraph">
              <wp:posOffset>137795</wp:posOffset>
            </wp:positionV>
            <wp:extent cx="4678045" cy="1618615"/>
            <wp:effectExtent l="0" t="0" r="0" b="0"/>
            <wp:wrapTopAndBottom/>
            <wp:docPr id="3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5.jpeg"/>
                    <pic:cNvPicPr>
                      <a:picLocks noChangeAspect="1"/>
                    </pic:cNvPicPr>
                  </pic:nvPicPr>
                  <pic:blipFill>
                    <a:blip r:embed="rId48" cstate="print"/>
                    <a:stretch>
                      <a:fillRect/>
                    </a:stretch>
                  </pic:blipFill>
                  <pic:spPr>
                    <a:xfrm>
                      <a:off x="0" y="0"/>
                      <a:ext cx="4677830" cy="1618488"/>
                    </a:xfrm>
                    <a:prstGeom prst="rect">
                      <a:avLst/>
                    </a:prstGeom>
                  </pic:spPr>
                </pic:pic>
              </a:graphicData>
            </a:graphic>
          </wp:anchor>
        </w:drawing>
      </w:r>
    </w:p>
    <w:p>
      <w:pPr>
        <w:pStyle w:val="9"/>
        <w:spacing w:before="5"/>
        <w:rPr>
          <w:sz w:val="8"/>
        </w:rPr>
      </w:pPr>
    </w:p>
    <w:p>
      <w:pPr>
        <w:pStyle w:val="9"/>
        <w:spacing w:before="77"/>
        <w:ind w:left="698"/>
      </w:pPr>
      <w:r>
        <w:rPr>
          <w:rFonts w:ascii="Times New Roman" w:eastAsia="Times New Roman"/>
          <w:position w:val="2"/>
        </w:rPr>
        <w:t>E</w:t>
      </w:r>
      <w:r>
        <w:rPr>
          <w:rFonts w:ascii="Times New Roman" w:eastAsia="Times New Roman"/>
          <w:position w:val="2"/>
          <w:vertAlign w:val="subscript"/>
        </w:rPr>
        <w:t>w</w:t>
      </w:r>
      <w:r>
        <w:rPr>
          <w:rFonts w:ascii="Times New Roman" w:eastAsia="Times New Roman"/>
          <w:position w:val="2"/>
          <w:vertAlign w:val="baseline"/>
        </w:rPr>
        <w:t xml:space="preserve"> </w:t>
      </w:r>
      <w:r>
        <w:rPr>
          <w:position w:val="2"/>
          <w:vertAlign w:val="baseline"/>
        </w:rPr>
        <w:t>为堆场风蚀扬尘的排放系数，</w:t>
      </w:r>
      <w:r>
        <w:rPr>
          <w:rFonts w:ascii="Times New Roman" w:eastAsia="Times New Roman"/>
          <w:position w:val="2"/>
          <w:vertAlign w:val="baseline"/>
        </w:rPr>
        <w:t>kg/m</w:t>
      </w:r>
      <w:r>
        <w:rPr>
          <w:rFonts w:ascii="Times New Roman" w:eastAsia="Times New Roman"/>
          <w:position w:val="2"/>
          <w:vertAlign w:val="superscript"/>
        </w:rPr>
        <w:t>2</w:t>
      </w:r>
      <w:r>
        <w:rPr>
          <w:position w:val="2"/>
          <w:vertAlign w:val="baseline"/>
        </w:rPr>
        <w:t>。</w:t>
      </w:r>
    </w:p>
    <w:p>
      <w:pPr>
        <w:pStyle w:val="9"/>
        <w:spacing w:before="154"/>
        <w:ind w:left="698"/>
      </w:pPr>
      <w:r>
        <w:rPr>
          <w:rFonts w:ascii="Times New Roman" w:eastAsia="Times New Roman"/>
          <w:position w:val="2"/>
        </w:rPr>
        <w:t>k</w:t>
      </w:r>
      <w:r>
        <w:rPr>
          <w:rFonts w:ascii="Times New Roman" w:eastAsia="Times New Roman"/>
          <w:position w:val="2"/>
          <w:vertAlign w:val="subscript"/>
        </w:rPr>
        <w:t>i</w:t>
      </w:r>
      <w:r>
        <w:rPr>
          <w:rFonts w:ascii="Times New Roman" w:eastAsia="Times New Roman"/>
          <w:position w:val="2"/>
          <w:vertAlign w:val="baseline"/>
        </w:rPr>
        <w:t xml:space="preserve"> </w:t>
      </w:r>
      <w:r>
        <w:rPr>
          <w:position w:val="2"/>
          <w:vertAlign w:val="baseline"/>
        </w:rPr>
        <w:t xml:space="preserve">为物料的粒度乘数，本次评价取 </w:t>
      </w:r>
      <w:r>
        <w:rPr>
          <w:rFonts w:ascii="Times New Roman" w:eastAsia="Times New Roman"/>
          <w:position w:val="2"/>
          <w:vertAlign w:val="baseline"/>
        </w:rPr>
        <w:t>TSP1</w:t>
      </w:r>
      <w:r>
        <w:rPr>
          <w:position w:val="2"/>
          <w:vertAlign w:val="baseline"/>
        </w:rPr>
        <w:t>。</w:t>
      </w:r>
    </w:p>
    <w:p>
      <w:pPr>
        <w:pStyle w:val="9"/>
        <w:spacing w:before="159"/>
        <w:ind w:left="698"/>
      </w:pPr>
      <w:r>
        <w:rPr>
          <w:rFonts w:ascii="Times New Roman" w:eastAsia="Times New Roman"/>
        </w:rPr>
        <w:t xml:space="preserve">n </w:t>
      </w:r>
      <w:r>
        <w:t xml:space="preserve">为料堆每年受扰动的次数，本次评价取 </w:t>
      </w:r>
      <w:r>
        <w:rPr>
          <w:rFonts w:ascii="Times New Roman" w:eastAsia="Times New Roman"/>
        </w:rPr>
        <w:t xml:space="preserve">207692 </w:t>
      </w:r>
      <w:r>
        <w:t>次。</w:t>
      </w:r>
    </w:p>
    <w:p>
      <w:pPr>
        <w:pStyle w:val="9"/>
        <w:spacing w:before="155"/>
        <w:ind w:left="698"/>
      </w:pPr>
      <w:r>
        <w:rPr>
          <w:rFonts w:ascii="Times New Roman" w:eastAsia="Times New Roman"/>
          <w:position w:val="2"/>
        </w:rPr>
        <w:t>P</w:t>
      </w:r>
      <w:r>
        <w:rPr>
          <w:rFonts w:ascii="Times New Roman" w:eastAsia="Times New Roman"/>
          <w:position w:val="2"/>
          <w:vertAlign w:val="subscript"/>
        </w:rPr>
        <w:t>i</w:t>
      </w:r>
      <w:r>
        <w:rPr>
          <w:rFonts w:ascii="Times New Roman" w:eastAsia="Times New Roman"/>
          <w:position w:val="2"/>
          <w:vertAlign w:val="baseline"/>
        </w:rPr>
        <w:t xml:space="preserve"> </w:t>
      </w:r>
      <w:r>
        <w:rPr>
          <w:position w:val="2"/>
          <w:vertAlign w:val="baseline"/>
        </w:rPr>
        <w:t xml:space="preserve">为第 </w:t>
      </w:r>
      <w:r>
        <w:rPr>
          <w:rFonts w:ascii="Times New Roman" w:eastAsia="Times New Roman"/>
          <w:position w:val="2"/>
          <w:vertAlign w:val="baseline"/>
        </w:rPr>
        <w:t xml:space="preserve">i </w:t>
      </w:r>
      <w:r>
        <w:rPr>
          <w:position w:val="2"/>
          <w:vertAlign w:val="baseline"/>
        </w:rPr>
        <w:t>次扰动中观测的最大风速的风蚀潜势，</w:t>
      </w:r>
      <w:r>
        <w:rPr>
          <w:rFonts w:ascii="Times New Roman" w:eastAsia="Times New Roman"/>
          <w:position w:val="2"/>
          <w:vertAlign w:val="baseline"/>
        </w:rPr>
        <w:t>g/m</w:t>
      </w:r>
      <w:r>
        <w:rPr>
          <w:rFonts w:ascii="Times New Roman" w:eastAsia="Times New Roman"/>
          <w:position w:val="2"/>
          <w:vertAlign w:val="superscript"/>
        </w:rPr>
        <w:t>2</w:t>
      </w:r>
      <w:r>
        <w:rPr>
          <w:position w:val="2"/>
          <w:vertAlign w:val="baseline"/>
        </w:rPr>
        <w:t>。</w:t>
      </w:r>
    </w:p>
    <w:p>
      <w:pPr>
        <w:pStyle w:val="9"/>
        <w:spacing w:before="157" w:line="364" w:lineRule="auto"/>
        <w:ind w:left="698" w:right="1173"/>
      </w:pPr>
      <w:r>
        <w:rPr>
          <w:rFonts w:ascii="Times New Roman" w:hAnsi="Times New Roman" w:eastAsia="Times New Roman"/>
        </w:rPr>
        <w:t>η</w:t>
      </w:r>
      <w:r>
        <w:t xml:space="preserve">为污染控制技术对扬尘的去除效率，本次评价取矿料堆定期洒水 </w:t>
      </w:r>
      <w:r>
        <w:rPr>
          <w:rFonts w:ascii="Times New Roman" w:hAnsi="Times New Roman" w:eastAsia="Times New Roman"/>
        </w:rPr>
        <w:t>61%</w:t>
      </w:r>
      <w:r>
        <w:t>。</w:t>
      </w:r>
      <w:r>
        <w:rPr>
          <w:rFonts w:ascii="Times New Roman" w:hAnsi="Times New Roman" w:eastAsia="Times New Roman"/>
        </w:rPr>
        <w:t>u</w:t>
      </w:r>
      <w:r>
        <w:rPr>
          <w:rFonts w:ascii="Times New Roman" w:hAnsi="Times New Roman" w:eastAsia="Times New Roman"/>
          <w:position w:val="8"/>
          <w:sz w:val="15"/>
        </w:rPr>
        <w:t>*</w:t>
      </w:r>
      <w:r>
        <w:t>为摩擦风速，</w:t>
      </w:r>
      <w:r>
        <w:rPr>
          <w:rFonts w:ascii="Times New Roman" w:hAnsi="Times New Roman" w:eastAsia="Times New Roman"/>
        </w:rPr>
        <w:t>m/s</w:t>
      </w:r>
      <w:r>
        <w:t>。</w:t>
      </w:r>
    </w:p>
    <w:p>
      <w:pPr>
        <w:pStyle w:val="9"/>
        <w:spacing w:before="1"/>
        <w:ind w:left="698"/>
      </w:pPr>
      <w:r>
        <mc:AlternateContent>
          <mc:Choice Requires="wps">
            <w:drawing>
              <wp:anchor distT="0" distB="0" distL="114300" distR="114300" simplePos="0" relativeHeight="212746240" behindDoc="1" locked="0" layoutInCell="1" allowOverlap="1">
                <wp:simplePos x="0" y="0"/>
                <wp:positionH relativeFrom="page">
                  <wp:posOffset>1281430</wp:posOffset>
                </wp:positionH>
                <wp:positionV relativeFrom="paragraph">
                  <wp:posOffset>74930</wp:posOffset>
                </wp:positionV>
                <wp:extent cx="27940" cy="109855"/>
                <wp:effectExtent l="0" t="0" r="0" b="0"/>
                <wp:wrapNone/>
                <wp:docPr id="18" name="文本框 17"/>
                <wp:cNvGraphicFramePr/>
                <a:graphic xmlns:a="http://schemas.openxmlformats.org/drawingml/2006/main">
                  <a:graphicData uri="http://schemas.microsoft.com/office/word/2010/wordprocessingShape">
                    <wps:wsp>
                      <wps:cNvSpPr txBox="1"/>
                      <wps:spPr>
                        <a:xfrm>
                          <a:off x="0" y="0"/>
                          <a:ext cx="27940" cy="109855"/>
                        </a:xfrm>
                        <a:prstGeom prst="rect">
                          <a:avLst/>
                        </a:prstGeom>
                        <a:noFill/>
                        <a:ln>
                          <a:noFill/>
                        </a:ln>
                      </wps:spPr>
                      <wps:txbx>
                        <w:txbxContent>
                          <w:p>
                            <w:pPr>
                              <w:spacing w:before="0" w:line="171" w:lineRule="exact"/>
                              <w:ind w:left="0" w:right="0" w:firstLine="0"/>
                              <w:jc w:val="left"/>
                              <w:rPr>
                                <w:rFonts w:ascii="Times New Roman"/>
                                <w:sz w:val="15"/>
                              </w:rPr>
                            </w:pPr>
                            <w:r>
                              <w:rPr>
                                <w:rFonts w:ascii="Times New Roman"/>
                                <w:w w:val="104"/>
                                <w:sz w:val="15"/>
                              </w:rPr>
                              <w:t>t</w:t>
                            </w:r>
                          </w:p>
                        </w:txbxContent>
                      </wps:txbx>
                      <wps:bodyPr lIns="0" tIns="0" rIns="0" bIns="0" upright="1"/>
                    </wps:wsp>
                  </a:graphicData>
                </a:graphic>
              </wp:anchor>
            </w:drawing>
          </mc:Choice>
          <mc:Fallback>
            <w:pict>
              <v:shape id="文本框 17" o:spid="_x0000_s1026" o:spt="202" type="#_x0000_t202" style="position:absolute;left:0pt;margin-left:100.9pt;margin-top:5.9pt;height:8.65pt;width:2.2pt;mso-position-horizontal-relative:page;z-index:-290570240;mso-width-relative:page;mso-height-relative:page;" filled="f" stroked="f" coordsize="21600,21600" o:gfxdata="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yEBL3WAAAACQEAAA8AAAAAAAAAAQAg&#10;AAAAIgAAAGRycy9kb3ducmV2LnhtbFBLAQIUABQAAAAIAIdO4kBHAw67ngEAACQDAAAOAAAAAAAA&#10;AAEAIAAAACUBAABkcnMvZTJvRG9jLnhtbFBLBQYAAAAABgAGAFkBAAA1BQAAAAA=&#10;">
                <v:fill on="f" focussize="0,0"/>
                <v:stroke on="f"/>
                <v:imagedata o:title=""/>
                <o:lock v:ext="edit" aspectratio="f"/>
                <v:textbox inset="0mm,0mm,0mm,0mm">
                  <w:txbxContent>
                    <w:p>
                      <w:pPr>
                        <w:spacing w:before="0" w:line="171" w:lineRule="exact"/>
                        <w:ind w:left="0" w:right="0" w:firstLine="0"/>
                        <w:jc w:val="left"/>
                        <w:rPr>
                          <w:rFonts w:ascii="Times New Roman"/>
                          <w:sz w:val="15"/>
                        </w:rPr>
                      </w:pPr>
                      <w:r>
                        <w:rPr>
                          <w:rFonts w:ascii="Times New Roman"/>
                          <w:w w:val="104"/>
                          <w:sz w:val="15"/>
                        </w:rPr>
                        <w:t>t</w:t>
                      </w:r>
                    </w:p>
                  </w:txbxContent>
                </v:textbox>
              </v:shape>
            </w:pict>
          </mc:Fallback>
        </mc:AlternateContent>
      </w:r>
      <w:r>
        <w:rPr>
          <w:rFonts w:ascii="Times New Roman" w:eastAsia="Times New Roman"/>
        </w:rPr>
        <w:t xml:space="preserve">u </w:t>
      </w:r>
      <w:r>
        <w:rPr>
          <w:rFonts w:ascii="Times New Roman" w:eastAsia="Times New Roman"/>
          <w:position w:val="8"/>
          <w:sz w:val="15"/>
        </w:rPr>
        <w:t>*</w:t>
      </w:r>
      <w:r>
        <w:t xml:space="preserve">为阈值摩擦风速，即起尘的临界摩擦风速，本次评价取煤堆 </w:t>
      </w:r>
      <w:r>
        <w:rPr>
          <w:rFonts w:ascii="Times New Roman" w:eastAsia="Times New Roman"/>
        </w:rPr>
        <w:t>1.02m/s</w:t>
      </w:r>
      <w:r>
        <w:t>。</w:t>
      </w:r>
    </w:p>
    <w:p>
      <w:pPr>
        <w:pStyle w:val="9"/>
        <w:spacing w:before="3"/>
        <w:rPr>
          <w:sz w:val="9"/>
        </w:rPr>
      </w:pPr>
      <w:r>
        <w:drawing>
          <wp:anchor distT="0" distB="0" distL="0" distR="0" simplePos="0" relativeHeight="1024" behindDoc="0" locked="0" layoutInCell="1" allowOverlap="1">
            <wp:simplePos x="0" y="0"/>
            <wp:positionH relativeFrom="page">
              <wp:posOffset>1781175</wp:posOffset>
            </wp:positionH>
            <wp:positionV relativeFrom="paragraph">
              <wp:posOffset>99695</wp:posOffset>
            </wp:positionV>
            <wp:extent cx="4128770" cy="616585"/>
            <wp:effectExtent l="0" t="0" r="0" b="0"/>
            <wp:wrapTopAndBottom/>
            <wp:docPr id="3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6.jpeg"/>
                    <pic:cNvPicPr>
                      <a:picLocks noChangeAspect="1"/>
                    </pic:cNvPicPr>
                  </pic:nvPicPr>
                  <pic:blipFill>
                    <a:blip r:embed="rId49" cstate="print"/>
                    <a:stretch>
                      <a:fillRect/>
                    </a:stretch>
                  </pic:blipFill>
                  <pic:spPr>
                    <a:xfrm>
                      <a:off x="0" y="0"/>
                      <a:ext cx="4128928" cy="616648"/>
                    </a:xfrm>
                    <a:prstGeom prst="rect">
                      <a:avLst/>
                    </a:prstGeom>
                  </pic:spPr>
                </pic:pic>
              </a:graphicData>
            </a:graphic>
          </wp:anchor>
        </w:drawing>
      </w:r>
    </w:p>
    <w:p>
      <w:pPr>
        <w:pStyle w:val="9"/>
        <w:spacing w:before="1"/>
        <w:rPr>
          <w:sz w:val="30"/>
        </w:rPr>
      </w:pPr>
    </w:p>
    <w:p>
      <w:pPr>
        <w:pStyle w:val="9"/>
        <w:spacing w:line="362" w:lineRule="auto"/>
        <w:ind w:left="698" w:right="2872"/>
      </w:pPr>
      <w:r>
        <w:rPr>
          <w:rFonts w:ascii="Times New Roman" w:eastAsia="Times New Roman"/>
        </w:rPr>
        <w:t>u(z)</w:t>
      </w:r>
      <w:r>
        <w:t xml:space="preserve">为地面风速，本次评价取双鸭山市平均风速 </w:t>
      </w:r>
      <w:r>
        <w:rPr>
          <w:rFonts w:ascii="Times New Roman" w:eastAsia="Times New Roman"/>
        </w:rPr>
        <w:t>4.3m/s</w:t>
      </w:r>
      <w:r>
        <w:t>。</w:t>
      </w:r>
      <w:r>
        <w:rPr>
          <w:rFonts w:ascii="Times New Roman" w:eastAsia="Times New Roman"/>
        </w:rPr>
        <w:t xml:space="preserve">z </w:t>
      </w:r>
      <w:r>
        <w:t xml:space="preserve">为地面风速检测高度，本次评价取 </w:t>
      </w:r>
      <w:r>
        <w:rPr>
          <w:rFonts w:ascii="Times New Roman" w:eastAsia="Times New Roman"/>
        </w:rPr>
        <w:t>1.2m</w:t>
      </w:r>
      <w:r>
        <w:t>。</w:t>
      </w:r>
    </w:p>
    <w:p>
      <w:pPr>
        <w:pStyle w:val="9"/>
        <w:spacing w:before="2"/>
        <w:ind w:left="698"/>
      </w:pPr>
      <w:r>
        <w:rPr>
          <w:rFonts w:ascii="Times New Roman" w:eastAsia="Times New Roman"/>
          <w:position w:val="2"/>
        </w:rPr>
        <w:t>z</w:t>
      </w:r>
      <w:r>
        <w:rPr>
          <w:rFonts w:ascii="Times New Roman" w:eastAsia="Times New Roman"/>
          <w:position w:val="2"/>
          <w:vertAlign w:val="subscript"/>
        </w:rPr>
        <w:t>0</w:t>
      </w:r>
      <w:r>
        <w:rPr>
          <w:rFonts w:ascii="Times New Roman" w:eastAsia="Times New Roman"/>
          <w:position w:val="2"/>
          <w:vertAlign w:val="baseline"/>
        </w:rPr>
        <w:t xml:space="preserve"> </w:t>
      </w:r>
      <w:r>
        <w:rPr>
          <w:position w:val="2"/>
          <w:vertAlign w:val="baseline"/>
        </w:rPr>
        <w:t xml:space="preserve">为地面粗糙度，本次评价取郊区 </w:t>
      </w:r>
      <w:r>
        <w:rPr>
          <w:rFonts w:ascii="Times New Roman" w:eastAsia="Times New Roman"/>
          <w:position w:val="2"/>
          <w:vertAlign w:val="baseline"/>
        </w:rPr>
        <w:t>0.2m</w:t>
      </w:r>
      <w:r>
        <w:rPr>
          <w:position w:val="2"/>
          <w:vertAlign w:val="baseline"/>
        </w:rPr>
        <w:t>。</w:t>
      </w:r>
    </w:p>
    <w:p>
      <w:pPr>
        <w:spacing w:after="0"/>
        <w:sectPr>
          <w:pgSz w:w="11910" w:h="16840"/>
          <w:pgMar w:top="1580" w:right="1180" w:bottom="1180" w:left="1200" w:header="0" w:footer="993" w:gutter="0"/>
        </w:sectPr>
      </w:pPr>
    </w:p>
    <w:p>
      <w:pPr>
        <w:pStyle w:val="9"/>
        <w:spacing w:before="61"/>
        <w:ind w:left="698"/>
      </w:pPr>
      <w:r>
        <w:rPr>
          <w:rFonts w:ascii="Times New Roman" w:eastAsia="Times New Roman"/>
        </w:rPr>
        <w:t xml:space="preserve">0.4 </w:t>
      </w:r>
      <w:r>
        <w:t>为冯卡门常数，无量纲。</w:t>
      </w:r>
    </w:p>
    <w:p>
      <w:pPr>
        <w:pStyle w:val="9"/>
        <w:spacing w:before="158" w:line="364" w:lineRule="auto"/>
        <w:ind w:left="218" w:right="228" w:firstLine="480"/>
      </w:pPr>
      <w:r>
        <w:rPr>
          <w:spacing w:val="-7"/>
        </w:rPr>
        <w:t xml:space="preserve">经计算，本项目储煤场产生的扬尘为 </w:t>
      </w:r>
      <w:r>
        <w:rPr>
          <w:rFonts w:ascii="Times New Roman" w:eastAsia="Times New Roman"/>
          <w:spacing w:val="-3"/>
        </w:rPr>
        <w:t>0.13t/a</w:t>
      </w:r>
      <w:r>
        <w:rPr>
          <w:spacing w:val="-3"/>
        </w:rPr>
        <w:t>（</w:t>
      </w:r>
      <w:r>
        <w:rPr>
          <w:rFonts w:ascii="Times New Roman" w:eastAsia="Times New Roman"/>
          <w:spacing w:val="-3"/>
        </w:rPr>
        <w:t>0.015kg/h</w:t>
      </w:r>
      <w:r>
        <w:rPr>
          <w:spacing w:val="-3"/>
        </w:rPr>
        <w:t>），采取洒水控制措施及围</w:t>
      </w:r>
      <w:r>
        <w:t>挡遮围（</w:t>
      </w:r>
      <w:r>
        <w:rPr>
          <w:spacing w:val="-21"/>
        </w:rPr>
        <w:t xml:space="preserve">效率 </w:t>
      </w:r>
      <w:r>
        <w:rPr>
          <w:rFonts w:ascii="Times New Roman" w:eastAsia="Times New Roman"/>
        </w:rPr>
        <w:t>74%</w:t>
      </w:r>
      <w:r>
        <w:t>），</w:t>
      </w:r>
      <w:r>
        <w:rPr>
          <w:spacing w:val="-6"/>
        </w:rPr>
        <w:t xml:space="preserve">临时矸石堆扬尘排放量 </w:t>
      </w:r>
      <w:r>
        <w:rPr>
          <w:rFonts w:ascii="Times New Roman" w:eastAsia="Times New Roman"/>
        </w:rPr>
        <w:t>0.035t/a</w:t>
      </w:r>
      <w:r>
        <w:t>（</w:t>
      </w:r>
      <w:r>
        <w:rPr>
          <w:rFonts w:ascii="Times New Roman" w:eastAsia="Times New Roman"/>
        </w:rPr>
        <w:t>0.004kg/h</w:t>
      </w:r>
      <w:r>
        <w:t>）。</w:t>
      </w:r>
    </w:p>
    <w:p>
      <w:pPr>
        <w:pStyle w:val="9"/>
        <w:spacing w:before="1"/>
        <w:ind w:left="698"/>
      </w:pPr>
      <w:r>
        <w:t>环境空气污染源、污染防治措施及污染物排放情况详见下表。</w:t>
      </w:r>
    </w:p>
    <w:p>
      <w:pPr>
        <w:spacing w:after="0"/>
        <w:sectPr>
          <w:pgSz w:w="11910" w:h="16840"/>
          <w:pgMar w:top="1340" w:right="1180" w:bottom="1180" w:left="1200" w:header="0" w:footer="993" w:gutter="0"/>
        </w:sectPr>
      </w:pPr>
    </w:p>
    <w:p>
      <w:pPr>
        <w:pStyle w:val="9"/>
        <w:rPr>
          <w:sz w:val="20"/>
        </w:rPr>
      </w:pPr>
    </w:p>
    <w:p>
      <w:pPr>
        <w:pStyle w:val="9"/>
        <w:spacing w:before="4"/>
        <w:rPr>
          <w:sz w:val="26"/>
        </w:rPr>
      </w:pPr>
    </w:p>
    <w:p>
      <w:pPr>
        <w:spacing w:before="76"/>
        <w:ind w:left="4572" w:right="4138" w:firstLine="0"/>
        <w:jc w:val="center"/>
        <w:rPr>
          <w:b/>
          <w:sz w:val="21"/>
        </w:rPr>
      </w:pPr>
      <w:r>
        <w:rPr>
          <w:b/>
          <w:spacing w:val="-28"/>
          <w:sz w:val="21"/>
        </w:rPr>
        <w:t xml:space="preserve">表 </w:t>
      </w:r>
      <w:r>
        <w:rPr>
          <w:rFonts w:ascii="Times New Roman" w:eastAsia="Times New Roman"/>
          <w:b/>
          <w:sz w:val="21"/>
        </w:rPr>
        <w:t>2.4-6</w:t>
      </w:r>
      <w:r>
        <w:rPr>
          <w:rFonts w:ascii="Times New Roman" w:eastAsia="Times New Roman"/>
          <w:b/>
          <w:spacing w:val="52"/>
          <w:sz w:val="21"/>
        </w:rPr>
        <w:t xml:space="preserve"> </w:t>
      </w:r>
      <w:r>
        <w:rPr>
          <w:b/>
          <w:sz w:val="21"/>
        </w:rPr>
        <w:t>废气污染源源强核算结果及相关参数一览表</w:t>
      </w:r>
    </w:p>
    <w:p>
      <w:pPr>
        <w:pStyle w:val="9"/>
        <w:spacing w:before="10"/>
        <w:rPr>
          <w:b/>
          <w:sz w:val="10"/>
        </w:rPr>
      </w:pPr>
    </w:p>
    <w:tbl>
      <w:tblPr>
        <w:tblStyle w:val="15"/>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3"/>
        <w:gridCol w:w="1115"/>
        <w:gridCol w:w="740"/>
        <w:gridCol w:w="963"/>
        <w:gridCol w:w="962"/>
        <w:gridCol w:w="963"/>
        <w:gridCol w:w="964"/>
        <w:gridCol w:w="1271"/>
        <w:gridCol w:w="848"/>
        <w:gridCol w:w="833"/>
        <w:gridCol w:w="833"/>
        <w:gridCol w:w="832"/>
        <w:gridCol w:w="834"/>
        <w:gridCol w:w="815"/>
        <w:gridCol w:w="8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523" w:type="dxa"/>
            <w:vMerge w:val="restart"/>
            <w:tcBorders>
              <w:bottom w:val="single" w:color="000000" w:sz="4" w:space="0"/>
              <w:right w:val="single" w:color="000000" w:sz="4" w:space="0"/>
            </w:tcBorders>
          </w:tcPr>
          <w:p>
            <w:pPr>
              <w:pStyle w:val="19"/>
              <w:spacing w:line="292" w:lineRule="auto"/>
              <w:ind w:left="156" w:right="140"/>
              <w:jc w:val="both"/>
              <w:rPr>
                <w:sz w:val="21"/>
              </w:rPr>
            </w:pPr>
            <w:r>
              <w:rPr>
                <w:sz w:val="21"/>
              </w:rPr>
              <w:t>污染物类</w:t>
            </w:r>
          </w:p>
          <w:p>
            <w:pPr>
              <w:pStyle w:val="19"/>
              <w:spacing w:line="264" w:lineRule="exact"/>
              <w:ind w:left="156"/>
              <w:jc w:val="left"/>
              <w:rPr>
                <w:sz w:val="21"/>
              </w:rPr>
            </w:pPr>
            <w:r>
              <w:rPr>
                <w:w w:val="99"/>
                <w:sz w:val="21"/>
              </w:rPr>
              <w:t>别</w:t>
            </w:r>
          </w:p>
        </w:tc>
        <w:tc>
          <w:tcPr>
            <w:tcW w:w="1115" w:type="dxa"/>
            <w:vMerge w:val="restart"/>
            <w:tcBorders>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spacing w:before="140"/>
              <w:ind w:left="245"/>
              <w:jc w:val="left"/>
              <w:rPr>
                <w:sz w:val="21"/>
              </w:rPr>
            </w:pPr>
            <w:r>
              <w:rPr>
                <w:sz w:val="21"/>
              </w:rPr>
              <w:t>污染源</w:t>
            </w:r>
          </w:p>
        </w:tc>
        <w:tc>
          <w:tcPr>
            <w:tcW w:w="740" w:type="dxa"/>
            <w:vMerge w:val="restart"/>
            <w:tcBorders>
              <w:left w:val="single" w:color="000000" w:sz="4" w:space="0"/>
              <w:bottom w:val="single" w:color="000000" w:sz="4" w:space="0"/>
              <w:right w:val="single" w:color="000000" w:sz="4" w:space="0"/>
            </w:tcBorders>
          </w:tcPr>
          <w:p>
            <w:pPr>
              <w:pStyle w:val="19"/>
              <w:jc w:val="left"/>
              <w:rPr>
                <w:b/>
                <w:sz w:val="20"/>
              </w:rPr>
            </w:pPr>
          </w:p>
          <w:p>
            <w:pPr>
              <w:pStyle w:val="19"/>
              <w:spacing w:before="5"/>
              <w:jc w:val="left"/>
              <w:rPr>
                <w:b/>
                <w:sz w:val="18"/>
              </w:rPr>
            </w:pPr>
          </w:p>
          <w:p>
            <w:pPr>
              <w:pStyle w:val="19"/>
              <w:spacing w:line="288" w:lineRule="auto"/>
              <w:ind w:left="268" w:right="145" w:hanging="104"/>
              <w:jc w:val="left"/>
              <w:rPr>
                <w:sz w:val="21"/>
              </w:rPr>
            </w:pPr>
            <w:r>
              <w:rPr>
                <w:sz w:val="21"/>
              </w:rPr>
              <w:t>污染物</w:t>
            </w:r>
          </w:p>
        </w:tc>
        <w:tc>
          <w:tcPr>
            <w:tcW w:w="3852" w:type="dxa"/>
            <w:gridSpan w:val="4"/>
            <w:tcBorders>
              <w:left w:val="single" w:color="000000" w:sz="4" w:space="0"/>
              <w:bottom w:val="single" w:color="000000" w:sz="4" w:space="0"/>
              <w:right w:val="single" w:color="000000" w:sz="4" w:space="0"/>
            </w:tcBorders>
          </w:tcPr>
          <w:p>
            <w:pPr>
              <w:pStyle w:val="19"/>
              <w:ind w:left="1196"/>
              <w:jc w:val="left"/>
              <w:rPr>
                <w:sz w:val="21"/>
              </w:rPr>
            </w:pPr>
            <w:r>
              <w:rPr>
                <w:sz w:val="21"/>
              </w:rPr>
              <w:t>污染物产生情况</w:t>
            </w:r>
          </w:p>
        </w:tc>
        <w:tc>
          <w:tcPr>
            <w:tcW w:w="2119" w:type="dxa"/>
            <w:gridSpan w:val="2"/>
            <w:tcBorders>
              <w:left w:val="single" w:color="000000" w:sz="4" w:space="0"/>
              <w:bottom w:val="single" w:color="000000" w:sz="4" w:space="0"/>
              <w:right w:val="single" w:color="000000" w:sz="4" w:space="0"/>
            </w:tcBorders>
          </w:tcPr>
          <w:p>
            <w:pPr>
              <w:pStyle w:val="19"/>
              <w:ind w:left="644"/>
              <w:jc w:val="left"/>
              <w:rPr>
                <w:sz w:val="21"/>
              </w:rPr>
            </w:pPr>
            <w:r>
              <w:rPr>
                <w:sz w:val="21"/>
              </w:rPr>
              <w:t>治理措施</w:t>
            </w:r>
          </w:p>
        </w:tc>
        <w:tc>
          <w:tcPr>
            <w:tcW w:w="3332" w:type="dxa"/>
            <w:gridSpan w:val="4"/>
            <w:tcBorders>
              <w:left w:val="single" w:color="000000" w:sz="4" w:space="0"/>
              <w:bottom w:val="single" w:color="000000" w:sz="4" w:space="0"/>
              <w:right w:val="single" w:color="000000" w:sz="4" w:space="0"/>
            </w:tcBorders>
          </w:tcPr>
          <w:p>
            <w:pPr>
              <w:pStyle w:val="19"/>
              <w:ind w:left="935"/>
              <w:jc w:val="left"/>
              <w:rPr>
                <w:sz w:val="21"/>
              </w:rPr>
            </w:pPr>
            <w:r>
              <w:rPr>
                <w:sz w:val="21"/>
              </w:rPr>
              <w:t>污染物排放情况</w:t>
            </w:r>
          </w:p>
        </w:tc>
        <w:tc>
          <w:tcPr>
            <w:tcW w:w="815" w:type="dxa"/>
            <w:vMerge w:val="restart"/>
            <w:tcBorders>
              <w:left w:val="single" w:color="000000" w:sz="4" w:space="0"/>
              <w:bottom w:val="single" w:color="000000" w:sz="4" w:space="0"/>
              <w:right w:val="single" w:color="000000" w:sz="4" w:space="0"/>
            </w:tcBorders>
          </w:tcPr>
          <w:p>
            <w:pPr>
              <w:pStyle w:val="19"/>
              <w:jc w:val="left"/>
              <w:rPr>
                <w:b/>
                <w:sz w:val="20"/>
              </w:rPr>
            </w:pPr>
          </w:p>
          <w:p>
            <w:pPr>
              <w:pStyle w:val="19"/>
              <w:spacing w:before="9"/>
              <w:jc w:val="left"/>
              <w:rPr>
                <w:b/>
                <w:sz w:val="19"/>
              </w:rPr>
            </w:pPr>
          </w:p>
          <w:p>
            <w:pPr>
              <w:pStyle w:val="19"/>
              <w:ind w:left="202"/>
              <w:jc w:val="left"/>
              <w:rPr>
                <w:sz w:val="21"/>
              </w:rPr>
            </w:pPr>
            <w:r>
              <w:rPr>
                <w:sz w:val="21"/>
              </w:rPr>
              <w:t>标准</w:t>
            </w:r>
          </w:p>
          <w:p>
            <w:pPr>
              <w:pStyle w:val="19"/>
              <w:spacing w:before="57"/>
              <w:ind w:left="132"/>
              <w:jc w:val="left"/>
              <w:rPr>
                <w:rFonts w:ascii="Times New Roman"/>
                <w:sz w:val="13"/>
              </w:rPr>
            </w:pPr>
            <w:r>
              <w:rPr>
                <w:rFonts w:ascii="Times New Roman"/>
                <w:sz w:val="21"/>
              </w:rPr>
              <w:t>mg/m</w:t>
            </w:r>
            <w:r>
              <w:rPr>
                <w:rFonts w:ascii="Times New Roman"/>
                <w:position w:val="7"/>
                <w:sz w:val="13"/>
              </w:rPr>
              <w:t>3</w:t>
            </w:r>
          </w:p>
        </w:tc>
        <w:tc>
          <w:tcPr>
            <w:tcW w:w="815" w:type="dxa"/>
            <w:vMerge w:val="restart"/>
            <w:tcBorders>
              <w:left w:val="single" w:color="000000" w:sz="4" w:space="0"/>
              <w:bottom w:val="single" w:color="000000" w:sz="4" w:space="0"/>
            </w:tcBorders>
          </w:tcPr>
          <w:p>
            <w:pPr>
              <w:pStyle w:val="19"/>
              <w:jc w:val="left"/>
              <w:rPr>
                <w:b/>
                <w:sz w:val="22"/>
              </w:rPr>
            </w:pPr>
          </w:p>
          <w:p>
            <w:pPr>
              <w:pStyle w:val="19"/>
              <w:spacing w:before="5"/>
              <w:jc w:val="left"/>
              <w:rPr>
                <w:b/>
                <w:sz w:val="16"/>
              </w:rPr>
            </w:pPr>
          </w:p>
          <w:p>
            <w:pPr>
              <w:pStyle w:val="19"/>
              <w:spacing w:line="290" w:lineRule="auto"/>
              <w:ind w:left="123" w:right="33" w:firstLine="76"/>
              <w:jc w:val="left"/>
              <w:rPr>
                <w:rFonts w:ascii="Times New Roman" w:eastAsia="Times New Roman"/>
                <w:sz w:val="21"/>
              </w:rPr>
            </w:pPr>
            <w:r>
              <w:rPr>
                <w:sz w:val="21"/>
              </w:rPr>
              <w:t xml:space="preserve">排放时间 </w:t>
            </w:r>
            <w:r>
              <w:rPr>
                <w:rFonts w:ascii="Times New Roman" w:eastAsia="Times New Roman"/>
                <w:sz w:val="21"/>
              </w:rPr>
              <w:t>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7" w:hRule="atLeast"/>
        </w:trPr>
        <w:tc>
          <w:tcPr>
            <w:tcW w:w="523" w:type="dxa"/>
            <w:vMerge w:val="continue"/>
            <w:tcBorders>
              <w:top w:val="nil"/>
              <w:bottom w:val="single" w:color="000000" w:sz="4" w:space="0"/>
              <w:right w:val="single" w:color="000000" w:sz="4" w:space="0"/>
            </w:tcBorders>
          </w:tcPr>
          <w:p>
            <w:pPr>
              <w:rPr>
                <w:sz w:val="2"/>
                <w:szCs w:val="2"/>
              </w:rPr>
            </w:pPr>
          </w:p>
        </w:tc>
        <w:tc>
          <w:tcPr>
            <w:tcW w:w="1115" w:type="dxa"/>
            <w:vMerge w:val="continue"/>
            <w:tcBorders>
              <w:top w:val="nil"/>
              <w:left w:val="single" w:color="000000" w:sz="4" w:space="0"/>
              <w:bottom w:val="single" w:color="000000" w:sz="4" w:space="0"/>
              <w:right w:val="single" w:color="000000" w:sz="4" w:space="0"/>
            </w:tcBorders>
          </w:tcPr>
          <w:p>
            <w:pPr>
              <w:rPr>
                <w:sz w:val="2"/>
                <w:szCs w:val="2"/>
              </w:rPr>
            </w:pPr>
          </w:p>
        </w:tc>
        <w:tc>
          <w:tcPr>
            <w:tcW w:w="740"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tcBorders>
              <w:top w:val="single" w:color="000000" w:sz="4" w:space="0"/>
              <w:left w:val="single" w:color="000000" w:sz="4" w:space="0"/>
              <w:bottom w:val="single" w:color="000000" w:sz="4" w:space="0"/>
              <w:right w:val="single" w:color="000000" w:sz="4" w:space="0"/>
            </w:tcBorders>
          </w:tcPr>
          <w:p>
            <w:pPr>
              <w:pStyle w:val="19"/>
              <w:spacing w:before="2"/>
              <w:jc w:val="left"/>
              <w:rPr>
                <w:b/>
                <w:sz w:val="25"/>
              </w:rPr>
            </w:pPr>
          </w:p>
          <w:p>
            <w:pPr>
              <w:pStyle w:val="19"/>
              <w:spacing w:before="1" w:line="288" w:lineRule="auto"/>
              <w:ind w:left="274" w:right="258"/>
              <w:jc w:val="left"/>
              <w:rPr>
                <w:sz w:val="21"/>
              </w:rPr>
            </w:pPr>
            <w:r>
              <w:rPr>
                <w:sz w:val="21"/>
              </w:rPr>
              <w:t>核算方法</w:t>
            </w:r>
          </w:p>
        </w:tc>
        <w:tc>
          <w:tcPr>
            <w:tcW w:w="962" w:type="dxa"/>
            <w:tcBorders>
              <w:top w:val="single" w:color="000000" w:sz="4" w:space="0"/>
              <w:left w:val="single" w:color="000000" w:sz="4" w:space="0"/>
              <w:bottom w:val="single" w:color="000000" w:sz="4" w:space="0"/>
              <w:right w:val="single" w:color="000000" w:sz="4" w:space="0"/>
            </w:tcBorders>
          </w:tcPr>
          <w:p>
            <w:pPr>
              <w:pStyle w:val="19"/>
              <w:spacing w:before="6"/>
              <w:jc w:val="left"/>
              <w:rPr>
                <w:b/>
                <w:sz w:val="26"/>
              </w:rPr>
            </w:pPr>
          </w:p>
          <w:p>
            <w:pPr>
              <w:pStyle w:val="19"/>
              <w:spacing w:before="1"/>
              <w:ind w:left="150" w:right="131"/>
              <w:rPr>
                <w:sz w:val="21"/>
              </w:rPr>
            </w:pPr>
            <w:r>
              <w:rPr>
                <w:sz w:val="21"/>
              </w:rPr>
              <w:t>废气量</w:t>
            </w:r>
          </w:p>
          <w:p>
            <w:pPr>
              <w:pStyle w:val="19"/>
              <w:spacing w:before="56"/>
              <w:ind w:left="148" w:right="131"/>
              <w:rPr>
                <w:rFonts w:ascii="Times New Roman"/>
                <w:sz w:val="21"/>
              </w:rPr>
            </w:pPr>
            <w:r>
              <w:rPr>
                <w:rFonts w:ascii="Times New Roman"/>
                <w:sz w:val="21"/>
              </w:rPr>
              <w:t>m</w:t>
            </w:r>
            <w:r>
              <w:rPr>
                <w:rFonts w:ascii="Times New Roman"/>
                <w:position w:val="7"/>
                <w:sz w:val="13"/>
              </w:rPr>
              <w:t>3</w:t>
            </w:r>
            <w:r>
              <w:rPr>
                <w:rFonts w:ascii="Times New Roman"/>
                <w:sz w:val="21"/>
              </w:rPr>
              <w:t>/h</w:t>
            </w:r>
          </w:p>
        </w:tc>
        <w:tc>
          <w:tcPr>
            <w:tcW w:w="963" w:type="dxa"/>
            <w:tcBorders>
              <w:top w:val="single" w:color="000000" w:sz="4" w:space="0"/>
              <w:left w:val="single" w:color="000000" w:sz="4" w:space="0"/>
              <w:bottom w:val="single" w:color="000000" w:sz="4" w:space="0"/>
              <w:right w:val="single" w:color="000000" w:sz="4" w:space="0"/>
            </w:tcBorders>
          </w:tcPr>
          <w:p>
            <w:pPr>
              <w:pStyle w:val="19"/>
              <w:spacing w:before="176" w:line="290" w:lineRule="auto"/>
              <w:ind w:left="171" w:right="150"/>
              <w:rPr>
                <w:rFonts w:ascii="Times New Roman" w:eastAsia="Times New Roman"/>
                <w:sz w:val="13"/>
              </w:rPr>
            </w:pPr>
            <w:r>
              <w:rPr>
                <w:sz w:val="21"/>
              </w:rPr>
              <w:t xml:space="preserve">产生浓度 </w:t>
            </w:r>
            <w:r>
              <w:rPr>
                <w:rFonts w:ascii="Times New Roman" w:eastAsia="Times New Roman"/>
                <w:sz w:val="21"/>
              </w:rPr>
              <w:t>mg/m</w:t>
            </w:r>
            <w:r>
              <w:rPr>
                <w:rFonts w:ascii="Times New Roman" w:eastAsia="Times New Roman"/>
                <w:position w:val="7"/>
                <w:sz w:val="13"/>
              </w:rPr>
              <w:t>3</w:t>
            </w:r>
          </w:p>
        </w:tc>
        <w:tc>
          <w:tcPr>
            <w:tcW w:w="964" w:type="dxa"/>
            <w:tcBorders>
              <w:top w:val="single" w:color="000000" w:sz="4" w:space="0"/>
              <w:left w:val="single" w:color="000000" w:sz="4" w:space="0"/>
              <w:bottom w:val="single" w:color="000000" w:sz="4" w:space="0"/>
              <w:right w:val="single" w:color="000000" w:sz="4" w:space="0"/>
            </w:tcBorders>
          </w:tcPr>
          <w:p>
            <w:pPr>
              <w:pStyle w:val="19"/>
              <w:spacing w:before="6"/>
              <w:jc w:val="left"/>
              <w:rPr>
                <w:b/>
                <w:sz w:val="26"/>
              </w:rPr>
            </w:pPr>
          </w:p>
          <w:p>
            <w:pPr>
              <w:pStyle w:val="19"/>
              <w:spacing w:before="1"/>
              <w:ind w:left="150" w:right="134"/>
              <w:rPr>
                <w:sz w:val="21"/>
              </w:rPr>
            </w:pPr>
            <w:r>
              <w:rPr>
                <w:sz w:val="21"/>
              </w:rPr>
              <w:t>产生量</w:t>
            </w:r>
          </w:p>
          <w:p>
            <w:pPr>
              <w:pStyle w:val="19"/>
              <w:spacing w:before="56"/>
              <w:ind w:left="150" w:right="133"/>
              <w:rPr>
                <w:rFonts w:ascii="Times New Roman"/>
                <w:sz w:val="21"/>
              </w:rPr>
            </w:pPr>
            <w:r>
              <w:rPr>
                <w:rFonts w:ascii="Times New Roman"/>
                <w:sz w:val="21"/>
              </w:rPr>
              <w:t>t/a</w:t>
            </w:r>
          </w:p>
        </w:tc>
        <w:tc>
          <w:tcPr>
            <w:tcW w:w="1271"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12"/>
              <w:jc w:val="left"/>
              <w:rPr>
                <w:b/>
                <w:sz w:val="17"/>
              </w:rPr>
            </w:pPr>
          </w:p>
          <w:p>
            <w:pPr>
              <w:pStyle w:val="19"/>
              <w:ind w:left="91" w:right="78"/>
              <w:rPr>
                <w:sz w:val="21"/>
              </w:rPr>
            </w:pPr>
            <w:r>
              <w:rPr>
                <w:sz w:val="21"/>
              </w:rPr>
              <w:t>工艺</w:t>
            </w:r>
          </w:p>
        </w:tc>
        <w:tc>
          <w:tcPr>
            <w:tcW w:w="848" w:type="dxa"/>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spacing w:before="12"/>
              <w:jc w:val="left"/>
              <w:rPr>
                <w:b/>
                <w:sz w:val="15"/>
              </w:rPr>
            </w:pPr>
          </w:p>
          <w:p>
            <w:pPr>
              <w:pStyle w:val="19"/>
              <w:ind w:left="111" w:right="92"/>
              <w:rPr>
                <w:rFonts w:ascii="Times New Roman" w:eastAsia="Times New Roman"/>
                <w:sz w:val="21"/>
              </w:rPr>
            </w:pPr>
            <w:r>
              <w:rPr>
                <w:sz w:val="21"/>
              </w:rPr>
              <w:t>效率</w:t>
            </w:r>
            <w:r>
              <w:rPr>
                <w:rFonts w:ascii="Times New Roman" w:eastAsia="Times New Roman"/>
                <w:sz w:val="21"/>
              </w:rPr>
              <w:t>%</w:t>
            </w:r>
          </w:p>
        </w:tc>
        <w:tc>
          <w:tcPr>
            <w:tcW w:w="833" w:type="dxa"/>
            <w:tcBorders>
              <w:top w:val="single" w:color="000000" w:sz="4" w:space="0"/>
              <w:left w:val="single" w:color="000000" w:sz="4" w:space="0"/>
              <w:bottom w:val="single" w:color="000000" w:sz="4" w:space="0"/>
              <w:right w:val="single" w:color="000000" w:sz="4" w:space="0"/>
            </w:tcBorders>
          </w:tcPr>
          <w:p>
            <w:pPr>
              <w:pStyle w:val="19"/>
              <w:spacing w:before="176" w:line="290" w:lineRule="auto"/>
              <w:ind w:left="155" w:right="133" w:hanging="5"/>
              <w:rPr>
                <w:rFonts w:ascii="Times New Roman" w:eastAsia="Times New Roman"/>
                <w:sz w:val="21"/>
              </w:rPr>
            </w:pPr>
            <w:r>
              <w:rPr>
                <w:sz w:val="21"/>
              </w:rPr>
              <w:t>废气量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/h)</w:t>
            </w:r>
          </w:p>
        </w:tc>
        <w:tc>
          <w:tcPr>
            <w:tcW w:w="833" w:type="dxa"/>
            <w:tcBorders>
              <w:top w:val="single" w:color="000000" w:sz="4" w:space="0"/>
              <w:left w:val="single" w:color="000000" w:sz="4" w:space="0"/>
              <w:bottom w:val="single" w:color="000000" w:sz="4" w:space="0"/>
              <w:right w:val="single" w:color="000000" w:sz="4" w:space="0"/>
            </w:tcBorders>
          </w:tcPr>
          <w:p>
            <w:pPr>
              <w:pStyle w:val="19"/>
              <w:spacing w:before="176" w:line="290" w:lineRule="auto"/>
              <w:ind w:left="142" w:right="120" w:firstLine="67"/>
              <w:jc w:val="both"/>
              <w:rPr>
                <w:rFonts w:ascii="Times New Roman" w:eastAsia="Times New Roman"/>
                <w:sz w:val="13"/>
              </w:rPr>
            </w:pPr>
            <w:r>
              <w:rPr>
                <w:sz w:val="21"/>
              </w:rPr>
              <w:t>排放浓度</w:t>
            </w:r>
            <w:r>
              <w:rPr>
                <w:rFonts w:ascii="Times New Roman" w:eastAsia="Times New Roman"/>
                <w:sz w:val="21"/>
              </w:rPr>
              <w:t>mg/m</w:t>
            </w:r>
            <w:r>
              <w:rPr>
                <w:rFonts w:ascii="Times New Roman" w:eastAsia="Times New Roman"/>
                <w:position w:val="7"/>
                <w:sz w:val="13"/>
              </w:rPr>
              <w:t>3</w:t>
            </w:r>
          </w:p>
        </w:tc>
        <w:tc>
          <w:tcPr>
            <w:tcW w:w="832" w:type="dxa"/>
            <w:tcBorders>
              <w:top w:val="single" w:color="000000" w:sz="4" w:space="0"/>
              <w:left w:val="single" w:color="000000" w:sz="4" w:space="0"/>
              <w:bottom w:val="single" w:color="000000" w:sz="4" w:space="0"/>
              <w:right w:val="single" w:color="000000" w:sz="4" w:space="0"/>
            </w:tcBorders>
          </w:tcPr>
          <w:p>
            <w:pPr>
              <w:pStyle w:val="19"/>
              <w:spacing w:before="176" w:line="290" w:lineRule="auto"/>
              <w:ind w:left="209" w:right="190"/>
              <w:jc w:val="both"/>
              <w:rPr>
                <w:rFonts w:ascii="Times New Roman" w:eastAsia="Times New Roman"/>
                <w:sz w:val="21"/>
              </w:rPr>
            </w:pPr>
            <w:r>
              <w:rPr>
                <w:sz w:val="21"/>
              </w:rPr>
              <w:t>排放速率</w:t>
            </w:r>
            <w:r>
              <w:rPr>
                <w:rFonts w:ascii="Times New Roman" w:eastAsia="Times New Roman"/>
                <w:sz w:val="21"/>
              </w:rPr>
              <w:t>kg/h</w:t>
            </w:r>
          </w:p>
        </w:tc>
        <w:tc>
          <w:tcPr>
            <w:tcW w:w="834" w:type="dxa"/>
            <w:tcBorders>
              <w:top w:val="single" w:color="000000" w:sz="4" w:space="0"/>
              <w:left w:val="single" w:color="000000" w:sz="4" w:space="0"/>
              <w:bottom w:val="single" w:color="000000" w:sz="4" w:space="0"/>
              <w:right w:val="single" w:color="000000" w:sz="4" w:space="0"/>
            </w:tcBorders>
          </w:tcPr>
          <w:p>
            <w:pPr>
              <w:pStyle w:val="19"/>
              <w:spacing w:before="2"/>
              <w:jc w:val="left"/>
              <w:rPr>
                <w:b/>
                <w:sz w:val="25"/>
              </w:rPr>
            </w:pPr>
          </w:p>
          <w:p>
            <w:pPr>
              <w:pStyle w:val="19"/>
              <w:spacing w:before="1" w:line="290" w:lineRule="auto"/>
              <w:ind w:left="186" w:right="99" w:firstLine="24"/>
              <w:jc w:val="left"/>
              <w:rPr>
                <w:rFonts w:ascii="Times New Roman" w:eastAsia="Times New Roman"/>
                <w:sz w:val="21"/>
              </w:rPr>
            </w:pPr>
            <w:r>
              <w:rPr>
                <w:sz w:val="21"/>
              </w:rPr>
              <w:t xml:space="preserve">排放量 </w:t>
            </w:r>
            <w:r>
              <w:rPr>
                <w:rFonts w:ascii="Times New Roman" w:eastAsia="Times New Roman"/>
                <w:sz w:val="21"/>
              </w:rPr>
              <w:t>t/a</w:t>
            </w:r>
          </w:p>
        </w:tc>
        <w:tc>
          <w:tcPr>
            <w:tcW w:w="815" w:type="dxa"/>
            <w:vMerge w:val="continue"/>
            <w:tcBorders>
              <w:top w:val="nil"/>
              <w:left w:val="single" w:color="000000" w:sz="4" w:space="0"/>
              <w:bottom w:val="single" w:color="000000" w:sz="4" w:space="0"/>
              <w:right w:val="single" w:color="000000" w:sz="4" w:space="0"/>
            </w:tcBorders>
          </w:tcPr>
          <w:p>
            <w:pPr>
              <w:rPr>
                <w:sz w:val="2"/>
                <w:szCs w:val="2"/>
              </w:rPr>
            </w:pPr>
          </w:p>
        </w:tc>
        <w:tc>
          <w:tcPr>
            <w:tcW w:w="81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trPr>
        <w:tc>
          <w:tcPr>
            <w:tcW w:w="523" w:type="dxa"/>
            <w:vMerge w:val="restart"/>
            <w:tcBorders>
              <w:top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3"/>
              <w:jc w:val="left"/>
              <w:rPr>
                <w:b/>
                <w:sz w:val="27"/>
              </w:rPr>
            </w:pPr>
          </w:p>
          <w:p>
            <w:pPr>
              <w:pStyle w:val="19"/>
              <w:spacing w:line="290" w:lineRule="auto"/>
              <w:ind w:left="156" w:right="140"/>
              <w:jc w:val="left"/>
              <w:rPr>
                <w:sz w:val="21"/>
              </w:rPr>
            </w:pPr>
            <w:r>
              <w:rPr>
                <w:sz w:val="21"/>
              </w:rPr>
              <w:t>废气</w:t>
            </w:r>
          </w:p>
        </w:tc>
        <w:tc>
          <w:tcPr>
            <w:tcW w:w="1115" w:type="dxa"/>
            <w:vMerge w:val="restart"/>
            <w:tcBorders>
              <w:top w:val="single" w:color="000000" w:sz="4" w:space="0"/>
              <w:left w:val="single" w:color="000000" w:sz="4" w:space="0"/>
              <w:bottom w:val="single" w:color="000000" w:sz="4" w:space="0"/>
              <w:right w:val="single" w:color="000000" w:sz="4" w:space="0"/>
            </w:tcBorders>
          </w:tcPr>
          <w:p>
            <w:pPr>
              <w:pStyle w:val="19"/>
              <w:spacing w:before="136" w:line="290" w:lineRule="auto"/>
              <w:ind w:left="142" w:right="122"/>
              <w:jc w:val="left"/>
              <w:rPr>
                <w:sz w:val="21"/>
              </w:rPr>
            </w:pPr>
            <w:r>
              <w:rPr>
                <w:sz w:val="21"/>
              </w:rPr>
              <w:t>主井暖风炉房烟囱</w:t>
            </w:r>
          </w:p>
        </w:tc>
        <w:tc>
          <w:tcPr>
            <w:tcW w:w="740" w:type="dxa"/>
            <w:tcBorders>
              <w:top w:val="single" w:color="000000" w:sz="4" w:space="0"/>
              <w:left w:val="single" w:color="000000" w:sz="4" w:space="0"/>
              <w:bottom w:val="single" w:color="000000" w:sz="4" w:space="0"/>
              <w:right w:val="single" w:color="000000" w:sz="4" w:space="0"/>
            </w:tcBorders>
          </w:tcPr>
          <w:p>
            <w:pPr>
              <w:pStyle w:val="19"/>
              <w:spacing w:line="268" w:lineRule="exact"/>
              <w:ind w:left="165"/>
              <w:jc w:val="left"/>
              <w:rPr>
                <w:sz w:val="21"/>
              </w:rPr>
            </w:pPr>
            <w:r>
              <w:rPr>
                <w:sz w:val="21"/>
              </w:rPr>
              <w:t>烟尘</w:t>
            </w:r>
          </w:p>
        </w:tc>
        <w:tc>
          <w:tcPr>
            <w:tcW w:w="963" w:type="dxa"/>
            <w:vMerge w:val="restart"/>
            <w:tcBorders>
              <w:top w:val="single" w:color="000000" w:sz="4" w:space="0"/>
              <w:left w:val="single" w:color="000000" w:sz="4" w:space="0"/>
              <w:bottom w:val="single" w:color="000000" w:sz="4" w:space="0"/>
              <w:right w:val="single" w:color="000000" w:sz="4" w:space="0"/>
            </w:tcBorders>
          </w:tcPr>
          <w:p>
            <w:pPr>
              <w:pStyle w:val="19"/>
              <w:spacing w:before="136" w:line="290" w:lineRule="auto"/>
              <w:ind w:left="171" w:right="150" w:firstLine="103"/>
              <w:jc w:val="left"/>
              <w:rPr>
                <w:sz w:val="21"/>
              </w:rPr>
            </w:pPr>
            <w:r>
              <w:rPr>
                <w:sz w:val="21"/>
              </w:rPr>
              <w:t>物料衡算法</w:t>
            </w:r>
          </w:p>
        </w:tc>
        <w:tc>
          <w:tcPr>
            <w:tcW w:w="962" w:type="dxa"/>
            <w:vMerge w:val="restart"/>
            <w:tcBorders>
              <w:top w:val="single" w:color="000000" w:sz="4" w:space="0"/>
              <w:left w:val="single" w:color="000000" w:sz="4" w:space="0"/>
              <w:bottom w:val="single" w:color="000000" w:sz="4" w:space="0"/>
              <w:right w:val="single" w:color="000000" w:sz="4" w:space="0"/>
            </w:tcBorders>
          </w:tcPr>
          <w:p>
            <w:pPr>
              <w:pStyle w:val="19"/>
              <w:spacing w:before="10"/>
              <w:jc w:val="left"/>
              <w:rPr>
                <w:b/>
                <w:sz w:val="24"/>
              </w:rPr>
            </w:pPr>
          </w:p>
          <w:p>
            <w:pPr>
              <w:pStyle w:val="19"/>
              <w:ind w:left="326"/>
              <w:jc w:val="left"/>
              <w:rPr>
                <w:rFonts w:ascii="Times New Roman"/>
                <w:sz w:val="21"/>
              </w:rPr>
            </w:pPr>
            <w:r>
              <w:rPr>
                <w:rFonts w:ascii="Times New Roman"/>
                <w:sz w:val="21"/>
              </w:rPr>
              <w:t>821</w:t>
            </w:r>
          </w:p>
        </w:tc>
        <w:tc>
          <w:tcPr>
            <w:tcW w:w="963" w:type="dxa"/>
            <w:tcBorders>
              <w:top w:val="single" w:color="000000" w:sz="4" w:space="0"/>
              <w:left w:val="single" w:color="000000" w:sz="4" w:space="0"/>
              <w:bottom w:val="single" w:color="000000" w:sz="4" w:space="0"/>
              <w:right w:val="single" w:color="000000" w:sz="4" w:space="0"/>
            </w:tcBorders>
          </w:tcPr>
          <w:p>
            <w:pPr>
              <w:pStyle w:val="19"/>
              <w:spacing w:before="18"/>
              <w:ind w:left="167" w:right="150"/>
              <w:rPr>
                <w:rFonts w:ascii="Times New Roman"/>
                <w:sz w:val="21"/>
              </w:rPr>
            </w:pPr>
            <w:r>
              <w:rPr>
                <w:rFonts w:ascii="Times New Roman"/>
                <w:sz w:val="21"/>
              </w:rPr>
              <w:t>8446</w:t>
            </w:r>
          </w:p>
        </w:tc>
        <w:tc>
          <w:tcPr>
            <w:tcW w:w="964" w:type="dxa"/>
            <w:tcBorders>
              <w:top w:val="single" w:color="000000" w:sz="4" w:space="0"/>
              <w:left w:val="single" w:color="000000" w:sz="4" w:space="0"/>
              <w:bottom w:val="single" w:color="000000" w:sz="4" w:space="0"/>
              <w:right w:val="single" w:color="000000" w:sz="4" w:space="0"/>
            </w:tcBorders>
          </w:tcPr>
          <w:p>
            <w:pPr>
              <w:pStyle w:val="19"/>
              <w:spacing w:before="18"/>
              <w:ind w:left="150" w:right="130"/>
              <w:rPr>
                <w:rFonts w:ascii="Times New Roman"/>
                <w:sz w:val="21"/>
              </w:rPr>
            </w:pPr>
            <w:r>
              <w:rPr>
                <w:rFonts w:ascii="Times New Roman"/>
                <w:sz w:val="21"/>
              </w:rPr>
              <w:t>34</w:t>
            </w:r>
          </w:p>
        </w:tc>
        <w:tc>
          <w:tcPr>
            <w:tcW w:w="1271" w:type="dxa"/>
            <w:tcBorders>
              <w:top w:val="single" w:color="000000" w:sz="4" w:space="0"/>
              <w:left w:val="single" w:color="000000" w:sz="4" w:space="0"/>
              <w:bottom w:val="single" w:color="000000" w:sz="4" w:space="0"/>
              <w:right w:val="single" w:color="000000" w:sz="4" w:space="0"/>
            </w:tcBorders>
          </w:tcPr>
          <w:p>
            <w:pPr>
              <w:pStyle w:val="19"/>
              <w:spacing w:line="268" w:lineRule="exact"/>
              <w:ind w:left="93" w:right="78"/>
              <w:rPr>
                <w:sz w:val="21"/>
              </w:rPr>
            </w:pPr>
            <w:r>
              <w:rPr>
                <w:sz w:val="21"/>
              </w:rPr>
              <w:t>布袋除尘器</w:t>
            </w:r>
          </w:p>
        </w:tc>
        <w:tc>
          <w:tcPr>
            <w:tcW w:w="848" w:type="dxa"/>
            <w:tcBorders>
              <w:top w:val="single" w:color="000000" w:sz="4" w:space="0"/>
              <w:left w:val="single" w:color="000000" w:sz="4" w:space="0"/>
              <w:bottom w:val="single" w:color="000000" w:sz="4" w:space="0"/>
              <w:right w:val="single" w:color="000000" w:sz="4" w:space="0"/>
            </w:tcBorders>
          </w:tcPr>
          <w:p>
            <w:pPr>
              <w:pStyle w:val="19"/>
              <w:spacing w:before="18"/>
              <w:ind w:left="111" w:right="92"/>
              <w:rPr>
                <w:rFonts w:ascii="Times New Roman"/>
                <w:sz w:val="21"/>
              </w:rPr>
            </w:pPr>
            <w:r>
              <w:rPr>
                <w:rFonts w:ascii="Times New Roman"/>
                <w:sz w:val="21"/>
              </w:rPr>
              <w:t>99.9</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19"/>
              <w:spacing w:before="10"/>
              <w:jc w:val="left"/>
              <w:rPr>
                <w:b/>
                <w:sz w:val="24"/>
              </w:rPr>
            </w:pPr>
          </w:p>
          <w:p>
            <w:pPr>
              <w:pStyle w:val="19"/>
              <w:ind w:left="262"/>
              <w:jc w:val="left"/>
              <w:rPr>
                <w:rFonts w:ascii="Times New Roman"/>
                <w:sz w:val="21"/>
              </w:rPr>
            </w:pPr>
            <w:r>
              <w:rPr>
                <w:rFonts w:ascii="Times New Roman"/>
                <w:sz w:val="21"/>
              </w:rPr>
              <w:t>821</w:t>
            </w:r>
          </w:p>
        </w:tc>
        <w:tc>
          <w:tcPr>
            <w:tcW w:w="833" w:type="dxa"/>
            <w:tcBorders>
              <w:top w:val="single" w:color="000000" w:sz="4" w:space="0"/>
              <w:left w:val="single" w:color="000000" w:sz="4" w:space="0"/>
              <w:bottom w:val="single" w:color="000000" w:sz="4" w:space="0"/>
              <w:right w:val="single" w:color="000000" w:sz="4" w:space="0"/>
            </w:tcBorders>
          </w:tcPr>
          <w:p>
            <w:pPr>
              <w:pStyle w:val="19"/>
              <w:spacing w:before="18"/>
              <w:ind w:left="236"/>
              <w:jc w:val="left"/>
              <w:rPr>
                <w:rFonts w:ascii="Times New Roman"/>
                <w:sz w:val="21"/>
              </w:rPr>
            </w:pPr>
            <w:r>
              <w:rPr>
                <w:rFonts w:ascii="Times New Roman"/>
                <w:sz w:val="21"/>
              </w:rPr>
              <w:t>8.45</w:t>
            </w:r>
          </w:p>
        </w:tc>
        <w:tc>
          <w:tcPr>
            <w:tcW w:w="832" w:type="dxa"/>
            <w:tcBorders>
              <w:top w:val="single" w:color="000000" w:sz="4" w:space="0"/>
              <w:left w:val="single" w:color="000000" w:sz="4" w:space="0"/>
              <w:bottom w:val="single" w:color="000000" w:sz="4" w:space="0"/>
              <w:right w:val="single" w:color="000000" w:sz="4" w:space="0"/>
            </w:tcBorders>
          </w:tcPr>
          <w:p>
            <w:pPr>
              <w:pStyle w:val="19"/>
              <w:spacing w:before="18"/>
              <w:ind w:left="110" w:right="92"/>
              <w:rPr>
                <w:rFonts w:ascii="Times New Roman"/>
                <w:sz w:val="21"/>
              </w:rPr>
            </w:pPr>
            <w:r>
              <w:rPr>
                <w:rFonts w:ascii="Times New Roman"/>
                <w:sz w:val="21"/>
              </w:rPr>
              <w:t>0.01</w:t>
            </w:r>
          </w:p>
        </w:tc>
        <w:tc>
          <w:tcPr>
            <w:tcW w:w="834" w:type="dxa"/>
            <w:tcBorders>
              <w:top w:val="single" w:color="000000" w:sz="4" w:space="0"/>
              <w:left w:val="single" w:color="000000" w:sz="4" w:space="0"/>
              <w:bottom w:val="single" w:color="000000" w:sz="4" w:space="0"/>
              <w:right w:val="single" w:color="000000" w:sz="4" w:space="0"/>
            </w:tcBorders>
          </w:tcPr>
          <w:p>
            <w:pPr>
              <w:pStyle w:val="19"/>
              <w:spacing w:before="18"/>
              <w:ind w:left="186"/>
              <w:jc w:val="left"/>
              <w:rPr>
                <w:rFonts w:ascii="Times New Roman"/>
                <w:sz w:val="21"/>
              </w:rPr>
            </w:pPr>
            <w:r>
              <w:rPr>
                <w:rFonts w:ascii="Times New Roman"/>
                <w:sz w:val="21"/>
              </w:rPr>
              <w:t>0.034</w:t>
            </w:r>
          </w:p>
        </w:tc>
        <w:tc>
          <w:tcPr>
            <w:tcW w:w="815" w:type="dxa"/>
            <w:tcBorders>
              <w:top w:val="single" w:color="000000" w:sz="4" w:space="0"/>
              <w:left w:val="single" w:color="000000" w:sz="4" w:space="0"/>
              <w:bottom w:val="single" w:color="000000" w:sz="4" w:space="0"/>
              <w:right w:val="single" w:color="000000" w:sz="4" w:space="0"/>
            </w:tcBorders>
          </w:tcPr>
          <w:p>
            <w:pPr>
              <w:pStyle w:val="19"/>
              <w:spacing w:before="18"/>
              <w:ind w:left="230" w:right="215"/>
              <w:rPr>
                <w:rFonts w:ascii="Times New Roman"/>
                <w:sz w:val="21"/>
              </w:rPr>
            </w:pPr>
            <w:r>
              <w:rPr>
                <w:rFonts w:ascii="Times New Roman"/>
                <w:sz w:val="21"/>
              </w:rPr>
              <w:t>50</w:t>
            </w:r>
          </w:p>
        </w:tc>
        <w:tc>
          <w:tcPr>
            <w:tcW w:w="815" w:type="dxa"/>
            <w:vMerge w:val="restart"/>
            <w:tcBorders>
              <w:top w:val="single" w:color="000000" w:sz="4" w:space="0"/>
              <w:left w:val="single" w:color="000000" w:sz="4" w:space="0"/>
              <w:bottom w:val="single" w:color="000000" w:sz="4" w:space="0"/>
            </w:tcBorders>
          </w:tcPr>
          <w:p>
            <w:pPr>
              <w:pStyle w:val="19"/>
              <w:spacing w:before="10"/>
              <w:jc w:val="left"/>
              <w:rPr>
                <w:b/>
                <w:sz w:val="24"/>
              </w:rPr>
            </w:pPr>
          </w:p>
          <w:p>
            <w:pPr>
              <w:pStyle w:val="19"/>
              <w:ind w:left="200"/>
              <w:jc w:val="left"/>
              <w:rPr>
                <w:rFonts w:ascii="Times New Roman"/>
                <w:sz w:val="21"/>
              </w:rPr>
            </w:pPr>
            <w:r>
              <w:rPr>
                <w:rFonts w:ascii="Times New Roman"/>
                <w:sz w:val="21"/>
              </w:rPr>
              <w:t>3240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523" w:type="dxa"/>
            <w:vMerge w:val="continue"/>
            <w:tcBorders>
              <w:top w:val="nil"/>
              <w:right w:val="single" w:color="000000" w:sz="4" w:space="0"/>
            </w:tcBorders>
          </w:tcPr>
          <w:p>
            <w:pPr>
              <w:rPr>
                <w:sz w:val="2"/>
                <w:szCs w:val="2"/>
              </w:rPr>
            </w:pPr>
          </w:p>
        </w:tc>
        <w:tc>
          <w:tcPr>
            <w:tcW w:w="1115" w:type="dxa"/>
            <w:vMerge w:val="continue"/>
            <w:tcBorders>
              <w:top w:val="nil"/>
              <w:left w:val="single" w:color="000000" w:sz="4" w:space="0"/>
              <w:bottom w:val="single" w:color="000000" w:sz="4" w:space="0"/>
              <w:right w:val="single" w:color="000000" w:sz="4" w:space="0"/>
            </w:tcBorders>
          </w:tcPr>
          <w:p>
            <w:pPr>
              <w:rPr>
                <w:sz w:val="2"/>
                <w:szCs w:val="2"/>
              </w:rPr>
            </w:pPr>
          </w:p>
        </w:tc>
        <w:tc>
          <w:tcPr>
            <w:tcW w:w="740" w:type="dxa"/>
            <w:tcBorders>
              <w:top w:val="single" w:color="000000" w:sz="4" w:space="0"/>
              <w:left w:val="single" w:color="000000" w:sz="4" w:space="0"/>
              <w:bottom w:val="single" w:color="000000" w:sz="4" w:space="0"/>
              <w:right w:val="single" w:color="000000" w:sz="4" w:space="0"/>
            </w:tcBorders>
          </w:tcPr>
          <w:p>
            <w:pPr>
              <w:pStyle w:val="19"/>
              <w:spacing w:line="238" w:lineRule="exact"/>
              <w:ind w:left="170"/>
              <w:jc w:val="left"/>
              <w:rPr>
                <w:rFonts w:ascii="Times New Roman"/>
                <w:sz w:val="21"/>
              </w:rPr>
            </w:pPr>
            <w:r>
              <w:rPr>
                <w:rFonts w:ascii="Times New Roman"/>
                <w:sz w:val="21"/>
              </w:rPr>
              <w:t>NOx</w:t>
            </w: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62"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tcBorders>
              <w:top w:val="single" w:color="000000" w:sz="4" w:space="0"/>
              <w:left w:val="single" w:color="000000" w:sz="4" w:space="0"/>
              <w:bottom w:val="single" w:color="000000" w:sz="4" w:space="0"/>
              <w:right w:val="single" w:color="000000" w:sz="4" w:space="0"/>
            </w:tcBorders>
          </w:tcPr>
          <w:p>
            <w:pPr>
              <w:pStyle w:val="19"/>
              <w:spacing w:line="238" w:lineRule="exact"/>
              <w:ind w:left="169" w:right="150"/>
              <w:rPr>
                <w:rFonts w:ascii="Times New Roman"/>
                <w:sz w:val="21"/>
              </w:rPr>
            </w:pPr>
            <w:r>
              <w:rPr>
                <w:rFonts w:ascii="Times New Roman"/>
                <w:color w:val="FF0000"/>
                <w:sz w:val="21"/>
              </w:rPr>
              <w:t>161.8</w:t>
            </w:r>
          </w:p>
        </w:tc>
        <w:tc>
          <w:tcPr>
            <w:tcW w:w="964" w:type="dxa"/>
            <w:tcBorders>
              <w:top w:val="single" w:color="000000" w:sz="4" w:space="0"/>
              <w:left w:val="single" w:color="000000" w:sz="4" w:space="0"/>
              <w:bottom w:val="single" w:color="000000" w:sz="4" w:space="0"/>
              <w:right w:val="single" w:color="000000" w:sz="4" w:space="0"/>
            </w:tcBorders>
          </w:tcPr>
          <w:p>
            <w:pPr>
              <w:pStyle w:val="19"/>
              <w:spacing w:line="238" w:lineRule="exact"/>
              <w:ind w:right="283"/>
              <w:jc w:val="right"/>
              <w:rPr>
                <w:rFonts w:ascii="Times New Roman"/>
                <w:sz w:val="21"/>
              </w:rPr>
            </w:pPr>
            <w:r>
              <w:rPr>
                <w:rFonts w:ascii="Times New Roman"/>
                <w:color w:val="FF0000"/>
                <w:w w:val="95"/>
                <w:sz w:val="21"/>
              </w:rPr>
              <w:t>0.43</w:t>
            </w:r>
          </w:p>
        </w:tc>
        <w:tc>
          <w:tcPr>
            <w:tcW w:w="1271" w:type="dxa"/>
            <w:tcBorders>
              <w:top w:val="single" w:color="000000" w:sz="4" w:space="0"/>
              <w:left w:val="single" w:color="000000" w:sz="4" w:space="0"/>
              <w:bottom w:val="single" w:color="000000" w:sz="4" w:space="0"/>
              <w:right w:val="single" w:color="000000" w:sz="4" w:space="0"/>
            </w:tcBorders>
          </w:tcPr>
          <w:p>
            <w:pPr>
              <w:pStyle w:val="19"/>
              <w:spacing w:line="238" w:lineRule="exact"/>
              <w:ind w:left="18"/>
              <w:rPr>
                <w:rFonts w:ascii="Times New Roman"/>
                <w:sz w:val="21"/>
              </w:rPr>
            </w:pPr>
            <w:r>
              <w:rPr>
                <w:rFonts w:ascii="Times New Roman"/>
                <w:w w:val="99"/>
                <w:sz w:val="21"/>
              </w:rPr>
              <w:t>/</w:t>
            </w:r>
          </w:p>
        </w:tc>
        <w:tc>
          <w:tcPr>
            <w:tcW w:w="848" w:type="dxa"/>
            <w:tcBorders>
              <w:top w:val="single" w:color="000000" w:sz="4" w:space="0"/>
              <w:left w:val="single" w:color="000000" w:sz="4" w:space="0"/>
              <w:bottom w:val="single" w:color="000000" w:sz="4" w:space="0"/>
              <w:right w:val="single" w:color="000000" w:sz="4" w:space="0"/>
            </w:tcBorders>
          </w:tcPr>
          <w:p>
            <w:pPr>
              <w:pStyle w:val="19"/>
              <w:spacing w:line="238" w:lineRule="exact"/>
              <w:ind w:left="19"/>
              <w:rPr>
                <w:rFonts w:ascii="Times New Roman"/>
                <w:sz w:val="21"/>
              </w:rPr>
            </w:pPr>
            <w:r>
              <w:rPr>
                <w:rFonts w:ascii="Times New Roman"/>
                <w:w w:val="99"/>
                <w:sz w:val="21"/>
              </w:rPr>
              <w:t>0</w:t>
            </w: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tcBorders>
              <w:top w:val="single" w:color="000000" w:sz="4" w:space="0"/>
              <w:left w:val="single" w:color="000000" w:sz="4" w:space="0"/>
              <w:bottom w:val="single" w:color="000000" w:sz="4" w:space="0"/>
              <w:right w:val="single" w:color="000000" w:sz="4" w:space="0"/>
            </w:tcBorders>
          </w:tcPr>
          <w:p>
            <w:pPr>
              <w:pStyle w:val="19"/>
              <w:spacing w:line="238" w:lineRule="exact"/>
              <w:ind w:left="183"/>
              <w:jc w:val="left"/>
              <w:rPr>
                <w:rFonts w:ascii="Times New Roman"/>
                <w:sz w:val="21"/>
              </w:rPr>
            </w:pPr>
            <w:r>
              <w:rPr>
                <w:rFonts w:ascii="Times New Roman"/>
                <w:color w:val="FF0000"/>
                <w:sz w:val="21"/>
              </w:rPr>
              <w:t>161.8</w:t>
            </w:r>
          </w:p>
        </w:tc>
        <w:tc>
          <w:tcPr>
            <w:tcW w:w="832" w:type="dxa"/>
            <w:tcBorders>
              <w:top w:val="single" w:color="000000" w:sz="4" w:space="0"/>
              <w:left w:val="single" w:color="000000" w:sz="4" w:space="0"/>
              <w:bottom w:val="single" w:color="000000" w:sz="4" w:space="0"/>
              <w:right w:val="single" w:color="000000" w:sz="4" w:space="0"/>
            </w:tcBorders>
          </w:tcPr>
          <w:p>
            <w:pPr>
              <w:pStyle w:val="19"/>
              <w:spacing w:line="238" w:lineRule="exact"/>
              <w:ind w:left="110" w:right="92"/>
              <w:rPr>
                <w:rFonts w:ascii="Times New Roman"/>
                <w:sz w:val="21"/>
              </w:rPr>
            </w:pPr>
            <w:r>
              <w:rPr>
                <w:rFonts w:ascii="Times New Roman"/>
                <w:color w:val="FF0000"/>
                <w:sz w:val="21"/>
              </w:rPr>
              <w:t>0.13</w:t>
            </w:r>
          </w:p>
        </w:tc>
        <w:tc>
          <w:tcPr>
            <w:tcW w:w="834" w:type="dxa"/>
            <w:tcBorders>
              <w:top w:val="single" w:color="000000" w:sz="4" w:space="0"/>
              <w:left w:val="single" w:color="000000" w:sz="4" w:space="0"/>
              <w:bottom w:val="single" w:color="000000" w:sz="4" w:space="0"/>
              <w:right w:val="single" w:color="000000" w:sz="4" w:space="0"/>
            </w:tcBorders>
          </w:tcPr>
          <w:p>
            <w:pPr>
              <w:pStyle w:val="19"/>
              <w:spacing w:line="238" w:lineRule="exact"/>
              <w:ind w:left="237"/>
              <w:jc w:val="left"/>
              <w:rPr>
                <w:rFonts w:ascii="Times New Roman"/>
                <w:sz w:val="21"/>
              </w:rPr>
            </w:pPr>
            <w:r>
              <w:rPr>
                <w:rFonts w:ascii="Times New Roman"/>
                <w:color w:val="FF0000"/>
                <w:sz w:val="21"/>
              </w:rPr>
              <w:t>0.43</w:t>
            </w:r>
          </w:p>
        </w:tc>
        <w:tc>
          <w:tcPr>
            <w:tcW w:w="815" w:type="dxa"/>
            <w:tcBorders>
              <w:top w:val="single" w:color="000000" w:sz="4" w:space="0"/>
              <w:left w:val="single" w:color="000000" w:sz="4" w:space="0"/>
              <w:bottom w:val="single" w:color="000000" w:sz="4" w:space="0"/>
              <w:right w:val="single" w:color="000000" w:sz="4" w:space="0"/>
            </w:tcBorders>
          </w:tcPr>
          <w:p>
            <w:pPr>
              <w:pStyle w:val="19"/>
              <w:spacing w:line="238" w:lineRule="exact"/>
              <w:ind w:left="235" w:right="215"/>
              <w:rPr>
                <w:rFonts w:ascii="Times New Roman"/>
                <w:sz w:val="21"/>
              </w:rPr>
            </w:pPr>
            <w:r>
              <w:rPr>
                <w:rFonts w:ascii="Times New Roman"/>
                <w:sz w:val="21"/>
              </w:rPr>
              <w:t>300</w:t>
            </w:r>
          </w:p>
        </w:tc>
        <w:tc>
          <w:tcPr>
            <w:tcW w:w="81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523" w:type="dxa"/>
            <w:vMerge w:val="continue"/>
            <w:tcBorders>
              <w:top w:val="nil"/>
              <w:right w:val="single" w:color="000000" w:sz="4" w:space="0"/>
            </w:tcBorders>
          </w:tcPr>
          <w:p>
            <w:pPr>
              <w:rPr>
                <w:sz w:val="2"/>
                <w:szCs w:val="2"/>
              </w:rPr>
            </w:pPr>
          </w:p>
        </w:tc>
        <w:tc>
          <w:tcPr>
            <w:tcW w:w="1115" w:type="dxa"/>
            <w:vMerge w:val="continue"/>
            <w:tcBorders>
              <w:top w:val="nil"/>
              <w:left w:val="single" w:color="000000" w:sz="4" w:space="0"/>
              <w:bottom w:val="single" w:color="000000" w:sz="4" w:space="0"/>
              <w:right w:val="single" w:color="000000" w:sz="4" w:space="0"/>
            </w:tcBorders>
          </w:tcPr>
          <w:p>
            <w:pPr>
              <w:rPr>
                <w:sz w:val="2"/>
                <w:szCs w:val="2"/>
              </w:rPr>
            </w:pPr>
          </w:p>
        </w:tc>
        <w:tc>
          <w:tcPr>
            <w:tcW w:w="740" w:type="dxa"/>
            <w:tcBorders>
              <w:top w:val="single" w:color="000000" w:sz="4" w:space="0"/>
              <w:left w:val="single" w:color="000000" w:sz="4" w:space="0"/>
              <w:bottom w:val="single" w:color="000000" w:sz="4" w:space="0"/>
              <w:right w:val="single" w:color="000000" w:sz="4" w:space="0"/>
            </w:tcBorders>
          </w:tcPr>
          <w:p>
            <w:pPr>
              <w:pStyle w:val="19"/>
              <w:spacing w:line="254" w:lineRule="exact"/>
              <w:ind w:left="206"/>
              <w:jc w:val="left"/>
              <w:rPr>
                <w:rFonts w:ascii="Times New Roman"/>
                <w:sz w:val="21"/>
              </w:rPr>
            </w:pPr>
            <w:r>
              <w:rPr>
                <w:rFonts w:ascii="Times New Roman"/>
                <w:position w:val="2"/>
                <w:sz w:val="21"/>
              </w:rPr>
              <w:t>SO</w:t>
            </w:r>
            <w:r>
              <w:rPr>
                <w:rFonts w:ascii="Times New Roman"/>
                <w:position w:val="2"/>
                <w:sz w:val="21"/>
                <w:vertAlign w:val="subscript"/>
              </w:rPr>
              <w:t>2</w:t>
            </w: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62"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tcBorders>
              <w:top w:val="single" w:color="000000" w:sz="4" w:space="0"/>
              <w:left w:val="single" w:color="000000" w:sz="4" w:space="0"/>
              <w:bottom w:val="single" w:color="000000" w:sz="4" w:space="0"/>
              <w:right w:val="single" w:color="000000" w:sz="4" w:space="0"/>
            </w:tcBorders>
          </w:tcPr>
          <w:p>
            <w:pPr>
              <w:pStyle w:val="19"/>
              <w:spacing w:line="238" w:lineRule="exact"/>
              <w:ind w:left="169" w:right="150"/>
              <w:rPr>
                <w:rFonts w:ascii="Times New Roman"/>
                <w:sz w:val="21"/>
              </w:rPr>
            </w:pPr>
            <w:r>
              <w:rPr>
                <w:rFonts w:ascii="Times New Roman"/>
                <w:sz w:val="21"/>
              </w:rPr>
              <w:t>15.23</w:t>
            </w:r>
          </w:p>
        </w:tc>
        <w:tc>
          <w:tcPr>
            <w:tcW w:w="964" w:type="dxa"/>
            <w:tcBorders>
              <w:top w:val="single" w:color="000000" w:sz="4" w:space="0"/>
              <w:left w:val="single" w:color="000000" w:sz="4" w:space="0"/>
              <w:bottom w:val="single" w:color="000000" w:sz="4" w:space="0"/>
              <w:right w:val="single" w:color="000000" w:sz="4" w:space="0"/>
            </w:tcBorders>
          </w:tcPr>
          <w:p>
            <w:pPr>
              <w:pStyle w:val="19"/>
              <w:spacing w:line="238" w:lineRule="exact"/>
              <w:ind w:right="280"/>
              <w:jc w:val="right"/>
              <w:rPr>
                <w:rFonts w:ascii="Times New Roman"/>
                <w:sz w:val="21"/>
              </w:rPr>
            </w:pPr>
            <w:r>
              <w:rPr>
                <w:rFonts w:ascii="Times New Roman"/>
                <w:sz w:val="21"/>
              </w:rPr>
              <w:t>0.06</w:t>
            </w:r>
          </w:p>
        </w:tc>
        <w:tc>
          <w:tcPr>
            <w:tcW w:w="1271" w:type="dxa"/>
            <w:tcBorders>
              <w:top w:val="single" w:color="000000" w:sz="4" w:space="0"/>
              <w:left w:val="single" w:color="000000" w:sz="4" w:space="0"/>
              <w:bottom w:val="single" w:color="000000" w:sz="4" w:space="0"/>
              <w:right w:val="single" w:color="000000" w:sz="4" w:space="0"/>
            </w:tcBorders>
          </w:tcPr>
          <w:p>
            <w:pPr>
              <w:pStyle w:val="19"/>
              <w:spacing w:line="238" w:lineRule="exact"/>
              <w:ind w:left="18"/>
              <w:rPr>
                <w:rFonts w:ascii="Times New Roman"/>
                <w:sz w:val="21"/>
              </w:rPr>
            </w:pPr>
            <w:r>
              <w:rPr>
                <w:rFonts w:ascii="Times New Roman"/>
                <w:w w:val="99"/>
                <w:sz w:val="21"/>
              </w:rPr>
              <w:t>/</w:t>
            </w:r>
          </w:p>
        </w:tc>
        <w:tc>
          <w:tcPr>
            <w:tcW w:w="848" w:type="dxa"/>
            <w:tcBorders>
              <w:top w:val="single" w:color="000000" w:sz="4" w:space="0"/>
              <w:left w:val="single" w:color="000000" w:sz="4" w:space="0"/>
              <w:bottom w:val="single" w:color="000000" w:sz="4" w:space="0"/>
              <w:right w:val="single" w:color="000000" w:sz="4" w:space="0"/>
            </w:tcBorders>
          </w:tcPr>
          <w:p>
            <w:pPr>
              <w:pStyle w:val="19"/>
              <w:spacing w:line="238" w:lineRule="exact"/>
              <w:ind w:left="19"/>
              <w:rPr>
                <w:rFonts w:ascii="Times New Roman"/>
                <w:sz w:val="21"/>
              </w:rPr>
            </w:pPr>
            <w:r>
              <w:rPr>
                <w:rFonts w:ascii="Times New Roman"/>
                <w:w w:val="99"/>
                <w:sz w:val="21"/>
              </w:rPr>
              <w:t>0</w:t>
            </w: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tcBorders>
              <w:top w:val="single" w:color="000000" w:sz="4" w:space="0"/>
              <w:left w:val="single" w:color="000000" w:sz="4" w:space="0"/>
              <w:bottom w:val="single" w:color="000000" w:sz="4" w:space="0"/>
              <w:right w:val="single" w:color="000000" w:sz="4" w:space="0"/>
            </w:tcBorders>
          </w:tcPr>
          <w:p>
            <w:pPr>
              <w:pStyle w:val="19"/>
              <w:spacing w:line="238" w:lineRule="exact"/>
              <w:ind w:left="183"/>
              <w:jc w:val="left"/>
              <w:rPr>
                <w:rFonts w:ascii="Times New Roman"/>
                <w:sz w:val="21"/>
              </w:rPr>
            </w:pPr>
            <w:r>
              <w:rPr>
                <w:rFonts w:ascii="Times New Roman"/>
                <w:sz w:val="21"/>
              </w:rPr>
              <w:t>15.23</w:t>
            </w:r>
          </w:p>
        </w:tc>
        <w:tc>
          <w:tcPr>
            <w:tcW w:w="832" w:type="dxa"/>
            <w:tcBorders>
              <w:top w:val="single" w:color="000000" w:sz="4" w:space="0"/>
              <w:left w:val="single" w:color="000000" w:sz="4" w:space="0"/>
              <w:bottom w:val="single" w:color="000000" w:sz="4" w:space="0"/>
              <w:right w:val="single" w:color="000000" w:sz="4" w:space="0"/>
            </w:tcBorders>
          </w:tcPr>
          <w:p>
            <w:pPr>
              <w:pStyle w:val="19"/>
              <w:spacing w:line="238" w:lineRule="exact"/>
              <w:ind w:left="110" w:right="92"/>
              <w:rPr>
                <w:rFonts w:ascii="Times New Roman"/>
                <w:sz w:val="21"/>
              </w:rPr>
            </w:pPr>
            <w:r>
              <w:rPr>
                <w:rFonts w:ascii="Times New Roman"/>
                <w:sz w:val="21"/>
              </w:rPr>
              <w:t>0.02</w:t>
            </w:r>
          </w:p>
        </w:tc>
        <w:tc>
          <w:tcPr>
            <w:tcW w:w="834" w:type="dxa"/>
            <w:tcBorders>
              <w:top w:val="single" w:color="000000" w:sz="4" w:space="0"/>
              <w:left w:val="single" w:color="000000" w:sz="4" w:space="0"/>
              <w:bottom w:val="single" w:color="000000" w:sz="4" w:space="0"/>
              <w:right w:val="single" w:color="000000" w:sz="4" w:space="0"/>
            </w:tcBorders>
          </w:tcPr>
          <w:p>
            <w:pPr>
              <w:pStyle w:val="19"/>
              <w:spacing w:line="238" w:lineRule="exact"/>
              <w:ind w:left="237"/>
              <w:jc w:val="left"/>
              <w:rPr>
                <w:rFonts w:ascii="Times New Roman"/>
                <w:sz w:val="21"/>
              </w:rPr>
            </w:pPr>
            <w:r>
              <w:rPr>
                <w:rFonts w:ascii="Times New Roman"/>
                <w:sz w:val="21"/>
              </w:rPr>
              <w:t>0.06</w:t>
            </w:r>
          </w:p>
        </w:tc>
        <w:tc>
          <w:tcPr>
            <w:tcW w:w="815" w:type="dxa"/>
            <w:tcBorders>
              <w:top w:val="single" w:color="000000" w:sz="4" w:space="0"/>
              <w:left w:val="single" w:color="000000" w:sz="4" w:space="0"/>
              <w:bottom w:val="single" w:color="000000" w:sz="4" w:space="0"/>
              <w:right w:val="single" w:color="000000" w:sz="4" w:space="0"/>
            </w:tcBorders>
          </w:tcPr>
          <w:p>
            <w:pPr>
              <w:pStyle w:val="19"/>
              <w:spacing w:line="238" w:lineRule="exact"/>
              <w:ind w:left="235" w:right="215"/>
              <w:rPr>
                <w:rFonts w:ascii="Times New Roman"/>
                <w:sz w:val="21"/>
              </w:rPr>
            </w:pPr>
            <w:r>
              <w:rPr>
                <w:rFonts w:ascii="Times New Roman"/>
                <w:sz w:val="21"/>
              </w:rPr>
              <w:t>300</w:t>
            </w:r>
          </w:p>
        </w:tc>
        <w:tc>
          <w:tcPr>
            <w:tcW w:w="81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523" w:type="dxa"/>
            <w:vMerge w:val="continue"/>
            <w:tcBorders>
              <w:top w:val="nil"/>
              <w:right w:val="single" w:color="000000" w:sz="4" w:space="0"/>
            </w:tcBorders>
          </w:tcPr>
          <w:p>
            <w:pPr>
              <w:rPr>
                <w:sz w:val="2"/>
                <w:szCs w:val="2"/>
              </w:rPr>
            </w:pPr>
          </w:p>
        </w:tc>
        <w:tc>
          <w:tcPr>
            <w:tcW w:w="1115" w:type="dxa"/>
            <w:vMerge w:val="restart"/>
            <w:tcBorders>
              <w:top w:val="single" w:color="000000" w:sz="4" w:space="0"/>
              <w:left w:val="single" w:color="000000" w:sz="4" w:space="0"/>
              <w:bottom w:val="single" w:color="000000" w:sz="4" w:space="0"/>
              <w:right w:val="single" w:color="000000" w:sz="4" w:space="0"/>
            </w:tcBorders>
          </w:tcPr>
          <w:p>
            <w:pPr>
              <w:pStyle w:val="19"/>
              <w:spacing w:before="131" w:line="290" w:lineRule="auto"/>
              <w:ind w:left="142" w:right="122"/>
              <w:jc w:val="left"/>
              <w:rPr>
                <w:sz w:val="21"/>
              </w:rPr>
            </w:pPr>
            <w:r>
              <w:rPr>
                <w:sz w:val="21"/>
              </w:rPr>
              <w:t>副井暖风炉房烟囱</w:t>
            </w:r>
          </w:p>
        </w:tc>
        <w:tc>
          <w:tcPr>
            <w:tcW w:w="740" w:type="dxa"/>
            <w:tcBorders>
              <w:top w:val="single" w:color="000000" w:sz="4" w:space="0"/>
              <w:left w:val="single" w:color="000000" w:sz="4" w:space="0"/>
              <w:bottom w:val="single" w:color="000000" w:sz="4" w:space="0"/>
              <w:right w:val="single" w:color="000000" w:sz="4" w:space="0"/>
            </w:tcBorders>
          </w:tcPr>
          <w:p>
            <w:pPr>
              <w:pStyle w:val="19"/>
              <w:spacing w:line="263" w:lineRule="exact"/>
              <w:ind w:left="165"/>
              <w:jc w:val="left"/>
              <w:rPr>
                <w:sz w:val="21"/>
              </w:rPr>
            </w:pPr>
            <w:r>
              <w:rPr>
                <w:sz w:val="21"/>
              </w:rPr>
              <w:t>烟尘</w:t>
            </w:r>
          </w:p>
        </w:tc>
        <w:tc>
          <w:tcPr>
            <w:tcW w:w="963" w:type="dxa"/>
            <w:vMerge w:val="restart"/>
            <w:tcBorders>
              <w:top w:val="single" w:color="000000" w:sz="4" w:space="0"/>
              <w:left w:val="single" w:color="000000" w:sz="4" w:space="0"/>
              <w:bottom w:val="single" w:color="000000" w:sz="4" w:space="0"/>
              <w:right w:val="single" w:color="000000" w:sz="4" w:space="0"/>
            </w:tcBorders>
          </w:tcPr>
          <w:p>
            <w:pPr>
              <w:pStyle w:val="19"/>
              <w:spacing w:before="131" w:line="290" w:lineRule="auto"/>
              <w:ind w:left="171" w:right="150" w:firstLine="103"/>
              <w:jc w:val="left"/>
              <w:rPr>
                <w:sz w:val="21"/>
              </w:rPr>
            </w:pPr>
            <w:r>
              <w:rPr>
                <w:sz w:val="21"/>
              </w:rPr>
              <w:t>物料衡算法</w:t>
            </w:r>
          </w:p>
        </w:tc>
        <w:tc>
          <w:tcPr>
            <w:tcW w:w="962" w:type="dxa"/>
            <w:vMerge w:val="restart"/>
            <w:tcBorders>
              <w:top w:val="single" w:color="000000" w:sz="4" w:space="0"/>
              <w:left w:val="single" w:color="000000" w:sz="4" w:space="0"/>
              <w:bottom w:val="single" w:color="000000" w:sz="4" w:space="0"/>
              <w:right w:val="single" w:color="000000" w:sz="4" w:space="0"/>
            </w:tcBorders>
          </w:tcPr>
          <w:p>
            <w:pPr>
              <w:pStyle w:val="19"/>
              <w:spacing w:before="5"/>
              <w:jc w:val="left"/>
              <w:rPr>
                <w:b/>
                <w:sz w:val="24"/>
              </w:rPr>
            </w:pPr>
          </w:p>
          <w:p>
            <w:pPr>
              <w:pStyle w:val="19"/>
              <w:ind w:left="276"/>
              <w:jc w:val="left"/>
              <w:rPr>
                <w:rFonts w:ascii="Times New Roman"/>
                <w:sz w:val="21"/>
              </w:rPr>
            </w:pPr>
            <w:r>
              <w:rPr>
                <w:rFonts w:ascii="Times New Roman"/>
                <w:sz w:val="21"/>
              </w:rPr>
              <w:t>3506</w:t>
            </w:r>
          </w:p>
        </w:tc>
        <w:tc>
          <w:tcPr>
            <w:tcW w:w="963" w:type="dxa"/>
            <w:tcBorders>
              <w:top w:val="single" w:color="000000" w:sz="4" w:space="0"/>
              <w:left w:val="single" w:color="000000" w:sz="4" w:space="0"/>
              <w:bottom w:val="single" w:color="000000" w:sz="4" w:space="0"/>
              <w:right w:val="single" w:color="000000" w:sz="4" w:space="0"/>
            </w:tcBorders>
          </w:tcPr>
          <w:p>
            <w:pPr>
              <w:pStyle w:val="19"/>
              <w:spacing w:before="13"/>
              <w:ind w:left="169" w:right="150"/>
              <w:rPr>
                <w:rFonts w:ascii="Times New Roman"/>
                <w:sz w:val="21"/>
              </w:rPr>
            </w:pPr>
            <w:r>
              <w:rPr>
                <w:rFonts w:ascii="Times New Roman"/>
                <w:sz w:val="21"/>
              </w:rPr>
              <w:t>17464</w:t>
            </w:r>
          </w:p>
        </w:tc>
        <w:tc>
          <w:tcPr>
            <w:tcW w:w="964" w:type="dxa"/>
            <w:tcBorders>
              <w:top w:val="single" w:color="000000" w:sz="4" w:space="0"/>
              <w:left w:val="single" w:color="000000" w:sz="4" w:space="0"/>
              <w:bottom w:val="single" w:color="000000" w:sz="4" w:space="0"/>
              <w:right w:val="single" w:color="000000" w:sz="4" w:space="0"/>
            </w:tcBorders>
          </w:tcPr>
          <w:p>
            <w:pPr>
              <w:pStyle w:val="19"/>
              <w:spacing w:before="13"/>
              <w:ind w:right="307"/>
              <w:jc w:val="right"/>
              <w:rPr>
                <w:rFonts w:ascii="Times New Roman"/>
                <w:sz w:val="21"/>
              </w:rPr>
            </w:pPr>
            <w:r>
              <w:rPr>
                <w:rFonts w:ascii="Times New Roman"/>
                <w:sz w:val="21"/>
              </w:rPr>
              <w:t>144</w:t>
            </w:r>
          </w:p>
        </w:tc>
        <w:tc>
          <w:tcPr>
            <w:tcW w:w="1271" w:type="dxa"/>
            <w:tcBorders>
              <w:top w:val="single" w:color="000000" w:sz="4" w:space="0"/>
              <w:left w:val="single" w:color="000000" w:sz="4" w:space="0"/>
              <w:bottom w:val="single" w:color="000000" w:sz="4" w:space="0"/>
              <w:right w:val="single" w:color="000000" w:sz="4" w:space="0"/>
            </w:tcBorders>
          </w:tcPr>
          <w:p>
            <w:pPr>
              <w:pStyle w:val="19"/>
              <w:spacing w:line="263" w:lineRule="exact"/>
              <w:ind w:left="93" w:right="78"/>
              <w:rPr>
                <w:sz w:val="21"/>
              </w:rPr>
            </w:pPr>
            <w:r>
              <w:rPr>
                <w:sz w:val="21"/>
              </w:rPr>
              <w:t>布袋除尘器</w:t>
            </w:r>
          </w:p>
        </w:tc>
        <w:tc>
          <w:tcPr>
            <w:tcW w:w="848" w:type="dxa"/>
            <w:tcBorders>
              <w:top w:val="single" w:color="000000" w:sz="4" w:space="0"/>
              <w:left w:val="single" w:color="000000" w:sz="4" w:space="0"/>
              <w:bottom w:val="single" w:color="000000" w:sz="4" w:space="0"/>
              <w:right w:val="single" w:color="000000" w:sz="4" w:space="0"/>
            </w:tcBorders>
          </w:tcPr>
          <w:p>
            <w:pPr>
              <w:pStyle w:val="19"/>
              <w:spacing w:before="13"/>
              <w:ind w:left="111" w:right="92"/>
              <w:rPr>
                <w:rFonts w:ascii="Times New Roman"/>
                <w:sz w:val="21"/>
              </w:rPr>
            </w:pPr>
            <w:r>
              <w:rPr>
                <w:rFonts w:ascii="Times New Roman"/>
                <w:sz w:val="21"/>
              </w:rPr>
              <w:t>99.9</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19"/>
              <w:spacing w:before="5"/>
              <w:jc w:val="left"/>
              <w:rPr>
                <w:b/>
                <w:sz w:val="24"/>
              </w:rPr>
            </w:pPr>
          </w:p>
          <w:p>
            <w:pPr>
              <w:pStyle w:val="19"/>
              <w:ind w:left="210"/>
              <w:jc w:val="left"/>
              <w:rPr>
                <w:rFonts w:ascii="Times New Roman"/>
                <w:sz w:val="21"/>
              </w:rPr>
            </w:pPr>
            <w:r>
              <w:rPr>
                <w:rFonts w:ascii="Times New Roman"/>
                <w:sz w:val="21"/>
              </w:rPr>
              <w:t>3506</w:t>
            </w:r>
          </w:p>
        </w:tc>
        <w:tc>
          <w:tcPr>
            <w:tcW w:w="833" w:type="dxa"/>
            <w:tcBorders>
              <w:top w:val="single" w:color="000000" w:sz="4" w:space="0"/>
              <w:left w:val="single" w:color="000000" w:sz="4" w:space="0"/>
              <w:bottom w:val="single" w:color="000000" w:sz="4" w:space="0"/>
              <w:right w:val="single" w:color="000000" w:sz="4" w:space="0"/>
            </w:tcBorders>
          </w:tcPr>
          <w:p>
            <w:pPr>
              <w:pStyle w:val="19"/>
              <w:spacing w:before="13"/>
              <w:ind w:left="183"/>
              <w:jc w:val="left"/>
              <w:rPr>
                <w:rFonts w:ascii="Times New Roman"/>
                <w:sz w:val="21"/>
              </w:rPr>
            </w:pPr>
            <w:r>
              <w:rPr>
                <w:rFonts w:ascii="Times New Roman"/>
                <w:sz w:val="21"/>
              </w:rPr>
              <w:t>17.46</w:t>
            </w:r>
          </w:p>
        </w:tc>
        <w:tc>
          <w:tcPr>
            <w:tcW w:w="832" w:type="dxa"/>
            <w:tcBorders>
              <w:top w:val="single" w:color="000000" w:sz="4" w:space="0"/>
              <w:left w:val="single" w:color="000000" w:sz="4" w:space="0"/>
              <w:bottom w:val="single" w:color="000000" w:sz="4" w:space="0"/>
              <w:right w:val="single" w:color="000000" w:sz="4" w:space="0"/>
            </w:tcBorders>
          </w:tcPr>
          <w:p>
            <w:pPr>
              <w:pStyle w:val="19"/>
              <w:spacing w:before="13"/>
              <w:ind w:left="110" w:right="92"/>
              <w:rPr>
                <w:rFonts w:ascii="Times New Roman"/>
                <w:sz w:val="21"/>
              </w:rPr>
            </w:pPr>
            <w:r>
              <w:rPr>
                <w:rFonts w:ascii="Times New Roman"/>
                <w:sz w:val="21"/>
              </w:rPr>
              <w:t>0.04</w:t>
            </w:r>
          </w:p>
        </w:tc>
        <w:tc>
          <w:tcPr>
            <w:tcW w:w="834" w:type="dxa"/>
            <w:tcBorders>
              <w:top w:val="single" w:color="000000" w:sz="4" w:space="0"/>
              <w:left w:val="single" w:color="000000" w:sz="4" w:space="0"/>
              <w:bottom w:val="single" w:color="000000" w:sz="4" w:space="0"/>
              <w:right w:val="single" w:color="000000" w:sz="4" w:space="0"/>
            </w:tcBorders>
          </w:tcPr>
          <w:p>
            <w:pPr>
              <w:pStyle w:val="19"/>
              <w:spacing w:before="13"/>
              <w:ind w:left="186"/>
              <w:jc w:val="left"/>
              <w:rPr>
                <w:rFonts w:ascii="Times New Roman"/>
                <w:sz w:val="21"/>
              </w:rPr>
            </w:pPr>
            <w:r>
              <w:rPr>
                <w:rFonts w:ascii="Times New Roman"/>
                <w:sz w:val="21"/>
              </w:rPr>
              <w:t>0.144</w:t>
            </w:r>
          </w:p>
        </w:tc>
        <w:tc>
          <w:tcPr>
            <w:tcW w:w="815" w:type="dxa"/>
            <w:tcBorders>
              <w:top w:val="single" w:color="000000" w:sz="4" w:space="0"/>
              <w:left w:val="single" w:color="000000" w:sz="4" w:space="0"/>
              <w:bottom w:val="single" w:color="000000" w:sz="4" w:space="0"/>
              <w:right w:val="single" w:color="000000" w:sz="4" w:space="0"/>
            </w:tcBorders>
          </w:tcPr>
          <w:p>
            <w:pPr>
              <w:pStyle w:val="19"/>
              <w:spacing w:before="13"/>
              <w:ind w:left="230" w:right="215"/>
              <w:rPr>
                <w:rFonts w:ascii="Times New Roman"/>
                <w:sz w:val="21"/>
              </w:rPr>
            </w:pPr>
            <w:r>
              <w:rPr>
                <w:rFonts w:ascii="Times New Roman"/>
                <w:sz w:val="21"/>
              </w:rPr>
              <w:t>50</w:t>
            </w:r>
          </w:p>
        </w:tc>
        <w:tc>
          <w:tcPr>
            <w:tcW w:w="815" w:type="dxa"/>
            <w:vMerge w:val="restart"/>
            <w:tcBorders>
              <w:top w:val="single" w:color="000000" w:sz="4" w:space="0"/>
              <w:left w:val="single" w:color="000000" w:sz="4" w:space="0"/>
              <w:bottom w:val="single" w:color="000000" w:sz="4" w:space="0"/>
            </w:tcBorders>
          </w:tcPr>
          <w:p>
            <w:pPr>
              <w:pStyle w:val="19"/>
              <w:spacing w:before="5"/>
              <w:jc w:val="left"/>
              <w:rPr>
                <w:b/>
                <w:sz w:val="24"/>
              </w:rPr>
            </w:pPr>
          </w:p>
          <w:p>
            <w:pPr>
              <w:pStyle w:val="19"/>
              <w:ind w:left="200"/>
              <w:jc w:val="left"/>
              <w:rPr>
                <w:rFonts w:ascii="Times New Roman"/>
                <w:sz w:val="21"/>
              </w:rPr>
            </w:pPr>
            <w:r>
              <w:rPr>
                <w:rFonts w:ascii="Times New Roman"/>
                <w:sz w:val="21"/>
              </w:rPr>
              <w:t>3240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 w:hRule="atLeast"/>
        </w:trPr>
        <w:tc>
          <w:tcPr>
            <w:tcW w:w="523" w:type="dxa"/>
            <w:vMerge w:val="continue"/>
            <w:tcBorders>
              <w:top w:val="nil"/>
              <w:right w:val="single" w:color="000000" w:sz="4" w:space="0"/>
            </w:tcBorders>
          </w:tcPr>
          <w:p>
            <w:pPr>
              <w:rPr>
                <w:sz w:val="2"/>
                <w:szCs w:val="2"/>
              </w:rPr>
            </w:pPr>
          </w:p>
        </w:tc>
        <w:tc>
          <w:tcPr>
            <w:tcW w:w="1115" w:type="dxa"/>
            <w:vMerge w:val="continue"/>
            <w:tcBorders>
              <w:top w:val="nil"/>
              <w:left w:val="single" w:color="000000" w:sz="4" w:space="0"/>
              <w:bottom w:val="single" w:color="000000" w:sz="4" w:space="0"/>
              <w:right w:val="single" w:color="000000" w:sz="4" w:space="0"/>
            </w:tcBorders>
          </w:tcPr>
          <w:p>
            <w:pPr>
              <w:rPr>
                <w:sz w:val="2"/>
                <w:szCs w:val="2"/>
              </w:rPr>
            </w:pPr>
          </w:p>
        </w:tc>
        <w:tc>
          <w:tcPr>
            <w:tcW w:w="740" w:type="dxa"/>
            <w:tcBorders>
              <w:top w:val="single" w:color="000000" w:sz="4" w:space="0"/>
              <w:left w:val="single" w:color="000000" w:sz="4" w:space="0"/>
              <w:bottom w:val="single" w:color="000000" w:sz="4" w:space="0"/>
              <w:right w:val="single" w:color="000000" w:sz="4" w:space="0"/>
            </w:tcBorders>
          </w:tcPr>
          <w:p>
            <w:pPr>
              <w:pStyle w:val="19"/>
              <w:spacing w:line="237" w:lineRule="exact"/>
              <w:ind w:left="170"/>
              <w:jc w:val="left"/>
              <w:rPr>
                <w:rFonts w:ascii="Times New Roman"/>
                <w:sz w:val="21"/>
              </w:rPr>
            </w:pPr>
            <w:r>
              <w:rPr>
                <w:rFonts w:ascii="Times New Roman"/>
                <w:sz w:val="21"/>
              </w:rPr>
              <w:t>NOx</w:t>
            </w: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62"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tcBorders>
              <w:top w:val="single" w:color="000000" w:sz="4" w:space="0"/>
              <w:left w:val="single" w:color="000000" w:sz="4" w:space="0"/>
              <w:bottom w:val="single" w:color="000000" w:sz="4" w:space="0"/>
              <w:right w:val="single" w:color="000000" w:sz="4" w:space="0"/>
            </w:tcBorders>
          </w:tcPr>
          <w:p>
            <w:pPr>
              <w:pStyle w:val="19"/>
              <w:spacing w:line="237" w:lineRule="exact"/>
              <w:ind w:left="169" w:right="150"/>
              <w:rPr>
                <w:rFonts w:ascii="Times New Roman"/>
                <w:sz w:val="21"/>
              </w:rPr>
            </w:pPr>
            <w:r>
              <w:rPr>
                <w:rFonts w:ascii="Times New Roman"/>
                <w:color w:val="FF0000"/>
                <w:sz w:val="21"/>
              </w:rPr>
              <w:t>161.8</w:t>
            </w:r>
          </w:p>
        </w:tc>
        <w:tc>
          <w:tcPr>
            <w:tcW w:w="964" w:type="dxa"/>
            <w:tcBorders>
              <w:top w:val="single" w:color="000000" w:sz="4" w:space="0"/>
              <w:left w:val="single" w:color="000000" w:sz="4" w:space="0"/>
              <w:bottom w:val="single" w:color="000000" w:sz="4" w:space="0"/>
              <w:right w:val="single" w:color="000000" w:sz="4" w:space="0"/>
            </w:tcBorders>
          </w:tcPr>
          <w:p>
            <w:pPr>
              <w:pStyle w:val="19"/>
              <w:spacing w:line="237" w:lineRule="exact"/>
              <w:ind w:right="280"/>
              <w:jc w:val="right"/>
              <w:rPr>
                <w:rFonts w:ascii="Times New Roman"/>
                <w:sz w:val="21"/>
              </w:rPr>
            </w:pPr>
            <w:r>
              <w:rPr>
                <w:rFonts w:ascii="Times New Roman"/>
                <w:color w:val="FF0000"/>
                <w:sz w:val="21"/>
              </w:rPr>
              <w:t>1.84</w:t>
            </w:r>
          </w:p>
        </w:tc>
        <w:tc>
          <w:tcPr>
            <w:tcW w:w="1271" w:type="dxa"/>
            <w:tcBorders>
              <w:top w:val="single" w:color="000000" w:sz="4" w:space="0"/>
              <w:left w:val="single" w:color="000000" w:sz="4" w:space="0"/>
              <w:bottom w:val="single" w:color="000000" w:sz="4" w:space="0"/>
              <w:right w:val="single" w:color="000000" w:sz="4" w:space="0"/>
            </w:tcBorders>
          </w:tcPr>
          <w:p>
            <w:pPr>
              <w:pStyle w:val="19"/>
              <w:spacing w:line="237" w:lineRule="exact"/>
              <w:ind w:left="18"/>
              <w:rPr>
                <w:rFonts w:ascii="Times New Roman"/>
                <w:sz w:val="21"/>
              </w:rPr>
            </w:pPr>
            <w:r>
              <w:rPr>
                <w:rFonts w:ascii="Times New Roman"/>
                <w:w w:val="99"/>
                <w:sz w:val="21"/>
              </w:rPr>
              <w:t>/</w:t>
            </w:r>
          </w:p>
        </w:tc>
        <w:tc>
          <w:tcPr>
            <w:tcW w:w="848" w:type="dxa"/>
            <w:tcBorders>
              <w:top w:val="single" w:color="000000" w:sz="4" w:space="0"/>
              <w:left w:val="single" w:color="000000" w:sz="4" w:space="0"/>
              <w:bottom w:val="single" w:color="000000" w:sz="4" w:space="0"/>
              <w:right w:val="single" w:color="000000" w:sz="4" w:space="0"/>
            </w:tcBorders>
          </w:tcPr>
          <w:p>
            <w:pPr>
              <w:pStyle w:val="19"/>
              <w:spacing w:line="237" w:lineRule="exact"/>
              <w:ind w:left="19"/>
              <w:rPr>
                <w:rFonts w:ascii="Times New Roman"/>
                <w:sz w:val="21"/>
              </w:rPr>
            </w:pPr>
            <w:r>
              <w:rPr>
                <w:rFonts w:ascii="Times New Roman"/>
                <w:w w:val="99"/>
                <w:sz w:val="21"/>
              </w:rPr>
              <w:t>0</w:t>
            </w: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tcBorders>
              <w:top w:val="single" w:color="000000" w:sz="4" w:space="0"/>
              <w:left w:val="single" w:color="000000" w:sz="4" w:space="0"/>
              <w:bottom w:val="single" w:color="000000" w:sz="4" w:space="0"/>
              <w:right w:val="single" w:color="000000" w:sz="4" w:space="0"/>
            </w:tcBorders>
          </w:tcPr>
          <w:p>
            <w:pPr>
              <w:pStyle w:val="19"/>
              <w:spacing w:line="237" w:lineRule="exact"/>
              <w:ind w:left="183"/>
              <w:jc w:val="left"/>
              <w:rPr>
                <w:rFonts w:ascii="Times New Roman"/>
                <w:sz w:val="21"/>
              </w:rPr>
            </w:pPr>
            <w:r>
              <w:rPr>
                <w:rFonts w:ascii="Times New Roman"/>
                <w:color w:val="FF0000"/>
                <w:sz w:val="21"/>
              </w:rPr>
              <w:t>161.8</w:t>
            </w:r>
          </w:p>
        </w:tc>
        <w:tc>
          <w:tcPr>
            <w:tcW w:w="832" w:type="dxa"/>
            <w:tcBorders>
              <w:top w:val="single" w:color="000000" w:sz="4" w:space="0"/>
              <w:left w:val="single" w:color="000000" w:sz="4" w:space="0"/>
              <w:bottom w:val="single" w:color="000000" w:sz="4" w:space="0"/>
              <w:right w:val="single" w:color="000000" w:sz="4" w:space="0"/>
            </w:tcBorders>
          </w:tcPr>
          <w:p>
            <w:pPr>
              <w:pStyle w:val="19"/>
              <w:spacing w:line="237" w:lineRule="exact"/>
              <w:ind w:left="110" w:right="92"/>
              <w:rPr>
                <w:rFonts w:ascii="Times New Roman"/>
                <w:sz w:val="21"/>
              </w:rPr>
            </w:pPr>
            <w:r>
              <w:rPr>
                <w:rFonts w:ascii="Times New Roman"/>
                <w:color w:val="FF0000"/>
                <w:sz w:val="21"/>
              </w:rPr>
              <w:t>0.57</w:t>
            </w:r>
          </w:p>
        </w:tc>
        <w:tc>
          <w:tcPr>
            <w:tcW w:w="834" w:type="dxa"/>
            <w:tcBorders>
              <w:top w:val="single" w:color="000000" w:sz="4" w:space="0"/>
              <w:left w:val="single" w:color="000000" w:sz="4" w:space="0"/>
              <w:bottom w:val="single" w:color="000000" w:sz="4" w:space="0"/>
              <w:right w:val="single" w:color="000000" w:sz="4" w:space="0"/>
            </w:tcBorders>
          </w:tcPr>
          <w:p>
            <w:pPr>
              <w:pStyle w:val="19"/>
              <w:spacing w:line="237" w:lineRule="exact"/>
              <w:ind w:left="237"/>
              <w:jc w:val="left"/>
              <w:rPr>
                <w:rFonts w:ascii="Times New Roman"/>
                <w:sz w:val="21"/>
              </w:rPr>
            </w:pPr>
            <w:r>
              <w:rPr>
                <w:rFonts w:ascii="Times New Roman"/>
                <w:color w:val="FF0000"/>
                <w:sz w:val="21"/>
              </w:rPr>
              <w:t>1.84</w:t>
            </w:r>
          </w:p>
        </w:tc>
        <w:tc>
          <w:tcPr>
            <w:tcW w:w="815" w:type="dxa"/>
            <w:tcBorders>
              <w:top w:val="single" w:color="000000" w:sz="4" w:space="0"/>
              <w:left w:val="single" w:color="000000" w:sz="4" w:space="0"/>
              <w:bottom w:val="single" w:color="000000" w:sz="4" w:space="0"/>
              <w:right w:val="single" w:color="000000" w:sz="4" w:space="0"/>
            </w:tcBorders>
          </w:tcPr>
          <w:p>
            <w:pPr>
              <w:pStyle w:val="19"/>
              <w:spacing w:line="237" w:lineRule="exact"/>
              <w:ind w:left="235" w:right="215"/>
              <w:rPr>
                <w:rFonts w:ascii="Times New Roman"/>
                <w:sz w:val="21"/>
              </w:rPr>
            </w:pPr>
            <w:r>
              <w:rPr>
                <w:rFonts w:ascii="Times New Roman"/>
                <w:sz w:val="21"/>
              </w:rPr>
              <w:t>300</w:t>
            </w:r>
          </w:p>
        </w:tc>
        <w:tc>
          <w:tcPr>
            <w:tcW w:w="81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523" w:type="dxa"/>
            <w:vMerge w:val="continue"/>
            <w:tcBorders>
              <w:top w:val="nil"/>
              <w:right w:val="single" w:color="000000" w:sz="4" w:space="0"/>
            </w:tcBorders>
          </w:tcPr>
          <w:p>
            <w:pPr>
              <w:rPr>
                <w:sz w:val="2"/>
                <w:szCs w:val="2"/>
              </w:rPr>
            </w:pPr>
          </w:p>
        </w:tc>
        <w:tc>
          <w:tcPr>
            <w:tcW w:w="1115" w:type="dxa"/>
            <w:vMerge w:val="continue"/>
            <w:tcBorders>
              <w:top w:val="nil"/>
              <w:left w:val="single" w:color="000000" w:sz="4" w:space="0"/>
              <w:bottom w:val="single" w:color="000000" w:sz="4" w:space="0"/>
              <w:right w:val="single" w:color="000000" w:sz="4" w:space="0"/>
            </w:tcBorders>
          </w:tcPr>
          <w:p>
            <w:pPr>
              <w:rPr>
                <w:sz w:val="2"/>
                <w:szCs w:val="2"/>
              </w:rPr>
            </w:pPr>
          </w:p>
        </w:tc>
        <w:tc>
          <w:tcPr>
            <w:tcW w:w="740" w:type="dxa"/>
            <w:tcBorders>
              <w:top w:val="single" w:color="000000" w:sz="4" w:space="0"/>
              <w:left w:val="single" w:color="000000" w:sz="4" w:space="0"/>
              <w:bottom w:val="single" w:color="000000" w:sz="4" w:space="0"/>
              <w:right w:val="single" w:color="000000" w:sz="4" w:space="0"/>
            </w:tcBorders>
          </w:tcPr>
          <w:p>
            <w:pPr>
              <w:pStyle w:val="19"/>
              <w:spacing w:line="254" w:lineRule="exact"/>
              <w:ind w:left="206"/>
              <w:jc w:val="left"/>
              <w:rPr>
                <w:rFonts w:ascii="Times New Roman"/>
                <w:sz w:val="21"/>
              </w:rPr>
            </w:pPr>
            <w:r>
              <w:rPr>
                <w:rFonts w:ascii="Times New Roman"/>
                <w:position w:val="2"/>
                <w:sz w:val="21"/>
              </w:rPr>
              <w:t>SO</w:t>
            </w:r>
            <w:r>
              <w:rPr>
                <w:rFonts w:ascii="Times New Roman"/>
                <w:position w:val="2"/>
                <w:sz w:val="21"/>
                <w:vertAlign w:val="subscript"/>
              </w:rPr>
              <w:t>2</w:t>
            </w: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62"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tcBorders>
              <w:top w:val="single" w:color="000000" w:sz="4" w:space="0"/>
              <w:left w:val="single" w:color="000000" w:sz="4" w:space="0"/>
              <w:bottom w:val="single" w:color="000000" w:sz="4" w:space="0"/>
              <w:right w:val="single" w:color="000000" w:sz="4" w:space="0"/>
            </w:tcBorders>
          </w:tcPr>
          <w:p>
            <w:pPr>
              <w:pStyle w:val="19"/>
              <w:spacing w:line="238" w:lineRule="exact"/>
              <w:ind w:left="169" w:right="150"/>
              <w:rPr>
                <w:rFonts w:ascii="Times New Roman"/>
                <w:sz w:val="21"/>
              </w:rPr>
            </w:pPr>
            <w:r>
              <w:rPr>
                <w:rFonts w:ascii="Times New Roman"/>
                <w:sz w:val="21"/>
              </w:rPr>
              <w:t>31.49</w:t>
            </w:r>
          </w:p>
        </w:tc>
        <w:tc>
          <w:tcPr>
            <w:tcW w:w="964" w:type="dxa"/>
            <w:tcBorders>
              <w:top w:val="single" w:color="000000" w:sz="4" w:space="0"/>
              <w:left w:val="single" w:color="000000" w:sz="4" w:space="0"/>
              <w:bottom w:val="single" w:color="000000" w:sz="4" w:space="0"/>
              <w:right w:val="single" w:color="000000" w:sz="4" w:space="0"/>
            </w:tcBorders>
          </w:tcPr>
          <w:p>
            <w:pPr>
              <w:pStyle w:val="19"/>
              <w:spacing w:line="238" w:lineRule="exact"/>
              <w:ind w:right="280"/>
              <w:jc w:val="right"/>
              <w:rPr>
                <w:rFonts w:ascii="Times New Roman"/>
                <w:sz w:val="21"/>
              </w:rPr>
            </w:pPr>
            <w:r>
              <w:rPr>
                <w:rFonts w:ascii="Times New Roman"/>
                <w:sz w:val="21"/>
              </w:rPr>
              <w:t>0.26</w:t>
            </w:r>
          </w:p>
        </w:tc>
        <w:tc>
          <w:tcPr>
            <w:tcW w:w="1271" w:type="dxa"/>
            <w:tcBorders>
              <w:top w:val="single" w:color="000000" w:sz="4" w:space="0"/>
              <w:left w:val="single" w:color="000000" w:sz="4" w:space="0"/>
              <w:bottom w:val="single" w:color="000000" w:sz="4" w:space="0"/>
              <w:right w:val="single" w:color="000000" w:sz="4" w:space="0"/>
            </w:tcBorders>
          </w:tcPr>
          <w:p>
            <w:pPr>
              <w:pStyle w:val="19"/>
              <w:spacing w:line="238" w:lineRule="exact"/>
              <w:ind w:left="18"/>
              <w:rPr>
                <w:rFonts w:ascii="Times New Roman"/>
                <w:sz w:val="21"/>
              </w:rPr>
            </w:pPr>
            <w:r>
              <w:rPr>
                <w:rFonts w:ascii="Times New Roman"/>
                <w:w w:val="99"/>
                <w:sz w:val="21"/>
              </w:rPr>
              <w:t>/</w:t>
            </w:r>
          </w:p>
        </w:tc>
        <w:tc>
          <w:tcPr>
            <w:tcW w:w="848" w:type="dxa"/>
            <w:tcBorders>
              <w:top w:val="single" w:color="000000" w:sz="4" w:space="0"/>
              <w:left w:val="single" w:color="000000" w:sz="4" w:space="0"/>
              <w:bottom w:val="single" w:color="000000" w:sz="4" w:space="0"/>
              <w:right w:val="single" w:color="000000" w:sz="4" w:space="0"/>
            </w:tcBorders>
          </w:tcPr>
          <w:p>
            <w:pPr>
              <w:pStyle w:val="19"/>
              <w:spacing w:line="238" w:lineRule="exact"/>
              <w:ind w:left="19"/>
              <w:rPr>
                <w:rFonts w:ascii="Times New Roman"/>
                <w:sz w:val="21"/>
              </w:rPr>
            </w:pPr>
            <w:r>
              <w:rPr>
                <w:rFonts w:ascii="Times New Roman"/>
                <w:w w:val="99"/>
                <w:sz w:val="21"/>
              </w:rPr>
              <w:t>0</w:t>
            </w: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tcBorders>
              <w:top w:val="single" w:color="000000" w:sz="4" w:space="0"/>
              <w:left w:val="single" w:color="000000" w:sz="4" w:space="0"/>
              <w:bottom w:val="single" w:color="000000" w:sz="4" w:space="0"/>
              <w:right w:val="single" w:color="000000" w:sz="4" w:space="0"/>
            </w:tcBorders>
          </w:tcPr>
          <w:p>
            <w:pPr>
              <w:pStyle w:val="19"/>
              <w:spacing w:line="238" w:lineRule="exact"/>
              <w:ind w:left="183"/>
              <w:jc w:val="left"/>
              <w:rPr>
                <w:rFonts w:ascii="Times New Roman"/>
                <w:sz w:val="21"/>
              </w:rPr>
            </w:pPr>
            <w:r>
              <w:rPr>
                <w:rFonts w:ascii="Times New Roman"/>
                <w:sz w:val="21"/>
              </w:rPr>
              <w:t>31.49</w:t>
            </w:r>
          </w:p>
        </w:tc>
        <w:tc>
          <w:tcPr>
            <w:tcW w:w="832" w:type="dxa"/>
            <w:tcBorders>
              <w:top w:val="single" w:color="000000" w:sz="4" w:space="0"/>
              <w:left w:val="single" w:color="000000" w:sz="4" w:space="0"/>
              <w:bottom w:val="single" w:color="000000" w:sz="4" w:space="0"/>
              <w:right w:val="single" w:color="000000" w:sz="4" w:space="0"/>
            </w:tcBorders>
          </w:tcPr>
          <w:p>
            <w:pPr>
              <w:pStyle w:val="19"/>
              <w:spacing w:line="238" w:lineRule="exact"/>
              <w:ind w:left="110" w:right="92"/>
              <w:rPr>
                <w:rFonts w:ascii="Times New Roman"/>
                <w:sz w:val="21"/>
              </w:rPr>
            </w:pPr>
            <w:r>
              <w:rPr>
                <w:rFonts w:ascii="Times New Roman"/>
                <w:sz w:val="21"/>
              </w:rPr>
              <w:t>0.08</w:t>
            </w:r>
          </w:p>
        </w:tc>
        <w:tc>
          <w:tcPr>
            <w:tcW w:w="834" w:type="dxa"/>
            <w:tcBorders>
              <w:top w:val="single" w:color="000000" w:sz="4" w:space="0"/>
              <w:left w:val="single" w:color="000000" w:sz="4" w:space="0"/>
              <w:bottom w:val="single" w:color="000000" w:sz="4" w:space="0"/>
              <w:right w:val="single" w:color="000000" w:sz="4" w:space="0"/>
            </w:tcBorders>
          </w:tcPr>
          <w:p>
            <w:pPr>
              <w:pStyle w:val="19"/>
              <w:spacing w:line="238" w:lineRule="exact"/>
              <w:ind w:left="237"/>
              <w:jc w:val="left"/>
              <w:rPr>
                <w:rFonts w:ascii="Times New Roman"/>
                <w:sz w:val="21"/>
              </w:rPr>
            </w:pPr>
            <w:r>
              <w:rPr>
                <w:rFonts w:ascii="Times New Roman"/>
                <w:sz w:val="21"/>
              </w:rPr>
              <w:t>0.26</w:t>
            </w:r>
          </w:p>
        </w:tc>
        <w:tc>
          <w:tcPr>
            <w:tcW w:w="815" w:type="dxa"/>
            <w:tcBorders>
              <w:top w:val="single" w:color="000000" w:sz="4" w:space="0"/>
              <w:left w:val="single" w:color="000000" w:sz="4" w:space="0"/>
              <w:bottom w:val="single" w:color="000000" w:sz="4" w:space="0"/>
              <w:right w:val="single" w:color="000000" w:sz="4" w:space="0"/>
            </w:tcBorders>
          </w:tcPr>
          <w:p>
            <w:pPr>
              <w:pStyle w:val="19"/>
              <w:spacing w:line="238" w:lineRule="exact"/>
              <w:ind w:left="235" w:right="215"/>
              <w:rPr>
                <w:rFonts w:ascii="Times New Roman"/>
                <w:sz w:val="21"/>
              </w:rPr>
            </w:pPr>
            <w:r>
              <w:rPr>
                <w:rFonts w:ascii="Times New Roman"/>
                <w:sz w:val="21"/>
              </w:rPr>
              <w:t>300</w:t>
            </w:r>
          </w:p>
        </w:tc>
        <w:tc>
          <w:tcPr>
            <w:tcW w:w="81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523" w:type="dxa"/>
            <w:vMerge w:val="continue"/>
            <w:tcBorders>
              <w:top w:val="nil"/>
              <w:right w:val="single" w:color="000000" w:sz="4" w:space="0"/>
            </w:tcBorders>
          </w:tcPr>
          <w:p>
            <w:pPr>
              <w:rPr>
                <w:sz w:val="2"/>
                <w:szCs w:val="2"/>
              </w:rPr>
            </w:pPr>
          </w:p>
        </w:tc>
        <w:tc>
          <w:tcPr>
            <w:tcW w:w="1115" w:type="dxa"/>
            <w:vMerge w:val="restart"/>
            <w:tcBorders>
              <w:top w:val="single" w:color="000000" w:sz="4" w:space="0"/>
              <w:left w:val="single" w:color="000000" w:sz="4" w:space="0"/>
              <w:bottom w:val="single" w:color="000000" w:sz="4" w:space="0"/>
              <w:right w:val="single" w:color="000000" w:sz="4" w:space="0"/>
            </w:tcBorders>
          </w:tcPr>
          <w:p>
            <w:pPr>
              <w:pStyle w:val="19"/>
              <w:spacing w:before="131" w:line="290" w:lineRule="auto"/>
              <w:ind w:left="245" w:right="122" w:hanging="104"/>
              <w:jc w:val="left"/>
              <w:rPr>
                <w:sz w:val="21"/>
              </w:rPr>
            </w:pPr>
            <w:r>
              <w:rPr>
                <w:sz w:val="21"/>
              </w:rPr>
              <w:t>副井锅炉房烟囱</w:t>
            </w:r>
          </w:p>
        </w:tc>
        <w:tc>
          <w:tcPr>
            <w:tcW w:w="740" w:type="dxa"/>
            <w:tcBorders>
              <w:top w:val="single" w:color="000000" w:sz="4" w:space="0"/>
              <w:left w:val="single" w:color="000000" w:sz="4" w:space="0"/>
              <w:bottom w:val="single" w:color="000000" w:sz="4" w:space="0"/>
              <w:right w:val="single" w:color="000000" w:sz="4" w:space="0"/>
            </w:tcBorders>
          </w:tcPr>
          <w:p>
            <w:pPr>
              <w:pStyle w:val="19"/>
              <w:spacing w:line="266" w:lineRule="exact"/>
              <w:ind w:left="165"/>
              <w:jc w:val="left"/>
              <w:rPr>
                <w:sz w:val="21"/>
              </w:rPr>
            </w:pPr>
            <w:r>
              <w:rPr>
                <w:sz w:val="21"/>
              </w:rPr>
              <w:t>烟尘</w:t>
            </w:r>
          </w:p>
        </w:tc>
        <w:tc>
          <w:tcPr>
            <w:tcW w:w="963" w:type="dxa"/>
            <w:vMerge w:val="restart"/>
            <w:tcBorders>
              <w:top w:val="single" w:color="000000" w:sz="4" w:space="0"/>
              <w:left w:val="single" w:color="000000" w:sz="4" w:space="0"/>
              <w:bottom w:val="single" w:color="000000" w:sz="4" w:space="0"/>
              <w:right w:val="single" w:color="000000" w:sz="4" w:space="0"/>
            </w:tcBorders>
          </w:tcPr>
          <w:p>
            <w:pPr>
              <w:pStyle w:val="19"/>
              <w:spacing w:before="131" w:line="290" w:lineRule="auto"/>
              <w:ind w:left="171" w:right="150" w:firstLine="103"/>
              <w:jc w:val="left"/>
              <w:rPr>
                <w:sz w:val="21"/>
              </w:rPr>
            </w:pPr>
            <w:r>
              <w:rPr>
                <w:sz w:val="21"/>
              </w:rPr>
              <w:t>物料衡算法</w:t>
            </w:r>
          </w:p>
        </w:tc>
        <w:tc>
          <w:tcPr>
            <w:tcW w:w="962" w:type="dxa"/>
            <w:vMerge w:val="restart"/>
            <w:tcBorders>
              <w:top w:val="single" w:color="000000" w:sz="4" w:space="0"/>
              <w:left w:val="single" w:color="000000" w:sz="4" w:space="0"/>
              <w:bottom w:val="single" w:color="000000" w:sz="4" w:space="0"/>
              <w:right w:val="single" w:color="000000" w:sz="4" w:space="0"/>
            </w:tcBorders>
          </w:tcPr>
          <w:p>
            <w:pPr>
              <w:pStyle w:val="19"/>
              <w:spacing w:before="5"/>
              <w:jc w:val="left"/>
              <w:rPr>
                <w:b/>
                <w:sz w:val="24"/>
              </w:rPr>
            </w:pPr>
          </w:p>
          <w:p>
            <w:pPr>
              <w:pStyle w:val="19"/>
              <w:ind w:left="276"/>
              <w:jc w:val="left"/>
              <w:rPr>
                <w:rFonts w:ascii="Times New Roman"/>
                <w:sz w:val="21"/>
              </w:rPr>
            </w:pPr>
            <w:r>
              <w:rPr>
                <w:rFonts w:ascii="Times New Roman"/>
                <w:sz w:val="21"/>
              </w:rPr>
              <w:t>2166</w:t>
            </w:r>
          </w:p>
        </w:tc>
        <w:tc>
          <w:tcPr>
            <w:tcW w:w="963" w:type="dxa"/>
            <w:tcBorders>
              <w:top w:val="single" w:color="000000" w:sz="4" w:space="0"/>
              <w:left w:val="single" w:color="000000" w:sz="4" w:space="0"/>
              <w:bottom w:val="single" w:color="000000" w:sz="4" w:space="0"/>
              <w:right w:val="single" w:color="000000" w:sz="4" w:space="0"/>
            </w:tcBorders>
          </w:tcPr>
          <w:p>
            <w:pPr>
              <w:pStyle w:val="19"/>
              <w:spacing w:before="13"/>
              <w:ind w:left="169" w:right="150"/>
              <w:rPr>
                <w:rFonts w:ascii="Times New Roman"/>
                <w:sz w:val="21"/>
              </w:rPr>
            </w:pPr>
            <w:r>
              <w:rPr>
                <w:rFonts w:ascii="Times New Roman"/>
                <w:sz w:val="21"/>
              </w:rPr>
              <w:t>24086</w:t>
            </w:r>
          </w:p>
        </w:tc>
        <w:tc>
          <w:tcPr>
            <w:tcW w:w="964" w:type="dxa"/>
            <w:tcBorders>
              <w:top w:val="single" w:color="000000" w:sz="4" w:space="0"/>
              <w:left w:val="single" w:color="000000" w:sz="4" w:space="0"/>
              <w:bottom w:val="single" w:color="000000" w:sz="4" w:space="0"/>
              <w:right w:val="single" w:color="000000" w:sz="4" w:space="0"/>
            </w:tcBorders>
          </w:tcPr>
          <w:p>
            <w:pPr>
              <w:pStyle w:val="19"/>
              <w:spacing w:before="37"/>
              <w:ind w:right="307"/>
              <w:jc w:val="right"/>
              <w:rPr>
                <w:rFonts w:ascii="Times New Roman"/>
                <w:sz w:val="21"/>
              </w:rPr>
            </w:pPr>
            <w:r>
              <w:rPr>
                <w:rFonts w:ascii="Times New Roman"/>
                <w:sz w:val="21"/>
              </w:rPr>
              <w:t>148</w:t>
            </w:r>
          </w:p>
        </w:tc>
        <w:tc>
          <w:tcPr>
            <w:tcW w:w="1271" w:type="dxa"/>
            <w:tcBorders>
              <w:top w:val="single" w:color="000000" w:sz="4" w:space="0"/>
              <w:left w:val="single" w:color="000000" w:sz="4" w:space="0"/>
              <w:bottom w:val="single" w:color="000000" w:sz="4" w:space="0"/>
              <w:right w:val="single" w:color="000000" w:sz="4" w:space="0"/>
            </w:tcBorders>
          </w:tcPr>
          <w:p>
            <w:pPr>
              <w:pStyle w:val="19"/>
              <w:spacing w:line="266" w:lineRule="exact"/>
              <w:ind w:left="93" w:right="78"/>
              <w:rPr>
                <w:sz w:val="21"/>
              </w:rPr>
            </w:pPr>
            <w:r>
              <w:rPr>
                <w:sz w:val="21"/>
              </w:rPr>
              <w:t>布袋除尘器</w:t>
            </w:r>
          </w:p>
        </w:tc>
        <w:tc>
          <w:tcPr>
            <w:tcW w:w="848" w:type="dxa"/>
            <w:tcBorders>
              <w:top w:val="single" w:color="000000" w:sz="4" w:space="0"/>
              <w:left w:val="single" w:color="000000" w:sz="4" w:space="0"/>
              <w:bottom w:val="single" w:color="000000" w:sz="4" w:space="0"/>
              <w:right w:val="single" w:color="000000" w:sz="4" w:space="0"/>
            </w:tcBorders>
          </w:tcPr>
          <w:p>
            <w:pPr>
              <w:pStyle w:val="19"/>
              <w:spacing w:before="13"/>
              <w:ind w:left="111" w:right="92"/>
              <w:rPr>
                <w:rFonts w:ascii="Times New Roman"/>
                <w:sz w:val="21"/>
              </w:rPr>
            </w:pPr>
            <w:r>
              <w:rPr>
                <w:rFonts w:ascii="Times New Roman"/>
                <w:sz w:val="21"/>
              </w:rPr>
              <w:t>99.9</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19"/>
              <w:spacing w:before="5"/>
              <w:jc w:val="left"/>
              <w:rPr>
                <w:b/>
                <w:sz w:val="24"/>
              </w:rPr>
            </w:pPr>
          </w:p>
          <w:p>
            <w:pPr>
              <w:pStyle w:val="19"/>
              <w:ind w:left="210"/>
              <w:jc w:val="left"/>
              <w:rPr>
                <w:rFonts w:ascii="Times New Roman"/>
                <w:sz w:val="21"/>
              </w:rPr>
            </w:pPr>
            <w:r>
              <w:rPr>
                <w:rFonts w:ascii="Times New Roman"/>
                <w:sz w:val="21"/>
              </w:rPr>
              <w:t>2166</w:t>
            </w:r>
          </w:p>
        </w:tc>
        <w:tc>
          <w:tcPr>
            <w:tcW w:w="833" w:type="dxa"/>
            <w:tcBorders>
              <w:top w:val="single" w:color="000000" w:sz="4" w:space="0"/>
              <w:left w:val="single" w:color="000000" w:sz="4" w:space="0"/>
              <w:bottom w:val="single" w:color="000000" w:sz="4" w:space="0"/>
              <w:right w:val="single" w:color="000000" w:sz="4" w:space="0"/>
            </w:tcBorders>
          </w:tcPr>
          <w:p>
            <w:pPr>
              <w:pStyle w:val="19"/>
              <w:spacing w:before="13"/>
              <w:ind w:left="183"/>
              <w:jc w:val="left"/>
              <w:rPr>
                <w:rFonts w:ascii="Times New Roman"/>
                <w:sz w:val="21"/>
              </w:rPr>
            </w:pPr>
            <w:r>
              <w:rPr>
                <w:rFonts w:ascii="Times New Roman"/>
                <w:sz w:val="21"/>
              </w:rPr>
              <w:t>24.09</w:t>
            </w:r>
          </w:p>
        </w:tc>
        <w:tc>
          <w:tcPr>
            <w:tcW w:w="832" w:type="dxa"/>
            <w:tcBorders>
              <w:top w:val="single" w:color="000000" w:sz="4" w:space="0"/>
              <w:left w:val="single" w:color="000000" w:sz="4" w:space="0"/>
              <w:bottom w:val="single" w:color="000000" w:sz="4" w:space="0"/>
              <w:right w:val="single" w:color="000000" w:sz="4" w:space="0"/>
            </w:tcBorders>
          </w:tcPr>
          <w:p>
            <w:pPr>
              <w:pStyle w:val="19"/>
              <w:spacing w:before="13"/>
              <w:ind w:left="110" w:right="92"/>
              <w:rPr>
                <w:rFonts w:ascii="Times New Roman"/>
                <w:sz w:val="21"/>
              </w:rPr>
            </w:pPr>
            <w:r>
              <w:rPr>
                <w:rFonts w:ascii="Times New Roman"/>
                <w:sz w:val="21"/>
              </w:rPr>
              <w:t>0.03</w:t>
            </w:r>
          </w:p>
        </w:tc>
        <w:tc>
          <w:tcPr>
            <w:tcW w:w="834" w:type="dxa"/>
            <w:tcBorders>
              <w:top w:val="single" w:color="000000" w:sz="4" w:space="0"/>
              <w:left w:val="single" w:color="000000" w:sz="4" w:space="0"/>
              <w:bottom w:val="single" w:color="000000" w:sz="4" w:space="0"/>
              <w:right w:val="single" w:color="000000" w:sz="4" w:space="0"/>
            </w:tcBorders>
          </w:tcPr>
          <w:p>
            <w:pPr>
              <w:pStyle w:val="19"/>
              <w:spacing w:before="13"/>
              <w:ind w:left="186"/>
              <w:jc w:val="left"/>
              <w:rPr>
                <w:rFonts w:ascii="Times New Roman"/>
                <w:sz w:val="21"/>
              </w:rPr>
            </w:pPr>
            <w:r>
              <w:rPr>
                <w:rFonts w:ascii="Times New Roman"/>
                <w:sz w:val="21"/>
              </w:rPr>
              <w:t>0.148</w:t>
            </w:r>
          </w:p>
        </w:tc>
        <w:tc>
          <w:tcPr>
            <w:tcW w:w="815" w:type="dxa"/>
            <w:tcBorders>
              <w:top w:val="single" w:color="000000" w:sz="4" w:space="0"/>
              <w:left w:val="single" w:color="000000" w:sz="4" w:space="0"/>
              <w:bottom w:val="single" w:color="000000" w:sz="4" w:space="0"/>
              <w:right w:val="single" w:color="000000" w:sz="4" w:space="0"/>
            </w:tcBorders>
          </w:tcPr>
          <w:p>
            <w:pPr>
              <w:pStyle w:val="19"/>
              <w:spacing w:before="13"/>
              <w:ind w:left="230" w:right="215"/>
              <w:rPr>
                <w:rFonts w:ascii="Times New Roman"/>
                <w:sz w:val="21"/>
              </w:rPr>
            </w:pPr>
            <w:r>
              <w:rPr>
                <w:rFonts w:ascii="Times New Roman"/>
                <w:sz w:val="21"/>
              </w:rPr>
              <w:t>50</w:t>
            </w:r>
          </w:p>
        </w:tc>
        <w:tc>
          <w:tcPr>
            <w:tcW w:w="815" w:type="dxa"/>
            <w:vMerge w:val="restart"/>
            <w:tcBorders>
              <w:top w:val="single" w:color="000000" w:sz="4" w:space="0"/>
              <w:left w:val="single" w:color="000000" w:sz="4" w:space="0"/>
              <w:bottom w:val="single" w:color="000000" w:sz="4" w:space="0"/>
            </w:tcBorders>
          </w:tcPr>
          <w:p>
            <w:pPr>
              <w:pStyle w:val="19"/>
              <w:spacing w:before="5"/>
              <w:jc w:val="left"/>
              <w:rPr>
                <w:b/>
                <w:sz w:val="24"/>
              </w:rPr>
            </w:pPr>
          </w:p>
          <w:p>
            <w:pPr>
              <w:pStyle w:val="19"/>
              <w:ind w:left="200"/>
              <w:jc w:val="left"/>
              <w:rPr>
                <w:rFonts w:ascii="Times New Roman"/>
                <w:sz w:val="21"/>
              </w:rPr>
            </w:pPr>
            <w:r>
              <w:rPr>
                <w:rFonts w:ascii="Times New Roman"/>
                <w:sz w:val="21"/>
              </w:rPr>
              <w:t>5400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523" w:type="dxa"/>
            <w:vMerge w:val="continue"/>
            <w:tcBorders>
              <w:top w:val="nil"/>
              <w:right w:val="single" w:color="000000" w:sz="4" w:space="0"/>
            </w:tcBorders>
          </w:tcPr>
          <w:p>
            <w:pPr>
              <w:rPr>
                <w:sz w:val="2"/>
                <w:szCs w:val="2"/>
              </w:rPr>
            </w:pPr>
          </w:p>
        </w:tc>
        <w:tc>
          <w:tcPr>
            <w:tcW w:w="1115" w:type="dxa"/>
            <w:vMerge w:val="continue"/>
            <w:tcBorders>
              <w:top w:val="nil"/>
              <w:left w:val="single" w:color="000000" w:sz="4" w:space="0"/>
              <w:bottom w:val="single" w:color="000000" w:sz="4" w:space="0"/>
              <w:right w:val="single" w:color="000000" w:sz="4" w:space="0"/>
            </w:tcBorders>
          </w:tcPr>
          <w:p>
            <w:pPr>
              <w:rPr>
                <w:sz w:val="2"/>
                <w:szCs w:val="2"/>
              </w:rPr>
            </w:pPr>
          </w:p>
        </w:tc>
        <w:tc>
          <w:tcPr>
            <w:tcW w:w="740" w:type="dxa"/>
            <w:tcBorders>
              <w:top w:val="single" w:color="000000" w:sz="4" w:space="0"/>
              <w:left w:val="single" w:color="000000" w:sz="4" w:space="0"/>
              <w:bottom w:val="single" w:color="000000" w:sz="4" w:space="0"/>
              <w:right w:val="single" w:color="000000" w:sz="4" w:space="0"/>
            </w:tcBorders>
          </w:tcPr>
          <w:p>
            <w:pPr>
              <w:pStyle w:val="19"/>
              <w:spacing w:line="237" w:lineRule="exact"/>
              <w:ind w:left="170"/>
              <w:jc w:val="left"/>
              <w:rPr>
                <w:rFonts w:ascii="Times New Roman"/>
                <w:sz w:val="21"/>
              </w:rPr>
            </w:pPr>
            <w:r>
              <w:rPr>
                <w:rFonts w:ascii="Times New Roman"/>
                <w:sz w:val="21"/>
              </w:rPr>
              <w:t>NOx</w:t>
            </w: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62"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tcBorders>
              <w:top w:val="single" w:color="000000" w:sz="4" w:space="0"/>
              <w:left w:val="single" w:color="000000" w:sz="4" w:space="0"/>
              <w:bottom w:val="single" w:color="000000" w:sz="4" w:space="0"/>
              <w:right w:val="single" w:color="000000" w:sz="4" w:space="0"/>
            </w:tcBorders>
          </w:tcPr>
          <w:p>
            <w:pPr>
              <w:pStyle w:val="19"/>
              <w:spacing w:line="237" w:lineRule="exact"/>
              <w:ind w:left="169" w:right="150"/>
              <w:rPr>
                <w:rFonts w:ascii="Times New Roman"/>
                <w:sz w:val="21"/>
              </w:rPr>
            </w:pPr>
            <w:r>
              <w:rPr>
                <w:rFonts w:ascii="Times New Roman"/>
                <w:color w:val="FF0000"/>
                <w:sz w:val="21"/>
              </w:rPr>
              <w:t>161.8</w:t>
            </w:r>
          </w:p>
        </w:tc>
        <w:tc>
          <w:tcPr>
            <w:tcW w:w="964" w:type="dxa"/>
            <w:tcBorders>
              <w:top w:val="single" w:color="000000" w:sz="4" w:space="0"/>
              <w:left w:val="single" w:color="000000" w:sz="4" w:space="0"/>
              <w:bottom w:val="single" w:color="000000" w:sz="4" w:space="0"/>
              <w:right w:val="single" w:color="000000" w:sz="4" w:space="0"/>
            </w:tcBorders>
          </w:tcPr>
          <w:p>
            <w:pPr>
              <w:pStyle w:val="19"/>
              <w:spacing w:before="19" w:line="241" w:lineRule="exact"/>
              <w:ind w:right="280"/>
              <w:jc w:val="right"/>
              <w:rPr>
                <w:rFonts w:ascii="Times New Roman"/>
                <w:sz w:val="21"/>
              </w:rPr>
            </w:pPr>
            <w:r>
              <w:rPr>
                <w:rFonts w:ascii="Times New Roman"/>
                <w:color w:val="FF0000"/>
                <w:sz w:val="21"/>
              </w:rPr>
              <w:t>1.89</w:t>
            </w:r>
          </w:p>
        </w:tc>
        <w:tc>
          <w:tcPr>
            <w:tcW w:w="1271" w:type="dxa"/>
            <w:tcBorders>
              <w:top w:val="single" w:color="000000" w:sz="4" w:space="0"/>
              <w:left w:val="single" w:color="000000" w:sz="4" w:space="0"/>
              <w:bottom w:val="single" w:color="000000" w:sz="4" w:space="0"/>
              <w:right w:val="single" w:color="000000" w:sz="4" w:space="0"/>
            </w:tcBorders>
          </w:tcPr>
          <w:p>
            <w:pPr>
              <w:pStyle w:val="19"/>
              <w:spacing w:line="237" w:lineRule="exact"/>
              <w:ind w:left="18"/>
              <w:rPr>
                <w:rFonts w:ascii="Times New Roman"/>
                <w:sz w:val="21"/>
              </w:rPr>
            </w:pPr>
            <w:r>
              <w:rPr>
                <w:rFonts w:ascii="Times New Roman"/>
                <w:w w:val="99"/>
                <w:sz w:val="21"/>
              </w:rPr>
              <w:t>/</w:t>
            </w:r>
          </w:p>
        </w:tc>
        <w:tc>
          <w:tcPr>
            <w:tcW w:w="848" w:type="dxa"/>
            <w:tcBorders>
              <w:top w:val="single" w:color="000000" w:sz="4" w:space="0"/>
              <w:left w:val="single" w:color="000000" w:sz="4" w:space="0"/>
              <w:bottom w:val="single" w:color="000000" w:sz="4" w:space="0"/>
              <w:right w:val="single" w:color="000000" w:sz="4" w:space="0"/>
            </w:tcBorders>
          </w:tcPr>
          <w:p>
            <w:pPr>
              <w:pStyle w:val="19"/>
              <w:spacing w:line="237" w:lineRule="exact"/>
              <w:ind w:left="19"/>
              <w:rPr>
                <w:rFonts w:ascii="Times New Roman"/>
                <w:sz w:val="21"/>
              </w:rPr>
            </w:pPr>
            <w:r>
              <w:rPr>
                <w:rFonts w:ascii="Times New Roman"/>
                <w:w w:val="99"/>
                <w:sz w:val="21"/>
              </w:rPr>
              <w:t>0</w:t>
            </w: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tcBorders>
              <w:top w:val="single" w:color="000000" w:sz="4" w:space="0"/>
              <w:left w:val="single" w:color="000000" w:sz="4" w:space="0"/>
              <w:bottom w:val="single" w:color="000000" w:sz="4" w:space="0"/>
              <w:right w:val="single" w:color="000000" w:sz="4" w:space="0"/>
            </w:tcBorders>
          </w:tcPr>
          <w:p>
            <w:pPr>
              <w:pStyle w:val="19"/>
              <w:spacing w:line="237" w:lineRule="exact"/>
              <w:ind w:left="183"/>
              <w:jc w:val="left"/>
              <w:rPr>
                <w:rFonts w:ascii="Times New Roman"/>
                <w:sz w:val="21"/>
              </w:rPr>
            </w:pPr>
            <w:r>
              <w:rPr>
                <w:rFonts w:ascii="Times New Roman"/>
                <w:color w:val="FF0000"/>
                <w:sz w:val="21"/>
              </w:rPr>
              <w:t>161.8</w:t>
            </w:r>
          </w:p>
        </w:tc>
        <w:tc>
          <w:tcPr>
            <w:tcW w:w="832" w:type="dxa"/>
            <w:tcBorders>
              <w:top w:val="single" w:color="000000" w:sz="4" w:space="0"/>
              <w:left w:val="single" w:color="000000" w:sz="4" w:space="0"/>
              <w:bottom w:val="single" w:color="000000" w:sz="4" w:space="0"/>
              <w:right w:val="single" w:color="000000" w:sz="4" w:space="0"/>
            </w:tcBorders>
          </w:tcPr>
          <w:p>
            <w:pPr>
              <w:pStyle w:val="19"/>
              <w:spacing w:line="237" w:lineRule="exact"/>
              <w:ind w:left="110" w:right="92"/>
              <w:rPr>
                <w:rFonts w:ascii="Times New Roman"/>
                <w:sz w:val="21"/>
              </w:rPr>
            </w:pPr>
            <w:r>
              <w:rPr>
                <w:rFonts w:ascii="Times New Roman"/>
                <w:color w:val="FF0000"/>
                <w:sz w:val="21"/>
              </w:rPr>
              <w:t>0.35</w:t>
            </w:r>
          </w:p>
        </w:tc>
        <w:tc>
          <w:tcPr>
            <w:tcW w:w="834" w:type="dxa"/>
            <w:tcBorders>
              <w:top w:val="single" w:color="000000" w:sz="4" w:space="0"/>
              <w:left w:val="single" w:color="000000" w:sz="4" w:space="0"/>
              <w:bottom w:val="single" w:color="000000" w:sz="4" w:space="0"/>
              <w:right w:val="single" w:color="000000" w:sz="4" w:space="0"/>
            </w:tcBorders>
          </w:tcPr>
          <w:p>
            <w:pPr>
              <w:pStyle w:val="19"/>
              <w:spacing w:line="237" w:lineRule="exact"/>
              <w:ind w:left="237"/>
              <w:jc w:val="left"/>
              <w:rPr>
                <w:rFonts w:ascii="Times New Roman"/>
                <w:sz w:val="21"/>
              </w:rPr>
            </w:pPr>
            <w:r>
              <w:rPr>
                <w:rFonts w:ascii="Times New Roman"/>
                <w:color w:val="FF0000"/>
                <w:sz w:val="21"/>
              </w:rPr>
              <w:t>1.89</w:t>
            </w:r>
          </w:p>
        </w:tc>
        <w:tc>
          <w:tcPr>
            <w:tcW w:w="815" w:type="dxa"/>
            <w:tcBorders>
              <w:top w:val="single" w:color="000000" w:sz="4" w:space="0"/>
              <w:left w:val="single" w:color="000000" w:sz="4" w:space="0"/>
              <w:bottom w:val="single" w:color="000000" w:sz="4" w:space="0"/>
              <w:right w:val="single" w:color="000000" w:sz="4" w:space="0"/>
            </w:tcBorders>
          </w:tcPr>
          <w:p>
            <w:pPr>
              <w:pStyle w:val="19"/>
              <w:spacing w:line="237" w:lineRule="exact"/>
              <w:ind w:left="235" w:right="215"/>
              <w:rPr>
                <w:rFonts w:ascii="Times New Roman"/>
                <w:sz w:val="21"/>
              </w:rPr>
            </w:pPr>
            <w:r>
              <w:rPr>
                <w:rFonts w:ascii="Times New Roman"/>
                <w:sz w:val="21"/>
              </w:rPr>
              <w:t>300</w:t>
            </w:r>
          </w:p>
        </w:tc>
        <w:tc>
          <w:tcPr>
            <w:tcW w:w="81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523" w:type="dxa"/>
            <w:vMerge w:val="continue"/>
            <w:tcBorders>
              <w:top w:val="nil"/>
              <w:right w:val="single" w:color="000000" w:sz="4" w:space="0"/>
            </w:tcBorders>
          </w:tcPr>
          <w:p>
            <w:pPr>
              <w:rPr>
                <w:sz w:val="2"/>
                <w:szCs w:val="2"/>
              </w:rPr>
            </w:pPr>
          </w:p>
        </w:tc>
        <w:tc>
          <w:tcPr>
            <w:tcW w:w="1115" w:type="dxa"/>
            <w:vMerge w:val="continue"/>
            <w:tcBorders>
              <w:top w:val="nil"/>
              <w:left w:val="single" w:color="000000" w:sz="4" w:space="0"/>
              <w:bottom w:val="single" w:color="000000" w:sz="4" w:space="0"/>
              <w:right w:val="single" w:color="000000" w:sz="4" w:space="0"/>
            </w:tcBorders>
          </w:tcPr>
          <w:p>
            <w:pPr>
              <w:rPr>
                <w:sz w:val="2"/>
                <w:szCs w:val="2"/>
              </w:rPr>
            </w:pPr>
          </w:p>
        </w:tc>
        <w:tc>
          <w:tcPr>
            <w:tcW w:w="740" w:type="dxa"/>
            <w:tcBorders>
              <w:top w:val="single" w:color="000000" w:sz="4" w:space="0"/>
              <w:left w:val="single" w:color="000000" w:sz="4" w:space="0"/>
              <w:bottom w:val="single" w:color="000000" w:sz="4" w:space="0"/>
              <w:right w:val="single" w:color="000000" w:sz="4" w:space="0"/>
            </w:tcBorders>
          </w:tcPr>
          <w:p>
            <w:pPr>
              <w:pStyle w:val="19"/>
              <w:spacing w:line="253" w:lineRule="exact"/>
              <w:ind w:left="206"/>
              <w:jc w:val="left"/>
              <w:rPr>
                <w:rFonts w:ascii="Times New Roman"/>
                <w:sz w:val="21"/>
              </w:rPr>
            </w:pPr>
            <w:r>
              <w:rPr>
                <w:rFonts w:ascii="Times New Roman"/>
                <w:position w:val="2"/>
                <w:sz w:val="21"/>
              </w:rPr>
              <w:t>SO</w:t>
            </w:r>
            <w:r>
              <w:rPr>
                <w:rFonts w:ascii="Times New Roman"/>
                <w:position w:val="2"/>
                <w:sz w:val="21"/>
                <w:vertAlign w:val="subscript"/>
              </w:rPr>
              <w:t>2</w:t>
            </w: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62"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tcBorders>
              <w:top w:val="single" w:color="000000" w:sz="4" w:space="0"/>
              <w:left w:val="single" w:color="000000" w:sz="4" w:space="0"/>
              <w:bottom w:val="single" w:color="000000" w:sz="4" w:space="0"/>
              <w:right w:val="single" w:color="000000" w:sz="4" w:space="0"/>
            </w:tcBorders>
          </w:tcPr>
          <w:p>
            <w:pPr>
              <w:pStyle w:val="19"/>
              <w:spacing w:line="237" w:lineRule="exact"/>
              <w:ind w:left="169" w:right="150"/>
              <w:rPr>
                <w:rFonts w:ascii="Times New Roman"/>
                <w:sz w:val="21"/>
              </w:rPr>
            </w:pPr>
            <w:r>
              <w:rPr>
                <w:rFonts w:ascii="Times New Roman"/>
                <w:sz w:val="21"/>
              </w:rPr>
              <w:t>43.43</w:t>
            </w:r>
          </w:p>
        </w:tc>
        <w:tc>
          <w:tcPr>
            <w:tcW w:w="964" w:type="dxa"/>
            <w:tcBorders>
              <w:top w:val="single" w:color="000000" w:sz="4" w:space="0"/>
              <w:left w:val="single" w:color="000000" w:sz="4" w:space="0"/>
              <w:bottom w:val="single" w:color="000000" w:sz="4" w:space="0"/>
              <w:right w:val="single" w:color="000000" w:sz="4" w:space="0"/>
            </w:tcBorders>
          </w:tcPr>
          <w:p>
            <w:pPr>
              <w:pStyle w:val="19"/>
              <w:spacing w:before="16"/>
              <w:ind w:right="280"/>
              <w:jc w:val="right"/>
              <w:rPr>
                <w:rFonts w:ascii="Times New Roman"/>
                <w:sz w:val="21"/>
              </w:rPr>
            </w:pPr>
            <w:r>
              <w:rPr>
                <w:rFonts w:ascii="Times New Roman"/>
                <w:sz w:val="21"/>
              </w:rPr>
              <w:t>0.27</w:t>
            </w:r>
          </w:p>
        </w:tc>
        <w:tc>
          <w:tcPr>
            <w:tcW w:w="1271" w:type="dxa"/>
            <w:tcBorders>
              <w:top w:val="single" w:color="000000" w:sz="4" w:space="0"/>
              <w:left w:val="single" w:color="000000" w:sz="4" w:space="0"/>
              <w:bottom w:val="single" w:color="000000" w:sz="4" w:space="0"/>
              <w:right w:val="single" w:color="000000" w:sz="4" w:space="0"/>
            </w:tcBorders>
          </w:tcPr>
          <w:p>
            <w:pPr>
              <w:pStyle w:val="19"/>
              <w:spacing w:line="237" w:lineRule="exact"/>
              <w:ind w:left="18"/>
              <w:rPr>
                <w:rFonts w:ascii="Times New Roman"/>
                <w:sz w:val="21"/>
              </w:rPr>
            </w:pPr>
            <w:r>
              <w:rPr>
                <w:rFonts w:ascii="Times New Roman"/>
                <w:w w:val="99"/>
                <w:sz w:val="21"/>
              </w:rPr>
              <w:t>/</w:t>
            </w:r>
          </w:p>
        </w:tc>
        <w:tc>
          <w:tcPr>
            <w:tcW w:w="848" w:type="dxa"/>
            <w:tcBorders>
              <w:top w:val="single" w:color="000000" w:sz="4" w:space="0"/>
              <w:left w:val="single" w:color="000000" w:sz="4" w:space="0"/>
              <w:bottom w:val="single" w:color="000000" w:sz="4" w:space="0"/>
              <w:right w:val="single" w:color="000000" w:sz="4" w:space="0"/>
            </w:tcBorders>
          </w:tcPr>
          <w:p>
            <w:pPr>
              <w:pStyle w:val="19"/>
              <w:spacing w:line="237" w:lineRule="exact"/>
              <w:ind w:left="19"/>
              <w:rPr>
                <w:rFonts w:ascii="Times New Roman"/>
                <w:sz w:val="21"/>
              </w:rPr>
            </w:pPr>
            <w:r>
              <w:rPr>
                <w:rFonts w:ascii="Times New Roman"/>
                <w:w w:val="99"/>
                <w:sz w:val="21"/>
              </w:rPr>
              <w:t>0</w:t>
            </w: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tcBorders>
              <w:top w:val="single" w:color="000000" w:sz="4" w:space="0"/>
              <w:left w:val="single" w:color="000000" w:sz="4" w:space="0"/>
              <w:bottom w:val="single" w:color="000000" w:sz="4" w:space="0"/>
              <w:right w:val="single" w:color="000000" w:sz="4" w:space="0"/>
            </w:tcBorders>
          </w:tcPr>
          <w:p>
            <w:pPr>
              <w:pStyle w:val="19"/>
              <w:spacing w:before="16"/>
              <w:ind w:left="257"/>
              <w:jc w:val="left"/>
              <w:rPr>
                <w:rFonts w:ascii="Times New Roman"/>
                <w:sz w:val="21"/>
              </w:rPr>
            </w:pPr>
            <w:r>
              <w:rPr>
                <w:rFonts w:ascii="Times New Roman"/>
                <w:sz w:val="21"/>
              </w:rPr>
              <w:t>43.43</w:t>
            </w:r>
          </w:p>
        </w:tc>
        <w:tc>
          <w:tcPr>
            <w:tcW w:w="832" w:type="dxa"/>
            <w:tcBorders>
              <w:top w:val="single" w:color="000000" w:sz="4" w:space="0"/>
              <w:left w:val="single" w:color="000000" w:sz="4" w:space="0"/>
              <w:bottom w:val="single" w:color="000000" w:sz="4" w:space="0"/>
              <w:right w:val="single" w:color="000000" w:sz="4" w:space="0"/>
            </w:tcBorders>
          </w:tcPr>
          <w:p>
            <w:pPr>
              <w:pStyle w:val="19"/>
              <w:spacing w:line="237" w:lineRule="exact"/>
              <w:ind w:left="110" w:right="92"/>
              <w:rPr>
                <w:rFonts w:ascii="Times New Roman"/>
                <w:sz w:val="21"/>
              </w:rPr>
            </w:pPr>
            <w:r>
              <w:rPr>
                <w:rFonts w:ascii="Times New Roman"/>
                <w:sz w:val="21"/>
              </w:rPr>
              <w:t>0.05</w:t>
            </w:r>
          </w:p>
        </w:tc>
        <w:tc>
          <w:tcPr>
            <w:tcW w:w="834" w:type="dxa"/>
            <w:tcBorders>
              <w:top w:val="single" w:color="000000" w:sz="4" w:space="0"/>
              <w:left w:val="single" w:color="000000" w:sz="4" w:space="0"/>
              <w:bottom w:val="single" w:color="000000" w:sz="4" w:space="0"/>
              <w:right w:val="single" w:color="000000" w:sz="4" w:space="0"/>
            </w:tcBorders>
          </w:tcPr>
          <w:p>
            <w:pPr>
              <w:pStyle w:val="19"/>
              <w:spacing w:line="237" w:lineRule="exact"/>
              <w:ind w:left="237"/>
              <w:jc w:val="left"/>
              <w:rPr>
                <w:rFonts w:ascii="Times New Roman"/>
                <w:sz w:val="21"/>
              </w:rPr>
            </w:pPr>
            <w:r>
              <w:rPr>
                <w:rFonts w:ascii="Times New Roman"/>
                <w:sz w:val="21"/>
              </w:rPr>
              <w:t>0.27</w:t>
            </w:r>
          </w:p>
        </w:tc>
        <w:tc>
          <w:tcPr>
            <w:tcW w:w="815" w:type="dxa"/>
            <w:tcBorders>
              <w:top w:val="single" w:color="000000" w:sz="4" w:space="0"/>
              <w:left w:val="single" w:color="000000" w:sz="4" w:space="0"/>
              <w:bottom w:val="single" w:color="000000" w:sz="4" w:space="0"/>
              <w:right w:val="single" w:color="000000" w:sz="4" w:space="0"/>
            </w:tcBorders>
          </w:tcPr>
          <w:p>
            <w:pPr>
              <w:pStyle w:val="19"/>
              <w:spacing w:line="237" w:lineRule="exact"/>
              <w:ind w:left="235" w:right="215"/>
              <w:rPr>
                <w:rFonts w:ascii="Times New Roman"/>
                <w:sz w:val="21"/>
              </w:rPr>
            </w:pPr>
            <w:r>
              <w:rPr>
                <w:rFonts w:ascii="Times New Roman"/>
                <w:sz w:val="21"/>
              </w:rPr>
              <w:t>300</w:t>
            </w:r>
          </w:p>
        </w:tc>
        <w:tc>
          <w:tcPr>
            <w:tcW w:w="81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523" w:type="dxa"/>
            <w:vMerge w:val="continue"/>
            <w:tcBorders>
              <w:top w:val="nil"/>
              <w:right w:val="single" w:color="000000" w:sz="4" w:space="0"/>
            </w:tcBorders>
          </w:tcPr>
          <w:p>
            <w:pPr>
              <w:rPr>
                <w:sz w:val="2"/>
                <w:szCs w:val="2"/>
              </w:rPr>
            </w:pPr>
          </w:p>
        </w:tc>
        <w:tc>
          <w:tcPr>
            <w:tcW w:w="1115" w:type="dxa"/>
            <w:tcBorders>
              <w:top w:val="single" w:color="000000" w:sz="4" w:space="0"/>
              <w:left w:val="single" w:color="000000" w:sz="4" w:space="0"/>
              <w:bottom w:val="single" w:color="000000" w:sz="4" w:space="0"/>
              <w:right w:val="single" w:color="000000" w:sz="4" w:space="0"/>
            </w:tcBorders>
          </w:tcPr>
          <w:p>
            <w:pPr>
              <w:pStyle w:val="19"/>
              <w:spacing w:before="158"/>
              <w:ind w:left="142"/>
              <w:jc w:val="left"/>
              <w:rPr>
                <w:sz w:val="21"/>
              </w:rPr>
            </w:pPr>
            <w:r>
              <w:rPr>
                <w:sz w:val="21"/>
              </w:rPr>
              <w:t>筛分车间</w:t>
            </w:r>
          </w:p>
        </w:tc>
        <w:tc>
          <w:tcPr>
            <w:tcW w:w="740" w:type="dxa"/>
            <w:tcBorders>
              <w:top w:val="single" w:color="000000" w:sz="4" w:space="0"/>
              <w:left w:val="single" w:color="000000" w:sz="4" w:space="0"/>
              <w:bottom w:val="single" w:color="000000" w:sz="4" w:space="0"/>
              <w:right w:val="single" w:color="000000" w:sz="4" w:space="0"/>
            </w:tcBorders>
          </w:tcPr>
          <w:p>
            <w:pPr>
              <w:pStyle w:val="19"/>
              <w:spacing w:line="265" w:lineRule="exact"/>
              <w:ind w:left="142" w:right="124"/>
              <w:rPr>
                <w:sz w:val="21"/>
              </w:rPr>
            </w:pPr>
            <w:r>
              <w:rPr>
                <w:sz w:val="21"/>
              </w:rPr>
              <w:t>颗粒</w:t>
            </w:r>
          </w:p>
          <w:p>
            <w:pPr>
              <w:pStyle w:val="19"/>
              <w:spacing w:before="57"/>
              <w:ind w:left="15"/>
              <w:rPr>
                <w:sz w:val="21"/>
              </w:rPr>
            </w:pPr>
            <w:r>
              <w:rPr>
                <w:w w:val="99"/>
                <w:sz w:val="21"/>
              </w:rPr>
              <w:t>物</w:t>
            </w:r>
          </w:p>
        </w:tc>
        <w:tc>
          <w:tcPr>
            <w:tcW w:w="963" w:type="dxa"/>
            <w:tcBorders>
              <w:top w:val="single" w:color="000000" w:sz="4" w:space="0"/>
              <w:left w:val="single" w:color="000000" w:sz="4" w:space="0"/>
              <w:bottom w:val="single" w:color="000000" w:sz="4" w:space="0"/>
              <w:right w:val="single" w:color="000000" w:sz="4" w:space="0"/>
            </w:tcBorders>
          </w:tcPr>
          <w:p>
            <w:pPr>
              <w:pStyle w:val="19"/>
              <w:spacing w:before="175"/>
              <w:ind w:left="19"/>
              <w:rPr>
                <w:rFonts w:ascii="Times New Roman"/>
                <w:sz w:val="21"/>
              </w:rPr>
            </w:pPr>
            <w:r>
              <w:rPr>
                <w:rFonts w:ascii="Times New Roman"/>
                <w:w w:val="99"/>
                <w:sz w:val="21"/>
              </w:rPr>
              <w:t>/</w:t>
            </w:r>
          </w:p>
        </w:tc>
        <w:tc>
          <w:tcPr>
            <w:tcW w:w="962" w:type="dxa"/>
            <w:tcBorders>
              <w:top w:val="single" w:color="000000" w:sz="4" w:space="0"/>
              <w:left w:val="single" w:color="000000" w:sz="4" w:space="0"/>
              <w:bottom w:val="single" w:color="000000" w:sz="4" w:space="0"/>
              <w:right w:val="single" w:color="000000" w:sz="4" w:space="0"/>
            </w:tcBorders>
          </w:tcPr>
          <w:p>
            <w:pPr>
              <w:pStyle w:val="19"/>
              <w:spacing w:before="175"/>
              <w:ind w:left="150" w:right="130"/>
              <w:rPr>
                <w:rFonts w:ascii="Times New Roman"/>
                <w:sz w:val="21"/>
              </w:rPr>
            </w:pPr>
            <w:r>
              <w:rPr>
                <w:rFonts w:ascii="Times New Roman"/>
                <w:sz w:val="21"/>
              </w:rPr>
              <w:t>2000</w:t>
            </w:r>
          </w:p>
        </w:tc>
        <w:tc>
          <w:tcPr>
            <w:tcW w:w="963" w:type="dxa"/>
            <w:tcBorders>
              <w:top w:val="single" w:color="000000" w:sz="4" w:space="0"/>
              <w:left w:val="single" w:color="000000" w:sz="4" w:space="0"/>
              <w:bottom w:val="single" w:color="000000" w:sz="4" w:space="0"/>
              <w:right w:val="single" w:color="000000" w:sz="4" w:space="0"/>
            </w:tcBorders>
          </w:tcPr>
          <w:p>
            <w:pPr>
              <w:pStyle w:val="19"/>
              <w:spacing w:before="175"/>
              <w:ind w:left="167" w:right="150"/>
              <w:rPr>
                <w:rFonts w:ascii="Times New Roman"/>
                <w:sz w:val="21"/>
              </w:rPr>
            </w:pPr>
            <w:r>
              <w:rPr>
                <w:rFonts w:ascii="Times New Roman"/>
                <w:sz w:val="21"/>
              </w:rPr>
              <w:t>4000</w:t>
            </w:r>
          </w:p>
        </w:tc>
        <w:tc>
          <w:tcPr>
            <w:tcW w:w="964" w:type="dxa"/>
            <w:tcBorders>
              <w:top w:val="single" w:color="000000" w:sz="4" w:space="0"/>
              <w:left w:val="single" w:color="000000" w:sz="4" w:space="0"/>
              <w:bottom w:val="single" w:color="000000" w:sz="4" w:space="0"/>
              <w:right w:val="single" w:color="000000" w:sz="4" w:space="0"/>
            </w:tcBorders>
          </w:tcPr>
          <w:p>
            <w:pPr>
              <w:pStyle w:val="19"/>
              <w:spacing w:before="175"/>
              <w:ind w:right="227"/>
              <w:jc w:val="right"/>
              <w:rPr>
                <w:rFonts w:ascii="Times New Roman"/>
                <w:sz w:val="21"/>
              </w:rPr>
            </w:pPr>
            <w:r>
              <w:rPr>
                <w:rFonts w:ascii="Times New Roman"/>
                <w:sz w:val="21"/>
              </w:rPr>
              <w:t>46.72</w:t>
            </w:r>
          </w:p>
        </w:tc>
        <w:tc>
          <w:tcPr>
            <w:tcW w:w="1271" w:type="dxa"/>
            <w:tcBorders>
              <w:top w:val="single" w:color="000000" w:sz="4" w:space="0"/>
              <w:left w:val="single" w:color="000000" w:sz="4" w:space="0"/>
              <w:bottom w:val="single" w:color="000000" w:sz="4" w:space="0"/>
              <w:right w:val="single" w:color="000000" w:sz="4" w:space="0"/>
            </w:tcBorders>
          </w:tcPr>
          <w:p>
            <w:pPr>
              <w:pStyle w:val="19"/>
              <w:spacing w:before="158"/>
              <w:ind w:left="93" w:right="78"/>
              <w:rPr>
                <w:sz w:val="21"/>
              </w:rPr>
            </w:pPr>
            <w:r>
              <w:rPr>
                <w:sz w:val="21"/>
              </w:rPr>
              <w:t>布袋除尘器</w:t>
            </w:r>
          </w:p>
        </w:tc>
        <w:tc>
          <w:tcPr>
            <w:tcW w:w="848" w:type="dxa"/>
            <w:tcBorders>
              <w:top w:val="single" w:color="000000" w:sz="4" w:space="0"/>
              <w:left w:val="single" w:color="000000" w:sz="4" w:space="0"/>
              <w:bottom w:val="single" w:color="000000" w:sz="4" w:space="0"/>
              <w:right w:val="single" w:color="000000" w:sz="4" w:space="0"/>
            </w:tcBorders>
          </w:tcPr>
          <w:p>
            <w:pPr>
              <w:pStyle w:val="19"/>
              <w:spacing w:before="175"/>
              <w:ind w:left="111" w:right="92"/>
              <w:rPr>
                <w:rFonts w:ascii="Times New Roman"/>
                <w:sz w:val="21"/>
              </w:rPr>
            </w:pPr>
            <w:r>
              <w:rPr>
                <w:rFonts w:ascii="Times New Roman"/>
                <w:sz w:val="21"/>
              </w:rPr>
              <w:t>99</w:t>
            </w:r>
          </w:p>
        </w:tc>
        <w:tc>
          <w:tcPr>
            <w:tcW w:w="833" w:type="dxa"/>
            <w:tcBorders>
              <w:top w:val="single" w:color="000000" w:sz="4" w:space="0"/>
              <w:left w:val="single" w:color="000000" w:sz="4" w:space="0"/>
              <w:bottom w:val="single" w:color="000000" w:sz="4" w:space="0"/>
              <w:right w:val="single" w:color="000000" w:sz="4" w:space="0"/>
            </w:tcBorders>
          </w:tcPr>
          <w:p>
            <w:pPr>
              <w:pStyle w:val="19"/>
              <w:spacing w:before="175"/>
              <w:ind w:left="137" w:right="121"/>
              <w:rPr>
                <w:rFonts w:ascii="Times New Roman"/>
                <w:sz w:val="21"/>
              </w:rPr>
            </w:pPr>
            <w:r>
              <w:rPr>
                <w:rFonts w:ascii="Times New Roman"/>
                <w:sz w:val="21"/>
              </w:rPr>
              <w:t>2000</w:t>
            </w:r>
          </w:p>
        </w:tc>
        <w:tc>
          <w:tcPr>
            <w:tcW w:w="833" w:type="dxa"/>
            <w:tcBorders>
              <w:top w:val="single" w:color="000000" w:sz="4" w:space="0"/>
              <w:left w:val="single" w:color="000000" w:sz="4" w:space="0"/>
              <w:bottom w:val="single" w:color="000000" w:sz="4" w:space="0"/>
              <w:right w:val="single" w:color="000000" w:sz="4" w:space="0"/>
            </w:tcBorders>
          </w:tcPr>
          <w:p>
            <w:pPr>
              <w:pStyle w:val="19"/>
              <w:spacing w:before="175"/>
              <w:ind w:left="137" w:right="119"/>
              <w:rPr>
                <w:rFonts w:ascii="Times New Roman"/>
                <w:sz w:val="21"/>
              </w:rPr>
            </w:pPr>
            <w:r>
              <w:rPr>
                <w:rFonts w:ascii="Times New Roman"/>
                <w:sz w:val="21"/>
              </w:rPr>
              <w:t>40</w:t>
            </w:r>
          </w:p>
        </w:tc>
        <w:tc>
          <w:tcPr>
            <w:tcW w:w="832" w:type="dxa"/>
            <w:tcBorders>
              <w:top w:val="single" w:color="000000" w:sz="4" w:space="0"/>
              <w:left w:val="single" w:color="000000" w:sz="4" w:space="0"/>
              <w:bottom w:val="single" w:color="000000" w:sz="4" w:space="0"/>
              <w:right w:val="single" w:color="000000" w:sz="4" w:space="0"/>
            </w:tcBorders>
          </w:tcPr>
          <w:p>
            <w:pPr>
              <w:pStyle w:val="19"/>
              <w:spacing w:before="175"/>
              <w:ind w:left="110" w:right="94"/>
              <w:rPr>
                <w:rFonts w:ascii="Times New Roman"/>
                <w:sz w:val="21"/>
              </w:rPr>
            </w:pPr>
            <w:r>
              <w:rPr>
                <w:rFonts w:ascii="Times New Roman"/>
                <w:sz w:val="21"/>
              </w:rPr>
              <w:t>0.08</w:t>
            </w:r>
          </w:p>
        </w:tc>
        <w:tc>
          <w:tcPr>
            <w:tcW w:w="834" w:type="dxa"/>
            <w:tcBorders>
              <w:top w:val="single" w:color="000000" w:sz="4" w:space="0"/>
              <w:left w:val="single" w:color="000000" w:sz="4" w:space="0"/>
              <w:bottom w:val="single" w:color="000000" w:sz="4" w:space="0"/>
              <w:right w:val="single" w:color="000000" w:sz="4" w:space="0"/>
            </w:tcBorders>
          </w:tcPr>
          <w:p>
            <w:pPr>
              <w:pStyle w:val="19"/>
              <w:spacing w:before="175"/>
              <w:ind w:left="237"/>
              <w:jc w:val="left"/>
              <w:rPr>
                <w:rFonts w:ascii="Times New Roman"/>
                <w:sz w:val="21"/>
              </w:rPr>
            </w:pPr>
            <w:r>
              <w:rPr>
                <w:rFonts w:ascii="Times New Roman"/>
                <w:sz w:val="21"/>
              </w:rPr>
              <w:t>0.47</w:t>
            </w:r>
          </w:p>
        </w:tc>
        <w:tc>
          <w:tcPr>
            <w:tcW w:w="815" w:type="dxa"/>
            <w:tcBorders>
              <w:top w:val="single" w:color="000000" w:sz="4" w:space="0"/>
              <w:left w:val="single" w:color="000000" w:sz="4" w:space="0"/>
              <w:bottom w:val="single" w:color="000000" w:sz="4" w:space="0"/>
              <w:right w:val="single" w:color="000000" w:sz="4" w:space="0"/>
            </w:tcBorders>
          </w:tcPr>
          <w:p>
            <w:pPr>
              <w:pStyle w:val="19"/>
              <w:spacing w:before="175"/>
              <w:ind w:left="230" w:right="215"/>
              <w:rPr>
                <w:rFonts w:ascii="Times New Roman"/>
                <w:sz w:val="21"/>
              </w:rPr>
            </w:pPr>
            <w:r>
              <w:rPr>
                <w:rFonts w:ascii="Times New Roman"/>
                <w:sz w:val="21"/>
              </w:rPr>
              <w:t>80</w:t>
            </w:r>
          </w:p>
        </w:tc>
        <w:tc>
          <w:tcPr>
            <w:tcW w:w="815" w:type="dxa"/>
            <w:tcBorders>
              <w:top w:val="single" w:color="000000" w:sz="4" w:space="0"/>
              <w:left w:val="single" w:color="000000" w:sz="4" w:space="0"/>
              <w:bottom w:val="single" w:color="000000" w:sz="4" w:space="0"/>
            </w:tcBorders>
          </w:tcPr>
          <w:p>
            <w:pPr>
              <w:pStyle w:val="19"/>
              <w:spacing w:before="175"/>
              <w:ind w:right="175"/>
              <w:jc w:val="right"/>
              <w:rPr>
                <w:rFonts w:ascii="Times New Roman"/>
                <w:sz w:val="21"/>
              </w:rPr>
            </w:pPr>
            <w:r>
              <w:rPr>
                <w:rFonts w:ascii="Times New Roman"/>
                <w:sz w:val="21"/>
              </w:rPr>
              <w:t>5840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523" w:type="dxa"/>
            <w:vMerge w:val="continue"/>
            <w:tcBorders>
              <w:top w:val="nil"/>
              <w:right w:val="single" w:color="000000" w:sz="4" w:space="0"/>
            </w:tcBorders>
          </w:tcPr>
          <w:p>
            <w:pPr>
              <w:rPr>
                <w:sz w:val="2"/>
                <w:szCs w:val="2"/>
              </w:rPr>
            </w:pPr>
          </w:p>
        </w:tc>
        <w:tc>
          <w:tcPr>
            <w:tcW w:w="1115" w:type="dxa"/>
            <w:tcBorders>
              <w:top w:val="single" w:color="000000" w:sz="4" w:space="0"/>
              <w:left w:val="single" w:color="000000" w:sz="4" w:space="0"/>
              <w:bottom w:val="single" w:color="000000" w:sz="4" w:space="0"/>
              <w:right w:val="single" w:color="000000" w:sz="4" w:space="0"/>
            </w:tcBorders>
          </w:tcPr>
          <w:p>
            <w:pPr>
              <w:pStyle w:val="19"/>
              <w:spacing w:before="158"/>
              <w:ind w:left="142"/>
              <w:jc w:val="left"/>
              <w:rPr>
                <w:sz w:val="21"/>
              </w:rPr>
            </w:pPr>
            <w:r>
              <w:rPr>
                <w:sz w:val="21"/>
              </w:rPr>
              <w:t>食堂油烟</w:t>
            </w:r>
          </w:p>
        </w:tc>
        <w:tc>
          <w:tcPr>
            <w:tcW w:w="740" w:type="dxa"/>
            <w:tcBorders>
              <w:top w:val="single" w:color="000000" w:sz="4" w:space="0"/>
              <w:left w:val="single" w:color="000000" w:sz="4" w:space="0"/>
              <w:bottom w:val="single" w:color="000000" w:sz="4" w:space="0"/>
              <w:right w:val="single" w:color="000000" w:sz="4" w:space="0"/>
            </w:tcBorders>
          </w:tcPr>
          <w:p>
            <w:pPr>
              <w:pStyle w:val="19"/>
              <w:spacing w:before="158"/>
              <w:ind w:left="165"/>
              <w:jc w:val="left"/>
              <w:rPr>
                <w:sz w:val="21"/>
              </w:rPr>
            </w:pPr>
            <w:r>
              <w:rPr>
                <w:sz w:val="21"/>
              </w:rPr>
              <w:t>油烟</w:t>
            </w:r>
          </w:p>
        </w:tc>
        <w:tc>
          <w:tcPr>
            <w:tcW w:w="963" w:type="dxa"/>
            <w:tcBorders>
              <w:top w:val="single" w:color="000000" w:sz="4" w:space="0"/>
              <w:left w:val="single" w:color="000000" w:sz="4" w:space="0"/>
              <w:bottom w:val="single" w:color="000000" w:sz="4" w:space="0"/>
              <w:right w:val="single" w:color="000000" w:sz="4" w:space="0"/>
            </w:tcBorders>
          </w:tcPr>
          <w:p>
            <w:pPr>
              <w:pStyle w:val="19"/>
              <w:spacing w:line="264" w:lineRule="exact"/>
              <w:ind w:left="274"/>
              <w:jc w:val="left"/>
              <w:rPr>
                <w:sz w:val="21"/>
              </w:rPr>
            </w:pPr>
            <w:r>
              <w:rPr>
                <w:sz w:val="21"/>
              </w:rPr>
              <w:t>物料</w:t>
            </w:r>
          </w:p>
          <w:p>
            <w:pPr>
              <w:pStyle w:val="19"/>
              <w:spacing w:before="57"/>
              <w:ind w:left="171"/>
              <w:jc w:val="left"/>
              <w:rPr>
                <w:sz w:val="21"/>
              </w:rPr>
            </w:pPr>
            <w:r>
              <w:rPr>
                <w:sz w:val="21"/>
              </w:rPr>
              <w:t>衡算法</w:t>
            </w:r>
          </w:p>
        </w:tc>
        <w:tc>
          <w:tcPr>
            <w:tcW w:w="962" w:type="dxa"/>
            <w:tcBorders>
              <w:top w:val="single" w:color="000000" w:sz="4" w:space="0"/>
              <w:left w:val="single" w:color="000000" w:sz="4" w:space="0"/>
              <w:bottom w:val="single" w:color="000000" w:sz="4" w:space="0"/>
              <w:right w:val="single" w:color="000000" w:sz="4" w:space="0"/>
            </w:tcBorders>
          </w:tcPr>
          <w:p>
            <w:pPr>
              <w:pStyle w:val="19"/>
              <w:spacing w:before="177"/>
              <w:ind w:left="146" w:right="131"/>
              <w:rPr>
                <w:rFonts w:ascii="Times New Roman"/>
                <w:sz w:val="21"/>
              </w:rPr>
            </w:pPr>
            <w:r>
              <w:rPr>
                <w:rFonts w:ascii="Times New Roman"/>
                <w:sz w:val="21"/>
              </w:rPr>
              <w:t>15000</w:t>
            </w:r>
          </w:p>
        </w:tc>
        <w:tc>
          <w:tcPr>
            <w:tcW w:w="963" w:type="dxa"/>
            <w:tcBorders>
              <w:top w:val="single" w:color="000000" w:sz="4" w:space="0"/>
              <w:left w:val="single" w:color="000000" w:sz="4" w:space="0"/>
              <w:bottom w:val="single" w:color="000000" w:sz="4" w:space="0"/>
              <w:right w:val="single" w:color="000000" w:sz="4" w:space="0"/>
            </w:tcBorders>
          </w:tcPr>
          <w:p>
            <w:pPr>
              <w:pStyle w:val="19"/>
              <w:spacing w:before="177"/>
              <w:ind w:left="169" w:right="150"/>
              <w:rPr>
                <w:rFonts w:ascii="Times New Roman"/>
                <w:sz w:val="21"/>
              </w:rPr>
            </w:pPr>
            <w:r>
              <w:rPr>
                <w:rFonts w:ascii="Times New Roman"/>
                <w:sz w:val="21"/>
              </w:rPr>
              <w:t>3.82</w:t>
            </w:r>
          </w:p>
        </w:tc>
        <w:tc>
          <w:tcPr>
            <w:tcW w:w="964" w:type="dxa"/>
            <w:tcBorders>
              <w:top w:val="single" w:color="000000" w:sz="4" w:space="0"/>
              <w:left w:val="single" w:color="000000" w:sz="4" w:space="0"/>
              <w:bottom w:val="single" w:color="000000" w:sz="4" w:space="0"/>
              <w:right w:val="single" w:color="000000" w:sz="4" w:space="0"/>
            </w:tcBorders>
          </w:tcPr>
          <w:p>
            <w:pPr>
              <w:pStyle w:val="19"/>
              <w:spacing w:before="177"/>
              <w:ind w:right="227"/>
              <w:jc w:val="right"/>
              <w:rPr>
                <w:rFonts w:ascii="Times New Roman"/>
                <w:sz w:val="21"/>
              </w:rPr>
            </w:pPr>
            <w:r>
              <w:rPr>
                <w:rFonts w:ascii="Times New Roman"/>
                <w:sz w:val="21"/>
              </w:rPr>
              <w:t>0.064</w:t>
            </w:r>
          </w:p>
        </w:tc>
        <w:tc>
          <w:tcPr>
            <w:tcW w:w="1271" w:type="dxa"/>
            <w:tcBorders>
              <w:top w:val="single" w:color="000000" w:sz="4" w:space="0"/>
              <w:left w:val="single" w:color="000000" w:sz="4" w:space="0"/>
              <w:bottom w:val="single" w:color="000000" w:sz="4" w:space="0"/>
              <w:right w:val="single" w:color="000000" w:sz="4" w:space="0"/>
            </w:tcBorders>
          </w:tcPr>
          <w:p>
            <w:pPr>
              <w:pStyle w:val="19"/>
              <w:spacing w:line="264" w:lineRule="exact"/>
              <w:ind w:left="93" w:right="78"/>
              <w:rPr>
                <w:sz w:val="21"/>
              </w:rPr>
            </w:pPr>
            <w:r>
              <w:rPr>
                <w:sz w:val="21"/>
              </w:rPr>
              <w:t>油烟净化装</w:t>
            </w:r>
          </w:p>
          <w:p>
            <w:pPr>
              <w:pStyle w:val="19"/>
              <w:spacing w:before="57"/>
              <w:ind w:left="16"/>
              <w:rPr>
                <w:sz w:val="21"/>
              </w:rPr>
            </w:pPr>
            <w:r>
              <w:rPr>
                <w:w w:val="99"/>
                <w:sz w:val="21"/>
              </w:rPr>
              <w:t>置</w:t>
            </w:r>
          </w:p>
        </w:tc>
        <w:tc>
          <w:tcPr>
            <w:tcW w:w="848" w:type="dxa"/>
            <w:tcBorders>
              <w:top w:val="single" w:color="000000" w:sz="4" w:space="0"/>
              <w:left w:val="single" w:color="000000" w:sz="4" w:space="0"/>
              <w:bottom w:val="single" w:color="000000" w:sz="4" w:space="0"/>
              <w:right w:val="single" w:color="000000" w:sz="4" w:space="0"/>
            </w:tcBorders>
          </w:tcPr>
          <w:p>
            <w:pPr>
              <w:pStyle w:val="19"/>
              <w:spacing w:before="177"/>
              <w:ind w:left="111" w:right="92"/>
              <w:rPr>
                <w:rFonts w:ascii="Times New Roman"/>
                <w:sz w:val="21"/>
              </w:rPr>
            </w:pPr>
            <w:r>
              <w:rPr>
                <w:rFonts w:ascii="Times New Roman"/>
                <w:sz w:val="21"/>
              </w:rPr>
              <w:t>75</w:t>
            </w:r>
          </w:p>
        </w:tc>
        <w:tc>
          <w:tcPr>
            <w:tcW w:w="833" w:type="dxa"/>
            <w:tcBorders>
              <w:top w:val="single" w:color="000000" w:sz="4" w:space="0"/>
              <w:left w:val="single" w:color="000000" w:sz="4" w:space="0"/>
              <w:bottom w:val="single" w:color="000000" w:sz="4" w:space="0"/>
              <w:right w:val="single" w:color="000000" w:sz="4" w:space="0"/>
            </w:tcBorders>
          </w:tcPr>
          <w:p>
            <w:pPr>
              <w:pStyle w:val="19"/>
              <w:spacing w:before="177"/>
              <w:ind w:left="137" w:right="121"/>
              <w:rPr>
                <w:rFonts w:ascii="Times New Roman"/>
                <w:sz w:val="21"/>
              </w:rPr>
            </w:pPr>
            <w:r>
              <w:rPr>
                <w:rFonts w:ascii="Times New Roman"/>
                <w:sz w:val="21"/>
              </w:rPr>
              <w:t>15000</w:t>
            </w:r>
          </w:p>
        </w:tc>
        <w:tc>
          <w:tcPr>
            <w:tcW w:w="833" w:type="dxa"/>
            <w:tcBorders>
              <w:top w:val="single" w:color="000000" w:sz="4" w:space="0"/>
              <w:left w:val="single" w:color="000000" w:sz="4" w:space="0"/>
              <w:bottom w:val="single" w:color="000000" w:sz="4" w:space="0"/>
              <w:right w:val="single" w:color="000000" w:sz="4" w:space="0"/>
            </w:tcBorders>
          </w:tcPr>
          <w:p>
            <w:pPr>
              <w:pStyle w:val="19"/>
              <w:spacing w:before="177"/>
              <w:ind w:left="236"/>
              <w:jc w:val="left"/>
              <w:rPr>
                <w:rFonts w:ascii="Times New Roman"/>
                <w:sz w:val="21"/>
              </w:rPr>
            </w:pPr>
            <w:r>
              <w:rPr>
                <w:rFonts w:ascii="Times New Roman"/>
                <w:sz w:val="21"/>
              </w:rPr>
              <w:t>0.96</w:t>
            </w:r>
          </w:p>
        </w:tc>
        <w:tc>
          <w:tcPr>
            <w:tcW w:w="832" w:type="dxa"/>
            <w:tcBorders>
              <w:top w:val="single" w:color="000000" w:sz="4" w:space="0"/>
              <w:left w:val="single" w:color="000000" w:sz="4" w:space="0"/>
              <w:bottom w:val="single" w:color="000000" w:sz="4" w:space="0"/>
              <w:right w:val="single" w:color="000000" w:sz="4" w:space="0"/>
            </w:tcBorders>
          </w:tcPr>
          <w:p>
            <w:pPr>
              <w:pStyle w:val="19"/>
              <w:spacing w:before="177"/>
              <w:ind w:left="110" w:right="92"/>
              <w:rPr>
                <w:rFonts w:ascii="Times New Roman"/>
                <w:sz w:val="21"/>
              </w:rPr>
            </w:pPr>
            <w:r>
              <w:rPr>
                <w:rFonts w:ascii="Times New Roman"/>
                <w:sz w:val="21"/>
              </w:rPr>
              <w:t>0.014</w:t>
            </w:r>
          </w:p>
        </w:tc>
        <w:tc>
          <w:tcPr>
            <w:tcW w:w="834" w:type="dxa"/>
            <w:tcBorders>
              <w:top w:val="single" w:color="000000" w:sz="4" w:space="0"/>
              <w:left w:val="single" w:color="000000" w:sz="4" w:space="0"/>
              <w:bottom w:val="single" w:color="000000" w:sz="4" w:space="0"/>
              <w:right w:val="single" w:color="000000" w:sz="4" w:space="0"/>
            </w:tcBorders>
          </w:tcPr>
          <w:p>
            <w:pPr>
              <w:pStyle w:val="19"/>
              <w:spacing w:before="177"/>
              <w:ind w:left="186"/>
              <w:jc w:val="left"/>
              <w:rPr>
                <w:rFonts w:ascii="Times New Roman"/>
                <w:sz w:val="21"/>
              </w:rPr>
            </w:pPr>
            <w:r>
              <w:rPr>
                <w:rFonts w:ascii="Times New Roman"/>
                <w:sz w:val="21"/>
              </w:rPr>
              <w:t>0.021</w:t>
            </w:r>
          </w:p>
        </w:tc>
        <w:tc>
          <w:tcPr>
            <w:tcW w:w="815" w:type="dxa"/>
            <w:tcBorders>
              <w:top w:val="single" w:color="000000" w:sz="4" w:space="0"/>
              <w:left w:val="single" w:color="000000" w:sz="4" w:space="0"/>
              <w:bottom w:val="single" w:color="000000" w:sz="4" w:space="0"/>
              <w:right w:val="single" w:color="000000" w:sz="4" w:space="0"/>
            </w:tcBorders>
          </w:tcPr>
          <w:p>
            <w:pPr>
              <w:pStyle w:val="19"/>
              <w:spacing w:before="177"/>
              <w:ind w:left="20"/>
              <w:rPr>
                <w:rFonts w:ascii="Times New Roman"/>
                <w:sz w:val="21"/>
              </w:rPr>
            </w:pPr>
            <w:r>
              <w:rPr>
                <w:rFonts w:ascii="Times New Roman"/>
                <w:w w:val="99"/>
                <w:sz w:val="21"/>
              </w:rPr>
              <w:t>2</w:t>
            </w:r>
          </w:p>
        </w:tc>
        <w:tc>
          <w:tcPr>
            <w:tcW w:w="815" w:type="dxa"/>
            <w:tcBorders>
              <w:top w:val="single" w:color="000000" w:sz="4" w:space="0"/>
              <w:left w:val="single" w:color="000000" w:sz="4" w:space="0"/>
              <w:bottom w:val="single" w:color="000000" w:sz="4" w:space="0"/>
            </w:tcBorders>
          </w:tcPr>
          <w:p>
            <w:pPr>
              <w:pStyle w:val="19"/>
              <w:spacing w:before="177"/>
              <w:ind w:right="175"/>
              <w:jc w:val="right"/>
              <w:rPr>
                <w:rFonts w:ascii="Times New Roman"/>
                <w:sz w:val="21"/>
              </w:rPr>
            </w:pPr>
            <w:r>
              <w:rPr>
                <w:rFonts w:ascii="Times New Roman"/>
                <w:sz w:val="21"/>
              </w:rPr>
              <w:t>1460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523" w:type="dxa"/>
            <w:vMerge w:val="continue"/>
            <w:tcBorders>
              <w:top w:val="nil"/>
              <w:right w:val="single" w:color="000000" w:sz="4" w:space="0"/>
            </w:tcBorders>
          </w:tcPr>
          <w:p>
            <w:pPr>
              <w:rPr>
                <w:sz w:val="2"/>
                <w:szCs w:val="2"/>
              </w:rPr>
            </w:pPr>
          </w:p>
        </w:tc>
        <w:tc>
          <w:tcPr>
            <w:tcW w:w="1115" w:type="dxa"/>
            <w:tcBorders>
              <w:top w:val="single" w:color="000000" w:sz="4" w:space="0"/>
              <w:left w:val="single" w:color="000000" w:sz="4" w:space="0"/>
              <w:bottom w:val="single" w:color="000000" w:sz="4" w:space="0"/>
              <w:right w:val="single" w:color="000000" w:sz="4" w:space="0"/>
            </w:tcBorders>
          </w:tcPr>
          <w:p>
            <w:pPr>
              <w:pStyle w:val="19"/>
              <w:spacing w:line="265" w:lineRule="exact"/>
              <w:ind w:left="120" w:right="103"/>
              <w:rPr>
                <w:sz w:val="21"/>
              </w:rPr>
            </w:pPr>
            <w:r>
              <w:rPr>
                <w:sz w:val="21"/>
              </w:rPr>
              <w:t>矸石场扬</w:t>
            </w:r>
          </w:p>
          <w:p>
            <w:pPr>
              <w:pStyle w:val="19"/>
              <w:spacing w:before="57"/>
              <w:ind w:left="18"/>
              <w:rPr>
                <w:sz w:val="21"/>
              </w:rPr>
            </w:pPr>
            <w:r>
              <w:rPr>
                <w:w w:val="99"/>
                <w:sz w:val="21"/>
              </w:rPr>
              <w:t>尘</w:t>
            </w:r>
          </w:p>
        </w:tc>
        <w:tc>
          <w:tcPr>
            <w:tcW w:w="740" w:type="dxa"/>
            <w:tcBorders>
              <w:top w:val="single" w:color="000000" w:sz="4" w:space="0"/>
              <w:left w:val="single" w:color="000000" w:sz="4" w:space="0"/>
              <w:bottom w:val="single" w:color="000000" w:sz="4" w:space="0"/>
              <w:right w:val="single" w:color="000000" w:sz="4" w:space="0"/>
            </w:tcBorders>
          </w:tcPr>
          <w:p>
            <w:pPr>
              <w:pStyle w:val="19"/>
              <w:spacing w:line="265" w:lineRule="exact"/>
              <w:ind w:left="142" w:right="124"/>
              <w:rPr>
                <w:sz w:val="21"/>
              </w:rPr>
            </w:pPr>
            <w:r>
              <w:rPr>
                <w:sz w:val="21"/>
              </w:rPr>
              <w:t>颗粒</w:t>
            </w:r>
          </w:p>
          <w:p>
            <w:pPr>
              <w:pStyle w:val="19"/>
              <w:spacing w:before="57"/>
              <w:ind w:left="15"/>
              <w:rPr>
                <w:sz w:val="21"/>
              </w:rPr>
            </w:pPr>
            <w:r>
              <w:rPr>
                <w:w w:val="99"/>
                <w:sz w:val="21"/>
              </w:rPr>
              <w:t>物</w:t>
            </w:r>
          </w:p>
        </w:tc>
        <w:tc>
          <w:tcPr>
            <w:tcW w:w="963" w:type="dxa"/>
            <w:tcBorders>
              <w:top w:val="single" w:color="000000" w:sz="4" w:space="0"/>
              <w:left w:val="single" w:color="000000" w:sz="4" w:space="0"/>
              <w:bottom w:val="single" w:color="000000" w:sz="4" w:space="0"/>
              <w:right w:val="single" w:color="000000" w:sz="4" w:space="0"/>
            </w:tcBorders>
          </w:tcPr>
          <w:p>
            <w:pPr>
              <w:pStyle w:val="19"/>
              <w:spacing w:line="265" w:lineRule="exact"/>
              <w:ind w:left="274"/>
              <w:jc w:val="left"/>
              <w:rPr>
                <w:sz w:val="21"/>
              </w:rPr>
            </w:pPr>
            <w:r>
              <w:rPr>
                <w:sz w:val="21"/>
              </w:rPr>
              <w:t>物料</w:t>
            </w:r>
          </w:p>
          <w:p>
            <w:pPr>
              <w:pStyle w:val="19"/>
              <w:spacing w:before="57"/>
              <w:ind w:left="171"/>
              <w:jc w:val="left"/>
              <w:rPr>
                <w:sz w:val="21"/>
              </w:rPr>
            </w:pPr>
            <w:r>
              <w:rPr>
                <w:sz w:val="21"/>
              </w:rPr>
              <w:t>衡算法</w:t>
            </w:r>
          </w:p>
        </w:tc>
        <w:tc>
          <w:tcPr>
            <w:tcW w:w="962" w:type="dxa"/>
            <w:tcBorders>
              <w:top w:val="single" w:color="000000" w:sz="4" w:space="0"/>
              <w:left w:val="single" w:color="000000" w:sz="4" w:space="0"/>
              <w:bottom w:val="single" w:color="000000" w:sz="4" w:space="0"/>
              <w:right w:val="single" w:color="000000" w:sz="4" w:space="0"/>
            </w:tcBorders>
          </w:tcPr>
          <w:p>
            <w:pPr>
              <w:pStyle w:val="19"/>
              <w:spacing w:before="175"/>
              <w:ind w:left="19"/>
              <w:rPr>
                <w:rFonts w:ascii="Times New Roman"/>
                <w:sz w:val="21"/>
              </w:rPr>
            </w:pPr>
            <w:r>
              <w:rPr>
                <w:rFonts w:ascii="Times New Roman"/>
                <w:w w:val="99"/>
                <w:sz w:val="21"/>
              </w:rPr>
              <w:t>/</w:t>
            </w:r>
          </w:p>
        </w:tc>
        <w:tc>
          <w:tcPr>
            <w:tcW w:w="963" w:type="dxa"/>
            <w:tcBorders>
              <w:top w:val="single" w:color="000000" w:sz="4" w:space="0"/>
              <w:left w:val="single" w:color="000000" w:sz="4" w:space="0"/>
              <w:bottom w:val="single" w:color="000000" w:sz="4" w:space="0"/>
              <w:right w:val="single" w:color="000000" w:sz="4" w:space="0"/>
            </w:tcBorders>
          </w:tcPr>
          <w:p>
            <w:pPr>
              <w:pStyle w:val="19"/>
              <w:spacing w:before="175"/>
              <w:ind w:left="19"/>
              <w:rPr>
                <w:rFonts w:ascii="Times New Roman"/>
                <w:sz w:val="21"/>
              </w:rPr>
            </w:pPr>
            <w:r>
              <w:rPr>
                <w:rFonts w:ascii="Times New Roman"/>
                <w:w w:val="99"/>
                <w:sz w:val="21"/>
              </w:rPr>
              <w:t>/</w:t>
            </w:r>
          </w:p>
        </w:tc>
        <w:tc>
          <w:tcPr>
            <w:tcW w:w="964" w:type="dxa"/>
            <w:tcBorders>
              <w:top w:val="single" w:color="000000" w:sz="4" w:space="0"/>
              <w:left w:val="single" w:color="000000" w:sz="4" w:space="0"/>
              <w:bottom w:val="single" w:color="000000" w:sz="4" w:space="0"/>
              <w:right w:val="single" w:color="000000" w:sz="4" w:space="0"/>
            </w:tcBorders>
          </w:tcPr>
          <w:p>
            <w:pPr>
              <w:pStyle w:val="19"/>
              <w:spacing w:before="175"/>
              <w:ind w:right="227"/>
              <w:jc w:val="right"/>
              <w:rPr>
                <w:rFonts w:ascii="Times New Roman"/>
                <w:sz w:val="21"/>
              </w:rPr>
            </w:pPr>
            <w:r>
              <w:rPr>
                <w:rFonts w:ascii="Times New Roman"/>
                <w:sz w:val="21"/>
              </w:rPr>
              <w:t>0.015</w:t>
            </w:r>
          </w:p>
        </w:tc>
        <w:tc>
          <w:tcPr>
            <w:tcW w:w="1271" w:type="dxa"/>
            <w:tcBorders>
              <w:top w:val="single" w:color="000000" w:sz="4" w:space="0"/>
              <w:left w:val="single" w:color="000000" w:sz="4" w:space="0"/>
              <w:bottom w:val="single" w:color="000000" w:sz="4" w:space="0"/>
              <w:right w:val="single" w:color="000000" w:sz="4" w:space="0"/>
            </w:tcBorders>
          </w:tcPr>
          <w:p>
            <w:pPr>
              <w:pStyle w:val="19"/>
              <w:spacing w:line="265" w:lineRule="exact"/>
              <w:ind w:left="93" w:right="78"/>
              <w:rPr>
                <w:sz w:val="21"/>
              </w:rPr>
            </w:pPr>
            <w:r>
              <w:rPr>
                <w:sz w:val="21"/>
              </w:rPr>
              <w:t>洒水控制措</w:t>
            </w:r>
          </w:p>
          <w:p>
            <w:pPr>
              <w:pStyle w:val="19"/>
              <w:spacing w:before="57"/>
              <w:ind w:left="93" w:right="78"/>
              <w:rPr>
                <w:sz w:val="21"/>
              </w:rPr>
            </w:pPr>
            <w:r>
              <w:rPr>
                <w:sz w:val="21"/>
              </w:rPr>
              <w:t>施及围挡</w:t>
            </w:r>
          </w:p>
        </w:tc>
        <w:tc>
          <w:tcPr>
            <w:tcW w:w="848" w:type="dxa"/>
            <w:tcBorders>
              <w:top w:val="single" w:color="000000" w:sz="4" w:space="0"/>
              <w:left w:val="single" w:color="000000" w:sz="4" w:space="0"/>
              <w:bottom w:val="single" w:color="000000" w:sz="4" w:space="0"/>
              <w:right w:val="single" w:color="000000" w:sz="4" w:space="0"/>
            </w:tcBorders>
          </w:tcPr>
          <w:p>
            <w:pPr>
              <w:pStyle w:val="19"/>
              <w:spacing w:before="175"/>
              <w:ind w:left="111" w:right="92"/>
              <w:rPr>
                <w:rFonts w:ascii="Times New Roman"/>
                <w:sz w:val="21"/>
              </w:rPr>
            </w:pPr>
            <w:r>
              <w:rPr>
                <w:rFonts w:ascii="Times New Roman"/>
                <w:sz w:val="21"/>
              </w:rPr>
              <w:t>74</w:t>
            </w:r>
          </w:p>
        </w:tc>
        <w:tc>
          <w:tcPr>
            <w:tcW w:w="833" w:type="dxa"/>
            <w:tcBorders>
              <w:top w:val="single" w:color="000000" w:sz="4" w:space="0"/>
              <w:left w:val="single" w:color="000000" w:sz="4" w:space="0"/>
              <w:bottom w:val="single" w:color="000000" w:sz="4" w:space="0"/>
              <w:right w:val="single" w:color="000000" w:sz="4" w:space="0"/>
            </w:tcBorders>
          </w:tcPr>
          <w:p>
            <w:pPr>
              <w:pStyle w:val="19"/>
              <w:spacing w:before="175"/>
              <w:ind w:left="20"/>
              <w:rPr>
                <w:rFonts w:ascii="Times New Roman"/>
                <w:sz w:val="21"/>
              </w:rPr>
            </w:pPr>
            <w:r>
              <w:rPr>
                <w:rFonts w:ascii="Times New Roman"/>
                <w:w w:val="99"/>
                <w:sz w:val="21"/>
              </w:rPr>
              <w:t>/</w:t>
            </w:r>
          </w:p>
        </w:tc>
        <w:tc>
          <w:tcPr>
            <w:tcW w:w="833" w:type="dxa"/>
            <w:tcBorders>
              <w:top w:val="single" w:color="000000" w:sz="4" w:space="0"/>
              <w:left w:val="single" w:color="000000" w:sz="4" w:space="0"/>
              <w:bottom w:val="single" w:color="000000" w:sz="4" w:space="0"/>
              <w:right w:val="single" w:color="000000" w:sz="4" w:space="0"/>
            </w:tcBorders>
          </w:tcPr>
          <w:p>
            <w:pPr>
              <w:pStyle w:val="19"/>
              <w:spacing w:before="175"/>
              <w:ind w:left="19"/>
              <w:rPr>
                <w:rFonts w:ascii="Times New Roman"/>
                <w:sz w:val="21"/>
              </w:rPr>
            </w:pPr>
            <w:r>
              <w:rPr>
                <w:rFonts w:ascii="Times New Roman"/>
                <w:w w:val="99"/>
                <w:sz w:val="21"/>
              </w:rPr>
              <w:t>/</w:t>
            </w:r>
          </w:p>
        </w:tc>
        <w:tc>
          <w:tcPr>
            <w:tcW w:w="832" w:type="dxa"/>
            <w:tcBorders>
              <w:top w:val="single" w:color="000000" w:sz="4" w:space="0"/>
              <w:left w:val="single" w:color="000000" w:sz="4" w:space="0"/>
              <w:bottom w:val="single" w:color="000000" w:sz="4" w:space="0"/>
              <w:right w:val="single" w:color="000000" w:sz="4" w:space="0"/>
            </w:tcBorders>
          </w:tcPr>
          <w:p>
            <w:pPr>
              <w:pStyle w:val="19"/>
              <w:spacing w:before="175"/>
              <w:ind w:left="110" w:right="94"/>
              <w:rPr>
                <w:rFonts w:ascii="Times New Roman"/>
                <w:sz w:val="21"/>
              </w:rPr>
            </w:pPr>
            <w:r>
              <w:rPr>
                <w:rFonts w:ascii="Times New Roman"/>
                <w:sz w:val="21"/>
              </w:rPr>
              <w:t>0.0004</w:t>
            </w:r>
          </w:p>
        </w:tc>
        <w:tc>
          <w:tcPr>
            <w:tcW w:w="834" w:type="dxa"/>
            <w:tcBorders>
              <w:top w:val="single" w:color="000000" w:sz="4" w:space="0"/>
              <w:left w:val="single" w:color="000000" w:sz="4" w:space="0"/>
              <w:bottom w:val="single" w:color="000000" w:sz="4" w:space="0"/>
              <w:right w:val="single" w:color="000000" w:sz="4" w:space="0"/>
            </w:tcBorders>
          </w:tcPr>
          <w:p>
            <w:pPr>
              <w:pStyle w:val="19"/>
              <w:spacing w:before="175"/>
              <w:ind w:left="131"/>
              <w:jc w:val="left"/>
              <w:rPr>
                <w:rFonts w:ascii="Times New Roman"/>
                <w:sz w:val="21"/>
              </w:rPr>
            </w:pPr>
            <w:r>
              <w:rPr>
                <w:rFonts w:ascii="Times New Roman"/>
                <w:sz w:val="21"/>
              </w:rPr>
              <w:t>0.0039</w:t>
            </w:r>
          </w:p>
        </w:tc>
        <w:tc>
          <w:tcPr>
            <w:tcW w:w="815" w:type="dxa"/>
            <w:tcBorders>
              <w:top w:val="single" w:color="000000" w:sz="4" w:space="0"/>
              <w:left w:val="single" w:color="000000" w:sz="4" w:space="0"/>
              <w:bottom w:val="single" w:color="000000" w:sz="4" w:space="0"/>
              <w:right w:val="single" w:color="000000" w:sz="4" w:space="0"/>
            </w:tcBorders>
          </w:tcPr>
          <w:p>
            <w:pPr>
              <w:pStyle w:val="19"/>
              <w:spacing w:before="175"/>
              <w:ind w:left="20"/>
              <w:rPr>
                <w:rFonts w:ascii="Times New Roman"/>
                <w:sz w:val="21"/>
              </w:rPr>
            </w:pPr>
            <w:r>
              <w:rPr>
                <w:rFonts w:ascii="Times New Roman"/>
                <w:w w:val="99"/>
                <w:sz w:val="21"/>
              </w:rPr>
              <w:t>1</w:t>
            </w:r>
          </w:p>
        </w:tc>
        <w:tc>
          <w:tcPr>
            <w:tcW w:w="815" w:type="dxa"/>
            <w:tcBorders>
              <w:top w:val="single" w:color="000000" w:sz="4" w:space="0"/>
              <w:left w:val="single" w:color="000000" w:sz="4" w:space="0"/>
              <w:bottom w:val="single" w:color="000000" w:sz="4" w:space="0"/>
            </w:tcBorders>
          </w:tcPr>
          <w:p>
            <w:pPr>
              <w:pStyle w:val="19"/>
              <w:spacing w:before="175"/>
              <w:ind w:right="175"/>
              <w:jc w:val="right"/>
              <w:rPr>
                <w:rFonts w:ascii="Times New Roman"/>
                <w:sz w:val="21"/>
              </w:rPr>
            </w:pPr>
            <w:r>
              <w:rPr>
                <w:rFonts w:ascii="Times New Roman"/>
                <w:sz w:val="21"/>
              </w:rPr>
              <w:t>8760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7" w:hRule="atLeast"/>
        </w:trPr>
        <w:tc>
          <w:tcPr>
            <w:tcW w:w="523" w:type="dxa"/>
            <w:vMerge w:val="continue"/>
            <w:tcBorders>
              <w:top w:val="nil"/>
              <w:right w:val="single" w:color="000000" w:sz="4" w:space="0"/>
            </w:tcBorders>
          </w:tcPr>
          <w:p>
            <w:pPr>
              <w:rPr>
                <w:sz w:val="2"/>
                <w:szCs w:val="2"/>
              </w:rPr>
            </w:pPr>
          </w:p>
        </w:tc>
        <w:tc>
          <w:tcPr>
            <w:tcW w:w="1115" w:type="dxa"/>
            <w:tcBorders>
              <w:top w:val="single" w:color="000000" w:sz="4" w:space="0"/>
              <w:left w:val="single" w:color="000000" w:sz="4" w:space="0"/>
              <w:right w:val="single" w:color="000000" w:sz="4" w:space="0"/>
            </w:tcBorders>
          </w:tcPr>
          <w:p>
            <w:pPr>
              <w:pStyle w:val="19"/>
              <w:spacing w:line="263" w:lineRule="exact"/>
              <w:ind w:left="121" w:right="103"/>
              <w:rPr>
                <w:sz w:val="21"/>
              </w:rPr>
            </w:pPr>
            <w:r>
              <w:rPr>
                <w:sz w:val="21"/>
              </w:rPr>
              <w:t>储煤场扬</w:t>
            </w:r>
          </w:p>
          <w:p>
            <w:pPr>
              <w:pStyle w:val="19"/>
              <w:spacing w:before="57"/>
              <w:ind w:left="18"/>
              <w:rPr>
                <w:sz w:val="21"/>
              </w:rPr>
            </w:pPr>
            <w:r>
              <w:rPr>
                <w:w w:val="99"/>
                <w:sz w:val="21"/>
              </w:rPr>
              <w:t>尘</w:t>
            </w:r>
          </w:p>
        </w:tc>
        <w:tc>
          <w:tcPr>
            <w:tcW w:w="740" w:type="dxa"/>
            <w:tcBorders>
              <w:top w:val="single" w:color="000000" w:sz="4" w:space="0"/>
              <w:left w:val="single" w:color="000000" w:sz="4" w:space="0"/>
              <w:right w:val="single" w:color="000000" w:sz="4" w:space="0"/>
            </w:tcBorders>
          </w:tcPr>
          <w:p>
            <w:pPr>
              <w:pStyle w:val="19"/>
              <w:spacing w:line="263" w:lineRule="exact"/>
              <w:ind w:left="142" w:right="124"/>
              <w:rPr>
                <w:sz w:val="21"/>
              </w:rPr>
            </w:pPr>
            <w:r>
              <w:rPr>
                <w:sz w:val="21"/>
              </w:rPr>
              <w:t>颗粒</w:t>
            </w:r>
          </w:p>
          <w:p>
            <w:pPr>
              <w:pStyle w:val="19"/>
              <w:spacing w:before="57"/>
              <w:ind w:left="15"/>
              <w:rPr>
                <w:sz w:val="21"/>
              </w:rPr>
            </w:pPr>
            <w:r>
              <w:rPr>
                <w:w w:val="99"/>
                <w:sz w:val="21"/>
              </w:rPr>
              <w:t>物</w:t>
            </w:r>
          </w:p>
        </w:tc>
        <w:tc>
          <w:tcPr>
            <w:tcW w:w="963" w:type="dxa"/>
            <w:tcBorders>
              <w:top w:val="single" w:color="000000" w:sz="4" w:space="0"/>
              <w:left w:val="single" w:color="000000" w:sz="4" w:space="0"/>
              <w:right w:val="single" w:color="000000" w:sz="4" w:space="0"/>
            </w:tcBorders>
          </w:tcPr>
          <w:p>
            <w:pPr>
              <w:pStyle w:val="19"/>
              <w:spacing w:line="263" w:lineRule="exact"/>
              <w:ind w:left="274"/>
              <w:jc w:val="left"/>
              <w:rPr>
                <w:sz w:val="21"/>
              </w:rPr>
            </w:pPr>
            <w:r>
              <w:rPr>
                <w:sz w:val="21"/>
              </w:rPr>
              <w:t>物料</w:t>
            </w:r>
          </w:p>
          <w:p>
            <w:pPr>
              <w:pStyle w:val="19"/>
              <w:spacing w:before="57"/>
              <w:ind w:left="171"/>
              <w:jc w:val="left"/>
              <w:rPr>
                <w:sz w:val="21"/>
              </w:rPr>
            </w:pPr>
            <w:r>
              <w:rPr>
                <w:sz w:val="21"/>
              </w:rPr>
              <w:t>衡算法</w:t>
            </w:r>
          </w:p>
        </w:tc>
        <w:tc>
          <w:tcPr>
            <w:tcW w:w="962" w:type="dxa"/>
            <w:tcBorders>
              <w:top w:val="single" w:color="000000" w:sz="4" w:space="0"/>
              <w:left w:val="single" w:color="000000" w:sz="4" w:space="0"/>
              <w:right w:val="single" w:color="000000" w:sz="4" w:space="0"/>
            </w:tcBorders>
          </w:tcPr>
          <w:p>
            <w:pPr>
              <w:pStyle w:val="19"/>
              <w:spacing w:before="176"/>
              <w:ind w:left="19"/>
              <w:rPr>
                <w:rFonts w:ascii="Times New Roman"/>
                <w:sz w:val="21"/>
              </w:rPr>
            </w:pPr>
            <w:r>
              <w:rPr>
                <w:rFonts w:ascii="Times New Roman"/>
                <w:w w:val="99"/>
                <w:sz w:val="21"/>
              </w:rPr>
              <w:t>/</w:t>
            </w:r>
          </w:p>
        </w:tc>
        <w:tc>
          <w:tcPr>
            <w:tcW w:w="963" w:type="dxa"/>
            <w:tcBorders>
              <w:top w:val="single" w:color="000000" w:sz="4" w:space="0"/>
              <w:left w:val="single" w:color="000000" w:sz="4" w:space="0"/>
              <w:right w:val="single" w:color="000000" w:sz="4" w:space="0"/>
            </w:tcBorders>
          </w:tcPr>
          <w:p>
            <w:pPr>
              <w:pStyle w:val="19"/>
              <w:spacing w:before="176"/>
              <w:ind w:left="19"/>
              <w:rPr>
                <w:rFonts w:ascii="Times New Roman"/>
                <w:sz w:val="21"/>
              </w:rPr>
            </w:pPr>
            <w:r>
              <w:rPr>
                <w:rFonts w:ascii="Times New Roman"/>
                <w:w w:val="99"/>
                <w:sz w:val="21"/>
              </w:rPr>
              <w:t>/</w:t>
            </w:r>
          </w:p>
        </w:tc>
        <w:tc>
          <w:tcPr>
            <w:tcW w:w="964" w:type="dxa"/>
            <w:tcBorders>
              <w:top w:val="single" w:color="000000" w:sz="4" w:space="0"/>
              <w:left w:val="single" w:color="000000" w:sz="4" w:space="0"/>
              <w:right w:val="single" w:color="000000" w:sz="4" w:space="0"/>
            </w:tcBorders>
          </w:tcPr>
          <w:p>
            <w:pPr>
              <w:pStyle w:val="19"/>
              <w:spacing w:before="176"/>
              <w:ind w:right="283"/>
              <w:jc w:val="right"/>
              <w:rPr>
                <w:rFonts w:ascii="Times New Roman"/>
                <w:sz w:val="21"/>
              </w:rPr>
            </w:pPr>
            <w:r>
              <w:rPr>
                <w:rFonts w:ascii="Times New Roman"/>
                <w:w w:val="95"/>
                <w:sz w:val="21"/>
              </w:rPr>
              <w:t>0.13</w:t>
            </w:r>
          </w:p>
        </w:tc>
        <w:tc>
          <w:tcPr>
            <w:tcW w:w="1271" w:type="dxa"/>
            <w:tcBorders>
              <w:top w:val="single" w:color="000000" w:sz="4" w:space="0"/>
              <w:left w:val="single" w:color="000000" w:sz="4" w:space="0"/>
              <w:right w:val="single" w:color="000000" w:sz="4" w:space="0"/>
            </w:tcBorders>
          </w:tcPr>
          <w:p>
            <w:pPr>
              <w:pStyle w:val="19"/>
              <w:spacing w:line="263" w:lineRule="exact"/>
              <w:ind w:left="93" w:right="78"/>
              <w:rPr>
                <w:sz w:val="21"/>
              </w:rPr>
            </w:pPr>
            <w:r>
              <w:rPr>
                <w:sz w:val="21"/>
              </w:rPr>
              <w:t>洒水控制措</w:t>
            </w:r>
          </w:p>
          <w:p>
            <w:pPr>
              <w:pStyle w:val="19"/>
              <w:spacing w:before="57"/>
              <w:ind w:left="93" w:right="78"/>
              <w:rPr>
                <w:sz w:val="21"/>
              </w:rPr>
            </w:pPr>
            <w:r>
              <w:rPr>
                <w:sz w:val="21"/>
              </w:rPr>
              <w:t>施及围挡</w:t>
            </w:r>
          </w:p>
        </w:tc>
        <w:tc>
          <w:tcPr>
            <w:tcW w:w="848" w:type="dxa"/>
            <w:tcBorders>
              <w:top w:val="single" w:color="000000" w:sz="4" w:space="0"/>
              <w:left w:val="single" w:color="000000" w:sz="4" w:space="0"/>
              <w:right w:val="single" w:color="000000" w:sz="4" w:space="0"/>
            </w:tcBorders>
          </w:tcPr>
          <w:p>
            <w:pPr>
              <w:pStyle w:val="19"/>
              <w:spacing w:before="176"/>
              <w:ind w:left="111" w:right="92"/>
              <w:rPr>
                <w:rFonts w:ascii="Times New Roman"/>
                <w:sz w:val="21"/>
              </w:rPr>
            </w:pPr>
            <w:r>
              <w:rPr>
                <w:rFonts w:ascii="Times New Roman"/>
                <w:sz w:val="21"/>
              </w:rPr>
              <w:t>74</w:t>
            </w:r>
          </w:p>
        </w:tc>
        <w:tc>
          <w:tcPr>
            <w:tcW w:w="833" w:type="dxa"/>
            <w:tcBorders>
              <w:top w:val="single" w:color="000000" w:sz="4" w:space="0"/>
              <w:left w:val="single" w:color="000000" w:sz="4" w:space="0"/>
              <w:right w:val="single" w:color="000000" w:sz="4" w:space="0"/>
            </w:tcBorders>
          </w:tcPr>
          <w:p>
            <w:pPr>
              <w:pStyle w:val="19"/>
              <w:spacing w:before="176"/>
              <w:ind w:left="20"/>
              <w:rPr>
                <w:rFonts w:ascii="Times New Roman"/>
                <w:sz w:val="21"/>
              </w:rPr>
            </w:pPr>
            <w:r>
              <w:rPr>
                <w:rFonts w:ascii="Times New Roman"/>
                <w:w w:val="99"/>
                <w:sz w:val="21"/>
              </w:rPr>
              <w:t>/</w:t>
            </w:r>
          </w:p>
        </w:tc>
        <w:tc>
          <w:tcPr>
            <w:tcW w:w="833" w:type="dxa"/>
            <w:tcBorders>
              <w:top w:val="single" w:color="000000" w:sz="4" w:space="0"/>
              <w:left w:val="single" w:color="000000" w:sz="4" w:space="0"/>
              <w:right w:val="single" w:color="000000" w:sz="4" w:space="0"/>
            </w:tcBorders>
          </w:tcPr>
          <w:p>
            <w:pPr>
              <w:pStyle w:val="19"/>
              <w:spacing w:before="176"/>
              <w:ind w:left="19"/>
              <w:rPr>
                <w:rFonts w:ascii="Times New Roman"/>
                <w:sz w:val="21"/>
              </w:rPr>
            </w:pPr>
            <w:r>
              <w:rPr>
                <w:rFonts w:ascii="Times New Roman"/>
                <w:w w:val="99"/>
                <w:sz w:val="21"/>
              </w:rPr>
              <w:t>/</w:t>
            </w:r>
          </w:p>
        </w:tc>
        <w:tc>
          <w:tcPr>
            <w:tcW w:w="832" w:type="dxa"/>
            <w:tcBorders>
              <w:top w:val="single" w:color="000000" w:sz="4" w:space="0"/>
              <w:left w:val="single" w:color="000000" w:sz="4" w:space="0"/>
              <w:right w:val="single" w:color="000000" w:sz="4" w:space="0"/>
            </w:tcBorders>
          </w:tcPr>
          <w:p>
            <w:pPr>
              <w:pStyle w:val="19"/>
              <w:spacing w:before="176"/>
              <w:ind w:left="110" w:right="92"/>
              <w:rPr>
                <w:rFonts w:ascii="Times New Roman"/>
                <w:sz w:val="21"/>
              </w:rPr>
            </w:pPr>
            <w:r>
              <w:rPr>
                <w:rFonts w:ascii="Times New Roman"/>
                <w:sz w:val="21"/>
              </w:rPr>
              <w:t>0.004</w:t>
            </w:r>
          </w:p>
        </w:tc>
        <w:tc>
          <w:tcPr>
            <w:tcW w:w="834" w:type="dxa"/>
            <w:tcBorders>
              <w:top w:val="single" w:color="000000" w:sz="4" w:space="0"/>
              <w:left w:val="single" w:color="000000" w:sz="4" w:space="0"/>
              <w:right w:val="single" w:color="000000" w:sz="4" w:space="0"/>
            </w:tcBorders>
          </w:tcPr>
          <w:p>
            <w:pPr>
              <w:pStyle w:val="19"/>
              <w:spacing w:before="176"/>
              <w:ind w:left="186"/>
              <w:jc w:val="left"/>
              <w:rPr>
                <w:rFonts w:ascii="Times New Roman"/>
                <w:sz w:val="21"/>
              </w:rPr>
            </w:pPr>
            <w:r>
              <w:rPr>
                <w:rFonts w:ascii="Times New Roman"/>
                <w:sz w:val="21"/>
              </w:rPr>
              <w:t>0.035</w:t>
            </w:r>
          </w:p>
        </w:tc>
        <w:tc>
          <w:tcPr>
            <w:tcW w:w="815" w:type="dxa"/>
            <w:tcBorders>
              <w:top w:val="single" w:color="000000" w:sz="4" w:space="0"/>
              <w:left w:val="single" w:color="000000" w:sz="4" w:space="0"/>
              <w:right w:val="single" w:color="000000" w:sz="4" w:space="0"/>
            </w:tcBorders>
          </w:tcPr>
          <w:p>
            <w:pPr>
              <w:pStyle w:val="19"/>
              <w:spacing w:before="176"/>
              <w:ind w:left="20"/>
              <w:rPr>
                <w:rFonts w:ascii="Times New Roman"/>
                <w:sz w:val="21"/>
              </w:rPr>
            </w:pPr>
            <w:r>
              <w:rPr>
                <w:rFonts w:ascii="Times New Roman"/>
                <w:w w:val="99"/>
                <w:sz w:val="21"/>
              </w:rPr>
              <w:t>1</w:t>
            </w:r>
          </w:p>
        </w:tc>
        <w:tc>
          <w:tcPr>
            <w:tcW w:w="815" w:type="dxa"/>
            <w:tcBorders>
              <w:top w:val="single" w:color="000000" w:sz="4" w:space="0"/>
              <w:left w:val="single" w:color="000000" w:sz="4" w:space="0"/>
            </w:tcBorders>
          </w:tcPr>
          <w:p>
            <w:pPr>
              <w:pStyle w:val="19"/>
              <w:spacing w:before="176"/>
              <w:ind w:right="175"/>
              <w:jc w:val="right"/>
              <w:rPr>
                <w:rFonts w:ascii="Times New Roman"/>
                <w:sz w:val="21"/>
              </w:rPr>
            </w:pPr>
            <w:r>
              <w:rPr>
                <w:rFonts w:ascii="Times New Roman"/>
                <w:sz w:val="21"/>
              </w:rPr>
              <w:t>8760</w:t>
            </w:r>
          </w:p>
        </w:tc>
      </w:tr>
    </w:tbl>
    <w:p>
      <w:pPr>
        <w:pStyle w:val="9"/>
        <w:rPr>
          <w:b/>
          <w:sz w:val="22"/>
        </w:rPr>
      </w:pPr>
    </w:p>
    <w:p>
      <w:pPr>
        <w:pStyle w:val="9"/>
        <w:rPr>
          <w:b/>
          <w:sz w:val="22"/>
        </w:rPr>
      </w:pPr>
    </w:p>
    <w:p>
      <w:pPr>
        <w:pStyle w:val="9"/>
        <w:rPr>
          <w:b/>
          <w:sz w:val="22"/>
        </w:rPr>
      </w:pPr>
    </w:p>
    <w:p>
      <w:pPr>
        <w:pStyle w:val="9"/>
        <w:rPr>
          <w:b/>
          <w:sz w:val="22"/>
        </w:rPr>
      </w:pPr>
    </w:p>
    <w:p>
      <w:pPr>
        <w:pStyle w:val="9"/>
        <w:spacing w:before="1"/>
        <w:rPr>
          <w:b/>
          <w:sz w:val="20"/>
        </w:rPr>
      </w:pPr>
    </w:p>
    <w:p>
      <w:pPr>
        <w:spacing w:before="0"/>
        <w:ind w:left="4138" w:right="4138" w:firstLine="0"/>
        <w:jc w:val="center"/>
        <w:rPr>
          <w:rFonts w:ascii="Times New Roman"/>
          <w:sz w:val="18"/>
        </w:rPr>
      </w:pPr>
      <w:r>
        <w:rPr>
          <w:rFonts w:ascii="Times New Roman"/>
          <w:sz w:val="18"/>
        </w:rPr>
        <w:t>84</w:t>
      </w:r>
    </w:p>
    <w:p>
      <w:pPr>
        <w:spacing w:after="0"/>
        <w:jc w:val="center"/>
        <w:rPr>
          <w:rFonts w:ascii="Times New Roman"/>
          <w:sz w:val="18"/>
        </w:rPr>
        <w:sectPr>
          <w:footerReference r:id="rId14" w:type="default"/>
          <w:pgSz w:w="16840" w:h="11910" w:orient="landscape"/>
          <w:pgMar w:top="1100" w:right="1640" w:bottom="280" w:left="1640" w:header="0" w:footer="0" w:gutter="0"/>
        </w:sectPr>
      </w:pPr>
    </w:p>
    <w:p>
      <w:pPr>
        <w:pStyle w:val="18"/>
        <w:numPr>
          <w:ilvl w:val="1"/>
          <w:numId w:val="45"/>
        </w:numPr>
        <w:tabs>
          <w:tab w:val="left" w:pos="2502"/>
        </w:tabs>
        <w:spacing w:before="61" w:after="0" w:line="240" w:lineRule="auto"/>
        <w:ind w:left="2501" w:right="0" w:hanging="602"/>
        <w:jc w:val="left"/>
        <w:rPr>
          <w:sz w:val="24"/>
        </w:rPr>
      </w:pPr>
      <w:r>
        <w:rPr>
          <w:sz w:val="24"/>
        </w:rPr>
        <w:t>水污染源、污染物及拟定的防治措施</w:t>
      </w:r>
    </w:p>
    <w:p>
      <w:pPr>
        <w:pStyle w:val="9"/>
        <w:spacing w:before="158"/>
        <w:ind w:left="1900"/>
      </w:pPr>
      <w:r>
        <w:t>①采煤废水及处理措施</w:t>
      </w:r>
    </w:p>
    <w:p>
      <w:pPr>
        <w:pStyle w:val="9"/>
        <w:spacing w:before="161" w:line="364" w:lineRule="auto"/>
        <w:ind w:left="1418" w:right="1413" w:firstLine="420"/>
        <w:jc w:val="both"/>
      </w:pPr>
      <w:r>
        <w:rPr>
          <w:spacing w:val="-4"/>
        </w:rPr>
        <w:t xml:space="preserve">本工程采煤废水量平均涌水量为 </w:t>
      </w:r>
      <w:r>
        <w:rPr>
          <w:rFonts w:ascii="Times New Roman" w:eastAsia="Times New Roman"/>
          <w:spacing w:val="-4"/>
        </w:rPr>
        <w:t>60m</w:t>
      </w:r>
      <w:r>
        <w:rPr>
          <w:rFonts w:ascii="Times New Roman" w:eastAsia="Times New Roman"/>
          <w:spacing w:val="-4"/>
          <w:position w:val="8"/>
          <w:sz w:val="15"/>
        </w:rPr>
        <w:t>3</w:t>
      </w:r>
      <w:r>
        <w:rPr>
          <w:rFonts w:ascii="Times New Roman" w:eastAsia="Times New Roman"/>
          <w:spacing w:val="-4"/>
        </w:rPr>
        <w:t>/h</w:t>
      </w:r>
      <w:r>
        <w:rPr>
          <w:spacing w:val="-11"/>
        </w:rPr>
        <w:t xml:space="preserve">，总水量为 </w:t>
      </w:r>
      <w:r>
        <w:rPr>
          <w:rFonts w:ascii="Times New Roman" w:eastAsia="Times New Roman"/>
          <w:spacing w:val="-4"/>
        </w:rPr>
        <w:t>1440m</w:t>
      </w:r>
      <w:r>
        <w:rPr>
          <w:rFonts w:ascii="Times New Roman" w:eastAsia="Times New Roman"/>
          <w:spacing w:val="-4"/>
          <w:position w:val="8"/>
          <w:sz w:val="15"/>
        </w:rPr>
        <w:t>3</w:t>
      </w:r>
      <w:r>
        <w:rPr>
          <w:rFonts w:ascii="Times New Roman" w:eastAsia="Times New Roman"/>
          <w:spacing w:val="-4"/>
        </w:rPr>
        <w:t>/d</w:t>
      </w:r>
      <w:r>
        <w:rPr>
          <w:spacing w:val="-3"/>
        </w:rPr>
        <w:t>，在井下汇流过程中受</w:t>
      </w:r>
      <w:r>
        <w:rPr>
          <w:spacing w:val="-5"/>
        </w:rPr>
        <w:t>到煤尘和人为活动的污染，使其悬浮物浓度较高，水多呈黑色，故采煤废水的主要污染</w:t>
      </w:r>
      <w:r>
        <w:rPr>
          <w:spacing w:val="-3"/>
        </w:rPr>
        <w:t xml:space="preserve">物为悬浮物，矿井同步建设一座处理规模 </w:t>
      </w:r>
      <w:r>
        <w:rPr>
          <w:rFonts w:ascii="Times New Roman" w:eastAsia="Times New Roman"/>
        </w:rPr>
        <w:t>1600m</w:t>
      </w:r>
      <w:r>
        <w:rPr>
          <w:rFonts w:ascii="Times New Roman" w:eastAsia="Times New Roman"/>
          <w:position w:val="8"/>
          <w:sz w:val="15"/>
        </w:rPr>
        <w:t>3</w:t>
      </w:r>
      <w:r>
        <w:rPr>
          <w:rFonts w:ascii="Times New Roman" w:eastAsia="Times New Roman"/>
        </w:rPr>
        <w:t xml:space="preserve">/d </w:t>
      </w:r>
      <w:r>
        <w:t>的采煤废水处理站，采用混凝、沉淀、</w:t>
      </w:r>
      <w:r>
        <w:rPr>
          <w:rFonts w:ascii="Times New Roman" w:eastAsia="Times New Roman"/>
        </w:rPr>
        <w:t xml:space="preserve">MBR </w:t>
      </w:r>
      <w:r>
        <w:t>膜及消毒处理工艺。处理后部分回用于井下生产用水、洗浴用水、洗衣用水和锅炉补水等非饮用生活用水，剩余部分排入安邦河。</w:t>
      </w:r>
    </w:p>
    <w:p>
      <w:pPr>
        <w:pStyle w:val="9"/>
        <w:spacing w:line="306" w:lineRule="exact"/>
        <w:ind w:left="1838"/>
      </w:pPr>
      <w:r>
        <w:t>③生活污水及处理措施</w:t>
      </w:r>
    </w:p>
    <w:p>
      <w:pPr>
        <w:pStyle w:val="9"/>
        <w:spacing w:before="158" w:line="364" w:lineRule="auto"/>
        <w:ind w:left="1418" w:right="1417" w:firstLine="420"/>
      </w:pPr>
      <w:r>
        <w:rPr>
          <w:spacing w:val="-1"/>
        </w:rPr>
        <w:t>本项目矿井地面设施的生活及生产污水经一体化综合污水处理装置</w:t>
      </w:r>
      <w:r>
        <w:t>（</w:t>
      </w:r>
      <w:r>
        <w:rPr>
          <w:rFonts w:ascii="Cambria" w:eastAsia="Cambria"/>
        </w:rPr>
        <w:t>SBR+</w:t>
      </w:r>
      <w:r>
        <w:t>消毒</w:t>
      </w:r>
      <w:r>
        <w:rPr>
          <w:spacing w:val="-29"/>
        </w:rPr>
        <w:t>）</w:t>
      </w:r>
      <w:r>
        <w:rPr>
          <w:spacing w:val="-15"/>
        </w:rPr>
        <w:t>处</w:t>
      </w:r>
      <w:r>
        <w:t>理达标后全部回用。</w:t>
      </w:r>
    </w:p>
    <w:p>
      <w:pPr>
        <w:pStyle w:val="9"/>
        <w:spacing w:line="306" w:lineRule="exact"/>
        <w:ind w:left="1838"/>
      </w:pPr>
      <w:r>
        <w:t>④场地雨水排放</w:t>
      </w:r>
    </w:p>
    <w:p>
      <w:pPr>
        <w:pStyle w:val="9"/>
        <w:spacing w:before="160"/>
        <w:ind w:left="1838"/>
      </w:pPr>
      <w:r>
        <w:t>地面排水系统采用雨污分流排水系统。</w:t>
      </w:r>
    </w:p>
    <w:p>
      <w:pPr>
        <w:pStyle w:val="9"/>
        <w:spacing w:before="12"/>
      </w:pPr>
    </w:p>
    <w:p>
      <w:pPr>
        <w:pStyle w:val="18"/>
        <w:numPr>
          <w:ilvl w:val="1"/>
          <w:numId w:val="45"/>
        </w:numPr>
        <w:tabs>
          <w:tab w:val="left" w:pos="2500"/>
        </w:tabs>
        <w:spacing w:before="0" w:after="0" w:line="240" w:lineRule="auto"/>
        <w:ind w:left="2499" w:right="0" w:hanging="602"/>
        <w:jc w:val="left"/>
        <w:rPr>
          <w:sz w:val="24"/>
        </w:rPr>
      </w:pPr>
      <w:r>
        <w:rPr>
          <w:sz w:val="24"/>
        </w:rPr>
        <w:t>固体废弃物的排放及污染防治措施</w:t>
      </w:r>
    </w:p>
    <w:p>
      <w:pPr>
        <w:pStyle w:val="9"/>
        <w:spacing w:before="191"/>
        <w:ind w:left="1898"/>
      </w:pPr>
      <w:r>
        <w:t>①固体废弃物的排放量</w:t>
      </w:r>
    </w:p>
    <w:p>
      <w:pPr>
        <w:pStyle w:val="9"/>
        <w:spacing w:before="31" w:line="502" w:lineRule="exact"/>
        <w:ind w:left="1418" w:right="1360" w:firstLine="480"/>
      </w:pPr>
      <w:r>
        <w:t>生产运营期主要固体废物为锅炉灰渣、煤矸石、污泥、生活垃圾、厨余垃圾。固体废弃物的最终产量详见下表。</w:t>
      </w:r>
    </w:p>
    <w:p>
      <w:pPr>
        <w:spacing w:before="0" w:line="268" w:lineRule="exact"/>
        <w:ind w:left="4185" w:right="0" w:firstLine="0"/>
        <w:jc w:val="left"/>
        <w:rPr>
          <w:b/>
          <w:sz w:val="21"/>
        </w:rPr>
      </w:pPr>
      <w:r>
        <w:rPr>
          <w:b/>
          <w:spacing w:val="-26"/>
          <w:sz w:val="21"/>
        </w:rPr>
        <w:t xml:space="preserve">表 </w:t>
      </w:r>
      <w:r>
        <w:rPr>
          <w:rFonts w:ascii="Times New Roman" w:eastAsia="Times New Roman"/>
          <w:b/>
          <w:sz w:val="21"/>
        </w:rPr>
        <w:t>2.4-7</w:t>
      </w:r>
      <w:r>
        <w:rPr>
          <w:rFonts w:ascii="Times New Roman" w:eastAsia="Times New Roman"/>
          <w:b/>
          <w:spacing w:val="52"/>
          <w:sz w:val="21"/>
        </w:rPr>
        <w:t xml:space="preserve"> </w:t>
      </w:r>
      <w:r>
        <w:rPr>
          <w:b/>
          <w:sz w:val="21"/>
        </w:rPr>
        <w:t>运营期固体废弃物的最终产量</w:t>
      </w:r>
    </w:p>
    <w:p>
      <w:pPr>
        <w:pStyle w:val="9"/>
        <w:spacing w:before="10"/>
        <w:rPr>
          <w:b/>
          <w:sz w:val="10"/>
        </w:rPr>
      </w:pP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085"/>
        <w:gridCol w:w="42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5085" w:type="dxa"/>
            <w:tcBorders>
              <w:bottom w:val="single" w:color="000000" w:sz="4" w:space="0"/>
              <w:right w:val="single" w:color="000000" w:sz="4" w:space="0"/>
            </w:tcBorders>
          </w:tcPr>
          <w:p>
            <w:pPr>
              <w:pStyle w:val="19"/>
              <w:tabs>
                <w:tab w:val="left" w:pos="639"/>
              </w:tabs>
              <w:spacing w:before="2" w:line="250" w:lineRule="exact"/>
              <w:ind w:left="11"/>
              <w:rPr>
                <w:sz w:val="21"/>
              </w:rPr>
            </w:pPr>
            <w:r>
              <w:rPr>
                <w:sz w:val="21"/>
              </w:rPr>
              <w:t>项</w:t>
            </w:r>
            <w:r>
              <w:rPr>
                <w:sz w:val="21"/>
              </w:rPr>
              <w:tab/>
            </w:r>
            <w:r>
              <w:rPr>
                <w:sz w:val="21"/>
              </w:rPr>
              <w:t>目</w:t>
            </w:r>
          </w:p>
        </w:tc>
        <w:tc>
          <w:tcPr>
            <w:tcW w:w="4201" w:type="dxa"/>
            <w:tcBorders>
              <w:left w:val="single" w:color="000000" w:sz="4" w:space="0"/>
              <w:bottom w:val="single" w:color="000000" w:sz="4" w:space="0"/>
            </w:tcBorders>
          </w:tcPr>
          <w:p>
            <w:pPr>
              <w:pStyle w:val="19"/>
              <w:spacing w:before="2" w:line="250" w:lineRule="exact"/>
              <w:ind w:left="1454" w:right="1431"/>
              <w:rPr>
                <w:sz w:val="21"/>
              </w:rPr>
            </w:pPr>
            <w:r>
              <w:rPr>
                <w:sz w:val="21"/>
              </w:rPr>
              <w:t>产生量（</w:t>
            </w:r>
            <w:r>
              <w:rPr>
                <w:rFonts w:ascii="Times New Roman" w:eastAsia="Times New Roman"/>
                <w:sz w:val="21"/>
              </w:rPr>
              <w:t>t/a</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5085" w:type="dxa"/>
            <w:tcBorders>
              <w:top w:val="single" w:color="000000" w:sz="4" w:space="0"/>
              <w:bottom w:val="single" w:color="000000" w:sz="4" w:space="0"/>
              <w:right w:val="single" w:color="000000" w:sz="4" w:space="0"/>
            </w:tcBorders>
          </w:tcPr>
          <w:p>
            <w:pPr>
              <w:pStyle w:val="19"/>
              <w:spacing w:before="1" w:line="252" w:lineRule="exact"/>
              <w:ind w:left="10"/>
              <w:rPr>
                <w:sz w:val="21"/>
              </w:rPr>
            </w:pPr>
            <w:r>
              <w:rPr>
                <w:sz w:val="21"/>
              </w:rPr>
              <w:t>锅炉灰渣</w:t>
            </w:r>
          </w:p>
        </w:tc>
        <w:tc>
          <w:tcPr>
            <w:tcW w:w="4201" w:type="dxa"/>
            <w:tcBorders>
              <w:top w:val="single" w:color="000000" w:sz="4" w:space="0"/>
              <w:left w:val="single" w:color="000000" w:sz="4" w:space="0"/>
              <w:bottom w:val="single" w:color="000000" w:sz="4" w:space="0"/>
            </w:tcBorders>
          </w:tcPr>
          <w:p>
            <w:pPr>
              <w:pStyle w:val="19"/>
              <w:ind w:left="1454" w:right="1430"/>
              <w:rPr>
                <w:rFonts w:ascii="Times New Roman"/>
                <w:sz w:val="21"/>
              </w:rPr>
            </w:pPr>
            <w:r>
              <w:rPr>
                <w:rFonts w:ascii="Times New Roman"/>
                <w:sz w:val="21"/>
              </w:rPr>
              <w:t>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5085" w:type="dxa"/>
            <w:tcBorders>
              <w:top w:val="single" w:color="000000" w:sz="4" w:space="0"/>
              <w:bottom w:val="single" w:color="000000" w:sz="4" w:space="0"/>
              <w:right w:val="single" w:color="000000" w:sz="4" w:space="0"/>
            </w:tcBorders>
          </w:tcPr>
          <w:p>
            <w:pPr>
              <w:pStyle w:val="19"/>
              <w:spacing w:before="1" w:line="251" w:lineRule="exact"/>
              <w:ind w:left="13"/>
              <w:rPr>
                <w:sz w:val="21"/>
              </w:rPr>
            </w:pPr>
            <w:r>
              <w:rPr>
                <w:sz w:val="21"/>
              </w:rPr>
              <w:t>污水处理站污泥</w:t>
            </w:r>
          </w:p>
        </w:tc>
        <w:tc>
          <w:tcPr>
            <w:tcW w:w="4201" w:type="dxa"/>
            <w:tcBorders>
              <w:top w:val="single" w:color="000000" w:sz="4" w:space="0"/>
              <w:left w:val="single" w:color="000000" w:sz="4" w:space="0"/>
              <w:bottom w:val="single" w:color="000000" w:sz="4" w:space="0"/>
            </w:tcBorders>
          </w:tcPr>
          <w:p>
            <w:pPr>
              <w:pStyle w:val="19"/>
              <w:spacing w:line="240" w:lineRule="exact"/>
              <w:ind w:left="1454" w:right="1430"/>
              <w:rPr>
                <w:rFonts w:ascii="Times New Roman"/>
                <w:sz w:val="21"/>
              </w:rPr>
            </w:pPr>
            <w:r>
              <w:rPr>
                <w:rFonts w:ascii="Times New Roman"/>
                <w:sz w:val="21"/>
              </w:rPr>
              <w:t>190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5085" w:type="dxa"/>
            <w:tcBorders>
              <w:top w:val="single" w:color="000000" w:sz="4" w:space="0"/>
              <w:bottom w:val="single" w:color="000000" w:sz="4" w:space="0"/>
              <w:right w:val="single" w:color="000000" w:sz="4" w:space="0"/>
            </w:tcBorders>
          </w:tcPr>
          <w:p>
            <w:pPr>
              <w:pStyle w:val="19"/>
              <w:spacing w:line="252" w:lineRule="exact"/>
              <w:ind w:left="10"/>
              <w:rPr>
                <w:sz w:val="21"/>
              </w:rPr>
            </w:pPr>
            <w:r>
              <w:rPr>
                <w:sz w:val="21"/>
              </w:rPr>
              <w:t>矿井水处理站污泥</w:t>
            </w:r>
          </w:p>
        </w:tc>
        <w:tc>
          <w:tcPr>
            <w:tcW w:w="4201" w:type="dxa"/>
            <w:tcBorders>
              <w:top w:val="single" w:color="000000" w:sz="4" w:space="0"/>
              <w:left w:val="single" w:color="000000" w:sz="4" w:space="0"/>
              <w:bottom w:val="single" w:color="000000" w:sz="4" w:space="0"/>
            </w:tcBorders>
          </w:tcPr>
          <w:p>
            <w:pPr>
              <w:pStyle w:val="19"/>
              <w:spacing w:line="241" w:lineRule="exact"/>
              <w:ind w:left="1454" w:right="1430"/>
              <w:rPr>
                <w:rFonts w:ascii="Times New Roman"/>
                <w:sz w:val="21"/>
              </w:rPr>
            </w:pPr>
            <w:r>
              <w:rPr>
                <w:rFonts w:ascii="Times New Roman"/>
                <w:sz w:val="21"/>
              </w:rPr>
              <w:t>1500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5085" w:type="dxa"/>
            <w:tcBorders>
              <w:top w:val="single" w:color="000000" w:sz="4" w:space="0"/>
              <w:bottom w:val="single" w:color="000000" w:sz="4" w:space="0"/>
              <w:right w:val="single" w:color="000000" w:sz="4" w:space="0"/>
            </w:tcBorders>
          </w:tcPr>
          <w:p>
            <w:pPr>
              <w:pStyle w:val="19"/>
              <w:spacing w:before="1" w:line="252" w:lineRule="exact"/>
              <w:ind w:left="13"/>
              <w:rPr>
                <w:sz w:val="21"/>
              </w:rPr>
            </w:pPr>
            <w:r>
              <w:rPr>
                <w:sz w:val="21"/>
              </w:rPr>
              <w:t>煤矸石</w:t>
            </w:r>
          </w:p>
        </w:tc>
        <w:tc>
          <w:tcPr>
            <w:tcW w:w="4201" w:type="dxa"/>
            <w:tcBorders>
              <w:top w:val="single" w:color="000000" w:sz="4" w:space="0"/>
              <w:left w:val="single" w:color="000000" w:sz="4" w:space="0"/>
              <w:bottom w:val="single" w:color="000000" w:sz="4" w:space="0"/>
            </w:tcBorders>
          </w:tcPr>
          <w:p>
            <w:pPr>
              <w:pStyle w:val="19"/>
              <w:ind w:left="1452" w:right="1431"/>
              <w:rPr>
                <w:rFonts w:ascii="Times New Roman"/>
                <w:sz w:val="21"/>
              </w:rPr>
            </w:pPr>
            <w:r>
              <w:rPr>
                <w:rFonts w:ascii="Times New Roman"/>
                <w:sz w:val="21"/>
              </w:rPr>
              <w:t>30000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5085" w:type="dxa"/>
            <w:tcBorders>
              <w:top w:val="single" w:color="000000" w:sz="4" w:space="0"/>
              <w:bottom w:val="single" w:color="000000" w:sz="4" w:space="0"/>
              <w:right w:val="single" w:color="000000" w:sz="4" w:space="0"/>
            </w:tcBorders>
          </w:tcPr>
          <w:p>
            <w:pPr>
              <w:pStyle w:val="19"/>
              <w:spacing w:line="260" w:lineRule="exact"/>
              <w:ind w:left="10"/>
              <w:rPr>
                <w:sz w:val="21"/>
              </w:rPr>
            </w:pPr>
            <w:r>
              <w:rPr>
                <w:sz w:val="21"/>
              </w:rPr>
              <w:t>生活垃圾</w:t>
            </w:r>
          </w:p>
        </w:tc>
        <w:tc>
          <w:tcPr>
            <w:tcW w:w="4201" w:type="dxa"/>
            <w:tcBorders>
              <w:top w:val="single" w:color="000000" w:sz="4" w:space="0"/>
              <w:left w:val="single" w:color="000000" w:sz="4" w:space="0"/>
              <w:bottom w:val="single" w:color="000000" w:sz="4" w:space="0"/>
            </w:tcBorders>
          </w:tcPr>
          <w:p>
            <w:pPr>
              <w:pStyle w:val="19"/>
              <w:spacing w:line="240" w:lineRule="exact"/>
              <w:ind w:left="1454" w:right="1430"/>
              <w:rPr>
                <w:rFonts w:ascii="Times New Roman"/>
                <w:sz w:val="21"/>
              </w:rPr>
            </w:pPr>
            <w:r>
              <w:rPr>
                <w:rFonts w:ascii="Times New Roman"/>
                <w:sz w:val="21"/>
              </w:rPr>
              <w:t>37.23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5085" w:type="dxa"/>
            <w:tcBorders>
              <w:top w:val="single" w:color="000000" w:sz="4" w:space="0"/>
              <w:bottom w:val="single" w:color="000000" w:sz="4" w:space="0"/>
              <w:right w:val="single" w:color="000000" w:sz="4" w:space="0"/>
            </w:tcBorders>
          </w:tcPr>
          <w:p>
            <w:pPr>
              <w:pStyle w:val="19"/>
              <w:spacing w:line="260" w:lineRule="exact"/>
              <w:ind w:left="10"/>
              <w:rPr>
                <w:sz w:val="21"/>
              </w:rPr>
            </w:pPr>
            <w:r>
              <w:rPr>
                <w:sz w:val="21"/>
              </w:rPr>
              <w:t>厨余垃圾</w:t>
            </w:r>
          </w:p>
        </w:tc>
        <w:tc>
          <w:tcPr>
            <w:tcW w:w="4201" w:type="dxa"/>
            <w:tcBorders>
              <w:top w:val="single" w:color="000000" w:sz="4" w:space="0"/>
              <w:left w:val="single" w:color="000000" w:sz="4" w:space="0"/>
              <w:bottom w:val="single" w:color="000000" w:sz="4" w:space="0"/>
            </w:tcBorders>
          </w:tcPr>
          <w:p>
            <w:pPr>
              <w:pStyle w:val="19"/>
              <w:spacing w:line="240" w:lineRule="exact"/>
              <w:ind w:left="1454" w:right="1430"/>
              <w:rPr>
                <w:rFonts w:ascii="Times New Roman"/>
                <w:sz w:val="21"/>
              </w:rPr>
            </w:pPr>
            <w:r>
              <w:rPr>
                <w:rFonts w:ascii="Times New Roman"/>
                <w:sz w:val="21"/>
              </w:rPr>
              <w:t>29.8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 w:hRule="atLeast"/>
        </w:trPr>
        <w:tc>
          <w:tcPr>
            <w:tcW w:w="5085" w:type="dxa"/>
            <w:tcBorders>
              <w:top w:val="single" w:color="000000" w:sz="4" w:space="0"/>
              <w:right w:val="single" w:color="000000" w:sz="4" w:space="0"/>
            </w:tcBorders>
          </w:tcPr>
          <w:p>
            <w:pPr>
              <w:pStyle w:val="19"/>
              <w:spacing w:line="260" w:lineRule="exact"/>
              <w:ind w:left="8"/>
              <w:rPr>
                <w:sz w:val="21"/>
              </w:rPr>
            </w:pPr>
            <w:r>
              <w:rPr>
                <w:sz w:val="21"/>
              </w:rPr>
              <w:t>合计</w:t>
            </w:r>
          </w:p>
        </w:tc>
        <w:tc>
          <w:tcPr>
            <w:tcW w:w="4201" w:type="dxa"/>
            <w:tcBorders>
              <w:top w:val="single" w:color="000000" w:sz="4" w:space="0"/>
              <w:left w:val="single" w:color="000000" w:sz="4" w:space="0"/>
            </w:tcBorders>
          </w:tcPr>
          <w:p>
            <w:pPr>
              <w:pStyle w:val="19"/>
              <w:spacing w:before="18" w:line="241" w:lineRule="exact"/>
              <w:ind w:left="1454" w:right="1428"/>
              <w:rPr>
                <w:rFonts w:ascii="Times New Roman"/>
                <w:sz w:val="21"/>
              </w:rPr>
            </w:pPr>
            <w:r>
              <w:rPr>
                <w:rFonts w:ascii="Times New Roman"/>
                <w:sz w:val="21"/>
              </w:rPr>
              <w:t>32338.02</w:t>
            </w:r>
          </w:p>
        </w:tc>
      </w:tr>
    </w:tbl>
    <w:p>
      <w:pPr>
        <w:pStyle w:val="9"/>
        <w:spacing w:before="1"/>
        <w:ind w:left="1900"/>
      </w:pPr>
      <w:r>
        <w:t>②固体废弃物污染防治措施</w:t>
      </w:r>
    </w:p>
    <w:p>
      <w:pPr>
        <w:pStyle w:val="9"/>
        <w:spacing w:before="161" w:line="362" w:lineRule="auto"/>
        <w:ind w:left="1418" w:right="1411" w:firstLine="480"/>
      </w:pPr>
      <w:r>
        <w:rPr>
          <w:spacing w:val="-8"/>
        </w:rPr>
        <w:t xml:space="preserve">该矿井原煤产量 </w:t>
      </w:r>
      <w:r>
        <w:rPr>
          <w:rFonts w:ascii="Times New Roman" w:eastAsia="Times New Roman"/>
        </w:rPr>
        <w:t xml:space="preserve">30 </w:t>
      </w:r>
      <w:r>
        <w:rPr>
          <w:spacing w:val="-30"/>
        </w:rPr>
        <w:t xml:space="preserve">万 </w:t>
      </w:r>
      <w:r>
        <w:rPr>
          <w:rFonts w:ascii="Times New Roman" w:eastAsia="Times New Roman"/>
          <w:spacing w:val="-6"/>
        </w:rPr>
        <w:t>t/a</w:t>
      </w:r>
      <w:r>
        <w:rPr>
          <w:spacing w:val="-8"/>
        </w:rPr>
        <w:t xml:space="preserve">，本项目煤矸石含量为 </w:t>
      </w:r>
      <w:r>
        <w:rPr>
          <w:rFonts w:ascii="Times New Roman" w:eastAsia="Times New Roman"/>
          <w:spacing w:val="-6"/>
        </w:rPr>
        <w:t>10%</w:t>
      </w:r>
      <w:r>
        <w:rPr>
          <w:spacing w:val="-11"/>
        </w:rPr>
        <w:t xml:space="preserve">，煤矸石量为 </w:t>
      </w:r>
      <w:r>
        <w:rPr>
          <w:rFonts w:ascii="Times New Roman" w:eastAsia="Times New Roman"/>
        </w:rPr>
        <w:t xml:space="preserve">3 </w:t>
      </w:r>
      <w:r>
        <w:rPr>
          <w:spacing w:val="-30"/>
        </w:rPr>
        <w:t xml:space="preserve">万 </w:t>
      </w:r>
      <w:r>
        <w:rPr>
          <w:rFonts w:ascii="Times New Roman" w:eastAsia="Times New Roman"/>
          <w:spacing w:val="-7"/>
        </w:rPr>
        <w:t>t/a</w:t>
      </w:r>
      <w:r>
        <w:rPr>
          <w:spacing w:val="-6"/>
        </w:rPr>
        <w:t>，用于修</w:t>
      </w:r>
      <w:r>
        <w:t>路及回填采空区。</w:t>
      </w:r>
    </w:p>
    <w:p>
      <w:pPr>
        <w:pStyle w:val="9"/>
        <w:spacing w:before="5"/>
        <w:ind w:left="1898"/>
      </w:pPr>
      <w:r>
        <w:t xml:space="preserve">锅炉每年将产生出 </w:t>
      </w:r>
      <w:r>
        <w:rPr>
          <w:rFonts w:ascii="Times New Roman" w:eastAsia="Times New Roman"/>
        </w:rPr>
        <w:t xml:space="preserve">400t </w:t>
      </w:r>
      <w:r>
        <w:t>锅炉灰渣全部作为农肥原料外售。</w:t>
      </w:r>
    </w:p>
    <w:p>
      <w:pPr>
        <w:pStyle w:val="9"/>
        <w:spacing w:before="158" w:line="364" w:lineRule="auto"/>
        <w:ind w:left="1418" w:right="1417" w:firstLine="480"/>
      </w:pPr>
      <w:r>
        <w:rPr>
          <w:spacing w:val="-8"/>
        </w:rPr>
        <w:t xml:space="preserve">厨余垃圾产生量 </w:t>
      </w:r>
      <w:r>
        <w:rPr>
          <w:rFonts w:ascii="Times New Roman" w:eastAsia="Times New Roman"/>
        </w:rPr>
        <w:t>29.8t/a</w:t>
      </w:r>
      <w:r>
        <w:rPr>
          <w:spacing w:val="-8"/>
        </w:rPr>
        <w:t>。厨余垃圾使用专用容器将食物残渣和废料分类存放，由市</w:t>
      </w:r>
      <w:r>
        <w:t>政部门统一清运，最终进行无害化处理。</w:t>
      </w:r>
    </w:p>
    <w:p>
      <w:pPr>
        <w:pStyle w:val="9"/>
        <w:spacing w:line="364" w:lineRule="auto"/>
        <w:ind w:left="1898" w:right="2325"/>
      </w:pPr>
      <w:r>
        <w:t xml:space="preserve">矿井水污泥主要为矿进水中的煤末，年产生量为 </w:t>
      </w:r>
      <w:r>
        <w:rPr>
          <w:rFonts w:ascii="Times New Roman" w:eastAsia="Times New Roman"/>
        </w:rPr>
        <w:t>1500t/a</w:t>
      </w:r>
      <w:r>
        <w:t>，压滤后外售。每年约产生的生活垃圾与污水处理站产生的污泥定期送至环卫部门处理。</w:t>
      </w:r>
    </w:p>
    <w:p>
      <w:pPr>
        <w:spacing w:after="0" w:line="364" w:lineRule="auto"/>
        <w:sectPr>
          <w:footerReference r:id="rId15" w:type="default"/>
          <w:pgSz w:w="11910" w:h="16840"/>
          <w:pgMar w:top="1340" w:right="0" w:bottom="880" w:left="0" w:header="0" w:footer="681" w:gutter="0"/>
          <w:pgNumType w:start="85"/>
        </w:sectPr>
      </w:pPr>
    </w:p>
    <w:p>
      <w:pPr>
        <w:pStyle w:val="18"/>
        <w:numPr>
          <w:ilvl w:val="1"/>
          <w:numId w:val="45"/>
        </w:numPr>
        <w:tabs>
          <w:tab w:val="left" w:pos="2500"/>
        </w:tabs>
        <w:spacing w:before="61" w:after="0" w:line="240" w:lineRule="auto"/>
        <w:ind w:left="2499" w:right="0" w:hanging="602"/>
        <w:jc w:val="left"/>
        <w:rPr>
          <w:sz w:val="24"/>
        </w:rPr>
      </w:pPr>
      <w:r>
        <w:rPr>
          <w:sz w:val="24"/>
        </w:rPr>
        <w:t>主要噪声污染源及防治措施</w:t>
      </w:r>
    </w:p>
    <w:p>
      <w:pPr>
        <w:pStyle w:val="9"/>
        <w:spacing w:before="158" w:line="364" w:lineRule="auto"/>
        <w:ind w:left="1418" w:right="1417" w:firstLine="480"/>
        <w:jc w:val="both"/>
      </w:pPr>
      <w:r>
        <w:rPr>
          <w:spacing w:val="-4"/>
        </w:rPr>
        <w:t>工业场地的主要噪声源有皮带机，风井通风机房的通风机，锅炉房内的鼓风机和引</w:t>
      </w:r>
      <w:r>
        <w:rPr>
          <w:spacing w:val="-7"/>
        </w:rPr>
        <w:t>风机，压风机房的空气压缩机等。噪声的主要类型为空气动力性噪声、机械性噪声和电</w:t>
      </w:r>
      <w:r>
        <w:rPr>
          <w:spacing w:val="-6"/>
        </w:rPr>
        <w:t xml:space="preserve">磁噪声，噪声声级一般在 </w:t>
      </w:r>
      <w:r>
        <w:rPr>
          <w:rFonts w:ascii="Times New Roman" w:eastAsia="Times New Roman"/>
        </w:rPr>
        <w:t>85</w:t>
      </w:r>
      <w:r>
        <w:t>～</w:t>
      </w:r>
      <w:r>
        <w:rPr>
          <w:rFonts w:ascii="Times New Roman" w:eastAsia="Times New Roman"/>
        </w:rPr>
        <w:t>90dB(A)</w:t>
      </w:r>
      <w:r>
        <w:t>左右。主要噪声源及源强见下表。</w:t>
      </w:r>
    </w:p>
    <w:p>
      <w:pPr>
        <w:spacing w:before="0" w:line="267" w:lineRule="exact"/>
        <w:ind w:left="4080" w:right="0" w:firstLine="0"/>
        <w:jc w:val="both"/>
        <w:rPr>
          <w:b/>
          <w:sz w:val="21"/>
        </w:rPr>
      </w:pPr>
      <w:r>
        <w:rPr>
          <w:b/>
          <w:spacing w:val="-27"/>
          <w:sz w:val="21"/>
        </w:rPr>
        <w:t xml:space="preserve">表 </w:t>
      </w:r>
      <w:r>
        <w:rPr>
          <w:rFonts w:ascii="Times New Roman" w:eastAsia="Times New Roman"/>
          <w:b/>
          <w:sz w:val="21"/>
        </w:rPr>
        <w:t>2.4-8</w:t>
      </w:r>
      <w:r>
        <w:rPr>
          <w:rFonts w:ascii="Times New Roman" w:eastAsia="Times New Roman"/>
          <w:b/>
          <w:spacing w:val="47"/>
          <w:sz w:val="21"/>
        </w:rPr>
        <w:t xml:space="preserve"> </w:t>
      </w:r>
      <w:r>
        <w:rPr>
          <w:b/>
          <w:sz w:val="21"/>
        </w:rPr>
        <w:t>主井工业广场主要噪声源及源强</w:t>
      </w:r>
    </w:p>
    <w:p>
      <w:pPr>
        <w:pStyle w:val="9"/>
        <w:spacing w:before="11" w:after="1"/>
        <w:rPr>
          <w:b/>
          <w:sz w:val="10"/>
        </w:rPr>
      </w:pPr>
    </w:p>
    <w:tbl>
      <w:tblPr>
        <w:tblStyle w:val="15"/>
        <w:tblW w:w="0" w:type="auto"/>
        <w:tblInd w:w="17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34"/>
        <w:gridCol w:w="1673"/>
        <w:gridCol w:w="1413"/>
        <w:gridCol w:w="2031"/>
        <w:gridCol w:w="107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2334" w:type="dxa"/>
            <w:tcBorders>
              <w:bottom w:val="single" w:color="000000" w:sz="4" w:space="0"/>
              <w:right w:val="single" w:color="000000" w:sz="4" w:space="0"/>
            </w:tcBorders>
          </w:tcPr>
          <w:p>
            <w:pPr>
              <w:pStyle w:val="19"/>
              <w:spacing w:before="164"/>
              <w:ind w:left="199" w:right="189"/>
              <w:rPr>
                <w:sz w:val="21"/>
              </w:rPr>
            </w:pPr>
            <w:r>
              <w:rPr>
                <w:sz w:val="21"/>
              </w:rPr>
              <w:t>噪声源名称</w:t>
            </w:r>
          </w:p>
        </w:tc>
        <w:tc>
          <w:tcPr>
            <w:tcW w:w="1673" w:type="dxa"/>
            <w:tcBorders>
              <w:left w:val="single" w:color="000000" w:sz="4" w:space="0"/>
              <w:bottom w:val="single" w:color="000000" w:sz="4" w:space="0"/>
              <w:right w:val="single" w:color="000000" w:sz="4" w:space="0"/>
            </w:tcBorders>
          </w:tcPr>
          <w:p>
            <w:pPr>
              <w:pStyle w:val="19"/>
              <w:spacing w:before="164"/>
              <w:ind w:left="188" w:right="174"/>
              <w:rPr>
                <w:sz w:val="21"/>
              </w:rPr>
            </w:pPr>
            <w:r>
              <w:rPr>
                <w:sz w:val="21"/>
              </w:rPr>
              <w:t>噪声设备型号</w:t>
            </w:r>
          </w:p>
        </w:tc>
        <w:tc>
          <w:tcPr>
            <w:tcW w:w="1413" w:type="dxa"/>
            <w:tcBorders>
              <w:left w:val="single" w:color="000000" w:sz="4" w:space="0"/>
              <w:bottom w:val="single" w:color="000000" w:sz="4" w:space="0"/>
              <w:right w:val="single" w:color="000000" w:sz="4" w:space="0"/>
            </w:tcBorders>
          </w:tcPr>
          <w:p>
            <w:pPr>
              <w:pStyle w:val="19"/>
              <w:spacing w:before="164"/>
              <w:ind w:left="165" w:right="148"/>
              <w:rPr>
                <w:sz w:val="21"/>
              </w:rPr>
            </w:pPr>
            <w:r>
              <w:rPr>
                <w:sz w:val="21"/>
              </w:rPr>
              <w:t>数量（台）</w:t>
            </w:r>
          </w:p>
        </w:tc>
        <w:tc>
          <w:tcPr>
            <w:tcW w:w="2031" w:type="dxa"/>
            <w:tcBorders>
              <w:left w:val="single" w:color="000000" w:sz="4" w:space="0"/>
              <w:bottom w:val="single" w:color="000000" w:sz="4" w:space="0"/>
              <w:right w:val="single" w:color="000000" w:sz="4" w:space="0"/>
            </w:tcBorders>
          </w:tcPr>
          <w:p>
            <w:pPr>
              <w:pStyle w:val="19"/>
              <w:spacing w:before="164"/>
              <w:ind w:left="154" w:right="135"/>
              <w:rPr>
                <w:rFonts w:ascii="Times New Roman" w:eastAsia="Times New Roman"/>
                <w:sz w:val="21"/>
              </w:rPr>
            </w:pPr>
            <w:r>
              <w:rPr>
                <w:sz w:val="21"/>
              </w:rPr>
              <w:t xml:space="preserve">平均声压级 </w:t>
            </w:r>
            <w:r>
              <w:rPr>
                <w:rFonts w:ascii="Times New Roman" w:eastAsia="Times New Roman"/>
                <w:sz w:val="21"/>
              </w:rPr>
              <w:t>dB(A)</w:t>
            </w:r>
          </w:p>
        </w:tc>
        <w:tc>
          <w:tcPr>
            <w:tcW w:w="1071" w:type="dxa"/>
            <w:tcBorders>
              <w:left w:val="single" w:color="000000" w:sz="4" w:space="0"/>
              <w:bottom w:val="single" w:color="000000" w:sz="4" w:space="0"/>
            </w:tcBorders>
          </w:tcPr>
          <w:p>
            <w:pPr>
              <w:pStyle w:val="19"/>
              <w:spacing w:before="1"/>
              <w:ind w:left="329"/>
              <w:jc w:val="left"/>
              <w:rPr>
                <w:sz w:val="21"/>
              </w:rPr>
            </w:pPr>
            <w:r>
              <w:rPr>
                <w:spacing w:val="-1"/>
                <w:w w:val="95"/>
                <w:sz w:val="21"/>
              </w:rPr>
              <w:t>排放</w:t>
            </w:r>
          </w:p>
          <w:p>
            <w:pPr>
              <w:pStyle w:val="19"/>
              <w:spacing w:before="57"/>
              <w:ind w:left="329"/>
              <w:jc w:val="left"/>
              <w:rPr>
                <w:sz w:val="21"/>
              </w:rPr>
            </w:pPr>
            <w:r>
              <w:rPr>
                <w:spacing w:val="-1"/>
                <w:w w:val="95"/>
                <w:sz w:val="21"/>
              </w:rPr>
              <w:t>特征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2334" w:type="dxa"/>
            <w:tcBorders>
              <w:top w:val="single" w:color="000000" w:sz="4" w:space="0"/>
              <w:bottom w:val="single" w:color="000000" w:sz="4" w:space="0"/>
              <w:right w:val="single" w:color="000000" w:sz="4" w:space="0"/>
            </w:tcBorders>
          </w:tcPr>
          <w:p>
            <w:pPr>
              <w:pStyle w:val="19"/>
              <w:spacing w:line="269" w:lineRule="exact"/>
              <w:ind w:left="199" w:right="189"/>
              <w:rPr>
                <w:sz w:val="21"/>
              </w:rPr>
            </w:pPr>
            <w:r>
              <w:rPr>
                <w:sz w:val="21"/>
              </w:rPr>
              <w:t>主井带式输送机栈桥</w:t>
            </w:r>
          </w:p>
        </w:tc>
        <w:tc>
          <w:tcPr>
            <w:tcW w:w="1673" w:type="dxa"/>
            <w:tcBorders>
              <w:top w:val="single" w:color="000000" w:sz="4" w:space="0"/>
              <w:left w:val="single" w:color="000000" w:sz="4" w:space="0"/>
              <w:bottom w:val="single" w:color="000000" w:sz="4" w:space="0"/>
              <w:right w:val="single" w:color="000000" w:sz="4" w:space="0"/>
            </w:tcBorders>
          </w:tcPr>
          <w:p>
            <w:pPr>
              <w:pStyle w:val="19"/>
              <w:spacing w:line="269" w:lineRule="exact"/>
              <w:ind w:left="188" w:right="172"/>
              <w:rPr>
                <w:sz w:val="21"/>
              </w:rPr>
            </w:pPr>
            <w:r>
              <w:rPr>
                <w:sz w:val="21"/>
              </w:rPr>
              <w:t>皮带运输机</w:t>
            </w:r>
          </w:p>
        </w:tc>
        <w:tc>
          <w:tcPr>
            <w:tcW w:w="1413" w:type="dxa"/>
            <w:tcBorders>
              <w:top w:val="single" w:color="000000" w:sz="4" w:space="0"/>
              <w:left w:val="single" w:color="000000" w:sz="4" w:space="0"/>
              <w:bottom w:val="single" w:color="000000" w:sz="4" w:space="0"/>
              <w:right w:val="single" w:color="000000" w:sz="4" w:space="0"/>
            </w:tcBorders>
          </w:tcPr>
          <w:p>
            <w:pPr>
              <w:pStyle w:val="19"/>
              <w:spacing w:before="16"/>
              <w:ind w:left="18"/>
              <w:rPr>
                <w:rFonts w:ascii="Times New Roman"/>
                <w:sz w:val="21"/>
              </w:rPr>
            </w:pPr>
            <w:r>
              <w:rPr>
                <w:rFonts w:ascii="Times New Roman"/>
                <w:w w:val="99"/>
                <w:sz w:val="21"/>
              </w:rPr>
              <w:t>1</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16"/>
              <w:ind w:left="150" w:right="135"/>
              <w:rPr>
                <w:rFonts w:ascii="Times New Roman"/>
                <w:sz w:val="21"/>
              </w:rPr>
            </w:pPr>
            <w:r>
              <w:rPr>
                <w:rFonts w:ascii="Times New Roman"/>
                <w:sz w:val="21"/>
              </w:rPr>
              <w:t>92</w:t>
            </w:r>
          </w:p>
        </w:tc>
        <w:tc>
          <w:tcPr>
            <w:tcW w:w="1071" w:type="dxa"/>
            <w:tcBorders>
              <w:top w:val="single" w:color="000000" w:sz="4" w:space="0"/>
              <w:left w:val="single" w:color="000000" w:sz="4" w:space="0"/>
              <w:bottom w:val="single" w:color="000000" w:sz="4" w:space="0"/>
            </w:tcBorders>
          </w:tcPr>
          <w:p>
            <w:pPr>
              <w:pStyle w:val="19"/>
              <w:spacing w:line="269" w:lineRule="exact"/>
              <w:ind w:left="308" w:right="288"/>
              <w:rPr>
                <w:sz w:val="21"/>
              </w:rPr>
            </w:pPr>
            <w:r>
              <w:rPr>
                <w:sz w:val="21"/>
              </w:rPr>
              <w:t>间断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9" w:hRule="atLeast"/>
        </w:trPr>
        <w:tc>
          <w:tcPr>
            <w:tcW w:w="2334" w:type="dxa"/>
            <w:tcBorders>
              <w:top w:val="single" w:color="000000" w:sz="4" w:space="0"/>
              <w:bottom w:val="single" w:color="000000" w:sz="4" w:space="0"/>
              <w:right w:val="single" w:color="000000" w:sz="4" w:space="0"/>
            </w:tcBorders>
          </w:tcPr>
          <w:p>
            <w:pPr>
              <w:pStyle w:val="19"/>
              <w:spacing w:before="62"/>
              <w:ind w:left="199" w:right="189"/>
              <w:rPr>
                <w:sz w:val="21"/>
              </w:rPr>
            </w:pPr>
            <w:r>
              <w:rPr>
                <w:sz w:val="21"/>
              </w:rPr>
              <w:t>通风机房</w:t>
            </w:r>
          </w:p>
        </w:tc>
        <w:tc>
          <w:tcPr>
            <w:tcW w:w="1673" w:type="dxa"/>
            <w:tcBorders>
              <w:top w:val="single" w:color="000000" w:sz="4" w:space="0"/>
              <w:left w:val="single" w:color="000000" w:sz="4" w:space="0"/>
              <w:bottom w:val="single" w:color="000000" w:sz="4" w:space="0"/>
              <w:right w:val="single" w:color="000000" w:sz="4" w:space="0"/>
            </w:tcBorders>
          </w:tcPr>
          <w:p>
            <w:pPr>
              <w:pStyle w:val="19"/>
              <w:spacing w:before="62"/>
              <w:ind w:left="188" w:right="169"/>
              <w:rPr>
                <w:sz w:val="21"/>
              </w:rPr>
            </w:pPr>
            <w:r>
              <w:rPr>
                <w:sz w:val="21"/>
              </w:rPr>
              <w:t>通风机</w:t>
            </w:r>
          </w:p>
        </w:tc>
        <w:tc>
          <w:tcPr>
            <w:tcW w:w="1413" w:type="dxa"/>
            <w:tcBorders>
              <w:top w:val="single" w:color="000000" w:sz="4" w:space="0"/>
              <w:left w:val="single" w:color="000000" w:sz="4" w:space="0"/>
              <w:bottom w:val="single" w:color="000000" w:sz="4" w:space="0"/>
              <w:right w:val="single" w:color="000000" w:sz="4" w:space="0"/>
            </w:tcBorders>
          </w:tcPr>
          <w:p>
            <w:pPr>
              <w:pStyle w:val="19"/>
              <w:spacing w:before="78"/>
              <w:ind w:left="18"/>
              <w:rPr>
                <w:rFonts w:ascii="Times New Roman"/>
                <w:sz w:val="21"/>
              </w:rPr>
            </w:pPr>
            <w:r>
              <w:rPr>
                <w:rFonts w:ascii="Times New Roman"/>
                <w:w w:val="99"/>
                <w:sz w:val="21"/>
              </w:rPr>
              <w:t>2</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78"/>
              <w:ind w:left="150" w:right="135"/>
              <w:rPr>
                <w:rFonts w:ascii="Times New Roman"/>
                <w:sz w:val="21"/>
              </w:rPr>
            </w:pPr>
            <w:r>
              <w:rPr>
                <w:rFonts w:ascii="Times New Roman"/>
                <w:sz w:val="21"/>
              </w:rPr>
              <w:t>88</w:t>
            </w:r>
          </w:p>
        </w:tc>
        <w:tc>
          <w:tcPr>
            <w:tcW w:w="1071" w:type="dxa"/>
            <w:tcBorders>
              <w:top w:val="single" w:color="000000" w:sz="4" w:space="0"/>
              <w:left w:val="single" w:color="000000" w:sz="4" w:space="0"/>
              <w:bottom w:val="single" w:color="000000" w:sz="4" w:space="0"/>
            </w:tcBorders>
          </w:tcPr>
          <w:p>
            <w:pPr>
              <w:pStyle w:val="19"/>
              <w:spacing w:before="62"/>
              <w:ind w:left="308" w:right="288"/>
              <w:rPr>
                <w:sz w:val="21"/>
              </w:rPr>
            </w:pPr>
            <w:r>
              <w:rPr>
                <w:sz w:val="21"/>
              </w:rPr>
              <w:t>连续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334" w:type="dxa"/>
            <w:vMerge w:val="restart"/>
            <w:tcBorders>
              <w:top w:val="single" w:color="000000" w:sz="4" w:space="0"/>
              <w:bottom w:val="single" w:color="000000" w:sz="4" w:space="0"/>
              <w:right w:val="single" w:color="000000" w:sz="4" w:space="0"/>
            </w:tcBorders>
          </w:tcPr>
          <w:p>
            <w:pPr>
              <w:pStyle w:val="19"/>
              <w:spacing w:before="169"/>
              <w:ind w:left="746"/>
              <w:jc w:val="left"/>
              <w:rPr>
                <w:sz w:val="21"/>
              </w:rPr>
            </w:pPr>
            <w:r>
              <w:rPr>
                <w:sz w:val="21"/>
              </w:rPr>
              <w:t>暖风炉房</w:t>
            </w:r>
          </w:p>
        </w:tc>
        <w:tc>
          <w:tcPr>
            <w:tcW w:w="1673" w:type="dxa"/>
            <w:tcBorders>
              <w:top w:val="single" w:color="000000" w:sz="4" w:space="0"/>
              <w:left w:val="single" w:color="000000" w:sz="4" w:space="0"/>
              <w:bottom w:val="single" w:color="000000" w:sz="4" w:space="0"/>
              <w:right w:val="single" w:color="000000" w:sz="4" w:space="0"/>
            </w:tcBorders>
          </w:tcPr>
          <w:p>
            <w:pPr>
              <w:pStyle w:val="19"/>
              <w:spacing w:before="1"/>
              <w:ind w:left="188" w:right="169"/>
              <w:rPr>
                <w:sz w:val="21"/>
              </w:rPr>
            </w:pPr>
            <w:r>
              <w:rPr>
                <w:sz w:val="21"/>
              </w:rPr>
              <w:t>鼓风机</w:t>
            </w:r>
          </w:p>
        </w:tc>
        <w:tc>
          <w:tcPr>
            <w:tcW w:w="1413" w:type="dxa"/>
            <w:tcBorders>
              <w:top w:val="single" w:color="000000" w:sz="4" w:space="0"/>
              <w:left w:val="single" w:color="000000" w:sz="4" w:space="0"/>
              <w:bottom w:val="single" w:color="000000" w:sz="4" w:space="0"/>
              <w:right w:val="single" w:color="000000" w:sz="4" w:space="0"/>
            </w:tcBorders>
          </w:tcPr>
          <w:p>
            <w:pPr>
              <w:pStyle w:val="19"/>
              <w:spacing w:before="17"/>
              <w:ind w:left="18"/>
              <w:rPr>
                <w:rFonts w:ascii="Times New Roman"/>
                <w:sz w:val="21"/>
              </w:rPr>
            </w:pPr>
            <w:r>
              <w:rPr>
                <w:rFonts w:ascii="Times New Roman"/>
                <w:w w:val="99"/>
                <w:sz w:val="21"/>
              </w:rPr>
              <w:t>1</w:t>
            </w:r>
          </w:p>
        </w:tc>
        <w:tc>
          <w:tcPr>
            <w:tcW w:w="2031" w:type="dxa"/>
            <w:vMerge w:val="restart"/>
            <w:tcBorders>
              <w:top w:val="single" w:color="000000" w:sz="4" w:space="0"/>
              <w:left w:val="single" w:color="000000" w:sz="4" w:space="0"/>
              <w:bottom w:val="single" w:color="000000" w:sz="4" w:space="0"/>
              <w:right w:val="single" w:color="000000" w:sz="4" w:space="0"/>
            </w:tcBorders>
          </w:tcPr>
          <w:p>
            <w:pPr>
              <w:pStyle w:val="19"/>
              <w:spacing w:before="185"/>
              <w:ind w:left="150" w:right="135"/>
              <w:rPr>
                <w:rFonts w:ascii="Times New Roman"/>
                <w:sz w:val="21"/>
              </w:rPr>
            </w:pPr>
            <w:r>
              <w:rPr>
                <w:rFonts w:ascii="Times New Roman"/>
                <w:sz w:val="21"/>
              </w:rPr>
              <w:t>85</w:t>
            </w:r>
          </w:p>
        </w:tc>
        <w:tc>
          <w:tcPr>
            <w:tcW w:w="1071" w:type="dxa"/>
            <w:vMerge w:val="restart"/>
            <w:tcBorders>
              <w:top w:val="single" w:color="000000" w:sz="4" w:space="0"/>
              <w:left w:val="single" w:color="000000" w:sz="4" w:space="0"/>
              <w:bottom w:val="single" w:color="000000" w:sz="4" w:space="0"/>
            </w:tcBorders>
          </w:tcPr>
          <w:p>
            <w:pPr>
              <w:pStyle w:val="19"/>
              <w:spacing w:before="169"/>
              <w:ind w:left="329"/>
              <w:jc w:val="left"/>
              <w:rPr>
                <w:sz w:val="21"/>
              </w:rPr>
            </w:pPr>
            <w:r>
              <w:rPr>
                <w:sz w:val="21"/>
              </w:rPr>
              <w:t>连续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334" w:type="dxa"/>
            <w:vMerge w:val="continue"/>
            <w:tcBorders>
              <w:top w:val="nil"/>
              <w:bottom w:val="single" w:color="000000" w:sz="4" w:space="0"/>
              <w:right w:val="single" w:color="000000" w:sz="4" w:space="0"/>
            </w:tcBorders>
          </w:tcPr>
          <w:p>
            <w:pPr>
              <w:rPr>
                <w:sz w:val="2"/>
                <w:szCs w:val="2"/>
              </w:rPr>
            </w:pPr>
          </w:p>
        </w:tc>
        <w:tc>
          <w:tcPr>
            <w:tcW w:w="1673" w:type="dxa"/>
            <w:tcBorders>
              <w:top w:val="single" w:color="000000" w:sz="4" w:space="0"/>
              <w:left w:val="single" w:color="000000" w:sz="4" w:space="0"/>
              <w:bottom w:val="single" w:color="000000" w:sz="4" w:space="0"/>
              <w:right w:val="single" w:color="000000" w:sz="4" w:space="0"/>
            </w:tcBorders>
          </w:tcPr>
          <w:p>
            <w:pPr>
              <w:pStyle w:val="19"/>
              <w:ind w:left="188" w:right="169"/>
              <w:rPr>
                <w:sz w:val="21"/>
              </w:rPr>
            </w:pPr>
            <w:r>
              <w:rPr>
                <w:sz w:val="21"/>
              </w:rPr>
              <w:t>引风机</w:t>
            </w:r>
          </w:p>
        </w:tc>
        <w:tc>
          <w:tcPr>
            <w:tcW w:w="1413" w:type="dxa"/>
            <w:tcBorders>
              <w:top w:val="single" w:color="000000" w:sz="4" w:space="0"/>
              <w:left w:val="single" w:color="000000" w:sz="4" w:space="0"/>
              <w:bottom w:val="single" w:color="000000" w:sz="4" w:space="0"/>
              <w:right w:val="single" w:color="000000" w:sz="4" w:space="0"/>
            </w:tcBorders>
          </w:tcPr>
          <w:p>
            <w:pPr>
              <w:pStyle w:val="19"/>
              <w:spacing w:before="19"/>
              <w:ind w:left="18"/>
              <w:rPr>
                <w:rFonts w:ascii="Times New Roman"/>
                <w:sz w:val="21"/>
              </w:rPr>
            </w:pPr>
            <w:r>
              <w:rPr>
                <w:rFonts w:ascii="Times New Roman"/>
                <w:w w:val="99"/>
                <w:sz w:val="21"/>
              </w:rPr>
              <w:t>1</w:t>
            </w:r>
          </w:p>
        </w:tc>
        <w:tc>
          <w:tcPr>
            <w:tcW w:w="2031" w:type="dxa"/>
            <w:vMerge w:val="continue"/>
            <w:tcBorders>
              <w:top w:val="nil"/>
              <w:left w:val="single" w:color="000000" w:sz="4" w:space="0"/>
              <w:bottom w:val="single" w:color="000000" w:sz="4" w:space="0"/>
              <w:right w:val="single" w:color="000000" w:sz="4" w:space="0"/>
            </w:tcBorders>
          </w:tcPr>
          <w:p>
            <w:pPr>
              <w:rPr>
                <w:sz w:val="2"/>
                <w:szCs w:val="2"/>
              </w:rPr>
            </w:pPr>
          </w:p>
        </w:tc>
        <w:tc>
          <w:tcPr>
            <w:tcW w:w="1071"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334" w:type="dxa"/>
            <w:tcBorders>
              <w:top w:val="single" w:color="000000" w:sz="4" w:space="0"/>
              <w:bottom w:val="single" w:color="000000" w:sz="4" w:space="0"/>
              <w:right w:val="single" w:color="000000" w:sz="4" w:space="0"/>
            </w:tcBorders>
          </w:tcPr>
          <w:p>
            <w:pPr>
              <w:pStyle w:val="19"/>
              <w:spacing w:before="2"/>
              <w:ind w:left="199" w:right="186"/>
              <w:rPr>
                <w:sz w:val="21"/>
              </w:rPr>
            </w:pPr>
            <w:r>
              <w:rPr>
                <w:sz w:val="21"/>
              </w:rPr>
              <w:t>筛分间</w:t>
            </w:r>
          </w:p>
        </w:tc>
        <w:tc>
          <w:tcPr>
            <w:tcW w:w="1673" w:type="dxa"/>
            <w:tcBorders>
              <w:top w:val="single" w:color="000000" w:sz="4" w:space="0"/>
              <w:left w:val="single" w:color="000000" w:sz="4" w:space="0"/>
              <w:bottom w:val="single" w:color="000000" w:sz="4" w:space="0"/>
              <w:right w:val="single" w:color="000000" w:sz="4" w:space="0"/>
            </w:tcBorders>
          </w:tcPr>
          <w:p>
            <w:pPr>
              <w:pStyle w:val="19"/>
              <w:spacing w:before="2"/>
              <w:ind w:left="188" w:right="169"/>
              <w:rPr>
                <w:sz w:val="21"/>
              </w:rPr>
            </w:pPr>
            <w:r>
              <w:rPr>
                <w:sz w:val="21"/>
              </w:rPr>
              <w:t>振动筛</w:t>
            </w:r>
          </w:p>
        </w:tc>
        <w:tc>
          <w:tcPr>
            <w:tcW w:w="1413" w:type="dxa"/>
            <w:tcBorders>
              <w:top w:val="single" w:color="000000" w:sz="4" w:space="0"/>
              <w:left w:val="single" w:color="000000" w:sz="4" w:space="0"/>
              <w:bottom w:val="single" w:color="000000" w:sz="4" w:space="0"/>
              <w:right w:val="single" w:color="000000" w:sz="4" w:space="0"/>
            </w:tcBorders>
          </w:tcPr>
          <w:p>
            <w:pPr>
              <w:pStyle w:val="19"/>
              <w:spacing w:before="18"/>
              <w:ind w:left="18"/>
              <w:rPr>
                <w:rFonts w:ascii="Times New Roman"/>
                <w:sz w:val="21"/>
              </w:rPr>
            </w:pPr>
            <w:r>
              <w:rPr>
                <w:rFonts w:ascii="Times New Roman"/>
                <w:w w:val="99"/>
                <w:sz w:val="21"/>
              </w:rPr>
              <w:t>1</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18"/>
              <w:ind w:left="150" w:right="135"/>
              <w:rPr>
                <w:rFonts w:ascii="Times New Roman"/>
                <w:sz w:val="21"/>
              </w:rPr>
            </w:pPr>
            <w:r>
              <w:rPr>
                <w:rFonts w:ascii="Times New Roman"/>
                <w:sz w:val="21"/>
              </w:rPr>
              <w:t>93</w:t>
            </w:r>
          </w:p>
        </w:tc>
        <w:tc>
          <w:tcPr>
            <w:tcW w:w="1071" w:type="dxa"/>
            <w:tcBorders>
              <w:top w:val="single" w:color="000000" w:sz="4" w:space="0"/>
              <w:left w:val="single" w:color="000000" w:sz="4" w:space="0"/>
              <w:bottom w:val="single" w:color="000000" w:sz="4" w:space="0"/>
            </w:tcBorders>
          </w:tcPr>
          <w:p>
            <w:pPr>
              <w:pStyle w:val="19"/>
              <w:spacing w:before="2"/>
              <w:ind w:left="308" w:right="288"/>
              <w:rPr>
                <w:sz w:val="21"/>
              </w:rPr>
            </w:pPr>
            <w:r>
              <w:rPr>
                <w:sz w:val="21"/>
              </w:rPr>
              <w:t>连续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334" w:type="dxa"/>
            <w:tcBorders>
              <w:top w:val="single" w:color="000000" w:sz="4" w:space="0"/>
              <w:bottom w:val="single" w:color="000000" w:sz="4" w:space="0"/>
              <w:right w:val="single" w:color="000000" w:sz="4" w:space="0"/>
            </w:tcBorders>
          </w:tcPr>
          <w:p>
            <w:pPr>
              <w:pStyle w:val="19"/>
              <w:spacing w:before="1"/>
              <w:ind w:left="199" w:right="186"/>
              <w:rPr>
                <w:sz w:val="21"/>
              </w:rPr>
            </w:pPr>
            <w:r>
              <w:rPr>
                <w:sz w:val="21"/>
              </w:rPr>
              <w:t>绞车房</w:t>
            </w:r>
          </w:p>
        </w:tc>
        <w:tc>
          <w:tcPr>
            <w:tcW w:w="1673" w:type="dxa"/>
            <w:tcBorders>
              <w:top w:val="single" w:color="000000" w:sz="4" w:space="0"/>
              <w:left w:val="single" w:color="000000" w:sz="4" w:space="0"/>
              <w:bottom w:val="single" w:color="000000" w:sz="4" w:space="0"/>
              <w:right w:val="single" w:color="000000" w:sz="4" w:space="0"/>
            </w:tcBorders>
          </w:tcPr>
          <w:p>
            <w:pPr>
              <w:pStyle w:val="19"/>
              <w:spacing w:before="1"/>
              <w:ind w:left="188" w:right="172"/>
              <w:rPr>
                <w:sz w:val="21"/>
              </w:rPr>
            </w:pPr>
            <w:r>
              <w:rPr>
                <w:sz w:val="21"/>
              </w:rPr>
              <w:t>提升绞车</w:t>
            </w:r>
          </w:p>
        </w:tc>
        <w:tc>
          <w:tcPr>
            <w:tcW w:w="1413" w:type="dxa"/>
            <w:tcBorders>
              <w:top w:val="single" w:color="000000" w:sz="4" w:space="0"/>
              <w:left w:val="single" w:color="000000" w:sz="4" w:space="0"/>
              <w:bottom w:val="single" w:color="000000" w:sz="4" w:space="0"/>
              <w:right w:val="single" w:color="000000" w:sz="4" w:space="0"/>
            </w:tcBorders>
          </w:tcPr>
          <w:p>
            <w:pPr>
              <w:pStyle w:val="19"/>
              <w:spacing w:before="17"/>
              <w:ind w:left="18"/>
              <w:rPr>
                <w:rFonts w:ascii="Times New Roman"/>
                <w:sz w:val="21"/>
              </w:rPr>
            </w:pPr>
            <w:r>
              <w:rPr>
                <w:rFonts w:ascii="Times New Roman"/>
                <w:w w:val="99"/>
                <w:sz w:val="21"/>
              </w:rPr>
              <w:t>1</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17"/>
              <w:ind w:left="150" w:right="135"/>
              <w:rPr>
                <w:rFonts w:ascii="Times New Roman"/>
                <w:sz w:val="21"/>
              </w:rPr>
            </w:pPr>
            <w:r>
              <w:rPr>
                <w:rFonts w:ascii="Times New Roman"/>
                <w:sz w:val="21"/>
              </w:rPr>
              <w:t>90</w:t>
            </w:r>
          </w:p>
        </w:tc>
        <w:tc>
          <w:tcPr>
            <w:tcW w:w="1071" w:type="dxa"/>
            <w:tcBorders>
              <w:top w:val="single" w:color="000000" w:sz="4" w:space="0"/>
              <w:left w:val="single" w:color="000000" w:sz="4" w:space="0"/>
              <w:bottom w:val="single" w:color="000000" w:sz="4" w:space="0"/>
            </w:tcBorders>
          </w:tcPr>
          <w:p>
            <w:pPr>
              <w:pStyle w:val="19"/>
              <w:spacing w:before="1"/>
              <w:ind w:left="308" w:right="288"/>
              <w:rPr>
                <w:sz w:val="21"/>
              </w:rPr>
            </w:pPr>
            <w:r>
              <w:rPr>
                <w:sz w:val="21"/>
              </w:rPr>
              <w:t>间断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334" w:type="dxa"/>
            <w:tcBorders>
              <w:top w:val="single" w:color="000000" w:sz="4" w:space="0"/>
              <w:bottom w:val="single" w:color="000000" w:sz="4" w:space="0"/>
              <w:right w:val="single" w:color="000000" w:sz="4" w:space="0"/>
            </w:tcBorders>
          </w:tcPr>
          <w:p>
            <w:pPr>
              <w:pStyle w:val="19"/>
              <w:ind w:left="199" w:right="189"/>
              <w:rPr>
                <w:sz w:val="21"/>
              </w:rPr>
            </w:pPr>
            <w:r>
              <w:rPr>
                <w:sz w:val="21"/>
              </w:rPr>
              <w:t>消防泵房</w:t>
            </w:r>
          </w:p>
        </w:tc>
        <w:tc>
          <w:tcPr>
            <w:tcW w:w="1673" w:type="dxa"/>
            <w:tcBorders>
              <w:top w:val="single" w:color="000000" w:sz="4" w:space="0"/>
              <w:left w:val="single" w:color="000000" w:sz="4" w:space="0"/>
              <w:bottom w:val="single" w:color="000000" w:sz="4" w:space="0"/>
              <w:right w:val="single" w:color="000000" w:sz="4" w:space="0"/>
            </w:tcBorders>
          </w:tcPr>
          <w:p>
            <w:pPr>
              <w:pStyle w:val="19"/>
              <w:ind w:left="188" w:right="174"/>
              <w:rPr>
                <w:sz w:val="21"/>
              </w:rPr>
            </w:pPr>
            <w:r>
              <w:rPr>
                <w:sz w:val="21"/>
              </w:rPr>
              <w:t>水泵</w:t>
            </w:r>
          </w:p>
        </w:tc>
        <w:tc>
          <w:tcPr>
            <w:tcW w:w="1413" w:type="dxa"/>
            <w:tcBorders>
              <w:top w:val="single" w:color="000000" w:sz="4" w:space="0"/>
              <w:left w:val="single" w:color="000000" w:sz="4" w:space="0"/>
              <w:bottom w:val="single" w:color="000000" w:sz="4" w:space="0"/>
              <w:right w:val="single" w:color="000000" w:sz="4" w:space="0"/>
            </w:tcBorders>
          </w:tcPr>
          <w:p>
            <w:pPr>
              <w:pStyle w:val="19"/>
              <w:spacing w:before="16"/>
              <w:ind w:left="18"/>
              <w:rPr>
                <w:rFonts w:ascii="Times New Roman"/>
                <w:sz w:val="21"/>
              </w:rPr>
            </w:pPr>
            <w:r>
              <w:rPr>
                <w:rFonts w:ascii="Times New Roman"/>
                <w:w w:val="99"/>
                <w:sz w:val="21"/>
              </w:rPr>
              <w:t>1</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16"/>
              <w:ind w:left="150" w:right="135"/>
              <w:rPr>
                <w:rFonts w:ascii="Times New Roman"/>
                <w:sz w:val="21"/>
              </w:rPr>
            </w:pPr>
            <w:r>
              <w:rPr>
                <w:rFonts w:ascii="Times New Roman"/>
                <w:sz w:val="21"/>
              </w:rPr>
              <w:t>85</w:t>
            </w:r>
          </w:p>
        </w:tc>
        <w:tc>
          <w:tcPr>
            <w:tcW w:w="1071" w:type="dxa"/>
            <w:tcBorders>
              <w:top w:val="single" w:color="000000" w:sz="4" w:space="0"/>
              <w:left w:val="single" w:color="000000" w:sz="4" w:space="0"/>
              <w:bottom w:val="single" w:color="000000" w:sz="4" w:space="0"/>
            </w:tcBorders>
          </w:tcPr>
          <w:p>
            <w:pPr>
              <w:pStyle w:val="19"/>
              <w:ind w:left="308" w:right="288"/>
              <w:rPr>
                <w:sz w:val="21"/>
              </w:rPr>
            </w:pPr>
            <w:r>
              <w:rPr>
                <w:sz w:val="21"/>
              </w:rPr>
              <w:t>间断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2334" w:type="dxa"/>
            <w:tcBorders>
              <w:top w:val="single" w:color="000000" w:sz="4" w:space="0"/>
              <w:right w:val="single" w:color="000000" w:sz="4" w:space="0"/>
            </w:tcBorders>
          </w:tcPr>
          <w:p>
            <w:pPr>
              <w:pStyle w:val="19"/>
              <w:spacing w:before="1"/>
              <w:ind w:left="199" w:right="186"/>
              <w:rPr>
                <w:sz w:val="21"/>
              </w:rPr>
            </w:pPr>
            <w:r>
              <w:rPr>
                <w:sz w:val="21"/>
              </w:rPr>
              <w:t>车间</w:t>
            </w:r>
          </w:p>
        </w:tc>
        <w:tc>
          <w:tcPr>
            <w:tcW w:w="1673" w:type="dxa"/>
            <w:tcBorders>
              <w:top w:val="single" w:color="000000" w:sz="4" w:space="0"/>
              <w:left w:val="single" w:color="000000" w:sz="4" w:space="0"/>
              <w:right w:val="single" w:color="000000" w:sz="4" w:space="0"/>
            </w:tcBorders>
          </w:tcPr>
          <w:p>
            <w:pPr>
              <w:pStyle w:val="19"/>
              <w:spacing w:before="1"/>
              <w:ind w:left="188" w:right="169"/>
              <w:rPr>
                <w:sz w:val="21"/>
              </w:rPr>
            </w:pPr>
            <w:r>
              <w:rPr>
                <w:sz w:val="21"/>
              </w:rPr>
              <w:t>加工床</w:t>
            </w:r>
          </w:p>
        </w:tc>
        <w:tc>
          <w:tcPr>
            <w:tcW w:w="1413" w:type="dxa"/>
            <w:tcBorders>
              <w:top w:val="single" w:color="000000" w:sz="4" w:space="0"/>
              <w:left w:val="single" w:color="000000" w:sz="4" w:space="0"/>
              <w:right w:val="single" w:color="000000" w:sz="4" w:space="0"/>
            </w:tcBorders>
          </w:tcPr>
          <w:p>
            <w:pPr>
              <w:pStyle w:val="19"/>
              <w:spacing w:before="17"/>
              <w:ind w:left="18"/>
              <w:rPr>
                <w:rFonts w:ascii="Times New Roman"/>
                <w:sz w:val="21"/>
              </w:rPr>
            </w:pPr>
            <w:r>
              <w:rPr>
                <w:rFonts w:ascii="Times New Roman"/>
                <w:w w:val="99"/>
                <w:sz w:val="21"/>
              </w:rPr>
              <w:t>1</w:t>
            </w:r>
          </w:p>
        </w:tc>
        <w:tc>
          <w:tcPr>
            <w:tcW w:w="2031" w:type="dxa"/>
            <w:tcBorders>
              <w:top w:val="single" w:color="000000" w:sz="4" w:space="0"/>
              <w:left w:val="single" w:color="000000" w:sz="4" w:space="0"/>
              <w:right w:val="single" w:color="000000" w:sz="4" w:space="0"/>
            </w:tcBorders>
          </w:tcPr>
          <w:p>
            <w:pPr>
              <w:pStyle w:val="19"/>
              <w:spacing w:before="17"/>
              <w:ind w:left="150" w:right="135"/>
              <w:rPr>
                <w:rFonts w:ascii="Times New Roman"/>
                <w:sz w:val="21"/>
              </w:rPr>
            </w:pPr>
            <w:r>
              <w:rPr>
                <w:rFonts w:ascii="Times New Roman"/>
                <w:sz w:val="21"/>
              </w:rPr>
              <w:t>80</w:t>
            </w:r>
          </w:p>
        </w:tc>
        <w:tc>
          <w:tcPr>
            <w:tcW w:w="1071" w:type="dxa"/>
            <w:tcBorders>
              <w:top w:val="single" w:color="000000" w:sz="4" w:space="0"/>
              <w:left w:val="single" w:color="000000" w:sz="4" w:space="0"/>
            </w:tcBorders>
          </w:tcPr>
          <w:p>
            <w:pPr>
              <w:pStyle w:val="19"/>
              <w:jc w:val="left"/>
              <w:rPr>
                <w:rFonts w:ascii="Times New Roman"/>
                <w:sz w:val="22"/>
              </w:rPr>
            </w:pPr>
          </w:p>
        </w:tc>
      </w:tr>
    </w:tbl>
    <w:p>
      <w:pPr>
        <w:spacing w:before="1"/>
        <w:ind w:left="4080" w:right="0" w:firstLine="0"/>
        <w:jc w:val="both"/>
        <w:rPr>
          <w:b/>
          <w:sz w:val="21"/>
        </w:rPr>
      </w:pPr>
      <w:r>
        <w:rPr>
          <w:b/>
          <w:spacing w:val="-28"/>
          <w:sz w:val="21"/>
        </w:rPr>
        <w:t xml:space="preserve">表 </w:t>
      </w:r>
      <w:r>
        <w:rPr>
          <w:rFonts w:ascii="Times New Roman" w:eastAsia="Times New Roman"/>
          <w:b/>
          <w:sz w:val="21"/>
        </w:rPr>
        <w:t>2.4-9</w:t>
      </w:r>
      <w:r>
        <w:rPr>
          <w:rFonts w:ascii="Times New Roman" w:eastAsia="Times New Roman"/>
          <w:b/>
          <w:spacing w:val="47"/>
          <w:sz w:val="21"/>
        </w:rPr>
        <w:t xml:space="preserve"> </w:t>
      </w:r>
      <w:r>
        <w:rPr>
          <w:b/>
          <w:sz w:val="21"/>
        </w:rPr>
        <w:t>副井工业广场主要噪声源及源强</w:t>
      </w:r>
    </w:p>
    <w:p>
      <w:pPr>
        <w:pStyle w:val="9"/>
        <w:spacing w:before="11"/>
        <w:rPr>
          <w:b/>
          <w:sz w:val="10"/>
        </w:rPr>
      </w:pPr>
    </w:p>
    <w:tbl>
      <w:tblPr>
        <w:tblStyle w:val="15"/>
        <w:tblW w:w="0" w:type="auto"/>
        <w:tblInd w:w="17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34"/>
        <w:gridCol w:w="1673"/>
        <w:gridCol w:w="1413"/>
        <w:gridCol w:w="2031"/>
        <w:gridCol w:w="107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2334" w:type="dxa"/>
            <w:tcBorders>
              <w:bottom w:val="single" w:color="000000" w:sz="4" w:space="0"/>
              <w:right w:val="single" w:color="000000" w:sz="4" w:space="0"/>
            </w:tcBorders>
          </w:tcPr>
          <w:p>
            <w:pPr>
              <w:pStyle w:val="19"/>
              <w:spacing w:before="162"/>
              <w:ind w:left="199" w:right="189"/>
              <w:rPr>
                <w:sz w:val="21"/>
              </w:rPr>
            </w:pPr>
            <w:r>
              <w:rPr>
                <w:sz w:val="21"/>
              </w:rPr>
              <w:t>噪声源名称</w:t>
            </w:r>
          </w:p>
        </w:tc>
        <w:tc>
          <w:tcPr>
            <w:tcW w:w="1673" w:type="dxa"/>
            <w:tcBorders>
              <w:left w:val="single" w:color="000000" w:sz="4" w:space="0"/>
              <w:bottom w:val="single" w:color="000000" w:sz="4" w:space="0"/>
              <w:right w:val="single" w:color="000000" w:sz="4" w:space="0"/>
            </w:tcBorders>
          </w:tcPr>
          <w:p>
            <w:pPr>
              <w:pStyle w:val="19"/>
              <w:spacing w:before="162"/>
              <w:ind w:left="188" w:right="174"/>
              <w:rPr>
                <w:sz w:val="21"/>
              </w:rPr>
            </w:pPr>
            <w:r>
              <w:rPr>
                <w:sz w:val="21"/>
              </w:rPr>
              <w:t>噪声设备型号</w:t>
            </w:r>
          </w:p>
        </w:tc>
        <w:tc>
          <w:tcPr>
            <w:tcW w:w="1413" w:type="dxa"/>
            <w:tcBorders>
              <w:left w:val="single" w:color="000000" w:sz="4" w:space="0"/>
              <w:bottom w:val="single" w:color="000000" w:sz="4" w:space="0"/>
              <w:right w:val="single" w:color="000000" w:sz="4" w:space="0"/>
            </w:tcBorders>
          </w:tcPr>
          <w:p>
            <w:pPr>
              <w:pStyle w:val="19"/>
              <w:spacing w:before="162"/>
              <w:ind w:left="165" w:right="148"/>
              <w:rPr>
                <w:sz w:val="21"/>
              </w:rPr>
            </w:pPr>
            <w:r>
              <w:rPr>
                <w:sz w:val="21"/>
              </w:rPr>
              <w:t>数量（台）</w:t>
            </w:r>
          </w:p>
        </w:tc>
        <w:tc>
          <w:tcPr>
            <w:tcW w:w="2031" w:type="dxa"/>
            <w:tcBorders>
              <w:left w:val="single" w:color="000000" w:sz="4" w:space="0"/>
              <w:bottom w:val="single" w:color="000000" w:sz="4" w:space="0"/>
              <w:right w:val="single" w:color="000000" w:sz="4" w:space="0"/>
            </w:tcBorders>
          </w:tcPr>
          <w:p>
            <w:pPr>
              <w:pStyle w:val="19"/>
              <w:spacing w:before="162"/>
              <w:ind w:left="154" w:right="135"/>
              <w:rPr>
                <w:rFonts w:ascii="Times New Roman" w:eastAsia="Times New Roman"/>
                <w:sz w:val="21"/>
              </w:rPr>
            </w:pPr>
            <w:r>
              <w:rPr>
                <w:sz w:val="21"/>
              </w:rPr>
              <w:t xml:space="preserve">平均声压级 </w:t>
            </w:r>
            <w:r>
              <w:rPr>
                <w:rFonts w:ascii="Times New Roman" w:eastAsia="Times New Roman"/>
                <w:sz w:val="21"/>
              </w:rPr>
              <w:t>dB(A)</w:t>
            </w:r>
          </w:p>
        </w:tc>
        <w:tc>
          <w:tcPr>
            <w:tcW w:w="1071" w:type="dxa"/>
            <w:tcBorders>
              <w:left w:val="single" w:color="000000" w:sz="4" w:space="0"/>
              <w:bottom w:val="single" w:color="000000" w:sz="4" w:space="0"/>
            </w:tcBorders>
          </w:tcPr>
          <w:p>
            <w:pPr>
              <w:pStyle w:val="19"/>
              <w:spacing w:line="268" w:lineRule="exact"/>
              <w:ind w:left="329"/>
              <w:jc w:val="left"/>
              <w:rPr>
                <w:sz w:val="21"/>
              </w:rPr>
            </w:pPr>
            <w:r>
              <w:rPr>
                <w:spacing w:val="-1"/>
                <w:w w:val="95"/>
                <w:sz w:val="21"/>
              </w:rPr>
              <w:t>排放</w:t>
            </w:r>
          </w:p>
          <w:p>
            <w:pPr>
              <w:pStyle w:val="19"/>
              <w:spacing w:before="57"/>
              <w:ind w:left="329"/>
              <w:jc w:val="left"/>
              <w:rPr>
                <w:sz w:val="21"/>
              </w:rPr>
            </w:pPr>
            <w:r>
              <w:rPr>
                <w:spacing w:val="-1"/>
                <w:w w:val="95"/>
                <w:sz w:val="21"/>
              </w:rPr>
              <w:t>特征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2334" w:type="dxa"/>
            <w:tcBorders>
              <w:top w:val="single" w:color="000000" w:sz="4" w:space="0"/>
              <w:bottom w:val="single" w:color="000000" w:sz="4" w:space="0"/>
              <w:right w:val="single" w:color="000000" w:sz="4" w:space="0"/>
            </w:tcBorders>
          </w:tcPr>
          <w:p>
            <w:pPr>
              <w:pStyle w:val="19"/>
              <w:spacing w:before="63"/>
              <w:ind w:left="199" w:right="189"/>
              <w:rPr>
                <w:sz w:val="21"/>
              </w:rPr>
            </w:pPr>
            <w:r>
              <w:rPr>
                <w:sz w:val="21"/>
              </w:rPr>
              <w:t>通风机房</w:t>
            </w:r>
          </w:p>
        </w:tc>
        <w:tc>
          <w:tcPr>
            <w:tcW w:w="1673" w:type="dxa"/>
            <w:tcBorders>
              <w:top w:val="single" w:color="000000" w:sz="4" w:space="0"/>
              <w:left w:val="single" w:color="000000" w:sz="4" w:space="0"/>
              <w:bottom w:val="single" w:color="000000" w:sz="4" w:space="0"/>
              <w:right w:val="single" w:color="000000" w:sz="4" w:space="0"/>
            </w:tcBorders>
          </w:tcPr>
          <w:p>
            <w:pPr>
              <w:pStyle w:val="19"/>
              <w:spacing w:before="63"/>
              <w:ind w:left="188" w:right="169"/>
              <w:rPr>
                <w:sz w:val="21"/>
              </w:rPr>
            </w:pPr>
            <w:r>
              <w:rPr>
                <w:sz w:val="21"/>
              </w:rPr>
              <w:t>通风机</w:t>
            </w:r>
          </w:p>
        </w:tc>
        <w:tc>
          <w:tcPr>
            <w:tcW w:w="1413" w:type="dxa"/>
            <w:tcBorders>
              <w:top w:val="single" w:color="000000" w:sz="4" w:space="0"/>
              <w:left w:val="single" w:color="000000" w:sz="4" w:space="0"/>
              <w:bottom w:val="single" w:color="000000" w:sz="4" w:space="0"/>
              <w:right w:val="single" w:color="000000" w:sz="4" w:space="0"/>
            </w:tcBorders>
          </w:tcPr>
          <w:p>
            <w:pPr>
              <w:pStyle w:val="19"/>
              <w:spacing w:before="79"/>
              <w:ind w:left="18"/>
              <w:rPr>
                <w:rFonts w:ascii="Times New Roman"/>
                <w:sz w:val="21"/>
              </w:rPr>
            </w:pPr>
            <w:r>
              <w:rPr>
                <w:rFonts w:ascii="Times New Roman"/>
                <w:w w:val="99"/>
                <w:sz w:val="21"/>
              </w:rPr>
              <w:t>1</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79"/>
              <w:ind w:left="150" w:right="135"/>
              <w:rPr>
                <w:rFonts w:ascii="Times New Roman"/>
                <w:sz w:val="21"/>
              </w:rPr>
            </w:pPr>
            <w:r>
              <w:rPr>
                <w:rFonts w:ascii="Times New Roman"/>
                <w:sz w:val="21"/>
              </w:rPr>
              <w:t>88</w:t>
            </w:r>
          </w:p>
        </w:tc>
        <w:tc>
          <w:tcPr>
            <w:tcW w:w="1071" w:type="dxa"/>
            <w:tcBorders>
              <w:top w:val="single" w:color="000000" w:sz="4" w:space="0"/>
              <w:left w:val="single" w:color="000000" w:sz="4" w:space="0"/>
              <w:bottom w:val="single" w:color="000000" w:sz="4" w:space="0"/>
            </w:tcBorders>
          </w:tcPr>
          <w:p>
            <w:pPr>
              <w:pStyle w:val="19"/>
              <w:spacing w:before="63"/>
              <w:ind w:left="308" w:right="288"/>
              <w:rPr>
                <w:sz w:val="21"/>
              </w:rPr>
            </w:pPr>
            <w:r>
              <w:rPr>
                <w:sz w:val="21"/>
              </w:rPr>
              <w:t>连续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334" w:type="dxa"/>
            <w:tcBorders>
              <w:top w:val="single" w:color="000000" w:sz="4" w:space="0"/>
              <w:bottom w:val="single" w:color="000000" w:sz="4" w:space="0"/>
              <w:right w:val="single" w:color="000000" w:sz="4" w:space="0"/>
            </w:tcBorders>
          </w:tcPr>
          <w:p>
            <w:pPr>
              <w:pStyle w:val="19"/>
              <w:ind w:left="199" w:right="189"/>
              <w:rPr>
                <w:sz w:val="21"/>
              </w:rPr>
            </w:pPr>
            <w:r>
              <w:rPr>
                <w:sz w:val="21"/>
              </w:rPr>
              <w:t>压风机站</w:t>
            </w:r>
          </w:p>
        </w:tc>
        <w:tc>
          <w:tcPr>
            <w:tcW w:w="1673" w:type="dxa"/>
            <w:tcBorders>
              <w:top w:val="single" w:color="000000" w:sz="4" w:space="0"/>
              <w:left w:val="single" w:color="000000" w:sz="4" w:space="0"/>
              <w:bottom w:val="single" w:color="000000" w:sz="4" w:space="0"/>
              <w:right w:val="single" w:color="000000" w:sz="4" w:space="0"/>
            </w:tcBorders>
          </w:tcPr>
          <w:p>
            <w:pPr>
              <w:pStyle w:val="19"/>
              <w:ind w:left="188" w:right="172"/>
              <w:rPr>
                <w:sz w:val="21"/>
              </w:rPr>
            </w:pPr>
            <w:r>
              <w:rPr>
                <w:sz w:val="21"/>
              </w:rPr>
              <w:t>空气压缩机</w:t>
            </w:r>
          </w:p>
        </w:tc>
        <w:tc>
          <w:tcPr>
            <w:tcW w:w="1413" w:type="dxa"/>
            <w:tcBorders>
              <w:top w:val="single" w:color="000000" w:sz="4" w:space="0"/>
              <w:left w:val="single" w:color="000000" w:sz="4" w:space="0"/>
              <w:bottom w:val="single" w:color="000000" w:sz="4" w:space="0"/>
              <w:right w:val="single" w:color="000000" w:sz="4" w:space="0"/>
            </w:tcBorders>
          </w:tcPr>
          <w:p>
            <w:pPr>
              <w:pStyle w:val="19"/>
              <w:spacing w:before="19"/>
              <w:ind w:left="18"/>
              <w:rPr>
                <w:rFonts w:ascii="Times New Roman"/>
                <w:sz w:val="21"/>
              </w:rPr>
            </w:pPr>
            <w:r>
              <w:rPr>
                <w:rFonts w:ascii="Times New Roman"/>
                <w:w w:val="99"/>
                <w:sz w:val="21"/>
              </w:rPr>
              <w:t>2</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19"/>
              <w:ind w:left="150" w:right="135"/>
              <w:rPr>
                <w:rFonts w:ascii="Times New Roman"/>
                <w:sz w:val="21"/>
              </w:rPr>
            </w:pPr>
            <w:r>
              <w:rPr>
                <w:rFonts w:ascii="Times New Roman"/>
                <w:sz w:val="21"/>
              </w:rPr>
              <w:t>95</w:t>
            </w:r>
          </w:p>
        </w:tc>
        <w:tc>
          <w:tcPr>
            <w:tcW w:w="1071" w:type="dxa"/>
            <w:tcBorders>
              <w:top w:val="single" w:color="000000" w:sz="4" w:space="0"/>
              <w:left w:val="single" w:color="000000" w:sz="4" w:space="0"/>
              <w:bottom w:val="single" w:color="000000" w:sz="4" w:space="0"/>
            </w:tcBorders>
          </w:tcPr>
          <w:p>
            <w:pPr>
              <w:pStyle w:val="19"/>
              <w:ind w:left="308" w:right="288"/>
              <w:rPr>
                <w:sz w:val="21"/>
              </w:rPr>
            </w:pPr>
            <w:r>
              <w:rPr>
                <w:sz w:val="21"/>
              </w:rPr>
              <w:t>连续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334" w:type="dxa"/>
            <w:vMerge w:val="restart"/>
            <w:tcBorders>
              <w:top w:val="single" w:color="000000" w:sz="4" w:space="0"/>
              <w:bottom w:val="single" w:color="000000" w:sz="4" w:space="0"/>
              <w:right w:val="single" w:color="000000" w:sz="4" w:space="0"/>
            </w:tcBorders>
          </w:tcPr>
          <w:p>
            <w:pPr>
              <w:pStyle w:val="19"/>
              <w:spacing w:before="169"/>
              <w:ind w:left="199" w:right="186"/>
              <w:rPr>
                <w:sz w:val="21"/>
              </w:rPr>
            </w:pPr>
            <w:r>
              <w:rPr>
                <w:sz w:val="21"/>
              </w:rPr>
              <w:t>锅炉房</w:t>
            </w:r>
          </w:p>
        </w:tc>
        <w:tc>
          <w:tcPr>
            <w:tcW w:w="1673" w:type="dxa"/>
            <w:tcBorders>
              <w:top w:val="single" w:color="000000" w:sz="4" w:space="0"/>
              <w:left w:val="single" w:color="000000" w:sz="4" w:space="0"/>
              <w:bottom w:val="single" w:color="000000" w:sz="4" w:space="0"/>
              <w:right w:val="single" w:color="000000" w:sz="4" w:space="0"/>
            </w:tcBorders>
          </w:tcPr>
          <w:p>
            <w:pPr>
              <w:pStyle w:val="19"/>
              <w:spacing w:before="1"/>
              <w:ind w:left="188" w:right="169"/>
              <w:rPr>
                <w:sz w:val="21"/>
              </w:rPr>
            </w:pPr>
            <w:r>
              <w:rPr>
                <w:sz w:val="21"/>
              </w:rPr>
              <w:t>鼓风机</w:t>
            </w:r>
          </w:p>
        </w:tc>
        <w:tc>
          <w:tcPr>
            <w:tcW w:w="1413" w:type="dxa"/>
            <w:tcBorders>
              <w:top w:val="single" w:color="000000" w:sz="4" w:space="0"/>
              <w:left w:val="single" w:color="000000" w:sz="4" w:space="0"/>
              <w:bottom w:val="single" w:color="000000" w:sz="4" w:space="0"/>
              <w:right w:val="single" w:color="000000" w:sz="4" w:space="0"/>
            </w:tcBorders>
          </w:tcPr>
          <w:p>
            <w:pPr>
              <w:pStyle w:val="19"/>
              <w:spacing w:before="18"/>
              <w:ind w:left="18"/>
              <w:rPr>
                <w:rFonts w:ascii="Times New Roman"/>
                <w:sz w:val="21"/>
              </w:rPr>
            </w:pPr>
            <w:r>
              <w:rPr>
                <w:rFonts w:ascii="Times New Roman"/>
                <w:w w:val="99"/>
                <w:sz w:val="21"/>
              </w:rPr>
              <w:t>1</w:t>
            </w:r>
          </w:p>
        </w:tc>
        <w:tc>
          <w:tcPr>
            <w:tcW w:w="2031" w:type="dxa"/>
            <w:vMerge w:val="restart"/>
            <w:tcBorders>
              <w:top w:val="single" w:color="000000" w:sz="4" w:space="0"/>
              <w:left w:val="single" w:color="000000" w:sz="4" w:space="0"/>
              <w:bottom w:val="single" w:color="000000" w:sz="4" w:space="0"/>
              <w:right w:val="single" w:color="000000" w:sz="4" w:space="0"/>
            </w:tcBorders>
          </w:tcPr>
          <w:p>
            <w:pPr>
              <w:pStyle w:val="19"/>
              <w:spacing w:before="186"/>
              <w:ind w:left="150" w:right="135"/>
              <w:rPr>
                <w:rFonts w:ascii="Times New Roman"/>
                <w:sz w:val="21"/>
              </w:rPr>
            </w:pPr>
            <w:r>
              <w:rPr>
                <w:rFonts w:ascii="Times New Roman"/>
                <w:sz w:val="21"/>
              </w:rPr>
              <w:t>85</w:t>
            </w:r>
          </w:p>
        </w:tc>
        <w:tc>
          <w:tcPr>
            <w:tcW w:w="1071" w:type="dxa"/>
            <w:vMerge w:val="restart"/>
            <w:tcBorders>
              <w:top w:val="single" w:color="000000" w:sz="4" w:space="0"/>
              <w:left w:val="single" w:color="000000" w:sz="4" w:space="0"/>
              <w:bottom w:val="single" w:color="000000" w:sz="4" w:space="0"/>
            </w:tcBorders>
          </w:tcPr>
          <w:p>
            <w:pPr>
              <w:pStyle w:val="19"/>
              <w:spacing w:before="169"/>
              <w:ind w:left="329"/>
              <w:jc w:val="left"/>
              <w:rPr>
                <w:sz w:val="21"/>
              </w:rPr>
            </w:pPr>
            <w:r>
              <w:rPr>
                <w:sz w:val="21"/>
              </w:rPr>
              <w:t>连续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334" w:type="dxa"/>
            <w:vMerge w:val="continue"/>
            <w:tcBorders>
              <w:top w:val="nil"/>
              <w:bottom w:val="single" w:color="000000" w:sz="4" w:space="0"/>
              <w:right w:val="single" w:color="000000" w:sz="4" w:space="0"/>
            </w:tcBorders>
          </w:tcPr>
          <w:p>
            <w:pPr>
              <w:rPr>
                <w:sz w:val="2"/>
                <w:szCs w:val="2"/>
              </w:rPr>
            </w:pPr>
          </w:p>
        </w:tc>
        <w:tc>
          <w:tcPr>
            <w:tcW w:w="1673" w:type="dxa"/>
            <w:tcBorders>
              <w:top w:val="single" w:color="000000" w:sz="4" w:space="0"/>
              <w:left w:val="single" w:color="000000" w:sz="4" w:space="0"/>
              <w:bottom w:val="single" w:color="000000" w:sz="4" w:space="0"/>
              <w:right w:val="single" w:color="000000" w:sz="4" w:space="0"/>
            </w:tcBorders>
          </w:tcPr>
          <w:p>
            <w:pPr>
              <w:pStyle w:val="19"/>
              <w:ind w:left="188" w:right="169"/>
              <w:rPr>
                <w:sz w:val="21"/>
              </w:rPr>
            </w:pPr>
            <w:r>
              <w:rPr>
                <w:sz w:val="21"/>
              </w:rPr>
              <w:t>引风机</w:t>
            </w:r>
          </w:p>
        </w:tc>
        <w:tc>
          <w:tcPr>
            <w:tcW w:w="1413" w:type="dxa"/>
            <w:tcBorders>
              <w:top w:val="single" w:color="000000" w:sz="4" w:space="0"/>
              <w:left w:val="single" w:color="000000" w:sz="4" w:space="0"/>
              <w:bottom w:val="single" w:color="000000" w:sz="4" w:space="0"/>
              <w:right w:val="single" w:color="000000" w:sz="4" w:space="0"/>
            </w:tcBorders>
          </w:tcPr>
          <w:p>
            <w:pPr>
              <w:pStyle w:val="19"/>
              <w:spacing w:before="17"/>
              <w:ind w:left="18"/>
              <w:rPr>
                <w:rFonts w:ascii="Times New Roman"/>
                <w:sz w:val="21"/>
              </w:rPr>
            </w:pPr>
            <w:r>
              <w:rPr>
                <w:rFonts w:ascii="Times New Roman"/>
                <w:w w:val="99"/>
                <w:sz w:val="21"/>
              </w:rPr>
              <w:t>1</w:t>
            </w:r>
          </w:p>
        </w:tc>
        <w:tc>
          <w:tcPr>
            <w:tcW w:w="2031" w:type="dxa"/>
            <w:vMerge w:val="continue"/>
            <w:tcBorders>
              <w:top w:val="nil"/>
              <w:left w:val="single" w:color="000000" w:sz="4" w:space="0"/>
              <w:bottom w:val="single" w:color="000000" w:sz="4" w:space="0"/>
              <w:right w:val="single" w:color="000000" w:sz="4" w:space="0"/>
            </w:tcBorders>
          </w:tcPr>
          <w:p>
            <w:pPr>
              <w:rPr>
                <w:sz w:val="2"/>
                <w:szCs w:val="2"/>
              </w:rPr>
            </w:pPr>
          </w:p>
        </w:tc>
        <w:tc>
          <w:tcPr>
            <w:tcW w:w="1071"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334" w:type="dxa"/>
            <w:vMerge w:val="restart"/>
            <w:tcBorders>
              <w:top w:val="single" w:color="000000" w:sz="4" w:space="0"/>
              <w:bottom w:val="single" w:color="000000" w:sz="4" w:space="0"/>
              <w:right w:val="single" w:color="000000" w:sz="4" w:space="0"/>
            </w:tcBorders>
          </w:tcPr>
          <w:p>
            <w:pPr>
              <w:pStyle w:val="19"/>
              <w:spacing w:before="167"/>
              <w:ind w:left="746"/>
              <w:jc w:val="left"/>
              <w:rPr>
                <w:sz w:val="21"/>
              </w:rPr>
            </w:pPr>
            <w:r>
              <w:rPr>
                <w:sz w:val="21"/>
              </w:rPr>
              <w:t>暖风炉房</w:t>
            </w:r>
          </w:p>
        </w:tc>
        <w:tc>
          <w:tcPr>
            <w:tcW w:w="1673" w:type="dxa"/>
            <w:tcBorders>
              <w:top w:val="single" w:color="000000" w:sz="4" w:space="0"/>
              <w:left w:val="single" w:color="000000" w:sz="4" w:space="0"/>
              <w:bottom w:val="single" w:color="000000" w:sz="4" w:space="0"/>
              <w:right w:val="single" w:color="000000" w:sz="4" w:space="0"/>
            </w:tcBorders>
          </w:tcPr>
          <w:p>
            <w:pPr>
              <w:pStyle w:val="19"/>
              <w:spacing w:line="269" w:lineRule="exact"/>
              <w:ind w:left="188" w:right="169"/>
              <w:rPr>
                <w:sz w:val="21"/>
              </w:rPr>
            </w:pPr>
            <w:r>
              <w:rPr>
                <w:sz w:val="21"/>
              </w:rPr>
              <w:t>鼓风机</w:t>
            </w:r>
          </w:p>
        </w:tc>
        <w:tc>
          <w:tcPr>
            <w:tcW w:w="1413" w:type="dxa"/>
            <w:tcBorders>
              <w:top w:val="single" w:color="000000" w:sz="4" w:space="0"/>
              <w:left w:val="single" w:color="000000" w:sz="4" w:space="0"/>
              <w:bottom w:val="single" w:color="000000" w:sz="4" w:space="0"/>
              <w:right w:val="single" w:color="000000" w:sz="4" w:space="0"/>
            </w:tcBorders>
          </w:tcPr>
          <w:p>
            <w:pPr>
              <w:pStyle w:val="19"/>
              <w:spacing w:before="16"/>
              <w:ind w:left="18"/>
              <w:rPr>
                <w:rFonts w:ascii="Times New Roman"/>
                <w:sz w:val="21"/>
              </w:rPr>
            </w:pPr>
            <w:r>
              <w:rPr>
                <w:rFonts w:ascii="Times New Roman"/>
                <w:w w:val="99"/>
                <w:sz w:val="21"/>
              </w:rPr>
              <w:t>1</w:t>
            </w:r>
          </w:p>
        </w:tc>
        <w:tc>
          <w:tcPr>
            <w:tcW w:w="2031" w:type="dxa"/>
            <w:vMerge w:val="restart"/>
            <w:tcBorders>
              <w:top w:val="single" w:color="000000" w:sz="4" w:space="0"/>
              <w:left w:val="single" w:color="000000" w:sz="4" w:space="0"/>
              <w:bottom w:val="single" w:color="000000" w:sz="4" w:space="0"/>
              <w:right w:val="single" w:color="000000" w:sz="4" w:space="0"/>
            </w:tcBorders>
          </w:tcPr>
          <w:p>
            <w:pPr>
              <w:pStyle w:val="19"/>
              <w:spacing w:before="184"/>
              <w:ind w:left="150" w:right="135"/>
              <w:rPr>
                <w:rFonts w:ascii="Times New Roman"/>
                <w:sz w:val="21"/>
              </w:rPr>
            </w:pPr>
            <w:r>
              <w:rPr>
                <w:rFonts w:ascii="Times New Roman"/>
                <w:sz w:val="21"/>
              </w:rPr>
              <w:t>85</w:t>
            </w:r>
          </w:p>
        </w:tc>
        <w:tc>
          <w:tcPr>
            <w:tcW w:w="1071" w:type="dxa"/>
            <w:vMerge w:val="restart"/>
            <w:tcBorders>
              <w:top w:val="single" w:color="000000" w:sz="4" w:space="0"/>
              <w:left w:val="single" w:color="000000" w:sz="4" w:space="0"/>
              <w:bottom w:val="single" w:color="000000" w:sz="4" w:space="0"/>
            </w:tcBorders>
          </w:tcPr>
          <w:p>
            <w:pPr>
              <w:pStyle w:val="19"/>
              <w:spacing w:before="167"/>
              <w:ind w:left="329"/>
              <w:jc w:val="left"/>
              <w:rPr>
                <w:sz w:val="21"/>
              </w:rPr>
            </w:pPr>
            <w:r>
              <w:rPr>
                <w:sz w:val="21"/>
              </w:rPr>
              <w:t>连续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334" w:type="dxa"/>
            <w:vMerge w:val="continue"/>
            <w:tcBorders>
              <w:top w:val="nil"/>
              <w:bottom w:val="single" w:color="000000" w:sz="4" w:space="0"/>
              <w:right w:val="single" w:color="000000" w:sz="4" w:space="0"/>
            </w:tcBorders>
          </w:tcPr>
          <w:p>
            <w:pPr>
              <w:rPr>
                <w:sz w:val="2"/>
                <w:szCs w:val="2"/>
              </w:rPr>
            </w:pPr>
          </w:p>
        </w:tc>
        <w:tc>
          <w:tcPr>
            <w:tcW w:w="1673" w:type="dxa"/>
            <w:tcBorders>
              <w:top w:val="single" w:color="000000" w:sz="4" w:space="0"/>
              <w:left w:val="single" w:color="000000" w:sz="4" w:space="0"/>
              <w:bottom w:val="single" w:color="000000" w:sz="4" w:space="0"/>
              <w:right w:val="single" w:color="000000" w:sz="4" w:space="0"/>
            </w:tcBorders>
          </w:tcPr>
          <w:p>
            <w:pPr>
              <w:pStyle w:val="19"/>
              <w:spacing w:before="1"/>
              <w:ind w:left="188" w:right="169"/>
              <w:rPr>
                <w:sz w:val="21"/>
              </w:rPr>
            </w:pPr>
            <w:r>
              <w:rPr>
                <w:sz w:val="21"/>
              </w:rPr>
              <w:t>引风机</w:t>
            </w:r>
          </w:p>
        </w:tc>
        <w:tc>
          <w:tcPr>
            <w:tcW w:w="1413" w:type="dxa"/>
            <w:tcBorders>
              <w:top w:val="single" w:color="000000" w:sz="4" w:space="0"/>
              <w:left w:val="single" w:color="000000" w:sz="4" w:space="0"/>
              <w:bottom w:val="single" w:color="000000" w:sz="4" w:space="0"/>
              <w:right w:val="single" w:color="000000" w:sz="4" w:space="0"/>
            </w:tcBorders>
          </w:tcPr>
          <w:p>
            <w:pPr>
              <w:pStyle w:val="19"/>
              <w:spacing w:before="17"/>
              <w:ind w:left="18"/>
              <w:rPr>
                <w:rFonts w:ascii="Times New Roman"/>
                <w:sz w:val="21"/>
              </w:rPr>
            </w:pPr>
            <w:r>
              <w:rPr>
                <w:rFonts w:ascii="Times New Roman"/>
                <w:w w:val="99"/>
                <w:sz w:val="21"/>
              </w:rPr>
              <w:t>1</w:t>
            </w:r>
          </w:p>
        </w:tc>
        <w:tc>
          <w:tcPr>
            <w:tcW w:w="2031" w:type="dxa"/>
            <w:vMerge w:val="continue"/>
            <w:tcBorders>
              <w:top w:val="nil"/>
              <w:left w:val="single" w:color="000000" w:sz="4" w:space="0"/>
              <w:bottom w:val="single" w:color="000000" w:sz="4" w:space="0"/>
              <w:right w:val="single" w:color="000000" w:sz="4" w:space="0"/>
            </w:tcBorders>
          </w:tcPr>
          <w:p>
            <w:pPr>
              <w:rPr>
                <w:sz w:val="2"/>
                <w:szCs w:val="2"/>
              </w:rPr>
            </w:pPr>
          </w:p>
        </w:tc>
        <w:tc>
          <w:tcPr>
            <w:tcW w:w="1071"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2334" w:type="dxa"/>
            <w:tcBorders>
              <w:top w:val="single" w:color="000000" w:sz="4" w:space="0"/>
              <w:bottom w:val="single" w:color="000000" w:sz="4" w:space="0"/>
              <w:right w:val="single" w:color="000000" w:sz="4" w:space="0"/>
            </w:tcBorders>
          </w:tcPr>
          <w:p>
            <w:pPr>
              <w:pStyle w:val="19"/>
              <w:ind w:left="199" w:right="189"/>
              <w:rPr>
                <w:sz w:val="21"/>
              </w:rPr>
            </w:pPr>
            <w:r>
              <w:rPr>
                <w:sz w:val="21"/>
              </w:rPr>
              <w:t>矸石绞车房</w:t>
            </w:r>
          </w:p>
        </w:tc>
        <w:tc>
          <w:tcPr>
            <w:tcW w:w="1673" w:type="dxa"/>
            <w:tcBorders>
              <w:top w:val="single" w:color="000000" w:sz="4" w:space="0"/>
              <w:left w:val="single" w:color="000000" w:sz="4" w:space="0"/>
              <w:bottom w:val="single" w:color="000000" w:sz="4" w:space="0"/>
              <w:right w:val="single" w:color="000000" w:sz="4" w:space="0"/>
            </w:tcBorders>
          </w:tcPr>
          <w:p>
            <w:pPr>
              <w:pStyle w:val="19"/>
              <w:ind w:left="188" w:right="172"/>
              <w:rPr>
                <w:sz w:val="21"/>
              </w:rPr>
            </w:pPr>
            <w:r>
              <w:rPr>
                <w:sz w:val="21"/>
              </w:rPr>
              <w:t>提升绞车</w:t>
            </w:r>
          </w:p>
        </w:tc>
        <w:tc>
          <w:tcPr>
            <w:tcW w:w="1413" w:type="dxa"/>
            <w:tcBorders>
              <w:top w:val="single" w:color="000000" w:sz="4" w:space="0"/>
              <w:left w:val="single" w:color="000000" w:sz="4" w:space="0"/>
              <w:bottom w:val="single" w:color="000000" w:sz="4" w:space="0"/>
              <w:right w:val="single" w:color="000000" w:sz="4" w:space="0"/>
            </w:tcBorders>
          </w:tcPr>
          <w:p>
            <w:pPr>
              <w:pStyle w:val="19"/>
              <w:spacing w:before="16"/>
              <w:ind w:left="18"/>
              <w:rPr>
                <w:rFonts w:ascii="Times New Roman"/>
                <w:sz w:val="21"/>
              </w:rPr>
            </w:pPr>
            <w:r>
              <w:rPr>
                <w:rFonts w:ascii="Times New Roman"/>
                <w:w w:val="99"/>
                <w:sz w:val="21"/>
              </w:rPr>
              <w:t>1</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16"/>
              <w:ind w:left="150" w:right="135"/>
              <w:rPr>
                <w:rFonts w:ascii="Times New Roman"/>
                <w:sz w:val="21"/>
              </w:rPr>
            </w:pPr>
            <w:r>
              <w:rPr>
                <w:rFonts w:ascii="Times New Roman"/>
                <w:sz w:val="21"/>
              </w:rPr>
              <w:t>90</w:t>
            </w:r>
          </w:p>
        </w:tc>
        <w:tc>
          <w:tcPr>
            <w:tcW w:w="1071" w:type="dxa"/>
            <w:tcBorders>
              <w:top w:val="single" w:color="000000" w:sz="4" w:space="0"/>
              <w:left w:val="single" w:color="000000" w:sz="4" w:space="0"/>
              <w:bottom w:val="single" w:color="000000" w:sz="4" w:space="0"/>
            </w:tcBorders>
          </w:tcPr>
          <w:p>
            <w:pPr>
              <w:pStyle w:val="19"/>
              <w:ind w:left="308" w:right="288"/>
              <w:rPr>
                <w:sz w:val="21"/>
              </w:rPr>
            </w:pPr>
            <w:r>
              <w:rPr>
                <w:sz w:val="21"/>
              </w:rPr>
              <w:t>间断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334" w:type="dxa"/>
            <w:tcBorders>
              <w:top w:val="single" w:color="000000" w:sz="4" w:space="0"/>
              <w:bottom w:val="single" w:color="000000" w:sz="4" w:space="0"/>
              <w:right w:val="single" w:color="000000" w:sz="4" w:space="0"/>
            </w:tcBorders>
          </w:tcPr>
          <w:p>
            <w:pPr>
              <w:pStyle w:val="19"/>
              <w:ind w:left="199" w:right="189"/>
              <w:rPr>
                <w:sz w:val="21"/>
              </w:rPr>
            </w:pPr>
            <w:r>
              <w:rPr>
                <w:sz w:val="21"/>
              </w:rPr>
              <w:t>消防泵房</w:t>
            </w:r>
          </w:p>
        </w:tc>
        <w:tc>
          <w:tcPr>
            <w:tcW w:w="1673" w:type="dxa"/>
            <w:tcBorders>
              <w:top w:val="single" w:color="000000" w:sz="4" w:space="0"/>
              <w:left w:val="single" w:color="000000" w:sz="4" w:space="0"/>
              <w:bottom w:val="single" w:color="000000" w:sz="4" w:space="0"/>
              <w:right w:val="single" w:color="000000" w:sz="4" w:space="0"/>
            </w:tcBorders>
          </w:tcPr>
          <w:p>
            <w:pPr>
              <w:pStyle w:val="19"/>
              <w:ind w:left="188" w:right="174"/>
              <w:rPr>
                <w:sz w:val="21"/>
              </w:rPr>
            </w:pPr>
            <w:r>
              <w:rPr>
                <w:sz w:val="21"/>
              </w:rPr>
              <w:t>水泵</w:t>
            </w:r>
          </w:p>
        </w:tc>
        <w:tc>
          <w:tcPr>
            <w:tcW w:w="1413" w:type="dxa"/>
            <w:tcBorders>
              <w:top w:val="single" w:color="000000" w:sz="4" w:space="0"/>
              <w:left w:val="single" w:color="000000" w:sz="4" w:space="0"/>
              <w:bottom w:val="single" w:color="000000" w:sz="4" w:space="0"/>
              <w:right w:val="single" w:color="000000" w:sz="4" w:space="0"/>
            </w:tcBorders>
          </w:tcPr>
          <w:p>
            <w:pPr>
              <w:pStyle w:val="19"/>
              <w:spacing w:before="18"/>
              <w:ind w:left="18"/>
              <w:rPr>
                <w:rFonts w:ascii="Times New Roman"/>
                <w:sz w:val="21"/>
              </w:rPr>
            </w:pPr>
            <w:r>
              <w:rPr>
                <w:rFonts w:ascii="Times New Roman"/>
                <w:w w:val="99"/>
                <w:sz w:val="21"/>
              </w:rPr>
              <w:t>1</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18"/>
              <w:ind w:left="150" w:right="135"/>
              <w:rPr>
                <w:rFonts w:ascii="Times New Roman"/>
                <w:sz w:val="21"/>
              </w:rPr>
            </w:pPr>
            <w:r>
              <w:rPr>
                <w:rFonts w:ascii="Times New Roman"/>
                <w:sz w:val="21"/>
              </w:rPr>
              <w:t>85</w:t>
            </w:r>
          </w:p>
        </w:tc>
        <w:tc>
          <w:tcPr>
            <w:tcW w:w="1071" w:type="dxa"/>
            <w:tcBorders>
              <w:top w:val="single" w:color="000000" w:sz="4" w:space="0"/>
              <w:left w:val="single" w:color="000000" w:sz="4" w:space="0"/>
              <w:bottom w:val="single" w:color="000000" w:sz="4" w:space="0"/>
            </w:tcBorders>
          </w:tcPr>
          <w:p>
            <w:pPr>
              <w:pStyle w:val="19"/>
              <w:ind w:left="308" w:right="288"/>
              <w:rPr>
                <w:sz w:val="21"/>
              </w:rPr>
            </w:pPr>
            <w:r>
              <w:rPr>
                <w:sz w:val="21"/>
              </w:rPr>
              <w:t>间断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334" w:type="dxa"/>
            <w:tcBorders>
              <w:top w:val="single" w:color="000000" w:sz="4" w:space="0"/>
              <w:right w:val="single" w:color="000000" w:sz="4" w:space="0"/>
            </w:tcBorders>
          </w:tcPr>
          <w:p>
            <w:pPr>
              <w:pStyle w:val="19"/>
              <w:spacing w:before="1"/>
              <w:ind w:left="199" w:right="186"/>
              <w:rPr>
                <w:sz w:val="21"/>
              </w:rPr>
            </w:pPr>
            <w:r>
              <w:rPr>
                <w:sz w:val="21"/>
              </w:rPr>
              <w:t>绞车房</w:t>
            </w:r>
          </w:p>
        </w:tc>
        <w:tc>
          <w:tcPr>
            <w:tcW w:w="1673" w:type="dxa"/>
            <w:tcBorders>
              <w:top w:val="single" w:color="000000" w:sz="4" w:space="0"/>
              <w:left w:val="single" w:color="000000" w:sz="4" w:space="0"/>
              <w:right w:val="single" w:color="000000" w:sz="4" w:space="0"/>
            </w:tcBorders>
          </w:tcPr>
          <w:p>
            <w:pPr>
              <w:pStyle w:val="19"/>
              <w:spacing w:before="1"/>
              <w:ind w:left="188" w:right="172"/>
              <w:rPr>
                <w:sz w:val="21"/>
              </w:rPr>
            </w:pPr>
            <w:r>
              <w:rPr>
                <w:sz w:val="21"/>
              </w:rPr>
              <w:t>提升绞车</w:t>
            </w:r>
          </w:p>
        </w:tc>
        <w:tc>
          <w:tcPr>
            <w:tcW w:w="1413" w:type="dxa"/>
            <w:tcBorders>
              <w:top w:val="single" w:color="000000" w:sz="4" w:space="0"/>
              <w:left w:val="single" w:color="000000" w:sz="4" w:space="0"/>
              <w:right w:val="single" w:color="000000" w:sz="4" w:space="0"/>
            </w:tcBorders>
          </w:tcPr>
          <w:p>
            <w:pPr>
              <w:pStyle w:val="19"/>
              <w:spacing w:before="17"/>
              <w:ind w:left="18"/>
              <w:rPr>
                <w:rFonts w:ascii="Times New Roman"/>
                <w:sz w:val="21"/>
              </w:rPr>
            </w:pPr>
            <w:r>
              <w:rPr>
                <w:rFonts w:ascii="Times New Roman"/>
                <w:w w:val="99"/>
                <w:sz w:val="21"/>
              </w:rPr>
              <w:t>1</w:t>
            </w:r>
          </w:p>
        </w:tc>
        <w:tc>
          <w:tcPr>
            <w:tcW w:w="2031" w:type="dxa"/>
            <w:tcBorders>
              <w:top w:val="single" w:color="000000" w:sz="4" w:space="0"/>
              <w:left w:val="single" w:color="000000" w:sz="4" w:space="0"/>
              <w:right w:val="single" w:color="000000" w:sz="4" w:space="0"/>
            </w:tcBorders>
          </w:tcPr>
          <w:p>
            <w:pPr>
              <w:pStyle w:val="19"/>
              <w:spacing w:before="17"/>
              <w:ind w:left="150" w:right="135"/>
              <w:rPr>
                <w:rFonts w:ascii="Times New Roman"/>
                <w:sz w:val="21"/>
              </w:rPr>
            </w:pPr>
            <w:r>
              <w:rPr>
                <w:rFonts w:ascii="Times New Roman"/>
                <w:sz w:val="21"/>
              </w:rPr>
              <w:t>90</w:t>
            </w:r>
          </w:p>
        </w:tc>
        <w:tc>
          <w:tcPr>
            <w:tcW w:w="1071" w:type="dxa"/>
            <w:tcBorders>
              <w:top w:val="single" w:color="000000" w:sz="4" w:space="0"/>
              <w:left w:val="single" w:color="000000" w:sz="4" w:space="0"/>
            </w:tcBorders>
          </w:tcPr>
          <w:p>
            <w:pPr>
              <w:pStyle w:val="19"/>
              <w:spacing w:before="1"/>
              <w:ind w:left="308" w:right="288"/>
              <w:rPr>
                <w:sz w:val="21"/>
              </w:rPr>
            </w:pPr>
            <w:r>
              <w:rPr>
                <w:sz w:val="21"/>
              </w:rPr>
              <w:t>间断</w:t>
            </w:r>
          </w:p>
        </w:tc>
      </w:tr>
    </w:tbl>
    <w:p>
      <w:pPr>
        <w:pStyle w:val="9"/>
        <w:spacing w:before="1"/>
        <w:ind w:left="1898"/>
      </w:pPr>
      <w:r>
        <w:t>设计拟采取的污染防治措施为</w:t>
      </w:r>
    </w:p>
    <w:p>
      <w:pPr>
        <w:pStyle w:val="9"/>
        <w:spacing w:before="161" w:line="362" w:lineRule="auto"/>
        <w:ind w:left="1418" w:right="1416" w:firstLine="480"/>
      </w:pPr>
      <w:r>
        <w:rPr>
          <w:rFonts w:ascii="Times New Roman" w:eastAsia="Times New Roman"/>
        </w:rPr>
        <w:t>1</w:t>
      </w:r>
      <w:r>
        <w:t>、工业场地总平面按功能分区布置，将产生高噪声的设施布置在远离办公楼等环境要求较高的区域；</w:t>
      </w:r>
    </w:p>
    <w:p>
      <w:pPr>
        <w:pStyle w:val="9"/>
        <w:spacing w:before="5" w:line="364" w:lineRule="auto"/>
        <w:ind w:left="1418" w:right="1417" w:firstLine="480"/>
        <w:jc w:val="both"/>
      </w:pPr>
      <w:r>
        <w:rPr>
          <w:rFonts w:ascii="Times New Roman" w:eastAsia="Times New Roman"/>
        </w:rPr>
        <w:t>2</w:t>
      </w:r>
      <w:r>
        <w:rPr>
          <w:spacing w:val="-2"/>
        </w:rPr>
        <w:t xml:space="preserve">、空气压缩机：本身均配有消音器，采用简易双层苯板隔声棚，棚顶采用 </w:t>
      </w:r>
      <w:r>
        <w:rPr>
          <w:rFonts w:ascii="Times New Roman" w:eastAsia="Times New Roman"/>
        </w:rPr>
        <w:t xml:space="preserve">80mm </w:t>
      </w:r>
      <w:r>
        <w:rPr>
          <w:spacing w:val="-4"/>
        </w:rPr>
        <w:t>厚的吸声吊顶以减少噪声的反射声响；同时为了消除管路辐射噪声，机棚外的压风管道</w:t>
      </w:r>
      <w:r>
        <w:t>均外敷吸声材料。</w:t>
      </w:r>
    </w:p>
    <w:p>
      <w:pPr>
        <w:pStyle w:val="9"/>
        <w:spacing w:line="364" w:lineRule="auto"/>
        <w:ind w:left="1418" w:right="1417" w:firstLine="480"/>
        <w:jc w:val="both"/>
      </w:pPr>
      <w:r>
        <w:rPr>
          <w:rFonts w:ascii="Times New Roman" w:eastAsia="Times New Roman"/>
        </w:rPr>
        <w:t>3</w:t>
      </w:r>
      <w:r>
        <w:t xml:space="preserve">、风机：选择配置消音装置，房内墙面敷设吸声结构并安装吸声吊顶降低混响， </w:t>
      </w:r>
      <w:r>
        <w:rPr>
          <w:spacing w:val="-12"/>
        </w:rPr>
        <w:t xml:space="preserve">风道内衬 </w:t>
      </w:r>
      <w:r>
        <w:rPr>
          <w:rFonts w:ascii="Times New Roman" w:eastAsia="Times New Roman"/>
        </w:rPr>
        <w:t xml:space="preserve">HA </w:t>
      </w:r>
      <w:r>
        <w:rPr>
          <w:spacing w:val="-6"/>
        </w:rPr>
        <w:t>型吸声衬板，出风扩散口安装片式消声器降噪，值班室采用隔声门和隔声</w:t>
      </w:r>
    </w:p>
    <w:p>
      <w:pPr>
        <w:spacing w:after="0" w:line="364" w:lineRule="auto"/>
        <w:jc w:val="both"/>
        <w:sectPr>
          <w:pgSz w:w="11910" w:h="16840"/>
          <w:pgMar w:top="1340" w:right="0" w:bottom="880" w:left="0" w:header="0" w:footer="681" w:gutter="0"/>
        </w:sectPr>
      </w:pPr>
    </w:p>
    <w:p>
      <w:pPr>
        <w:pStyle w:val="9"/>
        <w:spacing w:before="41"/>
        <w:ind w:left="1418"/>
      </w:pPr>
      <w:r>
        <w:t>观察窗。</w:t>
      </w:r>
    </w:p>
    <w:p>
      <w:pPr>
        <w:pStyle w:val="9"/>
        <w:spacing w:before="158"/>
        <w:ind w:left="1898"/>
      </w:pPr>
      <w:r>
        <w:rPr>
          <w:rFonts w:ascii="Times New Roman" w:eastAsia="Times New Roman"/>
        </w:rPr>
        <w:t>4</w:t>
      </w:r>
      <w:r>
        <w:t>、在高噪声车间的内墙涂吸声材料来降低噪声。在车间周围植树形成隔声林带。</w:t>
      </w:r>
    </w:p>
    <w:p>
      <w:pPr>
        <w:pStyle w:val="9"/>
        <w:spacing w:before="161" w:line="364" w:lineRule="auto"/>
        <w:ind w:left="1418" w:right="1416" w:firstLine="480"/>
      </w:pPr>
      <w:r>
        <w:rPr>
          <w:rFonts w:ascii="Times New Roman" w:eastAsia="Times New Roman"/>
        </w:rPr>
        <w:t>5</w:t>
      </w:r>
      <w:r>
        <w:t>、主井提升机齿轨噪声为间断性机械噪声，设计在提升机房设置隔声值班室，以减少噪声对操作人员的影响；工业场地锅炉房设置隔声门窗和隔音值班室；</w:t>
      </w:r>
    </w:p>
    <w:p>
      <w:pPr>
        <w:pStyle w:val="9"/>
        <w:spacing w:line="306" w:lineRule="exact"/>
        <w:ind w:left="1898"/>
      </w:pPr>
      <w:r>
        <w:rPr>
          <w:rFonts w:ascii="Times New Roman" w:eastAsia="Times New Roman"/>
        </w:rPr>
        <w:t>6</w:t>
      </w:r>
      <w:r>
        <w:t>、各种水泵采用减震基础，可曲挠橡胶接头等综合措施降噪。</w:t>
      </w:r>
    </w:p>
    <w:p>
      <w:pPr>
        <w:pStyle w:val="6"/>
        <w:numPr>
          <w:ilvl w:val="2"/>
          <w:numId w:val="40"/>
        </w:numPr>
        <w:tabs>
          <w:tab w:val="left" w:pos="2048"/>
        </w:tabs>
        <w:spacing w:before="161" w:after="0" w:line="240" w:lineRule="auto"/>
        <w:ind w:left="2047" w:right="0" w:hanging="630"/>
        <w:jc w:val="left"/>
      </w:pPr>
      <w:bookmarkStart w:id="196" w:name="2.4.3生态影响因素分析"/>
      <w:bookmarkEnd w:id="196"/>
      <w:bookmarkStart w:id="197" w:name="2.4.3生态影响因素分析"/>
      <w:bookmarkEnd w:id="197"/>
      <w:r>
        <w:t>生态影响因素分析</w:t>
      </w:r>
    </w:p>
    <w:p>
      <w:pPr>
        <w:pStyle w:val="9"/>
        <w:spacing w:before="185"/>
        <w:ind w:left="1898"/>
      </w:pPr>
      <w:r>
        <w:rPr>
          <w:rFonts w:ascii="Times New Roman" w:eastAsia="Times New Roman"/>
        </w:rPr>
        <w:t>1</w:t>
      </w:r>
      <w:r>
        <w:t>、地表沉陷影响分析</w:t>
      </w:r>
    </w:p>
    <w:p>
      <w:pPr>
        <w:pStyle w:val="9"/>
        <w:spacing w:before="158" w:line="364" w:lineRule="auto"/>
        <w:ind w:left="1418" w:right="1365" w:firstLine="480"/>
      </w:pPr>
      <w:r>
        <w:t>煤炭开采会造成一定程度的地表沉陷区和积水区，对井田内的地形、地貌、景观、交通设施等产生一定程度的影响。对地表植被等生态环境产生影响。</w:t>
      </w:r>
    </w:p>
    <w:p>
      <w:pPr>
        <w:pStyle w:val="9"/>
        <w:spacing w:line="306" w:lineRule="exact"/>
        <w:ind w:left="1898"/>
      </w:pPr>
      <w:r>
        <w:rPr>
          <w:rFonts w:ascii="Times New Roman" w:eastAsia="Times New Roman"/>
        </w:rPr>
        <w:t>2</w:t>
      </w:r>
      <w:r>
        <w:t>、地表沉陷预防与生态保护</w:t>
      </w:r>
    </w:p>
    <w:p>
      <w:pPr>
        <w:pStyle w:val="9"/>
        <w:spacing w:before="161"/>
        <w:ind w:left="1898"/>
      </w:pPr>
      <w:r>
        <w:t>矿井生态保护是以沉陷区治理为主。双鸭山盟度矿业有限责任公司井田面积</w:t>
      </w:r>
    </w:p>
    <w:p>
      <w:pPr>
        <w:pStyle w:val="9"/>
        <w:spacing w:before="158"/>
        <w:ind w:left="1418"/>
      </w:pPr>
      <w:r>
        <w:rPr>
          <w:rFonts w:ascii="Times New Roman" w:eastAsia="Times New Roman"/>
          <w:spacing w:val="-1"/>
        </w:rPr>
        <w:t>6.1999km</w:t>
      </w:r>
      <w:r>
        <w:rPr>
          <w:rFonts w:ascii="Times New Roman" w:eastAsia="Times New Roman"/>
          <w:spacing w:val="-1"/>
          <w:position w:val="8"/>
          <w:sz w:val="15"/>
        </w:rPr>
        <w:t>2</w:t>
      </w:r>
      <w:r>
        <w:rPr>
          <w:spacing w:val="-1"/>
        </w:rPr>
        <w:t>，井田范围内主要是林地、工矿用地。</w:t>
      </w:r>
    </w:p>
    <w:p>
      <w:pPr>
        <w:pStyle w:val="18"/>
        <w:numPr>
          <w:ilvl w:val="0"/>
          <w:numId w:val="46"/>
        </w:numPr>
        <w:tabs>
          <w:tab w:val="left" w:pos="2500"/>
        </w:tabs>
        <w:spacing w:before="160" w:after="0" w:line="240" w:lineRule="auto"/>
        <w:ind w:left="2499" w:right="0" w:hanging="602"/>
        <w:jc w:val="left"/>
        <w:rPr>
          <w:sz w:val="24"/>
        </w:rPr>
      </w:pPr>
      <w:r>
        <w:rPr>
          <w:sz w:val="24"/>
        </w:rPr>
        <w:t>地表沉陷预防</w:t>
      </w:r>
    </w:p>
    <w:p>
      <w:pPr>
        <w:pStyle w:val="9"/>
        <w:spacing w:before="159" w:line="364" w:lineRule="auto"/>
        <w:ind w:left="1418" w:right="1353" w:firstLine="482"/>
      </w:pPr>
      <w:r>
        <w:t>设计对开采影响范围内的矿井工业场地和附属构筑物，采用留设永久保护煤柱的方法加以保护。</w:t>
      </w:r>
    </w:p>
    <w:p>
      <w:pPr>
        <w:pStyle w:val="9"/>
        <w:spacing w:line="364" w:lineRule="auto"/>
        <w:ind w:left="1418" w:right="1417" w:firstLine="482"/>
      </w:pPr>
      <w:r>
        <w:rPr>
          <w:spacing w:val="-7"/>
        </w:rPr>
        <w:t>根据本井的地质、采矿条件，在最大限度满足开采范围内建筑允许移动和变形值的</w:t>
      </w:r>
      <w:r>
        <w:t>前提下，通过合理选择条带开采的采留尺寸。</w:t>
      </w:r>
    </w:p>
    <w:p>
      <w:pPr>
        <w:pStyle w:val="18"/>
        <w:numPr>
          <w:ilvl w:val="0"/>
          <w:numId w:val="46"/>
        </w:numPr>
        <w:tabs>
          <w:tab w:val="left" w:pos="2500"/>
        </w:tabs>
        <w:spacing w:before="0" w:after="0" w:line="306" w:lineRule="exact"/>
        <w:ind w:left="2499" w:right="0" w:hanging="602"/>
        <w:jc w:val="left"/>
        <w:rPr>
          <w:sz w:val="24"/>
        </w:rPr>
      </w:pPr>
      <w:r>
        <w:rPr>
          <w:sz w:val="24"/>
        </w:rPr>
        <w:t>地表沉陷整治覆土</w:t>
      </w:r>
    </w:p>
    <w:p>
      <w:pPr>
        <w:pStyle w:val="9"/>
        <w:spacing w:before="159" w:line="364" w:lineRule="auto"/>
        <w:ind w:left="1418" w:right="1417" w:firstLine="480"/>
        <w:jc w:val="both"/>
      </w:pPr>
      <w:r>
        <w:rPr>
          <w:spacing w:val="-4"/>
        </w:rPr>
        <w:t>对非积水塌陷区的治理主要应从恢复土地功能出发，采用土地平整、倒运等办法恢</w:t>
      </w:r>
      <w:r>
        <w:rPr>
          <w:spacing w:val="-6"/>
        </w:rPr>
        <w:t>复林地质量。塌陷前期地表尚未稳定，塌陷盆地边界亦在不断发展，此时宜着重输灌排</w:t>
      </w:r>
      <w:r>
        <w:t>涝、挖设沟渠，维持土地的功能，待塌陷稳定后再全面整治。</w:t>
      </w:r>
    </w:p>
    <w:p>
      <w:pPr>
        <w:pStyle w:val="6"/>
        <w:numPr>
          <w:ilvl w:val="2"/>
          <w:numId w:val="40"/>
        </w:numPr>
        <w:tabs>
          <w:tab w:val="left" w:pos="2048"/>
        </w:tabs>
        <w:spacing w:before="0" w:after="0" w:line="240" w:lineRule="auto"/>
        <w:ind w:left="2047" w:right="0" w:hanging="630"/>
        <w:jc w:val="left"/>
      </w:pPr>
      <w:bookmarkStart w:id="198" w:name="2.4.4本工程退役期排污分析"/>
      <w:bookmarkEnd w:id="198"/>
      <w:bookmarkStart w:id="199" w:name="2.4.4本工程退役期排污分析"/>
      <w:bookmarkEnd w:id="199"/>
      <w:r>
        <w:t>本工程退役期排污分析</w:t>
      </w:r>
    </w:p>
    <w:p>
      <w:pPr>
        <w:pStyle w:val="9"/>
        <w:spacing w:before="183" w:line="364" w:lineRule="auto"/>
        <w:ind w:left="1418" w:right="1354" w:firstLine="480"/>
      </w:pPr>
      <w:r>
        <w:t>本矿服务期满后工业场地将改做它用，本工程工业场地在生产期间产生的空气、地表水、噪声污染将结束，但在设备拆移和运输过程中将产生暂短的粉尘和噪声污染。</w:t>
      </w:r>
    </w:p>
    <w:p>
      <w:pPr>
        <w:pStyle w:val="5"/>
        <w:numPr>
          <w:ilvl w:val="1"/>
          <w:numId w:val="47"/>
        </w:numPr>
        <w:tabs>
          <w:tab w:val="left" w:pos="1868"/>
        </w:tabs>
        <w:spacing w:before="1" w:after="0" w:line="240" w:lineRule="auto"/>
        <w:ind w:left="1867" w:right="0" w:hanging="450"/>
        <w:jc w:val="left"/>
      </w:pPr>
      <w:bookmarkStart w:id="200" w:name="_bookmark18"/>
      <w:bookmarkEnd w:id="200"/>
      <w:bookmarkStart w:id="201" w:name="2.5本工程“以新带老”环境保护措施"/>
      <w:bookmarkEnd w:id="201"/>
      <w:bookmarkStart w:id="202" w:name="_bookmark18"/>
      <w:bookmarkEnd w:id="202"/>
      <w:r>
        <w:t>本工程</w:t>
      </w:r>
      <w:r>
        <w:rPr>
          <w:rFonts w:ascii="Times New Roman" w:hAnsi="Times New Roman" w:eastAsia="Times New Roman"/>
        </w:rPr>
        <w:t>“</w:t>
      </w:r>
      <w:r>
        <w:t>以新带老</w:t>
      </w:r>
      <w:r>
        <w:rPr>
          <w:rFonts w:ascii="Times New Roman" w:hAnsi="Times New Roman" w:eastAsia="Times New Roman"/>
        </w:rPr>
        <w:t>”</w:t>
      </w:r>
      <w:r>
        <w:t>环境保护措施</w:t>
      </w:r>
    </w:p>
    <w:p>
      <w:pPr>
        <w:pStyle w:val="9"/>
        <w:spacing w:before="199"/>
        <w:ind w:left="1898"/>
      </w:pPr>
      <w:r>
        <w:t>本项目性质属于改扩建，</w:t>
      </w:r>
      <w:r>
        <w:rPr>
          <w:rFonts w:ascii="Times New Roman" w:hAnsi="Times New Roman" w:eastAsia="Times New Roman"/>
        </w:rPr>
        <w:t>“</w:t>
      </w:r>
      <w:r>
        <w:t>以新带老</w:t>
      </w:r>
      <w:r>
        <w:rPr>
          <w:rFonts w:ascii="Times New Roman" w:hAnsi="Times New Roman" w:eastAsia="Times New Roman"/>
        </w:rPr>
        <w:t>”</w:t>
      </w:r>
      <w:r>
        <w:t>具体内容如下：</w:t>
      </w:r>
    </w:p>
    <w:p>
      <w:pPr>
        <w:pStyle w:val="9"/>
        <w:spacing w:before="158"/>
        <w:ind w:left="1898"/>
      </w:pPr>
      <w:r>
        <w:rPr>
          <w:rFonts w:ascii="Times New Roman" w:eastAsia="Times New Roman"/>
        </w:rPr>
        <w:t>1</w:t>
      </w:r>
      <w:r>
        <w:t>、污废水资源化</w:t>
      </w:r>
    </w:p>
    <w:p>
      <w:pPr>
        <w:pStyle w:val="9"/>
        <w:spacing w:before="161"/>
        <w:ind w:left="1898"/>
        <w:rPr>
          <w:rFonts w:ascii="Times New Roman" w:eastAsia="Times New Roman"/>
        </w:rPr>
      </w:pPr>
      <w:r>
        <w:rPr>
          <w:spacing w:val="-6"/>
        </w:rPr>
        <w:t xml:space="preserve">新建一套处理能力为 </w:t>
      </w:r>
      <w:r>
        <w:rPr>
          <w:rFonts w:ascii="Times New Roman" w:eastAsia="Times New Roman"/>
        </w:rPr>
        <w:t>1600m</w:t>
      </w:r>
      <w:r>
        <w:rPr>
          <w:rFonts w:ascii="Times New Roman" w:eastAsia="Times New Roman"/>
          <w:position w:val="8"/>
          <w:sz w:val="15"/>
        </w:rPr>
        <w:t>3</w:t>
      </w:r>
      <w:r>
        <w:rPr>
          <w:rFonts w:ascii="Times New Roman" w:eastAsia="Times New Roman"/>
        </w:rPr>
        <w:t>/d</w:t>
      </w:r>
      <w:r>
        <w:rPr>
          <w:rFonts w:ascii="Times New Roman" w:eastAsia="Times New Roman"/>
          <w:spacing w:val="1"/>
        </w:rPr>
        <w:t xml:space="preserve"> </w:t>
      </w:r>
      <w:r>
        <w:rPr>
          <w:spacing w:val="-9"/>
        </w:rPr>
        <w:t xml:space="preserve">的采煤废水净化设施；新建一座处理能力为 </w:t>
      </w:r>
      <w:r>
        <w:rPr>
          <w:rFonts w:ascii="Times New Roman" w:eastAsia="Times New Roman"/>
        </w:rPr>
        <w:t>200m</w:t>
      </w:r>
      <w:r>
        <w:rPr>
          <w:rFonts w:ascii="Times New Roman" w:eastAsia="Times New Roman"/>
          <w:position w:val="8"/>
          <w:sz w:val="15"/>
        </w:rPr>
        <w:t>3</w:t>
      </w:r>
      <w:r>
        <w:rPr>
          <w:rFonts w:ascii="Times New Roman" w:eastAsia="Times New Roman"/>
        </w:rPr>
        <w:t>/d</w:t>
      </w:r>
    </w:p>
    <w:p>
      <w:pPr>
        <w:pStyle w:val="9"/>
        <w:spacing w:before="158"/>
        <w:ind w:left="1418"/>
      </w:pPr>
      <w:r>
        <w:rPr>
          <w:spacing w:val="-4"/>
        </w:rPr>
        <w:t>的生活污水处理设施；生活污水全部回用于井下生产、临时排矸场抑尘及道路洒水，处</w:t>
      </w:r>
    </w:p>
    <w:p>
      <w:pPr>
        <w:spacing w:after="0"/>
        <w:sectPr>
          <w:pgSz w:w="11910" w:h="16840"/>
          <w:pgMar w:top="1360" w:right="0" w:bottom="880" w:left="0" w:header="0" w:footer="681" w:gutter="0"/>
        </w:sectPr>
      </w:pPr>
    </w:p>
    <w:p>
      <w:pPr>
        <w:pStyle w:val="9"/>
        <w:spacing w:before="41" w:line="364" w:lineRule="auto"/>
        <w:ind w:left="1418" w:right="1293"/>
      </w:pPr>
      <w:r>
        <w:rPr>
          <w:spacing w:val="-3"/>
        </w:rPr>
        <w:t>理后的采煤废水部分回用于井下生产用水、洗浴用水、洗衣用水和锅炉补水等非饮用生</w:t>
      </w:r>
      <w:r>
        <w:rPr>
          <w:spacing w:val="-15"/>
        </w:rPr>
        <w:t>活用水，部分排放。排放的采煤废水满足《煤炭工业污染物排放标准》</w:t>
      </w:r>
      <w:r>
        <w:t>（</w:t>
      </w:r>
      <w:r>
        <w:rPr>
          <w:rFonts w:ascii="Times New Roman" w:hAnsi="Times New Roman" w:eastAsia="Times New Roman"/>
        </w:rPr>
        <w:t>GB20426-2006</w:t>
      </w:r>
      <w:r>
        <w:t xml:space="preserve">） </w:t>
      </w:r>
      <w:r>
        <w:rPr>
          <w:spacing w:val="-31"/>
        </w:rPr>
        <w:t xml:space="preserve">表 </w:t>
      </w:r>
      <w:r>
        <w:rPr>
          <w:rFonts w:ascii="Times New Roman" w:hAnsi="Times New Roman" w:eastAsia="Times New Roman"/>
        </w:rPr>
        <w:t>1</w:t>
      </w:r>
      <w:r>
        <w:t>、</w:t>
      </w:r>
      <w:r>
        <w:rPr>
          <w:rFonts w:ascii="Times New Roman" w:hAnsi="Times New Roman" w:eastAsia="Times New Roman"/>
        </w:rPr>
        <w:t xml:space="preserve">2 </w:t>
      </w:r>
      <w:r>
        <w:t>标准限值要求及《地表水环境质量标准》（</w:t>
      </w:r>
      <w:r>
        <w:rPr>
          <w:rFonts w:ascii="Times New Roman" w:hAnsi="Times New Roman" w:eastAsia="Times New Roman"/>
        </w:rPr>
        <w:t>GB3838-2002</w:t>
      </w:r>
      <w:r>
        <w:t>）中Ⅳ类标准限值。</w:t>
      </w:r>
    </w:p>
    <w:p>
      <w:pPr>
        <w:pStyle w:val="9"/>
        <w:spacing w:line="307" w:lineRule="exact"/>
        <w:ind w:left="1898"/>
      </w:pPr>
      <w:r>
        <w:rPr>
          <w:rFonts w:ascii="Times New Roman" w:eastAsia="Times New Roman"/>
        </w:rPr>
        <w:t>2</w:t>
      </w:r>
      <w:r>
        <w:t>、废气</w:t>
      </w:r>
    </w:p>
    <w:p>
      <w:pPr>
        <w:pStyle w:val="18"/>
        <w:numPr>
          <w:ilvl w:val="2"/>
          <w:numId w:val="47"/>
        </w:numPr>
        <w:tabs>
          <w:tab w:val="left" w:pos="2500"/>
        </w:tabs>
        <w:spacing w:before="158" w:after="0" w:line="240" w:lineRule="auto"/>
        <w:ind w:left="2499" w:right="0" w:hanging="602"/>
        <w:jc w:val="left"/>
        <w:rPr>
          <w:sz w:val="24"/>
        </w:rPr>
      </w:pPr>
      <w:r>
        <w:rPr>
          <w:sz w:val="24"/>
        </w:rPr>
        <w:t>全封闭煤仓；</w:t>
      </w:r>
    </w:p>
    <w:p>
      <w:pPr>
        <w:pStyle w:val="18"/>
        <w:numPr>
          <w:ilvl w:val="2"/>
          <w:numId w:val="47"/>
        </w:numPr>
        <w:tabs>
          <w:tab w:val="left" w:pos="2500"/>
        </w:tabs>
        <w:spacing w:before="161" w:after="0" w:line="240" w:lineRule="auto"/>
        <w:ind w:left="2499" w:right="0" w:hanging="602"/>
        <w:jc w:val="left"/>
        <w:rPr>
          <w:sz w:val="24"/>
        </w:rPr>
      </w:pPr>
      <w:r>
        <w:rPr>
          <w:spacing w:val="-4"/>
          <w:sz w:val="24"/>
        </w:rPr>
        <w:t xml:space="preserve">拆除原有燃煤锅炉，新建生物质锅炉，配套布袋除尘器，除尘效率为 </w:t>
      </w:r>
      <w:r>
        <w:rPr>
          <w:rFonts w:ascii="Times New Roman" w:eastAsia="Times New Roman"/>
          <w:sz w:val="24"/>
        </w:rPr>
        <w:t>99.9%</w:t>
      </w:r>
      <w:r>
        <w:rPr>
          <w:sz w:val="24"/>
        </w:rPr>
        <w:t>；</w:t>
      </w:r>
    </w:p>
    <w:p>
      <w:pPr>
        <w:pStyle w:val="18"/>
        <w:numPr>
          <w:ilvl w:val="2"/>
          <w:numId w:val="47"/>
        </w:numPr>
        <w:tabs>
          <w:tab w:val="left" w:pos="2500"/>
        </w:tabs>
        <w:spacing w:before="158" w:after="0" w:line="240" w:lineRule="auto"/>
        <w:ind w:left="2499" w:right="0" w:hanging="602"/>
        <w:jc w:val="left"/>
        <w:rPr>
          <w:sz w:val="24"/>
        </w:rPr>
      </w:pPr>
      <w:r>
        <w:rPr>
          <w:sz w:val="24"/>
        </w:rPr>
        <w:t>运输道路定期清扫和洒水降尘；</w:t>
      </w:r>
    </w:p>
    <w:p>
      <w:pPr>
        <w:pStyle w:val="18"/>
        <w:numPr>
          <w:ilvl w:val="2"/>
          <w:numId w:val="47"/>
        </w:numPr>
        <w:tabs>
          <w:tab w:val="left" w:pos="2500"/>
        </w:tabs>
        <w:spacing w:before="160" w:after="0" w:line="240" w:lineRule="auto"/>
        <w:ind w:left="2499" w:right="0" w:hanging="602"/>
        <w:jc w:val="left"/>
        <w:rPr>
          <w:sz w:val="24"/>
        </w:rPr>
      </w:pPr>
      <w:r>
        <w:rPr>
          <w:sz w:val="24"/>
        </w:rPr>
        <w:t>食堂安装油烟净化器。</w:t>
      </w:r>
    </w:p>
    <w:p>
      <w:pPr>
        <w:pStyle w:val="9"/>
        <w:spacing w:before="158"/>
        <w:ind w:left="1898"/>
      </w:pPr>
      <w:r>
        <w:rPr>
          <w:rFonts w:ascii="Times New Roman" w:eastAsia="Times New Roman"/>
        </w:rPr>
        <w:t>3</w:t>
      </w:r>
      <w:r>
        <w:t>、固体废物</w:t>
      </w:r>
    </w:p>
    <w:p>
      <w:pPr>
        <w:pStyle w:val="18"/>
        <w:numPr>
          <w:ilvl w:val="0"/>
          <w:numId w:val="48"/>
        </w:numPr>
        <w:tabs>
          <w:tab w:val="left" w:pos="2500"/>
        </w:tabs>
        <w:spacing w:before="161" w:after="0" w:line="240" w:lineRule="auto"/>
        <w:ind w:left="2499" w:right="0" w:hanging="602"/>
        <w:jc w:val="left"/>
        <w:rPr>
          <w:sz w:val="24"/>
        </w:rPr>
      </w:pPr>
      <w:r>
        <w:rPr>
          <w:sz w:val="24"/>
        </w:rPr>
        <w:t>本项目煤矸石部分用于铺垫道路，部分回填采空区；</w:t>
      </w:r>
    </w:p>
    <w:p>
      <w:pPr>
        <w:pStyle w:val="18"/>
        <w:numPr>
          <w:ilvl w:val="0"/>
          <w:numId w:val="48"/>
        </w:numPr>
        <w:tabs>
          <w:tab w:val="left" w:pos="2500"/>
        </w:tabs>
        <w:spacing w:before="158" w:after="0" w:line="240" w:lineRule="auto"/>
        <w:ind w:left="2499" w:right="0" w:hanging="602"/>
        <w:jc w:val="left"/>
        <w:rPr>
          <w:sz w:val="24"/>
        </w:rPr>
      </w:pPr>
      <w:r>
        <w:rPr>
          <w:sz w:val="24"/>
        </w:rPr>
        <w:t>产生的炉渣用于农肥原料外售；</w:t>
      </w:r>
    </w:p>
    <w:p>
      <w:pPr>
        <w:pStyle w:val="18"/>
        <w:numPr>
          <w:ilvl w:val="0"/>
          <w:numId w:val="48"/>
        </w:numPr>
        <w:tabs>
          <w:tab w:val="left" w:pos="2500"/>
        </w:tabs>
        <w:spacing w:before="160" w:after="0" w:line="240" w:lineRule="auto"/>
        <w:ind w:left="2499" w:right="0" w:hanging="602"/>
        <w:jc w:val="left"/>
        <w:rPr>
          <w:sz w:val="24"/>
        </w:rPr>
      </w:pPr>
      <w:r>
        <w:rPr>
          <w:sz w:val="24"/>
        </w:rPr>
        <w:t>污水处理站产生的污泥、生活垃圾定期送至环卫部门处理。</w:t>
      </w:r>
    </w:p>
    <w:p>
      <w:pPr>
        <w:pStyle w:val="18"/>
        <w:numPr>
          <w:ilvl w:val="0"/>
          <w:numId w:val="48"/>
        </w:numPr>
        <w:tabs>
          <w:tab w:val="left" w:pos="2500"/>
        </w:tabs>
        <w:spacing w:before="159" w:after="0" w:line="240" w:lineRule="auto"/>
        <w:ind w:left="2499" w:right="0" w:hanging="602"/>
        <w:jc w:val="left"/>
        <w:rPr>
          <w:sz w:val="24"/>
        </w:rPr>
      </w:pPr>
      <w:r>
        <w:rPr>
          <w:sz w:val="24"/>
        </w:rPr>
        <w:t>采煤废水污泥外售</w:t>
      </w:r>
    </w:p>
    <w:p>
      <w:pPr>
        <w:pStyle w:val="9"/>
        <w:spacing w:before="160"/>
        <w:ind w:left="1898"/>
      </w:pPr>
      <w:r>
        <w:rPr>
          <w:rFonts w:ascii="Times New Roman" w:eastAsia="Times New Roman"/>
        </w:rPr>
        <w:t>4</w:t>
      </w:r>
      <w:r>
        <w:t>、噪声</w:t>
      </w:r>
    </w:p>
    <w:p>
      <w:pPr>
        <w:pStyle w:val="18"/>
        <w:numPr>
          <w:ilvl w:val="0"/>
          <w:numId w:val="49"/>
        </w:numPr>
        <w:tabs>
          <w:tab w:val="left" w:pos="2504"/>
        </w:tabs>
        <w:spacing w:before="161" w:after="0" w:line="364" w:lineRule="auto"/>
        <w:ind w:left="1418" w:right="1417" w:firstLine="480"/>
        <w:jc w:val="both"/>
        <w:rPr>
          <w:sz w:val="24"/>
        </w:rPr>
      </w:pPr>
      <w:r>
        <w:rPr>
          <w:sz w:val="24"/>
        </w:rPr>
        <w:t>在满足工艺设计的前提下，尽量选用低噪声型号的产品。设备定货时可向厂</w:t>
      </w:r>
      <w:r>
        <w:rPr>
          <w:spacing w:val="-7"/>
          <w:sz w:val="24"/>
        </w:rPr>
        <w:t>家提出要求，或者根据厂家提供的设备噪声值进行选择使用。选型还必须考虑产品具备</w:t>
      </w:r>
      <w:r>
        <w:rPr>
          <w:spacing w:val="-2"/>
          <w:sz w:val="24"/>
        </w:rPr>
        <w:t>良好的声学特性</w:t>
      </w:r>
      <w:r>
        <w:rPr>
          <w:spacing w:val="-3"/>
          <w:sz w:val="24"/>
        </w:rPr>
        <w:t>（</w:t>
      </w:r>
      <w:r>
        <w:rPr>
          <w:sz w:val="24"/>
        </w:rPr>
        <w:t>高效低噪</w:t>
      </w:r>
      <w:r>
        <w:rPr>
          <w:spacing w:val="-14"/>
          <w:sz w:val="24"/>
        </w:rPr>
        <w:t>）</w:t>
      </w:r>
      <w:r>
        <w:rPr>
          <w:spacing w:val="-6"/>
          <w:sz w:val="24"/>
        </w:rPr>
        <w:t>，向供货制造设备厂方提出限制噪声要求。对于噪声较高</w:t>
      </w:r>
      <w:r>
        <w:rPr>
          <w:sz w:val="24"/>
        </w:rPr>
        <w:t>的设备应与厂方协商提供相配套的降噪设施。</w:t>
      </w:r>
    </w:p>
    <w:p>
      <w:pPr>
        <w:pStyle w:val="18"/>
        <w:numPr>
          <w:ilvl w:val="0"/>
          <w:numId w:val="49"/>
        </w:numPr>
        <w:tabs>
          <w:tab w:val="left" w:pos="2504"/>
        </w:tabs>
        <w:spacing w:before="0" w:after="0" w:line="364" w:lineRule="auto"/>
        <w:ind w:left="1418" w:right="1418" w:firstLine="480"/>
        <w:jc w:val="left"/>
        <w:rPr>
          <w:sz w:val="24"/>
        </w:rPr>
      </w:pPr>
      <w:r>
        <w:rPr>
          <w:sz w:val="24"/>
        </w:rPr>
        <w:t>锅炉房鼓风机进出风口处均安装消音器。风机与其它设备隔绝，墙体采用吸音隔音材料。</w:t>
      </w:r>
    </w:p>
    <w:p>
      <w:pPr>
        <w:pStyle w:val="18"/>
        <w:numPr>
          <w:ilvl w:val="0"/>
          <w:numId w:val="49"/>
        </w:numPr>
        <w:tabs>
          <w:tab w:val="left" w:pos="2500"/>
        </w:tabs>
        <w:spacing w:before="0" w:after="0" w:line="240" w:lineRule="auto"/>
        <w:ind w:left="2499" w:right="0" w:hanging="602"/>
        <w:jc w:val="left"/>
        <w:rPr>
          <w:sz w:val="24"/>
        </w:rPr>
      </w:pPr>
      <w:r>
        <w:rPr>
          <w:sz w:val="24"/>
        </w:rPr>
        <w:t>提高设备安装精度，并在基础设隔振垫。对各种泵必要时加装隔音罩。</w:t>
      </w:r>
    </w:p>
    <w:p>
      <w:pPr>
        <w:pStyle w:val="18"/>
        <w:numPr>
          <w:ilvl w:val="0"/>
          <w:numId w:val="49"/>
        </w:numPr>
        <w:tabs>
          <w:tab w:val="left" w:pos="2500"/>
        </w:tabs>
        <w:spacing w:before="154" w:after="0" w:line="240" w:lineRule="auto"/>
        <w:ind w:left="2499" w:right="0" w:hanging="602"/>
        <w:jc w:val="left"/>
        <w:rPr>
          <w:sz w:val="24"/>
        </w:rPr>
      </w:pPr>
      <w:r>
        <w:rPr>
          <w:sz w:val="24"/>
        </w:rPr>
        <w:t>在落差较大的溜槽加衬防噪衬板。</w:t>
      </w:r>
    </w:p>
    <w:p>
      <w:pPr>
        <w:pStyle w:val="18"/>
        <w:numPr>
          <w:ilvl w:val="0"/>
          <w:numId w:val="49"/>
        </w:numPr>
        <w:tabs>
          <w:tab w:val="left" w:pos="2504"/>
        </w:tabs>
        <w:spacing w:before="161" w:after="0" w:line="362" w:lineRule="auto"/>
        <w:ind w:left="1418" w:right="1418" w:firstLine="480"/>
        <w:jc w:val="left"/>
        <w:rPr>
          <w:sz w:val="24"/>
        </w:rPr>
      </w:pPr>
      <w:r>
        <w:rPr>
          <w:sz w:val="24"/>
        </w:rPr>
        <w:t>风机及泵类设置单独基础或减震措施，强振设备与管道间采取柔性连接，防止振动造成的危害。</w:t>
      </w:r>
    </w:p>
    <w:p>
      <w:pPr>
        <w:pStyle w:val="18"/>
        <w:numPr>
          <w:ilvl w:val="0"/>
          <w:numId w:val="49"/>
        </w:numPr>
        <w:tabs>
          <w:tab w:val="left" w:pos="2504"/>
        </w:tabs>
        <w:spacing w:before="5" w:after="0" w:line="362" w:lineRule="auto"/>
        <w:ind w:left="1418" w:right="1418" w:firstLine="480"/>
        <w:jc w:val="left"/>
        <w:rPr>
          <w:sz w:val="24"/>
        </w:rPr>
      </w:pPr>
      <w:r>
        <w:rPr>
          <w:sz w:val="24"/>
        </w:rPr>
        <w:t>设计将噪声较大的设备置于室内隔声，并采用隔声、吸声材料制作门窗、砌体等，降低噪声的影响，防止噪声的扩散和传播。</w:t>
      </w:r>
    </w:p>
    <w:p>
      <w:pPr>
        <w:pStyle w:val="18"/>
        <w:numPr>
          <w:ilvl w:val="0"/>
          <w:numId w:val="49"/>
        </w:numPr>
        <w:tabs>
          <w:tab w:val="left" w:pos="2504"/>
        </w:tabs>
        <w:spacing w:before="4" w:after="0" w:line="364" w:lineRule="auto"/>
        <w:ind w:left="1418" w:right="1417" w:firstLine="480"/>
        <w:jc w:val="both"/>
        <w:rPr>
          <w:sz w:val="24"/>
        </w:rPr>
      </w:pPr>
      <w:r>
        <w:rPr>
          <w:sz w:val="24"/>
        </w:rPr>
        <w:t>从工业场地总平面布置着手，在总体布置及建设过程时已考虑工业场地内厂</w:t>
      </w:r>
      <w:r>
        <w:rPr>
          <w:spacing w:val="-5"/>
          <w:sz w:val="24"/>
        </w:rPr>
        <w:t>房产生高噪声源的特点，工业场地总平面尽量按功能区布置，将产生高噪声的设施相对</w:t>
      </w:r>
      <w:r>
        <w:rPr>
          <w:spacing w:val="-7"/>
          <w:sz w:val="24"/>
        </w:rPr>
        <w:t>集中布置，布置在远离生活区、办公楼、宿舍等环境要求较高的区域。同时充分利用地</w:t>
      </w:r>
      <w:r>
        <w:rPr>
          <w:sz w:val="24"/>
        </w:rPr>
        <w:t>形地物和增设辅助车间、厂界围墙等对噪声传播起到遮挡作用。</w:t>
      </w:r>
    </w:p>
    <w:p>
      <w:pPr>
        <w:spacing w:after="0" w:line="364" w:lineRule="auto"/>
        <w:jc w:val="both"/>
        <w:rPr>
          <w:sz w:val="24"/>
        </w:rPr>
        <w:sectPr>
          <w:pgSz w:w="11910" w:h="16840"/>
          <w:pgMar w:top="1360" w:right="0" w:bottom="880" w:left="0" w:header="0" w:footer="681" w:gutter="0"/>
        </w:sectPr>
      </w:pPr>
    </w:p>
    <w:p>
      <w:pPr>
        <w:pStyle w:val="18"/>
        <w:numPr>
          <w:ilvl w:val="0"/>
          <w:numId w:val="49"/>
        </w:numPr>
        <w:tabs>
          <w:tab w:val="left" w:pos="2504"/>
        </w:tabs>
        <w:spacing w:before="61" w:after="0" w:line="364" w:lineRule="auto"/>
        <w:ind w:left="1418" w:right="1365" w:firstLine="480"/>
        <w:jc w:val="both"/>
        <w:rPr>
          <w:sz w:val="24"/>
        </w:rPr>
      </w:pPr>
      <w:r>
        <w:rPr>
          <w:sz w:val="24"/>
        </w:rPr>
        <w:t>本工程运煤车辆进出工业场地的交通线路临近环境敏感点，评价要求对运输</w:t>
      </w:r>
      <w:r>
        <w:rPr>
          <w:spacing w:val="-5"/>
          <w:sz w:val="24"/>
        </w:rPr>
        <w:t>道路要经常维护，保证路面完好，并在道路两侧加强绿化，降低车辆通过时的噪声；同</w:t>
      </w:r>
      <w:r>
        <w:rPr>
          <w:spacing w:val="-6"/>
          <w:sz w:val="24"/>
        </w:rPr>
        <w:t>时要求运输车辆经过矿山村时禁止鸣笛、降低车速；车辆进出应尽量安排在白天进行。</w:t>
      </w:r>
    </w:p>
    <w:p>
      <w:pPr>
        <w:pStyle w:val="18"/>
        <w:numPr>
          <w:ilvl w:val="0"/>
          <w:numId w:val="49"/>
        </w:numPr>
        <w:tabs>
          <w:tab w:val="left" w:pos="2500"/>
        </w:tabs>
        <w:spacing w:before="0" w:after="0" w:line="307" w:lineRule="exact"/>
        <w:ind w:left="2499" w:right="0" w:hanging="602"/>
        <w:jc w:val="both"/>
        <w:rPr>
          <w:sz w:val="24"/>
        </w:rPr>
      </w:pPr>
      <w:r>
        <w:rPr>
          <w:spacing w:val="-3"/>
          <w:sz w:val="24"/>
        </w:rPr>
        <w:t xml:space="preserve">推土机要求加强车辆维护和管理，严禁在夜间 </w:t>
      </w:r>
      <w:r>
        <w:rPr>
          <w:rFonts w:ascii="Times New Roman" w:eastAsia="Times New Roman"/>
          <w:sz w:val="24"/>
        </w:rPr>
        <w:t>22</w:t>
      </w:r>
      <w:r>
        <w:rPr>
          <w:sz w:val="24"/>
        </w:rPr>
        <w:t>：</w:t>
      </w:r>
      <w:r>
        <w:rPr>
          <w:rFonts w:ascii="Times New Roman" w:eastAsia="Times New Roman"/>
          <w:sz w:val="24"/>
        </w:rPr>
        <w:t xml:space="preserve">00 </w:t>
      </w:r>
      <w:r>
        <w:rPr>
          <w:sz w:val="24"/>
        </w:rPr>
        <w:t>以后工作。</w:t>
      </w:r>
    </w:p>
    <w:p>
      <w:pPr>
        <w:pStyle w:val="18"/>
        <w:numPr>
          <w:ilvl w:val="0"/>
          <w:numId w:val="49"/>
        </w:numPr>
        <w:tabs>
          <w:tab w:val="left" w:pos="2620"/>
        </w:tabs>
        <w:spacing w:before="158" w:after="0" w:line="364" w:lineRule="auto"/>
        <w:ind w:left="1898" w:right="3285" w:firstLine="0"/>
        <w:jc w:val="left"/>
        <w:rPr>
          <w:sz w:val="24"/>
        </w:rPr>
      </w:pPr>
      <w:r>
        <w:rPr>
          <w:spacing w:val="-1"/>
          <w:sz w:val="24"/>
        </w:rPr>
        <w:t>在厂区周围种植树木，在厂区空地种植绿草，降低噪声。</w:t>
      </w:r>
      <w:r>
        <w:rPr>
          <w:sz w:val="24"/>
        </w:rPr>
        <w:t>本工程</w:t>
      </w:r>
      <w:r>
        <w:rPr>
          <w:rFonts w:ascii="Times New Roman" w:hAnsi="Times New Roman" w:eastAsia="Times New Roman"/>
          <w:sz w:val="24"/>
        </w:rPr>
        <w:t>“</w:t>
      </w:r>
      <w:r>
        <w:rPr>
          <w:sz w:val="24"/>
        </w:rPr>
        <w:t>以新带老</w:t>
      </w:r>
      <w:r>
        <w:rPr>
          <w:rFonts w:ascii="Times New Roman" w:hAnsi="Times New Roman" w:eastAsia="Times New Roman"/>
          <w:sz w:val="24"/>
        </w:rPr>
        <w:t>”</w:t>
      </w:r>
      <w:r>
        <w:rPr>
          <w:sz w:val="24"/>
        </w:rPr>
        <w:t>详见下表。</w:t>
      </w:r>
    </w:p>
    <w:p>
      <w:pPr>
        <w:spacing w:before="118" w:after="4"/>
        <w:ind w:left="4396" w:right="0" w:firstLine="0"/>
        <w:jc w:val="left"/>
        <w:rPr>
          <w:b/>
          <w:sz w:val="21"/>
        </w:rPr>
      </w:pPr>
      <w:r>
        <w:rPr>
          <w:b/>
          <w:spacing w:val="-28"/>
          <w:sz w:val="21"/>
        </w:rPr>
        <w:t xml:space="preserve">表 </w:t>
      </w:r>
      <w:r>
        <w:rPr>
          <w:rFonts w:ascii="Times New Roman" w:hAnsi="Times New Roman" w:eastAsia="Times New Roman"/>
          <w:b/>
          <w:sz w:val="21"/>
        </w:rPr>
        <w:t>2.5-1</w:t>
      </w:r>
      <w:r>
        <w:rPr>
          <w:rFonts w:ascii="Times New Roman" w:hAnsi="Times New Roman" w:eastAsia="Times New Roman"/>
          <w:b/>
          <w:spacing w:val="52"/>
          <w:sz w:val="21"/>
        </w:rPr>
        <w:t xml:space="preserve"> </w:t>
      </w:r>
      <w:r>
        <w:rPr>
          <w:b/>
          <w:sz w:val="21"/>
        </w:rPr>
        <w:t>本工程</w:t>
      </w:r>
      <w:r>
        <w:rPr>
          <w:rFonts w:ascii="Times New Roman" w:hAnsi="Times New Roman" w:eastAsia="Times New Roman"/>
          <w:b/>
          <w:sz w:val="21"/>
        </w:rPr>
        <w:t>“</w:t>
      </w:r>
      <w:r>
        <w:rPr>
          <w:b/>
          <w:sz w:val="21"/>
        </w:rPr>
        <w:t>以新带老</w:t>
      </w:r>
      <w:r>
        <w:rPr>
          <w:rFonts w:ascii="Times New Roman" w:hAnsi="Times New Roman" w:eastAsia="Times New Roman"/>
          <w:b/>
          <w:sz w:val="21"/>
        </w:rPr>
        <w:t>”</w:t>
      </w:r>
      <w:r>
        <w:rPr>
          <w:b/>
          <w:sz w:val="21"/>
        </w:rPr>
        <w:t>一览表</w:t>
      </w:r>
    </w:p>
    <w:tbl>
      <w:tblPr>
        <w:tblStyle w:val="15"/>
        <w:tblW w:w="0" w:type="auto"/>
        <w:tblInd w:w="17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61"/>
        <w:gridCol w:w="1211"/>
        <w:gridCol w:w="2386"/>
        <w:gridCol w:w="38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61" w:type="dxa"/>
            <w:tcBorders>
              <w:bottom w:val="single" w:color="000000" w:sz="4" w:space="0"/>
              <w:right w:val="single" w:color="000000" w:sz="4" w:space="0"/>
            </w:tcBorders>
          </w:tcPr>
          <w:p>
            <w:pPr>
              <w:pStyle w:val="19"/>
              <w:spacing w:line="252" w:lineRule="exact"/>
              <w:ind w:left="72" w:right="62"/>
              <w:rPr>
                <w:sz w:val="21"/>
              </w:rPr>
            </w:pPr>
            <w:r>
              <w:rPr>
                <w:sz w:val="21"/>
              </w:rPr>
              <w:t>环境要素</w:t>
            </w:r>
          </w:p>
        </w:tc>
        <w:tc>
          <w:tcPr>
            <w:tcW w:w="1211" w:type="dxa"/>
            <w:tcBorders>
              <w:left w:val="single" w:color="000000" w:sz="4" w:space="0"/>
              <w:bottom w:val="single" w:color="000000" w:sz="4" w:space="0"/>
              <w:right w:val="single" w:color="000000" w:sz="4" w:space="0"/>
            </w:tcBorders>
          </w:tcPr>
          <w:p>
            <w:pPr>
              <w:pStyle w:val="19"/>
              <w:spacing w:line="252" w:lineRule="exact"/>
              <w:ind w:left="33" w:right="19"/>
              <w:rPr>
                <w:sz w:val="21"/>
              </w:rPr>
            </w:pPr>
            <w:r>
              <w:rPr>
                <w:sz w:val="21"/>
              </w:rPr>
              <w:t>产污环节</w:t>
            </w:r>
          </w:p>
        </w:tc>
        <w:tc>
          <w:tcPr>
            <w:tcW w:w="2386" w:type="dxa"/>
            <w:tcBorders>
              <w:left w:val="single" w:color="000000" w:sz="4" w:space="0"/>
              <w:bottom w:val="single" w:color="000000" w:sz="4" w:space="0"/>
              <w:right w:val="single" w:color="000000" w:sz="4" w:space="0"/>
            </w:tcBorders>
          </w:tcPr>
          <w:p>
            <w:pPr>
              <w:pStyle w:val="19"/>
              <w:spacing w:line="252" w:lineRule="exact"/>
              <w:ind w:left="383" w:right="366"/>
              <w:rPr>
                <w:sz w:val="21"/>
              </w:rPr>
            </w:pPr>
            <w:r>
              <w:rPr>
                <w:sz w:val="21"/>
              </w:rPr>
              <w:t>主要污染物</w:t>
            </w:r>
          </w:p>
        </w:tc>
        <w:tc>
          <w:tcPr>
            <w:tcW w:w="3867" w:type="dxa"/>
            <w:tcBorders>
              <w:left w:val="single" w:color="000000" w:sz="4" w:space="0"/>
              <w:bottom w:val="single" w:color="000000" w:sz="4" w:space="0"/>
            </w:tcBorders>
          </w:tcPr>
          <w:p>
            <w:pPr>
              <w:pStyle w:val="19"/>
              <w:spacing w:line="252" w:lineRule="exact"/>
              <w:ind w:left="127" w:right="109"/>
              <w:rPr>
                <w:sz w:val="21"/>
              </w:rPr>
            </w:pPr>
            <w:r>
              <w:rPr>
                <w:sz w:val="21"/>
              </w:rPr>
              <w:t>以新带老治理措施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1061" w:type="dxa"/>
            <w:vMerge w:val="restart"/>
            <w:tcBorders>
              <w:top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spacing w:before="10"/>
              <w:jc w:val="left"/>
              <w:rPr>
                <w:b/>
                <w:sz w:val="28"/>
              </w:rPr>
            </w:pPr>
          </w:p>
          <w:p>
            <w:pPr>
              <w:pStyle w:val="19"/>
              <w:ind w:left="318"/>
              <w:jc w:val="left"/>
              <w:rPr>
                <w:sz w:val="21"/>
              </w:rPr>
            </w:pPr>
            <w:r>
              <w:rPr>
                <w:sz w:val="21"/>
              </w:rPr>
              <w:t>大气</w:t>
            </w:r>
          </w:p>
        </w:tc>
        <w:tc>
          <w:tcPr>
            <w:tcW w:w="1211" w:type="dxa"/>
            <w:tcBorders>
              <w:top w:val="single" w:color="000000" w:sz="4" w:space="0"/>
              <w:left w:val="single" w:color="000000" w:sz="4" w:space="0"/>
              <w:bottom w:val="single" w:color="000000" w:sz="4" w:space="0"/>
              <w:right w:val="single" w:color="000000" w:sz="4" w:space="0"/>
            </w:tcBorders>
          </w:tcPr>
          <w:p>
            <w:pPr>
              <w:pStyle w:val="19"/>
              <w:spacing w:before="1"/>
              <w:ind w:left="91" w:right="19"/>
              <w:rPr>
                <w:sz w:val="21"/>
              </w:rPr>
            </w:pPr>
            <w:r>
              <w:rPr>
                <w:sz w:val="21"/>
              </w:rPr>
              <w:t>暖风炉房、</w:t>
            </w:r>
          </w:p>
          <w:p>
            <w:pPr>
              <w:pStyle w:val="19"/>
              <w:spacing w:before="2" w:line="253" w:lineRule="exact"/>
              <w:ind w:left="35" w:right="19"/>
              <w:rPr>
                <w:sz w:val="21"/>
              </w:rPr>
            </w:pPr>
            <w:r>
              <w:rPr>
                <w:sz w:val="21"/>
              </w:rPr>
              <w:t>锅炉房</w:t>
            </w:r>
          </w:p>
        </w:tc>
        <w:tc>
          <w:tcPr>
            <w:tcW w:w="2386" w:type="dxa"/>
            <w:tcBorders>
              <w:top w:val="single" w:color="000000" w:sz="4" w:space="0"/>
              <w:left w:val="single" w:color="000000" w:sz="4" w:space="0"/>
              <w:bottom w:val="single" w:color="000000" w:sz="4" w:space="0"/>
              <w:right w:val="single" w:color="000000" w:sz="4" w:space="0"/>
            </w:tcBorders>
          </w:tcPr>
          <w:p>
            <w:pPr>
              <w:pStyle w:val="19"/>
              <w:spacing w:before="132"/>
              <w:ind w:left="384" w:right="366"/>
              <w:rPr>
                <w:rFonts w:ascii="Times New Roman" w:eastAsia="Times New Roman"/>
                <w:sz w:val="21"/>
              </w:rPr>
            </w:pPr>
            <w:r>
              <w:rPr>
                <w:position w:val="2"/>
                <w:sz w:val="21"/>
              </w:rPr>
              <w:t>烟尘、</w:t>
            </w:r>
            <w:r>
              <w:rPr>
                <w:rFonts w:ascii="Times New Roman" w:eastAsia="Times New Roman"/>
                <w:position w:val="2"/>
                <w:sz w:val="21"/>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NOx</w:t>
            </w:r>
          </w:p>
        </w:tc>
        <w:tc>
          <w:tcPr>
            <w:tcW w:w="3867" w:type="dxa"/>
            <w:tcBorders>
              <w:top w:val="single" w:color="000000" w:sz="4" w:space="0"/>
              <w:left w:val="single" w:color="000000" w:sz="4" w:space="0"/>
              <w:bottom w:val="single" w:color="000000" w:sz="4" w:space="0"/>
            </w:tcBorders>
          </w:tcPr>
          <w:p>
            <w:pPr>
              <w:pStyle w:val="19"/>
              <w:spacing w:before="135"/>
              <w:ind w:left="127" w:right="109"/>
              <w:rPr>
                <w:sz w:val="21"/>
              </w:rPr>
            </w:pPr>
            <w:r>
              <w:rPr>
                <w:sz w:val="21"/>
              </w:rPr>
              <w:t>燃用生物质成型燃料并配布袋除尘器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1061" w:type="dxa"/>
            <w:vMerge w:val="continue"/>
            <w:tcBorders>
              <w:top w:val="nil"/>
              <w:bottom w:val="single" w:color="000000" w:sz="4" w:space="0"/>
              <w:right w:val="single" w:color="000000" w:sz="4" w:space="0"/>
            </w:tcBorders>
          </w:tcPr>
          <w:p>
            <w:pP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pStyle w:val="19"/>
              <w:ind w:left="35" w:right="19"/>
              <w:rPr>
                <w:sz w:val="21"/>
              </w:rPr>
            </w:pPr>
            <w:r>
              <w:rPr>
                <w:sz w:val="21"/>
              </w:rPr>
              <w:t>煤场、矸石</w:t>
            </w:r>
          </w:p>
          <w:p>
            <w:pPr>
              <w:pStyle w:val="19"/>
              <w:spacing w:before="2" w:line="252" w:lineRule="exact"/>
              <w:ind w:left="35" w:right="19"/>
              <w:rPr>
                <w:sz w:val="21"/>
              </w:rPr>
            </w:pPr>
            <w:r>
              <w:rPr>
                <w:sz w:val="21"/>
              </w:rPr>
              <w:t>暂存场</w:t>
            </w:r>
          </w:p>
        </w:tc>
        <w:tc>
          <w:tcPr>
            <w:tcW w:w="2386"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162"/>
              <w:ind w:left="380" w:right="366"/>
              <w:rPr>
                <w:sz w:val="21"/>
              </w:rPr>
            </w:pPr>
            <w:r>
              <w:rPr>
                <w:sz w:val="21"/>
              </w:rPr>
              <w:t>粉尘</w:t>
            </w:r>
          </w:p>
        </w:tc>
        <w:tc>
          <w:tcPr>
            <w:tcW w:w="3867" w:type="dxa"/>
            <w:tcBorders>
              <w:top w:val="single" w:color="000000" w:sz="4" w:space="0"/>
              <w:left w:val="single" w:color="000000" w:sz="4" w:space="0"/>
              <w:bottom w:val="single" w:color="000000" w:sz="4" w:space="0"/>
            </w:tcBorders>
          </w:tcPr>
          <w:p>
            <w:pPr>
              <w:pStyle w:val="19"/>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1061" w:type="dxa"/>
            <w:vMerge w:val="continue"/>
            <w:tcBorders>
              <w:top w:val="nil"/>
              <w:bottom w:val="single" w:color="000000" w:sz="4" w:space="0"/>
              <w:right w:val="single" w:color="000000" w:sz="4" w:space="0"/>
            </w:tcBorders>
          </w:tcPr>
          <w:p>
            <w:pP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pStyle w:val="19"/>
              <w:spacing w:before="1" w:line="252" w:lineRule="exact"/>
              <w:ind w:left="33" w:right="19"/>
              <w:rPr>
                <w:sz w:val="21"/>
              </w:rPr>
            </w:pPr>
            <w:r>
              <w:rPr>
                <w:sz w:val="21"/>
              </w:rPr>
              <w:t>筛分车间</w:t>
            </w:r>
          </w:p>
        </w:tc>
        <w:tc>
          <w:tcPr>
            <w:tcW w:w="2386" w:type="dxa"/>
            <w:vMerge w:val="continue"/>
            <w:tcBorders>
              <w:top w:val="nil"/>
              <w:left w:val="single" w:color="000000" w:sz="4" w:space="0"/>
              <w:bottom w:val="single" w:color="000000" w:sz="4" w:space="0"/>
              <w:right w:val="single" w:color="000000" w:sz="4" w:space="0"/>
            </w:tcBorders>
          </w:tcPr>
          <w:p>
            <w:pPr>
              <w:rPr>
                <w:sz w:val="2"/>
                <w:szCs w:val="2"/>
              </w:rPr>
            </w:pPr>
          </w:p>
        </w:tc>
        <w:tc>
          <w:tcPr>
            <w:tcW w:w="3867" w:type="dxa"/>
            <w:tcBorders>
              <w:top w:val="single" w:color="000000" w:sz="4" w:space="0"/>
              <w:left w:val="single" w:color="000000" w:sz="4" w:space="0"/>
              <w:bottom w:val="single" w:color="000000" w:sz="4" w:space="0"/>
            </w:tcBorders>
          </w:tcPr>
          <w:p>
            <w:pPr>
              <w:pStyle w:val="19"/>
              <w:spacing w:before="1" w:line="252" w:lineRule="exact"/>
              <w:ind w:left="132" w:right="109"/>
              <w:rPr>
                <w:sz w:val="21"/>
              </w:rPr>
            </w:pPr>
            <w:r>
              <w:rPr>
                <w:sz w:val="21"/>
              </w:rPr>
              <w:t>布袋除尘器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1061" w:type="dxa"/>
            <w:vMerge w:val="continue"/>
            <w:tcBorders>
              <w:top w:val="nil"/>
              <w:bottom w:val="single" w:color="000000" w:sz="4" w:space="0"/>
              <w:right w:val="single" w:color="000000" w:sz="4" w:space="0"/>
            </w:tcBorders>
          </w:tcPr>
          <w:p>
            <w:pP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pStyle w:val="19"/>
              <w:spacing w:before="1" w:line="251" w:lineRule="exact"/>
              <w:ind w:left="33" w:right="19"/>
              <w:rPr>
                <w:sz w:val="21"/>
              </w:rPr>
            </w:pPr>
            <w:r>
              <w:rPr>
                <w:sz w:val="21"/>
              </w:rPr>
              <w:t>运输道路</w:t>
            </w:r>
          </w:p>
        </w:tc>
        <w:tc>
          <w:tcPr>
            <w:tcW w:w="2386" w:type="dxa"/>
            <w:vMerge w:val="continue"/>
            <w:tcBorders>
              <w:top w:val="nil"/>
              <w:left w:val="single" w:color="000000" w:sz="4" w:space="0"/>
              <w:bottom w:val="single" w:color="000000" w:sz="4" w:space="0"/>
              <w:right w:val="single" w:color="000000" w:sz="4" w:space="0"/>
            </w:tcBorders>
          </w:tcPr>
          <w:p>
            <w:pPr>
              <w:rPr>
                <w:sz w:val="2"/>
                <w:szCs w:val="2"/>
              </w:rPr>
            </w:pPr>
          </w:p>
        </w:tc>
        <w:tc>
          <w:tcPr>
            <w:tcW w:w="3867" w:type="dxa"/>
            <w:tcBorders>
              <w:top w:val="single" w:color="000000" w:sz="4" w:space="0"/>
              <w:left w:val="single" w:color="000000" w:sz="4" w:space="0"/>
              <w:bottom w:val="single" w:color="000000" w:sz="4" w:space="0"/>
            </w:tcBorders>
          </w:tcPr>
          <w:p>
            <w:pPr>
              <w:pStyle w:val="19"/>
              <w:spacing w:before="1" w:line="251" w:lineRule="exact"/>
              <w:ind w:left="132" w:right="109"/>
              <w:rPr>
                <w:sz w:val="21"/>
              </w:rPr>
            </w:pPr>
            <w:r>
              <w:rPr>
                <w:sz w:val="21"/>
              </w:rPr>
              <w:t>定期清扫和洒水降尘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2" w:hRule="atLeast"/>
        </w:trPr>
        <w:tc>
          <w:tcPr>
            <w:tcW w:w="1061" w:type="dxa"/>
            <w:vMerge w:val="continue"/>
            <w:tcBorders>
              <w:top w:val="nil"/>
              <w:bottom w:val="single" w:color="000000" w:sz="4" w:space="0"/>
              <w:right w:val="single" w:color="000000" w:sz="4" w:space="0"/>
            </w:tcBorders>
          </w:tcPr>
          <w:p>
            <w:pP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pStyle w:val="19"/>
              <w:spacing w:before="45"/>
              <w:ind w:left="35" w:right="19"/>
              <w:rPr>
                <w:sz w:val="21"/>
              </w:rPr>
            </w:pPr>
            <w:r>
              <w:rPr>
                <w:sz w:val="21"/>
              </w:rPr>
              <w:t>食堂</w:t>
            </w:r>
          </w:p>
        </w:tc>
        <w:tc>
          <w:tcPr>
            <w:tcW w:w="2386" w:type="dxa"/>
            <w:tcBorders>
              <w:top w:val="single" w:color="000000" w:sz="4" w:space="0"/>
              <w:left w:val="single" w:color="000000" w:sz="4" w:space="0"/>
              <w:bottom w:val="single" w:color="000000" w:sz="4" w:space="0"/>
              <w:right w:val="single" w:color="000000" w:sz="4" w:space="0"/>
            </w:tcBorders>
          </w:tcPr>
          <w:p>
            <w:pPr>
              <w:pStyle w:val="19"/>
              <w:spacing w:before="45"/>
              <w:ind w:left="380" w:right="366"/>
              <w:rPr>
                <w:sz w:val="21"/>
              </w:rPr>
            </w:pPr>
            <w:r>
              <w:rPr>
                <w:sz w:val="21"/>
              </w:rPr>
              <w:t>油烟</w:t>
            </w:r>
          </w:p>
        </w:tc>
        <w:tc>
          <w:tcPr>
            <w:tcW w:w="3867" w:type="dxa"/>
            <w:tcBorders>
              <w:top w:val="single" w:color="000000" w:sz="4" w:space="0"/>
              <w:left w:val="single" w:color="000000" w:sz="4" w:space="0"/>
              <w:bottom w:val="single" w:color="000000" w:sz="4" w:space="0"/>
            </w:tcBorders>
          </w:tcPr>
          <w:p>
            <w:pPr>
              <w:pStyle w:val="19"/>
              <w:spacing w:before="45"/>
              <w:ind w:left="130" w:right="109"/>
              <w:rPr>
                <w:sz w:val="21"/>
              </w:rPr>
            </w:pPr>
            <w:r>
              <w:rPr>
                <w:sz w:val="21"/>
              </w:rPr>
              <w:t>安装油烟净化器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1" w:hRule="atLeast"/>
        </w:trPr>
        <w:tc>
          <w:tcPr>
            <w:tcW w:w="1061" w:type="dxa"/>
            <w:vMerge w:val="restart"/>
            <w:tcBorders>
              <w:top w:val="single" w:color="000000" w:sz="4" w:space="0"/>
              <w:bottom w:val="single" w:color="000000" w:sz="4" w:space="0"/>
              <w:right w:val="single" w:color="000000" w:sz="4" w:space="0"/>
            </w:tcBorders>
          </w:tcPr>
          <w:p>
            <w:pPr>
              <w:pStyle w:val="19"/>
              <w:jc w:val="left"/>
              <w:rPr>
                <w:b/>
                <w:sz w:val="29"/>
              </w:rPr>
            </w:pPr>
          </w:p>
          <w:p>
            <w:pPr>
              <w:pStyle w:val="19"/>
              <w:ind w:left="215"/>
              <w:jc w:val="left"/>
              <w:rPr>
                <w:sz w:val="21"/>
              </w:rPr>
            </w:pPr>
            <w:r>
              <w:rPr>
                <w:sz w:val="21"/>
              </w:rPr>
              <w:t>地表水</w:t>
            </w:r>
          </w:p>
        </w:tc>
        <w:tc>
          <w:tcPr>
            <w:tcW w:w="1211" w:type="dxa"/>
            <w:tcBorders>
              <w:top w:val="single" w:color="000000" w:sz="4" w:space="0"/>
              <w:left w:val="single" w:color="000000" w:sz="4" w:space="0"/>
              <w:bottom w:val="single" w:color="000000" w:sz="4" w:space="0"/>
              <w:right w:val="single" w:color="000000" w:sz="4" w:space="0"/>
            </w:tcBorders>
          </w:tcPr>
          <w:p>
            <w:pPr>
              <w:pStyle w:val="19"/>
              <w:spacing w:before="91"/>
              <w:ind w:left="33" w:right="19"/>
              <w:rPr>
                <w:sz w:val="21"/>
              </w:rPr>
            </w:pPr>
            <w:r>
              <w:rPr>
                <w:sz w:val="21"/>
              </w:rPr>
              <w:t>采煤废水</w:t>
            </w:r>
          </w:p>
        </w:tc>
        <w:tc>
          <w:tcPr>
            <w:tcW w:w="2386" w:type="dxa"/>
            <w:tcBorders>
              <w:top w:val="single" w:color="000000" w:sz="4" w:space="0"/>
              <w:left w:val="single" w:color="000000" w:sz="4" w:space="0"/>
              <w:bottom w:val="single" w:color="000000" w:sz="4" w:space="0"/>
              <w:right w:val="single" w:color="000000" w:sz="4" w:space="0"/>
            </w:tcBorders>
          </w:tcPr>
          <w:p>
            <w:pPr>
              <w:pStyle w:val="19"/>
              <w:spacing w:before="91"/>
              <w:ind w:left="384" w:right="366"/>
              <w:rPr>
                <w:rFonts w:ascii="Times New Roman" w:eastAsia="Times New Roman"/>
                <w:sz w:val="21"/>
              </w:rPr>
            </w:pPr>
            <w:r>
              <w:rPr>
                <w:sz w:val="21"/>
              </w:rPr>
              <w:t>氨氮、</w:t>
            </w:r>
            <w:r>
              <w:rPr>
                <w:rFonts w:ascii="Times New Roman" w:eastAsia="Times New Roman"/>
                <w:sz w:val="21"/>
              </w:rPr>
              <w:t>COD</w:t>
            </w:r>
            <w:r>
              <w:rPr>
                <w:sz w:val="21"/>
              </w:rPr>
              <w:t>、</w:t>
            </w:r>
            <w:r>
              <w:rPr>
                <w:rFonts w:ascii="Times New Roman" w:eastAsia="Times New Roman"/>
                <w:sz w:val="21"/>
              </w:rPr>
              <w:t>SS</w:t>
            </w:r>
          </w:p>
        </w:tc>
        <w:tc>
          <w:tcPr>
            <w:tcW w:w="3867" w:type="dxa"/>
            <w:tcBorders>
              <w:top w:val="single" w:color="000000" w:sz="4" w:space="0"/>
              <w:left w:val="single" w:color="000000" w:sz="4" w:space="0"/>
              <w:bottom w:val="single" w:color="000000" w:sz="4" w:space="0"/>
            </w:tcBorders>
          </w:tcPr>
          <w:p>
            <w:pPr>
              <w:pStyle w:val="19"/>
              <w:spacing w:before="91"/>
              <w:ind w:left="132" w:right="109"/>
              <w:rPr>
                <w:sz w:val="21"/>
              </w:rPr>
            </w:pPr>
            <w:r>
              <w:rPr>
                <w:sz w:val="21"/>
              </w:rPr>
              <w:t xml:space="preserve">建设 </w:t>
            </w:r>
            <w:r>
              <w:rPr>
                <w:rFonts w:ascii="Times New Roman" w:eastAsia="Times New Roman"/>
                <w:sz w:val="21"/>
              </w:rPr>
              <w:t>1600m</w:t>
            </w:r>
            <w:r>
              <w:rPr>
                <w:rFonts w:ascii="Times New Roman" w:eastAsia="Times New Roman"/>
                <w:position w:val="7"/>
                <w:sz w:val="13"/>
              </w:rPr>
              <w:t>3</w:t>
            </w:r>
            <w:r>
              <w:rPr>
                <w:rFonts w:ascii="Times New Roman" w:eastAsia="Times New Roman"/>
                <w:sz w:val="21"/>
              </w:rPr>
              <w:t xml:space="preserve">/d </w:t>
            </w:r>
            <w:r>
              <w:rPr>
                <w:sz w:val="21"/>
              </w:rPr>
              <w:t>的采煤废水处理站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61" w:type="dxa"/>
            <w:vMerge w:val="continue"/>
            <w:tcBorders>
              <w:top w:val="nil"/>
              <w:bottom w:val="single" w:color="000000" w:sz="4" w:space="0"/>
              <w:right w:val="single" w:color="000000" w:sz="4" w:space="0"/>
            </w:tcBorders>
          </w:tcPr>
          <w:p>
            <w:pP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pStyle w:val="19"/>
              <w:spacing w:before="1" w:line="251" w:lineRule="exact"/>
              <w:ind w:left="33" w:right="19"/>
              <w:rPr>
                <w:sz w:val="21"/>
              </w:rPr>
            </w:pPr>
            <w:r>
              <w:rPr>
                <w:sz w:val="21"/>
              </w:rPr>
              <w:t>生活污水</w:t>
            </w:r>
          </w:p>
        </w:tc>
        <w:tc>
          <w:tcPr>
            <w:tcW w:w="2386" w:type="dxa"/>
            <w:vMerge w:val="restart"/>
            <w:tcBorders>
              <w:top w:val="single" w:color="000000" w:sz="4" w:space="0"/>
              <w:left w:val="single" w:color="000000" w:sz="4" w:space="0"/>
              <w:bottom w:val="single" w:color="000000" w:sz="4" w:space="0"/>
              <w:right w:val="single" w:color="000000" w:sz="4" w:space="0"/>
            </w:tcBorders>
          </w:tcPr>
          <w:p>
            <w:pPr>
              <w:pStyle w:val="19"/>
              <w:spacing w:before="29" w:line="254" w:lineRule="exact"/>
              <w:ind w:left="1092" w:right="17" w:hanging="977"/>
              <w:jc w:val="left"/>
              <w:rPr>
                <w:sz w:val="21"/>
              </w:rPr>
            </w:pPr>
            <w:r>
              <w:rPr>
                <w:rFonts w:ascii="Times New Roman" w:eastAsia="Times New Roman"/>
                <w:position w:val="2"/>
                <w:sz w:val="21"/>
              </w:rPr>
              <w:t>SS</w:t>
            </w:r>
            <w:r>
              <w:rPr>
                <w:position w:val="2"/>
                <w:sz w:val="21"/>
              </w:rPr>
              <w:t>、</w:t>
            </w:r>
            <w:r>
              <w:rPr>
                <w:rFonts w:ascii="Times New Roman" w:eastAsia="Times New Roman"/>
                <w:position w:val="2"/>
                <w:sz w:val="21"/>
              </w:rPr>
              <w:t>COD</w:t>
            </w:r>
            <w:r>
              <w:rPr>
                <w:position w:val="2"/>
                <w:sz w:val="21"/>
              </w:rPr>
              <w:t>、</w:t>
            </w: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、氨氮</w:t>
            </w:r>
            <w:r>
              <w:rPr>
                <w:sz w:val="21"/>
                <w:vertAlign w:val="baseline"/>
              </w:rPr>
              <w:t>等</w:t>
            </w:r>
          </w:p>
        </w:tc>
        <w:tc>
          <w:tcPr>
            <w:tcW w:w="3867" w:type="dxa"/>
            <w:tcBorders>
              <w:top w:val="single" w:color="000000" w:sz="4" w:space="0"/>
              <w:left w:val="single" w:color="000000" w:sz="4" w:space="0"/>
              <w:bottom w:val="single" w:color="000000" w:sz="4" w:space="0"/>
            </w:tcBorders>
          </w:tcPr>
          <w:p>
            <w:pPr>
              <w:pStyle w:val="19"/>
              <w:spacing w:before="1" w:line="251" w:lineRule="exact"/>
              <w:ind w:left="132" w:right="109"/>
              <w:rPr>
                <w:sz w:val="21"/>
              </w:rPr>
            </w:pPr>
            <w:r>
              <w:rPr>
                <w:sz w:val="21"/>
              </w:rPr>
              <w:t xml:space="preserve">建设 </w:t>
            </w:r>
            <w:r>
              <w:rPr>
                <w:rFonts w:ascii="Times New Roman" w:eastAsia="Times New Roman"/>
                <w:sz w:val="21"/>
              </w:rPr>
              <w:t>200m</w:t>
            </w:r>
            <w:r>
              <w:rPr>
                <w:rFonts w:ascii="Times New Roman" w:eastAsia="Times New Roman"/>
                <w:position w:val="7"/>
                <w:sz w:val="13"/>
              </w:rPr>
              <w:t>3</w:t>
            </w:r>
            <w:r>
              <w:rPr>
                <w:rFonts w:ascii="Times New Roman" w:eastAsia="Times New Roman"/>
                <w:sz w:val="21"/>
              </w:rPr>
              <w:t xml:space="preserve">/d </w:t>
            </w:r>
            <w:r>
              <w:rPr>
                <w:sz w:val="21"/>
              </w:rPr>
              <w:t>的生活污水处理设施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61" w:type="dxa"/>
            <w:vMerge w:val="continue"/>
            <w:tcBorders>
              <w:top w:val="nil"/>
              <w:bottom w:val="single" w:color="000000" w:sz="4" w:space="0"/>
              <w:right w:val="single" w:color="000000" w:sz="4" w:space="0"/>
            </w:tcBorders>
          </w:tcPr>
          <w:p>
            <w:pP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pStyle w:val="19"/>
              <w:spacing w:line="253" w:lineRule="exact"/>
              <w:ind w:left="33" w:right="19"/>
              <w:rPr>
                <w:sz w:val="21"/>
              </w:rPr>
            </w:pPr>
            <w:r>
              <w:rPr>
                <w:sz w:val="21"/>
              </w:rPr>
              <w:t>初期雨水</w:t>
            </w:r>
          </w:p>
        </w:tc>
        <w:tc>
          <w:tcPr>
            <w:tcW w:w="2386" w:type="dxa"/>
            <w:vMerge w:val="continue"/>
            <w:tcBorders>
              <w:top w:val="nil"/>
              <w:left w:val="single" w:color="000000" w:sz="4" w:space="0"/>
              <w:bottom w:val="single" w:color="000000" w:sz="4" w:space="0"/>
              <w:right w:val="single" w:color="000000" w:sz="4" w:space="0"/>
            </w:tcBorders>
          </w:tcPr>
          <w:p>
            <w:pPr>
              <w:rPr>
                <w:sz w:val="2"/>
                <w:szCs w:val="2"/>
              </w:rPr>
            </w:pPr>
          </w:p>
        </w:tc>
        <w:tc>
          <w:tcPr>
            <w:tcW w:w="3867" w:type="dxa"/>
            <w:tcBorders>
              <w:top w:val="single" w:color="000000" w:sz="4" w:space="0"/>
              <w:left w:val="single" w:color="000000" w:sz="4" w:space="0"/>
              <w:bottom w:val="single" w:color="000000" w:sz="4" w:space="0"/>
            </w:tcBorders>
          </w:tcPr>
          <w:p>
            <w:pPr>
              <w:pStyle w:val="19"/>
              <w:spacing w:line="253" w:lineRule="exact"/>
              <w:ind w:left="130" w:right="109"/>
              <w:rPr>
                <w:sz w:val="21"/>
              </w:rPr>
            </w:pPr>
            <w:r>
              <w:rPr>
                <w:sz w:val="21"/>
              </w:rPr>
              <w:t>初期雨水收集池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1061" w:type="dxa"/>
            <w:tcBorders>
              <w:top w:val="single" w:color="000000" w:sz="4" w:space="0"/>
              <w:right w:val="single" w:color="000000" w:sz="4" w:space="0"/>
            </w:tcBorders>
          </w:tcPr>
          <w:p>
            <w:pPr>
              <w:pStyle w:val="19"/>
              <w:spacing w:before="134"/>
              <w:ind w:left="70" w:right="62"/>
              <w:rPr>
                <w:sz w:val="21"/>
              </w:rPr>
            </w:pPr>
            <w:r>
              <w:rPr>
                <w:sz w:val="21"/>
              </w:rPr>
              <w:t>噪声</w:t>
            </w:r>
          </w:p>
        </w:tc>
        <w:tc>
          <w:tcPr>
            <w:tcW w:w="1211" w:type="dxa"/>
            <w:tcBorders>
              <w:top w:val="single" w:color="000000" w:sz="4" w:space="0"/>
              <w:left w:val="single" w:color="000000" w:sz="4" w:space="0"/>
              <w:right w:val="single" w:color="000000" w:sz="4" w:space="0"/>
            </w:tcBorders>
          </w:tcPr>
          <w:p>
            <w:pPr>
              <w:pStyle w:val="19"/>
              <w:spacing w:before="134"/>
              <w:ind w:left="33" w:right="19"/>
              <w:rPr>
                <w:sz w:val="21"/>
              </w:rPr>
            </w:pPr>
            <w:r>
              <w:rPr>
                <w:sz w:val="21"/>
              </w:rPr>
              <w:t>生产设备</w:t>
            </w:r>
          </w:p>
        </w:tc>
        <w:tc>
          <w:tcPr>
            <w:tcW w:w="2386" w:type="dxa"/>
            <w:tcBorders>
              <w:top w:val="single" w:color="000000" w:sz="4" w:space="0"/>
              <w:left w:val="single" w:color="000000" w:sz="4" w:space="0"/>
              <w:right w:val="single" w:color="000000" w:sz="4" w:space="0"/>
            </w:tcBorders>
          </w:tcPr>
          <w:p>
            <w:pPr>
              <w:pStyle w:val="19"/>
              <w:spacing w:before="134"/>
              <w:ind w:left="383" w:right="366"/>
              <w:rPr>
                <w:sz w:val="21"/>
              </w:rPr>
            </w:pPr>
            <w:r>
              <w:rPr>
                <w:sz w:val="21"/>
              </w:rPr>
              <w:t xml:space="preserve">等效连续 </w:t>
            </w:r>
            <w:r>
              <w:rPr>
                <w:rFonts w:ascii="Times New Roman" w:eastAsia="Times New Roman"/>
                <w:sz w:val="21"/>
              </w:rPr>
              <w:t xml:space="preserve">A </w:t>
            </w:r>
            <w:r>
              <w:rPr>
                <w:sz w:val="21"/>
              </w:rPr>
              <w:t>声级</w:t>
            </w:r>
          </w:p>
        </w:tc>
        <w:tc>
          <w:tcPr>
            <w:tcW w:w="3867" w:type="dxa"/>
            <w:tcBorders>
              <w:top w:val="single" w:color="000000" w:sz="4" w:space="0"/>
              <w:left w:val="single" w:color="000000" w:sz="4" w:space="0"/>
            </w:tcBorders>
          </w:tcPr>
          <w:p>
            <w:pPr>
              <w:pStyle w:val="19"/>
              <w:ind w:left="132" w:right="109"/>
              <w:rPr>
                <w:sz w:val="21"/>
              </w:rPr>
            </w:pPr>
            <w:r>
              <w:rPr>
                <w:sz w:val="21"/>
              </w:rPr>
              <w:t>通风机、压风机等均配置隔声罩、消声</w:t>
            </w:r>
          </w:p>
          <w:p>
            <w:pPr>
              <w:pStyle w:val="19"/>
              <w:spacing w:before="2" w:line="252" w:lineRule="exact"/>
              <w:ind w:left="130" w:right="109"/>
              <w:rPr>
                <w:sz w:val="21"/>
              </w:rPr>
            </w:pPr>
            <w:r>
              <w:rPr>
                <w:sz w:val="21"/>
              </w:rPr>
              <w:t>器等消声装置</w:t>
            </w:r>
          </w:p>
        </w:tc>
      </w:tr>
    </w:tbl>
    <w:p>
      <w:pPr>
        <w:pStyle w:val="5"/>
        <w:numPr>
          <w:ilvl w:val="1"/>
          <w:numId w:val="47"/>
        </w:numPr>
        <w:tabs>
          <w:tab w:val="left" w:pos="2348"/>
        </w:tabs>
        <w:spacing w:before="4" w:after="0" w:line="240" w:lineRule="auto"/>
        <w:ind w:left="2347" w:right="0" w:hanging="450"/>
        <w:jc w:val="left"/>
      </w:pPr>
      <w:r>
        <w:t>总量</w:t>
      </w:r>
    </w:p>
    <w:p>
      <w:pPr>
        <w:pStyle w:val="6"/>
        <w:numPr>
          <w:ilvl w:val="2"/>
          <w:numId w:val="50"/>
        </w:numPr>
        <w:tabs>
          <w:tab w:val="left" w:pos="2528"/>
        </w:tabs>
        <w:spacing w:before="197" w:after="0" w:line="240" w:lineRule="auto"/>
        <w:ind w:left="2527" w:right="0" w:hanging="630"/>
        <w:jc w:val="left"/>
      </w:pPr>
      <w:r>
        <w:t>改扩建工程总量变化情况</w:t>
      </w:r>
    </w:p>
    <w:p>
      <w:pPr>
        <w:pStyle w:val="9"/>
        <w:spacing w:before="186"/>
        <w:ind w:left="1898"/>
      </w:pPr>
      <w:r>
        <w:t>改扩建前后污染物排放总量变化情况见下表。</w:t>
      </w:r>
    </w:p>
    <w:p>
      <w:pPr>
        <w:spacing w:before="159"/>
        <w:ind w:left="10" w:right="0" w:firstLine="0"/>
        <w:jc w:val="center"/>
        <w:rPr>
          <w:b/>
          <w:sz w:val="21"/>
        </w:rPr>
      </w:pPr>
      <w:r>
        <w:rPr>
          <w:b/>
          <w:spacing w:val="-26"/>
          <w:sz w:val="21"/>
        </w:rPr>
        <w:t xml:space="preserve">表 </w:t>
      </w:r>
      <w:r>
        <w:rPr>
          <w:rFonts w:ascii="Times New Roman" w:eastAsia="Times New Roman"/>
          <w:b/>
          <w:sz w:val="21"/>
        </w:rPr>
        <w:t>2.6-1</w:t>
      </w:r>
      <w:r>
        <w:rPr>
          <w:rFonts w:ascii="Times New Roman" w:eastAsia="Times New Roman"/>
          <w:b/>
          <w:spacing w:val="52"/>
          <w:sz w:val="21"/>
        </w:rPr>
        <w:t xml:space="preserve"> </w:t>
      </w:r>
      <w:r>
        <w:rPr>
          <w:b/>
          <w:sz w:val="21"/>
        </w:rPr>
        <w:t>本工程建设前后总量变化情况</w:t>
      </w:r>
    </w:p>
    <w:p>
      <w:pPr>
        <w:pStyle w:val="9"/>
        <w:spacing w:before="10" w:after="1"/>
        <w:rPr>
          <w:b/>
          <w:sz w:val="10"/>
        </w:rPr>
      </w:pPr>
    </w:p>
    <w:tbl>
      <w:tblPr>
        <w:tblStyle w:val="15"/>
        <w:tblW w:w="0" w:type="auto"/>
        <w:tblInd w:w="14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6"/>
        <w:gridCol w:w="2159"/>
        <w:gridCol w:w="1665"/>
        <w:gridCol w:w="1940"/>
        <w:gridCol w:w="2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3085" w:type="dxa"/>
            <w:gridSpan w:val="2"/>
          </w:tcPr>
          <w:p>
            <w:pPr>
              <w:pStyle w:val="19"/>
              <w:spacing w:before="163"/>
              <w:ind w:left="1309" w:right="1305"/>
              <w:rPr>
                <w:sz w:val="21"/>
              </w:rPr>
            </w:pPr>
            <w:r>
              <w:rPr>
                <w:sz w:val="21"/>
              </w:rPr>
              <w:t>项目</w:t>
            </w:r>
          </w:p>
        </w:tc>
        <w:tc>
          <w:tcPr>
            <w:tcW w:w="1665" w:type="dxa"/>
          </w:tcPr>
          <w:p>
            <w:pPr>
              <w:pStyle w:val="19"/>
              <w:spacing w:before="163"/>
              <w:ind w:left="388" w:right="387"/>
              <w:rPr>
                <w:sz w:val="21"/>
              </w:rPr>
            </w:pPr>
            <w:r>
              <w:rPr>
                <w:sz w:val="21"/>
              </w:rPr>
              <w:t>改扩建前</w:t>
            </w:r>
          </w:p>
        </w:tc>
        <w:tc>
          <w:tcPr>
            <w:tcW w:w="1940" w:type="dxa"/>
          </w:tcPr>
          <w:p>
            <w:pPr>
              <w:pStyle w:val="19"/>
              <w:spacing w:before="2"/>
              <w:ind w:left="420" w:right="419"/>
              <w:rPr>
                <w:sz w:val="21"/>
              </w:rPr>
            </w:pPr>
            <w:r>
              <w:rPr>
                <w:sz w:val="21"/>
              </w:rPr>
              <w:t>改扩建后</w:t>
            </w:r>
          </w:p>
          <w:p>
            <w:pPr>
              <w:pStyle w:val="19"/>
              <w:spacing w:before="55"/>
              <w:ind w:left="420" w:right="419"/>
              <w:rPr>
                <w:sz w:val="21"/>
              </w:rPr>
            </w:pPr>
            <w:r>
              <w:rPr>
                <w:sz w:val="21"/>
              </w:rPr>
              <w:t>预测排放量</w:t>
            </w:r>
          </w:p>
        </w:tc>
        <w:tc>
          <w:tcPr>
            <w:tcW w:w="2402" w:type="dxa"/>
          </w:tcPr>
          <w:p>
            <w:pPr>
              <w:pStyle w:val="19"/>
              <w:spacing w:before="163"/>
              <w:ind w:left="655" w:right="647"/>
              <w:rPr>
                <w:sz w:val="21"/>
              </w:rPr>
            </w:pPr>
            <w:r>
              <w:rPr>
                <w:sz w:val="21"/>
              </w:rPr>
              <w:t>排放增减量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926" w:type="dxa"/>
            <w:vMerge w:val="restart"/>
          </w:tcPr>
          <w:p>
            <w:pPr>
              <w:pStyle w:val="19"/>
              <w:jc w:val="left"/>
              <w:rPr>
                <w:b/>
                <w:sz w:val="20"/>
              </w:rPr>
            </w:pPr>
          </w:p>
          <w:p>
            <w:pPr>
              <w:pStyle w:val="19"/>
              <w:jc w:val="left"/>
              <w:rPr>
                <w:b/>
                <w:sz w:val="20"/>
              </w:rPr>
            </w:pPr>
          </w:p>
          <w:p>
            <w:pPr>
              <w:pStyle w:val="19"/>
              <w:spacing w:before="150" w:line="288" w:lineRule="auto"/>
              <w:ind w:left="356" w:right="348"/>
              <w:rPr>
                <w:sz w:val="21"/>
              </w:rPr>
            </w:pPr>
            <w:r>
              <w:rPr>
                <w:sz w:val="21"/>
              </w:rPr>
              <w:t>大气</w:t>
            </w:r>
          </w:p>
        </w:tc>
        <w:tc>
          <w:tcPr>
            <w:tcW w:w="2159" w:type="dxa"/>
          </w:tcPr>
          <w:p>
            <w:pPr>
              <w:pStyle w:val="19"/>
              <w:spacing w:before="164"/>
              <w:ind w:left="47" w:right="38"/>
              <w:rPr>
                <w:rFonts w:ascii="Times New Roman" w:eastAsia="Times New Roman"/>
                <w:sz w:val="21"/>
              </w:rPr>
            </w:pPr>
            <w:r>
              <w:rPr>
                <w:sz w:val="21"/>
              </w:rPr>
              <w:t>烟尘排放量</w:t>
            </w:r>
            <w:r>
              <w:rPr>
                <w:rFonts w:ascii="Times New Roman" w:eastAsia="Times New Roman"/>
                <w:sz w:val="21"/>
              </w:rPr>
              <w:t>(t/a)</w:t>
            </w:r>
          </w:p>
        </w:tc>
        <w:tc>
          <w:tcPr>
            <w:tcW w:w="1665" w:type="dxa"/>
          </w:tcPr>
          <w:p>
            <w:pPr>
              <w:pStyle w:val="19"/>
              <w:spacing w:before="180"/>
              <w:ind w:left="388" w:right="381"/>
              <w:rPr>
                <w:rFonts w:ascii="Times New Roman"/>
                <w:sz w:val="21"/>
              </w:rPr>
            </w:pPr>
            <w:r>
              <w:rPr>
                <w:rFonts w:ascii="Times New Roman"/>
                <w:color w:val="FF0000"/>
                <w:sz w:val="21"/>
              </w:rPr>
              <w:t>37.08</w:t>
            </w:r>
          </w:p>
        </w:tc>
        <w:tc>
          <w:tcPr>
            <w:tcW w:w="1940" w:type="dxa"/>
          </w:tcPr>
          <w:p>
            <w:pPr>
              <w:pStyle w:val="19"/>
              <w:spacing w:before="180"/>
              <w:ind w:left="420" w:right="411"/>
              <w:rPr>
                <w:rFonts w:ascii="Times New Roman"/>
                <w:sz w:val="21"/>
              </w:rPr>
            </w:pPr>
            <w:r>
              <w:rPr>
                <w:rFonts w:ascii="Times New Roman"/>
                <w:sz w:val="21"/>
              </w:rPr>
              <w:t>0.626</w:t>
            </w:r>
          </w:p>
        </w:tc>
        <w:tc>
          <w:tcPr>
            <w:tcW w:w="2402" w:type="dxa"/>
          </w:tcPr>
          <w:p>
            <w:pPr>
              <w:pStyle w:val="19"/>
              <w:spacing w:before="180"/>
              <w:ind w:left="655" w:right="644"/>
              <w:rPr>
                <w:rFonts w:ascii="Times New Roman"/>
                <w:sz w:val="21"/>
              </w:rPr>
            </w:pPr>
            <w:r>
              <w:rPr>
                <w:rFonts w:ascii="Times New Roman"/>
                <w:sz w:val="21"/>
              </w:rPr>
              <w:t>-36.454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926" w:type="dxa"/>
            <w:vMerge w:val="continue"/>
            <w:tcBorders>
              <w:top w:val="nil"/>
            </w:tcBorders>
          </w:tcPr>
          <w:p>
            <w:pPr>
              <w:rPr>
                <w:sz w:val="2"/>
                <w:szCs w:val="2"/>
              </w:rPr>
            </w:pPr>
          </w:p>
        </w:tc>
        <w:tc>
          <w:tcPr>
            <w:tcW w:w="2159" w:type="dxa"/>
          </w:tcPr>
          <w:p>
            <w:pPr>
              <w:pStyle w:val="19"/>
              <w:spacing w:before="160"/>
              <w:ind w:left="47" w:right="38"/>
              <w:rPr>
                <w:rFonts w:ascii="Times New Roman" w:eastAsia="Times New Roman"/>
                <w:sz w:val="21"/>
              </w:rPr>
            </w:pPr>
            <w:r>
              <w:rPr>
                <w:rFonts w:ascii="Times New Roman" w:eastAsia="Times New Roman"/>
                <w:position w:val="2"/>
                <w:sz w:val="21"/>
              </w:rPr>
              <w:t>SO</w:t>
            </w:r>
            <w:r>
              <w:rPr>
                <w:rFonts w:ascii="Times New Roman" w:eastAsia="Times New Roman"/>
                <w:position w:val="2"/>
                <w:sz w:val="21"/>
                <w:vertAlign w:val="subscript"/>
              </w:rPr>
              <w:t>2</w:t>
            </w:r>
            <w:r>
              <w:rPr>
                <w:rFonts w:ascii="Times New Roman" w:eastAsia="Times New Roman"/>
                <w:position w:val="2"/>
                <w:sz w:val="21"/>
                <w:vertAlign w:val="baseline"/>
              </w:rPr>
              <w:t xml:space="preserve"> </w:t>
            </w:r>
            <w:r>
              <w:rPr>
                <w:position w:val="2"/>
                <w:sz w:val="21"/>
                <w:vertAlign w:val="baseline"/>
              </w:rPr>
              <w:t>排放量</w:t>
            </w:r>
            <w:r>
              <w:rPr>
                <w:rFonts w:ascii="Times New Roman" w:eastAsia="Times New Roman"/>
                <w:position w:val="2"/>
                <w:sz w:val="21"/>
                <w:vertAlign w:val="baseline"/>
              </w:rPr>
              <w:t>(t/a)</w:t>
            </w:r>
          </w:p>
        </w:tc>
        <w:tc>
          <w:tcPr>
            <w:tcW w:w="1665" w:type="dxa"/>
          </w:tcPr>
          <w:p>
            <w:pPr>
              <w:pStyle w:val="19"/>
              <w:spacing w:before="179"/>
              <w:ind w:left="388" w:right="379"/>
              <w:rPr>
                <w:rFonts w:ascii="Times New Roman"/>
                <w:sz w:val="21"/>
              </w:rPr>
            </w:pPr>
            <w:r>
              <w:rPr>
                <w:rFonts w:ascii="Times New Roman"/>
                <w:color w:val="FF0000"/>
                <w:sz w:val="21"/>
              </w:rPr>
              <w:t>2.82</w:t>
            </w:r>
          </w:p>
        </w:tc>
        <w:tc>
          <w:tcPr>
            <w:tcW w:w="1940" w:type="dxa"/>
          </w:tcPr>
          <w:p>
            <w:pPr>
              <w:pStyle w:val="19"/>
              <w:spacing w:before="179"/>
              <w:ind w:left="420" w:right="411"/>
              <w:rPr>
                <w:rFonts w:ascii="Times New Roman"/>
                <w:sz w:val="21"/>
              </w:rPr>
            </w:pPr>
            <w:r>
              <w:rPr>
                <w:rFonts w:ascii="Times New Roman"/>
                <w:sz w:val="21"/>
              </w:rPr>
              <w:t>0.59</w:t>
            </w:r>
          </w:p>
        </w:tc>
        <w:tc>
          <w:tcPr>
            <w:tcW w:w="2402" w:type="dxa"/>
          </w:tcPr>
          <w:p>
            <w:pPr>
              <w:pStyle w:val="19"/>
              <w:spacing w:before="179"/>
              <w:ind w:left="655" w:right="644"/>
              <w:rPr>
                <w:rFonts w:ascii="Times New Roman"/>
                <w:sz w:val="21"/>
              </w:rPr>
            </w:pPr>
            <w:r>
              <w:rPr>
                <w:rFonts w:ascii="Times New Roman"/>
                <w:sz w:val="21"/>
              </w:rPr>
              <w:t>-7.68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926" w:type="dxa"/>
            <w:vMerge w:val="continue"/>
            <w:tcBorders>
              <w:top w:val="nil"/>
            </w:tcBorders>
          </w:tcPr>
          <w:p>
            <w:pPr>
              <w:rPr>
                <w:sz w:val="2"/>
                <w:szCs w:val="2"/>
              </w:rPr>
            </w:pPr>
          </w:p>
        </w:tc>
        <w:tc>
          <w:tcPr>
            <w:tcW w:w="2159" w:type="dxa"/>
          </w:tcPr>
          <w:p>
            <w:pPr>
              <w:pStyle w:val="19"/>
              <w:spacing w:before="18"/>
              <w:ind w:left="45" w:right="41"/>
              <w:rPr>
                <w:sz w:val="21"/>
              </w:rPr>
            </w:pPr>
            <w:r>
              <w:rPr>
                <w:rFonts w:ascii="Times New Roman" w:eastAsia="Times New Roman"/>
                <w:sz w:val="21"/>
              </w:rPr>
              <w:t xml:space="preserve">NOx </w:t>
            </w:r>
            <w:r>
              <w:rPr>
                <w:sz w:val="21"/>
              </w:rPr>
              <w:t>排放量</w:t>
            </w:r>
          </w:p>
          <w:p>
            <w:pPr>
              <w:pStyle w:val="19"/>
              <w:spacing w:before="55"/>
              <w:ind w:left="47" w:right="38"/>
              <w:rPr>
                <w:rFonts w:ascii="Times New Roman"/>
                <w:sz w:val="21"/>
              </w:rPr>
            </w:pPr>
            <w:r>
              <w:rPr>
                <w:rFonts w:ascii="Times New Roman"/>
                <w:sz w:val="21"/>
              </w:rPr>
              <w:t>(t/a)</w:t>
            </w:r>
          </w:p>
        </w:tc>
        <w:tc>
          <w:tcPr>
            <w:tcW w:w="1665" w:type="dxa"/>
          </w:tcPr>
          <w:p>
            <w:pPr>
              <w:pStyle w:val="19"/>
              <w:spacing w:before="179"/>
              <w:ind w:left="388" w:right="379"/>
              <w:rPr>
                <w:rFonts w:ascii="Times New Roman"/>
                <w:sz w:val="21"/>
              </w:rPr>
            </w:pPr>
            <w:r>
              <w:rPr>
                <w:rFonts w:ascii="Times New Roman"/>
                <w:color w:val="FF0000"/>
                <w:sz w:val="21"/>
              </w:rPr>
              <w:t>5.88</w:t>
            </w:r>
          </w:p>
        </w:tc>
        <w:tc>
          <w:tcPr>
            <w:tcW w:w="1940" w:type="dxa"/>
          </w:tcPr>
          <w:p>
            <w:pPr>
              <w:pStyle w:val="19"/>
              <w:spacing w:before="179"/>
              <w:ind w:left="420" w:right="411"/>
              <w:rPr>
                <w:rFonts w:ascii="Times New Roman"/>
                <w:sz w:val="21"/>
              </w:rPr>
            </w:pPr>
            <w:r>
              <w:rPr>
                <w:rFonts w:ascii="Times New Roman"/>
                <w:sz w:val="21"/>
              </w:rPr>
              <w:t>5.14</w:t>
            </w:r>
          </w:p>
        </w:tc>
        <w:tc>
          <w:tcPr>
            <w:tcW w:w="2402" w:type="dxa"/>
          </w:tcPr>
          <w:p>
            <w:pPr>
              <w:pStyle w:val="19"/>
              <w:spacing w:before="179"/>
              <w:ind w:left="655" w:right="641"/>
              <w:rPr>
                <w:rFonts w:ascii="Times New Roman"/>
                <w:sz w:val="21"/>
              </w:rPr>
            </w:pPr>
            <w:r>
              <w:rPr>
                <w:rFonts w:ascii="Times New Roman"/>
                <w:sz w:val="21"/>
              </w:rPr>
              <w:t>-6.01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926" w:type="dxa"/>
            <w:vMerge w:val="restart"/>
          </w:tcPr>
          <w:p>
            <w:pPr>
              <w:pStyle w:val="19"/>
              <w:jc w:val="left"/>
              <w:rPr>
                <w:b/>
                <w:sz w:val="20"/>
              </w:rPr>
            </w:pPr>
          </w:p>
          <w:p>
            <w:pPr>
              <w:pStyle w:val="19"/>
              <w:jc w:val="left"/>
              <w:rPr>
                <w:b/>
                <w:sz w:val="20"/>
              </w:rPr>
            </w:pPr>
          </w:p>
          <w:p>
            <w:pPr>
              <w:pStyle w:val="19"/>
              <w:spacing w:before="148" w:line="290" w:lineRule="auto"/>
              <w:ind w:left="356" w:right="348"/>
              <w:rPr>
                <w:sz w:val="21"/>
              </w:rPr>
            </w:pPr>
            <w:r>
              <w:rPr>
                <w:sz w:val="21"/>
              </w:rPr>
              <w:t>废水</w:t>
            </w:r>
          </w:p>
        </w:tc>
        <w:tc>
          <w:tcPr>
            <w:tcW w:w="2159" w:type="dxa"/>
          </w:tcPr>
          <w:p>
            <w:pPr>
              <w:pStyle w:val="19"/>
              <w:spacing w:before="162"/>
              <w:ind w:left="47" w:right="41"/>
              <w:rPr>
                <w:rFonts w:ascii="Times New Roman" w:eastAsia="Times New Roman"/>
                <w:sz w:val="21"/>
              </w:rPr>
            </w:pPr>
            <w:r>
              <w:rPr>
                <w:sz w:val="21"/>
              </w:rPr>
              <w:t xml:space="preserve">污废水排放量 </w:t>
            </w:r>
            <w:r>
              <w:rPr>
                <w:rFonts w:ascii="Times New Roman" w:eastAsia="Times New Roman"/>
                <w:sz w:val="21"/>
              </w:rPr>
              <w:t>10</w:t>
            </w:r>
            <w:r>
              <w:rPr>
                <w:rFonts w:ascii="Times New Roman" w:eastAsia="Times New Roman"/>
                <w:position w:val="7"/>
                <w:sz w:val="13"/>
              </w:rPr>
              <w:t>4</w:t>
            </w:r>
            <w:r>
              <w:rPr>
                <w:rFonts w:ascii="Times New Roman" w:eastAsia="Times New Roman"/>
                <w:sz w:val="21"/>
              </w:rPr>
              <w:t>m</w:t>
            </w:r>
            <w:r>
              <w:rPr>
                <w:rFonts w:ascii="Times New Roman" w:eastAsia="Times New Roman"/>
                <w:position w:val="7"/>
                <w:sz w:val="13"/>
              </w:rPr>
              <w:t>3</w:t>
            </w:r>
            <w:r>
              <w:rPr>
                <w:rFonts w:ascii="Times New Roman" w:eastAsia="Times New Roman"/>
                <w:sz w:val="21"/>
              </w:rPr>
              <w:t>/a</w:t>
            </w:r>
          </w:p>
        </w:tc>
        <w:tc>
          <w:tcPr>
            <w:tcW w:w="1665" w:type="dxa"/>
          </w:tcPr>
          <w:p>
            <w:pPr>
              <w:pStyle w:val="19"/>
              <w:spacing w:before="180"/>
              <w:ind w:left="388" w:right="374"/>
              <w:rPr>
                <w:rFonts w:ascii="Times New Roman"/>
                <w:sz w:val="21"/>
              </w:rPr>
            </w:pPr>
            <w:r>
              <w:rPr>
                <w:rFonts w:ascii="Times New Roman"/>
                <w:sz w:val="21"/>
              </w:rPr>
              <w:t>47.45</w:t>
            </w:r>
          </w:p>
        </w:tc>
        <w:tc>
          <w:tcPr>
            <w:tcW w:w="1940" w:type="dxa"/>
          </w:tcPr>
          <w:p>
            <w:pPr>
              <w:pStyle w:val="19"/>
              <w:spacing w:before="180"/>
              <w:ind w:left="420" w:right="406"/>
              <w:rPr>
                <w:rFonts w:ascii="Times New Roman"/>
                <w:sz w:val="21"/>
              </w:rPr>
            </w:pPr>
            <w:r>
              <w:rPr>
                <w:rFonts w:ascii="Times New Roman"/>
                <w:sz w:val="21"/>
              </w:rPr>
              <w:t>43.61</w:t>
            </w:r>
          </w:p>
        </w:tc>
        <w:tc>
          <w:tcPr>
            <w:tcW w:w="2402" w:type="dxa"/>
          </w:tcPr>
          <w:p>
            <w:pPr>
              <w:pStyle w:val="19"/>
              <w:spacing w:before="180"/>
              <w:ind w:left="655" w:right="641"/>
              <w:rPr>
                <w:rFonts w:ascii="Times New Roman"/>
                <w:sz w:val="21"/>
              </w:rPr>
            </w:pPr>
            <w:r>
              <w:rPr>
                <w:rFonts w:ascii="Times New Roman"/>
                <w:sz w:val="21"/>
              </w:rPr>
              <w:t>-3.84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926" w:type="dxa"/>
            <w:vMerge w:val="continue"/>
            <w:tcBorders>
              <w:top w:val="nil"/>
            </w:tcBorders>
          </w:tcPr>
          <w:p>
            <w:pPr>
              <w:rPr>
                <w:sz w:val="2"/>
                <w:szCs w:val="2"/>
              </w:rPr>
            </w:pPr>
          </w:p>
        </w:tc>
        <w:tc>
          <w:tcPr>
            <w:tcW w:w="2159" w:type="dxa"/>
          </w:tcPr>
          <w:p>
            <w:pPr>
              <w:pStyle w:val="19"/>
              <w:spacing w:before="164"/>
              <w:ind w:left="47" w:right="41"/>
              <w:rPr>
                <w:rFonts w:ascii="Times New Roman" w:eastAsia="Times New Roman"/>
                <w:sz w:val="21"/>
              </w:rPr>
            </w:pPr>
            <w:r>
              <w:rPr>
                <w:rFonts w:ascii="Times New Roman" w:eastAsia="Times New Roman"/>
                <w:sz w:val="21"/>
              </w:rPr>
              <w:t xml:space="preserve">COD </w:t>
            </w:r>
            <w:r>
              <w:rPr>
                <w:sz w:val="21"/>
              </w:rPr>
              <w:t>排放量</w:t>
            </w:r>
            <w:r>
              <w:rPr>
                <w:rFonts w:ascii="Times New Roman" w:eastAsia="Times New Roman"/>
                <w:sz w:val="21"/>
              </w:rPr>
              <w:t>(t/a)</w:t>
            </w:r>
          </w:p>
        </w:tc>
        <w:tc>
          <w:tcPr>
            <w:tcW w:w="1665" w:type="dxa"/>
          </w:tcPr>
          <w:p>
            <w:pPr>
              <w:pStyle w:val="19"/>
              <w:spacing w:before="180"/>
              <w:ind w:left="388" w:right="374"/>
              <w:rPr>
                <w:rFonts w:ascii="Times New Roman"/>
                <w:sz w:val="21"/>
              </w:rPr>
            </w:pPr>
            <w:r>
              <w:rPr>
                <w:rFonts w:ascii="Times New Roman"/>
                <w:sz w:val="21"/>
              </w:rPr>
              <w:t>82.13</w:t>
            </w:r>
          </w:p>
        </w:tc>
        <w:tc>
          <w:tcPr>
            <w:tcW w:w="1940" w:type="dxa"/>
          </w:tcPr>
          <w:p>
            <w:pPr>
              <w:pStyle w:val="19"/>
              <w:spacing w:before="180"/>
              <w:ind w:left="420" w:right="406"/>
              <w:rPr>
                <w:rFonts w:ascii="Times New Roman"/>
                <w:sz w:val="21"/>
              </w:rPr>
            </w:pPr>
            <w:r>
              <w:rPr>
                <w:rFonts w:ascii="Times New Roman"/>
                <w:sz w:val="21"/>
              </w:rPr>
              <w:t>5.5</w:t>
            </w:r>
          </w:p>
        </w:tc>
        <w:tc>
          <w:tcPr>
            <w:tcW w:w="2402" w:type="dxa"/>
          </w:tcPr>
          <w:p>
            <w:pPr>
              <w:pStyle w:val="19"/>
              <w:spacing w:before="180"/>
              <w:ind w:left="655" w:right="644"/>
              <w:rPr>
                <w:rFonts w:ascii="Times New Roman"/>
                <w:sz w:val="21"/>
              </w:rPr>
            </w:pPr>
            <w:r>
              <w:rPr>
                <w:rFonts w:ascii="Times New Roman"/>
                <w:sz w:val="21"/>
              </w:rPr>
              <w:t>-76.63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926" w:type="dxa"/>
            <w:vMerge w:val="continue"/>
            <w:tcBorders>
              <w:top w:val="nil"/>
            </w:tcBorders>
          </w:tcPr>
          <w:p>
            <w:pPr>
              <w:rPr>
                <w:sz w:val="2"/>
                <w:szCs w:val="2"/>
              </w:rPr>
            </w:pPr>
          </w:p>
        </w:tc>
        <w:tc>
          <w:tcPr>
            <w:tcW w:w="2159" w:type="dxa"/>
          </w:tcPr>
          <w:p>
            <w:pPr>
              <w:pStyle w:val="19"/>
              <w:spacing w:before="163"/>
              <w:ind w:left="47" w:right="38"/>
              <w:rPr>
                <w:rFonts w:ascii="Times New Roman" w:eastAsia="Times New Roman"/>
                <w:sz w:val="21"/>
              </w:rPr>
            </w:pPr>
            <w:r>
              <w:rPr>
                <w:sz w:val="21"/>
              </w:rPr>
              <w:t>氨氮排放量</w:t>
            </w:r>
            <w:r>
              <w:rPr>
                <w:rFonts w:ascii="Times New Roman" w:eastAsia="Times New Roman"/>
                <w:sz w:val="21"/>
              </w:rPr>
              <w:t>(t/a)</w:t>
            </w:r>
          </w:p>
        </w:tc>
        <w:tc>
          <w:tcPr>
            <w:tcW w:w="1665" w:type="dxa"/>
          </w:tcPr>
          <w:p>
            <w:pPr>
              <w:pStyle w:val="19"/>
              <w:spacing w:before="179"/>
              <w:ind w:left="388" w:right="374"/>
              <w:rPr>
                <w:rFonts w:ascii="Times New Roman"/>
                <w:sz w:val="21"/>
              </w:rPr>
            </w:pPr>
            <w:r>
              <w:rPr>
                <w:rFonts w:ascii="Times New Roman"/>
                <w:sz w:val="21"/>
              </w:rPr>
              <w:t>1.83</w:t>
            </w:r>
          </w:p>
        </w:tc>
        <w:tc>
          <w:tcPr>
            <w:tcW w:w="1940" w:type="dxa"/>
          </w:tcPr>
          <w:p>
            <w:pPr>
              <w:pStyle w:val="19"/>
              <w:spacing w:before="179"/>
              <w:ind w:left="14"/>
              <w:rPr>
                <w:rFonts w:ascii="Times New Roman"/>
                <w:sz w:val="21"/>
              </w:rPr>
            </w:pPr>
            <w:r>
              <w:rPr>
                <w:rFonts w:ascii="Times New Roman"/>
                <w:w w:val="99"/>
                <w:sz w:val="21"/>
              </w:rPr>
              <w:t>0</w:t>
            </w:r>
          </w:p>
        </w:tc>
        <w:tc>
          <w:tcPr>
            <w:tcW w:w="2402" w:type="dxa"/>
          </w:tcPr>
          <w:p>
            <w:pPr>
              <w:pStyle w:val="19"/>
              <w:spacing w:before="179"/>
              <w:ind w:left="655" w:right="641"/>
              <w:rPr>
                <w:rFonts w:ascii="Times New Roman"/>
                <w:sz w:val="21"/>
              </w:rPr>
            </w:pPr>
            <w:r>
              <w:rPr>
                <w:rFonts w:ascii="Times New Roman"/>
                <w:sz w:val="21"/>
              </w:rPr>
              <w:t>-1.83</w:t>
            </w:r>
          </w:p>
        </w:tc>
      </w:tr>
    </w:tbl>
    <w:p>
      <w:pPr>
        <w:spacing w:after="0"/>
        <w:rPr>
          <w:rFonts w:ascii="Times New Roman"/>
          <w:sz w:val="21"/>
        </w:rPr>
        <w:sectPr>
          <w:pgSz w:w="11910" w:h="16840"/>
          <w:pgMar w:top="1340" w:right="0" w:bottom="880" w:left="0" w:header="0" w:footer="681" w:gutter="0"/>
        </w:sectPr>
      </w:pPr>
    </w:p>
    <w:p>
      <w:pPr>
        <w:pStyle w:val="6"/>
        <w:numPr>
          <w:ilvl w:val="2"/>
          <w:numId w:val="50"/>
        </w:numPr>
        <w:tabs>
          <w:tab w:val="left" w:pos="2468"/>
        </w:tabs>
        <w:spacing w:before="42" w:after="0" w:line="240" w:lineRule="auto"/>
        <w:ind w:left="2467" w:right="0" w:hanging="630"/>
        <w:jc w:val="left"/>
      </w:pPr>
      <w:r>
        <w:rPr>
          <w:spacing w:val="-1"/>
          <w:w w:val="95"/>
        </w:rPr>
        <w:t>污染物达标排放与总量控制</w:t>
      </w:r>
    </w:p>
    <w:p>
      <w:pPr>
        <w:pStyle w:val="9"/>
        <w:rPr>
          <w:b/>
          <w:sz w:val="38"/>
        </w:rPr>
      </w:pPr>
    </w:p>
    <w:p>
      <w:pPr>
        <w:pStyle w:val="9"/>
        <w:spacing w:before="1" w:line="364" w:lineRule="auto"/>
        <w:ind w:left="1418" w:right="1417" w:firstLine="480"/>
        <w:jc w:val="both"/>
      </w:pPr>
      <w:r>
        <w:t>本工程本着</w:t>
      </w:r>
      <w:r>
        <w:rPr>
          <w:rFonts w:ascii="Times New Roman" w:hAnsi="Times New Roman" w:eastAsia="Times New Roman"/>
        </w:rPr>
        <w:t>“</w:t>
      </w:r>
      <w:r>
        <w:rPr>
          <w:spacing w:val="-2"/>
        </w:rPr>
        <w:t>达标排放、总量控制</w:t>
      </w:r>
      <w:r>
        <w:rPr>
          <w:rFonts w:ascii="Times New Roman" w:hAnsi="Times New Roman" w:eastAsia="Times New Roman"/>
        </w:rPr>
        <w:t>”</w:t>
      </w:r>
      <w:r>
        <w:rPr>
          <w:spacing w:val="-5"/>
        </w:rPr>
        <w:t>的原则，无论是在清洁生产方面，还是环境污染</w:t>
      </w:r>
      <w:r>
        <w:rPr>
          <w:spacing w:val="-7"/>
        </w:rPr>
        <w:t>治理方面，都采取了比较先进可靠的技术和工艺：本项目设计矿井水和生活污水尽量资</w:t>
      </w:r>
      <w:r>
        <w:rPr>
          <w:spacing w:val="-6"/>
        </w:rPr>
        <w:t>源化综合利用。工业场地锅炉烟气进行除尘，在采取了设计和评价提出的完善的污染防</w:t>
      </w:r>
      <w:r>
        <w:t>治措施的基础上，评价最终核定的本项目污染物排放总量见下表。</w:t>
      </w:r>
    </w:p>
    <w:p>
      <w:pPr>
        <w:spacing w:before="116" w:after="3"/>
        <w:ind w:left="4500" w:right="0" w:firstLine="0"/>
        <w:jc w:val="both"/>
        <w:rPr>
          <w:b/>
          <w:sz w:val="21"/>
        </w:rPr>
      </w:pPr>
      <w:r>
        <w:rPr>
          <w:b/>
          <w:spacing w:val="-26"/>
          <w:sz w:val="21"/>
        </w:rPr>
        <w:t xml:space="preserve">表 </w:t>
      </w:r>
      <w:r>
        <w:rPr>
          <w:rFonts w:ascii="Times New Roman" w:eastAsia="Times New Roman"/>
          <w:b/>
          <w:sz w:val="21"/>
        </w:rPr>
        <w:t>2.6-2</w:t>
      </w:r>
      <w:r>
        <w:rPr>
          <w:rFonts w:ascii="Times New Roman" w:eastAsia="Times New Roman"/>
          <w:b/>
          <w:spacing w:val="52"/>
          <w:sz w:val="21"/>
        </w:rPr>
        <w:t xml:space="preserve"> </w:t>
      </w:r>
      <w:r>
        <w:rPr>
          <w:b/>
          <w:sz w:val="21"/>
        </w:rPr>
        <w:t>污染物排放总量一览表</w:t>
      </w:r>
    </w:p>
    <w:tbl>
      <w:tblPr>
        <w:tblStyle w:val="15"/>
        <w:tblW w:w="0" w:type="auto"/>
        <w:tblInd w:w="14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958"/>
        <w:gridCol w:w="2134"/>
        <w:gridCol w:w="2494"/>
        <w:gridCol w:w="250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4" w:hRule="atLeast"/>
        </w:trPr>
        <w:tc>
          <w:tcPr>
            <w:tcW w:w="1958" w:type="dxa"/>
            <w:tcBorders>
              <w:bottom w:val="single" w:color="000000" w:sz="4" w:space="0"/>
              <w:right w:val="single" w:color="000000" w:sz="4" w:space="0"/>
            </w:tcBorders>
          </w:tcPr>
          <w:p>
            <w:pPr>
              <w:pStyle w:val="19"/>
              <w:spacing w:before="8"/>
              <w:jc w:val="left"/>
              <w:rPr>
                <w:b/>
                <w:sz w:val="18"/>
              </w:rPr>
            </w:pPr>
          </w:p>
          <w:p>
            <w:pPr>
              <w:pStyle w:val="19"/>
              <w:ind w:left="425" w:right="413"/>
              <w:rPr>
                <w:sz w:val="21"/>
              </w:rPr>
            </w:pPr>
            <w:r>
              <w:rPr>
                <w:sz w:val="21"/>
              </w:rPr>
              <w:t>项目</w:t>
            </w:r>
          </w:p>
        </w:tc>
        <w:tc>
          <w:tcPr>
            <w:tcW w:w="2134" w:type="dxa"/>
            <w:tcBorders>
              <w:left w:val="single" w:color="000000" w:sz="4" w:space="0"/>
              <w:bottom w:val="single" w:color="000000" w:sz="4" w:space="0"/>
              <w:right w:val="single" w:color="000000" w:sz="4" w:space="0"/>
            </w:tcBorders>
          </w:tcPr>
          <w:p>
            <w:pPr>
              <w:pStyle w:val="19"/>
              <w:spacing w:before="8"/>
              <w:jc w:val="left"/>
              <w:rPr>
                <w:b/>
                <w:sz w:val="18"/>
              </w:rPr>
            </w:pPr>
          </w:p>
          <w:p>
            <w:pPr>
              <w:pStyle w:val="19"/>
              <w:ind w:left="418" w:right="406"/>
              <w:rPr>
                <w:sz w:val="21"/>
              </w:rPr>
            </w:pPr>
            <w:r>
              <w:rPr>
                <w:sz w:val="21"/>
              </w:rPr>
              <w:t>产生量（</w:t>
            </w:r>
            <w:r>
              <w:rPr>
                <w:rFonts w:ascii="Times New Roman" w:eastAsia="Times New Roman"/>
                <w:sz w:val="21"/>
              </w:rPr>
              <w:t>t/a</w:t>
            </w:r>
            <w:r>
              <w:rPr>
                <w:sz w:val="21"/>
              </w:rPr>
              <w:t>）</w:t>
            </w:r>
          </w:p>
        </w:tc>
        <w:tc>
          <w:tcPr>
            <w:tcW w:w="2494" w:type="dxa"/>
            <w:tcBorders>
              <w:left w:val="single" w:color="000000" w:sz="4" w:space="0"/>
              <w:bottom w:val="single" w:color="000000" w:sz="4" w:space="0"/>
              <w:right w:val="single" w:color="000000" w:sz="4" w:space="0"/>
            </w:tcBorders>
          </w:tcPr>
          <w:p>
            <w:pPr>
              <w:pStyle w:val="19"/>
              <w:spacing w:before="8"/>
              <w:jc w:val="left"/>
              <w:rPr>
                <w:b/>
                <w:sz w:val="18"/>
              </w:rPr>
            </w:pPr>
          </w:p>
          <w:p>
            <w:pPr>
              <w:pStyle w:val="19"/>
              <w:ind w:left="597" w:right="586"/>
              <w:rPr>
                <w:sz w:val="21"/>
              </w:rPr>
            </w:pPr>
            <w:r>
              <w:rPr>
                <w:sz w:val="21"/>
              </w:rPr>
              <w:t>排放量（</w:t>
            </w:r>
            <w:r>
              <w:rPr>
                <w:rFonts w:ascii="Times New Roman" w:eastAsia="Times New Roman"/>
                <w:sz w:val="21"/>
              </w:rPr>
              <w:t>t/a</w:t>
            </w:r>
            <w:r>
              <w:rPr>
                <w:sz w:val="21"/>
              </w:rPr>
              <w:t>）</w:t>
            </w:r>
          </w:p>
        </w:tc>
        <w:tc>
          <w:tcPr>
            <w:tcW w:w="2500" w:type="dxa"/>
            <w:tcBorders>
              <w:left w:val="single" w:color="000000" w:sz="4" w:space="0"/>
              <w:bottom w:val="single" w:color="000000" w:sz="4" w:space="0"/>
            </w:tcBorders>
          </w:tcPr>
          <w:p>
            <w:pPr>
              <w:pStyle w:val="19"/>
              <w:spacing w:before="8"/>
              <w:jc w:val="left"/>
              <w:rPr>
                <w:b/>
                <w:sz w:val="18"/>
              </w:rPr>
            </w:pPr>
          </w:p>
          <w:p>
            <w:pPr>
              <w:pStyle w:val="19"/>
              <w:ind w:left="389" w:right="375"/>
              <w:rPr>
                <w:sz w:val="21"/>
              </w:rPr>
            </w:pPr>
            <w:r>
              <w:rPr>
                <w:sz w:val="21"/>
              </w:rPr>
              <w:t>自身削减量（</w:t>
            </w:r>
            <w:r>
              <w:rPr>
                <w:rFonts w:ascii="Times New Roman" w:eastAsia="Times New Roman"/>
                <w:sz w:val="21"/>
              </w:rPr>
              <w:t>t/a</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958" w:type="dxa"/>
            <w:tcBorders>
              <w:top w:val="single" w:color="000000" w:sz="4" w:space="0"/>
              <w:bottom w:val="single" w:color="000000" w:sz="4" w:space="0"/>
              <w:right w:val="single" w:color="000000" w:sz="4" w:space="0"/>
            </w:tcBorders>
          </w:tcPr>
          <w:p>
            <w:pPr>
              <w:pStyle w:val="19"/>
              <w:spacing w:before="37"/>
              <w:ind w:left="422" w:right="413"/>
              <w:rPr>
                <w:sz w:val="21"/>
              </w:rPr>
            </w:pPr>
            <w:r>
              <w:rPr>
                <w:sz w:val="21"/>
              </w:rPr>
              <w:t>颗粒物</w:t>
            </w:r>
          </w:p>
        </w:tc>
        <w:tc>
          <w:tcPr>
            <w:tcW w:w="2134" w:type="dxa"/>
            <w:tcBorders>
              <w:top w:val="single" w:color="000000" w:sz="4" w:space="0"/>
              <w:left w:val="single" w:color="000000" w:sz="4" w:space="0"/>
              <w:bottom w:val="single" w:color="000000" w:sz="4" w:space="0"/>
              <w:right w:val="single" w:color="000000" w:sz="4" w:space="0"/>
            </w:tcBorders>
          </w:tcPr>
          <w:p>
            <w:pPr>
              <w:pStyle w:val="19"/>
              <w:spacing w:before="53"/>
              <w:ind w:left="418" w:right="400"/>
              <w:rPr>
                <w:rFonts w:ascii="Times New Roman"/>
                <w:sz w:val="21"/>
              </w:rPr>
            </w:pPr>
            <w:r>
              <w:rPr>
                <w:rFonts w:ascii="Times New Roman"/>
                <w:sz w:val="21"/>
              </w:rPr>
              <w:t>356</w:t>
            </w:r>
          </w:p>
        </w:tc>
        <w:tc>
          <w:tcPr>
            <w:tcW w:w="2494" w:type="dxa"/>
            <w:tcBorders>
              <w:top w:val="single" w:color="000000" w:sz="4" w:space="0"/>
              <w:left w:val="single" w:color="000000" w:sz="4" w:space="0"/>
              <w:bottom w:val="single" w:color="000000" w:sz="4" w:space="0"/>
              <w:right w:val="single" w:color="000000" w:sz="4" w:space="0"/>
            </w:tcBorders>
          </w:tcPr>
          <w:p>
            <w:pPr>
              <w:pStyle w:val="19"/>
              <w:spacing w:before="53"/>
              <w:ind w:left="597" w:right="577"/>
              <w:rPr>
                <w:rFonts w:ascii="Times New Roman"/>
                <w:sz w:val="21"/>
              </w:rPr>
            </w:pPr>
            <w:r>
              <w:rPr>
                <w:rFonts w:ascii="Times New Roman"/>
                <w:sz w:val="21"/>
              </w:rPr>
              <w:t>0.626</w:t>
            </w:r>
          </w:p>
        </w:tc>
        <w:tc>
          <w:tcPr>
            <w:tcW w:w="2500" w:type="dxa"/>
            <w:tcBorders>
              <w:top w:val="single" w:color="000000" w:sz="4" w:space="0"/>
              <w:left w:val="single" w:color="000000" w:sz="4" w:space="0"/>
              <w:bottom w:val="single" w:color="000000" w:sz="4" w:space="0"/>
            </w:tcBorders>
          </w:tcPr>
          <w:p>
            <w:pPr>
              <w:pStyle w:val="19"/>
              <w:spacing w:before="53"/>
              <w:ind w:left="389" w:right="371"/>
              <w:rPr>
                <w:rFonts w:ascii="Times New Roman"/>
                <w:sz w:val="21"/>
              </w:rPr>
            </w:pPr>
            <w:r>
              <w:rPr>
                <w:rFonts w:ascii="Times New Roman"/>
                <w:sz w:val="21"/>
              </w:rPr>
              <w:t>355.374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958" w:type="dxa"/>
            <w:tcBorders>
              <w:top w:val="single" w:color="000000" w:sz="4" w:space="0"/>
              <w:bottom w:val="single" w:color="000000" w:sz="4" w:space="0"/>
              <w:right w:val="single" w:color="000000" w:sz="4" w:space="0"/>
            </w:tcBorders>
          </w:tcPr>
          <w:p>
            <w:pPr>
              <w:pStyle w:val="19"/>
              <w:spacing w:before="49"/>
              <w:ind w:left="430" w:right="412"/>
              <w:rPr>
                <w:rFonts w:ascii="Times New Roman"/>
                <w:sz w:val="21"/>
              </w:rPr>
            </w:pPr>
            <w:r>
              <w:rPr>
                <w:rFonts w:ascii="Times New Roman"/>
                <w:position w:val="2"/>
                <w:sz w:val="21"/>
              </w:rPr>
              <w:t>SO</w:t>
            </w:r>
            <w:r>
              <w:rPr>
                <w:rFonts w:ascii="Times New Roman"/>
                <w:position w:val="2"/>
                <w:sz w:val="21"/>
                <w:vertAlign w:val="subscript"/>
              </w:rPr>
              <w:t>2</w:t>
            </w:r>
          </w:p>
        </w:tc>
        <w:tc>
          <w:tcPr>
            <w:tcW w:w="2134" w:type="dxa"/>
            <w:tcBorders>
              <w:top w:val="single" w:color="000000" w:sz="4" w:space="0"/>
              <w:left w:val="single" w:color="000000" w:sz="4" w:space="0"/>
              <w:bottom w:val="single" w:color="000000" w:sz="4" w:space="0"/>
              <w:right w:val="single" w:color="000000" w:sz="4" w:space="0"/>
            </w:tcBorders>
          </w:tcPr>
          <w:p>
            <w:pPr>
              <w:pStyle w:val="19"/>
              <w:spacing w:before="52"/>
              <w:ind w:left="418" w:right="400"/>
              <w:rPr>
                <w:rFonts w:ascii="Times New Roman"/>
                <w:sz w:val="21"/>
              </w:rPr>
            </w:pPr>
            <w:r>
              <w:rPr>
                <w:rFonts w:ascii="Times New Roman"/>
                <w:sz w:val="21"/>
              </w:rPr>
              <w:t>0.59</w:t>
            </w:r>
          </w:p>
        </w:tc>
        <w:tc>
          <w:tcPr>
            <w:tcW w:w="2494" w:type="dxa"/>
            <w:tcBorders>
              <w:top w:val="single" w:color="000000" w:sz="4" w:space="0"/>
              <w:left w:val="single" w:color="000000" w:sz="4" w:space="0"/>
              <w:bottom w:val="single" w:color="000000" w:sz="4" w:space="0"/>
              <w:right w:val="single" w:color="000000" w:sz="4" w:space="0"/>
            </w:tcBorders>
          </w:tcPr>
          <w:p>
            <w:pPr>
              <w:pStyle w:val="19"/>
              <w:spacing w:before="52"/>
              <w:ind w:left="597" w:right="580"/>
              <w:rPr>
                <w:rFonts w:ascii="Times New Roman"/>
                <w:sz w:val="21"/>
              </w:rPr>
            </w:pPr>
            <w:r>
              <w:rPr>
                <w:rFonts w:ascii="Times New Roman"/>
                <w:sz w:val="21"/>
              </w:rPr>
              <w:t>0.59</w:t>
            </w:r>
          </w:p>
        </w:tc>
        <w:tc>
          <w:tcPr>
            <w:tcW w:w="2500" w:type="dxa"/>
            <w:tcBorders>
              <w:top w:val="single" w:color="000000" w:sz="4" w:space="0"/>
              <w:left w:val="single" w:color="000000" w:sz="4" w:space="0"/>
              <w:bottom w:val="single" w:color="000000" w:sz="4" w:space="0"/>
            </w:tcBorders>
          </w:tcPr>
          <w:p>
            <w:pPr>
              <w:pStyle w:val="19"/>
              <w:spacing w:before="52"/>
              <w:ind w:left="389" w:right="369"/>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958" w:type="dxa"/>
            <w:tcBorders>
              <w:top w:val="single" w:color="000000" w:sz="4" w:space="0"/>
              <w:bottom w:val="single" w:color="000000" w:sz="4" w:space="0"/>
              <w:right w:val="single" w:color="000000" w:sz="4" w:space="0"/>
            </w:tcBorders>
          </w:tcPr>
          <w:p>
            <w:pPr>
              <w:pStyle w:val="19"/>
              <w:spacing w:before="50"/>
              <w:ind w:left="430" w:right="412"/>
              <w:rPr>
                <w:rFonts w:ascii="Times New Roman"/>
                <w:sz w:val="21"/>
              </w:rPr>
            </w:pPr>
            <w:r>
              <w:rPr>
                <w:rFonts w:ascii="Times New Roman"/>
                <w:position w:val="2"/>
                <w:sz w:val="21"/>
              </w:rPr>
              <w:t>NO</w:t>
            </w:r>
            <w:r>
              <w:rPr>
                <w:rFonts w:ascii="Times New Roman"/>
                <w:position w:val="2"/>
                <w:sz w:val="21"/>
                <w:vertAlign w:val="subscript"/>
              </w:rPr>
              <w:t>x</w:t>
            </w:r>
          </w:p>
        </w:tc>
        <w:tc>
          <w:tcPr>
            <w:tcW w:w="2134" w:type="dxa"/>
            <w:tcBorders>
              <w:top w:val="single" w:color="000000" w:sz="4" w:space="0"/>
              <w:left w:val="single" w:color="000000" w:sz="4" w:space="0"/>
              <w:bottom w:val="single" w:color="000000" w:sz="4" w:space="0"/>
              <w:right w:val="single" w:color="000000" w:sz="4" w:space="0"/>
            </w:tcBorders>
          </w:tcPr>
          <w:p>
            <w:pPr>
              <w:pStyle w:val="19"/>
              <w:spacing w:before="53"/>
              <w:ind w:left="418" w:right="400"/>
              <w:rPr>
                <w:rFonts w:ascii="Times New Roman"/>
                <w:sz w:val="21"/>
              </w:rPr>
            </w:pPr>
            <w:r>
              <w:rPr>
                <w:rFonts w:ascii="Times New Roman"/>
                <w:sz w:val="21"/>
              </w:rPr>
              <w:t>5.14</w:t>
            </w:r>
          </w:p>
        </w:tc>
        <w:tc>
          <w:tcPr>
            <w:tcW w:w="2494" w:type="dxa"/>
            <w:tcBorders>
              <w:top w:val="single" w:color="000000" w:sz="4" w:space="0"/>
              <w:left w:val="single" w:color="000000" w:sz="4" w:space="0"/>
              <w:bottom w:val="single" w:color="000000" w:sz="4" w:space="0"/>
              <w:right w:val="single" w:color="000000" w:sz="4" w:space="0"/>
            </w:tcBorders>
          </w:tcPr>
          <w:p>
            <w:pPr>
              <w:pStyle w:val="19"/>
              <w:spacing w:before="53"/>
              <w:ind w:left="597" w:right="580"/>
              <w:rPr>
                <w:rFonts w:ascii="Times New Roman"/>
                <w:sz w:val="21"/>
              </w:rPr>
            </w:pPr>
            <w:r>
              <w:rPr>
                <w:rFonts w:ascii="Times New Roman"/>
                <w:sz w:val="21"/>
              </w:rPr>
              <w:t>5.14</w:t>
            </w:r>
          </w:p>
        </w:tc>
        <w:tc>
          <w:tcPr>
            <w:tcW w:w="2500" w:type="dxa"/>
            <w:tcBorders>
              <w:top w:val="single" w:color="000000" w:sz="4" w:space="0"/>
              <w:left w:val="single" w:color="000000" w:sz="4" w:space="0"/>
              <w:bottom w:val="single" w:color="000000" w:sz="4" w:space="0"/>
            </w:tcBorders>
          </w:tcPr>
          <w:p>
            <w:pPr>
              <w:pStyle w:val="19"/>
              <w:spacing w:before="53"/>
              <w:ind w:left="389" w:right="369"/>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958" w:type="dxa"/>
            <w:tcBorders>
              <w:top w:val="single" w:color="000000" w:sz="4" w:space="0"/>
              <w:bottom w:val="single" w:color="000000" w:sz="4" w:space="0"/>
              <w:right w:val="single" w:color="000000" w:sz="4" w:space="0"/>
            </w:tcBorders>
          </w:tcPr>
          <w:p>
            <w:pPr>
              <w:pStyle w:val="19"/>
              <w:spacing w:before="54"/>
              <w:ind w:left="429" w:right="413"/>
              <w:rPr>
                <w:rFonts w:ascii="Times New Roman"/>
                <w:sz w:val="21"/>
              </w:rPr>
            </w:pPr>
            <w:r>
              <w:rPr>
                <w:rFonts w:ascii="Times New Roman"/>
                <w:sz w:val="21"/>
              </w:rPr>
              <w:t>COD</w:t>
            </w:r>
          </w:p>
        </w:tc>
        <w:tc>
          <w:tcPr>
            <w:tcW w:w="2134" w:type="dxa"/>
            <w:tcBorders>
              <w:top w:val="single" w:color="000000" w:sz="4" w:space="0"/>
              <w:left w:val="single" w:color="000000" w:sz="4" w:space="0"/>
              <w:bottom w:val="single" w:color="000000" w:sz="4" w:space="0"/>
              <w:right w:val="single" w:color="000000" w:sz="4" w:space="0"/>
            </w:tcBorders>
          </w:tcPr>
          <w:p>
            <w:pPr>
              <w:pStyle w:val="19"/>
              <w:spacing w:before="54"/>
              <w:ind w:left="418" w:right="400"/>
              <w:rPr>
                <w:rFonts w:ascii="Times New Roman"/>
                <w:sz w:val="21"/>
              </w:rPr>
            </w:pPr>
            <w:r>
              <w:rPr>
                <w:rFonts w:ascii="Times New Roman"/>
                <w:sz w:val="21"/>
              </w:rPr>
              <w:t>46.8</w:t>
            </w:r>
          </w:p>
        </w:tc>
        <w:tc>
          <w:tcPr>
            <w:tcW w:w="2494" w:type="dxa"/>
            <w:tcBorders>
              <w:top w:val="single" w:color="000000" w:sz="4" w:space="0"/>
              <w:left w:val="single" w:color="000000" w:sz="4" w:space="0"/>
              <w:bottom w:val="single" w:color="000000" w:sz="4" w:space="0"/>
              <w:right w:val="single" w:color="000000" w:sz="4" w:space="0"/>
            </w:tcBorders>
          </w:tcPr>
          <w:p>
            <w:pPr>
              <w:pStyle w:val="19"/>
              <w:spacing w:before="54"/>
              <w:ind w:left="597" w:right="580"/>
              <w:rPr>
                <w:rFonts w:ascii="Times New Roman"/>
                <w:sz w:val="21"/>
              </w:rPr>
            </w:pPr>
            <w:r>
              <w:rPr>
                <w:rFonts w:ascii="Times New Roman"/>
                <w:sz w:val="21"/>
              </w:rPr>
              <w:t>5.5</w:t>
            </w:r>
          </w:p>
        </w:tc>
        <w:tc>
          <w:tcPr>
            <w:tcW w:w="2500" w:type="dxa"/>
            <w:tcBorders>
              <w:top w:val="single" w:color="000000" w:sz="4" w:space="0"/>
              <w:left w:val="single" w:color="000000" w:sz="4" w:space="0"/>
              <w:bottom w:val="single" w:color="000000" w:sz="4" w:space="0"/>
            </w:tcBorders>
          </w:tcPr>
          <w:p>
            <w:pPr>
              <w:pStyle w:val="19"/>
              <w:spacing w:before="54"/>
              <w:ind w:left="389" w:right="369"/>
              <w:rPr>
                <w:rFonts w:ascii="Times New Roman"/>
                <w:sz w:val="21"/>
              </w:rPr>
            </w:pPr>
            <w:r>
              <w:rPr>
                <w:rFonts w:ascii="Times New Roman"/>
                <w:sz w:val="21"/>
              </w:rPr>
              <w:t>41.3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958" w:type="dxa"/>
            <w:tcBorders>
              <w:top w:val="single" w:color="000000" w:sz="4" w:space="0"/>
              <w:right w:val="single" w:color="000000" w:sz="4" w:space="0"/>
            </w:tcBorders>
          </w:tcPr>
          <w:p>
            <w:pPr>
              <w:pStyle w:val="19"/>
              <w:spacing w:before="36"/>
              <w:ind w:left="425" w:right="413"/>
              <w:rPr>
                <w:sz w:val="21"/>
              </w:rPr>
            </w:pPr>
            <w:r>
              <w:rPr>
                <w:sz w:val="21"/>
              </w:rPr>
              <w:t>氨氮</w:t>
            </w:r>
          </w:p>
        </w:tc>
        <w:tc>
          <w:tcPr>
            <w:tcW w:w="2134" w:type="dxa"/>
            <w:tcBorders>
              <w:top w:val="single" w:color="000000" w:sz="4" w:space="0"/>
              <w:left w:val="single" w:color="000000" w:sz="4" w:space="0"/>
              <w:right w:val="single" w:color="000000" w:sz="4" w:space="0"/>
            </w:tcBorders>
          </w:tcPr>
          <w:p>
            <w:pPr>
              <w:pStyle w:val="19"/>
              <w:spacing w:before="52"/>
              <w:ind w:left="418" w:right="400"/>
              <w:rPr>
                <w:rFonts w:ascii="Times New Roman"/>
                <w:sz w:val="21"/>
              </w:rPr>
            </w:pPr>
            <w:r>
              <w:rPr>
                <w:rFonts w:ascii="Times New Roman"/>
                <w:sz w:val="21"/>
              </w:rPr>
              <w:t>1.49</w:t>
            </w:r>
          </w:p>
        </w:tc>
        <w:tc>
          <w:tcPr>
            <w:tcW w:w="2494" w:type="dxa"/>
            <w:tcBorders>
              <w:top w:val="single" w:color="000000" w:sz="4" w:space="0"/>
              <w:left w:val="single" w:color="000000" w:sz="4" w:space="0"/>
              <w:right w:val="single" w:color="000000" w:sz="4" w:space="0"/>
            </w:tcBorders>
          </w:tcPr>
          <w:p>
            <w:pPr>
              <w:pStyle w:val="19"/>
              <w:spacing w:before="52"/>
              <w:ind w:left="17"/>
              <w:rPr>
                <w:rFonts w:ascii="Times New Roman"/>
                <w:sz w:val="21"/>
              </w:rPr>
            </w:pPr>
            <w:r>
              <w:rPr>
                <w:rFonts w:ascii="Times New Roman"/>
                <w:w w:val="99"/>
                <w:sz w:val="21"/>
              </w:rPr>
              <w:t>0</w:t>
            </w:r>
          </w:p>
        </w:tc>
        <w:tc>
          <w:tcPr>
            <w:tcW w:w="2500" w:type="dxa"/>
            <w:tcBorders>
              <w:top w:val="single" w:color="000000" w:sz="4" w:space="0"/>
              <w:left w:val="single" w:color="000000" w:sz="4" w:space="0"/>
            </w:tcBorders>
          </w:tcPr>
          <w:p>
            <w:pPr>
              <w:pStyle w:val="19"/>
              <w:spacing w:before="52"/>
              <w:ind w:left="389" w:right="369"/>
              <w:rPr>
                <w:rFonts w:ascii="Times New Roman"/>
                <w:sz w:val="21"/>
              </w:rPr>
            </w:pPr>
            <w:r>
              <w:rPr>
                <w:rFonts w:ascii="Times New Roman"/>
                <w:sz w:val="21"/>
              </w:rPr>
              <w:t>1.49</w:t>
            </w:r>
          </w:p>
        </w:tc>
      </w:tr>
    </w:tbl>
    <w:p>
      <w:pPr>
        <w:spacing w:after="0"/>
        <w:rPr>
          <w:rFonts w:ascii="Times New Roman"/>
          <w:sz w:val="21"/>
        </w:rPr>
        <w:sectPr>
          <w:footerReference r:id="rId16" w:type="default"/>
          <w:pgSz w:w="11910" w:h="16840"/>
          <w:pgMar w:top="1360" w:right="0" w:bottom="880" w:left="0" w:header="0" w:footer="681" w:gutter="0"/>
          <w:pgNumType w:start="90"/>
        </w:sectPr>
      </w:pPr>
    </w:p>
    <w:p>
      <w:pPr>
        <w:pStyle w:val="9"/>
        <w:rPr>
          <w:b/>
          <w:sz w:val="20"/>
        </w:rPr>
      </w:pPr>
    </w:p>
    <w:p>
      <w:pPr>
        <w:pStyle w:val="18"/>
        <w:numPr>
          <w:ilvl w:val="2"/>
          <w:numId w:val="14"/>
        </w:numPr>
        <w:tabs>
          <w:tab w:val="left" w:pos="4284"/>
        </w:tabs>
        <w:spacing w:before="237" w:after="0" w:line="240" w:lineRule="auto"/>
        <w:ind w:left="4284" w:right="0" w:hanging="4282"/>
        <w:jc w:val="left"/>
        <w:rPr>
          <w:rFonts w:ascii="Times New Roman" w:eastAsia="Times New Roman"/>
          <w:b/>
          <w:sz w:val="34"/>
        </w:rPr>
      </w:pPr>
      <w:bookmarkStart w:id="203" w:name="_bookmark19"/>
      <w:bookmarkEnd w:id="203"/>
      <w:bookmarkStart w:id="204" w:name="_bookmark19"/>
      <w:bookmarkEnd w:id="204"/>
      <w:bookmarkStart w:id="205" w:name="3.项目所在区域环境概况"/>
      <w:bookmarkEnd w:id="205"/>
      <w:r>
        <w:rPr>
          <w:b/>
          <w:sz w:val="36"/>
        </w:rPr>
        <w:t>项目所在区域环境概况</w:t>
      </w:r>
    </w:p>
    <w:p>
      <w:pPr>
        <w:pStyle w:val="5"/>
        <w:numPr>
          <w:ilvl w:val="1"/>
          <w:numId w:val="51"/>
        </w:numPr>
        <w:tabs>
          <w:tab w:val="left" w:pos="1868"/>
        </w:tabs>
        <w:spacing w:before="239" w:after="0" w:line="240" w:lineRule="auto"/>
        <w:ind w:left="1867" w:right="0" w:hanging="450"/>
        <w:jc w:val="left"/>
      </w:pPr>
      <w:bookmarkStart w:id="206" w:name="3.1自然环境概况"/>
      <w:bookmarkEnd w:id="206"/>
      <w:bookmarkStart w:id="207" w:name="_bookmark20"/>
      <w:bookmarkEnd w:id="207"/>
      <w:bookmarkStart w:id="208" w:name="_bookmark20"/>
      <w:bookmarkEnd w:id="208"/>
      <w:r>
        <w:t>自然环境概况</w:t>
      </w:r>
    </w:p>
    <w:p>
      <w:pPr>
        <w:pStyle w:val="6"/>
        <w:numPr>
          <w:ilvl w:val="2"/>
          <w:numId w:val="51"/>
        </w:numPr>
        <w:tabs>
          <w:tab w:val="left" w:pos="2048"/>
        </w:tabs>
        <w:spacing w:before="200" w:after="0" w:line="240" w:lineRule="auto"/>
        <w:ind w:left="2047" w:right="0" w:hanging="630"/>
        <w:jc w:val="left"/>
        <w:rPr>
          <w:rFonts w:ascii="Times New Roman" w:eastAsia="Times New Roman"/>
        </w:rPr>
      </w:pPr>
      <w:bookmarkStart w:id="209" w:name="3.1.1地理位置"/>
      <w:bookmarkEnd w:id="209"/>
      <w:bookmarkStart w:id="210" w:name="3.1.1地理位置"/>
      <w:bookmarkEnd w:id="210"/>
      <w:r>
        <w:t>地理位置</w:t>
      </w:r>
    </w:p>
    <w:p>
      <w:pPr>
        <w:pStyle w:val="9"/>
        <w:spacing w:before="6"/>
        <w:rPr>
          <w:b/>
          <w:sz w:val="8"/>
        </w:rPr>
      </w:pPr>
    </w:p>
    <w:p>
      <w:pPr>
        <w:pStyle w:val="9"/>
        <w:spacing w:before="77" w:line="364" w:lineRule="auto"/>
        <w:ind w:left="1418" w:right="1291" w:firstLine="480"/>
      </w:pPr>
      <w:r>
        <w:rPr>
          <w:spacing w:val="-2"/>
        </w:rPr>
        <w:t xml:space="preserve">双鸭山市位于黑龙江省东北部，完达山北麓三江平原，地理位置在东经 </w:t>
      </w:r>
      <w:r>
        <w:rPr>
          <w:rFonts w:ascii="Times New Roman" w:hAnsi="Times New Roman" w:eastAsia="Times New Roman"/>
        </w:rPr>
        <w:t>130°39′</w:t>
      </w:r>
      <w:r>
        <w:t xml:space="preserve">～ </w:t>
      </w:r>
      <w:r>
        <w:rPr>
          <w:rFonts w:ascii="Times New Roman" w:hAnsi="Times New Roman" w:eastAsia="Times New Roman"/>
        </w:rPr>
        <w:t>134°20′</w:t>
      </w:r>
      <w:r>
        <w:rPr>
          <w:spacing w:val="-13"/>
        </w:rPr>
        <w:t xml:space="preserve">，北纬 </w:t>
      </w:r>
      <w:r>
        <w:rPr>
          <w:rFonts w:ascii="Times New Roman" w:hAnsi="Times New Roman" w:eastAsia="Times New Roman"/>
        </w:rPr>
        <w:t>45°39′</w:t>
      </w:r>
      <w:r>
        <w:t>～</w:t>
      </w:r>
      <w:r>
        <w:rPr>
          <w:rFonts w:ascii="Times New Roman" w:hAnsi="Times New Roman" w:eastAsia="Times New Roman"/>
        </w:rPr>
        <w:t>47°34′</w:t>
      </w:r>
      <w:r>
        <w:rPr>
          <w:spacing w:val="-4"/>
        </w:rPr>
        <w:t xml:space="preserve">之间。双鸭山市距省会哈尔滨市 </w:t>
      </w:r>
      <w:r>
        <w:rPr>
          <w:rFonts w:ascii="Times New Roman" w:hAnsi="Times New Roman" w:eastAsia="Times New Roman"/>
        </w:rPr>
        <w:t>430km</w:t>
      </w:r>
      <w:r>
        <w:t>，东隔乌苏里江与</w:t>
      </w:r>
      <w:r>
        <w:rPr>
          <w:spacing w:val="-6"/>
        </w:rPr>
        <w:t>俄罗斯比金市相望，南与虎林市、密山市、桦南县毗邻，西与佳木斯市相连，北与富锦</w:t>
      </w:r>
      <w:r>
        <w:rPr>
          <w:spacing w:val="-9"/>
        </w:rPr>
        <w:t>市、同江市、扶远县、桦川县接壤。本项目位于双鸭山市岭东区，拟建厂址在黑龙江建</w:t>
      </w:r>
      <w:r>
        <w:rPr>
          <w:spacing w:val="-21"/>
        </w:rPr>
        <w:t xml:space="preserve">龙化工有限公司焦化厂区的发展用地上，场地北靠现有粉胶沉淀池，东侧为现有 </w:t>
      </w:r>
      <w:r>
        <w:rPr>
          <w:rFonts w:ascii="Times New Roman" w:hAnsi="Times New Roman" w:eastAsia="Times New Roman"/>
        </w:rPr>
        <w:t>4#</w:t>
      </w:r>
      <w:r>
        <w:rPr>
          <w:spacing w:val="-4"/>
        </w:rPr>
        <w:t xml:space="preserve">焦炉， </w:t>
      </w:r>
      <w:r>
        <w:rPr>
          <w:spacing w:val="-9"/>
        </w:rPr>
        <w:t xml:space="preserve">南侧为厂区道路，西侧为厂区道路。厂界 </w:t>
      </w:r>
      <w:r>
        <w:rPr>
          <w:rFonts w:ascii="Times New Roman" w:hAnsi="Times New Roman" w:eastAsia="Times New Roman"/>
        </w:rPr>
        <w:t xml:space="preserve">300m </w:t>
      </w:r>
      <w:r>
        <w:rPr>
          <w:spacing w:val="-9"/>
        </w:rPr>
        <w:t>范围内无居民、学校、医院等敏感目标。</w:t>
      </w:r>
      <w:r>
        <w:t>本项目在黑龙江省地理位置见附图，本项目在双鸭山市地理位置图见附图。</w:t>
      </w:r>
    </w:p>
    <w:p>
      <w:pPr>
        <w:pStyle w:val="6"/>
        <w:numPr>
          <w:ilvl w:val="2"/>
          <w:numId w:val="51"/>
        </w:numPr>
        <w:tabs>
          <w:tab w:val="left" w:pos="2048"/>
        </w:tabs>
        <w:spacing w:before="0" w:after="0" w:line="357" w:lineRule="exact"/>
        <w:ind w:left="2047" w:right="0" w:hanging="630"/>
        <w:jc w:val="left"/>
        <w:rPr>
          <w:rFonts w:ascii="Times New Roman" w:eastAsia="Times New Roman"/>
        </w:rPr>
      </w:pPr>
      <w:bookmarkStart w:id="211" w:name="3.1.2地形地貌"/>
      <w:bookmarkEnd w:id="211"/>
      <w:bookmarkStart w:id="212" w:name="3.1.2地形地貌"/>
      <w:bookmarkEnd w:id="212"/>
      <w:r>
        <w:t>地形地貌</w:t>
      </w:r>
    </w:p>
    <w:p>
      <w:pPr>
        <w:pStyle w:val="9"/>
        <w:spacing w:before="185" w:line="364" w:lineRule="auto"/>
        <w:ind w:left="1418" w:right="1417" w:firstLine="480"/>
        <w:jc w:val="both"/>
      </w:pPr>
      <w:r>
        <w:rPr>
          <w:spacing w:val="-5"/>
        </w:rPr>
        <w:t>双鸭山市地处黑龙江省的东部，属低山丘陵区，其东北部为三江平原，南部为丘陵</w:t>
      </w:r>
      <w:r>
        <w:rPr>
          <w:spacing w:val="-8"/>
        </w:rPr>
        <w:t>区。区域内水系较发育，主要有安邦河、七星河及其支流。安邦河向北注入松花江，属</w:t>
      </w:r>
      <w:r>
        <w:rPr>
          <w:spacing w:val="-7"/>
        </w:rPr>
        <w:t>松花江水系。丘陵区地势相对较高，地形起伏较大，山间沟谷发育；台地区，地势相对</w:t>
      </w:r>
      <w:r>
        <w:t>低平，地形呈垄岗状展布；河谷平原区沿安邦河谷分布，地势低洼。</w:t>
      </w:r>
    </w:p>
    <w:p>
      <w:pPr>
        <w:pStyle w:val="6"/>
        <w:numPr>
          <w:ilvl w:val="2"/>
          <w:numId w:val="51"/>
        </w:numPr>
        <w:tabs>
          <w:tab w:val="left" w:pos="2048"/>
        </w:tabs>
        <w:spacing w:before="0" w:after="0" w:line="357" w:lineRule="exact"/>
        <w:ind w:left="2047" w:right="0" w:hanging="630"/>
        <w:jc w:val="left"/>
        <w:rPr>
          <w:rFonts w:ascii="Times New Roman" w:eastAsia="Times New Roman"/>
        </w:rPr>
      </w:pPr>
      <w:bookmarkStart w:id="213" w:name="3.1.3气候气象"/>
      <w:bookmarkEnd w:id="213"/>
      <w:bookmarkStart w:id="214" w:name="3.1.3气候气象"/>
      <w:bookmarkEnd w:id="214"/>
      <w:r>
        <w:t>气候气象</w:t>
      </w:r>
    </w:p>
    <w:p>
      <w:pPr>
        <w:pStyle w:val="9"/>
        <w:spacing w:before="10"/>
        <w:rPr>
          <w:b/>
          <w:sz w:val="26"/>
        </w:rPr>
      </w:pPr>
    </w:p>
    <w:p>
      <w:pPr>
        <w:pStyle w:val="9"/>
        <w:spacing w:before="1" w:line="391" w:lineRule="auto"/>
        <w:ind w:left="1418" w:right="1365" w:firstLine="480"/>
        <w:jc w:val="both"/>
      </w:pPr>
      <w:r>
        <w:t xml:space="preserve">双鸭山市地处北半球中高纬度地区，属湿润寒温带大陆性季风气候，冬季漫长而寒冷，常受西伯利亚寒流影响，夏季短促而温暖，春秋两季气候多变，且昼夜温差较大， 春季回暖快而多风、干旱，秋季时有暴雨霜冻。双鸭山近 </w:t>
      </w:r>
      <w:r>
        <w:rPr>
          <w:rFonts w:ascii="Times New Roman" w:eastAsia="Times New Roman"/>
        </w:rPr>
        <w:t xml:space="preserve">20 </w:t>
      </w:r>
      <w:r>
        <w:t xml:space="preserve">年资料分析的风向玫瑰图见图 </w:t>
      </w:r>
      <w:r>
        <w:rPr>
          <w:rFonts w:ascii="Times New Roman" w:eastAsia="Times New Roman"/>
        </w:rPr>
        <w:t>3.1-1</w:t>
      </w:r>
      <w:r>
        <w:t>。</w:t>
      </w:r>
    </w:p>
    <w:p>
      <w:pPr>
        <w:pStyle w:val="9"/>
        <w:spacing w:line="391" w:lineRule="auto"/>
        <w:ind w:left="1418" w:right="1297" w:firstLine="480"/>
      </w:pPr>
      <w:r>
        <w:rPr>
          <w:spacing w:val="-4"/>
        </w:rPr>
        <w:t>双鸭山市属中温带大陆季风气候。受极地大陆气团和季风的影响，四季分明，冬季</w:t>
      </w:r>
      <w:r>
        <w:rPr>
          <w:spacing w:val="-15"/>
        </w:rPr>
        <w:t>寒冷干燥，夏短温热多雨。由于季风交替，春秋两季短暂，气候变化急剧，年温差较大。</w:t>
      </w:r>
      <w:r>
        <w:rPr>
          <w:spacing w:val="-9"/>
        </w:rPr>
        <w:t xml:space="preserve">年平均气温 </w:t>
      </w:r>
      <w:r>
        <w:rPr>
          <w:rFonts w:ascii="Times New Roman" w:hAnsi="Times New Roman" w:eastAsia="Times New Roman"/>
        </w:rPr>
        <w:t>3.3</w:t>
      </w:r>
      <w:r>
        <w:rPr>
          <w:spacing w:val="-7"/>
        </w:rPr>
        <w:t xml:space="preserve">℃，最高气温为 </w:t>
      </w:r>
      <w:r>
        <w:rPr>
          <w:rFonts w:ascii="Times New Roman" w:hAnsi="Times New Roman" w:eastAsia="Times New Roman"/>
        </w:rPr>
        <w:t>35.4</w:t>
      </w:r>
      <w:r>
        <w:t>℃，最低气温为</w:t>
      </w:r>
      <w:r>
        <w:rPr>
          <w:rFonts w:ascii="Times New Roman" w:hAnsi="Times New Roman" w:eastAsia="Times New Roman"/>
        </w:rPr>
        <w:t>-35.6</w:t>
      </w:r>
      <w:r>
        <w:rPr>
          <w:spacing w:val="-6"/>
        </w:rPr>
        <w:t xml:space="preserve">℃；极端最高气温 </w:t>
      </w:r>
      <w:r>
        <w:rPr>
          <w:rFonts w:ascii="Times New Roman" w:hAnsi="Times New Roman" w:eastAsia="Times New Roman"/>
        </w:rPr>
        <w:t>38.5</w:t>
      </w:r>
      <w:r>
        <w:t>℃，出</w:t>
      </w:r>
      <w:r>
        <w:rPr>
          <w:spacing w:val="-18"/>
        </w:rPr>
        <w:t xml:space="preserve">现在 </w:t>
      </w:r>
      <w:r>
        <w:rPr>
          <w:rFonts w:ascii="Times New Roman" w:hAnsi="Times New Roman" w:eastAsia="Times New Roman"/>
        </w:rPr>
        <w:t xml:space="preserve">6 </w:t>
      </w:r>
      <w:r>
        <w:t>月份；极端最低气温</w:t>
      </w:r>
      <w:r>
        <w:rPr>
          <w:rFonts w:ascii="Times New Roman" w:hAnsi="Times New Roman" w:eastAsia="Times New Roman"/>
        </w:rPr>
        <w:t>-37.1</w:t>
      </w:r>
      <w:r>
        <w:rPr>
          <w:spacing w:val="-9"/>
        </w:rPr>
        <w:t xml:space="preserve">℃，出现在 </w:t>
      </w:r>
      <w:r>
        <w:rPr>
          <w:rFonts w:ascii="Times New Roman" w:hAnsi="Times New Roman" w:eastAsia="Times New Roman"/>
        </w:rPr>
        <w:t xml:space="preserve">1 </w:t>
      </w:r>
      <w:r>
        <w:rPr>
          <w:spacing w:val="-5"/>
        </w:rPr>
        <w:t xml:space="preserve">月份。年平均降雨量为 </w:t>
      </w:r>
      <w:r>
        <w:rPr>
          <w:rFonts w:ascii="Times New Roman" w:hAnsi="Times New Roman" w:eastAsia="Times New Roman"/>
        </w:rPr>
        <w:t>540mm</w:t>
      </w:r>
      <w:r>
        <w:t>，降雨期</w:t>
      </w:r>
      <w:r>
        <w:rPr>
          <w:spacing w:val="-15"/>
        </w:rPr>
        <w:t xml:space="preserve">集中在 </w:t>
      </w:r>
      <w:r>
        <w:rPr>
          <w:rFonts w:ascii="Times New Roman" w:hAnsi="Times New Roman" w:eastAsia="Times New Roman"/>
        </w:rPr>
        <w:t xml:space="preserve">7-8 </w:t>
      </w:r>
      <w:r>
        <w:rPr>
          <w:spacing w:val="-11"/>
        </w:rPr>
        <w:t xml:space="preserve">月份；多年平均风速 </w:t>
      </w:r>
      <w:r>
        <w:rPr>
          <w:rFonts w:ascii="Times New Roman" w:hAnsi="Times New Roman" w:eastAsia="Times New Roman"/>
          <w:spacing w:val="-4"/>
        </w:rPr>
        <w:t>4.3m/s</w:t>
      </w:r>
      <w:r>
        <w:rPr>
          <w:spacing w:val="-12"/>
        </w:rPr>
        <w:t xml:space="preserve">，最大风速 </w:t>
      </w:r>
      <w:r>
        <w:rPr>
          <w:rFonts w:ascii="Times New Roman" w:hAnsi="Times New Roman" w:eastAsia="Times New Roman"/>
          <w:spacing w:val="-5"/>
        </w:rPr>
        <w:t>34m/s</w:t>
      </w:r>
      <w:r>
        <w:rPr>
          <w:spacing w:val="-11"/>
        </w:rPr>
        <w:t xml:space="preserve">，主导风向为 </w:t>
      </w:r>
      <w:r>
        <w:rPr>
          <w:rFonts w:ascii="Times New Roman" w:hAnsi="Times New Roman" w:eastAsia="Times New Roman"/>
          <w:spacing w:val="-9"/>
        </w:rPr>
        <w:t>SW</w:t>
      </w:r>
      <w:r>
        <w:rPr>
          <w:spacing w:val="-3"/>
        </w:rPr>
        <w:t>；多年平均降</w:t>
      </w:r>
      <w:r>
        <w:rPr>
          <w:spacing w:val="-19"/>
        </w:rPr>
        <w:t xml:space="preserve">水量为 </w:t>
      </w:r>
      <w:r>
        <w:rPr>
          <w:rFonts w:ascii="Times New Roman" w:hAnsi="Times New Roman" w:eastAsia="Times New Roman"/>
        </w:rPr>
        <w:t>523.4mm</w:t>
      </w:r>
      <w:r>
        <w:rPr>
          <w:spacing w:val="-9"/>
        </w:rPr>
        <w:t xml:space="preserve">，主要集中在 </w:t>
      </w:r>
      <w:r>
        <w:rPr>
          <w:rFonts w:ascii="Times New Roman" w:hAnsi="Times New Roman" w:eastAsia="Times New Roman"/>
        </w:rPr>
        <w:t>7</w:t>
      </w:r>
      <w:r>
        <w:rPr>
          <w:spacing w:val="-8"/>
        </w:rPr>
        <w:t>、</w:t>
      </w:r>
      <w:r>
        <w:rPr>
          <w:rFonts w:ascii="Times New Roman" w:hAnsi="Times New Roman" w:eastAsia="Times New Roman"/>
        </w:rPr>
        <w:t xml:space="preserve">8 </w:t>
      </w:r>
      <w:r>
        <w:rPr>
          <w:spacing w:val="-10"/>
        </w:rPr>
        <w:t xml:space="preserve">月份，约占全年的 </w:t>
      </w:r>
      <w:r>
        <w:rPr>
          <w:rFonts w:ascii="Times New Roman" w:hAnsi="Times New Roman" w:eastAsia="Times New Roman"/>
        </w:rPr>
        <w:t>44%</w:t>
      </w:r>
      <w:r>
        <w:rPr>
          <w:spacing w:val="-8"/>
        </w:rPr>
        <w:t xml:space="preserve">，最大降水量为 </w:t>
      </w:r>
      <w:r>
        <w:rPr>
          <w:rFonts w:ascii="Times New Roman" w:hAnsi="Times New Roman" w:eastAsia="Times New Roman"/>
        </w:rPr>
        <w:t>873mm</w:t>
      </w:r>
      <w:r>
        <w:t>，最</w:t>
      </w:r>
    </w:p>
    <w:p>
      <w:pPr>
        <w:spacing w:after="0" w:line="391" w:lineRule="auto"/>
        <w:sectPr>
          <w:pgSz w:w="11910" w:h="16840"/>
          <w:pgMar w:top="1580" w:right="0" w:bottom="880" w:left="0" w:header="0" w:footer="681" w:gutter="0"/>
        </w:sectPr>
      </w:pPr>
    </w:p>
    <w:p>
      <w:pPr>
        <w:pStyle w:val="9"/>
        <w:spacing w:before="59" w:line="391" w:lineRule="auto"/>
        <w:ind w:left="1418" w:right="1291"/>
      </w:pPr>
      <w:r>
        <w:drawing>
          <wp:anchor distT="0" distB="0" distL="0" distR="0" simplePos="0" relativeHeight="212747264" behindDoc="1" locked="0" layoutInCell="1" allowOverlap="1">
            <wp:simplePos x="0" y="0"/>
            <wp:positionH relativeFrom="page">
              <wp:posOffset>900430</wp:posOffset>
            </wp:positionH>
            <wp:positionV relativeFrom="paragraph">
              <wp:posOffset>1205230</wp:posOffset>
            </wp:positionV>
            <wp:extent cx="5274310" cy="3575050"/>
            <wp:effectExtent l="0" t="0" r="0" b="0"/>
            <wp:wrapNone/>
            <wp:docPr id="4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7.jpeg"/>
                    <pic:cNvPicPr>
                      <a:picLocks noChangeAspect="1"/>
                    </pic:cNvPicPr>
                  </pic:nvPicPr>
                  <pic:blipFill>
                    <a:blip r:embed="rId50" cstate="print"/>
                    <a:stretch>
                      <a:fillRect/>
                    </a:stretch>
                  </pic:blipFill>
                  <pic:spPr>
                    <a:xfrm>
                      <a:off x="0" y="0"/>
                      <a:ext cx="5274564" cy="3575304"/>
                    </a:xfrm>
                    <a:prstGeom prst="rect">
                      <a:avLst/>
                    </a:prstGeom>
                  </pic:spPr>
                </pic:pic>
              </a:graphicData>
            </a:graphic>
          </wp:anchor>
        </w:drawing>
      </w:r>
      <w:r>
        <w:rPr>
          <w:spacing w:val="-20"/>
        </w:rPr>
        <w:t xml:space="preserve">小为 </w:t>
      </w:r>
      <w:r>
        <w:rPr>
          <w:rFonts w:ascii="Times New Roman" w:hAnsi="Times New Roman" w:eastAsia="Times New Roman"/>
        </w:rPr>
        <w:t>336mm</w:t>
      </w:r>
      <w:r>
        <w:rPr>
          <w:spacing w:val="-18"/>
        </w:rPr>
        <w:t xml:space="preserve">。年平均日照在 </w:t>
      </w:r>
      <w:r>
        <w:rPr>
          <w:rFonts w:ascii="Times New Roman" w:hAnsi="Times New Roman" w:eastAsia="Times New Roman"/>
          <w:spacing w:val="-13"/>
        </w:rPr>
        <w:t>2500h</w:t>
      </w:r>
      <w:r>
        <w:rPr>
          <w:spacing w:val="-12"/>
        </w:rPr>
        <w:t xml:space="preserve">，无霜期平均 </w:t>
      </w:r>
      <w:r>
        <w:rPr>
          <w:rFonts w:ascii="Times New Roman" w:hAnsi="Times New Roman" w:eastAsia="Times New Roman"/>
          <w:spacing w:val="-15"/>
        </w:rPr>
        <w:t>147d</w:t>
      </w:r>
      <w:r>
        <w:rPr>
          <w:spacing w:val="-14"/>
        </w:rPr>
        <w:t xml:space="preserve">，最大冻深 </w:t>
      </w:r>
      <w:r>
        <w:rPr>
          <w:rFonts w:ascii="Times New Roman" w:hAnsi="Times New Roman" w:eastAsia="Times New Roman"/>
        </w:rPr>
        <w:t>228cm</w:t>
      </w:r>
      <w:r>
        <w:rPr>
          <w:spacing w:val="-28"/>
        </w:rPr>
        <w:t xml:space="preserve">。年积温 </w:t>
      </w:r>
      <w:r>
        <w:rPr>
          <w:rFonts w:ascii="Times New Roman" w:hAnsi="Times New Roman" w:eastAsia="Times New Roman"/>
          <w:spacing w:val="-3"/>
        </w:rPr>
        <w:t>2718</w:t>
      </w:r>
      <w:r>
        <w:rPr>
          <w:spacing w:val="-3"/>
        </w:rPr>
        <w:t xml:space="preserve">℃， </w:t>
      </w:r>
      <w:r>
        <w:rPr>
          <w:spacing w:val="-12"/>
        </w:rPr>
        <w:t xml:space="preserve">年日照约 </w:t>
      </w:r>
      <w:r>
        <w:rPr>
          <w:rFonts w:ascii="Times New Roman" w:hAnsi="Times New Roman" w:eastAsia="Times New Roman"/>
        </w:rPr>
        <w:t>2617h</w:t>
      </w:r>
      <w:r>
        <w:rPr>
          <w:spacing w:val="-12"/>
        </w:rPr>
        <w:t xml:space="preserve">。最大冻土深度为 </w:t>
      </w:r>
      <w:r>
        <w:rPr>
          <w:rFonts w:ascii="Times New Roman" w:hAnsi="Times New Roman" w:eastAsia="Times New Roman"/>
        </w:rPr>
        <w:t xml:space="preserve">2m </w:t>
      </w:r>
      <w:r>
        <w:rPr>
          <w:spacing w:val="-11"/>
        </w:rPr>
        <w:t xml:space="preserve">左右。多年平均蒸发量 </w:t>
      </w:r>
      <w:r>
        <w:rPr>
          <w:rFonts w:ascii="Times New Roman" w:hAnsi="Times New Roman" w:eastAsia="Times New Roman"/>
          <w:spacing w:val="-3"/>
        </w:rPr>
        <w:t>1290mm</w:t>
      </w:r>
      <w:r>
        <w:rPr>
          <w:spacing w:val="-3"/>
        </w:rPr>
        <w:t>（</w:t>
      </w:r>
      <w:r>
        <w:rPr>
          <w:rFonts w:ascii="Times New Roman" w:hAnsi="Times New Roman" w:eastAsia="Times New Roman"/>
          <w:spacing w:val="-3"/>
        </w:rPr>
        <w:t xml:space="preserve">20cm </w:t>
      </w:r>
      <w:r>
        <w:t>蒸发皿</w:t>
      </w:r>
      <w:r>
        <w:rPr>
          <w:spacing w:val="-32"/>
        </w:rPr>
        <w:t>）</w:t>
      </w:r>
      <w:r>
        <w:rPr>
          <w:spacing w:val="-11"/>
        </w:rPr>
        <w:t>。</w:t>
      </w:r>
      <w:r>
        <w:rPr>
          <w:spacing w:val="-10"/>
        </w:rPr>
        <w:t xml:space="preserve">日照平均时数 </w:t>
      </w:r>
      <w:r>
        <w:rPr>
          <w:rFonts w:ascii="Times New Roman" w:hAnsi="Times New Roman" w:eastAsia="Times New Roman"/>
        </w:rPr>
        <w:t>2605h</w:t>
      </w:r>
      <w:r>
        <w:rPr>
          <w:spacing w:val="-10"/>
        </w:rPr>
        <w:t xml:space="preserve">，年平均气压 </w:t>
      </w:r>
      <w:r>
        <w:rPr>
          <w:rFonts w:ascii="Times New Roman" w:hAnsi="Times New Roman" w:eastAsia="Times New Roman"/>
        </w:rPr>
        <w:t>1001.9Pa</w:t>
      </w:r>
      <w:r>
        <w:rPr>
          <w:spacing w:val="-8"/>
        </w:rPr>
        <w:t xml:space="preserve">，冬季高，夏季低，无霜期 </w:t>
      </w:r>
      <w:r>
        <w:rPr>
          <w:rFonts w:ascii="Times New Roman" w:hAnsi="Times New Roman" w:eastAsia="Times New Roman"/>
        </w:rPr>
        <w:t>147d</w:t>
      </w:r>
      <w:r>
        <w:rPr>
          <w:spacing w:val="-3"/>
        </w:rPr>
        <w:t>。双鸭山市</w:t>
      </w:r>
      <w:r>
        <w:rPr>
          <w:spacing w:val="-8"/>
        </w:rPr>
        <w:t xml:space="preserve">各季风向玫瑰图情况见图 </w:t>
      </w:r>
      <w:r>
        <w:rPr>
          <w:rFonts w:ascii="Times New Roman" w:hAnsi="Times New Roman" w:eastAsia="Times New Roman"/>
        </w:rPr>
        <w:t>3.1-1</w:t>
      </w:r>
      <w:r>
        <w:t>。</w: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8"/>
        <w:rPr>
          <w:sz w:val="20"/>
        </w:rPr>
      </w:pPr>
    </w:p>
    <w:p>
      <w:pPr>
        <w:spacing w:before="76"/>
        <w:ind w:left="482" w:right="0" w:firstLine="0"/>
        <w:jc w:val="center"/>
        <w:rPr>
          <w:b/>
          <w:sz w:val="21"/>
        </w:rPr>
      </w:pPr>
      <w:r>
        <w:rPr>
          <w:b/>
          <w:sz w:val="21"/>
        </w:rPr>
        <w:t>图</w:t>
      </w:r>
      <w:r>
        <w:rPr>
          <w:rFonts w:ascii="Times New Roman" w:eastAsia="Times New Roman"/>
          <w:b/>
          <w:sz w:val="21"/>
        </w:rPr>
        <w:t>3.1-1</w:t>
      </w:r>
      <w:r>
        <w:rPr>
          <w:b/>
          <w:sz w:val="21"/>
        </w:rPr>
        <w:t>风向玫瑰图</w:t>
      </w:r>
    </w:p>
    <w:p>
      <w:pPr>
        <w:pStyle w:val="6"/>
        <w:numPr>
          <w:ilvl w:val="2"/>
          <w:numId w:val="51"/>
        </w:numPr>
        <w:tabs>
          <w:tab w:val="left" w:pos="2048"/>
        </w:tabs>
        <w:spacing w:before="7" w:after="0" w:line="240" w:lineRule="auto"/>
        <w:ind w:left="2047" w:right="8733" w:hanging="2048"/>
        <w:jc w:val="right"/>
        <w:rPr>
          <w:rFonts w:ascii="Times New Roman" w:eastAsia="Times New Roman"/>
        </w:rPr>
      </w:pPr>
      <w:bookmarkStart w:id="215" w:name="3.1.4水文地质"/>
      <w:bookmarkEnd w:id="215"/>
      <w:bookmarkStart w:id="216" w:name="3.1.4水文地质"/>
      <w:bookmarkEnd w:id="216"/>
      <w:r>
        <w:rPr>
          <w:spacing w:val="-1"/>
          <w:w w:val="95"/>
        </w:rPr>
        <w:t>水文地质</w:t>
      </w:r>
    </w:p>
    <w:p>
      <w:pPr>
        <w:pStyle w:val="8"/>
        <w:numPr>
          <w:ilvl w:val="3"/>
          <w:numId w:val="51"/>
        </w:numPr>
        <w:tabs>
          <w:tab w:val="left" w:pos="720"/>
        </w:tabs>
        <w:spacing w:before="185" w:after="0" w:line="240" w:lineRule="auto"/>
        <w:ind w:left="2618" w:right="8805" w:hanging="2619"/>
        <w:jc w:val="right"/>
      </w:pPr>
      <w:r>
        <w:rPr>
          <w:w w:val="95"/>
        </w:rPr>
        <w:t>水文</w:t>
      </w:r>
    </w:p>
    <w:p>
      <w:pPr>
        <w:pStyle w:val="9"/>
        <w:spacing w:before="158" w:line="364" w:lineRule="auto"/>
        <w:ind w:left="1418" w:right="1411" w:firstLine="480"/>
        <w:jc w:val="both"/>
      </w:pPr>
      <w:r>
        <w:rPr>
          <w:spacing w:val="-5"/>
        </w:rPr>
        <w:t>双鸭山市境内有大小河流百条，大都属于老龄期河道，河床窄小，无自然湖泊，主</w:t>
      </w:r>
      <w:r>
        <w:rPr>
          <w:spacing w:val="-3"/>
        </w:rPr>
        <w:t>要河流有安邦河、二道河、小黄河、</w:t>
      </w:r>
      <w:r>
        <w:t>（外</w:t>
      </w:r>
      <w:r>
        <w:rPr>
          <w:spacing w:val="-5"/>
        </w:rPr>
        <w:t>）七星河、挠力河。安邦河属松花江水系，由</w:t>
      </w:r>
      <w:r>
        <w:rPr>
          <w:spacing w:val="-7"/>
        </w:rPr>
        <w:t>南向北注入松花江；二道河、小黄河、七星河、挠力河属于乌苏里江水系，由西向东流</w:t>
      </w:r>
      <w:r>
        <w:t>入乌苏里江。</w:t>
      </w:r>
    </w:p>
    <w:p>
      <w:pPr>
        <w:pStyle w:val="9"/>
        <w:spacing w:line="364" w:lineRule="auto"/>
        <w:ind w:left="1418" w:right="1297" w:firstLine="480"/>
      </w:pPr>
      <w:r>
        <w:rPr>
          <w:spacing w:val="-4"/>
        </w:rPr>
        <w:t>安邦河是松花江下游右岸一级支流，属季节性河流。发源于完达山余脉，七星砬子</w:t>
      </w:r>
      <w:r>
        <w:rPr>
          <w:spacing w:val="-8"/>
        </w:rPr>
        <w:t>东分水岭北麓，自南向北流经双鸭山市、集贤县福利镇至桦川县境内，由桦川县新河宫</w:t>
      </w:r>
      <w:r>
        <w:rPr>
          <w:spacing w:val="-13"/>
        </w:rPr>
        <w:t xml:space="preserve">汇入松花江。干流全长 </w:t>
      </w:r>
      <w:r>
        <w:rPr>
          <w:rFonts w:ascii="Times New Roman" w:eastAsia="Times New Roman"/>
        </w:rPr>
        <w:t>167km,</w:t>
      </w:r>
      <w:r>
        <w:rPr>
          <w:spacing w:val="-3"/>
        </w:rPr>
        <w:t xml:space="preserve">主要支流有马蹄河、柳树河、小安邦河、哈达密河 </w:t>
      </w:r>
      <w:r>
        <w:rPr>
          <w:rFonts w:ascii="Times New Roman" w:eastAsia="Times New Roman"/>
        </w:rPr>
        <w:t xml:space="preserve">4 </w:t>
      </w:r>
      <w:r>
        <w:rPr>
          <w:spacing w:val="-8"/>
        </w:rPr>
        <w:t>条。</w:t>
      </w:r>
      <w:r>
        <w:rPr>
          <w:spacing w:val="-10"/>
        </w:rPr>
        <w:t xml:space="preserve">安邦河干流福利镇以上为山丘区河流，属完达山北麓之低山丘陵区，大部分为森林植被； </w:t>
      </w:r>
      <w:r>
        <w:rPr>
          <w:spacing w:val="-4"/>
        </w:rPr>
        <w:t>在福利镇以下进入平原区，主要是山前平原及松花江滩地，大部分被开垦为耕地，地势</w:t>
      </w:r>
      <w:r>
        <w:rPr>
          <w:spacing w:val="-12"/>
        </w:rPr>
        <w:t>平缓，自然河道衰老，河道窄浅，无明显河槽，形成无尾河，汛期常洪水泛滥。</w:t>
      </w:r>
      <w:r>
        <w:rPr>
          <w:rFonts w:ascii="Times New Roman" w:eastAsia="Times New Roman"/>
        </w:rPr>
        <w:t xml:space="preserve">80 </w:t>
      </w:r>
      <w:r>
        <w:t>年代</w:t>
      </w:r>
      <w:r>
        <w:rPr>
          <w:spacing w:val="-5"/>
        </w:rPr>
        <w:t>后进行了大规模整治，开挖新河，就近流入松花江，两岸筑堤，成为灌溉河流。安邦河</w:t>
      </w:r>
    </w:p>
    <w:p>
      <w:pPr>
        <w:spacing w:after="0" w:line="364" w:lineRule="auto"/>
        <w:sectPr>
          <w:pgSz w:w="11910" w:h="16840"/>
          <w:pgMar w:top="1500" w:right="0" w:bottom="880" w:left="0" w:header="0" w:footer="681" w:gutter="0"/>
        </w:sectPr>
      </w:pPr>
    </w:p>
    <w:p>
      <w:pPr>
        <w:pStyle w:val="9"/>
        <w:spacing w:before="61" w:line="364" w:lineRule="auto"/>
        <w:ind w:left="1418" w:right="1413"/>
        <w:jc w:val="both"/>
      </w:pPr>
      <w:r>
        <w:rPr>
          <w:spacing w:val="-7"/>
        </w:rPr>
        <w:t xml:space="preserve">流域总面积原为 </w:t>
      </w:r>
      <w:r>
        <w:rPr>
          <w:rFonts w:ascii="Times New Roman" w:eastAsia="Times New Roman"/>
        </w:rPr>
        <w:t>2755km</w:t>
      </w:r>
      <w:r>
        <w:rPr>
          <w:rFonts w:ascii="Times New Roman" w:eastAsia="Times New Roman"/>
          <w:position w:val="8"/>
          <w:sz w:val="15"/>
        </w:rPr>
        <w:t>2</w:t>
      </w:r>
      <w:r>
        <w:rPr>
          <w:spacing w:val="-5"/>
        </w:rPr>
        <w:t xml:space="preserve">，经治理后集水面积变为 </w:t>
      </w:r>
      <w:r>
        <w:rPr>
          <w:rFonts w:ascii="Times New Roman" w:eastAsia="Times New Roman"/>
        </w:rPr>
        <w:t>1679km</w:t>
      </w:r>
      <w:r>
        <w:rPr>
          <w:rFonts w:ascii="Times New Roman" w:eastAsia="Times New Roman"/>
          <w:position w:val="8"/>
          <w:sz w:val="15"/>
        </w:rPr>
        <w:t>2</w:t>
      </w:r>
      <w:r>
        <w:rPr>
          <w:spacing w:val="-1"/>
        </w:rPr>
        <w:t>，福利屯水文站以上山丘集</w:t>
      </w:r>
      <w:r>
        <w:rPr>
          <w:spacing w:val="-6"/>
        </w:rPr>
        <w:t xml:space="preserve">水面积 </w:t>
      </w:r>
      <w:r>
        <w:rPr>
          <w:rFonts w:ascii="Times New Roman" w:eastAsia="Times New Roman"/>
        </w:rPr>
        <w:t>547km</w:t>
      </w:r>
      <w:r>
        <w:rPr>
          <w:rFonts w:ascii="Times New Roman" w:eastAsia="Times New Roman"/>
          <w:position w:val="8"/>
          <w:sz w:val="15"/>
        </w:rPr>
        <w:t>2</w:t>
      </w:r>
      <w:r>
        <w:t>。安邦河干流中上游段经由定国山水库、双鸭山岭东区、尖山区过滚兔</w:t>
      </w:r>
      <w:r>
        <w:rPr>
          <w:spacing w:val="-4"/>
        </w:rPr>
        <w:t xml:space="preserve">岭进入集贤县境内的福利镇，主河道长约 </w:t>
      </w:r>
      <w:r>
        <w:rPr>
          <w:rFonts w:ascii="Times New Roman" w:eastAsia="Times New Roman"/>
        </w:rPr>
        <w:t>20km</w:t>
      </w:r>
      <w:r>
        <w:rPr>
          <w:spacing w:val="-5"/>
        </w:rPr>
        <w:t xml:space="preserve">，双鸭山市以上控制面积为 </w:t>
      </w:r>
      <w:r>
        <w:rPr>
          <w:rFonts w:ascii="Times New Roman" w:eastAsia="Times New Roman"/>
        </w:rPr>
        <w:t>455km</w:t>
      </w:r>
      <w:r>
        <w:rPr>
          <w:rFonts w:ascii="Times New Roman" w:eastAsia="Times New Roman"/>
          <w:position w:val="8"/>
          <w:sz w:val="15"/>
        </w:rPr>
        <w:t>2</w:t>
      </w:r>
      <w:r>
        <w:t>。</w:t>
      </w:r>
    </w:p>
    <w:p>
      <w:pPr>
        <w:pStyle w:val="9"/>
        <w:spacing w:line="307" w:lineRule="exact"/>
        <w:ind w:left="1898"/>
      </w:pPr>
      <w:r>
        <w:t>本项目所在区域纳污水体为安邦河。项目区地表水系分布见附图。</w:t>
      </w:r>
    </w:p>
    <w:p>
      <w:pPr>
        <w:pStyle w:val="8"/>
        <w:numPr>
          <w:ilvl w:val="3"/>
          <w:numId w:val="51"/>
        </w:numPr>
        <w:tabs>
          <w:tab w:val="left" w:pos="2619"/>
        </w:tabs>
        <w:spacing w:before="158" w:after="0" w:line="240" w:lineRule="auto"/>
        <w:ind w:left="2618" w:right="0" w:hanging="721"/>
        <w:jc w:val="left"/>
      </w:pPr>
      <w:r>
        <w:t>评价区区域地层</w:t>
      </w:r>
    </w:p>
    <w:p>
      <w:pPr>
        <w:pStyle w:val="9"/>
        <w:spacing w:before="161"/>
        <w:ind w:left="1941"/>
      </w:pPr>
      <w:r>
        <w:t>井田内地层从老至新有元古界变质岩系、中生界白垩系鸡西群和火山岩组</w:t>
      </w:r>
    </w:p>
    <w:p>
      <w:pPr>
        <w:pStyle w:val="9"/>
        <w:spacing w:before="158"/>
        <w:ind w:left="1418"/>
      </w:pPr>
      <w:r>
        <w:t>（ 伊林组）、第三系玄武岩、第四系冲积层。</w:t>
      </w:r>
    </w:p>
    <w:p>
      <w:pPr>
        <w:pStyle w:val="9"/>
        <w:spacing w:before="160"/>
        <w:ind w:left="1941"/>
      </w:pPr>
      <w:r>
        <w:rPr>
          <w:rFonts w:ascii="Times New Roman" w:eastAsia="Times New Roman"/>
        </w:rPr>
        <w:t>1</w:t>
      </w:r>
      <w:r>
        <w:t>、元古界变质岩系</w:t>
      </w:r>
    </w:p>
    <w:p>
      <w:pPr>
        <w:pStyle w:val="9"/>
        <w:spacing w:before="158" w:line="364" w:lineRule="auto"/>
        <w:ind w:left="1418" w:right="1437" w:firstLine="523"/>
        <w:jc w:val="both"/>
      </w:pPr>
      <w:r>
        <w:t>主要在文胜勘探区的西部及北部广泛出露。其岩性见有黑云母片麻岩、石英片岩、角闪石片岩、绿泥石片岩、大理岩。古老的花岗岩均显片麻状构造，广泛出露， 组成煤系地层之基底。</w:t>
      </w:r>
    </w:p>
    <w:p>
      <w:pPr>
        <w:pStyle w:val="9"/>
        <w:spacing w:line="307" w:lineRule="exact"/>
        <w:ind w:left="1941"/>
      </w:pPr>
      <w:r>
        <w:rPr>
          <w:rFonts w:ascii="Times New Roman" w:eastAsia="Times New Roman"/>
        </w:rPr>
        <w:t>2</w:t>
      </w:r>
      <w:r>
        <w:t>、白垩系鸡西群</w:t>
      </w:r>
    </w:p>
    <w:p>
      <w:pPr>
        <w:pStyle w:val="9"/>
        <w:spacing w:before="158"/>
        <w:ind w:left="1941"/>
      </w:pPr>
      <w:r>
        <w:t>该群在本区发育有城子河组和穆棱组分述如下：</w:t>
      </w:r>
    </w:p>
    <w:p>
      <w:pPr>
        <w:pStyle w:val="18"/>
        <w:numPr>
          <w:ilvl w:val="0"/>
          <w:numId w:val="52"/>
        </w:numPr>
        <w:tabs>
          <w:tab w:val="left" w:pos="2577"/>
        </w:tabs>
        <w:spacing w:before="161" w:after="0" w:line="364" w:lineRule="auto"/>
        <w:ind w:left="1418" w:right="1305" w:firstLine="523"/>
        <w:jc w:val="left"/>
        <w:rPr>
          <w:sz w:val="24"/>
        </w:rPr>
      </w:pPr>
      <w:r>
        <w:rPr>
          <w:spacing w:val="-12"/>
          <w:sz w:val="24"/>
        </w:rPr>
        <w:t>）</w:t>
      </w:r>
      <w:r>
        <w:rPr>
          <w:spacing w:val="14"/>
          <w:sz w:val="24"/>
        </w:rPr>
        <w:t>城子河组：本组下限呈不整合覆盖于基底之上。由陆相碎屑岩所组成</w:t>
      </w:r>
      <w:r>
        <w:rPr>
          <w:spacing w:val="10"/>
          <w:sz w:val="24"/>
        </w:rPr>
        <w:t>，旋迥结构明显，其主要岩性是灰白色砂岩、砾岩、深灰色粉砂岩，灰绿色泞灰</w:t>
      </w:r>
      <w:r>
        <w:rPr>
          <w:sz w:val="24"/>
        </w:rPr>
        <w:t xml:space="preserve">岩 </w:t>
      </w:r>
      <w:r>
        <w:rPr>
          <w:rFonts w:ascii="Times New Roman" w:eastAsia="Times New Roman"/>
          <w:spacing w:val="7"/>
          <w:sz w:val="24"/>
        </w:rPr>
        <w:t>14</w:t>
      </w:r>
      <w:r>
        <w:rPr>
          <w:spacing w:val="7"/>
          <w:sz w:val="24"/>
        </w:rPr>
        <w:t>～</w:t>
      </w:r>
      <w:r>
        <w:rPr>
          <w:spacing w:val="-98"/>
          <w:sz w:val="24"/>
        </w:rPr>
        <w:t xml:space="preserve"> </w:t>
      </w:r>
      <w:r>
        <w:rPr>
          <w:rFonts w:ascii="Times New Roman" w:eastAsia="Times New Roman"/>
          <w:spacing w:val="3"/>
          <w:sz w:val="24"/>
        </w:rPr>
        <w:t>22</w:t>
      </w:r>
      <w:r>
        <w:rPr>
          <w:rFonts w:ascii="Times New Roman" w:eastAsia="Times New Roman"/>
          <w:spacing w:val="21"/>
          <w:sz w:val="24"/>
        </w:rPr>
        <w:t xml:space="preserve"> </w:t>
      </w:r>
      <w:r>
        <w:rPr>
          <w:spacing w:val="5"/>
          <w:sz w:val="24"/>
        </w:rPr>
        <w:t xml:space="preserve">层及含煤 </w:t>
      </w:r>
      <w:r>
        <w:rPr>
          <w:rFonts w:ascii="Times New Roman" w:eastAsia="Times New Roman"/>
          <w:spacing w:val="7"/>
          <w:sz w:val="24"/>
        </w:rPr>
        <w:t>40</w:t>
      </w:r>
      <w:r>
        <w:rPr>
          <w:spacing w:val="7"/>
          <w:sz w:val="24"/>
        </w:rPr>
        <w:t>～</w:t>
      </w:r>
      <w:r>
        <w:rPr>
          <w:spacing w:val="-99"/>
          <w:sz w:val="24"/>
        </w:rPr>
        <w:t xml:space="preserve"> </w:t>
      </w:r>
      <w:r>
        <w:rPr>
          <w:rFonts w:ascii="Times New Roman" w:eastAsia="Times New Roman"/>
          <w:spacing w:val="3"/>
          <w:sz w:val="24"/>
        </w:rPr>
        <w:t>50</w:t>
      </w:r>
      <w:r>
        <w:rPr>
          <w:rFonts w:ascii="Times New Roman" w:eastAsia="Times New Roman"/>
          <w:spacing w:val="20"/>
          <w:sz w:val="24"/>
        </w:rPr>
        <w:t xml:space="preserve"> </w:t>
      </w:r>
      <w:r>
        <w:rPr>
          <w:sz w:val="24"/>
        </w:rPr>
        <w:t xml:space="preserve">层，大于 </w:t>
      </w:r>
      <w:r>
        <w:rPr>
          <w:rFonts w:ascii="Times New Roman" w:eastAsia="Times New Roman"/>
          <w:spacing w:val="8"/>
          <w:sz w:val="24"/>
        </w:rPr>
        <w:t>0.5</w:t>
      </w:r>
      <w:r>
        <w:rPr>
          <w:spacing w:val="8"/>
          <w:sz w:val="24"/>
        </w:rPr>
        <w:t>～</w:t>
      </w:r>
      <w:r>
        <w:rPr>
          <w:spacing w:val="-99"/>
          <w:sz w:val="24"/>
        </w:rPr>
        <w:t xml:space="preserve"> </w:t>
      </w:r>
      <w:r>
        <w:rPr>
          <w:rFonts w:ascii="Times New Roman" w:eastAsia="Times New Roman"/>
          <w:spacing w:val="6"/>
          <w:sz w:val="24"/>
        </w:rPr>
        <w:t>0.6m</w:t>
      </w:r>
      <w:r>
        <w:rPr>
          <w:spacing w:val="6"/>
          <w:sz w:val="24"/>
        </w:rPr>
        <w:t>，</w:t>
      </w:r>
      <w:r>
        <w:rPr>
          <w:rFonts w:ascii="Times New Roman" w:eastAsia="Times New Roman"/>
          <w:spacing w:val="6"/>
          <w:sz w:val="24"/>
        </w:rPr>
        <w:t>6</w:t>
      </w:r>
      <w:r>
        <w:rPr>
          <w:rFonts w:ascii="Times New Roman" w:eastAsia="Times New Roman"/>
          <w:spacing w:val="17"/>
          <w:sz w:val="24"/>
        </w:rPr>
        <w:t xml:space="preserve"> </w:t>
      </w:r>
      <w:r>
        <w:rPr>
          <w:spacing w:val="7"/>
          <w:sz w:val="24"/>
        </w:rPr>
        <w:t xml:space="preserve">层，全区较稳定 </w:t>
      </w:r>
      <w:r>
        <w:rPr>
          <w:rFonts w:ascii="Times New Roman" w:eastAsia="Times New Roman"/>
          <w:sz w:val="24"/>
        </w:rPr>
        <w:t>2</w:t>
      </w:r>
      <w:r>
        <w:rPr>
          <w:rFonts w:ascii="Times New Roman" w:eastAsia="Times New Roman"/>
          <w:spacing w:val="16"/>
          <w:sz w:val="24"/>
        </w:rPr>
        <w:t xml:space="preserve"> </w:t>
      </w:r>
      <w:r>
        <w:rPr>
          <w:spacing w:val="16"/>
          <w:sz w:val="24"/>
        </w:rPr>
        <w:t>层，主要煤</w:t>
      </w:r>
      <w:r>
        <w:rPr>
          <w:spacing w:val="9"/>
          <w:sz w:val="24"/>
        </w:rPr>
        <w:t xml:space="preserve">层均集中在本组中部，可采煤层总厚 </w:t>
      </w:r>
      <w:r>
        <w:rPr>
          <w:rFonts w:ascii="Times New Roman" w:eastAsia="Times New Roman"/>
          <w:spacing w:val="4"/>
          <w:sz w:val="24"/>
        </w:rPr>
        <w:t>3</w:t>
      </w:r>
      <w:r>
        <w:rPr>
          <w:spacing w:val="4"/>
          <w:sz w:val="24"/>
        </w:rPr>
        <w:t>～</w:t>
      </w:r>
      <w:r>
        <w:rPr>
          <w:spacing w:val="-99"/>
          <w:sz w:val="24"/>
        </w:rPr>
        <w:t xml:space="preserve"> </w:t>
      </w:r>
      <w:r>
        <w:rPr>
          <w:rFonts w:ascii="Times New Roman" w:eastAsia="Times New Roman"/>
          <w:spacing w:val="10"/>
          <w:sz w:val="24"/>
        </w:rPr>
        <w:t>8m</w:t>
      </w:r>
      <w:r>
        <w:rPr>
          <w:spacing w:val="13"/>
          <w:sz w:val="24"/>
        </w:rPr>
        <w:t>。依据空间分布规律，将城子河组划</w:t>
      </w:r>
      <w:r>
        <w:rPr>
          <w:spacing w:val="14"/>
          <w:sz w:val="24"/>
        </w:rPr>
        <w:t>分上、中、下三部分。</w:t>
      </w:r>
    </w:p>
    <w:p>
      <w:pPr>
        <w:pStyle w:val="9"/>
        <w:spacing w:line="364" w:lineRule="auto"/>
        <w:ind w:left="1418" w:right="1303" w:firstLine="523"/>
      </w:pPr>
      <w:r>
        <w:rPr>
          <w:spacing w:val="25"/>
        </w:rPr>
        <w:t>下部</w:t>
      </w:r>
      <w:r>
        <w:t>（</w:t>
      </w:r>
      <w:r>
        <w:rPr>
          <w:spacing w:val="-96"/>
        </w:rPr>
        <w:t xml:space="preserve"> </w:t>
      </w:r>
      <w:r>
        <w:rPr>
          <w:rFonts w:ascii="Times New Roman" w:eastAsia="Times New Roman"/>
          <w:spacing w:val="3"/>
        </w:rPr>
        <w:t xml:space="preserve">17 </w:t>
      </w:r>
      <w:r>
        <w:rPr>
          <w:spacing w:val="24"/>
        </w:rPr>
        <w:t>号煤层之下</w:t>
      </w:r>
      <w:r>
        <w:rPr>
          <w:spacing w:val="13"/>
        </w:rPr>
        <w:t>）</w:t>
      </w:r>
      <w:r>
        <w:rPr>
          <w:spacing w:val="12"/>
        </w:rPr>
        <w:t>： 以灰白色中、粗砂岩及深灰色粉砂岩为主。向下</w:t>
      </w:r>
      <w:r>
        <w:rPr>
          <w:spacing w:val="14"/>
        </w:rPr>
        <w:t>部粒径变粗，并出现含砾砂岩</w:t>
      </w:r>
      <w:r>
        <w:t>（</w:t>
      </w:r>
      <w:r>
        <w:rPr>
          <w:spacing w:val="8"/>
        </w:rPr>
        <w:t xml:space="preserve"> 砾石成分主要是花岗岩</w:t>
      </w:r>
      <w:r>
        <w:rPr>
          <w:spacing w:val="-4"/>
        </w:rPr>
        <w:t>）</w:t>
      </w:r>
      <w:r>
        <w:rPr>
          <w:spacing w:val="14"/>
        </w:rPr>
        <w:t>，夹灰绿色薄层泞灰岩</w:t>
      </w:r>
      <w:r>
        <w:rPr>
          <w:rFonts w:ascii="Times New Roman" w:eastAsia="Times New Roman"/>
          <w:spacing w:val="4"/>
        </w:rPr>
        <w:t>4</w:t>
      </w:r>
      <w:r>
        <w:rPr>
          <w:spacing w:val="4"/>
        </w:rPr>
        <w:t>～</w:t>
      </w:r>
      <w:r>
        <w:rPr>
          <w:spacing w:val="-96"/>
        </w:rPr>
        <w:t xml:space="preserve"> </w:t>
      </w:r>
      <w:r>
        <w:rPr>
          <w:rFonts w:ascii="Times New Roman" w:eastAsia="Times New Roman"/>
        </w:rPr>
        <w:t>6</w:t>
      </w:r>
      <w:r>
        <w:rPr>
          <w:rFonts w:ascii="Times New Roman" w:eastAsia="Times New Roman"/>
          <w:spacing w:val="17"/>
        </w:rPr>
        <w:t xml:space="preserve"> </w:t>
      </w:r>
      <w:r>
        <w:rPr>
          <w:spacing w:val="-4"/>
        </w:rPr>
        <w:t xml:space="preserve">层。含煤 </w:t>
      </w:r>
      <w:r>
        <w:rPr>
          <w:rFonts w:ascii="Times New Roman" w:eastAsia="Times New Roman"/>
          <w:spacing w:val="6"/>
        </w:rPr>
        <w:t>6</w:t>
      </w:r>
      <w:r>
        <w:rPr>
          <w:spacing w:val="6"/>
        </w:rPr>
        <w:t>～</w:t>
      </w:r>
      <w:r>
        <w:rPr>
          <w:spacing w:val="-98"/>
        </w:rPr>
        <w:t xml:space="preserve"> </w:t>
      </w:r>
      <w:r>
        <w:rPr>
          <w:rFonts w:ascii="Times New Roman" w:eastAsia="Times New Roman"/>
          <w:spacing w:val="3"/>
        </w:rPr>
        <w:t xml:space="preserve">13 </w:t>
      </w:r>
      <w:r>
        <w:rPr>
          <w:spacing w:val="7"/>
        </w:rPr>
        <w:t xml:space="preserve">层，分布范围很小，局部可采 </w:t>
      </w:r>
      <w:r>
        <w:rPr>
          <w:rFonts w:ascii="Times New Roman" w:eastAsia="Times New Roman"/>
          <w:spacing w:val="4"/>
        </w:rPr>
        <w:t>2</w:t>
      </w:r>
      <w:r>
        <w:rPr>
          <w:spacing w:val="4"/>
        </w:rPr>
        <w:t>～</w:t>
      </w:r>
      <w:r>
        <w:rPr>
          <w:spacing w:val="-96"/>
        </w:rPr>
        <w:t xml:space="preserve"> </w:t>
      </w:r>
      <w:r>
        <w:rPr>
          <w:rFonts w:ascii="Times New Roman" w:eastAsia="Times New Roman"/>
        </w:rPr>
        <w:t xml:space="preserve">5 </w:t>
      </w:r>
      <w:r>
        <w:t xml:space="preserve">层，厚度在 </w:t>
      </w:r>
      <w:r>
        <w:rPr>
          <w:rFonts w:ascii="Times New Roman" w:eastAsia="Times New Roman"/>
          <w:spacing w:val="7"/>
        </w:rPr>
        <w:t>0.1</w:t>
      </w:r>
      <w:r>
        <w:rPr>
          <w:spacing w:val="7"/>
        </w:rPr>
        <w:t>～</w:t>
      </w:r>
      <w:r>
        <w:rPr>
          <w:spacing w:val="-96"/>
        </w:rPr>
        <w:t xml:space="preserve"> </w:t>
      </w:r>
      <w:r>
        <w:rPr>
          <w:rFonts w:ascii="Times New Roman" w:eastAsia="Times New Roman"/>
          <w:spacing w:val="8"/>
        </w:rPr>
        <w:t>0.90m</w:t>
      </w:r>
      <w:r>
        <w:rPr>
          <w:spacing w:val="8"/>
        </w:rPr>
        <w:t xml:space="preserve">， </w:t>
      </w:r>
      <w:r>
        <w:rPr>
          <w:spacing w:val="-5"/>
        </w:rPr>
        <w:t xml:space="preserve">很不稳定， 无工业价值。岩相变化频繁， 分选、滚园均差， 总厚 </w:t>
      </w:r>
      <w:r>
        <w:rPr>
          <w:rFonts w:ascii="Times New Roman" w:eastAsia="Times New Roman"/>
          <w:spacing w:val="7"/>
        </w:rPr>
        <w:t>50</w:t>
      </w:r>
      <w:r>
        <w:rPr>
          <w:spacing w:val="7"/>
        </w:rPr>
        <w:t>～</w:t>
      </w:r>
      <w:r>
        <w:rPr>
          <w:spacing w:val="-99"/>
        </w:rPr>
        <w:t xml:space="preserve"> </w:t>
      </w:r>
      <w:r>
        <w:rPr>
          <w:rFonts w:ascii="Times New Roman" w:eastAsia="Times New Roman"/>
          <w:spacing w:val="10"/>
        </w:rPr>
        <w:t>180m</w:t>
      </w:r>
      <w:r>
        <w:t>。</w:t>
      </w:r>
    </w:p>
    <w:p>
      <w:pPr>
        <w:pStyle w:val="9"/>
        <w:spacing w:line="364" w:lineRule="auto"/>
        <w:ind w:left="1418" w:right="1405" w:firstLine="523"/>
        <w:jc w:val="both"/>
      </w:pPr>
      <w:r>
        <w:rPr>
          <w:spacing w:val="21"/>
        </w:rPr>
        <w:t>中部</w:t>
      </w:r>
      <w:r>
        <w:t>（</w:t>
      </w:r>
      <w:r>
        <w:rPr>
          <w:spacing w:val="-96"/>
        </w:rPr>
        <w:t xml:space="preserve"> </w:t>
      </w:r>
      <w:r>
        <w:rPr>
          <w:rFonts w:ascii="Times New Roman" w:eastAsia="Times New Roman"/>
        </w:rPr>
        <w:t xml:space="preserve">5 </w:t>
      </w:r>
      <w:r>
        <w:rPr>
          <w:spacing w:val="21"/>
        </w:rPr>
        <w:t>号煤层以下</w:t>
      </w:r>
      <w:r>
        <w:rPr>
          <w:spacing w:val="10"/>
        </w:rPr>
        <w:t>）</w:t>
      </w:r>
      <w:r>
        <w:rPr>
          <w:spacing w:val="2"/>
        </w:rPr>
        <w:t>： 是具有工业基础价值主要含煤段， 其岩性为灰色、</w:t>
      </w:r>
      <w:r>
        <w:rPr>
          <w:spacing w:val="7"/>
        </w:rPr>
        <w:t xml:space="preserve">深灰色富含植物碎屑粉砂岩， 灰白色中、细砂岩及层厚小于 </w:t>
      </w:r>
      <w:r>
        <w:rPr>
          <w:rFonts w:ascii="Times New Roman" w:eastAsia="Times New Roman"/>
          <w:spacing w:val="7"/>
        </w:rPr>
        <w:t xml:space="preserve">0.5m </w:t>
      </w:r>
      <w:r>
        <w:rPr>
          <w:spacing w:val="17"/>
        </w:rPr>
        <w:t>细砂岩与粉砂</w:t>
      </w:r>
      <w:r>
        <w:rPr>
          <w:spacing w:val="16"/>
        </w:rPr>
        <w:t xml:space="preserve">岩互层。夹薄层泞灰岩 </w:t>
      </w:r>
      <w:r>
        <w:rPr>
          <w:rFonts w:ascii="Times New Roman" w:eastAsia="Times New Roman"/>
          <w:spacing w:val="7"/>
        </w:rPr>
        <w:t>8</w:t>
      </w:r>
      <w:r>
        <w:rPr>
          <w:spacing w:val="7"/>
        </w:rPr>
        <w:t>～</w:t>
      </w:r>
      <w:r>
        <w:rPr>
          <w:spacing w:val="-96"/>
        </w:rPr>
        <w:t xml:space="preserve"> </w:t>
      </w:r>
      <w:r>
        <w:rPr>
          <w:rFonts w:ascii="Times New Roman" w:eastAsia="Times New Roman"/>
          <w:spacing w:val="3"/>
        </w:rPr>
        <w:t xml:space="preserve">13 </w:t>
      </w:r>
      <w:r>
        <w:rPr>
          <w:spacing w:val="5"/>
        </w:rPr>
        <w:t xml:space="preserve">层， 可作对比标志。含煤 </w:t>
      </w:r>
      <w:r>
        <w:rPr>
          <w:rFonts w:ascii="Times New Roman" w:eastAsia="Times New Roman"/>
          <w:spacing w:val="7"/>
        </w:rPr>
        <w:t>15</w:t>
      </w:r>
      <w:r>
        <w:rPr>
          <w:spacing w:val="7"/>
        </w:rPr>
        <w:t>～</w:t>
      </w:r>
      <w:r>
        <w:rPr>
          <w:spacing w:val="-94"/>
        </w:rPr>
        <w:t xml:space="preserve"> </w:t>
      </w:r>
      <w:r>
        <w:rPr>
          <w:rFonts w:ascii="Times New Roman" w:eastAsia="Times New Roman"/>
          <w:spacing w:val="3"/>
        </w:rPr>
        <w:t xml:space="preserve">25 </w:t>
      </w:r>
      <w:r>
        <w:rPr>
          <w:spacing w:val="-5"/>
        </w:rPr>
        <w:t xml:space="preserve">层， 全区稳定 </w:t>
      </w:r>
      <w:r>
        <w:rPr>
          <w:rFonts w:ascii="Times New Roman" w:eastAsia="Times New Roman"/>
        </w:rPr>
        <w:t xml:space="preserve">2 </w:t>
      </w:r>
      <w:r>
        <w:rPr>
          <w:spacing w:val="-8"/>
        </w:rPr>
        <w:t xml:space="preserve">层， 局部可采 </w:t>
      </w:r>
      <w:r>
        <w:rPr>
          <w:rFonts w:ascii="Times New Roman" w:eastAsia="Times New Roman"/>
          <w:spacing w:val="4"/>
        </w:rPr>
        <w:t>4</w:t>
      </w:r>
      <w:r>
        <w:rPr>
          <w:spacing w:val="4"/>
        </w:rPr>
        <w:t>～</w:t>
      </w:r>
      <w:r>
        <w:rPr>
          <w:spacing w:val="-96"/>
        </w:rPr>
        <w:t xml:space="preserve"> </w:t>
      </w:r>
      <w:r>
        <w:rPr>
          <w:rFonts w:ascii="Times New Roman" w:eastAsia="Times New Roman"/>
        </w:rPr>
        <w:t xml:space="preserve">5 </w:t>
      </w:r>
      <w:r>
        <w:rPr>
          <w:spacing w:val="5"/>
        </w:rPr>
        <w:t xml:space="preserve">层。总厚 </w:t>
      </w:r>
      <w:r>
        <w:rPr>
          <w:rFonts w:ascii="Times New Roman" w:eastAsia="Times New Roman"/>
          <w:spacing w:val="8"/>
        </w:rPr>
        <w:t>220</w:t>
      </w:r>
      <w:r>
        <w:rPr>
          <w:spacing w:val="8"/>
        </w:rPr>
        <w:t>～</w:t>
      </w:r>
      <w:r>
        <w:rPr>
          <w:spacing w:val="-99"/>
        </w:rPr>
        <w:t xml:space="preserve"> </w:t>
      </w:r>
      <w:r>
        <w:rPr>
          <w:rFonts w:ascii="Times New Roman" w:eastAsia="Times New Roman"/>
          <w:spacing w:val="11"/>
        </w:rPr>
        <w:t>260m</w:t>
      </w:r>
      <w:r>
        <w:t>。</w:t>
      </w:r>
    </w:p>
    <w:p>
      <w:pPr>
        <w:pStyle w:val="9"/>
        <w:spacing w:line="364" w:lineRule="auto"/>
        <w:ind w:left="1418" w:right="1437" w:firstLine="523"/>
        <w:jc w:val="both"/>
      </w:pPr>
      <w:r>
        <w:rPr>
          <w:spacing w:val="18"/>
        </w:rPr>
        <w:t>上部</w:t>
      </w:r>
      <w:r>
        <w:t>（</w:t>
      </w:r>
      <w:r>
        <w:rPr>
          <w:spacing w:val="-99"/>
        </w:rPr>
        <w:t xml:space="preserve"> </w:t>
      </w:r>
      <w:r>
        <w:rPr>
          <w:rFonts w:ascii="Times New Roman" w:eastAsia="Times New Roman"/>
        </w:rPr>
        <w:t xml:space="preserve">5 </w:t>
      </w:r>
      <w:r>
        <w:rPr>
          <w:spacing w:val="21"/>
        </w:rPr>
        <w:t>号以上至穆棱组界线</w:t>
      </w:r>
      <w:r>
        <w:rPr>
          <w:spacing w:val="15"/>
        </w:rPr>
        <w:t>）</w:t>
      </w:r>
      <w:r>
        <w:rPr>
          <w:spacing w:val="17"/>
        </w:rPr>
        <w:t>：岩性为灰白色中、细砂岩，深灰色粉砂岩</w:t>
      </w:r>
      <w:r>
        <w:rPr>
          <w:spacing w:val="1"/>
        </w:rPr>
        <w:t xml:space="preserve">为主， 夹绿色泞灰质岩 </w:t>
      </w:r>
      <w:r>
        <w:rPr>
          <w:rFonts w:ascii="Times New Roman" w:eastAsia="Times New Roman"/>
          <w:spacing w:val="6"/>
        </w:rPr>
        <w:t>1</w:t>
      </w:r>
      <w:r>
        <w:rPr>
          <w:spacing w:val="6"/>
        </w:rPr>
        <w:t>～</w:t>
      </w:r>
      <w:r>
        <w:rPr>
          <w:spacing w:val="-99"/>
        </w:rPr>
        <w:t xml:space="preserve"> </w:t>
      </w:r>
      <w:r>
        <w:rPr>
          <w:rFonts w:ascii="Times New Roman" w:eastAsia="Times New Roman"/>
        </w:rPr>
        <w:t xml:space="preserve">3 </w:t>
      </w:r>
      <w:r>
        <w:rPr>
          <w:spacing w:val="6"/>
        </w:rPr>
        <w:t xml:space="preserve">层。含煤 </w:t>
      </w:r>
      <w:r>
        <w:rPr>
          <w:rFonts w:ascii="Times New Roman" w:eastAsia="Times New Roman"/>
          <w:spacing w:val="6"/>
        </w:rPr>
        <w:t>5</w:t>
      </w:r>
      <w:r>
        <w:rPr>
          <w:spacing w:val="6"/>
        </w:rPr>
        <w:t>～</w:t>
      </w:r>
      <w:r>
        <w:rPr>
          <w:spacing w:val="-99"/>
        </w:rPr>
        <w:t xml:space="preserve"> </w:t>
      </w:r>
      <w:r>
        <w:rPr>
          <w:rFonts w:ascii="Times New Roman" w:eastAsia="Times New Roman"/>
          <w:spacing w:val="3"/>
        </w:rPr>
        <w:t xml:space="preserve">13 </w:t>
      </w:r>
      <w:r>
        <w:t xml:space="preserve">层， 均为薄煤， 无工业基础价值， </w:t>
      </w:r>
      <w:r>
        <w:rPr>
          <w:spacing w:val="8"/>
        </w:rPr>
        <w:t>但个别点达到可采厚度， 发育不稳定。</w:t>
      </w:r>
    </w:p>
    <w:p>
      <w:pPr>
        <w:pStyle w:val="18"/>
        <w:numPr>
          <w:ilvl w:val="0"/>
          <w:numId w:val="52"/>
        </w:numPr>
        <w:tabs>
          <w:tab w:val="left" w:pos="2597"/>
        </w:tabs>
        <w:spacing w:before="0" w:after="0" w:line="304" w:lineRule="exact"/>
        <w:ind w:left="2596" w:right="0" w:hanging="656"/>
        <w:jc w:val="left"/>
        <w:rPr>
          <w:sz w:val="24"/>
        </w:rPr>
      </w:pPr>
      <w:r>
        <w:rPr>
          <w:sz w:val="24"/>
        </w:rPr>
        <w:t>）</w:t>
      </w:r>
      <w:r>
        <w:rPr>
          <w:spacing w:val="-15"/>
          <w:sz w:val="24"/>
        </w:rPr>
        <w:t xml:space="preserve"> 穆棱组</w:t>
      </w:r>
    </w:p>
    <w:p>
      <w:pPr>
        <w:spacing w:after="0" w:line="304" w:lineRule="exact"/>
        <w:jc w:val="left"/>
        <w:rPr>
          <w:sz w:val="24"/>
        </w:rPr>
        <w:sectPr>
          <w:pgSz w:w="11910" w:h="16840"/>
          <w:pgMar w:top="1340" w:right="0" w:bottom="880" w:left="0" w:header="0" w:footer="681" w:gutter="0"/>
        </w:sectPr>
      </w:pPr>
    </w:p>
    <w:p>
      <w:pPr>
        <w:pStyle w:val="9"/>
        <w:spacing w:before="41" w:line="364" w:lineRule="auto"/>
        <w:ind w:left="1418" w:right="1437" w:firstLine="523"/>
        <w:jc w:val="both"/>
      </w:pPr>
      <w:r>
        <w:t xml:space="preserve">本组与城子河组呈整合接触，主要岩性均微带绿色及微黄色，以深灰色粉砂岩为主， 其次厚度小于 </w:t>
      </w:r>
      <w:r>
        <w:rPr>
          <w:rFonts w:ascii="Times New Roman" w:eastAsia="Times New Roman"/>
        </w:rPr>
        <w:t xml:space="preserve">0.5m </w:t>
      </w:r>
      <w:r>
        <w:t xml:space="preserve">细砂岩、粉砂岩互层， 和少量中砂岩、粗砂岩。旋迥结构不明显， 经后期剥蚀作用最大厚度为 </w:t>
      </w:r>
      <w:r>
        <w:rPr>
          <w:rFonts w:ascii="Times New Roman" w:eastAsia="Times New Roman"/>
        </w:rPr>
        <w:t>500m</w:t>
      </w:r>
      <w:r>
        <w:t>。</w:t>
      </w:r>
    </w:p>
    <w:p>
      <w:pPr>
        <w:pStyle w:val="9"/>
        <w:spacing w:line="307" w:lineRule="exact"/>
        <w:ind w:left="1941"/>
      </w:pPr>
      <w:r>
        <w:rPr>
          <w:rFonts w:ascii="Times New Roman" w:eastAsia="Times New Roman"/>
        </w:rPr>
        <w:t>3</w:t>
      </w:r>
      <w:r>
        <w:t>、白垩系火山岩组</w:t>
      </w:r>
    </w:p>
    <w:p>
      <w:pPr>
        <w:pStyle w:val="9"/>
        <w:spacing w:before="158" w:line="362" w:lineRule="auto"/>
        <w:ind w:left="1418" w:right="1437" w:firstLine="523"/>
        <w:jc w:val="both"/>
      </w:pPr>
      <w:r>
        <w:rPr>
          <w:spacing w:val="15"/>
        </w:rPr>
        <w:t>该组地层主要在向斜轴以南至分水岭，呈大面积覆盖于煤系地层之上，从槽</w:t>
      </w:r>
      <w:r>
        <w:rPr>
          <w:spacing w:val="10"/>
        </w:rPr>
        <w:t xml:space="preserve">探实见为不整合接触。从地表及 </w:t>
      </w:r>
      <w:r>
        <w:rPr>
          <w:rFonts w:ascii="Times New Roman" w:eastAsia="Times New Roman"/>
          <w:spacing w:val="6"/>
        </w:rPr>
        <w:t xml:space="preserve">522 </w:t>
      </w:r>
      <w:r>
        <w:rPr>
          <w:spacing w:val="16"/>
        </w:rPr>
        <w:t>孔证实全部由安山质角砾岩、集块岩及安山</w:t>
      </w:r>
      <w:r>
        <w:rPr>
          <w:spacing w:val="15"/>
          <w:position w:val="2"/>
        </w:rPr>
        <w:t xml:space="preserve">质泞灰熔岩组成。目前控制厚度 </w:t>
      </w:r>
      <w:r>
        <w:rPr>
          <w:rFonts w:ascii="Times New Roman" w:eastAsia="Times New Roman"/>
          <w:spacing w:val="8"/>
          <w:position w:val="2"/>
        </w:rPr>
        <w:t>470m</w:t>
      </w:r>
      <w:r>
        <w:rPr>
          <w:spacing w:val="9"/>
          <w:position w:val="2"/>
        </w:rPr>
        <w:t>， 其时代经讨论确定为伊林组</w:t>
      </w:r>
      <w:r>
        <w:rPr>
          <w:position w:val="2"/>
        </w:rPr>
        <w:t>（</w:t>
      </w:r>
      <w:r>
        <w:rPr>
          <w:spacing w:val="-96"/>
          <w:position w:val="2"/>
        </w:rPr>
        <w:t xml:space="preserve"> </w:t>
      </w:r>
      <w:r>
        <w:rPr>
          <w:rFonts w:ascii="Times New Roman" w:eastAsia="Times New Roman"/>
          <w:spacing w:val="14"/>
          <w:position w:val="2"/>
        </w:rPr>
        <w:t>K</w:t>
      </w:r>
      <w:r>
        <w:rPr>
          <w:rFonts w:ascii="Times New Roman" w:eastAsia="Times New Roman"/>
          <w:spacing w:val="14"/>
          <w:position w:val="2"/>
          <w:vertAlign w:val="subscript"/>
        </w:rPr>
        <w:t>2</w:t>
      </w:r>
      <w:r>
        <w:rPr>
          <w:spacing w:val="14"/>
          <w:position w:val="2"/>
          <w:vertAlign w:val="baseline"/>
        </w:rPr>
        <w:t>）</w:t>
      </w:r>
      <w:r>
        <w:rPr>
          <w:position w:val="2"/>
          <w:vertAlign w:val="baseline"/>
        </w:rPr>
        <w:t>。</w:t>
      </w:r>
    </w:p>
    <w:p>
      <w:pPr>
        <w:pStyle w:val="9"/>
        <w:spacing w:before="4"/>
        <w:ind w:left="1941"/>
      </w:pPr>
      <w:r>
        <w:rPr>
          <w:rFonts w:ascii="Times New Roman" w:eastAsia="Times New Roman"/>
        </w:rPr>
        <w:t>4</w:t>
      </w:r>
      <w:r>
        <w:t>、新近系玄武岩</w:t>
      </w:r>
    </w:p>
    <w:p>
      <w:pPr>
        <w:pStyle w:val="9"/>
        <w:spacing w:before="159" w:line="364" w:lineRule="auto"/>
        <w:ind w:left="1418" w:right="1437" w:firstLine="523"/>
      </w:pPr>
      <w:r>
        <w:t>见有气孔状和致密状两种，均为橄榄玄武岩，偶见气孔中充填少量次生碳酸盐矿物。并有少量的辉石， 覆盖于白垩系及煤系基盘之上。</w:t>
      </w:r>
    </w:p>
    <w:p>
      <w:pPr>
        <w:pStyle w:val="9"/>
        <w:spacing w:line="306" w:lineRule="exact"/>
        <w:ind w:left="1941"/>
      </w:pPr>
      <w:r>
        <w:rPr>
          <w:rFonts w:ascii="Times New Roman" w:eastAsia="Times New Roman"/>
        </w:rPr>
        <w:t>5</w:t>
      </w:r>
      <w:r>
        <w:t>、第四系冲积层</w:t>
      </w:r>
    </w:p>
    <w:p>
      <w:pPr>
        <w:pStyle w:val="9"/>
        <w:spacing w:before="160" w:line="364" w:lineRule="auto"/>
        <w:ind w:left="1418" w:right="1435" w:firstLine="523"/>
        <w:jc w:val="both"/>
      </w:pPr>
      <w:r>
        <w:t xml:space="preserve">主要分布在河流两侧， 最大厚度 </w:t>
      </w:r>
      <w:r>
        <w:rPr>
          <w:rFonts w:ascii="Times New Roman" w:eastAsia="Times New Roman"/>
        </w:rPr>
        <w:t xml:space="preserve">10m </w:t>
      </w:r>
      <w:r>
        <w:t xml:space="preserve">左右， 由花岗岩、流纹岩等砾石以及粗砂和矽质粘土组成， 上面有一层 </w:t>
      </w:r>
      <w:r>
        <w:rPr>
          <w:rFonts w:ascii="Times New Roman" w:eastAsia="Times New Roman"/>
        </w:rPr>
        <w:t xml:space="preserve">0.5m </w:t>
      </w:r>
      <w:r>
        <w:t xml:space="preserve">腐植土， 在山坡地带分布 </w:t>
      </w:r>
      <w:r>
        <w:rPr>
          <w:rFonts w:ascii="Times New Roman" w:eastAsia="Times New Roman"/>
        </w:rPr>
        <w:t xml:space="preserve">0.5-2.00m </w:t>
      </w:r>
      <w:r>
        <w:t>坡积和残积物质， 在高山区侵蚀作用显著。</w:t>
      </w:r>
    </w:p>
    <w:p>
      <w:pPr>
        <w:pStyle w:val="8"/>
        <w:numPr>
          <w:ilvl w:val="3"/>
          <w:numId w:val="51"/>
        </w:numPr>
        <w:tabs>
          <w:tab w:val="left" w:pos="2619"/>
        </w:tabs>
        <w:spacing w:before="0" w:after="0" w:line="307" w:lineRule="exact"/>
        <w:ind w:left="2618" w:right="0" w:hanging="721"/>
        <w:jc w:val="left"/>
      </w:pPr>
      <w:r>
        <w:t>评价区区域构造</w:t>
      </w:r>
    </w:p>
    <w:p>
      <w:pPr>
        <w:pStyle w:val="9"/>
        <w:spacing w:before="158" w:line="364" w:lineRule="auto"/>
        <w:ind w:left="1418" w:right="1417" w:firstLine="480"/>
        <w:jc w:val="both"/>
      </w:pPr>
      <w:r>
        <w:rPr>
          <w:spacing w:val="-4"/>
        </w:rPr>
        <w:t>双鸭山煤田在中国大地构造体系中依据地质力学解释，属新华夏系第二隆起带上的</w:t>
      </w:r>
      <w:r>
        <w:rPr>
          <w:spacing w:val="-5"/>
        </w:rPr>
        <w:t>一个拗折带，即三江</w:t>
      </w:r>
      <w:r>
        <w:rPr>
          <w:rFonts w:ascii="Times New Roman" w:hAnsi="Times New Roman" w:eastAsia="Times New Roman"/>
        </w:rPr>
        <w:t>—</w:t>
      </w:r>
      <w:r>
        <w:rPr>
          <w:spacing w:val="-4"/>
        </w:rPr>
        <w:t>穆棱河聚煤区。双鸭山煤田从属于三江</w:t>
      </w:r>
      <w:r>
        <w:rPr>
          <w:rFonts w:ascii="Times New Roman" w:hAnsi="Times New Roman" w:eastAsia="Times New Roman"/>
        </w:rPr>
        <w:t>—</w:t>
      </w:r>
      <w:r>
        <w:rPr>
          <w:spacing w:val="-2"/>
        </w:rPr>
        <w:t>穆棱河聚煤区中的西南</w:t>
      </w:r>
      <w:r>
        <w:t>部，在中生代下白垩世沉积城子河组和穆棱组含煤地层。</w:t>
      </w:r>
    </w:p>
    <w:p>
      <w:pPr>
        <w:pStyle w:val="9"/>
        <w:spacing w:line="364" w:lineRule="auto"/>
        <w:ind w:left="1418" w:right="1297" w:firstLine="480"/>
      </w:pPr>
      <w:r>
        <w:t>双鸭山煤田的总体构造形态是处于安邦河</w:t>
      </w:r>
      <w:r>
        <w:rPr>
          <w:rFonts w:ascii="Times New Roman" w:eastAsia="Times New Roman"/>
        </w:rPr>
        <w:t>-</w:t>
      </w:r>
      <w:r>
        <w:t>七星河弧形复式向斜的中部地区，呈弧</w:t>
      </w:r>
      <w:r>
        <w:rPr>
          <w:spacing w:val="-14"/>
        </w:rPr>
        <w:t xml:space="preserve">形展布的向斜构造，地层倾角南翼陡北翼缓，被后期双鸭山煤田南部逆冲断层切割破坏， </w:t>
      </w:r>
      <w:r>
        <w:t>它是改造双鸭山煤田总体构造形态的主干断裂。</w:t>
      </w:r>
    </w:p>
    <w:p>
      <w:pPr>
        <w:pStyle w:val="9"/>
        <w:spacing w:line="364" w:lineRule="auto"/>
        <w:ind w:left="1418" w:right="1435" w:firstLine="518"/>
        <w:jc w:val="both"/>
      </w:pPr>
      <w:r>
        <w:t>双鸭山盟度矿业有限责任公司处于三江—穆棱河聚煤区的西南边缘地带，它在双桦— 双鸭山— 集贤— 绥滨凹陷的南端， 处在安邦河— 七星河复式向斜的南部。煤田的中部有一轴向北西西且向东倾伏的背斜构造，其背南、北两侧分别为向斜构造。</w:t>
      </w:r>
    </w:p>
    <w:p>
      <w:pPr>
        <w:pStyle w:val="9"/>
        <w:spacing w:line="364" w:lineRule="auto"/>
        <w:ind w:left="1418" w:right="1435" w:firstLine="518"/>
        <w:jc w:val="both"/>
      </w:pPr>
      <w:r>
        <w:rPr>
          <w:spacing w:val="15"/>
        </w:rPr>
        <w:t>本项目处在北侧向斜的北翼的西段，井田内呈向斜构造，其轴向近东西；地</w:t>
      </w:r>
      <w:r>
        <w:rPr>
          <w:spacing w:val="8"/>
        </w:rPr>
        <w:t xml:space="preserve">层北翼走向北 </w:t>
      </w:r>
      <w:r>
        <w:rPr>
          <w:spacing w:val="7"/>
        </w:rPr>
        <w:t>70</w:t>
      </w:r>
      <w:r>
        <w:rPr>
          <w:spacing w:val="-46"/>
        </w:rPr>
        <w:t xml:space="preserve">° </w:t>
      </w:r>
      <w:r>
        <w:t>～</w:t>
      </w:r>
      <w:r>
        <w:rPr>
          <w:spacing w:val="-99"/>
        </w:rPr>
        <w:t xml:space="preserve"> </w:t>
      </w:r>
      <w:r>
        <w:rPr>
          <w:spacing w:val="6"/>
        </w:rPr>
        <w:t>85</w:t>
      </w:r>
      <w:r>
        <w:rPr>
          <w:spacing w:val="-25"/>
        </w:rPr>
        <w:t xml:space="preserve">° 东， 倾角 </w:t>
      </w:r>
      <w:r>
        <w:rPr>
          <w:spacing w:val="7"/>
        </w:rPr>
        <w:t>55</w:t>
      </w:r>
      <w:r>
        <w:rPr>
          <w:spacing w:val="-46"/>
        </w:rPr>
        <w:t xml:space="preserve">° </w:t>
      </w:r>
      <w:r>
        <w:t>～</w:t>
      </w:r>
      <w:r>
        <w:rPr>
          <w:spacing w:val="-99"/>
        </w:rPr>
        <w:t xml:space="preserve"> </w:t>
      </w:r>
      <w:r>
        <w:rPr>
          <w:spacing w:val="10"/>
        </w:rPr>
        <w:t>70</w:t>
      </w:r>
      <w:r>
        <w:rPr>
          <w:spacing w:val="-5"/>
        </w:rPr>
        <w:t xml:space="preserve">°； 南翼走向北 </w:t>
      </w:r>
      <w:r>
        <w:rPr>
          <w:spacing w:val="10"/>
        </w:rPr>
        <w:t>50°～</w:t>
      </w:r>
      <w:r>
        <w:rPr>
          <w:spacing w:val="-99"/>
        </w:rPr>
        <w:t xml:space="preserve"> </w:t>
      </w:r>
      <w:r>
        <w:rPr>
          <w:spacing w:val="7"/>
        </w:rPr>
        <w:t>75</w:t>
      </w:r>
      <w:r>
        <w:rPr>
          <w:spacing w:val="-30"/>
        </w:rPr>
        <w:t>° 西， 倾</w:t>
      </w:r>
      <w:r>
        <w:rPr>
          <w:spacing w:val="-33"/>
        </w:rPr>
        <w:t xml:space="preserve">角 </w:t>
      </w:r>
      <w:r>
        <w:rPr>
          <w:spacing w:val="14"/>
        </w:rPr>
        <w:t>10°～15</w:t>
      </w:r>
      <w:r>
        <w:rPr>
          <w:spacing w:val="11"/>
        </w:rPr>
        <w:t xml:space="preserve">°。井田内见到四条落差大于 </w:t>
      </w:r>
      <w:r>
        <w:rPr>
          <w:spacing w:val="5"/>
        </w:rPr>
        <w:t>30m</w:t>
      </w:r>
      <w:r>
        <w:rPr>
          <w:spacing w:val="-1"/>
        </w:rPr>
        <w:t xml:space="preserve"> 断层。</w:t>
      </w:r>
    </w:p>
    <w:p>
      <w:pPr>
        <w:spacing w:before="0" w:line="267" w:lineRule="exact"/>
        <w:ind w:left="4605" w:right="0" w:firstLine="0"/>
        <w:jc w:val="both"/>
        <w:rPr>
          <w:b/>
          <w:sz w:val="21"/>
        </w:rPr>
      </w:pPr>
      <w:r>
        <w:rPr>
          <w:b/>
          <w:spacing w:val="-26"/>
          <w:sz w:val="21"/>
        </w:rPr>
        <w:t xml:space="preserve">表 </w:t>
      </w:r>
      <w:r>
        <w:rPr>
          <w:rFonts w:ascii="Times New Roman" w:eastAsia="Times New Roman"/>
          <w:b/>
          <w:sz w:val="21"/>
        </w:rPr>
        <w:t>3.1-1</w:t>
      </w:r>
      <w:r>
        <w:rPr>
          <w:rFonts w:ascii="Times New Roman" w:eastAsia="Times New Roman"/>
          <w:b/>
          <w:spacing w:val="52"/>
          <w:sz w:val="21"/>
        </w:rPr>
        <w:t xml:space="preserve"> </w:t>
      </w:r>
      <w:r>
        <w:rPr>
          <w:b/>
          <w:sz w:val="21"/>
        </w:rPr>
        <w:t>矿井主要断层一览表</w:t>
      </w:r>
    </w:p>
    <w:p>
      <w:pPr>
        <w:spacing w:after="0" w:line="267" w:lineRule="exact"/>
        <w:jc w:val="both"/>
        <w:rPr>
          <w:sz w:val="21"/>
        </w:rPr>
        <w:sectPr>
          <w:pgSz w:w="11910" w:h="16840"/>
          <w:pgMar w:top="1360" w:right="0" w:bottom="880" w:left="0" w:header="0" w:footer="681" w:gutter="0"/>
        </w:sectPr>
      </w:pPr>
    </w:p>
    <w:tbl>
      <w:tblPr>
        <w:tblStyle w:val="15"/>
        <w:tblW w:w="0" w:type="auto"/>
        <w:tblInd w:w="13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80"/>
        <w:gridCol w:w="1367"/>
        <w:gridCol w:w="780"/>
        <w:gridCol w:w="1330"/>
        <w:gridCol w:w="502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780" w:type="dxa"/>
            <w:tcBorders>
              <w:bottom w:val="single" w:color="000000" w:sz="4" w:space="0"/>
              <w:right w:val="single" w:color="000000" w:sz="4" w:space="0"/>
            </w:tcBorders>
          </w:tcPr>
          <w:p>
            <w:pPr>
              <w:pStyle w:val="19"/>
              <w:spacing w:before="10"/>
              <w:jc w:val="left"/>
              <w:rPr>
                <w:b/>
                <w:sz w:val="14"/>
              </w:rPr>
            </w:pPr>
          </w:p>
          <w:p>
            <w:pPr>
              <w:pStyle w:val="19"/>
              <w:ind w:left="159" w:right="146"/>
              <w:rPr>
                <w:sz w:val="21"/>
              </w:rPr>
            </w:pPr>
            <w:r>
              <w:rPr>
                <w:sz w:val="21"/>
              </w:rPr>
              <w:t>编号</w:t>
            </w:r>
          </w:p>
        </w:tc>
        <w:tc>
          <w:tcPr>
            <w:tcW w:w="1367" w:type="dxa"/>
            <w:tcBorders>
              <w:left w:val="single" w:color="000000" w:sz="4" w:space="0"/>
              <w:bottom w:val="single" w:color="000000" w:sz="4" w:space="0"/>
              <w:right w:val="single" w:color="000000" w:sz="4" w:space="0"/>
            </w:tcBorders>
          </w:tcPr>
          <w:p>
            <w:pPr>
              <w:pStyle w:val="19"/>
              <w:spacing w:before="10"/>
              <w:jc w:val="left"/>
              <w:rPr>
                <w:b/>
                <w:sz w:val="14"/>
              </w:rPr>
            </w:pPr>
          </w:p>
          <w:p>
            <w:pPr>
              <w:pStyle w:val="19"/>
              <w:ind w:left="194" w:right="177"/>
              <w:rPr>
                <w:sz w:val="21"/>
              </w:rPr>
            </w:pPr>
            <w:r>
              <w:rPr>
                <w:sz w:val="21"/>
              </w:rPr>
              <w:t>方位</w:t>
            </w:r>
          </w:p>
        </w:tc>
        <w:tc>
          <w:tcPr>
            <w:tcW w:w="780" w:type="dxa"/>
            <w:tcBorders>
              <w:left w:val="single" w:color="000000" w:sz="4" w:space="0"/>
              <w:bottom w:val="single" w:color="000000" w:sz="4" w:space="0"/>
              <w:right w:val="single" w:color="000000" w:sz="4" w:space="0"/>
            </w:tcBorders>
          </w:tcPr>
          <w:p>
            <w:pPr>
              <w:pStyle w:val="19"/>
              <w:spacing w:before="10"/>
              <w:jc w:val="left"/>
              <w:rPr>
                <w:b/>
                <w:sz w:val="14"/>
              </w:rPr>
            </w:pPr>
          </w:p>
          <w:p>
            <w:pPr>
              <w:pStyle w:val="19"/>
              <w:ind w:left="162" w:right="147"/>
              <w:rPr>
                <w:sz w:val="21"/>
              </w:rPr>
            </w:pPr>
            <w:r>
              <w:rPr>
                <w:sz w:val="21"/>
              </w:rPr>
              <w:t>性质</w:t>
            </w:r>
          </w:p>
        </w:tc>
        <w:tc>
          <w:tcPr>
            <w:tcW w:w="1330" w:type="dxa"/>
            <w:tcBorders>
              <w:left w:val="single" w:color="000000" w:sz="4" w:space="0"/>
              <w:bottom w:val="single" w:color="000000" w:sz="4" w:space="0"/>
              <w:right w:val="single" w:color="000000" w:sz="4" w:space="0"/>
            </w:tcBorders>
          </w:tcPr>
          <w:p>
            <w:pPr>
              <w:pStyle w:val="19"/>
              <w:spacing w:before="10"/>
              <w:jc w:val="left"/>
              <w:rPr>
                <w:b/>
                <w:sz w:val="14"/>
              </w:rPr>
            </w:pPr>
          </w:p>
          <w:p>
            <w:pPr>
              <w:pStyle w:val="19"/>
              <w:ind w:left="175" w:right="160"/>
              <w:rPr>
                <w:sz w:val="21"/>
              </w:rPr>
            </w:pPr>
            <w:r>
              <w:rPr>
                <w:sz w:val="21"/>
              </w:rPr>
              <w:t>落差（m）</w:t>
            </w:r>
          </w:p>
        </w:tc>
        <w:tc>
          <w:tcPr>
            <w:tcW w:w="5025" w:type="dxa"/>
            <w:tcBorders>
              <w:left w:val="single" w:color="000000" w:sz="4" w:space="0"/>
              <w:bottom w:val="single" w:color="000000" w:sz="4" w:space="0"/>
            </w:tcBorders>
          </w:tcPr>
          <w:p>
            <w:pPr>
              <w:pStyle w:val="19"/>
              <w:spacing w:before="10"/>
              <w:jc w:val="left"/>
              <w:rPr>
                <w:b/>
                <w:sz w:val="14"/>
              </w:rPr>
            </w:pPr>
          </w:p>
          <w:p>
            <w:pPr>
              <w:pStyle w:val="19"/>
              <w:ind w:left="39" w:right="19"/>
              <w:rPr>
                <w:sz w:val="21"/>
              </w:rPr>
            </w:pPr>
            <w:r>
              <w:rPr>
                <w:sz w:val="21"/>
              </w:rPr>
              <w:t>控制程度及可靠性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780" w:type="dxa"/>
            <w:tcBorders>
              <w:top w:val="single" w:color="000000" w:sz="4" w:space="0"/>
              <w:bottom w:val="single" w:color="000000" w:sz="4" w:space="0"/>
              <w:right w:val="single" w:color="000000" w:sz="4" w:space="0"/>
            </w:tcBorders>
          </w:tcPr>
          <w:p>
            <w:pPr>
              <w:pStyle w:val="19"/>
              <w:spacing w:before="136"/>
              <w:ind w:left="159" w:right="146"/>
              <w:rPr>
                <w:sz w:val="10"/>
              </w:rPr>
            </w:pPr>
            <w:r>
              <w:rPr>
                <w:spacing w:val="1"/>
                <w:w w:val="99"/>
                <w:sz w:val="21"/>
              </w:rPr>
              <w:t>F</w:t>
            </w:r>
            <w:r>
              <w:rPr>
                <w:w w:val="106"/>
                <w:position w:val="-2"/>
                <w:sz w:val="10"/>
              </w:rPr>
              <w:t>6</w:t>
            </w:r>
          </w:p>
        </w:tc>
        <w:tc>
          <w:tcPr>
            <w:tcW w:w="1367" w:type="dxa"/>
            <w:tcBorders>
              <w:top w:val="single" w:color="000000" w:sz="4" w:space="0"/>
              <w:left w:val="single" w:color="000000" w:sz="4" w:space="0"/>
              <w:bottom w:val="single" w:color="000000" w:sz="4" w:space="0"/>
              <w:right w:val="single" w:color="000000" w:sz="4" w:space="0"/>
            </w:tcBorders>
          </w:tcPr>
          <w:p>
            <w:pPr>
              <w:pStyle w:val="19"/>
              <w:spacing w:before="136"/>
              <w:ind w:left="191" w:right="177"/>
              <w:rPr>
                <w:sz w:val="21"/>
              </w:rPr>
            </w:pPr>
            <w:r>
              <w:rPr>
                <w:sz w:val="21"/>
              </w:rPr>
              <w:t>近东西向</w:t>
            </w:r>
          </w:p>
        </w:tc>
        <w:tc>
          <w:tcPr>
            <w:tcW w:w="780" w:type="dxa"/>
            <w:tcBorders>
              <w:top w:val="single" w:color="000000" w:sz="4" w:space="0"/>
              <w:left w:val="single" w:color="000000" w:sz="4" w:space="0"/>
              <w:bottom w:val="single" w:color="000000" w:sz="4" w:space="0"/>
              <w:right w:val="single" w:color="000000" w:sz="4" w:space="0"/>
            </w:tcBorders>
          </w:tcPr>
          <w:p>
            <w:pPr>
              <w:pStyle w:val="19"/>
              <w:spacing w:before="136"/>
              <w:ind w:left="18"/>
              <w:rPr>
                <w:sz w:val="21"/>
              </w:rPr>
            </w:pPr>
            <w:r>
              <w:rPr>
                <w:w w:val="99"/>
                <w:sz w:val="21"/>
              </w:rPr>
              <w:t>逆</w:t>
            </w:r>
          </w:p>
        </w:tc>
        <w:tc>
          <w:tcPr>
            <w:tcW w:w="1330" w:type="dxa"/>
            <w:tcBorders>
              <w:top w:val="single" w:color="000000" w:sz="4" w:space="0"/>
              <w:left w:val="single" w:color="000000" w:sz="4" w:space="0"/>
              <w:bottom w:val="single" w:color="000000" w:sz="4" w:space="0"/>
              <w:right w:val="single" w:color="000000" w:sz="4" w:space="0"/>
            </w:tcBorders>
          </w:tcPr>
          <w:p>
            <w:pPr>
              <w:pStyle w:val="19"/>
              <w:spacing w:before="136"/>
              <w:ind w:left="175" w:right="159"/>
              <w:rPr>
                <w:sz w:val="21"/>
              </w:rPr>
            </w:pPr>
            <w:r>
              <w:rPr>
                <w:sz w:val="21"/>
              </w:rPr>
              <w:t>100</w:t>
            </w:r>
          </w:p>
        </w:tc>
        <w:tc>
          <w:tcPr>
            <w:tcW w:w="5025" w:type="dxa"/>
            <w:tcBorders>
              <w:top w:val="single" w:color="000000" w:sz="4" w:space="0"/>
              <w:left w:val="single" w:color="000000" w:sz="4" w:space="0"/>
              <w:bottom w:val="single" w:color="000000" w:sz="4" w:space="0"/>
            </w:tcBorders>
          </w:tcPr>
          <w:p>
            <w:pPr>
              <w:pStyle w:val="19"/>
              <w:spacing w:before="1"/>
              <w:ind w:left="41" w:right="19"/>
              <w:rPr>
                <w:sz w:val="21"/>
              </w:rPr>
            </w:pPr>
            <w:r>
              <w:rPr>
                <w:sz w:val="21"/>
              </w:rPr>
              <w:t>开采 12、14、16 有二条片盘点实见及主井实见，可</w:t>
            </w:r>
          </w:p>
          <w:p>
            <w:pPr>
              <w:pStyle w:val="19"/>
              <w:spacing w:before="2" w:line="252" w:lineRule="exact"/>
              <w:ind w:left="41" w:right="19"/>
              <w:rPr>
                <w:sz w:val="21"/>
              </w:rPr>
            </w:pPr>
            <w:r>
              <w:rPr>
                <w:sz w:val="21"/>
              </w:rPr>
              <w:t>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80" w:type="dxa"/>
            <w:tcBorders>
              <w:top w:val="single" w:color="000000" w:sz="4" w:space="0"/>
              <w:bottom w:val="single" w:color="000000" w:sz="4" w:space="0"/>
              <w:right w:val="single" w:color="000000" w:sz="4" w:space="0"/>
            </w:tcBorders>
          </w:tcPr>
          <w:p>
            <w:pPr>
              <w:pStyle w:val="19"/>
              <w:spacing w:line="252" w:lineRule="exact"/>
              <w:ind w:left="159" w:right="146"/>
              <w:rPr>
                <w:sz w:val="10"/>
              </w:rPr>
            </w:pPr>
            <w:r>
              <w:rPr>
                <w:spacing w:val="1"/>
                <w:w w:val="99"/>
                <w:position w:val="3"/>
                <w:sz w:val="21"/>
              </w:rPr>
              <w:t>F</w:t>
            </w:r>
            <w:r>
              <w:rPr>
                <w:spacing w:val="-1"/>
                <w:w w:val="106"/>
                <w:sz w:val="10"/>
              </w:rPr>
              <w:t>1</w:t>
            </w:r>
            <w:r>
              <w:rPr>
                <w:w w:val="106"/>
                <w:sz w:val="10"/>
              </w:rPr>
              <w:t>0</w:t>
            </w:r>
          </w:p>
        </w:tc>
        <w:tc>
          <w:tcPr>
            <w:tcW w:w="1367" w:type="dxa"/>
            <w:tcBorders>
              <w:top w:val="single" w:color="000000" w:sz="4" w:space="0"/>
              <w:left w:val="single" w:color="000000" w:sz="4" w:space="0"/>
              <w:bottom w:val="single" w:color="000000" w:sz="4" w:space="0"/>
              <w:right w:val="single" w:color="000000" w:sz="4" w:space="0"/>
            </w:tcBorders>
          </w:tcPr>
          <w:p>
            <w:pPr>
              <w:pStyle w:val="19"/>
              <w:spacing w:before="1" w:line="251" w:lineRule="exact"/>
              <w:ind w:left="194" w:right="177"/>
              <w:rPr>
                <w:sz w:val="21"/>
              </w:rPr>
            </w:pPr>
            <w:r>
              <w:rPr>
                <w:sz w:val="21"/>
              </w:rPr>
              <w:t>北 60°西</w:t>
            </w:r>
          </w:p>
        </w:tc>
        <w:tc>
          <w:tcPr>
            <w:tcW w:w="780" w:type="dxa"/>
            <w:tcBorders>
              <w:top w:val="single" w:color="000000" w:sz="4" w:space="0"/>
              <w:left w:val="single" w:color="000000" w:sz="4" w:space="0"/>
              <w:bottom w:val="single" w:color="000000" w:sz="4" w:space="0"/>
              <w:right w:val="single" w:color="000000" w:sz="4" w:space="0"/>
            </w:tcBorders>
          </w:tcPr>
          <w:p>
            <w:pPr>
              <w:pStyle w:val="19"/>
              <w:spacing w:before="1" w:line="251" w:lineRule="exact"/>
              <w:ind w:left="18"/>
              <w:rPr>
                <w:sz w:val="21"/>
              </w:rPr>
            </w:pPr>
            <w:r>
              <w:rPr>
                <w:w w:val="99"/>
                <w:sz w:val="21"/>
              </w:rPr>
              <w:t>正</w:t>
            </w:r>
          </w:p>
        </w:tc>
        <w:tc>
          <w:tcPr>
            <w:tcW w:w="1330" w:type="dxa"/>
            <w:tcBorders>
              <w:top w:val="single" w:color="000000" w:sz="4" w:space="0"/>
              <w:left w:val="single" w:color="000000" w:sz="4" w:space="0"/>
              <w:bottom w:val="single" w:color="000000" w:sz="4" w:space="0"/>
              <w:right w:val="single" w:color="000000" w:sz="4" w:space="0"/>
            </w:tcBorders>
          </w:tcPr>
          <w:p>
            <w:pPr>
              <w:pStyle w:val="19"/>
              <w:spacing w:before="1" w:line="251" w:lineRule="exact"/>
              <w:ind w:left="175" w:right="157"/>
              <w:rPr>
                <w:sz w:val="21"/>
              </w:rPr>
            </w:pPr>
            <w:r>
              <w:rPr>
                <w:sz w:val="21"/>
              </w:rPr>
              <w:t>75-100</w:t>
            </w:r>
          </w:p>
        </w:tc>
        <w:tc>
          <w:tcPr>
            <w:tcW w:w="5025" w:type="dxa"/>
            <w:tcBorders>
              <w:top w:val="single" w:color="000000" w:sz="4" w:space="0"/>
              <w:left w:val="single" w:color="000000" w:sz="4" w:space="0"/>
              <w:bottom w:val="single" w:color="000000" w:sz="4" w:space="0"/>
            </w:tcBorders>
          </w:tcPr>
          <w:p>
            <w:pPr>
              <w:pStyle w:val="19"/>
              <w:spacing w:before="1" w:line="251" w:lineRule="exact"/>
              <w:ind w:left="41" w:right="19"/>
              <w:rPr>
                <w:sz w:val="21"/>
              </w:rPr>
            </w:pPr>
            <w:r>
              <w:rPr>
                <w:sz w:val="21"/>
              </w:rPr>
              <w:t>有钻孔及槽、井探控制，可靠。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5" w:hRule="atLeast"/>
        </w:trPr>
        <w:tc>
          <w:tcPr>
            <w:tcW w:w="780" w:type="dxa"/>
            <w:tcBorders>
              <w:top w:val="single" w:color="000000" w:sz="4" w:space="0"/>
              <w:bottom w:val="single" w:color="000000" w:sz="4" w:space="0"/>
              <w:right w:val="single" w:color="000000" w:sz="4" w:space="0"/>
            </w:tcBorders>
          </w:tcPr>
          <w:p>
            <w:pPr>
              <w:pStyle w:val="19"/>
              <w:spacing w:before="171"/>
              <w:ind w:left="159" w:right="146"/>
              <w:rPr>
                <w:sz w:val="10"/>
              </w:rPr>
            </w:pPr>
            <w:r>
              <w:rPr>
                <w:spacing w:val="1"/>
                <w:w w:val="99"/>
                <w:position w:val="3"/>
                <w:sz w:val="21"/>
              </w:rPr>
              <w:t>F</w:t>
            </w:r>
            <w:r>
              <w:rPr>
                <w:spacing w:val="-1"/>
                <w:w w:val="106"/>
                <w:sz w:val="10"/>
              </w:rPr>
              <w:t>1</w:t>
            </w:r>
            <w:r>
              <w:rPr>
                <w:w w:val="106"/>
                <w:sz w:val="10"/>
              </w:rPr>
              <w:t>2</w:t>
            </w:r>
          </w:p>
        </w:tc>
        <w:tc>
          <w:tcPr>
            <w:tcW w:w="1367" w:type="dxa"/>
            <w:tcBorders>
              <w:top w:val="single" w:color="000000" w:sz="4" w:space="0"/>
              <w:left w:val="single" w:color="000000" w:sz="4" w:space="0"/>
              <w:bottom w:val="single" w:color="000000" w:sz="4" w:space="0"/>
              <w:right w:val="single" w:color="000000" w:sz="4" w:space="0"/>
            </w:tcBorders>
          </w:tcPr>
          <w:p>
            <w:pPr>
              <w:pStyle w:val="19"/>
              <w:spacing w:before="172"/>
              <w:ind w:left="191" w:right="177"/>
              <w:rPr>
                <w:sz w:val="21"/>
              </w:rPr>
            </w:pPr>
            <w:r>
              <w:rPr>
                <w:sz w:val="21"/>
              </w:rPr>
              <w:t>近东西向</w:t>
            </w:r>
          </w:p>
        </w:tc>
        <w:tc>
          <w:tcPr>
            <w:tcW w:w="780" w:type="dxa"/>
            <w:tcBorders>
              <w:top w:val="single" w:color="000000" w:sz="4" w:space="0"/>
              <w:left w:val="single" w:color="000000" w:sz="4" w:space="0"/>
              <w:bottom w:val="single" w:color="000000" w:sz="4" w:space="0"/>
              <w:right w:val="single" w:color="000000" w:sz="4" w:space="0"/>
            </w:tcBorders>
          </w:tcPr>
          <w:p>
            <w:pPr>
              <w:pStyle w:val="19"/>
              <w:spacing w:before="172"/>
              <w:ind w:left="18"/>
              <w:rPr>
                <w:sz w:val="21"/>
              </w:rPr>
            </w:pPr>
            <w:r>
              <w:rPr>
                <w:w w:val="99"/>
                <w:sz w:val="21"/>
              </w:rPr>
              <w:t>逆</w:t>
            </w:r>
          </w:p>
        </w:tc>
        <w:tc>
          <w:tcPr>
            <w:tcW w:w="1330" w:type="dxa"/>
            <w:tcBorders>
              <w:top w:val="single" w:color="000000" w:sz="4" w:space="0"/>
              <w:left w:val="single" w:color="000000" w:sz="4" w:space="0"/>
              <w:bottom w:val="single" w:color="000000" w:sz="4" w:space="0"/>
              <w:right w:val="single" w:color="000000" w:sz="4" w:space="0"/>
            </w:tcBorders>
          </w:tcPr>
          <w:p>
            <w:pPr>
              <w:pStyle w:val="19"/>
              <w:spacing w:before="172"/>
              <w:ind w:left="175" w:right="157"/>
              <w:rPr>
                <w:sz w:val="21"/>
              </w:rPr>
            </w:pPr>
            <w:r>
              <w:rPr>
                <w:sz w:val="21"/>
              </w:rPr>
              <w:t>50-60</w:t>
            </w:r>
          </w:p>
        </w:tc>
        <w:tc>
          <w:tcPr>
            <w:tcW w:w="5025" w:type="dxa"/>
            <w:tcBorders>
              <w:top w:val="single" w:color="000000" w:sz="4" w:space="0"/>
              <w:left w:val="single" w:color="000000" w:sz="4" w:space="0"/>
              <w:bottom w:val="single" w:color="000000" w:sz="4" w:space="0"/>
            </w:tcBorders>
          </w:tcPr>
          <w:p>
            <w:pPr>
              <w:pStyle w:val="19"/>
              <w:spacing w:before="36"/>
              <w:ind w:left="16" w:right="19"/>
              <w:rPr>
                <w:sz w:val="21"/>
              </w:rPr>
            </w:pPr>
            <w:r>
              <w:rPr>
                <w:sz w:val="21"/>
              </w:rPr>
              <w:t>506 孔与龙生井之间，83-3 孔与龙生井之间，501 与</w:t>
            </w:r>
          </w:p>
          <w:p>
            <w:pPr>
              <w:pStyle w:val="19"/>
              <w:spacing w:before="2"/>
              <w:ind w:left="41" w:right="19"/>
              <w:rPr>
                <w:sz w:val="21"/>
              </w:rPr>
            </w:pPr>
            <w:r>
              <w:rPr>
                <w:sz w:val="21"/>
              </w:rPr>
              <w:t>518 孔控制，较可靠。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780" w:type="dxa"/>
            <w:tcBorders>
              <w:top w:val="single" w:color="000000" w:sz="4" w:space="0"/>
              <w:right w:val="single" w:color="000000" w:sz="4" w:space="0"/>
            </w:tcBorders>
          </w:tcPr>
          <w:p>
            <w:pPr>
              <w:pStyle w:val="19"/>
              <w:spacing w:before="137"/>
              <w:ind w:left="159" w:right="146"/>
              <w:rPr>
                <w:sz w:val="10"/>
              </w:rPr>
            </w:pPr>
            <w:r>
              <w:rPr>
                <w:spacing w:val="1"/>
                <w:w w:val="99"/>
                <w:position w:val="3"/>
                <w:sz w:val="21"/>
              </w:rPr>
              <w:t>F</w:t>
            </w:r>
            <w:r>
              <w:rPr>
                <w:spacing w:val="-1"/>
                <w:w w:val="106"/>
                <w:sz w:val="10"/>
              </w:rPr>
              <w:t>1</w:t>
            </w:r>
            <w:r>
              <w:rPr>
                <w:w w:val="106"/>
                <w:sz w:val="10"/>
              </w:rPr>
              <w:t>3</w:t>
            </w:r>
          </w:p>
        </w:tc>
        <w:tc>
          <w:tcPr>
            <w:tcW w:w="1367" w:type="dxa"/>
            <w:tcBorders>
              <w:top w:val="single" w:color="000000" w:sz="4" w:space="0"/>
              <w:left w:val="single" w:color="000000" w:sz="4" w:space="0"/>
              <w:right w:val="single" w:color="000000" w:sz="4" w:space="0"/>
            </w:tcBorders>
          </w:tcPr>
          <w:p>
            <w:pPr>
              <w:pStyle w:val="19"/>
              <w:spacing w:before="135"/>
              <w:ind w:left="191" w:right="177"/>
              <w:rPr>
                <w:sz w:val="21"/>
              </w:rPr>
            </w:pPr>
            <w:r>
              <w:rPr>
                <w:sz w:val="21"/>
              </w:rPr>
              <w:t>近东西向</w:t>
            </w:r>
          </w:p>
        </w:tc>
        <w:tc>
          <w:tcPr>
            <w:tcW w:w="780" w:type="dxa"/>
            <w:tcBorders>
              <w:top w:val="single" w:color="000000" w:sz="4" w:space="0"/>
              <w:left w:val="single" w:color="000000" w:sz="4" w:space="0"/>
              <w:right w:val="single" w:color="000000" w:sz="4" w:space="0"/>
            </w:tcBorders>
          </w:tcPr>
          <w:p>
            <w:pPr>
              <w:pStyle w:val="19"/>
              <w:spacing w:before="135"/>
              <w:ind w:left="18"/>
              <w:rPr>
                <w:sz w:val="21"/>
              </w:rPr>
            </w:pPr>
            <w:r>
              <w:rPr>
                <w:w w:val="99"/>
                <w:sz w:val="21"/>
              </w:rPr>
              <w:t>逆</w:t>
            </w:r>
          </w:p>
        </w:tc>
        <w:tc>
          <w:tcPr>
            <w:tcW w:w="1330" w:type="dxa"/>
            <w:tcBorders>
              <w:top w:val="single" w:color="000000" w:sz="4" w:space="0"/>
              <w:left w:val="single" w:color="000000" w:sz="4" w:space="0"/>
              <w:right w:val="single" w:color="000000" w:sz="4" w:space="0"/>
            </w:tcBorders>
          </w:tcPr>
          <w:p>
            <w:pPr>
              <w:pStyle w:val="19"/>
              <w:spacing w:before="135"/>
              <w:ind w:left="175" w:right="154"/>
              <w:rPr>
                <w:sz w:val="21"/>
              </w:rPr>
            </w:pPr>
            <w:r>
              <w:rPr>
                <w:sz w:val="21"/>
              </w:rPr>
              <w:t>50</w:t>
            </w:r>
          </w:p>
        </w:tc>
        <w:tc>
          <w:tcPr>
            <w:tcW w:w="5025" w:type="dxa"/>
            <w:tcBorders>
              <w:top w:val="single" w:color="000000" w:sz="4" w:space="0"/>
              <w:left w:val="single" w:color="000000" w:sz="4" w:space="0"/>
            </w:tcBorders>
          </w:tcPr>
          <w:p>
            <w:pPr>
              <w:pStyle w:val="19"/>
              <w:spacing w:before="1"/>
              <w:ind w:left="44" w:right="19"/>
              <w:rPr>
                <w:sz w:val="21"/>
              </w:rPr>
            </w:pPr>
            <w:r>
              <w:rPr>
                <w:sz w:val="21"/>
              </w:rPr>
              <w:t>505</w:t>
            </w:r>
            <w:r>
              <w:rPr>
                <w:spacing w:val="-36"/>
                <w:sz w:val="21"/>
              </w:rPr>
              <w:t xml:space="preserve"> 与 </w:t>
            </w:r>
            <w:r>
              <w:rPr>
                <w:sz w:val="21"/>
              </w:rPr>
              <w:t>506</w:t>
            </w:r>
            <w:r>
              <w:rPr>
                <w:spacing w:val="-17"/>
                <w:sz w:val="21"/>
              </w:rPr>
              <w:t xml:space="preserve"> 钻孔，</w:t>
            </w:r>
            <w:r>
              <w:rPr>
                <w:spacing w:val="-9"/>
                <w:sz w:val="21"/>
              </w:rPr>
              <w:t>523</w:t>
            </w:r>
            <w:r>
              <w:rPr>
                <w:spacing w:val="-37"/>
                <w:sz w:val="21"/>
              </w:rPr>
              <w:t xml:space="preserve"> 与 </w:t>
            </w:r>
            <w:r>
              <w:rPr>
                <w:sz w:val="21"/>
              </w:rPr>
              <w:t>03－4</w:t>
            </w:r>
            <w:r>
              <w:rPr>
                <w:spacing w:val="-9"/>
                <w:sz w:val="21"/>
              </w:rPr>
              <w:t xml:space="preserve"> 钻孔之间控制，501</w:t>
            </w:r>
            <w:r>
              <w:rPr>
                <w:spacing w:val="-28"/>
                <w:sz w:val="21"/>
              </w:rPr>
              <w:t xml:space="preserve"> 孔</w:t>
            </w:r>
          </w:p>
          <w:p>
            <w:pPr>
              <w:pStyle w:val="19"/>
              <w:spacing w:before="2" w:line="252" w:lineRule="exact"/>
              <w:ind w:left="41" w:right="19"/>
              <w:rPr>
                <w:sz w:val="21"/>
              </w:rPr>
            </w:pPr>
            <w:r>
              <w:rPr>
                <w:sz w:val="21"/>
              </w:rPr>
              <w:t>实见，可靠。</w:t>
            </w:r>
          </w:p>
        </w:tc>
      </w:tr>
    </w:tbl>
    <w:p>
      <w:pPr>
        <w:pStyle w:val="9"/>
        <w:spacing w:before="2" w:line="364" w:lineRule="auto"/>
        <w:ind w:left="1418" w:right="1437" w:firstLine="518"/>
        <w:jc w:val="both"/>
      </w:pPr>
      <w:r>
        <w:t>除上述四条较大的断裂外，西北部尚有 F</w:t>
      </w:r>
      <w:r>
        <w:rPr>
          <w:position w:val="-2"/>
          <w:sz w:val="12"/>
        </w:rPr>
        <w:t xml:space="preserve">5 </w:t>
      </w:r>
      <w:r>
        <w:t>和另外两条断层出现，在矿井开发的各条片盘中及地表施工的槽探工程中见有数十条方向各异的断层，性质有正有逆， 其落差大则 10m，小的只有 1～2m。</w:t>
      </w:r>
    </w:p>
    <w:p>
      <w:pPr>
        <w:pStyle w:val="6"/>
        <w:numPr>
          <w:ilvl w:val="2"/>
          <w:numId w:val="51"/>
        </w:numPr>
        <w:tabs>
          <w:tab w:val="left" w:pos="2048"/>
        </w:tabs>
        <w:spacing w:before="0" w:after="0" w:line="240" w:lineRule="auto"/>
        <w:ind w:left="2047" w:right="0" w:hanging="630"/>
        <w:jc w:val="left"/>
        <w:rPr>
          <w:rFonts w:ascii="Times New Roman" w:eastAsia="Times New Roman"/>
        </w:rPr>
      </w:pPr>
      <w:bookmarkStart w:id="217" w:name="3.1.5土壤"/>
      <w:bookmarkEnd w:id="217"/>
      <w:bookmarkStart w:id="218" w:name="3.1.5土壤"/>
      <w:bookmarkEnd w:id="218"/>
      <w:r>
        <w:t>土壤</w:t>
      </w:r>
    </w:p>
    <w:p>
      <w:pPr>
        <w:pStyle w:val="9"/>
        <w:spacing w:before="185" w:line="364" w:lineRule="auto"/>
        <w:ind w:left="1418" w:right="1297" w:firstLine="480"/>
      </w:pPr>
      <w:r>
        <w:rPr>
          <w:spacing w:val="-10"/>
        </w:rPr>
        <w:t xml:space="preserve">双鸭山市有 </w:t>
      </w:r>
      <w:r>
        <w:rPr>
          <w:rFonts w:ascii="Times New Roman" w:eastAsia="Times New Roman"/>
        </w:rPr>
        <w:t xml:space="preserve">8 </w:t>
      </w:r>
      <w:r>
        <w:t>种土类、</w:t>
      </w:r>
      <w:r>
        <w:rPr>
          <w:rFonts w:ascii="Times New Roman" w:eastAsia="Times New Roman"/>
        </w:rPr>
        <w:t xml:space="preserve">19 </w:t>
      </w:r>
      <w:r>
        <w:t>个亚类、</w:t>
      </w:r>
      <w:r>
        <w:rPr>
          <w:rFonts w:ascii="Times New Roman" w:eastAsia="Times New Roman"/>
        </w:rPr>
        <w:t xml:space="preserve">15 </w:t>
      </w:r>
      <w:r>
        <w:t>个土属、</w:t>
      </w:r>
      <w:r>
        <w:rPr>
          <w:rFonts w:ascii="Times New Roman" w:eastAsia="Times New Roman"/>
        </w:rPr>
        <w:t xml:space="preserve">44 </w:t>
      </w:r>
      <w:r>
        <w:t>个土种。按面积大小排次为：草</w:t>
      </w:r>
      <w:r>
        <w:rPr>
          <w:spacing w:val="-11"/>
        </w:rPr>
        <w:t xml:space="preserve">甸土，分布在北部和南部的平原区，占全区土地面积的 </w:t>
      </w:r>
      <w:r>
        <w:rPr>
          <w:rFonts w:ascii="Times New Roman" w:eastAsia="Times New Roman"/>
          <w:spacing w:val="-6"/>
        </w:rPr>
        <w:t>43.2%</w:t>
      </w:r>
      <w:r>
        <w:rPr>
          <w:spacing w:val="-16"/>
        </w:rPr>
        <w:t xml:space="preserve">，其中 </w:t>
      </w:r>
      <w:r>
        <w:rPr>
          <w:rFonts w:ascii="Times New Roman" w:eastAsia="Times New Roman"/>
        </w:rPr>
        <w:t>78.8%</w:t>
      </w:r>
      <w:r>
        <w:rPr>
          <w:spacing w:val="-3"/>
        </w:rPr>
        <w:t xml:space="preserve">开垦成耕地； </w:t>
      </w:r>
      <w:r>
        <w:rPr>
          <w:spacing w:val="-2"/>
        </w:rPr>
        <w:t xml:space="preserve">黑土，分布在中和中南部缓坡漫岗地带，占全区土地面积的 </w:t>
      </w:r>
      <w:r>
        <w:rPr>
          <w:rFonts w:ascii="Times New Roman" w:eastAsia="Times New Roman"/>
        </w:rPr>
        <w:t>32.6%</w:t>
      </w:r>
      <w:r>
        <w:rPr>
          <w:spacing w:val="-14"/>
        </w:rPr>
        <w:t xml:space="preserve">，其中 </w:t>
      </w:r>
      <w:r>
        <w:rPr>
          <w:rFonts w:ascii="Times New Roman" w:eastAsia="Times New Roman"/>
        </w:rPr>
        <w:t>78.8%</w:t>
      </w:r>
      <w:r>
        <w:t>开垦成</w:t>
      </w:r>
      <w:r>
        <w:rPr>
          <w:spacing w:val="-11"/>
        </w:rPr>
        <w:t xml:space="preserve">耕地；暗棕土壤，分布在西和西南部低山丘区，占全区土地面积的 </w:t>
      </w:r>
      <w:r>
        <w:rPr>
          <w:rFonts w:ascii="Times New Roman" w:eastAsia="Times New Roman"/>
          <w:spacing w:val="-4"/>
        </w:rPr>
        <w:t>18.8%</w:t>
      </w:r>
      <w:r>
        <w:rPr>
          <w:spacing w:val="-17"/>
        </w:rPr>
        <w:t xml:space="preserve">，其中 </w:t>
      </w:r>
      <w:r>
        <w:rPr>
          <w:rFonts w:ascii="Times New Roman" w:eastAsia="Times New Roman"/>
        </w:rPr>
        <w:t>4.4%</w:t>
      </w:r>
      <w:r>
        <w:t>开</w:t>
      </w:r>
      <w:r>
        <w:rPr>
          <w:spacing w:val="-11"/>
        </w:rPr>
        <w:t xml:space="preserve">垦成耕地；白浆土，分布在山下缓坡漫岗地带，占全区土地面积的 </w:t>
      </w:r>
      <w:r>
        <w:rPr>
          <w:rFonts w:ascii="Times New Roman" w:eastAsia="Times New Roman"/>
          <w:spacing w:val="-5"/>
        </w:rPr>
        <w:t>1.0%</w:t>
      </w:r>
      <w:r>
        <w:rPr>
          <w:spacing w:val="-17"/>
        </w:rPr>
        <w:t xml:space="preserve">，其中 </w:t>
      </w:r>
      <w:r>
        <w:rPr>
          <w:rFonts w:ascii="Times New Roman" w:eastAsia="Times New Roman"/>
        </w:rPr>
        <w:t>50.0%</w:t>
      </w:r>
      <w:r>
        <w:t>开</w:t>
      </w:r>
      <w:r>
        <w:rPr>
          <w:spacing w:val="-6"/>
        </w:rPr>
        <w:t xml:space="preserve">垦成耕地；沼泽地，分布在低湿沼泽地，占全区土地面积的 </w:t>
      </w:r>
      <w:r>
        <w:rPr>
          <w:rFonts w:ascii="Times New Roman" w:eastAsia="Times New Roman"/>
        </w:rPr>
        <w:t>0.31%</w:t>
      </w:r>
      <w:r>
        <w:rPr>
          <w:spacing w:val="-1"/>
        </w:rPr>
        <w:t>；泥炭土，分布在沼</w:t>
      </w:r>
      <w:r>
        <w:rPr>
          <w:spacing w:val="-6"/>
        </w:rPr>
        <w:t xml:space="preserve">泽地，占全区土地面积的 </w:t>
      </w:r>
      <w:r>
        <w:rPr>
          <w:rFonts w:ascii="Times New Roman" w:eastAsia="Times New Roman"/>
        </w:rPr>
        <w:t>0.30%</w:t>
      </w:r>
      <w:r>
        <w:rPr>
          <w:spacing w:val="-5"/>
        </w:rPr>
        <w:t xml:space="preserve">；水稻土，占全区土地面积的 </w:t>
      </w:r>
      <w:r>
        <w:rPr>
          <w:rFonts w:ascii="Times New Roman" w:eastAsia="Times New Roman"/>
        </w:rPr>
        <w:t>1.0%</w:t>
      </w:r>
      <w:r>
        <w:t>。</w:t>
      </w:r>
    </w:p>
    <w:p>
      <w:pPr>
        <w:pStyle w:val="6"/>
        <w:numPr>
          <w:ilvl w:val="2"/>
          <w:numId w:val="51"/>
        </w:numPr>
        <w:tabs>
          <w:tab w:val="left" w:pos="2048"/>
        </w:tabs>
        <w:spacing w:before="0" w:after="0" w:line="354" w:lineRule="exact"/>
        <w:ind w:left="2047" w:right="0" w:hanging="630"/>
        <w:jc w:val="left"/>
        <w:rPr>
          <w:rFonts w:ascii="Times New Roman" w:eastAsia="Times New Roman"/>
        </w:rPr>
      </w:pPr>
      <w:bookmarkStart w:id="219" w:name="3.1.6植物植被"/>
      <w:bookmarkEnd w:id="219"/>
      <w:bookmarkStart w:id="220" w:name="3.1.6植物植被"/>
      <w:bookmarkEnd w:id="220"/>
      <w:r>
        <w:t>植物植被</w:t>
      </w:r>
    </w:p>
    <w:p>
      <w:pPr>
        <w:pStyle w:val="9"/>
        <w:spacing w:before="185" w:line="364" w:lineRule="auto"/>
        <w:ind w:left="1418" w:right="1417" w:firstLine="480"/>
        <w:jc w:val="both"/>
      </w:pPr>
      <w:r>
        <w:rPr>
          <w:spacing w:val="-5"/>
        </w:rPr>
        <w:t>双鸭山市属长白植物区系，为低湿平原区以低山丘陵区，分布有森林植被。双鸭山</w:t>
      </w:r>
      <w:r>
        <w:rPr>
          <w:spacing w:val="-8"/>
        </w:rPr>
        <w:t xml:space="preserve">市森林覆盖率 </w:t>
      </w:r>
      <w:r>
        <w:rPr>
          <w:rFonts w:ascii="Times New Roman" w:eastAsia="Times New Roman"/>
        </w:rPr>
        <w:t>40%</w:t>
      </w:r>
      <w:r>
        <w:rPr>
          <w:spacing w:val="-6"/>
        </w:rPr>
        <w:t xml:space="preserve">。地方林业系统共有 </w:t>
      </w:r>
      <w:r>
        <w:rPr>
          <w:rFonts w:ascii="Times New Roman" w:eastAsia="Times New Roman"/>
        </w:rPr>
        <w:t xml:space="preserve">23 </w:t>
      </w:r>
      <w:r>
        <w:rPr>
          <w:spacing w:val="-5"/>
        </w:rPr>
        <w:t xml:space="preserve">个国有林场，森林面积 </w:t>
      </w:r>
      <w:r>
        <w:rPr>
          <w:rFonts w:ascii="Times New Roman" w:eastAsia="Times New Roman"/>
        </w:rPr>
        <w:t xml:space="preserve">26.37 </w:t>
      </w:r>
      <w:r>
        <w:t>万公顷，活立</w:t>
      </w:r>
    </w:p>
    <w:p>
      <w:pPr>
        <w:pStyle w:val="9"/>
        <w:spacing w:line="364" w:lineRule="auto"/>
        <w:ind w:left="1418" w:right="1365"/>
        <w:jc w:val="both"/>
      </w:pPr>
      <w:r>
        <w:rPr>
          <w:spacing w:val="-10"/>
        </w:rPr>
        <w:t xml:space="preserve">木总蓄积量 </w:t>
      </w:r>
      <w:r>
        <w:rPr>
          <w:rFonts w:ascii="Times New Roman" w:eastAsia="Times New Roman"/>
        </w:rPr>
        <w:t xml:space="preserve">1761.53 </w:t>
      </w:r>
      <w:r>
        <w:t>万立方米。植被类型为温带针阔叶混交林，主要树种有落叶松、樟</w:t>
      </w:r>
      <w:r>
        <w:rPr>
          <w:spacing w:val="-5"/>
        </w:rPr>
        <w:t>子松、红松、云杉、槭树、色树、椴树、榆树、桦树、杨树、胡桃楸、水曲柳、黄菠萝</w:t>
      </w:r>
      <w:r>
        <w:rPr>
          <w:spacing w:val="-8"/>
        </w:rPr>
        <w:t>等。食用的真菌类有黑木耳，猴头蘑、元蘑、榛蘑等；山野菜类有蕨菜、黄花菜、黄瓜</w:t>
      </w:r>
      <w:r>
        <w:rPr>
          <w:spacing w:val="-7"/>
        </w:rPr>
        <w:t>香、剌嫩芽；山产品有榛子、橡子、松树籽、山葡萄、猕猴桃、黑加伦、山核桃。野生</w:t>
      </w:r>
      <w:r>
        <w:rPr>
          <w:spacing w:val="-8"/>
        </w:rPr>
        <w:t>药用植物主要有五味子、山花、龙胆草、人参、平贝、剌五加、满山红、黄柏、赤芍、</w:t>
      </w:r>
      <w:r>
        <w:rPr>
          <w:spacing w:val="-3"/>
        </w:rPr>
        <w:t xml:space="preserve">升麻、桔梗、白鲜皮、苍术、贯仲、木贼等 </w:t>
      </w:r>
      <w:r>
        <w:rPr>
          <w:rFonts w:ascii="Times New Roman" w:eastAsia="Times New Roman"/>
        </w:rPr>
        <w:t xml:space="preserve">150 </w:t>
      </w:r>
      <w:r>
        <w:rPr>
          <w:spacing w:val="-8"/>
        </w:rPr>
        <w:t xml:space="preserve">余种，常用的有 </w:t>
      </w:r>
      <w:r>
        <w:rPr>
          <w:rFonts w:ascii="Times New Roman" w:eastAsia="Times New Roman"/>
        </w:rPr>
        <w:t xml:space="preserve">60 </w:t>
      </w:r>
      <w:r>
        <w:t>余种。</w:t>
      </w:r>
    </w:p>
    <w:p>
      <w:pPr>
        <w:pStyle w:val="5"/>
        <w:numPr>
          <w:ilvl w:val="1"/>
          <w:numId w:val="51"/>
        </w:numPr>
        <w:tabs>
          <w:tab w:val="left" w:pos="1868"/>
        </w:tabs>
        <w:spacing w:before="0" w:after="0" w:line="383" w:lineRule="exact"/>
        <w:ind w:left="1867" w:right="0" w:hanging="450"/>
        <w:jc w:val="left"/>
      </w:pPr>
      <w:bookmarkStart w:id="221" w:name="_bookmark21"/>
      <w:bookmarkEnd w:id="221"/>
      <w:bookmarkStart w:id="222" w:name="3.2敏感目标调查"/>
      <w:bookmarkEnd w:id="222"/>
      <w:bookmarkStart w:id="223" w:name="_bookmark21"/>
      <w:bookmarkEnd w:id="223"/>
      <w:r>
        <w:t>敏感目标调查</w:t>
      </w:r>
    </w:p>
    <w:p>
      <w:pPr>
        <w:pStyle w:val="9"/>
        <w:spacing w:before="198" w:line="362" w:lineRule="auto"/>
        <w:ind w:left="1418" w:right="1354" w:firstLine="480"/>
      </w:pPr>
      <w:r>
        <w:t>根据《建设项目环境影响评价技术导则总纲》（</w:t>
      </w:r>
      <w:r>
        <w:rPr>
          <w:rFonts w:ascii="Times New Roman" w:eastAsia="Times New Roman"/>
        </w:rPr>
        <w:t>HJ2.1-2016</w:t>
      </w:r>
      <w:r>
        <w:t>），环境保护目标调查应调查评价范围内的环境功能区划和主要的环境敏感区，详细了解环境保护目标的地理</w:t>
      </w:r>
    </w:p>
    <w:p>
      <w:pPr>
        <w:spacing w:after="0" w:line="362" w:lineRule="auto"/>
        <w:sectPr>
          <w:pgSz w:w="11910" w:h="16840"/>
          <w:pgMar w:top="1400" w:right="0" w:bottom="880" w:left="0" w:header="0" w:footer="681" w:gutter="0"/>
        </w:sectPr>
      </w:pPr>
    </w:p>
    <w:p>
      <w:pPr>
        <w:pStyle w:val="9"/>
        <w:spacing w:before="41"/>
        <w:ind w:left="1418"/>
      </w:pPr>
      <w:r>
        <w:t>位置、服务功能、四至范围、保护对象和保护要求等。</w:t>
      </w:r>
    </w:p>
    <w:p>
      <w:pPr>
        <w:pStyle w:val="9"/>
        <w:spacing w:before="158" w:line="364" w:lineRule="auto"/>
        <w:ind w:left="1418" w:right="1413" w:firstLine="480"/>
        <w:jc w:val="both"/>
      </w:pPr>
      <w:r>
        <w:rPr>
          <w:spacing w:val="-5"/>
        </w:rPr>
        <w:t>为了保护本项目所在区域环境空气、生态、地下水质量及地表水体，应贯彻污染源</w:t>
      </w:r>
      <w:r>
        <w:t>治理</w:t>
      </w:r>
      <w:r>
        <w:rPr>
          <w:rFonts w:ascii="Times New Roman" w:hAnsi="Times New Roman" w:eastAsia="Times New Roman"/>
        </w:rPr>
        <w:t>“</w:t>
      </w:r>
      <w:r>
        <w:t>达标排放</w:t>
      </w:r>
      <w:r>
        <w:rPr>
          <w:rFonts w:ascii="Times New Roman" w:hAnsi="Times New Roman" w:eastAsia="Times New Roman"/>
        </w:rPr>
        <w:t>”</w:t>
      </w:r>
      <w:r>
        <w:t>、</w:t>
      </w:r>
      <w:r>
        <w:rPr>
          <w:rFonts w:ascii="Times New Roman" w:hAnsi="Times New Roman" w:eastAsia="Times New Roman"/>
        </w:rPr>
        <w:t>“</w:t>
      </w:r>
      <w:r>
        <w:t>总量控制</w:t>
      </w:r>
      <w:r>
        <w:rPr>
          <w:rFonts w:ascii="Times New Roman" w:hAnsi="Times New Roman" w:eastAsia="Times New Roman"/>
        </w:rPr>
        <w:t>”</w:t>
      </w:r>
      <w:r>
        <w:t>、</w:t>
      </w:r>
      <w:r>
        <w:rPr>
          <w:rFonts w:ascii="Times New Roman" w:hAnsi="Times New Roman" w:eastAsia="Times New Roman"/>
        </w:rPr>
        <w:t>“</w:t>
      </w:r>
      <w:r>
        <w:t>清洁生产</w:t>
      </w:r>
      <w:r>
        <w:rPr>
          <w:rFonts w:ascii="Times New Roman" w:hAnsi="Times New Roman" w:eastAsia="Times New Roman"/>
        </w:rPr>
        <w:t>”</w:t>
      </w:r>
      <w:r>
        <w:rPr>
          <w:spacing w:val="-1"/>
        </w:rPr>
        <w:t>的原则，提出切实可行的污染防治方案，以</w:t>
      </w:r>
      <w:r>
        <w:t>减少对纳污环境的污染负荷。</w:t>
      </w:r>
    </w:p>
    <w:p>
      <w:pPr>
        <w:pStyle w:val="9"/>
        <w:spacing w:line="364" w:lineRule="auto"/>
        <w:ind w:left="1418" w:right="1417" w:firstLine="480"/>
        <w:jc w:val="both"/>
      </w:pPr>
      <w:r>
        <w:t>根据黑龙江省自然资源厅 黑龙江省林业和草原局联合呈报黑龙江省生态保护红线评估调整和自然保护地整合优化阶段性报告（黑自然资发〔2020〕229</w:t>
      </w:r>
      <w:r>
        <w:rPr>
          <w:spacing w:val="-28"/>
        </w:rPr>
        <w:t xml:space="preserve"> 号</w:t>
      </w:r>
      <w:r>
        <w:t>）</w:t>
      </w:r>
      <w:r>
        <w:rPr>
          <w:spacing w:val="-4"/>
        </w:rPr>
        <w:t>，本项目不</w:t>
      </w:r>
      <w:r>
        <w:t>在黑龙江省青山国家森林公园范围内。</w:t>
      </w:r>
    </w:p>
    <w:p>
      <w:pPr>
        <w:spacing w:after="0" w:line="364" w:lineRule="auto"/>
        <w:jc w:val="both"/>
        <w:sectPr>
          <w:pgSz w:w="11910" w:h="16840"/>
          <w:pgMar w:top="1360" w:right="0" w:bottom="880" w:left="0" w:header="0" w:footer="681" w:gutter="0"/>
        </w:sectPr>
      </w:pPr>
    </w:p>
    <w:p>
      <w:pPr>
        <w:pStyle w:val="9"/>
        <w:rPr>
          <w:sz w:val="20"/>
        </w:rPr>
      </w:pPr>
    </w:p>
    <w:p>
      <w:pPr>
        <w:pStyle w:val="9"/>
        <w:rPr>
          <w:sz w:val="20"/>
        </w:rPr>
      </w:pPr>
    </w:p>
    <w:p>
      <w:pPr>
        <w:pStyle w:val="9"/>
        <w:spacing w:before="4"/>
        <w:rPr>
          <w:sz w:val="28"/>
        </w:rPr>
      </w:pPr>
    </w:p>
    <w:p>
      <w:pPr>
        <w:pStyle w:val="2"/>
        <w:numPr>
          <w:ilvl w:val="2"/>
          <w:numId w:val="14"/>
        </w:numPr>
        <w:tabs>
          <w:tab w:val="left" w:pos="1947"/>
        </w:tabs>
        <w:spacing w:before="51" w:after="0" w:line="240" w:lineRule="auto"/>
        <w:ind w:left="1946" w:right="0" w:hanging="332"/>
        <w:jc w:val="left"/>
        <w:rPr>
          <w:rFonts w:ascii="Times New Roman" w:eastAsia="Times New Roman"/>
          <w:sz w:val="42"/>
        </w:rPr>
      </w:pPr>
      <w:bookmarkStart w:id="224" w:name="_bookmark22"/>
      <w:bookmarkEnd w:id="224"/>
      <w:bookmarkStart w:id="225" w:name="4.地表沉陷预测及生态影响评价"/>
      <w:bookmarkEnd w:id="225"/>
      <w:bookmarkStart w:id="226" w:name="_bookmark22"/>
      <w:bookmarkEnd w:id="226"/>
      <w:r>
        <w:t>地表沉陷预测及生态影响评价</w:t>
      </w:r>
    </w:p>
    <w:p>
      <w:pPr>
        <w:pStyle w:val="9"/>
        <w:spacing w:before="12"/>
        <w:rPr>
          <w:b/>
          <w:sz w:val="62"/>
        </w:rPr>
      </w:pPr>
    </w:p>
    <w:p>
      <w:pPr>
        <w:pStyle w:val="6"/>
        <w:numPr>
          <w:ilvl w:val="2"/>
          <w:numId w:val="53"/>
        </w:numPr>
        <w:tabs>
          <w:tab w:val="left" w:pos="2048"/>
        </w:tabs>
        <w:spacing w:before="0" w:after="0" w:line="240" w:lineRule="auto"/>
        <w:ind w:left="2047" w:right="0" w:hanging="630"/>
        <w:jc w:val="left"/>
        <w:rPr>
          <w:rFonts w:ascii="Times New Roman" w:eastAsia="Times New Roman"/>
        </w:rPr>
      </w:pPr>
      <w:bookmarkStart w:id="227" w:name="4.1.1基础信息获取过程"/>
      <w:bookmarkEnd w:id="227"/>
      <w:bookmarkStart w:id="228" w:name="4.1.1基础信息获取过程"/>
      <w:bookmarkEnd w:id="228"/>
      <w:r>
        <w:t>基础信息获取过程</w:t>
      </w:r>
    </w:p>
    <w:p>
      <w:pPr>
        <w:pStyle w:val="9"/>
        <w:spacing w:before="1"/>
        <w:rPr>
          <w:b/>
          <w:sz w:val="28"/>
        </w:rPr>
      </w:pPr>
    </w:p>
    <w:p>
      <w:pPr>
        <w:pStyle w:val="9"/>
        <w:spacing w:before="1" w:line="405" w:lineRule="auto"/>
        <w:ind w:left="1418" w:right="1354" w:firstLine="480"/>
      </w:pPr>
      <w:r>
        <w:t>地面调查主要采取以实地调查和走访相结合的形式，调查掌握评价区内自然生态环境的基本情况，通过走访调查，了解区域生态环境现状以及近几年各种因素的变化、水</w:t>
      </w:r>
    </w:p>
    <w:p>
      <w:pPr>
        <w:pStyle w:val="9"/>
        <w:ind w:left="1418"/>
      </w:pPr>
      <w:r>
        <w:t>土流失程度、生态环境建设的规划等。</w:t>
      </w:r>
    </w:p>
    <w:p>
      <w:pPr>
        <w:pStyle w:val="6"/>
        <w:numPr>
          <w:ilvl w:val="2"/>
          <w:numId w:val="53"/>
        </w:numPr>
        <w:tabs>
          <w:tab w:val="left" w:pos="2048"/>
        </w:tabs>
        <w:spacing w:before="38" w:after="0" w:line="240" w:lineRule="auto"/>
        <w:ind w:left="2047" w:right="0" w:hanging="630"/>
        <w:jc w:val="left"/>
        <w:rPr>
          <w:rFonts w:ascii="Times New Roman" w:eastAsia="Times New Roman"/>
        </w:rPr>
      </w:pPr>
      <w:bookmarkStart w:id="229" w:name="4.1.2评价区生态系统类型与特征"/>
      <w:bookmarkEnd w:id="229"/>
      <w:bookmarkStart w:id="230" w:name="4.1.2评价区生态系统类型与特征"/>
      <w:bookmarkEnd w:id="230"/>
      <w:r>
        <w:t>评价区生态系统类型与特征</w:t>
      </w:r>
    </w:p>
    <w:p>
      <w:pPr>
        <w:pStyle w:val="9"/>
        <w:spacing w:before="183"/>
        <w:ind w:left="1898"/>
      </w:pPr>
      <w:r>
        <w:t>据调查，评价区区内共有三种生态系统类型，其类型及特征见下表。</w:t>
      </w:r>
    </w:p>
    <w:p>
      <w:pPr>
        <w:spacing w:before="160" w:after="3"/>
        <w:ind w:left="427" w:right="0" w:firstLine="0"/>
        <w:jc w:val="center"/>
        <w:rPr>
          <w:b/>
          <w:sz w:val="21"/>
        </w:rPr>
      </w:pPr>
      <w:r>
        <w:rPr>
          <w:b/>
          <w:spacing w:val="-26"/>
          <w:sz w:val="21"/>
        </w:rPr>
        <w:t xml:space="preserve">表 </w:t>
      </w:r>
      <w:r>
        <w:rPr>
          <w:rFonts w:ascii="Times New Roman" w:eastAsia="Times New Roman"/>
          <w:b/>
          <w:sz w:val="21"/>
        </w:rPr>
        <w:t>4.1-1</w:t>
      </w:r>
      <w:r>
        <w:rPr>
          <w:rFonts w:ascii="Times New Roman" w:eastAsia="Times New Roman"/>
          <w:b/>
          <w:spacing w:val="52"/>
          <w:sz w:val="21"/>
        </w:rPr>
        <w:t xml:space="preserve"> </w:t>
      </w:r>
      <w:r>
        <w:rPr>
          <w:b/>
          <w:sz w:val="21"/>
        </w:rPr>
        <w:t>评价区生态系统类型及特征</w:t>
      </w:r>
    </w:p>
    <w:tbl>
      <w:tblPr>
        <w:tblStyle w:val="15"/>
        <w:tblW w:w="0" w:type="auto"/>
        <w:tblInd w:w="14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69"/>
        <w:gridCol w:w="2333"/>
        <w:gridCol w:w="2752"/>
        <w:gridCol w:w="1736"/>
        <w:gridCol w:w="173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3" w:hRule="atLeast"/>
        </w:trPr>
        <w:tc>
          <w:tcPr>
            <w:tcW w:w="569" w:type="dxa"/>
            <w:tcBorders>
              <w:bottom w:val="single" w:color="000000" w:sz="4" w:space="0"/>
              <w:right w:val="single" w:color="000000" w:sz="4" w:space="0"/>
            </w:tcBorders>
          </w:tcPr>
          <w:p>
            <w:pPr>
              <w:pStyle w:val="19"/>
              <w:spacing w:before="29"/>
              <w:ind w:left="52" w:right="42"/>
              <w:rPr>
                <w:sz w:val="21"/>
              </w:rPr>
            </w:pPr>
            <w:r>
              <w:rPr>
                <w:sz w:val="21"/>
              </w:rPr>
              <w:t>序号</w:t>
            </w:r>
          </w:p>
        </w:tc>
        <w:tc>
          <w:tcPr>
            <w:tcW w:w="2333" w:type="dxa"/>
            <w:tcBorders>
              <w:left w:val="single" w:color="000000" w:sz="4" w:space="0"/>
              <w:bottom w:val="single" w:color="000000" w:sz="4" w:space="0"/>
              <w:right w:val="single" w:color="000000" w:sz="4" w:space="0"/>
            </w:tcBorders>
          </w:tcPr>
          <w:p>
            <w:pPr>
              <w:pStyle w:val="19"/>
              <w:spacing w:before="29"/>
              <w:ind w:left="481"/>
              <w:jc w:val="left"/>
              <w:rPr>
                <w:sz w:val="21"/>
              </w:rPr>
            </w:pPr>
            <w:r>
              <w:rPr>
                <w:sz w:val="21"/>
              </w:rPr>
              <w:t>生态系统类型</w:t>
            </w:r>
          </w:p>
        </w:tc>
        <w:tc>
          <w:tcPr>
            <w:tcW w:w="2752" w:type="dxa"/>
            <w:tcBorders>
              <w:left w:val="single" w:color="000000" w:sz="4" w:space="0"/>
              <w:bottom w:val="single" w:color="000000" w:sz="4" w:space="0"/>
              <w:right w:val="single" w:color="000000" w:sz="4" w:space="0"/>
            </w:tcBorders>
          </w:tcPr>
          <w:p>
            <w:pPr>
              <w:pStyle w:val="19"/>
              <w:spacing w:before="29"/>
              <w:ind w:left="825" w:right="826"/>
              <w:rPr>
                <w:sz w:val="21"/>
              </w:rPr>
            </w:pPr>
            <w:r>
              <w:rPr>
                <w:sz w:val="21"/>
              </w:rPr>
              <w:t>主要物种</w:t>
            </w:r>
          </w:p>
        </w:tc>
        <w:tc>
          <w:tcPr>
            <w:tcW w:w="1736" w:type="dxa"/>
            <w:tcBorders>
              <w:left w:val="single" w:color="000000" w:sz="4" w:space="0"/>
              <w:bottom w:val="single" w:color="000000" w:sz="4" w:space="0"/>
              <w:right w:val="single" w:color="000000" w:sz="4" w:space="0"/>
            </w:tcBorders>
          </w:tcPr>
          <w:p>
            <w:pPr>
              <w:pStyle w:val="19"/>
              <w:spacing w:before="29"/>
              <w:ind w:left="160" w:right="161"/>
              <w:rPr>
                <w:sz w:val="21"/>
              </w:rPr>
            </w:pPr>
            <w:r>
              <w:rPr>
                <w:sz w:val="21"/>
              </w:rPr>
              <w:t>面积（ 公顷）</w:t>
            </w:r>
          </w:p>
        </w:tc>
        <w:tc>
          <w:tcPr>
            <w:tcW w:w="1736" w:type="dxa"/>
            <w:tcBorders>
              <w:left w:val="single" w:color="000000" w:sz="4" w:space="0"/>
              <w:bottom w:val="single" w:color="000000" w:sz="4" w:space="0"/>
            </w:tcBorders>
          </w:tcPr>
          <w:p>
            <w:pPr>
              <w:pStyle w:val="19"/>
              <w:spacing w:before="29"/>
              <w:ind w:left="334" w:right="332"/>
              <w:rPr>
                <w:sz w:val="21"/>
              </w:rPr>
            </w:pPr>
            <w:r>
              <w:rPr>
                <w:sz w:val="21"/>
              </w:rPr>
              <w:t>比例（</w:t>
            </w:r>
            <w:r>
              <w:rPr>
                <w:rFonts w:ascii="Times New Roman" w:eastAsia="Times New Roman"/>
                <w:sz w:val="21"/>
              </w:rPr>
              <w:t>%</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3" w:hRule="atLeast"/>
        </w:trPr>
        <w:tc>
          <w:tcPr>
            <w:tcW w:w="569" w:type="dxa"/>
            <w:tcBorders>
              <w:top w:val="single" w:color="000000" w:sz="4" w:space="0"/>
              <w:bottom w:val="single" w:color="000000" w:sz="4" w:space="0"/>
              <w:right w:val="single" w:color="000000" w:sz="4" w:space="0"/>
            </w:tcBorders>
          </w:tcPr>
          <w:p>
            <w:pPr>
              <w:pStyle w:val="19"/>
              <w:spacing w:before="44"/>
              <w:ind w:left="14"/>
              <w:rPr>
                <w:rFonts w:ascii="Times New Roman"/>
                <w:sz w:val="21"/>
              </w:rPr>
            </w:pPr>
            <w:r>
              <w:rPr>
                <w:rFonts w:ascii="Times New Roman"/>
                <w:w w:val="99"/>
                <w:sz w:val="21"/>
              </w:rPr>
              <w:t>1</w:t>
            </w:r>
          </w:p>
        </w:tc>
        <w:tc>
          <w:tcPr>
            <w:tcW w:w="2333" w:type="dxa"/>
            <w:tcBorders>
              <w:top w:val="single" w:color="000000" w:sz="4" w:space="0"/>
              <w:left w:val="single" w:color="000000" w:sz="4" w:space="0"/>
              <w:bottom w:val="single" w:color="000000" w:sz="4" w:space="0"/>
              <w:right w:val="single" w:color="000000" w:sz="4" w:space="0"/>
            </w:tcBorders>
          </w:tcPr>
          <w:p>
            <w:pPr>
              <w:pStyle w:val="19"/>
              <w:spacing w:before="28"/>
              <w:ind w:left="481"/>
              <w:jc w:val="left"/>
              <w:rPr>
                <w:sz w:val="21"/>
              </w:rPr>
            </w:pPr>
            <w:r>
              <w:rPr>
                <w:sz w:val="21"/>
              </w:rPr>
              <w:t>林地生态系统</w:t>
            </w:r>
          </w:p>
        </w:tc>
        <w:tc>
          <w:tcPr>
            <w:tcW w:w="2752" w:type="dxa"/>
            <w:tcBorders>
              <w:top w:val="single" w:color="000000" w:sz="4" w:space="0"/>
              <w:left w:val="single" w:color="000000" w:sz="4" w:space="0"/>
              <w:bottom w:val="single" w:color="000000" w:sz="4" w:space="0"/>
              <w:right w:val="single" w:color="000000" w:sz="4" w:space="0"/>
            </w:tcBorders>
          </w:tcPr>
          <w:p>
            <w:pPr>
              <w:pStyle w:val="19"/>
              <w:spacing w:before="28"/>
              <w:ind w:left="825" w:right="826"/>
              <w:rPr>
                <w:sz w:val="21"/>
              </w:rPr>
            </w:pPr>
            <w:r>
              <w:rPr>
                <w:sz w:val="21"/>
              </w:rPr>
              <w:t>大豆、玉米</w:t>
            </w:r>
          </w:p>
        </w:tc>
        <w:tc>
          <w:tcPr>
            <w:tcW w:w="1736" w:type="dxa"/>
            <w:tcBorders>
              <w:top w:val="single" w:color="000000" w:sz="4" w:space="0"/>
              <w:left w:val="single" w:color="000000" w:sz="4" w:space="0"/>
              <w:bottom w:val="single" w:color="000000" w:sz="4" w:space="0"/>
              <w:right w:val="single" w:color="000000" w:sz="4" w:space="0"/>
            </w:tcBorders>
          </w:tcPr>
          <w:p>
            <w:pPr>
              <w:pStyle w:val="19"/>
              <w:spacing w:before="68"/>
              <w:ind w:left="160" w:right="141"/>
              <w:rPr>
                <w:rFonts w:ascii="Times New Roman"/>
                <w:sz w:val="21"/>
              </w:rPr>
            </w:pPr>
            <w:r>
              <w:rPr>
                <w:rFonts w:ascii="Times New Roman"/>
                <w:sz w:val="21"/>
              </w:rPr>
              <w:t>17.66</w:t>
            </w:r>
          </w:p>
        </w:tc>
        <w:tc>
          <w:tcPr>
            <w:tcW w:w="1736" w:type="dxa"/>
            <w:tcBorders>
              <w:top w:val="single" w:color="000000" w:sz="4" w:space="0"/>
              <w:left w:val="single" w:color="000000" w:sz="4" w:space="0"/>
              <w:bottom w:val="single" w:color="000000" w:sz="4" w:space="0"/>
            </w:tcBorders>
          </w:tcPr>
          <w:p>
            <w:pPr>
              <w:pStyle w:val="19"/>
              <w:spacing w:before="68"/>
              <w:ind w:left="334" w:right="311"/>
              <w:rPr>
                <w:rFonts w:ascii="Times New Roman"/>
                <w:sz w:val="21"/>
              </w:rPr>
            </w:pPr>
            <w:r>
              <w:rPr>
                <w:rFonts w:ascii="Times New Roman"/>
                <w:sz w:val="21"/>
              </w:rPr>
              <w:t>3.01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8" w:hRule="atLeast"/>
        </w:trPr>
        <w:tc>
          <w:tcPr>
            <w:tcW w:w="569" w:type="dxa"/>
            <w:tcBorders>
              <w:top w:val="single" w:color="000000" w:sz="4" w:space="0"/>
              <w:bottom w:val="single" w:color="000000" w:sz="4" w:space="0"/>
              <w:right w:val="single" w:color="000000" w:sz="4" w:space="0"/>
            </w:tcBorders>
          </w:tcPr>
          <w:p>
            <w:pPr>
              <w:pStyle w:val="19"/>
              <w:spacing w:before="2"/>
              <w:jc w:val="left"/>
              <w:rPr>
                <w:b/>
                <w:sz w:val="16"/>
              </w:rPr>
            </w:pPr>
          </w:p>
          <w:p>
            <w:pPr>
              <w:pStyle w:val="19"/>
              <w:spacing w:before="1"/>
              <w:ind w:left="14"/>
              <w:rPr>
                <w:rFonts w:ascii="Times New Roman"/>
                <w:sz w:val="21"/>
              </w:rPr>
            </w:pPr>
            <w:r>
              <w:rPr>
                <w:rFonts w:ascii="Times New Roman"/>
                <w:w w:val="99"/>
                <w:sz w:val="21"/>
              </w:rPr>
              <w:t>2</w:t>
            </w:r>
          </w:p>
        </w:tc>
        <w:tc>
          <w:tcPr>
            <w:tcW w:w="2333" w:type="dxa"/>
            <w:tcBorders>
              <w:top w:val="single" w:color="000000" w:sz="4" w:space="0"/>
              <w:left w:val="single" w:color="000000" w:sz="4" w:space="0"/>
              <w:bottom w:val="single" w:color="000000" w:sz="4" w:space="0"/>
              <w:right w:val="single" w:color="000000" w:sz="4" w:space="0"/>
            </w:tcBorders>
          </w:tcPr>
          <w:p>
            <w:pPr>
              <w:pStyle w:val="19"/>
              <w:spacing w:before="12"/>
              <w:jc w:val="left"/>
              <w:rPr>
                <w:b/>
                <w:sz w:val="14"/>
              </w:rPr>
            </w:pPr>
          </w:p>
          <w:p>
            <w:pPr>
              <w:pStyle w:val="19"/>
              <w:ind w:left="481"/>
              <w:jc w:val="left"/>
              <w:rPr>
                <w:sz w:val="21"/>
              </w:rPr>
            </w:pPr>
            <w:r>
              <w:rPr>
                <w:sz w:val="21"/>
              </w:rPr>
              <w:t>农田生态系统</w:t>
            </w:r>
          </w:p>
        </w:tc>
        <w:tc>
          <w:tcPr>
            <w:tcW w:w="2752" w:type="dxa"/>
            <w:tcBorders>
              <w:top w:val="single" w:color="000000" w:sz="4" w:space="0"/>
              <w:left w:val="single" w:color="000000" w:sz="4" w:space="0"/>
              <w:bottom w:val="single" w:color="000000" w:sz="4" w:space="0"/>
              <w:right w:val="single" w:color="000000" w:sz="4" w:space="0"/>
            </w:tcBorders>
          </w:tcPr>
          <w:p>
            <w:pPr>
              <w:pStyle w:val="19"/>
              <w:spacing w:before="28" w:line="290" w:lineRule="auto"/>
              <w:ind w:left="1151" w:right="33" w:hanging="1119"/>
              <w:jc w:val="left"/>
              <w:rPr>
                <w:sz w:val="21"/>
              </w:rPr>
            </w:pPr>
            <w:r>
              <w:rPr>
                <w:w w:val="95"/>
                <w:sz w:val="21"/>
              </w:rPr>
              <w:t>樟子松、落叶松、柞树、灌</w:t>
            </w:r>
            <w:r>
              <w:rPr>
                <w:sz w:val="21"/>
              </w:rPr>
              <w:t>木丛</w:t>
            </w:r>
          </w:p>
        </w:tc>
        <w:tc>
          <w:tcPr>
            <w:tcW w:w="1736" w:type="dxa"/>
            <w:tcBorders>
              <w:top w:val="single" w:color="000000" w:sz="4" w:space="0"/>
              <w:left w:val="single" w:color="000000" w:sz="4" w:space="0"/>
              <w:bottom w:val="single" w:color="000000" w:sz="4" w:space="0"/>
              <w:right w:val="single" w:color="000000" w:sz="4" w:space="0"/>
            </w:tcBorders>
          </w:tcPr>
          <w:p>
            <w:pPr>
              <w:pStyle w:val="19"/>
              <w:spacing w:before="1"/>
              <w:jc w:val="left"/>
              <w:rPr>
                <w:b/>
                <w:sz w:val="18"/>
              </w:rPr>
            </w:pPr>
          </w:p>
          <w:p>
            <w:pPr>
              <w:pStyle w:val="19"/>
              <w:ind w:left="160" w:right="143"/>
              <w:rPr>
                <w:rFonts w:ascii="Times New Roman"/>
                <w:sz w:val="21"/>
              </w:rPr>
            </w:pPr>
            <w:r>
              <w:rPr>
                <w:rFonts w:ascii="Times New Roman"/>
                <w:sz w:val="21"/>
              </w:rPr>
              <w:t>560.33</w:t>
            </w:r>
          </w:p>
        </w:tc>
        <w:tc>
          <w:tcPr>
            <w:tcW w:w="1736" w:type="dxa"/>
            <w:tcBorders>
              <w:top w:val="single" w:color="000000" w:sz="4" w:space="0"/>
              <w:left w:val="single" w:color="000000" w:sz="4" w:space="0"/>
              <w:bottom w:val="single" w:color="000000" w:sz="4" w:space="0"/>
            </w:tcBorders>
          </w:tcPr>
          <w:p>
            <w:pPr>
              <w:pStyle w:val="19"/>
              <w:spacing w:before="1"/>
              <w:jc w:val="left"/>
              <w:rPr>
                <w:b/>
                <w:sz w:val="18"/>
              </w:rPr>
            </w:pPr>
          </w:p>
          <w:p>
            <w:pPr>
              <w:pStyle w:val="19"/>
              <w:ind w:left="334" w:right="309"/>
              <w:rPr>
                <w:rFonts w:ascii="Times New Roman"/>
                <w:sz w:val="21"/>
              </w:rPr>
            </w:pPr>
            <w:r>
              <w:rPr>
                <w:rFonts w:ascii="Times New Roman"/>
                <w:sz w:val="21"/>
              </w:rPr>
              <w:t>95.52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0" w:hRule="atLeast"/>
        </w:trPr>
        <w:tc>
          <w:tcPr>
            <w:tcW w:w="569" w:type="dxa"/>
            <w:tcBorders>
              <w:top w:val="single" w:color="000000" w:sz="4" w:space="0"/>
              <w:bottom w:val="single" w:color="000000" w:sz="4" w:space="0"/>
              <w:right w:val="single" w:color="000000" w:sz="4" w:space="0"/>
            </w:tcBorders>
          </w:tcPr>
          <w:p>
            <w:pPr>
              <w:pStyle w:val="19"/>
              <w:spacing w:before="3"/>
              <w:jc w:val="left"/>
              <w:rPr>
                <w:b/>
                <w:sz w:val="16"/>
              </w:rPr>
            </w:pPr>
          </w:p>
          <w:p>
            <w:pPr>
              <w:pStyle w:val="19"/>
              <w:spacing w:before="1"/>
              <w:ind w:left="14"/>
              <w:rPr>
                <w:rFonts w:ascii="Times New Roman"/>
                <w:sz w:val="21"/>
              </w:rPr>
            </w:pPr>
            <w:r>
              <w:rPr>
                <w:rFonts w:ascii="Times New Roman"/>
                <w:w w:val="99"/>
                <w:sz w:val="21"/>
              </w:rPr>
              <w:t>3</w:t>
            </w:r>
          </w:p>
        </w:tc>
        <w:tc>
          <w:tcPr>
            <w:tcW w:w="2333" w:type="dxa"/>
            <w:tcBorders>
              <w:top w:val="single" w:color="000000" w:sz="4" w:space="0"/>
              <w:left w:val="single" w:color="000000" w:sz="4" w:space="0"/>
              <w:bottom w:val="single" w:color="000000" w:sz="4" w:space="0"/>
              <w:right w:val="single" w:color="000000" w:sz="4" w:space="0"/>
            </w:tcBorders>
          </w:tcPr>
          <w:p>
            <w:pPr>
              <w:pStyle w:val="19"/>
              <w:spacing w:before="29" w:line="290" w:lineRule="auto"/>
              <w:ind w:left="481" w:right="250" w:hanging="231"/>
              <w:jc w:val="left"/>
              <w:rPr>
                <w:sz w:val="21"/>
              </w:rPr>
            </w:pPr>
            <w:r>
              <w:rPr>
                <w:sz w:val="21"/>
              </w:rPr>
              <w:t>农村、工业及道路人工生态系统</w:t>
            </w:r>
          </w:p>
        </w:tc>
        <w:tc>
          <w:tcPr>
            <w:tcW w:w="2752" w:type="dxa"/>
            <w:tcBorders>
              <w:top w:val="single" w:color="000000" w:sz="4" w:space="0"/>
              <w:left w:val="single" w:color="000000" w:sz="4" w:space="0"/>
              <w:bottom w:val="single" w:color="000000" w:sz="4" w:space="0"/>
              <w:right w:val="single" w:color="000000" w:sz="4" w:space="0"/>
            </w:tcBorders>
          </w:tcPr>
          <w:p>
            <w:pPr>
              <w:pStyle w:val="19"/>
              <w:spacing w:before="3"/>
              <w:jc w:val="left"/>
              <w:rPr>
                <w:b/>
                <w:sz w:val="16"/>
              </w:rPr>
            </w:pPr>
          </w:p>
          <w:p>
            <w:pPr>
              <w:pStyle w:val="19"/>
              <w:spacing w:before="1"/>
              <w:ind w:left="6"/>
              <w:rPr>
                <w:rFonts w:ascii="Times New Roman"/>
                <w:sz w:val="21"/>
              </w:rPr>
            </w:pPr>
            <w:r>
              <w:rPr>
                <w:rFonts w:ascii="Times New Roman"/>
                <w:w w:val="99"/>
                <w:sz w:val="21"/>
              </w:rPr>
              <w:t>/</w:t>
            </w:r>
          </w:p>
        </w:tc>
        <w:tc>
          <w:tcPr>
            <w:tcW w:w="1736" w:type="dxa"/>
            <w:tcBorders>
              <w:top w:val="single" w:color="000000" w:sz="4" w:space="0"/>
              <w:left w:val="single" w:color="000000" w:sz="4" w:space="0"/>
              <w:bottom w:val="single" w:color="000000" w:sz="4" w:space="0"/>
              <w:right w:val="single" w:color="000000" w:sz="4" w:space="0"/>
            </w:tcBorders>
          </w:tcPr>
          <w:p>
            <w:pPr>
              <w:pStyle w:val="19"/>
              <w:spacing w:before="2"/>
              <w:jc w:val="left"/>
              <w:rPr>
                <w:b/>
                <w:sz w:val="18"/>
              </w:rPr>
            </w:pPr>
          </w:p>
          <w:p>
            <w:pPr>
              <w:pStyle w:val="19"/>
              <w:ind w:left="160" w:right="141"/>
              <w:rPr>
                <w:rFonts w:ascii="Times New Roman"/>
                <w:sz w:val="21"/>
              </w:rPr>
            </w:pPr>
            <w:r>
              <w:rPr>
                <w:rFonts w:ascii="Times New Roman"/>
                <w:sz w:val="21"/>
              </w:rPr>
              <w:t>8.65</w:t>
            </w:r>
          </w:p>
        </w:tc>
        <w:tc>
          <w:tcPr>
            <w:tcW w:w="1736" w:type="dxa"/>
            <w:tcBorders>
              <w:top w:val="single" w:color="000000" w:sz="4" w:space="0"/>
              <w:left w:val="single" w:color="000000" w:sz="4" w:space="0"/>
              <w:bottom w:val="single" w:color="000000" w:sz="4" w:space="0"/>
            </w:tcBorders>
          </w:tcPr>
          <w:p>
            <w:pPr>
              <w:pStyle w:val="19"/>
              <w:spacing w:before="2"/>
              <w:jc w:val="left"/>
              <w:rPr>
                <w:b/>
                <w:sz w:val="18"/>
              </w:rPr>
            </w:pPr>
          </w:p>
          <w:p>
            <w:pPr>
              <w:pStyle w:val="19"/>
              <w:ind w:left="334" w:right="311"/>
              <w:rPr>
                <w:rFonts w:ascii="Times New Roman"/>
                <w:sz w:val="21"/>
              </w:rPr>
            </w:pPr>
            <w:r>
              <w:rPr>
                <w:rFonts w:ascii="Times New Roman"/>
                <w:sz w:val="21"/>
              </w:rPr>
              <w:t>1.47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2" w:hRule="atLeast"/>
        </w:trPr>
        <w:tc>
          <w:tcPr>
            <w:tcW w:w="5654" w:type="dxa"/>
            <w:gridSpan w:val="3"/>
            <w:tcBorders>
              <w:top w:val="single" w:color="000000" w:sz="4" w:space="0"/>
              <w:right w:val="single" w:color="000000" w:sz="4" w:space="0"/>
            </w:tcBorders>
          </w:tcPr>
          <w:p>
            <w:pPr>
              <w:pStyle w:val="19"/>
              <w:spacing w:before="27"/>
              <w:ind w:left="2576" w:right="2582"/>
              <w:rPr>
                <w:sz w:val="21"/>
              </w:rPr>
            </w:pPr>
            <w:r>
              <w:rPr>
                <w:spacing w:val="10"/>
                <w:sz w:val="21"/>
              </w:rPr>
              <w:t>合计</w:t>
            </w:r>
          </w:p>
        </w:tc>
        <w:tc>
          <w:tcPr>
            <w:tcW w:w="1736" w:type="dxa"/>
            <w:tcBorders>
              <w:top w:val="single" w:color="000000" w:sz="4" w:space="0"/>
              <w:left w:val="single" w:color="000000" w:sz="4" w:space="0"/>
              <w:right w:val="single" w:color="000000" w:sz="4" w:space="0"/>
            </w:tcBorders>
          </w:tcPr>
          <w:p>
            <w:pPr>
              <w:pStyle w:val="19"/>
              <w:spacing w:before="45"/>
              <w:ind w:left="160" w:right="143"/>
              <w:rPr>
                <w:rFonts w:ascii="Times New Roman"/>
                <w:sz w:val="21"/>
              </w:rPr>
            </w:pPr>
            <w:r>
              <w:rPr>
                <w:rFonts w:ascii="Times New Roman"/>
                <w:sz w:val="21"/>
              </w:rPr>
              <w:t>586.64</w:t>
            </w:r>
          </w:p>
        </w:tc>
        <w:tc>
          <w:tcPr>
            <w:tcW w:w="1736" w:type="dxa"/>
            <w:tcBorders>
              <w:top w:val="single" w:color="000000" w:sz="4" w:space="0"/>
              <w:left w:val="single" w:color="000000" w:sz="4" w:space="0"/>
            </w:tcBorders>
          </w:tcPr>
          <w:p>
            <w:pPr>
              <w:pStyle w:val="19"/>
              <w:spacing w:before="45"/>
              <w:ind w:left="334" w:right="326"/>
              <w:rPr>
                <w:rFonts w:ascii="Times New Roman"/>
                <w:sz w:val="21"/>
              </w:rPr>
            </w:pPr>
            <w:r>
              <w:rPr>
                <w:rFonts w:ascii="Times New Roman"/>
                <w:sz w:val="21"/>
              </w:rPr>
              <w:t>100.00</w:t>
            </w:r>
          </w:p>
        </w:tc>
      </w:tr>
    </w:tbl>
    <w:p>
      <w:pPr>
        <w:pStyle w:val="6"/>
        <w:numPr>
          <w:ilvl w:val="2"/>
          <w:numId w:val="53"/>
        </w:numPr>
        <w:tabs>
          <w:tab w:val="left" w:pos="2048"/>
        </w:tabs>
        <w:spacing w:before="3" w:after="0" w:line="240" w:lineRule="auto"/>
        <w:ind w:left="2047" w:right="0" w:hanging="630"/>
        <w:jc w:val="left"/>
        <w:rPr>
          <w:rFonts w:ascii="Times New Roman" w:eastAsia="Times New Roman"/>
        </w:rPr>
      </w:pPr>
      <w:bookmarkStart w:id="231" w:name="4.1.3植被现状分布"/>
      <w:bookmarkEnd w:id="231"/>
      <w:bookmarkStart w:id="232" w:name="4.1.3植被现状分布"/>
      <w:bookmarkEnd w:id="232"/>
      <w:r>
        <w:t>植被现状分布</w:t>
      </w:r>
    </w:p>
    <w:p>
      <w:pPr>
        <w:pStyle w:val="9"/>
        <w:spacing w:before="2"/>
        <w:rPr>
          <w:b/>
          <w:sz w:val="28"/>
        </w:rPr>
      </w:pPr>
    </w:p>
    <w:p>
      <w:pPr>
        <w:pStyle w:val="9"/>
        <w:spacing w:line="405" w:lineRule="auto"/>
        <w:ind w:left="1418" w:right="1411" w:firstLine="480"/>
        <w:jc w:val="both"/>
      </w:pPr>
      <w:r>
        <w:t>矿区所处植被分区为小兴安岭</w:t>
      </w:r>
      <w:r>
        <w:rPr>
          <w:rFonts w:ascii="Times New Roman" w:hAnsi="Times New Roman" w:eastAsia="Times New Roman"/>
        </w:rPr>
        <w:t>—</w:t>
      </w:r>
      <w:r>
        <w:rPr>
          <w:spacing w:val="-7"/>
        </w:rPr>
        <w:t>老爷岭植物区，穆棱—三江平原亚区。代表植被是</w:t>
      </w:r>
      <w:r>
        <w:rPr>
          <w:spacing w:val="-5"/>
        </w:rPr>
        <w:t>以红松为主的温带针阔叶混交林，组成中特产植物很多，除红松外，如冷杉、紫杉等针</w:t>
      </w:r>
      <w:r>
        <w:rPr>
          <w:spacing w:val="-9"/>
        </w:rPr>
        <w:t>叶树，以及柠筋槭、白牛槭、假色槭、水曲柳、山槐、核桃楸、黄蘖、大青杨和香杨等</w:t>
      </w:r>
      <w:r>
        <w:t>阔叶树。农作物以玉米、大豆、马铃薯为主。</w:t>
      </w:r>
    </w:p>
    <w:p>
      <w:pPr>
        <w:pStyle w:val="9"/>
        <w:spacing w:line="405" w:lineRule="auto"/>
        <w:ind w:left="1418" w:right="1411" w:firstLine="480"/>
        <w:jc w:val="both"/>
      </w:pPr>
      <w:r>
        <w:rPr>
          <w:spacing w:val="-4"/>
        </w:rPr>
        <w:t>该井所在区域岭东区位于黑龙江省双鸭山市南部。自然资源丰富。南部覆盖着茂密</w:t>
      </w:r>
      <w:r>
        <w:rPr>
          <w:spacing w:val="-6"/>
        </w:rPr>
        <w:t>的乔林灌丛，主要树种有松、柞、桦、椴、杨等。盛产蘑菇、葡萄、榛子、木耳、五味子、刺五加、满山红、芍药、蕨菜等山产品和药材。鹿、狍、獾、狐狸、野兔、山鸡等</w:t>
      </w:r>
      <w:r>
        <w:rPr>
          <w:spacing w:val="-9"/>
        </w:rPr>
        <w:t>动物。北部地势平缓，土地肥沃，盛产大豆、小麦、玉米、稻谷等粮食作物和甜菜、烤</w:t>
      </w:r>
      <w:r>
        <w:t>烟、向日葵等经济作物。</w:t>
      </w:r>
    </w:p>
    <w:p>
      <w:pPr>
        <w:spacing w:after="0" w:line="405" w:lineRule="auto"/>
        <w:jc w:val="both"/>
        <w:sectPr>
          <w:pgSz w:w="11910" w:h="16840"/>
          <w:pgMar w:top="1580" w:right="0" w:bottom="880" w:left="0" w:header="0" w:footer="681" w:gutter="0"/>
        </w:sectPr>
      </w:pPr>
    </w:p>
    <w:p>
      <w:pPr>
        <w:pStyle w:val="7"/>
        <w:numPr>
          <w:ilvl w:val="2"/>
          <w:numId w:val="53"/>
        </w:numPr>
        <w:tabs>
          <w:tab w:val="left" w:pos="2268"/>
        </w:tabs>
        <w:spacing w:before="45" w:after="0" w:line="240" w:lineRule="auto"/>
        <w:ind w:left="2268" w:right="0" w:hanging="651"/>
        <w:jc w:val="both"/>
        <w:rPr>
          <w:rFonts w:ascii="Times New Roman" w:eastAsia="Times New Roman"/>
        </w:rPr>
      </w:pPr>
      <w:bookmarkStart w:id="233" w:name="4.1.4 野生动物"/>
      <w:bookmarkEnd w:id="233"/>
      <w:bookmarkStart w:id="234" w:name="4.1.4 野生动物"/>
      <w:bookmarkEnd w:id="234"/>
      <w:r>
        <w:t>野生动物</w:t>
      </w:r>
    </w:p>
    <w:p>
      <w:pPr>
        <w:pStyle w:val="9"/>
        <w:spacing w:before="10"/>
        <w:rPr>
          <w:b/>
        </w:rPr>
      </w:pPr>
    </w:p>
    <w:p>
      <w:pPr>
        <w:pStyle w:val="9"/>
        <w:spacing w:before="1" w:line="405" w:lineRule="auto"/>
        <w:ind w:left="1418" w:right="1417" w:firstLine="480"/>
        <w:jc w:val="both"/>
      </w:pPr>
      <w:r>
        <w:rPr>
          <w:spacing w:val="-5"/>
        </w:rPr>
        <w:t>区域受人类活动干扰，适宜野生动物栖的环境有限，动物区系结构组成较简单，在</w:t>
      </w:r>
      <w:r>
        <w:rPr>
          <w:spacing w:val="-7"/>
        </w:rPr>
        <w:t>此生态境域中，动物种类比较贫乏。因此，本次调查主要采取资料查阅、并与现场调查</w:t>
      </w:r>
      <w:r>
        <w:t>访问相结合的方式进行调查。</w:t>
      </w:r>
    </w:p>
    <w:p>
      <w:pPr>
        <w:pStyle w:val="9"/>
        <w:spacing w:before="1" w:line="405" w:lineRule="auto"/>
        <w:ind w:left="1418" w:right="1411" w:firstLine="480"/>
        <w:jc w:val="both"/>
      </w:pPr>
      <w:r>
        <w:rPr>
          <w:spacing w:val="-4"/>
        </w:rPr>
        <w:t>根据现场调查，并参照现行《中华人民共和国野生动物保护法</w:t>
      </w:r>
      <w:r>
        <w:t>（</w:t>
      </w:r>
      <w:r>
        <w:rPr>
          <w:rFonts w:ascii="Times New Roman" w:eastAsia="Times New Roman"/>
        </w:rPr>
        <w:t>2004</w:t>
      </w:r>
      <w:r>
        <w:t>）</w:t>
      </w:r>
      <w:r>
        <w:rPr>
          <w:spacing w:val="-8"/>
        </w:rPr>
        <w:t>》、《国家</w:t>
      </w:r>
      <w:r>
        <w:rPr>
          <w:spacing w:val="-1"/>
        </w:rPr>
        <w:t>重点保护野生动物名录</w:t>
      </w:r>
      <w:r>
        <w:t>（</w:t>
      </w:r>
      <w:r>
        <w:rPr>
          <w:rFonts w:ascii="Times New Roman" w:eastAsia="Times New Roman"/>
        </w:rPr>
        <w:t>1998</w:t>
      </w:r>
      <w:r>
        <w:t>）</w:t>
      </w:r>
      <w:r>
        <w:rPr>
          <w:spacing w:val="-7"/>
        </w:rPr>
        <w:t>》，评价区内未发现国家级、省、市级珍稀濒危和重点</w:t>
      </w:r>
      <w:r>
        <w:t>保护野生动物分布，也未发现有其栖息地和繁衍地。</w:t>
      </w:r>
    </w:p>
    <w:p>
      <w:pPr>
        <w:pStyle w:val="7"/>
        <w:numPr>
          <w:ilvl w:val="2"/>
          <w:numId w:val="53"/>
        </w:numPr>
        <w:tabs>
          <w:tab w:val="left" w:pos="2204"/>
        </w:tabs>
        <w:spacing w:before="69" w:after="0" w:line="240" w:lineRule="auto"/>
        <w:ind w:left="2203" w:right="0" w:hanging="587"/>
        <w:jc w:val="both"/>
        <w:rPr>
          <w:rFonts w:ascii="Times New Roman" w:eastAsia="Times New Roman"/>
        </w:rPr>
      </w:pPr>
      <w:bookmarkStart w:id="235" w:name="4.1.5土地利用现状调查与评价"/>
      <w:bookmarkEnd w:id="235"/>
      <w:bookmarkStart w:id="236" w:name="4.1.5土地利用现状调查与评价"/>
      <w:bookmarkEnd w:id="236"/>
      <w:r>
        <w:t>土地利用现状调查与评价</w:t>
      </w:r>
    </w:p>
    <w:p>
      <w:pPr>
        <w:pStyle w:val="9"/>
        <w:spacing w:before="11"/>
        <w:rPr>
          <w:b/>
        </w:rPr>
      </w:pPr>
    </w:p>
    <w:p>
      <w:pPr>
        <w:pStyle w:val="9"/>
        <w:ind w:left="1898"/>
      </w:pPr>
      <w:r>
        <w:t>根据双鸭山盟度矿业有限责任公司采矿许可证和划定矿区范围批复（双自然矿划</w:t>
      </w:r>
    </w:p>
    <w:p>
      <w:pPr>
        <w:pStyle w:val="9"/>
        <w:spacing w:before="213"/>
        <w:ind w:left="1418"/>
      </w:pPr>
      <w:r>
        <w:rPr>
          <w:rFonts w:ascii="Times New Roman" w:eastAsia="Times New Roman"/>
        </w:rPr>
        <w:t xml:space="preserve">[2020]006 </w:t>
      </w:r>
      <w:r>
        <w:t xml:space="preserve">号），双鸭山盟度矿业有限责任公司扩大范围后的矿区面积为 </w:t>
      </w:r>
      <w:r>
        <w:rPr>
          <w:rFonts w:ascii="Times New Roman" w:eastAsia="Times New Roman"/>
        </w:rPr>
        <w:t xml:space="preserve">619.9283 </w:t>
      </w:r>
      <w:r>
        <w:t>公顷，</w:t>
      </w:r>
    </w:p>
    <w:p>
      <w:pPr>
        <w:pStyle w:val="9"/>
        <w:spacing w:before="211"/>
        <w:ind w:left="1418"/>
      </w:pPr>
      <w:r>
        <w:t xml:space="preserve">主井工业广场占地面积 </w:t>
      </w:r>
      <w:r>
        <w:rPr>
          <w:rFonts w:ascii="Times New Roman" w:eastAsia="Times New Roman"/>
        </w:rPr>
        <w:t xml:space="preserve">2.2320 </w:t>
      </w:r>
      <w:r>
        <w:t xml:space="preserve">公顷，副井工业广场占地面积 </w:t>
      </w:r>
      <w:r>
        <w:rPr>
          <w:rFonts w:ascii="Times New Roman" w:eastAsia="Times New Roman"/>
        </w:rPr>
        <w:t xml:space="preserve">3.6830 </w:t>
      </w:r>
      <w:r>
        <w:t>公顷，火药库占地</w:t>
      </w:r>
    </w:p>
    <w:p>
      <w:pPr>
        <w:pStyle w:val="9"/>
        <w:spacing w:before="213"/>
        <w:ind w:left="1418"/>
      </w:pPr>
      <w:r>
        <w:t xml:space="preserve">面积 </w:t>
      </w:r>
      <w:r>
        <w:rPr>
          <w:rFonts w:ascii="Times New Roman" w:eastAsia="Times New Roman"/>
        </w:rPr>
        <w:t xml:space="preserve">0.4262 </w:t>
      </w:r>
      <w:r>
        <w:t xml:space="preserve">公顷，火药库看护房占地面积 </w:t>
      </w:r>
      <w:r>
        <w:rPr>
          <w:rFonts w:ascii="Times New Roman" w:eastAsia="Times New Roman"/>
        </w:rPr>
        <w:t xml:space="preserve">0.0267 </w:t>
      </w:r>
      <w:r>
        <w:t xml:space="preserve">公顷，独立宿舍占地面积 </w:t>
      </w:r>
      <w:r>
        <w:rPr>
          <w:rFonts w:ascii="Times New Roman" w:eastAsia="Times New Roman"/>
        </w:rPr>
        <w:t xml:space="preserve">0.0650 </w:t>
      </w:r>
      <w:r>
        <w:t>公顷，</w:t>
      </w:r>
    </w:p>
    <w:p>
      <w:pPr>
        <w:pStyle w:val="9"/>
        <w:spacing w:before="214"/>
        <w:ind w:left="1418"/>
      </w:pPr>
      <w:r>
        <w:t xml:space="preserve">因主井工业广场有 </w:t>
      </w:r>
      <w:r>
        <w:rPr>
          <w:rFonts w:ascii="Times New Roman" w:eastAsia="Times New Roman"/>
        </w:rPr>
        <w:t xml:space="preserve">1.2123 </w:t>
      </w:r>
      <w:r>
        <w:t xml:space="preserve">公顷为于矿区范围外，副井工业有 </w:t>
      </w:r>
      <w:r>
        <w:rPr>
          <w:rFonts w:ascii="Times New Roman" w:eastAsia="Times New Roman"/>
        </w:rPr>
        <w:t xml:space="preserve">2.1555 </w:t>
      </w:r>
      <w:r>
        <w:t>公顷为于矿区范围</w:t>
      </w:r>
    </w:p>
    <w:p>
      <w:pPr>
        <w:pStyle w:val="9"/>
        <w:spacing w:before="211"/>
        <w:ind w:left="1418"/>
      </w:pPr>
      <w:r>
        <w:t xml:space="preserve">外，独立宿舍全部位于矿区范围之外，因此确定项目区面积为 </w:t>
      </w:r>
      <w:r>
        <w:rPr>
          <w:rFonts w:ascii="Times New Roman" w:eastAsia="Times New Roman"/>
        </w:rPr>
        <w:t xml:space="preserve">623.3611 </w:t>
      </w:r>
      <w:r>
        <w:t>公顷。</w:t>
      </w:r>
    </w:p>
    <w:p>
      <w:pPr>
        <w:pStyle w:val="9"/>
        <w:spacing w:before="213" w:line="405" w:lineRule="auto"/>
        <w:ind w:left="1418" w:right="1297" w:firstLine="480"/>
      </w:pPr>
      <w:r>
        <w:rPr>
          <w:spacing w:val="-6"/>
        </w:rPr>
        <w:t xml:space="preserve">项目区用地总面积 </w:t>
      </w:r>
      <w:r>
        <w:rPr>
          <w:rFonts w:ascii="Times New Roman" w:eastAsia="Times New Roman"/>
        </w:rPr>
        <w:t>623.3611hm</w:t>
      </w:r>
      <w:r>
        <w:rPr>
          <w:rFonts w:ascii="Times New Roman" w:eastAsia="Times New Roman"/>
          <w:position w:val="8"/>
          <w:sz w:val="15"/>
        </w:rPr>
        <w:t>2</w:t>
      </w:r>
      <w:r>
        <w:t>。根据双鸭山市自然资源局获取的土地利用现状局</w:t>
      </w:r>
      <w:r>
        <w:rPr>
          <w:spacing w:val="-7"/>
        </w:rPr>
        <w:t>部图，矿区范围内土地类型为旱地、有林地、农村道路和采矿用地，矿区土地权属全部</w:t>
      </w:r>
      <w:r>
        <w:rPr>
          <w:spacing w:val="-8"/>
        </w:rPr>
        <w:t>归属双鸭山林业局安邦河林场</w:t>
      </w:r>
      <w:r>
        <w:t>（国有用地</w:t>
      </w:r>
      <w:r>
        <w:rPr>
          <w:spacing w:val="-12"/>
        </w:rPr>
        <w:t>）</w:t>
      </w:r>
      <w:r>
        <w:rPr>
          <w:spacing w:val="-5"/>
        </w:rPr>
        <w:t>所有，矿山用地方式为临时用地，工业广场</w:t>
      </w:r>
      <w:r>
        <w:rPr>
          <w:spacing w:val="-8"/>
        </w:rPr>
        <w:t>部分采用租凭方式</w:t>
      </w:r>
      <w:r>
        <w:t>（双鸭山林业局安邦河林场</w:t>
      </w:r>
      <w:r>
        <w:rPr>
          <w:spacing w:val="-29"/>
        </w:rPr>
        <w:t>）</w:t>
      </w:r>
      <w:r>
        <w:rPr>
          <w:spacing w:val="-11"/>
        </w:rPr>
        <w:t xml:space="preserve">取得，项目区占地 </w:t>
      </w:r>
      <w:r>
        <w:rPr>
          <w:rFonts w:ascii="Times New Roman" w:eastAsia="Times New Roman"/>
          <w:spacing w:val="-4"/>
        </w:rPr>
        <w:t>623.3611hm2</w:t>
      </w:r>
      <w:r>
        <w:rPr>
          <w:spacing w:val="-6"/>
        </w:rPr>
        <w:t xml:space="preserve">，其中： </w:t>
      </w:r>
      <w:r>
        <w:rPr>
          <w:spacing w:val="-21"/>
        </w:rPr>
        <w:t xml:space="preserve">旱地 </w:t>
      </w:r>
      <w:r>
        <w:rPr>
          <w:rFonts w:ascii="Times New Roman" w:eastAsia="Times New Roman"/>
        </w:rPr>
        <w:t xml:space="preserve">10.7134 </w:t>
      </w:r>
      <w:r>
        <w:rPr>
          <w:spacing w:val="-6"/>
        </w:rPr>
        <w:t xml:space="preserve">公顷，占项目区总面积的 </w:t>
      </w:r>
      <w:r>
        <w:rPr>
          <w:rFonts w:ascii="Times New Roman" w:eastAsia="Times New Roman"/>
        </w:rPr>
        <w:t>1.72%</w:t>
      </w:r>
      <w:r>
        <w:rPr>
          <w:spacing w:val="-13"/>
        </w:rPr>
        <w:t xml:space="preserve">；有林地 </w:t>
      </w:r>
      <w:r>
        <w:rPr>
          <w:rFonts w:ascii="Times New Roman" w:eastAsia="Times New Roman"/>
        </w:rPr>
        <w:t xml:space="preserve">597.7301 </w:t>
      </w:r>
      <w:r>
        <w:rPr>
          <w:spacing w:val="-1"/>
        </w:rPr>
        <w:t>公顷，占项目区总面积</w:t>
      </w:r>
      <w:r>
        <w:rPr>
          <w:spacing w:val="-30"/>
        </w:rPr>
        <w:t xml:space="preserve">的 </w:t>
      </w:r>
      <w:r>
        <w:rPr>
          <w:rFonts w:ascii="Times New Roman" w:eastAsia="Times New Roman"/>
        </w:rPr>
        <w:t>95.89%</w:t>
      </w:r>
      <w:r>
        <w:rPr>
          <w:spacing w:val="-10"/>
        </w:rPr>
        <w:t xml:space="preserve">；农村道路 </w:t>
      </w:r>
      <w:r>
        <w:rPr>
          <w:rFonts w:ascii="Times New Roman" w:eastAsia="Times New Roman"/>
        </w:rPr>
        <w:t xml:space="preserve">8.1518 </w:t>
      </w:r>
      <w:r>
        <w:rPr>
          <w:spacing w:val="-5"/>
        </w:rPr>
        <w:t xml:space="preserve">公顷，占项目区总面积的 </w:t>
      </w:r>
      <w:r>
        <w:rPr>
          <w:rFonts w:ascii="Times New Roman" w:eastAsia="Times New Roman"/>
        </w:rPr>
        <w:t>1.31%</w:t>
      </w:r>
      <w:r>
        <w:rPr>
          <w:spacing w:val="-10"/>
        </w:rPr>
        <w:t xml:space="preserve">；采矿用地 </w:t>
      </w:r>
      <w:r>
        <w:rPr>
          <w:rFonts w:ascii="Times New Roman" w:eastAsia="Times New Roman"/>
        </w:rPr>
        <w:t xml:space="preserve">6.7658 </w:t>
      </w:r>
      <w:r>
        <w:t xml:space="preserve">公顷， </w:t>
      </w:r>
      <w:r>
        <w:rPr>
          <w:spacing w:val="-7"/>
        </w:rPr>
        <w:t xml:space="preserve">占项目区总面积的 </w:t>
      </w:r>
      <w:r>
        <w:rPr>
          <w:rFonts w:ascii="Times New Roman" w:eastAsia="Times New Roman"/>
        </w:rPr>
        <w:t>1.09%</w:t>
      </w:r>
      <w:r>
        <w:t>，项目区地类利用现状情况见表</w:t>
      </w:r>
    </w:p>
    <w:p>
      <w:pPr>
        <w:pStyle w:val="9"/>
        <w:spacing w:before="3"/>
        <w:ind w:left="1898"/>
      </w:pPr>
      <w:r>
        <w:t>评价区土地利用数据见下表。</w:t>
      </w:r>
    </w:p>
    <w:p>
      <w:pPr>
        <w:spacing w:before="37"/>
        <w:ind w:left="4816" w:right="0" w:firstLine="0"/>
        <w:jc w:val="left"/>
        <w:rPr>
          <w:b/>
          <w:sz w:val="21"/>
        </w:rPr>
      </w:pPr>
      <w:r>
        <w:rPr>
          <w:b/>
          <w:spacing w:val="-28"/>
          <w:sz w:val="21"/>
        </w:rPr>
        <w:t xml:space="preserve">表 </w:t>
      </w:r>
      <w:r>
        <w:rPr>
          <w:rFonts w:ascii="Times New Roman" w:eastAsia="Times New Roman"/>
          <w:b/>
          <w:sz w:val="21"/>
        </w:rPr>
        <w:t>4.1-2</w:t>
      </w:r>
      <w:r>
        <w:rPr>
          <w:rFonts w:ascii="Times New Roman" w:eastAsia="Times New Roman"/>
          <w:b/>
          <w:spacing w:val="52"/>
          <w:sz w:val="21"/>
        </w:rPr>
        <w:t xml:space="preserve"> </w:t>
      </w:r>
      <w:r>
        <w:rPr>
          <w:b/>
          <w:sz w:val="21"/>
        </w:rPr>
        <w:t>项目区土地利用现状</w:t>
      </w:r>
    </w:p>
    <w:tbl>
      <w:tblPr>
        <w:tblStyle w:val="15"/>
        <w:tblW w:w="0" w:type="auto"/>
        <w:tblInd w:w="17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2106"/>
        <w:gridCol w:w="711"/>
        <w:gridCol w:w="1782"/>
        <w:gridCol w:w="1896"/>
        <w:gridCol w:w="139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636" w:type="dxa"/>
            <w:tcBorders>
              <w:bottom w:val="single" w:color="000000" w:sz="4" w:space="0"/>
              <w:right w:val="single" w:color="000000" w:sz="4" w:space="0"/>
            </w:tcBorders>
          </w:tcPr>
          <w:p>
            <w:pPr>
              <w:pStyle w:val="19"/>
              <w:spacing w:line="253" w:lineRule="exact"/>
              <w:ind w:left="86" w:right="75"/>
              <w:rPr>
                <w:sz w:val="21"/>
              </w:rPr>
            </w:pPr>
            <w:r>
              <w:rPr>
                <w:sz w:val="21"/>
              </w:rPr>
              <w:t>编码</w:t>
            </w:r>
          </w:p>
        </w:tc>
        <w:tc>
          <w:tcPr>
            <w:tcW w:w="2106" w:type="dxa"/>
            <w:tcBorders>
              <w:left w:val="single" w:color="000000" w:sz="4" w:space="0"/>
              <w:bottom w:val="single" w:color="000000" w:sz="4" w:space="0"/>
              <w:right w:val="single" w:color="000000" w:sz="4" w:space="0"/>
            </w:tcBorders>
          </w:tcPr>
          <w:p>
            <w:pPr>
              <w:pStyle w:val="19"/>
              <w:spacing w:line="253" w:lineRule="exact"/>
              <w:ind w:left="192" w:right="178"/>
              <w:rPr>
                <w:sz w:val="21"/>
              </w:rPr>
            </w:pPr>
            <w:r>
              <w:rPr>
                <w:sz w:val="21"/>
              </w:rPr>
              <w:t>名称</w:t>
            </w:r>
          </w:p>
        </w:tc>
        <w:tc>
          <w:tcPr>
            <w:tcW w:w="711" w:type="dxa"/>
            <w:tcBorders>
              <w:left w:val="single" w:color="000000" w:sz="4" w:space="0"/>
              <w:bottom w:val="single" w:color="000000" w:sz="4" w:space="0"/>
              <w:right w:val="single" w:color="000000" w:sz="4" w:space="0"/>
            </w:tcBorders>
          </w:tcPr>
          <w:p>
            <w:pPr>
              <w:pStyle w:val="19"/>
              <w:spacing w:line="253" w:lineRule="exact"/>
              <w:ind w:left="128" w:right="113"/>
              <w:rPr>
                <w:sz w:val="21"/>
              </w:rPr>
            </w:pPr>
            <w:r>
              <w:rPr>
                <w:sz w:val="21"/>
              </w:rPr>
              <w:t>编码</w:t>
            </w:r>
          </w:p>
        </w:tc>
        <w:tc>
          <w:tcPr>
            <w:tcW w:w="1782" w:type="dxa"/>
            <w:tcBorders>
              <w:left w:val="single" w:color="000000" w:sz="4" w:space="0"/>
              <w:bottom w:val="single" w:color="000000" w:sz="4" w:space="0"/>
              <w:right w:val="single" w:color="000000" w:sz="4" w:space="0"/>
            </w:tcBorders>
          </w:tcPr>
          <w:p>
            <w:pPr>
              <w:pStyle w:val="19"/>
              <w:spacing w:line="253" w:lineRule="exact"/>
              <w:ind w:left="454" w:right="436"/>
              <w:rPr>
                <w:sz w:val="21"/>
              </w:rPr>
            </w:pPr>
            <w:r>
              <w:rPr>
                <w:sz w:val="21"/>
              </w:rPr>
              <w:t>名称</w:t>
            </w:r>
          </w:p>
        </w:tc>
        <w:tc>
          <w:tcPr>
            <w:tcW w:w="1896" w:type="dxa"/>
            <w:tcBorders>
              <w:left w:val="single" w:color="000000" w:sz="4" w:space="0"/>
              <w:bottom w:val="single" w:color="000000" w:sz="4" w:space="0"/>
              <w:right w:val="single" w:color="000000" w:sz="4" w:space="0"/>
            </w:tcBorders>
          </w:tcPr>
          <w:p>
            <w:pPr>
              <w:pStyle w:val="19"/>
              <w:spacing w:line="253" w:lineRule="exact"/>
              <w:ind w:left="90" w:right="76"/>
              <w:rPr>
                <w:sz w:val="21"/>
              </w:rPr>
            </w:pPr>
            <w:r>
              <w:rPr>
                <w:sz w:val="21"/>
              </w:rPr>
              <w:t>权属面积（公顷）</w:t>
            </w:r>
          </w:p>
        </w:tc>
        <w:tc>
          <w:tcPr>
            <w:tcW w:w="1394" w:type="dxa"/>
            <w:tcBorders>
              <w:left w:val="single" w:color="000000" w:sz="4" w:space="0"/>
              <w:bottom w:val="single" w:color="000000" w:sz="4" w:space="0"/>
            </w:tcBorders>
          </w:tcPr>
          <w:p>
            <w:pPr>
              <w:pStyle w:val="19"/>
              <w:spacing w:line="253" w:lineRule="exact"/>
              <w:ind w:right="378"/>
              <w:jc w:val="right"/>
              <w:rPr>
                <w:rFonts w:ascii="Times New Roman" w:eastAsia="Times New Roman"/>
                <w:sz w:val="21"/>
              </w:rPr>
            </w:pPr>
            <w:r>
              <w:rPr>
                <w:w w:val="95"/>
                <w:sz w:val="21"/>
              </w:rPr>
              <w:t>占比</w:t>
            </w:r>
            <w:r>
              <w:rPr>
                <w:rFonts w:ascii="Times New Roman" w:eastAsia="Times New Roman"/>
                <w:w w:val="95"/>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636" w:type="dxa"/>
            <w:tcBorders>
              <w:top w:val="single" w:color="000000" w:sz="4" w:space="0"/>
              <w:bottom w:val="single" w:color="000000" w:sz="4" w:space="0"/>
              <w:right w:val="single" w:color="000000" w:sz="4" w:space="0"/>
            </w:tcBorders>
          </w:tcPr>
          <w:p>
            <w:pPr>
              <w:pStyle w:val="19"/>
              <w:spacing w:line="252" w:lineRule="exact"/>
              <w:ind w:left="86" w:right="72"/>
              <w:rPr>
                <w:rFonts w:ascii="仿宋"/>
                <w:sz w:val="21"/>
              </w:rPr>
            </w:pPr>
            <w:r>
              <w:rPr>
                <w:rFonts w:ascii="仿宋"/>
                <w:sz w:val="21"/>
              </w:rPr>
              <w:t>01</w:t>
            </w:r>
          </w:p>
        </w:tc>
        <w:tc>
          <w:tcPr>
            <w:tcW w:w="2106" w:type="dxa"/>
            <w:tcBorders>
              <w:top w:val="single" w:color="000000" w:sz="4" w:space="0"/>
              <w:left w:val="single" w:color="000000" w:sz="4" w:space="0"/>
              <w:bottom w:val="single" w:color="000000" w:sz="4" w:space="0"/>
              <w:right w:val="single" w:color="000000" w:sz="4" w:space="0"/>
            </w:tcBorders>
          </w:tcPr>
          <w:p>
            <w:pPr>
              <w:pStyle w:val="19"/>
              <w:spacing w:line="252" w:lineRule="exact"/>
              <w:ind w:left="192" w:right="178"/>
              <w:rPr>
                <w:rFonts w:hint="eastAsia" w:ascii="仿宋" w:eastAsia="仿宋"/>
                <w:sz w:val="21"/>
              </w:rPr>
            </w:pPr>
            <w:r>
              <w:rPr>
                <w:rFonts w:hint="eastAsia" w:ascii="仿宋" w:eastAsia="仿宋"/>
                <w:sz w:val="21"/>
              </w:rPr>
              <w:t>耕地</w:t>
            </w:r>
          </w:p>
        </w:tc>
        <w:tc>
          <w:tcPr>
            <w:tcW w:w="711" w:type="dxa"/>
            <w:tcBorders>
              <w:top w:val="single" w:color="000000" w:sz="4" w:space="0"/>
              <w:left w:val="single" w:color="000000" w:sz="4" w:space="0"/>
              <w:bottom w:val="single" w:color="000000" w:sz="4" w:space="0"/>
              <w:right w:val="single" w:color="000000" w:sz="4" w:space="0"/>
            </w:tcBorders>
          </w:tcPr>
          <w:p>
            <w:pPr>
              <w:pStyle w:val="19"/>
              <w:spacing w:before="14" w:line="237" w:lineRule="exact"/>
              <w:ind w:left="128" w:right="109"/>
              <w:rPr>
                <w:rFonts w:ascii="Times New Roman"/>
                <w:sz w:val="21"/>
              </w:rPr>
            </w:pPr>
            <w:r>
              <w:rPr>
                <w:rFonts w:ascii="Times New Roman"/>
                <w:sz w:val="21"/>
              </w:rPr>
              <w:t>013</w:t>
            </w:r>
          </w:p>
        </w:tc>
        <w:tc>
          <w:tcPr>
            <w:tcW w:w="1782" w:type="dxa"/>
            <w:tcBorders>
              <w:top w:val="single" w:color="000000" w:sz="4" w:space="0"/>
              <w:left w:val="single" w:color="000000" w:sz="4" w:space="0"/>
              <w:bottom w:val="single" w:color="000000" w:sz="4" w:space="0"/>
              <w:right w:val="single" w:color="000000" w:sz="4" w:space="0"/>
            </w:tcBorders>
          </w:tcPr>
          <w:p>
            <w:pPr>
              <w:pStyle w:val="19"/>
              <w:spacing w:line="251" w:lineRule="exact"/>
              <w:ind w:left="454" w:right="436"/>
              <w:rPr>
                <w:sz w:val="21"/>
              </w:rPr>
            </w:pPr>
            <w:r>
              <w:rPr>
                <w:sz w:val="21"/>
              </w:rPr>
              <w:t>旱地</w:t>
            </w:r>
          </w:p>
        </w:tc>
        <w:tc>
          <w:tcPr>
            <w:tcW w:w="1896" w:type="dxa"/>
            <w:tcBorders>
              <w:top w:val="single" w:color="000000" w:sz="4" w:space="0"/>
              <w:left w:val="single" w:color="000000" w:sz="4" w:space="0"/>
              <w:bottom w:val="single" w:color="000000" w:sz="4" w:space="0"/>
              <w:right w:val="single" w:color="000000" w:sz="4" w:space="0"/>
            </w:tcBorders>
          </w:tcPr>
          <w:p>
            <w:pPr>
              <w:pStyle w:val="19"/>
              <w:spacing w:line="252" w:lineRule="exact"/>
              <w:ind w:left="90" w:right="72"/>
              <w:rPr>
                <w:rFonts w:ascii="仿宋"/>
                <w:sz w:val="21"/>
              </w:rPr>
            </w:pPr>
            <w:r>
              <w:rPr>
                <w:rFonts w:ascii="仿宋"/>
                <w:sz w:val="21"/>
              </w:rPr>
              <w:t>10.7134</w:t>
            </w:r>
          </w:p>
        </w:tc>
        <w:tc>
          <w:tcPr>
            <w:tcW w:w="1394" w:type="dxa"/>
            <w:tcBorders>
              <w:top w:val="single" w:color="000000" w:sz="4" w:space="0"/>
              <w:left w:val="single" w:color="000000" w:sz="4" w:space="0"/>
              <w:bottom w:val="single" w:color="000000" w:sz="4" w:space="0"/>
            </w:tcBorders>
          </w:tcPr>
          <w:p>
            <w:pPr>
              <w:pStyle w:val="19"/>
              <w:spacing w:line="252" w:lineRule="exact"/>
              <w:ind w:right="464"/>
              <w:jc w:val="right"/>
              <w:rPr>
                <w:rFonts w:ascii="仿宋"/>
                <w:sz w:val="21"/>
              </w:rPr>
            </w:pPr>
            <w:r>
              <w:rPr>
                <w:rFonts w:ascii="仿宋"/>
                <w:sz w:val="21"/>
              </w:rPr>
              <w:t>1.72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636" w:type="dxa"/>
            <w:tcBorders>
              <w:top w:val="single" w:color="000000" w:sz="4" w:space="0"/>
              <w:bottom w:val="single" w:color="000000" w:sz="4" w:space="0"/>
              <w:right w:val="single" w:color="000000" w:sz="4" w:space="0"/>
            </w:tcBorders>
          </w:tcPr>
          <w:p>
            <w:pPr>
              <w:pStyle w:val="19"/>
              <w:spacing w:before="15" w:line="236" w:lineRule="exact"/>
              <w:ind w:left="86" w:right="72"/>
              <w:rPr>
                <w:rFonts w:ascii="Times New Roman"/>
                <w:sz w:val="21"/>
              </w:rPr>
            </w:pPr>
            <w:r>
              <w:rPr>
                <w:rFonts w:ascii="Times New Roman"/>
                <w:sz w:val="21"/>
              </w:rPr>
              <w:t>03</w:t>
            </w:r>
          </w:p>
        </w:tc>
        <w:tc>
          <w:tcPr>
            <w:tcW w:w="2106" w:type="dxa"/>
            <w:tcBorders>
              <w:top w:val="single" w:color="000000" w:sz="4" w:space="0"/>
              <w:left w:val="single" w:color="000000" w:sz="4" w:space="0"/>
              <w:bottom w:val="single" w:color="000000" w:sz="4" w:space="0"/>
              <w:right w:val="single" w:color="000000" w:sz="4" w:space="0"/>
            </w:tcBorders>
          </w:tcPr>
          <w:p>
            <w:pPr>
              <w:pStyle w:val="19"/>
              <w:spacing w:before="1" w:line="250" w:lineRule="exact"/>
              <w:ind w:left="192" w:right="178"/>
              <w:rPr>
                <w:sz w:val="21"/>
              </w:rPr>
            </w:pPr>
            <w:r>
              <w:rPr>
                <w:sz w:val="21"/>
              </w:rPr>
              <w:t>林地</w:t>
            </w:r>
          </w:p>
        </w:tc>
        <w:tc>
          <w:tcPr>
            <w:tcW w:w="711" w:type="dxa"/>
            <w:tcBorders>
              <w:top w:val="single" w:color="000000" w:sz="4" w:space="0"/>
              <w:left w:val="single" w:color="000000" w:sz="4" w:space="0"/>
              <w:bottom w:val="single" w:color="000000" w:sz="4" w:space="0"/>
              <w:right w:val="single" w:color="000000" w:sz="4" w:space="0"/>
            </w:tcBorders>
          </w:tcPr>
          <w:p>
            <w:pPr>
              <w:pStyle w:val="19"/>
              <w:spacing w:before="15" w:line="236" w:lineRule="exact"/>
              <w:ind w:left="128" w:right="109"/>
              <w:rPr>
                <w:rFonts w:ascii="Times New Roman"/>
                <w:sz w:val="21"/>
              </w:rPr>
            </w:pPr>
            <w:r>
              <w:rPr>
                <w:rFonts w:ascii="Times New Roman"/>
                <w:sz w:val="21"/>
              </w:rPr>
              <w:t>031</w:t>
            </w:r>
          </w:p>
        </w:tc>
        <w:tc>
          <w:tcPr>
            <w:tcW w:w="1782" w:type="dxa"/>
            <w:tcBorders>
              <w:top w:val="single" w:color="000000" w:sz="4" w:space="0"/>
              <w:left w:val="single" w:color="000000" w:sz="4" w:space="0"/>
              <w:bottom w:val="single" w:color="000000" w:sz="4" w:space="0"/>
              <w:right w:val="single" w:color="000000" w:sz="4" w:space="0"/>
            </w:tcBorders>
          </w:tcPr>
          <w:p>
            <w:pPr>
              <w:pStyle w:val="19"/>
              <w:spacing w:before="1" w:line="250" w:lineRule="exact"/>
              <w:ind w:left="454" w:right="436"/>
              <w:rPr>
                <w:sz w:val="21"/>
              </w:rPr>
            </w:pPr>
            <w:r>
              <w:rPr>
                <w:sz w:val="21"/>
              </w:rPr>
              <w:t>有林地</w:t>
            </w:r>
          </w:p>
        </w:tc>
        <w:tc>
          <w:tcPr>
            <w:tcW w:w="1896" w:type="dxa"/>
            <w:tcBorders>
              <w:top w:val="single" w:color="000000" w:sz="4" w:space="0"/>
              <w:left w:val="single" w:color="000000" w:sz="4" w:space="0"/>
              <w:bottom w:val="single" w:color="000000" w:sz="4" w:space="0"/>
              <w:right w:val="single" w:color="000000" w:sz="4" w:space="0"/>
            </w:tcBorders>
          </w:tcPr>
          <w:p>
            <w:pPr>
              <w:pStyle w:val="19"/>
              <w:spacing w:line="252" w:lineRule="exact"/>
              <w:ind w:left="90" w:right="72"/>
              <w:rPr>
                <w:rFonts w:ascii="仿宋"/>
                <w:sz w:val="21"/>
              </w:rPr>
            </w:pPr>
            <w:r>
              <w:rPr>
                <w:rFonts w:ascii="仿宋"/>
                <w:sz w:val="21"/>
              </w:rPr>
              <w:t>597.7301</w:t>
            </w:r>
          </w:p>
        </w:tc>
        <w:tc>
          <w:tcPr>
            <w:tcW w:w="1394" w:type="dxa"/>
            <w:tcBorders>
              <w:top w:val="single" w:color="000000" w:sz="4" w:space="0"/>
              <w:left w:val="single" w:color="000000" w:sz="4" w:space="0"/>
              <w:bottom w:val="single" w:color="000000" w:sz="4" w:space="0"/>
            </w:tcBorders>
          </w:tcPr>
          <w:p>
            <w:pPr>
              <w:pStyle w:val="19"/>
              <w:spacing w:line="252" w:lineRule="exact"/>
              <w:ind w:right="414"/>
              <w:jc w:val="right"/>
              <w:rPr>
                <w:rFonts w:ascii="仿宋"/>
                <w:sz w:val="21"/>
              </w:rPr>
            </w:pPr>
            <w:r>
              <w:rPr>
                <w:rFonts w:ascii="仿宋"/>
                <w:w w:val="95"/>
                <w:sz w:val="21"/>
              </w:rPr>
              <w:t>95.89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0" w:hRule="atLeast"/>
        </w:trPr>
        <w:tc>
          <w:tcPr>
            <w:tcW w:w="636" w:type="dxa"/>
            <w:tcBorders>
              <w:top w:val="single" w:color="000000" w:sz="4" w:space="0"/>
              <w:bottom w:val="single" w:color="000000" w:sz="4" w:space="0"/>
              <w:right w:val="single" w:color="000000" w:sz="4" w:space="0"/>
            </w:tcBorders>
          </w:tcPr>
          <w:p>
            <w:pPr>
              <w:pStyle w:val="19"/>
              <w:spacing w:line="220" w:lineRule="exact"/>
              <w:ind w:left="86" w:right="72"/>
              <w:rPr>
                <w:rFonts w:ascii="仿宋"/>
                <w:sz w:val="21"/>
              </w:rPr>
            </w:pPr>
            <w:r>
              <w:rPr>
                <w:rFonts w:ascii="仿宋"/>
                <w:sz w:val="21"/>
              </w:rPr>
              <w:t>10</w:t>
            </w:r>
          </w:p>
        </w:tc>
        <w:tc>
          <w:tcPr>
            <w:tcW w:w="2106" w:type="dxa"/>
            <w:tcBorders>
              <w:top w:val="single" w:color="000000" w:sz="4" w:space="0"/>
              <w:left w:val="single" w:color="000000" w:sz="4" w:space="0"/>
              <w:bottom w:val="single" w:color="000000" w:sz="4" w:space="0"/>
              <w:right w:val="single" w:color="000000" w:sz="4" w:space="0"/>
            </w:tcBorders>
          </w:tcPr>
          <w:p>
            <w:pPr>
              <w:pStyle w:val="19"/>
              <w:spacing w:line="220" w:lineRule="exact"/>
              <w:ind w:left="192" w:right="178"/>
              <w:rPr>
                <w:rFonts w:hint="eastAsia" w:ascii="仿宋" w:eastAsia="仿宋"/>
                <w:sz w:val="21"/>
              </w:rPr>
            </w:pPr>
            <w:r>
              <w:rPr>
                <w:rFonts w:hint="eastAsia" w:ascii="仿宋" w:eastAsia="仿宋"/>
                <w:sz w:val="21"/>
              </w:rPr>
              <w:t>交通运输用地</w:t>
            </w:r>
          </w:p>
        </w:tc>
        <w:tc>
          <w:tcPr>
            <w:tcW w:w="711" w:type="dxa"/>
            <w:tcBorders>
              <w:top w:val="single" w:color="000000" w:sz="4" w:space="0"/>
              <w:left w:val="single" w:color="000000" w:sz="4" w:space="0"/>
              <w:bottom w:val="single" w:color="000000" w:sz="4" w:space="0"/>
              <w:right w:val="single" w:color="000000" w:sz="4" w:space="0"/>
            </w:tcBorders>
          </w:tcPr>
          <w:p>
            <w:pPr>
              <w:pStyle w:val="19"/>
              <w:spacing w:line="220" w:lineRule="exact"/>
              <w:ind w:left="128" w:right="109"/>
              <w:rPr>
                <w:rFonts w:ascii="仿宋"/>
                <w:sz w:val="21"/>
              </w:rPr>
            </w:pPr>
            <w:r>
              <w:rPr>
                <w:rFonts w:ascii="仿宋"/>
                <w:sz w:val="21"/>
              </w:rPr>
              <w:t>104</w:t>
            </w:r>
          </w:p>
        </w:tc>
        <w:tc>
          <w:tcPr>
            <w:tcW w:w="1782" w:type="dxa"/>
            <w:tcBorders>
              <w:top w:val="single" w:color="000000" w:sz="4" w:space="0"/>
              <w:left w:val="single" w:color="000000" w:sz="4" w:space="0"/>
              <w:bottom w:val="single" w:color="000000" w:sz="4" w:space="0"/>
              <w:right w:val="single" w:color="000000" w:sz="4" w:space="0"/>
            </w:tcBorders>
          </w:tcPr>
          <w:p>
            <w:pPr>
              <w:pStyle w:val="19"/>
              <w:spacing w:line="220" w:lineRule="exact"/>
              <w:ind w:left="454" w:right="438"/>
              <w:rPr>
                <w:rFonts w:hint="eastAsia" w:ascii="仿宋" w:eastAsia="仿宋"/>
                <w:sz w:val="21"/>
              </w:rPr>
            </w:pPr>
            <w:r>
              <w:rPr>
                <w:rFonts w:hint="eastAsia" w:ascii="仿宋" w:eastAsia="仿宋"/>
                <w:sz w:val="21"/>
              </w:rPr>
              <w:t>农村道路</w:t>
            </w:r>
          </w:p>
        </w:tc>
        <w:tc>
          <w:tcPr>
            <w:tcW w:w="1896" w:type="dxa"/>
            <w:tcBorders>
              <w:top w:val="single" w:color="000000" w:sz="4" w:space="0"/>
              <w:left w:val="single" w:color="000000" w:sz="4" w:space="0"/>
              <w:bottom w:val="single" w:color="000000" w:sz="4" w:space="0"/>
              <w:right w:val="single" w:color="000000" w:sz="4" w:space="0"/>
            </w:tcBorders>
          </w:tcPr>
          <w:p>
            <w:pPr>
              <w:pStyle w:val="19"/>
              <w:spacing w:line="220" w:lineRule="exact"/>
              <w:ind w:left="90" w:right="72"/>
              <w:rPr>
                <w:rFonts w:ascii="仿宋"/>
                <w:sz w:val="21"/>
              </w:rPr>
            </w:pPr>
            <w:r>
              <w:rPr>
                <w:rFonts w:ascii="仿宋"/>
                <w:sz w:val="21"/>
              </w:rPr>
              <w:t>8.1518</w:t>
            </w:r>
          </w:p>
        </w:tc>
        <w:tc>
          <w:tcPr>
            <w:tcW w:w="1394" w:type="dxa"/>
            <w:tcBorders>
              <w:top w:val="single" w:color="000000" w:sz="4" w:space="0"/>
              <w:left w:val="single" w:color="000000" w:sz="4" w:space="0"/>
              <w:bottom w:val="single" w:color="000000" w:sz="4" w:space="0"/>
            </w:tcBorders>
          </w:tcPr>
          <w:p>
            <w:pPr>
              <w:pStyle w:val="19"/>
              <w:spacing w:line="220" w:lineRule="exact"/>
              <w:ind w:right="464"/>
              <w:jc w:val="right"/>
              <w:rPr>
                <w:rFonts w:ascii="仿宋"/>
                <w:sz w:val="21"/>
              </w:rPr>
            </w:pPr>
            <w:r>
              <w:rPr>
                <w:rFonts w:ascii="仿宋"/>
                <w:sz w:val="21"/>
              </w:rPr>
              <w:t>1.31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636" w:type="dxa"/>
            <w:tcBorders>
              <w:top w:val="single" w:color="000000" w:sz="4" w:space="0"/>
              <w:bottom w:val="single" w:color="000000" w:sz="4" w:space="0"/>
              <w:right w:val="single" w:color="000000" w:sz="4" w:space="0"/>
            </w:tcBorders>
          </w:tcPr>
          <w:p>
            <w:pPr>
              <w:pStyle w:val="19"/>
              <w:spacing w:before="14" w:line="239" w:lineRule="exact"/>
              <w:ind w:left="86" w:right="72"/>
              <w:rPr>
                <w:rFonts w:ascii="Times New Roman"/>
                <w:sz w:val="21"/>
              </w:rPr>
            </w:pPr>
            <w:r>
              <w:rPr>
                <w:rFonts w:ascii="Times New Roman"/>
                <w:sz w:val="21"/>
              </w:rPr>
              <w:t>20</w:t>
            </w:r>
          </w:p>
        </w:tc>
        <w:tc>
          <w:tcPr>
            <w:tcW w:w="2106" w:type="dxa"/>
            <w:tcBorders>
              <w:top w:val="single" w:color="000000" w:sz="4" w:space="0"/>
              <w:left w:val="single" w:color="000000" w:sz="4" w:space="0"/>
              <w:bottom w:val="single" w:color="000000" w:sz="4" w:space="0"/>
              <w:right w:val="single" w:color="000000" w:sz="4" w:space="0"/>
            </w:tcBorders>
          </w:tcPr>
          <w:p>
            <w:pPr>
              <w:pStyle w:val="19"/>
              <w:spacing w:line="253" w:lineRule="exact"/>
              <w:ind w:left="195" w:right="178"/>
              <w:rPr>
                <w:sz w:val="21"/>
              </w:rPr>
            </w:pPr>
            <w:r>
              <w:rPr>
                <w:sz w:val="21"/>
              </w:rPr>
              <w:t>城镇村及工矿用地</w:t>
            </w:r>
          </w:p>
        </w:tc>
        <w:tc>
          <w:tcPr>
            <w:tcW w:w="711" w:type="dxa"/>
            <w:tcBorders>
              <w:top w:val="single" w:color="000000" w:sz="4" w:space="0"/>
              <w:left w:val="single" w:color="000000" w:sz="4" w:space="0"/>
              <w:bottom w:val="single" w:color="000000" w:sz="4" w:space="0"/>
              <w:right w:val="single" w:color="000000" w:sz="4" w:space="0"/>
            </w:tcBorders>
          </w:tcPr>
          <w:p>
            <w:pPr>
              <w:pStyle w:val="19"/>
              <w:spacing w:before="14" w:line="239" w:lineRule="exact"/>
              <w:ind w:left="128" w:right="109"/>
              <w:rPr>
                <w:rFonts w:ascii="Times New Roman"/>
                <w:sz w:val="21"/>
              </w:rPr>
            </w:pPr>
            <w:r>
              <w:rPr>
                <w:rFonts w:ascii="Times New Roman"/>
                <w:sz w:val="21"/>
              </w:rPr>
              <w:t>204</w:t>
            </w:r>
          </w:p>
        </w:tc>
        <w:tc>
          <w:tcPr>
            <w:tcW w:w="1782" w:type="dxa"/>
            <w:tcBorders>
              <w:top w:val="single" w:color="000000" w:sz="4" w:space="0"/>
              <w:left w:val="single" w:color="000000" w:sz="4" w:space="0"/>
              <w:bottom w:val="single" w:color="000000" w:sz="4" w:space="0"/>
              <w:right w:val="single" w:color="000000" w:sz="4" w:space="0"/>
            </w:tcBorders>
          </w:tcPr>
          <w:p>
            <w:pPr>
              <w:pStyle w:val="19"/>
              <w:spacing w:line="253" w:lineRule="exact"/>
              <w:ind w:left="454" w:right="438"/>
              <w:rPr>
                <w:sz w:val="21"/>
              </w:rPr>
            </w:pPr>
            <w:r>
              <w:rPr>
                <w:sz w:val="21"/>
              </w:rPr>
              <w:t>采矿用地</w:t>
            </w:r>
          </w:p>
        </w:tc>
        <w:tc>
          <w:tcPr>
            <w:tcW w:w="1896" w:type="dxa"/>
            <w:tcBorders>
              <w:top w:val="single" w:color="000000" w:sz="4" w:space="0"/>
              <w:left w:val="single" w:color="000000" w:sz="4" w:space="0"/>
              <w:bottom w:val="single" w:color="000000" w:sz="4" w:space="0"/>
              <w:right w:val="single" w:color="000000" w:sz="4" w:space="0"/>
            </w:tcBorders>
          </w:tcPr>
          <w:p>
            <w:pPr>
              <w:pStyle w:val="19"/>
              <w:spacing w:line="253" w:lineRule="exact"/>
              <w:ind w:left="90" w:right="72"/>
              <w:rPr>
                <w:rFonts w:ascii="仿宋"/>
                <w:sz w:val="21"/>
              </w:rPr>
            </w:pPr>
            <w:r>
              <w:rPr>
                <w:rFonts w:ascii="仿宋"/>
                <w:sz w:val="21"/>
              </w:rPr>
              <w:t>6.7658</w:t>
            </w:r>
          </w:p>
        </w:tc>
        <w:tc>
          <w:tcPr>
            <w:tcW w:w="1394" w:type="dxa"/>
            <w:tcBorders>
              <w:top w:val="single" w:color="000000" w:sz="4" w:space="0"/>
              <w:left w:val="single" w:color="000000" w:sz="4" w:space="0"/>
              <w:bottom w:val="single" w:color="000000" w:sz="4" w:space="0"/>
            </w:tcBorders>
          </w:tcPr>
          <w:p>
            <w:pPr>
              <w:pStyle w:val="19"/>
              <w:spacing w:line="253" w:lineRule="exact"/>
              <w:ind w:right="464"/>
              <w:jc w:val="right"/>
              <w:rPr>
                <w:rFonts w:ascii="仿宋"/>
                <w:sz w:val="21"/>
              </w:rPr>
            </w:pPr>
            <w:r>
              <w:rPr>
                <w:rFonts w:ascii="仿宋"/>
                <w:sz w:val="21"/>
              </w:rPr>
              <w:t>1.09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5235" w:type="dxa"/>
            <w:gridSpan w:val="4"/>
            <w:tcBorders>
              <w:top w:val="single" w:color="000000" w:sz="4" w:space="0"/>
              <w:right w:val="single" w:color="000000" w:sz="4" w:space="0"/>
            </w:tcBorders>
          </w:tcPr>
          <w:p>
            <w:pPr>
              <w:pStyle w:val="19"/>
              <w:spacing w:line="251" w:lineRule="exact"/>
              <w:ind w:left="2385" w:right="2375"/>
              <w:rPr>
                <w:sz w:val="21"/>
              </w:rPr>
            </w:pPr>
            <w:r>
              <w:rPr>
                <w:sz w:val="21"/>
              </w:rPr>
              <w:t>合计</w:t>
            </w:r>
          </w:p>
        </w:tc>
        <w:tc>
          <w:tcPr>
            <w:tcW w:w="1896" w:type="dxa"/>
            <w:tcBorders>
              <w:top w:val="single" w:color="000000" w:sz="4" w:space="0"/>
              <w:left w:val="single" w:color="000000" w:sz="4" w:space="0"/>
              <w:right w:val="single" w:color="000000" w:sz="4" w:space="0"/>
            </w:tcBorders>
          </w:tcPr>
          <w:p>
            <w:pPr>
              <w:pStyle w:val="19"/>
              <w:spacing w:line="252" w:lineRule="exact"/>
              <w:ind w:left="90" w:right="72"/>
              <w:rPr>
                <w:rFonts w:ascii="仿宋"/>
                <w:sz w:val="21"/>
              </w:rPr>
            </w:pPr>
            <w:r>
              <w:rPr>
                <w:rFonts w:ascii="仿宋"/>
                <w:sz w:val="21"/>
              </w:rPr>
              <w:t>623.3611</w:t>
            </w:r>
          </w:p>
        </w:tc>
        <w:tc>
          <w:tcPr>
            <w:tcW w:w="1394" w:type="dxa"/>
            <w:tcBorders>
              <w:top w:val="single" w:color="000000" w:sz="4" w:space="0"/>
              <w:left w:val="single" w:color="000000" w:sz="4" w:space="0"/>
            </w:tcBorders>
          </w:tcPr>
          <w:p>
            <w:pPr>
              <w:pStyle w:val="19"/>
              <w:spacing w:line="252" w:lineRule="exact"/>
              <w:ind w:right="359"/>
              <w:jc w:val="right"/>
              <w:rPr>
                <w:rFonts w:ascii="仿宋"/>
                <w:sz w:val="21"/>
              </w:rPr>
            </w:pPr>
            <w:r>
              <w:rPr>
                <w:rFonts w:ascii="仿宋"/>
                <w:w w:val="95"/>
                <w:sz w:val="21"/>
              </w:rPr>
              <w:t>100.00</w:t>
            </w:r>
          </w:p>
        </w:tc>
      </w:tr>
    </w:tbl>
    <w:p>
      <w:pPr>
        <w:spacing w:after="0" w:line="252" w:lineRule="exact"/>
        <w:jc w:val="right"/>
        <w:rPr>
          <w:rFonts w:ascii="仿宋"/>
          <w:sz w:val="21"/>
        </w:rPr>
        <w:sectPr>
          <w:pgSz w:w="11910" w:h="16840"/>
          <w:pgMar w:top="1480" w:right="0" w:bottom="880" w:left="0" w:header="0" w:footer="681" w:gutter="0"/>
        </w:sectPr>
      </w:pPr>
    </w:p>
    <w:p>
      <w:pPr>
        <w:pStyle w:val="9"/>
        <w:spacing w:before="36"/>
        <w:ind w:left="1898"/>
      </w:pPr>
      <w:r>
        <w:t>项目区土地利用现状图详见附图。</w:t>
      </w:r>
    </w:p>
    <w:p>
      <w:pPr>
        <w:pStyle w:val="5"/>
        <w:numPr>
          <w:ilvl w:val="1"/>
          <w:numId w:val="54"/>
        </w:numPr>
        <w:tabs>
          <w:tab w:val="left" w:pos="2144"/>
        </w:tabs>
        <w:spacing w:before="158" w:after="0" w:line="240" w:lineRule="auto"/>
        <w:ind w:left="2143" w:right="0" w:hanging="527"/>
        <w:jc w:val="left"/>
      </w:pPr>
      <w:bookmarkStart w:id="237" w:name="_bookmark23"/>
      <w:bookmarkEnd w:id="237"/>
      <w:bookmarkStart w:id="238" w:name="4.2 地表沉陷影响预测与分析"/>
      <w:bookmarkEnd w:id="238"/>
      <w:bookmarkStart w:id="239" w:name="_bookmark23"/>
      <w:bookmarkEnd w:id="239"/>
      <w:r>
        <w:t>地表沉陷影响预测与分析</w:t>
      </w:r>
    </w:p>
    <w:p>
      <w:pPr>
        <w:pStyle w:val="9"/>
        <w:spacing w:before="2"/>
        <w:rPr>
          <w:b/>
          <w:sz w:val="40"/>
        </w:rPr>
      </w:pPr>
    </w:p>
    <w:p>
      <w:pPr>
        <w:pStyle w:val="6"/>
        <w:numPr>
          <w:ilvl w:val="2"/>
          <w:numId w:val="54"/>
        </w:numPr>
        <w:tabs>
          <w:tab w:val="left" w:pos="2249"/>
        </w:tabs>
        <w:spacing w:before="0" w:after="0" w:line="240" w:lineRule="auto"/>
        <w:ind w:left="2248" w:right="0" w:hanging="632"/>
        <w:jc w:val="left"/>
      </w:pPr>
      <w:bookmarkStart w:id="240" w:name="4.2.1地表沉陷成因分析"/>
      <w:bookmarkEnd w:id="240"/>
      <w:bookmarkStart w:id="241" w:name="4.2.1地表沉陷成因分析"/>
      <w:bookmarkEnd w:id="241"/>
      <w:r>
        <w:t>地表沉陷成因分析</w:t>
      </w:r>
    </w:p>
    <w:p>
      <w:pPr>
        <w:pStyle w:val="9"/>
        <w:spacing w:before="6"/>
        <w:rPr>
          <w:b/>
          <w:sz w:val="37"/>
        </w:rPr>
      </w:pPr>
    </w:p>
    <w:p>
      <w:pPr>
        <w:pStyle w:val="9"/>
        <w:spacing w:line="405" w:lineRule="auto"/>
        <w:ind w:left="1418" w:right="1417" w:firstLine="480"/>
        <w:jc w:val="both"/>
      </w:pPr>
      <w:r>
        <w:rPr>
          <w:spacing w:val="-5"/>
        </w:rPr>
        <w:t>煤矿地下开采将引发地表下沉、变形、破坏土地资源和植物资源，从而破坏了矿区内生态系统的结构和平衡，制约了矿区可持续发展，并且在此类影响部分具有不可逆转</w:t>
      </w:r>
      <w:r>
        <w:rPr>
          <w:spacing w:val="-7"/>
        </w:rPr>
        <w:t>的特征。双鸭山盟度矿业有限公司采用地下开采的方式作业，随着开采活动的进行，可</w:t>
      </w:r>
      <w:r>
        <w:rPr>
          <w:spacing w:val="-4"/>
        </w:rPr>
        <w:t>能会造成矿区内土地的挖损和塌陷。不同的开采工艺导致对土地破坏形式的不同，从总</w:t>
      </w:r>
      <w:r>
        <w:t>体而言煤矿开采对土地的破坏主要表现为占用和压占、塌陷。</w:t>
      </w:r>
    </w:p>
    <w:p>
      <w:pPr>
        <w:pStyle w:val="9"/>
        <w:spacing w:before="1" w:line="405" w:lineRule="auto"/>
        <w:ind w:left="1418" w:right="1417" w:firstLine="480"/>
        <w:jc w:val="both"/>
      </w:pPr>
      <w:r>
        <w:rPr>
          <w:spacing w:val="-4"/>
        </w:rPr>
        <w:t>塌陷主要是指矿区地下开采可能引发的地面塌陷，在采矿生产过程中有可能出现地</w:t>
      </w:r>
      <w:r>
        <w:rPr>
          <w:spacing w:val="-7"/>
        </w:rPr>
        <w:t>面塌陷，从而对土地及土壤造成破坏。根据本区矿体赋存条件，随着矿床回采工作的进</w:t>
      </w:r>
      <w:r>
        <w:t>行，矿体上部的岩层平衡条件改变，岩层破坏塌落弯曲变形可能产生地面塌陷。</w:t>
      </w:r>
    </w:p>
    <w:p>
      <w:pPr>
        <w:pStyle w:val="6"/>
        <w:numPr>
          <w:ilvl w:val="2"/>
          <w:numId w:val="54"/>
        </w:numPr>
        <w:tabs>
          <w:tab w:val="left" w:pos="2249"/>
        </w:tabs>
        <w:spacing w:before="0" w:after="0" w:line="305" w:lineRule="exact"/>
        <w:ind w:left="2248" w:right="0" w:hanging="632"/>
        <w:jc w:val="left"/>
      </w:pPr>
      <w:bookmarkStart w:id="242" w:name="4.2.2地表沉陷预测模式及参数的选取"/>
      <w:bookmarkEnd w:id="242"/>
      <w:bookmarkStart w:id="243" w:name="4.2.2地表沉陷预测模式及参数的选取"/>
      <w:bookmarkEnd w:id="243"/>
      <w:r>
        <w:t>地表沉陷预测模式及参数的选取</w:t>
      </w:r>
    </w:p>
    <w:p>
      <w:pPr>
        <w:pStyle w:val="9"/>
        <w:spacing w:before="6"/>
        <w:rPr>
          <w:b/>
          <w:sz w:val="37"/>
        </w:rPr>
      </w:pPr>
    </w:p>
    <w:p>
      <w:pPr>
        <w:pStyle w:val="9"/>
        <w:spacing w:before="1"/>
        <w:ind w:left="1898"/>
      </w:pPr>
      <w:r>
        <w:t>（</w:t>
      </w:r>
      <w:r>
        <w:rPr>
          <w:rFonts w:ascii="Times New Roman" w:eastAsia="Times New Roman"/>
        </w:rPr>
        <w:t>1</w:t>
      </w:r>
      <w:r>
        <w:t>）预测模式</w:t>
      </w:r>
    </w:p>
    <w:p>
      <w:pPr>
        <w:pStyle w:val="9"/>
        <w:spacing w:before="213" w:line="405" w:lineRule="auto"/>
        <w:ind w:left="1418" w:right="1297" w:firstLine="480"/>
      </w:pPr>
      <w:r>
        <w:rPr>
          <w:spacing w:val="3"/>
        </w:rPr>
        <w:t>地下煤层开采引起的地表破坏范围和破坏程度可用地表沉陷产生的移动和变形值</w:t>
      </w:r>
      <w:r>
        <w:rPr>
          <w:spacing w:val="-10"/>
        </w:rPr>
        <w:t>的大小来圈定和评价。平坦地区地表移动变形值的计算，可按其开采条件选用《建筑物、</w:t>
      </w:r>
      <w:r>
        <w:t>水体、铁路及主要井巷煤柱留设与压煤开采规程》中推荐的概率积分法。</w:t>
      </w:r>
    </w:p>
    <w:p>
      <w:pPr>
        <w:pStyle w:val="9"/>
        <w:spacing w:before="1" w:line="405" w:lineRule="auto"/>
        <w:ind w:left="1418" w:right="1354" w:firstLine="480"/>
      </w:pPr>
      <w:r>
        <w:t>概率积分法是以正态分布函数为影响函数，用积分式表示地表下沉盆地的方法，适用于常规的地表移动与变形计算。</w:t>
      </w:r>
    </w:p>
    <w:p>
      <w:pPr>
        <w:pStyle w:val="9"/>
        <w:ind w:left="1898"/>
      </w:pPr>
      <w:r>
        <w:t>移动盆地走向主断面上的移动与变形最大值：</w:t>
      </w:r>
    </w:p>
    <w:p>
      <w:pPr>
        <w:spacing w:before="28"/>
        <w:ind w:left="513" w:right="0" w:firstLine="0"/>
        <w:jc w:val="center"/>
        <w:rPr>
          <w:rFonts w:ascii="Symbol" w:hAnsi="Symbol"/>
          <w:i/>
          <w:sz w:val="25"/>
        </w:rPr>
      </w:pPr>
      <w:r>
        <w:rPr>
          <w:rFonts w:ascii="Times New Roman" w:hAnsi="Times New Roman"/>
          <w:i/>
          <w:sz w:val="24"/>
        </w:rPr>
        <w:t>W</w:t>
      </w:r>
      <w:r>
        <w:rPr>
          <w:rFonts w:ascii="Times New Roman" w:hAnsi="Times New Roman"/>
          <w:position w:val="-5"/>
          <w:sz w:val="14"/>
        </w:rPr>
        <w:t>max</w:t>
      </w:r>
      <w:r>
        <w:rPr>
          <w:sz w:val="24"/>
        </w:rPr>
        <w:t>＝</w:t>
      </w:r>
      <w:r>
        <w:rPr>
          <w:rFonts w:ascii="Times New Roman" w:hAnsi="Times New Roman"/>
          <w:i/>
          <w:sz w:val="24"/>
        </w:rPr>
        <w:t xml:space="preserve">q </w:t>
      </w:r>
      <w:r>
        <w:rPr>
          <w:rFonts w:ascii="Symbol" w:hAnsi="Symbol"/>
          <w:sz w:val="24"/>
        </w:rPr>
        <w:t></w:t>
      </w:r>
      <w:r>
        <w:rPr>
          <w:rFonts w:ascii="Times New Roman" w:hAnsi="Times New Roman"/>
          <w:sz w:val="24"/>
        </w:rPr>
        <w:t xml:space="preserve"> </w:t>
      </w:r>
      <w:r>
        <w:rPr>
          <w:rFonts w:ascii="Times New Roman" w:hAnsi="Times New Roman"/>
          <w:i/>
          <w:sz w:val="24"/>
        </w:rPr>
        <w:t xml:space="preserve">m </w:t>
      </w:r>
      <w:r>
        <w:rPr>
          <w:rFonts w:ascii="Symbol" w:hAnsi="Symbol"/>
          <w:sz w:val="24"/>
        </w:rPr>
        <w:t></w:t>
      </w:r>
      <w:r>
        <w:rPr>
          <w:rFonts w:ascii="Times New Roman" w:hAnsi="Times New Roman"/>
          <w:sz w:val="24"/>
        </w:rPr>
        <w:t xml:space="preserve"> cos</w:t>
      </w:r>
      <w:r>
        <w:rPr>
          <w:rFonts w:ascii="Symbol" w:hAnsi="Symbol"/>
          <w:i/>
          <w:sz w:val="25"/>
        </w:rPr>
        <w:t></w:t>
      </w:r>
    </w:p>
    <w:p>
      <w:pPr>
        <w:tabs>
          <w:tab w:val="left" w:pos="939"/>
        </w:tabs>
        <w:spacing w:before="38" w:line="169" w:lineRule="exact"/>
        <w:ind w:left="410" w:right="0" w:firstLine="0"/>
        <w:jc w:val="center"/>
        <w:rPr>
          <w:rFonts w:ascii="Times New Roman"/>
          <w:sz w:val="14"/>
        </w:rPr>
      </w:pPr>
      <w:r>
        <w:rPr>
          <w:rFonts w:ascii="Times New Roman"/>
          <w:i/>
          <w:position w:val="-8"/>
          <w:sz w:val="24"/>
        </w:rPr>
        <w:t>i</w:t>
      </w:r>
      <w:r>
        <w:rPr>
          <w:rFonts w:ascii="Times New Roman"/>
          <w:i/>
          <w:position w:val="-8"/>
          <w:sz w:val="24"/>
        </w:rPr>
        <w:tab/>
      </w:r>
      <w:r>
        <w:rPr>
          <w:rFonts w:ascii="Times New Roman"/>
          <w:i/>
          <w:position w:val="6"/>
          <w:sz w:val="24"/>
        </w:rPr>
        <w:t>W</w:t>
      </w:r>
      <w:r>
        <w:rPr>
          <w:rFonts w:ascii="Times New Roman"/>
          <w:sz w:val="14"/>
        </w:rPr>
        <w:t>max</w:t>
      </w:r>
    </w:p>
    <w:p>
      <w:pPr>
        <w:pStyle w:val="9"/>
        <w:spacing w:before="8"/>
        <w:rPr>
          <w:rFonts w:ascii="Times New Roman"/>
          <w:sz w:val="8"/>
        </w:rPr>
      </w:pPr>
      <w:r>
        <mc:AlternateContent>
          <mc:Choice Requires="wps">
            <w:drawing>
              <wp:anchor distT="0" distB="0" distL="0" distR="0" simplePos="0" relativeHeight="251688960" behindDoc="1" locked="0" layoutInCell="1" allowOverlap="1">
                <wp:simplePos x="0" y="0"/>
                <wp:positionH relativeFrom="page">
                  <wp:posOffset>3942715</wp:posOffset>
                </wp:positionH>
                <wp:positionV relativeFrom="paragraph">
                  <wp:posOffset>91440</wp:posOffset>
                </wp:positionV>
                <wp:extent cx="304165" cy="0"/>
                <wp:effectExtent l="0" t="0" r="0" b="0"/>
                <wp:wrapTopAndBottom/>
                <wp:docPr id="143" name="直线 18"/>
                <wp:cNvGraphicFramePr/>
                <a:graphic xmlns:a="http://schemas.openxmlformats.org/drawingml/2006/main">
                  <a:graphicData uri="http://schemas.microsoft.com/office/word/2010/wordprocessingShape">
                    <wps:wsp>
                      <wps:cNvSpPr/>
                      <wps:spPr>
                        <a:xfrm>
                          <a:off x="0" y="0"/>
                          <a:ext cx="304165" cy="0"/>
                        </a:xfrm>
                        <a:prstGeom prst="line">
                          <a:avLst/>
                        </a:prstGeom>
                        <a:ln w="6363" cap="flat" cmpd="sng">
                          <a:solidFill>
                            <a:srgbClr val="000000"/>
                          </a:solidFill>
                          <a:prstDash val="solid"/>
                          <a:headEnd type="none" w="med" len="med"/>
                          <a:tailEnd type="none" w="med" len="med"/>
                        </a:ln>
                      </wps:spPr>
                      <wps:bodyPr upright="1"/>
                    </wps:wsp>
                  </a:graphicData>
                </a:graphic>
              </wp:anchor>
            </w:drawing>
          </mc:Choice>
          <mc:Fallback>
            <w:pict>
              <v:line id="直线 18" o:spid="_x0000_s1026" o:spt="20" style="position:absolute;left:0pt;margin-left:310.45pt;margin-top:7.2pt;height:0pt;width:23.95pt;mso-position-horizontal-relative:page;mso-wrap-distance-bottom:0pt;mso-wrap-distance-top:0pt;z-index:-251627520;mso-width-relative:page;mso-height-relative:page;" filled="f" stroked="t" coordsize="21600,21600" o:gfxdata="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M6JM39cAAAAJAQAADwAAAAAAAAABACAAAAAiAAAA&#10;ZHJzL2Rvd25yZXYueG1sUEsBAhQAFAAAAAgAh07iQFhzAfvPAQAAjwMAAA4AAAAAAAAAAQAgAAAA&#10;JgEAAGRycy9lMm9Eb2MueG1sUEsFBgAAAAAGAAYAWQEAAGcFAAAAAA==&#10;">
                <v:fill on="f" focussize="0,0"/>
                <v:stroke weight="0.501023622047244pt" color="#000000" joinstyle="round"/>
                <v:imagedata o:title=""/>
                <o:lock v:ext="edit" aspectratio="f"/>
                <w10:wrap type="topAndBottom"/>
              </v:line>
            </w:pict>
          </mc:Fallback>
        </mc:AlternateContent>
      </w:r>
    </w:p>
    <w:p>
      <w:pPr>
        <w:spacing w:before="0" w:line="84" w:lineRule="auto"/>
        <w:ind w:left="331" w:right="0" w:firstLine="0"/>
        <w:jc w:val="center"/>
        <w:rPr>
          <w:rFonts w:ascii="Times New Roman" w:eastAsia="Times New Roman"/>
          <w:i/>
          <w:sz w:val="24"/>
        </w:rPr>
      </w:pPr>
      <w:r>
        <w:rPr>
          <w:rFonts w:ascii="Times New Roman" w:eastAsia="Times New Roman"/>
          <w:sz w:val="14"/>
        </w:rPr>
        <w:t>max</w:t>
      </w:r>
      <w:r>
        <w:rPr>
          <w:position w:val="6"/>
          <w:sz w:val="24"/>
        </w:rPr>
        <w:t>＝</w:t>
      </w:r>
      <w:r>
        <w:rPr>
          <w:spacing w:val="66"/>
          <w:position w:val="6"/>
          <w:sz w:val="24"/>
        </w:rPr>
        <w:t xml:space="preserve"> </w:t>
      </w:r>
      <w:r>
        <w:rPr>
          <w:rFonts w:ascii="Times New Roman" w:eastAsia="Times New Roman"/>
          <w:i/>
          <w:position w:val="-12"/>
          <w:sz w:val="24"/>
        </w:rPr>
        <w:t>r</w:t>
      </w:r>
    </w:p>
    <w:p>
      <w:pPr>
        <w:tabs>
          <w:tab w:val="left" w:pos="864"/>
        </w:tabs>
        <w:spacing w:before="0" w:line="291" w:lineRule="exact"/>
        <w:ind w:left="449" w:right="0" w:firstLine="0"/>
        <w:jc w:val="center"/>
        <w:rPr>
          <w:rFonts w:ascii="Times New Roman" w:eastAsia="Times New Roman"/>
          <w:sz w:val="14"/>
        </w:rPr>
      </w:pPr>
      <w:r>
        <w:rPr>
          <w:rFonts w:ascii="Times New Roman" w:eastAsia="Times New Roman"/>
          <w:i/>
          <w:sz w:val="24"/>
        </w:rPr>
        <w:t>K</w:t>
      </w:r>
      <w:r>
        <w:rPr>
          <w:rFonts w:ascii="Times New Roman" w:eastAsia="Times New Roman"/>
          <w:i/>
          <w:sz w:val="24"/>
        </w:rPr>
        <w:tab/>
      </w:r>
      <w:r>
        <w:rPr>
          <w:spacing w:val="-2"/>
          <w:sz w:val="24"/>
        </w:rPr>
        <w:t>＝</w:t>
      </w:r>
      <w:r>
        <w:rPr>
          <w:rFonts w:ascii="Times New Roman" w:eastAsia="Times New Roman"/>
          <w:spacing w:val="-2"/>
          <w:sz w:val="24"/>
        </w:rPr>
        <w:t>1.52</w:t>
      </w:r>
      <w:r>
        <w:rPr>
          <w:rFonts w:ascii="Times New Roman" w:eastAsia="Times New Roman"/>
          <w:i/>
          <w:spacing w:val="-2"/>
          <w:position w:val="15"/>
          <w:sz w:val="24"/>
        </w:rPr>
        <w:t>W</w:t>
      </w:r>
      <w:r>
        <w:rPr>
          <w:rFonts w:ascii="Times New Roman" w:eastAsia="Times New Roman"/>
          <w:spacing w:val="-2"/>
          <w:position w:val="9"/>
          <w:sz w:val="14"/>
        </w:rPr>
        <w:t>max</w:t>
      </w:r>
    </w:p>
    <w:p>
      <w:pPr>
        <w:pStyle w:val="9"/>
        <w:spacing w:line="20" w:lineRule="exact"/>
        <w:ind w:left="6485"/>
        <w:rPr>
          <w:rFonts w:ascii="Times New Roman"/>
          <w:sz w:val="2"/>
        </w:rPr>
      </w:pPr>
      <w:r>
        <w:rPr>
          <w:rFonts w:ascii="Times New Roman"/>
          <w:sz w:val="2"/>
        </w:rPr>
        <mc:AlternateContent>
          <mc:Choice Requires="wpg">
            <w:drawing>
              <wp:inline distT="0" distB="0" distL="114300" distR="114300">
                <wp:extent cx="307340" cy="6985"/>
                <wp:effectExtent l="0" t="0" r="0" b="0"/>
                <wp:docPr id="135" name="组合 19"/>
                <wp:cNvGraphicFramePr/>
                <a:graphic xmlns:a="http://schemas.openxmlformats.org/drawingml/2006/main">
                  <a:graphicData uri="http://schemas.microsoft.com/office/word/2010/wordprocessingGroup">
                    <wpg:wgp>
                      <wpg:cNvGrpSpPr/>
                      <wpg:grpSpPr>
                        <a:xfrm>
                          <a:off x="0" y="0"/>
                          <a:ext cx="307340" cy="6985"/>
                          <a:chOff x="0" y="0"/>
                          <a:chExt cx="484" cy="11"/>
                        </a:xfrm>
                      </wpg:grpSpPr>
                      <wps:wsp>
                        <wps:cNvPr id="134" name="直线 20"/>
                        <wps:cNvSpPr/>
                        <wps:spPr>
                          <a:xfrm>
                            <a:off x="0" y="5"/>
                            <a:ext cx="484" cy="0"/>
                          </a:xfrm>
                          <a:prstGeom prst="line">
                            <a:avLst/>
                          </a:prstGeom>
                          <a:ln w="6375" cap="flat" cmpd="sng">
                            <a:solidFill>
                              <a:srgbClr val="000000"/>
                            </a:solidFill>
                            <a:prstDash val="solid"/>
                            <a:headEnd type="none" w="med" len="med"/>
                            <a:tailEnd type="none" w="med" len="med"/>
                          </a:ln>
                        </wps:spPr>
                        <wps:bodyPr upright="1"/>
                      </wps:wsp>
                    </wpg:wgp>
                  </a:graphicData>
                </a:graphic>
              </wp:inline>
            </w:drawing>
          </mc:Choice>
          <mc:Fallback>
            <w:pict>
              <v:group id="组合 19" o:spid="_x0000_s1026" o:spt="203" style="height:0.55pt;width:24.2pt;" coordsize="484,11" o:gfxdata="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v5+D9MAAAACAQAADwAAAAAAAAABACAAAAAiAAAAZHJzL2Rvd25yZXYueG1sUEsBAhQA&#10;FAAAAAgAh07iQJYG6t4wAgAAswQAAA4AAAAAAAAAAQAgAAAAIgEAAGRycy9lMm9Eb2MueG1sUEsF&#10;BgAAAAAGAAYAWQEAAMQFAAAAAA==&#10;">
                <o:lock v:ext="edit" aspectratio="f"/>
                <v:line id="直线 20" o:spid="_x0000_s1026" o:spt="20" style="position:absolute;left:0;top:5;height:0;width:484;" filled="f" stroked="t" coordsize="21600,21600" o:gfxdata="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tWq7sAAADc&#10;AAAADwAAAAAAAAABACAAAAAiAAAAZHJzL2Rvd25yZXYueG1sUEsBAhQAFAAAAAgAh07iQDMvBZ47&#10;AAAAOQAAABAAAAAAAAAAAQAgAAAACgEAAGRycy9zaGFwZXhtbC54bWxQSwUGAAAAAAYABgBbAQAA&#10;tAMAAAAA&#10;">
                  <v:fill on="f" focussize="0,0"/>
                  <v:stroke weight="0.501968503937008pt" color="#000000" joinstyle="round"/>
                  <v:imagedata o:title=""/>
                  <o:lock v:ext="edit" aspectratio="f"/>
                </v:line>
                <w10:wrap type="none"/>
                <w10:anchorlock/>
              </v:group>
            </w:pict>
          </mc:Fallback>
        </mc:AlternateContent>
      </w:r>
    </w:p>
    <w:p>
      <w:pPr>
        <w:tabs>
          <w:tab w:val="left" w:pos="1535"/>
        </w:tabs>
        <w:spacing w:before="23" w:line="129" w:lineRule="auto"/>
        <w:ind w:left="520" w:right="0" w:firstLine="0"/>
        <w:jc w:val="center"/>
        <w:rPr>
          <w:rFonts w:ascii="Times New Roman"/>
          <w:sz w:val="14"/>
        </w:rPr>
      </w:pPr>
      <w:r>
        <w:rPr>
          <w:rFonts w:ascii="Times New Roman"/>
          <w:position w:val="2"/>
          <w:sz w:val="14"/>
        </w:rPr>
        <w:t>max</w:t>
      </w:r>
      <w:r>
        <w:rPr>
          <w:rFonts w:ascii="Times New Roman"/>
          <w:position w:val="2"/>
          <w:sz w:val="14"/>
        </w:rPr>
        <w:tab/>
      </w:r>
      <w:r>
        <w:rPr>
          <w:rFonts w:ascii="Times New Roman"/>
          <w:i/>
          <w:position w:val="-10"/>
          <w:sz w:val="24"/>
        </w:rPr>
        <w:t>r</w:t>
      </w:r>
      <w:r>
        <w:rPr>
          <w:rFonts w:ascii="Times New Roman"/>
          <w:i/>
          <w:spacing w:val="-39"/>
          <w:position w:val="-10"/>
          <w:sz w:val="24"/>
        </w:rPr>
        <w:t xml:space="preserve"> </w:t>
      </w:r>
      <w:r>
        <w:rPr>
          <w:rFonts w:ascii="Times New Roman"/>
          <w:sz w:val="14"/>
        </w:rPr>
        <w:t>2</w:t>
      </w:r>
    </w:p>
    <w:p>
      <w:pPr>
        <w:spacing w:before="69"/>
        <w:ind w:left="483" w:right="0" w:firstLine="0"/>
        <w:jc w:val="center"/>
        <w:rPr>
          <w:rFonts w:ascii="Times New Roman"/>
          <w:sz w:val="15"/>
        </w:rPr>
      </w:pPr>
      <w:r>
        <w:rPr>
          <w:rFonts w:ascii="Times New Roman"/>
          <w:i/>
          <w:position w:val="2"/>
          <w:sz w:val="24"/>
        </w:rPr>
        <w:t>U</w:t>
      </w:r>
      <w:r>
        <w:rPr>
          <w:rFonts w:ascii="Times New Roman"/>
          <w:sz w:val="15"/>
        </w:rPr>
        <w:t>max</w:t>
      </w:r>
      <w:r>
        <w:rPr>
          <w:rFonts w:ascii="Times New Roman"/>
          <w:position w:val="2"/>
          <w:sz w:val="24"/>
        </w:rPr>
        <w:t>=b</w:t>
      </w:r>
      <w:r>
        <w:rPr>
          <w:rFonts w:ascii="Times New Roman"/>
          <w:spacing w:val="12"/>
          <w:position w:val="2"/>
          <w:sz w:val="24"/>
        </w:rPr>
        <w:t xml:space="preserve"> </w:t>
      </w:r>
      <w:r>
        <w:rPr>
          <w:rFonts w:ascii="Times New Roman"/>
          <w:i/>
          <w:position w:val="2"/>
          <w:sz w:val="24"/>
        </w:rPr>
        <w:t>W</w:t>
      </w:r>
      <w:r>
        <w:rPr>
          <w:rFonts w:ascii="Times New Roman"/>
          <w:sz w:val="15"/>
        </w:rPr>
        <w:t>max</w:t>
      </w:r>
    </w:p>
    <w:p>
      <w:pPr>
        <w:spacing w:before="3" w:line="310" w:lineRule="exact"/>
        <w:ind w:left="410" w:right="0" w:firstLine="0"/>
        <w:jc w:val="center"/>
        <w:rPr>
          <w:rFonts w:ascii="Times New Roman" w:hAnsi="Times New Roman" w:eastAsia="Times New Roman"/>
          <w:sz w:val="14"/>
        </w:rPr>
      </w:pPr>
      <w:r>
        <w:rPr>
          <w:rFonts w:ascii="Symbol" w:hAnsi="Symbol" w:eastAsia="Symbol"/>
          <w:i/>
          <w:sz w:val="25"/>
        </w:rPr>
        <w:t></w:t>
      </w:r>
      <w:r>
        <w:rPr>
          <w:rFonts w:ascii="Times New Roman" w:hAnsi="Times New Roman" w:eastAsia="Times New Roman"/>
          <w:i/>
          <w:sz w:val="25"/>
        </w:rPr>
        <w:t xml:space="preserve"> </w:t>
      </w:r>
      <w:r>
        <w:rPr>
          <w:rFonts w:ascii="Times New Roman" w:hAnsi="Times New Roman" w:eastAsia="Times New Roman"/>
          <w:i/>
          <w:spacing w:val="53"/>
          <w:sz w:val="25"/>
        </w:rPr>
        <w:t xml:space="preserve"> </w:t>
      </w:r>
      <w:r>
        <w:rPr>
          <w:spacing w:val="-4"/>
          <w:sz w:val="24"/>
        </w:rPr>
        <w:t>＝</w:t>
      </w:r>
      <w:r>
        <w:rPr>
          <w:rFonts w:ascii="Times New Roman" w:hAnsi="Times New Roman" w:eastAsia="Times New Roman"/>
          <w:spacing w:val="-4"/>
          <w:sz w:val="24"/>
        </w:rPr>
        <w:t>1.52</w:t>
      </w:r>
      <w:r>
        <w:rPr>
          <w:rFonts w:ascii="Times New Roman" w:hAnsi="Times New Roman" w:eastAsia="Times New Roman"/>
          <w:i/>
          <w:spacing w:val="-4"/>
          <w:sz w:val="24"/>
        </w:rPr>
        <w:t>b</w:t>
      </w:r>
      <w:r>
        <w:rPr>
          <w:rFonts w:ascii="Times New Roman" w:hAnsi="Times New Roman" w:eastAsia="Times New Roman"/>
          <w:i/>
          <w:spacing w:val="-4"/>
          <w:position w:val="15"/>
          <w:sz w:val="24"/>
        </w:rPr>
        <w:t>W</w:t>
      </w:r>
      <w:r>
        <w:rPr>
          <w:rFonts w:ascii="Times New Roman" w:hAnsi="Times New Roman" w:eastAsia="Times New Roman"/>
          <w:spacing w:val="-4"/>
          <w:position w:val="9"/>
          <w:sz w:val="14"/>
        </w:rPr>
        <w:t>max</w:t>
      </w:r>
    </w:p>
    <w:p>
      <w:pPr>
        <w:pStyle w:val="9"/>
        <w:spacing w:line="20" w:lineRule="exact"/>
        <w:ind w:left="6502"/>
        <w:rPr>
          <w:rFonts w:ascii="Times New Roman"/>
          <w:sz w:val="2"/>
        </w:rPr>
      </w:pPr>
      <w:r>
        <w:rPr>
          <w:rFonts w:ascii="Times New Roman"/>
          <w:sz w:val="2"/>
        </w:rPr>
        <mc:AlternateContent>
          <mc:Choice Requires="wpg">
            <w:drawing>
              <wp:inline distT="0" distB="0" distL="114300" distR="114300">
                <wp:extent cx="301625" cy="6350"/>
                <wp:effectExtent l="0" t="0" r="0" b="0"/>
                <wp:docPr id="137" name="组合 21"/>
                <wp:cNvGraphicFramePr/>
                <a:graphic xmlns:a="http://schemas.openxmlformats.org/drawingml/2006/main">
                  <a:graphicData uri="http://schemas.microsoft.com/office/word/2010/wordprocessingGroup">
                    <wpg:wgp>
                      <wpg:cNvGrpSpPr/>
                      <wpg:grpSpPr>
                        <a:xfrm>
                          <a:off x="0" y="0"/>
                          <a:ext cx="301625" cy="6350"/>
                          <a:chOff x="0" y="0"/>
                          <a:chExt cx="475" cy="10"/>
                        </a:xfrm>
                      </wpg:grpSpPr>
                      <wps:wsp>
                        <wps:cNvPr id="136" name="直线 22"/>
                        <wps:cNvSpPr/>
                        <wps:spPr>
                          <a:xfrm>
                            <a:off x="0" y="5"/>
                            <a:ext cx="475" cy="0"/>
                          </a:xfrm>
                          <a:prstGeom prst="line">
                            <a:avLst/>
                          </a:prstGeom>
                          <a:ln w="6312" cap="flat" cmpd="sng">
                            <a:solidFill>
                              <a:srgbClr val="000000"/>
                            </a:solidFill>
                            <a:prstDash val="solid"/>
                            <a:headEnd type="none" w="med" len="med"/>
                            <a:tailEnd type="none" w="med" len="med"/>
                          </a:ln>
                        </wps:spPr>
                        <wps:bodyPr upright="1"/>
                      </wps:wsp>
                    </wpg:wgp>
                  </a:graphicData>
                </a:graphic>
              </wp:inline>
            </w:drawing>
          </mc:Choice>
          <mc:Fallback>
            <w:pict>
              <v:group id="组合 21" o:spid="_x0000_s1026" o:spt="203" style="height:0.5pt;width:23.75pt;" coordsize="475,10" o:gfxdata="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tSNYv0wAAAAIBAAAPAAAAAAAAAAEAIAAAACIAAABkcnMvZG93bnJldi54bWxQSwECFAAU&#10;AAAACACHTuJAxQmzuC8CAACzBAAADgAAAAAAAAABACAAAAAiAQAAZHJzL2Uyb0RvYy54bWxQSwUG&#10;AAAAAAYABgBZAQAAwwUAAAAA&#10;">
                <o:lock v:ext="edit" aspectratio="f"/>
                <v:line id="直线 22" o:spid="_x0000_s1026" o:spt="20" style="position:absolute;left:0;top:5;height:0;width:475;" filled="f" stroked="t" coordsize="21600,21600" o:gfxdata="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wPArsAAADc&#10;AAAADwAAAAAAAAABACAAAAAiAAAAZHJzL2Rvd25yZXYueG1sUEsBAhQAFAAAAAgAh07iQDMvBZ47&#10;AAAAOQAAABAAAAAAAAAAAQAgAAAACgEAAGRycy9zaGFwZXhtbC54bWxQSwUGAAAAAAYABgBbAQAA&#10;tAMAAAAA&#10;">
                  <v:fill on="f" focussize="0,0"/>
                  <v:stroke weight="0.497007874015748pt" color="#000000" joinstyle="round"/>
                  <v:imagedata o:title=""/>
                  <o:lock v:ext="edit" aspectratio="f"/>
                </v:line>
                <w10:wrap type="none"/>
                <w10:anchorlock/>
              </v:group>
            </w:pict>
          </mc:Fallback>
        </mc:AlternateContent>
      </w:r>
    </w:p>
    <w:p>
      <w:pPr>
        <w:tabs>
          <w:tab w:val="left" w:pos="1580"/>
        </w:tabs>
        <w:spacing w:before="24" w:line="110" w:lineRule="auto"/>
        <w:ind w:left="409" w:right="0" w:firstLine="0"/>
        <w:jc w:val="center"/>
        <w:rPr>
          <w:rFonts w:ascii="Times New Roman"/>
          <w:i/>
          <w:sz w:val="24"/>
        </w:rPr>
      </w:pPr>
      <w:r>
        <w:rPr>
          <w:rFonts w:ascii="Times New Roman"/>
          <w:sz w:val="14"/>
        </w:rPr>
        <w:t>max</w:t>
      </w:r>
      <w:r>
        <w:rPr>
          <w:rFonts w:ascii="Times New Roman"/>
          <w:sz w:val="14"/>
        </w:rPr>
        <w:tab/>
      </w:r>
      <w:r>
        <w:rPr>
          <w:rFonts w:ascii="Times New Roman"/>
          <w:i/>
          <w:position w:val="-12"/>
          <w:sz w:val="24"/>
        </w:rPr>
        <w:t>r</w:t>
      </w:r>
    </w:p>
    <w:p>
      <w:pPr>
        <w:pStyle w:val="9"/>
        <w:spacing w:before="5"/>
        <w:rPr>
          <w:rFonts w:ascii="Times New Roman"/>
          <w:i/>
          <w:sz w:val="23"/>
        </w:rPr>
      </w:pPr>
    </w:p>
    <w:p>
      <w:pPr>
        <w:spacing w:before="1"/>
        <w:ind w:left="1898" w:right="0" w:firstLine="0"/>
        <w:jc w:val="left"/>
        <w:rPr>
          <w:sz w:val="24"/>
        </w:rPr>
      </w:pPr>
      <w:r>
        <w:rPr>
          <w:position w:val="2"/>
          <w:sz w:val="24"/>
        </w:rPr>
        <w:t>式中：</w:t>
      </w:r>
      <w:r>
        <w:rPr>
          <w:rFonts w:ascii="Times New Roman" w:hAnsi="Times New Roman" w:eastAsia="Times New Roman"/>
          <w:i/>
          <w:position w:val="2"/>
          <w:sz w:val="24"/>
        </w:rPr>
        <w:t>W</w:t>
      </w:r>
      <w:r>
        <w:rPr>
          <w:rFonts w:ascii="Times New Roman" w:hAnsi="Times New Roman" w:eastAsia="Times New Roman"/>
          <w:i/>
          <w:position w:val="2"/>
          <w:sz w:val="24"/>
          <w:vertAlign w:val="subscript"/>
        </w:rPr>
        <w:t>max</w:t>
      </w:r>
      <w:r>
        <w:rPr>
          <w:rFonts w:ascii="Times New Roman" w:hAnsi="Times New Roman" w:eastAsia="Times New Roman"/>
          <w:position w:val="2"/>
          <w:sz w:val="24"/>
          <w:vertAlign w:val="baseline"/>
        </w:rPr>
        <w:t>——</w:t>
      </w:r>
      <w:r>
        <w:rPr>
          <w:position w:val="2"/>
          <w:sz w:val="24"/>
          <w:vertAlign w:val="baseline"/>
        </w:rPr>
        <w:t>最大地表下沉值，</w:t>
      </w:r>
      <w:r>
        <w:rPr>
          <w:rFonts w:ascii="Times New Roman" w:hAnsi="Times New Roman" w:eastAsia="Times New Roman"/>
          <w:position w:val="2"/>
          <w:sz w:val="24"/>
          <w:vertAlign w:val="baseline"/>
        </w:rPr>
        <w:t>m</w:t>
      </w:r>
      <w:r>
        <w:rPr>
          <w:position w:val="2"/>
          <w:sz w:val="24"/>
          <w:vertAlign w:val="baseline"/>
        </w:rPr>
        <w:t>；</w:t>
      </w:r>
    </w:p>
    <w:p>
      <w:pPr>
        <w:spacing w:after="0"/>
        <w:jc w:val="left"/>
        <w:rPr>
          <w:sz w:val="24"/>
        </w:rPr>
        <w:sectPr>
          <w:pgSz w:w="11910" w:h="16840"/>
          <w:pgMar w:top="1540" w:right="0" w:bottom="880" w:left="0" w:header="0" w:footer="681" w:gutter="0"/>
        </w:sectPr>
      </w:pPr>
    </w:p>
    <w:p>
      <w:pPr>
        <w:spacing w:before="53"/>
        <w:ind w:left="2551" w:right="0" w:firstLine="0"/>
        <w:jc w:val="left"/>
        <w:rPr>
          <w:sz w:val="24"/>
        </w:rPr>
      </w:pPr>
      <w:r>
        <w:rPr>
          <w:rFonts w:ascii="Times New Roman" w:hAnsi="Times New Roman" w:eastAsia="Times New Roman"/>
          <w:i/>
          <w:position w:val="2"/>
          <w:sz w:val="24"/>
        </w:rPr>
        <w:t>i</w:t>
      </w:r>
      <w:r>
        <w:rPr>
          <w:rFonts w:ascii="Times New Roman" w:hAnsi="Times New Roman" w:eastAsia="Times New Roman"/>
          <w:i/>
          <w:position w:val="2"/>
          <w:sz w:val="24"/>
          <w:vertAlign w:val="subscript"/>
        </w:rPr>
        <w:t>max</w:t>
      </w:r>
      <w:r>
        <w:rPr>
          <w:rFonts w:ascii="Times New Roman" w:hAnsi="Times New Roman" w:eastAsia="Times New Roman"/>
          <w:position w:val="2"/>
          <w:sz w:val="24"/>
          <w:vertAlign w:val="baseline"/>
        </w:rPr>
        <w:t>——</w:t>
      </w:r>
      <w:r>
        <w:rPr>
          <w:position w:val="2"/>
          <w:sz w:val="24"/>
          <w:vertAlign w:val="baseline"/>
        </w:rPr>
        <w:t>最大地表倾斜值，</w:t>
      </w:r>
      <w:r>
        <w:rPr>
          <w:rFonts w:ascii="Times New Roman" w:hAnsi="Times New Roman" w:eastAsia="Times New Roman"/>
          <w:position w:val="2"/>
          <w:sz w:val="24"/>
          <w:vertAlign w:val="baseline"/>
        </w:rPr>
        <w:t>mm/m</w:t>
      </w:r>
      <w:r>
        <w:rPr>
          <w:position w:val="2"/>
          <w:sz w:val="24"/>
          <w:vertAlign w:val="baseline"/>
        </w:rPr>
        <w:t>；</w:t>
      </w:r>
    </w:p>
    <w:p>
      <w:pPr>
        <w:pStyle w:val="9"/>
        <w:spacing w:before="209"/>
        <w:ind w:left="2551"/>
      </w:pPr>
      <w:r>
        <w:rPr>
          <w:rFonts w:ascii="Times New Roman" w:hAnsi="Times New Roman" w:eastAsia="Times New Roman"/>
          <w:i/>
          <w:position w:val="2"/>
        </w:rPr>
        <w:t>K</w:t>
      </w:r>
      <w:r>
        <w:rPr>
          <w:rFonts w:ascii="Times New Roman" w:hAnsi="Times New Roman" w:eastAsia="Times New Roman"/>
          <w:i/>
          <w:position w:val="2"/>
          <w:vertAlign w:val="subscript"/>
        </w:rPr>
        <w:t>max</w:t>
      </w:r>
      <w:r>
        <w:rPr>
          <w:rFonts w:ascii="Times New Roman" w:hAnsi="Times New Roman" w:eastAsia="Times New Roman"/>
          <w:position w:val="2"/>
          <w:vertAlign w:val="baseline"/>
        </w:rPr>
        <w:t>——</w:t>
      </w:r>
      <w:r>
        <w:rPr>
          <w:position w:val="2"/>
          <w:vertAlign w:val="baseline"/>
        </w:rPr>
        <w:t>最大地表曲率值，</w:t>
      </w:r>
      <w:r>
        <w:rPr>
          <w:rFonts w:ascii="Times New Roman" w:hAnsi="Times New Roman" w:eastAsia="Times New Roman"/>
          <w:position w:val="2"/>
          <w:vertAlign w:val="baseline"/>
        </w:rPr>
        <w:t>10</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/m</w:t>
      </w:r>
      <w:r>
        <w:rPr>
          <w:position w:val="2"/>
          <w:vertAlign w:val="baseline"/>
        </w:rPr>
        <w:t>；</w:t>
      </w:r>
    </w:p>
    <w:p>
      <w:pPr>
        <w:spacing w:before="98"/>
        <w:ind w:left="2556" w:right="0" w:firstLine="0"/>
        <w:jc w:val="left"/>
        <w:rPr>
          <w:sz w:val="24"/>
        </w:rPr>
      </w:pPr>
      <w:r>
        <w:rPr>
          <w:rFonts w:ascii="Symbol" w:hAnsi="Symbol" w:eastAsia="Symbol"/>
          <w:i/>
          <w:spacing w:val="-12"/>
          <w:position w:val="11"/>
          <w:sz w:val="24"/>
        </w:rPr>
        <w:t></w:t>
      </w:r>
      <w:r>
        <w:rPr>
          <w:rFonts w:ascii="Times New Roman" w:hAnsi="Times New Roman" w:eastAsia="Times New Roman"/>
          <w:spacing w:val="-12"/>
          <w:position w:val="5"/>
          <w:sz w:val="13"/>
        </w:rPr>
        <w:t xml:space="preserve">max   </w:t>
      </w:r>
      <w:r>
        <w:rPr>
          <w:rFonts w:ascii="Times New Roman" w:hAnsi="Times New Roman" w:eastAsia="Times New Roman"/>
          <w:sz w:val="24"/>
        </w:rPr>
        <w:t>——</w:t>
      </w:r>
      <w:r>
        <w:rPr>
          <w:sz w:val="24"/>
        </w:rPr>
        <w:t>最大水平变形值，</w:t>
      </w:r>
      <w:r>
        <w:rPr>
          <w:rFonts w:ascii="Times New Roman" w:hAnsi="Times New Roman" w:eastAsia="Times New Roman"/>
          <w:sz w:val="24"/>
        </w:rPr>
        <w:t>mm/m</w:t>
      </w:r>
      <w:r>
        <w:rPr>
          <w:sz w:val="24"/>
        </w:rPr>
        <w:t>；</w:t>
      </w:r>
    </w:p>
    <w:p>
      <w:pPr>
        <w:spacing w:before="214"/>
        <w:ind w:left="2551" w:right="0" w:firstLine="0"/>
        <w:jc w:val="left"/>
        <w:rPr>
          <w:sz w:val="24"/>
        </w:rPr>
      </w:pPr>
      <w:r>
        <w:rPr>
          <w:rFonts w:ascii="Times New Roman" w:hAnsi="Times New Roman" w:eastAsia="Times New Roman"/>
          <w:i/>
          <w:spacing w:val="-1"/>
          <w:sz w:val="24"/>
        </w:rPr>
        <w:t>Umax</w:t>
      </w:r>
      <w:r>
        <w:rPr>
          <w:rFonts w:ascii="Times New Roman" w:hAnsi="Times New Roman" w:eastAsia="Times New Roman"/>
          <w:spacing w:val="-1"/>
          <w:sz w:val="24"/>
        </w:rPr>
        <w:t>——</w:t>
      </w:r>
      <w:r>
        <w:rPr>
          <w:sz w:val="24"/>
        </w:rPr>
        <w:t>最大水平移动值，</w:t>
      </w:r>
      <w:r>
        <w:rPr>
          <w:rFonts w:ascii="Times New Roman" w:hAnsi="Times New Roman" w:eastAsia="Times New Roman"/>
          <w:sz w:val="24"/>
        </w:rPr>
        <w:t>mm</w:t>
      </w:r>
      <w:r>
        <w:rPr>
          <w:sz w:val="24"/>
        </w:rPr>
        <w:t>；</w:t>
      </w:r>
    </w:p>
    <w:p>
      <w:pPr>
        <w:pStyle w:val="9"/>
        <w:spacing w:before="213" w:line="405" w:lineRule="auto"/>
        <w:ind w:left="1418" w:right="1411" w:firstLine="1132"/>
      </w:pPr>
      <w:r>
        <w:rPr>
          <w:rFonts w:ascii="Times New Roman" w:hAnsi="Times New Roman" w:eastAsia="Times New Roman"/>
        </w:rPr>
        <w:t>m——</w:t>
      </w:r>
      <w:r>
        <w:rPr>
          <w:spacing w:val="-2"/>
        </w:rPr>
        <w:t>煤层法线采厚，</w:t>
      </w:r>
      <w:r>
        <w:rPr>
          <w:rFonts w:ascii="Times New Roman" w:hAnsi="Times New Roman" w:eastAsia="Times New Roman"/>
          <w:spacing w:val="-14"/>
        </w:rPr>
        <w:t>m</w:t>
      </w:r>
      <w:r>
        <w:rPr>
          <w:spacing w:val="-8"/>
        </w:rPr>
        <w:t xml:space="preserve">，该矿煤层累计的开采厚度为 </w:t>
      </w:r>
      <w:r>
        <w:rPr>
          <w:rFonts w:ascii="Times New Roman" w:hAnsi="Times New Roman" w:eastAsia="Times New Roman"/>
          <w:spacing w:val="-4"/>
        </w:rPr>
        <w:t>1.73m</w:t>
      </w:r>
      <w:r>
        <w:rPr>
          <w:spacing w:val="-4"/>
        </w:rPr>
        <w:t>（</w:t>
      </w:r>
      <w:r>
        <w:rPr>
          <w:spacing w:val="-3"/>
        </w:rPr>
        <w:t>各层可采区域</w:t>
      </w:r>
      <w:r>
        <w:t>不完全重叠）</w:t>
      </w:r>
    </w:p>
    <w:p>
      <w:pPr>
        <w:pStyle w:val="9"/>
        <w:ind w:left="2551"/>
      </w:pPr>
      <w:r>
        <w:rPr>
          <w:rFonts w:ascii="Times New Roman" w:hAnsi="Times New Roman" w:eastAsia="Times New Roman"/>
          <w:i/>
        </w:rPr>
        <w:t xml:space="preserve">q </w:t>
      </w:r>
      <w:r>
        <w:rPr>
          <w:rFonts w:ascii="Times New Roman" w:hAnsi="Times New Roman" w:eastAsia="Times New Roman"/>
        </w:rPr>
        <w:t>——</w:t>
      </w:r>
      <w:r>
        <w:t xml:space="preserve">下沉系数，本次评价取 </w:t>
      </w:r>
      <w:r>
        <w:rPr>
          <w:rFonts w:ascii="Times New Roman" w:hAnsi="Times New Roman" w:eastAsia="Times New Roman"/>
        </w:rPr>
        <w:t>0.6</w:t>
      </w:r>
      <w:r>
        <w:t>；</w:t>
      </w:r>
    </w:p>
    <w:p>
      <w:pPr>
        <w:pStyle w:val="9"/>
        <w:spacing w:before="213"/>
        <w:ind w:left="2551"/>
      </w:pPr>
      <w:r>
        <w:rPr>
          <w:rFonts w:ascii="Times New Roman" w:hAnsi="Times New Roman" w:eastAsia="Times New Roman"/>
          <w:i/>
        </w:rPr>
        <w:t xml:space="preserve">α </w:t>
      </w:r>
      <w:r>
        <w:rPr>
          <w:rFonts w:ascii="Times New Roman" w:hAnsi="Times New Roman" w:eastAsia="Times New Roman"/>
        </w:rPr>
        <w:t>——</w:t>
      </w:r>
      <w:r>
        <w:t xml:space="preserve">煤层倾角，取 </w:t>
      </w:r>
      <w:r>
        <w:rPr>
          <w:rFonts w:ascii="Times New Roman" w:hAnsi="Times New Roman" w:eastAsia="Times New Roman"/>
        </w:rPr>
        <w:t>12°</w:t>
      </w:r>
      <w:r>
        <w:t>；</w:t>
      </w:r>
    </w:p>
    <w:p>
      <w:pPr>
        <w:pStyle w:val="9"/>
        <w:spacing w:before="211"/>
        <w:ind w:left="2551"/>
      </w:pPr>
      <w:r>
        <w:rPr>
          <w:rFonts w:ascii="Times New Roman" w:hAnsi="Times New Roman" w:eastAsia="Times New Roman"/>
          <w:i/>
        </w:rPr>
        <w:t xml:space="preserve">b </w:t>
      </w:r>
      <w:r>
        <w:rPr>
          <w:rFonts w:ascii="Times New Roman" w:hAnsi="Times New Roman" w:eastAsia="Times New Roman"/>
        </w:rPr>
        <w:t>——</w:t>
      </w:r>
      <w:r>
        <w:t>水平移动系数；</w:t>
      </w:r>
    </w:p>
    <w:p>
      <w:pPr>
        <w:pStyle w:val="9"/>
        <w:spacing w:before="213"/>
        <w:ind w:left="2551"/>
      </w:pPr>
      <w:r>
        <w:rPr>
          <w:rFonts w:ascii="Times New Roman" w:hAnsi="Times New Roman" w:eastAsia="Times New Roman"/>
          <w:i/>
        </w:rPr>
        <w:t xml:space="preserve">r </w:t>
      </w:r>
      <w:r>
        <w:rPr>
          <w:rFonts w:ascii="Times New Roman" w:hAnsi="Times New Roman" w:eastAsia="Times New Roman"/>
        </w:rPr>
        <w:t>——</w:t>
      </w:r>
      <w:r>
        <w:t>主要影响半径，</w:t>
      </w:r>
      <w:r>
        <w:rPr>
          <w:rFonts w:ascii="Times New Roman" w:hAnsi="Times New Roman" w:eastAsia="Times New Roman"/>
        </w:rPr>
        <w:t>m</w:t>
      </w:r>
      <w:r>
        <w:t>。</w:t>
      </w:r>
    </w:p>
    <w:p>
      <w:pPr>
        <w:pStyle w:val="9"/>
        <w:spacing w:before="214"/>
        <w:ind w:left="1898"/>
      </w:pPr>
      <w:r>
        <w:t>地表移动盆地内任意点的变形预测：</w:t>
      </w:r>
    </w:p>
    <w:p>
      <w:pPr>
        <w:pStyle w:val="9"/>
        <w:spacing w:before="211" w:line="405" w:lineRule="auto"/>
        <w:ind w:left="1418" w:right="1354" w:firstLine="480"/>
      </w:pPr>
      <w:r>
        <w:t>以过采空区倾斜主断面内下山计算边界且以与走向平行的方向为计算的横坐标，以过采空区走向主断面左计算边界且与倾斜方向平行的方向为计算的纵坐标，任意剖面</w:t>
      </w:r>
    </w:p>
    <w:p>
      <w:pPr>
        <w:pStyle w:val="9"/>
        <w:spacing w:before="2"/>
        <w:ind w:left="1418"/>
      </w:pPr>
      <w:r>
        <w:t>（与煤层走向成</w:t>
      </w:r>
      <w:r>
        <w:rPr>
          <w:rFonts w:ascii="Times New Roman" w:hAnsi="Times New Roman" w:eastAsia="Times New Roman"/>
        </w:rPr>
        <w:t>φ</w:t>
      </w:r>
      <w:r>
        <w:t>角）上任意点（</w:t>
      </w:r>
      <w:r>
        <w:rPr>
          <w:rFonts w:ascii="Times New Roman" w:hAnsi="Times New Roman" w:eastAsia="Times New Roman"/>
        </w:rPr>
        <w:t>x</w:t>
      </w:r>
      <w:r>
        <w:t>，</w:t>
      </w:r>
      <w:r>
        <w:rPr>
          <w:rFonts w:ascii="Times New Roman" w:hAnsi="Times New Roman" w:eastAsia="Times New Roman"/>
        </w:rPr>
        <w:t>y</w:t>
      </w:r>
      <w:r>
        <w:t>）的移动和变形计算公式如下：</w:t>
      </w:r>
    </w:p>
    <w:p>
      <w:pPr>
        <w:pStyle w:val="9"/>
        <w:spacing w:before="3"/>
        <w:rPr>
          <w:sz w:val="11"/>
        </w:rPr>
      </w:pPr>
    </w:p>
    <w:p>
      <w:pPr>
        <w:spacing w:after="0"/>
        <w:rPr>
          <w:sz w:val="11"/>
        </w:rPr>
        <w:sectPr>
          <w:footerReference r:id="rId17" w:type="default"/>
          <w:pgSz w:w="11910" w:h="16840"/>
          <w:pgMar w:top="1520" w:right="0" w:bottom="880" w:left="0" w:header="0" w:footer="681" w:gutter="0"/>
          <w:pgNumType w:start="100"/>
        </w:sectPr>
      </w:pPr>
    </w:p>
    <w:p>
      <w:pPr>
        <w:pStyle w:val="9"/>
        <w:spacing w:before="67"/>
        <w:ind w:left="1898"/>
      </w:pPr>
      <w:r>
        <w:rPr>
          <w:spacing w:val="-4"/>
        </w:rPr>
        <w:t>①地表下沉</w:t>
      </w:r>
    </w:p>
    <w:p>
      <w:pPr>
        <w:pStyle w:val="9"/>
      </w:pPr>
    </w:p>
    <w:p>
      <w:pPr>
        <w:pStyle w:val="9"/>
      </w:pPr>
    </w:p>
    <w:p>
      <w:pPr>
        <w:pStyle w:val="9"/>
        <w:spacing w:before="6"/>
        <w:rPr>
          <w:sz w:val="29"/>
        </w:rPr>
      </w:pPr>
    </w:p>
    <w:p>
      <w:pPr>
        <w:pStyle w:val="9"/>
        <w:ind w:left="1898"/>
      </w:pPr>
      <w:r>
        <w:rPr>
          <w:spacing w:val="-4"/>
        </w:rPr>
        <w:t>②地表倾斜</w:t>
      </w:r>
    </w:p>
    <w:p>
      <w:pPr>
        <w:pStyle w:val="9"/>
        <w:spacing w:before="2"/>
        <w:rPr>
          <w:sz w:val="49"/>
        </w:rPr>
      </w:pPr>
      <w:r>
        <w:br w:type="column"/>
      </w:r>
    </w:p>
    <w:p>
      <w:pPr>
        <w:spacing w:before="0" w:line="410" w:lineRule="exact"/>
        <w:ind w:left="974" w:right="0" w:firstLine="0"/>
        <w:jc w:val="left"/>
        <w:rPr>
          <w:rFonts w:ascii="Times New Roman" w:hAnsi="Times New Roman"/>
          <w:sz w:val="14"/>
        </w:rPr>
      </w:pPr>
      <w:r>
        <w:rPr>
          <w:rFonts w:ascii="Times New Roman" w:hAnsi="Times New Roman"/>
          <w:i/>
          <w:position w:val="6"/>
          <w:sz w:val="24"/>
        </w:rPr>
        <w:t>W</w:t>
      </w:r>
      <w:r>
        <w:rPr>
          <w:rFonts w:ascii="Times New Roman" w:hAnsi="Times New Roman"/>
          <w:sz w:val="14"/>
        </w:rPr>
        <w:t xml:space="preserve">( </w:t>
      </w:r>
      <w:r>
        <w:rPr>
          <w:rFonts w:ascii="Times New Roman" w:hAnsi="Times New Roman"/>
          <w:i/>
          <w:sz w:val="14"/>
        </w:rPr>
        <w:t>x</w:t>
      </w:r>
      <w:r>
        <w:rPr>
          <w:rFonts w:ascii="Times New Roman" w:hAnsi="Times New Roman"/>
          <w:sz w:val="14"/>
        </w:rPr>
        <w:t xml:space="preserve">, </w:t>
      </w:r>
      <w:r>
        <w:rPr>
          <w:rFonts w:ascii="Times New Roman" w:hAnsi="Times New Roman"/>
          <w:i/>
          <w:sz w:val="14"/>
        </w:rPr>
        <w:t xml:space="preserve">y </w:t>
      </w:r>
      <w:r>
        <w:rPr>
          <w:rFonts w:ascii="Times New Roman" w:hAnsi="Times New Roman"/>
          <w:sz w:val="14"/>
        </w:rPr>
        <w:t xml:space="preserve">) </w:t>
      </w:r>
      <w:r>
        <w:rPr>
          <w:rFonts w:ascii="Symbol" w:hAnsi="Symbol"/>
          <w:position w:val="6"/>
          <w:sz w:val="24"/>
        </w:rPr>
        <w:t></w:t>
      </w:r>
      <w:r>
        <w:rPr>
          <w:rFonts w:ascii="Times New Roman" w:hAnsi="Times New Roman"/>
          <w:position w:val="6"/>
          <w:sz w:val="24"/>
        </w:rPr>
        <w:t xml:space="preserve"> </w:t>
      </w:r>
      <w:r>
        <w:rPr>
          <w:rFonts w:ascii="Times New Roman" w:hAnsi="Times New Roman"/>
          <w:i/>
          <w:position w:val="6"/>
          <w:sz w:val="24"/>
        </w:rPr>
        <w:t>W</w:t>
      </w:r>
      <w:r>
        <w:rPr>
          <w:rFonts w:ascii="Times New Roman" w:hAnsi="Times New Roman"/>
          <w:sz w:val="14"/>
        </w:rPr>
        <w:t xml:space="preserve">max </w:t>
      </w:r>
      <w:r>
        <w:rPr>
          <w:rFonts w:ascii="Symbol" w:hAnsi="Symbol"/>
          <w:position w:val="6"/>
          <w:sz w:val="24"/>
        </w:rPr>
        <w:t></w:t>
      </w:r>
      <w:r>
        <w:rPr>
          <w:rFonts w:ascii="Times New Roman" w:hAnsi="Times New Roman"/>
          <w:position w:val="6"/>
          <w:sz w:val="24"/>
        </w:rPr>
        <w:t xml:space="preserve"> </w:t>
      </w:r>
      <w:r>
        <w:rPr>
          <w:rFonts w:ascii="Symbol" w:hAnsi="Symbol"/>
          <w:position w:val="-2"/>
          <w:sz w:val="35"/>
        </w:rPr>
        <w:t></w:t>
      </w:r>
      <w:r>
        <w:rPr>
          <w:rFonts w:ascii="Times New Roman" w:hAnsi="Times New Roman"/>
          <w:position w:val="-2"/>
          <w:sz w:val="35"/>
        </w:rPr>
        <w:t xml:space="preserve"> </w:t>
      </w:r>
      <w:r>
        <w:rPr>
          <w:rFonts w:ascii="Times New Roman" w:hAnsi="Times New Roman"/>
          <w:position w:val="-2"/>
          <w:sz w:val="14"/>
        </w:rPr>
        <w:t>2</w:t>
      </w:r>
    </w:p>
    <w:p>
      <w:pPr>
        <w:spacing w:before="0" w:line="142" w:lineRule="exact"/>
        <w:ind w:left="0" w:right="298" w:firstLine="0"/>
        <w:jc w:val="right"/>
        <w:rPr>
          <w:rFonts w:ascii="Times New Roman"/>
          <w:i/>
          <w:sz w:val="14"/>
        </w:rPr>
      </w:pPr>
      <w:r>
        <mc:AlternateContent>
          <mc:Choice Requires="wps">
            <w:drawing>
              <wp:anchor distT="0" distB="0" distL="114300" distR="114300" simplePos="0" relativeHeight="212763648" behindDoc="1" locked="0" layoutInCell="1" allowOverlap="1">
                <wp:simplePos x="0" y="0"/>
                <wp:positionH relativeFrom="page">
                  <wp:posOffset>3653155</wp:posOffset>
                </wp:positionH>
                <wp:positionV relativeFrom="paragraph">
                  <wp:posOffset>-324485</wp:posOffset>
                </wp:positionV>
                <wp:extent cx="76200" cy="167640"/>
                <wp:effectExtent l="0" t="0" r="0" b="0"/>
                <wp:wrapNone/>
                <wp:docPr id="22" name="文本框 23"/>
                <wp:cNvGraphicFramePr/>
                <a:graphic xmlns:a="http://schemas.openxmlformats.org/drawingml/2006/main">
                  <a:graphicData uri="http://schemas.microsoft.com/office/word/2010/wordprocessingShape">
                    <wps:wsp>
                      <wps:cNvSpPr txBox="1"/>
                      <wps:spPr>
                        <a:xfrm>
                          <a:off x="0" y="0"/>
                          <a:ext cx="76200" cy="167640"/>
                        </a:xfrm>
                        <a:prstGeom prst="rect">
                          <a:avLst/>
                        </a:prstGeom>
                        <a:noFill/>
                        <a:ln>
                          <a:noFill/>
                        </a:ln>
                      </wps:spPr>
                      <wps:txbx>
                        <w:txbxContent>
                          <w:p>
                            <w:pPr>
                              <w:pStyle w:val="9"/>
                              <w:spacing w:line="264" w:lineRule="exact"/>
                              <w:rPr>
                                <w:rFonts w:ascii="Times New Roman"/>
                              </w:rPr>
                            </w:pPr>
                            <w:r>
                              <w:rPr>
                                <w:rFonts w:ascii="Times New Roman"/>
                                <w:w w:val="99"/>
                              </w:rPr>
                              <w:t>1</w:t>
                            </w:r>
                          </w:p>
                        </w:txbxContent>
                      </wps:txbx>
                      <wps:bodyPr lIns="0" tIns="0" rIns="0" bIns="0" upright="1"/>
                    </wps:wsp>
                  </a:graphicData>
                </a:graphic>
              </wp:anchor>
            </w:drawing>
          </mc:Choice>
          <mc:Fallback>
            <w:pict>
              <v:shape id="文本框 23" o:spid="_x0000_s1026" o:spt="202" type="#_x0000_t202" style="position:absolute;left:0pt;margin-left:287.65pt;margin-top:-25.55pt;height:13.2pt;width:6pt;mso-position-horizontal-relative:page;z-index:-290552832;mso-width-relative:page;mso-height-relative:page;" filled="f" stroked="f" coordsize="21600,21600" o:gfxdata="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HZtX+NoAAAALAQAADwAAAAAA&#10;AAABACAAAAAiAAAAZHJzL2Rvd25yZXYueG1sUEsBAhQAFAAAAAgAh07iQLsjKTqfAQAAJAMAAA4A&#10;AAAAAAAAAQAgAAAAKQEAAGRycy9lMm9Eb2MueG1sUEsFBgAAAAAGAAYAWQEAADoFAAAAAA==&#10;">
                <v:fill on="f" focussize="0,0"/>
                <v:stroke on="f"/>
                <v:imagedata o:title=""/>
                <o:lock v:ext="edit" aspectratio="f"/>
                <v:textbox inset="0mm,0mm,0mm,0mm">
                  <w:txbxContent>
                    <w:p>
                      <w:pPr>
                        <w:pStyle w:val="9"/>
                        <w:spacing w:line="264" w:lineRule="exact"/>
                        <w:rPr>
                          <w:rFonts w:ascii="Times New Roman"/>
                        </w:rPr>
                      </w:pPr>
                      <w:r>
                        <w:rPr>
                          <w:rFonts w:ascii="Times New Roman"/>
                          <w:w w:val="99"/>
                        </w:rPr>
                        <w:t>1</w:t>
                      </w:r>
                    </w:p>
                  </w:txbxContent>
                </v:textbox>
              </v:shape>
            </w:pict>
          </mc:Fallback>
        </mc:AlternateContent>
      </w:r>
      <w:r>
        <mc:AlternateContent>
          <mc:Choice Requires="wps">
            <w:drawing>
              <wp:anchor distT="0" distB="0" distL="114300" distR="114300" simplePos="0" relativeHeight="212764672" behindDoc="1" locked="0" layoutInCell="1" allowOverlap="1">
                <wp:simplePos x="0" y="0"/>
                <wp:positionH relativeFrom="page">
                  <wp:posOffset>3619500</wp:posOffset>
                </wp:positionH>
                <wp:positionV relativeFrom="paragraph">
                  <wp:posOffset>-105410</wp:posOffset>
                </wp:positionV>
                <wp:extent cx="59055" cy="16764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59055" cy="167640"/>
                        </a:xfrm>
                        <a:prstGeom prst="rect">
                          <a:avLst/>
                        </a:prstGeom>
                        <a:noFill/>
                        <a:ln>
                          <a:noFill/>
                        </a:ln>
                      </wps:spPr>
                      <wps:txbx>
                        <w:txbxContent>
                          <w:p>
                            <w:pPr>
                              <w:spacing w:before="0" w:line="264" w:lineRule="exact"/>
                              <w:ind w:left="0" w:right="0" w:firstLine="0"/>
                              <w:jc w:val="left"/>
                              <w:rPr>
                                <w:rFonts w:ascii="Times New Roman"/>
                                <w:i/>
                                <w:sz w:val="24"/>
                              </w:rPr>
                            </w:pPr>
                            <w:r>
                              <w:rPr>
                                <w:rFonts w:ascii="Times New Roman"/>
                                <w:i/>
                                <w:w w:val="99"/>
                                <w:sz w:val="24"/>
                              </w:rPr>
                              <w:t>r</w:t>
                            </w:r>
                          </w:p>
                        </w:txbxContent>
                      </wps:txbx>
                      <wps:bodyPr lIns="0" tIns="0" rIns="0" bIns="0" upright="1"/>
                    </wps:wsp>
                  </a:graphicData>
                </a:graphic>
              </wp:anchor>
            </w:drawing>
          </mc:Choice>
          <mc:Fallback>
            <w:pict>
              <v:shape id="_x0000_s1026" o:spid="_x0000_s1026" o:spt="202" type="#_x0000_t202" style="position:absolute;left:0pt;margin-left:285pt;margin-top:-8.3pt;height:13.2pt;width:4.65pt;mso-position-horizontal-relative:page;z-index:-290551808;mso-width-relative:page;mso-height-relative:page;" filled="f" stroked="f" coordsize="21600,21600" o:gfxdata="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4W+5dkAAAAJAQAADwAAAAAA&#10;AAABACAAAAAiAAAAZHJzL2Rvd25yZXYueG1sUEsBAhQAFAAAAAgAh07iQMsjSvugAQAAJAMAAA4A&#10;AAAAAAAAAQAgAAAAKAEAAGRycy9lMm9Eb2MueG1sUEsFBgAAAAAGAAYAWQEAADoFAAAAAA==&#10;">
                <v:fill on="f" focussize="0,0"/>
                <v:stroke on="f"/>
                <v:imagedata o:title=""/>
                <o:lock v:ext="edit" aspectratio="f"/>
                <v:textbox inset="0mm,0mm,0mm,0mm">
                  <w:txbxContent>
                    <w:p>
                      <w:pPr>
                        <w:spacing w:before="0" w:line="264" w:lineRule="exact"/>
                        <w:ind w:left="0" w:right="0" w:firstLine="0"/>
                        <w:jc w:val="left"/>
                        <w:rPr>
                          <w:rFonts w:ascii="Times New Roman"/>
                          <w:i/>
                          <w:sz w:val="24"/>
                        </w:rPr>
                      </w:pPr>
                      <w:r>
                        <w:rPr>
                          <w:rFonts w:ascii="Times New Roman"/>
                          <w:i/>
                          <w:w w:val="99"/>
                          <w:sz w:val="24"/>
                        </w:rPr>
                        <w:t>r</w:t>
                      </w:r>
                    </w:p>
                  </w:txbxContent>
                </v:textbox>
              </v:shape>
            </w:pict>
          </mc:Fallback>
        </mc:AlternateContent>
      </w:r>
      <w:r>
        <w:rPr>
          <w:rFonts w:ascii="Times New Roman"/>
          <w:i/>
          <w:w w:val="99"/>
          <w:sz w:val="14"/>
        </w:rPr>
        <w:t>D</w:t>
      </w:r>
    </w:p>
    <w:p>
      <w:pPr>
        <w:pStyle w:val="9"/>
        <w:rPr>
          <w:rFonts w:ascii="Times New Roman"/>
          <w:i/>
          <w:sz w:val="26"/>
        </w:rPr>
      </w:pPr>
      <w:r>
        <w:br w:type="column"/>
      </w:r>
    </w:p>
    <w:p>
      <w:pPr>
        <w:spacing w:before="172" w:line="170" w:lineRule="auto"/>
        <w:ind w:left="276" w:right="0" w:firstLine="0"/>
        <w:jc w:val="left"/>
        <w:rPr>
          <w:rFonts w:ascii="Times New Roman" w:hAnsi="Times New Roman"/>
          <w:sz w:val="14"/>
        </w:rPr>
      </w:pPr>
      <w:r>
        <w:rPr>
          <w:rFonts w:ascii="Symbol" w:hAnsi="Symbol"/>
          <w:position w:val="-8"/>
          <w:sz w:val="14"/>
        </w:rPr>
        <w:t></w:t>
      </w:r>
      <w:r>
        <w:rPr>
          <w:rFonts w:ascii="Symbol" w:hAnsi="Symbol"/>
          <w:i/>
          <w:position w:val="-8"/>
          <w:sz w:val="14"/>
        </w:rPr>
        <w:t></w:t>
      </w:r>
      <w:r>
        <w:rPr>
          <w:rFonts w:ascii="Times New Roman" w:hAnsi="Times New Roman"/>
          <w:sz w:val="14"/>
        </w:rPr>
        <w:t>(</w:t>
      </w:r>
      <w:r>
        <w:rPr>
          <w:rFonts w:ascii="Symbol" w:hAnsi="Symbol"/>
          <w:i/>
          <w:sz w:val="14"/>
        </w:rPr>
        <w:t></w:t>
      </w:r>
      <w:r>
        <w:rPr>
          <w:rFonts w:ascii="Symbol" w:hAnsi="Symbol"/>
          <w:sz w:val="14"/>
        </w:rPr>
        <w:t></w:t>
      </w:r>
      <w:r>
        <w:rPr>
          <w:rFonts w:ascii="Times New Roman" w:hAnsi="Times New Roman"/>
          <w:sz w:val="14"/>
        </w:rPr>
        <w:t xml:space="preserve"> </w:t>
      </w:r>
      <w:r>
        <w:rPr>
          <w:rFonts w:ascii="Times New Roman" w:hAnsi="Times New Roman"/>
          <w:i/>
          <w:sz w:val="14"/>
        </w:rPr>
        <w:t>x</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4"/>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tabs>
          <w:tab w:val="left" w:pos="882"/>
        </w:tabs>
        <w:spacing w:before="0" w:line="260" w:lineRule="exact"/>
        <w:ind w:left="52" w:right="0" w:firstLine="0"/>
        <w:jc w:val="left"/>
        <w:rPr>
          <w:rFonts w:ascii="Times New Roman" w:hAnsi="Times New Roman"/>
          <w:sz w:val="10"/>
        </w:rPr>
      </w:pPr>
      <w:r>
        <mc:AlternateContent>
          <mc:Choice Requires="wps">
            <w:drawing>
              <wp:anchor distT="0" distB="0" distL="114300" distR="114300" simplePos="0" relativeHeight="212759552" behindDoc="1" locked="0" layoutInCell="1" allowOverlap="1">
                <wp:simplePos x="0" y="0"/>
                <wp:positionH relativeFrom="page">
                  <wp:posOffset>3609340</wp:posOffset>
                </wp:positionH>
                <wp:positionV relativeFrom="paragraph">
                  <wp:posOffset>92710</wp:posOffset>
                </wp:positionV>
                <wp:extent cx="163195" cy="0"/>
                <wp:effectExtent l="0" t="0" r="0" b="0"/>
                <wp:wrapNone/>
                <wp:docPr id="20" name="直线 25"/>
                <wp:cNvGraphicFramePr/>
                <a:graphic xmlns:a="http://schemas.openxmlformats.org/drawingml/2006/main">
                  <a:graphicData uri="http://schemas.microsoft.com/office/word/2010/wordprocessingShape">
                    <wps:wsp>
                      <wps:cNvSpPr/>
                      <wps:spPr>
                        <a:xfrm>
                          <a:off x="0" y="0"/>
                          <a:ext cx="163195"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25" o:spid="_x0000_s1026" o:spt="20" style="position:absolute;left:0pt;margin-left:284.2pt;margin-top:7.3pt;height:0pt;width:12.85pt;mso-position-horizontal-relative:page;z-index:-290556928;mso-width-relative:page;mso-height-relative:page;" filled="f" stroked="t" coordsize="21600,21600" o:gfxdata="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iMSX3UAAAACQEAAA8AAAAAAAAAAQAgAAAAIgAAAGRycy9k&#10;b3ducmV2LnhtbFBLAQIUABQAAAAIAIdO4kA3OCTwzQEAAI4DAAAOAAAAAAAAAAEAIAAAACMBAABk&#10;cnMvZTJvRG9jLnhtbFBLBQYAAAAABgAGAFkBAABiBQ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51701248" behindDoc="0" locked="0" layoutInCell="1" allowOverlap="1">
                <wp:simplePos x="0" y="0"/>
                <wp:positionH relativeFrom="page">
                  <wp:posOffset>4062095</wp:posOffset>
                </wp:positionH>
                <wp:positionV relativeFrom="paragraph">
                  <wp:posOffset>-19685</wp:posOffset>
                </wp:positionV>
                <wp:extent cx="620395" cy="0"/>
                <wp:effectExtent l="0" t="0" r="0" b="0"/>
                <wp:wrapNone/>
                <wp:docPr id="144" name="直线 26"/>
                <wp:cNvGraphicFramePr/>
                <a:graphic xmlns:a="http://schemas.openxmlformats.org/drawingml/2006/main">
                  <a:graphicData uri="http://schemas.microsoft.com/office/word/2010/wordprocessingShape">
                    <wps:wsp>
                      <wps:cNvSpPr/>
                      <wps:spPr>
                        <a:xfrm>
                          <a:off x="0" y="0"/>
                          <a:ext cx="620395" cy="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直线 26" o:spid="_x0000_s1026" o:spt="20" style="position:absolute;left:0pt;margin-left:319.85pt;margin-top:-1.55pt;height:0pt;width:48.85pt;mso-position-horizontal-relative:page;z-index:251701248;mso-width-relative:page;mso-height-relative:page;" filled="f" stroked="t" coordsize="21600,21600" o:gfxdata="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qJN0bZAAAACQEAAA8AAAAAAAAAAQAgAAAAIgAA&#10;AGRycy9kb3ducmV2LnhtbFBLAQIUABQAAAAIAIdO4kC70CDTzgEAAI8DAAAOAAAAAAAAAAEAIAAA&#10;ACgBAABkcnMvZTJvRG9jLnhtbFBLBQYAAAAABgAGAFkBAABoBQAAAAA=&#10;">
                <v:fill on="f" focussize="0,0"/>
                <v:stroke weight="0.25pt" color="#000000" joinstyle="round"/>
                <v:imagedata o:title=""/>
                <o:lock v:ext="edit" aspectratio="f"/>
              </v:line>
            </w:pict>
          </mc:Fallback>
        </mc:AlternateContent>
      </w:r>
      <w:r>
        <w:rPr>
          <w:rFonts w:ascii="Symbol" w:hAnsi="Symbol"/>
          <w:sz w:val="24"/>
        </w:rPr>
        <w:t></w:t>
      </w:r>
      <w:r>
        <w:rPr>
          <w:rFonts w:ascii="Times New Roman" w:hAnsi="Times New Roman"/>
          <w:spacing w:val="-25"/>
          <w:sz w:val="24"/>
        </w:rPr>
        <w:t xml:space="preserve"> </w:t>
      </w:r>
      <w:r>
        <w:rPr>
          <w:rFonts w:ascii="Times New Roman" w:hAnsi="Times New Roman"/>
          <w:i/>
          <w:sz w:val="24"/>
        </w:rPr>
        <w:t>e</w:t>
      </w:r>
      <w:r>
        <w:rPr>
          <w:rFonts w:ascii="Times New Roman" w:hAnsi="Times New Roman"/>
          <w:i/>
          <w:sz w:val="24"/>
        </w:rPr>
        <w:tab/>
      </w:r>
      <w:r>
        <w:rPr>
          <w:rFonts w:ascii="Times New Roman" w:hAnsi="Times New Roman"/>
          <w:i/>
          <w:position w:val="7"/>
          <w:sz w:val="14"/>
        </w:rPr>
        <w:t>r</w:t>
      </w:r>
      <w:r>
        <w:rPr>
          <w:rFonts w:ascii="Times New Roman" w:hAnsi="Times New Roman"/>
          <w:i/>
          <w:spacing w:val="-18"/>
          <w:position w:val="7"/>
          <w:sz w:val="14"/>
        </w:rPr>
        <w:t xml:space="preserve"> </w:t>
      </w:r>
      <w:r>
        <w:rPr>
          <w:rFonts w:ascii="Times New Roman" w:hAnsi="Times New Roman"/>
          <w:position w:val="14"/>
          <w:sz w:val="10"/>
        </w:rPr>
        <w:t>2</w:t>
      </w:r>
    </w:p>
    <w:p>
      <w:pPr>
        <w:pStyle w:val="9"/>
        <w:rPr>
          <w:rFonts w:ascii="Times New Roman"/>
          <w:sz w:val="28"/>
        </w:rPr>
      </w:pPr>
      <w:r>
        <w:br w:type="column"/>
      </w:r>
    </w:p>
    <w:p>
      <w:pPr>
        <w:pStyle w:val="9"/>
        <w:spacing w:before="8"/>
        <w:rPr>
          <w:rFonts w:ascii="Times New Roman"/>
          <w:sz w:val="27"/>
        </w:rPr>
      </w:pPr>
    </w:p>
    <w:p>
      <w:pPr>
        <w:spacing w:before="0"/>
        <w:ind w:left="61" w:right="0" w:firstLine="0"/>
        <w:jc w:val="left"/>
        <w:rPr>
          <w:rFonts w:ascii="Symbol" w:hAnsi="Symbol"/>
          <w:i/>
          <w:sz w:val="25"/>
        </w:rPr>
      </w:pPr>
      <w:r>
        <w:rPr>
          <w:rFonts w:ascii="Symbol" w:hAnsi="Symbol"/>
          <w:sz w:val="24"/>
        </w:rPr>
        <w:t></w:t>
      </w:r>
      <w:r>
        <w:rPr>
          <w:rFonts w:ascii="Times New Roman" w:hAnsi="Times New Roman"/>
          <w:sz w:val="24"/>
        </w:rPr>
        <w:t xml:space="preserve"> </w:t>
      </w:r>
      <w:r>
        <w:rPr>
          <w:rFonts w:ascii="Times New Roman" w:hAnsi="Times New Roman"/>
          <w:i/>
          <w:sz w:val="24"/>
        </w:rPr>
        <w:t>d</w:t>
      </w:r>
      <w:r>
        <w:rPr>
          <w:rFonts w:ascii="Symbol" w:hAnsi="Symbol"/>
          <w:i/>
          <w:sz w:val="25"/>
        </w:rPr>
        <w:t></w:t>
      </w:r>
      <w:r>
        <w:rPr>
          <w:rFonts w:ascii="Symbol" w:hAnsi="Symbol"/>
          <w:sz w:val="24"/>
        </w:rPr>
        <w:t></w:t>
      </w:r>
      <w:r>
        <w:rPr>
          <w:rFonts w:ascii="Times New Roman" w:hAnsi="Times New Roman"/>
          <w:sz w:val="24"/>
        </w:rPr>
        <w:t xml:space="preserve"> </w:t>
      </w:r>
      <w:r>
        <w:rPr>
          <w:rFonts w:ascii="Times New Roman" w:hAnsi="Times New Roman"/>
          <w:i/>
          <w:sz w:val="24"/>
        </w:rPr>
        <w:t>d</w:t>
      </w:r>
      <w:r>
        <w:rPr>
          <w:rFonts w:ascii="Symbol" w:hAnsi="Symbol"/>
          <w:i/>
          <w:sz w:val="25"/>
        </w:rPr>
        <w:t></w:t>
      </w:r>
    </w:p>
    <w:p>
      <w:pPr>
        <w:spacing w:after="0"/>
        <w:jc w:val="left"/>
        <w:rPr>
          <w:rFonts w:ascii="Symbol" w:hAnsi="Symbol"/>
          <w:sz w:val="25"/>
        </w:rPr>
        <w:sectPr>
          <w:type w:val="continuous"/>
          <w:pgSz w:w="11910" w:h="16840"/>
          <w:pgMar w:top="1580" w:right="0" w:bottom="280" w:left="0" w:header="720" w:footer="720" w:gutter="0"/>
          <w:cols w:equalWidth="0" w:num="4">
            <w:col w:w="3099" w:space="40"/>
            <w:col w:w="2759" w:space="39"/>
            <w:col w:w="1417" w:space="40"/>
            <w:col w:w="4516"/>
          </w:cols>
        </w:sectPr>
      </w:pPr>
    </w:p>
    <w:p>
      <w:pPr>
        <w:spacing w:before="126"/>
        <w:ind w:left="5450" w:right="0" w:firstLine="0"/>
        <w:jc w:val="left"/>
        <w:rPr>
          <w:rFonts w:ascii="Times New Roman" w:hAnsi="Times New Roman"/>
          <w:sz w:val="24"/>
        </w:rPr>
      </w:pPr>
      <w:r>
        <mc:AlternateContent>
          <mc:Choice Requires="wps">
            <w:drawing>
              <wp:anchor distT="0" distB="0" distL="114300" distR="114300" simplePos="0" relativeHeight="212765696" behindDoc="1" locked="0" layoutInCell="1" allowOverlap="1">
                <wp:simplePos x="0" y="0"/>
                <wp:positionH relativeFrom="page">
                  <wp:posOffset>3312795</wp:posOffset>
                </wp:positionH>
                <wp:positionV relativeFrom="paragraph">
                  <wp:posOffset>158115</wp:posOffset>
                </wp:positionV>
                <wp:extent cx="128905" cy="287020"/>
                <wp:effectExtent l="0" t="0" r="0" b="0"/>
                <wp:wrapNone/>
                <wp:docPr id="26" name="文本框 27"/>
                <wp:cNvGraphicFramePr/>
                <a:graphic xmlns:a="http://schemas.openxmlformats.org/drawingml/2006/main">
                  <a:graphicData uri="http://schemas.microsoft.com/office/word/2010/wordprocessingShape">
                    <wps:wsp>
                      <wps:cNvSpPr txBox="1"/>
                      <wps:spPr>
                        <a:xfrm>
                          <a:off x="0" y="0"/>
                          <a:ext cx="128905" cy="287020"/>
                        </a:xfrm>
                        <a:prstGeom prst="rect">
                          <a:avLst/>
                        </a:prstGeom>
                        <a:noFill/>
                        <a:ln>
                          <a:noFill/>
                        </a:ln>
                      </wps:spPr>
                      <wps:txbx>
                        <w:txbxContent>
                          <w:p>
                            <w:pPr>
                              <w:spacing w:before="0" w:line="452" w:lineRule="exact"/>
                              <w:ind w:left="0" w:right="0" w:firstLine="0"/>
                              <w:jc w:val="left"/>
                              <w:rPr>
                                <w:rFonts w:ascii="Symbol" w:hAnsi="Symbol"/>
                                <w:sz w:val="37"/>
                              </w:rPr>
                            </w:pPr>
                            <w:r>
                              <w:rPr>
                                <w:rFonts w:ascii="Symbol" w:hAnsi="Symbol"/>
                                <w:w w:val="95"/>
                                <w:sz w:val="37"/>
                              </w:rPr>
                              <w:t></w:t>
                            </w:r>
                          </w:p>
                        </w:txbxContent>
                      </wps:txbx>
                      <wps:bodyPr lIns="0" tIns="0" rIns="0" bIns="0" upright="1"/>
                    </wps:wsp>
                  </a:graphicData>
                </a:graphic>
              </wp:anchor>
            </w:drawing>
          </mc:Choice>
          <mc:Fallback>
            <w:pict>
              <v:shape id="文本框 27" o:spid="_x0000_s1026" o:spt="202" type="#_x0000_t202" style="position:absolute;left:0pt;margin-left:260.85pt;margin-top:12.45pt;height:22.6pt;width:10.15pt;mso-position-horizontal-relative:page;z-index:-290550784;mso-width-relative:page;mso-height-relative:page;" filled="f" stroked="f" coordsize="21600,21600" o:gfxdata="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Qx9GodkAAAAJAQAADwAAAAAA&#10;AAABACAAAAAiAAAAZHJzL2Rvd25yZXYueG1sUEsBAhQAFAAAAAgAh07iQBrXOUegAQAAJQMAAA4A&#10;AAAAAAAAAQAgAAAAKAEAAGRycy9lMm9Eb2MueG1sUEsFBgAAAAAGAAYAWQEAADoFAAAAAA==&#10;">
                <v:fill on="f" focussize="0,0"/>
                <v:stroke on="f"/>
                <v:imagedata o:title=""/>
                <o:lock v:ext="edit" aspectratio="f"/>
                <v:textbox inset="0mm,0mm,0mm,0mm">
                  <w:txbxContent>
                    <w:p>
                      <w:pPr>
                        <w:spacing w:before="0" w:line="452" w:lineRule="exact"/>
                        <w:ind w:left="0" w:right="0" w:firstLine="0"/>
                        <w:jc w:val="left"/>
                        <w:rPr>
                          <w:rFonts w:ascii="Symbol" w:hAnsi="Symbol"/>
                          <w:sz w:val="37"/>
                        </w:rPr>
                      </w:pPr>
                      <w:r>
                        <w:rPr>
                          <w:rFonts w:ascii="Symbol" w:hAnsi="Symbol"/>
                          <w:w w:val="95"/>
                          <w:sz w:val="37"/>
                        </w:rPr>
                        <w:t></w:t>
                      </w:r>
                    </w:p>
                  </w:txbxContent>
                </v:textbox>
              </v:shape>
            </w:pict>
          </mc:Fallback>
        </mc:AlternateContent>
      </w:r>
      <w:r>
        <w:rPr>
          <w:rFonts w:ascii="Times New Roman" w:hAnsi="Times New Roman"/>
          <w:sz w:val="24"/>
        </w:rPr>
        <w:t>2</w:t>
      </w:r>
      <w:r>
        <w:rPr>
          <w:rFonts w:ascii="Symbol" w:hAnsi="Symbol"/>
          <w:i/>
          <w:sz w:val="25"/>
        </w:rPr>
        <w:t></w:t>
      </w:r>
      <w:r>
        <w:rPr>
          <w:rFonts w:ascii="Times New Roman" w:hAnsi="Times New Roman"/>
          <w:sz w:val="24"/>
        </w:rPr>
        <w:t>(</w:t>
      </w:r>
      <w:r>
        <w:rPr>
          <w:rFonts w:ascii="Symbol" w:hAnsi="Symbol"/>
          <w:i/>
          <w:sz w:val="25"/>
        </w:rPr>
        <w:t></w:t>
      </w:r>
      <w:r>
        <w:rPr>
          <w:rFonts w:ascii="Symbol" w:hAnsi="Symbol"/>
          <w:sz w:val="24"/>
        </w:rPr>
        <w:t></w:t>
      </w:r>
      <w:r>
        <w:rPr>
          <w:rFonts w:ascii="Times New Roman" w:hAnsi="Times New Roman"/>
          <w:sz w:val="24"/>
        </w:rPr>
        <w:t xml:space="preserve"> </w:t>
      </w:r>
      <w:r>
        <w:rPr>
          <w:rFonts w:ascii="Times New Roman" w:hAnsi="Times New Roman"/>
          <w:i/>
          <w:sz w:val="24"/>
        </w:rPr>
        <w:t>x</w:t>
      </w:r>
      <w:r>
        <w:rPr>
          <w:rFonts w:ascii="Times New Roman" w:hAnsi="Times New Roman"/>
          <w:sz w:val="24"/>
        </w:rPr>
        <w:t>)</w:t>
      </w:r>
    </w:p>
    <w:p>
      <w:pPr>
        <w:tabs>
          <w:tab w:val="left" w:pos="4852"/>
          <w:tab w:val="left" w:pos="5791"/>
        </w:tabs>
        <w:spacing w:before="0" w:line="177" w:lineRule="exact"/>
        <w:ind w:left="3991" w:right="0" w:firstLine="0"/>
        <w:jc w:val="left"/>
        <w:rPr>
          <w:rFonts w:ascii="Times New Roman"/>
          <w:sz w:val="14"/>
        </w:rPr>
      </w:pPr>
      <w:r>
        <mc:AlternateContent>
          <mc:Choice Requires="wps">
            <w:drawing>
              <wp:anchor distT="0" distB="0" distL="114300" distR="114300" simplePos="0" relativeHeight="251702272" behindDoc="0" locked="0" layoutInCell="1" allowOverlap="1">
                <wp:simplePos x="0" y="0"/>
                <wp:positionH relativeFrom="page">
                  <wp:posOffset>3451860</wp:posOffset>
                </wp:positionH>
                <wp:positionV relativeFrom="paragraph">
                  <wp:posOffset>116840</wp:posOffset>
                </wp:positionV>
                <wp:extent cx="582930" cy="0"/>
                <wp:effectExtent l="0" t="0" r="0" b="0"/>
                <wp:wrapNone/>
                <wp:docPr id="145" name="直线 28"/>
                <wp:cNvGraphicFramePr/>
                <a:graphic xmlns:a="http://schemas.openxmlformats.org/drawingml/2006/main">
                  <a:graphicData uri="http://schemas.microsoft.com/office/word/2010/wordprocessingShape">
                    <wps:wsp>
                      <wps:cNvSpPr/>
                      <wps:spPr>
                        <a:xfrm>
                          <a:off x="0" y="0"/>
                          <a:ext cx="582930" cy="0"/>
                        </a:xfrm>
                        <a:prstGeom prst="line">
                          <a:avLst/>
                        </a:prstGeom>
                        <a:ln w="6439" cap="flat" cmpd="sng">
                          <a:solidFill>
                            <a:srgbClr val="000000"/>
                          </a:solidFill>
                          <a:prstDash val="solid"/>
                          <a:headEnd type="none" w="med" len="med"/>
                          <a:tailEnd type="none" w="med" len="med"/>
                        </a:ln>
                      </wps:spPr>
                      <wps:bodyPr upright="1"/>
                    </wps:wsp>
                  </a:graphicData>
                </a:graphic>
              </wp:anchor>
            </w:drawing>
          </mc:Choice>
          <mc:Fallback>
            <w:pict>
              <v:line id="直线 28" o:spid="_x0000_s1026" o:spt="20" style="position:absolute;left:0pt;margin-left:271.8pt;margin-top:9.2pt;height:0pt;width:45.9pt;mso-position-horizontal-relative:page;z-index:251702272;mso-width-relative:page;mso-height-relative:page;" filled="f" stroked="t" coordsize="21600,21600" o:gfxdata="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zHjPXYAAAACQEAAA8AAAAAAAAAAQAgAAAAIgAA&#10;AGRycy9kb3ducmV2LnhtbFBLAQIUABQAAAAIAIdO4kCCAIyVzwEAAI8DAAAOAAAAAAAAAAEAIAAA&#10;ACcBAABkcnMvZTJvRG9jLnhtbFBLBQYAAAAABgAGAFkBAABoBQAAAAA=&#10;">
                <v:fill on="f" focussize="0,0"/>
                <v:stroke weight="0.507007874015748pt" color="#000000" joinstyle="round"/>
                <v:imagedata o:title=""/>
                <o:lock v:ext="edit" aspectratio="f"/>
              </v:line>
            </w:pict>
          </mc:Fallback>
        </mc:AlternateContent>
      </w:r>
      <w:r>
        <w:rPr>
          <w:rFonts w:ascii="Times New Roman"/>
          <w:i/>
          <w:position w:val="2"/>
          <w:sz w:val="14"/>
        </w:rPr>
        <w:t>X</w:t>
      </w:r>
      <w:r>
        <w:rPr>
          <w:rFonts w:ascii="Times New Roman"/>
          <w:i/>
          <w:spacing w:val="-5"/>
          <w:position w:val="2"/>
          <w:sz w:val="14"/>
        </w:rPr>
        <w:t xml:space="preserve"> </w:t>
      </w:r>
      <w:r>
        <w:rPr>
          <w:rFonts w:ascii="Times New Roman"/>
          <w:position w:val="2"/>
          <w:sz w:val="14"/>
        </w:rPr>
        <w:t>(</w:t>
      </w:r>
      <w:r>
        <w:rPr>
          <w:rFonts w:ascii="Times New Roman"/>
          <w:spacing w:val="-16"/>
          <w:position w:val="2"/>
          <w:sz w:val="14"/>
        </w:rPr>
        <w:t xml:space="preserve"> </w:t>
      </w:r>
      <w:r>
        <w:rPr>
          <w:rFonts w:ascii="Times New Roman"/>
          <w:i/>
          <w:spacing w:val="4"/>
          <w:position w:val="2"/>
          <w:sz w:val="14"/>
        </w:rPr>
        <w:t>x</w:t>
      </w:r>
      <w:r>
        <w:rPr>
          <w:rFonts w:ascii="Times New Roman"/>
          <w:spacing w:val="4"/>
          <w:position w:val="2"/>
          <w:sz w:val="14"/>
        </w:rPr>
        <w:t>,</w:t>
      </w:r>
      <w:r>
        <w:rPr>
          <w:rFonts w:ascii="Times New Roman"/>
          <w:spacing w:val="-18"/>
          <w:position w:val="2"/>
          <w:sz w:val="14"/>
        </w:rPr>
        <w:t xml:space="preserve"> </w:t>
      </w:r>
      <w:r>
        <w:rPr>
          <w:rFonts w:ascii="Times New Roman"/>
          <w:i/>
          <w:position w:val="2"/>
          <w:sz w:val="14"/>
        </w:rPr>
        <w:t>y</w:t>
      </w:r>
      <w:r>
        <w:rPr>
          <w:rFonts w:ascii="Times New Roman"/>
          <w:i/>
          <w:spacing w:val="-20"/>
          <w:position w:val="2"/>
          <w:sz w:val="14"/>
        </w:rPr>
        <w:t xml:space="preserve"> </w:t>
      </w:r>
      <w:r>
        <w:rPr>
          <w:rFonts w:ascii="Times New Roman"/>
          <w:position w:val="2"/>
          <w:sz w:val="14"/>
        </w:rPr>
        <w:t>)</w:t>
      </w:r>
      <w:r>
        <w:rPr>
          <w:rFonts w:ascii="Times New Roman"/>
          <w:position w:val="2"/>
          <w:sz w:val="14"/>
        </w:rPr>
        <w:tab/>
      </w:r>
      <w:r>
        <w:rPr>
          <w:rFonts w:ascii="Times New Roman"/>
          <w:position w:val="2"/>
          <w:sz w:val="14"/>
        </w:rPr>
        <w:t>max</w:t>
      </w:r>
      <w:r>
        <w:rPr>
          <w:rFonts w:ascii="Times New Roman"/>
          <w:position w:val="2"/>
          <w:sz w:val="14"/>
        </w:rPr>
        <w:tab/>
      </w:r>
      <w:r>
        <w:rPr>
          <w:rFonts w:ascii="Times New Roman"/>
          <w:i/>
          <w:spacing w:val="9"/>
          <w:position w:val="-10"/>
          <w:sz w:val="24"/>
        </w:rPr>
        <w:t>r</w:t>
      </w:r>
      <w:r>
        <w:rPr>
          <w:rFonts w:ascii="Times New Roman"/>
          <w:spacing w:val="9"/>
          <w:sz w:val="14"/>
        </w:rPr>
        <w:t>2</w:t>
      </w:r>
    </w:p>
    <w:p>
      <w:pPr>
        <w:spacing w:before="123" w:line="93" w:lineRule="auto"/>
        <w:ind w:left="188" w:right="0" w:firstLine="0"/>
        <w:jc w:val="left"/>
        <w:rPr>
          <w:rFonts w:ascii="Times New Roman" w:hAnsi="Times New Roman"/>
          <w:sz w:val="14"/>
        </w:rPr>
      </w:pPr>
      <w:r>
        <w:br w:type="column"/>
      </w:r>
      <w:r>
        <w:rPr>
          <w:rFonts w:ascii="Symbol" w:hAnsi="Symbol"/>
          <w:position w:val="-8"/>
          <w:sz w:val="14"/>
        </w:rPr>
        <w:t></w:t>
      </w:r>
      <w:r>
        <w:rPr>
          <w:rFonts w:ascii="Symbol" w:hAnsi="Symbol"/>
          <w:i/>
          <w:position w:val="-8"/>
          <w:sz w:val="15"/>
        </w:rPr>
        <w:t></w:t>
      </w:r>
      <w:r>
        <w:rPr>
          <w:rFonts w:ascii="Times New Roman" w:hAnsi="Times New Roman"/>
          <w:sz w:val="14"/>
        </w:rPr>
        <w:t>(</w:t>
      </w:r>
      <w:r>
        <w:rPr>
          <w:rFonts w:ascii="Symbol" w:hAnsi="Symbol"/>
          <w:i/>
          <w:sz w:val="15"/>
        </w:rPr>
        <w:t></w:t>
      </w:r>
      <w:r>
        <w:rPr>
          <w:rFonts w:ascii="Symbol" w:hAnsi="Symbol"/>
          <w:sz w:val="14"/>
        </w:rPr>
        <w:t></w:t>
      </w:r>
      <w:r>
        <w:rPr>
          <w:rFonts w:ascii="Times New Roman" w:hAnsi="Times New Roman"/>
          <w:i/>
          <w:sz w:val="14"/>
        </w:rPr>
        <w:t xml:space="preserve">x </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5"/>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pStyle w:val="9"/>
        <w:spacing w:line="20" w:lineRule="exact"/>
        <w:ind w:left="364"/>
        <w:rPr>
          <w:rFonts w:ascii="Times New Roman"/>
          <w:sz w:val="2"/>
        </w:rPr>
      </w:pPr>
      <w:r>
        <w:rPr>
          <w:rFonts w:ascii="Times New Roman"/>
          <w:sz w:val="2"/>
        </w:rPr>
        <mc:AlternateContent>
          <mc:Choice Requires="wpg">
            <w:drawing>
              <wp:inline distT="0" distB="0" distL="114300" distR="114300">
                <wp:extent cx="609600" cy="3810"/>
                <wp:effectExtent l="0" t="0" r="0" b="0"/>
                <wp:docPr id="113" name="组合 29"/>
                <wp:cNvGraphicFramePr/>
                <a:graphic xmlns:a="http://schemas.openxmlformats.org/drawingml/2006/main">
                  <a:graphicData uri="http://schemas.microsoft.com/office/word/2010/wordprocessingGroup">
                    <wpg:wgp>
                      <wpg:cNvGrpSpPr/>
                      <wpg:grpSpPr>
                        <a:xfrm>
                          <a:off x="0" y="0"/>
                          <a:ext cx="609600" cy="3810"/>
                          <a:chOff x="0" y="0"/>
                          <a:chExt cx="960" cy="6"/>
                        </a:xfrm>
                      </wpg:grpSpPr>
                      <wps:wsp>
                        <wps:cNvPr id="112" name="直线 30"/>
                        <wps:cNvSpPr/>
                        <wps:spPr>
                          <a:xfrm>
                            <a:off x="0" y="3"/>
                            <a:ext cx="960" cy="0"/>
                          </a:xfrm>
                          <a:prstGeom prst="line">
                            <a:avLst/>
                          </a:prstGeom>
                          <a:ln w="3226" cap="flat" cmpd="sng">
                            <a:solidFill>
                              <a:srgbClr val="000000"/>
                            </a:solidFill>
                            <a:prstDash val="solid"/>
                            <a:headEnd type="none" w="med" len="med"/>
                            <a:tailEnd type="none" w="med" len="med"/>
                          </a:ln>
                        </wps:spPr>
                        <wps:bodyPr upright="1"/>
                      </wps:wsp>
                    </wpg:wgp>
                  </a:graphicData>
                </a:graphic>
              </wp:inline>
            </w:drawing>
          </mc:Choice>
          <mc:Fallback>
            <w:pict>
              <v:group id="组合 29" o:spid="_x0000_s1026" o:spt="203" style="height:0.3pt;width:48pt;" coordsize="960,6" o:gfxdata="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wO22/SAAAAAQEAAA8AAAAAAAAAAQAgAAAAIgAAAGRycy9kb3ducmV2LnhtbFBLAQIUABQAAAAI&#10;AIdO4kA0i6TeLAIAALIEAAAOAAAAAAAAAAEAIAAAACEBAABkcnMvZTJvRG9jLnhtbFBLBQYAAAAA&#10;BgAGAFkBAAC/BQAAAAA=&#10;">
                <o:lock v:ext="edit" aspectratio="f"/>
                <v:line id="直线 30" o:spid="_x0000_s1026" o:spt="20" style="position:absolute;left:0;top:3;height:0;width:960;" filled="f" stroked="t" coordsize="21600,21600" o:gfxdata="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5Q74A&#10;AADcAAAADwAAAAAAAAABACAAAAAiAAAAZHJzL2Rvd25yZXYueG1sUEsBAhQAFAAAAAgAh07iQDMv&#10;BZ47AAAAOQAAABAAAAAAAAAAAQAgAAAADQEAAGRycy9zaGFwZXhtbC54bWxQSwUGAAAAAAYABgBb&#10;AQAAtwMAAAAA&#10;">
                  <v:fill on="f" focussize="0,0"/>
                  <v:stroke weight="0.254015748031496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580" w:right="0" w:bottom="280" w:left="0" w:header="720" w:footer="720" w:gutter="0"/>
          <w:cols w:equalWidth="0" w:num="2">
            <w:col w:w="6345" w:space="40"/>
            <w:col w:w="5525"/>
          </w:cols>
        </w:sectPr>
      </w:pPr>
    </w:p>
    <w:p>
      <w:pPr>
        <w:pStyle w:val="9"/>
        <w:rPr>
          <w:rFonts w:ascii="Times New Roman"/>
        </w:rPr>
      </w:pPr>
    </w:p>
    <w:p>
      <w:pPr>
        <w:pStyle w:val="9"/>
        <w:spacing w:before="151"/>
        <w:ind w:left="1898"/>
      </w:pPr>
      <w:r>
        <w:t>③地表曲率</w:t>
      </w:r>
    </w:p>
    <w:p>
      <w:pPr>
        <w:tabs>
          <w:tab w:val="left" w:pos="1274"/>
          <w:tab w:val="left" w:pos="2000"/>
        </w:tabs>
        <w:spacing w:before="0" w:line="10" w:lineRule="exact"/>
        <w:ind w:left="772" w:right="0" w:firstLine="0"/>
        <w:jc w:val="left"/>
        <w:rPr>
          <w:rFonts w:ascii="Symbol" w:hAnsi="Symbol"/>
          <w:sz w:val="24"/>
        </w:rPr>
      </w:pPr>
      <w:r>
        <w:br w:type="column"/>
      </w:r>
      <w:r>
        <w:rPr>
          <w:rFonts w:ascii="Times New Roman" w:hAnsi="Times New Roman"/>
          <w:i/>
          <w:sz w:val="24"/>
        </w:rPr>
        <w:t>i</w:t>
      </w:r>
      <w:r>
        <w:rPr>
          <w:rFonts w:ascii="Times New Roman" w:hAnsi="Times New Roman"/>
          <w:i/>
          <w:sz w:val="24"/>
        </w:rPr>
        <w:tab/>
      </w:r>
      <w:r>
        <w:rPr>
          <w:spacing w:val="-3"/>
          <w:sz w:val="24"/>
        </w:rPr>
        <w:t>＝</w:t>
      </w:r>
      <w:r>
        <w:rPr>
          <w:rFonts w:ascii="Times New Roman" w:hAnsi="Times New Roman"/>
          <w:i/>
          <w:spacing w:val="-3"/>
          <w:sz w:val="24"/>
        </w:rPr>
        <w:t>W</w:t>
      </w:r>
      <w:r>
        <w:rPr>
          <w:rFonts w:ascii="Times New Roman" w:hAnsi="Times New Roman"/>
          <w:i/>
          <w:spacing w:val="-3"/>
          <w:sz w:val="24"/>
        </w:rPr>
        <w:tab/>
      </w:r>
      <w:r>
        <w:rPr>
          <w:rFonts w:ascii="Symbol" w:hAnsi="Symbol"/>
          <w:sz w:val="24"/>
        </w:rPr>
        <w:t></w:t>
      </w:r>
    </w:p>
    <w:p>
      <w:pPr>
        <w:spacing w:before="51"/>
        <w:ind w:left="0" w:right="0" w:firstLine="0"/>
        <w:jc w:val="right"/>
        <w:rPr>
          <w:rFonts w:ascii="Times New Roman"/>
          <w:i/>
          <w:sz w:val="14"/>
        </w:rPr>
      </w:pPr>
      <w:r>
        <w:rPr>
          <w:rFonts w:ascii="Times New Roman"/>
          <w:i/>
          <w:w w:val="102"/>
          <w:sz w:val="14"/>
        </w:rPr>
        <w:t>D</w:t>
      </w:r>
    </w:p>
    <w:p>
      <w:pPr>
        <w:tabs>
          <w:tab w:val="left" w:pos="1761"/>
        </w:tabs>
        <w:spacing w:before="0" w:line="25" w:lineRule="exact"/>
        <w:ind w:left="968" w:right="0" w:firstLine="0"/>
        <w:jc w:val="left"/>
        <w:rPr>
          <w:rFonts w:ascii="Times New Roman" w:hAnsi="Times New Roman"/>
          <w:sz w:val="10"/>
        </w:rPr>
      </w:pPr>
      <w:r>
        <w:br w:type="column"/>
      </w:r>
      <w:r>
        <w:rPr>
          <w:rFonts w:ascii="Symbol" w:hAnsi="Symbol"/>
          <w:spacing w:val="6"/>
          <w:sz w:val="24"/>
        </w:rPr>
        <w:t></w:t>
      </w:r>
      <w:r>
        <w:rPr>
          <w:rFonts w:ascii="Times New Roman" w:hAnsi="Times New Roman"/>
          <w:i/>
          <w:spacing w:val="6"/>
          <w:sz w:val="24"/>
        </w:rPr>
        <w:t>e</w:t>
      </w:r>
      <w:r>
        <w:rPr>
          <w:rFonts w:ascii="Times New Roman" w:hAnsi="Times New Roman"/>
          <w:i/>
          <w:spacing w:val="6"/>
          <w:sz w:val="24"/>
        </w:rPr>
        <w:tab/>
      </w:r>
      <w:r>
        <w:rPr>
          <w:rFonts w:ascii="Times New Roman" w:hAnsi="Times New Roman"/>
          <w:i/>
          <w:spacing w:val="-7"/>
          <w:position w:val="8"/>
          <w:sz w:val="14"/>
        </w:rPr>
        <w:t>r</w:t>
      </w:r>
      <w:r>
        <w:rPr>
          <w:rFonts w:ascii="Times New Roman" w:hAnsi="Times New Roman"/>
          <w:spacing w:val="-7"/>
          <w:position w:val="14"/>
          <w:sz w:val="10"/>
        </w:rPr>
        <w:t>2</w:t>
      </w:r>
    </w:p>
    <w:p>
      <w:pPr>
        <w:spacing w:before="0" w:line="23" w:lineRule="exact"/>
        <w:ind w:left="434" w:right="0" w:firstLine="0"/>
        <w:jc w:val="left"/>
        <w:rPr>
          <w:rFonts w:ascii="Symbol" w:hAnsi="Symbol"/>
          <w:i/>
          <w:sz w:val="25"/>
        </w:rPr>
      </w:pPr>
      <w:r>
        <w:br w:type="column"/>
      </w:r>
      <w:r>
        <w:rPr>
          <w:rFonts w:ascii="Symbol" w:hAnsi="Symbol"/>
          <w:sz w:val="24"/>
        </w:rPr>
        <w:t></w:t>
      </w:r>
      <w:r>
        <w:rPr>
          <w:rFonts w:ascii="Times New Roman" w:hAnsi="Times New Roman"/>
          <w:i/>
          <w:sz w:val="24"/>
        </w:rPr>
        <w:t>d</w:t>
      </w:r>
      <w:r>
        <w:rPr>
          <w:rFonts w:ascii="Symbol" w:hAnsi="Symbol"/>
          <w:i/>
          <w:sz w:val="25"/>
        </w:rPr>
        <w:t></w:t>
      </w:r>
      <w:r>
        <w:rPr>
          <w:rFonts w:ascii="Symbol" w:hAnsi="Symbol"/>
          <w:sz w:val="24"/>
        </w:rPr>
        <w:t></w:t>
      </w:r>
      <w:r>
        <w:rPr>
          <w:rFonts w:ascii="Times New Roman" w:hAnsi="Times New Roman"/>
          <w:i/>
          <w:sz w:val="24"/>
        </w:rPr>
        <w:t>d</w:t>
      </w:r>
      <w:r>
        <w:rPr>
          <w:rFonts w:ascii="Symbol" w:hAnsi="Symbol"/>
          <w:i/>
          <w:sz w:val="25"/>
        </w:rPr>
        <w:t></w:t>
      </w:r>
    </w:p>
    <w:p>
      <w:pPr>
        <w:spacing w:after="0" w:line="23" w:lineRule="exact"/>
        <w:jc w:val="left"/>
        <w:rPr>
          <w:rFonts w:ascii="Symbol" w:hAnsi="Symbol"/>
          <w:sz w:val="25"/>
        </w:rPr>
        <w:sectPr>
          <w:type w:val="continuous"/>
          <w:pgSz w:w="11910" w:h="16840"/>
          <w:pgMar w:top="1580" w:right="0" w:bottom="280" w:left="0" w:header="720" w:footer="720" w:gutter="0"/>
          <w:cols w:equalWidth="0" w:num="4">
            <w:col w:w="3099" w:space="40"/>
            <w:col w:w="2231" w:space="39"/>
            <w:col w:w="1877" w:space="40"/>
            <w:col w:w="4584"/>
          </w:cols>
        </w:sectPr>
      </w:pPr>
    </w:p>
    <w:p>
      <w:pPr>
        <w:spacing w:before="126" w:line="124" w:lineRule="exact"/>
        <w:ind w:left="0" w:right="0" w:firstLine="0"/>
        <w:jc w:val="right"/>
        <w:rPr>
          <w:rFonts w:ascii="Times New Roman" w:hAnsi="Times New Roman"/>
          <w:sz w:val="14"/>
        </w:rPr>
      </w:pPr>
      <w:r>
        <w:rPr>
          <w:rFonts w:ascii="Times New Roman" w:hAnsi="Times New Roman"/>
          <w:sz w:val="24"/>
        </w:rPr>
        <w:t>2</w:t>
      </w:r>
      <w:r>
        <w:rPr>
          <w:rFonts w:ascii="Symbol" w:hAnsi="Symbol"/>
          <w:i/>
          <w:sz w:val="25"/>
        </w:rPr>
        <w:t></w:t>
      </w:r>
      <w:r>
        <w:rPr>
          <w:rFonts w:ascii="Times New Roman" w:hAnsi="Times New Roman"/>
          <w:i/>
          <w:sz w:val="25"/>
        </w:rPr>
        <w:t xml:space="preserve"> </w:t>
      </w:r>
      <w:r>
        <w:rPr>
          <w:rFonts w:ascii="Times New Roman" w:hAnsi="Times New Roman"/>
          <w:sz w:val="24"/>
        </w:rPr>
        <w:t>2</w:t>
      </w:r>
      <w:r>
        <w:rPr>
          <w:rFonts w:ascii="Symbol" w:hAnsi="Symbol"/>
          <w:i/>
          <w:sz w:val="25"/>
        </w:rPr>
        <w:t></w:t>
      </w:r>
      <w:r>
        <w:rPr>
          <w:rFonts w:ascii="Times New Roman" w:hAnsi="Times New Roman"/>
          <w:sz w:val="24"/>
        </w:rPr>
        <w:t>(</w:t>
      </w:r>
      <w:r>
        <w:rPr>
          <w:rFonts w:ascii="Symbol" w:hAnsi="Symbol"/>
          <w:i/>
          <w:sz w:val="25"/>
        </w:rPr>
        <w:t></w:t>
      </w:r>
      <w:r>
        <w:rPr>
          <w:rFonts w:ascii="Symbol" w:hAnsi="Symbol"/>
          <w:sz w:val="24"/>
        </w:rPr>
        <w:t></w:t>
      </w:r>
      <w:r>
        <w:rPr>
          <w:rFonts w:ascii="Times New Roman" w:hAnsi="Times New Roman"/>
          <w:sz w:val="24"/>
        </w:rPr>
        <w:t xml:space="preserve"> </w:t>
      </w:r>
      <w:r>
        <w:rPr>
          <w:rFonts w:ascii="Times New Roman" w:hAnsi="Times New Roman"/>
          <w:i/>
          <w:sz w:val="24"/>
        </w:rPr>
        <w:t>x</w:t>
      </w:r>
      <w:r>
        <w:rPr>
          <w:rFonts w:ascii="Times New Roman" w:hAnsi="Times New Roman"/>
          <w:sz w:val="24"/>
        </w:rPr>
        <w:t>)</w:t>
      </w:r>
      <w:r>
        <w:rPr>
          <w:rFonts w:ascii="Times New Roman" w:hAnsi="Times New Roman"/>
          <w:position w:val="11"/>
          <w:sz w:val="14"/>
        </w:rPr>
        <w:t>2</w:t>
      </w:r>
    </w:p>
    <w:p>
      <w:pPr>
        <w:spacing w:before="86" w:line="164" w:lineRule="exact"/>
        <w:ind w:left="565" w:right="0" w:firstLine="0"/>
        <w:jc w:val="left"/>
        <w:rPr>
          <w:rFonts w:ascii="Times New Roman" w:hAnsi="Times New Roman"/>
          <w:sz w:val="14"/>
        </w:rPr>
      </w:pPr>
      <w:r>
        <w:br w:type="column"/>
      </w:r>
      <w:r>
        <w:rPr>
          <w:rFonts w:ascii="Symbol" w:hAnsi="Symbol"/>
          <w:position w:val="-8"/>
          <w:sz w:val="14"/>
        </w:rPr>
        <w:t></w:t>
      </w:r>
      <w:r>
        <w:rPr>
          <w:rFonts w:ascii="Symbol" w:hAnsi="Symbol"/>
          <w:i/>
          <w:position w:val="-8"/>
          <w:sz w:val="15"/>
        </w:rPr>
        <w:t></w:t>
      </w:r>
      <w:r>
        <w:rPr>
          <w:rFonts w:ascii="Times New Roman" w:hAnsi="Times New Roman"/>
          <w:sz w:val="14"/>
        </w:rPr>
        <w:t>(</w:t>
      </w:r>
      <w:r>
        <w:rPr>
          <w:rFonts w:ascii="Symbol" w:hAnsi="Symbol"/>
          <w:i/>
          <w:sz w:val="15"/>
        </w:rPr>
        <w:t></w:t>
      </w:r>
      <w:r>
        <w:rPr>
          <w:rFonts w:ascii="Symbol" w:hAnsi="Symbol"/>
          <w:sz w:val="14"/>
        </w:rPr>
        <w:t></w:t>
      </w:r>
      <w:r>
        <w:rPr>
          <w:rFonts w:ascii="Times New Roman" w:hAnsi="Times New Roman"/>
          <w:i/>
          <w:sz w:val="14"/>
        </w:rPr>
        <w:t xml:space="preserve">x </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5"/>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pStyle w:val="9"/>
        <w:spacing w:before="5"/>
        <w:rPr>
          <w:rFonts w:ascii="Times New Roman"/>
          <w:sz w:val="3"/>
        </w:rPr>
      </w:pPr>
    </w:p>
    <w:p>
      <w:pPr>
        <w:pStyle w:val="9"/>
        <w:spacing w:line="20" w:lineRule="exact"/>
        <w:ind w:left="741"/>
        <w:rPr>
          <w:rFonts w:ascii="Times New Roman"/>
          <w:sz w:val="2"/>
        </w:rPr>
      </w:pPr>
      <w:r>
        <w:rPr>
          <w:rFonts w:ascii="Times New Roman"/>
          <w:sz w:val="2"/>
        </w:rPr>
        <mc:AlternateContent>
          <mc:Choice Requires="wpg">
            <w:drawing>
              <wp:inline distT="0" distB="0" distL="114300" distR="114300">
                <wp:extent cx="610870" cy="3810"/>
                <wp:effectExtent l="0" t="0" r="0" b="0"/>
                <wp:docPr id="115" name="组合 31"/>
                <wp:cNvGraphicFramePr/>
                <a:graphic xmlns:a="http://schemas.openxmlformats.org/drawingml/2006/main">
                  <a:graphicData uri="http://schemas.microsoft.com/office/word/2010/wordprocessingGroup">
                    <wpg:wgp>
                      <wpg:cNvGrpSpPr/>
                      <wpg:grpSpPr>
                        <a:xfrm>
                          <a:off x="0" y="0"/>
                          <a:ext cx="610870" cy="3810"/>
                          <a:chOff x="0" y="0"/>
                          <a:chExt cx="962" cy="6"/>
                        </a:xfrm>
                      </wpg:grpSpPr>
                      <wps:wsp>
                        <wps:cNvPr id="114" name="直线 32"/>
                        <wps:cNvSpPr/>
                        <wps:spPr>
                          <a:xfrm>
                            <a:off x="0" y="3"/>
                            <a:ext cx="961" cy="0"/>
                          </a:xfrm>
                          <a:prstGeom prst="line">
                            <a:avLst/>
                          </a:prstGeom>
                          <a:ln w="3226" cap="flat" cmpd="sng">
                            <a:solidFill>
                              <a:srgbClr val="000000"/>
                            </a:solidFill>
                            <a:prstDash val="solid"/>
                            <a:headEnd type="none" w="med" len="med"/>
                            <a:tailEnd type="none" w="med" len="med"/>
                          </a:ln>
                        </wps:spPr>
                        <wps:bodyPr upright="1"/>
                      </wps:wsp>
                    </wpg:wgp>
                  </a:graphicData>
                </a:graphic>
              </wp:inline>
            </w:drawing>
          </mc:Choice>
          <mc:Fallback>
            <w:pict>
              <v:group id="组合 31" o:spid="_x0000_s1026" o:spt="203" style="height:0.3pt;width:48.1pt;" coordsize="962,6" o:gfxdata="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Eovf/TAAAAAQEAAA8AAAAAAAAAAQAgAAAAIgAAAGRycy9kb3ducmV2LnhtbFBLAQIU&#10;ABQAAAAIAIdO4kBsHKHhMQIAALIEAAAOAAAAAAAAAAEAIAAAACIBAABkcnMvZTJvRG9jLnhtbFBL&#10;BQYAAAAABgAGAFkBAADFBQAAAAA=&#10;">
                <o:lock v:ext="edit" aspectratio="f"/>
                <v:line id="直线 32" o:spid="_x0000_s1026" o:spt="20" style="position:absolute;left:0;top:3;height:0;width:961;" filled="f" stroked="t" coordsize="21600,21600" o:gfxdata="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qErL4A&#10;AADcAAAADwAAAAAAAAABACAAAAAiAAAAZHJzL2Rvd25yZXYueG1sUEsBAhQAFAAAAAgAh07iQDMv&#10;BZ47AAAAOQAAABAAAAAAAAAAAQAgAAAADQEAAGRycy9zaGFwZXhtbC54bWxQSwUGAAAAAAYABgBb&#10;AQAAtwMAAAAA&#10;">
                  <v:fill on="f" focussize="0,0"/>
                  <v:stroke weight="0.254015748031496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580" w:right="0" w:bottom="280" w:left="0" w:header="720" w:footer="720" w:gutter="0"/>
          <w:cols w:equalWidth="0" w:num="2">
            <w:col w:w="6456" w:space="40"/>
            <w:col w:w="5414"/>
          </w:cols>
        </w:sectPr>
      </w:pPr>
    </w:p>
    <w:p>
      <w:pPr>
        <w:spacing w:before="0" w:line="178" w:lineRule="exact"/>
        <w:ind w:left="0" w:right="0" w:firstLine="0"/>
        <w:jc w:val="right"/>
        <w:rPr>
          <w:rFonts w:ascii="Times New Roman"/>
          <w:sz w:val="14"/>
        </w:rPr>
      </w:pPr>
      <w:r>
        <w:rPr>
          <w:rFonts w:ascii="Times New Roman"/>
          <w:i/>
          <w:sz w:val="14"/>
        </w:rPr>
        <w:t xml:space="preserve">X </w:t>
      </w:r>
      <w:r>
        <w:rPr>
          <w:rFonts w:ascii="Times New Roman"/>
          <w:sz w:val="14"/>
        </w:rPr>
        <w:t xml:space="preserve">( </w:t>
      </w:r>
      <w:r>
        <w:rPr>
          <w:rFonts w:ascii="Times New Roman"/>
          <w:i/>
          <w:sz w:val="14"/>
        </w:rPr>
        <w:t>x</w:t>
      </w:r>
      <w:r>
        <w:rPr>
          <w:rFonts w:ascii="Times New Roman"/>
          <w:sz w:val="14"/>
        </w:rPr>
        <w:t xml:space="preserve">, </w:t>
      </w:r>
      <w:r>
        <w:rPr>
          <w:rFonts w:ascii="Times New Roman"/>
          <w:i/>
          <w:sz w:val="14"/>
        </w:rPr>
        <w:t xml:space="preserve">y </w:t>
      </w:r>
      <w:r>
        <w:rPr>
          <w:rFonts w:ascii="Times New Roman"/>
          <w:sz w:val="14"/>
        </w:rPr>
        <w:t>)</w:t>
      </w:r>
    </w:p>
    <w:p>
      <w:pPr>
        <w:spacing w:before="0" w:line="178" w:lineRule="exact"/>
        <w:ind w:left="385" w:right="0" w:firstLine="0"/>
        <w:jc w:val="left"/>
        <w:rPr>
          <w:rFonts w:ascii="Times New Roman"/>
          <w:sz w:val="14"/>
        </w:rPr>
      </w:pPr>
      <w:r>
        <w:br w:type="column"/>
      </w:r>
      <w:r>
        <w:rPr>
          <w:rFonts w:ascii="Times New Roman"/>
          <w:sz w:val="14"/>
        </w:rPr>
        <w:t>max</w:t>
      </w:r>
    </w:p>
    <w:p>
      <w:pPr>
        <w:tabs>
          <w:tab w:val="left" w:pos="1114"/>
        </w:tabs>
        <w:spacing w:before="0" w:line="25" w:lineRule="exact"/>
        <w:ind w:left="78" w:right="0" w:firstLine="0"/>
        <w:jc w:val="left"/>
        <w:rPr>
          <w:rFonts w:ascii="Times New Roman" w:hAnsi="Times New Roman"/>
          <w:sz w:val="14"/>
        </w:rPr>
      </w:pPr>
      <w:r>
        <w:br w:type="column"/>
      </w:r>
      <w:r>
        <w:rPr>
          <w:rFonts w:ascii="Symbol" w:hAnsi="Symbol"/>
          <w:sz w:val="37"/>
        </w:rPr>
        <w:t></w:t>
      </w:r>
      <w:r>
        <w:rPr>
          <w:rFonts w:ascii="Times New Roman" w:hAnsi="Times New Roman"/>
          <w:spacing w:val="-31"/>
          <w:sz w:val="37"/>
        </w:rPr>
        <w:t xml:space="preserve"> </w:t>
      </w:r>
      <w:r>
        <w:rPr>
          <w:rFonts w:ascii="Times New Roman" w:hAnsi="Times New Roman"/>
          <w:i/>
          <w:spacing w:val="9"/>
          <w:position w:val="-9"/>
          <w:sz w:val="24"/>
        </w:rPr>
        <w:t>r</w:t>
      </w:r>
      <w:r>
        <w:rPr>
          <w:rFonts w:ascii="Times New Roman" w:hAnsi="Times New Roman"/>
          <w:spacing w:val="9"/>
          <w:position w:val="1"/>
          <w:sz w:val="14"/>
        </w:rPr>
        <w:t>2</w:t>
      </w:r>
      <w:r>
        <w:rPr>
          <w:rFonts w:ascii="Times New Roman" w:hAnsi="Times New Roman"/>
          <w:spacing w:val="9"/>
          <w:position w:val="1"/>
          <w:sz w:val="14"/>
        </w:rPr>
        <w:tab/>
      </w:r>
      <w:r>
        <w:rPr>
          <w:rFonts w:ascii="Times New Roman" w:hAnsi="Times New Roman"/>
          <w:i/>
          <w:spacing w:val="9"/>
          <w:position w:val="-9"/>
          <w:sz w:val="24"/>
        </w:rPr>
        <w:t>r</w:t>
      </w:r>
      <w:r>
        <w:rPr>
          <w:rFonts w:ascii="Times New Roman" w:hAnsi="Times New Roman"/>
          <w:spacing w:val="9"/>
          <w:position w:val="1"/>
          <w:sz w:val="14"/>
        </w:rPr>
        <w:t>2</w:t>
      </w:r>
    </w:p>
    <w:p>
      <w:pPr>
        <w:pStyle w:val="9"/>
        <w:spacing w:before="2"/>
        <w:rPr>
          <w:rFonts w:ascii="Times New Roman"/>
          <w:sz w:val="11"/>
        </w:rPr>
      </w:pPr>
    </w:p>
    <w:p>
      <w:pPr>
        <w:pStyle w:val="9"/>
        <w:spacing w:line="20" w:lineRule="exact"/>
        <w:ind w:left="290"/>
        <w:rPr>
          <w:rFonts w:ascii="Times New Roman"/>
          <w:sz w:val="2"/>
        </w:rPr>
      </w:pPr>
      <w:r>
        <w:rPr>
          <w:rFonts w:ascii="Times New Roman"/>
          <w:sz w:val="2"/>
        </w:rPr>
        <mc:AlternateContent>
          <mc:Choice Requires="wpg">
            <w:drawing>
              <wp:inline distT="0" distB="0" distL="114300" distR="114300">
                <wp:extent cx="192405" cy="6985"/>
                <wp:effectExtent l="0" t="0" r="0" b="0"/>
                <wp:docPr id="117" name="组合 33"/>
                <wp:cNvGraphicFramePr/>
                <a:graphic xmlns:a="http://schemas.openxmlformats.org/drawingml/2006/main">
                  <a:graphicData uri="http://schemas.microsoft.com/office/word/2010/wordprocessingGroup">
                    <wpg:wgp>
                      <wpg:cNvGrpSpPr/>
                      <wpg:grpSpPr>
                        <a:xfrm>
                          <a:off x="0" y="0"/>
                          <a:ext cx="192405" cy="6985"/>
                          <a:chOff x="0" y="0"/>
                          <a:chExt cx="303" cy="11"/>
                        </a:xfrm>
                      </wpg:grpSpPr>
                      <wps:wsp>
                        <wps:cNvPr id="116" name="直线 34"/>
                        <wps:cNvSpPr/>
                        <wps:spPr>
                          <a:xfrm>
                            <a:off x="0" y="5"/>
                            <a:ext cx="302" cy="0"/>
                          </a:xfrm>
                          <a:prstGeom prst="line">
                            <a:avLst/>
                          </a:prstGeom>
                          <a:ln w="6439" cap="flat" cmpd="sng">
                            <a:solidFill>
                              <a:srgbClr val="000000"/>
                            </a:solidFill>
                            <a:prstDash val="solid"/>
                            <a:headEnd type="none" w="med" len="med"/>
                            <a:tailEnd type="none" w="med" len="med"/>
                          </a:ln>
                        </wps:spPr>
                        <wps:bodyPr upright="1"/>
                      </wps:wsp>
                    </wpg:wgp>
                  </a:graphicData>
                </a:graphic>
              </wp:inline>
            </w:drawing>
          </mc:Choice>
          <mc:Fallback>
            <w:pict>
              <v:group id="组合 33" o:spid="_x0000_s1026" o:spt="203" style="height:0.55pt;width:15.15pt;" coordsize="303,11" o:gfxdata="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GgNhHSAAAAAgEAAA8AAAAAAAAAAQAgAAAAIgAAAGRycy9kb3ducmV2LnhtbFBLAQIU&#10;ABQAAAAIAIdO4kDMM1cbMgIAALMEAAAOAAAAAAAAAAEAIAAAACEBAABkcnMvZTJvRG9jLnhtbFBL&#10;BQYAAAAABgAGAFkBAADFBQAAAAA=&#10;">
                <o:lock v:ext="edit" aspectratio="f"/>
                <v:line id="直线 34" o:spid="_x0000_s1026" o:spt="20" style="position:absolute;left:0;top:5;height:0;width:302;" filled="f" stroked="t" coordsize="21600,21600" o:gfxdata="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s/MLsAAADc&#10;AAAADwAAAAAAAAABACAAAAAiAAAAZHJzL2Rvd25yZXYueG1sUEsBAhQAFAAAAAgAh07iQDMvBZ47&#10;AAAAOQAAABAAAAAAAAAAAQAgAAAACgEAAGRycy9zaGFwZXhtbC54bWxQSwUGAAAAAAYABgBbAQAA&#10;tAMAAAAA&#10;">
                  <v:fill on="f" focussize="0,0"/>
                  <v:stroke weight="0.507007874015748pt" color="#000000" joinstyle="round"/>
                  <v:imagedata o:title=""/>
                  <o:lock v:ext="edit" aspectratio="f"/>
                </v:line>
                <w10:wrap type="none"/>
                <w10:anchorlock/>
              </v:group>
            </w:pict>
          </mc:Fallback>
        </mc:AlternateContent>
      </w:r>
      <w:r>
        <w:rPr>
          <w:rFonts w:ascii="Times New Roman"/>
          <w:spacing w:val="78"/>
          <w:sz w:val="2"/>
        </w:rPr>
        <w:t xml:space="preserve"> </w:t>
      </w:r>
      <w:r>
        <w:rPr>
          <w:rFonts w:ascii="Times New Roman"/>
          <w:spacing w:val="78"/>
          <w:sz w:val="2"/>
        </w:rPr>
        <mc:AlternateContent>
          <mc:Choice Requires="wpg">
            <w:drawing>
              <wp:inline distT="0" distB="0" distL="114300" distR="114300">
                <wp:extent cx="655320" cy="6985"/>
                <wp:effectExtent l="0" t="0" r="0" b="0"/>
                <wp:docPr id="119" name="组合 35"/>
                <wp:cNvGraphicFramePr/>
                <a:graphic xmlns:a="http://schemas.openxmlformats.org/drawingml/2006/main">
                  <a:graphicData uri="http://schemas.microsoft.com/office/word/2010/wordprocessingGroup">
                    <wpg:wgp>
                      <wpg:cNvGrpSpPr/>
                      <wpg:grpSpPr>
                        <a:xfrm>
                          <a:off x="0" y="0"/>
                          <a:ext cx="655320" cy="6985"/>
                          <a:chOff x="0" y="0"/>
                          <a:chExt cx="1032" cy="11"/>
                        </a:xfrm>
                      </wpg:grpSpPr>
                      <wps:wsp>
                        <wps:cNvPr id="118" name="直线 36"/>
                        <wps:cNvSpPr/>
                        <wps:spPr>
                          <a:xfrm>
                            <a:off x="0" y="5"/>
                            <a:ext cx="1031" cy="0"/>
                          </a:xfrm>
                          <a:prstGeom prst="line">
                            <a:avLst/>
                          </a:prstGeom>
                          <a:ln w="6439" cap="flat" cmpd="sng">
                            <a:solidFill>
                              <a:srgbClr val="000000"/>
                            </a:solidFill>
                            <a:prstDash val="solid"/>
                            <a:headEnd type="none" w="med" len="med"/>
                            <a:tailEnd type="none" w="med" len="med"/>
                          </a:ln>
                        </wps:spPr>
                        <wps:bodyPr upright="1"/>
                      </wps:wsp>
                    </wpg:wgp>
                  </a:graphicData>
                </a:graphic>
              </wp:inline>
            </w:drawing>
          </mc:Choice>
          <mc:Fallback>
            <w:pict>
              <v:group id="组合 35" o:spid="_x0000_s1026" o:spt="203" style="height:0.55pt;width:51.6pt;" coordsize="1032,11" o:gfxdata="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RvvkdMAAAADAQAADwAAAAAAAAABACAAAAAiAAAAZHJzL2Rvd25yZXYueG1sUEsB&#10;AhQAFAAAAAgAh07iQIh+mogzAgAAtQQAAA4AAAAAAAAAAQAgAAAAIgEAAGRycy9lMm9Eb2MueG1s&#10;UEsFBgAAAAAGAAYAWQEAAMcFAAAAAA==&#10;">
                <o:lock v:ext="edit" aspectratio="f"/>
                <v:line id="直线 36" o:spid="_x0000_s1026" o:spt="20" style="position:absolute;left:0;top:5;height:0;width:1031;" filled="f" stroked="t" coordsize="21600,21600" o:gfxdata="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oDtm/&#10;AAAA3AAAAA8AAAAAAAAAAQAgAAAAIgAAAGRycy9kb3ducmV2LnhtbFBLAQIUABQAAAAIAIdO4kAz&#10;LwWeOwAAADkAAAAQAAAAAAAAAAEAIAAAAA4BAABkcnMvc2hhcGV4bWwueG1sUEsFBgAAAAAGAAYA&#10;WwEAALgDAAAAAA==&#10;">
                  <v:fill on="f" focussize="0,0"/>
                  <v:stroke weight="0.507007874015748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580" w:right="0" w:bottom="280" w:left="0" w:header="720" w:footer="720" w:gutter="0"/>
          <w:cols w:equalWidth="0" w:num="3">
            <w:col w:w="4047" w:space="40"/>
            <w:col w:w="634" w:space="39"/>
            <w:col w:w="7150"/>
          </w:cols>
        </w:sectPr>
      </w:pPr>
    </w:p>
    <w:p>
      <w:pPr>
        <w:spacing w:before="0" w:line="96" w:lineRule="exact"/>
        <w:ind w:left="0" w:right="0" w:firstLine="0"/>
        <w:jc w:val="right"/>
        <w:rPr>
          <w:rFonts w:ascii="Times New Roman"/>
          <w:i/>
          <w:sz w:val="24"/>
        </w:rPr>
      </w:pPr>
      <w:r>
        <w:rPr>
          <w:rFonts w:ascii="Times New Roman"/>
          <w:i/>
          <w:w w:val="102"/>
          <w:sz w:val="24"/>
        </w:rPr>
        <w:t>K</w:t>
      </w:r>
    </w:p>
    <w:p>
      <w:pPr>
        <w:pStyle w:val="9"/>
        <w:rPr>
          <w:rFonts w:ascii="Times New Roman"/>
          <w:i/>
          <w:sz w:val="26"/>
        </w:rPr>
      </w:pPr>
    </w:p>
    <w:p>
      <w:pPr>
        <w:pStyle w:val="9"/>
        <w:spacing w:before="154"/>
        <w:ind w:left="1898"/>
      </w:pPr>
      <w:r>
        <w:t>④地表水平移动</w:t>
      </w:r>
    </w:p>
    <w:p>
      <w:pPr>
        <w:tabs>
          <w:tab w:val="left" w:pos="1132"/>
          <w:tab w:val="left" w:pos="1742"/>
        </w:tabs>
        <w:spacing w:before="0" w:line="112" w:lineRule="exact"/>
        <w:ind w:left="406" w:right="0" w:firstLine="0"/>
        <w:jc w:val="left"/>
        <w:rPr>
          <w:rFonts w:ascii="Times New Roman" w:hAnsi="Times New Roman"/>
          <w:sz w:val="24"/>
        </w:rPr>
      </w:pPr>
      <w:r>
        <w:br w:type="column"/>
      </w:r>
      <w:r>
        <w:rPr>
          <w:spacing w:val="-3"/>
          <w:sz w:val="24"/>
        </w:rPr>
        <w:t>＝</w:t>
      </w:r>
      <w:r>
        <w:rPr>
          <w:rFonts w:ascii="Times New Roman" w:hAnsi="Times New Roman"/>
          <w:i/>
          <w:spacing w:val="-3"/>
          <w:sz w:val="24"/>
        </w:rPr>
        <w:t>W</w:t>
      </w:r>
      <w:r>
        <w:rPr>
          <w:rFonts w:ascii="Times New Roman" w:hAnsi="Times New Roman"/>
          <w:i/>
          <w:spacing w:val="-3"/>
          <w:sz w:val="24"/>
        </w:rPr>
        <w:tab/>
      </w:r>
      <w:r>
        <w:rPr>
          <w:rFonts w:ascii="Symbol" w:hAnsi="Symbol"/>
          <w:sz w:val="24"/>
        </w:rPr>
        <w:t></w:t>
      </w:r>
      <w:r>
        <w:rPr>
          <w:rFonts w:ascii="Times New Roman" w:hAnsi="Times New Roman"/>
          <w:sz w:val="24"/>
        </w:rPr>
        <w:tab/>
      </w:r>
      <w:r>
        <w:rPr>
          <w:rFonts w:ascii="Times New Roman" w:hAnsi="Times New Roman"/>
          <w:spacing w:val="-20"/>
          <w:sz w:val="24"/>
        </w:rPr>
        <w:t>(</w:t>
      </w:r>
    </w:p>
    <w:p>
      <w:pPr>
        <w:spacing w:before="71"/>
        <w:ind w:left="0" w:right="459" w:firstLine="0"/>
        <w:jc w:val="right"/>
        <w:rPr>
          <w:rFonts w:ascii="Times New Roman"/>
          <w:i/>
          <w:sz w:val="14"/>
        </w:rPr>
      </w:pPr>
      <w:r>
        <w:rPr>
          <w:rFonts w:ascii="Times New Roman"/>
          <w:i/>
          <w:w w:val="102"/>
          <w:sz w:val="14"/>
        </w:rPr>
        <w:t>D</w:t>
      </w:r>
    </w:p>
    <w:p>
      <w:pPr>
        <w:spacing w:before="0" w:line="97" w:lineRule="exact"/>
        <w:ind w:left="1037" w:right="0" w:firstLine="0"/>
        <w:jc w:val="left"/>
        <w:rPr>
          <w:rFonts w:ascii="Times New Roman" w:hAnsi="Times New Roman"/>
          <w:i/>
          <w:sz w:val="24"/>
        </w:rPr>
      </w:pPr>
      <w:r>
        <w:br w:type="column"/>
      </w:r>
      <w:r>
        <w:rPr>
          <w:rFonts w:ascii="Symbol" w:hAnsi="Symbol"/>
          <w:sz w:val="24"/>
        </w:rPr>
        <w:t></w:t>
      </w:r>
      <w:r>
        <w:rPr>
          <w:rFonts w:ascii="Times New Roman" w:hAnsi="Times New Roman"/>
          <w:sz w:val="24"/>
        </w:rPr>
        <w:t>1)</w:t>
      </w:r>
      <w:r>
        <w:rPr>
          <w:rFonts w:ascii="Symbol" w:hAnsi="Symbol"/>
          <w:sz w:val="24"/>
        </w:rPr>
        <w:t></w:t>
      </w:r>
      <w:r>
        <w:rPr>
          <w:rFonts w:ascii="Times New Roman" w:hAnsi="Times New Roman"/>
          <w:i/>
          <w:sz w:val="24"/>
        </w:rPr>
        <w:t>e</w:t>
      </w:r>
    </w:p>
    <w:p>
      <w:pPr>
        <w:tabs>
          <w:tab w:val="left" w:pos="1160"/>
        </w:tabs>
        <w:spacing w:before="0" w:line="99" w:lineRule="exact"/>
        <w:ind w:left="571" w:right="0" w:firstLine="0"/>
        <w:jc w:val="left"/>
        <w:rPr>
          <w:rFonts w:ascii="Symbol" w:hAnsi="Symbol"/>
          <w:i/>
          <w:sz w:val="25"/>
        </w:rPr>
      </w:pPr>
      <w:r>
        <w:br w:type="column"/>
      </w:r>
      <w:r>
        <w:rPr>
          <w:rFonts w:ascii="Times New Roman" w:hAnsi="Times New Roman"/>
          <w:i/>
          <w:spacing w:val="4"/>
          <w:position w:val="8"/>
          <w:sz w:val="14"/>
        </w:rPr>
        <w:t>r</w:t>
      </w:r>
      <w:r>
        <w:rPr>
          <w:rFonts w:ascii="Times New Roman" w:hAnsi="Times New Roman"/>
          <w:spacing w:val="4"/>
          <w:position w:val="14"/>
          <w:sz w:val="10"/>
        </w:rPr>
        <w:t>2</w:t>
      </w:r>
      <w:r>
        <w:rPr>
          <w:rFonts w:ascii="Times New Roman" w:hAnsi="Times New Roman"/>
          <w:spacing w:val="4"/>
          <w:position w:val="14"/>
          <w:sz w:val="10"/>
        </w:rPr>
        <w:tab/>
      </w:r>
      <w:r>
        <w:rPr>
          <w:rFonts w:ascii="Symbol" w:hAnsi="Symbol"/>
          <w:spacing w:val="-12"/>
          <w:sz w:val="24"/>
        </w:rPr>
        <w:t></w:t>
      </w:r>
      <w:r>
        <w:rPr>
          <w:rFonts w:ascii="Times New Roman" w:hAnsi="Times New Roman"/>
          <w:i/>
          <w:spacing w:val="-12"/>
          <w:sz w:val="24"/>
        </w:rPr>
        <w:t>d</w:t>
      </w:r>
      <w:r>
        <w:rPr>
          <w:rFonts w:ascii="Symbol" w:hAnsi="Symbol"/>
          <w:i/>
          <w:spacing w:val="-12"/>
          <w:sz w:val="25"/>
        </w:rPr>
        <w:t></w:t>
      </w:r>
      <w:r>
        <w:rPr>
          <w:rFonts w:ascii="Symbol" w:hAnsi="Symbol"/>
          <w:spacing w:val="-12"/>
          <w:sz w:val="24"/>
        </w:rPr>
        <w:t></w:t>
      </w:r>
      <w:r>
        <w:rPr>
          <w:rFonts w:ascii="Times New Roman" w:hAnsi="Times New Roman"/>
          <w:i/>
          <w:spacing w:val="-12"/>
          <w:sz w:val="24"/>
        </w:rPr>
        <w:t>d</w:t>
      </w:r>
      <w:r>
        <w:rPr>
          <w:rFonts w:ascii="Symbol" w:hAnsi="Symbol"/>
          <w:i/>
          <w:spacing w:val="-12"/>
          <w:sz w:val="25"/>
        </w:rPr>
        <w:t></w:t>
      </w:r>
    </w:p>
    <w:p>
      <w:pPr>
        <w:spacing w:after="0" w:line="99" w:lineRule="exact"/>
        <w:jc w:val="left"/>
        <w:rPr>
          <w:rFonts w:ascii="Symbol" w:hAnsi="Symbol"/>
          <w:sz w:val="25"/>
        </w:rPr>
        <w:sectPr>
          <w:type w:val="continuous"/>
          <w:pgSz w:w="11910" w:h="16840"/>
          <w:pgMar w:top="1580" w:right="0" w:bottom="280" w:left="0" w:header="720" w:footer="720" w:gutter="0"/>
          <w:cols w:equalWidth="0" w:num="4">
            <w:col w:w="3587" w:space="40"/>
            <w:col w:w="1825" w:space="39"/>
            <w:col w:w="1558" w:space="39"/>
            <w:col w:w="4822"/>
          </w:cols>
        </w:sectPr>
      </w:pPr>
    </w:p>
    <w:p>
      <w:pPr>
        <w:pStyle w:val="9"/>
        <w:rPr>
          <w:rFonts w:ascii="Symbol" w:hAnsi="Symbol"/>
          <w:i/>
        </w:rPr>
      </w:pPr>
    </w:p>
    <w:p>
      <w:pPr>
        <w:pStyle w:val="9"/>
        <w:rPr>
          <w:rFonts w:ascii="Symbol" w:hAnsi="Symbol"/>
          <w:i/>
        </w:rPr>
      </w:pPr>
    </w:p>
    <w:p>
      <w:pPr>
        <w:pStyle w:val="9"/>
        <w:rPr>
          <w:rFonts w:ascii="Symbol" w:hAnsi="Symbol"/>
          <w:i/>
        </w:rPr>
      </w:pPr>
    </w:p>
    <w:p>
      <w:pPr>
        <w:pStyle w:val="9"/>
        <w:spacing w:before="157"/>
        <w:ind w:left="1898"/>
      </w:pPr>
      <w:r>
        <w:t>⑤地表水平变形</w:t>
      </w:r>
    </w:p>
    <w:p>
      <w:pPr>
        <w:pStyle w:val="9"/>
        <w:rPr>
          <w:sz w:val="23"/>
        </w:rPr>
      </w:pPr>
      <w:r>
        <w:br w:type="column"/>
      </w:r>
    </w:p>
    <w:p>
      <w:pPr>
        <w:spacing w:before="0"/>
        <w:ind w:left="179" w:right="0" w:firstLine="0"/>
        <w:jc w:val="left"/>
        <w:rPr>
          <w:rFonts w:ascii="Times New Roman" w:eastAsia="Times New Roman"/>
          <w:i/>
          <w:sz w:val="24"/>
        </w:rPr>
      </w:pPr>
      <w:r>
        <w:rPr>
          <w:rFonts w:ascii="Times New Roman" w:eastAsia="Times New Roman"/>
          <w:i/>
          <w:spacing w:val="14"/>
          <w:position w:val="6"/>
          <w:sz w:val="24"/>
        </w:rPr>
        <w:t>U</w:t>
      </w:r>
      <w:r>
        <w:rPr>
          <w:rFonts w:ascii="Times New Roman" w:eastAsia="Times New Roman"/>
          <w:i/>
          <w:spacing w:val="14"/>
          <w:sz w:val="14"/>
        </w:rPr>
        <w:t>X</w:t>
      </w:r>
      <w:r>
        <w:rPr>
          <w:rFonts w:ascii="Times New Roman" w:eastAsia="Times New Roman"/>
          <w:i/>
          <w:spacing w:val="1"/>
          <w:sz w:val="14"/>
        </w:rPr>
        <w:t xml:space="preserve"> </w:t>
      </w:r>
      <w:r>
        <w:rPr>
          <w:rFonts w:ascii="Times New Roman" w:eastAsia="Times New Roman"/>
          <w:sz w:val="14"/>
        </w:rPr>
        <w:t>(</w:t>
      </w:r>
      <w:r>
        <w:rPr>
          <w:rFonts w:ascii="Times New Roman" w:eastAsia="Times New Roman"/>
          <w:spacing w:val="-11"/>
          <w:sz w:val="14"/>
        </w:rPr>
        <w:t xml:space="preserve"> </w:t>
      </w:r>
      <w:r>
        <w:rPr>
          <w:rFonts w:ascii="Times New Roman" w:eastAsia="Times New Roman"/>
          <w:i/>
          <w:spacing w:val="4"/>
          <w:sz w:val="14"/>
        </w:rPr>
        <w:t>x</w:t>
      </w:r>
      <w:r>
        <w:rPr>
          <w:rFonts w:ascii="Times New Roman" w:eastAsia="Times New Roman"/>
          <w:spacing w:val="4"/>
          <w:sz w:val="14"/>
        </w:rPr>
        <w:t>,</w:t>
      </w:r>
      <w:r>
        <w:rPr>
          <w:rFonts w:ascii="Times New Roman" w:eastAsia="Times New Roman"/>
          <w:spacing w:val="-15"/>
          <w:sz w:val="14"/>
        </w:rPr>
        <w:t xml:space="preserve"> </w:t>
      </w:r>
      <w:r>
        <w:rPr>
          <w:rFonts w:ascii="Times New Roman" w:eastAsia="Times New Roman"/>
          <w:i/>
          <w:sz w:val="14"/>
        </w:rPr>
        <w:t>y</w:t>
      </w:r>
      <w:r>
        <w:rPr>
          <w:rFonts w:ascii="Times New Roman" w:eastAsia="Times New Roman"/>
          <w:i/>
          <w:spacing w:val="-17"/>
          <w:sz w:val="14"/>
        </w:rPr>
        <w:t xml:space="preserve"> </w:t>
      </w:r>
      <w:r>
        <w:rPr>
          <w:rFonts w:ascii="Times New Roman" w:eastAsia="Times New Roman"/>
          <w:spacing w:val="-13"/>
          <w:sz w:val="14"/>
        </w:rPr>
        <w:t>)</w:t>
      </w:r>
      <w:r>
        <w:rPr>
          <w:spacing w:val="-13"/>
          <w:position w:val="6"/>
          <w:sz w:val="24"/>
        </w:rPr>
        <w:t>＝</w:t>
      </w:r>
      <w:r>
        <w:rPr>
          <w:rFonts w:ascii="Times New Roman" w:eastAsia="Times New Roman"/>
          <w:i/>
          <w:spacing w:val="-13"/>
          <w:position w:val="6"/>
          <w:sz w:val="24"/>
        </w:rPr>
        <w:t>U</w:t>
      </w:r>
    </w:p>
    <w:p>
      <w:pPr>
        <w:pStyle w:val="9"/>
        <w:rPr>
          <w:rFonts w:ascii="Times New Roman"/>
          <w:i/>
          <w:sz w:val="16"/>
        </w:rPr>
      </w:pPr>
      <w:r>
        <w:br w:type="column"/>
      </w:r>
    </w:p>
    <w:p>
      <w:pPr>
        <w:pStyle w:val="9"/>
        <w:rPr>
          <w:rFonts w:ascii="Times New Roman"/>
          <w:i/>
          <w:sz w:val="16"/>
        </w:rPr>
      </w:pPr>
    </w:p>
    <w:p>
      <w:pPr>
        <w:spacing w:before="96"/>
        <w:ind w:left="-22" w:right="0" w:firstLine="0"/>
        <w:jc w:val="left"/>
        <w:rPr>
          <w:rFonts w:ascii="Times New Roman"/>
          <w:sz w:val="14"/>
        </w:rPr>
      </w:pPr>
      <w:r>
        <w:rPr>
          <w:rFonts w:ascii="Times New Roman"/>
          <w:sz w:val="14"/>
        </w:rPr>
        <w:t>max</w:t>
      </w:r>
    </w:p>
    <w:p>
      <w:pPr>
        <w:spacing w:before="250" w:line="438" w:lineRule="exact"/>
        <w:ind w:left="-2" w:right="0" w:firstLine="0"/>
        <w:jc w:val="center"/>
        <w:rPr>
          <w:rFonts w:ascii="Symbol" w:hAnsi="Symbol"/>
          <w:sz w:val="37"/>
        </w:rPr>
      </w:pPr>
      <w:r>
        <w:br w:type="column"/>
      </w:r>
      <w:r>
        <w:rPr>
          <w:rFonts w:ascii="Symbol" w:hAnsi="Symbol"/>
          <w:spacing w:val="5"/>
          <w:position w:val="9"/>
          <w:sz w:val="24"/>
        </w:rPr>
        <w:t></w:t>
      </w:r>
      <w:r>
        <w:rPr>
          <w:rFonts w:ascii="Symbol" w:hAnsi="Symbol"/>
          <w:spacing w:val="5"/>
          <w:sz w:val="37"/>
        </w:rPr>
        <w:t></w:t>
      </w:r>
    </w:p>
    <w:p>
      <w:pPr>
        <w:spacing w:before="0" w:line="146" w:lineRule="exact"/>
        <w:ind w:left="73" w:right="0" w:firstLine="0"/>
        <w:jc w:val="center"/>
        <w:rPr>
          <w:rFonts w:ascii="Times New Roman"/>
          <w:i/>
          <w:sz w:val="14"/>
        </w:rPr>
      </w:pPr>
      <w:r>
        <w:rPr>
          <w:rFonts w:ascii="Times New Roman"/>
          <w:i/>
          <w:w w:val="102"/>
          <w:sz w:val="14"/>
        </w:rPr>
        <w:t>D</w:t>
      </w:r>
    </w:p>
    <w:p>
      <w:pPr>
        <w:spacing w:before="127"/>
        <w:ind w:left="82" w:right="93" w:firstLine="0"/>
        <w:jc w:val="center"/>
        <w:rPr>
          <w:rFonts w:ascii="Times New Roman" w:hAnsi="Times New Roman"/>
          <w:sz w:val="24"/>
        </w:rPr>
      </w:pPr>
      <w:r>
        <w:br w:type="column"/>
      </w:r>
      <w:r>
        <w:rPr>
          <w:rFonts w:ascii="Times New Roman" w:hAnsi="Times New Roman"/>
          <w:spacing w:val="-32"/>
          <w:sz w:val="24"/>
        </w:rPr>
        <w:t>2</w:t>
      </w:r>
      <w:r>
        <w:rPr>
          <w:rFonts w:ascii="Symbol" w:hAnsi="Symbol"/>
          <w:i/>
          <w:spacing w:val="-32"/>
          <w:sz w:val="25"/>
        </w:rPr>
        <w:t></w:t>
      </w:r>
      <w:r>
        <w:rPr>
          <w:rFonts w:ascii="Times New Roman" w:hAnsi="Times New Roman"/>
          <w:spacing w:val="-32"/>
          <w:sz w:val="24"/>
        </w:rPr>
        <w:t>(</w:t>
      </w:r>
      <w:r>
        <w:rPr>
          <w:rFonts w:ascii="Symbol" w:hAnsi="Symbol"/>
          <w:i/>
          <w:spacing w:val="-32"/>
          <w:sz w:val="25"/>
        </w:rPr>
        <w:t></w:t>
      </w:r>
      <w:r>
        <w:rPr>
          <w:rFonts w:ascii="Symbol" w:hAnsi="Symbol"/>
          <w:spacing w:val="-32"/>
          <w:sz w:val="24"/>
        </w:rPr>
        <w:t></w:t>
      </w:r>
      <w:r>
        <w:rPr>
          <w:rFonts w:ascii="Times New Roman" w:hAnsi="Times New Roman"/>
          <w:spacing w:val="-32"/>
          <w:sz w:val="24"/>
        </w:rPr>
        <w:t xml:space="preserve"> </w:t>
      </w:r>
      <w:r>
        <w:rPr>
          <w:rFonts w:ascii="Times New Roman" w:hAnsi="Times New Roman"/>
          <w:i/>
          <w:sz w:val="24"/>
        </w:rPr>
        <w:t>X</w:t>
      </w:r>
      <w:r>
        <w:rPr>
          <w:rFonts w:ascii="Times New Roman" w:hAnsi="Times New Roman"/>
          <w:i/>
          <w:spacing w:val="-29"/>
          <w:sz w:val="24"/>
        </w:rPr>
        <w:t xml:space="preserve"> </w:t>
      </w:r>
      <w:r>
        <w:rPr>
          <w:rFonts w:ascii="Times New Roman" w:hAnsi="Times New Roman"/>
          <w:sz w:val="24"/>
        </w:rPr>
        <w:t>)</w:t>
      </w:r>
    </w:p>
    <w:p>
      <w:pPr>
        <w:pStyle w:val="9"/>
        <w:spacing w:before="8"/>
        <w:rPr>
          <w:rFonts w:ascii="Times New Roman"/>
          <w:sz w:val="2"/>
        </w:rPr>
      </w:pPr>
    </w:p>
    <w:p>
      <w:pPr>
        <w:pStyle w:val="9"/>
        <w:spacing w:line="20" w:lineRule="exact"/>
        <w:ind w:left="-31" w:right="-87"/>
        <w:rPr>
          <w:rFonts w:ascii="Times New Roman"/>
          <w:sz w:val="2"/>
        </w:rPr>
      </w:pPr>
      <w:r>
        <w:rPr>
          <w:rFonts w:ascii="Times New Roman"/>
          <w:sz w:val="2"/>
        </w:rPr>
        <mc:AlternateContent>
          <mc:Choice Requires="wpg">
            <w:drawing>
              <wp:inline distT="0" distB="0" distL="114300" distR="114300">
                <wp:extent cx="633095" cy="6985"/>
                <wp:effectExtent l="0" t="0" r="0" b="0"/>
                <wp:docPr id="123" name="组合 37"/>
                <wp:cNvGraphicFramePr/>
                <a:graphic xmlns:a="http://schemas.openxmlformats.org/drawingml/2006/main">
                  <a:graphicData uri="http://schemas.microsoft.com/office/word/2010/wordprocessingGroup">
                    <wpg:wgp>
                      <wpg:cNvGrpSpPr/>
                      <wpg:grpSpPr>
                        <a:xfrm>
                          <a:off x="0" y="0"/>
                          <a:ext cx="633095" cy="6985"/>
                          <a:chOff x="0" y="0"/>
                          <a:chExt cx="997" cy="11"/>
                        </a:xfrm>
                      </wpg:grpSpPr>
                      <wps:wsp>
                        <wps:cNvPr id="122" name="直线 38"/>
                        <wps:cNvSpPr/>
                        <wps:spPr>
                          <a:xfrm>
                            <a:off x="0" y="5"/>
                            <a:ext cx="996" cy="0"/>
                          </a:xfrm>
                          <a:prstGeom prst="line">
                            <a:avLst/>
                          </a:prstGeom>
                          <a:ln w="6452" cap="flat" cmpd="sng">
                            <a:solidFill>
                              <a:srgbClr val="000000"/>
                            </a:solidFill>
                            <a:prstDash val="solid"/>
                            <a:headEnd type="none" w="med" len="med"/>
                            <a:tailEnd type="none" w="med" len="med"/>
                          </a:ln>
                        </wps:spPr>
                        <wps:bodyPr upright="1"/>
                      </wps:wsp>
                    </wpg:wgp>
                  </a:graphicData>
                </a:graphic>
              </wp:inline>
            </w:drawing>
          </mc:Choice>
          <mc:Fallback>
            <w:pict>
              <v:group id="组合 37" o:spid="_x0000_s1026" o:spt="203" style="height:0.55pt;width:49.85pt;" coordsize="997,11" o:gfxdata="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W6WiZ0wAAAAIBAAAPAAAAAAAAAAEAIAAAACIAAABkcnMvZG93bnJldi54bWxQSwEC&#10;FAAUAAAACACHTuJALwZklDICAACzBAAADgAAAAAAAAABACAAAAAiAQAAZHJzL2Uyb0RvYy54bWxQ&#10;SwUGAAAAAAYABgBZAQAAxgUAAAAA&#10;">
                <o:lock v:ext="edit" aspectratio="f"/>
                <v:line id="直线 38" o:spid="_x0000_s1026" o:spt="20" style="position:absolute;left:0;top:5;height:0;width:996;" filled="f" stroked="t" coordsize="21600,21600" o:gfxdata="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MHLC7gAAADcAAAA&#10;DwAAAAAAAAABACAAAAAiAAAAZHJzL2Rvd25yZXYueG1sUEsBAhQAFAAAAAgAh07iQDMvBZ47AAAA&#10;OQAAABAAAAAAAAAAAQAgAAAABwEAAGRycy9zaGFwZXhtbC54bWxQSwUGAAAAAAYABgBbAQAAsQMA&#10;AAAA&#10;">
                  <v:fill on="f" focussize="0,0"/>
                  <v:stroke weight="0.508031496062992pt" color="#000000" joinstyle="round"/>
                  <v:imagedata o:title=""/>
                  <o:lock v:ext="edit" aspectratio="f"/>
                </v:line>
                <w10:wrap type="none"/>
                <w10:anchorlock/>
              </v:group>
            </w:pict>
          </mc:Fallback>
        </mc:AlternateContent>
      </w:r>
    </w:p>
    <w:p>
      <w:pPr>
        <w:spacing w:before="0"/>
        <w:ind w:left="59" w:right="93" w:firstLine="0"/>
        <w:jc w:val="center"/>
        <w:rPr>
          <w:rFonts w:ascii="Times New Roman"/>
          <w:sz w:val="14"/>
        </w:rPr>
      </w:pPr>
      <w:r>
        <w:rPr>
          <w:rFonts w:ascii="Times New Roman"/>
          <w:i/>
          <w:position w:val="-10"/>
          <w:sz w:val="24"/>
        </w:rPr>
        <w:t>r</w:t>
      </w:r>
      <w:r>
        <w:rPr>
          <w:rFonts w:ascii="Times New Roman"/>
          <w:sz w:val="14"/>
        </w:rPr>
        <w:t>2</w:t>
      </w:r>
    </w:p>
    <w:p>
      <w:pPr>
        <w:spacing w:before="103" w:line="172" w:lineRule="auto"/>
        <w:ind w:left="188" w:right="0" w:firstLine="0"/>
        <w:jc w:val="left"/>
        <w:rPr>
          <w:rFonts w:ascii="Times New Roman" w:hAnsi="Times New Roman"/>
          <w:sz w:val="14"/>
        </w:rPr>
      </w:pPr>
      <w:r>
        <w:br w:type="column"/>
      </w:r>
      <w:r>
        <w:rPr>
          <w:rFonts w:ascii="Symbol" w:hAnsi="Symbol"/>
          <w:position w:val="-8"/>
          <w:sz w:val="14"/>
        </w:rPr>
        <w:t></w:t>
      </w:r>
      <w:r>
        <w:rPr>
          <w:rFonts w:ascii="Symbol" w:hAnsi="Symbol"/>
          <w:i/>
          <w:position w:val="-8"/>
          <w:sz w:val="15"/>
        </w:rPr>
        <w:t></w:t>
      </w:r>
      <w:r>
        <w:rPr>
          <w:rFonts w:ascii="Times New Roman" w:hAnsi="Times New Roman"/>
          <w:sz w:val="14"/>
        </w:rPr>
        <w:t xml:space="preserve">( </w:t>
      </w:r>
      <w:r>
        <w:rPr>
          <w:rFonts w:ascii="Times New Roman" w:hAnsi="Times New Roman"/>
          <w:i/>
          <w:sz w:val="14"/>
        </w:rPr>
        <w:t>y</w:t>
      </w:r>
      <w:r>
        <w:rPr>
          <w:rFonts w:ascii="Symbol" w:hAnsi="Symbol"/>
          <w:sz w:val="14"/>
        </w:rPr>
        <w:t></w:t>
      </w:r>
      <w:r>
        <w:rPr>
          <w:rFonts w:ascii="Times New Roman" w:hAnsi="Times New Roman"/>
          <w:i/>
          <w:sz w:val="14"/>
        </w:rPr>
        <w:t xml:space="preserve">x </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5"/>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tabs>
          <w:tab w:val="left" w:pos="787"/>
        </w:tabs>
        <w:spacing w:before="0" w:line="260" w:lineRule="exact"/>
        <w:ind w:left="-8" w:right="0" w:firstLine="0"/>
        <w:jc w:val="left"/>
        <w:rPr>
          <w:rFonts w:ascii="Times New Roman" w:hAnsi="Times New Roman"/>
          <w:sz w:val="10"/>
        </w:rPr>
      </w:pPr>
      <w:r>
        <mc:AlternateContent>
          <mc:Choice Requires="wps">
            <w:drawing>
              <wp:anchor distT="0" distB="0" distL="114300" distR="114300" simplePos="0" relativeHeight="251703296" behindDoc="0" locked="0" layoutInCell="1" allowOverlap="1">
                <wp:simplePos x="0" y="0"/>
                <wp:positionH relativeFrom="page">
                  <wp:posOffset>4342130</wp:posOffset>
                </wp:positionH>
                <wp:positionV relativeFrom="paragraph">
                  <wp:posOffset>-20320</wp:posOffset>
                </wp:positionV>
                <wp:extent cx="612775" cy="0"/>
                <wp:effectExtent l="0" t="0" r="0" b="0"/>
                <wp:wrapNone/>
                <wp:docPr id="146" name="直线 39"/>
                <wp:cNvGraphicFramePr/>
                <a:graphic xmlns:a="http://schemas.openxmlformats.org/drawingml/2006/main">
                  <a:graphicData uri="http://schemas.microsoft.com/office/word/2010/wordprocessingShape">
                    <wps:wsp>
                      <wps:cNvSpPr/>
                      <wps:spPr>
                        <a:xfrm>
                          <a:off x="0" y="0"/>
                          <a:ext cx="612775" cy="0"/>
                        </a:xfrm>
                        <a:prstGeom prst="line">
                          <a:avLst/>
                        </a:prstGeom>
                        <a:ln w="3226" cap="flat" cmpd="sng">
                          <a:solidFill>
                            <a:srgbClr val="000000"/>
                          </a:solidFill>
                          <a:prstDash val="solid"/>
                          <a:headEnd type="none" w="med" len="med"/>
                          <a:tailEnd type="none" w="med" len="med"/>
                        </a:ln>
                      </wps:spPr>
                      <wps:bodyPr upright="1"/>
                    </wps:wsp>
                  </a:graphicData>
                </a:graphic>
              </wp:anchor>
            </w:drawing>
          </mc:Choice>
          <mc:Fallback>
            <w:pict>
              <v:line id="直线 39" o:spid="_x0000_s1026" o:spt="20" style="position:absolute;left:0pt;margin-left:341.9pt;margin-top:-1.6pt;height:0pt;width:48.25pt;mso-position-horizontal-relative:page;z-index:251703296;mso-width-relative:page;mso-height-relative:page;" filled="f" stroked="t" coordsize="21600,21600" o:gfxdata="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&#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c1Rgu1gAAAAkBAAAPAAAAAAAAAAEAIAAAACIAAABk&#10;cnMvZG93bnJldi54bWxQSwECFAAUAAAACACHTuJAhRjWps8BAACPAwAADgAAAAAAAAABACAAAAAl&#10;AQAAZHJzL2Uyb0RvYy54bWxQSwUGAAAAAAYABgBZAQAAZgUAAAAA&#10;">
                <v:fill on="f" focussize="0,0"/>
                <v:stroke weight="0.254015748031496pt" color="#000000" joinstyle="round"/>
                <v:imagedata o:title=""/>
                <o:lock v:ext="edit" aspectratio="f"/>
              </v:line>
            </w:pict>
          </mc:Fallback>
        </mc:AlternateContent>
      </w:r>
      <w:r>
        <w:rPr>
          <w:rFonts w:ascii="Symbol" w:hAnsi="Symbol"/>
          <w:spacing w:val="6"/>
          <w:sz w:val="24"/>
        </w:rPr>
        <w:t></w:t>
      </w:r>
      <w:r>
        <w:rPr>
          <w:rFonts w:ascii="Times New Roman" w:hAnsi="Times New Roman"/>
          <w:i/>
          <w:spacing w:val="6"/>
          <w:sz w:val="24"/>
        </w:rPr>
        <w:t>e</w:t>
      </w:r>
      <w:r>
        <w:rPr>
          <w:rFonts w:ascii="Times New Roman" w:hAnsi="Times New Roman"/>
          <w:i/>
          <w:spacing w:val="6"/>
          <w:sz w:val="24"/>
        </w:rPr>
        <w:tab/>
      </w:r>
      <w:r>
        <w:rPr>
          <w:rFonts w:ascii="Times New Roman" w:hAnsi="Times New Roman"/>
          <w:i/>
          <w:spacing w:val="3"/>
          <w:position w:val="8"/>
          <w:sz w:val="14"/>
        </w:rPr>
        <w:t>r</w:t>
      </w:r>
      <w:r>
        <w:rPr>
          <w:rFonts w:ascii="Times New Roman" w:hAnsi="Times New Roman"/>
          <w:spacing w:val="3"/>
          <w:position w:val="14"/>
          <w:sz w:val="10"/>
        </w:rPr>
        <w:t>2</w:t>
      </w:r>
    </w:p>
    <w:p>
      <w:pPr>
        <w:pStyle w:val="9"/>
        <w:spacing w:before="6"/>
        <w:rPr>
          <w:rFonts w:ascii="Times New Roman"/>
        </w:rPr>
      </w:pPr>
      <w:r>
        <w:br w:type="column"/>
      </w:r>
    </w:p>
    <w:p>
      <w:pPr>
        <w:spacing w:before="0"/>
        <w:ind w:left="26" w:right="0" w:firstLine="0"/>
        <w:jc w:val="left"/>
        <w:rPr>
          <w:rFonts w:ascii="Symbol" w:hAnsi="Symbol"/>
          <w:i/>
          <w:sz w:val="25"/>
        </w:rPr>
      </w:pPr>
      <w:r>
        <w:rPr>
          <w:rFonts w:ascii="Symbol" w:hAnsi="Symbol"/>
          <w:sz w:val="24"/>
        </w:rPr>
        <w:t></w:t>
      </w:r>
      <w:r>
        <w:rPr>
          <w:rFonts w:ascii="Times New Roman" w:hAnsi="Times New Roman"/>
          <w:i/>
          <w:sz w:val="24"/>
        </w:rPr>
        <w:t>d</w:t>
      </w:r>
      <w:r>
        <w:rPr>
          <w:rFonts w:ascii="Symbol" w:hAnsi="Symbol"/>
          <w:i/>
          <w:sz w:val="25"/>
        </w:rPr>
        <w:t></w:t>
      </w:r>
      <w:r>
        <w:rPr>
          <w:rFonts w:ascii="Symbol" w:hAnsi="Symbol"/>
          <w:sz w:val="24"/>
        </w:rPr>
        <w:t></w:t>
      </w:r>
      <w:r>
        <w:rPr>
          <w:rFonts w:ascii="Times New Roman" w:hAnsi="Times New Roman"/>
          <w:i/>
          <w:sz w:val="24"/>
        </w:rPr>
        <w:t>d</w:t>
      </w:r>
      <w:r>
        <w:rPr>
          <w:rFonts w:ascii="Symbol" w:hAnsi="Symbol"/>
          <w:i/>
          <w:sz w:val="25"/>
        </w:rPr>
        <w:t></w:t>
      </w:r>
    </w:p>
    <w:p>
      <w:pPr>
        <w:spacing w:after="0"/>
        <w:jc w:val="left"/>
        <w:rPr>
          <w:rFonts w:ascii="Symbol" w:hAnsi="Symbol"/>
          <w:sz w:val="25"/>
        </w:rPr>
        <w:sectPr>
          <w:type w:val="continuous"/>
          <w:pgSz w:w="11910" w:h="16840"/>
          <w:pgMar w:top="1580" w:right="0" w:bottom="280" w:left="0" w:header="720" w:footer="720" w:gutter="0"/>
          <w:cols w:equalWidth="0" w:num="7">
            <w:col w:w="3579" w:space="40"/>
            <w:col w:w="1225" w:space="39"/>
            <w:col w:w="226" w:space="39"/>
            <w:col w:w="282" w:space="40"/>
            <w:col w:w="962" w:space="39"/>
            <w:col w:w="1314" w:space="39"/>
            <w:col w:w="4086"/>
          </w:cols>
        </w:sectPr>
      </w:pPr>
    </w:p>
    <w:p>
      <w:pPr>
        <w:spacing w:before="114" w:line="135" w:lineRule="exact"/>
        <w:ind w:left="0" w:right="0" w:firstLine="0"/>
        <w:jc w:val="right"/>
        <w:rPr>
          <w:rFonts w:ascii="Times New Roman" w:hAnsi="Times New Roman"/>
          <w:sz w:val="14"/>
        </w:rPr>
      </w:pPr>
      <w:r>
        <w:rPr>
          <w:rFonts w:ascii="Times New Roman" w:hAnsi="Times New Roman"/>
          <w:spacing w:val="-17"/>
          <w:sz w:val="24"/>
        </w:rPr>
        <w:t>2</w:t>
      </w:r>
      <w:r>
        <w:rPr>
          <w:rFonts w:ascii="Symbol" w:hAnsi="Symbol"/>
          <w:i/>
          <w:spacing w:val="-17"/>
          <w:sz w:val="26"/>
        </w:rPr>
        <w:t></w:t>
      </w:r>
      <w:r>
        <w:rPr>
          <w:rFonts w:ascii="Times New Roman" w:hAnsi="Times New Roman"/>
          <w:i/>
          <w:spacing w:val="-17"/>
          <w:sz w:val="26"/>
        </w:rPr>
        <w:t xml:space="preserve"> </w:t>
      </w:r>
      <w:r>
        <w:rPr>
          <w:rFonts w:ascii="Times New Roman" w:hAnsi="Times New Roman"/>
          <w:spacing w:val="-36"/>
          <w:sz w:val="24"/>
        </w:rPr>
        <w:t>2</w:t>
      </w:r>
      <w:r>
        <w:rPr>
          <w:rFonts w:ascii="Symbol" w:hAnsi="Symbol"/>
          <w:i/>
          <w:spacing w:val="-36"/>
          <w:sz w:val="26"/>
        </w:rPr>
        <w:t></w:t>
      </w:r>
      <w:r>
        <w:rPr>
          <w:rFonts w:ascii="Times New Roman" w:hAnsi="Times New Roman"/>
          <w:spacing w:val="-36"/>
          <w:sz w:val="24"/>
        </w:rPr>
        <w:t>(</w:t>
      </w:r>
      <w:r>
        <w:rPr>
          <w:rFonts w:ascii="Symbol" w:hAnsi="Symbol"/>
          <w:i/>
          <w:spacing w:val="-36"/>
          <w:sz w:val="26"/>
        </w:rPr>
        <w:t></w:t>
      </w:r>
      <w:r>
        <w:rPr>
          <w:rFonts w:ascii="Symbol" w:hAnsi="Symbol"/>
          <w:spacing w:val="-36"/>
          <w:sz w:val="24"/>
        </w:rPr>
        <w:t></w:t>
      </w:r>
      <w:r>
        <w:rPr>
          <w:rFonts w:ascii="Times New Roman" w:hAnsi="Times New Roman"/>
          <w:spacing w:val="-36"/>
          <w:sz w:val="24"/>
        </w:rPr>
        <w:t xml:space="preserve"> </w:t>
      </w:r>
      <w:r>
        <w:rPr>
          <w:rFonts w:ascii="Times New Roman" w:hAnsi="Times New Roman"/>
          <w:i/>
          <w:spacing w:val="6"/>
          <w:sz w:val="24"/>
        </w:rPr>
        <w:t>x</w:t>
      </w:r>
      <w:r>
        <w:rPr>
          <w:rFonts w:ascii="Times New Roman" w:hAnsi="Times New Roman"/>
          <w:spacing w:val="6"/>
          <w:sz w:val="24"/>
        </w:rPr>
        <w:t>)</w:t>
      </w:r>
      <w:r>
        <w:rPr>
          <w:rFonts w:ascii="Times New Roman" w:hAnsi="Times New Roman"/>
          <w:spacing w:val="6"/>
          <w:position w:val="11"/>
          <w:sz w:val="14"/>
        </w:rPr>
        <w:t>2</w:t>
      </w:r>
    </w:p>
    <w:p>
      <w:pPr>
        <w:spacing w:before="84" w:line="165" w:lineRule="exact"/>
        <w:ind w:left="562" w:right="0" w:firstLine="0"/>
        <w:jc w:val="left"/>
        <w:rPr>
          <w:rFonts w:ascii="Times New Roman" w:hAnsi="Times New Roman"/>
          <w:sz w:val="14"/>
        </w:rPr>
      </w:pPr>
      <w:r>
        <w:br w:type="column"/>
      </w:r>
      <w:r>
        <w:rPr>
          <w:rFonts w:ascii="Symbol" w:hAnsi="Symbol"/>
          <w:position w:val="-8"/>
          <w:sz w:val="14"/>
        </w:rPr>
        <w:t></w:t>
      </w:r>
      <w:r>
        <w:rPr>
          <w:rFonts w:ascii="Symbol" w:hAnsi="Symbol"/>
          <w:i/>
          <w:position w:val="-8"/>
          <w:sz w:val="15"/>
        </w:rPr>
        <w:t></w:t>
      </w:r>
      <w:r>
        <w:rPr>
          <w:rFonts w:ascii="Times New Roman" w:hAnsi="Times New Roman"/>
          <w:sz w:val="14"/>
        </w:rPr>
        <w:t>(</w:t>
      </w:r>
      <w:r>
        <w:rPr>
          <w:rFonts w:ascii="Symbol" w:hAnsi="Symbol"/>
          <w:i/>
          <w:sz w:val="15"/>
        </w:rPr>
        <w:t></w:t>
      </w:r>
      <w:r>
        <w:rPr>
          <w:rFonts w:ascii="Symbol" w:hAnsi="Symbol"/>
          <w:sz w:val="14"/>
        </w:rPr>
        <w:t></w:t>
      </w:r>
      <w:r>
        <w:rPr>
          <w:rFonts w:ascii="Times New Roman" w:hAnsi="Times New Roman"/>
          <w:i/>
          <w:sz w:val="14"/>
        </w:rPr>
        <w:t xml:space="preserve">x </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5"/>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pStyle w:val="9"/>
        <w:spacing w:before="3"/>
        <w:rPr>
          <w:rFonts w:ascii="Times New Roman"/>
          <w:sz w:val="3"/>
        </w:rPr>
      </w:pPr>
    </w:p>
    <w:p>
      <w:pPr>
        <w:pStyle w:val="9"/>
        <w:spacing w:line="20" w:lineRule="exact"/>
        <w:ind w:left="737"/>
        <w:rPr>
          <w:rFonts w:ascii="Times New Roman"/>
          <w:sz w:val="2"/>
        </w:rPr>
      </w:pPr>
      <w:r>
        <w:rPr>
          <w:rFonts w:ascii="Times New Roman"/>
          <w:sz w:val="2"/>
        </w:rPr>
        <mc:AlternateContent>
          <mc:Choice Requires="wpg">
            <w:drawing>
              <wp:inline distT="0" distB="0" distL="114300" distR="114300">
                <wp:extent cx="607695" cy="3810"/>
                <wp:effectExtent l="0" t="0" r="0" b="0"/>
                <wp:docPr id="125" name="组合 40"/>
                <wp:cNvGraphicFramePr/>
                <a:graphic xmlns:a="http://schemas.openxmlformats.org/drawingml/2006/main">
                  <a:graphicData uri="http://schemas.microsoft.com/office/word/2010/wordprocessingGroup">
                    <wpg:wgp>
                      <wpg:cNvGrpSpPr/>
                      <wpg:grpSpPr>
                        <a:xfrm>
                          <a:off x="0" y="0"/>
                          <a:ext cx="607695" cy="3810"/>
                          <a:chOff x="0" y="0"/>
                          <a:chExt cx="957" cy="6"/>
                        </a:xfrm>
                      </wpg:grpSpPr>
                      <wps:wsp>
                        <wps:cNvPr id="124" name="直线 41"/>
                        <wps:cNvSpPr/>
                        <wps:spPr>
                          <a:xfrm>
                            <a:off x="0" y="3"/>
                            <a:ext cx="957" cy="0"/>
                          </a:xfrm>
                          <a:prstGeom prst="line">
                            <a:avLst/>
                          </a:prstGeom>
                          <a:ln w="3226" cap="flat" cmpd="sng">
                            <a:solidFill>
                              <a:srgbClr val="000000"/>
                            </a:solidFill>
                            <a:prstDash val="solid"/>
                            <a:headEnd type="none" w="med" len="med"/>
                            <a:tailEnd type="none" w="med" len="med"/>
                          </a:ln>
                        </wps:spPr>
                        <wps:bodyPr upright="1"/>
                      </wps:wsp>
                    </wpg:wgp>
                  </a:graphicData>
                </a:graphic>
              </wp:inline>
            </w:drawing>
          </mc:Choice>
          <mc:Fallback>
            <w:pict>
              <v:group id="组合 40" o:spid="_x0000_s1026" o:spt="203" style="height:0.3pt;width:47.85pt;" coordsize="957,6" o:gfxdata="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B/cU9MAAAABAQAADwAAAAAAAAABACAAAAAiAAAAZHJzL2Rvd25yZXYueG1sUEsBAhQA&#10;FAAAAAgAh07iQD9ckrAwAgAAsgQAAA4AAAAAAAAAAQAgAAAAIgEAAGRycy9lMm9Eb2MueG1sUEsF&#10;BgAAAAAGAAYAWQEAAMQFAAAAAA==&#10;">
                <o:lock v:ext="edit" aspectratio="f"/>
                <v:line id="直线 41" o:spid="_x0000_s1026" o:spt="20" style="position:absolute;left:0;top:3;height:0;width:957;" filled="f" stroked="t" coordsize="21600,21600" o:gfxdata="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ZOEb4A&#10;AADcAAAADwAAAAAAAAABACAAAAAiAAAAZHJzL2Rvd25yZXYueG1sUEsBAhQAFAAAAAgAh07iQDMv&#10;BZ47AAAAOQAAABAAAAAAAAAAAQAgAAAADQEAAGRycy9zaGFwZXhtbC54bWxQSwUGAAAAAAYABgBb&#10;AQAAtwMAAAAA&#10;">
                  <v:fill on="f" focussize="0,0"/>
                  <v:stroke weight="0.254015748031496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580" w:right="0" w:bottom="280" w:left="0" w:header="720" w:footer="720" w:gutter="0"/>
          <w:cols w:equalWidth="0" w:num="2">
            <w:col w:w="6424" w:space="40"/>
            <w:col w:w="5446"/>
          </w:cols>
        </w:sectPr>
      </w:pPr>
    </w:p>
    <w:p>
      <w:pPr>
        <w:spacing w:before="0" w:line="178" w:lineRule="exact"/>
        <w:ind w:left="0" w:right="0" w:firstLine="0"/>
        <w:jc w:val="right"/>
        <w:rPr>
          <w:rFonts w:ascii="Times New Roman"/>
          <w:sz w:val="14"/>
        </w:rPr>
      </w:pPr>
      <w:r>
        <w:rPr>
          <w:rFonts w:ascii="Times New Roman"/>
          <w:i/>
          <w:sz w:val="14"/>
        </w:rPr>
        <w:t xml:space="preserve">X </w:t>
      </w:r>
      <w:r>
        <w:rPr>
          <w:rFonts w:ascii="Times New Roman"/>
          <w:sz w:val="14"/>
        </w:rPr>
        <w:t xml:space="preserve">( </w:t>
      </w:r>
      <w:r>
        <w:rPr>
          <w:rFonts w:ascii="Times New Roman"/>
          <w:i/>
          <w:sz w:val="14"/>
        </w:rPr>
        <w:t>x</w:t>
      </w:r>
      <w:r>
        <w:rPr>
          <w:rFonts w:ascii="Times New Roman"/>
          <w:sz w:val="14"/>
        </w:rPr>
        <w:t xml:space="preserve">, </w:t>
      </w:r>
      <w:r>
        <w:rPr>
          <w:rFonts w:ascii="Times New Roman"/>
          <w:i/>
          <w:sz w:val="14"/>
        </w:rPr>
        <w:t xml:space="preserve">y </w:t>
      </w:r>
      <w:r>
        <w:rPr>
          <w:rFonts w:ascii="Times New Roman"/>
          <w:sz w:val="14"/>
        </w:rPr>
        <w:t>)</w:t>
      </w:r>
    </w:p>
    <w:p>
      <w:pPr>
        <w:spacing w:before="0" w:line="178" w:lineRule="exact"/>
        <w:ind w:left="380" w:right="0" w:firstLine="0"/>
        <w:jc w:val="left"/>
        <w:rPr>
          <w:rFonts w:ascii="Times New Roman"/>
          <w:sz w:val="14"/>
        </w:rPr>
      </w:pPr>
      <w:r>
        <w:br w:type="column"/>
      </w:r>
      <w:r>
        <w:rPr>
          <w:rFonts w:ascii="Times New Roman"/>
          <w:sz w:val="14"/>
        </w:rPr>
        <w:t>max</w:t>
      </w:r>
    </w:p>
    <w:p>
      <w:pPr>
        <w:tabs>
          <w:tab w:val="left" w:pos="1107"/>
        </w:tabs>
        <w:spacing w:before="0" w:line="23" w:lineRule="exact"/>
        <w:ind w:left="76" w:right="0" w:firstLine="0"/>
        <w:jc w:val="left"/>
        <w:rPr>
          <w:rFonts w:ascii="Times New Roman" w:hAnsi="Times New Roman"/>
          <w:sz w:val="14"/>
        </w:rPr>
      </w:pPr>
      <w:r>
        <w:br w:type="column"/>
      </w:r>
      <w:r>
        <w:rPr>
          <w:rFonts w:ascii="Symbol" w:hAnsi="Symbol"/>
          <w:sz w:val="37"/>
        </w:rPr>
        <w:t></w:t>
      </w:r>
      <w:r>
        <w:rPr>
          <w:rFonts w:ascii="Times New Roman" w:hAnsi="Times New Roman"/>
          <w:spacing w:val="-32"/>
          <w:sz w:val="37"/>
        </w:rPr>
        <w:t xml:space="preserve"> </w:t>
      </w:r>
      <w:r>
        <w:rPr>
          <w:rFonts w:ascii="Times New Roman" w:hAnsi="Times New Roman"/>
          <w:i/>
          <w:spacing w:val="9"/>
          <w:position w:val="-9"/>
          <w:sz w:val="24"/>
        </w:rPr>
        <w:t>r</w:t>
      </w:r>
      <w:r>
        <w:rPr>
          <w:rFonts w:ascii="Times New Roman" w:hAnsi="Times New Roman"/>
          <w:spacing w:val="9"/>
          <w:position w:val="1"/>
          <w:sz w:val="14"/>
        </w:rPr>
        <w:t>2</w:t>
      </w:r>
      <w:r>
        <w:rPr>
          <w:rFonts w:ascii="Times New Roman" w:hAnsi="Times New Roman"/>
          <w:spacing w:val="9"/>
          <w:position w:val="1"/>
          <w:sz w:val="14"/>
        </w:rPr>
        <w:tab/>
      </w:r>
      <w:r>
        <w:rPr>
          <w:rFonts w:ascii="Times New Roman" w:hAnsi="Times New Roman"/>
          <w:i/>
          <w:spacing w:val="9"/>
          <w:position w:val="-9"/>
          <w:sz w:val="24"/>
        </w:rPr>
        <w:t>r</w:t>
      </w:r>
      <w:r>
        <w:rPr>
          <w:rFonts w:ascii="Times New Roman" w:hAnsi="Times New Roman"/>
          <w:spacing w:val="9"/>
          <w:position w:val="1"/>
          <w:sz w:val="14"/>
        </w:rPr>
        <w:t>2</w:t>
      </w:r>
    </w:p>
    <w:p>
      <w:pPr>
        <w:pStyle w:val="9"/>
        <w:spacing w:before="5"/>
        <w:rPr>
          <w:rFonts w:ascii="Times New Roman"/>
          <w:sz w:val="11"/>
        </w:rPr>
      </w:pPr>
    </w:p>
    <w:p>
      <w:pPr>
        <w:pStyle w:val="9"/>
        <w:spacing w:line="20" w:lineRule="exact"/>
        <w:ind w:left="287"/>
        <w:rPr>
          <w:rFonts w:ascii="Times New Roman"/>
          <w:sz w:val="2"/>
        </w:rPr>
      </w:pPr>
      <w:r>
        <w:rPr>
          <w:rFonts w:ascii="Times New Roman"/>
          <w:sz w:val="2"/>
        </w:rPr>
        <mc:AlternateContent>
          <mc:Choice Requires="wpg">
            <w:drawing>
              <wp:inline distT="0" distB="0" distL="114300" distR="114300">
                <wp:extent cx="191135" cy="6985"/>
                <wp:effectExtent l="0" t="0" r="0" b="0"/>
                <wp:docPr id="127" name="组合 42"/>
                <wp:cNvGraphicFramePr/>
                <a:graphic xmlns:a="http://schemas.openxmlformats.org/drawingml/2006/main">
                  <a:graphicData uri="http://schemas.microsoft.com/office/word/2010/wordprocessingGroup">
                    <wpg:wgp>
                      <wpg:cNvGrpSpPr/>
                      <wpg:grpSpPr>
                        <a:xfrm>
                          <a:off x="0" y="0"/>
                          <a:ext cx="191135" cy="6985"/>
                          <a:chOff x="0" y="0"/>
                          <a:chExt cx="301" cy="11"/>
                        </a:xfrm>
                      </wpg:grpSpPr>
                      <wps:wsp>
                        <wps:cNvPr id="126" name="直线 43"/>
                        <wps:cNvSpPr/>
                        <wps:spPr>
                          <a:xfrm>
                            <a:off x="0" y="5"/>
                            <a:ext cx="301" cy="0"/>
                          </a:xfrm>
                          <a:prstGeom prst="line">
                            <a:avLst/>
                          </a:prstGeom>
                          <a:ln w="6439" cap="flat" cmpd="sng">
                            <a:solidFill>
                              <a:srgbClr val="000000"/>
                            </a:solidFill>
                            <a:prstDash val="solid"/>
                            <a:headEnd type="none" w="med" len="med"/>
                            <a:tailEnd type="none" w="med" len="med"/>
                          </a:ln>
                        </wps:spPr>
                        <wps:bodyPr upright="1"/>
                      </wps:wsp>
                    </wpg:wgp>
                  </a:graphicData>
                </a:graphic>
              </wp:inline>
            </w:drawing>
          </mc:Choice>
          <mc:Fallback>
            <w:pict>
              <v:group id="组合 42" o:spid="_x0000_s1026" o:spt="203" style="height:0.55pt;width:15.05pt;" coordsize="301,11" o:gfxdata="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63wE0gAAAAIBAAAPAAAAAAAAAAEAIAAAACIAAABkcnMvZG93bnJldi54bWxQSwECFAAU&#10;AAAACACHTuJAFRSYODACAACzBAAADgAAAAAAAAABACAAAAAhAQAAZHJzL2Uyb0RvYy54bWxQSwUG&#10;AAAAAAYABgBZAQAAwwUAAAAA&#10;">
                <o:lock v:ext="edit" aspectratio="f"/>
                <v:line id="直线 43" o:spid="_x0000_s1026" o:spt="20" style="position:absolute;left:0;top:5;height:0;width:301;" filled="f" stroked="t" coordsize="21600,21600" o:gfxdata="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tf1jbsAAADc&#10;AAAADwAAAAAAAAABACAAAAAiAAAAZHJzL2Rvd25yZXYueG1sUEsBAhQAFAAAAAgAh07iQDMvBZ47&#10;AAAAOQAAABAAAAAAAAAAAQAgAAAACgEAAGRycy9zaGFwZXhtbC54bWxQSwUGAAAAAAYABgBbAQAA&#10;tAMAAAAA&#10;">
                  <v:fill on="f" focussize="0,0"/>
                  <v:stroke weight="0.507007874015748pt" color="#000000" joinstyle="round"/>
                  <v:imagedata o:title=""/>
                  <o:lock v:ext="edit" aspectratio="f"/>
                </v:line>
                <w10:wrap type="none"/>
                <w10:anchorlock/>
              </v:group>
            </w:pict>
          </mc:Fallback>
        </mc:AlternateContent>
      </w:r>
      <w:r>
        <w:rPr>
          <w:rFonts w:ascii="Times New Roman"/>
          <w:spacing w:val="76"/>
          <w:sz w:val="2"/>
        </w:rPr>
        <w:t xml:space="preserve"> </w:t>
      </w:r>
      <w:r>
        <w:rPr>
          <w:rFonts w:ascii="Times New Roman"/>
          <w:spacing w:val="76"/>
          <w:sz w:val="2"/>
        </w:rPr>
        <mc:AlternateContent>
          <mc:Choice Requires="wpg">
            <w:drawing>
              <wp:inline distT="0" distB="0" distL="114300" distR="114300">
                <wp:extent cx="652145" cy="6985"/>
                <wp:effectExtent l="0" t="0" r="0" b="0"/>
                <wp:docPr id="129" name="组合 44"/>
                <wp:cNvGraphicFramePr/>
                <a:graphic xmlns:a="http://schemas.openxmlformats.org/drawingml/2006/main">
                  <a:graphicData uri="http://schemas.microsoft.com/office/word/2010/wordprocessingGroup">
                    <wpg:wgp>
                      <wpg:cNvGrpSpPr/>
                      <wpg:grpSpPr>
                        <a:xfrm>
                          <a:off x="0" y="0"/>
                          <a:ext cx="652145" cy="6985"/>
                          <a:chOff x="0" y="0"/>
                          <a:chExt cx="1027" cy="11"/>
                        </a:xfrm>
                      </wpg:grpSpPr>
                      <wps:wsp>
                        <wps:cNvPr id="128" name="直线 45"/>
                        <wps:cNvSpPr/>
                        <wps:spPr>
                          <a:xfrm>
                            <a:off x="0" y="5"/>
                            <a:ext cx="1026" cy="0"/>
                          </a:xfrm>
                          <a:prstGeom prst="line">
                            <a:avLst/>
                          </a:prstGeom>
                          <a:ln w="6439" cap="flat" cmpd="sng">
                            <a:solidFill>
                              <a:srgbClr val="000000"/>
                            </a:solidFill>
                            <a:prstDash val="solid"/>
                            <a:headEnd type="none" w="med" len="med"/>
                            <a:tailEnd type="none" w="med" len="med"/>
                          </a:ln>
                        </wps:spPr>
                        <wps:bodyPr upright="1"/>
                      </wps:wsp>
                    </wpg:wgp>
                  </a:graphicData>
                </a:graphic>
              </wp:inline>
            </w:drawing>
          </mc:Choice>
          <mc:Fallback>
            <w:pict>
              <v:group id="组合 44" o:spid="_x0000_s1026" o:spt="203" style="height:0.55pt;width:51.35pt;" coordsize="1027,11" o:gfxdata="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tMOoy1AAAAAMBAAAPAAAAAAAAAAEAIAAAACIAAABkcnMvZG93bnJldi54bWxQ&#10;SwECFAAUAAAACACHTuJAvjs0QDQCAAC1BAAADgAAAAAAAAABACAAAAAjAQAAZHJzL2Uyb0RvYy54&#10;bWxQSwUGAAAAAAYABgBZAQAAyQUAAAAA&#10;">
                <o:lock v:ext="edit" aspectratio="f"/>
                <v:line id="直线 45" o:spid="_x0000_s1026" o:spt="20" style="position:absolute;left:0;top:5;height:0;width:1026;" filled="f" stroked="t" coordsize="21600,21600" o:gfxdata="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ExGS/&#10;AAAA3AAAAA8AAAAAAAAAAQAgAAAAIgAAAGRycy9kb3ducmV2LnhtbFBLAQIUABQAAAAIAIdO4kAz&#10;LwWeOwAAADkAAAAQAAAAAAAAAAEAIAAAAA4BAABkcnMvc2hhcGV4bWwueG1sUEsFBgAAAAAGAAYA&#10;WwEAALgDAAAAAA==&#10;">
                  <v:fill on="f" focussize="0,0"/>
                  <v:stroke weight="0.507007874015748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580" w:right="0" w:bottom="280" w:left="0" w:header="720" w:footer="720" w:gutter="0"/>
          <w:cols w:equalWidth="0" w:num="3">
            <w:col w:w="4029" w:space="40"/>
            <w:col w:w="629" w:space="39"/>
            <w:col w:w="7173"/>
          </w:cols>
        </w:sectPr>
      </w:pPr>
    </w:p>
    <w:p>
      <w:pPr>
        <w:tabs>
          <w:tab w:val="left" w:pos="4014"/>
          <w:tab w:val="left" w:pos="4734"/>
          <w:tab w:val="left" w:pos="5341"/>
        </w:tabs>
        <w:spacing w:before="0" w:line="113" w:lineRule="exact"/>
        <w:ind w:left="3435" w:right="0" w:firstLine="0"/>
        <w:jc w:val="left"/>
        <w:rPr>
          <w:rFonts w:ascii="Times New Roman" w:hAnsi="Times New Roman"/>
          <w:sz w:val="24"/>
        </w:rPr>
      </w:pPr>
      <w:r>
        <w:rPr>
          <w:rFonts w:ascii="Symbol" w:hAnsi="Symbol"/>
          <w:i/>
          <w:sz w:val="26"/>
        </w:rPr>
        <w:t></w:t>
      </w:r>
      <w:r>
        <w:rPr>
          <w:rFonts w:ascii="Times New Roman" w:hAnsi="Times New Roman"/>
          <w:sz w:val="26"/>
        </w:rPr>
        <w:tab/>
      </w:r>
      <w:r>
        <w:rPr>
          <w:spacing w:val="-4"/>
          <w:sz w:val="24"/>
        </w:rPr>
        <w:t>＝</w:t>
      </w:r>
      <w:r>
        <w:rPr>
          <w:rFonts w:ascii="Times New Roman" w:hAnsi="Times New Roman"/>
          <w:i/>
          <w:spacing w:val="-4"/>
          <w:sz w:val="24"/>
        </w:rPr>
        <w:t>U</w:t>
      </w:r>
      <w:r>
        <w:rPr>
          <w:rFonts w:ascii="Times New Roman" w:hAnsi="Times New Roman"/>
          <w:i/>
          <w:spacing w:val="-4"/>
          <w:sz w:val="24"/>
        </w:rPr>
        <w:tab/>
      </w:r>
      <w:r>
        <w:rPr>
          <w:rFonts w:ascii="Symbol" w:hAnsi="Symbol"/>
          <w:sz w:val="24"/>
        </w:rPr>
        <w:t></w:t>
      </w:r>
      <w:r>
        <w:rPr>
          <w:rFonts w:ascii="Times New Roman" w:hAnsi="Times New Roman"/>
          <w:sz w:val="24"/>
        </w:rPr>
        <w:tab/>
      </w:r>
      <w:r>
        <w:rPr>
          <w:rFonts w:ascii="Times New Roman" w:hAnsi="Times New Roman"/>
          <w:spacing w:val="-20"/>
          <w:sz w:val="24"/>
        </w:rPr>
        <w:t>(</w:t>
      </w:r>
    </w:p>
    <w:p>
      <w:pPr>
        <w:spacing w:before="72"/>
        <w:ind w:left="0" w:right="457" w:firstLine="0"/>
        <w:jc w:val="right"/>
        <w:rPr>
          <w:rFonts w:ascii="Times New Roman"/>
          <w:i/>
          <w:sz w:val="14"/>
        </w:rPr>
      </w:pPr>
      <w:r>
        <w:rPr>
          <w:rFonts w:ascii="Times New Roman"/>
          <w:i/>
          <w:w w:val="102"/>
          <w:sz w:val="14"/>
        </w:rPr>
        <w:t>D</w:t>
      </w:r>
    </w:p>
    <w:p>
      <w:pPr>
        <w:spacing w:before="0" w:line="98" w:lineRule="exact"/>
        <w:ind w:left="1032" w:right="0" w:firstLine="0"/>
        <w:jc w:val="left"/>
        <w:rPr>
          <w:rFonts w:ascii="Times New Roman" w:hAnsi="Times New Roman"/>
          <w:i/>
          <w:sz w:val="24"/>
        </w:rPr>
      </w:pPr>
      <w:r>
        <w:br w:type="column"/>
      </w:r>
      <w:r>
        <w:rPr>
          <w:rFonts w:ascii="Symbol" w:hAnsi="Symbol"/>
          <w:sz w:val="24"/>
        </w:rPr>
        <w:t></w:t>
      </w:r>
      <w:r>
        <w:rPr>
          <w:rFonts w:ascii="Times New Roman" w:hAnsi="Times New Roman"/>
          <w:sz w:val="24"/>
        </w:rPr>
        <w:t>1)</w:t>
      </w:r>
      <w:r>
        <w:rPr>
          <w:rFonts w:ascii="Symbol" w:hAnsi="Symbol"/>
          <w:sz w:val="24"/>
        </w:rPr>
        <w:t></w:t>
      </w:r>
      <w:r>
        <w:rPr>
          <w:rFonts w:ascii="Times New Roman" w:hAnsi="Times New Roman"/>
          <w:i/>
          <w:sz w:val="24"/>
        </w:rPr>
        <w:t>e</w:t>
      </w:r>
    </w:p>
    <w:p>
      <w:pPr>
        <w:tabs>
          <w:tab w:val="left" w:pos="1154"/>
        </w:tabs>
        <w:spacing w:before="0" w:line="103" w:lineRule="exact"/>
        <w:ind w:left="567" w:right="0" w:firstLine="0"/>
        <w:jc w:val="left"/>
        <w:rPr>
          <w:rFonts w:ascii="Symbol" w:hAnsi="Symbol"/>
          <w:i/>
          <w:sz w:val="26"/>
        </w:rPr>
      </w:pPr>
      <w:r>
        <w:br w:type="column"/>
      </w:r>
      <w:r>
        <w:rPr>
          <w:rFonts w:ascii="Times New Roman" w:hAnsi="Times New Roman"/>
          <w:i/>
          <w:spacing w:val="3"/>
          <w:position w:val="8"/>
          <w:sz w:val="14"/>
        </w:rPr>
        <w:t>r</w:t>
      </w:r>
      <w:r>
        <w:rPr>
          <w:rFonts w:ascii="Times New Roman" w:hAnsi="Times New Roman"/>
          <w:spacing w:val="3"/>
          <w:position w:val="14"/>
          <w:sz w:val="10"/>
        </w:rPr>
        <w:t>2</w:t>
      </w:r>
      <w:r>
        <w:rPr>
          <w:rFonts w:ascii="Times New Roman" w:hAnsi="Times New Roman"/>
          <w:spacing w:val="3"/>
          <w:position w:val="14"/>
          <w:sz w:val="10"/>
        </w:rPr>
        <w:tab/>
      </w:r>
      <w:r>
        <w:rPr>
          <w:rFonts w:ascii="Symbol" w:hAnsi="Symbol"/>
          <w:spacing w:val="-14"/>
          <w:sz w:val="24"/>
        </w:rPr>
        <w:t></w:t>
      </w:r>
      <w:r>
        <w:rPr>
          <w:rFonts w:ascii="Times New Roman" w:hAnsi="Times New Roman"/>
          <w:i/>
          <w:spacing w:val="-14"/>
          <w:sz w:val="24"/>
        </w:rPr>
        <w:t>d</w:t>
      </w:r>
      <w:r>
        <w:rPr>
          <w:rFonts w:ascii="Symbol" w:hAnsi="Symbol"/>
          <w:i/>
          <w:spacing w:val="-14"/>
          <w:sz w:val="26"/>
        </w:rPr>
        <w:t></w:t>
      </w:r>
      <w:r>
        <w:rPr>
          <w:rFonts w:ascii="Symbol" w:hAnsi="Symbol"/>
          <w:spacing w:val="-14"/>
          <w:sz w:val="24"/>
        </w:rPr>
        <w:t></w:t>
      </w:r>
      <w:r>
        <w:rPr>
          <w:rFonts w:ascii="Times New Roman" w:hAnsi="Times New Roman"/>
          <w:i/>
          <w:spacing w:val="-14"/>
          <w:sz w:val="24"/>
        </w:rPr>
        <w:t>d</w:t>
      </w:r>
      <w:r>
        <w:rPr>
          <w:rFonts w:ascii="Symbol" w:hAnsi="Symbol"/>
          <w:i/>
          <w:spacing w:val="-14"/>
          <w:sz w:val="26"/>
        </w:rPr>
        <w:t></w:t>
      </w:r>
    </w:p>
    <w:p>
      <w:pPr>
        <w:spacing w:after="0" w:line="103" w:lineRule="exact"/>
        <w:jc w:val="left"/>
        <w:rPr>
          <w:rFonts w:ascii="Symbol" w:hAnsi="Symbol"/>
          <w:sz w:val="26"/>
        </w:rPr>
        <w:sectPr>
          <w:type w:val="continuous"/>
          <w:pgSz w:w="11910" w:h="16840"/>
          <w:pgMar w:top="1580" w:right="0" w:bottom="280" w:left="0" w:header="720" w:footer="720" w:gutter="0"/>
          <w:cols w:equalWidth="0" w:num="3">
            <w:col w:w="5424" w:space="40"/>
            <w:col w:w="1551" w:space="39"/>
            <w:col w:w="4856"/>
          </w:cols>
        </w:sectPr>
      </w:pPr>
    </w:p>
    <w:p>
      <w:pPr>
        <w:pStyle w:val="9"/>
        <w:spacing w:before="56"/>
        <w:ind w:left="1898"/>
      </w:pPr>
      <w:r>
        <w:t>式中：</w:t>
      </w:r>
      <w:r>
        <w:rPr>
          <w:rFonts w:ascii="Times New Roman" w:hAnsi="Times New Roman" w:eastAsia="Times New Roman"/>
          <w:i/>
        </w:rPr>
        <w:t>D</w:t>
      </w:r>
      <w:r>
        <w:rPr>
          <w:rFonts w:ascii="Times New Roman" w:hAnsi="Times New Roman" w:eastAsia="Times New Roman"/>
        </w:rPr>
        <w:t>——</w:t>
      </w:r>
      <w:r>
        <w:t>开采煤层区域</w:t>
      </w:r>
    </w:p>
    <w:p>
      <w:pPr>
        <w:spacing w:before="204" w:line="396" w:lineRule="auto"/>
        <w:ind w:left="1898" w:right="6891" w:hanging="11"/>
        <w:jc w:val="left"/>
        <w:rPr>
          <w:sz w:val="24"/>
        </w:rPr>
      </w:pPr>
      <w:r>
        <w:rPr>
          <w:i/>
          <w:sz w:val="25"/>
        </w:rPr>
        <w:t>（</w:t>
      </w:r>
      <w:r>
        <w:rPr>
          <w:rFonts w:ascii="Times New Roman" w:hAnsi="Times New Roman" w:eastAsia="Times New Roman"/>
          <w:i/>
          <w:sz w:val="24"/>
        </w:rPr>
        <w:t>x</w:t>
      </w:r>
      <w:r>
        <w:rPr>
          <w:i/>
          <w:sz w:val="25"/>
        </w:rPr>
        <w:t>，</w:t>
      </w:r>
      <w:r>
        <w:rPr>
          <w:rFonts w:ascii="Times New Roman" w:hAnsi="Times New Roman" w:eastAsia="Times New Roman"/>
          <w:i/>
          <w:sz w:val="24"/>
        </w:rPr>
        <w:t>y</w:t>
      </w:r>
      <w:r>
        <w:rPr>
          <w:i/>
          <w:sz w:val="25"/>
        </w:rPr>
        <w:t>）</w:t>
      </w:r>
      <w:r>
        <w:rPr>
          <w:rFonts w:ascii="Times New Roman" w:hAnsi="Times New Roman" w:eastAsia="Times New Roman"/>
          <w:sz w:val="24"/>
        </w:rPr>
        <w:t>——</w:t>
      </w:r>
      <w:r>
        <w:rPr>
          <w:sz w:val="24"/>
        </w:rPr>
        <w:t>计算点相对坐标其他符号意义同前。</w:t>
      </w:r>
    </w:p>
    <w:p>
      <w:pPr>
        <w:pStyle w:val="6"/>
        <w:numPr>
          <w:ilvl w:val="2"/>
          <w:numId w:val="54"/>
        </w:numPr>
        <w:tabs>
          <w:tab w:val="left" w:pos="2249"/>
        </w:tabs>
        <w:spacing w:before="0" w:after="0" w:line="318" w:lineRule="exact"/>
        <w:ind w:left="2248" w:right="0" w:hanging="632"/>
        <w:jc w:val="left"/>
      </w:pPr>
      <w:bookmarkStart w:id="244" w:name="4.2.3地表沉陷预测结果"/>
      <w:bookmarkEnd w:id="244"/>
      <w:bookmarkStart w:id="245" w:name="4.2.3地表沉陷预测结果"/>
      <w:bookmarkEnd w:id="245"/>
      <w:r>
        <w:t>地表沉陷预测结果</w:t>
      </w:r>
    </w:p>
    <w:p>
      <w:pPr>
        <w:pStyle w:val="9"/>
        <w:spacing w:before="6"/>
        <w:rPr>
          <w:b/>
          <w:sz w:val="37"/>
        </w:rPr>
      </w:pPr>
    </w:p>
    <w:p>
      <w:pPr>
        <w:pStyle w:val="18"/>
        <w:numPr>
          <w:ilvl w:val="3"/>
          <w:numId w:val="54"/>
        </w:numPr>
        <w:tabs>
          <w:tab w:val="left" w:pos="2500"/>
        </w:tabs>
        <w:spacing w:before="0" w:after="0" w:line="240" w:lineRule="auto"/>
        <w:ind w:left="2499" w:right="0" w:hanging="602"/>
        <w:jc w:val="left"/>
        <w:rPr>
          <w:sz w:val="24"/>
        </w:rPr>
      </w:pPr>
      <w:r>
        <w:rPr>
          <w:sz w:val="24"/>
        </w:rPr>
        <w:t>地面塌陷预测结论</w:t>
      </w:r>
    </w:p>
    <w:p>
      <w:pPr>
        <w:pStyle w:val="9"/>
        <w:spacing w:before="211" w:line="405" w:lineRule="auto"/>
        <w:ind w:left="1418" w:right="1417" w:firstLine="480"/>
        <w:jc w:val="both"/>
      </w:pPr>
      <w:r>
        <w:rPr>
          <w:spacing w:val="-5"/>
        </w:rPr>
        <w:t>根据以上计算公式及参数，结合井田地质情况及开采方案，采用概率积分法，运用</w:t>
      </w:r>
      <w:r>
        <w:t>矿山开采塌陷预计统计系统软件（</w:t>
      </w:r>
      <w:r>
        <w:rPr>
          <w:rFonts w:ascii="Times New Roman" w:eastAsia="Times New Roman"/>
        </w:rPr>
        <w:t>MSPS</w:t>
      </w:r>
      <w:r>
        <w:t>），把整个开采区分解为无限多个微型的开采</w:t>
      </w:r>
      <w:r>
        <w:rPr>
          <w:spacing w:val="-7"/>
        </w:rPr>
        <w:t>单元，整个开采对岩层及地表的影响等于各单元开采对岩层及地表的影响之和。通过确</w:t>
      </w:r>
      <w:r>
        <w:t>定参数，运用专用程序，最终测算出地表移动与变形最大值等的预测结果。</w:t>
      </w:r>
    </w:p>
    <w:p>
      <w:pPr>
        <w:pStyle w:val="9"/>
        <w:spacing w:before="2"/>
        <w:ind w:left="1898"/>
        <w:jc w:val="both"/>
      </w:pPr>
      <w:r>
        <w:t xml:space="preserve">本矿山在开采结束后地表最大沉陷值为 </w:t>
      </w:r>
      <w:r>
        <w:rPr>
          <w:rFonts w:ascii="Times New Roman" w:eastAsia="Times New Roman"/>
        </w:rPr>
        <w:t>1893mm</w:t>
      </w:r>
      <w:r>
        <w:t>，预测结果见下表。</w:t>
      </w:r>
    </w:p>
    <w:p>
      <w:pPr>
        <w:spacing w:before="179" w:after="29"/>
        <w:ind w:left="10" w:right="0" w:firstLine="0"/>
        <w:jc w:val="center"/>
        <w:rPr>
          <w:b/>
          <w:sz w:val="21"/>
        </w:rPr>
      </w:pPr>
      <w:r>
        <w:rPr>
          <w:b/>
          <w:spacing w:val="-26"/>
          <w:sz w:val="21"/>
        </w:rPr>
        <w:t xml:space="preserve">表 </w:t>
      </w:r>
      <w:r>
        <w:rPr>
          <w:rFonts w:ascii="Times New Roman" w:eastAsia="Times New Roman"/>
          <w:b/>
          <w:sz w:val="21"/>
        </w:rPr>
        <w:t>4.2-1</w:t>
      </w:r>
      <w:r>
        <w:rPr>
          <w:rFonts w:ascii="Times New Roman" w:eastAsia="Times New Roman"/>
          <w:b/>
          <w:spacing w:val="52"/>
          <w:sz w:val="21"/>
        </w:rPr>
        <w:t xml:space="preserve"> </w:t>
      </w:r>
      <w:r>
        <w:rPr>
          <w:b/>
          <w:sz w:val="21"/>
        </w:rPr>
        <w:t>开采后地面塌陷面积及特征值</w:t>
      </w: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47"/>
        <w:gridCol w:w="1548"/>
        <w:gridCol w:w="1547"/>
        <w:gridCol w:w="1547"/>
        <w:gridCol w:w="1549"/>
        <w:gridCol w:w="154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6" w:hRule="atLeast"/>
        </w:trPr>
        <w:tc>
          <w:tcPr>
            <w:tcW w:w="1547" w:type="dxa"/>
            <w:tcBorders>
              <w:bottom w:val="single" w:color="000000" w:sz="4" w:space="0"/>
              <w:right w:val="single" w:color="000000" w:sz="4" w:space="0"/>
            </w:tcBorders>
          </w:tcPr>
          <w:p>
            <w:pPr>
              <w:pStyle w:val="19"/>
              <w:spacing w:before="145"/>
              <w:ind w:left="181" w:right="173"/>
              <w:rPr>
                <w:sz w:val="21"/>
              </w:rPr>
            </w:pPr>
            <w:r>
              <w:rPr>
                <w:sz w:val="21"/>
              </w:rPr>
              <w:t>时段</w:t>
            </w:r>
          </w:p>
        </w:tc>
        <w:tc>
          <w:tcPr>
            <w:tcW w:w="1548" w:type="dxa"/>
            <w:tcBorders>
              <w:left w:val="single" w:color="000000" w:sz="4" w:space="0"/>
              <w:bottom w:val="single" w:color="000000" w:sz="4" w:space="0"/>
              <w:right w:val="single" w:color="000000" w:sz="4" w:space="0"/>
            </w:tcBorders>
          </w:tcPr>
          <w:p>
            <w:pPr>
              <w:pStyle w:val="19"/>
              <w:spacing w:before="1"/>
              <w:ind w:left="462" w:right="448"/>
              <w:rPr>
                <w:sz w:val="21"/>
              </w:rPr>
            </w:pPr>
            <w:r>
              <w:rPr>
                <w:sz w:val="21"/>
              </w:rPr>
              <w:t>下沉</w:t>
            </w:r>
          </w:p>
          <w:p>
            <w:pPr>
              <w:pStyle w:val="19"/>
              <w:spacing w:before="54"/>
              <w:ind w:left="466" w:right="448"/>
              <w:rPr>
                <w:rFonts w:ascii="Times New Roman"/>
                <w:sz w:val="21"/>
              </w:rPr>
            </w:pPr>
            <w:r>
              <w:rPr>
                <w:rFonts w:ascii="Times New Roman"/>
                <w:sz w:val="21"/>
              </w:rPr>
              <w:t>W/mm</w:t>
            </w:r>
          </w:p>
        </w:tc>
        <w:tc>
          <w:tcPr>
            <w:tcW w:w="1547" w:type="dxa"/>
            <w:tcBorders>
              <w:left w:val="single" w:color="000000" w:sz="4" w:space="0"/>
              <w:bottom w:val="single" w:color="000000" w:sz="4" w:space="0"/>
              <w:right w:val="single" w:color="000000" w:sz="4" w:space="0"/>
            </w:tcBorders>
          </w:tcPr>
          <w:p>
            <w:pPr>
              <w:pStyle w:val="19"/>
              <w:spacing w:before="145"/>
              <w:ind w:left="81" w:right="64"/>
              <w:rPr>
                <w:rFonts w:ascii="Times New Roman" w:eastAsia="Times New Roman"/>
                <w:sz w:val="13"/>
              </w:rPr>
            </w:pPr>
            <w:r>
              <w:rPr>
                <w:sz w:val="21"/>
              </w:rPr>
              <w:t xml:space="preserve">倾斜 </w:t>
            </w:r>
            <w:r>
              <w:rPr>
                <w:rFonts w:ascii="Times New Roman" w:eastAsia="Times New Roman"/>
                <w:sz w:val="21"/>
              </w:rPr>
              <w:t>i/mm/m</w:t>
            </w:r>
            <w:r>
              <w:rPr>
                <w:rFonts w:ascii="Times New Roman" w:eastAsia="Times New Roman"/>
                <w:position w:val="7"/>
                <w:sz w:val="13"/>
              </w:rPr>
              <w:t>-1</w:t>
            </w:r>
          </w:p>
        </w:tc>
        <w:tc>
          <w:tcPr>
            <w:tcW w:w="1547" w:type="dxa"/>
            <w:tcBorders>
              <w:left w:val="single" w:color="000000" w:sz="4" w:space="0"/>
              <w:bottom w:val="single" w:color="000000" w:sz="4" w:space="0"/>
              <w:right w:val="single" w:color="000000" w:sz="4" w:space="0"/>
            </w:tcBorders>
          </w:tcPr>
          <w:p>
            <w:pPr>
              <w:pStyle w:val="19"/>
              <w:spacing w:before="145"/>
              <w:ind w:left="83" w:right="64"/>
              <w:rPr>
                <w:rFonts w:ascii="Times New Roman" w:hAnsi="Times New Roman" w:eastAsia="Times New Roman"/>
                <w:sz w:val="13"/>
              </w:rPr>
            </w:pPr>
            <w:r>
              <w:rPr>
                <w:sz w:val="21"/>
              </w:rPr>
              <w:t xml:space="preserve">曲率 </w:t>
            </w:r>
            <w:r>
              <w:rPr>
                <w:rFonts w:ascii="Times New Roman" w:hAnsi="Times New Roman" w:eastAsia="Times New Roman"/>
                <w:sz w:val="21"/>
              </w:rPr>
              <w:t>k/10</w:t>
            </w:r>
            <w:r>
              <w:rPr>
                <w:rFonts w:ascii="Times New Roman" w:hAnsi="Times New Roman" w:eastAsia="Times New Roman"/>
                <w:position w:val="7"/>
                <w:sz w:val="13"/>
              </w:rPr>
              <w:t>-3</w:t>
            </w:r>
            <w:r>
              <w:rPr>
                <w:rFonts w:ascii="Times New Roman" w:hAnsi="Times New Roman" w:eastAsia="Times New Roman"/>
                <w:sz w:val="21"/>
              </w:rPr>
              <w:t>·m</w:t>
            </w:r>
            <w:r>
              <w:rPr>
                <w:rFonts w:ascii="Times New Roman" w:hAnsi="Times New Roman" w:eastAsia="Times New Roman"/>
                <w:position w:val="7"/>
                <w:sz w:val="13"/>
              </w:rPr>
              <w:t>-1</w:t>
            </w:r>
          </w:p>
        </w:tc>
        <w:tc>
          <w:tcPr>
            <w:tcW w:w="1549" w:type="dxa"/>
            <w:tcBorders>
              <w:left w:val="single" w:color="000000" w:sz="4" w:space="0"/>
              <w:bottom w:val="single" w:color="000000" w:sz="4" w:space="0"/>
              <w:right w:val="single" w:color="000000" w:sz="4" w:space="0"/>
            </w:tcBorders>
          </w:tcPr>
          <w:p>
            <w:pPr>
              <w:pStyle w:val="19"/>
              <w:spacing w:before="1"/>
              <w:ind w:left="338" w:right="320"/>
              <w:rPr>
                <w:sz w:val="21"/>
              </w:rPr>
            </w:pPr>
            <w:r>
              <w:rPr>
                <w:sz w:val="21"/>
              </w:rPr>
              <w:t>水平移动</w:t>
            </w:r>
          </w:p>
          <w:p>
            <w:pPr>
              <w:pStyle w:val="19"/>
              <w:spacing w:before="54"/>
              <w:ind w:left="338" w:right="319"/>
              <w:rPr>
                <w:rFonts w:ascii="Times New Roman"/>
                <w:sz w:val="21"/>
              </w:rPr>
            </w:pPr>
            <w:r>
              <w:rPr>
                <w:rFonts w:ascii="Times New Roman"/>
                <w:sz w:val="21"/>
              </w:rPr>
              <w:t>U/mm</w:t>
            </w:r>
          </w:p>
        </w:tc>
        <w:tc>
          <w:tcPr>
            <w:tcW w:w="1548" w:type="dxa"/>
            <w:tcBorders>
              <w:left w:val="single" w:color="000000" w:sz="4" w:space="0"/>
              <w:bottom w:val="single" w:color="000000" w:sz="4" w:space="0"/>
            </w:tcBorders>
          </w:tcPr>
          <w:p>
            <w:pPr>
              <w:pStyle w:val="19"/>
              <w:spacing w:before="1"/>
              <w:ind w:left="357"/>
              <w:jc w:val="left"/>
              <w:rPr>
                <w:sz w:val="21"/>
              </w:rPr>
            </w:pPr>
            <w:r>
              <w:rPr>
                <w:w w:val="95"/>
                <w:sz w:val="21"/>
              </w:rPr>
              <w:t>水平变形</w:t>
            </w:r>
          </w:p>
          <w:p>
            <w:pPr>
              <w:pStyle w:val="19"/>
              <w:spacing w:before="54"/>
              <w:ind w:left="369"/>
              <w:jc w:val="left"/>
              <w:rPr>
                <w:rFonts w:ascii="Times New Roman" w:hAnsi="Times New Roman"/>
                <w:sz w:val="13"/>
              </w:rPr>
            </w:pPr>
            <w:r>
              <w:rPr>
                <w:rFonts w:ascii="Times New Roman" w:hAnsi="Times New Roman"/>
                <w:sz w:val="21"/>
              </w:rPr>
              <w:t>ε/mm·m</w:t>
            </w:r>
            <w:r>
              <w:rPr>
                <w:rFonts w:ascii="Times New Roman" w:hAnsi="Times New Roman"/>
                <w:position w:val="7"/>
                <w:sz w:val="13"/>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547" w:type="dxa"/>
            <w:tcBorders>
              <w:top w:val="single" w:color="000000" w:sz="4" w:space="0"/>
              <w:right w:val="single" w:color="000000" w:sz="4" w:space="0"/>
            </w:tcBorders>
          </w:tcPr>
          <w:p>
            <w:pPr>
              <w:pStyle w:val="19"/>
              <w:spacing w:before="1"/>
              <w:ind w:left="11"/>
              <w:rPr>
                <w:sz w:val="21"/>
              </w:rPr>
            </w:pPr>
            <w:r>
              <w:rPr>
                <w:w w:val="99"/>
                <w:sz w:val="21"/>
              </w:rPr>
              <w:t>一</w:t>
            </w:r>
          </w:p>
        </w:tc>
        <w:tc>
          <w:tcPr>
            <w:tcW w:w="1548" w:type="dxa"/>
            <w:tcBorders>
              <w:top w:val="single" w:color="000000" w:sz="4" w:space="0"/>
              <w:left w:val="single" w:color="000000" w:sz="4" w:space="0"/>
              <w:right w:val="single" w:color="000000" w:sz="4" w:space="0"/>
            </w:tcBorders>
          </w:tcPr>
          <w:p>
            <w:pPr>
              <w:pStyle w:val="19"/>
              <w:spacing w:before="25"/>
              <w:ind w:left="466" w:right="448"/>
              <w:rPr>
                <w:rFonts w:ascii="仿宋"/>
                <w:sz w:val="21"/>
              </w:rPr>
            </w:pPr>
            <w:r>
              <w:rPr>
                <w:rFonts w:ascii="仿宋"/>
                <w:sz w:val="21"/>
              </w:rPr>
              <w:t>1893</w:t>
            </w:r>
          </w:p>
        </w:tc>
        <w:tc>
          <w:tcPr>
            <w:tcW w:w="1547" w:type="dxa"/>
            <w:tcBorders>
              <w:top w:val="single" w:color="000000" w:sz="4" w:space="0"/>
              <w:left w:val="single" w:color="000000" w:sz="4" w:space="0"/>
              <w:right w:val="single" w:color="000000" w:sz="4" w:space="0"/>
            </w:tcBorders>
          </w:tcPr>
          <w:p>
            <w:pPr>
              <w:pStyle w:val="19"/>
              <w:spacing w:before="25"/>
              <w:ind w:left="83" w:right="64"/>
              <w:rPr>
                <w:rFonts w:ascii="仿宋"/>
                <w:sz w:val="21"/>
              </w:rPr>
            </w:pPr>
            <w:r>
              <w:rPr>
                <w:rFonts w:ascii="仿宋"/>
                <w:sz w:val="21"/>
              </w:rPr>
              <w:t>4.73</w:t>
            </w:r>
          </w:p>
        </w:tc>
        <w:tc>
          <w:tcPr>
            <w:tcW w:w="1547" w:type="dxa"/>
            <w:tcBorders>
              <w:top w:val="single" w:color="000000" w:sz="4" w:space="0"/>
              <w:left w:val="single" w:color="000000" w:sz="4" w:space="0"/>
              <w:right w:val="single" w:color="000000" w:sz="4" w:space="0"/>
            </w:tcBorders>
          </w:tcPr>
          <w:p>
            <w:pPr>
              <w:pStyle w:val="19"/>
              <w:spacing w:before="25"/>
              <w:ind w:left="83" w:right="64"/>
              <w:rPr>
                <w:rFonts w:ascii="仿宋"/>
                <w:sz w:val="21"/>
              </w:rPr>
            </w:pPr>
            <w:r>
              <w:rPr>
                <w:rFonts w:ascii="仿宋"/>
                <w:sz w:val="21"/>
              </w:rPr>
              <w:t>17.98</w:t>
            </w:r>
          </w:p>
        </w:tc>
        <w:tc>
          <w:tcPr>
            <w:tcW w:w="1549" w:type="dxa"/>
            <w:tcBorders>
              <w:top w:val="single" w:color="000000" w:sz="4" w:space="0"/>
              <w:left w:val="single" w:color="000000" w:sz="4" w:space="0"/>
              <w:right w:val="single" w:color="000000" w:sz="4" w:space="0"/>
            </w:tcBorders>
          </w:tcPr>
          <w:p>
            <w:pPr>
              <w:pStyle w:val="19"/>
              <w:spacing w:before="25"/>
              <w:ind w:left="463"/>
              <w:jc w:val="left"/>
              <w:rPr>
                <w:rFonts w:ascii="仿宋"/>
                <w:sz w:val="21"/>
              </w:rPr>
            </w:pPr>
            <w:r>
              <w:rPr>
                <w:rFonts w:ascii="仿宋"/>
                <w:sz w:val="21"/>
              </w:rPr>
              <w:t>473.25</w:t>
            </w:r>
          </w:p>
        </w:tc>
        <w:tc>
          <w:tcPr>
            <w:tcW w:w="1548" w:type="dxa"/>
            <w:tcBorders>
              <w:top w:val="single" w:color="000000" w:sz="4" w:space="0"/>
              <w:left w:val="single" w:color="000000" w:sz="4" w:space="0"/>
            </w:tcBorders>
          </w:tcPr>
          <w:p>
            <w:pPr>
              <w:pStyle w:val="19"/>
              <w:spacing w:before="25"/>
              <w:ind w:left="549" w:right="524"/>
              <w:rPr>
                <w:rFonts w:ascii="仿宋"/>
                <w:sz w:val="21"/>
              </w:rPr>
            </w:pPr>
            <w:r>
              <w:rPr>
                <w:rFonts w:ascii="仿宋"/>
                <w:sz w:val="21"/>
              </w:rPr>
              <w:t>1.80</w:t>
            </w:r>
          </w:p>
        </w:tc>
      </w:tr>
    </w:tbl>
    <w:p>
      <w:pPr>
        <w:pStyle w:val="9"/>
        <w:spacing w:before="177" w:line="405" w:lineRule="auto"/>
        <w:ind w:left="1418" w:right="1365" w:firstLine="480"/>
        <w:jc w:val="both"/>
      </w:pPr>
      <w:r>
        <w:t>在进行土地破坏等级预测时，将地表下沉值、地表变形最大值及开采深厚比联系起来以便于进行计算和对比。根据现场调查、观测和地表移动变形预计资料的综合分析， 在区域煤层大面积开采条件下，土地破坏等级分级情况可参考下表。</w:t>
      </w:r>
    </w:p>
    <w:p>
      <w:pPr>
        <w:spacing w:before="0" w:after="30" w:line="235" w:lineRule="exact"/>
        <w:ind w:left="10" w:right="0" w:firstLine="0"/>
        <w:jc w:val="center"/>
        <w:rPr>
          <w:b/>
          <w:sz w:val="21"/>
        </w:rPr>
      </w:pPr>
      <w:r>
        <w:rPr>
          <w:b/>
          <w:spacing w:val="-26"/>
          <w:sz w:val="21"/>
        </w:rPr>
        <w:t xml:space="preserve">表 </w:t>
      </w:r>
      <w:r>
        <w:rPr>
          <w:rFonts w:ascii="Times New Roman" w:eastAsia="Times New Roman"/>
          <w:b/>
          <w:sz w:val="21"/>
        </w:rPr>
        <w:t>4.2-2</w:t>
      </w:r>
      <w:r>
        <w:rPr>
          <w:rFonts w:ascii="Times New Roman" w:eastAsia="Times New Roman"/>
          <w:b/>
          <w:spacing w:val="52"/>
          <w:sz w:val="21"/>
        </w:rPr>
        <w:t xml:space="preserve"> </w:t>
      </w:r>
      <w:r>
        <w:rPr>
          <w:b/>
          <w:sz w:val="21"/>
        </w:rPr>
        <w:t>待复垦土地损毁程度分级标准</w:t>
      </w:r>
    </w:p>
    <w:tbl>
      <w:tblPr>
        <w:tblStyle w:val="15"/>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29"/>
        <w:gridCol w:w="1311"/>
        <w:gridCol w:w="1319"/>
        <w:gridCol w:w="1319"/>
        <w:gridCol w:w="1133"/>
        <w:gridCol w:w="1133"/>
        <w:gridCol w:w="120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1" w:hRule="atLeast"/>
        </w:trPr>
        <w:tc>
          <w:tcPr>
            <w:tcW w:w="1129" w:type="dxa"/>
            <w:tcBorders>
              <w:bottom w:val="single" w:color="000000" w:sz="4" w:space="0"/>
              <w:right w:val="single" w:color="000000" w:sz="4" w:space="0"/>
            </w:tcBorders>
          </w:tcPr>
          <w:p>
            <w:pPr>
              <w:pStyle w:val="19"/>
              <w:spacing w:before="7"/>
              <w:jc w:val="left"/>
              <w:rPr>
                <w:b/>
                <w:sz w:val="25"/>
              </w:rPr>
            </w:pPr>
          </w:p>
          <w:p>
            <w:pPr>
              <w:pStyle w:val="19"/>
              <w:ind w:left="352"/>
              <w:jc w:val="left"/>
              <w:rPr>
                <w:sz w:val="21"/>
              </w:rPr>
            </w:pPr>
            <w:r>
              <w:rPr>
                <w:sz w:val="21"/>
              </w:rPr>
              <w:t>地类</w:t>
            </w:r>
          </w:p>
        </w:tc>
        <w:tc>
          <w:tcPr>
            <w:tcW w:w="1311" w:type="dxa"/>
            <w:tcBorders>
              <w:left w:val="single" w:color="000000" w:sz="4" w:space="0"/>
              <w:bottom w:val="single" w:color="000000" w:sz="4" w:space="0"/>
              <w:right w:val="single" w:color="000000" w:sz="4" w:space="0"/>
            </w:tcBorders>
          </w:tcPr>
          <w:p>
            <w:pPr>
              <w:pStyle w:val="19"/>
              <w:spacing w:before="7"/>
              <w:jc w:val="left"/>
              <w:rPr>
                <w:b/>
                <w:sz w:val="25"/>
              </w:rPr>
            </w:pPr>
          </w:p>
          <w:p>
            <w:pPr>
              <w:pStyle w:val="19"/>
              <w:ind w:left="111" w:right="96"/>
              <w:rPr>
                <w:sz w:val="21"/>
              </w:rPr>
            </w:pPr>
            <w:r>
              <w:rPr>
                <w:sz w:val="21"/>
              </w:rPr>
              <w:t>评价等级</w:t>
            </w:r>
          </w:p>
        </w:tc>
        <w:tc>
          <w:tcPr>
            <w:tcW w:w="1319" w:type="dxa"/>
            <w:tcBorders>
              <w:left w:val="single" w:color="000000" w:sz="4" w:space="0"/>
              <w:bottom w:val="single" w:color="000000" w:sz="4" w:space="0"/>
              <w:right w:val="single" w:color="000000" w:sz="4" w:space="0"/>
            </w:tcBorders>
          </w:tcPr>
          <w:p>
            <w:pPr>
              <w:pStyle w:val="19"/>
              <w:spacing w:before="4"/>
              <w:jc w:val="left"/>
              <w:rPr>
                <w:b/>
                <w:sz w:val="14"/>
              </w:rPr>
            </w:pPr>
          </w:p>
          <w:p>
            <w:pPr>
              <w:pStyle w:val="19"/>
              <w:ind w:left="243"/>
              <w:jc w:val="left"/>
              <w:rPr>
                <w:sz w:val="21"/>
              </w:rPr>
            </w:pPr>
            <w:r>
              <w:rPr>
                <w:sz w:val="21"/>
              </w:rPr>
              <w:t>水平变形</w:t>
            </w:r>
          </w:p>
          <w:p>
            <w:pPr>
              <w:pStyle w:val="19"/>
              <w:spacing w:before="54"/>
              <w:ind w:left="322"/>
              <w:jc w:val="left"/>
              <w:rPr>
                <w:rFonts w:ascii="Times New Roman"/>
                <w:sz w:val="21"/>
              </w:rPr>
            </w:pPr>
            <w:r>
              <w:rPr>
                <w:rFonts w:ascii="Times New Roman"/>
                <w:sz w:val="21"/>
              </w:rPr>
              <w:t>(mm/m)</w:t>
            </w:r>
          </w:p>
        </w:tc>
        <w:tc>
          <w:tcPr>
            <w:tcW w:w="1319" w:type="dxa"/>
            <w:tcBorders>
              <w:left w:val="single" w:color="000000" w:sz="4" w:space="0"/>
              <w:bottom w:val="single" w:color="000000" w:sz="4" w:space="0"/>
              <w:right w:val="single" w:color="000000" w:sz="4" w:space="0"/>
            </w:tcBorders>
          </w:tcPr>
          <w:p>
            <w:pPr>
              <w:pStyle w:val="19"/>
              <w:spacing w:before="4"/>
              <w:jc w:val="left"/>
              <w:rPr>
                <w:b/>
                <w:sz w:val="14"/>
              </w:rPr>
            </w:pPr>
          </w:p>
          <w:p>
            <w:pPr>
              <w:pStyle w:val="19"/>
              <w:ind w:left="244"/>
              <w:jc w:val="left"/>
              <w:rPr>
                <w:sz w:val="21"/>
              </w:rPr>
            </w:pPr>
            <w:r>
              <w:rPr>
                <w:sz w:val="21"/>
              </w:rPr>
              <w:t>附加倾斜</w:t>
            </w:r>
          </w:p>
          <w:p>
            <w:pPr>
              <w:pStyle w:val="19"/>
              <w:spacing w:before="54"/>
              <w:ind w:left="321"/>
              <w:jc w:val="left"/>
              <w:rPr>
                <w:rFonts w:ascii="Times New Roman"/>
                <w:sz w:val="21"/>
              </w:rPr>
            </w:pPr>
            <w:r>
              <w:rPr>
                <w:rFonts w:ascii="Times New Roman"/>
                <w:sz w:val="21"/>
              </w:rPr>
              <w:t>(mm/m)</w:t>
            </w:r>
          </w:p>
        </w:tc>
        <w:tc>
          <w:tcPr>
            <w:tcW w:w="1133" w:type="dxa"/>
            <w:tcBorders>
              <w:left w:val="single" w:color="000000" w:sz="4" w:space="0"/>
              <w:bottom w:val="single" w:color="000000" w:sz="4" w:space="0"/>
              <w:right w:val="single" w:color="000000" w:sz="4" w:space="0"/>
            </w:tcBorders>
          </w:tcPr>
          <w:p>
            <w:pPr>
              <w:pStyle w:val="19"/>
              <w:spacing w:before="164"/>
              <w:ind w:left="360"/>
              <w:jc w:val="left"/>
              <w:rPr>
                <w:sz w:val="21"/>
              </w:rPr>
            </w:pPr>
            <w:r>
              <w:rPr>
                <w:sz w:val="21"/>
              </w:rPr>
              <w:t>下沉</w:t>
            </w:r>
          </w:p>
          <w:p>
            <w:pPr>
              <w:pStyle w:val="19"/>
              <w:spacing w:before="57"/>
              <w:ind w:left="278"/>
              <w:jc w:val="left"/>
              <w:rPr>
                <w:sz w:val="21"/>
              </w:rPr>
            </w:pPr>
            <w:r>
              <w:rPr>
                <w:sz w:val="21"/>
              </w:rPr>
              <w:t>（</w:t>
            </w:r>
            <w:r>
              <w:rPr>
                <w:rFonts w:ascii="Times New Roman" w:eastAsia="Times New Roman"/>
                <w:sz w:val="21"/>
              </w:rPr>
              <w:t>m</w:t>
            </w:r>
            <w:r>
              <w:rPr>
                <w:sz w:val="21"/>
              </w:rPr>
              <w:t>）</w:t>
            </w:r>
          </w:p>
        </w:tc>
        <w:tc>
          <w:tcPr>
            <w:tcW w:w="1133" w:type="dxa"/>
            <w:tcBorders>
              <w:left w:val="single" w:color="000000" w:sz="4" w:space="0"/>
              <w:bottom w:val="single" w:color="000000" w:sz="4" w:space="0"/>
              <w:right w:val="single" w:color="000000" w:sz="4" w:space="0"/>
            </w:tcBorders>
          </w:tcPr>
          <w:p>
            <w:pPr>
              <w:pStyle w:val="19"/>
              <w:spacing w:before="1" w:line="290" w:lineRule="auto"/>
              <w:ind w:left="151" w:right="131"/>
              <w:rPr>
                <w:sz w:val="21"/>
              </w:rPr>
            </w:pPr>
            <w:r>
              <w:rPr>
                <w:sz w:val="21"/>
              </w:rPr>
              <w:t>沉陷后潜水位埋深</w:t>
            </w:r>
          </w:p>
          <w:p>
            <w:pPr>
              <w:pStyle w:val="19"/>
              <w:spacing w:before="1"/>
              <w:ind w:left="148" w:right="131"/>
              <w:rPr>
                <w:sz w:val="21"/>
              </w:rPr>
            </w:pPr>
            <w:r>
              <w:rPr>
                <w:sz w:val="21"/>
              </w:rPr>
              <w:t>（</w:t>
            </w:r>
            <w:r>
              <w:rPr>
                <w:rFonts w:ascii="Times New Roman" w:eastAsia="Times New Roman"/>
                <w:sz w:val="21"/>
              </w:rPr>
              <w:t>m</w:t>
            </w:r>
            <w:r>
              <w:rPr>
                <w:sz w:val="21"/>
              </w:rPr>
              <w:t>）</w:t>
            </w:r>
          </w:p>
        </w:tc>
        <w:tc>
          <w:tcPr>
            <w:tcW w:w="1208" w:type="dxa"/>
            <w:tcBorders>
              <w:left w:val="single" w:color="000000" w:sz="4" w:space="0"/>
              <w:bottom w:val="single" w:color="000000" w:sz="4" w:space="0"/>
            </w:tcBorders>
          </w:tcPr>
          <w:p>
            <w:pPr>
              <w:pStyle w:val="19"/>
              <w:spacing w:before="20" w:line="288" w:lineRule="auto"/>
              <w:ind w:left="398" w:right="374"/>
              <w:rPr>
                <w:sz w:val="21"/>
              </w:rPr>
            </w:pPr>
            <w:r>
              <w:rPr>
                <w:spacing w:val="-8"/>
                <w:sz w:val="21"/>
              </w:rPr>
              <w:t>产力</w:t>
            </w:r>
            <w:r>
              <w:rPr>
                <w:spacing w:val="-9"/>
                <w:w w:val="95"/>
                <w:sz w:val="21"/>
              </w:rPr>
              <w:t>降低</w:t>
            </w:r>
          </w:p>
          <w:p>
            <w:pPr>
              <w:pStyle w:val="19"/>
              <w:spacing w:before="4"/>
              <w:ind w:left="398" w:right="374"/>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129" w:type="dxa"/>
            <w:vMerge w:val="restart"/>
            <w:tcBorders>
              <w:top w:val="single" w:color="000000" w:sz="4" w:space="0"/>
              <w:bottom w:val="single" w:color="000000" w:sz="4" w:space="0"/>
              <w:right w:val="single" w:color="000000" w:sz="4" w:space="0"/>
            </w:tcBorders>
          </w:tcPr>
          <w:p>
            <w:pPr>
              <w:pStyle w:val="19"/>
              <w:spacing w:before="3"/>
              <w:jc w:val="left"/>
              <w:rPr>
                <w:b/>
                <w:sz w:val="26"/>
              </w:rPr>
            </w:pPr>
          </w:p>
          <w:p>
            <w:pPr>
              <w:pStyle w:val="19"/>
              <w:spacing w:before="1"/>
              <w:ind w:left="352"/>
              <w:jc w:val="left"/>
              <w:rPr>
                <w:sz w:val="21"/>
              </w:rPr>
            </w:pPr>
            <w:r>
              <w:rPr>
                <w:sz w:val="21"/>
              </w:rPr>
              <w:t>水田</w:t>
            </w:r>
          </w:p>
        </w:tc>
        <w:tc>
          <w:tcPr>
            <w:tcW w:w="1311" w:type="dxa"/>
            <w:tcBorders>
              <w:top w:val="single" w:color="000000" w:sz="4" w:space="0"/>
              <w:left w:val="single" w:color="000000" w:sz="4" w:space="0"/>
              <w:bottom w:val="single" w:color="000000" w:sz="4" w:space="0"/>
              <w:right w:val="single" w:color="000000" w:sz="4" w:space="0"/>
            </w:tcBorders>
          </w:tcPr>
          <w:p>
            <w:pPr>
              <w:pStyle w:val="19"/>
              <w:spacing w:before="1"/>
              <w:ind w:left="113" w:right="96"/>
              <w:rPr>
                <w:sz w:val="21"/>
              </w:rPr>
            </w:pPr>
            <w:r>
              <w:rPr>
                <w:sz w:val="21"/>
              </w:rPr>
              <w:t>轻度</w:t>
            </w:r>
          </w:p>
        </w:tc>
        <w:tc>
          <w:tcPr>
            <w:tcW w:w="1319" w:type="dxa"/>
            <w:tcBorders>
              <w:top w:val="single" w:color="000000" w:sz="4" w:space="0"/>
              <w:left w:val="single" w:color="000000" w:sz="4" w:space="0"/>
              <w:bottom w:val="single" w:color="000000" w:sz="4" w:space="0"/>
              <w:right w:val="single" w:color="000000" w:sz="4" w:space="0"/>
            </w:tcBorders>
          </w:tcPr>
          <w:p>
            <w:pPr>
              <w:pStyle w:val="19"/>
              <w:spacing w:before="17"/>
              <w:ind w:left="295" w:right="274"/>
              <w:rPr>
                <w:rFonts w:ascii="Times New Roman" w:hAnsi="Times New Roman"/>
                <w:sz w:val="21"/>
              </w:rPr>
            </w:pPr>
            <w:r>
              <w:rPr>
                <w:rFonts w:ascii="Times New Roman" w:hAnsi="Times New Roman"/>
                <w:sz w:val="21"/>
              </w:rPr>
              <w:t>≤3.0</w:t>
            </w:r>
          </w:p>
        </w:tc>
        <w:tc>
          <w:tcPr>
            <w:tcW w:w="1319" w:type="dxa"/>
            <w:tcBorders>
              <w:top w:val="single" w:color="000000" w:sz="4" w:space="0"/>
              <w:left w:val="single" w:color="000000" w:sz="4" w:space="0"/>
              <w:bottom w:val="single" w:color="000000" w:sz="4" w:space="0"/>
              <w:right w:val="single" w:color="000000" w:sz="4" w:space="0"/>
            </w:tcBorders>
          </w:tcPr>
          <w:p>
            <w:pPr>
              <w:pStyle w:val="19"/>
              <w:spacing w:before="17"/>
              <w:ind w:left="292" w:right="274"/>
              <w:rPr>
                <w:rFonts w:ascii="Times New Roman" w:hAnsi="Times New Roman"/>
                <w:sz w:val="21"/>
              </w:rPr>
            </w:pPr>
            <w:r>
              <w:rPr>
                <w:rFonts w:ascii="Times New Roman" w:hAnsi="Times New Roman"/>
                <w:sz w:val="21"/>
              </w:rPr>
              <w:t>≤4.0</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17"/>
              <w:ind w:left="150" w:right="131"/>
              <w:rPr>
                <w:rFonts w:ascii="Times New Roman" w:hAnsi="Times New Roman"/>
                <w:sz w:val="21"/>
              </w:rPr>
            </w:pPr>
            <w:r>
              <w:rPr>
                <w:rFonts w:ascii="Times New Roman" w:hAnsi="Times New Roman"/>
                <w:sz w:val="21"/>
              </w:rPr>
              <w:t>≤1.0</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17"/>
              <w:ind w:left="150" w:right="131"/>
              <w:rPr>
                <w:rFonts w:ascii="Times New Roman" w:hAnsi="Times New Roman"/>
                <w:sz w:val="21"/>
              </w:rPr>
            </w:pPr>
            <w:r>
              <w:rPr>
                <w:rFonts w:ascii="Times New Roman" w:hAnsi="Times New Roman"/>
                <w:sz w:val="21"/>
              </w:rPr>
              <w:t>≥1.0</w:t>
            </w:r>
          </w:p>
        </w:tc>
        <w:tc>
          <w:tcPr>
            <w:tcW w:w="1208" w:type="dxa"/>
            <w:tcBorders>
              <w:top w:val="single" w:color="000000" w:sz="4" w:space="0"/>
              <w:left w:val="single" w:color="000000" w:sz="4" w:space="0"/>
              <w:bottom w:val="single" w:color="000000" w:sz="4" w:space="0"/>
            </w:tcBorders>
          </w:tcPr>
          <w:p>
            <w:pPr>
              <w:pStyle w:val="19"/>
              <w:spacing w:before="17"/>
              <w:ind w:left="265" w:right="240"/>
              <w:rPr>
                <w:rFonts w:ascii="Times New Roman" w:hAnsi="Times New Roman"/>
                <w:sz w:val="21"/>
              </w:rPr>
            </w:pPr>
            <w:r>
              <w:rPr>
                <w:rFonts w:ascii="Times New Roman" w:hAns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29" w:type="dxa"/>
            <w:vMerge w:val="continue"/>
            <w:tcBorders>
              <w:top w:val="nil"/>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9"/>
              <w:spacing w:before="1"/>
              <w:ind w:left="113" w:right="96"/>
              <w:rPr>
                <w:sz w:val="21"/>
              </w:rPr>
            </w:pPr>
            <w:r>
              <w:rPr>
                <w:sz w:val="21"/>
              </w:rPr>
              <w:t>中度</w:t>
            </w:r>
          </w:p>
        </w:tc>
        <w:tc>
          <w:tcPr>
            <w:tcW w:w="1319" w:type="dxa"/>
            <w:tcBorders>
              <w:top w:val="single" w:color="000000" w:sz="4" w:space="0"/>
              <w:left w:val="single" w:color="000000" w:sz="4" w:space="0"/>
              <w:bottom w:val="single" w:color="000000" w:sz="4" w:space="0"/>
              <w:right w:val="single" w:color="000000" w:sz="4" w:space="0"/>
            </w:tcBorders>
          </w:tcPr>
          <w:p>
            <w:pPr>
              <w:pStyle w:val="19"/>
              <w:spacing w:before="17"/>
              <w:ind w:left="295" w:right="274"/>
              <w:rPr>
                <w:rFonts w:ascii="Times New Roman"/>
                <w:sz w:val="21"/>
              </w:rPr>
            </w:pPr>
            <w:r>
              <w:rPr>
                <w:rFonts w:ascii="Times New Roman"/>
                <w:sz w:val="21"/>
              </w:rPr>
              <w:t>3.0-6.0</w:t>
            </w:r>
          </w:p>
        </w:tc>
        <w:tc>
          <w:tcPr>
            <w:tcW w:w="1319" w:type="dxa"/>
            <w:tcBorders>
              <w:top w:val="single" w:color="000000" w:sz="4" w:space="0"/>
              <w:left w:val="single" w:color="000000" w:sz="4" w:space="0"/>
              <w:bottom w:val="single" w:color="000000" w:sz="4" w:space="0"/>
              <w:right w:val="single" w:color="000000" w:sz="4" w:space="0"/>
            </w:tcBorders>
          </w:tcPr>
          <w:p>
            <w:pPr>
              <w:pStyle w:val="19"/>
              <w:spacing w:before="17"/>
              <w:ind w:right="293"/>
              <w:jc w:val="right"/>
              <w:rPr>
                <w:rFonts w:ascii="Times New Roman"/>
                <w:sz w:val="21"/>
              </w:rPr>
            </w:pPr>
            <w:r>
              <w:rPr>
                <w:rFonts w:ascii="Times New Roman"/>
                <w:w w:val="95"/>
                <w:sz w:val="21"/>
              </w:rPr>
              <w:t>4.0-10.0</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17"/>
              <w:ind w:left="150" w:right="131"/>
              <w:rPr>
                <w:rFonts w:ascii="Times New Roman"/>
                <w:sz w:val="21"/>
              </w:rPr>
            </w:pPr>
            <w:r>
              <w:rPr>
                <w:rFonts w:ascii="Times New Roman"/>
                <w:sz w:val="21"/>
              </w:rPr>
              <w:t>1.0-2.0</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17"/>
              <w:ind w:left="150" w:right="131"/>
              <w:rPr>
                <w:rFonts w:ascii="Times New Roman"/>
                <w:sz w:val="21"/>
              </w:rPr>
            </w:pPr>
            <w:r>
              <w:rPr>
                <w:rFonts w:ascii="Times New Roman"/>
                <w:sz w:val="21"/>
              </w:rPr>
              <w:t>0-1.0</w:t>
            </w:r>
          </w:p>
        </w:tc>
        <w:tc>
          <w:tcPr>
            <w:tcW w:w="1208" w:type="dxa"/>
            <w:tcBorders>
              <w:top w:val="single" w:color="000000" w:sz="4" w:space="0"/>
              <w:left w:val="single" w:color="000000" w:sz="4" w:space="0"/>
              <w:bottom w:val="single" w:color="000000" w:sz="4" w:space="0"/>
            </w:tcBorders>
          </w:tcPr>
          <w:p>
            <w:pPr>
              <w:pStyle w:val="19"/>
              <w:spacing w:before="17"/>
              <w:ind w:left="265" w:right="240"/>
              <w:rPr>
                <w:rFonts w:ascii="Times New Roman"/>
                <w:sz w:val="21"/>
              </w:rPr>
            </w:pPr>
            <w:r>
              <w:rPr>
                <w:rFonts w:ascii="Times New Roman"/>
                <w:sz w:val="21"/>
              </w:rPr>
              <w:t>20-60.0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29" w:type="dxa"/>
            <w:vMerge w:val="continue"/>
            <w:tcBorders>
              <w:top w:val="nil"/>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9"/>
              <w:ind w:left="113" w:right="96"/>
              <w:rPr>
                <w:sz w:val="21"/>
              </w:rPr>
            </w:pPr>
            <w:r>
              <w:rPr>
                <w:sz w:val="21"/>
              </w:rPr>
              <w:t>重度</w:t>
            </w:r>
          </w:p>
        </w:tc>
        <w:tc>
          <w:tcPr>
            <w:tcW w:w="1319" w:type="dxa"/>
            <w:tcBorders>
              <w:top w:val="single" w:color="000000" w:sz="4" w:space="0"/>
              <w:left w:val="single" w:color="000000" w:sz="4" w:space="0"/>
              <w:bottom w:val="single" w:color="000000" w:sz="4" w:space="0"/>
              <w:right w:val="single" w:color="000000" w:sz="4" w:space="0"/>
            </w:tcBorders>
          </w:tcPr>
          <w:p>
            <w:pPr>
              <w:pStyle w:val="19"/>
              <w:ind w:left="293" w:right="274"/>
              <w:rPr>
                <w:rFonts w:ascii="Times New Roman" w:eastAsia="Times New Roman"/>
                <w:sz w:val="21"/>
              </w:rPr>
            </w:pPr>
            <w:r>
              <w:rPr>
                <w:sz w:val="21"/>
              </w:rPr>
              <w:t>＞</w:t>
            </w:r>
            <w:r>
              <w:rPr>
                <w:rFonts w:ascii="Times New Roman" w:eastAsia="Times New Roman"/>
                <w:sz w:val="21"/>
              </w:rPr>
              <w:t>6.0</w:t>
            </w:r>
          </w:p>
        </w:tc>
        <w:tc>
          <w:tcPr>
            <w:tcW w:w="1319" w:type="dxa"/>
            <w:tcBorders>
              <w:top w:val="single" w:color="000000" w:sz="4" w:space="0"/>
              <w:left w:val="single" w:color="000000" w:sz="4" w:space="0"/>
              <w:bottom w:val="single" w:color="000000" w:sz="4" w:space="0"/>
              <w:right w:val="single" w:color="000000" w:sz="4" w:space="0"/>
            </w:tcBorders>
          </w:tcPr>
          <w:p>
            <w:pPr>
              <w:pStyle w:val="19"/>
              <w:ind w:right="353"/>
              <w:jc w:val="right"/>
              <w:rPr>
                <w:rFonts w:ascii="Times New Roman" w:eastAsia="Times New Roman"/>
                <w:sz w:val="21"/>
              </w:rPr>
            </w:pPr>
            <w:r>
              <w:rPr>
                <w:w w:val="95"/>
                <w:sz w:val="21"/>
              </w:rPr>
              <w:t>＞</w:t>
            </w:r>
            <w:r>
              <w:rPr>
                <w:rFonts w:ascii="Times New Roman" w:eastAsia="Times New Roman"/>
                <w:w w:val="95"/>
                <w:sz w:val="21"/>
              </w:rPr>
              <w:t>10.0</w:t>
            </w:r>
          </w:p>
        </w:tc>
        <w:tc>
          <w:tcPr>
            <w:tcW w:w="1133" w:type="dxa"/>
            <w:tcBorders>
              <w:top w:val="single" w:color="000000" w:sz="4" w:space="0"/>
              <w:left w:val="single" w:color="000000" w:sz="4" w:space="0"/>
              <w:bottom w:val="single" w:color="000000" w:sz="4" w:space="0"/>
              <w:right w:val="single" w:color="000000" w:sz="4" w:space="0"/>
            </w:tcBorders>
          </w:tcPr>
          <w:p>
            <w:pPr>
              <w:pStyle w:val="19"/>
              <w:ind w:left="150" w:right="131"/>
              <w:rPr>
                <w:rFonts w:ascii="Times New Roman" w:eastAsia="Times New Roman"/>
                <w:sz w:val="21"/>
              </w:rPr>
            </w:pPr>
            <w:r>
              <w:rPr>
                <w:sz w:val="21"/>
              </w:rPr>
              <w:t>＞</w:t>
            </w:r>
            <w:r>
              <w:rPr>
                <w:rFonts w:ascii="Times New Roman" w:eastAsia="Times New Roman"/>
                <w:sz w:val="21"/>
              </w:rPr>
              <w:t>2.0</w:t>
            </w:r>
          </w:p>
        </w:tc>
        <w:tc>
          <w:tcPr>
            <w:tcW w:w="1133" w:type="dxa"/>
            <w:tcBorders>
              <w:top w:val="single" w:color="000000" w:sz="4" w:space="0"/>
              <w:left w:val="single" w:color="000000" w:sz="4" w:space="0"/>
              <w:bottom w:val="single" w:color="000000" w:sz="4" w:space="0"/>
              <w:right w:val="single" w:color="000000" w:sz="4" w:space="0"/>
            </w:tcBorders>
          </w:tcPr>
          <w:p>
            <w:pPr>
              <w:pStyle w:val="19"/>
              <w:ind w:left="150" w:right="131"/>
              <w:rPr>
                <w:rFonts w:ascii="Times New Roman" w:eastAsia="Times New Roman"/>
                <w:sz w:val="21"/>
              </w:rPr>
            </w:pPr>
            <w:r>
              <w:rPr>
                <w:sz w:val="21"/>
              </w:rPr>
              <w:t>＜</w:t>
            </w:r>
            <w:r>
              <w:rPr>
                <w:rFonts w:ascii="Times New Roman" w:eastAsia="Times New Roman"/>
                <w:sz w:val="21"/>
              </w:rPr>
              <w:t>0</w:t>
            </w:r>
          </w:p>
        </w:tc>
        <w:tc>
          <w:tcPr>
            <w:tcW w:w="1208" w:type="dxa"/>
            <w:tcBorders>
              <w:top w:val="single" w:color="000000" w:sz="4" w:space="0"/>
              <w:left w:val="single" w:color="000000" w:sz="4" w:space="0"/>
              <w:bottom w:val="single" w:color="000000" w:sz="4" w:space="0"/>
            </w:tcBorders>
          </w:tcPr>
          <w:p>
            <w:pPr>
              <w:pStyle w:val="19"/>
              <w:ind w:left="263" w:right="240"/>
              <w:rPr>
                <w:rFonts w:ascii="Times New Roman" w:eastAsia="Times New Roman"/>
                <w:sz w:val="21"/>
              </w:rPr>
            </w:pPr>
            <w:r>
              <w:rPr>
                <w:sz w:val="21"/>
              </w:rPr>
              <w:t>＞</w:t>
            </w:r>
            <w:r>
              <w:rPr>
                <w:rFonts w:ascii="Times New Roman" w:eastAsia="Times New Roman"/>
                <w:sz w:val="21"/>
              </w:rPr>
              <w:t>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29" w:type="dxa"/>
            <w:vMerge w:val="restart"/>
            <w:tcBorders>
              <w:top w:val="single" w:color="000000" w:sz="4" w:space="0"/>
              <w:bottom w:val="single" w:color="000000" w:sz="4" w:space="0"/>
              <w:right w:val="single" w:color="000000" w:sz="4" w:space="0"/>
            </w:tcBorders>
          </w:tcPr>
          <w:p>
            <w:pPr>
              <w:pStyle w:val="19"/>
              <w:spacing w:before="1"/>
              <w:jc w:val="left"/>
              <w:rPr>
                <w:b/>
                <w:sz w:val="26"/>
              </w:rPr>
            </w:pPr>
          </w:p>
          <w:p>
            <w:pPr>
              <w:pStyle w:val="19"/>
              <w:spacing w:before="1"/>
              <w:ind w:left="249"/>
              <w:jc w:val="left"/>
              <w:rPr>
                <w:sz w:val="21"/>
              </w:rPr>
            </w:pPr>
            <w:r>
              <w:rPr>
                <w:sz w:val="21"/>
              </w:rPr>
              <w:t>水浇地</w:t>
            </w:r>
          </w:p>
        </w:tc>
        <w:tc>
          <w:tcPr>
            <w:tcW w:w="1311" w:type="dxa"/>
            <w:tcBorders>
              <w:top w:val="single" w:color="000000" w:sz="4" w:space="0"/>
              <w:left w:val="single" w:color="000000" w:sz="4" w:space="0"/>
              <w:bottom w:val="single" w:color="000000" w:sz="4" w:space="0"/>
              <w:right w:val="single" w:color="000000" w:sz="4" w:space="0"/>
            </w:tcBorders>
          </w:tcPr>
          <w:p>
            <w:pPr>
              <w:pStyle w:val="19"/>
              <w:spacing w:line="268" w:lineRule="exact"/>
              <w:ind w:left="113" w:right="96"/>
              <w:rPr>
                <w:sz w:val="21"/>
              </w:rPr>
            </w:pPr>
            <w:r>
              <w:rPr>
                <w:sz w:val="21"/>
              </w:rPr>
              <w:t>轻度</w:t>
            </w:r>
          </w:p>
        </w:tc>
        <w:tc>
          <w:tcPr>
            <w:tcW w:w="1319" w:type="dxa"/>
            <w:tcBorders>
              <w:top w:val="single" w:color="000000" w:sz="4" w:space="0"/>
              <w:left w:val="single" w:color="000000" w:sz="4" w:space="0"/>
              <w:bottom w:val="single" w:color="000000" w:sz="4" w:space="0"/>
              <w:right w:val="single" w:color="000000" w:sz="4" w:space="0"/>
            </w:tcBorders>
          </w:tcPr>
          <w:p>
            <w:pPr>
              <w:pStyle w:val="19"/>
              <w:spacing w:before="17"/>
              <w:ind w:left="295" w:right="274"/>
              <w:rPr>
                <w:rFonts w:ascii="Times New Roman" w:hAnsi="Times New Roman"/>
                <w:sz w:val="21"/>
              </w:rPr>
            </w:pPr>
            <w:r>
              <w:rPr>
                <w:rFonts w:ascii="Times New Roman" w:hAnsi="Times New Roman"/>
                <w:sz w:val="21"/>
              </w:rPr>
              <w:t>≤4.0</w:t>
            </w:r>
          </w:p>
        </w:tc>
        <w:tc>
          <w:tcPr>
            <w:tcW w:w="1319" w:type="dxa"/>
            <w:tcBorders>
              <w:top w:val="single" w:color="000000" w:sz="4" w:space="0"/>
              <w:left w:val="single" w:color="000000" w:sz="4" w:space="0"/>
              <w:bottom w:val="single" w:color="000000" w:sz="4" w:space="0"/>
              <w:right w:val="single" w:color="000000" w:sz="4" w:space="0"/>
            </w:tcBorders>
          </w:tcPr>
          <w:p>
            <w:pPr>
              <w:pStyle w:val="19"/>
              <w:spacing w:before="17"/>
              <w:ind w:left="292" w:right="274"/>
              <w:rPr>
                <w:rFonts w:ascii="Times New Roman" w:hAnsi="Times New Roman"/>
                <w:sz w:val="21"/>
              </w:rPr>
            </w:pPr>
            <w:r>
              <w:rPr>
                <w:rFonts w:ascii="Times New Roman" w:hAnsi="Times New Roman"/>
                <w:sz w:val="21"/>
              </w:rPr>
              <w:t>≤6.0</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17"/>
              <w:ind w:left="150" w:right="131"/>
              <w:rPr>
                <w:rFonts w:ascii="Times New Roman" w:hAnsi="Times New Roman"/>
                <w:sz w:val="21"/>
              </w:rPr>
            </w:pPr>
            <w:r>
              <w:rPr>
                <w:rFonts w:ascii="Times New Roman" w:hAnsi="Times New Roman"/>
                <w:sz w:val="21"/>
              </w:rPr>
              <w:t>≤1.5</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17"/>
              <w:ind w:left="150" w:right="131"/>
              <w:rPr>
                <w:rFonts w:ascii="Times New Roman" w:hAnsi="Times New Roman"/>
                <w:sz w:val="21"/>
              </w:rPr>
            </w:pPr>
            <w:r>
              <w:rPr>
                <w:rFonts w:ascii="Times New Roman" w:hAnsi="Times New Roman"/>
                <w:sz w:val="21"/>
              </w:rPr>
              <w:t>≥1.5</w:t>
            </w:r>
          </w:p>
        </w:tc>
        <w:tc>
          <w:tcPr>
            <w:tcW w:w="1208" w:type="dxa"/>
            <w:tcBorders>
              <w:top w:val="single" w:color="000000" w:sz="4" w:space="0"/>
              <w:left w:val="single" w:color="000000" w:sz="4" w:space="0"/>
              <w:bottom w:val="single" w:color="000000" w:sz="4" w:space="0"/>
            </w:tcBorders>
          </w:tcPr>
          <w:p>
            <w:pPr>
              <w:pStyle w:val="19"/>
              <w:spacing w:before="17"/>
              <w:ind w:left="265" w:right="240"/>
              <w:rPr>
                <w:rFonts w:ascii="Times New Roman" w:hAnsi="Times New Roman"/>
                <w:sz w:val="21"/>
              </w:rPr>
            </w:pPr>
            <w:r>
              <w:rPr>
                <w:rFonts w:ascii="Times New Roman" w:hAns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129" w:type="dxa"/>
            <w:vMerge w:val="continue"/>
            <w:tcBorders>
              <w:top w:val="nil"/>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9"/>
              <w:ind w:left="113" w:right="96"/>
              <w:rPr>
                <w:sz w:val="21"/>
              </w:rPr>
            </w:pPr>
            <w:r>
              <w:rPr>
                <w:sz w:val="21"/>
              </w:rPr>
              <w:t>中度</w:t>
            </w:r>
          </w:p>
        </w:tc>
        <w:tc>
          <w:tcPr>
            <w:tcW w:w="1319" w:type="dxa"/>
            <w:tcBorders>
              <w:top w:val="single" w:color="000000" w:sz="4" w:space="0"/>
              <w:left w:val="single" w:color="000000" w:sz="4" w:space="0"/>
              <w:bottom w:val="single" w:color="000000" w:sz="4" w:space="0"/>
              <w:right w:val="single" w:color="000000" w:sz="4" w:space="0"/>
            </w:tcBorders>
          </w:tcPr>
          <w:p>
            <w:pPr>
              <w:pStyle w:val="19"/>
              <w:spacing w:before="16"/>
              <w:ind w:left="295" w:right="274"/>
              <w:rPr>
                <w:rFonts w:ascii="Times New Roman"/>
                <w:sz w:val="21"/>
              </w:rPr>
            </w:pPr>
            <w:r>
              <w:rPr>
                <w:rFonts w:ascii="Times New Roman"/>
                <w:sz w:val="21"/>
              </w:rPr>
              <w:t>4.0-8.0</w:t>
            </w:r>
          </w:p>
        </w:tc>
        <w:tc>
          <w:tcPr>
            <w:tcW w:w="1319" w:type="dxa"/>
            <w:tcBorders>
              <w:top w:val="single" w:color="000000" w:sz="4" w:space="0"/>
              <w:left w:val="single" w:color="000000" w:sz="4" w:space="0"/>
              <w:bottom w:val="single" w:color="000000" w:sz="4" w:space="0"/>
              <w:right w:val="single" w:color="000000" w:sz="4" w:space="0"/>
            </w:tcBorders>
          </w:tcPr>
          <w:p>
            <w:pPr>
              <w:pStyle w:val="19"/>
              <w:spacing w:before="16"/>
              <w:ind w:right="293"/>
              <w:jc w:val="right"/>
              <w:rPr>
                <w:rFonts w:ascii="Times New Roman"/>
                <w:sz w:val="21"/>
              </w:rPr>
            </w:pPr>
            <w:r>
              <w:rPr>
                <w:rFonts w:ascii="Times New Roman"/>
                <w:w w:val="95"/>
                <w:sz w:val="21"/>
              </w:rPr>
              <w:t>6.0-12.0</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16"/>
              <w:ind w:left="150" w:right="131"/>
              <w:rPr>
                <w:rFonts w:ascii="Times New Roman"/>
                <w:sz w:val="21"/>
              </w:rPr>
            </w:pPr>
            <w:r>
              <w:rPr>
                <w:rFonts w:ascii="Times New Roman"/>
                <w:sz w:val="21"/>
              </w:rPr>
              <w:t>1.5-3.0</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16"/>
              <w:ind w:left="150" w:right="131"/>
              <w:rPr>
                <w:rFonts w:ascii="Times New Roman"/>
                <w:sz w:val="21"/>
              </w:rPr>
            </w:pPr>
            <w:r>
              <w:rPr>
                <w:rFonts w:ascii="Times New Roman"/>
                <w:sz w:val="21"/>
              </w:rPr>
              <w:t>0.5-1.5</w:t>
            </w:r>
          </w:p>
        </w:tc>
        <w:tc>
          <w:tcPr>
            <w:tcW w:w="1208" w:type="dxa"/>
            <w:tcBorders>
              <w:top w:val="single" w:color="000000" w:sz="4" w:space="0"/>
              <w:left w:val="single" w:color="000000" w:sz="4" w:space="0"/>
              <w:bottom w:val="single" w:color="000000" w:sz="4" w:space="0"/>
            </w:tcBorders>
          </w:tcPr>
          <w:p>
            <w:pPr>
              <w:pStyle w:val="19"/>
              <w:spacing w:before="16"/>
              <w:ind w:left="265" w:right="240"/>
              <w:rPr>
                <w:rFonts w:ascii="Times New Roman"/>
                <w:sz w:val="21"/>
              </w:rPr>
            </w:pPr>
            <w:r>
              <w:rPr>
                <w:rFonts w:ascii="Times New Roman"/>
                <w:sz w:val="21"/>
              </w:rPr>
              <w:t>20-60.0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129" w:type="dxa"/>
            <w:vMerge w:val="continue"/>
            <w:tcBorders>
              <w:top w:val="nil"/>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9"/>
              <w:spacing w:line="268" w:lineRule="exact"/>
              <w:ind w:left="113" w:right="96"/>
              <w:rPr>
                <w:sz w:val="21"/>
              </w:rPr>
            </w:pPr>
            <w:r>
              <w:rPr>
                <w:sz w:val="21"/>
              </w:rPr>
              <w:t>重度</w:t>
            </w:r>
          </w:p>
        </w:tc>
        <w:tc>
          <w:tcPr>
            <w:tcW w:w="1319" w:type="dxa"/>
            <w:tcBorders>
              <w:top w:val="single" w:color="000000" w:sz="4" w:space="0"/>
              <w:left w:val="single" w:color="000000" w:sz="4" w:space="0"/>
              <w:bottom w:val="single" w:color="000000" w:sz="4" w:space="0"/>
              <w:right w:val="single" w:color="000000" w:sz="4" w:space="0"/>
            </w:tcBorders>
          </w:tcPr>
          <w:p>
            <w:pPr>
              <w:pStyle w:val="19"/>
              <w:spacing w:line="268" w:lineRule="exact"/>
              <w:ind w:left="293" w:right="274"/>
              <w:rPr>
                <w:rFonts w:ascii="Times New Roman" w:eastAsia="Times New Roman"/>
                <w:sz w:val="21"/>
              </w:rPr>
            </w:pPr>
            <w:r>
              <w:rPr>
                <w:sz w:val="21"/>
              </w:rPr>
              <w:t>＞</w:t>
            </w:r>
            <w:r>
              <w:rPr>
                <w:rFonts w:ascii="Times New Roman" w:eastAsia="Times New Roman"/>
                <w:sz w:val="21"/>
              </w:rPr>
              <w:t>8.0</w:t>
            </w:r>
          </w:p>
        </w:tc>
        <w:tc>
          <w:tcPr>
            <w:tcW w:w="1319" w:type="dxa"/>
            <w:tcBorders>
              <w:top w:val="single" w:color="000000" w:sz="4" w:space="0"/>
              <w:left w:val="single" w:color="000000" w:sz="4" w:space="0"/>
              <w:bottom w:val="single" w:color="000000" w:sz="4" w:space="0"/>
              <w:right w:val="single" w:color="000000" w:sz="4" w:space="0"/>
            </w:tcBorders>
          </w:tcPr>
          <w:p>
            <w:pPr>
              <w:pStyle w:val="19"/>
              <w:spacing w:line="268" w:lineRule="exact"/>
              <w:ind w:right="353"/>
              <w:jc w:val="right"/>
              <w:rPr>
                <w:rFonts w:ascii="Times New Roman" w:eastAsia="Times New Roman"/>
                <w:sz w:val="21"/>
              </w:rPr>
            </w:pPr>
            <w:r>
              <w:rPr>
                <w:w w:val="95"/>
                <w:sz w:val="21"/>
              </w:rPr>
              <w:t>＞</w:t>
            </w:r>
            <w:r>
              <w:rPr>
                <w:rFonts w:ascii="Times New Roman" w:eastAsia="Times New Roman"/>
                <w:w w:val="95"/>
                <w:sz w:val="21"/>
              </w:rPr>
              <w:t>12.0</w:t>
            </w:r>
          </w:p>
        </w:tc>
        <w:tc>
          <w:tcPr>
            <w:tcW w:w="1133" w:type="dxa"/>
            <w:tcBorders>
              <w:top w:val="single" w:color="000000" w:sz="4" w:space="0"/>
              <w:left w:val="single" w:color="000000" w:sz="4" w:space="0"/>
              <w:bottom w:val="single" w:color="000000" w:sz="4" w:space="0"/>
              <w:right w:val="single" w:color="000000" w:sz="4" w:space="0"/>
            </w:tcBorders>
          </w:tcPr>
          <w:p>
            <w:pPr>
              <w:pStyle w:val="19"/>
              <w:spacing w:line="268" w:lineRule="exact"/>
              <w:ind w:left="150" w:right="131"/>
              <w:rPr>
                <w:rFonts w:ascii="Times New Roman" w:eastAsia="Times New Roman"/>
                <w:sz w:val="21"/>
              </w:rPr>
            </w:pPr>
            <w:r>
              <w:rPr>
                <w:sz w:val="21"/>
              </w:rPr>
              <w:t>＞</w:t>
            </w:r>
            <w:r>
              <w:rPr>
                <w:rFonts w:ascii="Times New Roman" w:eastAsia="Times New Roman"/>
                <w:sz w:val="21"/>
              </w:rPr>
              <w:t>3.0</w:t>
            </w:r>
          </w:p>
        </w:tc>
        <w:tc>
          <w:tcPr>
            <w:tcW w:w="1133" w:type="dxa"/>
            <w:tcBorders>
              <w:top w:val="single" w:color="000000" w:sz="4" w:space="0"/>
              <w:left w:val="single" w:color="000000" w:sz="4" w:space="0"/>
              <w:bottom w:val="single" w:color="000000" w:sz="4" w:space="0"/>
              <w:right w:val="single" w:color="000000" w:sz="4" w:space="0"/>
            </w:tcBorders>
          </w:tcPr>
          <w:p>
            <w:pPr>
              <w:pStyle w:val="19"/>
              <w:spacing w:line="268" w:lineRule="exact"/>
              <w:ind w:left="150" w:right="131"/>
              <w:rPr>
                <w:rFonts w:ascii="Times New Roman" w:eastAsia="Times New Roman"/>
                <w:sz w:val="21"/>
              </w:rPr>
            </w:pPr>
            <w:r>
              <w:rPr>
                <w:sz w:val="21"/>
              </w:rPr>
              <w:t>＜</w:t>
            </w:r>
            <w:r>
              <w:rPr>
                <w:rFonts w:ascii="Times New Roman" w:eastAsia="Times New Roman"/>
                <w:sz w:val="21"/>
              </w:rPr>
              <w:t>0.5</w:t>
            </w:r>
          </w:p>
        </w:tc>
        <w:tc>
          <w:tcPr>
            <w:tcW w:w="1208" w:type="dxa"/>
            <w:tcBorders>
              <w:top w:val="single" w:color="000000" w:sz="4" w:space="0"/>
              <w:left w:val="single" w:color="000000" w:sz="4" w:space="0"/>
              <w:bottom w:val="single" w:color="000000" w:sz="4" w:space="0"/>
            </w:tcBorders>
          </w:tcPr>
          <w:p>
            <w:pPr>
              <w:pStyle w:val="19"/>
              <w:spacing w:line="268" w:lineRule="exact"/>
              <w:ind w:left="263" w:right="240"/>
              <w:rPr>
                <w:rFonts w:ascii="Times New Roman" w:eastAsia="Times New Roman"/>
                <w:sz w:val="21"/>
              </w:rPr>
            </w:pPr>
            <w:r>
              <w:rPr>
                <w:sz w:val="21"/>
              </w:rPr>
              <w:t>＞</w:t>
            </w:r>
            <w:r>
              <w:rPr>
                <w:rFonts w:ascii="Times New Roman" w:eastAsia="Times New Roman"/>
                <w:sz w:val="21"/>
              </w:rPr>
              <w:t>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29" w:type="dxa"/>
            <w:vMerge w:val="restart"/>
            <w:tcBorders>
              <w:top w:val="single" w:color="000000" w:sz="4" w:space="0"/>
              <w:bottom w:val="single" w:color="000000" w:sz="4" w:space="0"/>
              <w:right w:val="single" w:color="000000" w:sz="4" w:space="0"/>
            </w:tcBorders>
          </w:tcPr>
          <w:p>
            <w:pPr>
              <w:pStyle w:val="19"/>
              <w:spacing w:before="4"/>
              <w:jc w:val="left"/>
              <w:rPr>
                <w:b/>
                <w:sz w:val="26"/>
              </w:rPr>
            </w:pPr>
          </w:p>
          <w:p>
            <w:pPr>
              <w:pStyle w:val="19"/>
              <w:ind w:left="352"/>
              <w:jc w:val="left"/>
              <w:rPr>
                <w:sz w:val="21"/>
              </w:rPr>
            </w:pPr>
            <w:r>
              <w:rPr>
                <w:sz w:val="21"/>
              </w:rPr>
              <w:t>旱地</w:t>
            </w:r>
          </w:p>
        </w:tc>
        <w:tc>
          <w:tcPr>
            <w:tcW w:w="1311" w:type="dxa"/>
            <w:tcBorders>
              <w:top w:val="single" w:color="000000" w:sz="4" w:space="0"/>
              <w:left w:val="single" w:color="000000" w:sz="4" w:space="0"/>
              <w:bottom w:val="single" w:color="000000" w:sz="4" w:space="0"/>
              <w:right w:val="single" w:color="000000" w:sz="4" w:space="0"/>
            </w:tcBorders>
          </w:tcPr>
          <w:p>
            <w:pPr>
              <w:pStyle w:val="19"/>
              <w:spacing w:before="1"/>
              <w:ind w:left="113" w:right="96"/>
              <w:rPr>
                <w:sz w:val="21"/>
              </w:rPr>
            </w:pPr>
            <w:r>
              <w:rPr>
                <w:sz w:val="21"/>
              </w:rPr>
              <w:t>轻度</w:t>
            </w:r>
          </w:p>
        </w:tc>
        <w:tc>
          <w:tcPr>
            <w:tcW w:w="1319" w:type="dxa"/>
            <w:tcBorders>
              <w:top w:val="single" w:color="000000" w:sz="4" w:space="0"/>
              <w:left w:val="single" w:color="000000" w:sz="4" w:space="0"/>
              <w:bottom w:val="single" w:color="000000" w:sz="4" w:space="0"/>
              <w:right w:val="single" w:color="000000" w:sz="4" w:space="0"/>
            </w:tcBorders>
          </w:tcPr>
          <w:p>
            <w:pPr>
              <w:pStyle w:val="19"/>
              <w:spacing w:before="18"/>
              <w:ind w:left="295" w:right="274"/>
              <w:rPr>
                <w:rFonts w:ascii="Times New Roman" w:hAnsi="Times New Roman"/>
                <w:sz w:val="21"/>
              </w:rPr>
            </w:pPr>
            <w:r>
              <w:rPr>
                <w:rFonts w:ascii="Times New Roman" w:hAnsi="Times New Roman"/>
                <w:sz w:val="21"/>
              </w:rPr>
              <w:t>≤8.0</w:t>
            </w:r>
          </w:p>
        </w:tc>
        <w:tc>
          <w:tcPr>
            <w:tcW w:w="1319" w:type="dxa"/>
            <w:tcBorders>
              <w:top w:val="single" w:color="000000" w:sz="4" w:space="0"/>
              <w:left w:val="single" w:color="000000" w:sz="4" w:space="0"/>
              <w:bottom w:val="single" w:color="000000" w:sz="4" w:space="0"/>
              <w:right w:val="single" w:color="000000" w:sz="4" w:space="0"/>
            </w:tcBorders>
          </w:tcPr>
          <w:p>
            <w:pPr>
              <w:pStyle w:val="19"/>
              <w:spacing w:before="18"/>
              <w:ind w:left="422"/>
              <w:jc w:val="left"/>
              <w:rPr>
                <w:rFonts w:ascii="Times New Roman" w:hAnsi="Times New Roman"/>
                <w:sz w:val="21"/>
              </w:rPr>
            </w:pPr>
            <w:r>
              <w:rPr>
                <w:rFonts w:ascii="Times New Roman" w:hAnsi="Times New Roman"/>
                <w:sz w:val="21"/>
              </w:rPr>
              <w:t>≤20.0</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18"/>
              <w:ind w:left="150" w:right="131"/>
              <w:rPr>
                <w:rFonts w:ascii="Times New Roman" w:hAnsi="Times New Roman"/>
                <w:sz w:val="21"/>
              </w:rPr>
            </w:pPr>
            <w:r>
              <w:rPr>
                <w:rFonts w:ascii="Times New Roman" w:hAnsi="Times New Roman"/>
                <w:sz w:val="21"/>
              </w:rPr>
              <w:t>≤2.0</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18"/>
              <w:ind w:left="150" w:right="131"/>
              <w:rPr>
                <w:rFonts w:ascii="Times New Roman" w:hAnsi="Times New Roman"/>
                <w:sz w:val="21"/>
              </w:rPr>
            </w:pPr>
            <w:r>
              <w:rPr>
                <w:rFonts w:ascii="Times New Roman" w:hAnsi="Times New Roman"/>
                <w:sz w:val="21"/>
              </w:rPr>
              <w:t>≥1.5</w:t>
            </w:r>
          </w:p>
        </w:tc>
        <w:tc>
          <w:tcPr>
            <w:tcW w:w="1208" w:type="dxa"/>
            <w:tcBorders>
              <w:top w:val="single" w:color="000000" w:sz="4" w:space="0"/>
              <w:left w:val="single" w:color="000000" w:sz="4" w:space="0"/>
              <w:bottom w:val="single" w:color="000000" w:sz="4" w:space="0"/>
            </w:tcBorders>
          </w:tcPr>
          <w:p>
            <w:pPr>
              <w:pStyle w:val="19"/>
              <w:spacing w:before="18"/>
              <w:ind w:left="265" w:right="240"/>
              <w:rPr>
                <w:rFonts w:ascii="Times New Roman" w:hAnsi="Times New Roman"/>
                <w:sz w:val="21"/>
              </w:rPr>
            </w:pPr>
            <w:r>
              <w:rPr>
                <w:rFonts w:ascii="Times New Roman" w:hAns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129" w:type="dxa"/>
            <w:vMerge w:val="continue"/>
            <w:tcBorders>
              <w:top w:val="nil"/>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9"/>
              <w:spacing w:before="1"/>
              <w:ind w:left="113" w:right="96"/>
              <w:rPr>
                <w:sz w:val="21"/>
              </w:rPr>
            </w:pPr>
            <w:r>
              <w:rPr>
                <w:sz w:val="21"/>
              </w:rPr>
              <w:t>中度</w:t>
            </w:r>
          </w:p>
        </w:tc>
        <w:tc>
          <w:tcPr>
            <w:tcW w:w="1319" w:type="dxa"/>
            <w:tcBorders>
              <w:top w:val="single" w:color="000000" w:sz="4" w:space="0"/>
              <w:left w:val="single" w:color="000000" w:sz="4" w:space="0"/>
              <w:bottom w:val="single" w:color="000000" w:sz="4" w:space="0"/>
              <w:right w:val="single" w:color="000000" w:sz="4" w:space="0"/>
            </w:tcBorders>
          </w:tcPr>
          <w:p>
            <w:pPr>
              <w:pStyle w:val="19"/>
              <w:spacing w:before="17"/>
              <w:ind w:left="295" w:right="274"/>
              <w:rPr>
                <w:rFonts w:ascii="Times New Roman"/>
                <w:sz w:val="21"/>
              </w:rPr>
            </w:pPr>
            <w:r>
              <w:rPr>
                <w:rFonts w:ascii="Times New Roman"/>
                <w:sz w:val="21"/>
              </w:rPr>
              <w:t>8.0-16.0</w:t>
            </w:r>
          </w:p>
        </w:tc>
        <w:tc>
          <w:tcPr>
            <w:tcW w:w="1319" w:type="dxa"/>
            <w:tcBorders>
              <w:top w:val="single" w:color="000000" w:sz="4" w:space="0"/>
              <w:left w:val="single" w:color="000000" w:sz="4" w:space="0"/>
              <w:bottom w:val="single" w:color="000000" w:sz="4" w:space="0"/>
              <w:right w:val="single" w:color="000000" w:sz="4" w:space="0"/>
            </w:tcBorders>
          </w:tcPr>
          <w:p>
            <w:pPr>
              <w:pStyle w:val="19"/>
              <w:spacing w:before="17"/>
              <w:ind w:right="240"/>
              <w:jc w:val="right"/>
              <w:rPr>
                <w:rFonts w:ascii="Times New Roman"/>
                <w:sz w:val="21"/>
              </w:rPr>
            </w:pPr>
            <w:r>
              <w:rPr>
                <w:rFonts w:ascii="Times New Roman"/>
                <w:w w:val="95"/>
                <w:sz w:val="21"/>
              </w:rPr>
              <w:t>20.0-40.0</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17"/>
              <w:ind w:left="150" w:right="131"/>
              <w:rPr>
                <w:rFonts w:ascii="Times New Roman"/>
                <w:sz w:val="21"/>
              </w:rPr>
            </w:pPr>
            <w:r>
              <w:rPr>
                <w:rFonts w:ascii="Times New Roman"/>
                <w:sz w:val="21"/>
              </w:rPr>
              <w:t>2.0-5.0</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17"/>
              <w:ind w:left="150" w:right="131"/>
              <w:rPr>
                <w:rFonts w:ascii="Times New Roman"/>
                <w:sz w:val="21"/>
              </w:rPr>
            </w:pPr>
            <w:r>
              <w:rPr>
                <w:rFonts w:ascii="Times New Roman"/>
                <w:sz w:val="21"/>
              </w:rPr>
              <w:t>0.5-1.5</w:t>
            </w:r>
          </w:p>
        </w:tc>
        <w:tc>
          <w:tcPr>
            <w:tcW w:w="1208" w:type="dxa"/>
            <w:tcBorders>
              <w:top w:val="single" w:color="000000" w:sz="4" w:space="0"/>
              <w:left w:val="single" w:color="000000" w:sz="4" w:space="0"/>
              <w:bottom w:val="single" w:color="000000" w:sz="4" w:space="0"/>
            </w:tcBorders>
          </w:tcPr>
          <w:p>
            <w:pPr>
              <w:pStyle w:val="19"/>
              <w:spacing w:before="17"/>
              <w:ind w:left="265" w:right="240"/>
              <w:rPr>
                <w:rFonts w:ascii="Times New Roman"/>
                <w:sz w:val="21"/>
              </w:rPr>
            </w:pPr>
            <w:r>
              <w:rPr>
                <w:rFonts w:ascii="Times New Roman"/>
                <w:sz w:val="21"/>
              </w:rPr>
              <w:t>20-60.0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29" w:type="dxa"/>
            <w:vMerge w:val="continue"/>
            <w:tcBorders>
              <w:top w:val="nil"/>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9"/>
              <w:spacing w:before="2"/>
              <w:ind w:left="113" w:right="96"/>
              <w:rPr>
                <w:sz w:val="21"/>
              </w:rPr>
            </w:pPr>
            <w:r>
              <w:rPr>
                <w:sz w:val="21"/>
              </w:rPr>
              <w:t>重度</w:t>
            </w:r>
          </w:p>
        </w:tc>
        <w:tc>
          <w:tcPr>
            <w:tcW w:w="1319" w:type="dxa"/>
            <w:tcBorders>
              <w:top w:val="single" w:color="000000" w:sz="4" w:space="0"/>
              <w:left w:val="single" w:color="000000" w:sz="4" w:space="0"/>
              <w:bottom w:val="single" w:color="000000" w:sz="4" w:space="0"/>
              <w:right w:val="single" w:color="000000" w:sz="4" w:space="0"/>
            </w:tcBorders>
          </w:tcPr>
          <w:p>
            <w:pPr>
              <w:pStyle w:val="19"/>
              <w:spacing w:before="2"/>
              <w:ind w:left="293" w:right="274"/>
              <w:rPr>
                <w:rFonts w:ascii="Times New Roman" w:eastAsia="Times New Roman"/>
                <w:sz w:val="21"/>
              </w:rPr>
            </w:pPr>
            <w:r>
              <w:rPr>
                <w:sz w:val="21"/>
              </w:rPr>
              <w:t>＞</w:t>
            </w:r>
            <w:r>
              <w:rPr>
                <w:rFonts w:ascii="Times New Roman" w:eastAsia="Times New Roman"/>
                <w:sz w:val="21"/>
              </w:rPr>
              <w:t>16.0</w:t>
            </w:r>
          </w:p>
        </w:tc>
        <w:tc>
          <w:tcPr>
            <w:tcW w:w="1319" w:type="dxa"/>
            <w:tcBorders>
              <w:top w:val="single" w:color="000000" w:sz="4" w:space="0"/>
              <w:left w:val="single" w:color="000000" w:sz="4" w:space="0"/>
              <w:bottom w:val="single" w:color="000000" w:sz="4" w:space="0"/>
              <w:right w:val="single" w:color="000000" w:sz="4" w:space="0"/>
            </w:tcBorders>
          </w:tcPr>
          <w:p>
            <w:pPr>
              <w:pStyle w:val="19"/>
              <w:spacing w:before="2"/>
              <w:ind w:right="353"/>
              <w:jc w:val="right"/>
              <w:rPr>
                <w:rFonts w:ascii="Times New Roman" w:eastAsia="Times New Roman"/>
                <w:sz w:val="21"/>
              </w:rPr>
            </w:pPr>
            <w:r>
              <w:rPr>
                <w:w w:val="95"/>
                <w:sz w:val="21"/>
              </w:rPr>
              <w:t>＞</w:t>
            </w:r>
            <w:r>
              <w:rPr>
                <w:rFonts w:ascii="Times New Roman" w:eastAsia="Times New Roman"/>
                <w:w w:val="95"/>
                <w:sz w:val="21"/>
              </w:rPr>
              <w:t>40.0</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2"/>
              <w:ind w:left="150" w:right="131"/>
              <w:rPr>
                <w:rFonts w:ascii="Times New Roman" w:eastAsia="Times New Roman"/>
                <w:sz w:val="21"/>
              </w:rPr>
            </w:pPr>
            <w:r>
              <w:rPr>
                <w:sz w:val="21"/>
              </w:rPr>
              <w:t>＞</w:t>
            </w:r>
            <w:r>
              <w:rPr>
                <w:rFonts w:ascii="Times New Roman" w:eastAsia="Times New Roman"/>
                <w:sz w:val="21"/>
              </w:rPr>
              <w:t>5.0</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2"/>
              <w:ind w:left="150" w:right="131"/>
              <w:rPr>
                <w:rFonts w:ascii="Times New Roman" w:eastAsia="Times New Roman"/>
                <w:sz w:val="21"/>
              </w:rPr>
            </w:pPr>
            <w:r>
              <w:rPr>
                <w:sz w:val="21"/>
              </w:rPr>
              <w:t>＜</w:t>
            </w:r>
            <w:r>
              <w:rPr>
                <w:rFonts w:ascii="Times New Roman" w:eastAsia="Times New Roman"/>
                <w:sz w:val="21"/>
              </w:rPr>
              <w:t>0.5</w:t>
            </w:r>
          </w:p>
        </w:tc>
        <w:tc>
          <w:tcPr>
            <w:tcW w:w="1208" w:type="dxa"/>
            <w:tcBorders>
              <w:top w:val="single" w:color="000000" w:sz="4" w:space="0"/>
              <w:left w:val="single" w:color="000000" w:sz="4" w:space="0"/>
              <w:bottom w:val="single" w:color="000000" w:sz="4" w:space="0"/>
            </w:tcBorders>
          </w:tcPr>
          <w:p>
            <w:pPr>
              <w:pStyle w:val="19"/>
              <w:spacing w:before="2"/>
              <w:ind w:left="263" w:right="240"/>
              <w:rPr>
                <w:rFonts w:ascii="Times New Roman" w:eastAsia="Times New Roman"/>
                <w:sz w:val="21"/>
              </w:rPr>
            </w:pPr>
            <w:r>
              <w:rPr>
                <w:sz w:val="21"/>
              </w:rPr>
              <w:t>＞</w:t>
            </w:r>
            <w:r>
              <w:rPr>
                <w:rFonts w:ascii="Times New Roman" w:eastAsia="Times New Roman"/>
                <w:sz w:val="21"/>
              </w:rPr>
              <w:t>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1129" w:type="dxa"/>
            <w:vMerge w:val="restart"/>
            <w:tcBorders>
              <w:top w:val="single" w:color="000000" w:sz="4" w:space="0"/>
              <w:right w:val="single" w:color="000000" w:sz="4" w:space="0"/>
            </w:tcBorders>
          </w:tcPr>
          <w:p>
            <w:pPr>
              <w:pStyle w:val="19"/>
              <w:spacing w:before="174" w:line="288" w:lineRule="auto"/>
              <w:ind w:left="144" w:right="130"/>
              <w:jc w:val="left"/>
              <w:rPr>
                <w:sz w:val="21"/>
              </w:rPr>
            </w:pPr>
            <w:r>
              <w:rPr>
                <w:sz w:val="21"/>
              </w:rPr>
              <w:t>林地、草地、园地</w:t>
            </w:r>
          </w:p>
        </w:tc>
        <w:tc>
          <w:tcPr>
            <w:tcW w:w="1311" w:type="dxa"/>
            <w:tcBorders>
              <w:top w:val="single" w:color="000000" w:sz="4" w:space="0"/>
              <w:left w:val="single" w:color="000000" w:sz="4" w:space="0"/>
              <w:bottom w:val="single" w:color="000000" w:sz="4" w:space="0"/>
              <w:right w:val="single" w:color="000000" w:sz="4" w:space="0"/>
            </w:tcBorders>
          </w:tcPr>
          <w:p>
            <w:pPr>
              <w:pStyle w:val="19"/>
              <w:spacing w:before="1"/>
              <w:ind w:left="113" w:right="96"/>
              <w:rPr>
                <w:sz w:val="21"/>
              </w:rPr>
            </w:pPr>
            <w:r>
              <w:rPr>
                <w:sz w:val="21"/>
              </w:rPr>
              <w:t>轻度</w:t>
            </w:r>
          </w:p>
        </w:tc>
        <w:tc>
          <w:tcPr>
            <w:tcW w:w="1319" w:type="dxa"/>
            <w:tcBorders>
              <w:top w:val="single" w:color="000000" w:sz="4" w:space="0"/>
              <w:left w:val="single" w:color="000000" w:sz="4" w:space="0"/>
              <w:bottom w:val="single" w:color="000000" w:sz="4" w:space="0"/>
              <w:right w:val="single" w:color="000000" w:sz="4" w:space="0"/>
            </w:tcBorders>
          </w:tcPr>
          <w:p>
            <w:pPr>
              <w:pStyle w:val="19"/>
              <w:spacing w:before="17"/>
              <w:ind w:left="295" w:right="274"/>
              <w:rPr>
                <w:rFonts w:ascii="Times New Roman" w:hAnsi="Times New Roman"/>
                <w:sz w:val="21"/>
              </w:rPr>
            </w:pPr>
            <w:r>
              <w:rPr>
                <w:rFonts w:ascii="Times New Roman" w:hAnsi="Times New Roman"/>
                <w:sz w:val="21"/>
              </w:rPr>
              <w:t>≤8.0</w:t>
            </w:r>
          </w:p>
        </w:tc>
        <w:tc>
          <w:tcPr>
            <w:tcW w:w="1319" w:type="dxa"/>
            <w:tcBorders>
              <w:top w:val="single" w:color="000000" w:sz="4" w:space="0"/>
              <w:left w:val="single" w:color="000000" w:sz="4" w:space="0"/>
              <w:bottom w:val="single" w:color="000000" w:sz="4" w:space="0"/>
              <w:right w:val="single" w:color="000000" w:sz="4" w:space="0"/>
            </w:tcBorders>
          </w:tcPr>
          <w:p>
            <w:pPr>
              <w:pStyle w:val="19"/>
              <w:spacing w:before="17"/>
              <w:ind w:left="422"/>
              <w:jc w:val="left"/>
              <w:rPr>
                <w:rFonts w:ascii="Times New Roman" w:hAnsi="Times New Roman"/>
                <w:sz w:val="21"/>
              </w:rPr>
            </w:pPr>
            <w:r>
              <w:rPr>
                <w:rFonts w:ascii="Times New Roman" w:hAnsi="Times New Roman"/>
                <w:sz w:val="21"/>
              </w:rPr>
              <w:t>≤20.0</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17"/>
              <w:ind w:left="150" w:right="131"/>
              <w:rPr>
                <w:rFonts w:ascii="Times New Roman" w:hAnsi="Times New Roman"/>
                <w:sz w:val="21"/>
              </w:rPr>
            </w:pPr>
            <w:r>
              <w:rPr>
                <w:rFonts w:ascii="Times New Roman" w:hAnsi="Times New Roman"/>
                <w:sz w:val="21"/>
              </w:rPr>
              <w:t>≤2.0</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17"/>
              <w:ind w:left="150" w:right="131"/>
              <w:rPr>
                <w:rFonts w:ascii="Times New Roman" w:hAnsi="Times New Roman"/>
                <w:sz w:val="21"/>
              </w:rPr>
            </w:pPr>
            <w:r>
              <w:rPr>
                <w:rFonts w:ascii="Times New Roman" w:hAnsi="Times New Roman"/>
                <w:sz w:val="21"/>
              </w:rPr>
              <w:t>≥1.0</w:t>
            </w:r>
          </w:p>
        </w:tc>
        <w:tc>
          <w:tcPr>
            <w:tcW w:w="1208" w:type="dxa"/>
            <w:tcBorders>
              <w:top w:val="single" w:color="000000" w:sz="4" w:space="0"/>
              <w:left w:val="single" w:color="000000" w:sz="4" w:space="0"/>
              <w:bottom w:val="single" w:color="000000" w:sz="4" w:space="0"/>
            </w:tcBorders>
          </w:tcPr>
          <w:p>
            <w:pPr>
              <w:pStyle w:val="19"/>
              <w:spacing w:before="17"/>
              <w:ind w:left="265" w:right="240"/>
              <w:rPr>
                <w:rFonts w:ascii="Times New Roman" w:hAnsi="Times New Roman"/>
                <w:sz w:val="21"/>
              </w:rPr>
            </w:pPr>
            <w:r>
              <w:rPr>
                <w:rFonts w:ascii="Times New Roman" w:hAns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129" w:type="dxa"/>
            <w:vMerge w:val="continue"/>
            <w:tcBorders>
              <w:top w:val="nil"/>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13" w:right="96"/>
              <w:rPr>
                <w:sz w:val="21"/>
              </w:rPr>
            </w:pPr>
            <w:r>
              <w:rPr>
                <w:sz w:val="21"/>
              </w:rPr>
              <w:t>中度</w:t>
            </w:r>
          </w:p>
        </w:tc>
        <w:tc>
          <w:tcPr>
            <w:tcW w:w="1319" w:type="dxa"/>
            <w:tcBorders>
              <w:top w:val="single" w:color="000000" w:sz="4" w:space="0"/>
              <w:left w:val="single" w:color="000000" w:sz="4" w:space="0"/>
              <w:bottom w:val="single" w:color="000000" w:sz="4" w:space="0"/>
              <w:right w:val="single" w:color="000000" w:sz="4" w:space="0"/>
            </w:tcBorders>
          </w:tcPr>
          <w:p>
            <w:pPr>
              <w:pStyle w:val="19"/>
              <w:spacing w:before="11"/>
              <w:ind w:left="295" w:right="274"/>
              <w:rPr>
                <w:rFonts w:ascii="Times New Roman"/>
                <w:sz w:val="21"/>
              </w:rPr>
            </w:pPr>
            <w:r>
              <w:rPr>
                <w:rFonts w:ascii="Times New Roman"/>
                <w:sz w:val="21"/>
              </w:rPr>
              <w:t>8.0-20.0</w:t>
            </w:r>
          </w:p>
        </w:tc>
        <w:tc>
          <w:tcPr>
            <w:tcW w:w="1319" w:type="dxa"/>
            <w:tcBorders>
              <w:top w:val="single" w:color="000000" w:sz="4" w:space="0"/>
              <w:left w:val="single" w:color="000000" w:sz="4" w:space="0"/>
              <w:bottom w:val="single" w:color="000000" w:sz="4" w:space="0"/>
              <w:right w:val="single" w:color="000000" w:sz="4" w:space="0"/>
            </w:tcBorders>
          </w:tcPr>
          <w:p>
            <w:pPr>
              <w:pStyle w:val="19"/>
              <w:spacing w:before="11"/>
              <w:ind w:right="240"/>
              <w:jc w:val="right"/>
              <w:rPr>
                <w:rFonts w:ascii="Times New Roman"/>
                <w:sz w:val="21"/>
              </w:rPr>
            </w:pPr>
            <w:r>
              <w:rPr>
                <w:rFonts w:ascii="Times New Roman"/>
                <w:w w:val="95"/>
                <w:sz w:val="21"/>
              </w:rPr>
              <w:t>20.0-50.0</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11"/>
              <w:ind w:left="150" w:right="131"/>
              <w:rPr>
                <w:rFonts w:ascii="Times New Roman"/>
                <w:sz w:val="21"/>
              </w:rPr>
            </w:pPr>
            <w:r>
              <w:rPr>
                <w:rFonts w:ascii="Times New Roman"/>
                <w:sz w:val="21"/>
              </w:rPr>
              <w:t>2.0-6.0</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11"/>
              <w:ind w:left="150" w:right="131"/>
              <w:rPr>
                <w:rFonts w:ascii="Times New Roman"/>
                <w:sz w:val="21"/>
              </w:rPr>
            </w:pPr>
            <w:r>
              <w:rPr>
                <w:rFonts w:ascii="Times New Roman"/>
                <w:sz w:val="21"/>
              </w:rPr>
              <w:t>0.3-1.0</w:t>
            </w:r>
          </w:p>
        </w:tc>
        <w:tc>
          <w:tcPr>
            <w:tcW w:w="1208" w:type="dxa"/>
            <w:tcBorders>
              <w:top w:val="single" w:color="000000" w:sz="4" w:space="0"/>
              <w:left w:val="single" w:color="000000" w:sz="4" w:space="0"/>
              <w:bottom w:val="single" w:color="000000" w:sz="4" w:space="0"/>
            </w:tcBorders>
          </w:tcPr>
          <w:p>
            <w:pPr>
              <w:pStyle w:val="19"/>
              <w:spacing w:before="11"/>
              <w:ind w:left="265" w:right="240"/>
              <w:rPr>
                <w:rFonts w:ascii="Times New Roman"/>
                <w:sz w:val="21"/>
              </w:rPr>
            </w:pPr>
            <w:r>
              <w:rPr>
                <w:rFonts w:ascii="Times New Roman"/>
                <w:sz w:val="21"/>
              </w:rPr>
              <w:t>20-60.0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trPr>
        <w:tc>
          <w:tcPr>
            <w:tcW w:w="1129" w:type="dxa"/>
            <w:vMerge w:val="continue"/>
            <w:tcBorders>
              <w:top w:val="nil"/>
              <w:right w:val="single" w:color="000000" w:sz="4" w:space="0"/>
            </w:tcBorders>
          </w:tcPr>
          <w:p>
            <w:pPr>
              <w:rPr>
                <w:sz w:val="2"/>
                <w:szCs w:val="2"/>
              </w:rPr>
            </w:pPr>
          </w:p>
        </w:tc>
        <w:tc>
          <w:tcPr>
            <w:tcW w:w="1311" w:type="dxa"/>
            <w:tcBorders>
              <w:top w:val="single" w:color="000000" w:sz="4" w:space="0"/>
              <w:left w:val="single" w:color="000000" w:sz="4" w:space="0"/>
              <w:right w:val="single" w:color="000000" w:sz="4" w:space="0"/>
            </w:tcBorders>
          </w:tcPr>
          <w:p>
            <w:pPr>
              <w:pStyle w:val="19"/>
              <w:spacing w:line="264" w:lineRule="exact"/>
              <w:ind w:left="113" w:right="96"/>
              <w:rPr>
                <w:sz w:val="21"/>
              </w:rPr>
            </w:pPr>
            <w:r>
              <w:rPr>
                <w:sz w:val="21"/>
              </w:rPr>
              <w:t>重度</w:t>
            </w:r>
          </w:p>
        </w:tc>
        <w:tc>
          <w:tcPr>
            <w:tcW w:w="1319" w:type="dxa"/>
            <w:tcBorders>
              <w:top w:val="single" w:color="000000" w:sz="4" w:space="0"/>
              <w:left w:val="single" w:color="000000" w:sz="4" w:space="0"/>
              <w:right w:val="single" w:color="000000" w:sz="4" w:space="0"/>
            </w:tcBorders>
          </w:tcPr>
          <w:p>
            <w:pPr>
              <w:pStyle w:val="19"/>
              <w:spacing w:line="264" w:lineRule="exact"/>
              <w:ind w:left="293" w:right="274"/>
              <w:rPr>
                <w:rFonts w:ascii="Times New Roman" w:eastAsia="Times New Roman"/>
                <w:sz w:val="21"/>
              </w:rPr>
            </w:pPr>
            <w:r>
              <w:rPr>
                <w:sz w:val="21"/>
              </w:rPr>
              <w:t>＞</w:t>
            </w:r>
            <w:r>
              <w:rPr>
                <w:rFonts w:ascii="Times New Roman" w:eastAsia="Times New Roman"/>
                <w:sz w:val="21"/>
              </w:rPr>
              <w:t>20.0</w:t>
            </w:r>
          </w:p>
        </w:tc>
        <w:tc>
          <w:tcPr>
            <w:tcW w:w="1319" w:type="dxa"/>
            <w:tcBorders>
              <w:top w:val="single" w:color="000000" w:sz="4" w:space="0"/>
              <w:left w:val="single" w:color="000000" w:sz="4" w:space="0"/>
              <w:right w:val="single" w:color="000000" w:sz="4" w:space="0"/>
            </w:tcBorders>
          </w:tcPr>
          <w:p>
            <w:pPr>
              <w:pStyle w:val="19"/>
              <w:spacing w:line="264" w:lineRule="exact"/>
              <w:ind w:right="353"/>
              <w:jc w:val="right"/>
              <w:rPr>
                <w:rFonts w:ascii="Times New Roman" w:eastAsia="Times New Roman"/>
                <w:sz w:val="21"/>
              </w:rPr>
            </w:pPr>
            <w:r>
              <w:rPr>
                <w:w w:val="95"/>
                <w:sz w:val="21"/>
              </w:rPr>
              <w:t>＞</w:t>
            </w:r>
            <w:r>
              <w:rPr>
                <w:rFonts w:ascii="Times New Roman" w:eastAsia="Times New Roman"/>
                <w:w w:val="95"/>
                <w:sz w:val="21"/>
              </w:rPr>
              <w:t>50.0</w:t>
            </w:r>
          </w:p>
        </w:tc>
        <w:tc>
          <w:tcPr>
            <w:tcW w:w="1133" w:type="dxa"/>
            <w:tcBorders>
              <w:top w:val="single" w:color="000000" w:sz="4" w:space="0"/>
              <w:left w:val="single" w:color="000000" w:sz="4" w:space="0"/>
              <w:right w:val="single" w:color="000000" w:sz="4" w:space="0"/>
            </w:tcBorders>
          </w:tcPr>
          <w:p>
            <w:pPr>
              <w:pStyle w:val="19"/>
              <w:spacing w:line="264" w:lineRule="exact"/>
              <w:ind w:left="150" w:right="131"/>
              <w:rPr>
                <w:rFonts w:ascii="Times New Roman" w:eastAsia="Times New Roman"/>
                <w:sz w:val="21"/>
              </w:rPr>
            </w:pPr>
            <w:r>
              <w:rPr>
                <w:sz w:val="21"/>
              </w:rPr>
              <w:t>＞</w:t>
            </w:r>
            <w:r>
              <w:rPr>
                <w:rFonts w:ascii="Times New Roman" w:eastAsia="Times New Roman"/>
                <w:sz w:val="21"/>
              </w:rPr>
              <w:t>6.0</w:t>
            </w:r>
          </w:p>
        </w:tc>
        <w:tc>
          <w:tcPr>
            <w:tcW w:w="1133" w:type="dxa"/>
            <w:tcBorders>
              <w:top w:val="single" w:color="000000" w:sz="4" w:space="0"/>
              <w:left w:val="single" w:color="000000" w:sz="4" w:space="0"/>
              <w:right w:val="single" w:color="000000" w:sz="4" w:space="0"/>
            </w:tcBorders>
          </w:tcPr>
          <w:p>
            <w:pPr>
              <w:pStyle w:val="19"/>
              <w:spacing w:line="264" w:lineRule="exact"/>
              <w:ind w:left="150" w:right="131"/>
              <w:rPr>
                <w:rFonts w:ascii="Times New Roman" w:eastAsia="Times New Roman"/>
                <w:sz w:val="21"/>
              </w:rPr>
            </w:pPr>
            <w:r>
              <w:rPr>
                <w:sz w:val="21"/>
              </w:rPr>
              <w:t>＜</w:t>
            </w:r>
            <w:r>
              <w:rPr>
                <w:rFonts w:ascii="Times New Roman" w:eastAsia="Times New Roman"/>
                <w:sz w:val="21"/>
              </w:rPr>
              <w:t>0.3</w:t>
            </w:r>
          </w:p>
        </w:tc>
        <w:tc>
          <w:tcPr>
            <w:tcW w:w="1208" w:type="dxa"/>
            <w:tcBorders>
              <w:top w:val="single" w:color="000000" w:sz="4" w:space="0"/>
              <w:left w:val="single" w:color="000000" w:sz="4" w:space="0"/>
            </w:tcBorders>
          </w:tcPr>
          <w:p>
            <w:pPr>
              <w:pStyle w:val="19"/>
              <w:spacing w:line="264" w:lineRule="exact"/>
              <w:ind w:left="263" w:right="240"/>
              <w:rPr>
                <w:rFonts w:ascii="Times New Roman" w:eastAsia="Times New Roman"/>
                <w:sz w:val="21"/>
              </w:rPr>
            </w:pPr>
            <w:r>
              <w:rPr>
                <w:sz w:val="21"/>
              </w:rPr>
              <w:t>＞</w:t>
            </w:r>
            <w:r>
              <w:rPr>
                <w:rFonts w:ascii="Times New Roman" w:eastAsia="Times New Roman"/>
                <w:sz w:val="21"/>
              </w:rPr>
              <w:t>60.0</w:t>
            </w:r>
          </w:p>
        </w:tc>
      </w:tr>
    </w:tbl>
    <w:p>
      <w:pPr>
        <w:spacing w:after="0" w:line="264" w:lineRule="exact"/>
        <w:rPr>
          <w:rFonts w:ascii="Times New Roman" w:eastAsia="Times New Roman"/>
          <w:sz w:val="21"/>
        </w:rPr>
        <w:sectPr>
          <w:pgSz w:w="11910" w:h="16840"/>
          <w:pgMar w:top="1520" w:right="0" w:bottom="880" w:left="0" w:header="0" w:footer="681" w:gutter="0"/>
        </w:sectPr>
      </w:pPr>
    </w:p>
    <w:p>
      <w:pPr>
        <w:pStyle w:val="18"/>
        <w:numPr>
          <w:ilvl w:val="3"/>
          <w:numId w:val="54"/>
        </w:numPr>
        <w:tabs>
          <w:tab w:val="left" w:pos="2500"/>
        </w:tabs>
        <w:spacing w:before="56" w:after="0" w:line="240" w:lineRule="auto"/>
        <w:ind w:left="2499" w:right="0" w:hanging="602"/>
        <w:jc w:val="left"/>
        <w:rPr>
          <w:sz w:val="24"/>
        </w:rPr>
      </w:pPr>
      <w:r>
        <w:rPr>
          <w:sz w:val="24"/>
        </w:rPr>
        <w:t>地表移动持续时间</w:t>
      </w:r>
    </w:p>
    <w:p>
      <w:pPr>
        <w:pStyle w:val="9"/>
        <w:spacing w:before="214"/>
        <w:ind w:left="1898"/>
      </w:pPr>
      <w:r>
        <w:t>地表移动变形由于存在一定滞后性，故移动变形时间不同于采煤时间，移动变形延</w:t>
      </w:r>
    </w:p>
    <w:p>
      <w:pPr>
        <w:pStyle w:val="9"/>
        <w:spacing w:before="3"/>
        <w:rPr>
          <w:sz w:val="11"/>
        </w:rPr>
      </w:pPr>
    </w:p>
    <w:p>
      <w:pPr>
        <w:spacing w:after="0"/>
        <w:rPr>
          <w:sz w:val="11"/>
        </w:rPr>
        <w:sectPr>
          <w:pgSz w:w="11910" w:h="16840"/>
          <w:pgMar w:top="1520" w:right="0" w:bottom="880" w:left="0" w:header="0" w:footer="681" w:gutter="0"/>
        </w:sectPr>
      </w:pPr>
    </w:p>
    <w:p>
      <w:pPr>
        <w:pStyle w:val="9"/>
        <w:spacing w:before="67"/>
        <w:ind w:left="1418"/>
      </w:pPr>
      <w:r>
        <w:t>续时间如下：</w:t>
      </w:r>
    </w:p>
    <w:p>
      <w:pPr>
        <w:pStyle w:val="9"/>
      </w:pPr>
    </w:p>
    <w:p>
      <w:pPr>
        <w:pStyle w:val="9"/>
        <w:spacing w:before="3"/>
        <w:rPr>
          <w:sz w:val="21"/>
        </w:rPr>
      </w:pPr>
    </w:p>
    <w:p>
      <w:pPr>
        <w:pStyle w:val="9"/>
        <w:spacing w:line="403" w:lineRule="auto"/>
        <w:ind w:left="2551" w:hanging="653"/>
        <w:jc w:val="both"/>
      </w:pPr>
      <w:r>
        <w:rPr>
          <w:position w:val="2"/>
        </w:rPr>
        <w:t>式中：</w:t>
      </w:r>
      <w:r>
        <w:rPr>
          <w:rFonts w:ascii="Times New Roman" w:hAnsi="Times New Roman" w:eastAsia="Times New Roman"/>
          <w:position w:val="2"/>
        </w:rPr>
        <w:t>t</w:t>
      </w:r>
      <w:r>
        <w:rPr>
          <w:rFonts w:ascii="Times New Roman" w:hAnsi="Times New Roman" w:eastAsia="Times New Roman"/>
          <w:position w:val="2"/>
          <w:vertAlign w:val="subscript"/>
        </w:rPr>
        <w:t>1</w:t>
      </w:r>
      <w:r>
        <w:rPr>
          <w:rFonts w:ascii="Times New Roman" w:hAnsi="Times New Roman" w:eastAsia="Times New Roman"/>
          <w:position w:val="2"/>
          <w:vertAlign w:val="baseline"/>
        </w:rPr>
        <w:t>—</w:t>
      </w:r>
      <w:r>
        <w:rPr>
          <w:position w:val="2"/>
          <w:vertAlign w:val="baseline"/>
        </w:rPr>
        <w:t xml:space="preserve">移动初始期的时间； </w:t>
      </w:r>
      <w:r>
        <w:rPr>
          <w:rFonts w:ascii="Times New Roman" w:hAnsi="Times New Roman" w:eastAsia="Times New Roman"/>
          <w:position w:val="2"/>
          <w:vertAlign w:val="baseline"/>
        </w:rPr>
        <w:t>t</w:t>
      </w:r>
      <w:r>
        <w:rPr>
          <w:rFonts w:ascii="Times New Roman" w:hAnsi="Times New Roman" w:eastAsia="Times New Roman"/>
          <w:position w:val="2"/>
          <w:vertAlign w:val="subscript"/>
        </w:rPr>
        <w:t>2</w:t>
      </w:r>
      <w:r>
        <w:rPr>
          <w:rFonts w:ascii="Times New Roman" w:hAnsi="Times New Roman" w:eastAsia="Times New Roman"/>
          <w:position w:val="2"/>
          <w:vertAlign w:val="baseline"/>
        </w:rPr>
        <w:t>—</w:t>
      </w:r>
      <w:r>
        <w:rPr>
          <w:position w:val="2"/>
          <w:vertAlign w:val="baseline"/>
        </w:rPr>
        <w:t xml:space="preserve">移动活跃期的时间； </w:t>
      </w:r>
      <w:r>
        <w:rPr>
          <w:rFonts w:ascii="Times New Roman" w:hAnsi="Times New Roman" w:eastAsia="Times New Roman"/>
          <w:position w:val="2"/>
          <w:vertAlign w:val="baseline"/>
        </w:rPr>
        <w:t>t</w:t>
      </w:r>
      <w:r>
        <w:rPr>
          <w:rFonts w:ascii="Times New Roman" w:hAnsi="Times New Roman" w:eastAsia="Times New Roman"/>
          <w:position w:val="2"/>
          <w:vertAlign w:val="subscript"/>
        </w:rPr>
        <w:t>3</w:t>
      </w:r>
      <w:r>
        <w:rPr>
          <w:rFonts w:ascii="Times New Roman" w:hAnsi="Times New Roman" w:eastAsia="Times New Roman"/>
          <w:position w:val="2"/>
          <w:vertAlign w:val="baseline"/>
        </w:rPr>
        <w:t>—</w:t>
      </w:r>
      <w:r>
        <w:rPr>
          <w:position w:val="2"/>
          <w:vertAlign w:val="baseline"/>
        </w:rPr>
        <w:t>移动衰退期的时间。</w:t>
      </w:r>
    </w:p>
    <w:p>
      <w:pPr>
        <w:pStyle w:val="9"/>
        <w:spacing w:before="5"/>
        <w:rPr>
          <w:sz w:val="32"/>
        </w:rPr>
      </w:pPr>
      <w:r>
        <w:br w:type="column"/>
      </w:r>
    </w:p>
    <w:p>
      <w:pPr>
        <w:spacing w:before="0"/>
        <w:ind w:left="300" w:right="0" w:firstLine="0"/>
        <w:jc w:val="left"/>
        <w:rPr>
          <w:rFonts w:ascii="Times New Roman" w:hAnsi="Times New Roman"/>
          <w:sz w:val="14"/>
        </w:rPr>
      </w:pPr>
      <w:r>
        <w:rPr>
          <w:rFonts w:ascii="Times New Roman" w:hAnsi="Times New Roman"/>
          <w:i/>
          <w:sz w:val="24"/>
        </w:rPr>
        <w:t xml:space="preserve">T </w:t>
      </w:r>
      <w:r>
        <w:rPr>
          <w:rFonts w:ascii="Symbol" w:hAnsi="Symbol"/>
          <w:sz w:val="24"/>
        </w:rPr>
        <w:t></w:t>
      </w:r>
      <w:r>
        <w:rPr>
          <w:rFonts w:ascii="Times New Roman" w:hAnsi="Times New Roman"/>
          <w:sz w:val="24"/>
        </w:rPr>
        <w:t xml:space="preserve"> </w:t>
      </w:r>
      <w:r>
        <w:rPr>
          <w:rFonts w:ascii="Times New Roman" w:hAnsi="Times New Roman"/>
          <w:i/>
          <w:sz w:val="24"/>
        </w:rPr>
        <w:t>t</w:t>
      </w:r>
      <w:r>
        <w:rPr>
          <w:rFonts w:ascii="Times New Roman" w:hAnsi="Times New Roman"/>
          <w:position w:val="-5"/>
          <w:sz w:val="14"/>
        </w:rPr>
        <w:t xml:space="preserve">1 </w:t>
      </w:r>
      <w:r>
        <w:rPr>
          <w:rFonts w:ascii="Symbol" w:hAnsi="Symbol"/>
          <w:sz w:val="24"/>
        </w:rPr>
        <w:t></w:t>
      </w:r>
      <w:r>
        <w:rPr>
          <w:rFonts w:ascii="Times New Roman" w:hAnsi="Times New Roman"/>
          <w:sz w:val="24"/>
        </w:rPr>
        <w:t xml:space="preserve"> </w:t>
      </w:r>
      <w:r>
        <w:rPr>
          <w:rFonts w:ascii="Times New Roman" w:hAnsi="Times New Roman"/>
          <w:i/>
          <w:sz w:val="24"/>
        </w:rPr>
        <w:t>t</w:t>
      </w:r>
      <w:r>
        <w:rPr>
          <w:rFonts w:ascii="Times New Roman" w:hAnsi="Times New Roman"/>
          <w:position w:val="-5"/>
          <w:sz w:val="14"/>
        </w:rPr>
        <w:t xml:space="preserve">2 </w:t>
      </w:r>
      <w:r>
        <w:rPr>
          <w:rFonts w:ascii="Symbol" w:hAnsi="Symbol"/>
          <w:sz w:val="24"/>
        </w:rPr>
        <w:t></w:t>
      </w:r>
      <w:r>
        <w:rPr>
          <w:rFonts w:ascii="Times New Roman" w:hAnsi="Times New Roman"/>
          <w:sz w:val="24"/>
        </w:rPr>
        <w:t xml:space="preserve"> </w:t>
      </w:r>
      <w:r>
        <w:rPr>
          <w:rFonts w:ascii="Times New Roman" w:hAnsi="Times New Roman"/>
          <w:i/>
          <w:sz w:val="24"/>
        </w:rPr>
        <w:t>t</w:t>
      </w:r>
      <w:r>
        <w:rPr>
          <w:rFonts w:ascii="Times New Roman" w:hAnsi="Times New Roman"/>
          <w:position w:val="-5"/>
          <w:sz w:val="14"/>
        </w:rPr>
        <w:t>3</w:t>
      </w:r>
    </w:p>
    <w:p>
      <w:pPr>
        <w:spacing w:after="0"/>
        <w:jc w:val="left"/>
        <w:rPr>
          <w:rFonts w:ascii="Times New Roman" w:hAnsi="Times New Roman"/>
          <w:sz w:val="14"/>
        </w:rPr>
        <w:sectPr>
          <w:type w:val="continuous"/>
          <w:pgSz w:w="11910" w:h="16840"/>
          <w:pgMar w:top="1580" w:right="0" w:bottom="280" w:left="0" w:header="720" w:footer="720" w:gutter="0"/>
          <w:cols w:equalWidth="0" w:num="2">
            <w:col w:w="5163" w:space="40"/>
            <w:col w:w="6707"/>
          </w:cols>
        </w:sectPr>
      </w:pPr>
    </w:p>
    <w:p>
      <w:pPr>
        <w:pStyle w:val="9"/>
        <w:spacing w:line="305" w:lineRule="exact"/>
        <w:ind w:left="1898"/>
      </w:pPr>
      <w:r>
        <w:t>在无实测资料的情况下，地表移动的延续时间（</w:t>
      </w:r>
      <w:r>
        <w:rPr>
          <w:rFonts w:ascii="Times New Roman" w:eastAsia="Times New Roman"/>
        </w:rPr>
        <w:t>T</w:t>
      </w:r>
      <w:r>
        <w:t>）可根据下式计算：</w:t>
      </w:r>
    </w:p>
    <w:p>
      <w:pPr>
        <w:pStyle w:val="9"/>
        <w:spacing w:before="213"/>
        <w:ind w:left="478"/>
        <w:jc w:val="center"/>
        <w:rPr>
          <w:rFonts w:ascii="Times New Roman" w:hAnsi="Times New Roman" w:eastAsia="Times New Roman"/>
        </w:rPr>
      </w:pPr>
      <w:r>
        <w:rPr>
          <w:rFonts w:ascii="Times New Roman" w:hAnsi="Times New Roman" w:eastAsia="Times New Roman"/>
        </w:rPr>
        <w:t>T</w:t>
      </w:r>
      <w:r>
        <w:t>＝</w:t>
      </w:r>
      <w:r>
        <w:rPr>
          <w:rFonts w:ascii="Times New Roman" w:hAnsi="Times New Roman" w:eastAsia="Times New Roman"/>
        </w:rPr>
        <w:t>2.5×H</w:t>
      </w:r>
    </w:p>
    <w:p>
      <w:pPr>
        <w:pStyle w:val="9"/>
        <w:spacing w:before="213"/>
        <w:ind w:left="1898"/>
      </w:pPr>
      <w:r>
        <w:t>式中：</w:t>
      </w:r>
      <w:r>
        <w:rPr>
          <w:rFonts w:ascii="Times New Roman" w:hAnsi="Times New Roman" w:eastAsia="Times New Roman"/>
        </w:rPr>
        <w:t>T—</w:t>
      </w:r>
      <w:r>
        <w:t>形成稳定沉陷地面移动的延续时间，单位为天（</w:t>
      </w:r>
      <w:r>
        <w:rPr>
          <w:rFonts w:ascii="Times New Roman" w:hAnsi="Times New Roman" w:eastAsia="Times New Roman"/>
        </w:rPr>
        <w:t>d</w:t>
      </w:r>
      <w:r>
        <w:t>）</w:t>
      </w:r>
    </w:p>
    <w:p>
      <w:pPr>
        <w:pStyle w:val="9"/>
        <w:spacing w:before="211"/>
        <w:ind w:left="2551"/>
      </w:pPr>
      <w:r>
        <w:rPr>
          <w:rFonts w:ascii="Times New Roman" w:hAnsi="Times New Roman" w:eastAsia="Times New Roman"/>
        </w:rPr>
        <w:t>H—</w:t>
      </w:r>
      <w:r>
        <w:t>工作平均开采深度，单位为米（</w:t>
      </w:r>
      <w:r>
        <w:rPr>
          <w:rFonts w:ascii="Times New Roman" w:hAnsi="Times New Roman" w:eastAsia="Times New Roman"/>
        </w:rPr>
        <w:t>m</w:t>
      </w:r>
      <w:r>
        <w:t>）</w:t>
      </w:r>
    </w:p>
    <w:p>
      <w:pPr>
        <w:pStyle w:val="9"/>
        <w:spacing w:before="214" w:line="405" w:lineRule="auto"/>
        <w:ind w:left="1418" w:right="1354" w:firstLine="480"/>
      </w:pPr>
      <w:r>
        <w:t xml:space="preserve">地表移动基本稳沉时间一般为地表移动的初始期和活跃期，一般为地表移动持续时间的 </w:t>
      </w:r>
      <w:r>
        <w:rPr>
          <w:rFonts w:ascii="Times New Roman" w:eastAsia="Times New Roman"/>
        </w:rPr>
        <w:t>60~70%</w:t>
      </w:r>
      <w:r>
        <w:t xml:space="preserve">，本煤矿地表移动基本稳沉时间为 </w:t>
      </w:r>
      <w:r>
        <w:rPr>
          <w:rFonts w:ascii="Times New Roman" w:eastAsia="Times New Roman"/>
        </w:rPr>
        <w:t xml:space="preserve">450 </w:t>
      </w:r>
      <w:r>
        <w:t>天左右。</w:t>
      </w:r>
    </w:p>
    <w:p>
      <w:pPr>
        <w:pStyle w:val="18"/>
        <w:numPr>
          <w:ilvl w:val="3"/>
          <w:numId w:val="54"/>
        </w:numPr>
        <w:tabs>
          <w:tab w:val="left" w:pos="2500"/>
        </w:tabs>
        <w:spacing w:before="0" w:after="0" w:line="240" w:lineRule="auto"/>
        <w:ind w:left="2499" w:right="0" w:hanging="602"/>
        <w:jc w:val="left"/>
        <w:rPr>
          <w:sz w:val="24"/>
        </w:rPr>
      </w:pPr>
      <w:r>
        <w:rPr>
          <w:sz w:val="24"/>
        </w:rPr>
        <w:t>地表裂缝预测</w:t>
      </w:r>
    </w:p>
    <w:p>
      <w:pPr>
        <w:pStyle w:val="9"/>
        <w:spacing w:before="213" w:line="405" w:lineRule="auto"/>
        <w:ind w:left="1418" w:right="1417" w:firstLine="480"/>
        <w:jc w:val="both"/>
      </w:pPr>
      <w:r>
        <w:rPr>
          <w:spacing w:val="-6"/>
        </w:rPr>
        <w:t>地裂缝产生的原因很多，也比较复杂，它主要与上覆砾岩厚度、层位、胶结程度等</w:t>
      </w:r>
      <w:r>
        <w:rPr>
          <w:spacing w:val="-7"/>
        </w:rPr>
        <w:t>因素有直接关系；其次同回采面积、开采深度、采出厚度、回采连续性、重复采动等综</w:t>
      </w:r>
      <w:r>
        <w:t>合因素有关。</w:t>
      </w:r>
    </w:p>
    <w:p>
      <w:pPr>
        <w:pStyle w:val="9"/>
        <w:spacing w:before="1" w:line="405" w:lineRule="auto"/>
        <w:ind w:left="1418" w:right="1297" w:firstLine="480"/>
      </w:pPr>
      <w:r>
        <w:rPr>
          <w:spacing w:val="-9"/>
        </w:rPr>
        <w:t xml:space="preserve">该矿砂岩层位于白垩系鸡西群城子河组，以砂岩层为其特征，从物理力学性质上看， </w:t>
      </w:r>
      <w:r>
        <w:rPr>
          <w:spacing w:val="-13"/>
        </w:rPr>
        <w:t xml:space="preserve">砂岩层的刚性强度大，当其内部的拉应力超过砂岩层的强度极限时，它便发生脆性变形， </w:t>
      </w:r>
      <w:r>
        <w:rPr>
          <w:spacing w:val="-4"/>
        </w:rPr>
        <w:t>脆性变形发生在拉伸变形区。地下煤层开采后，随着采空区空间的不断增大，在采空区</w:t>
      </w:r>
      <w:r>
        <w:rPr>
          <w:spacing w:val="-14"/>
        </w:rPr>
        <w:t xml:space="preserve">周围的岩体内的应力也逐渐增大，当应力超过极限强度时，砂岩层就象一个钢体梁一样， 发生脆性变形，在移动盆地边缘的拉伸变形区断开，反映到地面即出现地表裂缝。因此， </w:t>
      </w:r>
      <w:r>
        <w:rPr>
          <w:spacing w:val="-4"/>
        </w:rPr>
        <w:t>随着采空区空间的不断增大，地面塌陷的发育发展，将在塌陷边缘引发或加剧地裂缝地质灾害，危险性小。</w:t>
      </w:r>
    </w:p>
    <w:p>
      <w:pPr>
        <w:pStyle w:val="6"/>
        <w:numPr>
          <w:ilvl w:val="2"/>
          <w:numId w:val="54"/>
        </w:numPr>
        <w:tabs>
          <w:tab w:val="left" w:pos="2249"/>
        </w:tabs>
        <w:spacing w:before="0" w:after="0" w:line="307" w:lineRule="exact"/>
        <w:ind w:left="2248" w:right="0" w:hanging="632"/>
        <w:jc w:val="left"/>
      </w:pPr>
      <w:bookmarkStart w:id="246" w:name="4.2.4地表沉陷影响分析"/>
      <w:bookmarkEnd w:id="246"/>
      <w:bookmarkStart w:id="247" w:name="4.2.4地表沉陷影响分析"/>
      <w:bookmarkEnd w:id="247"/>
      <w:r>
        <w:t>地表沉陷影响分析</w:t>
      </w:r>
    </w:p>
    <w:p>
      <w:pPr>
        <w:pStyle w:val="9"/>
        <w:spacing w:before="10"/>
        <w:rPr>
          <w:b/>
          <w:sz w:val="23"/>
        </w:rPr>
      </w:pPr>
    </w:p>
    <w:p>
      <w:pPr>
        <w:pStyle w:val="9"/>
        <w:spacing w:line="362" w:lineRule="auto"/>
        <w:ind w:left="1418" w:right="1441" w:firstLine="480"/>
        <w:jc w:val="both"/>
      </w:pPr>
      <w:bookmarkStart w:id="248" w:name="_bookmark24"/>
      <w:bookmarkEnd w:id="248"/>
      <w:r>
        <w:rPr>
          <w:spacing w:val="-6"/>
        </w:rPr>
        <w:t>本项目地貌属低山丘陵，地表存在一定起伏，但较缓，矿山在今后开采过程中，地</w:t>
      </w:r>
      <w:r>
        <w:rPr>
          <w:spacing w:val="-2"/>
        </w:rPr>
        <w:t xml:space="preserve">下必然会形成大面积采空区，开采最终引起的最大 </w:t>
      </w:r>
      <w:r>
        <w:rPr>
          <w:rFonts w:ascii="Times New Roman" w:eastAsia="Times New Roman"/>
        </w:rPr>
        <w:t xml:space="preserve">1.89 </w:t>
      </w:r>
      <w:r>
        <w:t>米的下沉量，会对作物耕作产</w:t>
      </w:r>
    </w:p>
    <w:p>
      <w:pPr>
        <w:spacing w:after="0" w:line="362" w:lineRule="auto"/>
        <w:jc w:val="both"/>
        <w:sectPr>
          <w:type w:val="continuous"/>
          <w:pgSz w:w="11910" w:h="16840"/>
          <w:pgMar w:top="1580" w:right="0" w:bottom="280" w:left="0" w:header="720" w:footer="720" w:gutter="0"/>
        </w:sectPr>
      </w:pPr>
    </w:p>
    <w:p>
      <w:pPr>
        <w:pStyle w:val="9"/>
        <w:spacing w:before="41" w:line="364" w:lineRule="auto"/>
        <w:ind w:left="1418" w:right="1441"/>
        <w:jc w:val="both"/>
      </w:pPr>
      <w:r>
        <w:rPr>
          <w:spacing w:val="-7"/>
        </w:rPr>
        <w:t>生一定的影响，但相对于地表本身的落差要小得多。因此，开采后不会象平坦的地区形成明显的下沉盆地，由于复垦区地表具有一定坡度，且地下水位较低，地表不会产生积</w:t>
      </w:r>
      <w:r>
        <w:rPr>
          <w:spacing w:val="-10"/>
        </w:rPr>
        <w:t>水，不影响树木的生长。开采会产生的小型地表裂缝，地表沉陷对该区域地表形态和自</w:t>
      </w:r>
      <w:r>
        <w:t>然景观的影响较小。</w:t>
      </w:r>
    </w:p>
    <w:p>
      <w:pPr>
        <w:pStyle w:val="9"/>
        <w:spacing w:before="7"/>
        <w:rPr>
          <w:sz w:val="18"/>
        </w:rPr>
      </w:pPr>
    </w:p>
    <w:p>
      <w:pPr>
        <w:pStyle w:val="5"/>
        <w:numPr>
          <w:ilvl w:val="1"/>
          <w:numId w:val="54"/>
        </w:numPr>
        <w:tabs>
          <w:tab w:val="left" w:pos="2144"/>
        </w:tabs>
        <w:spacing w:before="0" w:after="0" w:line="240" w:lineRule="auto"/>
        <w:ind w:left="2143" w:right="0" w:hanging="527"/>
        <w:jc w:val="left"/>
      </w:pPr>
      <w:bookmarkStart w:id="249" w:name="4.3 地表沉陷区治理与生态环境综合整治"/>
      <w:bookmarkEnd w:id="249"/>
      <w:bookmarkStart w:id="250" w:name="4.3 地表沉陷区治理与生态环境综合整治"/>
      <w:bookmarkEnd w:id="250"/>
      <w:r>
        <w:t>地表沉陷区治理与生态环境综合整治</w:t>
      </w:r>
    </w:p>
    <w:p>
      <w:pPr>
        <w:pStyle w:val="6"/>
        <w:numPr>
          <w:ilvl w:val="2"/>
          <w:numId w:val="54"/>
        </w:numPr>
        <w:tabs>
          <w:tab w:val="left" w:pos="2319"/>
        </w:tabs>
        <w:spacing w:before="219" w:after="0" w:line="240" w:lineRule="auto"/>
        <w:ind w:left="2318" w:right="0" w:hanging="702"/>
        <w:jc w:val="left"/>
      </w:pPr>
      <w:bookmarkStart w:id="251" w:name="4.3.1 生态环境综合整治原则与目标"/>
      <w:bookmarkEnd w:id="251"/>
      <w:bookmarkStart w:id="252" w:name="4.3.1 生态环境综合整治原则与目标"/>
      <w:bookmarkEnd w:id="252"/>
      <w:r>
        <w:t>生态环境综合整治原则与目标</w:t>
      </w:r>
    </w:p>
    <w:p>
      <w:pPr>
        <w:pStyle w:val="18"/>
        <w:numPr>
          <w:ilvl w:val="3"/>
          <w:numId w:val="54"/>
        </w:numPr>
        <w:tabs>
          <w:tab w:val="left" w:pos="2500"/>
        </w:tabs>
        <w:spacing w:before="135" w:after="0" w:line="240" w:lineRule="auto"/>
        <w:ind w:left="2499" w:right="0" w:hanging="602"/>
        <w:jc w:val="left"/>
        <w:rPr>
          <w:sz w:val="24"/>
        </w:rPr>
      </w:pPr>
      <w:r>
        <w:rPr>
          <w:sz w:val="24"/>
        </w:rPr>
        <w:t>自然资源的补偿原则</w:t>
      </w:r>
    </w:p>
    <w:p>
      <w:pPr>
        <w:pStyle w:val="9"/>
        <w:spacing w:before="158" w:line="364" w:lineRule="auto"/>
        <w:ind w:left="1418" w:right="1441" w:firstLine="480"/>
        <w:jc w:val="both"/>
      </w:pPr>
      <w:r>
        <w:rPr>
          <w:spacing w:val="-3"/>
        </w:rPr>
        <w:t>由于项目区自然资源</w:t>
      </w:r>
      <w:r>
        <w:t>（</w:t>
      </w:r>
      <w:r>
        <w:rPr>
          <w:spacing w:val="-5"/>
        </w:rPr>
        <w:t>植被、土壤</w:t>
      </w:r>
      <w:r>
        <w:rPr>
          <w:spacing w:val="-20"/>
        </w:rPr>
        <w:t>）</w:t>
      </w:r>
      <w:r>
        <w:rPr>
          <w:spacing w:val="-2"/>
        </w:rPr>
        <w:t>会因项目施工和运行受到一定程度的损耗，而</w:t>
      </w:r>
      <w:r>
        <w:rPr>
          <w:spacing w:val="-6"/>
        </w:rPr>
        <w:t>这两种资源都属于再生期长，恢复速度较慢的资源，它们除自身存在市场价值外，还具</w:t>
      </w:r>
      <w:r>
        <w:t>有生态和社会效益，因而必须执行自然资源损失的补偿原则。</w:t>
      </w:r>
    </w:p>
    <w:p>
      <w:pPr>
        <w:pStyle w:val="18"/>
        <w:numPr>
          <w:ilvl w:val="3"/>
          <w:numId w:val="54"/>
        </w:numPr>
        <w:tabs>
          <w:tab w:val="left" w:pos="2500"/>
        </w:tabs>
        <w:spacing w:before="0" w:after="0" w:line="307" w:lineRule="exact"/>
        <w:ind w:left="2499" w:right="0" w:hanging="602"/>
        <w:jc w:val="left"/>
        <w:rPr>
          <w:sz w:val="24"/>
        </w:rPr>
      </w:pPr>
      <w:r>
        <w:rPr>
          <w:sz w:val="24"/>
        </w:rPr>
        <w:t>受损区域的恢复原则</w:t>
      </w:r>
    </w:p>
    <w:p>
      <w:pPr>
        <w:pStyle w:val="9"/>
        <w:spacing w:before="158" w:line="364" w:lineRule="auto"/>
        <w:ind w:left="1418" w:right="1441" w:firstLine="480"/>
        <w:jc w:val="both"/>
      </w:pPr>
      <w:r>
        <w:rPr>
          <w:spacing w:val="-5"/>
        </w:rPr>
        <w:t>项目影响最大的区域是占地区和直接影响区，用地格局的改变影响了原有自然体系</w:t>
      </w:r>
      <w:r>
        <w:rPr>
          <w:spacing w:val="-9"/>
        </w:rPr>
        <w:t>的功能，如物种移动，因此应进行生态学设计，尽量减少这种功能的损失。应根据本项</w:t>
      </w:r>
      <w:r>
        <w:rPr>
          <w:spacing w:val="-5"/>
        </w:rPr>
        <w:t>目工作面接替计划和沉陷耕地破坏的实际情况，结合双鸭山市土地利用规划合理安排复</w:t>
      </w:r>
      <w:r>
        <w:rPr>
          <w:spacing w:val="-4"/>
        </w:rPr>
        <w:t>方案；根据整治后的土地状况，按</w:t>
      </w:r>
      <w:r>
        <w:rPr>
          <w:rFonts w:ascii="Times New Roman" w:hAnsi="Times New Roman" w:eastAsia="Times New Roman"/>
        </w:rPr>
        <w:t>“</w:t>
      </w:r>
      <w:r>
        <w:rPr>
          <w:spacing w:val="-4"/>
        </w:rPr>
        <w:t>合理布局、因地制宜、宜农则农、宜林则林</w:t>
      </w:r>
      <w:r>
        <w:rPr>
          <w:rFonts w:ascii="Times New Roman" w:hAnsi="Times New Roman" w:eastAsia="Times New Roman"/>
        </w:rPr>
        <w:t>”</w:t>
      </w:r>
      <w:r>
        <w:rPr>
          <w:spacing w:val="-6"/>
        </w:rPr>
        <w:t>的原则</w:t>
      </w:r>
      <w:r>
        <w:t>进行治理，建立新的土地利用系统，提高土地的生产力。</w:t>
      </w:r>
    </w:p>
    <w:p>
      <w:pPr>
        <w:pStyle w:val="18"/>
        <w:numPr>
          <w:ilvl w:val="3"/>
          <w:numId w:val="54"/>
        </w:numPr>
        <w:tabs>
          <w:tab w:val="left" w:pos="2500"/>
        </w:tabs>
        <w:spacing w:before="0" w:after="0" w:line="306" w:lineRule="exact"/>
        <w:ind w:left="2499" w:right="0" w:hanging="602"/>
        <w:jc w:val="left"/>
        <w:rPr>
          <w:sz w:val="24"/>
        </w:rPr>
      </w:pPr>
      <w:r>
        <w:rPr>
          <w:sz w:val="24"/>
        </w:rPr>
        <w:t>人类需求与生态完整性维护相协调的原则</w:t>
      </w:r>
    </w:p>
    <w:p>
      <w:pPr>
        <w:pStyle w:val="9"/>
        <w:spacing w:before="160" w:line="364" w:lineRule="auto"/>
        <w:ind w:left="1418" w:right="1441" w:firstLine="480"/>
        <w:jc w:val="both"/>
      </w:pPr>
      <w:r>
        <w:rPr>
          <w:spacing w:val="-5"/>
        </w:rPr>
        <w:t>项目建设和运行是人类利用自然资源满足需求的行为，这种行为往往与生态完整性</w:t>
      </w:r>
      <w:r>
        <w:rPr>
          <w:spacing w:val="-8"/>
        </w:rPr>
        <w:t>的维护发生矛盾，生态保护措施就在于尽力减缓这种矛盾，在自然体系可以承受的范围</w:t>
      </w:r>
      <w:r>
        <w:t>内开发利用资源，为社会经济的进步服务。</w:t>
      </w:r>
    </w:p>
    <w:p>
      <w:pPr>
        <w:pStyle w:val="18"/>
        <w:numPr>
          <w:ilvl w:val="3"/>
          <w:numId w:val="54"/>
        </w:numPr>
        <w:tabs>
          <w:tab w:val="left" w:pos="2500"/>
        </w:tabs>
        <w:spacing w:before="0" w:after="0" w:line="305" w:lineRule="exact"/>
        <w:ind w:left="2499" w:right="0" w:hanging="602"/>
        <w:jc w:val="left"/>
        <w:rPr>
          <w:sz w:val="24"/>
        </w:rPr>
      </w:pPr>
      <w:r>
        <w:rPr>
          <w:sz w:val="24"/>
        </w:rPr>
        <w:t>突出重点、分区治理的原则</w:t>
      </w:r>
    </w:p>
    <w:p>
      <w:pPr>
        <w:pStyle w:val="9"/>
        <w:spacing w:before="161" w:line="364" w:lineRule="auto"/>
        <w:ind w:left="1418" w:right="1441" w:firstLine="480"/>
        <w:jc w:val="both"/>
      </w:pPr>
      <w:r>
        <w:rPr>
          <w:spacing w:val="-6"/>
        </w:rPr>
        <w:t>本项目矿井田沉陷土地主要分布的是耕地，将沉陷土地主要恢复成耕地。根据本项</w:t>
      </w:r>
      <w:r>
        <w:rPr>
          <w:spacing w:val="-5"/>
        </w:rPr>
        <w:t>目采区开采接替计划和工作面推进情况，结合沉陷预测、土地破坏程度分析结果，分区</w:t>
      </w:r>
      <w:r>
        <w:rPr>
          <w:spacing w:val="-10"/>
        </w:rPr>
        <w:t>域、分时段、分不同的复垦整治措施进行全井田沉陷区的综合整治，以提高治理方案的</w:t>
      </w:r>
      <w:r>
        <w:t>针对性，保证措施的真正落实。</w:t>
      </w:r>
    </w:p>
    <w:p>
      <w:pPr>
        <w:pStyle w:val="6"/>
        <w:numPr>
          <w:ilvl w:val="2"/>
          <w:numId w:val="54"/>
        </w:numPr>
        <w:tabs>
          <w:tab w:val="left" w:pos="2249"/>
        </w:tabs>
        <w:spacing w:before="205" w:after="0" w:line="240" w:lineRule="auto"/>
        <w:ind w:left="2248" w:right="0" w:hanging="632"/>
        <w:jc w:val="left"/>
      </w:pPr>
      <w:bookmarkStart w:id="253" w:name="4.3.2土地复垦、生态综合整治方案"/>
      <w:bookmarkEnd w:id="253"/>
      <w:bookmarkStart w:id="254" w:name="4.3.2土地复垦、生态综合整治方案"/>
      <w:bookmarkEnd w:id="254"/>
      <w:r>
        <w:t>土地复垦、生态综合整治方案</w:t>
      </w:r>
    </w:p>
    <w:p>
      <w:pPr>
        <w:pStyle w:val="9"/>
        <w:spacing w:before="135"/>
        <w:ind w:left="1898"/>
      </w:pPr>
      <w:r>
        <w:t>沉陷区生态恢复整治措施：</w:t>
      </w:r>
    </w:p>
    <w:p>
      <w:pPr>
        <w:pStyle w:val="18"/>
        <w:numPr>
          <w:ilvl w:val="0"/>
          <w:numId w:val="55"/>
        </w:numPr>
        <w:tabs>
          <w:tab w:val="left" w:pos="2500"/>
        </w:tabs>
        <w:spacing w:before="158" w:after="0" w:line="240" w:lineRule="auto"/>
        <w:ind w:left="2499" w:right="0" w:hanging="602"/>
        <w:jc w:val="left"/>
        <w:rPr>
          <w:sz w:val="24"/>
        </w:rPr>
      </w:pPr>
      <w:r>
        <w:rPr>
          <w:spacing w:val="-2"/>
          <w:sz w:val="24"/>
        </w:rPr>
        <w:t>本井田所涉及土地利用类型以耕地为主，保护好沉陷影响区的耕地生态环境，</w:t>
      </w:r>
    </w:p>
    <w:p>
      <w:pPr>
        <w:spacing w:after="0" w:line="240" w:lineRule="auto"/>
        <w:jc w:val="left"/>
        <w:rPr>
          <w:sz w:val="24"/>
        </w:rPr>
        <w:sectPr>
          <w:pgSz w:w="11910" w:h="16840"/>
          <w:pgMar w:top="1360" w:right="0" w:bottom="880" w:left="0" w:header="0" w:footer="681" w:gutter="0"/>
        </w:sectPr>
      </w:pPr>
    </w:p>
    <w:p>
      <w:pPr>
        <w:pStyle w:val="9"/>
        <w:spacing w:before="41" w:line="362" w:lineRule="auto"/>
        <w:ind w:left="1418" w:right="1354"/>
      </w:pPr>
      <w:r>
        <w:t>恢复并改善耕地的耕作条件显得尤为重要。建设单位应将井田生态环境综合整治列入生产计划，制订年度生态环境综合整治计划。</w:t>
      </w:r>
    </w:p>
    <w:p>
      <w:pPr>
        <w:pStyle w:val="18"/>
        <w:numPr>
          <w:ilvl w:val="0"/>
          <w:numId w:val="55"/>
        </w:numPr>
        <w:tabs>
          <w:tab w:val="left" w:pos="2504"/>
        </w:tabs>
        <w:spacing w:before="5" w:after="0" w:line="364" w:lineRule="auto"/>
        <w:ind w:left="1418" w:right="1418" w:firstLine="480"/>
        <w:jc w:val="both"/>
        <w:rPr>
          <w:sz w:val="24"/>
        </w:rPr>
      </w:pPr>
      <w:r>
        <w:rPr>
          <w:sz w:val="24"/>
        </w:rPr>
        <w:t>根据本井田的地形特点和开采沉陷情况，在地表移动变形稳定之前，主要对</w:t>
      </w:r>
      <w:r>
        <w:rPr>
          <w:spacing w:val="-2"/>
          <w:sz w:val="24"/>
        </w:rPr>
        <w:t xml:space="preserve">下沉过程中产生的地表裂缝，进行人工填堵。对地表移动变形已稳定区域可采取下列 </w:t>
      </w:r>
      <w:r>
        <w:rPr>
          <w:rFonts w:ascii="Times New Roman" w:eastAsia="Times New Roman"/>
          <w:sz w:val="24"/>
        </w:rPr>
        <w:t xml:space="preserve">2 </w:t>
      </w:r>
      <w:r>
        <w:rPr>
          <w:sz w:val="24"/>
        </w:rPr>
        <w:t>种整治方式：</w:t>
      </w:r>
    </w:p>
    <w:p>
      <w:pPr>
        <w:pStyle w:val="9"/>
        <w:spacing w:line="362" w:lineRule="auto"/>
        <w:ind w:left="1418" w:right="1297" w:firstLine="480"/>
      </w:pPr>
      <w:r>
        <w:rPr>
          <w:spacing w:val="-13"/>
        </w:rPr>
        <w:t xml:space="preserve">①人工治理措施及工艺：地表移动变形较小的区域，直接采取平整和生态修复措施， </w:t>
      </w:r>
      <w:r>
        <w:t>将由于沉陷造成的台阶地挖高填低进行平整，以恢复原有耕作条件。</w:t>
      </w:r>
    </w:p>
    <w:p>
      <w:pPr>
        <w:pStyle w:val="9"/>
        <w:spacing w:before="4" w:line="364" w:lineRule="auto"/>
        <w:ind w:left="1418" w:right="1417" w:firstLine="480"/>
        <w:jc w:val="both"/>
      </w:pPr>
      <w:r>
        <w:rPr>
          <w:spacing w:val="-6"/>
        </w:rPr>
        <w:t>②机械治理措施及工艺：地表下沉稳定后对下沉值较大的区域利用煤矸石进行回填</w:t>
      </w:r>
      <w:r>
        <w:rPr>
          <w:spacing w:val="-7"/>
        </w:rPr>
        <w:t>复垦，一般采用机械治理工艺，即使用铲运机械分层剥离分离回填，并注重表层土壤的</w:t>
      </w:r>
      <w:r>
        <w:t>保护，恢复耕地功能。</w:t>
      </w:r>
    </w:p>
    <w:p>
      <w:pPr>
        <w:pStyle w:val="18"/>
        <w:numPr>
          <w:ilvl w:val="0"/>
          <w:numId w:val="55"/>
        </w:numPr>
        <w:tabs>
          <w:tab w:val="left" w:pos="2504"/>
        </w:tabs>
        <w:spacing w:before="0" w:after="0" w:line="364" w:lineRule="auto"/>
        <w:ind w:left="1418" w:right="1417" w:firstLine="480"/>
        <w:jc w:val="both"/>
        <w:rPr>
          <w:sz w:val="24"/>
        </w:rPr>
      </w:pPr>
      <w:r>
        <w:rPr>
          <w:sz w:val="24"/>
        </w:rPr>
        <w:t>沉陷区生态恢复实施措施，建议采用由矿方付给地方政府适当赔偿费用，由</w:t>
      </w:r>
      <w:r>
        <w:rPr>
          <w:spacing w:val="-4"/>
          <w:sz w:val="24"/>
        </w:rPr>
        <w:t>地方政府组织人员进行沉陷区综合整治，恢复耕地的使用能力，恢复植被生长环境。赔</w:t>
      </w:r>
      <w:r>
        <w:rPr>
          <w:sz w:val="24"/>
        </w:rPr>
        <w:t>偿费用按国家标准在生产收益中列支。</w:t>
      </w:r>
    </w:p>
    <w:p>
      <w:pPr>
        <w:pStyle w:val="18"/>
        <w:numPr>
          <w:ilvl w:val="0"/>
          <w:numId w:val="55"/>
        </w:numPr>
        <w:tabs>
          <w:tab w:val="left" w:pos="2504"/>
        </w:tabs>
        <w:spacing w:before="0" w:after="0" w:line="364" w:lineRule="auto"/>
        <w:ind w:left="1418" w:right="1417" w:firstLine="480"/>
        <w:jc w:val="both"/>
        <w:rPr>
          <w:sz w:val="24"/>
        </w:rPr>
      </w:pPr>
      <w:r>
        <w:rPr>
          <w:sz w:val="24"/>
        </w:rPr>
        <w:t>根据地表移动变形预测结果，综合考虑采煤工作面的推进速度、接替关系以</w:t>
      </w:r>
      <w:r>
        <w:rPr>
          <w:spacing w:val="-8"/>
          <w:sz w:val="24"/>
        </w:rPr>
        <w:t xml:space="preserve">及地表移动延续时间等因素，预计在矿井生产 </w:t>
      </w:r>
      <w:r>
        <w:rPr>
          <w:rFonts w:ascii="Times New Roman" w:eastAsia="Times New Roman"/>
          <w:sz w:val="24"/>
        </w:rPr>
        <w:t xml:space="preserve">3~5 </w:t>
      </w:r>
      <w:r>
        <w:rPr>
          <w:spacing w:val="-2"/>
          <w:sz w:val="24"/>
        </w:rPr>
        <w:t>年后即可开始进行沉陷稳定区域的综</w:t>
      </w:r>
      <w:r>
        <w:rPr>
          <w:sz w:val="24"/>
        </w:rPr>
        <w:t>合整治工作。</w:t>
      </w:r>
    </w:p>
    <w:p>
      <w:pPr>
        <w:pStyle w:val="6"/>
        <w:numPr>
          <w:ilvl w:val="2"/>
          <w:numId w:val="54"/>
        </w:numPr>
        <w:tabs>
          <w:tab w:val="left" w:pos="2249"/>
        </w:tabs>
        <w:spacing w:before="203" w:after="0" w:line="240" w:lineRule="auto"/>
        <w:ind w:left="2248" w:right="0" w:hanging="632"/>
        <w:jc w:val="left"/>
      </w:pPr>
      <w:bookmarkStart w:id="255" w:name="4.3.3沉陷土地损害减缓措施"/>
      <w:bookmarkEnd w:id="255"/>
      <w:bookmarkStart w:id="256" w:name="4.3.3沉陷土地损害减缓措施"/>
      <w:bookmarkEnd w:id="256"/>
      <w:r>
        <w:t>沉陷土地损害减缓措施</w:t>
      </w:r>
    </w:p>
    <w:p>
      <w:pPr>
        <w:pStyle w:val="9"/>
        <w:spacing w:before="8"/>
        <w:rPr>
          <w:b/>
          <w:sz w:val="21"/>
        </w:rPr>
      </w:pPr>
    </w:p>
    <w:p>
      <w:pPr>
        <w:pStyle w:val="9"/>
        <w:ind w:left="1879"/>
      </w:pPr>
      <w:r>
        <w:t>为减轻采煤对地表土地损害程度，矿井在实施采煤过程中应积极采取以下措施：</w:t>
      </w:r>
    </w:p>
    <w:p>
      <w:pPr>
        <w:pStyle w:val="18"/>
        <w:numPr>
          <w:ilvl w:val="0"/>
          <w:numId w:val="56"/>
        </w:numPr>
        <w:tabs>
          <w:tab w:val="left" w:pos="2481"/>
        </w:tabs>
        <w:spacing w:before="172" w:after="0" w:line="240" w:lineRule="auto"/>
        <w:ind w:left="2480" w:right="0" w:hanging="602"/>
        <w:jc w:val="left"/>
        <w:rPr>
          <w:sz w:val="24"/>
        </w:rPr>
      </w:pPr>
      <w:r>
        <w:rPr>
          <w:sz w:val="24"/>
        </w:rPr>
        <w:t>合理安排采区接续；</w:t>
      </w:r>
    </w:p>
    <w:p>
      <w:pPr>
        <w:pStyle w:val="18"/>
        <w:numPr>
          <w:ilvl w:val="0"/>
          <w:numId w:val="56"/>
        </w:numPr>
        <w:tabs>
          <w:tab w:val="left" w:pos="2484"/>
        </w:tabs>
        <w:spacing w:before="173" w:after="0" w:line="374" w:lineRule="auto"/>
        <w:ind w:left="1418" w:right="1442" w:firstLine="460"/>
        <w:jc w:val="left"/>
        <w:rPr>
          <w:sz w:val="24"/>
        </w:rPr>
      </w:pPr>
      <w:r>
        <w:rPr>
          <w:sz w:val="24"/>
        </w:rPr>
        <w:t>积极推广试采技术，采煤前对工作面详细参数进行科学设计，保证采区煤层上覆岩层不断裂，减轻采煤对地表土地的损害；</w:t>
      </w:r>
    </w:p>
    <w:p>
      <w:pPr>
        <w:pStyle w:val="18"/>
        <w:numPr>
          <w:ilvl w:val="0"/>
          <w:numId w:val="56"/>
        </w:numPr>
        <w:tabs>
          <w:tab w:val="left" w:pos="2481"/>
        </w:tabs>
        <w:spacing w:before="0" w:after="0" w:line="240" w:lineRule="auto"/>
        <w:ind w:left="2480" w:right="0" w:hanging="602"/>
        <w:jc w:val="left"/>
        <w:rPr>
          <w:sz w:val="24"/>
        </w:rPr>
      </w:pPr>
      <w:r>
        <w:rPr>
          <w:sz w:val="24"/>
        </w:rPr>
        <w:t>对受损土地进行必要的补偿，减缓土地损害对生态环境的影响；</w:t>
      </w:r>
    </w:p>
    <w:p>
      <w:pPr>
        <w:pStyle w:val="18"/>
        <w:numPr>
          <w:ilvl w:val="0"/>
          <w:numId w:val="56"/>
        </w:numPr>
        <w:tabs>
          <w:tab w:val="left" w:pos="2484"/>
        </w:tabs>
        <w:spacing w:before="173" w:after="0" w:line="374" w:lineRule="auto"/>
        <w:ind w:left="1418" w:right="1441" w:firstLine="460"/>
        <w:jc w:val="both"/>
        <w:rPr>
          <w:sz w:val="24"/>
        </w:rPr>
      </w:pPr>
      <w:r>
        <w:rPr>
          <w:sz w:val="24"/>
        </w:rPr>
        <w:t>环评要求每个盘区单个煤组开采完后，应采取有针对性的临时性土地整治措</w:t>
      </w:r>
      <w:r>
        <w:rPr>
          <w:spacing w:val="-10"/>
          <w:sz w:val="24"/>
        </w:rPr>
        <w:t>施，如充填裂缝，整平沉陷台阶等。整体工作应分盘区、分水平分别进行，恢复土地生</w:t>
      </w:r>
      <w:r>
        <w:rPr>
          <w:sz w:val="24"/>
        </w:rPr>
        <w:t>产力。</w:t>
      </w:r>
    </w:p>
    <w:p>
      <w:pPr>
        <w:pStyle w:val="6"/>
        <w:numPr>
          <w:ilvl w:val="2"/>
          <w:numId w:val="54"/>
        </w:numPr>
        <w:tabs>
          <w:tab w:val="left" w:pos="2048"/>
        </w:tabs>
        <w:spacing w:before="0" w:after="0" w:line="336" w:lineRule="exact"/>
        <w:ind w:left="2047" w:right="0" w:hanging="630"/>
        <w:jc w:val="left"/>
      </w:pPr>
      <w:bookmarkStart w:id="257" w:name="4.3.4建立地表岩移观测站"/>
      <w:bookmarkEnd w:id="257"/>
      <w:bookmarkStart w:id="258" w:name="4.3.4建立地表岩移观测站"/>
      <w:bookmarkEnd w:id="258"/>
      <w:r>
        <w:t>建立地表岩移观测站</w:t>
      </w:r>
    </w:p>
    <w:p>
      <w:pPr>
        <w:pStyle w:val="9"/>
        <w:spacing w:before="10"/>
        <w:rPr>
          <w:b/>
          <w:sz w:val="23"/>
        </w:rPr>
      </w:pPr>
    </w:p>
    <w:p>
      <w:pPr>
        <w:pStyle w:val="9"/>
        <w:spacing w:line="364" w:lineRule="auto"/>
        <w:ind w:left="1418" w:right="1354" w:firstLine="480"/>
      </w:pPr>
      <w:r>
        <w:t>为获得矿井投产后实际的地表移动变形值，以用来修正煤柱尺寸、指导矿井对沉陷区土地进行综合治理，并为该地区今后煤矿生产建设提供科学的生态影响数据，环评要</w:t>
      </w:r>
    </w:p>
    <w:p>
      <w:pPr>
        <w:spacing w:after="0" w:line="364" w:lineRule="auto"/>
        <w:sectPr>
          <w:pgSz w:w="11910" w:h="16840"/>
          <w:pgMar w:top="1360" w:right="0" w:bottom="880" w:left="0" w:header="0" w:footer="681" w:gutter="0"/>
        </w:sectPr>
      </w:pPr>
    </w:p>
    <w:p>
      <w:pPr>
        <w:pStyle w:val="9"/>
        <w:spacing w:before="41" w:line="362" w:lineRule="auto"/>
        <w:ind w:left="1418" w:right="1416"/>
      </w:pPr>
      <w:r>
        <w:t>求矿井首采工作面建立地表移动变形岩移观测站。矿井投产前岩移观测站建成投入使用。</w:t>
      </w:r>
    </w:p>
    <w:p>
      <w:pPr>
        <w:pStyle w:val="9"/>
        <w:spacing w:before="5"/>
        <w:ind w:left="1898"/>
      </w:pPr>
      <w:r>
        <w:t>建设单位应配备相应的专业工作人员，负责观测及数据记录、日常维护等工作。</w:t>
      </w:r>
    </w:p>
    <w:p>
      <w:pPr>
        <w:pStyle w:val="9"/>
        <w:spacing w:before="1"/>
        <w:rPr>
          <w:sz w:val="31"/>
        </w:rPr>
      </w:pPr>
    </w:p>
    <w:p>
      <w:pPr>
        <w:pStyle w:val="5"/>
        <w:numPr>
          <w:ilvl w:val="1"/>
          <w:numId w:val="54"/>
        </w:numPr>
        <w:tabs>
          <w:tab w:val="left" w:pos="1944"/>
        </w:tabs>
        <w:spacing w:before="0" w:after="0" w:line="240" w:lineRule="auto"/>
        <w:ind w:left="1944" w:right="0" w:hanging="526"/>
        <w:jc w:val="left"/>
      </w:pPr>
      <w:bookmarkStart w:id="259" w:name="4.4 生态管理与监控"/>
      <w:bookmarkEnd w:id="259"/>
      <w:bookmarkStart w:id="260" w:name="_bookmark25"/>
      <w:bookmarkEnd w:id="260"/>
      <w:bookmarkStart w:id="261" w:name="_bookmark25"/>
      <w:bookmarkEnd w:id="261"/>
      <w:r>
        <w:t>生态管理与监控</w:t>
      </w:r>
    </w:p>
    <w:p>
      <w:pPr>
        <w:pStyle w:val="9"/>
        <w:spacing w:before="134" w:line="364" w:lineRule="auto"/>
        <w:ind w:left="1418" w:right="1417" w:firstLine="480"/>
        <w:jc w:val="both"/>
      </w:pPr>
      <w:r>
        <w:rPr>
          <w:spacing w:val="3"/>
        </w:rPr>
        <w:t>生态环境管理和监控是政府环境保护机构依据国家和地方制订的有关自然资源和</w:t>
      </w:r>
      <w:r>
        <w:rPr>
          <w:spacing w:val="-6"/>
        </w:rPr>
        <w:t>生态保护的法律、法规、条例、技术规范、标准等所进行的行政工作，应成为本项目日</w:t>
      </w:r>
      <w:r>
        <w:t>常工作的一个重要组成部分。</w:t>
      </w:r>
    </w:p>
    <w:p>
      <w:pPr>
        <w:pStyle w:val="18"/>
        <w:numPr>
          <w:ilvl w:val="0"/>
          <w:numId w:val="57"/>
        </w:numPr>
        <w:tabs>
          <w:tab w:val="left" w:pos="2504"/>
        </w:tabs>
        <w:spacing w:before="0" w:after="0" w:line="364" w:lineRule="auto"/>
        <w:ind w:left="1418" w:right="1413" w:firstLine="480"/>
        <w:jc w:val="both"/>
        <w:rPr>
          <w:sz w:val="24"/>
        </w:rPr>
      </w:pPr>
      <w:r>
        <w:rPr>
          <w:sz w:val="24"/>
        </w:rPr>
        <w:t>在首采区工作面地表中心设地表移动变形长期观测点，进行地表沉陷的变化</w:t>
      </w:r>
      <w:r>
        <w:rPr>
          <w:spacing w:val="-9"/>
          <w:sz w:val="24"/>
        </w:rPr>
        <w:t>观测，监控其下沉速率、时间、裂缝宽度与深度、积水时段、积水面积，为后续土地复</w:t>
      </w:r>
      <w:r>
        <w:rPr>
          <w:sz w:val="24"/>
        </w:rPr>
        <w:t>垦建立可借鉴的数据。</w:t>
      </w:r>
    </w:p>
    <w:p>
      <w:pPr>
        <w:pStyle w:val="18"/>
        <w:numPr>
          <w:ilvl w:val="0"/>
          <w:numId w:val="57"/>
        </w:numPr>
        <w:tabs>
          <w:tab w:val="left" w:pos="2504"/>
        </w:tabs>
        <w:spacing w:before="0" w:after="0" w:line="362" w:lineRule="auto"/>
        <w:ind w:left="1418" w:right="1418" w:firstLine="480"/>
        <w:jc w:val="left"/>
        <w:rPr>
          <w:sz w:val="24"/>
        </w:rPr>
      </w:pPr>
      <w:r>
        <w:rPr>
          <w:sz w:val="24"/>
        </w:rPr>
        <w:t>在首采区边界处设生态监测点一处，定点进行沉陷区植被的生长与物种演替及农业生产力变化程度，为后续土地复垦提供有益借鉴。</w:t>
      </w:r>
    </w:p>
    <w:p>
      <w:pPr>
        <w:pStyle w:val="18"/>
        <w:numPr>
          <w:ilvl w:val="0"/>
          <w:numId w:val="57"/>
        </w:numPr>
        <w:tabs>
          <w:tab w:val="left" w:pos="2504"/>
        </w:tabs>
        <w:spacing w:before="1" w:after="0" w:line="362" w:lineRule="auto"/>
        <w:ind w:left="1418" w:right="1418" w:firstLine="480"/>
        <w:jc w:val="left"/>
        <w:rPr>
          <w:sz w:val="24"/>
        </w:rPr>
      </w:pPr>
      <w:r>
        <w:rPr>
          <w:sz w:val="24"/>
        </w:rPr>
        <w:t>沉陷土地复垦治理要达到的目标；按国家和地方有关规定，项目征占地区生态损失在征占地前足额及时地得到补偿；</w:t>
      </w:r>
    </w:p>
    <w:p>
      <w:pPr>
        <w:pStyle w:val="18"/>
        <w:numPr>
          <w:ilvl w:val="0"/>
          <w:numId w:val="57"/>
        </w:numPr>
        <w:tabs>
          <w:tab w:val="left" w:pos="2504"/>
        </w:tabs>
        <w:spacing w:before="5" w:after="0" w:line="364" w:lineRule="auto"/>
        <w:ind w:left="1418" w:right="1418" w:firstLine="480"/>
        <w:jc w:val="left"/>
        <w:rPr>
          <w:sz w:val="24"/>
        </w:rPr>
      </w:pPr>
      <w:r>
        <w:rPr>
          <w:sz w:val="24"/>
        </w:rPr>
        <w:t>建立岩移观测站，坚持长期地表岩移观测；严格按照项目设计和环评提出的保护煤柱留设方案采煤，禁止越界开采；</w:t>
      </w:r>
    </w:p>
    <w:p>
      <w:pPr>
        <w:pStyle w:val="18"/>
        <w:numPr>
          <w:ilvl w:val="0"/>
          <w:numId w:val="57"/>
        </w:numPr>
        <w:tabs>
          <w:tab w:val="left" w:pos="2504"/>
        </w:tabs>
        <w:spacing w:before="0" w:after="0" w:line="364" w:lineRule="auto"/>
        <w:ind w:left="1418" w:right="1418" w:firstLine="480"/>
        <w:jc w:val="left"/>
        <w:rPr>
          <w:sz w:val="24"/>
        </w:rPr>
      </w:pPr>
      <w:r>
        <w:rPr>
          <w:sz w:val="24"/>
        </w:rPr>
        <w:t>结合地表岩移观测结果和地表沉陷实际情况，按照地方政府规定，高质量的完成井田内可能受影响居民构筑物修缮，甚至拆建工作，确保居民生活水平不降低；</w:t>
      </w:r>
    </w:p>
    <w:p>
      <w:pPr>
        <w:pStyle w:val="18"/>
        <w:numPr>
          <w:ilvl w:val="0"/>
          <w:numId w:val="57"/>
        </w:numPr>
        <w:tabs>
          <w:tab w:val="left" w:pos="2504"/>
        </w:tabs>
        <w:spacing w:before="0" w:after="0" w:line="362" w:lineRule="auto"/>
        <w:ind w:left="1418" w:right="1418" w:firstLine="480"/>
        <w:jc w:val="left"/>
        <w:rPr>
          <w:sz w:val="24"/>
        </w:rPr>
      </w:pPr>
      <w:r>
        <w:rPr>
          <w:sz w:val="24"/>
        </w:rPr>
        <w:t>妥善解决矿地矛盾，建设环境友好型矿区，按照国家绿色矿山要求，建设绿色矿山。</w:t>
      </w:r>
    </w:p>
    <w:p>
      <w:pPr>
        <w:spacing w:after="0" w:line="362" w:lineRule="auto"/>
        <w:jc w:val="left"/>
        <w:rPr>
          <w:sz w:val="24"/>
        </w:rPr>
        <w:sectPr>
          <w:pgSz w:w="11910" w:h="16840"/>
          <w:pgMar w:top="1360" w:right="0" w:bottom="880" w:left="0" w:header="0" w:footer="681" w:gutter="0"/>
        </w:sectPr>
      </w:pPr>
    </w:p>
    <w:p>
      <w:pPr>
        <w:pStyle w:val="18"/>
        <w:numPr>
          <w:ilvl w:val="2"/>
          <w:numId w:val="14"/>
        </w:numPr>
        <w:tabs>
          <w:tab w:val="left" w:pos="4629"/>
        </w:tabs>
        <w:spacing w:before="43" w:after="0" w:line="240" w:lineRule="auto"/>
        <w:ind w:left="4628" w:right="0" w:hanging="4629"/>
        <w:jc w:val="left"/>
        <w:rPr>
          <w:rFonts w:ascii="Times New Roman" w:eastAsia="Times New Roman"/>
          <w:b/>
          <w:sz w:val="30"/>
        </w:rPr>
      </w:pPr>
      <w:bookmarkStart w:id="262" w:name="_bookmark26"/>
      <w:bookmarkEnd w:id="262"/>
      <w:bookmarkStart w:id="263" w:name="_bookmark26"/>
      <w:bookmarkEnd w:id="263"/>
      <w:bookmarkStart w:id="264" w:name="5.地下水环境影响评价"/>
      <w:bookmarkEnd w:id="264"/>
      <w:r>
        <w:rPr>
          <w:b/>
          <w:sz w:val="32"/>
        </w:rPr>
        <w:t>地下水环境影响评价</w:t>
      </w:r>
    </w:p>
    <w:p>
      <w:pPr>
        <w:pStyle w:val="5"/>
        <w:numPr>
          <w:ilvl w:val="1"/>
          <w:numId w:val="58"/>
        </w:numPr>
        <w:tabs>
          <w:tab w:val="left" w:pos="1868"/>
        </w:tabs>
        <w:spacing w:before="212" w:after="0" w:line="240" w:lineRule="auto"/>
        <w:ind w:left="1867" w:right="0" w:hanging="450"/>
        <w:jc w:val="left"/>
      </w:pPr>
      <w:bookmarkStart w:id="265" w:name="_bookmark27"/>
      <w:bookmarkEnd w:id="265"/>
      <w:bookmarkStart w:id="266" w:name="5.1地层与构造"/>
      <w:bookmarkEnd w:id="266"/>
      <w:bookmarkStart w:id="267" w:name="_bookmark27"/>
      <w:bookmarkEnd w:id="267"/>
      <w:r>
        <w:t>地层与构造</w:t>
      </w:r>
    </w:p>
    <w:p>
      <w:pPr>
        <w:pStyle w:val="6"/>
        <w:numPr>
          <w:ilvl w:val="2"/>
          <w:numId w:val="58"/>
        </w:numPr>
        <w:tabs>
          <w:tab w:val="left" w:pos="2048"/>
        </w:tabs>
        <w:spacing w:before="200" w:after="0" w:line="240" w:lineRule="auto"/>
        <w:ind w:left="2047" w:right="0" w:hanging="630"/>
        <w:jc w:val="left"/>
      </w:pPr>
      <w:bookmarkStart w:id="268" w:name="5.1.1地层"/>
      <w:bookmarkEnd w:id="268"/>
      <w:bookmarkStart w:id="269" w:name="5.1.1地层"/>
      <w:bookmarkEnd w:id="269"/>
      <w:r>
        <w:t>地层</w:t>
      </w:r>
    </w:p>
    <w:p>
      <w:pPr>
        <w:pStyle w:val="8"/>
        <w:numPr>
          <w:ilvl w:val="3"/>
          <w:numId w:val="58"/>
        </w:numPr>
        <w:tabs>
          <w:tab w:val="left" w:pos="2698"/>
        </w:tabs>
        <w:spacing w:before="183" w:after="0" w:line="240" w:lineRule="auto"/>
        <w:ind w:left="2697" w:right="0" w:hanging="721"/>
        <w:jc w:val="left"/>
      </w:pPr>
      <w:bookmarkStart w:id="270" w:name="5.1.1.1区域地层"/>
      <w:bookmarkEnd w:id="270"/>
      <w:bookmarkStart w:id="271" w:name="5.1.1.1区域地层"/>
      <w:bookmarkEnd w:id="271"/>
      <w:r>
        <w:t>区域地层</w:t>
      </w:r>
    </w:p>
    <w:p>
      <w:pPr>
        <w:pStyle w:val="9"/>
        <w:spacing w:before="160" w:line="364" w:lineRule="auto"/>
        <w:ind w:left="1418" w:right="1416" w:firstLine="559"/>
      </w:pPr>
      <w:r>
        <w:t>双鸭山煤田西起佳木斯隆起，东止富锦隆起，南起完达山的分水岭，北止松花江南岸。</w:t>
      </w:r>
    </w:p>
    <w:p>
      <w:pPr>
        <w:pStyle w:val="9"/>
        <w:spacing w:line="364" w:lineRule="auto"/>
        <w:ind w:left="1418" w:right="1339" w:firstLine="559"/>
        <w:jc w:val="both"/>
      </w:pPr>
      <w:r>
        <w:rPr>
          <w:spacing w:val="-7"/>
        </w:rPr>
        <w:t xml:space="preserve">其地理坐标：东经 </w:t>
      </w:r>
      <w:r>
        <w:rPr>
          <w:rFonts w:ascii="Times New Roman" w:hAnsi="Times New Roman" w:eastAsia="Times New Roman"/>
        </w:rPr>
        <w:t>131°03′</w:t>
      </w:r>
      <w:r>
        <w:t>～</w:t>
      </w:r>
      <w:r>
        <w:rPr>
          <w:rFonts w:ascii="Times New Roman" w:hAnsi="Times New Roman" w:eastAsia="Times New Roman"/>
        </w:rPr>
        <w:t>131°45′</w:t>
      </w:r>
      <w:r>
        <w:rPr>
          <w:spacing w:val="-15"/>
        </w:rPr>
        <w:t xml:space="preserve">；北纬 </w:t>
      </w:r>
      <w:r>
        <w:rPr>
          <w:rFonts w:ascii="Times New Roman" w:hAnsi="Times New Roman" w:eastAsia="Times New Roman"/>
        </w:rPr>
        <w:t>46°22′</w:t>
      </w:r>
      <w:r>
        <w:t>～</w:t>
      </w:r>
      <w:r>
        <w:rPr>
          <w:rFonts w:ascii="Times New Roman" w:hAnsi="Times New Roman" w:eastAsia="Times New Roman"/>
        </w:rPr>
        <w:t>46°43′,</w:t>
      </w:r>
      <w:r>
        <w:rPr>
          <w:spacing w:val="-8"/>
        </w:rPr>
        <w:t xml:space="preserve">煤田东西走向长 </w:t>
      </w:r>
      <w:r>
        <w:rPr>
          <w:rFonts w:ascii="Times New Roman" w:hAnsi="Times New Roman" w:eastAsia="Times New Roman"/>
          <w:spacing w:val="-3"/>
        </w:rPr>
        <w:t>50km</w:t>
      </w:r>
      <w:r>
        <w:rPr>
          <w:spacing w:val="-3"/>
        </w:rPr>
        <w:t xml:space="preserve">， </w:t>
      </w:r>
      <w:r>
        <w:rPr>
          <w:spacing w:val="-11"/>
        </w:rPr>
        <w:t xml:space="preserve">南北宽 </w:t>
      </w:r>
      <w:r>
        <w:rPr>
          <w:rFonts w:ascii="Times New Roman" w:hAnsi="Times New Roman" w:eastAsia="Times New Roman"/>
        </w:rPr>
        <w:t>5</w:t>
      </w:r>
      <w:r>
        <w:t>～</w:t>
      </w:r>
      <w:r>
        <w:rPr>
          <w:rFonts w:ascii="Times New Roman" w:hAnsi="Times New Roman" w:eastAsia="Times New Roman"/>
        </w:rPr>
        <w:t>20km</w:t>
      </w:r>
      <w:r>
        <w:rPr>
          <w:spacing w:val="-9"/>
        </w:rPr>
        <w:t xml:space="preserve">，面积约 </w:t>
      </w:r>
      <w:r>
        <w:rPr>
          <w:rFonts w:ascii="Times New Roman" w:hAnsi="Times New Roman" w:eastAsia="Times New Roman"/>
        </w:rPr>
        <w:t>600km²</w:t>
      </w:r>
      <w:r>
        <w:t>，行政区划属黑龙江省双鸭山市、宝清县、友谊县。</w:t>
      </w:r>
      <w:r>
        <w:rPr>
          <w:spacing w:val="-6"/>
        </w:rPr>
        <w:t>在第三、第四纪松散半胶结地层掩盖下早白垩世含煤地层广泛分布，其地层系统由老至新。</w:t>
      </w:r>
    </w:p>
    <w:p>
      <w:pPr>
        <w:pStyle w:val="8"/>
        <w:numPr>
          <w:ilvl w:val="3"/>
          <w:numId w:val="58"/>
        </w:numPr>
        <w:tabs>
          <w:tab w:val="left" w:pos="2698"/>
        </w:tabs>
        <w:spacing w:before="0" w:after="0" w:line="304" w:lineRule="exact"/>
        <w:ind w:left="2697" w:right="0" w:hanging="721"/>
        <w:jc w:val="left"/>
      </w:pPr>
      <w:r>
        <w:t>井田地层</w:t>
      </w:r>
    </w:p>
    <w:p>
      <w:pPr>
        <w:pStyle w:val="9"/>
        <w:spacing w:before="160"/>
        <w:ind w:left="1898"/>
      </w:pPr>
      <w:r>
        <w:rPr>
          <w:rFonts w:ascii="Times New Roman" w:eastAsia="Times New Roman"/>
        </w:rPr>
        <w:t>1</w:t>
      </w:r>
      <w:r>
        <w:t>、元古界变质岩系</w:t>
      </w:r>
    </w:p>
    <w:p>
      <w:pPr>
        <w:pStyle w:val="9"/>
        <w:spacing w:before="158" w:line="364" w:lineRule="auto"/>
        <w:ind w:left="1418" w:right="1365" w:firstLine="480"/>
        <w:jc w:val="both"/>
      </w:pPr>
      <w:r>
        <w:rPr>
          <w:spacing w:val="-1"/>
        </w:rPr>
        <w:t>主要在文胜勘探区的西部及北部广泛出露。其岩性见有黑云母片麻岩、石英片岩、</w:t>
      </w:r>
      <w:r>
        <w:rPr>
          <w:spacing w:val="-6"/>
        </w:rPr>
        <w:t>角闪石片岩、绿泥石片岩、大理岩。古老的花岗岩均显片麻状构造，广泛出露，组成煤系地层之基底。</w:t>
      </w:r>
    </w:p>
    <w:p>
      <w:pPr>
        <w:pStyle w:val="9"/>
        <w:spacing w:line="307" w:lineRule="exact"/>
        <w:ind w:left="1898"/>
      </w:pPr>
      <w:r>
        <w:rPr>
          <w:rFonts w:ascii="Times New Roman" w:eastAsia="Times New Roman"/>
        </w:rPr>
        <w:t>2</w:t>
      </w:r>
      <w:r>
        <w:t>、白垩系鸡西群</w:t>
      </w:r>
    </w:p>
    <w:p>
      <w:pPr>
        <w:pStyle w:val="9"/>
        <w:spacing w:before="161"/>
        <w:ind w:left="1898"/>
      </w:pPr>
      <w:r>
        <w:t>该群在本区发育有城子河组和穆棱组，分述如下：</w:t>
      </w:r>
    </w:p>
    <w:p>
      <w:pPr>
        <w:pStyle w:val="18"/>
        <w:numPr>
          <w:ilvl w:val="0"/>
          <w:numId w:val="59"/>
        </w:numPr>
        <w:tabs>
          <w:tab w:val="left" w:pos="2501"/>
        </w:tabs>
        <w:spacing w:before="158" w:after="0" w:line="362" w:lineRule="auto"/>
        <w:ind w:left="1418" w:right="1417" w:firstLine="480"/>
        <w:jc w:val="left"/>
        <w:rPr>
          <w:rFonts w:ascii="Times New Roman" w:eastAsia="Times New Roman"/>
          <w:sz w:val="24"/>
        </w:rPr>
      </w:pPr>
      <w:r>
        <w:rPr>
          <w:sz w:val="24"/>
        </w:rPr>
        <w:t>城子河组（</w:t>
      </w:r>
      <w:r>
        <w:rPr>
          <w:rFonts w:ascii="Times New Roman" w:eastAsia="Times New Roman"/>
          <w:sz w:val="24"/>
        </w:rPr>
        <w:t>K1ch</w:t>
      </w:r>
      <w:r>
        <w:rPr>
          <w:sz w:val="24"/>
        </w:rPr>
        <w:t>）：</w:t>
      </w:r>
      <w:r>
        <w:rPr>
          <w:spacing w:val="-1"/>
          <w:sz w:val="24"/>
        </w:rPr>
        <w:t>本组下限呈不整合覆盖于基底之上，由陆相碎屑岩所组</w:t>
      </w:r>
      <w:r>
        <w:rPr>
          <w:spacing w:val="-17"/>
          <w:sz w:val="24"/>
        </w:rPr>
        <w:t xml:space="preserve">成，旋迥结构明显，主要岩性为灰白色砂岩、砾岩、深灰色粉砂岩，灰绿色泞灰岩 </w:t>
      </w:r>
      <w:r>
        <w:rPr>
          <w:rFonts w:ascii="Times New Roman" w:eastAsia="Times New Roman"/>
          <w:spacing w:val="-5"/>
          <w:sz w:val="24"/>
        </w:rPr>
        <w:t>14-22</w:t>
      </w:r>
    </w:p>
    <w:p>
      <w:pPr>
        <w:pStyle w:val="9"/>
        <w:spacing w:before="5"/>
        <w:ind w:left="1418"/>
      </w:pPr>
      <w:r>
        <w:t xml:space="preserve">层及含煤 </w:t>
      </w:r>
      <w:r>
        <w:rPr>
          <w:rFonts w:ascii="Times New Roman" w:eastAsia="Times New Roman"/>
        </w:rPr>
        <w:t xml:space="preserve">40-50 </w:t>
      </w:r>
      <w:r>
        <w:t xml:space="preserve">层；煤层厚度大于 </w:t>
      </w:r>
      <w:r>
        <w:rPr>
          <w:rFonts w:ascii="Times New Roman" w:eastAsia="Times New Roman"/>
        </w:rPr>
        <w:t xml:space="preserve">0.5-0.6 </w:t>
      </w:r>
      <w:r>
        <w:t xml:space="preserve">米 </w:t>
      </w:r>
      <w:r>
        <w:rPr>
          <w:rFonts w:ascii="Times New Roman" w:eastAsia="Times New Roman"/>
        </w:rPr>
        <w:t xml:space="preserve">6 </w:t>
      </w:r>
      <w:r>
        <w:t xml:space="preserve">层，全区较稳定 </w:t>
      </w:r>
      <w:r>
        <w:rPr>
          <w:rFonts w:ascii="Times New Roman" w:eastAsia="Times New Roman"/>
        </w:rPr>
        <w:t xml:space="preserve">2 </w:t>
      </w:r>
      <w:r>
        <w:t>层，主要煤层均集中在</w:t>
      </w:r>
    </w:p>
    <w:p>
      <w:pPr>
        <w:pStyle w:val="9"/>
        <w:spacing w:before="158" w:line="364" w:lineRule="auto"/>
        <w:ind w:left="1418" w:right="1344"/>
      </w:pPr>
      <w:r>
        <w:t xml:space="preserve">本组中部，可采煤层总厚 </w:t>
      </w:r>
      <w:r>
        <w:rPr>
          <w:rFonts w:ascii="Times New Roman" w:eastAsia="Times New Roman"/>
        </w:rPr>
        <w:t xml:space="preserve">3-8 </w:t>
      </w:r>
      <w:r>
        <w:t>米。依据空间分布规律，将城子河组划分上、中、下三部分。</w:t>
      </w:r>
    </w:p>
    <w:p>
      <w:pPr>
        <w:pStyle w:val="9"/>
        <w:spacing w:before="1" w:line="362" w:lineRule="auto"/>
        <w:ind w:left="1418" w:right="1413" w:firstLine="480"/>
        <w:rPr>
          <w:rFonts w:ascii="Times New Roman" w:eastAsia="Times New Roman"/>
        </w:rPr>
      </w:pPr>
      <w:r>
        <w:rPr>
          <w:spacing w:val="-11"/>
        </w:rPr>
        <w:t>下部</w:t>
      </w:r>
      <w:r>
        <w:t>（</w:t>
      </w:r>
      <w:r>
        <w:rPr>
          <w:rFonts w:ascii="Times New Roman" w:eastAsia="Times New Roman"/>
        </w:rPr>
        <w:t xml:space="preserve">17 </w:t>
      </w:r>
      <w:r>
        <w:t>号煤层之下</w:t>
      </w:r>
      <w:r>
        <w:rPr>
          <w:spacing w:val="-23"/>
        </w:rPr>
        <w:t>）</w:t>
      </w:r>
      <w:r>
        <w:rPr>
          <w:spacing w:val="-9"/>
        </w:rPr>
        <w:t>：以灰白色中、粗砂岩及深灰色粉砂岩为主，向下部粒径变</w:t>
      </w:r>
      <w:r>
        <w:rPr>
          <w:spacing w:val="-13"/>
        </w:rPr>
        <w:t>粗，并出现含砾砂岩</w:t>
      </w:r>
      <w:r>
        <w:t>（砾石成分主要是花岗岩</w:t>
      </w:r>
      <w:r>
        <w:rPr>
          <w:spacing w:val="-55"/>
        </w:rPr>
        <w:t>）</w:t>
      </w:r>
      <w:r>
        <w:rPr>
          <w:spacing w:val="-13"/>
        </w:rPr>
        <w:t xml:space="preserve">，夹灰绿色薄层泞灰岩 </w:t>
      </w:r>
      <w:r>
        <w:rPr>
          <w:rFonts w:ascii="Times New Roman" w:eastAsia="Times New Roman"/>
        </w:rPr>
        <w:t>4-6</w:t>
      </w:r>
      <w:r>
        <w:rPr>
          <w:rFonts w:ascii="Times New Roman" w:eastAsia="Times New Roman"/>
          <w:spacing w:val="3"/>
        </w:rPr>
        <w:t xml:space="preserve"> </w:t>
      </w:r>
      <w:r>
        <w:rPr>
          <w:spacing w:val="-24"/>
        </w:rPr>
        <w:t xml:space="preserve">层。含煤 </w:t>
      </w:r>
      <w:r>
        <w:rPr>
          <w:rFonts w:ascii="Times New Roman" w:eastAsia="Times New Roman"/>
          <w:spacing w:val="-4"/>
        </w:rPr>
        <w:t>6-13</w:t>
      </w:r>
    </w:p>
    <w:p>
      <w:pPr>
        <w:pStyle w:val="9"/>
        <w:spacing w:before="5"/>
        <w:ind w:left="1418"/>
      </w:pPr>
      <w:r>
        <w:rPr>
          <w:spacing w:val="-4"/>
        </w:rPr>
        <w:t xml:space="preserve">层，分布范围很小，局部可采 </w:t>
      </w:r>
      <w:r>
        <w:rPr>
          <w:rFonts w:ascii="Times New Roman" w:eastAsia="Times New Roman"/>
        </w:rPr>
        <w:t>2-5</w:t>
      </w:r>
      <w:r>
        <w:rPr>
          <w:rFonts w:ascii="Times New Roman" w:eastAsia="Times New Roman"/>
          <w:spacing w:val="8"/>
        </w:rPr>
        <w:t xml:space="preserve"> </w:t>
      </w:r>
      <w:r>
        <w:rPr>
          <w:spacing w:val="-10"/>
        </w:rPr>
        <w:t xml:space="preserve">层，厚度在 </w:t>
      </w:r>
      <w:r>
        <w:rPr>
          <w:rFonts w:ascii="Times New Roman" w:eastAsia="Times New Roman"/>
        </w:rPr>
        <w:t>0.1-0.90</w:t>
      </w:r>
      <w:r>
        <w:rPr>
          <w:rFonts w:ascii="Times New Roman" w:eastAsia="Times New Roman"/>
          <w:spacing w:val="6"/>
        </w:rPr>
        <w:t xml:space="preserve"> </w:t>
      </w:r>
      <w:r>
        <w:t>米，很不稳定，无工业价值。岩</w:t>
      </w:r>
    </w:p>
    <w:p>
      <w:pPr>
        <w:pStyle w:val="9"/>
        <w:spacing w:before="158"/>
        <w:ind w:left="1418"/>
      </w:pPr>
      <w:r>
        <w:t xml:space="preserve">相变化频繁，分选、滚园均差，总厚 </w:t>
      </w:r>
      <w:r>
        <w:rPr>
          <w:rFonts w:ascii="Times New Roman" w:eastAsia="Times New Roman"/>
        </w:rPr>
        <w:t xml:space="preserve">50-180 </w:t>
      </w:r>
      <w:r>
        <w:t>米。</w:t>
      </w:r>
    </w:p>
    <w:p>
      <w:pPr>
        <w:pStyle w:val="9"/>
        <w:spacing w:before="161" w:line="362" w:lineRule="auto"/>
        <w:ind w:left="1418" w:right="1416" w:firstLine="480"/>
      </w:pPr>
      <w:r>
        <w:t>中部（</w:t>
      </w:r>
      <w:r>
        <w:rPr>
          <w:rFonts w:ascii="Times New Roman" w:eastAsia="Times New Roman"/>
        </w:rPr>
        <w:t>5</w:t>
      </w:r>
      <w:r>
        <w:rPr>
          <w:rFonts w:ascii="Times New Roman" w:eastAsia="Times New Roman"/>
          <w:spacing w:val="5"/>
        </w:rPr>
        <w:t xml:space="preserve"> </w:t>
      </w:r>
      <w:r>
        <w:t>号煤层以下）：</w:t>
      </w:r>
      <w:r>
        <w:rPr>
          <w:spacing w:val="-1"/>
        </w:rPr>
        <w:t>是具有工业基础价值主要含煤段，其岩性为灰色、深灰色</w:t>
      </w:r>
      <w:r>
        <w:rPr>
          <w:spacing w:val="-3"/>
        </w:rPr>
        <w:t xml:space="preserve">富含植物碎屑粉砂岩，灰白色中、细砂岩及层厚小于 </w:t>
      </w:r>
      <w:r>
        <w:rPr>
          <w:rFonts w:ascii="Times New Roman" w:eastAsia="Times New Roman"/>
        </w:rPr>
        <w:t>0.5</w:t>
      </w:r>
      <w:r>
        <w:rPr>
          <w:rFonts w:ascii="Times New Roman" w:eastAsia="Times New Roman"/>
          <w:spacing w:val="5"/>
        </w:rPr>
        <w:t xml:space="preserve"> </w:t>
      </w:r>
      <w:r>
        <w:rPr>
          <w:spacing w:val="-1"/>
        </w:rPr>
        <w:t>米细砂岩与粉砂岩互层。夹薄</w:t>
      </w:r>
    </w:p>
    <w:p>
      <w:pPr>
        <w:pStyle w:val="9"/>
        <w:spacing w:before="5"/>
        <w:ind w:left="1418"/>
      </w:pPr>
      <w:r>
        <w:rPr>
          <w:spacing w:val="-13"/>
        </w:rPr>
        <w:t xml:space="preserve">层泞灰岩 </w:t>
      </w:r>
      <w:r>
        <w:rPr>
          <w:rFonts w:ascii="Times New Roman" w:eastAsia="Times New Roman"/>
        </w:rPr>
        <w:t xml:space="preserve">8-13 </w:t>
      </w:r>
      <w:r>
        <w:rPr>
          <w:spacing w:val="-8"/>
        </w:rPr>
        <w:t xml:space="preserve">层，可作对比标志。含煤 </w:t>
      </w:r>
      <w:r>
        <w:rPr>
          <w:rFonts w:ascii="Times New Roman" w:eastAsia="Times New Roman"/>
        </w:rPr>
        <w:t>15-25</w:t>
      </w:r>
      <w:r>
        <w:rPr>
          <w:rFonts w:ascii="Times New Roman" w:eastAsia="Times New Roman"/>
          <w:spacing w:val="-1"/>
        </w:rPr>
        <w:t xml:space="preserve"> </w:t>
      </w:r>
      <w:r>
        <w:rPr>
          <w:spacing w:val="-11"/>
        </w:rPr>
        <w:t xml:space="preserve">层，全区稳定 </w:t>
      </w:r>
      <w:r>
        <w:rPr>
          <w:rFonts w:ascii="Times New Roman" w:eastAsia="Times New Roman"/>
        </w:rPr>
        <w:t xml:space="preserve">2 </w:t>
      </w:r>
      <w:r>
        <w:rPr>
          <w:spacing w:val="-17"/>
        </w:rPr>
        <w:t xml:space="preserve">层，为 </w:t>
      </w:r>
      <w:r>
        <w:rPr>
          <w:rFonts w:ascii="Times New Roman" w:eastAsia="Times New Roman"/>
        </w:rPr>
        <w:t>5#</w:t>
      </w:r>
      <w:r>
        <w:rPr>
          <w:spacing w:val="-8"/>
        </w:rPr>
        <w:t>、</w:t>
      </w:r>
      <w:r>
        <w:rPr>
          <w:rFonts w:ascii="Times New Roman" w:eastAsia="Times New Roman"/>
        </w:rPr>
        <w:t>14#</w:t>
      </w:r>
      <w:r>
        <w:rPr>
          <w:spacing w:val="-2"/>
        </w:rPr>
        <w:t>煤层；局</w:t>
      </w:r>
    </w:p>
    <w:p>
      <w:pPr>
        <w:spacing w:after="0"/>
        <w:sectPr>
          <w:pgSz w:w="11910" w:h="16840"/>
          <w:pgMar w:top="1360" w:right="0" w:bottom="880" w:left="0" w:header="0" w:footer="681" w:gutter="0"/>
        </w:sectPr>
      </w:pPr>
    </w:p>
    <w:p>
      <w:pPr>
        <w:pStyle w:val="9"/>
        <w:spacing w:before="61" w:line="362" w:lineRule="auto"/>
        <w:ind w:left="1418" w:right="1411"/>
        <w:jc w:val="both"/>
      </w:pPr>
      <w:r>
        <w:rPr>
          <w:spacing w:val="-15"/>
        </w:rPr>
        <w:t xml:space="preserve">部可采 </w:t>
      </w:r>
      <w:r>
        <w:rPr>
          <w:rFonts w:ascii="Times New Roman" w:eastAsia="Times New Roman"/>
        </w:rPr>
        <w:t xml:space="preserve">4-5 </w:t>
      </w:r>
      <w:r>
        <w:rPr>
          <w:spacing w:val="-10"/>
        </w:rPr>
        <w:t xml:space="preserve">层，分别为 </w:t>
      </w:r>
      <w:r>
        <w:rPr>
          <w:rFonts w:ascii="Times New Roman" w:eastAsia="Times New Roman"/>
        </w:rPr>
        <w:t>9#</w:t>
      </w:r>
      <w:r>
        <w:t>、</w:t>
      </w:r>
      <w:r>
        <w:rPr>
          <w:rFonts w:ascii="Times New Roman" w:eastAsia="Times New Roman"/>
          <w:spacing w:val="-4"/>
        </w:rPr>
        <w:t>11#</w:t>
      </w:r>
      <w:r>
        <w:t>、</w:t>
      </w:r>
      <w:r>
        <w:rPr>
          <w:rFonts w:ascii="Times New Roman" w:eastAsia="Times New Roman"/>
        </w:rPr>
        <w:t>12#</w:t>
      </w:r>
      <w:r>
        <w:t>、</w:t>
      </w:r>
      <w:r>
        <w:rPr>
          <w:rFonts w:ascii="Times New Roman" w:eastAsia="Times New Roman"/>
        </w:rPr>
        <w:t>16#</w:t>
      </w:r>
      <w:r>
        <w:t>、</w:t>
      </w:r>
      <w:r>
        <w:rPr>
          <w:rFonts w:ascii="Times New Roman" w:eastAsia="Times New Roman"/>
        </w:rPr>
        <w:t>17#</w:t>
      </w:r>
      <w:r>
        <w:rPr>
          <w:spacing w:val="-6"/>
        </w:rPr>
        <w:t xml:space="preserve">煤层等，另有零星可采 </w:t>
      </w:r>
      <w:r>
        <w:rPr>
          <w:rFonts w:ascii="Times New Roman" w:eastAsia="Times New Roman"/>
        </w:rPr>
        <w:t>19#</w:t>
      </w:r>
      <w:r>
        <w:rPr>
          <w:spacing w:val="-3"/>
        </w:rPr>
        <w:t>煤层。总厚</w:t>
      </w:r>
      <w:r>
        <w:rPr>
          <w:rFonts w:ascii="Times New Roman" w:eastAsia="Times New Roman"/>
        </w:rPr>
        <w:t xml:space="preserve">220-260 </w:t>
      </w:r>
      <w:r>
        <w:t>米。</w:t>
      </w:r>
    </w:p>
    <w:p>
      <w:pPr>
        <w:pStyle w:val="9"/>
        <w:spacing w:before="5" w:line="364" w:lineRule="auto"/>
        <w:ind w:left="1418" w:right="1413" w:firstLine="480"/>
        <w:jc w:val="both"/>
      </w:pPr>
      <w:r>
        <w:t>上部（</w:t>
      </w:r>
      <w:r>
        <w:rPr>
          <w:rFonts w:ascii="Times New Roman" w:eastAsia="Times New Roman"/>
        </w:rPr>
        <w:t xml:space="preserve">5 </w:t>
      </w:r>
      <w:r>
        <w:t>号以上至穆棱组界线）：</w:t>
      </w:r>
      <w:r>
        <w:rPr>
          <w:spacing w:val="-1"/>
        </w:rPr>
        <w:t xml:space="preserve">岩性为灰白色中、细砂岩，深灰色粉砂岩为主， </w:t>
      </w:r>
      <w:r>
        <w:rPr>
          <w:spacing w:val="-8"/>
        </w:rPr>
        <w:t xml:space="preserve">夹绿色泞灰质岩 </w:t>
      </w:r>
      <w:r>
        <w:rPr>
          <w:rFonts w:ascii="Times New Roman" w:eastAsia="Times New Roman"/>
        </w:rPr>
        <w:t xml:space="preserve">1-3 </w:t>
      </w:r>
      <w:r>
        <w:rPr>
          <w:spacing w:val="-17"/>
        </w:rPr>
        <w:t xml:space="preserve">层。含煤 </w:t>
      </w:r>
      <w:r>
        <w:rPr>
          <w:rFonts w:ascii="Times New Roman" w:eastAsia="Times New Roman"/>
        </w:rPr>
        <w:t xml:space="preserve">5-13 </w:t>
      </w:r>
      <w:r>
        <w:rPr>
          <w:spacing w:val="-9"/>
        </w:rPr>
        <w:t>层，均为薄煤，无工业基础价值，但个别点达到可采</w:t>
      </w:r>
      <w:r>
        <w:t>厚度，发育不稳定。</w:t>
      </w:r>
    </w:p>
    <w:p>
      <w:pPr>
        <w:pStyle w:val="18"/>
        <w:numPr>
          <w:ilvl w:val="0"/>
          <w:numId w:val="59"/>
        </w:numPr>
        <w:tabs>
          <w:tab w:val="left" w:pos="2500"/>
        </w:tabs>
        <w:spacing w:before="0" w:after="0" w:line="307" w:lineRule="exact"/>
        <w:ind w:left="2499" w:right="0" w:hanging="602"/>
        <w:jc w:val="left"/>
        <w:rPr>
          <w:rFonts w:ascii="Times New Roman" w:eastAsia="Times New Roman"/>
          <w:sz w:val="24"/>
        </w:rPr>
      </w:pPr>
      <w:r>
        <w:rPr>
          <w:sz w:val="24"/>
        </w:rPr>
        <w:t>穆棱组</w:t>
      </w:r>
      <w:r>
        <w:rPr>
          <w:rFonts w:ascii="Times New Roman" w:eastAsia="Times New Roman"/>
          <w:sz w:val="24"/>
        </w:rPr>
        <w:t>(K1m)</w:t>
      </w:r>
    </w:p>
    <w:p>
      <w:pPr>
        <w:pStyle w:val="9"/>
        <w:spacing w:before="158" w:line="364" w:lineRule="auto"/>
        <w:ind w:left="1418" w:right="1297" w:firstLine="480"/>
        <w:jc w:val="both"/>
      </w:pPr>
      <w:r>
        <w:rPr>
          <w:spacing w:val="-11"/>
        </w:rPr>
        <w:t xml:space="preserve">本组与城子河组呈整合接触，主要岩性均微带绿色及微黄色，以深灰色粉砂岩为主， </w:t>
      </w:r>
      <w:r>
        <w:rPr>
          <w:spacing w:val="-9"/>
        </w:rPr>
        <w:t xml:space="preserve">其次厚度小于 </w:t>
      </w:r>
      <w:r>
        <w:rPr>
          <w:rFonts w:ascii="Times New Roman" w:eastAsia="Times New Roman"/>
        </w:rPr>
        <w:t>0.5</w:t>
      </w:r>
      <w:r>
        <w:rPr>
          <w:rFonts w:ascii="Times New Roman" w:eastAsia="Times New Roman"/>
          <w:spacing w:val="2"/>
        </w:rPr>
        <w:t xml:space="preserve"> </w:t>
      </w:r>
      <w:r>
        <w:t>米细砂岩、粉砂岩互层，和少量中砂岩、粗砂岩。旋迥结构不明显，</w:t>
      </w:r>
    </w:p>
    <w:p>
      <w:pPr>
        <w:pStyle w:val="9"/>
        <w:spacing w:line="306" w:lineRule="exact"/>
        <w:ind w:left="1418"/>
      </w:pPr>
      <w:r>
        <w:t xml:space="preserve">经后期剥蚀作用最大厚度为 </w:t>
      </w:r>
      <w:r>
        <w:rPr>
          <w:rFonts w:ascii="Times New Roman" w:eastAsia="Times New Roman"/>
        </w:rPr>
        <w:t xml:space="preserve">500 </w:t>
      </w:r>
      <w:r>
        <w:t>米。</w:t>
      </w:r>
    </w:p>
    <w:p>
      <w:pPr>
        <w:pStyle w:val="18"/>
        <w:numPr>
          <w:ilvl w:val="0"/>
          <w:numId w:val="59"/>
        </w:numPr>
        <w:tabs>
          <w:tab w:val="left" w:pos="2500"/>
        </w:tabs>
        <w:spacing w:before="161" w:after="0" w:line="240" w:lineRule="auto"/>
        <w:ind w:left="2499" w:right="0" w:hanging="602"/>
        <w:jc w:val="left"/>
        <w:rPr>
          <w:sz w:val="24"/>
        </w:rPr>
      </w:pPr>
      <w:r>
        <w:rPr>
          <w:sz w:val="24"/>
        </w:rPr>
        <w:t>白垩系火山岩组（</w:t>
      </w:r>
      <w:r>
        <w:rPr>
          <w:rFonts w:ascii="Times New Roman" w:eastAsia="Times New Roman"/>
          <w:sz w:val="24"/>
        </w:rPr>
        <w:t>K2</w:t>
      </w:r>
      <w:r>
        <w:rPr>
          <w:sz w:val="24"/>
        </w:rPr>
        <w:t>）</w:t>
      </w:r>
    </w:p>
    <w:p>
      <w:pPr>
        <w:pStyle w:val="9"/>
        <w:spacing w:before="158" w:line="364" w:lineRule="auto"/>
        <w:ind w:left="1418" w:right="1417" w:firstLine="480"/>
      </w:pPr>
      <w:r>
        <w:rPr>
          <w:spacing w:val="-4"/>
        </w:rPr>
        <w:t>该组地层主要在向斜轴以南至分水岭，呈大面积覆盖于煤系地层之上，从槽探实见</w:t>
      </w:r>
      <w:r>
        <w:rPr>
          <w:spacing w:val="-9"/>
        </w:rPr>
        <w:t xml:space="preserve">为不整合接触。从地表及 </w:t>
      </w:r>
      <w:r>
        <w:rPr>
          <w:rFonts w:ascii="Times New Roman" w:eastAsia="Times New Roman"/>
        </w:rPr>
        <w:t xml:space="preserve">522 </w:t>
      </w:r>
      <w:r>
        <w:rPr>
          <w:spacing w:val="-3"/>
        </w:rPr>
        <w:t>孔证实全部由安山质角砾岩、集块岩及安山质泞灰熔岩组</w:t>
      </w:r>
    </w:p>
    <w:p>
      <w:pPr>
        <w:pStyle w:val="9"/>
        <w:spacing w:line="306" w:lineRule="exact"/>
        <w:ind w:left="1418"/>
      </w:pPr>
      <w:r>
        <w:t xml:space="preserve">成。目前控制厚度 </w:t>
      </w:r>
      <w:r>
        <w:rPr>
          <w:rFonts w:ascii="Times New Roman" w:eastAsia="Times New Roman"/>
        </w:rPr>
        <w:t xml:space="preserve">470 </w:t>
      </w:r>
      <w:r>
        <w:t>米，其时代经讨论确定为伊林组（</w:t>
      </w:r>
      <w:r>
        <w:rPr>
          <w:rFonts w:ascii="Times New Roman" w:eastAsia="Times New Roman"/>
        </w:rPr>
        <w:t>K2</w:t>
      </w:r>
      <w:r>
        <w:t>）。</w:t>
      </w:r>
    </w:p>
    <w:p>
      <w:pPr>
        <w:pStyle w:val="18"/>
        <w:numPr>
          <w:ilvl w:val="0"/>
          <w:numId w:val="59"/>
        </w:numPr>
        <w:tabs>
          <w:tab w:val="left" w:pos="2500"/>
        </w:tabs>
        <w:spacing w:before="160" w:after="0" w:line="240" w:lineRule="auto"/>
        <w:ind w:left="2499" w:right="0" w:hanging="602"/>
        <w:jc w:val="left"/>
        <w:rPr>
          <w:rFonts w:ascii="Times New Roman" w:hAnsi="Times New Roman" w:eastAsia="Times New Roman"/>
          <w:sz w:val="24"/>
        </w:rPr>
      </w:pPr>
      <w:r>
        <w:rPr>
          <w:sz w:val="24"/>
        </w:rPr>
        <w:t>新近系玄武岩</w:t>
      </w:r>
      <w:r>
        <w:rPr>
          <w:rFonts w:ascii="Times New Roman" w:hAnsi="Times New Roman" w:eastAsia="Times New Roman"/>
          <w:sz w:val="24"/>
        </w:rPr>
        <w:t>(βN2)</w:t>
      </w:r>
    </w:p>
    <w:p>
      <w:pPr>
        <w:pStyle w:val="9"/>
        <w:spacing w:before="161" w:line="362" w:lineRule="auto"/>
        <w:ind w:left="1418" w:right="1297" w:firstLine="480"/>
      </w:pPr>
      <w:r>
        <w:rPr>
          <w:spacing w:val="-13"/>
        </w:rPr>
        <w:t>见有气孔状和致密状两种，均为橄榄玄武岩，偶见气孔中充填少量次生碳酸盐矿物。</w:t>
      </w:r>
      <w:r>
        <w:t>并有少量的辉石，覆盖于白垩系及煤系基盘之上。</w:t>
      </w:r>
    </w:p>
    <w:p>
      <w:pPr>
        <w:pStyle w:val="18"/>
        <w:numPr>
          <w:ilvl w:val="0"/>
          <w:numId w:val="59"/>
        </w:numPr>
        <w:tabs>
          <w:tab w:val="left" w:pos="2500"/>
        </w:tabs>
        <w:spacing w:before="5" w:after="0" w:line="240" w:lineRule="auto"/>
        <w:ind w:left="2499" w:right="0" w:hanging="602"/>
        <w:jc w:val="left"/>
        <w:rPr>
          <w:rFonts w:ascii="Times New Roman" w:eastAsia="Times New Roman"/>
          <w:sz w:val="24"/>
        </w:rPr>
      </w:pPr>
      <w:r>
        <w:rPr>
          <w:sz w:val="24"/>
        </w:rPr>
        <w:t>第四系冲积层</w:t>
      </w:r>
      <w:r>
        <w:rPr>
          <w:rFonts w:ascii="Times New Roman" w:eastAsia="Times New Roman"/>
          <w:sz w:val="24"/>
        </w:rPr>
        <w:t>(Q4)</w:t>
      </w:r>
    </w:p>
    <w:p>
      <w:pPr>
        <w:pStyle w:val="9"/>
        <w:spacing w:before="158"/>
        <w:ind w:left="1898"/>
      </w:pPr>
      <w:r>
        <w:t xml:space="preserve">主要分布在河流两侧，最大厚度 </w:t>
      </w:r>
      <w:r>
        <w:rPr>
          <w:rFonts w:ascii="Times New Roman" w:eastAsia="Times New Roman"/>
        </w:rPr>
        <w:t xml:space="preserve">10 </w:t>
      </w:r>
      <w:r>
        <w:t>米左右，由花岗岩、流纹岩等砾石以及粗砂和</w:t>
      </w:r>
    </w:p>
    <w:p>
      <w:pPr>
        <w:pStyle w:val="9"/>
        <w:spacing w:before="158" w:line="364" w:lineRule="auto"/>
        <w:ind w:left="1418" w:right="1297"/>
        <w:jc w:val="both"/>
      </w:pPr>
      <w:r>
        <w:rPr>
          <w:spacing w:val="-11"/>
        </w:rPr>
        <w:t xml:space="preserve">矽质粘土组成，上面有一层 </w:t>
      </w:r>
      <w:r>
        <w:rPr>
          <w:rFonts w:ascii="Times New Roman" w:eastAsia="Times New Roman"/>
        </w:rPr>
        <w:t xml:space="preserve">0.5 </w:t>
      </w:r>
      <w:r>
        <w:rPr>
          <w:spacing w:val="-11"/>
        </w:rPr>
        <w:t xml:space="preserve">米腐植土，在山坡地带分布 </w:t>
      </w:r>
      <w:r>
        <w:rPr>
          <w:rFonts w:ascii="Times New Roman" w:eastAsia="Times New Roman"/>
        </w:rPr>
        <w:t xml:space="preserve">0.5-2.00 </w:t>
      </w:r>
      <w:r>
        <w:rPr>
          <w:spacing w:val="-2"/>
        </w:rPr>
        <w:t xml:space="preserve">米坡积和残积物质， </w:t>
      </w:r>
      <w:r>
        <w:t>在高山区侵蚀作用显著。</w:t>
      </w:r>
    </w:p>
    <w:p>
      <w:pPr>
        <w:spacing w:before="0" w:after="3"/>
        <w:ind w:left="5" w:right="0" w:firstLine="0"/>
        <w:jc w:val="center"/>
        <w:rPr>
          <w:b/>
          <w:sz w:val="21"/>
        </w:rPr>
      </w:pPr>
      <w:r>
        <w:rPr>
          <w:b/>
          <w:spacing w:val="-28"/>
          <w:sz w:val="21"/>
        </w:rPr>
        <w:t xml:space="preserve">表 </w:t>
      </w:r>
      <w:r>
        <w:rPr>
          <w:rFonts w:ascii="Times New Roman" w:eastAsia="Times New Roman"/>
          <w:b/>
          <w:sz w:val="21"/>
        </w:rPr>
        <w:t>5.1-1</w:t>
      </w:r>
      <w:r>
        <w:rPr>
          <w:rFonts w:ascii="Times New Roman" w:eastAsia="Times New Roman"/>
          <w:b/>
          <w:spacing w:val="52"/>
          <w:sz w:val="21"/>
        </w:rPr>
        <w:t xml:space="preserve"> </w:t>
      </w:r>
      <w:r>
        <w:rPr>
          <w:b/>
          <w:sz w:val="21"/>
        </w:rPr>
        <w:t>井田地层层序表</w:t>
      </w: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83"/>
        <w:gridCol w:w="1272"/>
        <w:gridCol w:w="2037"/>
        <w:gridCol w:w="2037"/>
        <w:gridCol w:w="1133"/>
        <w:gridCol w:w="17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83" w:type="dxa"/>
            <w:tcBorders>
              <w:bottom w:val="single" w:color="000000" w:sz="4" w:space="0"/>
              <w:right w:val="single" w:color="000000" w:sz="4" w:space="0"/>
            </w:tcBorders>
          </w:tcPr>
          <w:p>
            <w:pPr>
              <w:pStyle w:val="19"/>
              <w:spacing w:before="50"/>
              <w:ind w:left="9"/>
              <w:rPr>
                <w:sz w:val="21"/>
              </w:rPr>
            </w:pPr>
            <w:r>
              <w:rPr>
                <w:w w:val="99"/>
                <w:sz w:val="21"/>
              </w:rPr>
              <w:t>界</w:t>
            </w:r>
          </w:p>
        </w:tc>
        <w:tc>
          <w:tcPr>
            <w:tcW w:w="1272" w:type="dxa"/>
            <w:tcBorders>
              <w:left w:val="single" w:color="000000" w:sz="4" w:space="0"/>
              <w:bottom w:val="single" w:color="000000" w:sz="4" w:space="0"/>
              <w:right w:val="single" w:color="000000" w:sz="4" w:space="0"/>
            </w:tcBorders>
          </w:tcPr>
          <w:p>
            <w:pPr>
              <w:pStyle w:val="19"/>
              <w:spacing w:before="50"/>
              <w:ind w:left="16"/>
              <w:rPr>
                <w:sz w:val="21"/>
              </w:rPr>
            </w:pPr>
            <w:r>
              <w:rPr>
                <w:w w:val="99"/>
                <w:sz w:val="21"/>
              </w:rPr>
              <w:t>系</w:t>
            </w:r>
          </w:p>
        </w:tc>
        <w:tc>
          <w:tcPr>
            <w:tcW w:w="2037" w:type="dxa"/>
            <w:tcBorders>
              <w:left w:val="single" w:color="000000" w:sz="4" w:space="0"/>
              <w:bottom w:val="single" w:color="000000" w:sz="4" w:space="0"/>
              <w:right w:val="single" w:color="000000" w:sz="4" w:space="0"/>
            </w:tcBorders>
          </w:tcPr>
          <w:p>
            <w:pPr>
              <w:pStyle w:val="19"/>
              <w:spacing w:before="50"/>
              <w:ind w:left="14"/>
              <w:rPr>
                <w:sz w:val="21"/>
              </w:rPr>
            </w:pPr>
            <w:r>
              <w:rPr>
                <w:w w:val="99"/>
                <w:sz w:val="21"/>
              </w:rPr>
              <w:t>统</w:t>
            </w:r>
          </w:p>
        </w:tc>
        <w:tc>
          <w:tcPr>
            <w:tcW w:w="2037" w:type="dxa"/>
            <w:tcBorders>
              <w:left w:val="single" w:color="000000" w:sz="4" w:space="0"/>
              <w:bottom w:val="single" w:color="000000" w:sz="4" w:space="0"/>
              <w:right w:val="single" w:color="000000" w:sz="4" w:space="0"/>
            </w:tcBorders>
          </w:tcPr>
          <w:p>
            <w:pPr>
              <w:pStyle w:val="19"/>
              <w:spacing w:before="50"/>
              <w:ind w:left="16"/>
              <w:rPr>
                <w:sz w:val="21"/>
              </w:rPr>
            </w:pPr>
            <w:r>
              <w:rPr>
                <w:w w:val="99"/>
                <w:sz w:val="21"/>
              </w:rPr>
              <w:t>组</w:t>
            </w:r>
          </w:p>
        </w:tc>
        <w:tc>
          <w:tcPr>
            <w:tcW w:w="1133" w:type="dxa"/>
            <w:tcBorders>
              <w:left w:val="single" w:color="000000" w:sz="4" w:space="0"/>
              <w:bottom w:val="single" w:color="000000" w:sz="4" w:space="0"/>
              <w:right w:val="single" w:color="000000" w:sz="4" w:space="0"/>
            </w:tcBorders>
          </w:tcPr>
          <w:p>
            <w:pPr>
              <w:pStyle w:val="19"/>
              <w:spacing w:before="50"/>
              <w:ind w:right="342"/>
              <w:jc w:val="right"/>
              <w:rPr>
                <w:sz w:val="21"/>
              </w:rPr>
            </w:pPr>
            <w:r>
              <w:rPr>
                <w:w w:val="95"/>
                <w:sz w:val="21"/>
              </w:rPr>
              <w:t>代号</w:t>
            </w:r>
          </w:p>
        </w:tc>
        <w:tc>
          <w:tcPr>
            <w:tcW w:w="1720" w:type="dxa"/>
            <w:tcBorders>
              <w:left w:val="single" w:color="000000" w:sz="4" w:space="0"/>
              <w:bottom w:val="single" w:color="000000" w:sz="4" w:space="0"/>
            </w:tcBorders>
          </w:tcPr>
          <w:p>
            <w:pPr>
              <w:pStyle w:val="19"/>
              <w:spacing w:before="50"/>
              <w:ind w:left="329" w:right="308"/>
              <w:rPr>
                <w:sz w:val="21"/>
              </w:rPr>
            </w:pPr>
            <w:r>
              <w:rPr>
                <w:sz w:val="21"/>
              </w:rPr>
              <w:t>厚度（</w:t>
            </w:r>
            <w:r>
              <w:rPr>
                <w:rFonts w:ascii="Times New Roman" w:eastAsia="Times New Roman"/>
                <w:sz w:val="21"/>
              </w:rPr>
              <w:t>M</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83" w:type="dxa"/>
            <w:vMerge w:val="restart"/>
            <w:tcBorders>
              <w:top w:val="single" w:color="000000" w:sz="4" w:space="0"/>
              <w:bottom w:val="single" w:color="000000" w:sz="4" w:space="0"/>
              <w:right w:val="single" w:color="000000" w:sz="4" w:space="0"/>
            </w:tcBorders>
          </w:tcPr>
          <w:p>
            <w:pPr>
              <w:pStyle w:val="19"/>
              <w:spacing w:before="8"/>
              <w:jc w:val="left"/>
              <w:rPr>
                <w:b/>
                <w:sz w:val="20"/>
              </w:rPr>
            </w:pPr>
          </w:p>
          <w:p>
            <w:pPr>
              <w:pStyle w:val="19"/>
              <w:ind w:left="225"/>
              <w:jc w:val="left"/>
              <w:rPr>
                <w:sz w:val="21"/>
              </w:rPr>
            </w:pPr>
            <w:r>
              <w:rPr>
                <w:sz w:val="21"/>
              </w:rPr>
              <w:t>新生界</w:t>
            </w:r>
          </w:p>
        </w:tc>
        <w:tc>
          <w:tcPr>
            <w:tcW w:w="1272" w:type="dxa"/>
            <w:tcBorders>
              <w:top w:val="single" w:color="000000" w:sz="4" w:space="0"/>
              <w:left w:val="single" w:color="000000" w:sz="4" w:space="0"/>
              <w:bottom w:val="single" w:color="000000" w:sz="4" w:space="0"/>
              <w:right w:val="single" w:color="000000" w:sz="4" w:space="0"/>
            </w:tcBorders>
          </w:tcPr>
          <w:p>
            <w:pPr>
              <w:pStyle w:val="19"/>
              <w:spacing w:before="49"/>
              <w:ind w:left="199" w:right="181"/>
              <w:rPr>
                <w:sz w:val="21"/>
              </w:rPr>
            </w:pPr>
            <w:r>
              <w:rPr>
                <w:sz w:val="21"/>
              </w:rPr>
              <w:t>第四系</w:t>
            </w:r>
          </w:p>
        </w:tc>
        <w:tc>
          <w:tcPr>
            <w:tcW w:w="2037" w:type="dxa"/>
            <w:tcBorders>
              <w:top w:val="single" w:color="000000" w:sz="4" w:space="0"/>
              <w:left w:val="single" w:color="000000" w:sz="4" w:space="0"/>
              <w:bottom w:val="single" w:color="000000" w:sz="4" w:space="0"/>
              <w:right w:val="single" w:color="000000" w:sz="4" w:space="0"/>
            </w:tcBorders>
          </w:tcPr>
          <w:p>
            <w:pPr>
              <w:pStyle w:val="19"/>
              <w:spacing w:before="49"/>
              <w:ind w:left="581" w:right="564"/>
              <w:rPr>
                <w:sz w:val="21"/>
              </w:rPr>
            </w:pPr>
            <w:r>
              <w:rPr>
                <w:sz w:val="21"/>
              </w:rPr>
              <w:t>全新统</w:t>
            </w:r>
          </w:p>
        </w:tc>
        <w:tc>
          <w:tcPr>
            <w:tcW w:w="2037" w:type="dxa"/>
            <w:tcBorders>
              <w:top w:val="single" w:color="000000" w:sz="4" w:space="0"/>
              <w:left w:val="single" w:color="000000" w:sz="4" w:space="0"/>
              <w:bottom w:val="single" w:color="000000" w:sz="4" w:space="0"/>
              <w:right w:val="single" w:color="000000" w:sz="4" w:space="0"/>
            </w:tcBorders>
          </w:tcPr>
          <w:p>
            <w:pPr>
              <w:pStyle w:val="19"/>
              <w:spacing w:before="49"/>
              <w:ind w:left="581" w:right="563"/>
              <w:rPr>
                <w:sz w:val="21"/>
              </w:rPr>
            </w:pPr>
            <w:r>
              <w:rPr>
                <w:sz w:val="21"/>
              </w:rPr>
              <w:t>冲积层</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62"/>
              <w:ind w:left="150" w:right="131"/>
              <w:rPr>
                <w:rFonts w:ascii="Times New Roman"/>
                <w:sz w:val="21"/>
              </w:rPr>
            </w:pPr>
            <w:r>
              <w:rPr>
                <w:rFonts w:ascii="Times New Roman"/>
                <w:position w:val="2"/>
                <w:sz w:val="21"/>
              </w:rPr>
              <w:t>Q</w:t>
            </w:r>
            <w:r>
              <w:rPr>
                <w:rFonts w:ascii="Times New Roman"/>
                <w:position w:val="2"/>
                <w:sz w:val="21"/>
                <w:vertAlign w:val="subscript"/>
              </w:rPr>
              <w:t>4</w:t>
            </w:r>
          </w:p>
        </w:tc>
        <w:tc>
          <w:tcPr>
            <w:tcW w:w="1720" w:type="dxa"/>
            <w:tcBorders>
              <w:top w:val="single" w:color="000000" w:sz="4" w:space="0"/>
              <w:left w:val="single" w:color="000000" w:sz="4" w:space="0"/>
              <w:bottom w:val="single" w:color="000000" w:sz="4" w:space="0"/>
            </w:tcBorders>
          </w:tcPr>
          <w:p>
            <w:pPr>
              <w:pStyle w:val="19"/>
              <w:spacing w:before="65"/>
              <w:ind w:left="329" w:right="306"/>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83" w:type="dxa"/>
            <w:vMerge w:val="continue"/>
            <w:tcBorders>
              <w:top w:val="nil"/>
              <w:bottom w:val="single" w:color="000000" w:sz="4" w:space="0"/>
              <w:right w:val="single" w:color="000000" w:sz="4" w:space="0"/>
            </w:tcBorders>
          </w:tcPr>
          <w:p>
            <w:pPr>
              <w:rPr>
                <w:sz w:val="2"/>
                <w:szCs w:val="2"/>
              </w:rPr>
            </w:pPr>
          </w:p>
        </w:tc>
        <w:tc>
          <w:tcPr>
            <w:tcW w:w="1272" w:type="dxa"/>
            <w:tcBorders>
              <w:top w:val="single" w:color="000000" w:sz="4" w:space="0"/>
              <w:left w:val="single" w:color="000000" w:sz="4" w:space="0"/>
              <w:bottom w:val="single" w:color="000000" w:sz="4" w:space="0"/>
              <w:right w:val="single" w:color="000000" w:sz="4" w:space="0"/>
            </w:tcBorders>
          </w:tcPr>
          <w:p>
            <w:pPr>
              <w:pStyle w:val="19"/>
              <w:spacing w:before="48"/>
              <w:ind w:left="199" w:right="181"/>
              <w:rPr>
                <w:sz w:val="21"/>
              </w:rPr>
            </w:pPr>
            <w:r>
              <w:rPr>
                <w:sz w:val="21"/>
              </w:rPr>
              <w:t>新近系</w:t>
            </w:r>
          </w:p>
        </w:tc>
        <w:tc>
          <w:tcPr>
            <w:tcW w:w="2037" w:type="dxa"/>
            <w:tcBorders>
              <w:top w:val="single" w:color="000000" w:sz="4" w:space="0"/>
              <w:left w:val="single" w:color="000000" w:sz="4" w:space="0"/>
              <w:bottom w:val="single" w:color="000000" w:sz="4" w:space="0"/>
              <w:right w:val="single" w:color="000000" w:sz="4" w:space="0"/>
            </w:tcBorders>
          </w:tcPr>
          <w:p>
            <w:pPr>
              <w:pStyle w:val="19"/>
              <w:spacing w:before="48"/>
              <w:ind w:left="581" w:right="564"/>
              <w:rPr>
                <w:sz w:val="21"/>
              </w:rPr>
            </w:pPr>
            <w:r>
              <w:rPr>
                <w:sz w:val="21"/>
              </w:rPr>
              <w:t>中新统</w:t>
            </w:r>
          </w:p>
        </w:tc>
        <w:tc>
          <w:tcPr>
            <w:tcW w:w="2037" w:type="dxa"/>
            <w:tcBorders>
              <w:top w:val="single" w:color="000000" w:sz="4" w:space="0"/>
              <w:left w:val="single" w:color="000000" w:sz="4" w:space="0"/>
              <w:bottom w:val="single" w:color="000000" w:sz="4" w:space="0"/>
              <w:right w:val="single" w:color="000000" w:sz="4" w:space="0"/>
            </w:tcBorders>
          </w:tcPr>
          <w:p>
            <w:pPr>
              <w:pStyle w:val="19"/>
              <w:spacing w:before="48"/>
              <w:ind w:left="581" w:right="563"/>
              <w:rPr>
                <w:sz w:val="21"/>
              </w:rPr>
            </w:pPr>
            <w:r>
              <w:rPr>
                <w:sz w:val="21"/>
              </w:rPr>
              <w:t>玄武岩</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64"/>
              <w:ind w:right="413"/>
              <w:jc w:val="right"/>
              <w:rPr>
                <w:rFonts w:ascii="Times New Roman" w:hAnsi="Times New Roman"/>
                <w:sz w:val="21"/>
              </w:rPr>
            </w:pPr>
            <w:r>
              <w:rPr>
                <w:rFonts w:ascii="Times New Roman" w:hAnsi="Times New Roman"/>
                <w:position w:val="2"/>
                <w:sz w:val="21"/>
              </w:rPr>
              <w:t>β</w:t>
            </w:r>
            <w:r>
              <w:rPr>
                <w:rFonts w:ascii="Times New Roman" w:hAnsi="Times New Roman"/>
                <w:position w:val="2"/>
                <w:sz w:val="21"/>
                <w:vertAlign w:val="subscript"/>
              </w:rPr>
              <w:t>N2</w:t>
            </w:r>
          </w:p>
        </w:tc>
        <w:tc>
          <w:tcPr>
            <w:tcW w:w="1720" w:type="dxa"/>
            <w:tcBorders>
              <w:top w:val="single" w:color="000000" w:sz="4" w:space="0"/>
              <w:left w:val="single" w:color="000000" w:sz="4" w:space="0"/>
              <w:bottom w:val="single" w:color="000000" w:sz="4" w:space="0"/>
            </w:tcBorders>
          </w:tcPr>
          <w:p>
            <w:pPr>
              <w:pStyle w:val="19"/>
              <w:spacing w:before="67"/>
              <w:ind w:left="329" w:right="306"/>
              <w:rPr>
                <w:rFonts w:ascii="Times New Roman"/>
                <w:sz w:val="21"/>
              </w:rPr>
            </w:pPr>
            <w:r>
              <w:rPr>
                <w:rFonts w:ascii="Times New Roman"/>
                <w:sz w:val="21"/>
              </w:rPr>
              <w:t>10-150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83" w:type="dxa"/>
            <w:vMerge w:val="restart"/>
            <w:tcBorders>
              <w:top w:val="single" w:color="000000" w:sz="4" w:space="0"/>
              <w:bottom w:val="single" w:color="000000" w:sz="4" w:space="0"/>
              <w:right w:val="single" w:color="000000" w:sz="4" w:space="0"/>
            </w:tcBorders>
          </w:tcPr>
          <w:p>
            <w:pPr>
              <w:pStyle w:val="19"/>
              <w:jc w:val="left"/>
              <w:rPr>
                <w:b/>
                <w:sz w:val="20"/>
              </w:rPr>
            </w:pPr>
          </w:p>
          <w:p>
            <w:pPr>
              <w:pStyle w:val="19"/>
              <w:spacing w:before="10"/>
              <w:jc w:val="left"/>
              <w:rPr>
                <w:b/>
                <w:sz w:val="17"/>
              </w:rPr>
            </w:pPr>
          </w:p>
          <w:p>
            <w:pPr>
              <w:pStyle w:val="19"/>
              <w:ind w:left="225"/>
              <w:jc w:val="left"/>
              <w:rPr>
                <w:sz w:val="21"/>
              </w:rPr>
            </w:pPr>
            <w:r>
              <w:rPr>
                <w:sz w:val="21"/>
              </w:rPr>
              <w:t>中生界</w:t>
            </w:r>
          </w:p>
        </w:tc>
        <w:tc>
          <w:tcPr>
            <w:tcW w:w="1272"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10"/>
              <w:jc w:val="left"/>
              <w:rPr>
                <w:b/>
                <w:sz w:val="17"/>
              </w:rPr>
            </w:pPr>
          </w:p>
          <w:p>
            <w:pPr>
              <w:pStyle w:val="19"/>
              <w:ind w:left="326"/>
              <w:jc w:val="left"/>
              <w:rPr>
                <w:sz w:val="21"/>
              </w:rPr>
            </w:pPr>
            <w:r>
              <w:rPr>
                <w:sz w:val="21"/>
              </w:rPr>
              <w:t>白垩系</w:t>
            </w:r>
          </w:p>
        </w:tc>
        <w:tc>
          <w:tcPr>
            <w:tcW w:w="2037" w:type="dxa"/>
            <w:tcBorders>
              <w:top w:val="single" w:color="000000" w:sz="4" w:space="0"/>
              <w:left w:val="single" w:color="000000" w:sz="4" w:space="0"/>
              <w:bottom w:val="single" w:color="000000" w:sz="4" w:space="0"/>
              <w:right w:val="single" w:color="000000" w:sz="4" w:space="0"/>
            </w:tcBorders>
          </w:tcPr>
          <w:p>
            <w:pPr>
              <w:pStyle w:val="19"/>
              <w:spacing w:before="50"/>
              <w:ind w:left="581" w:right="564"/>
              <w:rPr>
                <w:sz w:val="21"/>
              </w:rPr>
            </w:pPr>
            <w:r>
              <w:rPr>
                <w:sz w:val="21"/>
              </w:rPr>
              <w:t>上统</w:t>
            </w:r>
          </w:p>
        </w:tc>
        <w:tc>
          <w:tcPr>
            <w:tcW w:w="2037" w:type="dxa"/>
            <w:tcBorders>
              <w:top w:val="single" w:color="000000" w:sz="4" w:space="0"/>
              <w:left w:val="single" w:color="000000" w:sz="4" w:space="0"/>
              <w:bottom w:val="single" w:color="000000" w:sz="4" w:space="0"/>
              <w:right w:val="single" w:color="000000" w:sz="4" w:space="0"/>
            </w:tcBorders>
          </w:tcPr>
          <w:p>
            <w:pPr>
              <w:pStyle w:val="19"/>
              <w:spacing w:before="50"/>
              <w:ind w:left="581" w:right="563"/>
              <w:rPr>
                <w:sz w:val="21"/>
              </w:rPr>
            </w:pPr>
            <w:r>
              <w:rPr>
                <w:sz w:val="21"/>
              </w:rPr>
              <w:t>伊林组</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63"/>
              <w:ind w:right="403"/>
              <w:jc w:val="right"/>
              <w:rPr>
                <w:rFonts w:ascii="Times New Roman"/>
                <w:sz w:val="21"/>
              </w:rPr>
            </w:pPr>
            <w:r>
              <w:rPr>
                <w:rFonts w:ascii="Times New Roman"/>
                <w:position w:val="2"/>
                <w:sz w:val="21"/>
              </w:rPr>
              <w:t>K</w:t>
            </w:r>
            <w:r>
              <w:rPr>
                <w:rFonts w:ascii="Times New Roman"/>
                <w:position w:val="2"/>
                <w:sz w:val="21"/>
                <w:vertAlign w:val="subscript"/>
              </w:rPr>
              <w:t>2y</w:t>
            </w:r>
          </w:p>
        </w:tc>
        <w:tc>
          <w:tcPr>
            <w:tcW w:w="1720" w:type="dxa"/>
            <w:tcBorders>
              <w:top w:val="single" w:color="000000" w:sz="4" w:space="0"/>
              <w:left w:val="single" w:color="000000" w:sz="4" w:space="0"/>
              <w:bottom w:val="single" w:color="000000" w:sz="4" w:space="0"/>
            </w:tcBorders>
          </w:tcPr>
          <w:p>
            <w:pPr>
              <w:pStyle w:val="19"/>
              <w:spacing w:before="50"/>
              <w:ind w:left="329" w:right="306"/>
              <w:rPr>
                <w:rFonts w:ascii="Times New Roman" w:hAnsi="Times New Roman"/>
                <w:sz w:val="21"/>
              </w:rPr>
            </w:pPr>
            <w:r>
              <w:rPr>
                <w:sz w:val="21"/>
              </w:rPr>
              <w:t>›</w:t>
            </w:r>
            <w:r>
              <w:rPr>
                <w:rFonts w:ascii="Times New Roman" w:hAnsi="Times New Roman"/>
                <w:sz w:val="21"/>
              </w:rPr>
              <w:t>470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83" w:type="dxa"/>
            <w:vMerge w:val="continue"/>
            <w:tcBorders>
              <w:top w:val="nil"/>
              <w:bottom w:val="single" w:color="000000" w:sz="4" w:space="0"/>
              <w:right w:val="single" w:color="000000" w:sz="4" w:space="0"/>
            </w:tcBorders>
          </w:tcPr>
          <w:p>
            <w:pPr>
              <w:rPr>
                <w:sz w:val="2"/>
                <w:szCs w:val="2"/>
              </w:rPr>
            </w:pPr>
          </w:p>
        </w:tc>
        <w:tc>
          <w:tcPr>
            <w:tcW w:w="1272" w:type="dxa"/>
            <w:vMerge w:val="continue"/>
            <w:tcBorders>
              <w:top w:val="nil"/>
              <w:left w:val="single" w:color="000000" w:sz="4" w:space="0"/>
              <w:bottom w:val="single" w:color="000000" w:sz="4" w:space="0"/>
              <w:right w:val="single" w:color="000000" w:sz="4" w:space="0"/>
            </w:tcBorders>
          </w:tcPr>
          <w:p>
            <w:pPr>
              <w:rPr>
                <w:sz w:val="2"/>
                <w:szCs w:val="2"/>
              </w:rPr>
            </w:pPr>
          </w:p>
        </w:tc>
        <w:tc>
          <w:tcPr>
            <w:tcW w:w="2037" w:type="dxa"/>
            <w:vMerge w:val="restart"/>
            <w:tcBorders>
              <w:top w:val="single" w:color="000000" w:sz="4" w:space="0"/>
              <w:left w:val="single" w:color="000000" w:sz="4" w:space="0"/>
              <w:bottom w:val="single" w:color="000000" w:sz="4" w:space="0"/>
              <w:right w:val="single" w:color="000000" w:sz="4" w:space="0"/>
            </w:tcBorders>
          </w:tcPr>
          <w:p>
            <w:pPr>
              <w:pStyle w:val="19"/>
              <w:spacing w:before="9"/>
              <w:jc w:val="left"/>
              <w:rPr>
                <w:b/>
                <w:sz w:val="20"/>
              </w:rPr>
            </w:pPr>
          </w:p>
          <w:p>
            <w:pPr>
              <w:pStyle w:val="19"/>
              <w:ind w:left="581" w:right="564"/>
              <w:rPr>
                <w:sz w:val="21"/>
              </w:rPr>
            </w:pPr>
            <w:r>
              <w:rPr>
                <w:sz w:val="21"/>
              </w:rPr>
              <w:t>下统</w:t>
            </w:r>
          </w:p>
        </w:tc>
        <w:tc>
          <w:tcPr>
            <w:tcW w:w="2037" w:type="dxa"/>
            <w:tcBorders>
              <w:top w:val="single" w:color="000000" w:sz="4" w:space="0"/>
              <w:left w:val="single" w:color="000000" w:sz="4" w:space="0"/>
              <w:bottom w:val="single" w:color="000000" w:sz="4" w:space="0"/>
              <w:right w:val="single" w:color="000000" w:sz="4" w:space="0"/>
            </w:tcBorders>
          </w:tcPr>
          <w:p>
            <w:pPr>
              <w:pStyle w:val="19"/>
              <w:spacing w:before="49"/>
              <w:ind w:left="581" w:right="563"/>
              <w:rPr>
                <w:sz w:val="21"/>
              </w:rPr>
            </w:pPr>
            <w:r>
              <w:rPr>
                <w:sz w:val="21"/>
              </w:rPr>
              <w:t>穆棱组</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62"/>
              <w:ind w:right="384"/>
              <w:jc w:val="right"/>
              <w:rPr>
                <w:rFonts w:ascii="Times New Roman"/>
                <w:sz w:val="21"/>
              </w:rPr>
            </w:pPr>
            <w:r>
              <w:rPr>
                <w:rFonts w:ascii="Times New Roman"/>
                <w:position w:val="2"/>
                <w:sz w:val="21"/>
              </w:rPr>
              <w:t>K</w:t>
            </w:r>
            <w:r>
              <w:rPr>
                <w:rFonts w:ascii="Times New Roman"/>
                <w:position w:val="2"/>
                <w:sz w:val="21"/>
                <w:vertAlign w:val="subscript"/>
              </w:rPr>
              <w:t>1m</w:t>
            </w:r>
          </w:p>
        </w:tc>
        <w:tc>
          <w:tcPr>
            <w:tcW w:w="1720" w:type="dxa"/>
            <w:tcBorders>
              <w:top w:val="single" w:color="000000" w:sz="4" w:space="0"/>
              <w:left w:val="single" w:color="000000" w:sz="4" w:space="0"/>
              <w:bottom w:val="single" w:color="000000" w:sz="4" w:space="0"/>
            </w:tcBorders>
          </w:tcPr>
          <w:p>
            <w:pPr>
              <w:pStyle w:val="19"/>
              <w:spacing w:before="49"/>
              <w:ind w:left="329" w:right="306"/>
              <w:rPr>
                <w:rFonts w:ascii="Times New Roman" w:hAnsi="Times New Roman"/>
                <w:sz w:val="21"/>
              </w:rPr>
            </w:pPr>
            <w:r>
              <w:rPr>
                <w:sz w:val="21"/>
              </w:rPr>
              <w:t>›</w:t>
            </w:r>
            <w:r>
              <w:rPr>
                <w:rFonts w:ascii="Times New Roman" w:hAnsi="Times New Roman"/>
                <w:sz w:val="21"/>
              </w:rPr>
              <w:t>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83" w:type="dxa"/>
            <w:vMerge w:val="continue"/>
            <w:tcBorders>
              <w:top w:val="nil"/>
              <w:bottom w:val="single" w:color="000000" w:sz="4" w:space="0"/>
              <w:right w:val="single" w:color="000000" w:sz="4" w:space="0"/>
            </w:tcBorders>
          </w:tcPr>
          <w:p>
            <w:pPr>
              <w:rPr>
                <w:sz w:val="2"/>
                <w:szCs w:val="2"/>
              </w:rPr>
            </w:pPr>
          </w:p>
        </w:tc>
        <w:tc>
          <w:tcPr>
            <w:tcW w:w="1272" w:type="dxa"/>
            <w:vMerge w:val="continue"/>
            <w:tcBorders>
              <w:top w:val="nil"/>
              <w:left w:val="single" w:color="000000" w:sz="4" w:space="0"/>
              <w:bottom w:val="single" w:color="000000" w:sz="4" w:space="0"/>
              <w:right w:val="single" w:color="000000" w:sz="4" w:space="0"/>
            </w:tcBorders>
          </w:tcPr>
          <w:p>
            <w:pPr>
              <w:rPr>
                <w:sz w:val="2"/>
                <w:szCs w:val="2"/>
              </w:rPr>
            </w:pPr>
          </w:p>
        </w:tc>
        <w:tc>
          <w:tcPr>
            <w:tcW w:w="2037" w:type="dxa"/>
            <w:vMerge w:val="continue"/>
            <w:tcBorders>
              <w:top w:val="nil"/>
              <w:left w:val="single" w:color="000000" w:sz="4" w:space="0"/>
              <w:bottom w:val="single" w:color="000000" w:sz="4" w:space="0"/>
              <w:right w:val="single" w:color="000000" w:sz="4" w:space="0"/>
            </w:tcBorders>
          </w:tcPr>
          <w:p>
            <w:pPr>
              <w:rPr>
                <w:sz w:val="2"/>
                <w:szCs w:val="2"/>
              </w:rPr>
            </w:pPr>
          </w:p>
        </w:tc>
        <w:tc>
          <w:tcPr>
            <w:tcW w:w="2037" w:type="dxa"/>
            <w:tcBorders>
              <w:top w:val="single" w:color="000000" w:sz="4" w:space="0"/>
              <w:left w:val="single" w:color="000000" w:sz="4" w:space="0"/>
              <w:bottom w:val="single" w:color="000000" w:sz="4" w:space="0"/>
              <w:right w:val="single" w:color="000000" w:sz="4" w:space="0"/>
            </w:tcBorders>
          </w:tcPr>
          <w:p>
            <w:pPr>
              <w:pStyle w:val="19"/>
              <w:spacing w:before="49"/>
              <w:ind w:left="581" w:right="566"/>
              <w:rPr>
                <w:sz w:val="21"/>
              </w:rPr>
            </w:pPr>
            <w:r>
              <w:rPr>
                <w:sz w:val="21"/>
              </w:rPr>
              <w:t>城子河组</w:t>
            </w:r>
          </w:p>
        </w:tc>
        <w:tc>
          <w:tcPr>
            <w:tcW w:w="1133" w:type="dxa"/>
            <w:tcBorders>
              <w:top w:val="single" w:color="000000" w:sz="4" w:space="0"/>
              <w:left w:val="single" w:color="000000" w:sz="4" w:space="0"/>
              <w:bottom w:val="single" w:color="000000" w:sz="4" w:space="0"/>
              <w:right w:val="single" w:color="000000" w:sz="4" w:space="0"/>
            </w:tcBorders>
          </w:tcPr>
          <w:p>
            <w:pPr>
              <w:pStyle w:val="19"/>
              <w:spacing w:before="62"/>
              <w:ind w:right="374"/>
              <w:jc w:val="right"/>
              <w:rPr>
                <w:rFonts w:ascii="Times New Roman"/>
                <w:sz w:val="21"/>
              </w:rPr>
            </w:pPr>
            <w:r>
              <w:rPr>
                <w:rFonts w:ascii="Times New Roman"/>
                <w:position w:val="2"/>
                <w:sz w:val="21"/>
              </w:rPr>
              <w:t>K</w:t>
            </w:r>
            <w:r>
              <w:rPr>
                <w:rFonts w:ascii="Times New Roman"/>
                <w:position w:val="2"/>
                <w:sz w:val="21"/>
                <w:vertAlign w:val="subscript"/>
              </w:rPr>
              <w:t>1ch</w:t>
            </w:r>
          </w:p>
        </w:tc>
        <w:tc>
          <w:tcPr>
            <w:tcW w:w="1720" w:type="dxa"/>
            <w:tcBorders>
              <w:top w:val="single" w:color="000000" w:sz="4" w:space="0"/>
              <w:left w:val="single" w:color="000000" w:sz="4" w:space="0"/>
              <w:bottom w:val="single" w:color="000000" w:sz="4" w:space="0"/>
            </w:tcBorders>
          </w:tcPr>
          <w:p>
            <w:pPr>
              <w:pStyle w:val="19"/>
              <w:spacing w:before="49"/>
              <w:ind w:left="329" w:right="306"/>
              <w:rPr>
                <w:rFonts w:ascii="Times New Roman" w:hAnsi="Times New Roman"/>
                <w:sz w:val="21"/>
              </w:rPr>
            </w:pPr>
            <w:r>
              <w:rPr>
                <w:rFonts w:ascii="Times New Roman" w:hAnsi="Times New Roman"/>
                <w:sz w:val="21"/>
              </w:rPr>
              <w:t>350</w:t>
            </w:r>
            <w:r>
              <w:rPr>
                <w:sz w:val="21"/>
              </w:rPr>
              <w:t>—</w:t>
            </w:r>
            <w:r>
              <w:rPr>
                <w:rFonts w:ascii="Times New Roman" w:hAnsi="Times New Roman"/>
                <w:sz w:val="21"/>
              </w:rPr>
              <w:t>1200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083" w:type="dxa"/>
            <w:tcBorders>
              <w:top w:val="single" w:color="000000" w:sz="4" w:space="0"/>
              <w:right w:val="single" w:color="000000" w:sz="4" w:space="0"/>
            </w:tcBorders>
          </w:tcPr>
          <w:p>
            <w:pPr>
              <w:pStyle w:val="19"/>
              <w:spacing w:before="48"/>
              <w:ind w:left="205" w:right="193"/>
              <w:rPr>
                <w:sz w:val="21"/>
              </w:rPr>
            </w:pPr>
            <w:r>
              <w:rPr>
                <w:sz w:val="21"/>
              </w:rPr>
              <w:t>元古界</w:t>
            </w:r>
          </w:p>
        </w:tc>
        <w:tc>
          <w:tcPr>
            <w:tcW w:w="1272" w:type="dxa"/>
            <w:tcBorders>
              <w:top w:val="single" w:color="000000" w:sz="4" w:space="0"/>
              <w:left w:val="single" w:color="000000" w:sz="4" w:space="0"/>
              <w:right w:val="single" w:color="000000" w:sz="4" w:space="0"/>
            </w:tcBorders>
          </w:tcPr>
          <w:p>
            <w:pPr>
              <w:pStyle w:val="19"/>
              <w:spacing w:before="48"/>
              <w:ind w:left="198" w:right="182"/>
              <w:rPr>
                <w:sz w:val="21"/>
              </w:rPr>
            </w:pPr>
            <w:r>
              <w:rPr>
                <w:sz w:val="21"/>
              </w:rPr>
              <w:t>羊鼻山群</w:t>
            </w:r>
          </w:p>
        </w:tc>
        <w:tc>
          <w:tcPr>
            <w:tcW w:w="2037" w:type="dxa"/>
            <w:tcBorders>
              <w:top w:val="single" w:color="000000" w:sz="4" w:space="0"/>
              <w:left w:val="single" w:color="000000" w:sz="4" w:space="0"/>
              <w:right w:val="single" w:color="000000" w:sz="4" w:space="0"/>
            </w:tcBorders>
          </w:tcPr>
          <w:p>
            <w:pPr>
              <w:pStyle w:val="19"/>
              <w:jc w:val="left"/>
              <w:rPr>
                <w:rFonts w:ascii="Times New Roman"/>
                <w:sz w:val="22"/>
              </w:rPr>
            </w:pPr>
          </w:p>
        </w:tc>
        <w:tc>
          <w:tcPr>
            <w:tcW w:w="2037" w:type="dxa"/>
            <w:tcBorders>
              <w:top w:val="single" w:color="000000" w:sz="4" w:space="0"/>
              <w:left w:val="single" w:color="000000" w:sz="4" w:space="0"/>
              <w:right w:val="single" w:color="000000" w:sz="4" w:space="0"/>
            </w:tcBorders>
          </w:tcPr>
          <w:p>
            <w:pPr>
              <w:pStyle w:val="19"/>
              <w:spacing w:before="48"/>
              <w:ind w:left="581" w:right="566"/>
              <w:rPr>
                <w:sz w:val="21"/>
              </w:rPr>
            </w:pPr>
            <w:r>
              <w:rPr>
                <w:sz w:val="21"/>
              </w:rPr>
              <w:t>变质岩系</w:t>
            </w:r>
          </w:p>
        </w:tc>
        <w:tc>
          <w:tcPr>
            <w:tcW w:w="1133" w:type="dxa"/>
            <w:tcBorders>
              <w:top w:val="single" w:color="000000" w:sz="4" w:space="0"/>
              <w:left w:val="single" w:color="000000" w:sz="4" w:space="0"/>
              <w:right w:val="single" w:color="000000" w:sz="4" w:space="0"/>
            </w:tcBorders>
          </w:tcPr>
          <w:p>
            <w:pPr>
              <w:pStyle w:val="19"/>
              <w:spacing w:before="64"/>
              <w:ind w:right="337"/>
              <w:jc w:val="right"/>
              <w:rPr>
                <w:rFonts w:ascii="Times New Roman"/>
                <w:sz w:val="13"/>
              </w:rPr>
            </w:pPr>
            <w:r>
              <w:rPr>
                <w:rFonts w:ascii="Times New Roman"/>
                <w:position w:val="2"/>
                <w:sz w:val="21"/>
              </w:rPr>
              <w:t>A</w:t>
            </w:r>
            <w:r>
              <w:rPr>
                <w:rFonts w:ascii="Times New Roman"/>
                <w:sz w:val="13"/>
              </w:rPr>
              <w:t>r2ms</w:t>
            </w:r>
          </w:p>
        </w:tc>
        <w:tc>
          <w:tcPr>
            <w:tcW w:w="1720" w:type="dxa"/>
            <w:tcBorders>
              <w:top w:val="single" w:color="000000" w:sz="4" w:space="0"/>
              <w:left w:val="single" w:color="000000" w:sz="4" w:space="0"/>
            </w:tcBorders>
          </w:tcPr>
          <w:p>
            <w:pPr>
              <w:pStyle w:val="19"/>
              <w:spacing w:before="48"/>
              <w:ind w:left="329" w:right="306"/>
              <w:rPr>
                <w:rFonts w:ascii="Times New Roman" w:hAnsi="Times New Roman"/>
                <w:sz w:val="21"/>
              </w:rPr>
            </w:pPr>
            <w:r>
              <w:rPr>
                <w:sz w:val="21"/>
              </w:rPr>
              <w:t>›</w:t>
            </w:r>
            <w:r>
              <w:rPr>
                <w:rFonts w:ascii="Times New Roman" w:hAnsi="Times New Roman"/>
                <w:sz w:val="21"/>
              </w:rPr>
              <w:t>5000</w:t>
            </w:r>
          </w:p>
        </w:tc>
      </w:tr>
    </w:tbl>
    <w:p>
      <w:pPr>
        <w:pStyle w:val="6"/>
        <w:numPr>
          <w:ilvl w:val="2"/>
          <w:numId w:val="58"/>
        </w:numPr>
        <w:tabs>
          <w:tab w:val="left" w:pos="2048"/>
        </w:tabs>
        <w:spacing w:before="2" w:after="0" w:line="240" w:lineRule="auto"/>
        <w:ind w:left="2047" w:right="0" w:hanging="630"/>
        <w:jc w:val="left"/>
      </w:pPr>
      <w:bookmarkStart w:id="272" w:name="5.1.2构造"/>
      <w:bookmarkEnd w:id="272"/>
      <w:bookmarkStart w:id="273" w:name="5.1.2构造"/>
      <w:bookmarkEnd w:id="273"/>
      <w:r>
        <w:t>构造</w:t>
      </w:r>
    </w:p>
    <w:p>
      <w:pPr>
        <w:pStyle w:val="8"/>
        <w:numPr>
          <w:ilvl w:val="3"/>
          <w:numId w:val="58"/>
        </w:numPr>
        <w:tabs>
          <w:tab w:val="left" w:pos="2619"/>
        </w:tabs>
        <w:spacing w:before="185" w:after="0" w:line="240" w:lineRule="auto"/>
        <w:ind w:left="2618" w:right="0" w:hanging="721"/>
        <w:jc w:val="left"/>
      </w:pPr>
      <w:r>
        <w:t>区域构造</w:t>
      </w:r>
    </w:p>
    <w:p>
      <w:pPr>
        <w:spacing w:after="0" w:line="240" w:lineRule="auto"/>
        <w:jc w:val="left"/>
        <w:sectPr>
          <w:pgSz w:w="11910" w:h="16840"/>
          <w:pgMar w:top="1340" w:right="0" w:bottom="880" w:left="0" w:header="0" w:footer="681" w:gutter="0"/>
        </w:sectPr>
      </w:pPr>
    </w:p>
    <w:p>
      <w:pPr>
        <w:pStyle w:val="9"/>
        <w:spacing w:before="41" w:line="364" w:lineRule="auto"/>
        <w:ind w:left="1418" w:right="1413" w:firstLine="559"/>
        <w:jc w:val="both"/>
      </w:pPr>
      <w:r>
        <w:t>双鸭山煤田在中国大地构造体系中，按多旋回解释，属内蒙一兴安海西地槽褶皱带内吉黑海西褶皱系发育起来的多旋回沉积盆地。双鸭山煤田属燕山期以来（</w:t>
      </w:r>
      <w:r>
        <w:rPr>
          <w:rFonts w:ascii="Times New Roman" w:eastAsia="Times New Roman"/>
        </w:rPr>
        <w:t>J-K</w:t>
      </w:r>
      <w:r>
        <w:t>）多旋回沉积盆地。</w:t>
      </w:r>
    </w:p>
    <w:p>
      <w:pPr>
        <w:pStyle w:val="9"/>
        <w:spacing w:line="364" w:lineRule="auto"/>
        <w:ind w:left="1418" w:right="1417" w:firstLine="559"/>
        <w:jc w:val="both"/>
      </w:pPr>
      <w:r>
        <w:t>双鸭山煤田总体构造形态，它处于安邦河一七星河弧形复式向斜的中部地段，呈</w:t>
      </w:r>
      <w:r>
        <w:rPr>
          <w:spacing w:val="-5"/>
        </w:rPr>
        <w:t>一弧形展布的向斜构造，地层倾角南翼陡西北翼缓，被后期双鸭山煤田南部逆冲断层世</w:t>
      </w:r>
      <w:r>
        <w:t>割破坏，它是改造双鸭山煤田现存构造格局的主干断裂。</w:t>
      </w:r>
    </w:p>
    <w:p>
      <w:pPr>
        <w:pStyle w:val="8"/>
        <w:numPr>
          <w:ilvl w:val="3"/>
          <w:numId w:val="58"/>
        </w:numPr>
        <w:tabs>
          <w:tab w:val="left" w:pos="2619"/>
        </w:tabs>
        <w:spacing w:before="0" w:after="0" w:line="304" w:lineRule="exact"/>
        <w:ind w:left="2618" w:right="0" w:hanging="721"/>
        <w:jc w:val="left"/>
      </w:pPr>
      <w:r>
        <w:t>井田构造</w:t>
      </w:r>
    </w:p>
    <w:p>
      <w:pPr>
        <w:pStyle w:val="9"/>
        <w:spacing w:before="160" w:line="364" w:lineRule="auto"/>
        <w:ind w:left="1418" w:right="1417" w:firstLine="480"/>
        <w:jc w:val="both"/>
      </w:pPr>
      <w:r>
        <w:rPr>
          <w:spacing w:val="-4"/>
        </w:rPr>
        <w:t>双鸭山煤田在中国大地构造体系中依据地质力学解释，属新华夏系第二隆起带上的</w:t>
      </w:r>
      <w:r>
        <w:rPr>
          <w:spacing w:val="-5"/>
        </w:rPr>
        <w:t>一个拗折带，即三江</w:t>
      </w:r>
      <w:r>
        <w:rPr>
          <w:rFonts w:ascii="Times New Roman" w:hAnsi="Times New Roman" w:eastAsia="Times New Roman"/>
        </w:rPr>
        <w:t>—</w:t>
      </w:r>
      <w:r>
        <w:rPr>
          <w:spacing w:val="-4"/>
        </w:rPr>
        <w:t>穆棱河聚煤区。双鸭山煤田从属于三江</w:t>
      </w:r>
      <w:r>
        <w:rPr>
          <w:rFonts w:ascii="Times New Roman" w:hAnsi="Times New Roman" w:eastAsia="Times New Roman"/>
        </w:rPr>
        <w:t>—</w:t>
      </w:r>
      <w:r>
        <w:rPr>
          <w:spacing w:val="-2"/>
        </w:rPr>
        <w:t>穆棱河聚煤区中的西南</w:t>
      </w:r>
      <w:r>
        <w:t>部，在中生代下白垩世沉积城子河组和穆棱组含煤地层。</w:t>
      </w:r>
    </w:p>
    <w:p>
      <w:pPr>
        <w:pStyle w:val="9"/>
        <w:spacing w:line="364" w:lineRule="auto"/>
        <w:ind w:left="1418" w:right="1297" w:firstLine="480"/>
      </w:pPr>
      <w:r>
        <w:t>双鸭山煤田的总体构造形态是处于安邦河</w:t>
      </w:r>
      <w:r>
        <w:rPr>
          <w:rFonts w:ascii="Times New Roman" w:eastAsia="Times New Roman"/>
        </w:rPr>
        <w:t>-</w:t>
      </w:r>
      <w:r>
        <w:t>七星河弧形复式向斜的中部地区，呈弧</w:t>
      </w:r>
      <w:r>
        <w:rPr>
          <w:spacing w:val="-14"/>
        </w:rPr>
        <w:t xml:space="preserve">形展布的向斜构造，地层倾角南翼陡北翼缓，被后期双鸭山煤田南部逆冲断层切割破坏， </w:t>
      </w:r>
      <w:r>
        <w:t>它是改造双鸭山煤田总体构造形态的主干断裂。</w:t>
      </w:r>
    </w:p>
    <w:p>
      <w:pPr>
        <w:pStyle w:val="9"/>
        <w:spacing w:line="364" w:lineRule="auto"/>
        <w:ind w:left="1418" w:right="1435" w:firstLine="518"/>
        <w:jc w:val="both"/>
      </w:pPr>
      <w:r>
        <w:t>双鸭山盟度矿业有限责任公司处于三江—穆棱河聚煤区的西南边缘地带，它在双桦— 双鸭山— 集贤— 绥滨凹陷的南端， 处在安邦河— 七星河复式向斜的南部。煤田的中部有一轴向北西西且向东倾伏的背斜构造，其背南、北两侧分别为向斜构造。</w:t>
      </w:r>
    </w:p>
    <w:p>
      <w:pPr>
        <w:pStyle w:val="9"/>
        <w:spacing w:line="364" w:lineRule="auto"/>
        <w:ind w:left="1418" w:right="1435" w:firstLine="518"/>
        <w:jc w:val="both"/>
      </w:pPr>
      <w:r>
        <w:rPr>
          <w:spacing w:val="15"/>
        </w:rPr>
        <w:t>本项目处在北侧向斜的北翼的西段，井田内呈向斜构造，其轴向近东西；地</w:t>
      </w:r>
      <w:r>
        <w:rPr>
          <w:spacing w:val="8"/>
        </w:rPr>
        <w:t xml:space="preserve">层北翼走向北 </w:t>
      </w:r>
      <w:r>
        <w:rPr>
          <w:spacing w:val="7"/>
        </w:rPr>
        <w:t>70</w:t>
      </w:r>
      <w:r>
        <w:rPr>
          <w:spacing w:val="-46"/>
        </w:rPr>
        <w:t xml:space="preserve">° </w:t>
      </w:r>
      <w:r>
        <w:t>～</w:t>
      </w:r>
      <w:r>
        <w:rPr>
          <w:spacing w:val="-99"/>
        </w:rPr>
        <w:t xml:space="preserve"> </w:t>
      </w:r>
      <w:r>
        <w:rPr>
          <w:spacing w:val="6"/>
        </w:rPr>
        <w:t>85</w:t>
      </w:r>
      <w:r>
        <w:rPr>
          <w:spacing w:val="-25"/>
        </w:rPr>
        <w:t xml:space="preserve">° 东， 倾角 </w:t>
      </w:r>
      <w:r>
        <w:rPr>
          <w:spacing w:val="7"/>
        </w:rPr>
        <w:t>55</w:t>
      </w:r>
      <w:r>
        <w:rPr>
          <w:spacing w:val="-46"/>
        </w:rPr>
        <w:t xml:space="preserve">° </w:t>
      </w:r>
      <w:r>
        <w:t>～</w:t>
      </w:r>
      <w:r>
        <w:rPr>
          <w:spacing w:val="-99"/>
        </w:rPr>
        <w:t xml:space="preserve"> </w:t>
      </w:r>
      <w:r>
        <w:rPr>
          <w:spacing w:val="10"/>
        </w:rPr>
        <w:t>70</w:t>
      </w:r>
      <w:r>
        <w:rPr>
          <w:spacing w:val="-5"/>
        </w:rPr>
        <w:t xml:space="preserve">°； 南翼走向北 </w:t>
      </w:r>
      <w:r>
        <w:rPr>
          <w:spacing w:val="10"/>
        </w:rPr>
        <w:t>50°～</w:t>
      </w:r>
      <w:r>
        <w:rPr>
          <w:spacing w:val="-99"/>
        </w:rPr>
        <w:t xml:space="preserve"> </w:t>
      </w:r>
      <w:r>
        <w:rPr>
          <w:spacing w:val="7"/>
        </w:rPr>
        <w:t>75</w:t>
      </w:r>
      <w:r>
        <w:rPr>
          <w:spacing w:val="-30"/>
        </w:rPr>
        <w:t>° 西， 倾</w:t>
      </w:r>
      <w:r>
        <w:rPr>
          <w:spacing w:val="-33"/>
        </w:rPr>
        <w:t xml:space="preserve">角 </w:t>
      </w:r>
      <w:r>
        <w:rPr>
          <w:spacing w:val="14"/>
        </w:rPr>
        <w:t>10°～15</w:t>
      </w:r>
      <w:r>
        <w:rPr>
          <w:spacing w:val="11"/>
        </w:rPr>
        <w:t xml:space="preserve">°。井田内见到四条落差大于 </w:t>
      </w:r>
      <w:r>
        <w:rPr>
          <w:spacing w:val="5"/>
        </w:rPr>
        <w:t>30m</w:t>
      </w:r>
      <w:r>
        <w:rPr>
          <w:spacing w:val="-1"/>
        </w:rPr>
        <w:t xml:space="preserve"> 断层。</w:t>
      </w:r>
    </w:p>
    <w:p>
      <w:pPr>
        <w:pStyle w:val="9"/>
        <w:spacing w:line="307" w:lineRule="exact"/>
        <w:ind w:left="1968"/>
      </w:pPr>
      <w:r>
        <w:t>各断层特征详见断层一览下表。</w:t>
      </w:r>
    </w:p>
    <w:p>
      <w:pPr>
        <w:spacing w:before="151"/>
        <w:ind w:left="5" w:right="0" w:firstLine="0"/>
        <w:jc w:val="center"/>
        <w:rPr>
          <w:b/>
          <w:sz w:val="21"/>
        </w:rPr>
      </w:pPr>
      <w:r>
        <w:rPr>
          <w:b/>
          <w:spacing w:val="-28"/>
          <w:sz w:val="21"/>
        </w:rPr>
        <w:t xml:space="preserve">表 </w:t>
      </w:r>
      <w:r>
        <w:rPr>
          <w:rFonts w:ascii="Times New Roman" w:eastAsia="Times New Roman"/>
          <w:b/>
          <w:sz w:val="21"/>
        </w:rPr>
        <w:t>5.1-2</w:t>
      </w:r>
      <w:r>
        <w:rPr>
          <w:rFonts w:ascii="Times New Roman" w:eastAsia="Times New Roman"/>
          <w:b/>
          <w:spacing w:val="52"/>
          <w:sz w:val="21"/>
        </w:rPr>
        <w:t xml:space="preserve"> </w:t>
      </w:r>
      <w:r>
        <w:rPr>
          <w:b/>
          <w:sz w:val="21"/>
        </w:rPr>
        <w:t>断层特征一览表</w:t>
      </w:r>
    </w:p>
    <w:p>
      <w:pPr>
        <w:pStyle w:val="9"/>
        <w:spacing w:before="11" w:after="1"/>
        <w:rPr>
          <w:b/>
          <w:sz w:val="10"/>
        </w:rPr>
      </w:pPr>
    </w:p>
    <w:tbl>
      <w:tblPr>
        <w:tblStyle w:val="15"/>
        <w:tblW w:w="0" w:type="auto"/>
        <w:tblInd w:w="13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80"/>
        <w:gridCol w:w="1367"/>
        <w:gridCol w:w="780"/>
        <w:gridCol w:w="1330"/>
        <w:gridCol w:w="502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780" w:type="dxa"/>
            <w:tcBorders>
              <w:bottom w:val="single" w:color="000000" w:sz="4" w:space="0"/>
              <w:right w:val="single" w:color="000000" w:sz="4" w:space="0"/>
            </w:tcBorders>
          </w:tcPr>
          <w:p>
            <w:pPr>
              <w:pStyle w:val="19"/>
              <w:spacing w:before="9"/>
              <w:jc w:val="left"/>
              <w:rPr>
                <w:b/>
                <w:sz w:val="14"/>
              </w:rPr>
            </w:pPr>
          </w:p>
          <w:p>
            <w:pPr>
              <w:pStyle w:val="19"/>
              <w:ind w:left="159" w:right="146"/>
              <w:rPr>
                <w:sz w:val="21"/>
              </w:rPr>
            </w:pPr>
            <w:r>
              <w:rPr>
                <w:sz w:val="21"/>
              </w:rPr>
              <w:t>编号</w:t>
            </w:r>
          </w:p>
        </w:tc>
        <w:tc>
          <w:tcPr>
            <w:tcW w:w="1367" w:type="dxa"/>
            <w:tcBorders>
              <w:left w:val="single" w:color="000000" w:sz="4" w:space="0"/>
              <w:bottom w:val="single" w:color="000000" w:sz="4" w:space="0"/>
              <w:right w:val="single" w:color="000000" w:sz="4" w:space="0"/>
            </w:tcBorders>
          </w:tcPr>
          <w:p>
            <w:pPr>
              <w:pStyle w:val="19"/>
              <w:spacing w:before="9"/>
              <w:jc w:val="left"/>
              <w:rPr>
                <w:b/>
                <w:sz w:val="14"/>
              </w:rPr>
            </w:pPr>
          </w:p>
          <w:p>
            <w:pPr>
              <w:pStyle w:val="19"/>
              <w:ind w:left="194" w:right="177"/>
              <w:rPr>
                <w:sz w:val="21"/>
              </w:rPr>
            </w:pPr>
            <w:r>
              <w:rPr>
                <w:sz w:val="21"/>
              </w:rPr>
              <w:t>方位</w:t>
            </w:r>
          </w:p>
        </w:tc>
        <w:tc>
          <w:tcPr>
            <w:tcW w:w="780" w:type="dxa"/>
            <w:tcBorders>
              <w:left w:val="single" w:color="000000" w:sz="4" w:space="0"/>
              <w:bottom w:val="single" w:color="000000" w:sz="4" w:space="0"/>
              <w:right w:val="single" w:color="000000" w:sz="4" w:space="0"/>
            </w:tcBorders>
          </w:tcPr>
          <w:p>
            <w:pPr>
              <w:pStyle w:val="19"/>
              <w:spacing w:before="9"/>
              <w:jc w:val="left"/>
              <w:rPr>
                <w:b/>
                <w:sz w:val="14"/>
              </w:rPr>
            </w:pPr>
          </w:p>
          <w:p>
            <w:pPr>
              <w:pStyle w:val="19"/>
              <w:ind w:left="162" w:right="147"/>
              <w:rPr>
                <w:sz w:val="21"/>
              </w:rPr>
            </w:pPr>
            <w:r>
              <w:rPr>
                <w:sz w:val="21"/>
              </w:rPr>
              <w:t>性质</w:t>
            </w:r>
          </w:p>
        </w:tc>
        <w:tc>
          <w:tcPr>
            <w:tcW w:w="1330" w:type="dxa"/>
            <w:tcBorders>
              <w:left w:val="single" w:color="000000" w:sz="4" w:space="0"/>
              <w:bottom w:val="single" w:color="000000" w:sz="4" w:space="0"/>
              <w:right w:val="single" w:color="000000" w:sz="4" w:space="0"/>
            </w:tcBorders>
          </w:tcPr>
          <w:p>
            <w:pPr>
              <w:pStyle w:val="19"/>
              <w:spacing w:before="9"/>
              <w:jc w:val="left"/>
              <w:rPr>
                <w:b/>
                <w:sz w:val="14"/>
              </w:rPr>
            </w:pPr>
          </w:p>
          <w:p>
            <w:pPr>
              <w:pStyle w:val="19"/>
              <w:ind w:left="175" w:right="160"/>
              <w:rPr>
                <w:sz w:val="21"/>
              </w:rPr>
            </w:pPr>
            <w:r>
              <w:rPr>
                <w:sz w:val="21"/>
              </w:rPr>
              <w:t>落差（m）</w:t>
            </w:r>
          </w:p>
        </w:tc>
        <w:tc>
          <w:tcPr>
            <w:tcW w:w="5025" w:type="dxa"/>
            <w:tcBorders>
              <w:left w:val="single" w:color="000000" w:sz="4" w:space="0"/>
              <w:bottom w:val="single" w:color="000000" w:sz="4" w:space="0"/>
            </w:tcBorders>
          </w:tcPr>
          <w:p>
            <w:pPr>
              <w:pStyle w:val="19"/>
              <w:spacing w:before="9"/>
              <w:jc w:val="left"/>
              <w:rPr>
                <w:b/>
                <w:sz w:val="14"/>
              </w:rPr>
            </w:pPr>
          </w:p>
          <w:p>
            <w:pPr>
              <w:pStyle w:val="19"/>
              <w:ind w:left="39" w:right="19"/>
              <w:rPr>
                <w:sz w:val="21"/>
              </w:rPr>
            </w:pPr>
            <w:r>
              <w:rPr>
                <w:sz w:val="21"/>
              </w:rPr>
              <w:t>控制程度及可靠性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780" w:type="dxa"/>
            <w:tcBorders>
              <w:top w:val="single" w:color="000000" w:sz="4" w:space="0"/>
              <w:bottom w:val="single" w:color="000000" w:sz="4" w:space="0"/>
              <w:right w:val="single" w:color="000000" w:sz="4" w:space="0"/>
            </w:tcBorders>
          </w:tcPr>
          <w:p>
            <w:pPr>
              <w:pStyle w:val="19"/>
              <w:spacing w:before="135"/>
              <w:ind w:left="159" w:right="146"/>
              <w:rPr>
                <w:sz w:val="10"/>
              </w:rPr>
            </w:pPr>
            <w:r>
              <w:rPr>
                <w:spacing w:val="1"/>
                <w:w w:val="99"/>
                <w:sz w:val="21"/>
              </w:rPr>
              <w:t>F</w:t>
            </w:r>
            <w:r>
              <w:rPr>
                <w:w w:val="106"/>
                <w:position w:val="-2"/>
                <w:sz w:val="10"/>
              </w:rPr>
              <w:t>6</w:t>
            </w:r>
          </w:p>
        </w:tc>
        <w:tc>
          <w:tcPr>
            <w:tcW w:w="1367" w:type="dxa"/>
            <w:tcBorders>
              <w:top w:val="single" w:color="000000" w:sz="4" w:space="0"/>
              <w:left w:val="single" w:color="000000" w:sz="4" w:space="0"/>
              <w:bottom w:val="single" w:color="000000" w:sz="4" w:space="0"/>
              <w:right w:val="single" w:color="000000" w:sz="4" w:space="0"/>
            </w:tcBorders>
          </w:tcPr>
          <w:p>
            <w:pPr>
              <w:pStyle w:val="19"/>
              <w:spacing w:before="135"/>
              <w:ind w:left="191" w:right="177"/>
              <w:rPr>
                <w:sz w:val="21"/>
              </w:rPr>
            </w:pPr>
            <w:r>
              <w:rPr>
                <w:sz w:val="21"/>
              </w:rPr>
              <w:t>近东西向</w:t>
            </w:r>
          </w:p>
        </w:tc>
        <w:tc>
          <w:tcPr>
            <w:tcW w:w="780" w:type="dxa"/>
            <w:tcBorders>
              <w:top w:val="single" w:color="000000" w:sz="4" w:space="0"/>
              <w:left w:val="single" w:color="000000" w:sz="4" w:space="0"/>
              <w:bottom w:val="single" w:color="000000" w:sz="4" w:space="0"/>
              <w:right w:val="single" w:color="000000" w:sz="4" w:space="0"/>
            </w:tcBorders>
          </w:tcPr>
          <w:p>
            <w:pPr>
              <w:pStyle w:val="19"/>
              <w:spacing w:before="135"/>
              <w:ind w:left="18"/>
              <w:rPr>
                <w:sz w:val="21"/>
              </w:rPr>
            </w:pPr>
            <w:r>
              <w:rPr>
                <w:w w:val="99"/>
                <w:sz w:val="21"/>
              </w:rPr>
              <w:t>逆</w:t>
            </w:r>
          </w:p>
        </w:tc>
        <w:tc>
          <w:tcPr>
            <w:tcW w:w="1330" w:type="dxa"/>
            <w:tcBorders>
              <w:top w:val="single" w:color="000000" w:sz="4" w:space="0"/>
              <w:left w:val="single" w:color="000000" w:sz="4" w:space="0"/>
              <w:bottom w:val="single" w:color="000000" w:sz="4" w:space="0"/>
              <w:right w:val="single" w:color="000000" w:sz="4" w:space="0"/>
            </w:tcBorders>
          </w:tcPr>
          <w:p>
            <w:pPr>
              <w:pStyle w:val="19"/>
              <w:spacing w:before="135"/>
              <w:ind w:left="175" w:right="159"/>
              <w:rPr>
                <w:sz w:val="21"/>
              </w:rPr>
            </w:pPr>
            <w:r>
              <w:rPr>
                <w:sz w:val="21"/>
              </w:rPr>
              <w:t>100</w:t>
            </w:r>
          </w:p>
        </w:tc>
        <w:tc>
          <w:tcPr>
            <w:tcW w:w="5025" w:type="dxa"/>
            <w:tcBorders>
              <w:top w:val="single" w:color="000000" w:sz="4" w:space="0"/>
              <w:left w:val="single" w:color="000000" w:sz="4" w:space="0"/>
              <w:bottom w:val="single" w:color="000000" w:sz="4" w:space="0"/>
            </w:tcBorders>
          </w:tcPr>
          <w:p>
            <w:pPr>
              <w:pStyle w:val="19"/>
              <w:ind w:left="41" w:right="19"/>
              <w:rPr>
                <w:sz w:val="21"/>
              </w:rPr>
            </w:pPr>
            <w:r>
              <w:rPr>
                <w:sz w:val="21"/>
              </w:rPr>
              <w:t>开采 12、14、16 有二条片盘点实见及主井实见，可</w:t>
            </w:r>
          </w:p>
          <w:p>
            <w:pPr>
              <w:pStyle w:val="19"/>
              <w:spacing w:before="2" w:line="253" w:lineRule="exact"/>
              <w:ind w:left="41" w:right="19"/>
              <w:rPr>
                <w:sz w:val="21"/>
              </w:rPr>
            </w:pPr>
            <w:r>
              <w:rPr>
                <w:sz w:val="21"/>
              </w:rPr>
              <w:t>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780" w:type="dxa"/>
            <w:tcBorders>
              <w:top w:val="single" w:color="000000" w:sz="4" w:space="0"/>
              <w:bottom w:val="single" w:color="000000" w:sz="4" w:space="0"/>
              <w:right w:val="single" w:color="000000" w:sz="4" w:space="0"/>
            </w:tcBorders>
          </w:tcPr>
          <w:p>
            <w:pPr>
              <w:pStyle w:val="19"/>
              <w:spacing w:before="1" w:line="251" w:lineRule="exact"/>
              <w:ind w:left="159" w:right="146"/>
              <w:rPr>
                <w:sz w:val="10"/>
              </w:rPr>
            </w:pPr>
            <w:r>
              <w:rPr>
                <w:spacing w:val="1"/>
                <w:w w:val="99"/>
                <w:position w:val="3"/>
                <w:sz w:val="21"/>
              </w:rPr>
              <w:t>F</w:t>
            </w:r>
            <w:r>
              <w:rPr>
                <w:spacing w:val="-1"/>
                <w:w w:val="106"/>
                <w:sz w:val="10"/>
              </w:rPr>
              <w:t>1</w:t>
            </w:r>
            <w:r>
              <w:rPr>
                <w:w w:val="106"/>
                <w:sz w:val="10"/>
              </w:rPr>
              <w:t>0</w:t>
            </w:r>
          </w:p>
        </w:tc>
        <w:tc>
          <w:tcPr>
            <w:tcW w:w="1367" w:type="dxa"/>
            <w:tcBorders>
              <w:top w:val="single" w:color="000000" w:sz="4" w:space="0"/>
              <w:left w:val="single" w:color="000000" w:sz="4" w:space="0"/>
              <w:bottom w:val="single" w:color="000000" w:sz="4" w:space="0"/>
              <w:right w:val="single" w:color="000000" w:sz="4" w:space="0"/>
            </w:tcBorders>
          </w:tcPr>
          <w:p>
            <w:pPr>
              <w:pStyle w:val="19"/>
              <w:spacing w:line="252" w:lineRule="exact"/>
              <w:ind w:left="194" w:right="177"/>
              <w:rPr>
                <w:sz w:val="21"/>
              </w:rPr>
            </w:pPr>
            <w:r>
              <w:rPr>
                <w:sz w:val="21"/>
              </w:rPr>
              <w:t>北 60°西</w:t>
            </w:r>
          </w:p>
        </w:tc>
        <w:tc>
          <w:tcPr>
            <w:tcW w:w="780" w:type="dxa"/>
            <w:tcBorders>
              <w:top w:val="single" w:color="000000" w:sz="4" w:space="0"/>
              <w:left w:val="single" w:color="000000" w:sz="4" w:space="0"/>
              <w:bottom w:val="single" w:color="000000" w:sz="4" w:space="0"/>
              <w:right w:val="single" w:color="000000" w:sz="4" w:space="0"/>
            </w:tcBorders>
          </w:tcPr>
          <w:p>
            <w:pPr>
              <w:pStyle w:val="19"/>
              <w:spacing w:line="252" w:lineRule="exact"/>
              <w:ind w:left="18"/>
              <w:rPr>
                <w:sz w:val="21"/>
              </w:rPr>
            </w:pPr>
            <w:r>
              <w:rPr>
                <w:w w:val="99"/>
                <w:sz w:val="21"/>
              </w:rPr>
              <w:t>正</w:t>
            </w:r>
          </w:p>
        </w:tc>
        <w:tc>
          <w:tcPr>
            <w:tcW w:w="1330" w:type="dxa"/>
            <w:tcBorders>
              <w:top w:val="single" w:color="000000" w:sz="4" w:space="0"/>
              <w:left w:val="single" w:color="000000" w:sz="4" w:space="0"/>
              <w:bottom w:val="single" w:color="000000" w:sz="4" w:space="0"/>
              <w:right w:val="single" w:color="000000" w:sz="4" w:space="0"/>
            </w:tcBorders>
          </w:tcPr>
          <w:p>
            <w:pPr>
              <w:pStyle w:val="19"/>
              <w:spacing w:line="252" w:lineRule="exact"/>
              <w:ind w:left="175" w:right="157"/>
              <w:rPr>
                <w:sz w:val="21"/>
              </w:rPr>
            </w:pPr>
            <w:r>
              <w:rPr>
                <w:sz w:val="21"/>
              </w:rPr>
              <w:t>75-100</w:t>
            </w:r>
          </w:p>
        </w:tc>
        <w:tc>
          <w:tcPr>
            <w:tcW w:w="5025" w:type="dxa"/>
            <w:tcBorders>
              <w:top w:val="single" w:color="000000" w:sz="4" w:space="0"/>
              <w:left w:val="single" w:color="000000" w:sz="4" w:space="0"/>
              <w:bottom w:val="single" w:color="000000" w:sz="4" w:space="0"/>
            </w:tcBorders>
          </w:tcPr>
          <w:p>
            <w:pPr>
              <w:pStyle w:val="19"/>
              <w:spacing w:line="252" w:lineRule="exact"/>
              <w:ind w:left="41" w:right="19"/>
              <w:rPr>
                <w:sz w:val="21"/>
              </w:rPr>
            </w:pPr>
            <w:r>
              <w:rPr>
                <w:sz w:val="21"/>
              </w:rPr>
              <w:t>有钻孔及槽、井探控制，可靠。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5" w:hRule="atLeast"/>
        </w:trPr>
        <w:tc>
          <w:tcPr>
            <w:tcW w:w="780" w:type="dxa"/>
            <w:tcBorders>
              <w:top w:val="single" w:color="000000" w:sz="4" w:space="0"/>
              <w:bottom w:val="single" w:color="000000" w:sz="4" w:space="0"/>
              <w:right w:val="single" w:color="000000" w:sz="4" w:space="0"/>
            </w:tcBorders>
          </w:tcPr>
          <w:p>
            <w:pPr>
              <w:pStyle w:val="19"/>
              <w:spacing w:before="170"/>
              <w:ind w:left="159" w:right="146"/>
              <w:rPr>
                <w:sz w:val="10"/>
              </w:rPr>
            </w:pPr>
            <w:r>
              <w:rPr>
                <w:spacing w:val="1"/>
                <w:w w:val="99"/>
                <w:position w:val="3"/>
                <w:sz w:val="21"/>
              </w:rPr>
              <w:t>F</w:t>
            </w:r>
            <w:r>
              <w:rPr>
                <w:spacing w:val="-1"/>
                <w:w w:val="106"/>
                <w:sz w:val="10"/>
              </w:rPr>
              <w:t>1</w:t>
            </w:r>
            <w:r>
              <w:rPr>
                <w:w w:val="106"/>
                <w:sz w:val="10"/>
              </w:rPr>
              <w:t>2</w:t>
            </w:r>
          </w:p>
        </w:tc>
        <w:tc>
          <w:tcPr>
            <w:tcW w:w="1367" w:type="dxa"/>
            <w:tcBorders>
              <w:top w:val="single" w:color="000000" w:sz="4" w:space="0"/>
              <w:left w:val="single" w:color="000000" w:sz="4" w:space="0"/>
              <w:bottom w:val="single" w:color="000000" w:sz="4" w:space="0"/>
              <w:right w:val="single" w:color="000000" w:sz="4" w:space="0"/>
            </w:tcBorders>
          </w:tcPr>
          <w:p>
            <w:pPr>
              <w:pStyle w:val="19"/>
              <w:spacing w:before="171"/>
              <w:ind w:left="191" w:right="177"/>
              <w:rPr>
                <w:sz w:val="21"/>
              </w:rPr>
            </w:pPr>
            <w:r>
              <w:rPr>
                <w:sz w:val="21"/>
              </w:rPr>
              <w:t>近东西向</w:t>
            </w:r>
          </w:p>
        </w:tc>
        <w:tc>
          <w:tcPr>
            <w:tcW w:w="780" w:type="dxa"/>
            <w:tcBorders>
              <w:top w:val="single" w:color="000000" w:sz="4" w:space="0"/>
              <w:left w:val="single" w:color="000000" w:sz="4" w:space="0"/>
              <w:bottom w:val="single" w:color="000000" w:sz="4" w:space="0"/>
              <w:right w:val="single" w:color="000000" w:sz="4" w:space="0"/>
            </w:tcBorders>
          </w:tcPr>
          <w:p>
            <w:pPr>
              <w:pStyle w:val="19"/>
              <w:spacing w:before="171"/>
              <w:ind w:left="18"/>
              <w:rPr>
                <w:sz w:val="21"/>
              </w:rPr>
            </w:pPr>
            <w:r>
              <w:rPr>
                <w:w w:val="99"/>
                <w:sz w:val="21"/>
              </w:rPr>
              <w:t>逆</w:t>
            </w:r>
          </w:p>
        </w:tc>
        <w:tc>
          <w:tcPr>
            <w:tcW w:w="1330" w:type="dxa"/>
            <w:tcBorders>
              <w:top w:val="single" w:color="000000" w:sz="4" w:space="0"/>
              <w:left w:val="single" w:color="000000" w:sz="4" w:space="0"/>
              <w:bottom w:val="single" w:color="000000" w:sz="4" w:space="0"/>
              <w:right w:val="single" w:color="000000" w:sz="4" w:space="0"/>
            </w:tcBorders>
          </w:tcPr>
          <w:p>
            <w:pPr>
              <w:pStyle w:val="19"/>
              <w:spacing w:before="171"/>
              <w:ind w:left="175" w:right="157"/>
              <w:rPr>
                <w:sz w:val="21"/>
              </w:rPr>
            </w:pPr>
            <w:r>
              <w:rPr>
                <w:sz w:val="21"/>
              </w:rPr>
              <w:t>50-60</w:t>
            </w:r>
          </w:p>
        </w:tc>
        <w:tc>
          <w:tcPr>
            <w:tcW w:w="5025" w:type="dxa"/>
            <w:tcBorders>
              <w:top w:val="single" w:color="000000" w:sz="4" w:space="0"/>
              <w:left w:val="single" w:color="000000" w:sz="4" w:space="0"/>
              <w:bottom w:val="single" w:color="000000" w:sz="4" w:space="0"/>
            </w:tcBorders>
          </w:tcPr>
          <w:p>
            <w:pPr>
              <w:pStyle w:val="19"/>
              <w:spacing w:before="35"/>
              <w:ind w:left="16" w:right="19"/>
              <w:rPr>
                <w:sz w:val="21"/>
              </w:rPr>
            </w:pPr>
            <w:r>
              <w:rPr>
                <w:sz w:val="21"/>
              </w:rPr>
              <w:t>506 孔与龙生井之间，83-3 孔与龙生井之间，501 与</w:t>
            </w:r>
          </w:p>
          <w:p>
            <w:pPr>
              <w:pStyle w:val="19"/>
              <w:spacing w:before="2"/>
              <w:ind w:left="41" w:right="19"/>
              <w:rPr>
                <w:sz w:val="21"/>
              </w:rPr>
            </w:pPr>
            <w:r>
              <w:rPr>
                <w:sz w:val="21"/>
              </w:rPr>
              <w:t>518 孔控制，较可靠。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780" w:type="dxa"/>
            <w:tcBorders>
              <w:top w:val="single" w:color="000000" w:sz="4" w:space="0"/>
              <w:right w:val="single" w:color="000000" w:sz="4" w:space="0"/>
            </w:tcBorders>
          </w:tcPr>
          <w:p>
            <w:pPr>
              <w:pStyle w:val="19"/>
              <w:spacing w:before="135"/>
              <w:ind w:left="159" w:right="146"/>
              <w:rPr>
                <w:sz w:val="10"/>
              </w:rPr>
            </w:pPr>
            <w:r>
              <w:rPr>
                <w:spacing w:val="1"/>
                <w:w w:val="99"/>
                <w:position w:val="3"/>
                <w:sz w:val="21"/>
              </w:rPr>
              <w:t>F</w:t>
            </w:r>
            <w:r>
              <w:rPr>
                <w:spacing w:val="-1"/>
                <w:w w:val="106"/>
                <w:sz w:val="10"/>
              </w:rPr>
              <w:t>1</w:t>
            </w:r>
            <w:r>
              <w:rPr>
                <w:w w:val="106"/>
                <w:sz w:val="10"/>
              </w:rPr>
              <w:t>3</w:t>
            </w:r>
          </w:p>
        </w:tc>
        <w:tc>
          <w:tcPr>
            <w:tcW w:w="1367" w:type="dxa"/>
            <w:tcBorders>
              <w:top w:val="single" w:color="000000" w:sz="4" w:space="0"/>
              <w:left w:val="single" w:color="000000" w:sz="4" w:space="0"/>
              <w:right w:val="single" w:color="000000" w:sz="4" w:space="0"/>
            </w:tcBorders>
          </w:tcPr>
          <w:p>
            <w:pPr>
              <w:pStyle w:val="19"/>
              <w:spacing w:before="134"/>
              <w:ind w:left="191" w:right="177"/>
              <w:rPr>
                <w:sz w:val="21"/>
              </w:rPr>
            </w:pPr>
            <w:r>
              <w:rPr>
                <w:sz w:val="21"/>
              </w:rPr>
              <w:t>近东西向</w:t>
            </w:r>
          </w:p>
        </w:tc>
        <w:tc>
          <w:tcPr>
            <w:tcW w:w="780" w:type="dxa"/>
            <w:tcBorders>
              <w:top w:val="single" w:color="000000" w:sz="4" w:space="0"/>
              <w:left w:val="single" w:color="000000" w:sz="4" w:space="0"/>
              <w:right w:val="single" w:color="000000" w:sz="4" w:space="0"/>
            </w:tcBorders>
          </w:tcPr>
          <w:p>
            <w:pPr>
              <w:pStyle w:val="19"/>
              <w:spacing w:before="134"/>
              <w:ind w:left="18"/>
              <w:rPr>
                <w:sz w:val="21"/>
              </w:rPr>
            </w:pPr>
            <w:r>
              <w:rPr>
                <w:w w:val="99"/>
                <w:sz w:val="21"/>
              </w:rPr>
              <w:t>逆</w:t>
            </w:r>
          </w:p>
        </w:tc>
        <w:tc>
          <w:tcPr>
            <w:tcW w:w="1330" w:type="dxa"/>
            <w:tcBorders>
              <w:top w:val="single" w:color="000000" w:sz="4" w:space="0"/>
              <w:left w:val="single" w:color="000000" w:sz="4" w:space="0"/>
              <w:right w:val="single" w:color="000000" w:sz="4" w:space="0"/>
            </w:tcBorders>
          </w:tcPr>
          <w:p>
            <w:pPr>
              <w:pStyle w:val="19"/>
              <w:spacing w:before="134"/>
              <w:ind w:left="175" w:right="154"/>
              <w:rPr>
                <w:sz w:val="21"/>
              </w:rPr>
            </w:pPr>
            <w:r>
              <w:rPr>
                <w:sz w:val="21"/>
              </w:rPr>
              <w:t>50</w:t>
            </w:r>
          </w:p>
        </w:tc>
        <w:tc>
          <w:tcPr>
            <w:tcW w:w="5025" w:type="dxa"/>
            <w:tcBorders>
              <w:top w:val="single" w:color="000000" w:sz="4" w:space="0"/>
              <w:left w:val="single" w:color="000000" w:sz="4" w:space="0"/>
            </w:tcBorders>
          </w:tcPr>
          <w:p>
            <w:pPr>
              <w:pStyle w:val="19"/>
              <w:ind w:left="44" w:right="19"/>
              <w:rPr>
                <w:sz w:val="21"/>
              </w:rPr>
            </w:pPr>
            <w:r>
              <w:rPr>
                <w:sz w:val="21"/>
              </w:rPr>
              <w:t>505</w:t>
            </w:r>
            <w:r>
              <w:rPr>
                <w:spacing w:val="-36"/>
                <w:sz w:val="21"/>
              </w:rPr>
              <w:t xml:space="preserve"> 与 </w:t>
            </w:r>
            <w:r>
              <w:rPr>
                <w:sz w:val="21"/>
              </w:rPr>
              <w:t>506</w:t>
            </w:r>
            <w:r>
              <w:rPr>
                <w:spacing w:val="-17"/>
                <w:sz w:val="21"/>
              </w:rPr>
              <w:t xml:space="preserve"> 钻孔，</w:t>
            </w:r>
            <w:r>
              <w:rPr>
                <w:spacing w:val="-9"/>
                <w:sz w:val="21"/>
              </w:rPr>
              <w:t>523</w:t>
            </w:r>
            <w:r>
              <w:rPr>
                <w:spacing w:val="-37"/>
                <w:sz w:val="21"/>
              </w:rPr>
              <w:t xml:space="preserve"> 与 </w:t>
            </w:r>
            <w:r>
              <w:rPr>
                <w:sz w:val="21"/>
              </w:rPr>
              <w:t>03－4</w:t>
            </w:r>
            <w:r>
              <w:rPr>
                <w:spacing w:val="-9"/>
                <w:sz w:val="21"/>
              </w:rPr>
              <w:t xml:space="preserve"> 钻孔之间控制，501</w:t>
            </w:r>
            <w:r>
              <w:rPr>
                <w:spacing w:val="-28"/>
                <w:sz w:val="21"/>
              </w:rPr>
              <w:t xml:space="preserve"> 孔</w:t>
            </w:r>
          </w:p>
          <w:p>
            <w:pPr>
              <w:pStyle w:val="19"/>
              <w:spacing w:before="2" w:line="253" w:lineRule="exact"/>
              <w:ind w:left="41" w:right="19"/>
              <w:rPr>
                <w:sz w:val="21"/>
              </w:rPr>
            </w:pPr>
            <w:r>
              <w:rPr>
                <w:sz w:val="21"/>
              </w:rPr>
              <w:t>实见，可靠。</w:t>
            </w:r>
          </w:p>
        </w:tc>
      </w:tr>
    </w:tbl>
    <w:p>
      <w:pPr>
        <w:pStyle w:val="9"/>
        <w:spacing w:before="1" w:line="364" w:lineRule="auto"/>
        <w:ind w:left="1418" w:right="1437" w:firstLine="518"/>
      </w:pPr>
      <w:r>
        <w:t>除上述四条较大的断裂外，西北部尚有 F</w:t>
      </w:r>
      <w:r>
        <w:rPr>
          <w:position w:val="-2"/>
          <w:sz w:val="12"/>
        </w:rPr>
        <w:t xml:space="preserve">5 </w:t>
      </w:r>
      <w:r>
        <w:t>和另外两条断层出现，在矿井开发的各条片盘中及地表施工的槽探工程中见有数十条方向各异的断层，性质有正有</w:t>
      </w:r>
    </w:p>
    <w:p>
      <w:pPr>
        <w:spacing w:after="0" w:line="364" w:lineRule="auto"/>
        <w:sectPr>
          <w:pgSz w:w="11910" w:h="16840"/>
          <w:pgMar w:top="1360" w:right="0" w:bottom="880" w:left="0" w:header="0" w:footer="681" w:gutter="0"/>
        </w:sectPr>
      </w:pPr>
    </w:p>
    <w:p>
      <w:pPr>
        <w:pStyle w:val="9"/>
        <w:spacing w:before="41"/>
        <w:ind w:left="1418"/>
      </w:pPr>
      <w:r>
        <w:t>逆， 其落差大则 10m，小的只有 1～2m。</w:t>
      </w:r>
    </w:p>
    <w:p>
      <w:pPr>
        <w:pStyle w:val="5"/>
        <w:numPr>
          <w:ilvl w:val="1"/>
          <w:numId w:val="60"/>
        </w:numPr>
        <w:tabs>
          <w:tab w:val="left" w:pos="1868"/>
        </w:tabs>
        <w:spacing w:before="161" w:after="0" w:line="240" w:lineRule="auto"/>
        <w:ind w:left="1867" w:right="0" w:hanging="450"/>
        <w:jc w:val="left"/>
      </w:pPr>
      <w:bookmarkStart w:id="274" w:name="_bookmark28"/>
      <w:bookmarkEnd w:id="274"/>
      <w:bookmarkStart w:id="275" w:name="_bookmark28"/>
      <w:bookmarkEnd w:id="275"/>
      <w:bookmarkStart w:id="276" w:name="5.2水文地质条件"/>
      <w:bookmarkEnd w:id="276"/>
      <w:r>
        <w:t>水文地质条件</w:t>
      </w:r>
    </w:p>
    <w:p>
      <w:pPr>
        <w:pStyle w:val="6"/>
        <w:numPr>
          <w:ilvl w:val="2"/>
          <w:numId w:val="60"/>
        </w:numPr>
        <w:tabs>
          <w:tab w:val="left" w:pos="2048"/>
        </w:tabs>
        <w:spacing w:before="199" w:after="0" w:line="240" w:lineRule="auto"/>
        <w:ind w:left="2047" w:right="0" w:hanging="630"/>
        <w:jc w:val="left"/>
      </w:pPr>
      <w:bookmarkStart w:id="277" w:name="5.2.1矿区水文地质条件"/>
      <w:bookmarkEnd w:id="277"/>
      <w:bookmarkStart w:id="278" w:name="5.2.1矿区水文地质条件"/>
      <w:bookmarkEnd w:id="278"/>
      <w:r>
        <w:t>矿区水文地质条件</w:t>
      </w:r>
    </w:p>
    <w:p>
      <w:pPr>
        <w:pStyle w:val="9"/>
        <w:spacing w:before="185" w:line="364" w:lineRule="auto"/>
        <w:ind w:left="1418" w:right="1297" w:firstLine="480"/>
      </w:pPr>
      <w:r>
        <w:rPr>
          <w:spacing w:val="-5"/>
        </w:rPr>
        <w:t xml:space="preserve">双鸭山煤田是上个世纪 </w:t>
      </w:r>
      <w:r>
        <w:rPr>
          <w:rFonts w:ascii="Times New Roman" w:eastAsia="Times New Roman"/>
        </w:rPr>
        <w:t xml:space="preserve">40 </w:t>
      </w:r>
      <w:r>
        <w:t>年代就已开发建设矿区，矿井由西至东有岭西、岭东、</w:t>
      </w:r>
      <w:r>
        <w:rPr>
          <w:spacing w:val="-8"/>
        </w:rPr>
        <w:t>四方台、宝山、东保卫、七星、双阳及新安矿等八个矿井，均为国有煤矿。除岭西、岭</w:t>
      </w:r>
      <w:r>
        <w:rPr>
          <w:spacing w:val="-16"/>
        </w:rPr>
        <w:t xml:space="preserve">东、宝山矿和四方台已闭坑外，其余 </w:t>
      </w:r>
      <w:r>
        <w:rPr>
          <w:rFonts w:ascii="Times New Roman" w:eastAsia="Times New Roman"/>
        </w:rPr>
        <w:t xml:space="preserve">4 </w:t>
      </w:r>
      <w:r>
        <w:rPr>
          <w:spacing w:val="-8"/>
        </w:rPr>
        <w:t xml:space="preserve">个矿仍为生产矿井，它们都分布于低山丘陵地区， </w:t>
      </w:r>
      <w:r>
        <w:rPr>
          <w:spacing w:val="-4"/>
        </w:rPr>
        <w:t>区域内有三条河流，西部的安邦河，中部的扁食河及东部的七星河，扁食河在李津围子东南部同七星河汇合。</w:t>
      </w:r>
    </w:p>
    <w:p>
      <w:pPr>
        <w:pStyle w:val="6"/>
        <w:numPr>
          <w:ilvl w:val="2"/>
          <w:numId w:val="60"/>
        </w:numPr>
        <w:tabs>
          <w:tab w:val="left" w:pos="2048"/>
        </w:tabs>
        <w:spacing w:before="0" w:after="0" w:line="355" w:lineRule="exact"/>
        <w:ind w:left="2047" w:right="0" w:hanging="630"/>
        <w:jc w:val="left"/>
      </w:pPr>
      <w:bookmarkStart w:id="279" w:name="5.2.2井田水文地质条件"/>
      <w:bookmarkEnd w:id="279"/>
      <w:bookmarkStart w:id="280" w:name="5.2.2井田水文地质条件"/>
      <w:bookmarkEnd w:id="280"/>
      <w:r>
        <w:t>井田水文地质条件</w:t>
      </w:r>
    </w:p>
    <w:p>
      <w:pPr>
        <w:pStyle w:val="9"/>
        <w:spacing w:before="186"/>
        <w:ind w:left="1898"/>
      </w:pPr>
      <w:r>
        <w:rPr>
          <w:rFonts w:ascii="Times New Roman" w:eastAsia="Times New Roman"/>
        </w:rPr>
        <w:t>1</w:t>
      </w:r>
      <w:r>
        <w:t>、含水层特征</w:t>
      </w:r>
    </w:p>
    <w:p>
      <w:pPr>
        <w:pStyle w:val="9"/>
        <w:spacing w:before="160" w:line="362" w:lineRule="auto"/>
        <w:ind w:left="1418" w:right="1416" w:firstLine="566"/>
      </w:pPr>
      <w:r>
        <w:t>本区域地下水主要分布埋藏在第四系含水层和基岩风化裂隙含水带中，本区含水层主要为第四系含水层和煤系风化裂隙含水层。</w:t>
      </w:r>
    </w:p>
    <w:p>
      <w:pPr>
        <w:pStyle w:val="9"/>
        <w:spacing w:before="5" w:line="362" w:lineRule="auto"/>
        <w:ind w:left="1418" w:right="1416" w:firstLine="420"/>
      </w:pPr>
      <w:r>
        <w:t xml:space="preserve">第四系含水层：本区地处低山丘陵区，且地形起伏大，坡度较陡，无河流等地表水体。第四系地层很薄，只有 </w:t>
      </w:r>
      <w:r>
        <w:rPr>
          <w:rFonts w:ascii="Times New Roman" w:eastAsia="Times New Roman"/>
        </w:rPr>
        <w:t>1</w:t>
      </w:r>
      <w:r>
        <w:rPr>
          <w:sz w:val="21"/>
        </w:rPr>
        <w:t>～</w:t>
      </w:r>
      <w:r>
        <w:rPr>
          <w:rFonts w:ascii="Times New Roman" w:eastAsia="Times New Roman"/>
        </w:rPr>
        <w:t xml:space="preserve">2 </w:t>
      </w:r>
      <w:r>
        <w:t>米，均是坡积砂土层，含水弱。</w:t>
      </w:r>
    </w:p>
    <w:p>
      <w:pPr>
        <w:pStyle w:val="9"/>
        <w:spacing w:before="5" w:line="364" w:lineRule="auto"/>
        <w:ind w:left="1418" w:right="1297" w:firstLine="420"/>
      </w:pPr>
      <w:r>
        <w:t>煤系风化裂隙含水带：由于该区无河流及冲积层补给，仅有大气降雨侧向补给，而</w:t>
      </w:r>
      <w:r>
        <w:rPr>
          <w:spacing w:val="-5"/>
        </w:rPr>
        <w:t>且由于地形较陡，因此降雨以地面径流为主，对地下水补给甚少，所以该区煤系裂隙以</w:t>
      </w:r>
      <w:r>
        <w:rPr>
          <w:spacing w:val="-9"/>
        </w:rPr>
        <w:t xml:space="preserve">消耗静储量为主。根据裂隙发育程度和埋藏深度将煤系风化裂隙含水带又分为强风化裂隙含水带、弱风化裂隙含水带。其中：强风化裂隙含水带深度 </w:t>
      </w:r>
      <w:r>
        <w:rPr>
          <w:rFonts w:ascii="Times New Roman" w:eastAsia="Times New Roman"/>
        </w:rPr>
        <w:t>0</w:t>
      </w:r>
      <w:r>
        <w:rPr>
          <w:sz w:val="21"/>
        </w:rPr>
        <w:t>～</w:t>
      </w:r>
      <w:r>
        <w:rPr>
          <w:rFonts w:ascii="Times New Roman" w:eastAsia="Times New Roman"/>
        </w:rPr>
        <w:t xml:space="preserve">100 </w:t>
      </w:r>
      <w:r>
        <w:rPr>
          <w:spacing w:val="-4"/>
        </w:rPr>
        <w:t xml:space="preserve">米，裂隙较发育， </w:t>
      </w:r>
      <w:r>
        <w:rPr>
          <w:spacing w:val="-3"/>
        </w:rPr>
        <w:t xml:space="preserve">联通性好，富水性强；弱风化裂隙含水带深度 </w:t>
      </w:r>
      <w:r>
        <w:rPr>
          <w:rFonts w:ascii="Times New Roman" w:eastAsia="Times New Roman"/>
        </w:rPr>
        <w:t>100</w:t>
      </w:r>
      <w:r>
        <w:rPr>
          <w:sz w:val="21"/>
        </w:rPr>
        <w:t>～</w:t>
      </w:r>
      <w:r>
        <w:rPr>
          <w:rFonts w:ascii="Times New Roman" w:eastAsia="Times New Roman"/>
        </w:rPr>
        <w:t xml:space="preserve">200 </w:t>
      </w:r>
      <w:r>
        <w:t>米，裂隙发育程度和富水性不及强风化裂隙含水带。</w:t>
      </w:r>
    </w:p>
    <w:p>
      <w:pPr>
        <w:pStyle w:val="9"/>
        <w:spacing w:line="304" w:lineRule="exact"/>
        <w:ind w:left="1984"/>
      </w:pPr>
      <w:r>
        <w:rPr>
          <w:rFonts w:ascii="Times New Roman" w:eastAsia="Times New Roman"/>
        </w:rPr>
        <w:t>2</w:t>
      </w:r>
      <w:r>
        <w:t>、充水因素</w:t>
      </w:r>
    </w:p>
    <w:p>
      <w:pPr>
        <w:pStyle w:val="18"/>
        <w:numPr>
          <w:ilvl w:val="3"/>
          <w:numId w:val="60"/>
        </w:numPr>
        <w:tabs>
          <w:tab w:val="left" w:pos="2440"/>
        </w:tabs>
        <w:spacing w:before="161" w:after="0" w:line="240" w:lineRule="auto"/>
        <w:ind w:left="2439" w:right="0" w:hanging="602"/>
        <w:jc w:val="left"/>
        <w:rPr>
          <w:sz w:val="24"/>
        </w:rPr>
      </w:pPr>
      <w:r>
        <w:rPr>
          <w:sz w:val="24"/>
        </w:rPr>
        <w:t>大气降水</w:t>
      </w:r>
    </w:p>
    <w:p>
      <w:pPr>
        <w:pStyle w:val="9"/>
        <w:spacing w:before="158" w:line="364" w:lineRule="auto"/>
        <w:ind w:left="1418" w:right="1416" w:firstLine="566"/>
        <w:jc w:val="both"/>
      </w:pPr>
      <w:r>
        <w:t xml:space="preserve">本井田为丘陵地形，地势总的趋势是矿井所在区域高、东西两侧低；地面被第四系残积、坡积土所覆盖。历年平均降水量为 </w:t>
      </w:r>
      <w:r>
        <w:rPr>
          <w:rFonts w:ascii="Times New Roman" w:eastAsia="Times New Roman"/>
        </w:rPr>
        <w:t>550mm</w:t>
      </w:r>
      <w:r>
        <w:t>，大气降水会通过第四系、风化裂隙带渗漏到井下。</w:t>
      </w:r>
    </w:p>
    <w:p>
      <w:pPr>
        <w:pStyle w:val="18"/>
        <w:numPr>
          <w:ilvl w:val="3"/>
          <w:numId w:val="60"/>
        </w:numPr>
        <w:tabs>
          <w:tab w:val="left" w:pos="2440"/>
        </w:tabs>
        <w:spacing w:before="0" w:after="0" w:line="307" w:lineRule="exact"/>
        <w:ind w:left="2439" w:right="0" w:hanging="602"/>
        <w:jc w:val="left"/>
        <w:rPr>
          <w:sz w:val="24"/>
        </w:rPr>
      </w:pPr>
      <w:r>
        <w:rPr>
          <w:sz w:val="24"/>
        </w:rPr>
        <w:t>地表水</w:t>
      </w:r>
    </w:p>
    <w:p>
      <w:pPr>
        <w:pStyle w:val="9"/>
        <w:spacing w:before="158" w:line="364" w:lineRule="auto"/>
        <w:ind w:left="1418" w:right="1352" w:firstLine="480"/>
      </w:pPr>
      <w:r>
        <w:t>区内地表无河流及其它大的水体，仅有数条小的沟谷，季节性有水，流量较小，对本矿井的开采影响很小。</w:t>
      </w:r>
    </w:p>
    <w:p>
      <w:pPr>
        <w:pStyle w:val="18"/>
        <w:numPr>
          <w:ilvl w:val="3"/>
          <w:numId w:val="60"/>
        </w:numPr>
        <w:tabs>
          <w:tab w:val="left" w:pos="2440"/>
        </w:tabs>
        <w:spacing w:before="0" w:after="0" w:line="306" w:lineRule="exact"/>
        <w:ind w:left="2439" w:right="0" w:hanging="602"/>
        <w:jc w:val="left"/>
        <w:rPr>
          <w:sz w:val="24"/>
        </w:rPr>
      </w:pPr>
      <w:r>
        <w:rPr>
          <w:sz w:val="24"/>
        </w:rPr>
        <w:t>采空区积水</w:t>
      </w:r>
    </w:p>
    <w:p>
      <w:pPr>
        <w:spacing w:after="0" w:line="306" w:lineRule="exact"/>
        <w:jc w:val="left"/>
        <w:rPr>
          <w:sz w:val="24"/>
        </w:rPr>
        <w:sectPr>
          <w:pgSz w:w="11910" w:h="16840"/>
          <w:pgMar w:top="1360" w:right="0" w:bottom="880" w:left="0" w:header="0" w:footer="681" w:gutter="0"/>
        </w:sectPr>
      </w:pPr>
    </w:p>
    <w:p>
      <w:pPr>
        <w:pStyle w:val="9"/>
        <w:spacing w:before="41" w:line="364" w:lineRule="auto"/>
        <w:ind w:left="1418" w:right="1365" w:firstLine="480"/>
        <w:jc w:val="both"/>
      </w:pPr>
      <w:r>
        <w:t>根据本井及邻区采煤废水规律调查，矿区为裂隙充水矿床，采煤废水量普遍较小。矿井开采初期涌水量大，并且随着开采面积、开采深度增加而增加。矿井开采后期，采煤废水量逐渐变小趋于稳定，与大气降水的关系则不明显，与开采面积关系较明显。</w:t>
      </w:r>
    </w:p>
    <w:p>
      <w:pPr>
        <w:pStyle w:val="6"/>
        <w:numPr>
          <w:ilvl w:val="2"/>
          <w:numId w:val="60"/>
        </w:numPr>
        <w:tabs>
          <w:tab w:val="left" w:pos="2048"/>
        </w:tabs>
        <w:spacing w:before="0" w:after="0" w:line="240" w:lineRule="auto"/>
        <w:ind w:left="2047" w:right="0" w:hanging="630"/>
        <w:jc w:val="left"/>
      </w:pPr>
      <w:bookmarkStart w:id="281" w:name="5.2.3矿区涌水量"/>
      <w:bookmarkEnd w:id="281"/>
      <w:bookmarkStart w:id="282" w:name="5.2.3矿区涌水量"/>
      <w:bookmarkEnd w:id="282"/>
      <w:r>
        <w:t>矿区涌水量</w:t>
      </w:r>
    </w:p>
    <w:p>
      <w:pPr>
        <w:pStyle w:val="9"/>
        <w:spacing w:before="186" w:line="362" w:lineRule="auto"/>
        <w:ind w:left="1418" w:right="1417" w:firstLine="480"/>
        <w:jc w:val="both"/>
      </w:pPr>
      <w:r>
        <w:rPr>
          <w:spacing w:val="-7"/>
        </w:rPr>
        <w:t>根据《双鸭山盟度矿业有限责任公司改扩建项目可行性研究报告》，矿井正常涌水</w:t>
      </w:r>
      <w:r>
        <w:rPr>
          <w:spacing w:val="-21"/>
        </w:rPr>
        <w:t xml:space="preserve">量为 </w:t>
      </w:r>
      <w:r>
        <w:rPr>
          <w:rFonts w:ascii="Times New Roman" w:hAnsi="Times New Roman" w:eastAsia="Times New Roman"/>
        </w:rPr>
        <w:t>60m³/h</w:t>
      </w:r>
      <w:r>
        <w:rPr>
          <w:spacing w:val="-8"/>
        </w:rPr>
        <w:t xml:space="preserve">，最大涌水量为 </w:t>
      </w:r>
      <w:r>
        <w:rPr>
          <w:rFonts w:ascii="Times New Roman" w:hAnsi="Times New Roman" w:eastAsia="Times New Roman"/>
        </w:rPr>
        <w:t>80m³/h</w:t>
      </w:r>
      <w:r>
        <w:t>。</w:t>
      </w:r>
    </w:p>
    <w:p>
      <w:pPr>
        <w:pStyle w:val="5"/>
        <w:numPr>
          <w:ilvl w:val="1"/>
          <w:numId w:val="60"/>
        </w:numPr>
        <w:tabs>
          <w:tab w:val="left" w:pos="1868"/>
        </w:tabs>
        <w:spacing w:before="5" w:after="0" w:line="240" w:lineRule="auto"/>
        <w:ind w:left="1867" w:right="0" w:hanging="450"/>
        <w:jc w:val="left"/>
      </w:pPr>
      <w:bookmarkStart w:id="283" w:name="_bookmark29"/>
      <w:bookmarkEnd w:id="283"/>
      <w:bookmarkStart w:id="284" w:name="_bookmark29"/>
      <w:bookmarkEnd w:id="284"/>
      <w:bookmarkStart w:id="285" w:name="5.3地下水环境质量现状评价"/>
      <w:bookmarkEnd w:id="285"/>
      <w:r>
        <w:t>地下水环境质量现状评价</w:t>
      </w:r>
    </w:p>
    <w:p>
      <w:pPr>
        <w:pStyle w:val="6"/>
        <w:numPr>
          <w:ilvl w:val="2"/>
          <w:numId w:val="60"/>
        </w:numPr>
        <w:tabs>
          <w:tab w:val="left" w:pos="2048"/>
        </w:tabs>
        <w:spacing w:before="199" w:after="0" w:line="240" w:lineRule="auto"/>
        <w:ind w:left="2047" w:right="0" w:hanging="630"/>
        <w:jc w:val="left"/>
      </w:pPr>
      <w:bookmarkStart w:id="286" w:name="5.3.1地下水环境质量现状监测"/>
      <w:bookmarkEnd w:id="286"/>
      <w:bookmarkStart w:id="287" w:name="5.3.1地下水环境质量现状监测"/>
      <w:bookmarkEnd w:id="287"/>
      <w:r>
        <w:t>地下水环境质量现状监测</w:t>
      </w:r>
    </w:p>
    <w:p>
      <w:pPr>
        <w:pStyle w:val="8"/>
        <w:numPr>
          <w:ilvl w:val="3"/>
          <w:numId w:val="61"/>
        </w:numPr>
        <w:tabs>
          <w:tab w:val="left" w:pos="2139"/>
        </w:tabs>
        <w:spacing w:before="185" w:after="0" w:line="240" w:lineRule="auto"/>
        <w:ind w:left="2138" w:right="0" w:hanging="721"/>
        <w:jc w:val="left"/>
      </w:pPr>
      <w:bookmarkStart w:id="288" w:name="5.3.1.1现状调查及监测点布设"/>
      <w:bookmarkEnd w:id="288"/>
      <w:bookmarkStart w:id="289" w:name="5.3.1.1现状调查及监测点布设"/>
      <w:bookmarkEnd w:id="289"/>
      <w:r>
        <w:t>现状调查及监测点布设</w:t>
      </w:r>
    </w:p>
    <w:p>
      <w:pPr>
        <w:pStyle w:val="9"/>
        <w:spacing w:before="158" w:line="364" w:lineRule="auto"/>
        <w:ind w:left="1418" w:right="1417" w:firstLine="480"/>
        <w:jc w:val="both"/>
      </w:pPr>
      <w:r>
        <w:rPr>
          <w:spacing w:val="-5"/>
        </w:rPr>
        <w:t xml:space="preserve">调查评价区内周围存在分散饮用水井、及废弃水井，在本项目周边设置 </w:t>
      </w:r>
      <w:r>
        <w:rPr>
          <w:rFonts w:ascii="Times New Roman" w:eastAsia="Times New Roman"/>
        </w:rPr>
        <w:t xml:space="preserve">5 </w:t>
      </w:r>
      <w:r>
        <w:rPr>
          <w:spacing w:val="-5"/>
        </w:rPr>
        <w:t>个地下水</w:t>
      </w:r>
      <w:r>
        <w:t>水质监测点，</w:t>
      </w:r>
      <w:r>
        <w:rPr>
          <w:rFonts w:ascii="Times New Roman" w:eastAsia="Times New Roman"/>
        </w:rPr>
        <w:t xml:space="preserve">5 </w:t>
      </w:r>
      <w:r>
        <w:t>个地下水水位监测点，检测点位详见附图。</w:t>
      </w:r>
    </w:p>
    <w:p>
      <w:pPr>
        <w:pStyle w:val="8"/>
        <w:numPr>
          <w:ilvl w:val="3"/>
          <w:numId w:val="61"/>
        </w:numPr>
        <w:tabs>
          <w:tab w:val="left" w:pos="2139"/>
        </w:tabs>
        <w:spacing w:before="0" w:after="0" w:line="306" w:lineRule="exact"/>
        <w:ind w:left="2138" w:right="0" w:hanging="721"/>
        <w:jc w:val="left"/>
      </w:pPr>
      <w:bookmarkStart w:id="290" w:name="5.3.1.2监测项目"/>
      <w:bookmarkEnd w:id="290"/>
      <w:bookmarkStart w:id="291" w:name="5.3.1.2监测项目"/>
      <w:bookmarkEnd w:id="291"/>
      <w:r>
        <w:t>监测项目</w:t>
      </w:r>
    </w:p>
    <w:p>
      <w:pPr>
        <w:pStyle w:val="9"/>
        <w:spacing w:before="161" w:line="364" w:lineRule="auto"/>
        <w:ind w:left="1418" w:right="1365" w:firstLine="480"/>
        <w:jc w:val="both"/>
      </w:pPr>
      <w:r>
        <w:t>水质监测项目：</w:t>
      </w:r>
      <w:r>
        <w:rPr>
          <w:rFonts w:ascii="Times New Roman" w:eastAsia="Times New Roman"/>
        </w:rPr>
        <w:t xml:space="preserve">pH </w:t>
      </w:r>
      <w:r>
        <w:t xml:space="preserve">值、氨氮、硝酸盐、亚硝酸盐、总硬度、高锰酸盐指数、溶解性总固体、铁、锰、铅、六价铬、氯化物、硫酸盐、细菌总数、总大肠菌群、挥发酚、氰化物、砷、汞、氟化物、镉、钾离子、钠离子、钙离子、镁离子、硫酸根、氯离子、碳酸根离子、碳酸氢根离子，总计共 </w:t>
      </w:r>
      <w:r>
        <w:rPr>
          <w:rFonts w:ascii="Times New Roman" w:eastAsia="Times New Roman"/>
        </w:rPr>
        <w:t xml:space="preserve">29 </w:t>
      </w:r>
      <w:r>
        <w:t>项。</w:t>
      </w:r>
    </w:p>
    <w:p>
      <w:pPr>
        <w:pStyle w:val="8"/>
        <w:numPr>
          <w:ilvl w:val="3"/>
          <w:numId w:val="61"/>
        </w:numPr>
        <w:tabs>
          <w:tab w:val="left" w:pos="2139"/>
        </w:tabs>
        <w:spacing w:before="0" w:after="0" w:line="305" w:lineRule="exact"/>
        <w:ind w:left="2138" w:right="0" w:hanging="721"/>
        <w:jc w:val="left"/>
      </w:pPr>
      <w:bookmarkStart w:id="292" w:name="5.3.1.3监测分析方法"/>
      <w:bookmarkEnd w:id="292"/>
      <w:bookmarkStart w:id="293" w:name="5.3.1.3监测分析方法"/>
      <w:bookmarkEnd w:id="293"/>
      <w:r>
        <w:t>监测分析方法</w:t>
      </w:r>
    </w:p>
    <w:p>
      <w:pPr>
        <w:pStyle w:val="9"/>
        <w:spacing w:before="160" w:line="362" w:lineRule="auto"/>
        <w:ind w:left="1418" w:right="1413" w:firstLine="480"/>
      </w:pPr>
      <w:r>
        <w:t>采样和分析方法按照《地下水环境监测技术规范》（</w:t>
      </w:r>
      <w:r>
        <w:rPr>
          <w:rFonts w:ascii="Times New Roman" w:eastAsia="Times New Roman"/>
        </w:rPr>
        <w:t>HJ/T64-2004</w:t>
      </w:r>
      <w:r>
        <w:t>）和《生活饮用水标准检验方法》（</w:t>
      </w:r>
      <w:r>
        <w:rPr>
          <w:rFonts w:ascii="Times New Roman" w:eastAsia="Times New Roman"/>
        </w:rPr>
        <w:t>GB5750-2006</w:t>
      </w:r>
      <w:r>
        <w:t>）执行，见下表。</w:t>
      </w:r>
    </w:p>
    <w:p>
      <w:pPr>
        <w:spacing w:before="2"/>
        <w:ind w:left="5025" w:right="0" w:firstLine="0"/>
        <w:jc w:val="left"/>
        <w:rPr>
          <w:b/>
          <w:sz w:val="21"/>
        </w:rPr>
      </w:pPr>
      <w:r>
        <w:rPr>
          <w:b/>
          <w:spacing w:val="-26"/>
          <w:sz w:val="21"/>
        </w:rPr>
        <w:t xml:space="preserve">表 </w:t>
      </w:r>
      <w:r>
        <w:rPr>
          <w:rFonts w:ascii="Times New Roman" w:eastAsia="Times New Roman"/>
          <w:b/>
          <w:sz w:val="21"/>
        </w:rPr>
        <w:t>5.3-2</w:t>
      </w:r>
      <w:r>
        <w:rPr>
          <w:rFonts w:ascii="Times New Roman" w:eastAsia="Times New Roman"/>
          <w:b/>
          <w:spacing w:val="52"/>
          <w:sz w:val="21"/>
        </w:rPr>
        <w:t xml:space="preserve"> </w:t>
      </w:r>
      <w:r>
        <w:rPr>
          <w:b/>
          <w:sz w:val="21"/>
        </w:rPr>
        <w:t>地下水检测方法</w:t>
      </w:r>
    </w:p>
    <w:p>
      <w:pPr>
        <w:pStyle w:val="9"/>
        <w:spacing w:before="12"/>
        <w:rPr>
          <w:b/>
          <w:sz w:val="10"/>
        </w:rPr>
      </w:pPr>
    </w:p>
    <w:tbl>
      <w:tblPr>
        <w:tblStyle w:val="15"/>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06"/>
        <w:gridCol w:w="745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bottom w:val="single" w:color="000000" w:sz="4" w:space="0"/>
              <w:right w:val="single" w:color="000000" w:sz="4" w:space="0"/>
            </w:tcBorders>
          </w:tcPr>
          <w:p>
            <w:pPr>
              <w:pStyle w:val="19"/>
              <w:spacing w:before="63"/>
              <w:ind w:left="151" w:right="137"/>
              <w:rPr>
                <w:sz w:val="21"/>
              </w:rPr>
            </w:pPr>
            <w:r>
              <w:rPr>
                <w:sz w:val="21"/>
              </w:rPr>
              <w:t>检测项目</w:t>
            </w:r>
          </w:p>
        </w:tc>
        <w:tc>
          <w:tcPr>
            <w:tcW w:w="7454" w:type="dxa"/>
            <w:tcBorders>
              <w:left w:val="single" w:color="000000" w:sz="4" w:space="0"/>
              <w:bottom w:val="single" w:color="000000" w:sz="4" w:space="0"/>
            </w:tcBorders>
          </w:tcPr>
          <w:p>
            <w:pPr>
              <w:pStyle w:val="19"/>
              <w:spacing w:before="63"/>
              <w:ind w:left="17"/>
              <w:rPr>
                <w:sz w:val="21"/>
              </w:rPr>
            </w:pPr>
            <w:r>
              <w:rPr>
                <w:sz w:val="21"/>
              </w:rPr>
              <w:t>检测依据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9"/>
              <w:spacing w:before="64"/>
              <w:ind w:left="154" w:right="137"/>
              <w:rPr>
                <w:sz w:val="21"/>
              </w:rPr>
            </w:pPr>
            <w:r>
              <w:rPr>
                <w:rFonts w:ascii="Times New Roman" w:eastAsia="Times New Roman"/>
                <w:sz w:val="21"/>
              </w:rPr>
              <w:t xml:space="preserve">pH </w:t>
            </w:r>
            <w:r>
              <w:rPr>
                <w:sz w:val="21"/>
              </w:rPr>
              <w:t>值</w:t>
            </w:r>
          </w:p>
        </w:tc>
        <w:tc>
          <w:tcPr>
            <w:tcW w:w="7454" w:type="dxa"/>
            <w:tcBorders>
              <w:top w:val="single" w:color="000000" w:sz="4" w:space="0"/>
              <w:left w:val="single" w:color="000000" w:sz="4" w:space="0"/>
              <w:bottom w:val="single" w:color="000000" w:sz="4" w:space="0"/>
            </w:tcBorders>
          </w:tcPr>
          <w:p>
            <w:pPr>
              <w:pStyle w:val="19"/>
              <w:spacing w:before="64"/>
              <w:ind w:left="23"/>
              <w:rPr>
                <w:rFonts w:ascii="Times New Roman" w:eastAsia="Times New Roman"/>
                <w:sz w:val="21"/>
              </w:rPr>
            </w:pPr>
            <w:r>
              <w:rPr>
                <w:sz w:val="21"/>
              </w:rPr>
              <w:t xml:space="preserve">水质 </w:t>
            </w:r>
            <w:r>
              <w:rPr>
                <w:rFonts w:ascii="Times New Roman" w:eastAsia="Times New Roman"/>
                <w:sz w:val="21"/>
              </w:rPr>
              <w:t xml:space="preserve">pH </w:t>
            </w:r>
            <w:r>
              <w:rPr>
                <w:sz w:val="21"/>
              </w:rPr>
              <w:t xml:space="preserve">值的测定玻璃电极法 </w:t>
            </w:r>
            <w:r>
              <w:rPr>
                <w:rFonts w:ascii="Times New Roman" w:eastAsia="Times New Roman"/>
                <w:sz w:val="21"/>
              </w:rPr>
              <w:t>GB/T6920-1986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9"/>
              <w:spacing w:before="64"/>
              <w:ind w:left="154" w:right="137"/>
              <w:rPr>
                <w:sz w:val="21"/>
              </w:rPr>
            </w:pPr>
            <w:r>
              <w:rPr>
                <w:sz w:val="21"/>
              </w:rPr>
              <w:t>氨氮</w:t>
            </w:r>
          </w:p>
        </w:tc>
        <w:tc>
          <w:tcPr>
            <w:tcW w:w="7454" w:type="dxa"/>
            <w:tcBorders>
              <w:top w:val="single" w:color="000000" w:sz="4" w:space="0"/>
              <w:left w:val="single" w:color="000000" w:sz="4" w:space="0"/>
              <w:bottom w:val="single" w:color="000000" w:sz="4" w:space="0"/>
            </w:tcBorders>
          </w:tcPr>
          <w:p>
            <w:pPr>
              <w:pStyle w:val="19"/>
              <w:spacing w:before="64"/>
              <w:ind w:left="21"/>
              <w:rPr>
                <w:rFonts w:ascii="Times New Roman" w:eastAsia="Times New Roman"/>
                <w:sz w:val="21"/>
              </w:rPr>
            </w:pPr>
            <w:r>
              <w:rPr>
                <w:sz w:val="21"/>
              </w:rPr>
              <w:t xml:space="preserve">水质氨氮的测定纳氏试剂分光光度法 </w:t>
            </w:r>
            <w:r>
              <w:rPr>
                <w:rFonts w:ascii="Times New Roman" w:eastAsia="Times New Roman"/>
                <w:sz w:val="21"/>
              </w:rPr>
              <w:t>HJ535-2009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9"/>
              <w:spacing w:before="63"/>
              <w:ind w:left="154" w:right="137"/>
              <w:rPr>
                <w:sz w:val="21"/>
              </w:rPr>
            </w:pPr>
            <w:r>
              <w:rPr>
                <w:sz w:val="21"/>
              </w:rPr>
              <w:t>硝酸盐</w:t>
            </w:r>
          </w:p>
        </w:tc>
        <w:tc>
          <w:tcPr>
            <w:tcW w:w="7454" w:type="dxa"/>
            <w:tcBorders>
              <w:top w:val="single" w:color="000000" w:sz="4" w:space="0"/>
              <w:left w:val="single" w:color="000000" w:sz="4" w:space="0"/>
              <w:bottom w:val="single" w:color="000000" w:sz="4" w:space="0"/>
            </w:tcBorders>
          </w:tcPr>
          <w:p>
            <w:pPr>
              <w:pStyle w:val="19"/>
              <w:spacing w:before="63"/>
              <w:ind w:left="11" w:right="-15"/>
              <w:rPr>
                <w:rFonts w:ascii="Times New Roman" w:eastAsia="Times New Roman"/>
                <w:sz w:val="21"/>
              </w:rPr>
            </w:pPr>
            <w:r>
              <w:rPr>
                <w:spacing w:val="-3"/>
                <w:sz w:val="21"/>
              </w:rPr>
              <w:t>生活饮用水标准检验方法无机非金属指标</w:t>
            </w:r>
            <w:r>
              <w:rPr>
                <w:sz w:val="21"/>
              </w:rPr>
              <w:t>（</w:t>
            </w:r>
            <w:r>
              <w:rPr>
                <w:rFonts w:ascii="Times New Roman" w:eastAsia="Times New Roman"/>
                <w:sz w:val="21"/>
              </w:rPr>
              <w:t>5.2</w:t>
            </w:r>
            <w:r>
              <w:rPr>
                <w:rFonts w:ascii="Times New Roman" w:eastAsia="Times New Roman"/>
                <w:spacing w:val="-16"/>
                <w:sz w:val="21"/>
              </w:rPr>
              <w:t xml:space="preserve"> </w:t>
            </w:r>
            <w:r>
              <w:rPr>
                <w:sz w:val="21"/>
              </w:rPr>
              <w:t>紫外分光光度法</w:t>
            </w:r>
            <w:r>
              <w:rPr>
                <w:spacing w:val="-3"/>
                <w:sz w:val="21"/>
              </w:rPr>
              <w:t>）</w:t>
            </w:r>
            <w:r>
              <w:rPr>
                <w:rFonts w:ascii="Times New Roman" w:eastAsia="Times New Roman"/>
                <w:spacing w:val="-3"/>
                <w:sz w:val="21"/>
              </w:rPr>
              <w:t>GB/T5750.5-2006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9"/>
              <w:spacing w:before="64"/>
              <w:ind w:left="151" w:right="137"/>
              <w:rPr>
                <w:sz w:val="21"/>
              </w:rPr>
            </w:pPr>
            <w:r>
              <w:rPr>
                <w:sz w:val="21"/>
              </w:rPr>
              <w:t>亚硝酸盐</w:t>
            </w:r>
          </w:p>
        </w:tc>
        <w:tc>
          <w:tcPr>
            <w:tcW w:w="7454" w:type="dxa"/>
            <w:tcBorders>
              <w:top w:val="single" w:color="000000" w:sz="4" w:space="0"/>
              <w:left w:val="single" w:color="000000" w:sz="4" w:space="0"/>
              <w:bottom w:val="single" w:color="000000" w:sz="4" w:space="0"/>
            </w:tcBorders>
          </w:tcPr>
          <w:p>
            <w:pPr>
              <w:pStyle w:val="19"/>
              <w:spacing w:before="64"/>
              <w:ind w:left="21"/>
              <w:rPr>
                <w:rFonts w:ascii="Times New Roman" w:eastAsia="Times New Roman"/>
                <w:sz w:val="21"/>
              </w:rPr>
            </w:pPr>
            <w:r>
              <w:rPr>
                <w:sz w:val="21"/>
              </w:rPr>
              <w:t xml:space="preserve">水质亚硝酸盐氮的测定分光光度法 </w:t>
            </w:r>
            <w:r>
              <w:rPr>
                <w:rFonts w:ascii="Times New Roman" w:eastAsia="Times New Roman"/>
                <w:sz w:val="21"/>
              </w:rPr>
              <w:t>GB/T7493-1987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9"/>
              <w:spacing w:before="63"/>
              <w:ind w:left="154" w:right="137"/>
              <w:rPr>
                <w:sz w:val="21"/>
              </w:rPr>
            </w:pPr>
            <w:r>
              <w:rPr>
                <w:sz w:val="21"/>
              </w:rPr>
              <w:t>总硬度</w:t>
            </w:r>
          </w:p>
        </w:tc>
        <w:tc>
          <w:tcPr>
            <w:tcW w:w="7454" w:type="dxa"/>
            <w:tcBorders>
              <w:top w:val="single" w:color="000000" w:sz="4" w:space="0"/>
              <w:left w:val="single" w:color="000000" w:sz="4" w:space="0"/>
              <w:bottom w:val="single" w:color="000000" w:sz="4" w:space="0"/>
            </w:tcBorders>
          </w:tcPr>
          <w:p>
            <w:pPr>
              <w:pStyle w:val="19"/>
              <w:spacing w:before="63"/>
              <w:ind w:left="23"/>
              <w:rPr>
                <w:rFonts w:ascii="Times New Roman" w:eastAsia="Times New Roman"/>
                <w:sz w:val="21"/>
              </w:rPr>
            </w:pPr>
            <w:r>
              <w:rPr>
                <w:sz w:val="21"/>
              </w:rPr>
              <w:t xml:space="preserve">水质钙和镁总量的测定 </w:t>
            </w:r>
            <w:r>
              <w:rPr>
                <w:rFonts w:ascii="Times New Roman" w:eastAsia="Times New Roman"/>
                <w:sz w:val="21"/>
              </w:rPr>
              <w:t xml:space="preserve">EDTA </w:t>
            </w:r>
            <w:r>
              <w:rPr>
                <w:sz w:val="21"/>
              </w:rPr>
              <w:t xml:space="preserve">滴定法 </w:t>
            </w:r>
            <w:r>
              <w:rPr>
                <w:rFonts w:ascii="Times New Roman" w:eastAsia="Times New Roman"/>
                <w:sz w:val="21"/>
              </w:rPr>
              <w:t>GB/T7477-1987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9"/>
              <w:spacing w:before="63"/>
              <w:ind w:left="154" w:right="137"/>
              <w:rPr>
                <w:sz w:val="21"/>
              </w:rPr>
            </w:pPr>
            <w:r>
              <w:rPr>
                <w:sz w:val="21"/>
              </w:rPr>
              <w:t>高锰酸盐指数</w:t>
            </w:r>
          </w:p>
        </w:tc>
        <w:tc>
          <w:tcPr>
            <w:tcW w:w="7454" w:type="dxa"/>
            <w:tcBorders>
              <w:top w:val="single" w:color="000000" w:sz="4" w:space="0"/>
              <w:left w:val="single" w:color="000000" w:sz="4" w:space="0"/>
              <w:bottom w:val="single" w:color="000000" w:sz="4" w:space="0"/>
            </w:tcBorders>
          </w:tcPr>
          <w:p>
            <w:pPr>
              <w:pStyle w:val="19"/>
              <w:spacing w:before="63"/>
              <w:ind w:left="20"/>
              <w:rPr>
                <w:rFonts w:ascii="Times New Roman" w:eastAsia="Times New Roman"/>
                <w:sz w:val="21"/>
              </w:rPr>
            </w:pPr>
            <w:r>
              <w:rPr>
                <w:sz w:val="21"/>
              </w:rPr>
              <w:t xml:space="preserve">水质高锰酸盐指数的测定 </w:t>
            </w:r>
            <w:r>
              <w:rPr>
                <w:rFonts w:ascii="Times New Roman" w:eastAsia="Times New Roman"/>
                <w:sz w:val="21"/>
              </w:rPr>
              <w:t>GB11892-1989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9"/>
              <w:spacing w:before="64"/>
              <w:ind w:left="154" w:right="137"/>
              <w:rPr>
                <w:sz w:val="21"/>
              </w:rPr>
            </w:pPr>
            <w:r>
              <w:rPr>
                <w:sz w:val="21"/>
              </w:rPr>
              <w:t>溶解性总固体</w:t>
            </w:r>
          </w:p>
        </w:tc>
        <w:tc>
          <w:tcPr>
            <w:tcW w:w="7454" w:type="dxa"/>
            <w:tcBorders>
              <w:top w:val="single" w:color="000000" w:sz="4" w:space="0"/>
              <w:left w:val="single" w:color="000000" w:sz="4" w:space="0"/>
              <w:bottom w:val="single" w:color="000000" w:sz="4" w:space="0"/>
            </w:tcBorders>
          </w:tcPr>
          <w:p>
            <w:pPr>
              <w:pStyle w:val="19"/>
              <w:spacing w:before="64"/>
              <w:ind w:left="23"/>
              <w:rPr>
                <w:rFonts w:ascii="Times New Roman" w:eastAsia="Times New Roman"/>
                <w:sz w:val="21"/>
              </w:rPr>
            </w:pPr>
            <w:r>
              <w:rPr>
                <w:sz w:val="21"/>
              </w:rPr>
              <w:t>生活饮用水标准检验方法感官性状和物理指标（</w:t>
            </w:r>
            <w:r>
              <w:rPr>
                <w:rFonts w:ascii="Times New Roman" w:eastAsia="Times New Roman"/>
                <w:sz w:val="21"/>
              </w:rPr>
              <w:t xml:space="preserve">8.1 </w:t>
            </w:r>
            <w:r>
              <w:rPr>
                <w:sz w:val="21"/>
              </w:rPr>
              <w:t>称量法）</w:t>
            </w:r>
            <w:r>
              <w:rPr>
                <w:rFonts w:ascii="Times New Roman" w:eastAsia="Times New Roman"/>
                <w:sz w:val="21"/>
              </w:rPr>
              <w:t>GB/T5750.4-2006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1" w:hRule="atLeast"/>
        </w:trPr>
        <w:tc>
          <w:tcPr>
            <w:tcW w:w="1606" w:type="dxa"/>
            <w:tcBorders>
              <w:top w:val="single" w:color="000000" w:sz="4" w:space="0"/>
              <w:right w:val="single" w:color="000000" w:sz="4" w:space="0"/>
            </w:tcBorders>
          </w:tcPr>
          <w:p>
            <w:pPr>
              <w:pStyle w:val="19"/>
              <w:spacing w:before="64"/>
              <w:ind w:left="14"/>
              <w:rPr>
                <w:sz w:val="21"/>
              </w:rPr>
            </w:pPr>
            <w:r>
              <w:rPr>
                <w:w w:val="99"/>
                <w:sz w:val="21"/>
              </w:rPr>
              <w:t>铁</w:t>
            </w:r>
          </w:p>
        </w:tc>
        <w:tc>
          <w:tcPr>
            <w:tcW w:w="7454" w:type="dxa"/>
            <w:tcBorders>
              <w:top w:val="single" w:color="000000" w:sz="4" w:space="0"/>
              <w:left w:val="single" w:color="000000" w:sz="4" w:space="0"/>
            </w:tcBorders>
          </w:tcPr>
          <w:p>
            <w:pPr>
              <w:pStyle w:val="19"/>
              <w:spacing w:before="64"/>
              <w:ind w:left="20"/>
              <w:rPr>
                <w:rFonts w:ascii="Times New Roman" w:eastAsia="Times New Roman"/>
                <w:sz w:val="21"/>
              </w:rPr>
            </w:pPr>
            <w:r>
              <w:rPr>
                <w:sz w:val="21"/>
              </w:rPr>
              <w:t xml:space="preserve">水质铁、锰的测定火焰原子吸收分光光度法 </w:t>
            </w:r>
            <w:r>
              <w:rPr>
                <w:rFonts w:ascii="Times New Roman" w:eastAsia="Times New Roman"/>
                <w:sz w:val="21"/>
              </w:rPr>
              <w:t>GB11911-1989</w:t>
            </w:r>
          </w:p>
        </w:tc>
      </w:tr>
    </w:tbl>
    <w:p>
      <w:pPr>
        <w:spacing w:after="0"/>
        <w:rPr>
          <w:rFonts w:ascii="Times New Roman" w:eastAsia="Times New Roman"/>
          <w:sz w:val="21"/>
        </w:rPr>
        <w:sectPr>
          <w:footerReference r:id="rId18" w:type="default"/>
          <w:pgSz w:w="11910" w:h="16840"/>
          <w:pgMar w:top="1360" w:right="0" w:bottom="880" w:left="0" w:header="0" w:footer="681" w:gutter="0"/>
          <w:pgNumType w:start="110"/>
        </w:sectPr>
      </w:pPr>
    </w:p>
    <w:tbl>
      <w:tblPr>
        <w:tblStyle w:val="15"/>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06"/>
        <w:gridCol w:w="745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bottom w:val="single" w:color="000000" w:sz="4" w:space="0"/>
              <w:right w:val="single" w:color="000000" w:sz="4" w:space="0"/>
            </w:tcBorders>
          </w:tcPr>
          <w:p>
            <w:pPr>
              <w:pStyle w:val="19"/>
              <w:spacing w:before="64"/>
              <w:ind w:left="14"/>
              <w:rPr>
                <w:sz w:val="21"/>
              </w:rPr>
            </w:pPr>
            <w:r>
              <w:rPr>
                <w:w w:val="99"/>
                <w:sz w:val="21"/>
              </w:rPr>
              <w:t>锰</w:t>
            </w:r>
          </w:p>
        </w:tc>
        <w:tc>
          <w:tcPr>
            <w:tcW w:w="7454" w:type="dxa"/>
            <w:tcBorders>
              <w:left w:val="single" w:color="000000" w:sz="4" w:space="0"/>
              <w:bottom w:val="single" w:color="000000" w:sz="4" w:space="0"/>
            </w:tcBorders>
          </w:tcPr>
          <w:p>
            <w:pPr>
              <w:pStyle w:val="19"/>
              <w:spacing w:before="64"/>
              <w:ind w:left="20"/>
              <w:rPr>
                <w:rFonts w:ascii="Times New Roman" w:eastAsia="Times New Roman"/>
                <w:sz w:val="21"/>
              </w:rPr>
            </w:pPr>
            <w:r>
              <w:rPr>
                <w:sz w:val="21"/>
              </w:rPr>
              <w:t xml:space="preserve">水质铁、锰的测定火焰原子吸收分光光度法 </w:t>
            </w:r>
            <w:r>
              <w:rPr>
                <w:rFonts w:ascii="Times New Roman" w:eastAsia="Times New Roman"/>
                <w:sz w:val="21"/>
              </w:rPr>
              <w:t>GB11911-1989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6" w:hRule="atLeast"/>
        </w:trPr>
        <w:tc>
          <w:tcPr>
            <w:tcW w:w="1606" w:type="dxa"/>
            <w:tcBorders>
              <w:top w:val="single" w:color="000000" w:sz="4" w:space="0"/>
              <w:bottom w:val="single" w:color="000000" w:sz="4" w:space="0"/>
              <w:right w:val="single" w:color="000000" w:sz="4" w:space="0"/>
            </w:tcBorders>
          </w:tcPr>
          <w:p>
            <w:pPr>
              <w:pStyle w:val="19"/>
              <w:spacing w:before="145"/>
              <w:ind w:left="14"/>
              <w:rPr>
                <w:sz w:val="21"/>
              </w:rPr>
            </w:pPr>
            <w:r>
              <w:rPr>
                <w:w w:val="99"/>
                <w:sz w:val="21"/>
              </w:rPr>
              <w:t>铅</w:t>
            </w:r>
          </w:p>
        </w:tc>
        <w:tc>
          <w:tcPr>
            <w:tcW w:w="7454" w:type="dxa"/>
            <w:tcBorders>
              <w:top w:val="single" w:color="000000" w:sz="4" w:space="0"/>
              <w:left w:val="single" w:color="000000" w:sz="4" w:space="0"/>
              <w:bottom w:val="single" w:color="000000" w:sz="4" w:space="0"/>
            </w:tcBorders>
          </w:tcPr>
          <w:p>
            <w:pPr>
              <w:pStyle w:val="19"/>
              <w:spacing w:before="1"/>
              <w:ind w:left="17"/>
              <w:rPr>
                <w:sz w:val="21"/>
              </w:rPr>
            </w:pPr>
            <w:r>
              <w:rPr>
                <w:sz w:val="21"/>
              </w:rPr>
              <w:t>生活饮用水标准检验方法金属指标（</w:t>
            </w:r>
            <w:r>
              <w:rPr>
                <w:rFonts w:ascii="Times New Roman" w:eastAsia="Times New Roman"/>
                <w:sz w:val="21"/>
              </w:rPr>
              <w:t xml:space="preserve">11.1 </w:t>
            </w:r>
            <w:r>
              <w:rPr>
                <w:sz w:val="21"/>
              </w:rPr>
              <w:t>无火焰原子吸收分光光度法）</w:t>
            </w:r>
          </w:p>
          <w:p>
            <w:pPr>
              <w:pStyle w:val="19"/>
              <w:spacing w:before="57"/>
              <w:ind w:left="21"/>
              <w:rPr>
                <w:rFonts w:ascii="Times New Roman"/>
                <w:sz w:val="21"/>
              </w:rPr>
            </w:pPr>
            <w:r>
              <w:rPr>
                <w:rFonts w:ascii="Times New Roman"/>
                <w:sz w:val="21"/>
              </w:rPr>
              <w:t>GB/T5750.6-2006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9"/>
              <w:spacing w:before="63"/>
              <w:ind w:left="154" w:right="137"/>
              <w:rPr>
                <w:sz w:val="21"/>
              </w:rPr>
            </w:pPr>
            <w:r>
              <w:rPr>
                <w:sz w:val="21"/>
              </w:rPr>
              <w:t>六价铬</w:t>
            </w:r>
          </w:p>
        </w:tc>
        <w:tc>
          <w:tcPr>
            <w:tcW w:w="7454" w:type="dxa"/>
            <w:tcBorders>
              <w:top w:val="single" w:color="000000" w:sz="4" w:space="0"/>
              <w:left w:val="single" w:color="000000" w:sz="4" w:space="0"/>
              <w:bottom w:val="single" w:color="000000" w:sz="4" w:space="0"/>
            </w:tcBorders>
          </w:tcPr>
          <w:p>
            <w:pPr>
              <w:pStyle w:val="19"/>
              <w:spacing w:before="63"/>
              <w:ind w:left="21"/>
              <w:rPr>
                <w:rFonts w:ascii="Times New Roman" w:eastAsia="Times New Roman"/>
                <w:sz w:val="21"/>
              </w:rPr>
            </w:pPr>
            <w:r>
              <w:rPr>
                <w:sz w:val="21"/>
              </w:rPr>
              <w:t xml:space="preserve">水质六价铬的测定二苯碳酰二肼分光光度法 </w:t>
            </w:r>
            <w:r>
              <w:rPr>
                <w:rFonts w:ascii="Times New Roman" w:eastAsia="Times New Roman"/>
                <w:sz w:val="21"/>
              </w:rPr>
              <w:t>GB/T7467-1987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9"/>
              <w:spacing w:before="62"/>
              <w:ind w:left="154" w:right="137"/>
              <w:rPr>
                <w:sz w:val="21"/>
              </w:rPr>
            </w:pPr>
            <w:r>
              <w:rPr>
                <w:sz w:val="21"/>
              </w:rPr>
              <w:t>氯化物</w:t>
            </w:r>
          </w:p>
        </w:tc>
        <w:tc>
          <w:tcPr>
            <w:tcW w:w="7454" w:type="dxa"/>
            <w:tcBorders>
              <w:top w:val="single" w:color="000000" w:sz="4" w:space="0"/>
              <w:left w:val="single" w:color="000000" w:sz="4" w:space="0"/>
              <w:bottom w:val="single" w:color="000000" w:sz="4" w:space="0"/>
            </w:tcBorders>
          </w:tcPr>
          <w:p>
            <w:pPr>
              <w:pStyle w:val="19"/>
              <w:spacing w:before="62"/>
              <w:ind w:left="20"/>
              <w:rPr>
                <w:rFonts w:ascii="Times New Roman" w:eastAsia="Times New Roman"/>
                <w:sz w:val="21"/>
              </w:rPr>
            </w:pPr>
            <w:r>
              <w:rPr>
                <w:sz w:val="21"/>
              </w:rPr>
              <w:t xml:space="preserve">水质氯化物的测定硝酸银滴定法 </w:t>
            </w:r>
            <w:r>
              <w:rPr>
                <w:rFonts w:ascii="Times New Roman" w:eastAsia="Times New Roman"/>
                <w:sz w:val="21"/>
              </w:rPr>
              <w:t>GB11896-1989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9"/>
              <w:spacing w:before="64"/>
              <w:ind w:left="154" w:right="137"/>
              <w:rPr>
                <w:sz w:val="21"/>
              </w:rPr>
            </w:pPr>
            <w:r>
              <w:rPr>
                <w:sz w:val="21"/>
              </w:rPr>
              <w:t>硫酸盐</w:t>
            </w:r>
          </w:p>
        </w:tc>
        <w:tc>
          <w:tcPr>
            <w:tcW w:w="7454" w:type="dxa"/>
            <w:tcBorders>
              <w:top w:val="single" w:color="000000" w:sz="4" w:space="0"/>
              <w:left w:val="single" w:color="000000" w:sz="4" w:space="0"/>
              <w:bottom w:val="single" w:color="000000" w:sz="4" w:space="0"/>
            </w:tcBorders>
          </w:tcPr>
          <w:p>
            <w:pPr>
              <w:pStyle w:val="19"/>
              <w:spacing w:before="64"/>
              <w:ind w:left="21"/>
              <w:rPr>
                <w:rFonts w:ascii="Times New Roman" w:eastAsia="Times New Roman"/>
                <w:sz w:val="21"/>
              </w:rPr>
            </w:pPr>
            <w:r>
              <w:rPr>
                <w:sz w:val="21"/>
              </w:rPr>
              <w:t>水质硫酸盐的测定铬酸钡分光光度法（试行）</w:t>
            </w:r>
            <w:r>
              <w:rPr>
                <w:rFonts w:ascii="Times New Roman" w:eastAsia="Times New Roman"/>
                <w:sz w:val="21"/>
              </w:rPr>
              <w:t>HJ/T342-2007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9"/>
              <w:spacing w:before="63"/>
              <w:ind w:left="151" w:right="137"/>
              <w:rPr>
                <w:sz w:val="21"/>
              </w:rPr>
            </w:pPr>
            <w:r>
              <w:rPr>
                <w:sz w:val="21"/>
              </w:rPr>
              <w:t>细菌总数</w:t>
            </w:r>
          </w:p>
        </w:tc>
        <w:tc>
          <w:tcPr>
            <w:tcW w:w="7454" w:type="dxa"/>
            <w:tcBorders>
              <w:top w:val="single" w:color="000000" w:sz="4" w:space="0"/>
              <w:left w:val="single" w:color="000000" w:sz="4" w:space="0"/>
              <w:bottom w:val="single" w:color="000000" w:sz="4" w:space="0"/>
            </w:tcBorders>
          </w:tcPr>
          <w:p>
            <w:pPr>
              <w:pStyle w:val="19"/>
              <w:spacing w:before="63"/>
              <w:ind w:left="20"/>
              <w:rPr>
                <w:rFonts w:ascii="Times New Roman" w:eastAsia="Times New Roman"/>
                <w:sz w:val="21"/>
              </w:rPr>
            </w:pPr>
            <w:r>
              <w:rPr>
                <w:sz w:val="21"/>
              </w:rPr>
              <w:t>生活饮用水标准检验方法微生物指标（</w:t>
            </w:r>
            <w:r>
              <w:rPr>
                <w:rFonts w:ascii="Times New Roman" w:eastAsia="Times New Roman"/>
                <w:sz w:val="21"/>
              </w:rPr>
              <w:t xml:space="preserve">1.1 </w:t>
            </w:r>
            <w:r>
              <w:rPr>
                <w:sz w:val="21"/>
              </w:rPr>
              <w:t>平皿计数法）</w:t>
            </w:r>
            <w:r>
              <w:rPr>
                <w:rFonts w:ascii="Times New Roman" w:eastAsia="Times New Roman"/>
                <w:sz w:val="21"/>
              </w:rPr>
              <w:t>GB/T5750.12-2006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9"/>
              <w:spacing w:before="62"/>
              <w:ind w:left="151" w:right="137"/>
              <w:rPr>
                <w:sz w:val="21"/>
              </w:rPr>
            </w:pPr>
            <w:r>
              <w:rPr>
                <w:sz w:val="21"/>
              </w:rPr>
              <w:t>总大肠菌群</w:t>
            </w:r>
          </w:p>
        </w:tc>
        <w:tc>
          <w:tcPr>
            <w:tcW w:w="7454" w:type="dxa"/>
            <w:tcBorders>
              <w:top w:val="single" w:color="000000" w:sz="4" w:space="0"/>
              <w:left w:val="single" w:color="000000" w:sz="4" w:space="0"/>
              <w:bottom w:val="single" w:color="000000" w:sz="4" w:space="0"/>
            </w:tcBorders>
          </w:tcPr>
          <w:p>
            <w:pPr>
              <w:pStyle w:val="19"/>
              <w:spacing w:before="62"/>
              <w:ind w:left="20"/>
              <w:rPr>
                <w:rFonts w:ascii="Times New Roman" w:eastAsia="Times New Roman"/>
                <w:sz w:val="21"/>
              </w:rPr>
            </w:pPr>
            <w:r>
              <w:rPr>
                <w:sz w:val="21"/>
              </w:rPr>
              <w:t>生活饮用水标准检验方法微生物指标（</w:t>
            </w:r>
            <w:r>
              <w:rPr>
                <w:rFonts w:ascii="Times New Roman" w:eastAsia="Times New Roman"/>
                <w:sz w:val="21"/>
              </w:rPr>
              <w:t xml:space="preserve">2.1 </w:t>
            </w:r>
            <w:r>
              <w:rPr>
                <w:sz w:val="21"/>
              </w:rPr>
              <w:t>多管发酵法）</w:t>
            </w:r>
            <w:r>
              <w:rPr>
                <w:rFonts w:ascii="Times New Roman" w:eastAsia="Times New Roman"/>
                <w:sz w:val="21"/>
              </w:rPr>
              <w:t>GB/T5750.12-2006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9"/>
              <w:spacing w:before="63"/>
              <w:ind w:left="154" w:right="137"/>
              <w:rPr>
                <w:sz w:val="21"/>
              </w:rPr>
            </w:pPr>
            <w:r>
              <w:rPr>
                <w:sz w:val="21"/>
              </w:rPr>
              <w:t>挥发酚</w:t>
            </w:r>
          </w:p>
        </w:tc>
        <w:tc>
          <w:tcPr>
            <w:tcW w:w="7454" w:type="dxa"/>
            <w:tcBorders>
              <w:top w:val="single" w:color="000000" w:sz="4" w:space="0"/>
              <w:left w:val="single" w:color="000000" w:sz="4" w:space="0"/>
              <w:bottom w:val="single" w:color="000000" w:sz="4" w:space="0"/>
            </w:tcBorders>
          </w:tcPr>
          <w:p>
            <w:pPr>
              <w:pStyle w:val="19"/>
              <w:spacing w:before="63"/>
              <w:ind w:left="21"/>
              <w:rPr>
                <w:rFonts w:ascii="Times New Roman" w:eastAsia="Times New Roman"/>
                <w:sz w:val="21"/>
              </w:rPr>
            </w:pPr>
            <w:r>
              <w:rPr>
                <w:sz w:val="21"/>
              </w:rPr>
              <w:t xml:space="preserve">水质挥发酚的测定 </w:t>
            </w:r>
            <w:r>
              <w:rPr>
                <w:rFonts w:ascii="Times New Roman" w:eastAsia="Times New Roman"/>
                <w:sz w:val="21"/>
              </w:rPr>
              <w:t>4-</w:t>
            </w:r>
            <w:r>
              <w:rPr>
                <w:sz w:val="21"/>
              </w:rPr>
              <w:t xml:space="preserve">氨基安替比林分光光度法 </w:t>
            </w:r>
            <w:r>
              <w:rPr>
                <w:rFonts w:ascii="Times New Roman" w:eastAsia="Times New Roman"/>
                <w:sz w:val="21"/>
              </w:rPr>
              <w:t>HJ503-2009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5" w:hRule="atLeast"/>
        </w:trPr>
        <w:tc>
          <w:tcPr>
            <w:tcW w:w="1606" w:type="dxa"/>
            <w:tcBorders>
              <w:top w:val="single" w:color="000000" w:sz="4" w:space="0"/>
              <w:bottom w:val="single" w:color="000000" w:sz="4" w:space="0"/>
              <w:right w:val="single" w:color="000000" w:sz="4" w:space="0"/>
            </w:tcBorders>
          </w:tcPr>
          <w:p>
            <w:pPr>
              <w:pStyle w:val="19"/>
              <w:spacing w:before="144"/>
              <w:ind w:left="154" w:right="137"/>
              <w:rPr>
                <w:sz w:val="21"/>
              </w:rPr>
            </w:pPr>
            <w:r>
              <w:rPr>
                <w:sz w:val="21"/>
              </w:rPr>
              <w:t>氰化物</w:t>
            </w:r>
          </w:p>
        </w:tc>
        <w:tc>
          <w:tcPr>
            <w:tcW w:w="7454" w:type="dxa"/>
            <w:tcBorders>
              <w:top w:val="single" w:color="000000" w:sz="4" w:space="0"/>
              <w:left w:val="single" w:color="000000" w:sz="4" w:space="0"/>
              <w:bottom w:val="single" w:color="000000" w:sz="4" w:space="0"/>
            </w:tcBorders>
          </w:tcPr>
          <w:p>
            <w:pPr>
              <w:pStyle w:val="19"/>
              <w:ind w:left="17"/>
              <w:rPr>
                <w:sz w:val="21"/>
              </w:rPr>
            </w:pPr>
            <w:r>
              <w:rPr>
                <w:sz w:val="21"/>
              </w:rPr>
              <w:t>生活饮用水标准检验方法无机非金属指标（</w:t>
            </w:r>
            <w:r>
              <w:rPr>
                <w:rFonts w:ascii="Times New Roman" w:eastAsia="Times New Roman"/>
                <w:sz w:val="21"/>
              </w:rPr>
              <w:t xml:space="preserve">4.2 </w:t>
            </w:r>
            <w:r>
              <w:rPr>
                <w:sz w:val="21"/>
              </w:rPr>
              <w:t>异烟酸</w:t>
            </w:r>
            <w:r>
              <w:rPr>
                <w:rFonts w:ascii="Times New Roman" w:eastAsia="Times New Roman"/>
                <w:sz w:val="21"/>
              </w:rPr>
              <w:t>-</w:t>
            </w:r>
            <w:r>
              <w:rPr>
                <w:sz w:val="21"/>
              </w:rPr>
              <w:t>巴比妥酸分光光度法）</w:t>
            </w:r>
          </w:p>
          <w:p>
            <w:pPr>
              <w:pStyle w:val="19"/>
              <w:spacing w:before="55"/>
              <w:ind w:left="21"/>
              <w:rPr>
                <w:rFonts w:ascii="Times New Roman"/>
                <w:sz w:val="21"/>
              </w:rPr>
            </w:pPr>
            <w:r>
              <w:rPr>
                <w:rFonts w:ascii="Times New Roman"/>
                <w:sz w:val="21"/>
              </w:rPr>
              <w:t>GB/T5750.5-2006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9"/>
              <w:spacing w:before="63"/>
              <w:ind w:left="14"/>
              <w:rPr>
                <w:sz w:val="21"/>
              </w:rPr>
            </w:pPr>
            <w:r>
              <w:rPr>
                <w:w w:val="99"/>
                <w:sz w:val="21"/>
              </w:rPr>
              <w:t>砷</w:t>
            </w:r>
          </w:p>
        </w:tc>
        <w:tc>
          <w:tcPr>
            <w:tcW w:w="7454" w:type="dxa"/>
            <w:tcBorders>
              <w:top w:val="single" w:color="000000" w:sz="4" w:space="0"/>
              <w:left w:val="single" w:color="000000" w:sz="4" w:space="0"/>
              <w:bottom w:val="single" w:color="000000" w:sz="4" w:space="0"/>
            </w:tcBorders>
          </w:tcPr>
          <w:p>
            <w:pPr>
              <w:pStyle w:val="19"/>
              <w:spacing w:before="63"/>
              <w:ind w:left="21"/>
              <w:rPr>
                <w:rFonts w:ascii="Times New Roman" w:eastAsia="Times New Roman"/>
                <w:sz w:val="21"/>
              </w:rPr>
            </w:pPr>
            <w:r>
              <w:rPr>
                <w:sz w:val="21"/>
              </w:rPr>
              <w:t xml:space="preserve">水质汞、砷、硒、铋和锑的测定原子荧光法 </w:t>
            </w:r>
            <w:r>
              <w:rPr>
                <w:rFonts w:ascii="Times New Roman" w:eastAsia="Times New Roman"/>
                <w:sz w:val="21"/>
              </w:rPr>
              <w:t>HJ694-2014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9"/>
              <w:spacing w:before="65"/>
              <w:ind w:left="14"/>
              <w:rPr>
                <w:sz w:val="21"/>
              </w:rPr>
            </w:pPr>
            <w:r>
              <w:rPr>
                <w:w w:val="99"/>
                <w:sz w:val="21"/>
              </w:rPr>
              <w:t>汞</w:t>
            </w:r>
          </w:p>
        </w:tc>
        <w:tc>
          <w:tcPr>
            <w:tcW w:w="7454" w:type="dxa"/>
            <w:tcBorders>
              <w:top w:val="single" w:color="000000" w:sz="4" w:space="0"/>
              <w:left w:val="single" w:color="000000" w:sz="4" w:space="0"/>
              <w:bottom w:val="single" w:color="000000" w:sz="4" w:space="0"/>
            </w:tcBorders>
          </w:tcPr>
          <w:p>
            <w:pPr>
              <w:pStyle w:val="19"/>
              <w:spacing w:before="65"/>
              <w:ind w:left="21"/>
              <w:rPr>
                <w:rFonts w:ascii="Times New Roman" w:eastAsia="Times New Roman"/>
                <w:sz w:val="21"/>
              </w:rPr>
            </w:pPr>
            <w:r>
              <w:rPr>
                <w:sz w:val="21"/>
              </w:rPr>
              <w:t xml:space="preserve">水质汞、砷、硒、铋和锑的测定原子荧光法 </w:t>
            </w:r>
            <w:r>
              <w:rPr>
                <w:rFonts w:ascii="Times New Roman" w:eastAsia="Times New Roman"/>
                <w:sz w:val="21"/>
              </w:rPr>
              <w:t>HJ694-2014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9"/>
              <w:spacing w:before="64"/>
              <w:ind w:left="154" w:right="137"/>
              <w:rPr>
                <w:sz w:val="21"/>
              </w:rPr>
            </w:pPr>
            <w:r>
              <w:rPr>
                <w:sz w:val="21"/>
              </w:rPr>
              <w:t>氟化物</w:t>
            </w:r>
          </w:p>
        </w:tc>
        <w:tc>
          <w:tcPr>
            <w:tcW w:w="7454" w:type="dxa"/>
            <w:tcBorders>
              <w:top w:val="single" w:color="000000" w:sz="4" w:space="0"/>
              <w:left w:val="single" w:color="000000" w:sz="4" w:space="0"/>
              <w:bottom w:val="single" w:color="000000" w:sz="4" w:space="0"/>
            </w:tcBorders>
          </w:tcPr>
          <w:p>
            <w:pPr>
              <w:pStyle w:val="19"/>
              <w:spacing w:before="61"/>
              <w:ind w:left="21"/>
              <w:rPr>
                <w:rFonts w:ascii="Times New Roman" w:eastAsia="Times New Roman"/>
                <w:sz w:val="21"/>
              </w:rPr>
            </w:pPr>
            <w:r>
              <w:rPr>
                <w:position w:val="1"/>
                <w:sz w:val="21"/>
              </w:rPr>
              <w:t xml:space="preserve">水质氟化物的测定离子选择电极法 </w:t>
            </w:r>
            <w:r>
              <w:rPr>
                <w:rFonts w:ascii="Times New Roman" w:eastAsia="Times New Roman"/>
                <w:sz w:val="21"/>
              </w:rPr>
              <w:t>GB7484-1987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606" w:type="dxa"/>
            <w:tcBorders>
              <w:top w:val="single" w:color="000000" w:sz="4" w:space="0"/>
              <w:bottom w:val="single" w:color="000000" w:sz="4" w:space="0"/>
              <w:right w:val="single" w:color="000000" w:sz="4" w:space="0"/>
            </w:tcBorders>
          </w:tcPr>
          <w:p>
            <w:pPr>
              <w:pStyle w:val="19"/>
              <w:spacing w:before="164"/>
              <w:ind w:left="14"/>
              <w:rPr>
                <w:sz w:val="21"/>
              </w:rPr>
            </w:pPr>
            <w:r>
              <w:rPr>
                <w:w w:val="99"/>
                <w:sz w:val="21"/>
              </w:rPr>
              <w:t>镉</w:t>
            </w:r>
          </w:p>
        </w:tc>
        <w:tc>
          <w:tcPr>
            <w:tcW w:w="7454" w:type="dxa"/>
            <w:tcBorders>
              <w:top w:val="single" w:color="000000" w:sz="4" w:space="0"/>
              <w:left w:val="single" w:color="000000" w:sz="4" w:space="0"/>
              <w:bottom w:val="single" w:color="000000" w:sz="4" w:space="0"/>
            </w:tcBorders>
          </w:tcPr>
          <w:p>
            <w:pPr>
              <w:pStyle w:val="19"/>
              <w:spacing w:before="1"/>
              <w:ind w:left="24"/>
              <w:rPr>
                <w:sz w:val="21"/>
              </w:rPr>
            </w:pPr>
            <w:r>
              <w:rPr>
                <w:spacing w:val="-5"/>
                <w:w w:val="95"/>
                <w:sz w:val="21"/>
              </w:rPr>
              <w:t>镉石墨炉原子吸收法《水和废水监测分析方法》</w:t>
            </w:r>
            <w:r>
              <w:rPr>
                <w:rFonts w:ascii="Times New Roman" w:eastAsia="Times New Roman"/>
                <w:w w:val="95"/>
                <w:sz w:val="21"/>
              </w:rPr>
              <w:t>(</w:t>
            </w:r>
            <w:r>
              <w:rPr>
                <w:w w:val="95"/>
                <w:sz w:val="21"/>
              </w:rPr>
              <w:t>第四版增补版</w:t>
            </w:r>
            <w:r>
              <w:rPr>
                <w:rFonts w:ascii="Times New Roman" w:eastAsia="Times New Roman"/>
                <w:w w:val="95"/>
                <w:sz w:val="21"/>
              </w:rPr>
              <w:t>)</w:t>
            </w:r>
            <w:r>
              <w:rPr>
                <w:w w:val="95"/>
                <w:sz w:val="21"/>
              </w:rPr>
              <w:t>国家环境保护总局</w:t>
            </w:r>
          </w:p>
          <w:p>
            <w:pPr>
              <w:pStyle w:val="19"/>
              <w:spacing w:before="57"/>
              <w:ind w:left="21"/>
              <w:rPr>
                <w:rFonts w:ascii="Times New Roman" w:eastAsia="Times New Roman"/>
                <w:sz w:val="21"/>
              </w:rPr>
            </w:pPr>
            <w:r>
              <w:rPr>
                <w:rFonts w:ascii="Times New Roman" w:eastAsia="Times New Roman"/>
                <w:sz w:val="21"/>
              </w:rPr>
              <w:t xml:space="preserve">(2002 </w:t>
            </w:r>
            <w:r>
              <w:rPr>
                <w:sz w:val="21"/>
              </w:rPr>
              <w:t>年</w:t>
            </w:r>
            <w:r>
              <w:rPr>
                <w:rFonts w:ascii="Times New Roman" w:eastAsia="Times New Roman"/>
                <w:sz w:val="21"/>
              </w:rPr>
              <w:t>)P331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9"/>
              <w:spacing w:before="64"/>
              <w:ind w:left="154" w:right="137"/>
              <w:rPr>
                <w:sz w:val="21"/>
              </w:rPr>
            </w:pPr>
            <w:r>
              <w:rPr>
                <w:sz w:val="21"/>
              </w:rPr>
              <w:t>钾离子</w:t>
            </w:r>
          </w:p>
        </w:tc>
        <w:tc>
          <w:tcPr>
            <w:tcW w:w="7454" w:type="dxa"/>
            <w:tcBorders>
              <w:top w:val="single" w:color="000000" w:sz="4" w:space="0"/>
              <w:left w:val="single" w:color="000000" w:sz="4" w:space="0"/>
              <w:bottom w:val="single" w:color="000000" w:sz="4" w:space="0"/>
            </w:tcBorders>
          </w:tcPr>
          <w:p>
            <w:pPr>
              <w:pStyle w:val="19"/>
              <w:tabs>
                <w:tab w:val="left" w:pos="519"/>
                <w:tab w:val="left" w:pos="958"/>
                <w:tab w:val="left" w:pos="1524"/>
              </w:tabs>
              <w:spacing w:before="83" w:line="64" w:lineRule="exact"/>
              <w:ind w:left="159"/>
              <w:rPr>
                <w:rFonts w:ascii="Times New Roman"/>
                <w:sz w:val="13"/>
              </w:rPr>
            </w:pPr>
            <w:r>
              <w:rPr>
                <w:rFonts w:ascii="Times New Roman"/>
                <w:w w:val="105"/>
                <w:sz w:val="13"/>
              </w:rPr>
              <w:t>+</w:t>
            </w:r>
            <w:r>
              <w:rPr>
                <w:rFonts w:ascii="Times New Roman"/>
                <w:w w:val="105"/>
                <w:sz w:val="13"/>
              </w:rPr>
              <w:tab/>
            </w:r>
            <w:r>
              <w:rPr>
                <w:rFonts w:ascii="Times New Roman"/>
                <w:w w:val="105"/>
                <w:sz w:val="13"/>
              </w:rPr>
              <w:t>+</w:t>
            </w:r>
            <w:r>
              <w:rPr>
                <w:rFonts w:ascii="Times New Roman"/>
                <w:w w:val="105"/>
                <w:sz w:val="13"/>
              </w:rPr>
              <w:tab/>
            </w:r>
            <w:r>
              <w:rPr>
                <w:rFonts w:ascii="Times New Roman"/>
                <w:w w:val="105"/>
                <w:sz w:val="13"/>
              </w:rPr>
              <w:t>2+</w:t>
            </w:r>
            <w:r>
              <w:rPr>
                <w:rFonts w:ascii="Times New Roman"/>
                <w:w w:val="105"/>
                <w:sz w:val="13"/>
              </w:rPr>
              <w:tab/>
            </w:r>
            <w:r>
              <w:rPr>
                <w:rFonts w:ascii="Times New Roman"/>
                <w:w w:val="105"/>
                <w:sz w:val="13"/>
              </w:rPr>
              <w:t>2+</w:t>
            </w:r>
          </w:p>
          <w:p>
            <w:pPr>
              <w:pStyle w:val="19"/>
              <w:spacing w:line="190" w:lineRule="exact"/>
              <w:ind w:left="16" w:right="-29"/>
              <w:jc w:val="left"/>
              <w:rPr>
                <w:rFonts w:ascii="Times New Roman" w:eastAsia="Times New Roman"/>
                <w:sz w:val="21"/>
              </w:rPr>
            </w:pPr>
            <w:r>
              <w:rPr>
                <w:spacing w:val="-10"/>
                <w:position w:val="2"/>
                <w:sz w:val="21"/>
              </w:rPr>
              <w:t>水质可溶性阳离子</w:t>
            </w:r>
            <w:r>
              <w:rPr>
                <w:position w:val="2"/>
                <w:sz w:val="21"/>
              </w:rPr>
              <w:t>（</w:t>
            </w:r>
            <w:r>
              <w:rPr>
                <w:rFonts w:ascii="Times New Roman" w:eastAsia="Times New Roman"/>
                <w:position w:val="2"/>
                <w:sz w:val="21"/>
              </w:rPr>
              <w:t>Li</w:t>
            </w:r>
            <w:r>
              <w:rPr>
                <w:rFonts w:ascii="Times New Roman" w:eastAsia="Times New Roman"/>
                <w:position w:val="2"/>
                <w:sz w:val="21"/>
                <w:vertAlign w:val="superscript"/>
              </w:rPr>
              <w:t>+</w:t>
            </w:r>
            <w:r>
              <w:rPr>
                <w:spacing w:val="-80"/>
                <w:position w:val="2"/>
                <w:sz w:val="21"/>
                <w:vertAlign w:val="baseline"/>
              </w:rPr>
              <w:t>、</w:t>
            </w:r>
            <w:r>
              <w:rPr>
                <w:rFonts w:ascii="Times New Roman" w:eastAsia="Times New Roman"/>
                <w:position w:val="2"/>
                <w:sz w:val="21"/>
                <w:vertAlign w:val="baseline"/>
              </w:rPr>
              <w:t>Na</w:t>
            </w:r>
            <w:r>
              <w:rPr>
                <w:rFonts w:ascii="Times New Roman" w:eastAsia="Times New Roman"/>
                <w:position w:val="2"/>
                <w:sz w:val="21"/>
                <w:vertAlign w:val="superscript"/>
              </w:rPr>
              <w:t>+</w:t>
            </w:r>
            <w:r>
              <w:rPr>
                <w:spacing w:val="-80"/>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4</w:t>
            </w:r>
            <w:r>
              <w:rPr>
                <w:rFonts w:ascii="Times New Roman" w:eastAsia="Times New Roman"/>
                <w:spacing w:val="20"/>
                <w:position w:val="2"/>
                <w:sz w:val="21"/>
                <w:vertAlign w:val="baseline"/>
              </w:rPr>
              <w:t xml:space="preserve"> </w:t>
            </w:r>
            <w:r>
              <w:rPr>
                <w:spacing w:val="-80"/>
                <w:position w:val="2"/>
                <w:sz w:val="21"/>
                <w:vertAlign w:val="baseline"/>
              </w:rPr>
              <w:t>、</w:t>
            </w:r>
            <w:r>
              <w:rPr>
                <w:rFonts w:ascii="Times New Roman" w:eastAsia="Times New Roman"/>
                <w:position w:val="2"/>
                <w:sz w:val="21"/>
                <w:vertAlign w:val="baseline"/>
              </w:rPr>
              <w:t>K</w:t>
            </w:r>
            <w:r>
              <w:rPr>
                <w:rFonts w:ascii="Times New Roman" w:eastAsia="Times New Roman"/>
                <w:spacing w:val="21"/>
                <w:position w:val="2"/>
                <w:sz w:val="21"/>
                <w:vertAlign w:val="baseline"/>
              </w:rPr>
              <w:t xml:space="preserve"> </w:t>
            </w:r>
            <w:r>
              <w:rPr>
                <w:spacing w:val="-77"/>
                <w:position w:val="2"/>
                <w:sz w:val="21"/>
                <w:vertAlign w:val="baseline"/>
              </w:rPr>
              <w:t>、</w:t>
            </w:r>
            <w:r>
              <w:rPr>
                <w:rFonts w:ascii="Times New Roman" w:eastAsia="Times New Roman"/>
                <w:position w:val="2"/>
                <w:sz w:val="21"/>
                <w:vertAlign w:val="baseline"/>
              </w:rPr>
              <w:t>Ca</w:t>
            </w:r>
            <w:r>
              <w:rPr>
                <w:rFonts w:ascii="Times New Roman" w:eastAsia="Times New Roman"/>
                <w:spacing w:val="35"/>
                <w:position w:val="2"/>
                <w:sz w:val="21"/>
                <w:vertAlign w:val="baseline"/>
              </w:rPr>
              <w:t xml:space="preserve"> </w:t>
            </w:r>
            <w:r>
              <w:rPr>
                <w:spacing w:val="-80"/>
                <w:position w:val="2"/>
                <w:sz w:val="21"/>
                <w:vertAlign w:val="baseline"/>
              </w:rPr>
              <w:t>、</w:t>
            </w:r>
            <w:r>
              <w:rPr>
                <w:rFonts w:ascii="Times New Roman" w:eastAsia="Times New Roman"/>
                <w:position w:val="2"/>
                <w:sz w:val="21"/>
                <w:vertAlign w:val="baseline"/>
              </w:rPr>
              <w:t>Mg</w:t>
            </w:r>
            <w:r>
              <w:rPr>
                <w:rFonts w:ascii="Times New Roman" w:eastAsia="Times New Roman"/>
                <w:spacing w:val="34"/>
                <w:position w:val="2"/>
                <w:sz w:val="21"/>
                <w:vertAlign w:val="baseline"/>
              </w:rPr>
              <w:t xml:space="preserve"> </w:t>
            </w:r>
            <w:r>
              <w:rPr>
                <w:spacing w:val="-77"/>
                <w:position w:val="2"/>
                <w:sz w:val="21"/>
                <w:vertAlign w:val="baseline"/>
              </w:rPr>
              <w:t>）</w:t>
            </w:r>
            <w:r>
              <w:rPr>
                <w:spacing w:val="-6"/>
                <w:position w:val="2"/>
                <w:sz w:val="21"/>
                <w:vertAlign w:val="baseline"/>
              </w:rPr>
              <w:t xml:space="preserve">的测定离子色谱法 </w:t>
            </w:r>
            <w:r>
              <w:rPr>
                <w:rFonts w:ascii="Times New Roman" w:eastAsia="Times New Roman"/>
                <w:position w:val="2"/>
                <w:sz w:val="21"/>
                <w:vertAlign w:val="baseline"/>
              </w:rPr>
              <w:t>HJ812-2016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9"/>
              <w:spacing w:before="63"/>
              <w:ind w:left="154" w:right="137"/>
              <w:rPr>
                <w:sz w:val="21"/>
              </w:rPr>
            </w:pPr>
            <w:r>
              <w:rPr>
                <w:sz w:val="21"/>
              </w:rPr>
              <w:t>钠离子</w:t>
            </w:r>
          </w:p>
        </w:tc>
        <w:tc>
          <w:tcPr>
            <w:tcW w:w="7454" w:type="dxa"/>
            <w:tcBorders>
              <w:top w:val="single" w:color="000000" w:sz="4" w:space="0"/>
              <w:left w:val="single" w:color="000000" w:sz="4" w:space="0"/>
              <w:bottom w:val="single" w:color="000000" w:sz="4" w:space="0"/>
            </w:tcBorders>
          </w:tcPr>
          <w:p>
            <w:pPr>
              <w:pStyle w:val="19"/>
              <w:tabs>
                <w:tab w:val="left" w:pos="519"/>
                <w:tab w:val="left" w:pos="958"/>
                <w:tab w:val="left" w:pos="1524"/>
              </w:tabs>
              <w:spacing w:before="82" w:line="64" w:lineRule="exact"/>
              <w:ind w:left="159"/>
              <w:rPr>
                <w:rFonts w:ascii="Times New Roman"/>
                <w:sz w:val="13"/>
              </w:rPr>
            </w:pPr>
            <w:r>
              <w:rPr>
                <w:rFonts w:ascii="Times New Roman"/>
                <w:w w:val="105"/>
                <w:sz w:val="13"/>
              </w:rPr>
              <w:t>+</w:t>
            </w:r>
            <w:r>
              <w:rPr>
                <w:rFonts w:ascii="Times New Roman"/>
                <w:w w:val="105"/>
                <w:sz w:val="13"/>
              </w:rPr>
              <w:tab/>
            </w:r>
            <w:r>
              <w:rPr>
                <w:rFonts w:ascii="Times New Roman"/>
                <w:w w:val="105"/>
                <w:sz w:val="13"/>
              </w:rPr>
              <w:t>+</w:t>
            </w:r>
            <w:r>
              <w:rPr>
                <w:rFonts w:ascii="Times New Roman"/>
                <w:w w:val="105"/>
                <w:sz w:val="13"/>
              </w:rPr>
              <w:tab/>
            </w:r>
            <w:r>
              <w:rPr>
                <w:rFonts w:ascii="Times New Roman"/>
                <w:w w:val="105"/>
                <w:sz w:val="13"/>
              </w:rPr>
              <w:t>2+</w:t>
            </w:r>
            <w:r>
              <w:rPr>
                <w:rFonts w:ascii="Times New Roman"/>
                <w:w w:val="105"/>
                <w:sz w:val="13"/>
              </w:rPr>
              <w:tab/>
            </w:r>
            <w:r>
              <w:rPr>
                <w:rFonts w:ascii="Times New Roman"/>
                <w:w w:val="105"/>
                <w:sz w:val="13"/>
              </w:rPr>
              <w:t>2+</w:t>
            </w:r>
          </w:p>
          <w:p>
            <w:pPr>
              <w:pStyle w:val="19"/>
              <w:spacing w:line="190" w:lineRule="exact"/>
              <w:ind w:left="16" w:right="-29"/>
              <w:jc w:val="left"/>
              <w:rPr>
                <w:rFonts w:ascii="Times New Roman" w:eastAsia="Times New Roman"/>
                <w:sz w:val="21"/>
              </w:rPr>
            </w:pPr>
            <w:r>
              <w:rPr>
                <w:spacing w:val="-10"/>
                <w:position w:val="2"/>
                <w:sz w:val="21"/>
              </w:rPr>
              <w:t>水质可溶性阳离子</w:t>
            </w:r>
            <w:r>
              <w:rPr>
                <w:position w:val="2"/>
                <w:sz w:val="21"/>
              </w:rPr>
              <w:t>（</w:t>
            </w:r>
            <w:r>
              <w:rPr>
                <w:rFonts w:ascii="Times New Roman" w:eastAsia="Times New Roman"/>
                <w:position w:val="2"/>
                <w:sz w:val="21"/>
              </w:rPr>
              <w:t>Li</w:t>
            </w:r>
            <w:r>
              <w:rPr>
                <w:rFonts w:ascii="Times New Roman" w:eastAsia="Times New Roman"/>
                <w:position w:val="2"/>
                <w:sz w:val="21"/>
                <w:vertAlign w:val="superscript"/>
              </w:rPr>
              <w:t>+</w:t>
            </w:r>
            <w:r>
              <w:rPr>
                <w:spacing w:val="-80"/>
                <w:position w:val="2"/>
                <w:sz w:val="21"/>
                <w:vertAlign w:val="baseline"/>
              </w:rPr>
              <w:t>、</w:t>
            </w:r>
            <w:r>
              <w:rPr>
                <w:rFonts w:ascii="Times New Roman" w:eastAsia="Times New Roman"/>
                <w:position w:val="2"/>
                <w:sz w:val="21"/>
                <w:vertAlign w:val="baseline"/>
              </w:rPr>
              <w:t>Na</w:t>
            </w:r>
            <w:r>
              <w:rPr>
                <w:rFonts w:ascii="Times New Roman" w:eastAsia="Times New Roman"/>
                <w:position w:val="2"/>
                <w:sz w:val="21"/>
                <w:vertAlign w:val="superscript"/>
              </w:rPr>
              <w:t>+</w:t>
            </w:r>
            <w:r>
              <w:rPr>
                <w:spacing w:val="-80"/>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4</w:t>
            </w:r>
            <w:r>
              <w:rPr>
                <w:rFonts w:ascii="Times New Roman" w:eastAsia="Times New Roman"/>
                <w:spacing w:val="20"/>
                <w:position w:val="2"/>
                <w:sz w:val="21"/>
                <w:vertAlign w:val="baseline"/>
              </w:rPr>
              <w:t xml:space="preserve"> </w:t>
            </w:r>
            <w:r>
              <w:rPr>
                <w:spacing w:val="-80"/>
                <w:position w:val="2"/>
                <w:sz w:val="21"/>
                <w:vertAlign w:val="baseline"/>
              </w:rPr>
              <w:t>、</w:t>
            </w:r>
            <w:r>
              <w:rPr>
                <w:rFonts w:ascii="Times New Roman" w:eastAsia="Times New Roman"/>
                <w:position w:val="2"/>
                <w:sz w:val="21"/>
                <w:vertAlign w:val="baseline"/>
              </w:rPr>
              <w:t>K</w:t>
            </w:r>
            <w:r>
              <w:rPr>
                <w:rFonts w:ascii="Times New Roman" w:eastAsia="Times New Roman"/>
                <w:spacing w:val="21"/>
                <w:position w:val="2"/>
                <w:sz w:val="21"/>
                <w:vertAlign w:val="baseline"/>
              </w:rPr>
              <w:t xml:space="preserve"> </w:t>
            </w:r>
            <w:r>
              <w:rPr>
                <w:spacing w:val="-77"/>
                <w:position w:val="2"/>
                <w:sz w:val="21"/>
                <w:vertAlign w:val="baseline"/>
              </w:rPr>
              <w:t>、</w:t>
            </w:r>
            <w:r>
              <w:rPr>
                <w:rFonts w:ascii="Times New Roman" w:eastAsia="Times New Roman"/>
                <w:position w:val="2"/>
                <w:sz w:val="21"/>
                <w:vertAlign w:val="baseline"/>
              </w:rPr>
              <w:t>Ca</w:t>
            </w:r>
            <w:r>
              <w:rPr>
                <w:rFonts w:ascii="Times New Roman" w:eastAsia="Times New Roman"/>
                <w:spacing w:val="35"/>
                <w:position w:val="2"/>
                <w:sz w:val="21"/>
                <w:vertAlign w:val="baseline"/>
              </w:rPr>
              <w:t xml:space="preserve"> </w:t>
            </w:r>
            <w:r>
              <w:rPr>
                <w:spacing w:val="-80"/>
                <w:position w:val="2"/>
                <w:sz w:val="21"/>
                <w:vertAlign w:val="baseline"/>
              </w:rPr>
              <w:t>、</w:t>
            </w:r>
            <w:r>
              <w:rPr>
                <w:rFonts w:ascii="Times New Roman" w:eastAsia="Times New Roman"/>
                <w:position w:val="2"/>
                <w:sz w:val="21"/>
                <w:vertAlign w:val="baseline"/>
              </w:rPr>
              <w:t>Mg</w:t>
            </w:r>
            <w:r>
              <w:rPr>
                <w:rFonts w:ascii="Times New Roman" w:eastAsia="Times New Roman"/>
                <w:spacing w:val="34"/>
                <w:position w:val="2"/>
                <w:sz w:val="21"/>
                <w:vertAlign w:val="baseline"/>
              </w:rPr>
              <w:t xml:space="preserve"> </w:t>
            </w:r>
            <w:r>
              <w:rPr>
                <w:spacing w:val="-77"/>
                <w:position w:val="2"/>
                <w:sz w:val="21"/>
                <w:vertAlign w:val="baseline"/>
              </w:rPr>
              <w:t>）</w:t>
            </w:r>
            <w:r>
              <w:rPr>
                <w:spacing w:val="-6"/>
                <w:position w:val="2"/>
                <w:sz w:val="21"/>
                <w:vertAlign w:val="baseline"/>
              </w:rPr>
              <w:t xml:space="preserve">的测定离子色谱法 </w:t>
            </w:r>
            <w:r>
              <w:rPr>
                <w:rFonts w:ascii="Times New Roman" w:eastAsia="Times New Roman"/>
                <w:position w:val="2"/>
                <w:sz w:val="21"/>
                <w:vertAlign w:val="baseline"/>
              </w:rPr>
              <w:t>HJ812-2016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9"/>
              <w:spacing w:before="62"/>
              <w:ind w:left="154" w:right="137"/>
              <w:rPr>
                <w:sz w:val="21"/>
              </w:rPr>
            </w:pPr>
            <w:r>
              <w:rPr>
                <w:sz w:val="21"/>
              </w:rPr>
              <w:t>钙离子</w:t>
            </w:r>
          </w:p>
        </w:tc>
        <w:tc>
          <w:tcPr>
            <w:tcW w:w="7454" w:type="dxa"/>
            <w:tcBorders>
              <w:top w:val="single" w:color="000000" w:sz="4" w:space="0"/>
              <w:left w:val="single" w:color="000000" w:sz="4" w:space="0"/>
              <w:bottom w:val="single" w:color="000000" w:sz="4" w:space="0"/>
            </w:tcBorders>
          </w:tcPr>
          <w:p>
            <w:pPr>
              <w:pStyle w:val="19"/>
              <w:tabs>
                <w:tab w:val="left" w:pos="519"/>
                <w:tab w:val="left" w:pos="958"/>
                <w:tab w:val="left" w:pos="1524"/>
              </w:tabs>
              <w:spacing w:before="81" w:line="64" w:lineRule="exact"/>
              <w:ind w:left="159"/>
              <w:rPr>
                <w:rFonts w:ascii="Times New Roman"/>
                <w:sz w:val="13"/>
              </w:rPr>
            </w:pPr>
            <w:r>
              <w:rPr>
                <w:rFonts w:ascii="Times New Roman"/>
                <w:w w:val="105"/>
                <w:sz w:val="13"/>
              </w:rPr>
              <w:t>+</w:t>
            </w:r>
            <w:r>
              <w:rPr>
                <w:rFonts w:ascii="Times New Roman"/>
                <w:w w:val="105"/>
                <w:sz w:val="13"/>
              </w:rPr>
              <w:tab/>
            </w:r>
            <w:r>
              <w:rPr>
                <w:rFonts w:ascii="Times New Roman"/>
                <w:w w:val="105"/>
                <w:sz w:val="13"/>
              </w:rPr>
              <w:t>+</w:t>
            </w:r>
            <w:r>
              <w:rPr>
                <w:rFonts w:ascii="Times New Roman"/>
                <w:w w:val="105"/>
                <w:sz w:val="13"/>
              </w:rPr>
              <w:tab/>
            </w:r>
            <w:r>
              <w:rPr>
                <w:rFonts w:ascii="Times New Roman"/>
                <w:w w:val="105"/>
                <w:sz w:val="13"/>
              </w:rPr>
              <w:t>2+</w:t>
            </w:r>
            <w:r>
              <w:rPr>
                <w:rFonts w:ascii="Times New Roman"/>
                <w:w w:val="105"/>
                <w:sz w:val="13"/>
              </w:rPr>
              <w:tab/>
            </w:r>
            <w:r>
              <w:rPr>
                <w:rFonts w:ascii="Times New Roman"/>
                <w:w w:val="105"/>
                <w:sz w:val="13"/>
              </w:rPr>
              <w:t>2+</w:t>
            </w:r>
          </w:p>
          <w:p>
            <w:pPr>
              <w:pStyle w:val="19"/>
              <w:spacing w:line="190" w:lineRule="exact"/>
              <w:ind w:left="16" w:right="-29"/>
              <w:jc w:val="left"/>
              <w:rPr>
                <w:rFonts w:ascii="Times New Roman" w:eastAsia="Times New Roman"/>
                <w:sz w:val="21"/>
              </w:rPr>
            </w:pPr>
            <w:r>
              <w:rPr>
                <w:spacing w:val="-10"/>
                <w:position w:val="2"/>
                <w:sz w:val="21"/>
              </w:rPr>
              <w:t>水质可溶性阳离子</w:t>
            </w:r>
            <w:r>
              <w:rPr>
                <w:position w:val="2"/>
                <w:sz w:val="21"/>
              </w:rPr>
              <w:t>（</w:t>
            </w:r>
            <w:r>
              <w:rPr>
                <w:rFonts w:ascii="Times New Roman" w:eastAsia="Times New Roman"/>
                <w:position w:val="2"/>
                <w:sz w:val="21"/>
              </w:rPr>
              <w:t>Li</w:t>
            </w:r>
            <w:r>
              <w:rPr>
                <w:rFonts w:ascii="Times New Roman" w:eastAsia="Times New Roman"/>
                <w:position w:val="2"/>
                <w:sz w:val="21"/>
                <w:vertAlign w:val="superscript"/>
              </w:rPr>
              <w:t>+</w:t>
            </w:r>
            <w:r>
              <w:rPr>
                <w:spacing w:val="-80"/>
                <w:position w:val="2"/>
                <w:sz w:val="21"/>
                <w:vertAlign w:val="baseline"/>
              </w:rPr>
              <w:t>、</w:t>
            </w:r>
            <w:r>
              <w:rPr>
                <w:rFonts w:ascii="Times New Roman" w:eastAsia="Times New Roman"/>
                <w:position w:val="2"/>
                <w:sz w:val="21"/>
                <w:vertAlign w:val="baseline"/>
              </w:rPr>
              <w:t>Na</w:t>
            </w:r>
            <w:r>
              <w:rPr>
                <w:rFonts w:ascii="Times New Roman" w:eastAsia="Times New Roman"/>
                <w:position w:val="2"/>
                <w:sz w:val="21"/>
                <w:vertAlign w:val="superscript"/>
              </w:rPr>
              <w:t>+</w:t>
            </w:r>
            <w:r>
              <w:rPr>
                <w:spacing w:val="-80"/>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4</w:t>
            </w:r>
            <w:r>
              <w:rPr>
                <w:rFonts w:ascii="Times New Roman" w:eastAsia="Times New Roman"/>
                <w:spacing w:val="20"/>
                <w:position w:val="2"/>
                <w:sz w:val="21"/>
                <w:vertAlign w:val="baseline"/>
              </w:rPr>
              <w:t xml:space="preserve"> </w:t>
            </w:r>
            <w:r>
              <w:rPr>
                <w:spacing w:val="-80"/>
                <w:position w:val="2"/>
                <w:sz w:val="21"/>
                <w:vertAlign w:val="baseline"/>
              </w:rPr>
              <w:t>、</w:t>
            </w:r>
            <w:r>
              <w:rPr>
                <w:rFonts w:ascii="Times New Roman" w:eastAsia="Times New Roman"/>
                <w:position w:val="2"/>
                <w:sz w:val="21"/>
                <w:vertAlign w:val="baseline"/>
              </w:rPr>
              <w:t>K</w:t>
            </w:r>
            <w:r>
              <w:rPr>
                <w:rFonts w:ascii="Times New Roman" w:eastAsia="Times New Roman"/>
                <w:spacing w:val="21"/>
                <w:position w:val="2"/>
                <w:sz w:val="21"/>
                <w:vertAlign w:val="baseline"/>
              </w:rPr>
              <w:t xml:space="preserve"> </w:t>
            </w:r>
            <w:r>
              <w:rPr>
                <w:spacing w:val="-77"/>
                <w:position w:val="2"/>
                <w:sz w:val="21"/>
                <w:vertAlign w:val="baseline"/>
              </w:rPr>
              <w:t>、</w:t>
            </w:r>
            <w:r>
              <w:rPr>
                <w:rFonts w:ascii="Times New Roman" w:eastAsia="Times New Roman"/>
                <w:position w:val="2"/>
                <w:sz w:val="21"/>
                <w:vertAlign w:val="baseline"/>
              </w:rPr>
              <w:t>Ca</w:t>
            </w:r>
            <w:r>
              <w:rPr>
                <w:rFonts w:ascii="Times New Roman" w:eastAsia="Times New Roman"/>
                <w:spacing w:val="35"/>
                <w:position w:val="2"/>
                <w:sz w:val="21"/>
                <w:vertAlign w:val="baseline"/>
              </w:rPr>
              <w:t xml:space="preserve"> </w:t>
            </w:r>
            <w:r>
              <w:rPr>
                <w:spacing w:val="-80"/>
                <w:position w:val="2"/>
                <w:sz w:val="21"/>
                <w:vertAlign w:val="baseline"/>
              </w:rPr>
              <w:t>、</w:t>
            </w:r>
            <w:r>
              <w:rPr>
                <w:rFonts w:ascii="Times New Roman" w:eastAsia="Times New Roman"/>
                <w:position w:val="2"/>
                <w:sz w:val="21"/>
                <w:vertAlign w:val="baseline"/>
              </w:rPr>
              <w:t>Mg</w:t>
            </w:r>
            <w:r>
              <w:rPr>
                <w:rFonts w:ascii="Times New Roman" w:eastAsia="Times New Roman"/>
                <w:spacing w:val="34"/>
                <w:position w:val="2"/>
                <w:sz w:val="21"/>
                <w:vertAlign w:val="baseline"/>
              </w:rPr>
              <w:t xml:space="preserve"> </w:t>
            </w:r>
            <w:r>
              <w:rPr>
                <w:spacing w:val="-77"/>
                <w:position w:val="2"/>
                <w:sz w:val="21"/>
                <w:vertAlign w:val="baseline"/>
              </w:rPr>
              <w:t>）</w:t>
            </w:r>
            <w:r>
              <w:rPr>
                <w:spacing w:val="-6"/>
                <w:position w:val="2"/>
                <w:sz w:val="21"/>
                <w:vertAlign w:val="baseline"/>
              </w:rPr>
              <w:t xml:space="preserve">的测定离子色谱法 </w:t>
            </w:r>
            <w:r>
              <w:rPr>
                <w:rFonts w:ascii="Times New Roman" w:eastAsia="Times New Roman"/>
                <w:position w:val="2"/>
                <w:sz w:val="21"/>
                <w:vertAlign w:val="baseline"/>
              </w:rPr>
              <w:t>HJ812-2016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9"/>
              <w:spacing w:before="64"/>
              <w:ind w:left="154" w:right="137"/>
              <w:rPr>
                <w:sz w:val="21"/>
              </w:rPr>
            </w:pPr>
            <w:r>
              <w:rPr>
                <w:sz w:val="21"/>
              </w:rPr>
              <w:t>镁离子</w:t>
            </w:r>
          </w:p>
        </w:tc>
        <w:tc>
          <w:tcPr>
            <w:tcW w:w="7454" w:type="dxa"/>
            <w:tcBorders>
              <w:top w:val="single" w:color="000000" w:sz="4" w:space="0"/>
              <w:left w:val="single" w:color="000000" w:sz="4" w:space="0"/>
              <w:bottom w:val="single" w:color="000000" w:sz="4" w:space="0"/>
            </w:tcBorders>
          </w:tcPr>
          <w:p>
            <w:pPr>
              <w:pStyle w:val="19"/>
              <w:tabs>
                <w:tab w:val="left" w:pos="519"/>
                <w:tab w:val="left" w:pos="958"/>
                <w:tab w:val="left" w:pos="1524"/>
              </w:tabs>
              <w:spacing w:before="83" w:line="64" w:lineRule="exact"/>
              <w:ind w:left="159"/>
              <w:rPr>
                <w:rFonts w:ascii="Times New Roman"/>
                <w:sz w:val="13"/>
              </w:rPr>
            </w:pPr>
            <w:r>
              <w:rPr>
                <w:rFonts w:ascii="Times New Roman"/>
                <w:w w:val="105"/>
                <w:sz w:val="13"/>
              </w:rPr>
              <w:t>+</w:t>
            </w:r>
            <w:r>
              <w:rPr>
                <w:rFonts w:ascii="Times New Roman"/>
                <w:w w:val="105"/>
                <w:sz w:val="13"/>
              </w:rPr>
              <w:tab/>
            </w:r>
            <w:r>
              <w:rPr>
                <w:rFonts w:ascii="Times New Roman"/>
                <w:w w:val="105"/>
                <w:sz w:val="13"/>
              </w:rPr>
              <w:t>+</w:t>
            </w:r>
            <w:r>
              <w:rPr>
                <w:rFonts w:ascii="Times New Roman"/>
                <w:w w:val="105"/>
                <w:sz w:val="13"/>
              </w:rPr>
              <w:tab/>
            </w:r>
            <w:r>
              <w:rPr>
                <w:rFonts w:ascii="Times New Roman"/>
                <w:w w:val="105"/>
                <w:sz w:val="13"/>
              </w:rPr>
              <w:t>2+</w:t>
            </w:r>
            <w:r>
              <w:rPr>
                <w:rFonts w:ascii="Times New Roman"/>
                <w:w w:val="105"/>
                <w:sz w:val="13"/>
              </w:rPr>
              <w:tab/>
            </w:r>
            <w:r>
              <w:rPr>
                <w:rFonts w:ascii="Times New Roman"/>
                <w:w w:val="105"/>
                <w:sz w:val="13"/>
              </w:rPr>
              <w:t>2+</w:t>
            </w:r>
          </w:p>
          <w:p>
            <w:pPr>
              <w:pStyle w:val="19"/>
              <w:spacing w:line="190" w:lineRule="exact"/>
              <w:ind w:left="16" w:right="-29"/>
              <w:jc w:val="left"/>
              <w:rPr>
                <w:rFonts w:ascii="Times New Roman" w:eastAsia="Times New Roman"/>
                <w:sz w:val="21"/>
              </w:rPr>
            </w:pPr>
            <w:r>
              <w:rPr>
                <w:spacing w:val="-10"/>
                <w:position w:val="2"/>
                <w:sz w:val="21"/>
              </w:rPr>
              <w:t>水质可溶性阳离子</w:t>
            </w:r>
            <w:r>
              <w:rPr>
                <w:position w:val="2"/>
                <w:sz w:val="21"/>
              </w:rPr>
              <w:t>（</w:t>
            </w:r>
            <w:r>
              <w:rPr>
                <w:rFonts w:ascii="Times New Roman" w:eastAsia="Times New Roman"/>
                <w:position w:val="2"/>
                <w:sz w:val="21"/>
              </w:rPr>
              <w:t>Li</w:t>
            </w:r>
            <w:r>
              <w:rPr>
                <w:rFonts w:ascii="Times New Roman" w:eastAsia="Times New Roman"/>
                <w:position w:val="2"/>
                <w:sz w:val="21"/>
                <w:vertAlign w:val="superscript"/>
              </w:rPr>
              <w:t>+</w:t>
            </w:r>
            <w:r>
              <w:rPr>
                <w:spacing w:val="-80"/>
                <w:position w:val="2"/>
                <w:sz w:val="21"/>
                <w:vertAlign w:val="baseline"/>
              </w:rPr>
              <w:t>、</w:t>
            </w:r>
            <w:r>
              <w:rPr>
                <w:rFonts w:ascii="Times New Roman" w:eastAsia="Times New Roman"/>
                <w:position w:val="2"/>
                <w:sz w:val="21"/>
                <w:vertAlign w:val="baseline"/>
              </w:rPr>
              <w:t>Na</w:t>
            </w:r>
            <w:r>
              <w:rPr>
                <w:rFonts w:ascii="Times New Roman" w:eastAsia="Times New Roman"/>
                <w:position w:val="2"/>
                <w:sz w:val="21"/>
                <w:vertAlign w:val="superscript"/>
              </w:rPr>
              <w:t>+</w:t>
            </w:r>
            <w:r>
              <w:rPr>
                <w:spacing w:val="-80"/>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4</w:t>
            </w:r>
            <w:r>
              <w:rPr>
                <w:rFonts w:ascii="Times New Roman" w:eastAsia="Times New Roman"/>
                <w:spacing w:val="20"/>
                <w:position w:val="2"/>
                <w:sz w:val="21"/>
                <w:vertAlign w:val="baseline"/>
              </w:rPr>
              <w:t xml:space="preserve"> </w:t>
            </w:r>
            <w:r>
              <w:rPr>
                <w:spacing w:val="-80"/>
                <w:position w:val="2"/>
                <w:sz w:val="21"/>
                <w:vertAlign w:val="baseline"/>
              </w:rPr>
              <w:t>、</w:t>
            </w:r>
            <w:r>
              <w:rPr>
                <w:rFonts w:ascii="Times New Roman" w:eastAsia="Times New Roman"/>
                <w:position w:val="2"/>
                <w:sz w:val="21"/>
                <w:vertAlign w:val="baseline"/>
              </w:rPr>
              <w:t>K</w:t>
            </w:r>
            <w:r>
              <w:rPr>
                <w:rFonts w:ascii="Times New Roman" w:eastAsia="Times New Roman"/>
                <w:spacing w:val="21"/>
                <w:position w:val="2"/>
                <w:sz w:val="21"/>
                <w:vertAlign w:val="baseline"/>
              </w:rPr>
              <w:t xml:space="preserve"> </w:t>
            </w:r>
            <w:r>
              <w:rPr>
                <w:spacing w:val="-77"/>
                <w:position w:val="2"/>
                <w:sz w:val="21"/>
                <w:vertAlign w:val="baseline"/>
              </w:rPr>
              <w:t>、</w:t>
            </w:r>
            <w:r>
              <w:rPr>
                <w:rFonts w:ascii="Times New Roman" w:eastAsia="Times New Roman"/>
                <w:position w:val="2"/>
                <w:sz w:val="21"/>
                <w:vertAlign w:val="baseline"/>
              </w:rPr>
              <w:t>Ca</w:t>
            </w:r>
            <w:r>
              <w:rPr>
                <w:rFonts w:ascii="Times New Roman" w:eastAsia="Times New Roman"/>
                <w:spacing w:val="35"/>
                <w:position w:val="2"/>
                <w:sz w:val="21"/>
                <w:vertAlign w:val="baseline"/>
              </w:rPr>
              <w:t xml:space="preserve"> </w:t>
            </w:r>
            <w:r>
              <w:rPr>
                <w:spacing w:val="-80"/>
                <w:position w:val="2"/>
                <w:sz w:val="21"/>
                <w:vertAlign w:val="baseline"/>
              </w:rPr>
              <w:t>、</w:t>
            </w:r>
            <w:r>
              <w:rPr>
                <w:rFonts w:ascii="Times New Roman" w:eastAsia="Times New Roman"/>
                <w:position w:val="2"/>
                <w:sz w:val="21"/>
                <w:vertAlign w:val="baseline"/>
              </w:rPr>
              <w:t>Mg</w:t>
            </w:r>
            <w:r>
              <w:rPr>
                <w:rFonts w:ascii="Times New Roman" w:eastAsia="Times New Roman"/>
                <w:spacing w:val="34"/>
                <w:position w:val="2"/>
                <w:sz w:val="21"/>
                <w:vertAlign w:val="baseline"/>
              </w:rPr>
              <w:t xml:space="preserve"> </w:t>
            </w:r>
            <w:r>
              <w:rPr>
                <w:spacing w:val="-77"/>
                <w:position w:val="2"/>
                <w:sz w:val="21"/>
                <w:vertAlign w:val="baseline"/>
              </w:rPr>
              <w:t>）</w:t>
            </w:r>
            <w:r>
              <w:rPr>
                <w:spacing w:val="-6"/>
                <w:position w:val="2"/>
                <w:sz w:val="21"/>
                <w:vertAlign w:val="baseline"/>
              </w:rPr>
              <w:t xml:space="preserve">的测定离子色谱法 </w:t>
            </w:r>
            <w:r>
              <w:rPr>
                <w:rFonts w:ascii="Times New Roman" w:eastAsia="Times New Roman"/>
                <w:position w:val="2"/>
                <w:sz w:val="21"/>
                <w:vertAlign w:val="baseline"/>
              </w:rPr>
              <w:t>HJ812-2016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606" w:type="dxa"/>
            <w:tcBorders>
              <w:top w:val="single" w:color="000000" w:sz="4" w:space="0"/>
              <w:bottom w:val="single" w:color="000000" w:sz="4" w:space="0"/>
              <w:right w:val="single" w:color="000000" w:sz="4" w:space="0"/>
            </w:tcBorders>
          </w:tcPr>
          <w:p>
            <w:pPr>
              <w:pStyle w:val="19"/>
              <w:spacing w:before="164"/>
              <w:ind w:left="154" w:right="137"/>
              <w:rPr>
                <w:sz w:val="21"/>
              </w:rPr>
            </w:pPr>
            <w:r>
              <w:rPr>
                <w:sz w:val="21"/>
              </w:rPr>
              <w:t>硫酸根</w:t>
            </w:r>
          </w:p>
        </w:tc>
        <w:tc>
          <w:tcPr>
            <w:tcW w:w="7454" w:type="dxa"/>
            <w:tcBorders>
              <w:top w:val="single" w:color="000000" w:sz="4" w:space="0"/>
              <w:left w:val="single" w:color="000000" w:sz="4" w:space="0"/>
              <w:bottom w:val="single" w:color="000000" w:sz="4" w:space="0"/>
            </w:tcBorders>
          </w:tcPr>
          <w:p>
            <w:pPr>
              <w:pStyle w:val="19"/>
              <w:spacing w:line="189" w:lineRule="exact"/>
              <w:ind w:left="16" w:right="-29"/>
              <w:rPr>
                <w:sz w:val="21"/>
              </w:rPr>
            </w:pPr>
            <w:r>
              <w:rPr>
                <w:position w:val="1"/>
                <w:sz w:val="21"/>
              </w:rPr>
              <w:t>水质无机阴离子（</w:t>
            </w:r>
            <w:r>
              <w:rPr>
                <w:rFonts w:ascii="Times New Roman" w:eastAsia="Times New Roman"/>
                <w:sz w:val="21"/>
              </w:rPr>
              <w:t>F</w:t>
            </w:r>
            <w:r>
              <w:rPr>
                <w:rFonts w:ascii="Times New Roman" w:eastAsia="Times New Roman"/>
                <w:position w:val="7"/>
                <w:sz w:val="13"/>
              </w:rPr>
              <w:t>-</w:t>
            </w:r>
            <w:r>
              <w:rPr>
                <w:spacing w:val="-3"/>
                <w:position w:val="1"/>
                <w:sz w:val="21"/>
              </w:rPr>
              <w:t>、</w:t>
            </w:r>
            <w:r>
              <w:rPr>
                <w:rFonts w:ascii="Times New Roman" w:eastAsia="Times New Roman"/>
                <w:sz w:val="21"/>
              </w:rPr>
              <w:t>Cl</w:t>
            </w:r>
            <w:r>
              <w:rPr>
                <w:rFonts w:ascii="Times New Roman" w:eastAsia="Times New Roman"/>
                <w:position w:val="7"/>
                <w:sz w:val="13"/>
              </w:rPr>
              <w:t>-</w:t>
            </w:r>
            <w:r>
              <w:rPr>
                <w:spacing w:val="-3"/>
                <w:position w:val="1"/>
                <w:sz w:val="21"/>
              </w:rPr>
              <w:t>、</w:t>
            </w:r>
            <w:r>
              <w:rPr>
                <w:rFonts w:ascii="Times New Roman" w:eastAsia="Times New Roman"/>
                <w:sz w:val="21"/>
              </w:rPr>
              <w:t>NO</w:t>
            </w:r>
            <w:r>
              <w:rPr>
                <w:rFonts w:ascii="Times New Roman" w:eastAsia="Times New Roman"/>
                <w:spacing w:val="13"/>
                <w:sz w:val="21"/>
              </w:rPr>
              <w:t xml:space="preserve"> </w:t>
            </w:r>
            <w:r>
              <w:rPr>
                <w:rFonts w:ascii="Times New Roman" w:eastAsia="Times New Roman"/>
                <w:position w:val="7"/>
                <w:sz w:val="13"/>
              </w:rPr>
              <w:t>-</w:t>
            </w:r>
            <w:r>
              <w:rPr>
                <w:spacing w:val="-3"/>
                <w:position w:val="1"/>
                <w:sz w:val="21"/>
              </w:rPr>
              <w:t>、</w:t>
            </w:r>
            <w:r>
              <w:rPr>
                <w:rFonts w:ascii="Times New Roman" w:eastAsia="Times New Roman"/>
                <w:sz w:val="21"/>
              </w:rPr>
              <w:t>Br</w:t>
            </w:r>
            <w:r>
              <w:rPr>
                <w:rFonts w:ascii="Times New Roman" w:eastAsia="Times New Roman"/>
                <w:position w:val="7"/>
                <w:sz w:val="13"/>
              </w:rPr>
              <w:t>-</w:t>
            </w:r>
            <w:r>
              <w:rPr>
                <w:spacing w:val="-3"/>
                <w:position w:val="1"/>
                <w:sz w:val="21"/>
              </w:rPr>
              <w:t>、</w:t>
            </w:r>
            <w:r>
              <w:rPr>
                <w:rFonts w:ascii="Times New Roman" w:eastAsia="Times New Roman"/>
                <w:sz w:val="21"/>
              </w:rPr>
              <w:t>NO</w:t>
            </w:r>
            <w:r>
              <w:rPr>
                <w:rFonts w:ascii="Times New Roman" w:eastAsia="Times New Roman"/>
                <w:spacing w:val="14"/>
                <w:sz w:val="21"/>
              </w:rPr>
              <w:t xml:space="preserve"> </w:t>
            </w:r>
            <w:r>
              <w:rPr>
                <w:rFonts w:ascii="Times New Roman" w:eastAsia="Times New Roman"/>
                <w:position w:val="7"/>
                <w:sz w:val="13"/>
              </w:rPr>
              <w:t>-</w:t>
            </w:r>
            <w:r>
              <w:rPr>
                <w:spacing w:val="-3"/>
                <w:position w:val="1"/>
                <w:sz w:val="21"/>
              </w:rPr>
              <w:t>、</w:t>
            </w:r>
            <w:r>
              <w:rPr>
                <w:rFonts w:ascii="Times New Roman" w:eastAsia="Times New Roman"/>
                <w:sz w:val="21"/>
              </w:rPr>
              <w:t>PO</w:t>
            </w:r>
            <w:r>
              <w:rPr>
                <w:rFonts w:ascii="Times New Roman" w:eastAsia="Times New Roman"/>
                <w:spacing w:val="13"/>
                <w:sz w:val="21"/>
              </w:rPr>
              <w:t xml:space="preserve"> </w:t>
            </w:r>
            <w:r>
              <w:rPr>
                <w:rFonts w:ascii="Times New Roman" w:eastAsia="Times New Roman"/>
                <w:position w:val="7"/>
                <w:sz w:val="13"/>
              </w:rPr>
              <w:t>3-</w:t>
            </w:r>
            <w:r>
              <w:rPr>
                <w:position w:val="1"/>
                <w:sz w:val="21"/>
              </w:rPr>
              <w:t>、</w:t>
            </w:r>
            <w:r>
              <w:rPr>
                <w:rFonts w:ascii="Times New Roman" w:eastAsia="Times New Roman"/>
                <w:sz w:val="21"/>
              </w:rPr>
              <w:t>SO</w:t>
            </w:r>
            <w:r>
              <w:rPr>
                <w:rFonts w:ascii="Times New Roman" w:eastAsia="Times New Roman"/>
                <w:spacing w:val="14"/>
                <w:sz w:val="21"/>
              </w:rPr>
              <w:t xml:space="preserve"> </w:t>
            </w:r>
            <w:r>
              <w:rPr>
                <w:rFonts w:ascii="Times New Roman" w:eastAsia="Times New Roman"/>
                <w:position w:val="7"/>
                <w:sz w:val="13"/>
              </w:rPr>
              <w:t>2-</w:t>
            </w:r>
            <w:r>
              <w:rPr>
                <w:spacing w:val="-3"/>
                <w:position w:val="1"/>
                <w:sz w:val="21"/>
              </w:rPr>
              <w:t>、</w:t>
            </w:r>
            <w:r>
              <w:rPr>
                <w:rFonts w:ascii="Times New Roman" w:eastAsia="Times New Roman"/>
                <w:sz w:val="21"/>
              </w:rPr>
              <w:t>SO</w:t>
            </w:r>
            <w:r>
              <w:rPr>
                <w:rFonts w:ascii="Times New Roman" w:eastAsia="Times New Roman"/>
                <w:spacing w:val="15"/>
                <w:sz w:val="21"/>
              </w:rPr>
              <w:t xml:space="preserve"> </w:t>
            </w:r>
            <w:r>
              <w:rPr>
                <w:rFonts w:ascii="Times New Roman" w:eastAsia="Times New Roman"/>
                <w:position w:val="7"/>
                <w:sz w:val="13"/>
              </w:rPr>
              <w:t>2-</w:t>
            </w:r>
            <w:r>
              <w:rPr>
                <w:position w:val="1"/>
                <w:sz w:val="21"/>
              </w:rPr>
              <w:t>）的测定离子色</w:t>
            </w:r>
          </w:p>
          <w:p>
            <w:pPr>
              <w:pStyle w:val="19"/>
              <w:tabs>
                <w:tab w:val="left" w:pos="3904"/>
                <w:tab w:val="left" w:pos="4492"/>
                <w:tab w:val="left" w:pos="5150"/>
                <w:tab w:val="left" w:pos="5805"/>
              </w:tabs>
              <w:spacing w:line="74" w:lineRule="exact"/>
              <w:ind w:left="2817"/>
              <w:jc w:val="left"/>
              <w:rPr>
                <w:rFonts w:ascii="Times New Roman"/>
                <w:sz w:val="13"/>
              </w:rPr>
            </w:pPr>
            <w:r>
              <w:rPr>
                <w:rFonts w:ascii="Times New Roman"/>
                <w:w w:val="105"/>
                <w:sz w:val="13"/>
              </w:rPr>
              <w:t>2</w:t>
            </w:r>
            <w:r>
              <w:rPr>
                <w:rFonts w:ascii="Times New Roman"/>
                <w:w w:val="105"/>
                <w:sz w:val="13"/>
              </w:rPr>
              <w:tab/>
            </w:r>
            <w:r>
              <w:rPr>
                <w:rFonts w:ascii="Times New Roman"/>
                <w:w w:val="105"/>
                <w:sz w:val="13"/>
              </w:rPr>
              <w:t>3</w:t>
            </w:r>
            <w:r>
              <w:rPr>
                <w:rFonts w:ascii="Times New Roman"/>
                <w:w w:val="105"/>
                <w:sz w:val="13"/>
              </w:rPr>
              <w:tab/>
            </w:r>
            <w:r>
              <w:rPr>
                <w:rFonts w:ascii="Times New Roman"/>
                <w:w w:val="105"/>
                <w:sz w:val="13"/>
              </w:rPr>
              <w:t>4</w:t>
            </w:r>
            <w:r>
              <w:rPr>
                <w:rFonts w:ascii="Times New Roman"/>
                <w:w w:val="105"/>
                <w:sz w:val="13"/>
              </w:rPr>
              <w:tab/>
            </w:r>
            <w:r>
              <w:rPr>
                <w:rFonts w:ascii="Times New Roman"/>
                <w:w w:val="105"/>
                <w:sz w:val="13"/>
              </w:rPr>
              <w:t>3</w:t>
            </w:r>
            <w:r>
              <w:rPr>
                <w:rFonts w:ascii="Times New Roman"/>
                <w:w w:val="105"/>
                <w:sz w:val="13"/>
              </w:rPr>
              <w:tab/>
            </w:r>
            <w:r>
              <w:rPr>
                <w:rFonts w:ascii="Times New Roman"/>
                <w:w w:val="105"/>
                <w:sz w:val="13"/>
              </w:rPr>
              <w:t>4</w:t>
            </w:r>
          </w:p>
          <w:p>
            <w:pPr>
              <w:pStyle w:val="19"/>
              <w:spacing w:before="61"/>
              <w:ind w:left="21"/>
              <w:rPr>
                <w:rFonts w:ascii="Times New Roman" w:eastAsia="Times New Roman"/>
                <w:sz w:val="21"/>
              </w:rPr>
            </w:pPr>
            <w:r>
              <w:rPr>
                <w:position w:val="1"/>
                <w:sz w:val="21"/>
              </w:rPr>
              <w:t xml:space="preserve">谱法 </w:t>
            </w:r>
            <w:r>
              <w:rPr>
                <w:rFonts w:ascii="Times New Roman" w:eastAsia="Times New Roman"/>
                <w:sz w:val="21"/>
              </w:rPr>
              <w:t>HJ84-2016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606" w:type="dxa"/>
            <w:tcBorders>
              <w:top w:val="single" w:color="000000" w:sz="4" w:space="0"/>
              <w:bottom w:val="single" w:color="000000" w:sz="4" w:space="0"/>
              <w:right w:val="single" w:color="000000" w:sz="4" w:space="0"/>
            </w:tcBorders>
          </w:tcPr>
          <w:p>
            <w:pPr>
              <w:pStyle w:val="19"/>
              <w:spacing w:before="163"/>
              <w:ind w:left="154" w:right="137"/>
              <w:rPr>
                <w:sz w:val="21"/>
              </w:rPr>
            </w:pPr>
            <w:r>
              <w:rPr>
                <w:sz w:val="21"/>
              </w:rPr>
              <w:t>氯离子</w:t>
            </w:r>
          </w:p>
        </w:tc>
        <w:tc>
          <w:tcPr>
            <w:tcW w:w="7454" w:type="dxa"/>
            <w:tcBorders>
              <w:top w:val="single" w:color="000000" w:sz="4" w:space="0"/>
              <w:left w:val="single" w:color="000000" w:sz="4" w:space="0"/>
              <w:bottom w:val="single" w:color="000000" w:sz="4" w:space="0"/>
            </w:tcBorders>
          </w:tcPr>
          <w:p>
            <w:pPr>
              <w:pStyle w:val="19"/>
              <w:spacing w:line="188" w:lineRule="exact"/>
              <w:ind w:left="16" w:right="-29"/>
              <w:rPr>
                <w:sz w:val="21"/>
              </w:rPr>
            </w:pPr>
            <w:r>
              <w:rPr>
                <w:sz w:val="21"/>
              </w:rPr>
              <w:t>水质无机阴离子（</w:t>
            </w:r>
            <w:r>
              <w:rPr>
                <w:rFonts w:ascii="Times New Roman" w:eastAsia="Times New Roman"/>
                <w:position w:val="0"/>
                <w:sz w:val="21"/>
              </w:rPr>
              <w:t>F</w:t>
            </w:r>
            <w:r>
              <w:rPr>
                <w:rFonts w:ascii="Times New Roman" w:eastAsia="Times New Roman"/>
                <w:position w:val="6"/>
                <w:sz w:val="13"/>
              </w:rPr>
              <w:t>-</w:t>
            </w:r>
            <w:r>
              <w:rPr>
                <w:spacing w:val="-3"/>
                <w:sz w:val="21"/>
              </w:rPr>
              <w:t>、</w:t>
            </w:r>
            <w:r>
              <w:rPr>
                <w:rFonts w:ascii="Times New Roman" w:eastAsia="Times New Roman"/>
                <w:position w:val="0"/>
                <w:sz w:val="21"/>
              </w:rPr>
              <w:t>Cl</w:t>
            </w:r>
            <w:r>
              <w:rPr>
                <w:rFonts w:ascii="Times New Roman" w:eastAsia="Times New Roman"/>
                <w:position w:val="6"/>
                <w:sz w:val="13"/>
              </w:rPr>
              <w:t>-</w:t>
            </w:r>
            <w:r>
              <w:rPr>
                <w:spacing w:val="-3"/>
                <w:sz w:val="21"/>
              </w:rPr>
              <w:t>、</w:t>
            </w:r>
            <w:r>
              <w:rPr>
                <w:rFonts w:ascii="Times New Roman" w:eastAsia="Times New Roman"/>
                <w:position w:val="0"/>
                <w:sz w:val="21"/>
              </w:rPr>
              <w:t>NO</w:t>
            </w:r>
            <w:r>
              <w:rPr>
                <w:rFonts w:ascii="Times New Roman" w:eastAsia="Times New Roman"/>
                <w:spacing w:val="14"/>
                <w:position w:val="0"/>
                <w:sz w:val="21"/>
              </w:rPr>
              <w:t xml:space="preserve"> </w:t>
            </w:r>
            <w:r>
              <w:rPr>
                <w:rFonts w:ascii="Times New Roman" w:eastAsia="Times New Roman"/>
                <w:position w:val="6"/>
                <w:sz w:val="13"/>
              </w:rPr>
              <w:t>-</w:t>
            </w:r>
            <w:r>
              <w:rPr>
                <w:spacing w:val="-3"/>
                <w:sz w:val="21"/>
              </w:rPr>
              <w:t>、</w:t>
            </w:r>
            <w:r>
              <w:rPr>
                <w:rFonts w:ascii="Times New Roman" w:eastAsia="Times New Roman"/>
                <w:position w:val="0"/>
                <w:sz w:val="21"/>
              </w:rPr>
              <w:t>Br</w:t>
            </w:r>
            <w:r>
              <w:rPr>
                <w:rFonts w:ascii="Times New Roman" w:eastAsia="Times New Roman"/>
                <w:position w:val="6"/>
                <w:sz w:val="13"/>
              </w:rPr>
              <w:t>-</w:t>
            </w:r>
            <w:r>
              <w:rPr>
                <w:spacing w:val="-3"/>
                <w:sz w:val="21"/>
              </w:rPr>
              <w:t>、</w:t>
            </w:r>
            <w:r>
              <w:rPr>
                <w:rFonts w:ascii="Times New Roman" w:eastAsia="Times New Roman"/>
                <w:position w:val="0"/>
                <w:sz w:val="21"/>
              </w:rPr>
              <w:t>NO</w:t>
            </w:r>
            <w:r>
              <w:rPr>
                <w:rFonts w:ascii="Times New Roman" w:eastAsia="Times New Roman"/>
                <w:spacing w:val="14"/>
                <w:position w:val="0"/>
                <w:sz w:val="21"/>
              </w:rPr>
              <w:t xml:space="preserve"> </w:t>
            </w:r>
            <w:r>
              <w:rPr>
                <w:rFonts w:ascii="Times New Roman" w:eastAsia="Times New Roman"/>
                <w:position w:val="6"/>
                <w:sz w:val="13"/>
              </w:rPr>
              <w:t>-</w:t>
            </w:r>
            <w:r>
              <w:rPr>
                <w:spacing w:val="-3"/>
                <w:sz w:val="21"/>
              </w:rPr>
              <w:t>、</w:t>
            </w:r>
            <w:r>
              <w:rPr>
                <w:rFonts w:ascii="Times New Roman" w:eastAsia="Times New Roman"/>
                <w:position w:val="0"/>
                <w:sz w:val="21"/>
              </w:rPr>
              <w:t>PO</w:t>
            </w:r>
            <w:r>
              <w:rPr>
                <w:rFonts w:ascii="Times New Roman" w:eastAsia="Times New Roman"/>
                <w:spacing w:val="14"/>
                <w:position w:val="0"/>
                <w:sz w:val="21"/>
              </w:rPr>
              <w:t xml:space="preserve"> </w:t>
            </w:r>
            <w:r>
              <w:rPr>
                <w:rFonts w:ascii="Times New Roman" w:eastAsia="Times New Roman"/>
                <w:position w:val="6"/>
                <w:sz w:val="13"/>
              </w:rPr>
              <w:t>3-</w:t>
            </w:r>
            <w:r>
              <w:rPr>
                <w:sz w:val="21"/>
              </w:rPr>
              <w:t>、</w:t>
            </w:r>
            <w:r>
              <w:rPr>
                <w:rFonts w:ascii="Times New Roman" w:eastAsia="Times New Roman"/>
                <w:position w:val="0"/>
                <w:sz w:val="21"/>
              </w:rPr>
              <w:t>SO</w:t>
            </w:r>
            <w:r>
              <w:rPr>
                <w:rFonts w:ascii="Times New Roman" w:eastAsia="Times New Roman"/>
                <w:spacing w:val="15"/>
                <w:position w:val="0"/>
                <w:sz w:val="21"/>
              </w:rPr>
              <w:t xml:space="preserve"> </w:t>
            </w:r>
            <w:r>
              <w:rPr>
                <w:rFonts w:ascii="Times New Roman" w:eastAsia="Times New Roman"/>
                <w:position w:val="6"/>
                <w:sz w:val="13"/>
              </w:rPr>
              <w:t>2-</w:t>
            </w:r>
            <w:r>
              <w:rPr>
                <w:spacing w:val="-3"/>
                <w:sz w:val="21"/>
              </w:rPr>
              <w:t>、</w:t>
            </w:r>
            <w:r>
              <w:rPr>
                <w:rFonts w:ascii="Times New Roman" w:eastAsia="Times New Roman"/>
                <w:position w:val="0"/>
                <w:sz w:val="21"/>
              </w:rPr>
              <w:t>SO</w:t>
            </w:r>
            <w:r>
              <w:rPr>
                <w:rFonts w:ascii="Times New Roman" w:eastAsia="Times New Roman"/>
                <w:position w:val="0"/>
                <w:sz w:val="21"/>
                <w:vertAlign w:val="subscript"/>
              </w:rPr>
              <w:t>4</w:t>
            </w:r>
            <w:r>
              <w:rPr>
                <w:rFonts w:ascii="Times New Roman" w:eastAsia="Times New Roman"/>
                <w:position w:val="6"/>
                <w:sz w:val="13"/>
                <w:vertAlign w:val="baseline"/>
              </w:rPr>
              <w:t>2-</w:t>
            </w:r>
            <w:r>
              <w:rPr>
                <w:sz w:val="21"/>
                <w:vertAlign w:val="baseline"/>
              </w:rPr>
              <w:t>）的测定离子色</w:t>
            </w:r>
          </w:p>
          <w:p>
            <w:pPr>
              <w:pStyle w:val="19"/>
              <w:tabs>
                <w:tab w:val="left" w:pos="3904"/>
                <w:tab w:val="left" w:pos="4492"/>
                <w:tab w:val="left" w:pos="5150"/>
              </w:tabs>
              <w:spacing w:line="74" w:lineRule="exact"/>
              <w:ind w:left="2817"/>
              <w:jc w:val="left"/>
              <w:rPr>
                <w:rFonts w:ascii="Times New Roman"/>
                <w:sz w:val="13"/>
              </w:rPr>
            </w:pPr>
            <w:r>
              <w:rPr>
                <w:rFonts w:ascii="Times New Roman"/>
                <w:w w:val="105"/>
                <w:sz w:val="13"/>
              </w:rPr>
              <w:t>2</w:t>
            </w:r>
            <w:r>
              <w:rPr>
                <w:rFonts w:ascii="Times New Roman"/>
                <w:w w:val="105"/>
                <w:sz w:val="13"/>
              </w:rPr>
              <w:tab/>
            </w:r>
            <w:r>
              <w:rPr>
                <w:rFonts w:ascii="Times New Roman"/>
                <w:w w:val="105"/>
                <w:sz w:val="13"/>
              </w:rPr>
              <w:t>3</w:t>
            </w:r>
            <w:r>
              <w:rPr>
                <w:rFonts w:ascii="Times New Roman"/>
                <w:w w:val="105"/>
                <w:sz w:val="13"/>
              </w:rPr>
              <w:tab/>
            </w:r>
            <w:r>
              <w:rPr>
                <w:rFonts w:ascii="Times New Roman"/>
                <w:w w:val="105"/>
                <w:sz w:val="13"/>
              </w:rPr>
              <w:t>4</w:t>
            </w:r>
            <w:r>
              <w:rPr>
                <w:rFonts w:ascii="Times New Roman"/>
                <w:w w:val="105"/>
                <w:sz w:val="13"/>
              </w:rPr>
              <w:tab/>
            </w:r>
            <w:r>
              <w:rPr>
                <w:rFonts w:ascii="Times New Roman"/>
                <w:w w:val="105"/>
                <w:sz w:val="13"/>
              </w:rPr>
              <w:t>3</w:t>
            </w:r>
          </w:p>
          <w:p>
            <w:pPr>
              <w:pStyle w:val="19"/>
              <w:spacing w:before="62"/>
              <w:ind w:left="21"/>
              <w:rPr>
                <w:rFonts w:ascii="Times New Roman" w:eastAsia="Times New Roman"/>
                <w:sz w:val="21"/>
              </w:rPr>
            </w:pPr>
            <w:r>
              <w:rPr>
                <w:position w:val="1"/>
                <w:sz w:val="21"/>
              </w:rPr>
              <w:t xml:space="preserve">谱法 </w:t>
            </w:r>
            <w:r>
              <w:rPr>
                <w:rFonts w:ascii="Times New Roman" w:eastAsia="Times New Roman"/>
                <w:sz w:val="21"/>
              </w:rPr>
              <w:t>HJ84-2016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1606" w:type="dxa"/>
            <w:tcBorders>
              <w:top w:val="single" w:color="000000" w:sz="4" w:space="0"/>
              <w:bottom w:val="single" w:color="000000" w:sz="4" w:space="0"/>
              <w:right w:val="single" w:color="000000" w:sz="4" w:space="0"/>
            </w:tcBorders>
          </w:tcPr>
          <w:p>
            <w:pPr>
              <w:pStyle w:val="19"/>
              <w:spacing w:before="164"/>
              <w:ind w:left="151" w:right="137"/>
              <w:rPr>
                <w:sz w:val="21"/>
              </w:rPr>
            </w:pPr>
            <w:r>
              <w:rPr>
                <w:sz w:val="21"/>
              </w:rPr>
              <w:t>碳酸根离子</w:t>
            </w:r>
          </w:p>
        </w:tc>
        <w:tc>
          <w:tcPr>
            <w:tcW w:w="7454" w:type="dxa"/>
            <w:tcBorders>
              <w:top w:val="single" w:color="000000" w:sz="4" w:space="0"/>
              <w:left w:val="single" w:color="000000" w:sz="4" w:space="0"/>
              <w:bottom w:val="single" w:color="000000" w:sz="4" w:space="0"/>
            </w:tcBorders>
          </w:tcPr>
          <w:p>
            <w:pPr>
              <w:pStyle w:val="19"/>
              <w:spacing w:before="1"/>
              <w:ind w:left="24"/>
              <w:rPr>
                <w:sz w:val="21"/>
              </w:rPr>
            </w:pPr>
            <w:r>
              <w:rPr>
                <w:spacing w:val="-4"/>
                <w:w w:val="95"/>
                <w:sz w:val="21"/>
              </w:rPr>
              <w:t>酸度酸碱指示剂滴定法《水和废水监测分析方法》</w:t>
            </w:r>
            <w:r>
              <w:rPr>
                <w:rFonts w:ascii="Times New Roman" w:eastAsia="Times New Roman"/>
                <w:w w:val="95"/>
                <w:sz w:val="21"/>
              </w:rPr>
              <w:t>(</w:t>
            </w:r>
            <w:r>
              <w:rPr>
                <w:w w:val="95"/>
                <w:sz w:val="21"/>
              </w:rPr>
              <w:t>第四版增补版</w:t>
            </w:r>
            <w:r>
              <w:rPr>
                <w:rFonts w:ascii="Times New Roman" w:eastAsia="Times New Roman"/>
                <w:w w:val="95"/>
                <w:sz w:val="21"/>
              </w:rPr>
              <w:t>)</w:t>
            </w:r>
            <w:r>
              <w:rPr>
                <w:w w:val="95"/>
                <w:sz w:val="21"/>
              </w:rPr>
              <w:t>国家环境保护总</w:t>
            </w:r>
          </w:p>
          <w:p>
            <w:pPr>
              <w:pStyle w:val="19"/>
              <w:spacing w:before="57"/>
              <w:ind w:left="18"/>
              <w:rPr>
                <w:rFonts w:ascii="Times New Roman" w:eastAsia="Times New Roman"/>
                <w:sz w:val="21"/>
              </w:rPr>
            </w:pPr>
            <w:r>
              <w:rPr>
                <w:sz w:val="21"/>
              </w:rPr>
              <w:t>局</w:t>
            </w:r>
            <w:r>
              <w:rPr>
                <w:rFonts w:ascii="Times New Roman" w:eastAsia="Times New Roman"/>
                <w:sz w:val="21"/>
              </w:rPr>
              <w:t xml:space="preserve">(2002 </w:t>
            </w:r>
            <w:r>
              <w:rPr>
                <w:sz w:val="21"/>
              </w:rPr>
              <w:t>年</w:t>
            </w:r>
            <w:r>
              <w:rPr>
                <w:rFonts w:ascii="Times New Roman" w:eastAsia="Times New Roman"/>
                <w:sz w:val="21"/>
              </w:rPr>
              <w:t>)P116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1606" w:type="dxa"/>
            <w:tcBorders>
              <w:top w:val="single" w:color="000000" w:sz="4" w:space="0"/>
              <w:right w:val="single" w:color="000000" w:sz="4" w:space="0"/>
            </w:tcBorders>
          </w:tcPr>
          <w:p>
            <w:pPr>
              <w:pStyle w:val="19"/>
              <w:spacing w:before="163"/>
              <w:ind w:left="154" w:right="137"/>
              <w:rPr>
                <w:sz w:val="21"/>
              </w:rPr>
            </w:pPr>
            <w:r>
              <w:rPr>
                <w:sz w:val="21"/>
              </w:rPr>
              <w:t>碳酸氢根离子</w:t>
            </w:r>
          </w:p>
        </w:tc>
        <w:tc>
          <w:tcPr>
            <w:tcW w:w="7454" w:type="dxa"/>
            <w:tcBorders>
              <w:top w:val="single" w:color="000000" w:sz="4" w:space="0"/>
              <w:left w:val="single" w:color="000000" w:sz="4" w:space="0"/>
            </w:tcBorders>
          </w:tcPr>
          <w:p>
            <w:pPr>
              <w:pStyle w:val="19"/>
              <w:spacing w:line="269" w:lineRule="exact"/>
              <w:ind w:left="24"/>
              <w:rPr>
                <w:sz w:val="21"/>
              </w:rPr>
            </w:pPr>
            <w:r>
              <w:rPr>
                <w:spacing w:val="-4"/>
                <w:w w:val="95"/>
                <w:sz w:val="21"/>
              </w:rPr>
              <w:t>碱度酸碱指示剂滴定法《水和废水监测分析方法》</w:t>
            </w:r>
            <w:r>
              <w:rPr>
                <w:rFonts w:ascii="Times New Roman" w:eastAsia="Times New Roman"/>
                <w:w w:val="95"/>
                <w:sz w:val="21"/>
              </w:rPr>
              <w:t>(</w:t>
            </w:r>
            <w:r>
              <w:rPr>
                <w:w w:val="95"/>
                <w:sz w:val="21"/>
              </w:rPr>
              <w:t>第四版增补版</w:t>
            </w:r>
            <w:r>
              <w:rPr>
                <w:rFonts w:ascii="Times New Roman" w:eastAsia="Times New Roman"/>
                <w:w w:val="95"/>
                <w:sz w:val="21"/>
              </w:rPr>
              <w:t>)</w:t>
            </w:r>
            <w:r>
              <w:rPr>
                <w:w w:val="95"/>
                <w:sz w:val="21"/>
              </w:rPr>
              <w:t>国家环境保护总</w:t>
            </w:r>
          </w:p>
          <w:p>
            <w:pPr>
              <w:pStyle w:val="19"/>
              <w:spacing w:before="57"/>
              <w:ind w:left="18"/>
              <w:rPr>
                <w:rFonts w:ascii="Times New Roman" w:eastAsia="Times New Roman"/>
                <w:sz w:val="21"/>
              </w:rPr>
            </w:pPr>
            <w:r>
              <w:rPr>
                <w:sz w:val="21"/>
              </w:rPr>
              <w:t>局</w:t>
            </w:r>
            <w:r>
              <w:rPr>
                <w:rFonts w:ascii="Times New Roman" w:eastAsia="Times New Roman"/>
                <w:sz w:val="21"/>
              </w:rPr>
              <w:t xml:space="preserve">(2002 </w:t>
            </w:r>
            <w:r>
              <w:rPr>
                <w:sz w:val="21"/>
              </w:rPr>
              <w:t>年</w:t>
            </w:r>
            <w:r>
              <w:rPr>
                <w:rFonts w:ascii="Times New Roman" w:eastAsia="Times New Roman"/>
                <w:sz w:val="21"/>
              </w:rPr>
              <w:t>)P121</w:t>
            </w:r>
          </w:p>
        </w:tc>
      </w:tr>
    </w:tbl>
    <w:p>
      <w:pPr>
        <w:pStyle w:val="6"/>
        <w:numPr>
          <w:ilvl w:val="2"/>
          <w:numId w:val="60"/>
        </w:numPr>
        <w:tabs>
          <w:tab w:val="left" w:pos="2048"/>
        </w:tabs>
        <w:spacing w:before="3" w:after="0" w:line="240" w:lineRule="auto"/>
        <w:ind w:left="2047" w:right="0" w:hanging="630"/>
        <w:jc w:val="left"/>
      </w:pPr>
      <w:bookmarkStart w:id="294" w:name="5.3.2地下水环境质量现状评价"/>
      <w:bookmarkEnd w:id="294"/>
      <w:bookmarkStart w:id="295" w:name="5.3.2地下水环境质量现状评价"/>
      <w:bookmarkEnd w:id="295"/>
      <w:r>
        <w:t>地下水环境质量现状评价</w:t>
      </w:r>
    </w:p>
    <w:p>
      <w:pPr>
        <w:pStyle w:val="8"/>
        <w:numPr>
          <w:ilvl w:val="3"/>
          <w:numId w:val="62"/>
        </w:numPr>
        <w:tabs>
          <w:tab w:val="left" w:pos="2139"/>
        </w:tabs>
        <w:spacing w:before="186" w:after="0" w:line="240" w:lineRule="auto"/>
        <w:ind w:left="2138" w:right="0" w:hanging="721"/>
        <w:jc w:val="left"/>
      </w:pPr>
      <w:bookmarkStart w:id="296" w:name="5.3.2.1评价范围"/>
      <w:bookmarkEnd w:id="296"/>
      <w:bookmarkStart w:id="297" w:name="5.3.2.1评价范围"/>
      <w:bookmarkEnd w:id="297"/>
      <w:r>
        <w:t>评价范围</w:t>
      </w:r>
    </w:p>
    <w:p>
      <w:pPr>
        <w:pStyle w:val="9"/>
        <w:spacing w:before="158"/>
        <w:ind w:left="1898"/>
      </w:pPr>
      <w:r>
        <w:t>同现状监测范围。</w:t>
      </w:r>
    </w:p>
    <w:p>
      <w:pPr>
        <w:pStyle w:val="8"/>
        <w:numPr>
          <w:ilvl w:val="3"/>
          <w:numId w:val="62"/>
        </w:numPr>
        <w:tabs>
          <w:tab w:val="left" w:pos="2139"/>
        </w:tabs>
        <w:spacing w:before="160" w:after="0" w:line="240" w:lineRule="auto"/>
        <w:ind w:left="2138" w:right="0" w:hanging="721"/>
        <w:jc w:val="left"/>
      </w:pPr>
      <w:bookmarkStart w:id="298" w:name="5.3.2.2评价参数"/>
      <w:bookmarkEnd w:id="298"/>
      <w:bookmarkStart w:id="299" w:name="5.3.2.2评价参数"/>
      <w:bookmarkEnd w:id="299"/>
      <w:r>
        <w:t>评价参数</w:t>
      </w:r>
    </w:p>
    <w:p>
      <w:pPr>
        <w:pStyle w:val="9"/>
        <w:spacing w:before="158"/>
        <w:ind w:left="1898"/>
      </w:pPr>
      <w:r>
        <w:t>根据地下水的使用功能及水质特点，所有监测项目均作为评价参数。</w:t>
      </w:r>
    </w:p>
    <w:p>
      <w:pPr>
        <w:pStyle w:val="8"/>
        <w:numPr>
          <w:ilvl w:val="3"/>
          <w:numId w:val="62"/>
        </w:numPr>
        <w:tabs>
          <w:tab w:val="left" w:pos="2139"/>
        </w:tabs>
        <w:spacing w:before="161" w:after="0" w:line="240" w:lineRule="auto"/>
        <w:ind w:left="2138" w:right="0" w:hanging="721"/>
        <w:jc w:val="left"/>
      </w:pPr>
      <w:bookmarkStart w:id="300" w:name="5.3.2.3评价标准"/>
      <w:bookmarkEnd w:id="300"/>
      <w:bookmarkStart w:id="301" w:name="5.3.2.3评价标准"/>
      <w:bookmarkEnd w:id="301"/>
      <w:r>
        <w:t>评价标准</w:t>
      </w:r>
    </w:p>
    <w:p>
      <w:pPr>
        <w:spacing w:after="0" w:line="240" w:lineRule="auto"/>
        <w:jc w:val="left"/>
        <w:sectPr>
          <w:pgSz w:w="11910" w:h="16840"/>
          <w:pgMar w:top="1400" w:right="0" w:bottom="880" w:left="0" w:header="0" w:footer="681" w:gutter="0"/>
        </w:sectPr>
      </w:pPr>
    </w:p>
    <w:p>
      <w:pPr>
        <w:pStyle w:val="9"/>
        <w:spacing w:before="41" w:line="364" w:lineRule="auto"/>
        <w:ind w:left="1418" w:right="1411" w:firstLine="480"/>
        <w:jc w:val="both"/>
      </w:pPr>
      <w:r>
        <w:t>根据评价区地下水水质状况和使用功能，地下水评价执行《地下水质量标准》</w:t>
      </w:r>
      <w:r>
        <w:rPr>
          <w:rFonts w:ascii="Times New Roman" w:hAnsi="Times New Roman" w:eastAsia="Times New Roman"/>
        </w:rPr>
        <w:t>(GB/T14848-2017)</w:t>
      </w:r>
      <w:r>
        <w:t>Ⅲ类标准，Ⅲ类以人体健康基准值为依据，具体指标的评价标准见下表。</w:t>
      </w:r>
    </w:p>
    <w:p>
      <w:pPr>
        <w:spacing w:before="0" w:line="268" w:lineRule="exact"/>
        <w:ind w:left="425" w:right="0" w:firstLine="0"/>
        <w:jc w:val="center"/>
        <w:rPr>
          <w:b/>
          <w:sz w:val="21"/>
        </w:rPr>
      </w:pPr>
      <w:r>
        <w:rPr>
          <w:b/>
          <w:spacing w:val="-26"/>
          <w:sz w:val="21"/>
        </w:rPr>
        <w:t xml:space="preserve">表 </w:t>
      </w:r>
      <w:r>
        <w:rPr>
          <w:rFonts w:ascii="Times New Roman" w:eastAsia="Times New Roman"/>
          <w:b/>
          <w:sz w:val="21"/>
        </w:rPr>
        <w:t>5.3-3</w:t>
      </w:r>
      <w:r>
        <w:rPr>
          <w:rFonts w:ascii="Times New Roman" w:eastAsia="Times New Roman"/>
          <w:b/>
          <w:spacing w:val="52"/>
          <w:sz w:val="21"/>
        </w:rPr>
        <w:t xml:space="preserve"> </w:t>
      </w:r>
      <w:r>
        <w:rPr>
          <w:b/>
          <w:sz w:val="21"/>
        </w:rPr>
        <w:t>地下水质量标准表</w:t>
      </w:r>
    </w:p>
    <w:p>
      <w:pPr>
        <w:pStyle w:val="9"/>
        <w:spacing w:before="10"/>
        <w:rPr>
          <w:b/>
          <w:sz w:val="10"/>
        </w:rPr>
      </w:pPr>
    </w:p>
    <w:tbl>
      <w:tblPr>
        <w:tblStyle w:val="15"/>
        <w:tblW w:w="0" w:type="auto"/>
        <w:tblInd w:w="13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36"/>
        <w:gridCol w:w="1326"/>
        <w:gridCol w:w="1324"/>
        <w:gridCol w:w="1335"/>
        <w:gridCol w:w="1833"/>
        <w:gridCol w:w="132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1" w:hRule="atLeast"/>
        </w:trPr>
        <w:tc>
          <w:tcPr>
            <w:tcW w:w="2136" w:type="dxa"/>
            <w:tcBorders>
              <w:bottom w:val="single" w:color="000000" w:sz="4" w:space="0"/>
              <w:right w:val="single" w:color="000000" w:sz="4" w:space="0"/>
            </w:tcBorders>
          </w:tcPr>
          <w:p>
            <w:pPr>
              <w:pStyle w:val="19"/>
              <w:jc w:val="left"/>
              <w:rPr>
                <w:rFonts w:ascii="Times New Roman"/>
                <w:sz w:val="20"/>
              </w:rPr>
            </w:pPr>
          </w:p>
        </w:tc>
        <w:tc>
          <w:tcPr>
            <w:tcW w:w="1326" w:type="dxa"/>
            <w:tcBorders>
              <w:left w:val="single" w:color="000000" w:sz="4" w:space="0"/>
              <w:bottom w:val="single" w:color="000000" w:sz="4" w:space="0"/>
              <w:right w:val="single" w:color="000000" w:sz="4" w:space="0"/>
            </w:tcBorders>
          </w:tcPr>
          <w:p>
            <w:pPr>
              <w:pStyle w:val="19"/>
              <w:spacing w:before="3"/>
              <w:ind w:left="84" w:right="67"/>
              <w:rPr>
                <w:sz w:val="21"/>
              </w:rPr>
            </w:pPr>
            <w:r>
              <w:rPr>
                <w:sz w:val="21"/>
              </w:rPr>
              <w:t>Ⅰ类</w:t>
            </w:r>
          </w:p>
        </w:tc>
        <w:tc>
          <w:tcPr>
            <w:tcW w:w="1324" w:type="dxa"/>
            <w:tcBorders>
              <w:left w:val="single" w:color="000000" w:sz="4" w:space="0"/>
              <w:bottom w:val="single" w:color="000000" w:sz="4" w:space="0"/>
              <w:right w:val="single" w:color="000000" w:sz="4" w:space="0"/>
            </w:tcBorders>
          </w:tcPr>
          <w:p>
            <w:pPr>
              <w:pStyle w:val="19"/>
              <w:spacing w:before="3"/>
              <w:ind w:left="298" w:right="281"/>
              <w:rPr>
                <w:sz w:val="21"/>
              </w:rPr>
            </w:pPr>
            <w:r>
              <w:rPr>
                <w:sz w:val="21"/>
              </w:rPr>
              <w:t>Ⅱ类</w:t>
            </w:r>
          </w:p>
        </w:tc>
        <w:tc>
          <w:tcPr>
            <w:tcW w:w="1335" w:type="dxa"/>
            <w:tcBorders>
              <w:left w:val="single" w:color="000000" w:sz="4" w:space="0"/>
              <w:bottom w:val="single" w:color="000000" w:sz="4" w:space="0"/>
              <w:right w:val="single" w:color="000000" w:sz="4" w:space="0"/>
            </w:tcBorders>
          </w:tcPr>
          <w:p>
            <w:pPr>
              <w:pStyle w:val="19"/>
              <w:spacing w:before="3"/>
              <w:ind w:left="355" w:right="338"/>
              <w:rPr>
                <w:b/>
                <w:sz w:val="21"/>
              </w:rPr>
            </w:pPr>
            <w:r>
              <w:rPr>
                <w:b/>
                <w:sz w:val="21"/>
              </w:rPr>
              <w:t>Ⅲ类</w:t>
            </w:r>
          </w:p>
        </w:tc>
        <w:tc>
          <w:tcPr>
            <w:tcW w:w="1833" w:type="dxa"/>
            <w:tcBorders>
              <w:left w:val="single" w:color="000000" w:sz="4" w:space="0"/>
              <w:bottom w:val="single" w:color="000000" w:sz="4" w:space="0"/>
              <w:right w:val="single" w:color="000000" w:sz="4" w:space="0"/>
            </w:tcBorders>
          </w:tcPr>
          <w:p>
            <w:pPr>
              <w:pStyle w:val="19"/>
              <w:spacing w:before="3"/>
              <w:ind w:left="532" w:right="515"/>
              <w:rPr>
                <w:sz w:val="21"/>
              </w:rPr>
            </w:pPr>
            <w:r>
              <w:rPr>
                <w:sz w:val="21"/>
              </w:rPr>
              <w:t>Ⅳ类</w:t>
            </w:r>
          </w:p>
        </w:tc>
        <w:tc>
          <w:tcPr>
            <w:tcW w:w="1326" w:type="dxa"/>
            <w:tcBorders>
              <w:left w:val="single" w:color="000000" w:sz="4" w:space="0"/>
              <w:bottom w:val="single" w:color="000000" w:sz="4" w:space="0"/>
            </w:tcBorders>
          </w:tcPr>
          <w:p>
            <w:pPr>
              <w:pStyle w:val="19"/>
              <w:spacing w:before="3"/>
              <w:ind w:left="136" w:right="115"/>
              <w:rPr>
                <w:sz w:val="21"/>
              </w:rPr>
            </w:pPr>
            <w:r>
              <w:rPr>
                <w:rFonts w:ascii="Times New Roman" w:eastAsia="Times New Roman"/>
                <w:sz w:val="21"/>
              </w:rPr>
              <w:t xml:space="preserve">V </w:t>
            </w:r>
            <w:r>
              <w:rPr>
                <w:sz w:val="21"/>
              </w:rPr>
              <w:t>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2136" w:type="dxa"/>
            <w:tcBorders>
              <w:top w:val="single" w:color="000000" w:sz="4" w:space="0"/>
              <w:bottom w:val="single" w:color="000000" w:sz="4" w:space="0"/>
              <w:right w:val="single" w:color="000000" w:sz="4" w:space="0"/>
            </w:tcBorders>
          </w:tcPr>
          <w:p>
            <w:pPr>
              <w:pStyle w:val="19"/>
              <w:spacing w:before="163"/>
              <w:ind w:left="309" w:right="298"/>
              <w:rPr>
                <w:sz w:val="21"/>
              </w:rPr>
            </w:pPr>
            <w:r>
              <w:rPr>
                <w:rFonts w:ascii="Times New Roman" w:eastAsia="Times New Roman"/>
                <w:sz w:val="21"/>
              </w:rPr>
              <w:t xml:space="preserve">pH </w:t>
            </w:r>
            <w:r>
              <w:rPr>
                <w:sz w:val="21"/>
              </w:rPr>
              <w:t>值</w:t>
            </w:r>
          </w:p>
        </w:tc>
        <w:tc>
          <w:tcPr>
            <w:tcW w:w="3985" w:type="dxa"/>
            <w:gridSpan w:val="3"/>
            <w:tcBorders>
              <w:top w:val="single" w:color="000000" w:sz="4" w:space="0"/>
              <w:left w:val="single" w:color="000000" w:sz="4" w:space="0"/>
              <w:bottom w:val="single" w:color="000000" w:sz="4" w:space="0"/>
              <w:right w:val="single" w:color="000000" w:sz="4" w:space="0"/>
            </w:tcBorders>
          </w:tcPr>
          <w:p>
            <w:pPr>
              <w:pStyle w:val="19"/>
              <w:spacing w:before="163"/>
              <w:ind w:left="1609" w:right="1590"/>
              <w:rPr>
                <w:rFonts w:ascii="Times New Roman" w:eastAsia="Times New Roman"/>
                <w:b/>
                <w:sz w:val="21"/>
              </w:rPr>
            </w:pPr>
            <w:r>
              <w:rPr>
                <w:rFonts w:ascii="Times New Roman" w:eastAsia="Times New Roman"/>
                <w:b/>
                <w:sz w:val="21"/>
              </w:rPr>
              <w:t>6.5</w:t>
            </w:r>
            <w:r>
              <w:rPr>
                <w:b/>
                <w:sz w:val="21"/>
              </w:rPr>
              <w:t>～</w:t>
            </w:r>
            <w:r>
              <w:rPr>
                <w:rFonts w:ascii="Times New Roman" w:eastAsia="Times New Roman"/>
                <w:b/>
                <w:sz w:val="21"/>
              </w:rPr>
              <w:t>8.5</w:t>
            </w:r>
          </w:p>
        </w:tc>
        <w:tc>
          <w:tcPr>
            <w:tcW w:w="1833" w:type="dxa"/>
            <w:tcBorders>
              <w:top w:val="single" w:color="000000" w:sz="4" w:space="0"/>
              <w:left w:val="single" w:color="000000" w:sz="4" w:space="0"/>
              <w:bottom w:val="single" w:color="000000" w:sz="4" w:space="0"/>
              <w:right w:val="single" w:color="000000" w:sz="4" w:space="0"/>
            </w:tcBorders>
          </w:tcPr>
          <w:p>
            <w:pPr>
              <w:pStyle w:val="19"/>
              <w:ind w:left="533" w:right="515"/>
              <w:rPr>
                <w:rFonts w:ascii="Times New Roman" w:eastAsia="Times New Roman"/>
                <w:sz w:val="21"/>
              </w:rPr>
            </w:pPr>
            <w:r>
              <w:rPr>
                <w:rFonts w:ascii="Times New Roman" w:eastAsia="Times New Roman"/>
                <w:sz w:val="21"/>
              </w:rPr>
              <w:t>5.5</w:t>
            </w:r>
            <w:r>
              <w:rPr>
                <w:sz w:val="21"/>
              </w:rPr>
              <w:t>～</w:t>
            </w:r>
            <w:r>
              <w:rPr>
                <w:rFonts w:ascii="Times New Roman" w:eastAsia="Times New Roman"/>
                <w:sz w:val="21"/>
              </w:rPr>
              <w:t>6.5</w:t>
            </w:r>
          </w:p>
          <w:p>
            <w:pPr>
              <w:pStyle w:val="19"/>
              <w:spacing w:before="57"/>
              <w:ind w:left="533" w:right="515"/>
              <w:rPr>
                <w:rFonts w:ascii="Times New Roman" w:eastAsia="Times New Roman"/>
                <w:sz w:val="21"/>
              </w:rPr>
            </w:pPr>
            <w:r>
              <w:rPr>
                <w:rFonts w:ascii="Times New Roman" w:eastAsia="Times New Roman"/>
                <w:sz w:val="21"/>
              </w:rPr>
              <w:t>8.5</w:t>
            </w:r>
            <w:r>
              <w:rPr>
                <w:sz w:val="21"/>
              </w:rPr>
              <w:t>～</w:t>
            </w:r>
            <w:r>
              <w:rPr>
                <w:rFonts w:ascii="Times New Roman" w:eastAsia="Times New Roman"/>
                <w:sz w:val="21"/>
              </w:rPr>
              <w:t>9</w:t>
            </w:r>
          </w:p>
        </w:tc>
        <w:tc>
          <w:tcPr>
            <w:tcW w:w="1326" w:type="dxa"/>
            <w:tcBorders>
              <w:top w:val="single" w:color="000000" w:sz="4" w:space="0"/>
              <w:left w:val="single" w:color="000000" w:sz="4" w:space="0"/>
              <w:bottom w:val="single" w:color="000000" w:sz="4" w:space="0"/>
            </w:tcBorders>
          </w:tcPr>
          <w:p>
            <w:pPr>
              <w:pStyle w:val="19"/>
              <w:spacing w:before="163"/>
              <w:ind w:left="136" w:right="113"/>
              <w:rPr>
                <w:rFonts w:ascii="Times New Roman" w:eastAsia="Times New Roman"/>
                <w:sz w:val="21"/>
              </w:rPr>
            </w:pPr>
            <w:r>
              <w:rPr>
                <w:rFonts w:ascii="Times New Roman" w:eastAsia="Times New Roman"/>
                <w:sz w:val="21"/>
              </w:rPr>
              <w:t>&lt;5.5</w:t>
            </w:r>
            <w:r>
              <w:rPr>
                <w:sz w:val="21"/>
              </w:rPr>
              <w:t>，</w:t>
            </w:r>
            <w:r>
              <w:rPr>
                <w:rFonts w:ascii="Times New Roman" w:eastAsia="Times New Roman"/>
                <w:sz w:val="21"/>
              </w:rPr>
              <w:t>&gt;9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bottom w:val="single" w:color="000000" w:sz="4" w:space="0"/>
              <w:right w:val="single" w:color="000000" w:sz="4" w:space="0"/>
            </w:tcBorders>
          </w:tcPr>
          <w:p>
            <w:pPr>
              <w:pStyle w:val="19"/>
              <w:ind w:left="311" w:right="298"/>
              <w:rPr>
                <w:sz w:val="21"/>
              </w:rPr>
            </w:pPr>
            <w:r>
              <w:rPr>
                <w:sz w:val="21"/>
              </w:rPr>
              <w:t>氨氮</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7"/>
              <w:ind w:left="426"/>
              <w:jc w:val="left"/>
              <w:rPr>
                <w:rFonts w:ascii="Times New Roman" w:hAnsi="Times New Roman"/>
                <w:sz w:val="21"/>
              </w:rPr>
            </w:pPr>
            <w:r>
              <w:rPr>
                <w:rFonts w:ascii="Times New Roman" w:hAnsi="Times New Roman"/>
                <w:sz w:val="21"/>
              </w:rPr>
              <w:t>≤0.02</w:t>
            </w:r>
          </w:p>
        </w:tc>
        <w:tc>
          <w:tcPr>
            <w:tcW w:w="1324" w:type="dxa"/>
            <w:tcBorders>
              <w:top w:val="single" w:color="000000" w:sz="4" w:space="0"/>
              <w:left w:val="single" w:color="000000" w:sz="4" w:space="0"/>
              <w:bottom w:val="single" w:color="000000" w:sz="4" w:space="0"/>
              <w:right w:val="single" w:color="000000" w:sz="4" w:space="0"/>
            </w:tcBorders>
          </w:tcPr>
          <w:p>
            <w:pPr>
              <w:pStyle w:val="19"/>
              <w:spacing w:before="17"/>
              <w:ind w:left="299" w:right="279"/>
              <w:rPr>
                <w:rFonts w:ascii="Times New Roman" w:hAnsi="Times New Roman"/>
                <w:sz w:val="21"/>
              </w:rPr>
            </w:pPr>
            <w:r>
              <w:rPr>
                <w:rFonts w:ascii="Times New Roman" w:hAnsi="Times New Roman"/>
                <w:sz w:val="21"/>
              </w:rPr>
              <w:t>≤0.10</w:t>
            </w:r>
          </w:p>
        </w:tc>
        <w:tc>
          <w:tcPr>
            <w:tcW w:w="1335" w:type="dxa"/>
            <w:tcBorders>
              <w:top w:val="single" w:color="000000" w:sz="4" w:space="0"/>
              <w:left w:val="single" w:color="000000" w:sz="4" w:space="0"/>
              <w:bottom w:val="single" w:color="000000" w:sz="4" w:space="0"/>
              <w:right w:val="single" w:color="000000" w:sz="4" w:space="0"/>
            </w:tcBorders>
          </w:tcPr>
          <w:p>
            <w:pPr>
              <w:pStyle w:val="19"/>
              <w:spacing w:before="34"/>
              <w:ind w:left="359" w:right="338"/>
              <w:rPr>
                <w:rFonts w:ascii="Times New Roman" w:hAnsi="Times New Roman"/>
                <w:b/>
                <w:sz w:val="21"/>
              </w:rPr>
            </w:pPr>
            <w:r>
              <w:rPr>
                <w:rFonts w:ascii="Times New Roman" w:hAnsi="Times New Roman"/>
                <w:b/>
                <w:sz w:val="21"/>
              </w:rPr>
              <w:t>≤0.50</w:t>
            </w:r>
          </w:p>
        </w:tc>
        <w:tc>
          <w:tcPr>
            <w:tcW w:w="1833" w:type="dxa"/>
            <w:tcBorders>
              <w:top w:val="single" w:color="000000" w:sz="4" w:space="0"/>
              <w:left w:val="single" w:color="000000" w:sz="4" w:space="0"/>
              <w:bottom w:val="single" w:color="000000" w:sz="4" w:space="0"/>
              <w:right w:val="single" w:color="000000" w:sz="4" w:space="0"/>
            </w:tcBorders>
          </w:tcPr>
          <w:p>
            <w:pPr>
              <w:pStyle w:val="19"/>
              <w:spacing w:before="17"/>
              <w:ind w:left="533" w:right="512"/>
              <w:rPr>
                <w:rFonts w:ascii="Times New Roman" w:hAnsi="Times New Roman"/>
                <w:sz w:val="21"/>
              </w:rPr>
            </w:pPr>
            <w:r>
              <w:rPr>
                <w:rFonts w:ascii="Times New Roman" w:hAnsi="Times New Roman"/>
                <w:sz w:val="21"/>
              </w:rPr>
              <w:t>≤1.5</w:t>
            </w:r>
          </w:p>
        </w:tc>
        <w:tc>
          <w:tcPr>
            <w:tcW w:w="1326" w:type="dxa"/>
            <w:tcBorders>
              <w:top w:val="single" w:color="000000" w:sz="4" w:space="0"/>
              <w:left w:val="single" w:color="000000" w:sz="4" w:space="0"/>
              <w:bottom w:val="single" w:color="000000" w:sz="4" w:space="0"/>
            </w:tcBorders>
          </w:tcPr>
          <w:p>
            <w:pPr>
              <w:pStyle w:val="19"/>
              <w:spacing w:before="17"/>
              <w:ind w:left="136" w:right="113"/>
              <w:rPr>
                <w:rFonts w:ascii="Times New Roman"/>
                <w:sz w:val="21"/>
              </w:rPr>
            </w:pPr>
            <w:r>
              <w:rPr>
                <w:rFonts w:ascii="Times New Roman"/>
                <w:sz w:val="21"/>
              </w:rPr>
              <w:t>&gt;1.5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9"/>
              <w:ind w:left="309" w:right="298"/>
              <w:rPr>
                <w:sz w:val="21"/>
              </w:rPr>
            </w:pPr>
            <w:r>
              <w:rPr>
                <w:sz w:val="21"/>
              </w:rPr>
              <w:t>硝酸盐氮</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6"/>
              <w:ind w:left="85" w:right="67"/>
              <w:rPr>
                <w:rFonts w:ascii="Times New Roman" w:hAnsi="Times New Roman"/>
                <w:sz w:val="21"/>
              </w:rPr>
            </w:pPr>
            <w:r>
              <w:rPr>
                <w:rFonts w:ascii="Times New Roman" w:hAnsi="Times New Roman"/>
                <w:sz w:val="21"/>
              </w:rPr>
              <w:t>≤2.0</w:t>
            </w:r>
          </w:p>
        </w:tc>
        <w:tc>
          <w:tcPr>
            <w:tcW w:w="1324" w:type="dxa"/>
            <w:tcBorders>
              <w:top w:val="single" w:color="000000" w:sz="4" w:space="0"/>
              <w:left w:val="single" w:color="000000" w:sz="4" w:space="0"/>
              <w:bottom w:val="single" w:color="000000" w:sz="4" w:space="0"/>
              <w:right w:val="single" w:color="000000" w:sz="4" w:space="0"/>
            </w:tcBorders>
          </w:tcPr>
          <w:p>
            <w:pPr>
              <w:pStyle w:val="19"/>
              <w:spacing w:before="16"/>
              <w:ind w:left="299" w:right="279"/>
              <w:rPr>
                <w:rFonts w:ascii="Times New Roman" w:hAnsi="Times New Roman"/>
                <w:sz w:val="21"/>
              </w:rPr>
            </w:pPr>
            <w:r>
              <w:rPr>
                <w:rFonts w:ascii="Times New Roman" w:hAnsi="Times New Roman"/>
                <w:sz w:val="21"/>
              </w:rPr>
              <w:t>≤5.0</w:t>
            </w:r>
          </w:p>
        </w:tc>
        <w:tc>
          <w:tcPr>
            <w:tcW w:w="1335" w:type="dxa"/>
            <w:tcBorders>
              <w:top w:val="single" w:color="000000" w:sz="4" w:space="0"/>
              <w:left w:val="single" w:color="000000" w:sz="4" w:space="0"/>
              <w:bottom w:val="single" w:color="000000" w:sz="4" w:space="0"/>
              <w:right w:val="single" w:color="000000" w:sz="4" w:space="0"/>
            </w:tcBorders>
          </w:tcPr>
          <w:p>
            <w:pPr>
              <w:pStyle w:val="19"/>
              <w:spacing w:before="35"/>
              <w:ind w:left="359" w:right="338"/>
              <w:rPr>
                <w:rFonts w:ascii="Times New Roman" w:hAnsi="Times New Roman"/>
                <w:b/>
                <w:sz w:val="21"/>
              </w:rPr>
            </w:pPr>
            <w:r>
              <w:rPr>
                <w:rFonts w:ascii="Times New Roman" w:hAnsi="Times New Roman"/>
                <w:b/>
                <w:sz w:val="21"/>
              </w:rPr>
              <w:t>≤20</w:t>
            </w:r>
          </w:p>
        </w:tc>
        <w:tc>
          <w:tcPr>
            <w:tcW w:w="1833" w:type="dxa"/>
            <w:tcBorders>
              <w:top w:val="single" w:color="000000" w:sz="4" w:space="0"/>
              <w:left w:val="single" w:color="000000" w:sz="4" w:space="0"/>
              <w:bottom w:val="single" w:color="000000" w:sz="4" w:space="0"/>
              <w:right w:val="single" w:color="000000" w:sz="4" w:space="0"/>
            </w:tcBorders>
          </w:tcPr>
          <w:p>
            <w:pPr>
              <w:pStyle w:val="19"/>
              <w:spacing w:before="16"/>
              <w:ind w:left="533" w:right="512"/>
              <w:rPr>
                <w:rFonts w:ascii="Times New Roman" w:hAnsi="Times New Roman"/>
                <w:sz w:val="21"/>
              </w:rPr>
            </w:pPr>
            <w:r>
              <w:rPr>
                <w:rFonts w:ascii="Times New Roman" w:hAnsi="Times New Roman"/>
                <w:sz w:val="21"/>
              </w:rPr>
              <w:t>≤30</w:t>
            </w:r>
          </w:p>
        </w:tc>
        <w:tc>
          <w:tcPr>
            <w:tcW w:w="1326" w:type="dxa"/>
            <w:tcBorders>
              <w:top w:val="single" w:color="000000" w:sz="4" w:space="0"/>
              <w:left w:val="single" w:color="000000" w:sz="4" w:space="0"/>
              <w:bottom w:val="single" w:color="000000" w:sz="4" w:space="0"/>
            </w:tcBorders>
          </w:tcPr>
          <w:p>
            <w:pPr>
              <w:pStyle w:val="19"/>
              <w:spacing w:before="16"/>
              <w:ind w:left="136" w:right="113"/>
              <w:rPr>
                <w:rFonts w:ascii="Times New Roman"/>
                <w:sz w:val="21"/>
              </w:rPr>
            </w:pPr>
            <w:r>
              <w:rPr>
                <w:rFonts w:ascii="Times New Roman"/>
                <w:sz w:val="21"/>
              </w:rPr>
              <w:t>&gt;30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bottom w:val="single" w:color="000000" w:sz="4" w:space="0"/>
              <w:right w:val="single" w:color="000000" w:sz="4" w:space="0"/>
            </w:tcBorders>
          </w:tcPr>
          <w:p>
            <w:pPr>
              <w:pStyle w:val="19"/>
              <w:spacing w:before="1"/>
              <w:ind w:left="309" w:right="298"/>
              <w:rPr>
                <w:sz w:val="21"/>
              </w:rPr>
            </w:pPr>
            <w:r>
              <w:rPr>
                <w:sz w:val="21"/>
              </w:rPr>
              <w:t>亚硝酸盐氮</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7"/>
              <w:ind w:left="426"/>
              <w:jc w:val="left"/>
              <w:rPr>
                <w:rFonts w:ascii="Times New Roman" w:hAnsi="Times New Roman"/>
                <w:sz w:val="21"/>
              </w:rPr>
            </w:pPr>
            <w:r>
              <w:rPr>
                <w:rFonts w:ascii="Times New Roman" w:hAnsi="Times New Roman"/>
                <w:sz w:val="21"/>
              </w:rPr>
              <w:t>≤0.01</w:t>
            </w:r>
          </w:p>
        </w:tc>
        <w:tc>
          <w:tcPr>
            <w:tcW w:w="1324" w:type="dxa"/>
            <w:tcBorders>
              <w:top w:val="single" w:color="000000" w:sz="4" w:space="0"/>
              <w:left w:val="single" w:color="000000" w:sz="4" w:space="0"/>
              <w:bottom w:val="single" w:color="000000" w:sz="4" w:space="0"/>
              <w:right w:val="single" w:color="000000" w:sz="4" w:space="0"/>
            </w:tcBorders>
          </w:tcPr>
          <w:p>
            <w:pPr>
              <w:pStyle w:val="19"/>
              <w:spacing w:before="17"/>
              <w:ind w:left="299" w:right="279"/>
              <w:rPr>
                <w:rFonts w:ascii="Times New Roman" w:hAnsi="Times New Roman"/>
                <w:sz w:val="21"/>
              </w:rPr>
            </w:pPr>
            <w:r>
              <w:rPr>
                <w:rFonts w:ascii="Times New Roman" w:hAnsi="Times New Roman"/>
                <w:sz w:val="21"/>
              </w:rPr>
              <w:t>≤0.10</w:t>
            </w:r>
          </w:p>
        </w:tc>
        <w:tc>
          <w:tcPr>
            <w:tcW w:w="1335" w:type="dxa"/>
            <w:tcBorders>
              <w:top w:val="single" w:color="000000" w:sz="4" w:space="0"/>
              <w:left w:val="single" w:color="000000" w:sz="4" w:space="0"/>
              <w:bottom w:val="single" w:color="000000" w:sz="4" w:space="0"/>
              <w:right w:val="single" w:color="000000" w:sz="4" w:space="0"/>
            </w:tcBorders>
          </w:tcPr>
          <w:p>
            <w:pPr>
              <w:pStyle w:val="19"/>
              <w:spacing w:before="34"/>
              <w:ind w:left="359" w:right="338"/>
              <w:rPr>
                <w:rFonts w:ascii="Times New Roman" w:hAnsi="Times New Roman"/>
                <w:b/>
                <w:sz w:val="21"/>
              </w:rPr>
            </w:pPr>
            <w:r>
              <w:rPr>
                <w:rFonts w:ascii="Times New Roman" w:hAnsi="Times New Roman"/>
                <w:b/>
                <w:sz w:val="21"/>
              </w:rPr>
              <w:t>≤1.00</w:t>
            </w:r>
          </w:p>
        </w:tc>
        <w:tc>
          <w:tcPr>
            <w:tcW w:w="1833" w:type="dxa"/>
            <w:tcBorders>
              <w:top w:val="single" w:color="000000" w:sz="4" w:space="0"/>
              <w:left w:val="single" w:color="000000" w:sz="4" w:space="0"/>
              <w:bottom w:val="single" w:color="000000" w:sz="4" w:space="0"/>
              <w:right w:val="single" w:color="000000" w:sz="4" w:space="0"/>
            </w:tcBorders>
          </w:tcPr>
          <w:p>
            <w:pPr>
              <w:pStyle w:val="19"/>
              <w:spacing w:before="17"/>
              <w:ind w:left="533" w:right="512"/>
              <w:rPr>
                <w:rFonts w:ascii="Times New Roman" w:hAnsi="Times New Roman"/>
                <w:sz w:val="21"/>
              </w:rPr>
            </w:pPr>
            <w:r>
              <w:rPr>
                <w:rFonts w:ascii="Times New Roman" w:hAnsi="Times New Roman"/>
                <w:sz w:val="21"/>
              </w:rPr>
              <w:t>≤4.80</w:t>
            </w:r>
          </w:p>
        </w:tc>
        <w:tc>
          <w:tcPr>
            <w:tcW w:w="1326" w:type="dxa"/>
            <w:tcBorders>
              <w:top w:val="single" w:color="000000" w:sz="4" w:space="0"/>
              <w:left w:val="single" w:color="000000" w:sz="4" w:space="0"/>
              <w:bottom w:val="single" w:color="000000" w:sz="4" w:space="0"/>
            </w:tcBorders>
          </w:tcPr>
          <w:p>
            <w:pPr>
              <w:pStyle w:val="19"/>
              <w:spacing w:before="17"/>
              <w:ind w:left="136" w:right="113"/>
              <w:rPr>
                <w:rFonts w:ascii="Times New Roman"/>
                <w:sz w:val="21"/>
              </w:rPr>
            </w:pPr>
            <w:r>
              <w:rPr>
                <w:rFonts w:ascii="Times New Roman"/>
                <w:sz w:val="21"/>
              </w:rPr>
              <w:t>&gt;4.80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bottom w:val="single" w:color="000000" w:sz="4" w:space="0"/>
              <w:right w:val="single" w:color="000000" w:sz="4" w:space="0"/>
            </w:tcBorders>
          </w:tcPr>
          <w:p>
            <w:pPr>
              <w:pStyle w:val="19"/>
              <w:spacing w:before="1"/>
              <w:ind w:left="311" w:right="298"/>
              <w:rPr>
                <w:sz w:val="21"/>
              </w:rPr>
            </w:pPr>
            <w:r>
              <w:rPr>
                <w:sz w:val="21"/>
              </w:rPr>
              <w:t>挥发酚</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7"/>
              <w:ind w:right="353"/>
              <w:jc w:val="right"/>
              <w:rPr>
                <w:rFonts w:ascii="Times New Roman" w:hAnsi="Times New Roman"/>
                <w:sz w:val="21"/>
              </w:rPr>
            </w:pPr>
            <w:r>
              <w:rPr>
                <w:rFonts w:ascii="Times New Roman" w:hAnsi="Times New Roman"/>
                <w:w w:val="95"/>
                <w:sz w:val="21"/>
              </w:rPr>
              <w:t>≤0.001</w:t>
            </w:r>
          </w:p>
        </w:tc>
        <w:tc>
          <w:tcPr>
            <w:tcW w:w="1324" w:type="dxa"/>
            <w:tcBorders>
              <w:top w:val="single" w:color="000000" w:sz="4" w:space="0"/>
              <w:left w:val="single" w:color="000000" w:sz="4" w:space="0"/>
              <w:bottom w:val="single" w:color="000000" w:sz="4" w:space="0"/>
              <w:right w:val="single" w:color="000000" w:sz="4" w:space="0"/>
            </w:tcBorders>
          </w:tcPr>
          <w:p>
            <w:pPr>
              <w:pStyle w:val="19"/>
              <w:spacing w:before="17"/>
              <w:ind w:left="299" w:right="281"/>
              <w:rPr>
                <w:rFonts w:ascii="Times New Roman" w:hAnsi="Times New Roman"/>
                <w:sz w:val="21"/>
              </w:rPr>
            </w:pPr>
            <w:r>
              <w:rPr>
                <w:rFonts w:ascii="Times New Roman" w:hAnsi="Times New Roman"/>
                <w:sz w:val="21"/>
              </w:rPr>
              <w:t>≤0.001</w:t>
            </w:r>
          </w:p>
        </w:tc>
        <w:tc>
          <w:tcPr>
            <w:tcW w:w="1335" w:type="dxa"/>
            <w:tcBorders>
              <w:top w:val="single" w:color="000000" w:sz="4" w:space="0"/>
              <w:left w:val="single" w:color="000000" w:sz="4" w:space="0"/>
              <w:bottom w:val="single" w:color="000000" w:sz="4" w:space="0"/>
              <w:right w:val="single" w:color="000000" w:sz="4" w:space="0"/>
            </w:tcBorders>
          </w:tcPr>
          <w:p>
            <w:pPr>
              <w:pStyle w:val="19"/>
              <w:spacing w:before="36"/>
              <w:ind w:left="359" w:right="338"/>
              <w:rPr>
                <w:rFonts w:ascii="Times New Roman" w:hAnsi="Times New Roman"/>
                <w:b/>
                <w:sz w:val="21"/>
              </w:rPr>
            </w:pPr>
            <w:r>
              <w:rPr>
                <w:rFonts w:ascii="Times New Roman" w:hAnsi="Times New Roman"/>
                <w:b/>
                <w:sz w:val="21"/>
              </w:rPr>
              <w:t>≤0.002</w:t>
            </w:r>
          </w:p>
        </w:tc>
        <w:tc>
          <w:tcPr>
            <w:tcW w:w="1833" w:type="dxa"/>
            <w:tcBorders>
              <w:top w:val="single" w:color="000000" w:sz="4" w:space="0"/>
              <w:left w:val="single" w:color="000000" w:sz="4" w:space="0"/>
              <w:bottom w:val="single" w:color="000000" w:sz="4" w:space="0"/>
              <w:right w:val="single" w:color="000000" w:sz="4" w:space="0"/>
            </w:tcBorders>
          </w:tcPr>
          <w:p>
            <w:pPr>
              <w:pStyle w:val="19"/>
              <w:spacing w:before="17"/>
              <w:ind w:left="533" w:right="512"/>
              <w:rPr>
                <w:rFonts w:ascii="Times New Roman" w:hAnsi="Times New Roman"/>
                <w:sz w:val="21"/>
              </w:rPr>
            </w:pPr>
            <w:r>
              <w:rPr>
                <w:rFonts w:ascii="Times New Roman" w:hAnsi="Times New Roman"/>
                <w:sz w:val="21"/>
              </w:rPr>
              <w:t>≤0.01</w:t>
            </w:r>
          </w:p>
        </w:tc>
        <w:tc>
          <w:tcPr>
            <w:tcW w:w="1326" w:type="dxa"/>
            <w:tcBorders>
              <w:top w:val="single" w:color="000000" w:sz="4" w:space="0"/>
              <w:left w:val="single" w:color="000000" w:sz="4" w:space="0"/>
              <w:bottom w:val="single" w:color="000000" w:sz="4" w:space="0"/>
            </w:tcBorders>
          </w:tcPr>
          <w:p>
            <w:pPr>
              <w:pStyle w:val="19"/>
              <w:spacing w:before="17"/>
              <w:ind w:left="136" w:right="113"/>
              <w:rPr>
                <w:rFonts w:ascii="Times New Roman"/>
                <w:sz w:val="21"/>
              </w:rPr>
            </w:pPr>
            <w:r>
              <w:rPr>
                <w:rFonts w:ascii="Times New Roman"/>
                <w:sz w:val="21"/>
              </w:rPr>
              <w:t>&gt;0.01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9"/>
              <w:ind w:left="311" w:right="298"/>
              <w:rPr>
                <w:sz w:val="21"/>
              </w:rPr>
            </w:pPr>
            <w:r>
              <w:rPr>
                <w:sz w:val="21"/>
              </w:rPr>
              <w:t>氟化物</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9"/>
              <w:ind w:left="85" w:right="67"/>
              <w:rPr>
                <w:rFonts w:ascii="Times New Roman" w:hAnsi="Times New Roman"/>
                <w:sz w:val="21"/>
              </w:rPr>
            </w:pPr>
            <w:r>
              <w:rPr>
                <w:rFonts w:ascii="Times New Roman" w:hAnsi="Times New Roman"/>
                <w:sz w:val="21"/>
              </w:rPr>
              <w:t>≤1.0</w:t>
            </w:r>
          </w:p>
        </w:tc>
        <w:tc>
          <w:tcPr>
            <w:tcW w:w="1324" w:type="dxa"/>
            <w:tcBorders>
              <w:top w:val="single" w:color="000000" w:sz="4" w:space="0"/>
              <w:left w:val="single" w:color="000000" w:sz="4" w:space="0"/>
              <w:bottom w:val="single" w:color="000000" w:sz="4" w:space="0"/>
              <w:right w:val="single" w:color="000000" w:sz="4" w:space="0"/>
            </w:tcBorders>
          </w:tcPr>
          <w:p>
            <w:pPr>
              <w:pStyle w:val="19"/>
              <w:spacing w:before="19"/>
              <w:ind w:left="299" w:right="279"/>
              <w:rPr>
                <w:rFonts w:ascii="Times New Roman" w:hAnsi="Times New Roman"/>
                <w:sz w:val="21"/>
              </w:rPr>
            </w:pPr>
            <w:r>
              <w:rPr>
                <w:rFonts w:ascii="Times New Roman" w:hAnsi="Times New Roman"/>
                <w:sz w:val="21"/>
              </w:rPr>
              <w:t>≤1.0</w:t>
            </w:r>
          </w:p>
        </w:tc>
        <w:tc>
          <w:tcPr>
            <w:tcW w:w="1335" w:type="dxa"/>
            <w:tcBorders>
              <w:top w:val="single" w:color="000000" w:sz="4" w:space="0"/>
              <w:left w:val="single" w:color="000000" w:sz="4" w:space="0"/>
              <w:bottom w:val="single" w:color="000000" w:sz="4" w:space="0"/>
              <w:right w:val="single" w:color="000000" w:sz="4" w:space="0"/>
            </w:tcBorders>
          </w:tcPr>
          <w:p>
            <w:pPr>
              <w:pStyle w:val="19"/>
              <w:spacing w:before="35"/>
              <w:ind w:left="359" w:right="338"/>
              <w:rPr>
                <w:rFonts w:ascii="Times New Roman" w:hAnsi="Times New Roman"/>
                <w:b/>
                <w:sz w:val="21"/>
              </w:rPr>
            </w:pPr>
            <w:r>
              <w:rPr>
                <w:rFonts w:ascii="Times New Roman" w:hAnsi="Times New Roman"/>
                <w:b/>
                <w:sz w:val="21"/>
              </w:rPr>
              <w:t>≤1.0</w:t>
            </w:r>
          </w:p>
        </w:tc>
        <w:tc>
          <w:tcPr>
            <w:tcW w:w="1833" w:type="dxa"/>
            <w:tcBorders>
              <w:top w:val="single" w:color="000000" w:sz="4" w:space="0"/>
              <w:left w:val="single" w:color="000000" w:sz="4" w:space="0"/>
              <w:bottom w:val="single" w:color="000000" w:sz="4" w:space="0"/>
              <w:right w:val="single" w:color="000000" w:sz="4" w:space="0"/>
            </w:tcBorders>
          </w:tcPr>
          <w:p>
            <w:pPr>
              <w:pStyle w:val="19"/>
              <w:spacing w:before="19"/>
              <w:ind w:left="533" w:right="512"/>
              <w:rPr>
                <w:rFonts w:ascii="Times New Roman" w:hAnsi="Times New Roman"/>
                <w:sz w:val="21"/>
              </w:rPr>
            </w:pPr>
            <w:r>
              <w:rPr>
                <w:rFonts w:ascii="Times New Roman" w:hAnsi="Times New Roman"/>
                <w:sz w:val="21"/>
              </w:rPr>
              <w:t>≤2.0</w:t>
            </w:r>
          </w:p>
        </w:tc>
        <w:tc>
          <w:tcPr>
            <w:tcW w:w="1326" w:type="dxa"/>
            <w:tcBorders>
              <w:top w:val="single" w:color="000000" w:sz="4" w:space="0"/>
              <w:left w:val="single" w:color="000000" w:sz="4" w:space="0"/>
              <w:bottom w:val="single" w:color="000000" w:sz="4" w:space="0"/>
            </w:tcBorders>
          </w:tcPr>
          <w:p>
            <w:pPr>
              <w:pStyle w:val="19"/>
              <w:spacing w:before="19"/>
              <w:ind w:left="136" w:right="113"/>
              <w:rPr>
                <w:rFonts w:ascii="Times New Roman"/>
                <w:sz w:val="21"/>
              </w:rPr>
            </w:pPr>
            <w:r>
              <w:rPr>
                <w:rFonts w:ascii="Times New Roman"/>
                <w:sz w:val="21"/>
              </w:rPr>
              <w:t>&gt;2.0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bottom w:val="single" w:color="000000" w:sz="4" w:space="0"/>
              <w:right w:val="single" w:color="000000" w:sz="4" w:space="0"/>
            </w:tcBorders>
          </w:tcPr>
          <w:p>
            <w:pPr>
              <w:pStyle w:val="19"/>
              <w:spacing w:before="1"/>
              <w:ind w:left="11"/>
              <w:rPr>
                <w:sz w:val="21"/>
              </w:rPr>
            </w:pPr>
            <w:r>
              <w:rPr>
                <w:w w:val="99"/>
                <w:sz w:val="21"/>
              </w:rPr>
              <w:t>钠</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8"/>
              <w:ind w:left="453"/>
              <w:jc w:val="left"/>
              <w:rPr>
                <w:rFonts w:ascii="Times New Roman" w:hAnsi="Times New Roman"/>
                <w:sz w:val="21"/>
              </w:rPr>
            </w:pPr>
            <w:r>
              <w:rPr>
                <w:rFonts w:ascii="Times New Roman" w:hAnsi="Times New Roman"/>
                <w:sz w:val="21"/>
              </w:rPr>
              <w:t>≤100</w:t>
            </w:r>
          </w:p>
        </w:tc>
        <w:tc>
          <w:tcPr>
            <w:tcW w:w="1324" w:type="dxa"/>
            <w:tcBorders>
              <w:top w:val="single" w:color="000000" w:sz="4" w:space="0"/>
              <w:left w:val="single" w:color="000000" w:sz="4" w:space="0"/>
              <w:bottom w:val="single" w:color="000000" w:sz="4" w:space="0"/>
              <w:right w:val="single" w:color="000000" w:sz="4" w:space="0"/>
            </w:tcBorders>
          </w:tcPr>
          <w:p>
            <w:pPr>
              <w:pStyle w:val="19"/>
              <w:spacing w:before="18"/>
              <w:ind w:left="299" w:right="279"/>
              <w:rPr>
                <w:rFonts w:ascii="Times New Roman" w:hAnsi="Times New Roman"/>
                <w:sz w:val="21"/>
              </w:rPr>
            </w:pPr>
            <w:r>
              <w:rPr>
                <w:rFonts w:ascii="Times New Roman" w:hAnsi="Times New Roman"/>
                <w:sz w:val="21"/>
              </w:rPr>
              <w:t>≤150</w:t>
            </w:r>
          </w:p>
        </w:tc>
        <w:tc>
          <w:tcPr>
            <w:tcW w:w="1335" w:type="dxa"/>
            <w:tcBorders>
              <w:top w:val="single" w:color="000000" w:sz="4" w:space="0"/>
              <w:left w:val="single" w:color="000000" w:sz="4" w:space="0"/>
              <w:bottom w:val="single" w:color="000000" w:sz="4" w:space="0"/>
              <w:right w:val="single" w:color="000000" w:sz="4" w:space="0"/>
            </w:tcBorders>
          </w:tcPr>
          <w:p>
            <w:pPr>
              <w:pStyle w:val="19"/>
              <w:spacing w:before="37"/>
              <w:ind w:left="356" w:right="338"/>
              <w:rPr>
                <w:rFonts w:ascii="Times New Roman" w:hAnsi="Times New Roman"/>
                <w:b/>
                <w:sz w:val="21"/>
              </w:rPr>
            </w:pPr>
            <w:r>
              <w:rPr>
                <w:rFonts w:ascii="Times New Roman" w:hAnsi="Times New Roman"/>
                <w:b/>
                <w:sz w:val="21"/>
              </w:rPr>
              <w:t>≤200</w:t>
            </w:r>
          </w:p>
        </w:tc>
        <w:tc>
          <w:tcPr>
            <w:tcW w:w="1833" w:type="dxa"/>
            <w:tcBorders>
              <w:top w:val="single" w:color="000000" w:sz="4" w:space="0"/>
              <w:left w:val="single" w:color="000000" w:sz="4" w:space="0"/>
              <w:bottom w:val="single" w:color="000000" w:sz="4" w:space="0"/>
              <w:right w:val="single" w:color="000000" w:sz="4" w:space="0"/>
            </w:tcBorders>
          </w:tcPr>
          <w:p>
            <w:pPr>
              <w:pStyle w:val="19"/>
              <w:spacing w:before="18"/>
              <w:ind w:left="533" w:right="515"/>
              <w:rPr>
                <w:rFonts w:ascii="Times New Roman" w:hAnsi="Times New Roman"/>
                <w:sz w:val="21"/>
              </w:rPr>
            </w:pPr>
            <w:r>
              <w:rPr>
                <w:rFonts w:ascii="Times New Roman" w:hAnsi="Times New Roman"/>
                <w:sz w:val="21"/>
              </w:rPr>
              <w:t>≤400</w:t>
            </w:r>
          </w:p>
        </w:tc>
        <w:tc>
          <w:tcPr>
            <w:tcW w:w="1326" w:type="dxa"/>
            <w:tcBorders>
              <w:top w:val="single" w:color="000000" w:sz="4" w:space="0"/>
              <w:left w:val="single" w:color="000000" w:sz="4" w:space="0"/>
              <w:bottom w:val="single" w:color="000000" w:sz="4" w:space="0"/>
            </w:tcBorders>
          </w:tcPr>
          <w:p>
            <w:pPr>
              <w:pStyle w:val="19"/>
              <w:spacing w:before="18"/>
              <w:ind w:left="136" w:right="113"/>
              <w:rPr>
                <w:rFonts w:ascii="Times New Roman"/>
                <w:sz w:val="21"/>
              </w:rPr>
            </w:pPr>
            <w:r>
              <w:rPr>
                <w:rFonts w:ascii="Times New Roman"/>
                <w:sz w:val="21"/>
              </w:rPr>
              <w:t>&gt;400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9"/>
              <w:ind w:left="11"/>
              <w:rPr>
                <w:sz w:val="21"/>
              </w:rPr>
            </w:pPr>
            <w:r>
              <w:rPr>
                <w:w w:val="99"/>
                <w:sz w:val="21"/>
              </w:rPr>
              <w:t>汞</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7"/>
              <w:ind w:right="300"/>
              <w:jc w:val="right"/>
              <w:rPr>
                <w:rFonts w:ascii="Times New Roman" w:hAnsi="Times New Roman"/>
                <w:sz w:val="21"/>
              </w:rPr>
            </w:pPr>
            <w:r>
              <w:rPr>
                <w:rFonts w:ascii="Times New Roman" w:hAnsi="Times New Roman"/>
                <w:w w:val="95"/>
                <w:sz w:val="21"/>
              </w:rPr>
              <w:t>≤0.0001</w:t>
            </w:r>
          </w:p>
        </w:tc>
        <w:tc>
          <w:tcPr>
            <w:tcW w:w="1324" w:type="dxa"/>
            <w:tcBorders>
              <w:top w:val="single" w:color="000000" w:sz="4" w:space="0"/>
              <w:left w:val="single" w:color="000000" w:sz="4" w:space="0"/>
              <w:bottom w:val="single" w:color="000000" w:sz="4" w:space="0"/>
              <w:right w:val="single" w:color="000000" w:sz="4" w:space="0"/>
            </w:tcBorders>
          </w:tcPr>
          <w:p>
            <w:pPr>
              <w:pStyle w:val="19"/>
              <w:spacing w:before="17"/>
              <w:ind w:left="299" w:right="281"/>
              <w:rPr>
                <w:rFonts w:ascii="Times New Roman" w:hAnsi="Times New Roman"/>
                <w:sz w:val="21"/>
              </w:rPr>
            </w:pPr>
            <w:r>
              <w:rPr>
                <w:rFonts w:ascii="Times New Roman" w:hAnsi="Times New Roman"/>
                <w:sz w:val="21"/>
              </w:rPr>
              <w:t>≤0.0001</w:t>
            </w:r>
          </w:p>
        </w:tc>
        <w:tc>
          <w:tcPr>
            <w:tcW w:w="1335" w:type="dxa"/>
            <w:tcBorders>
              <w:top w:val="single" w:color="000000" w:sz="4" w:space="0"/>
              <w:left w:val="single" w:color="000000" w:sz="4" w:space="0"/>
              <w:bottom w:val="single" w:color="000000" w:sz="4" w:space="0"/>
              <w:right w:val="single" w:color="000000" w:sz="4" w:space="0"/>
            </w:tcBorders>
          </w:tcPr>
          <w:p>
            <w:pPr>
              <w:pStyle w:val="19"/>
              <w:spacing w:before="36"/>
              <w:ind w:left="359" w:right="338"/>
              <w:rPr>
                <w:rFonts w:ascii="Times New Roman" w:hAnsi="Times New Roman"/>
                <w:b/>
                <w:sz w:val="21"/>
              </w:rPr>
            </w:pPr>
            <w:r>
              <w:rPr>
                <w:rFonts w:ascii="Times New Roman" w:hAnsi="Times New Roman"/>
                <w:b/>
                <w:sz w:val="21"/>
              </w:rPr>
              <w:t>≤0.001</w:t>
            </w:r>
          </w:p>
        </w:tc>
        <w:tc>
          <w:tcPr>
            <w:tcW w:w="1833" w:type="dxa"/>
            <w:tcBorders>
              <w:top w:val="single" w:color="000000" w:sz="4" w:space="0"/>
              <w:left w:val="single" w:color="000000" w:sz="4" w:space="0"/>
              <w:bottom w:val="single" w:color="000000" w:sz="4" w:space="0"/>
              <w:right w:val="single" w:color="000000" w:sz="4" w:space="0"/>
            </w:tcBorders>
          </w:tcPr>
          <w:p>
            <w:pPr>
              <w:pStyle w:val="19"/>
              <w:spacing w:before="17"/>
              <w:ind w:left="533" w:right="512"/>
              <w:rPr>
                <w:rFonts w:ascii="Times New Roman" w:hAnsi="Times New Roman"/>
                <w:sz w:val="21"/>
              </w:rPr>
            </w:pPr>
            <w:r>
              <w:rPr>
                <w:rFonts w:ascii="Times New Roman" w:hAnsi="Times New Roman"/>
                <w:sz w:val="21"/>
              </w:rPr>
              <w:t>≤0.002</w:t>
            </w:r>
          </w:p>
        </w:tc>
        <w:tc>
          <w:tcPr>
            <w:tcW w:w="1326" w:type="dxa"/>
            <w:tcBorders>
              <w:top w:val="single" w:color="000000" w:sz="4" w:space="0"/>
              <w:left w:val="single" w:color="000000" w:sz="4" w:space="0"/>
              <w:bottom w:val="single" w:color="000000" w:sz="4" w:space="0"/>
            </w:tcBorders>
          </w:tcPr>
          <w:p>
            <w:pPr>
              <w:pStyle w:val="19"/>
              <w:spacing w:before="17"/>
              <w:ind w:left="136" w:right="109"/>
              <w:rPr>
                <w:rFonts w:ascii="Times New Roman"/>
                <w:sz w:val="21"/>
              </w:rPr>
            </w:pPr>
            <w:r>
              <w:rPr>
                <w:rFonts w:ascii="Times New Roman"/>
                <w:sz w:val="21"/>
              </w:rPr>
              <w:t>&gt;0.002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bottom w:val="single" w:color="000000" w:sz="4" w:space="0"/>
              <w:right w:val="single" w:color="000000" w:sz="4" w:space="0"/>
            </w:tcBorders>
          </w:tcPr>
          <w:p>
            <w:pPr>
              <w:pStyle w:val="19"/>
              <w:spacing w:line="269" w:lineRule="exact"/>
              <w:ind w:left="11"/>
              <w:rPr>
                <w:sz w:val="21"/>
              </w:rPr>
            </w:pPr>
            <w:r>
              <w:rPr>
                <w:w w:val="99"/>
                <w:sz w:val="21"/>
              </w:rPr>
              <w:t>砷</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6"/>
              <w:ind w:right="353"/>
              <w:jc w:val="right"/>
              <w:rPr>
                <w:rFonts w:ascii="Times New Roman" w:hAnsi="Times New Roman"/>
                <w:sz w:val="21"/>
              </w:rPr>
            </w:pPr>
            <w:r>
              <w:rPr>
                <w:rFonts w:ascii="Times New Roman" w:hAnsi="Times New Roman"/>
                <w:w w:val="95"/>
                <w:sz w:val="21"/>
              </w:rPr>
              <w:t>≤0.001</w:t>
            </w:r>
          </w:p>
        </w:tc>
        <w:tc>
          <w:tcPr>
            <w:tcW w:w="1324" w:type="dxa"/>
            <w:tcBorders>
              <w:top w:val="single" w:color="000000" w:sz="4" w:space="0"/>
              <w:left w:val="single" w:color="000000" w:sz="4" w:space="0"/>
              <w:bottom w:val="single" w:color="000000" w:sz="4" w:space="0"/>
              <w:right w:val="single" w:color="000000" w:sz="4" w:space="0"/>
            </w:tcBorders>
          </w:tcPr>
          <w:p>
            <w:pPr>
              <w:pStyle w:val="19"/>
              <w:spacing w:before="16"/>
              <w:ind w:left="299" w:right="281"/>
              <w:rPr>
                <w:rFonts w:ascii="Times New Roman" w:hAnsi="Times New Roman"/>
                <w:sz w:val="21"/>
              </w:rPr>
            </w:pPr>
            <w:r>
              <w:rPr>
                <w:rFonts w:ascii="Times New Roman" w:hAnsi="Times New Roman"/>
                <w:sz w:val="21"/>
              </w:rPr>
              <w:t>≤0.001</w:t>
            </w:r>
          </w:p>
        </w:tc>
        <w:tc>
          <w:tcPr>
            <w:tcW w:w="1335" w:type="dxa"/>
            <w:tcBorders>
              <w:top w:val="single" w:color="000000" w:sz="4" w:space="0"/>
              <w:left w:val="single" w:color="000000" w:sz="4" w:space="0"/>
              <w:bottom w:val="single" w:color="000000" w:sz="4" w:space="0"/>
              <w:right w:val="single" w:color="000000" w:sz="4" w:space="0"/>
            </w:tcBorders>
          </w:tcPr>
          <w:p>
            <w:pPr>
              <w:pStyle w:val="19"/>
              <w:spacing w:before="35"/>
              <w:ind w:left="359" w:right="338"/>
              <w:rPr>
                <w:rFonts w:ascii="Times New Roman" w:hAnsi="Times New Roman"/>
                <w:b/>
                <w:sz w:val="21"/>
              </w:rPr>
            </w:pPr>
            <w:r>
              <w:rPr>
                <w:rFonts w:ascii="Times New Roman" w:hAnsi="Times New Roman"/>
                <w:b/>
                <w:sz w:val="21"/>
              </w:rPr>
              <w:t>≤0.01</w:t>
            </w:r>
          </w:p>
        </w:tc>
        <w:tc>
          <w:tcPr>
            <w:tcW w:w="1833" w:type="dxa"/>
            <w:tcBorders>
              <w:top w:val="single" w:color="000000" w:sz="4" w:space="0"/>
              <w:left w:val="single" w:color="000000" w:sz="4" w:space="0"/>
              <w:bottom w:val="single" w:color="000000" w:sz="4" w:space="0"/>
              <w:right w:val="single" w:color="000000" w:sz="4" w:space="0"/>
            </w:tcBorders>
          </w:tcPr>
          <w:p>
            <w:pPr>
              <w:pStyle w:val="19"/>
              <w:spacing w:before="16"/>
              <w:ind w:left="533" w:right="512"/>
              <w:rPr>
                <w:rFonts w:ascii="Times New Roman" w:hAnsi="Times New Roman"/>
                <w:sz w:val="21"/>
              </w:rPr>
            </w:pPr>
            <w:r>
              <w:rPr>
                <w:rFonts w:ascii="Times New Roman" w:hAnsi="Times New Roman"/>
                <w:sz w:val="21"/>
              </w:rPr>
              <w:t>≤0.05</w:t>
            </w:r>
          </w:p>
        </w:tc>
        <w:tc>
          <w:tcPr>
            <w:tcW w:w="1326" w:type="dxa"/>
            <w:tcBorders>
              <w:top w:val="single" w:color="000000" w:sz="4" w:space="0"/>
              <w:left w:val="single" w:color="000000" w:sz="4" w:space="0"/>
              <w:bottom w:val="single" w:color="000000" w:sz="4" w:space="0"/>
            </w:tcBorders>
          </w:tcPr>
          <w:p>
            <w:pPr>
              <w:pStyle w:val="19"/>
              <w:spacing w:before="16"/>
              <w:ind w:left="136" w:right="113"/>
              <w:rPr>
                <w:rFonts w:ascii="Times New Roman"/>
                <w:sz w:val="21"/>
              </w:rPr>
            </w:pPr>
            <w:r>
              <w:rPr>
                <w:rFonts w:ascii="Times New Roman"/>
                <w:sz w:val="21"/>
              </w:rPr>
              <w:t>&gt;0.05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bottom w:val="single" w:color="000000" w:sz="4" w:space="0"/>
              <w:right w:val="single" w:color="000000" w:sz="4" w:space="0"/>
            </w:tcBorders>
          </w:tcPr>
          <w:p>
            <w:pPr>
              <w:pStyle w:val="19"/>
              <w:spacing w:before="2"/>
              <w:ind w:left="11"/>
              <w:rPr>
                <w:sz w:val="21"/>
              </w:rPr>
            </w:pPr>
            <w:r>
              <w:rPr>
                <w:w w:val="99"/>
                <w:sz w:val="21"/>
              </w:rPr>
              <w:t>铁</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8"/>
              <w:ind w:left="85" w:right="67"/>
              <w:rPr>
                <w:rFonts w:ascii="Times New Roman" w:hAnsi="Times New Roman"/>
                <w:sz w:val="21"/>
              </w:rPr>
            </w:pPr>
            <w:r>
              <w:rPr>
                <w:rFonts w:ascii="Times New Roman" w:hAnsi="Times New Roman"/>
                <w:sz w:val="21"/>
              </w:rPr>
              <w:t>≤0.1</w:t>
            </w:r>
          </w:p>
        </w:tc>
        <w:tc>
          <w:tcPr>
            <w:tcW w:w="1324" w:type="dxa"/>
            <w:tcBorders>
              <w:top w:val="single" w:color="000000" w:sz="4" w:space="0"/>
              <w:left w:val="single" w:color="000000" w:sz="4" w:space="0"/>
              <w:bottom w:val="single" w:color="000000" w:sz="4" w:space="0"/>
              <w:right w:val="single" w:color="000000" w:sz="4" w:space="0"/>
            </w:tcBorders>
          </w:tcPr>
          <w:p>
            <w:pPr>
              <w:pStyle w:val="19"/>
              <w:spacing w:before="18"/>
              <w:ind w:left="299" w:right="279"/>
              <w:rPr>
                <w:rFonts w:ascii="Times New Roman" w:hAnsi="Times New Roman"/>
                <w:sz w:val="21"/>
              </w:rPr>
            </w:pPr>
            <w:r>
              <w:rPr>
                <w:rFonts w:ascii="Times New Roman" w:hAnsi="Times New Roman"/>
                <w:sz w:val="21"/>
              </w:rPr>
              <w:t>≤0.2</w:t>
            </w:r>
          </w:p>
        </w:tc>
        <w:tc>
          <w:tcPr>
            <w:tcW w:w="1335" w:type="dxa"/>
            <w:tcBorders>
              <w:top w:val="single" w:color="000000" w:sz="4" w:space="0"/>
              <w:left w:val="single" w:color="000000" w:sz="4" w:space="0"/>
              <w:bottom w:val="single" w:color="000000" w:sz="4" w:space="0"/>
              <w:right w:val="single" w:color="000000" w:sz="4" w:space="0"/>
            </w:tcBorders>
          </w:tcPr>
          <w:p>
            <w:pPr>
              <w:pStyle w:val="19"/>
              <w:spacing w:before="35"/>
              <w:ind w:left="359" w:right="338"/>
              <w:rPr>
                <w:rFonts w:ascii="Times New Roman" w:hAnsi="Times New Roman"/>
                <w:b/>
                <w:sz w:val="21"/>
              </w:rPr>
            </w:pPr>
            <w:r>
              <w:rPr>
                <w:rFonts w:ascii="Times New Roman" w:hAnsi="Times New Roman"/>
                <w:b/>
                <w:sz w:val="21"/>
              </w:rPr>
              <w:t>≤0.3</w:t>
            </w:r>
          </w:p>
        </w:tc>
        <w:tc>
          <w:tcPr>
            <w:tcW w:w="1833" w:type="dxa"/>
            <w:tcBorders>
              <w:top w:val="single" w:color="000000" w:sz="4" w:space="0"/>
              <w:left w:val="single" w:color="000000" w:sz="4" w:space="0"/>
              <w:bottom w:val="single" w:color="000000" w:sz="4" w:space="0"/>
              <w:right w:val="single" w:color="000000" w:sz="4" w:space="0"/>
            </w:tcBorders>
          </w:tcPr>
          <w:p>
            <w:pPr>
              <w:pStyle w:val="19"/>
              <w:spacing w:before="18"/>
              <w:ind w:left="533" w:right="512"/>
              <w:rPr>
                <w:rFonts w:ascii="Times New Roman" w:hAnsi="Times New Roman"/>
                <w:sz w:val="21"/>
              </w:rPr>
            </w:pPr>
            <w:r>
              <w:rPr>
                <w:rFonts w:ascii="Times New Roman" w:hAnsi="Times New Roman"/>
                <w:sz w:val="21"/>
              </w:rPr>
              <w:t>≤2.0</w:t>
            </w:r>
          </w:p>
        </w:tc>
        <w:tc>
          <w:tcPr>
            <w:tcW w:w="1326" w:type="dxa"/>
            <w:tcBorders>
              <w:top w:val="single" w:color="000000" w:sz="4" w:space="0"/>
              <w:left w:val="single" w:color="000000" w:sz="4" w:space="0"/>
              <w:bottom w:val="single" w:color="000000" w:sz="4" w:space="0"/>
            </w:tcBorders>
          </w:tcPr>
          <w:p>
            <w:pPr>
              <w:pStyle w:val="19"/>
              <w:spacing w:before="18"/>
              <w:ind w:left="136" w:right="113"/>
              <w:rPr>
                <w:rFonts w:ascii="Times New Roman"/>
                <w:sz w:val="21"/>
              </w:rPr>
            </w:pPr>
            <w:r>
              <w:rPr>
                <w:rFonts w:ascii="Times New Roman"/>
                <w:sz w:val="21"/>
              </w:rPr>
              <w:t>&gt;2.0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9"/>
              <w:spacing w:before="1"/>
              <w:ind w:left="11"/>
              <w:rPr>
                <w:sz w:val="21"/>
              </w:rPr>
            </w:pPr>
            <w:r>
              <w:rPr>
                <w:w w:val="99"/>
                <w:sz w:val="21"/>
              </w:rPr>
              <w:t>锰</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7"/>
              <w:ind w:left="426"/>
              <w:jc w:val="left"/>
              <w:rPr>
                <w:rFonts w:ascii="Times New Roman" w:hAnsi="Times New Roman"/>
                <w:sz w:val="21"/>
              </w:rPr>
            </w:pPr>
            <w:r>
              <w:rPr>
                <w:rFonts w:ascii="Times New Roman" w:hAnsi="Times New Roman"/>
                <w:sz w:val="21"/>
              </w:rPr>
              <w:t>≤0.05</w:t>
            </w:r>
          </w:p>
        </w:tc>
        <w:tc>
          <w:tcPr>
            <w:tcW w:w="1324" w:type="dxa"/>
            <w:tcBorders>
              <w:top w:val="single" w:color="000000" w:sz="4" w:space="0"/>
              <w:left w:val="single" w:color="000000" w:sz="4" w:space="0"/>
              <w:bottom w:val="single" w:color="000000" w:sz="4" w:space="0"/>
              <w:right w:val="single" w:color="000000" w:sz="4" w:space="0"/>
            </w:tcBorders>
          </w:tcPr>
          <w:p>
            <w:pPr>
              <w:pStyle w:val="19"/>
              <w:spacing w:before="17"/>
              <w:ind w:left="299" w:right="279"/>
              <w:rPr>
                <w:rFonts w:ascii="Times New Roman" w:hAnsi="Times New Roman"/>
                <w:sz w:val="21"/>
              </w:rPr>
            </w:pPr>
            <w:r>
              <w:rPr>
                <w:rFonts w:ascii="Times New Roman" w:hAnsi="Times New Roman"/>
                <w:sz w:val="21"/>
              </w:rPr>
              <w:t>≤0.05</w:t>
            </w:r>
          </w:p>
        </w:tc>
        <w:tc>
          <w:tcPr>
            <w:tcW w:w="1335" w:type="dxa"/>
            <w:tcBorders>
              <w:top w:val="single" w:color="000000" w:sz="4" w:space="0"/>
              <w:left w:val="single" w:color="000000" w:sz="4" w:space="0"/>
              <w:bottom w:val="single" w:color="000000" w:sz="4" w:space="0"/>
              <w:right w:val="single" w:color="000000" w:sz="4" w:space="0"/>
            </w:tcBorders>
          </w:tcPr>
          <w:p>
            <w:pPr>
              <w:pStyle w:val="19"/>
              <w:spacing w:before="36"/>
              <w:ind w:left="359" w:right="338"/>
              <w:rPr>
                <w:rFonts w:ascii="Times New Roman" w:hAnsi="Times New Roman"/>
                <w:b/>
                <w:sz w:val="21"/>
              </w:rPr>
            </w:pPr>
            <w:r>
              <w:rPr>
                <w:rFonts w:ascii="Times New Roman" w:hAnsi="Times New Roman"/>
                <w:b/>
                <w:sz w:val="21"/>
              </w:rPr>
              <w:t>≤0.10</w:t>
            </w:r>
          </w:p>
        </w:tc>
        <w:tc>
          <w:tcPr>
            <w:tcW w:w="1833" w:type="dxa"/>
            <w:tcBorders>
              <w:top w:val="single" w:color="000000" w:sz="4" w:space="0"/>
              <w:left w:val="single" w:color="000000" w:sz="4" w:space="0"/>
              <w:bottom w:val="single" w:color="000000" w:sz="4" w:space="0"/>
              <w:right w:val="single" w:color="000000" w:sz="4" w:space="0"/>
            </w:tcBorders>
          </w:tcPr>
          <w:p>
            <w:pPr>
              <w:pStyle w:val="19"/>
              <w:spacing w:before="17"/>
              <w:ind w:left="533" w:right="512"/>
              <w:rPr>
                <w:rFonts w:ascii="Times New Roman" w:hAnsi="Times New Roman"/>
                <w:sz w:val="21"/>
              </w:rPr>
            </w:pPr>
            <w:r>
              <w:rPr>
                <w:rFonts w:ascii="Times New Roman" w:hAnsi="Times New Roman"/>
                <w:sz w:val="21"/>
              </w:rPr>
              <w:t>≤1.50</w:t>
            </w:r>
          </w:p>
        </w:tc>
        <w:tc>
          <w:tcPr>
            <w:tcW w:w="1326" w:type="dxa"/>
            <w:tcBorders>
              <w:top w:val="single" w:color="000000" w:sz="4" w:space="0"/>
              <w:left w:val="single" w:color="000000" w:sz="4" w:space="0"/>
              <w:bottom w:val="single" w:color="000000" w:sz="4" w:space="0"/>
            </w:tcBorders>
          </w:tcPr>
          <w:p>
            <w:pPr>
              <w:pStyle w:val="19"/>
              <w:spacing w:before="17"/>
              <w:ind w:left="136" w:right="113"/>
              <w:rPr>
                <w:rFonts w:ascii="Times New Roman"/>
                <w:sz w:val="21"/>
              </w:rPr>
            </w:pPr>
            <w:r>
              <w:rPr>
                <w:rFonts w:ascii="Times New Roman"/>
                <w:sz w:val="21"/>
              </w:rPr>
              <w:t>&gt;1.50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bottom w:val="single" w:color="000000" w:sz="4" w:space="0"/>
              <w:right w:val="single" w:color="000000" w:sz="4" w:space="0"/>
            </w:tcBorders>
          </w:tcPr>
          <w:p>
            <w:pPr>
              <w:pStyle w:val="19"/>
              <w:ind w:left="11"/>
              <w:rPr>
                <w:sz w:val="21"/>
              </w:rPr>
            </w:pPr>
            <w:r>
              <w:rPr>
                <w:w w:val="99"/>
                <w:sz w:val="21"/>
              </w:rPr>
              <w:t>铅</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8"/>
              <w:ind w:right="353"/>
              <w:jc w:val="right"/>
              <w:rPr>
                <w:rFonts w:ascii="Times New Roman" w:hAnsi="Times New Roman"/>
                <w:sz w:val="21"/>
              </w:rPr>
            </w:pPr>
            <w:r>
              <w:rPr>
                <w:rFonts w:ascii="Times New Roman" w:hAnsi="Times New Roman"/>
                <w:w w:val="95"/>
                <w:sz w:val="21"/>
              </w:rPr>
              <w:t>≤0.005</w:t>
            </w:r>
          </w:p>
        </w:tc>
        <w:tc>
          <w:tcPr>
            <w:tcW w:w="1324" w:type="dxa"/>
            <w:tcBorders>
              <w:top w:val="single" w:color="000000" w:sz="4" w:space="0"/>
              <w:left w:val="single" w:color="000000" w:sz="4" w:space="0"/>
              <w:bottom w:val="single" w:color="000000" w:sz="4" w:space="0"/>
              <w:right w:val="single" w:color="000000" w:sz="4" w:space="0"/>
            </w:tcBorders>
          </w:tcPr>
          <w:p>
            <w:pPr>
              <w:pStyle w:val="19"/>
              <w:spacing w:before="18"/>
              <w:ind w:left="299" w:right="281"/>
              <w:rPr>
                <w:rFonts w:ascii="Times New Roman" w:hAnsi="Times New Roman"/>
                <w:sz w:val="21"/>
              </w:rPr>
            </w:pPr>
            <w:r>
              <w:rPr>
                <w:rFonts w:ascii="Times New Roman" w:hAnsi="Times New Roman"/>
                <w:sz w:val="21"/>
              </w:rPr>
              <w:t>≤0.005</w:t>
            </w:r>
          </w:p>
        </w:tc>
        <w:tc>
          <w:tcPr>
            <w:tcW w:w="1335" w:type="dxa"/>
            <w:tcBorders>
              <w:top w:val="single" w:color="000000" w:sz="4" w:space="0"/>
              <w:left w:val="single" w:color="000000" w:sz="4" w:space="0"/>
              <w:bottom w:val="single" w:color="000000" w:sz="4" w:space="0"/>
              <w:right w:val="single" w:color="000000" w:sz="4" w:space="0"/>
            </w:tcBorders>
          </w:tcPr>
          <w:p>
            <w:pPr>
              <w:pStyle w:val="19"/>
              <w:spacing w:before="35"/>
              <w:ind w:left="359" w:right="338"/>
              <w:rPr>
                <w:rFonts w:ascii="Times New Roman" w:hAnsi="Times New Roman"/>
                <w:b/>
                <w:sz w:val="21"/>
              </w:rPr>
            </w:pPr>
            <w:r>
              <w:rPr>
                <w:rFonts w:ascii="Times New Roman" w:hAnsi="Times New Roman"/>
                <w:b/>
                <w:sz w:val="21"/>
              </w:rPr>
              <w:t>≤0.01</w:t>
            </w:r>
          </w:p>
        </w:tc>
        <w:tc>
          <w:tcPr>
            <w:tcW w:w="1833" w:type="dxa"/>
            <w:tcBorders>
              <w:top w:val="single" w:color="000000" w:sz="4" w:space="0"/>
              <w:left w:val="single" w:color="000000" w:sz="4" w:space="0"/>
              <w:bottom w:val="single" w:color="000000" w:sz="4" w:space="0"/>
              <w:right w:val="single" w:color="000000" w:sz="4" w:space="0"/>
            </w:tcBorders>
          </w:tcPr>
          <w:p>
            <w:pPr>
              <w:pStyle w:val="19"/>
              <w:spacing w:before="18"/>
              <w:ind w:left="533" w:right="512"/>
              <w:rPr>
                <w:rFonts w:ascii="Times New Roman" w:hAnsi="Times New Roman"/>
                <w:sz w:val="21"/>
              </w:rPr>
            </w:pPr>
            <w:r>
              <w:rPr>
                <w:rFonts w:ascii="Times New Roman" w:hAnsi="Times New Roman"/>
                <w:sz w:val="21"/>
              </w:rPr>
              <w:t>≤0.10</w:t>
            </w:r>
          </w:p>
        </w:tc>
        <w:tc>
          <w:tcPr>
            <w:tcW w:w="1326" w:type="dxa"/>
            <w:tcBorders>
              <w:top w:val="single" w:color="000000" w:sz="4" w:space="0"/>
              <w:left w:val="single" w:color="000000" w:sz="4" w:space="0"/>
              <w:bottom w:val="single" w:color="000000" w:sz="4" w:space="0"/>
            </w:tcBorders>
          </w:tcPr>
          <w:p>
            <w:pPr>
              <w:pStyle w:val="19"/>
              <w:spacing w:before="18"/>
              <w:ind w:left="136" w:right="113"/>
              <w:rPr>
                <w:rFonts w:ascii="Times New Roman"/>
                <w:sz w:val="21"/>
              </w:rPr>
            </w:pPr>
            <w:r>
              <w:rPr>
                <w:rFonts w:ascii="Times New Roman"/>
                <w:sz w:val="21"/>
              </w:rPr>
              <w:t>&gt;0.10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9"/>
              <w:spacing w:line="268" w:lineRule="exact"/>
              <w:ind w:left="11"/>
              <w:rPr>
                <w:sz w:val="21"/>
              </w:rPr>
            </w:pPr>
            <w:r>
              <w:rPr>
                <w:w w:val="99"/>
                <w:sz w:val="21"/>
              </w:rPr>
              <w:t>镉</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7"/>
              <w:ind w:right="300"/>
              <w:jc w:val="right"/>
              <w:rPr>
                <w:rFonts w:ascii="Times New Roman" w:hAnsi="Times New Roman"/>
                <w:sz w:val="21"/>
              </w:rPr>
            </w:pPr>
            <w:r>
              <w:rPr>
                <w:rFonts w:ascii="Times New Roman" w:hAnsi="Times New Roman"/>
                <w:w w:val="95"/>
                <w:sz w:val="21"/>
              </w:rPr>
              <w:t>≤0.0001</w:t>
            </w:r>
          </w:p>
        </w:tc>
        <w:tc>
          <w:tcPr>
            <w:tcW w:w="1324" w:type="dxa"/>
            <w:tcBorders>
              <w:top w:val="single" w:color="000000" w:sz="4" w:space="0"/>
              <w:left w:val="single" w:color="000000" w:sz="4" w:space="0"/>
              <w:bottom w:val="single" w:color="000000" w:sz="4" w:space="0"/>
              <w:right w:val="single" w:color="000000" w:sz="4" w:space="0"/>
            </w:tcBorders>
          </w:tcPr>
          <w:p>
            <w:pPr>
              <w:pStyle w:val="19"/>
              <w:spacing w:before="17"/>
              <w:ind w:left="299" w:right="281"/>
              <w:rPr>
                <w:rFonts w:ascii="Times New Roman" w:hAnsi="Times New Roman"/>
                <w:sz w:val="21"/>
              </w:rPr>
            </w:pPr>
            <w:r>
              <w:rPr>
                <w:rFonts w:ascii="Times New Roman" w:hAnsi="Times New Roman"/>
                <w:sz w:val="21"/>
              </w:rPr>
              <w:t>≤0.001</w:t>
            </w:r>
          </w:p>
        </w:tc>
        <w:tc>
          <w:tcPr>
            <w:tcW w:w="1335" w:type="dxa"/>
            <w:tcBorders>
              <w:top w:val="single" w:color="000000" w:sz="4" w:space="0"/>
              <w:left w:val="single" w:color="000000" w:sz="4" w:space="0"/>
              <w:bottom w:val="single" w:color="000000" w:sz="4" w:space="0"/>
              <w:right w:val="single" w:color="000000" w:sz="4" w:space="0"/>
            </w:tcBorders>
          </w:tcPr>
          <w:p>
            <w:pPr>
              <w:pStyle w:val="19"/>
              <w:spacing w:before="34"/>
              <w:ind w:left="359" w:right="338"/>
              <w:rPr>
                <w:rFonts w:ascii="Times New Roman" w:hAnsi="Times New Roman"/>
                <w:b/>
                <w:sz w:val="21"/>
              </w:rPr>
            </w:pPr>
            <w:r>
              <w:rPr>
                <w:rFonts w:ascii="Times New Roman" w:hAnsi="Times New Roman"/>
                <w:b/>
                <w:sz w:val="21"/>
              </w:rPr>
              <w:t>≤0.005</w:t>
            </w:r>
          </w:p>
        </w:tc>
        <w:tc>
          <w:tcPr>
            <w:tcW w:w="1833" w:type="dxa"/>
            <w:tcBorders>
              <w:top w:val="single" w:color="000000" w:sz="4" w:space="0"/>
              <w:left w:val="single" w:color="000000" w:sz="4" w:space="0"/>
              <w:bottom w:val="single" w:color="000000" w:sz="4" w:space="0"/>
              <w:right w:val="single" w:color="000000" w:sz="4" w:space="0"/>
            </w:tcBorders>
          </w:tcPr>
          <w:p>
            <w:pPr>
              <w:pStyle w:val="19"/>
              <w:spacing w:before="17"/>
              <w:ind w:left="533" w:right="512"/>
              <w:rPr>
                <w:rFonts w:ascii="Times New Roman" w:hAnsi="Times New Roman"/>
                <w:sz w:val="21"/>
              </w:rPr>
            </w:pPr>
            <w:r>
              <w:rPr>
                <w:rFonts w:ascii="Times New Roman" w:hAnsi="Times New Roman"/>
                <w:sz w:val="21"/>
              </w:rPr>
              <w:t>≤0.01</w:t>
            </w:r>
          </w:p>
        </w:tc>
        <w:tc>
          <w:tcPr>
            <w:tcW w:w="1326" w:type="dxa"/>
            <w:tcBorders>
              <w:top w:val="single" w:color="000000" w:sz="4" w:space="0"/>
              <w:left w:val="single" w:color="000000" w:sz="4" w:space="0"/>
              <w:bottom w:val="single" w:color="000000" w:sz="4" w:space="0"/>
            </w:tcBorders>
          </w:tcPr>
          <w:p>
            <w:pPr>
              <w:pStyle w:val="19"/>
              <w:spacing w:before="17"/>
              <w:ind w:left="136" w:right="113"/>
              <w:rPr>
                <w:rFonts w:ascii="Times New Roman"/>
                <w:sz w:val="21"/>
              </w:rPr>
            </w:pPr>
            <w:r>
              <w:rPr>
                <w:rFonts w:ascii="Times New Roman"/>
                <w:sz w:val="21"/>
              </w:rPr>
              <w:t>&gt;0.01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9"/>
              <w:ind w:left="311" w:right="298"/>
              <w:rPr>
                <w:sz w:val="21"/>
              </w:rPr>
            </w:pPr>
            <w:r>
              <w:rPr>
                <w:sz w:val="21"/>
              </w:rPr>
              <w:t>氰化物</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6"/>
              <w:ind w:right="353"/>
              <w:jc w:val="right"/>
              <w:rPr>
                <w:rFonts w:ascii="Times New Roman" w:hAnsi="Times New Roman"/>
                <w:sz w:val="21"/>
              </w:rPr>
            </w:pPr>
            <w:r>
              <w:rPr>
                <w:rFonts w:ascii="Times New Roman" w:hAnsi="Times New Roman"/>
                <w:w w:val="95"/>
                <w:sz w:val="21"/>
              </w:rPr>
              <w:t>≤0.001</w:t>
            </w:r>
          </w:p>
        </w:tc>
        <w:tc>
          <w:tcPr>
            <w:tcW w:w="1324" w:type="dxa"/>
            <w:tcBorders>
              <w:top w:val="single" w:color="000000" w:sz="4" w:space="0"/>
              <w:left w:val="single" w:color="000000" w:sz="4" w:space="0"/>
              <w:bottom w:val="single" w:color="000000" w:sz="4" w:space="0"/>
              <w:right w:val="single" w:color="000000" w:sz="4" w:space="0"/>
            </w:tcBorders>
          </w:tcPr>
          <w:p>
            <w:pPr>
              <w:pStyle w:val="19"/>
              <w:spacing w:before="16"/>
              <w:ind w:left="299" w:right="279"/>
              <w:rPr>
                <w:rFonts w:ascii="Times New Roman" w:hAnsi="Times New Roman"/>
                <w:sz w:val="21"/>
              </w:rPr>
            </w:pPr>
            <w:r>
              <w:rPr>
                <w:rFonts w:ascii="Times New Roman" w:hAnsi="Times New Roman"/>
                <w:sz w:val="21"/>
              </w:rPr>
              <w:t>≤0.01</w:t>
            </w:r>
          </w:p>
        </w:tc>
        <w:tc>
          <w:tcPr>
            <w:tcW w:w="1335" w:type="dxa"/>
            <w:tcBorders>
              <w:top w:val="single" w:color="000000" w:sz="4" w:space="0"/>
              <w:left w:val="single" w:color="000000" w:sz="4" w:space="0"/>
              <w:bottom w:val="single" w:color="000000" w:sz="4" w:space="0"/>
              <w:right w:val="single" w:color="000000" w:sz="4" w:space="0"/>
            </w:tcBorders>
          </w:tcPr>
          <w:p>
            <w:pPr>
              <w:pStyle w:val="19"/>
              <w:spacing w:before="36"/>
              <w:ind w:left="359" w:right="338"/>
              <w:rPr>
                <w:rFonts w:ascii="Times New Roman" w:hAnsi="Times New Roman"/>
                <w:b/>
                <w:sz w:val="21"/>
              </w:rPr>
            </w:pPr>
            <w:r>
              <w:rPr>
                <w:rFonts w:ascii="Times New Roman" w:hAnsi="Times New Roman"/>
                <w:b/>
                <w:sz w:val="21"/>
              </w:rPr>
              <w:t>≤0.05</w:t>
            </w:r>
          </w:p>
        </w:tc>
        <w:tc>
          <w:tcPr>
            <w:tcW w:w="1833" w:type="dxa"/>
            <w:tcBorders>
              <w:top w:val="single" w:color="000000" w:sz="4" w:space="0"/>
              <w:left w:val="single" w:color="000000" w:sz="4" w:space="0"/>
              <w:bottom w:val="single" w:color="000000" w:sz="4" w:space="0"/>
              <w:right w:val="single" w:color="000000" w:sz="4" w:space="0"/>
            </w:tcBorders>
          </w:tcPr>
          <w:p>
            <w:pPr>
              <w:pStyle w:val="19"/>
              <w:spacing w:before="16"/>
              <w:ind w:left="533" w:right="512"/>
              <w:rPr>
                <w:rFonts w:ascii="Times New Roman" w:hAnsi="Times New Roman"/>
                <w:sz w:val="21"/>
              </w:rPr>
            </w:pPr>
            <w:r>
              <w:rPr>
                <w:rFonts w:ascii="Times New Roman" w:hAnsi="Times New Roman"/>
                <w:sz w:val="21"/>
              </w:rPr>
              <w:t>≤0.1</w:t>
            </w:r>
          </w:p>
        </w:tc>
        <w:tc>
          <w:tcPr>
            <w:tcW w:w="1326" w:type="dxa"/>
            <w:tcBorders>
              <w:top w:val="single" w:color="000000" w:sz="4" w:space="0"/>
              <w:left w:val="single" w:color="000000" w:sz="4" w:space="0"/>
              <w:bottom w:val="single" w:color="000000" w:sz="4" w:space="0"/>
            </w:tcBorders>
          </w:tcPr>
          <w:p>
            <w:pPr>
              <w:pStyle w:val="19"/>
              <w:spacing w:before="16"/>
              <w:ind w:left="136" w:right="113"/>
              <w:rPr>
                <w:rFonts w:ascii="Times New Roman"/>
                <w:sz w:val="21"/>
              </w:rPr>
            </w:pPr>
            <w:r>
              <w:rPr>
                <w:rFonts w:ascii="Times New Roman"/>
                <w:sz w:val="21"/>
              </w:rPr>
              <w:t>&gt;0.1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2136" w:type="dxa"/>
            <w:tcBorders>
              <w:top w:val="single" w:color="000000" w:sz="4" w:space="0"/>
              <w:bottom w:val="single" w:color="000000" w:sz="4" w:space="0"/>
              <w:right w:val="single" w:color="000000" w:sz="4" w:space="0"/>
            </w:tcBorders>
          </w:tcPr>
          <w:p>
            <w:pPr>
              <w:pStyle w:val="19"/>
              <w:spacing w:line="268" w:lineRule="exact"/>
              <w:ind w:left="311" w:right="298"/>
              <w:rPr>
                <w:sz w:val="21"/>
              </w:rPr>
            </w:pPr>
            <w:r>
              <w:rPr>
                <w:sz w:val="21"/>
              </w:rPr>
              <w:t>总硬度</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8"/>
              <w:ind w:left="453"/>
              <w:jc w:val="left"/>
              <w:rPr>
                <w:rFonts w:ascii="Times New Roman" w:hAnsi="Times New Roman"/>
                <w:sz w:val="21"/>
              </w:rPr>
            </w:pPr>
            <w:r>
              <w:rPr>
                <w:rFonts w:ascii="Times New Roman" w:hAnsi="Times New Roman"/>
                <w:sz w:val="21"/>
              </w:rPr>
              <w:t>≤150</w:t>
            </w:r>
          </w:p>
        </w:tc>
        <w:tc>
          <w:tcPr>
            <w:tcW w:w="1324" w:type="dxa"/>
            <w:tcBorders>
              <w:top w:val="single" w:color="000000" w:sz="4" w:space="0"/>
              <w:left w:val="single" w:color="000000" w:sz="4" w:space="0"/>
              <w:bottom w:val="single" w:color="000000" w:sz="4" w:space="0"/>
              <w:right w:val="single" w:color="000000" w:sz="4" w:space="0"/>
            </w:tcBorders>
          </w:tcPr>
          <w:p>
            <w:pPr>
              <w:pStyle w:val="19"/>
              <w:spacing w:before="18"/>
              <w:ind w:left="299" w:right="279"/>
              <w:rPr>
                <w:rFonts w:ascii="Times New Roman" w:hAnsi="Times New Roman"/>
                <w:sz w:val="21"/>
              </w:rPr>
            </w:pPr>
            <w:r>
              <w:rPr>
                <w:rFonts w:ascii="Times New Roman" w:hAnsi="Times New Roman"/>
                <w:sz w:val="21"/>
              </w:rPr>
              <w:t>≤300</w:t>
            </w:r>
          </w:p>
        </w:tc>
        <w:tc>
          <w:tcPr>
            <w:tcW w:w="1335" w:type="dxa"/>
            <w:tcBorders>
              <w:top w:val="single" w:color="000000" w:sz="4" w:space="0"/>
              <w:left w:val="single" w:color="000000" w:sz="4" w:space="0"/>
              <w:bottom w:val="single" w:color="000000" w:sz="4" w:space="0"/>
              <w:right w:val="single" w:color="000000" w:sz="4" w:space="0"/>
            </w:tcBorders>
          </w:tcPr>
          <w:p>
            <w:pPr>
              <w:pStyle w:val="19"/>
              <w:spacing w:before="35"/>
              <w:ind w:left="356" w:right="338"/>
              <w:rPr>
                <w:rFonts w:ascii="Times New Roman" w:hAnsi="Times New Roman"/>
                <w:b/>
                <w:sz w:val="21"/>
              </w:rPr>
            </w:pPr>
            <w:r>
              <w:rPr>
                <w:rFonts w:ascii="Times New Roman" w:hAnsi="Times New Roman"/>
                <w:b/>
                <w:sz w:val="21"/>
              </w:rPr>
              <w:t>≤450</w:t>
            </w:r>
          </w:p>
        </w:tc>
        <w:tc>
          <w:tcPr>
            <w:tcW w:w="1833" w:type="dxa"/>
            <w:tcBorders>
              <w:top w:val="single" w:color="000000" w:sz="4" w:space="0"/>
              <w:left w:val="single" w:color="000000" w:sz="4" w:space="0"/>
              <w:bottom w:val="single" w:color="000000" w:sz="4" w:space="0"/>
              <w:right w:val="single" w:color="000000" w:sz="4" w:space="0"/>
            </w:tcBorders>
          </w:tcPr>
          <w:p>
            <w:pPr>
              <w:pStyle w:val="19"/>
              <w:spacing w:before="18"/>
              <w:ind w:left="533" w:right="515"/>
              <w:rPr>
                <w:rFonts w:ascii="Times New Roman" w:hAnsi="Times New Roman"/>
                <w:sz w:val="21"/>
              </w:rPr>
            </w:pPr>
            <w:r>
              <w:rPr>
                <w:rFonts w:ascii="Times New Roman" w:hAnsi="Times New Roman"/>
                <w:sz w:val="21"/>
              </w:rPr>
              <w:t>≤650</w:t>
            </w:r>
          </w:p>
        </w:tc>
        <w:tc>
          <w:tcPr>
            <w:tcW w:w="1326" w:type="dxa"/>
            <w:tcBorders>
              <w:top w:val="single" w:color="000000" w:sz="4" w:space="0"/>
              <w:left w:val="single" w:color="000000" w:sz="4" w:space="0"/>
              <w:bottom w:val="single" w:color="000000" w:sz="4" w:space="0"/>
            </w:tcBorders>
          </w:tcPr>
          <w:p>
            <w:pPr>
              <w:pStyle w:val="19"/>
              <w:spacing w:before="18"/>
              <w:ind w:left="136" w:right="113"/>
              <w:rPr>
                <w:rFonts w:ascii="Times New Roman"/>
                <w:sz w:val="21"/>
              </w:rPr>
            </w:pPr>
            <w:r>
              <w:rPr>
                <w:rFonts w:ascii="Times New Roman"/>
                <w:sz w:val="21"/>
              </w:rPr>
              <w:t>&gt;650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9"/>
              <w:spacing w:before="1"/>
              <w:ind w:left="311" w:right="298"/>
              <w:rPr>
                <w:sz w:val="21"/>
              </w:rPr>
            </w:pPr>
            <w:r>
              <w:rPr>
                <w:sz w:val="21"/>
              </w:rPr>
              <w:t>硫酸盐</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8"/>
              <w:ind w:left="83" w:right="67"/>
              <w:rPr>
                <w:rFonts w:ascii="Times New Roman" w:hAnsi="Times New Roman"/>
                <w:sz w:val="21"/>
              </w:rPr>
            </w:pPr>
            <w:r>
              <w:rPr>
                <w:rFonts w:ascii="Times New Roman" w:hAnsi="Times New Roman"/>
                <w:sz w:val="21"/>
              </w:rPr>
              <w:t>≤50</w:t>
            </w:r>
          </w:p>
        </w:tc>
        <w:tc>
          <w:tcPr>
            <w:tcW w:w="1324" w:type="dxa"/>
            <w:tcBorders>
              <w:top w:val="single" w:color="000000" w:sz="4" w:space="0"/>
              <w:left w:val="single" w:color="000000" w:sz="4" w:space="0"/>
              <w:bottom w:val="single" w:color="000000" w:sz="4" w:space="0"/>
              <w:right w:val="single" w:color="000000" w:sz="4" w:space="0"/>
            </w:tcBorders>
          </w:tcPr>
          <w:p>
            <w:pPr>
              <w:pStyle w:val="19"/>
              <w:spacing w:before="18"/>
              <w:ind w:left="299" w:right="279"/>
              <w:rPr>
                <w:rFonts w:ascii="Times New Roman" w:hAnsi="Times New Roman"/>
                <w:sz w:val="21"/>
              </w:rPr>
            </w:pPr>
            <w:r>
              <w:rPr>
                <w:rFonts w:ascii="Times New Roman" w:hAnsi="Times New Roman"/>
                <w:sz w:val="21"/>
              </w:rPr>
              <w:t>≤150</w:t>
            </w:r>
          </w:p>
        </w:tc>
        <w:tc>
          <w:tcPr>
            <w:tcW w:w="1335" w:type="dxa"/>
            <w:tcBorders>
              <w:top w:val="single" w:color="000000" w:sz="4" w:space="0"/>
              <w:left w:val="single" w:color="000000" w:sz="4" w:space="0"/>
              <w:bottom w:val="single" w:color="000000" w:sz="4" w:space="0"/>
              <w:right w:val="single" w:color="000000" w:sz="4" w:space="0"/>
            </w:tcBorders>
          </w:tcPr>
          <w:p>
            <w:pPr>
              <w:pStyle w:val="19"/>
              <w:spacing w:before="35"/>
              <w:ind w:left="356" w:right="338"/>
              <w:rPr>
                <w:rFonts w:ascii="Times New Roman" w:hAnsi="Times New Roman"/>
                <w:b/>
                <w:sz w:val="21"/>
              </w:rPr>
            </w:pPr>
            <w:r>
              <w:rPr>
                <w:rFonts w:ascii="Times New Roman" w:hAnsi="Times New Roman"/>
                <w:b/>
                <w:sz w:val="21"/>
              </w:rPr>
              <w:t>≤250</w:t>
            </w:r>
          </w:p>
        </w:tc>
        <w:tc>
          <w:tcPr>
            <w:tcW w:w="1833" w:type="dxa"/>
            <w:tcBorders>
              <w:top w:val="single" w:color="000000" w:sz="4" w:space="0"/>
              <w:left w:val="single" w:color="000000" w:sz="4" w:space="0"/>
              <w:bottom w:val="single" w:color="000000" w:sz="4" w:space="0"/>
              <w:right w:val="single" w:color="000000" w:sz="4" w:space="0"/>
            </w:tcBorders>
          </w:tcPr>
          <w:p>
            <w:pPr>
              <w:pStyle w:val="19"/>
              <w:spacing w:before="18"/>
              <w:ind w:left="533" w:right="515"/>
              <w:rPr>
                <w:rFonts w:ascii="Times New Roman" w:hAnsi="Times New Roman"/>
                <w:sz w:val="21"/>
              </w:rPr>
            </w:pPr>
            <w:r>
              <w:rPr>
                <w:rFonts w:ascii="Times New Roman" w:hAnsi="Times New Roman"/>
                <w:sz w:val="21"/>
              </w:rPr>
              <w:t>≤350</w:t>
            </w:r>
          </w:p>
        </w:tc>
        <w:tc>
          <w:tcPr>
            <w:tcW w:w="1326" w:type="dxa"/>
            <w:tcBorders>
              <w:top w:val="single" w:color="000000" w:sz="4" w:space="0"/>
              <w:left w:val="single" w:color="000000" w:sz="4" w:space="0"/>
              <w:bottom w:val="single" w:color="000000" w:sz="4" w:space="0"/>
            </w:tcBorders>
          </w:tcPr>
          <w:p>
            <w:pPr>
              <w:pStyle w:val="19"/>
              <w:spacing w:before="18"/>
              <w:ind w:left="136" w:right="113"/>
              <w:rPr>
                <w:rFonts w:ascii="Times New Roman"/>
                <w:sz w:val="21"/>
              </w:rPr>
            </w:pPr>
            <w:r>
              <w:rPr>
                <w:rFonts w:ascii="Times New Roman"/>
                <w:sz w:val="21"/>
              </w:rPr>
              <w:t>&gt;350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9"/>
              <w:ind w:left="311" w:right="298"/>
              <w:rPr>
                <w:sz w:val="21"/>
              </w:rPr>
            </w:pPr>
            <w:r>
              <w:rPr>
                <w:sz w:val="21"/>
              </w:rPr>
              <w:t>六价铬</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7"/>
              <w:ind w:right="353"/>
              <w:jc w:val="right"/>
              <w:rPr>
                <w:rFonts w:ascii="Times New Roman" w:hAnsi="Times New Roman"/>
                <w:sz w:val="21"/>
              </w:rPr>
            </w:pPr>
            <w:r>
              <w:rPr>
                <w:rFonts w:ascii="Times New Roman" w:hAnsi="Times New Roman"/>
                <w:w w:val="95"/>
                <w:sz w:val="21"/>
              </w:rPr>
              <w:t>≤0.005</w:t>
            </w:r>
          </w:p>
        </w:tc>
        <w:tc>
          <w:tcPr>
            <w:tcW w:w="1324" w:type="dxa"/>
            <w:tcBorders>
              <w:top w:val="single" w:color="000000" w:sz="4" w:space="0"/>
              <w:left w:val="single" w:color="000000" w:sz="4" w:space="0"/>
              <w:bottom w:val="single" w:color="000000" w:sz="4" w:space="0"/>
              <w:right w:val="single" w:color="000000" w:sz="4" w:space="0"/>
            </w:tcBorders>
          </w:tcPr>
          <w:p>
            <w:pPr>
              <w:pStyle w:val="19"/>
              <w:spacing w:before="17"/>
              <w:ind w:left="299" w:right="279"/>
              <w:rPr>
                <w:rFonts w:ascii="Times New Roman" w:hAnsi="Times New Roman"/>
                <w:sz w:val="21"/>
              </w:rPr>
            </w:pPr>
            <w:r>
              <w:rPr>
                <w:rFonts w:ascii="Times New Roman" w:hAnsi="Times New Roman"/>
                <w:sz w:val="21"/>
              </w:rPr>
              <w:t>≤0.01</w:t>
            </w:r>
          </w:p>
        </w:tc>
        <w:tc>
          <w:tcPr>
            <w:tcW w:w="1335" w:type="dxa"/>
            <w:tcBorders>
              <w:top w:val="single" w:color="000000" w:sz="4" w:space="0"/>
              <w:left w:val="single" w:color="000000" w:sz="4" w:space="0"/>
              <w:bottom w:val="single" w:color="000000" w:sz="4" w:space="0"/>
              <w:right w:val="single" w:color="000000" w:sz="4" w:space="0"/>
            </w:tcBorders>
          </w:tcPr>
          <w:p>
            <w:pPr>
              <w:pStyle w:val="19"/>
              <w:spacing w:before="36"/>
              <w:ind w:left="359" w:right="338"/>
              <w:rPr>
                <w:rFonts w:ascii="Times New Roman" w:hAnsi="Times New Roman"/>
                <w:b/>
                <w:sz w:val="21"/>
              </w:rPr>
            </w:pPr>
            <w:r>
              <w:rPr>
                <w:rFonts w:ascii="Times New Roman" w:hAnsi="Times New Roman"/>
                <w:b/>
                <w:sz w:val="21"/>
              </w:rPr>
              <w:t>≤0.05</w:t>
            </w:r>
          </w:p>
        </w:tc>
        <w:tc>
          <w:tcPr>
            <w:tcW w:w="1833" w:type="dxa"/>
            <w:tcBorders>
              <w:top w:val="single" w:color="000000" w:sz="4" w:space="0"/>
              <w:left w:val="single" w:color="000000" w:sz="4" w:space="0"/>
              <w:bottom w:val="single" w:color="000000" w:sz="4" w:space="0"/>
              <w:right w:val="single" w:color="000000" w:sz="4" w:space="0"/>
            </w:tcBorders>
          </w:tcPr>
          <w:p>
            <w:pPr>
              <w:pStyle w:val="19"/>
              <w:spacing w:before="17"/>
              <w:ind w:left="533" w:right="512"/>
              <w:rPr>
                <w:rFonts w:ascii="Times New Roman" w:hAnsi="Times New Roman"/>
                <w:sz w:val="21"/>
              </w:rPr>
            </w:pPr>
            <w:r>
              <w:rPr>
                <w:rFonts w:ascii="Times New Roman" w:hAnsi="Times New Roman"/>
                <w:sz w:val="21"/>
              </w:rPr>
              <w:t>≤0.10</w:t>
            </w:r>
          </w:p>
        </w:tc>
        <w:tc>
          <w:tcPr>
            <w:tcW w:w="1326" w:type="dxa"/>
            <w:tcBorders>
              <w:top w:val="single" w:color="000000" w:sz="4" w:space="0"/>
              <w:left w:val="single" w:color="000000" w:sz="4" w:space="0"/>
              <w:bottom w:val="single" w:color="000000" w:sz="4" w:space="0"/>
            </w:tcBorders>
          </w:tcPr>
          <w:p>
            <w:pPr>
              <w:pStyle w:val="19"/>
              <w:spacing w:before="17"/>
              <w:ind w:left="136" w:right="113"/>
              <w:rPr>
                <w:rFonts w:ascii="Times New Roman"/>
                <w:sz w:val="21"/>
              </w:rPr>
            </w:pPr>
            <w:r>
              <w:rPr>
                <w:rFonts w:ascii="Times New Roman"/>
                <w:sz w:val="21"/>
              </w:rPr>
              <w:t>&gt;0.10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bottom w:val="single" w:color="000000" w:sz="4" w:space="0"/>
              <w:right w:val="single" w:color="000000" w:sz="4" w:space="0"/>
            </w:tcBorders>
          </w:tcPr>
          <w:p>
            <w:pPr>
              <w:pStyle w:val="19"/>
              <w:ind w:left="311" w:right="298"/>
              <w:rPr>
                <w:sz w:val="21"/>
              </w:rPr>
            </w:pPr>
            <w:r>
              <w:rPr>
                <w:sz w:val="21"/>
              </w:rPr>
              <w:t>氯化物</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6"/>
              <w:ind w:left="83" w:right="67"/>
              <w:rPr>
                <w:rFonts w:ascii="Times New Roman" w:hAnsi="Times New Roman"/>
                <w:sz w:val="21"/>
              </w:rPr>
            </w:pPr>
            <w:r>
              <w:rPr>
                <w:rFonts w:ascii="Times New Roman" w:hAnsi="Times New Roman"/>
                <w:sz w:val="21"/>
              </w:rPr>
              <w:t>≤50</w:t>
            </w:r>
          </w:p>
        </w:tc>
        <w:tc>
          <w:tcPr>
            <w:tcW w:w="1324" w:type="dxa"/>
            <w:tcBorders>
              <w:top w:val="single" w:color="000000" w:sz="4" w:space="0"/>
              <w:left w:val="single" w:color="000000" w:sz="4" w:space="0"/>
              <w:bottom w:val="single" w:color="000000" w:sz="4" w:space="0"/>
              <w:right w:val="single" w:color="000000" w:sz="4" w:space="0"/>
            </w:tcBorders>
          </w:tcPr>
          <w:p>
            <w:pPr>
              <w:pStyle w:val="19"/>
              <w:spacing w:before="16"/>
              <w:ind w:left="299" w:right="279"/>
              <w:rPr>
                <w:rFonts w:ascii="Times New Roman" w:hAnsi="Times New Roman"/>
                <w:sz w:val="21"/>
              </w:rPr>
            </w:pPr>
            <w:r>
              <w:rPr>
                <w:rFonts w:ascii="Times New Roman" w:hAnsi="Times New Roman"/>
                <w:sz w:val="21"/>
              </w:rPr>
              <w:t>≤150</w:t>
            </w:r>
          </w:p>
        </w:tc>
        <w:tc>
          <w:tcPr>
            <w:tcW w:w="1335" w:type="dxa"/>
            <w:tcBorders>
              <w:top w:val="single" w:color="000000" w:sz="4" w:space="0"/>
              <w:left w:val="single" w:color="000000" w:sz="4" w:space="0"/>
              <w:bottom w:val="single" w:color="000000" w:sz="4" w:space="0"/>
              <w:right w:val="single" w:color="000000" w:sz="4" w:space="0"/>
            </w:tcBorders>
          </w:tcPr>
          <w:p>
            <w:pPr>
              <w:pStyle w:val="19"/>
              <w:spacing w:before="35"/>
              <w:ind w:left="356" w:right="338"/>
              <w:rPr>
                <w:rFonts w:ascii="Times New Roman" w:hAnsi="Times New Roman"/>
                <w:b/>
                <w:sz w:val="21"/>
              </w:rPr>
            </w:pPr>
            <w:r>
              <w:rPr>
                <w:rFonts w:ascii="Times New Roman" w:hAnsi="Times New Roman"/>
                <w:b/>
                <w:sz w:val="21"/>
              </w:rPr>
              <w:t>≤250</w:t>
            </w:r>
          </w:p>
        </w:tc>
        <w:tc>
          <w:tcPr>
            <w:tcW w:w="1833" w:type="dxa"/>
            <w:tcBorders>
              <w:top w:val="single" w:color="000000" w:sz="4" w:space="0"/>
              <w:left w:val="single" w:color="000000" w:sz="4" w:space="0"/>
              <w:bottom w:val="single" w:color="000000" w:sz="4" w:space="0"/>
              <w:right w:val="single" w:color="000000" w:sz="4" w:space="0"/>
            </w:tcBorders>
          </w:tcPr>
          <w:p>
            <w:pPr>
              <w:pStyle w:val="19"/>
              <w:spacing w:before="16"/>
              <w:ind w:left="533" w:right="515"/>
              <w:rPr>
                <w:rFonts w:ascii="Times New Roman" w:hAnsi="Times New Roman"/>
                <w:sz w:val="21"/>
              </w:rPr>
            </w:pPr>
            <w:r>
              <w:rPr>
                <w:rFonts w:ascii="Times New Roman" w:hAnsi="Times New Roman"/>
                <w:sz w:val="21"/>
              </w:rPr>
              <w:t>≤350</w:t>
            </w:r>
          </w:p>
        </w:tc>
        <w:tc>
          <w:tcPr>
            <w:tcW w:w="1326" w:type="dxa"/>
            <w:tcBorders>
              <w:top w:val="single" w:color="000000" w:sz="4" w:space="0"/>
              <w:left w:val="single" w:color="000000" w:sz="4" w:space="0"/>
              <w:bottom w:val="single" w:color="000000" w:sz="4" w:space="0"/>
            </w:tcBorders>
          </w:tcPr>
          <w:p>
            <w:pPr>
              <w:pStyle w:val="19"/>
              <w:spacing w:before="16"/>
              <w:ind w:left="136" w:right="113"/>
              <w:rPr>
                <w:rFonts w:ascii="Times New Roman"/>
                <w:sz w:val="21"/>
              </w:rPr>
            </w:pPr>
            <w:r>
              <w:rPr>
                <w:rFonts w:ascii="Times New Roman"/>
                <w:sz w:val="21"/>
              </w:rPr>
              <w:t>&gt;350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9"/>
              <w:spacing w:before="1"/>
              <w:ind w:left="311" w:right="298"/>
              <w:rPr>
                <w:sz w:val="21"/>
              </w:rPr>
            </w:pPr>
            <w:r>
              <w:rPr>
                <w:sz w:val="21"/>
              </w:rPr>
              <w:t>溶解性总固体</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7"/>
              <w:ind w:left="453"/>
              <w:jc w:val="left"/>
              <w:rPr>
                <w:rFonts w:ascii="Times New Roman" w:hAnsi="Times New Roman"/>
                <w:sz w:val="21"/>
              </w:rPr>
            </w:pPr>
            <w:r>
              <w:rPr>
                <w:rFonts w:ascii="Times New Roman" w:hAnsi="Times New Roman"/>
                <w:sz w:val="21"/>
              </w:rPr>
              <w:t>≤300</w:t>
            </w:r>
          </w:p>
        </w:tc>
        <w:tc>
          <w:tcPr>
            <w:tcW w:w="1324" w:type="dxa"/>
            <w:tcBorders>
              <w:top w:val="single" w:color="000000" w:sz="4" w:space="0"/>
              <w:left w:val="single" w:color="000000" w:sz="4" w:space="0"/>
              <w:bottom w:val="single" w:color="000000" w:sz="4" w:space="0"/>
              <w:right w:val="single" w:color="000000" w:sz="4" w:space="0"/>
            </w:tcBorders>
          </w:tcPr>
          <w:p>
            <w:pPr>
              <w:pStyle w:val="19"/>
              <w:spacing w:before="17"/>
              <w:ind w:left="299" w:right="279"/>
              <w:rPr>
                <w:rFonts w:ascii="Times New Roman" w:hAnsi="Times New Roman"/>
                <w:sz w:val="21"/>
              </w:rPr>
            </w:pPr>
            <w:r>
              <w:rPr>
                <w:rFonts w:ascii="Times New Roman" w:hAnsi="Times New Roman"/>
                <w:sz w:val="21"/>
              </w:rPr>
              <w:t>≤500</w:t>
            </w:r>
          </w:p>
        </w:tc>
        <w:tc>
          <w:tcPr>
            <w:tcW w:w="1335" w:type="dxa"/>
            <w:tcBorders>
              <w:top w:val="single" w:color="000000" w:sz="4" w:space="0"/>
              <w:left w:val="single" w:color="000000" w:sz="4" w:space="0"/>
              <w:bottom w:val="single" w:color="000000" w:sz="4" w:space="0"/>
              <w:right w:val="single" w:color="000000" w:sz="4" w:space="0"/>
            </w:tcBorders>
          </w:tcPr>
          <w:p>
            <w:pPr>
              <w:pStyle w:val="19"/>
              <w:spacing w:before="34"/>
              <w:ind w:left="359" w:right="338"/>
              <w:rPr>
                <w:rFonts w:ascii="Times New Roman" w:hAnsi="Times New Roman"/>
                <w:b/>
                <w:sz w:val="21"/>
              </w:rPr>
            </w:pPr>
            <w:r>
              <w:rPr>
                <w:rFonts w:ascii="Times New Roman" w:hAnsi="Times New Roman"/>
                <w:b/>
                <w:sz w:val="21"/>
              </w:rPr>
              <w:t>≤1000</w:t>
            </w:r>
          </w:p>
        </w:tc>
        <w:tc>
          <w:tcPr>
            <w:tcW w:w="1833" w:type="dxa"/>
            <w:tcBorders>
              <w:top w:val="single" w:color="000000" w:sz="4" w:space="0"/>
              <w:left w:val="single" w:color="000000" w:sz="4" w:space="0"/>
              <w:bottom w:val="single" w:color="000000" w:sz="4" w:space="0"/>
              <w:right w:val="single" w:color="000000" w:sz="4" w:space="0"/>
            </w:tcBorders>
          </w:tcPr>
          <w:p>
            <w:pPr>
              <w:pStyle w:val="19"/>
              <w:spacing w:before="17"/>
              <w:ind w:left="533" w:right="512"/>
              <w:rPr>
                <w:rFonts w:ascii="Times New Roman" w:hAnsi="Times New Roman"/>
                <w:sz w:val="21"/>
              </w:rPr>
            </w:pPr>
            <w:r>
              <w:rPr>
                <w:rFonts w:ascii="Times New Roman" w:hAnsi="Times New Roman"/>
                <w:sz w:val="21"/>
              </w:rPr>
              <w:t>≤2000</w:t>
            </w:r>
          </w:p>
        </w:tc>
        <w:tc>
          <w:tcPr>
            <w:tcW w:w="1326" w:type="dxa"/>
            <w:tcBorders>
              <w:top w:val="single" w:color="000000" w:sz="4" w:space="0"/>
              <w:left w:val="single" w:color="000000" w:sz="4" w:space="0"/>
              <w:bottom w:val="single" w:color="000000" w:sz="4" w:space="0"/>
            </w:tcBorders>
          </w:tcPr>
          <w:p>
            <w:pPr>
              <w:pStyle w:val="19"/>
              <w:spacing w:before="17"/>
              <w:ind w:left="136" w:right="113"/>
              <w:rPr>
                <w:rFonts w:ascii="Times New Roman"/>
                <w:sz w:val="21"/>
              </w:rPr>
            </w:pPr>
            <w:r>
              <w:rPr>
                <w:rFonts w:ascii="Times New Roman"/>
                <w:sz w:val="21"/>
              </w:rPr>
              <w:t>&gt;2000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2136" w:type="dxa"/>
            <w:tcBorders>
              <w:top w:val="single" w:color="000000" w:sz="4" w:space="0"/>
              <w:bottom w:val="single" w:color="000000" w:sz="4" w:space="0"/>
              <w:right w:val="single" w:color="000000" w:sz="4" w:space="0"/>
            </w:tcBorders>
          </w:tcPr>
          <w:p>
            <w:pPr>
              <w:pStyle w:val="19"/>
              <w:ind w:left="311" w:right="298"/>
              <w:rPr>
                <w:sz w:val="21"/>
              </w:rPr>
            </w:pPr>
            <w:r>
              <w:rPr>
                <w:sz w:val="21"/>
              </w:rPr>
              <w:t>高锰酸盐指数</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6"/>
              <w:ind w:left="85" w:right="67"/>
              <w:rPr>
                <w:rFonts w:ascii="Times New Roman" w:hAnsi="Times New Roman"/>
                <w:sz w:val="21"/>
              </w:rPr>
            </w:pPr>
            <w:r>
              <w:rPr>
                <w:rFonts w:ascii="Times New Roman" w:hAnsi="Times New Roman"/>
                <w:sz w:val="21"/>
              </w:rPr>
              <w:t>≤1.0</w:t>
            </w:r>
          </w:p>
        </w:tc>
        <w:tc>
          <w:tcPr>
            <w:tcW w:w="1324" w:type="dxa"/>
            <w:tcBorders>
              <w:top w:val="single" w:color="000000" w:sz="4" w:space="0"/>
              <w:left w:val="single" w:color="000000" w:sz="4" w:space="0"/>
              <w:bottom w:val="single" w:color="000000" w:sz="4" w:space="0"/>
              <w:right w:val="single" w:color="000000" w:sz="4" w:space="0"/>
            </w:tcBorders>
          </w:tcPr>
          <w:p>
            <w:pPr>
              <w:pStyle w:val="19"/>
              <w:spacing w:before="16"/>
              <w:ind w:left="299" w:right="279"/>
              <w:rPr>
                <w:rFonts w:ascii="Times New Roman" w:hAnsi="Times New Roman"/>
                <w:sz w:val="21"/>
              </w:rPr>
            </w:pPr>
            <w:r>
              <w:rPr>
                <w:rFonts w:ascii="Times New Roman" w:hAnsi="Times New Roman"/>
                <w:sz w:val="21"/>
              </w:rPr>
              <w:t>≤2.0</w:t>
            </w:r>
          </w:p>
        </w:tc>
        <w:tc>
          <w:tcPr>
            <w:tcW w:w="1335" w:type="dxa"/>
            <w:tcBorders>
              <w:top w:val="single" w:color="000000" w:sz="4" w:space="0"/>
              <w:left w:val="single" w:color="000000" w:sz="4" w:space="0"/>
              <w:bottom w:val="single" w:color="000000" w:sz="4" w:space="0"/>
              <w:right w:val="single" w:color="000000" w:sz="4" w:space="0"/>
            </w:tcBorders>
          </w:tcPr>
          <w:p>
            <w:pPr>
              <w:pStyle w:val="19"/>
              <w:spacing w:before="35"/>
              <w:ind w:left="359" w:right="338"/>
              <w:rPr>
                <w:rFonts w:ascii="Times New Roman" w:hAnsi="Times New Roman"/>
                <w:b/>
                <w:sz w:val="21"/>
              </w:rPr>
            </w:pPr>
            <w:r>
              <w:rPr>
                <w:rFonts w:ascii="Times New Roman" w:hAnsi="Times New Roman"/>
                <w:b/>
                <w:sz w:val="21"/>
              </w:rPr>
              <w:t>≤3.0</w:t>
            </w:r>
          </w:p>
        </w:tc>
        <w:tc>
          <w:tcPr>
            <w:tcW w:w="1833" w:type="dxa"/>
            <w:tcBorders>
              <w:top w:val="single" w:color="000000" w:sz="4" w:space="0"/>
              <w:left w:val="single" w:color="000000" w:sz="4" w:space="0"/>
              <w:bottom w:val="single" w:color="000000" w:sz="4" w:space="0"/>
              <w:right w:val="single" w:color="000000" w:sz="4" w:space="0"/>
            </w:tcBorders>
          </w:tcPr>
          <w:p>
            <w:pPr>
              <w:pStyle w:val="19"/>
              <w:spacing w:before="16"/>
              <w:ind w:left="533" w:right="512"/>
              <w:rPr>
                <w:rFonts w:ascii="Times New Roman" w:hAnsi="Times New Roman"/>
                <w:sz w:val="21"/>
              </w:rPr>
            </w:pPr>
            <w:r>
              <w:rPr>
                <w:rFonts w:ascii="Times New Roman" w:hAnsi="Times New Roman"/>
                <w:sz w:val="21"/>
              </w:rPr>
              <w:t>≤10</w:t>
            </w:r>
          </w:p>
        </w:tc>
        <w:tc>
          <w:tcPr>
            <w:tcW w:w="1326" w:type="dxa"/>
            <w:tcBorders>
              <w:top w:val="single" w:color="000000" w:sz="4" w:space="0"/>
              <w:left w:val="single" w:color="000000" w:sz="4" w:space="0"/>
              <w:bottom w:val="single" w:color="000000" w:sz="4" w:space="0"/>
            </w:tcBorders>
          </w:tcPr>
          <w:p>
            <w:pPr>
              <w:pStyle w:val="19"/>
              <w:spacing w:before="16"/>
              <w:ind w:left="136" w:right="113"/>
              <w:rPr>
                <w:rFonts w:ascii="Times New Roman"/>
                <w:sz w:val="21"/>
              </w:rPr>
            </w:pPr>
            <w:r>
              <w:rPr>
                <w:rFonts w:ascii="Times New Roman"/>
                <w:sz w:val="21"/>
              </w:rPr>
              <w:t>&gt;10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9"/>
              <w:ind w:left="309" w:right="298"/>
              <w:rPr>
                <w:sz w:val="21"/>
              </w:rPr>
            </w:pPr>
            <w:r>
              <w:rPr>
                <w:sz w:val="21"/>
              </w:rPr>
              <w:t>总大肠菌群</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9"/>
              <w:ind w:left="85" w:right="67"/>
              <w:rPr>
                <w:rFonts w:ascii="Times New Roman" w:hAnsi="Times New Roman"/>
                <w:sz w:val="21"/>
              </w:rPr>
            </w:pPr>
            <w:r>
              <w:rPr>
                <w:rFonts w:ascii="Times New Roman" w:hAnsi="Times New Roman"/>
                <w:sz w:val="21"/>
              </w:rPr>
              <w:t>≤3.0</w:t>
            </w:r>
          </w:p>
        </w:tc>
        <w:tc>
          <w:tcPr>
            <w:tcW w:w="1324" w:type="dxa"/>
            <w:tcBorders>
              <w:top w:val="single" w:color="000000" w:sz="4" w:space="0"/>
              <w:left w:val="single" w:color="000000" w:sz="4" w:space="0"/>
              <w:bottom w:val="single" w:color="000000" w:sz="4" w:space="0"/>
              <w:right w:val="single" w:color="000000" w:sz="4" w:space="0"/>
            </w:tcBorders>
          </w:tcPr>
          <w:p>
            <w:pPr>
              <w:pStyle w:val="19"/>
              <w:spacing w:before="19"/>
              <w:ind w:left="299" w:right="279"/>
              <w:rPr>
                <w:rFonts w:ascii="Times New Roman" w:hAnsi="Times New Roman"/>
                <w:sz w:val="21"/>
              </w:rPr>
            </w:pPr>
            <w:r>
              <w:rPr>
                <w:rFonts w:ascii="Times New Roman" w:hAnsi="Times New Roman"/>
                <w:sz w:val="21"/>
              </w:rPr>
              <w:t>≤3.0</w:t>
            </w:r>
          </w:p>
        </w:tc>
        <w:tc>
          <w:tcPr>
            <w:tcW w:w="1335" w:type="dxa"/>
            <w:tcBorders>
              <w:top w:val="single" w:color="000000" w:sz="4" w:space="0"/>
              <w:left w:val="single" w:color="000000" w:sz="4" w:space="0"/>
              <w:bottom w:val="single" w:color="000000" w:sz="4" w:space="0"/>
              <w:right w:val="single" w:color="000000" w:sz="4" w:space="0"/>
            </w:tcBorders>
          </w:tcPr>
          <w:p>
            <w:pPr>
              <w:pStyle w:val="19"/>
              <w:spacing w:before="35"/>
              <w:ind w:left="359" w:right="338"/>
              <w:rPr>
                <w:rFonts w:ascii="Times New Roman" w:hAnsi="Times New Roman"/>
                <w:b/>
                <w:sz w:val="21"/>
              </w:rPr>
            </w:pPr>
            <w:r>
              <w:rPr>
                <w:rFonts w:ascii="Times New Roman" w:hAnsi="Times New Roman"/>
                <w:b/>
                <w:sz w:val="21"/>
              </w:rPr>
              <w:t>≤3.0</w:t>
            </w:r>
          </w:p>
        </w:tc>
        <w:tc>
          <w:tcPr>
            <w:tcW w:w="1833" w:type="dxa"/>
            <w:tcBorders>
              <w:top w:val="single" w:color="000000" w:sz="4" w:space="0"/>
              <w:left w:val="single" w:color="000000" w:sz="4" w:space="0"/>
              <w:bottom w:val="single" w:color="000000" w:sz="4" w:space="0"/>
              <w:right w:val="single" w:color="000000" w:sz="4" w:space="0"/>
            </w:tcBorders>
          </w:tcPr>
          <w:p>
            <w:pPr>
              <w:pStyle w:val="19"/>
              <w:spacing w:before="19"/>
              <w:ind w:left="533" w:right="515"/>
              <w:rPr>
                <w:rFonts w:ascii="Times New Roman" w:hAnsi="Times New Roman"/>
                <w:sz w:val="21"/>
              </w:rPr>
            </w:pPr>
            <w:r>
              <w:rPr>
                <w:rFonts w:ascii="Times New Roman" w:hAnsi="Times New Roman"/>
                <w:sz w:val="21"/>
              </w:rPr>
              <w:t>≤100</w:t>
            </w:r>
          </w:p>
        </w:tc>
        <w:tc>
          <w:tcPr>
            <w:tcW w:w="1326" w:type="dxa"/>
            <w:tcBorders>
              <w:top w:val="single" w:color="000000" w:sz="4" w:space="0"/>
              <w:left w:val="single" w:color="000000" w:sz="4" w:space="0"/>
              <w:bottom w:val="single" w:color="000000" w:sz="4" w:space="0"/>
            </w:tcBorders>
          </w:tcPr>
          <w:p>
            <w:pPr>
              <w:pStyle w:val="19"/>
              <w:spacing w:before="19"/>
              <w:ind w:left="136" w:right="113"/>
              <w:rPr>
                <w:rFonts w:ascii="Times New Roman"/>
                <w:sz w:val="21"/>
              </w:rPr>
            </w:pPr>
            <w:r>
              <w:rPr>
                <w:rFonts w:ascii="Times New Roman"/>
                <w:sz w:val="21"/>
              </w:rPr>
              <w:t>&gt;100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right w:val="single" w:color="000000" w:sz="4" w:space="0"/>
            </w:tcBorders>
          </w:tcPr>
          <w:p>
            <w:pPr>
              <w:pStyle w:val="19"/>
              <w:spacing w:before="1"/>
              <w:ind w:left="309" w:right="298"/>
              <w:rPr>
                <w:sz w:val="21"/>
              </w:rPr>
            </w:pPr>
            <w:r>
              <w:rPr>
                <w:sz w:val="21"/>
              </w:rPr>
              <w:t>细菌总数</w:t>
            </w:r>
          </w:p>
        </w:tc>
        <w:tc>
          <w:tcPr>
            <w:tcW w:w="1326" w:type="dxa"/>
            <w:tcBorders>
              <w:top w:val="single" w:color="000000" w:sz="4" w:space="0"/>
              <w:left w:val="single" w:color="000000" w:sz="4" w:space="0"/>
              <w:right w:val="single" w:color="000000" w:sz="4" w:space="0"/>
            </w:tcBorders>
          </w:tcPr>
          <w:p>
            <w:pPr>
              <w:pStyle w:val="19"/>
              <w:spacing w:before="18"/>
              <w:ind w:left="453"/>
              <w:jc w:val="left"/>
              <w:rPr>
                <w:rFonts w:ascii="Times New Roman" w:hAnsi="Times New Roman"/>
                <w:sz w:val="21"/>
              </w:rPr>
            </w:pPr>
            <w:r>
              <w:rPr>
                <w:rFonts w:ascii="Times New Roman" w:hAnsi="Times New Roman"/>
                <w:sz w:val="21"/>
              </w:rPr>
              <w:t>≤100</w:t>
            </w:r>
          </w:p>
        </w:tc>
        <w:tc>
          <w:tcPr>
            <w:tcW w:w="1324" w:type="dxa"/>
            <w:tcBorders>
              <w:top w:val="single" w:color="000000" w:sz="4" w:space="0"/>
              <w:left w:val="single" w:color="000000" w:sz="4" w:space="0"/>
              <w:right w:val="single" w:color="000000" w:sz="4" w:space="0"/>
            </w:tcBorders>
          </w:tcPr>
          <w:p>
            <w:pPr>
              <w:pStyle w:val="19"/>
              <w:spacing w:before="18"/>
              <w:ind w:left="299" w:right="279"/>
              <w:rPr>
                <w:rFonts w:ascii="Times New Roman" w:hAnsi="Times New Roman"/>
                <w:sz w:val="21"/>
              </w:rPr>
            </w:pPr>
            <w:r>
              <w:rPr>
                <w:rFonts w:ascii="Times New Roman" w:hAnsi="Times New Roman"/>
                <w:sz w:val="21"/>
              </w:rPr>
              <w:t>≤100</w:t>
            </w:r>
          </w:p>
        </w:tc>
        <w:tc>
          <w:tcPr>
            <w:tcW w:w="1335" w:type="dxa"/>
            <w:tcBorders>
              <w:top w:val="single" w:color="000000" w:sz="4" w:space="0"/>
              <w:left w:val="single" w:color="000000" w:sz="4" w:space="0"/>
              <w:right w:val="single" w:color="000000" w:sz="4" w:space="0"/>
            </w:tcBorders>
          </w:tcPr>
          <w:p>
            <w:pPr>
              <w:pStyle w:val="19"/>
              <w:spacing w:before="37"/>
              <w:ind w:left="356" w:right="338"/>
              <w:rPr>
                <w:rFonts w:ascii="Times New Roman" w:hAnsi="Times New Roman"/>
                <w:b/>
                <w:sz w:val="21"/>
              </w:rPr>
            </w:pPr>
            <w:r>
              <w:rPr>
                <w:rFonts w:ascii="Times New Roman" w:hAnsi="Times New Roman"/>
                <w:b/>
                <w:sz w:val="21"/>
              </w:rPr>
              <w:t>≤100</w:t>
            </w:r>
          </w:p>
        </w:tc>
        <w:tc>
          <w:tcPr>
            <w:tcW w:w="1833" w:type="dxa"/>
            <w:tcBorders>
              <w:top w:val="single" w:color="000000" w:sz="4" w:space="0"/>
              <w:left w:val="single" w:color="000000" w:sz="4" w:space="0"/>
              <w:right w:val="single" w:color="000000" w:sz="4" w:space="0"/>
            </w:tcBorders>
          </w:tcPr>
          <w:p>
            <w:pPr>
              <w:pStyle w:val="19"/>
              <w:spacing w:before="18"/>
              <w:ind w:left="533" w:right="512"/>
              <w:rPr>
                <w:rFonts w:ascii="Times New Roman" w:hAnsi="Times New Roman"/>
                <w:sz w:val="21"/>
              </w:rPr>
            </w:pPr>
            <w:r>
              <w:rPr>
                <w:rFonts w:ascii="Times New Roman" w:hAnsi="Times New Roman"/>
                <w:sz w:val="21"/>
              </w:rPr>
              <w:t>≤1000</w:t>
            </w:r>
          </w:p>
        </w:tc>
        <w:tc>
          <w:tcPr>
            <w:tcW w:w="1326" w:type="dxa"/>
            <w:tcBorders>
              <w:top w:val="single" w:color="000000" w:sz="4" w:space="0"/>
              <w:left w:val="single" w:color="000000" w:sz="4" w:space="0"/>
            </w:tcBorders>
          </w:tcPr>
          <w:p>
            <w:pPr>
              <w:pStyle w:val="19"/>
              <w:spacing w:before="18"/>
              <w:ind w:left="136" w:right="113"/>
              <w:rPr>
                <w:rFonts w:ascii="Times New Roman"/>
                <w:sz w:val="21"/>
              </w:rPr>
            </w:pPr>
            <w:r>
              <w:rPr>
                <w:rFonts w:ascii="Times New Roman"/>
                <w:sz w:val="21"/>
              </w:rPr>
              <w:t>&gt;1000</w:t>
            </w:r>
          </w:p>
        </w:tc>
      </w:tr>
    </w:tbl>
    <w:p>
      <w:pPr>
        <w:spacing w:before="1"/>
        <w:ind w:left="1418" w:right="0" w:firstLine="0"/>
        <w:jc w:val="left"/>
        <w:rPr>
          <w:sz w:val="21"/>
        </w:rPr>
      </w:pPr>
      <w:r>
        <w:rPr>
          <w:sz w:val="21"/>
        </w:rPr>
        <w:t xml:space="preserve">（注：单位为 </w:t>
      </w:r>
      <w:r>
        <w:rPr>
          <w:rFonts w:ascii="Times New Roman" w:eastAsia="Times New Roman"/>
          <w:sz w:val="21"/>
        </w:rPr>
        <w:t>mg/L</w:t>
      </w:r>
      <w:r>
        <w:rPr>
          <w:sz w:val="21"/>
        </w:rPr>
        <w:t>，</w:t>
      </w:r>
      <w:r>
        <w:rPr>
          <w:rFonts w:ascii="Times New Roman" w:eastAsia="Times New Roman"/>
          <w:sz w:val="21"/>
        </w:rPr>
        <w:t xml:space="preserve">pH </w:t>
      </w:r>
      <w:r>
        <w:rPr>
          <w:sz w:val="21"/>
        </w:rPr>
        <w:t xml:space="preserve">无量纲，总大肠菌群单位为 </w:t>
      </w:r>
      <w:r>
        <w:rPr>
          <w:rFonts w:ascii="Times New Roman" w:eastAsia="Times New Roman"/>
          <w:sz w:val="21"/>
        </w:rPr>
        <w:t>MPN</w:t>
      </w:r>
      <w:r>
        <w:rPr>
          <w:rFonts w:ascii="Times New Roman" w:eastAsia="Times New Roman"/>
          <w:position w:val="7"/>
          <w:sz w:val="13"/>
        </w:rPr>
        <w:t>b</w:t>
      </w:r>
      <w:r>
        <w:rPr>
          <w:rFonts w:ascii="Times New Roman" w:eastAsia="Times New Roman"/>
          <w:sz w:val="21"/>
        </w:rPr>
        <w:t>/100mL</w:t>
      </w:r>
      <w:r>
        <w:rPr>
          <w:sz w:val="21"/>
        </w:rPr>
        <w:t xml:space="preserve">，细菌总数单位为 </w:t>
      </w:r>
      <w:r>
        <w:rPr>
          <w:rFonts w:ascii="Times New Roman" w:eastAsia="Times New Roman"/>
          <w:sz w:val="21"/>
        </w:rPr>
        <w:t>CFU/mL</w:t>
      </w:r>
      <w:r>
        <w:rPr>
          <w:sz w:val="21"/>
        </w:rPr>
        <w:t>）</w:t>
      </w:r>
    </w:p>
    <w:p>
      <w:pPr>
        <w:pStyle w:val="8"/>
        <w:numPr>
          <w:ilvl w:val="3"/>
          <w:numId w:val="62"/>
        </w:numPr>
        <w:tabs>
          <w:tab w:val="left" w:pos="2139"/>
        </w:tabs>
        <w:spacing w:before="5" w:after="0" w:line="240" w:lineRule="auto"/>
        <w:ind w:left="2138" w:right="0" w:hanging="721"/>
        <w:jc w:val="left"/>
      </w:pPr>
      <w:bookmarkStart w:id="302" w:name="5.3.2.4评价方法及评价结果"/>
      <w:bookmarkEnd w:id="302"/>
      <w:bookmarkStart w:id="303" w:name="5.3.2.4评价方法及评价结果"/>
      <w:bookmarkEnd w:id="303"/>
      <w:r>
        <w:t>评价方法及评价结果</w:t>
      </w:r>
    </w:p>
    <w:p>
      <w:pPr>
        <w:pStyle w:val="9"/>
        <w:spacing w:before="158" w:line="364" w:lineRule="auto"/>
        <w:ind w:left="1418" w:right="1297" w:firstLine="480"/>
      </w:pPr>
      <w:r>
        <w:rPr>
          <w:spacing w:val="-4"/>
        </w:rPr>
        <w:t>根据《环境影响评价技术导则</w:t>
      </w:r>
      <w:r>
        <w:rPr>
          <w:rFonts w:ascii="Times New Roman" w:hAnsi="Times New Roman" w:eastAsia="Times New Roman"/>
        </w:rPr>
        <w:t>—</w:t>
      </w:r>
      <w:r>
        <w:rPr>
          <w:spacing w:val="-5"/>
        </w:rPr>
        <w:t>地下水环境》，本次地下水现状评价以评价区域地</w:t>
      </w:r>
      <w:r>
        <w:rPr>
          <w:spacing w:val="-12"/>
        </w:rPr>
        <w:t>下水水体各监测点位的水质单项指标测定值作为水质评价参数，对照《地下水质量标准》</w:t>
      </w:r>
      <w:r>
        <w:rPr>
          <w:rFonts w:ascii="Times New Roman" w:hAnsi="Times New Roman" w:eastAsia="Times New Roman"/>
        </w:rPr>
        <w:t>GB14848-2017</w:t>
      </w:r>
      <w:r>
        <w:t>Ⅲ类标准，采用标准指数法进行水质参数的评价。</w:t>
      </w:r>
    </w:p>
    <w:p>
      <w:pPr>
        <w:pStyle w:val="9"/>
        <w:spacing w:line="307" w:lineRule="exact"/>
        <w:ind w:left="1778"/>
      </w:pPr>
      <w:r>
        <w:t>对于评价标准为定值的水质因子，其标准指数计算公式：</w:t>
      </w:r>
    </w:p>
    <w:p>
      <w:pPr>
        <w:spacing w:before="186" w:line="357" w:lineRule="exact"/>
        <w:ind w:left="365" w:right="0" w:firstLine="0"/>
        <w:jc w:val="center"/>
        <w:rPr>
          <w:rFonts w:ascii="Times New Roman" w:hAnsi="Times New Roman"/>
          <w:i/>
          <w:sz w:val="16"/>
        </w:rPr>
      </w:pPr>
      <w:r>
        <w:rPr>
          <w:rFonts w:ascii="Times New Roman" w:hAnsi="Times New Roman"/>
          <w:i/>
          <w:sz w:val="27"/>
        </w:rPr>
        <w:t xml:space="preserve">P  </w:t>
      </w:r>
      <w:r>
        <w:rPr>
          <w:rFonts w:ascii="Symbol" w:hAnsi="Symbol"/>
          <w:sz w:val="27"/>
        </w:rPr>
        <w:t></w:t>
      </w:r>
      <w:r>
        <w:rPr>
          <w:rFonts w:ascii="Times New Roman" w:hAnsi="Times New Roman"/>
          <w:sz w:val="27"/>
        </w:rPr>
        <w:t xml:space="preserve"> </w:t>
      </w:r>
      <w:r>
        <w:rPr>
          <w:rFonts w:ascii="Times New Roman" w:hAnsi="Times New Roman"/>
          <w:spacing w:val="2"/>
          <w:sz w:val="27"/>
        </w:rPr>
        <w:t xml:space="preserve"> </w:t>
      </w:r>
      <w:r>
        <w:rPr>
          <w:rFonts w:ascii="Times New Roman" w:hAnsi="Times New Roman"/>
          <w:i/>
          <w:spacing w:val="7"/>
          <w:position w:val="18"/>
          <w:sz w:val="27"/>
        </w:rPr>
        <w:t>C</w:t>
      </w:r>
      <w:r>
        <w:rPr>
          <w:rFonts w:ascii="Times New Roman" w:hAnsi="Times New Roman"/>
          <w:i/>
          <w:spacing w:val="7"/>
          <w:position w:val="11"/>
          <w:sz w:val="16"/>
        </w:rPr>
        <w:t>i</w:t>
      </w:r>
    </w:p>
    <w:p>
      <w:pPr>
        <w:pStyle w:val="9"/>
        <w:spacing w:line="20" w:lineRule="exact"/>
        <w:ind w:left="6252"/>
        <w:rPr>
          <w:rFonts w:ascii="Times New Roman"/>
          <w:sz w:val="2"/>
        </w:rPr>
      </w:pPr>
      <w:r>
        <w:rPr>
          <w:rFonts w:ascii="Times New Roman"/>
          <w:sz w:val="2"/>
        </w:rPr>
        <mc:AlternateContent>
          <mc:Choice Requires="wpg">
            <w:drawing>
              <wp:inline distT="0" distB="0" distL="114300" distR="114300">
                <wp:extent cx="244475" cy="7620"/>
                <wp:effectExtent l="0" t="0" r="0" b="0"/>
                <wp:docPr id="131" name="组合 46"/>
                <wp:cNvGraphicFramePr/>
                <a:graphic xmlns:a="http://schemas.openxmlformats.org/drawingml/2006/main">
                  <a:graphicData uri="http://schemas.microsoft.com/office/word/2010/wordprocessingGroup">
                    <wpg:wgp>
                      <wpg:cNvGrpSpPr/>
                      <wpg:grpSpPr>
                        <a:xfrm>
                          <a:off x="0" y="0"/>
                          <a:ext cx="244475" cy="7620"/>
                          <a:chOff x="0" y="0"/>
                          <a:chExt cx="385" cy="12"/>
                        </a:xfrm>
                      </wpg:grpSpPr>
                      <wps:wsp>
                        <wps:cNvPr id="130" name="直线 47"/>
                        <wps:cNvSpPr/>
                        <wps:spPr>
                          <a:xfrm>
                            <a:off x="0" y="6"/>
                            <a:ext cx="384" cy="0"/>
                          </a:xfrm>
                          <a:prstGeom prst="line">
                            <a:avLst/>
                          </a:prstGeom>
                          <a:ln w="7404" cap="flat" cmpd="sng">
                            <a:solidFill>
                              <a:srgbClr val="000000"/>
                            </a:solidFill>
                            <a:prstDash val="solid"/>
                            <a:headEnd type="none" w="med" len="med"/>
                            <a:tailEnd type="none" w="med" len="med"/>
                          </a:ln>
                        </wps:spPr>
                        <wps:bodyPr upright="1"/>
                      </wps:wsp>
                    </wpg:wgp>
                  </a:graphicData>
                </a:graphic>
              </wp:inline>
            </w:drawing>
          </mc:Choice>
          <mc:Fallback>
            <w:pict>
              <v:group id="组合 46" o:spid="_x0000_s1026" o:spt="203" style="height:0.6pt;width:19.25pt;" coordsize="385,12" o:gfxdata="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MtPE/TAAAAAgEAAA8AAAAAAAAAAQAgAAAAIgAAAGRycy9kb3ducmV2LnhtbFBLAQIU&#10;ABQAAAAIAIdO4kBFLycnMQIAALMEAAAOAAAAAAAAAAEAIAAAACIBAABkcnMvZTJvRG9jLnhtbFBL&#10;BQYAAAAABgAGAFkBAADFBQAAAAA=&#10;">
                <o:lock v:ext="edit" aspectratio="f"/>
                <v:line id="直线 47" o:spid="_x0000_s1026" o:spt="20" style="position:absolute;left:0;top:6;height:0;width:384;" filled="f" stroked="t" coordsize="21600,21600" o:gfxdata="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w263&#10;wAAAANwAAAAPAAAAAAAAAAEAIAAAACIAAABkcnMvZG93bnJldi54bWxQSwECFAAUAAAACACHTuJA&#10;My8FnjsAAAA5AAAAEAAAAAAAAAABACAAAAAPAQAAZHJzL3NoYXBleG1sLnhtbFBLBQYAAAAABgAG&#10;AFsBAAC5AwAAAAA=&#10;">
                  <v:fill on="f" focussize="0,0"/>
                  <v:stroke weight="0.582992125984252pt" color="#000000" joinstyle="round"/>
                  <v:imagedata o:title=""/>
                  <o:lock v:ext="edit" aspectratio="f"/>
                </v:line>
                <w10:wrap type="none"/>
                <w10:anchorlock/>
              </v:group>
            </w:pict>
          </mc:Fallback>
        </mc:AlternateContent>
      </w:r>
    </w:p>
    <w:p>
      <w:pPr>
        <w:spacing w:before="0" w:line="159" w:lineRule="exact"/>
        <w:ind w:left="0" w:right="139" w:firstLine="0"/>
        <w:jc w:val="center"/>
        <w:rPr>
          <w:rFonts w:ascii="Times New Roman"/>
          <w:i/>
          <w:sz w:val="16"/>
        </w:rPr>
      </w:pPr>
      <w:r>
        <mc:AlternateContent>
          <mc:Choice Requires="wps">
            <w:drawing>
              <wp:anchor distT="0" distB="0" distL="114300" distR="114300" simplePos="0" relativeHeight="251708416" behindDoc="0" locked="0" layoutInCell="1" allowOverlap="1">
                <wp:simplePos x="0" y="0"/>
                <wp:positionH relativeFrom="page">
                  <wp:posOffset>3980180</wp:posOffset>
                </wp:positionH>
                <wp:positionV relativeFrom="paragraph">
                  <wp:posOffset>14605</wp:posOffset>
                </wp:positionV>
                <wp:extent cx="117475" cy="194945"/>
                <wp:effectExtent l="0" t="0" r="0" b="0"/>
                <wp:wrapNone/>
                <wp:docPr id="147" name="文本框 48"/>
                <wp:cNvGraphicFramePr/>
                <a:graphic xmlns:a="http://schemas.openxmlformats.org/drawingml/2006/main">
                  <a:graphicData uri="http://schemas.microsoft.com/office/word/2010/wordprocessingShape">
                    <wps:wsp>
                      <wps:cNvSpPr txBox="1"/>
                      <wps:spPr>
                        <a:xfrm>
                          <a:off x="0" y="0"/>
                          <a:ext cx="117475" cy="194945"/>
                        </a:xfrm>
                        <a:prstGeom prst="rect">
                          <a:avLst/>
                        </a:prstGeom>
                        <a:noFill/>
                        <a:ln>
                          <a:noFill/>
                        </a:ln>
                      </wps:spPr>
                      <wps:txbx>
                        <w:txbxContent>
                          <w:p>
                            <w:pPr>
                              <w:spacing w:before="0" w:line="305" w:lineRule="exact"/>
                              <w:ind w:left="0" w:right="0" w:firstLine="0"/>
                              <w:jc w:val="left"/>
                              <w:rPr>
                                <w:rFonts w:ascii="Times New Roman"/>
                                <w:i/>
                                <w:sz w:val="27"/>
                              </w:rPr>
                            </w:pPr>
                            <w:r>
                              <w:rPr>
                                <w:rFonts w:ascii="Times New Roman"/>
                                <w:i/>
                                <w:w w:val="102"/>
                                <w:sz w:val="27"/>
                              </w:rPr>
                              <w:t>C</w:t>
                            </w:r>
                          </w:p>
                        </w:txbxContent>
                      </wps:txbx>
                      <wps:bodyPr lIns="0" tIns="0" rIns="0" bIns="0" upright="1"/>
                    </wps:wsp>
                  </a:graphicData>
                </a:graphic>
              </wp:anchor>
            </w:drawing>
          </mc:Choice>
          <mc:Fallback>
            <w:pict>
              <v:shape id="文本框 48" o:spid="_x0000_s1026" o:spt="202" type="#_x0000_t202" style="position:absolute;left:0pt;margin-left:313.4pt;margin-top:1.15pt;height:15.35pt;width:9.25pt;mso-position-horizontal-relative:page;z-index:251708416;mso-width-relative:page;mso-height-relative:page;" filled="f" stroked="f" coordsize="21600,21600" o:gfxdata="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VVC7zXAAAACAEAAA8AAAAAAAAA&#10;AQAgAAAAIgAAAGRycy9kb3ducmV2LnhtbFBLAQIUABQAAAAIAIdO4kBzfjupoAEAACYDAAAOAAAA&#10;AAAAAAEAIAAAACYBAABkcnMvZTJvRG9jLnhtbFBLBQYAAAAABgAGAFkBAAA4BQAAAAA=&#10;">
                <v:fill on="f" focussize="0,0"/>
                <v:stroke on="f"/>
                <v:imagedata o:title=""/>
                <o:lock v:ext="edit" aspectratio="f"/>
                <v:textbox inset="0mm,0mm,0mm,0mm">
                  <w:txbxContent>
                    <w:p>
                      <w:pPr>
                        <w:spacing w:before="0" w:line="305" w:lineRule="exact"/>
                        <w:ind w:left="0" w:right="0" w:firstLine="0"/>
                        <w:jc w:val="left"/>
                        <w:rPr>
                          <w:rFonts w:ascii="Times New Roman"/>
                          <w:i/>
                          <w:sz w:val="27"/>
                        </w:rPr>
                      </w:pPr>
                      <w:r>
                        <w:rPr>
                          <w:rFonts w:ascii="Times New Roman"/>
                          <w:i/>
                          <w:w w:val="102"/>
                          <w:sz w:val="27"/>
                        </w:rPr>
                        <w:t>C</w:t>
                      </w:r>
                    </w:p>
                  </w:txbxContent>
                </v:textbox>
              </v:shape>
            </w:pict>
          </mc:Fallback>
        </mc:AlternateContent>
      </w:r>
      <w:r>
        <w:rPr>
          <w:rFonts w:ascii="Times New Roman"/>
          <w:i/>
          <w:w w:val="100"/>
          <w:sz w:val="16"/>
        </w:rPr>
        <w:t>i</w:t>
      </w:r>
    </w:p>
    <w:p>
      <w:pPr>
        <w:spacing w:before="31"/>
        <w:ind w:left="1151" w:right="0" w:firstLine="0"/>
        <w:jc w:val="center"/>
        <w:rPr>
          <w:rFonts w:ascii="Times New Roman"/>
          <w:i/>
          <w:sz w:val="16"/>
        </w:rPr>
      </w:pPr>
      <w:r>
        <w:rPr>
          <w:rFonts w:ascii="Times New Roman"/>
          <w:i/>
          <w:sz w:val="16"/>
        </w:rPr>
        <w:t>si</w:t>
      </w:r>
    </w:p>
    <w:p>
      <w:pPr>
        <w:pStyle w:val="9"/>
        <w:spacing w:before="4"/>
        <w:rPr>
          <w:rFonts w:ascii="Times New Roman"/>
          <w:i/>
          <w:sz w:val="14"/>
        </w:rPr>
      </w:pPr>
    </w:p>
    <w:p>
      <w:pPr>
        <w:pStyle w:val="9"/>
        <w:ind w:left="1898"/>
      </w:pPr>
      <w:r>
        <w:t>式中：</w:t>
      </w:r>
    </w:p>
    <w:p>
      <w:pPr>
        <w:spacing w:after="0"/>
        <w:sectPr>
          <w:pgSz w:w="11910" w:h="16840"/>
          <w:pgMar w:top="1360" w:right="0" w:bottom="880" w:left="0" w:header="0" w:footer="681" w:gutter="0"/>
        </w:sectPr>
      </w:pPr>
    </w:p>
    <w:p>
      <w:pPr>
        <w:pStyle w:val="9"/>
        <w:spacing w:before="58" w:line="360" w:lineRule="auto"/>
        <w:ind w:left="1898" w:right="5437"/>
        <w:jc w:val="both"/>
      </w:pPr>
      <w:r>
        <w:rPr>
          <w:rFonts w:ascii="Times New Roman" w:hAnsi="Times New Roman" w:eastAsia="Times New Roman"/>
          <w:position w:val="2"/>
        </w:rPr>
        <w:t>P</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spacing w:val="-31"/>
          <w:position w:val="2"/>
          <w:vertAlign w:val="baseline"/>
        </w:rPr>
        <w:t xml:space="preserve">第 </w:t>
      </w:r>
      <w:r>
        <w:rPr>
          <w:rFonts w:ascii="Times New Roman" w:hAnsi="Times New Roman" w:eastAsia="Times New Roman"/>
          <w:position w:val="2"/>
          <w:vertAlign w:val="baseline"/>
        </w:rPr>
        <w:t xml:space="preserve">i </w:t>
      </w:r>
      <w:r>
        <w:rPr>
          <w:position w:val="2"/>
          <w:vertAlign w:val="baseline"/>
        </w:rPr>
        <w:t xml:space="preserve">个水质因子的标准指数，无量纲； </w:t>
      </w:r>
      <w:r>
        <w:rPr>
          <w:rFonts w:ascii="Times New Roman" w:hAnsi="Times New Roman" w:eastAsia="Times New Roman"/>
          <w:position w:val="2"/>
          <w:vertAlign w:val="baseline"/>
        </w:rPr>
        <w:t>C</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spacing w:val="-31"/>
          <w:position w:val="2"/>
          <w:vertAlign w:val="baseline"/>
        </w:rPr>
        <w:t xml:space="preserve">第 </w:t>
      </w:r>
      <w:r>
        <w:rPr>
          <w:rFonts w:ascii="Times New Roman" w:hAnsi="Times New Roman" w:eastAsia="Times New Roman"/>
          <w:position w:val="2"/>
          <w:vertAlign w:val="baseline"/>
        </w:rPr>
        <w:t xml:space="preserve">i </w:t>
      </w:r>
      <w:r>
        <w:rPr>
          <w:position w:val="2"/>
          <w:vertAlign w:val="baseline"/>
        </w:rPr>
        <w:t>个水质因子的监测浓度值，</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position w:val="2"/>
          <w:vertAlign w:val="baseline"/>
        </w:rPr>
        <w:t>C</w:t>
      </w:r>
      <w:r>
        <w:rPr>
          <w:rFonts w:ascii="Times New Roman" w:hAnsi="Times New Roman" w:eastAsia="Times New Roman"/>
          <w:position w:val="2"/>
          <w:vertAlign w:val="subscript"/>
        </w:rPr>
        <w:t>si</w:t>
      </w:r>
      <w:r>
        <w:rPr>
          <w:rFonts w:ascii="Times New Roman" w:hAnsi="Times New Roman" w:eastAsia="Times New Roman"/>
          <w:position w:val="2"/>
          <w:vertAlign w:val="baseline"/>
        </w:rPr>
        <w:t>—</w:t>
      </w:r>
      <w:r>
        <w:rPr>
          <w:spacing w:val="-31"/>
          <w:position w:val="2"/>
          <w:vertAlign w:val="baseline"/>
        </w:rPr>
        <w:t xml:space="preserve">第 </w:t>
      </w:r>
      <w:r>
        <w:rPr>
          <w:rFonts w:ascii="Times New Roman" w:hAnsi="Times New Roman" w:eastAsia="Times New Roman"/>
          <w:position w:val="2"/>
          <w:vertAlign w:val="baseline"/>
        </w:rPr>
        <w:t xml:space="preserve">i </w:t>
      </w:r>
      <w:r>
        <w:rPr>
          <w:position w:val="2"/>
          <w:vertAlign w:val="baseline"/>
        </w:rPr>
        <w:t>个水质因子的标准浓度值，</w:t>
      </w:r>
      <w:r>
        <w:rPr>
          <w:rFonts w:ascii="Times New Roman" w:hAnsi="Times New Roman" w:eastAsia="Times New Roman"/>
          <w:position w:val="2"/>
          <w:vertAlign w:val="baseline"/>
        </w:rPr>
        <w:t>mg/L</w:t>
      </w:r>
      <w:r>
        <w:rPr>
          <w:spacing w:val="-19"/>
          <w:position w:val="2"/>
          <w:vertAlign w:val="baseline"/>
        </w:rPr>
        <w:t>。</w:t>
      </w:r>
    </w:p>
    <w:p>
      <w:pPr>
        <w:pStyle w:val="9"/>
        <w:spacing w:before="8"/>
        <w:ind w:left="1778"/>
        <w:jc w:val="both"/>
      </w:pPr>
      <w:r>
        <w:t>（</w:t>
      </w:r>
      <w:r>
        <w:rPr>
          <w:rFonts w:ascii="Times New Roman" w:eastAsia="Times New Roman"/>
        </w:rPr>
        <w:t>2</w:t>
      </w:r>
      <w:r>
        <w:t xml:space="preserve">）对于评价标准为区间值的水质因子（如 </w:t>
      </w:r>
      <w:r>
        <w:rPr>
          <w:rFonts w:ascii="Times New Roman" w:eastAsia="Times New Roman"/>
        </w:rPr>
        <w:t xml:space="preserve">pH </w:t>
      </w:r>
      <w:r>
        <w:t>值），其标准指数计算公式：</w:t>
      </w:r>
    </w:p>
    <w:p>
      <w:pPr>
        <w:spacing w:after="0"/>
        <w:jc w:val="both"/>
        <w:sectPr>
          <w:pgSz w:w="11910" w:h="16840"/>
          <w:pgMar w:top="1340" w:right="0" w:bottom="880" w:left="0" w:header="0" w:footer="681" w:gutter="0"/>
        </w:sectPr>
      </w:pPr>
    </w:p>
    <w:p>
      <w:pPr>
        <w:pStyle w:val="9"/>
        <w:spacing w:before="7"/>
        <w:rPr>
          <w:sz w:val="25"/>
        </w:rPr>
      </w:pPr>
    </w:p>
    <w:p>
      <w:pPr>
        <w:spacing w:before="0"/>
        <w:ind w:left="0" w:right="0" w:firstLine="0"/>
        <w:jc w:val="right"/>
        <w:rPr>
          <w:rFonts w:ascii="Times New Roman"/>
          <w:i/>
          <w:sz w:val="15"/>
        </w:rPr>
      </w:pPr>
      <w:r>
        <w:rPr>
          <w:rFonts w:ascii="Times New Roman"/>
          <w:i/>
          <w:w w:val="95"/>
          <w:position w:val="6"/>
          <w:sz w:val="26"/>
        </w:rPr>
        <w:t>P</w:t>
      </w:r>
      <w:r>
        <w:rPr>
          <w:rFonts w:ascii="Times New Roman"/>
          <w:i/>
          <w:w w:val="95"/>
          <w:sz w:val="15"/>
        </w:rPr>
        <w:t>pH</w:t>
      </w:r>
    </w:p>
    <w:p>
      <w:pPr>
        <w:spacing w:before="168" w:line="175" w:lineRule="auto"/>
        <w:ind w:left="70" w:right="0" w:firstLine="0"/>
        <w:jc w:val="left"/>
        <w:rPr>
          <w:rFonts w:ascii="Times New Roman" w:hAnsi="Times New Roman"/>
          <w:i/>
          <w:sz w:val="26"/>
        </w:rPr>
      </w:pPr>
      <w:r>
        <w:br w:type="column"/>
      </w:r>
      <w:r>
        <w:rPr>
          <w:rFonts w:ascii="Symbol" w:hAnsi="Symbol"/>
          <w:position w:val="-15"/>
          <w:sz w:val="26"/>
        </w:rPr>
        <w:t></w:t>
      </w:r>
      <w:r>
        <w:rPr>
          <w:rFonts w:ascii="Times New Roman" w:hAnsi="Times New Roman"/>
          <w:position w:val="-15"/>
          <w:sz w:val="26"/>
        </w:rPr>
        <w:t xml:space="preserve"> </w:t>
      </w:r>
      <w:r>
        <w:rPr>
          <w:rFonts w:ascii="Times New Roman" w:hAnsi="Times New Roman"/>
          <w:sz w:val="26"/>
        </w:rPr>
        <w:t xml:space="preserve">7.0 </w:t>
      </w:r>
      <w:r>
        <w:rPr>
          <w:rFonts w:ascii="Symbol" w:hAnsi="Symbol"/>
          <w:sz w:val="26"/>
        </w:rPr>
        <w:t></w:t>
      </w:r>
      <w:r>
        <w:rPr>
          <w:rFonts w:ascii="Times New Roman" w:hAnsi="Times New Roman"/>
          <w:sz w:val="26"/>
        </w:rPr>
        <w:t xml:space="preserve"> </w:t>
      </w:r>
      <w:r>
        <w:rPr>
          <w:rFonts w:ascii="Times New Roman" w:hAnsi="Times New Roman"/>
          <w:i/>
          <w:sz w:val="26"/>
        </w:rPr>
        <w:t>pH</w:t>
      </w:r>
    </w:p>
    <w:p>
      <w:pPr>
        <w:spacing w:before="0" w:line="295" w:lineRule="exact"/>
        <w:ind w:left="290" w:right="0" w:firstLine="0"/>
        <w:jc w:val="left"/>
        <w:rPr>
          <w:rFonts w:ascii="Times New Roman" w:hAnsi="Times New Roman"/>
          <w:i/>
          <w:sz w:val="15"/>
        </w:rPr>
      </w:pPr>
      <w:r>
        <mc:AlternateContent>
          <mc:Choice Requires="wps">
            <w:drawing>
              <wp:anchor distT="0" distB="0" distL="114300" distR="114300" simplePos="0" relativeHeight="212769792" behindDoc="1" locked="0" layoutInCell="1" allowOverlap="1">
                <wp:simplePos x="0" y="0"/>
                <wp:positionH relativeFrom="page">
                  <wp:posOffset>3449955</wp:posOffset>
                </wp:positionH>
                <wp:positionV relativeFrom="paragraph">
                  <wp:posOffset>-40005</wp:posOffset>
                </wp:positionV>
                <wp:extent cx="718185" cy="0"/>
                <wp:effectExtent l="0" t="0" r="0" b="0"/>
                <wp:wrapNone/>
                <wp:docPr id="28" name="直线 49"/>
                <wp:cNvGraphicFramePr/>
                <a:graphic xmlns:a="http://schemas.openxmlformats.org/drawingml/2006/main">
                  <a:graphicData uri="http://schemas.microsoft.com/office/word/2010/wordprocessingShape">
                    <wps:wsp>
                      <wps:cNvSpPr/>
                      <wps:spPr>
                        <a:xfrm>
                          <a:off x="0" y="0"/>
                          <a:ext cx="718185" cy="0"/>
                        </a:xfrm>
                        <a:prstGeom prst="line">
                          <a:avLst/>
                        </a:prstGeom>
                        <a:ln w="6845" cap="flat" cmpd="sng">
                          <a:solidFill>
                            <a:srgbClr val="000000"/>
                          </a:solidFill>
                          <a:prstDash val="solid"/>
                          <a:headEnd type="none" w="med" len="med"/>
                          <a:tailEnd type="none" w="med" len="med"/>
                        </a:ln>
                      </wps:spPr>
                      <wps:bodyPr upright="1"/>
                    </wps:wsp>
                  </a:graphicData>
                </a:graphic>
              </wp:anchor>
            </w:drawing>
          </mc:Choice>
          <mc:Fallback>
            <w:pict>
              <v:line id="直线 49" o:spid="_x0000_s1026" o:spt="20" style="position:absolute;left:0pt;margin-left:271.65pt;margin-top:-3.15pt;height:0pt;width:56.55pt;mso-position-horizontal-relative:page;z-index:-290546688;mso-width-relative:page;mso-height-relative:page;" filled="f" stroked="t" coordsize="21600,21600" o:gfxdata="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nO53UNkAAAAJAQAADwAAAAAAAAABACAAAAAiAAAA&#10;ZHJzL2Rvd25yZXYueG1sUEsBAhQAFAAAAAgAh07iQAiUq4DNAQAAjgMAAA4AAAAAAAAAAQAgAAAA&#10;KAEAAGRycy9lMm9Eb2MueG1sUEsFBgAAAAAGAAYAWQEAAGcFAAAAAA==&#10;">
                <v:fill on="f" focussize="0,0"/>
                <v:stroke weight="0.538976377952756pt" color="#000000" joinstyle="round"/>
                <v:imagedata o:title=""/>
                <o:lock v:ext="edit" aspectratio="f"/>
              </v:line>
            </w:pict>
          </mc:Fallback>
        </mc:AlternateContent>
      </w:r>
      <w:r>
        <w:rPr>
          <w:rFonts w:ascii="Times New Roman" w:hAnsi="Times New Roman"/>
          <w:sz w:val="26"/>
        </w:rPr>
        <w:t xml:space="preserve">7.0 </w:t>
      </w:r>
      <w:r>
        <w:rPr>
          <w:rFonts w:ascii="Symbol" w:hAnsi="Symbol"/>
          <w:sz w:val="26"/>
        </w:rPr>
        <w:t></w:t>
      </w:r>
      <w:r>
        <w:rPr>
          <w:rFonts w:ascii="Times New Roman" w:hAnsi="Times New Roman"/>
          <w:sz w:val="26"/>
        </w:rPr>
        <w:t xml:space="preserve"> </w:t>
      </w:r>
      <w:r>
        <w:rPr>
          <w:rFonts w:ascii="Times New Roman" w:hAnsi="Times New Roman"/>
          <w:i/>
          <w:sz w:val="26"/>
        </w:rPr>
        <w:t>pH</w:t>
      </w:r>
      <w:r>
        <w:rPr>
          <w:rFonts w:ascii="Times New Roman" w:hAnsi="Times New Roman"/>
          <w:i/>
          <w:position w:val="-5"/>
          <w:sz w:val="15"/>
        </w:rPr>
        <w:t>sd</w:t>
      </w:r>
    </w:p>
    <w:p>
      <w:pPr>
        <w:pStyle w:val="9"/>
        <w:rPr>
          <w:rFonts w:ascii="Times New Roman"/>
          <w:i/>
          <w:sz w:val="30"/>
        </w:rPr>
      </w:pPr>
      <w:r>
        <w:br w:type="column"/>
      </w:r>
    </w:p>
    <w:p>
      <w:pPr>
        <w:spacing w:before="186"/>
        <w:ind w:left="129" w:right="0" w:firstLine="0"/>
        <w:jc w:val="left"/>
        <w:rPr>
          <w:sz w:val="25"/>
        </w:rPr>
      </w:pPr>
      <w:r>
        <w:rPr>
          <w:rFonts w:ascii="Times New Roman" w:hAnsi="Times New Roman" w:eastAsia="Times New Roman"/>
          <w:i/>
          <w:sz w:val="25"/>
        </w:rPr>
        <w:t xml:space="preserve">pH </w:t>
      </w:r>
      <w:r>
        <w:rPr>
          <w:rFonts w:ascii="Symbol" w:hAnsi="Symbol" w:eastAsia="Symbol"/>
          <w:sz w:val="25"/>
        </w:rPr>
        <w:t></w:t>
      </w:r>
      <w:r>
        <w:rPr>
          <w:rFonts w:ascii="Times New Roman" w:hAnsi="Times New Roman" w:eastAsia="Times New Roman"/>
          <w:sz w:val="25"/>
        </w:rPr>
        <w:t xml:space="preserve"> 7 </w:t>
      </w:r>
      <w:r>
        <w:rPr>
          <w:sz w:val="25"/>
        </w:rPr>
        <w:t>时</w:t>
      </w:r>
    </w:p>
    <w:p>
      <w:pPr>
        <w:spacing w:after="0"/>
        <w:jc w:val="left"/>
        <w:rPr>
          <w:sz w:val="25"/>
        </w:rPr>
        <w:sectPr>
          <w:type w:val="continuous"/>
          <w:pgSz w:w="11910" w:h="16840"/>
          <w:pgMar w:top="1580" w:right="0" w:bottom="280" w:left="0" w:header="720" w:footer="720" w:gutter="0"/>
          <w:cols w:equalWidth="0" w:num="3">
            <w:col w:w="5117" w:space="40"/>
            <w:col w:w="1351" w:space="39"/>
            <w:col w:w="5363"/>
          </w:cols>
        </w:sectPr>
      </w:pPr>
    </w:p>
    <w:p>
      <w:pPr>
        <w:tabs>
          <w:tab w:val="left" w:pos="499"/>
          <w:tab w:val="left" w:pos="887"/>
        </w:tabs>
        <w:spacing w:before="231" w:line="98" w:lineRule="auto"/>
        <w:ind w:left="0" w:right="663" w:firstLine="0"/>
        <w:jc w:val="center"/>
        <w:rPr>
          <w:rFonts w:ascii="Times New Roman" w:hAnsi="Times New Roman"/>
          <w:sz w:val="28"/>
        </w:rPr>
      </w:pPr>
      <w:r>
        <mc:AlternateContent>
          <mc:Choice Requires="wps">
            <w:drawing>
              <wp:anchor distT="0" distB="0" distL="114300" distR="114300" simplePos="0" relativeHeight="251711488" behindDoc="0" locked="0" layoutInCell="1" allowOverlap="1">
                <wp:simplePos x="0" y="0"/>
                <wp:positionH relativeFrom="page">
                  <wp:posOffset>3492500</wp:posOffset>
                </wp:positionH>
                <wp:positionV relativeFrom="paragraph">
                  <wp:posOffset>365760</wp:posOffset>
                </wp:positionV>
                <wp:extent cx="219710" cy="200025"/>
                <wp:effectExtent l="0" t="0" r="0" b="0"/>
                <wp:wrapNone/>
                <wp:docPr id="148" name="文本框 50"/>
                <wp:cNvGraphicFramePr/>
                <a:graphic xmlns:a="http://schemas.openxmlformats.org/drawingml/2006/main">
                  <a:graphicData uri="http://schemas.microsoft.com/office/word/2010/wordprocessingShape">
                    <wps:wsp>
                      <wps:cNvSpPr txBox="1"/>
                      <wps:spPr>
                        <a:xfrm>
                          <a:off x="0" y="0"/>
                          <a:ext cx="219710" cy="200025"/>
                        </a:xfrm>
                        <a:prstGeom prst="rect">
                          <a:avLst/>
                        </a:prstGeom>
                        <a:noFill/>
                        <a:ln>
                          <a:noFill/>
                        </a:ln>
                      </wps:spPr>
                      <wps:txbx>
                        <w:txbxContent>
                          <w:p>
                            <w:pPr>
                              <w:spacing w:before="0" w:line="314" w:lineRule="exact"/>
                              <w:ind w:left="0" w:right="0" w:firstLine="0"/>
                              <w:jc w:val="left"/>
                              <w:rPr>
                                <w:rFonts w:ascii="Times New Roman"/>
                                <w:i/>
                                <w:sz w:val="28"/>
                              </w:rPr>
                            </w:pPr>
                            <w:r>
                              <w:rPr>
                                <w:rFonts w:ascii="Times New Roman"/>
                                <w:i/>
                                <w:sz w:val="28"/>
                              </w:rPr>
                              <w:t>pH</w:t>
                            </w:r>
                          </w:p>
                        </w:txbxContent>
                      </wps:txbx>
                      <wps:bodyPr lIns="0" tIns="0" rIns="0" bIns="0" upright="1"/>
                    </wps:wsp>
                  </a:graphicData>
                </a:graphic>
              </wp:anchor>
            </w:drawing>
          </mc:Choice>
          <mc:Fallback>
            <w:pict>
              <v:shape id="文本框 50" o:spid="_x0000_s1026" o:spt="202" type="#_x0000_t202" style="position:absolute;left:0pt;margin-left:275pt;margin-top:28.8pt;height:15.75pt;width:17.3pt;mso-position-horizontal-relative:page;z-index:251711488;mso-width-relative:page;mso-height-relative:page;" filled="f" stroked="f" coordsize="21600,21600" o:gfxdata="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spzS5NgAAAAJAQAADwAAAAAAAAAB&#10;ACAAAAAiAAAAZHJzL2Rvd25yZXYueG1sUEsBAhQAFAAAAAgAh07iQGfcKGieAQAAJgMAAA4AAAAA&#10;AAAAAQAgAAAAJwEAAGRycy9lMm9Eb2MueG1sUEsFBgAAAAAGAAYAWQEAADcFAAAAAA==&#10;">
                <v:fill on="f" focussize="0,0"/>
                <v:stroke on="f"/>
                <v:imagedata o:title=""/>
                <o:lock v:ext="edit" aspectratio="f"/>
                <v:textbox inset="0mm,0mm,0mm,0mm">
                  <w:txbxContent>
                    <w:p>
                      <w:pPr>
                        <w:spacing w:before="0" w:line="314" w:lineRule="exact"/>
                        <w:ind w:left="0" w:right="0" w:firstLine="0"/>
                        <w:jc w:val="left"/>
                        <w:rPr>
                          <w:rFonts w:ascii="Times New Roman"/>
                          <w:i/>
                          <w:sz w:val="28"/>
                        </w:rPr>
                      </w:pPr>
                      <w:r>
                        <w:rPr>
                          <w:rFonts w:ascii="Times New Roman"/>
                          <w:i/>
                          <w:sz w:val="28"/>
                        </w:rPr>
                        <w:t>pH</w:t>
                      </w:r>
                    </w:p>
                  </w:txbxContent>
                </v:textbox>
              </v:shape>
            </w:pict>
          </mc:Fallback>
        </mc:AlternateContent>
      </w:r>
      <w:r>
        <w:rPr>
          <w:rFonts w:ascii="Times New Roman" w:hAnsi="Times New Roman"/>
          <w:i/>
          <w:position w:val="-17"/>
          <w:sz w:val="28"/>
        </w:rPr>
        <w:t>P</w:t>
      </w:r>
      <w:r>
        <w:rPr>
          <w:rFonts w:ascii="Times New Roman" w:hAnsi="Times New Roman"/>
          <w:i/>
          <w:position w:val="-17"/>
          <w:sz w:val="28"/>
        </w:rPr>
        <w:tab/>
      </w:r>
      <w:r>
        <w:rPr>
          <w:rFonts w:ascii="Symbol" w:hAnsi="Symbol"/>
          <w:position w:val="-17"/>
          <w:sz w:val="28"/>
        </w:rPr>
        <w:t></w:t>
      </w:r>
      <w:r>
        <w:rPr>
          <w:rFonts w:ascii="Times New Roman" w:hAnsi="Times New Roman"/>
          <w:position w:val="-17"/>
          <w:sz w:val="28"/>
        </w:rPr>
        <w:tab/>
      </w:r>
      <w:r>
        <w:rPr>
          <w:rFonts w:ascii="Times New Roman" w:hAnsi="Times New Roman"/>
          <w:i/>
          <w:sz w:val="28"/>
        </w:rPr>
        <w:t xml:space="preserve">pH </w:t>
      </w:r>
      <w:r>
        <w:rPr>
          <w:rFonts w:ascii="Times New Roman" w:hAnsi="Times New Roman"/>
          <w:sz w:val="28"/>
        </w:rPr>
        <w:t>-</w:t>
      </w:r>
      <w:r>
        <w:rPr>
          <w:rFonts w:ascii="Times New Roman" w:hAnsi="Times New Roman"/>
          <w:spacing w:val="-3"/>
          <w:sz w:val="28"/>
        </w:rPr>
        <w:t xml:space="preserve"> </w:t>
      </w:r>
      <w:r>
        <w:rPr>
          <w:rFonts w:ascii="Times New Roman" w:hAnsi="Times New Roman"/>
          <w:sz w:val="28"/>
        </w:rPr>
        <w:t>7.0</w:t>
      </w:r>
    </w:p>
    <w:p>
      <w:pPr>
        <w:pStyle w:val="9"/>
        <w:spacing w:line="20" w:lineRule="exact"/>
        <w:ind w:left="5439"/>
        <w:rPr>
          <w:rFonts w:ascii="Times New Roman"/>
          <w:sz w:val="2"/>
        </w:rPr>
      </w:pPr>
      <w:r>
        <w:rPr>
          <w:rFonts w:ascii="Times New Roman"/>
          <w:sz w:val="2"/>
        </w:rPr>
        <mc:AlternateContent>
          <mc:Choice Requires="wpg">
            <w:drawing>
              <wp:inline distT="0" distB="0" distL="114300" distR="114300">
                <wp:extent cx="758190" cy="7620"/>
                <wp:effectExtent l="0" t="0" r="0" b="0"/>
                <wp:docPr id="133" name="组合 51"/>
                <wp:cNvGraphicFramePr/>
                <a:graphic xmlns:a="http://schemas.openxmlformats.org/drawingml/2006/main">
                  <a:graphicData uri="http://schemas.microsoft.com/office/word/2010/wordprocessingGroup">
                    <wpg:wgp>
                      <wpg:cNvGrpSpPr/>
                      <wpg:grpSpPr>
                        <a:xfrm>
                          <a:off x="0" y="0"/>
                          <a:ext cx="758190" cy="7620"/>
                          <a:chOff x="0" y="0"/>
                          <a:chExt cx="1194" cy="12"/>
                        </a:xfrm>
                      </wpg:grpSpPr>
                      <wps:wsp>
                        <wps:cNvPr id="132" name="直线 52"/>
                        <wps:cNvSpPr/>
                        <wps:spPr>
                          <a:xfrm>
                            <a:off x="0" y="6"/>
                            <a:ext cx="1193" cy="0"/>
                          </a:xfrm>
                          <a:prstGeom prst="line">
                            <a:avLst/>
                          </a:prstGeom>
                          <a:ln w="7493" cap="flat" cmpd="sng">
                            <a:solidFill>
                              <a:srgbClr val="000000"/>
                            </a:solidFill>
                            <a:prstDash val="solid"/>
                            <a:headEnd type="none" w="med" len="med"/>
                            <a:tailEnd type="none" w="med" len="med"/>
                          </a:ln>
                        </wps:spPr>
                        <wps:bodyPr upright="1"/>
                      </wps:wsp>
                    </wpg:wgp>
                  </a:graphicData>
                </a:graphic>
              </wp:inline>
            </w:drawing>
          </mc:Choice>
          <mc:Fallback>
            <w:pict>
              <v:group id="组合 51" o:spid="_x0000_s1026" o:spt="203" style="height:0.6pt;width:59.7pt;" coordsize="1194,12" o:gfxdata="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oXUgT1AAAAAMBAAAPAAAAAAAAAAEAIAAAACIAAABkcnMvZG93bnJldi54bWxQ&#10;SwECFAAUAAAACACHTuJArQgkdTQCAAC1BAAADgAAAAAAAAABACAAAAAjAQAAZHJzL2Uyb0RvYy54&#10;bWxQSwUGAAAAAAYABgBZAQAAyQUAAAAA&#10;">
                <o:lock v:ext="edit" aspectratio="f"/>
                <v:line id="直线 52" o:spid="_x0000_s1026" o:spt="20" style="position:absolute;left:0;top:6;height:0;width:1193;" filled="f" stroked="t" coordsize="21600,21600" o:gfxdata="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vwxOO2AAAA3AAAAA8A&#10;AAAAAAAAAQAgAAAAIgAAAGRycy9kb3ducmV2LnhtbFBLAQIUABQAAAAIAIdO4kAzLwWeOwAAADkA&#10;AAAQAAAAAAAAAAEAIAAAAAUBAABkcnMvc2hhcGV4bWwueG1sUEsFBgAAAAAGAAYAWwEAAK8DAAAA&#10;AA==&#10;">
                  <v:fill on="f" focussize="0,0"/>
                  <v:stroke weight="0.59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580" w:right="0" w:bottom="280" w:left="0" w:header="720" w:footer="720" w:gutter="0"/>
        </w:sectPr>
      </w:pPr>
    </w:p>
    <w:p>
      <w:pPr>
        <w:pStyle w:val="9"/>
        <w:rPr>
          <w:rFonts w:ascii="Times New Roman"/>
        </w:rPr>
      </w:pPr>
    </w:p>
    <w:p>
      <w:pPr>
        <w:pStyle w:val="9"/>
        <w:spacing w:before="7"/>
        <w:rPr>
          <w:rFonts w:ascii="Times New Roman"/>
          <w:sz w:val="23"/>
        </w:rPr>
      </w:pPr>
    </w:p>
    <w:p>
      <w:pPr>
        <w:pStyle w:val="9"/>
        <w:ind w:right="38"/>
        <w:jc w:val="right"/>
      </w:pPr>
      <w:r>
        <w:t>式中：</w:t>
      </w:r>
    </w:p>
    <w:p>
      <w:pPr>
        <w:spacing w:before="0" w:line="162" w:lineRule="exact"/>
        <w:ind w:left="1898" w:right="0" w:firstLine="0"/>
        <w:jc w:val="left"/>
        <w:rPr>
          <w:rFonts w:ascii="Times New Roman"/>
          <w:i/>
          <w:sz w:val="16"/>
        </w:rPr>
      </w:pPr>
      <w:r>
        <w:br w:type="column"/>
      </w:r>
      <w:r>
        <w:rPr>
          <w:rFonts w:ascii="Times New Roman"/>
          <w:i/>
          <w:w w:val="105"/>
          <w:sz w:val="16"/>
        </w:rPr>
        <w:t>pH</w:t>
      </w:r>
    </w:p>
    <w:p>
      <w:pPr>
        <w:spacing w:before="35"/>
        <w:ind w:left="0" w:right="0" w:firstLine="0"/>
        <w:jc w:val="right"/>
        <w:rPr>
          <w:rFonts w:ascii="Times New Roman"/>
          <w:i/>
          <w:sz w:val="16"/>
        </w:rPr>
      </w:pPr>
      <w:r>
        <w:rPr>
          <w:rFonts w:ascii="Times New Roman"/>
          <w:i/>
          <w:sz w:val="16"/>
        </w:rPr>
        <w:t>su</w:t>
      </w:r>
    </w:p>
    <w:p>
      <w:pPr>
        <w:spacing w:before="15"/>
        <w:ind w:left="58" w:right="0" w:firstLine="0"/>
        <w:jc w:val="left"/>
        <w:rPr>
          <w:rFonts w:ascii="Times New Roman"/>
          <w:sz w:val="28"/>
        </w:rPr>
      </w:pPr>
      <w:r>
        <w:br w:type="column"/>
      </w:r>
      <w:r>
        <w:rPr>
          <w:rFonts w:ascii="Times New Roman"/>
          <w:sz w:val="28"/>
        </w:rPr>
        <w:t xml:space="preserve">- </w:t>
      </w:r>
      <w:r>
        <w:rPr>
          <w:rFonts w:ascii="Times New Roman"/>
          <w:spacing w:val="-7"/>
          <w:sz w:val="28"/>
        </w:rPr>
        <w:t>7.0</w:t>
      </w:r>
    </w:p>
    <w:p>
      <w:pPr>
        <w:spacing w:before="53"/>
        <w:ind w:left="96" w:right="0" w:firstLine="0"/>
        <w:jc w:val="left"/>
        <w:rPr>
          <w:sz w:val="25"/>
        </w:rPr>
      </w:pPr>
      <w:r>
        <w:br w:type="column"/>
      </w:r>
      <w:r>
        <w:rPr>
          <w:rFonts w:ascii="Times New Roman" w:hAnsi="Times New Roman" w:eastAsia="Times New Roman"/>
          <w:i/>
          <w:sz w:val="25"/>
        </w:rPr>
        <w:t xml:space="preserve">pH </w:t>
      </w:r>
      <w:r>
        <w:rPr>
          <w:rFonts w:ascii="Symbol" w:hAnsi="Symbol" w:eastAsia="Symbol"/>
          <w:sz w:val="25"/>
        </w:rPr>
        <w:t></w:t>
      </w:r>
      <w:r>
        <w:rPr>
          <w:rFonts w:ascii="Times New Roman" w:hAnsi="Times New Roman" w:eastAsia="Times New Roman"/>
          <w:sz w:val="25"/>
        </w:rPr>
        <w:t xml:space="preserve"> 7 </w:t>
      </w:r>
      <w:r>
        <w:rPr>
          <w:sz w:val="25"/>
        </w:rPr>
        <w:t>时</w:t>
      </w:r>
    </w:p>
    <w:p>
      <w:pPr>
        <w:spacing w:after="0"/>
        <w:jc w:val="left"/>
        <w:rPr>
          <w:sz w:val="25"/>
        </w:rPr>
        <w:sectPr>
          <w:type w:val="continuous"/>
          <w:pgSz w:w="11910" w:h="16840"/>
          <w:pgMar w:top="1580" w:right="0" w:bottom="280" w:left="0" w:header="720" w:footer="720" w:gutter="0"/>
          <w:cols w:equalWidth="0" w:num="4">
            <w:col w:w="2659" w:space="314"/>
            <w:col w:w="3059" w:space="40"/>
            <w:col w:w="557" w:space="39"/>
            <w:col w:w="5242"/>
          </w:cols>
        </w:sectPr>
      </w:pPr>
    </w:p>
    <w:p>
      <w:pPr>
        <w:pStyle w:val="9"/>
        <w:spacing w:before="155"/>
        <w:ind w:left="1898"/>
      </w:pPr>
      <w:r>
        <w:rPr>
          <w:rFonts w:ascii="Times New Roman" w:hAnsi="Times New Roman" w:eastAsia="Times New Roman"/>
          <w:position w:val="2"/>
        </w:rPr>
        <w:t>P</w:t>
      </w:r>
      <w:r>
        <w:rPr>
          <w:rFonts w:ascii="Times New Roman" w:hAnsi="Times New Roman" w:eastAsia="Times New Roman"/>
          <w:position w:val="2"/>
          <w:vertAlign w:val="subscript"/>
        </w:rPr>
        <w:t>pH</w:t>
      </w:r>
      <w:r>
        <w:rPr>
          <w:rFonts w:ascii="Times New Roman" w:hAnsi="Times New Roman" w:eastAsia="Times New Roman"/>
          <w:position w:val="2"/>
          <w:vertAlign w:val="baseline"/>
        </w:rPr>
        <w:t xml:space="preserve">—pH </w:t>
      </w:r>
      <w:r>
        <w:rPr>
          <w:position w:val="2"/>
          <w:vertAlign w:val="baseline"/>
        </w:rPr>
        <w:t>的标准指数，无量纲；</w:t>
      </w:r>
    </w:p>
    <w:p>
      <w:pPr>
        <w:pStyle w:val="9"/>
        <w:spacing w:before="159"/>
        <w:ind w:left="1898"/>
      </w:pPr>
      <w:r>
        <w:rPr>
          <w:rFonts w:ascii="Times New Roman" w:hAnsi="Times New Roman" w:eastAsia="Times New Roman"/>
        </w:rPr>
        <w:t xml:space="preserve">pH—pH </w:t>
      </w:r>
      <w:r>
        <w:t>监测值；</w:t>
      </w:r>
    </w:p>
    <w:p>
      <w:pPr>
        <w:pStyle w:val="9"/>
        <w:spacing w:before="155"/>
        <w:ind w:left="1898"/>
      </w:pPr>
      <w:r>
        <w:rPr>
          <w:rFonts w:ascii="Times New Roman" w:hAnsi="Times New Roman" w:eastAsia="Times New Roman"/>
          <w:position w:val="2"/>
        </w:rPr>
        <w:t>PH</w:t>
      </w:r>
      <w:r>
        <w:rPr>
          <w:rFonts w:ascii="Times New Roman" w:hAnsi="Times New Roman" w:eastAsia="Times New Roman"/>
          <w:position w:val="2"/>
          <w:vertAlign w:val="subscript"/>
        </w:rPr>
        <w:t>su</w:t>
      </w:r>
      <w:r>
        <w:rPr>
          <w:rFonts w:ascii="Times New Roman" w:hAnsi="Times New Roman" w:eastAsia="Times New Roman"/>
          <w:position w:val="2"/>
          <w:vertAlign w:val="baseline"/>
        </w:rPr>
        <w:t>—</w:t>
      </w:r>
      <w:r>
        <w:rPr>
          <w:spacing w:val="-15"/>
          <w:position w:val="2"/>
          <w:vertAlign w:val="baseline"/>
        </w:rPr>
        <w:t xml:space="preserve">标准中 </w:t>
      </w:r>
      <w:r>
        <w:rPr>
          <w:rFonts w:ascii="Times New Roman" w:hAnsi="Times New Roman" w:eastAsia="Times New Roman"/>
          <w:position w:val="2"/>
          <w:vertAlign w:val="baseline"/>
        </w:rPr>
        <w:t xml:space="preserve">pH </w:t>
      </w:r>
      <w:r>
        <w:rPr>
          <w:position w:val="2"/>
          <w:vertAlign w:val="baseline"/>
        </w:rPr>
        <w:t>的上限值；</w:t>
      </w:r>
    </w:p>
    <w:p>
      <w:pPr>
        <w:pStyle w:val="9"/>
        <w:spacing w:before="156"/>
        <w:ind w:left="1898"/>
      </w:pPr>
      <w:r>
        <w:rPr>
          <w:rFonts w:ascii="Times New Roman" w:hAnsi="Times New Roman" w:eastAsia="Times New Roman"/>
          <w:position w:val="2"/>
        </w:rPr>
        <w:t>PH</w:t>
      </w:r>
      <w:r>
        <w:rPr>
          <w:rFonts w:ascii="Times New Roman" w:hAnsi="Times New Roman" w:eastAsia="Times New Roman"/>
          <w:position w:val="2"/>
          <w:vertAlign w:val="subscript"/>
        </w:rPr>
        <w:t>sd</w:t>
      </w:r>
      <w:r>
        <w:rPr>
          <w:rFonts w:ascii="Times New Roman" w:hAnsi="Times New Roman" w:eastAsia="Times New Roman"/>
          <w:position w:val="2"/>
          <w:vertAlign w:val="baseline"/>
        </w:rPr>
        <w:t>—</w:t>
      </w:r>
      <w:r>
        <w:rPr>
          <w:spacing w:val="-15"/>
          <w:position w:val="2"/>
          <w:vertAlign w:val="baseline"/>
        </w:rPr>
        <w:t xml:space="preserve">标准中 </w:t>
      </w:r>
      <w:r>
        <w:rPr>
          <w:rFonts w:ascii="Times New Roman" w:hAnsi="Times New Roman" w:eastAsia="Times New Roman"/>
          <w:position w:val="2"/>
          <w:vertAlign w:val="baseline"/>
        </w:rPr>
        <w:t xml:space="preserve">pH </w:t>
      </w:r>
      <w:r>
        <w:rPr>
          <w:position w:val="2"/>
          <w:vertAlign w:val="baseline"/>
        </w:rPr>
        <w:t>的下限值。</w:t>
      </w:r>
    </w:p>
    <w:p>
      <w:pPr>
        <w:pStyle w:val="9"/>
        <w:spacing w:before="157" w:line="364" w:lineRule="auto"/>
        <w:ind w:left="1418" w:right="1413" w:firstLine="480"/>
      </w:pPr>
      <w:r>
        <w:rPr>
          <w:spacing w:val="-12"/>
        </w:rPr>
        <w:t xml:space="preserve">标准指数 </w:t>
      </w:r>
      <w:r>
        <w:rPr>
          <w:rFonts w:ascii="Times New Roman" w:eastAsia="Times New Roman"/>
        </w:rPr>
        <w:t xml:space="preserve">P&gt;1 </w:t>
      </w:r>
      <w:r>
        <w:rPr>
          <w:spacing w:val="-9"/>
        </w:rPr>
        <w:t>时，即表明该水质因子已经超过了规定的水质标准，且指数越大，超</w:t>
      </w:r>
      <w:r>
        <w:t>标越严重。</w:t>
      </w:r>
    </w:p>
    <w:p>
      <w:pPr>
        <w:pStyle w:val="8"/>
        <w:numPr>
          <w:ilvl w:val="3"/>
          <w:numId w:val="62"/>
        </w:numPr>
        <w:tabs>
          <w:tab w:val="left" w:pos="2139"/>
        </w:tabs>
        <w:spacing w:before="0" w:after="0" w:line="306" w:lineRule="exact"/>
        <w:ind w:left="2138" w:right="0" w:hanging="721"/>
        <w:jc w:val="left"/>
      </w:pPr>
      <w:bookmarkStart w:id="304" w:name="5.3.2.5评价区周边地下水监测井现状监测结果与评价"/>
      <w:bookmarkEnd w:id="304"/>
      <w:bookmarkStart w:id="305" w:name="5.3.2.5评价区周边地下水监测井现状监测结果与评价"/>
      <w:bookmarkEnd w:id="305"/>
      <w:r>
        <w:t>评价区周边地下水监测井现状监测结果与评价</w:t>
      </w:r>
    </w:p>
    <w:p>
      <w:pPr>
        <w:pStyle w:val="9"/>
        <w:spacing w:before="161"/>
        <w:ind w:left="1898"/>
      </w:pPr>
      <w:r>
        <w:t>（</w:t>
      </w:r>
      <w:r>
        <w:rPr>
          <w:rFonts w:ascii="Times New Roman" w:eastAsia="Times New Roman"/>
        </w:rPr>
        <w:t>1</w:t>
      </w:r>
      <w:r>
        <w:t>）地下水水质监测结果</w:t>
      </w:r>
    </w:p>
    <w:p>
      <w:pPr>
        <w:pStyle w:val="9"/>
        <w:spacing w:before="158"/>
        <w:ind w:left="1898"/>
      </w:pPr>
      <w:r>
        <w:t>地下水监测结果及标准指数评价成果见下表。</w:t>
      </w:r>
    </w:p>
    <w:p>
      <w:pPr>
        <w:spacing w:before="159" w:after="4"/>
        <w:ind w:left="5" w:right="0" w:firstLine="0"/>
        <w:jc w:val="center"/>
        <w:rPr>
          <w:b/>
          <w:sz w:val="21"/>
        </w:rPr>
      </w:pPr>
      <w:r>
        <w:rPr>
          <w:b/>
          <w:spacing w:val="-28"/>
          <w:sz w:val="21"/>
        </w:rPr>
        <w:t xml:space="preserve">表 </w:t>
      </w:r>
      <w:r>
        <w:rPr>
          <w:rFonts w:ascii="Times New Roman" w:eastAsia="Times New Roman"/>
          <w:b/>
          <w:sz w:val="21"/>
        </w:rPr>
        <w:t>5.3-4</w:t>
      </w:r>
      <w:r>
        <w:rPr>
          <w:rFonts w:ascii="Times New Roman" w:eastAsia="Times New Roman"/>
          <w:b/>
          <w:spacing w:val="52"/>
          <w:sz w:val="21"/>
        </w:rPr>
        <w:t xml:space="preserve"> </w:t>
      </w:r>
      <w:r>
        <w:rPr>
          <w:b/>
          <w:sz w:val="21"/>
        </w:rPr>
        <w:t>地下水监测结果表</w:t>
      </w:r>
    </w:p>
    <w:tbl>
      <w:tblPr>
        <w:tblStyle w:val="15"/>
        <w:tblW w:w="0" w:type="auto"/>
        <w:tblInd w:w="14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1072"/>
        <w:gridCol w:w="1270"/>
        <w:gridCol w:w="1270"/>
        <w:gridCol w:w="1270"/>
        <w:gridCol w:w="1270"/>
        <w:gridCol w:w="1271"/>
        <w:gridCol w:w="8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850" w:type="dxa"/>
            <w:vMerge w:val="restart"/>
          </w:tcPr>
          <w:p>
            <w:pPr>
              <w:pStyle w:val="19"/>
              <w:spacing w:before="150"/>
              <w:ind w:left="3" w:right="-15"/>
              <w:jc w:val="left"/>
              <w:rPr>
                <w:sz w:val="21"/>
              </w:rPr>
            </w:pPr>
            <w:r>
              <w:rPr>
                <w:sz w:val="21"/>
              </w:rPr>
              <w:t>采样时间</w:t>
            </w:r>
          </w:p>
        </w:tc>
        <w:tc>
          <w:tcPr>
            <w:tcW w:w="1072" w:type="dxa"/>
            <w:vMerge w:val="restart"/>
          </w:tcPr>
          <w:p>
            <w:pPr>
              <w:pStyle w:val="19"/>
              <w:spacing w:before="150"/>
              <w:ind w:left="115"/>
              <w:jc w:val="left"/>
              <w:rPr>
                <w:sz w:val="21"/>
              </w:rPr>
            </w:pPr>
            <w:r>
              <w:rPr>
                <w:sz w:val="21"/>
              </w:rPr>
              <w:t>检测项目</w:t>
            </w:r>
          </w:p>
        </w:tc>
        <w:tc>
          <w:tcPr>
            <w:tcW w:w="6351" w:type="dxa"/>
            <w:gridSpan w:val="5"/>
          </w:tcPr>
          <w:p>
            <w:pPr>
              <w:pStyle w:val="19"/>
              <w:spacing w:before="1"/>
              <w:ind w:left="2733" w:right="2728"/>
              <w:rPr>
                <w:sz w:val="21"/>
              </w:rPr>
            </w:pPr>
            <w:r>
              <w:rPr>
                <w:sz w:val="21"/>
              </w:rPr>
              <w:t>检测结果</w:t>
            </w:r>
          </w:p>
        </w:tc>
        <w:tc>
          <w:tcPr>
            <w:tcW w:w="822" w:type="dxa"/>
            <w:vMerge w:val="restart"/>
          </w:tcPr>
          <w:p>
            <w:pPr>
              <w:pStyle w:val="19"/>
              <w:spacing w:before="150"/>
              <w:ind w:left="200"/>
              <w:jc w:val="left"/>
              <w:rPr>
                <w:sz w:val="21"/>
              </w:rPr>
            </w:pPr>
            <w:r>
              <w:rPr>
                <w:sz w:val="21"/>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850" w:type="dxa"/>
            <w:vMerge w:val="continue"/>
            <w:tcBorders>
              <w:top w:val="nil"/>
            </w:tcBorders>
          </w:tcPr>
          <w:p>
            <w:pPr>
              <w:rPr>
                <w:sz w:val="2"/>
                <w:szCs w:val="2"/>
              </w:rPr>
            </w:pPr>
          </w:p>
        </w:tc>
        <w:tc>
          <w:tcPr>
            <w:tcW w:w="1072" w:type="dxa"/>
            <w:vMerge w:val="continue"/>
            <w:tcBorders>
              <w:top w:val="nil"/>
            </w:tcBorders>
          </w:tcPr>
          <w:p>
            <w:pPr>
              <w:rPr>
                <w:sz w:val="2"/>
                <w:szCs w:val="2"/>
              </w:rPr>
            </w:pPr>
          </w:p>
        </w:tc>
        <w:tc>
          <w:tcPr>
            <w:tcW w:w="1270" w:type="dxa"/>
          </w:tcPr>
          <w:p>
            <w:pPr>
              <w:pStyle w:val="19"/>
              <w:ind w:left="22" w:right="1"/>
              <w:rPr>
                <w:rFonts w:ascii="Times New Roman"/>
                <w:sz w:val="21"/>
              </w:rPr>
            </w:pPr>
            <w:r>
              <w:rPr>
                <w:rFonts w:ascii="Times New Roman"/>
                <w:w w:val="95"/>
                <w:sz w:val="21"/>
              </w:rPr>
              <w:t>SZ3006-20101</w:t>
            </w:r>
          </w:p>
        </w:tc>
        <w:tc>
          <w:tcPr>
            <w:tcW w:w="1270" w:type="dxa"/>
          </w:tcPr>
          <w:p>
            <w:pPr>
              <w:pStyle w:val="19"/>
              <w:ind w:left="5" w:right="-15"/>
              <w:rPr>
                <w:rFonts w:ascii="Times New Roman"/>
                <w:sz w:val="21"/>
              </w:rPr>
            </w:pPr>
            <w:r>
              <w:rPr>
                <w:rFonts w:ascii="Times New Roman"/>
                <w:sz w:val="21"/>
              </w:rPr>
              <w:t>SZ3006-20201</w:t>
            </w:r>
          </w:p>
        </w:tc>
        <w:tc>
          <w:tcPr>
            <w:tcW w:w="1270" w:type="dxa"/>
          </w:tcPr>
          <w:p>
            <w:pPr>
              <w:pStyle w:val="19"/>
              <w:ind w:left="5" w:right="-15"/>
              <w:rPr>
                <w:rFonts w:ascii="Times New Roman"/>
                <w:sz w:val="21"/>
              </w:rPr>
            </w:pPr>
            <w:r>
              <w:rPr>
                <w:rFonts w:ascii="Times New Roman"/>
                <w:sz w:val="21"/>
              </w:rPr>
              <w:t>SZ3006-20301</w:t>
            </w:r>
          </w:p>
        </w:tc>
        <w:tc>
          <w:tcPr>
            <w:tcW w:w="1270" w:type="dxa"/>
          </w:tcPr>
          <w:p>
            <w:pPr>
              <w:pStyle w:val="19"/>
              <w:ind w:left="5" w:right="-15"/>
              <w:rPr>
                <w:rFonts w:ascii="Times New Roman"/>
                <w:sz w:val="21"/>
              </w:rPr>
            </w:pPr>
            <w:r>
              <w:rPr>
                <w:rFonts w:ascii="Times New Roman"/>
                <w:sz w:val="21"/>
              </w:rPr>
              <w:t>SZ3006-20801</w:t>
            </w:r>
          </w:p>
        </w:tc>
        <w:tc>
          <w:tcPr>
            <w:tcW w:w="1271" w:type="dxa"/>
          </w:tcPr>
          <w:p>
            <w:pPr>
              <w:pStyle w:val="19"/>
              <w:ind w:left="4" w:right="-15"/>
              <w:rPr>
                <w:rFonts w:ascii="Times New Roman"/>
                <w:sz w:val="21"/>
              </w:rPr>
            </w:pPr>
            <w:r>
              <w:rPr>
                <w:rFonts w:ascii="Times New Roman"/>
                <w:sz w:val="21"/>
              </w:rPr>
              <w:t>SZ3006-20901</w:t>
            </w:r>
          </w:p>
        </w:tc>
        <w:tc>
          <w:tcPr>
            <w:tcW w:w="82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restart"/>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6"/>
              <w:jc w:val="left"/>
              <w:rPr>
                <w:b/>
                <w:sz w:val="16"/>
              </w:rPr>
            </w:pPr>
          </w:p>
          <w:p>
            <w:pPr>
              <w:pStyle w:val="19"/>
              <w:ind w:left="3" w:right="-15"/>
              <w:jc w:val="left"/>
              <w:rPr>
                <w:rFonts w:ascii="Times New Roman"/>
                <w:sz w:val="21"/>
              </w:rPr>
            </w:pPr>
            <w:r>
              <w:rPr>
                <w:rFonts w:ascii="Times New Roman"/>
                <w:sz w:val="21"/>
              </w:rPr>
              <w:t>2020.4.13</w:t>
            </w:r>
          </w:p>
        </w:tc>
        <w:tc>
          <w:tcPr>
            <w:tcW w:w="1072" w:type="dxa"/>
          </w:tcPr>
          <w:p>
            <w:pPr>
              <w:pStyle w:val="19"/>
              <w:spacing w:before="42"/>
              <w:ind w:left="7"/>
              <w:rPr>
                <w:sz w:val="21"/>
              </w:rPr>
            </w:pPr>
            <w:r>
              <w:rPr>
                <w:rFonts w:ascii="Times New Roman" w:eastAsia="Times New Roman"/>
                <w:sz w:val="21"/>
              </w:rPr>
              <w:t xml:space="preserve">pH </w:t>
            </w:r>
            <w:r>
              <w:rPr>
                <w:sz w:val="21"/>
              </w:rPr>
              <w:t>值</w:t>
            </w:r>
          </w:p>
        </w:tc>
        <w:tc>
          <w:tcPr>
            <w:tcW w:w="1270" w:type="dxa"/>
          </w:tcPr>
          <w:p>
            <w:pPr>
              <w:pStyle w:val="19"/>
              <w:spacing w:before="58"/>
              <w:ind w:left="10" w:right="1"/>
              <w:rPr>
                <w:rFonts w:ascii="Times New Roman"/>
                <w:sz w:val="21"/>
              </w:rPr>
            </w:pPr>
            <w:r>
              <w:rPr>
                <w:rFonts w:ascii="Times New Roman"/>
                <w:sz w:val="21"/>
              </w:rPr>
              <w:t>7.51</w:t>
            </w:r>
          </w:p>
        </w:tc>
        <w:tc>
          <w:tcPr>
            <w:tcW w:w="1270" w:type="dxa"/>
          </w:tcPr>
          <w:p>
            <w:pPr>
              <w:pStyle w:val="19"/>
              <w:spacing w:before="58"/>
              <w:ind w:left="9" w:right="1"/>
              <w:rPr>
                <w:rFonts w:ascii="Times New Roman"/>
                <w:sz w:val="21"/>
              </w:rPr>
            </w:pPr>
            <w:r>
              <w:rPr>
                <w:rFonts w:ascii="Times New Roman"/>
                <w:sz w:val="21"/>
              </w:rPr>
              <w:t>7.01</w:t>
            </w:r>
          </w:p>
        </w:tc>
        <w:tc>
          <w:tcPr>
            <w:tcW w:w="1270" w:type="dxa"/>
          </w:tcPr>
          <w:p>
            <w:pPr>
              <w:pStyle w:val="19"/>
              <w:spacing w:before="58"/>
              <w:ind w:left="13" w:right="1"/>
              <w:rPr>
                <w:rFonts w:ascii="Times New Roman"/>
                <w:sz w:val="21"/>
              </w:rPr>
            </w:pPr>
            <w:r>
              <w:rPr>
                <w:rFonts w:ascii="Times New Roman"/>
                <w:sz w:val="21"/>
              </w:rPr>
              <w:t>7.1</w:t>
            </w:r>
          </w:p>
        </w:tc>
        <w:tc>
          <w:tcPr>
            <w:tcW w:w="1270" w:type="dxa"/>
          </w:tcPr>
          <w:p>
            <w:pPr>
              <w:pStyle w:val="19"/>
              <w:spacing w:before="58"/>
              <w:ind w:left="12" w:right="1"/>
              <w:rPr>
                <w:rFonts w:ascii="Times New Roman"/>
                <w:sz w:val="21"/>
              </w:rPr>
            </w:pPr>
            <w:r>
              <w:rPr>
                <w:rFonts w:ascii="Times New Roman"/>
                <w:sz w:val="21"/>
              </w:rPr>
              <w:t>7.13</w:t>
            </w:r>
          </w:p>
        </w:tc>
        <w:tc>
          <w:tcPr>
            <w:tcW w:w="1271" w:type="dxa"/>
          </w:tcPr>
          <w:p>
            <w:pPr>
              <w:pStyle w:val="19"/>
              <w:spacing w:before="58"/>
              <w:ind w:left="87" w:right="78"/>
              <w:rPr>
                <w:rFonts w:ascii="Times New Roman"/>
                <w:sz w:val="21"/>
              </w:rPr>
            </w:pPr>
            <w:r>
              <w:rPr>
                <w:rFonts w:ascii="Times New Roman"/>
                <w:sz w:val="21"/>
              </w:rPr>
              <w:t>7.16</w:t>
            </w:r>
          </w:p>
        </w:tc>
        <w:tc>
          <w:tcPr>
            <w:tcW w:w="822" w:type="dxa"/>
          </w:tcPr>
          <w:p>
            <w:pPr>
              <w:pStyle w:val="19"/>
              <w:spacing w:before="42"/>
              <w:ind w:left="74" w:right="68"/>
              <w:rPr>
                <w:sz w:val="21"/>
              </w:rPr>
            </w:pPr>
            <w:r>
              <w:rPr>
                <w:sz w:val="21"/>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9"/>
              <w:spacing w:before="41"/>
              <w:ind w:left="5"/>
              <w:rPr>
                <w:sz w:val="21"/>
              </w:rPr>
            </w:pPr>
            <w:r>
              <w:rPr>
                <w:sz w:val="21"/>
              </w:rPr>
              <w:t>氨氮</w:t>
            </w:r>
          </w:p>
        </w:tc>
        <w:tc>
          <w:tcPr>
            <w:tcW w:w="1270" w:type="dxa"/>
          </w:tcPr>
          <w:p>
            <w:pPr>
              <w:pStyle w:val="19"/>
              <w:spacing w:before="58"/>
              <w:ind w:left="11" w:right="1"/>
              <w:rPr>
                <w:rFonts w:ascii="Times New Roman"/>
                <w:sz w:val="21"/>
              </w:rPr>
            </w:pPr>
            <w:r>
              <w:rPr>
                <w:rFonts w:ascii="Times New Roman"/>
                <w:sz w:val="21"/>
              </w:rPr>
              <w:t>0.025L</w:t>
            </w:r>
          </w:p>
        </w:tc>
        <w:tc>
          <w:tcPr>
            <w:tcW w:w="1270" w:type="dxa"/>
          </w:tcPr>
          <w:p>
            <w:pPr>
              <w:pStyle w:val="19"/>
              <w:spacing w:before="58"/>
              <w:ind w:left="11" w:right="1"/>
              <w:rPr>
                <w:rFonts w:ascii="Times New Roman"/>
                <w:sz w:val="21"/>
              </w:rPr>
            </w:pPr>
            <w:r>
              <w:rPr>
                <w:rFonts w:ascii="Times New Roman"/>
                <w:sz w:val="21"/>
              </w:rPr>
              <w:t>0.204</w:t>
            </w:r>
          </w:p>
        </w:tc>
        <w:tc>
          <w:tcPr>
            <w:tcW w:w="1270" w:type="dxa"/>
          </w:tcPr>
          <w:p>
            <w:pPr>
              <w:pStyle w:val="19"/>
              <w:spacing w:before="58"/>
              <w:ind w:left="11" w:right="1"/>
              <w:rPr>
                <w:rFonts w:ascii="Times New Roman"/>
                <w:sz w:val="21"/>
              </w:rPr>
            </w:pPr>
            <w:r>
              <w:rPr>
                <w:rFonts w:ascii="Times New Roman"/>
                <w:sz w:val="21"/>
              </w:rPr>
              <w:t>0.153</w:t>
            </w:r>
          </w:p>
        </w:tc>
        <w:tc>
          <w:tcPr>
            <w:tcW w:w="1270" w:type="dxa"/>
          </w:tcPr>
          <w:p>
            <w:pPr>
              <w:pStyle w:val="19"/>
              <w:spacing w:before="58"/>
              <w:ind w:left="12" w:right="1"/>
              <w:rPr>
                <w:rFonts w:ascii="Times New Roman"/>
                <w:sz w:val="21"/>
              </w:rPr>
            </w:pPr>
            <w:r>
              <w:rPr>
                <w:rFonts w:ascii="Times New Roman"/>
                <w:sz w:val="21"/>
              </w:rPr>
              <w:t>0.167</w:t>
            </w:r>
          </w:p>
        </w:tc>
        <w:tc>
          <w:tcPr>
            <w:tcW w:w="1271" w:type="dxa"/>
          </w:tcPr>
          <w:p>
            <w:pPr>
              <w:pStyle w:val="19"/>
              <w:spacing w:before="58"/>
              <w:ind w:left="87" w:right="78"/>
              <w:rPr>
                <w:rFonts w:ascii="Times New Roman"/>
                <w:sz w:val="21"/>
              </w:rPr>
            </w:pPr>
            <w:r>
              <w:rPr>
                <w:rFonts w:ascii="Times New Roman"/>
                <w:sz w:val="21"/>
              </w:rPr>
              <w:t>0.137</w:t>
            </w:r>
          </w:p>
        </w:tc>
        <w:tc>
          <w:tcPr>
            <w:tcW w:w="822" w:type="dxa"/>
          </w:tcPr>
          <w:p>
            <w:pPr>
              <w:pStyle w:val="19"/>
              <w:spacing w:before="58"/>
              <w:ind w:left="74" w:right="66"/>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9"/>
              <w:spacing w:before="41"/>
              <w:ind w:left="10"/>
              <w:rPr>
                <w:sz w:val="21"/>
              </w:rPr>
            </w:pPr>
            <w:r>
              <w:rPr>
                <w:sz w:val="21"/>
              </w:rPr>
              <w:t>硝酸盐</w:t>
            </w:r>
          </w:p>
        </w:tc>
        <w:tc>
          <w:tcPr>
            <w:tcW w:w="1270" w:type="dxa"/>
          </w:tcPr>
          <w:p>
            <w:pPr>
              <w:pStyle w:val="19"/>
              <w:spacing w:before="60"/>
              <w:ind w:left="10" w:right="1"/>
              <w:rPr>
                <w:rFonts w:ascii="Times New Roman"/>
                <w:sz w:val="21"/>
              </w:rPr>
            </w:pPr>
            <w:r>
              <w:rPr>
                <w:rFonts w:ascii="Times New Roman"/>
                <w:sz w:val="21"/>
              </w:rPr>
              <w:t>3.9</w:t>
            </w:r>
          </w:p>
        </w:tc>
        <w:tc>
          <w:tcPr>
            <w:tcW w:w="1270" w:type="dxa"/>
          </w:tcPr>
          <w:p>
            <w:pPr>
              <w:pStyle w:val="19"/>
              <w:spacing w:before="60"/>
              <w:ind w:left="9" w:right="1"/>
              <w:rPr>
                <w:rFonts w:ascii="Times New Roman"/>
                <w:sz w:val="21"/>
              </w:rPr>
            </w:pPr>
            <w:r>
              <w:rPr>
                <w:rFonts w:ascii="Times New Roman"/>
                <w:sz w:val="21"/>
              </w:rPr>
              <w:t>9.2</w:t>
            </w:r>
          </w:p>
        </w:tc>
        <w:tc>
          <w:tcPr>
            <w:tcW w:w="1270" w:type="dxa"/>
          </w:tcPr>
          <w:p>
            <w:pPr>
              <w:pStyle w:val="19"/>
              <w:spacing w:before="60"/>
              <w:ind w:left="13" w:right="1"/>
              <w:rPr>
                <w:rFonts w:ascii="Times New Roman"/>
                <w:sz w:val="21"/>
              </w:rPr>
            </w:pPr>
            <w:r>
              <w:rPr>
                <w:rFonts w:ascii="Times New Roman"/>
                <w:sz w:val="21"/>
              </w:rPr>
              <w:t>2.7</w:t>
            </w:r>
          </w:p>
        </w:tc>
        <w:tc>
          <w:tcPr>
            <w:tcW w:w="1270" w:type="dxa"/>
          </w:tcPr>
          <w:p>
            <w:pPr>
              <w:pStyle w:val="19"/>
              <w:spacing w:before="60"/>
              <w:ind w:left="12" w:right="1"/>
              <w:rPr>
                <w:rFonts w:ascii="Times New Roman"/>
                <w:sz w:val="21"/>
              </w:rPr>
            </w:pPr>
            <w:r>
              <w:rPr>
                <w:rFonts w:ascii="Times New Roman"/>
                <w:sz w:val="21"/>
              </w:rPr>
              <w:t>2.3</w:t>
            </w:r>
          </w:p>
        </w:tc>
        <w:tc>
          <w:tcPr>
            <w:tcW w:w="1271" w:type="dxa"/>
          </w:tcPr>
          <w:p>
            <w:pPr>
              <w:pStyle w:val="19"/>
              <w:spacing w:before="60"/>
              <w:ind w:left="87" w:right="78"/>
              <w:rPr>
                <w:rFonts w:ascii="Times New Roman"/>
                <w:sz w:val="21"/>
              </w:rPr>
            </w:pPr>
            <w:r>
              <w:rPr>
                <w:rFonts w:ascii="Times New Roman"/>
                <w:sz w:val="21"/>
              </w:rPr>
              <w:t>3.3</w:t>
            </w:r>
          </w:p>
        </w:tc>
        <w:tc>
          <w:tcPr>
            <w:tcW w:w="822" w:type="dxa"/>
          </w:tcPr>
          <w:p>
            <w:pPr>
              <w:pStyle w:val="19"/>
              <w:spacing w:before="60"/>
              <w:ind w:left="74" w:right="66"/>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9"/>
              <w:spacing w:before="40"/>
              <w:ind w:left="7"/>
              <w:rPr>
                <w:sz w:val="21"/>
              </w:rPr>
            </w:pPr>
            <w:r>
              <w:rPr>
                <w:sz w:val="21"/>
              </w:rPr>
              <w:t>亚硝酸盐</w:t>
            </w:r>
          </w:p>
        </w:tc>
        <w:tc>
          <w:tcPr>
            <w:tcW w:w="1270" w:type="dxa"/>
          </w:tcPr>
          <w:p>
            <w:pPr>
              <w:pStyle w:val="19"/>
              <w:spacing w:before="59"/>
              <w:ind w:left="11" w:right="1"/>
              <w:rPr>
                <w:rFonts w:ascii="Times New Roman"/>
                <w:sz w:val="21"/>
              </w:rPr>
            </w:pPr>
            <w:r>
              <w:rPr>
                <w:rFonts w:ascii="Times New Roman"/>
                <w:sz w:val="21"/>
              </w:rPr>
              <w:t>0.003L</w:t>
            </w:r>
          </w:p>
        </w:tc>
        <w:tc>
          <w:tcPr>
            <w:tcW w:w="1270" w:type="dxa"/>
          </w:tcPr>
          <w:p>
            <w:pPr>
              <w:pStyle w:val="19"/>
              <w:spacing w:before="59"/>
              <w:ind w:left="11" w:right="1"/>
              <w:rPr>
                <w:rFonts w:ascii="Times New Roman"/>
                <w:sz w:val="21"/>
              </w:rPr>
            </w:pPr>
            <w:r>
              <w:rPr>
                <w:rFonts w:ascii="Times New Roman"/>
                <w:sz w:val="21"/>
              </w:rPr>
              <w:t>0.023</w:t>
            </w:r>
          </w:p>
        </w:tc>
        <w:tc>
          <w:tcPr>
            <w:tcW w:w="1270" w:type="dxa"/>
          </w:tcPr>
          <w:p>
            <w:pPr>
              <w:pStyle w:val="19"/>
              <w:spacing w:before="59"/>
              <w:ind w:left="11" w:right="1"/>
              <w:rPr>
                <w:rFonts w:ascii="Times New Roman"/>
                <w:sz w:val="21"/>
              </w:rPr>
            </w:pPr>
            <w:r>
              <w:rPr>
                <w:rFonts w:ascii="Times New Roman"/>
                <w:sz w:val="21"/>
              </w:rPr>
              <w:t>0.029</w:t>
            </w:r>
          </w:p>
        </w:tc>
        <w:tc>
          <w:tcPr>
            <w:tcW w:w="1270" w:type="dxa"/>
          </w:tcPr>
          <w:p>
            <w:pPr>
              <w:pStyle w:val="19"/>
              <w:spacing w:before="59"/>
              <w:ind w:left="12" w:right="1"/>
              <w:rPr>
                <w:rFonts w:ascii="Times New Roman"/>
                <w:sz w:val="21"/>
              </w:rPr>
            </w:pPr>
            <w:r>
              <w:rPr>
                <w:rFonts w:ascii="Times New Roman"/>
                <w:sz w:val="21"/>
              </w:rPr>
              <w:t>0.02</w:t>
            </w:r>
          </w:p>
        </w:tc>
        <w:tc>
          <w:tcPr>
            <w:tcW w:w="1271" w:type="dxa"/>
          </w:tcPr>
          <w:p>
            <w:pPr>
              <w:pStyle w:val="19"/>
              <w:spacing w:before="59"/>
              <w:ind w:left="87" w:right="78"/>
              <w:rPr>
                <w:rFonts w:ascii="Times New Roman"/>
                <w:sz w:val="21"/>
              </w:rPr>
            </w:pPr>
            <w:r>
              <w:rPr>
                <w:rFonts w:ascii="Times New Roman"/>
                <w:sz w:val="21"/>
              </w:rPr>
              <w:t>0.017</w:t>
            </w:r>
          </w:p>
        </w:tc>
        <w:tc>
          <w:tcPr>
            <w:tcW w:w="822" w:type="dxa"/>
          </w:tcPr>
          <w:p>
            <w:pPr>
              <w:pStyle w:val="19"/>
              <w:spacing w:before="59"/>
              <w:ind w:left="74" w:right="66"/>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50" w:type="dxa"/>
            <w:vMerge w:val="continue"/>
            <w:tcBorders>
              <w:top w:val="nil"/>
            </w:tcBorders>
          </w:tcPr>
          <w:p>
            <w:pPr>
              <w:rPr>
                <w:sz w:val="2"/>
                <w:szCs w:val="2"/>
              </w:rPr>
            </w:pPr>
          </w:p>
        </w:tc>
        <w:tc>
          <w:tcPr>
            <w:tcW w:w="1072" w:type="dxa"/>
          </w:tcPr>
          <w:p>
            <w:pPr>
              <w:pStyle w:val="19"/>
              <w:spacing w:before="40"/>
              <w:ind w:left="10"/>
              <w:rPr>
                <w:sz w:val="21"/>
              </w:rPr>
            </w:pPr>
            <w:r>
              <w:rPr>
                <w:sz w:val="21"/>
              </w:rPr>
              <w:t>总硬度</w:t>
            </w:r>
          </w:p>
        </w:tc>
        <w:tc>
          <w:tcPr>
            <w:tcW w:w="1270" w:type="dxa"/>
          </w:tcPr>
          <w:p>
            <w:pPr>
              <w:pStyle w:val="19"/>
              <w:spacing w:before="59"/>
              <w:ind w:left="10" w:right="1"/>
              <w:rPr>
                <w:rFonts w:ascii="Times New Roman"/>
                <w:sz w:val="21"/>
              </w:rPr>
            </w:pPr>
            <w:r>
              <w:rPr>
                <w:rFonts w:ascii="Times New Roman"/>
                <w:sz w:val="21"/>
              </w:rPr>
              <w:t>229</w:t>
            </w:r>
          </w:p>
        </w:tc>
        <w:tc>
          <w:tcPr>
            <w:tcW w:w="1270" w:type="dxa"/>
          </w:tcPr>
          <w:p>
            <w:pPr>
              <w:pStyle w:val="19"/>
              <w:spacing w:before="59"/>
              <w:ind w:left="9" w:right="1"/>
              <w:rPr>
                <w:rFonts w:ascii="Times New Roman"/>
                <w:sz w:val="21"/>
              </w:rPr>
            </w:pPr>
            <w:r>
              <w:rPr>
                <w:rFonts w:ascii="Times New Roman"/>
                <w:sz w:val="21"/>
              </w:rPr>
              <w:t>159</w:t>
            </w:r>
          </w:p>
        </w:tc>
        <w:tc>
          <w:tcPr>
            <w:tcW w:w="1270" w:type="dxa"/>
          </w:tcPr>
          <w:p>
            <w:pPr>
              <w:pStyle w:val="19"/>
              <w:spacing w:before="59"/>
              <w:ind w:left="8" w:right="1"/>
              <w:rPr>
                <w:rFonts w:ascii="Times New Roman"/>
                <w:sz w:val="21"/>
              </w:rPr>
            </w:pPr>
            <w:r>
              <w:rPr>
                <w:rFonts w:ascii="Times New Roman"/>
                <w:sz w:val="21"/>
              </w:rPr>
              <w:t>102</w:t>
            </w:r>
          </w:p>
        </w:tc>
        <w:tc>
          <w:tcPr>
            <w:tcW w:w="1270" w:type="dxa"/>
          </w:tcPr>
          <w:p>
            <w:pPr>
              <w:pStyle w:val="19"/>
              <w:spacing w:before="59"/>
              <w:ind w:left="7" w:right="1"/>
              <w:rPr>
                <w:rFonts w:ascii="Times New Roman"/>
                <w:sz w:val="21"/>
              </w:rPr>
            </w:pPr>
            <w:r>
              <w:rPr>
                <w:rFonts w:ascii="Times New Roman"/>
                <w:sz w:val="21"/>
              </w:rPr>
              <w:t>112</w:t>
            </w:r>
          </w:p>
        </w:tc>
        <w:tc>
          <w:tcPr>
            <w:tcW w:w="1271" w:type="dxa"/>
          </w:tcPr>
          <w:p>
            <w:pPr>
              <w:pStyle w:val="19"/>
              <w:spacing w:before="59"/>
              <w:ind w:left="87" w:right="78"/>
              <w:rPr>
                <w:rFonts w:ascii="Times New Roman"/>
                <w:sz w:val="21"/>
              </w:rPr>
            </w:pPr>
            <w:r>
              <w:rPr>
                <w:rFonts w:ascii="Times New Roman"/>
                <w:sz w:val="21"/>
              </w:rPr>
              <w:t>109</w:t>
            </w:r>
          </w:p>
        </w:tc>
        <w:tc>
          <w:tcPr>
            <w:tcW w:w="822" w:type="dxa"/>
          </w:tcPr>
          <w:p>
            <w:pPr>
              <w:pStyle w:val="19"/>
              <w:spacing w:before="59"/>
              <w:ind w:left="74" w:right="66"/>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850" w:type="dxa"/>
            <w:vMerge w:val="continue"/>
            <w:tcBorders>
              <w:top w:val="nil"/>
            </w:tcBorders>
          </w:tcPr>
          <w:p>
            <w:pPr>
              <w:rPr>
                <w:sz w:val="2"/>
                <w:szCs w:val="2"/>
              </w:rPr>
            </w:pPr>
          </w:p>
        </w:tc>
        <w:tc>
          <w:tcPr>
            <w:tcW w:w="1072" w:type="dxa"/>
          </w:tcPr>
          <w:p>
            <w:pPr>
              <w:pStyle w:val="19"/>
              <w:spacing w:before="1"/>
              <w:ind w:left="7"/>
              <w:rPr>
                <w:sz w:val="21"/>
              </w:rPr>
            </w:pPr>
            <w:r>
              <w:rPr>
                <w:sz w:val="21"/>
              </w:rPr>
              <w:t>高锰酸盐指</w:t>
            </w:r>
          </w:p>
          <w:p>
            <w:pPr>
              <w:pStyle w:val="19"/>
              <w:spacing w:before="58"/>
              <w:ind w:left="7"/>
              <w:rPr>
                <w:sz w:val="21"/>
              </w:rPr>
            </w:pPr>
            <w:r>
              <w:rPr>
                <w:w w:val="99"/>
                <w:sz w:val="21"/>
              </w:rPr>
              <w:t>数</w:t>
            </w:r>
          </w:p>
        </w:tc>
        <w:tc>
          <w:tcPr>
            <w:tcW w:w="1270" w:type="dxa"/>
          </w:tcPr>
          <w:p>
            <w:pPr>
              <w:pStyle w:val="19"/>
              <w:spacing w:before="181"/>
              <w:ind w:left="10" w:right="1"/>
              <w:rPr>
                <w:rFonts w:ascii="Times New Roman"/>
                <w:sz w:val="21"/>
              </w:rPr>
            </w:pPr>
            <w:r>
              <w:rPr>
                <w:rFonts w:ascii="Times New Roman"/>
                <w:sz w:val="21"/>
              </w:rPr>
              <w:t>3.3</w:t>
            </w:r>
          </w:p>
        </w:tc>
        <w:tc>
          <w:tcPr>
            <w:tcW w:w="1270" w:type="dxa"/>
          </w:tcPr>
          <w:p>
            <w:pPr>
              <w:pStyle w:val="19"/>
              <w:spacing w:before="181"/>
              <w:ind w:left="9" w:right="1"/>
              <w:rPr>
                <w:rFonts w:ascii="Times New Roman"/>
                <w:sz w:val="21"/>
              </w:rPr>
            </w:pPr>
            <w:r>
              <w:rPr>
                <w:rFonts w:ascii="Times New Roman"/>
                <w:sz w:val="21"/>
              </w:rPr>
              <w:t>2.6</w:t>
            </w:r>
          </w:p>
        </w:tc>
        <w:tc>
          <w:tcPr>
            <w:tcW w:w="1270" w:type="dxa"/>
          </w:tcPr>
          <w:p>
            <w:pPr>
              <w:pStyle w:val="19"/>
              <w:spacing w:before="181"/>
              <w:ind w:left="13" w:right="1"/>
              <w:rPr>
                <w:rFonts w:ascii="Times New Roman"/>
                <w:sz w:val="21"/>
              </w:rPr>
            </w:pPr>
            <w:r>
              <w:rPr>
                <w:rFonts w:ascii="Times New Roman"/>
                <w:sz w:val="21"/>
              </w:rPr>
              <w:t>1.7</w:t>
            </w:r>
          </w:p>
        </w:tc>
        <w:tc>
          <w:tcPr>
            <w:tcW w:w="1270" w:type="dxa"/>
          </w:tcPr>
          <w:p>
            <w:pPr>
              <w:pStyle w:val="19"/>
              <w:spacing w:before="181"/>
              <w:ind w:left="6"/>
              <w:rPr>
                <w:rFonts w:ascii="Times New Roman"/>
                <w:sz w:val="21"/>
              </w:rPr>
            </w:pPr>
            <w:r>
              <w:rPr>
                <w:rFonts w:ascii="Times New Roman"/>
                <w:w w:val="99"/>
                <w:sz w:val="21"/>
              </w:rPr>
              <w:t>2</w:t>
            </w:r>
          </w:p>
        </w:tc>
        <w:tc>
          <w:tcPr>
            <w:tcW w:w="1271" w:type="dxa"/>
          </w:tcPr>
          <w:p>
            <w:pPr>
              <w:pStyle w:val="19"/>
              <w:spacing w:before="181"/>
              <w:ind w:left="87" w:right="78"/>
              <w:rPr>
                <w:rFonts w:ascii="Times New Roman"/>
                <w:sz w:val="21"/>
              </w:rPr>
            </w:pPr>
            <w:r>
              <w:rPr>
                <w:rFonts w:ascii="Times New Roman"/>
                <w:sz w:val="21"/>
              </w:rPr>
              <w:t>2.2</w:t>
            </w:r>
          </w:p>
        </w:tc>
        <w:tc>
          <w:tcPr>
            <w:tcW w:w="822" w:type="dxa"/>
          </w:tcPr>
          <w:p>
            <w:pPr>
              <w:pStyle w:val="19"/>
              <w:spacing w:before="181"/>
              <w:ind w:left="74" w:right="66"/>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850" w:type="dxa"/>
            <w:vMerge w:val="continue"/>
            <w:tcBorders>
              <w:top w:val="nil"/>
            </w:tcBorders>
          </w:tcPr>
          <w:p>
            <w:pPr>
              <w:rPr>
                <w:sz w:val="2"/>
                <w:szCs w:val="2"/>
              </w:rPr>
            </w:pPr>
          </w:p>
        </w:tc>
        <w:tc>
          <w:tcPr>
            <w:tcW w:w="1072" w:type="dxa"/>
          </w:tcPr>
          <w:p>
            <w:pPr>
              <w:pStyle w:val="19"/>
              <w:ind w:left="7"/>
              <w:rPr>
                <w:sz w:val="21"/>
              </w:rPr>
            </w:pPr>
            <w:r>
              <w:rPr>
                <w:sz w:val="21"/>
              </w:rPr>
              <w:t>溶解性总固</w:t>
            </w:r>
          </w:p>
          <w:p>
            <w:pPr>
              <w:pStyle w:val="19"/>
              <w:spacing w:before="57"/>
              <w:ind w:left="7"/>
              <w:rPr>
                <w:sz w:val="21"/>
              </w:rPr>
            </w:pPr>
            <w:r>
              <w:rPr>
                <w:w w:val="99"/>
                <w:sz w:val="21"/>
              </w:rPr>
              <w:t>体</w:t>
            </w:r>
          </w:p>
        </w:tc>
        <w:tc>
          <w:tcPr>
            <w:tcW w:w="1270" w:type="dxa"/>
          </w:tcPr>
          <w:p>
            <w:pPr>
              <w:pStyle w:val="19"/>
              <w:spacing w:before="179"/>
              <w:ind w:left="10" w:right="1"/>
              <w:rPr>
                <w:rFonts w:ascii="Times New Roman"/>
                <w:sz w:val="21"/>
              </w:rPr>
            </w:pPr>
            <w:r>
              <w:rPr>
                <w:rFonts w:ascii="Times New Roman"/>
                <w:sz w:val="21"/>
              </w:rPr>
              <w:t>370</w:t>
            </w:r>
          </w:p>
        </w:tc>
        <w:tc>
          <w:tcPr>
            <w:tcW w:w="1270" w:type="dxa"/>
          </w:tcPr>
          <w:p>
            <w:pPr>
              <w:pStyle w:val="19"/>
              <w:spacing w:before="179"/>
              <w:ind w:left="9" w:right="1"/>
              <w:rPr>
                <w:rFonts w:ascii="Times New Roman"/>
                <w:sz w:val="21"/>
              </w:rPr>
            </w:pPr>
            <w:r>
              <w:rPr>
                <w:rFonts w:ascii="Times New Roman"/>
                <w:sz w:val="21"/>
              </w:rPr>
              <w:t>386</w:t>
            </w:r>
          </w:p>
        </w:tc>
        <w:tc>
          <w:tcPr>
            <w:tcW w:w="1270" w:type="dxa"/>
          </w:tcPr>
          <w:p>
            <w:pPr>
              <w:pStyle w:val="19"/>
              <w:spacing w:before="179"/>
              <w:ind w:left="8" w:right="1"/>
              <w:rPr>
                <w:rFonts w:ascii="Times New Roman"/>
                <w:sz w:val="21"/>
              </w:rPr>
            </w:pPr>
            <w:r>
              <w:rPr>
                <w:rFonts w:ascii="Times New Roman"/>
                <w:sz w:val="21"/>
              </w:rPr>
              <w:t>173</w:t>
            </w:r>
          </w:p>
        </w:tc>
        <w:tc>
          <w:tcPr>
            <w:tcW w:w="1270" w:type="dxa"/>
          </w:tcPr>
          <w:p>
            <w:pPr>
              <w:pStyle w:val="19"/>
              <w:spacing w:before="179"/>
              <w:ind w:left="7" w:right="1"/>
              <w:rPr>
                <w:rFonts w:ascii="Times New Roman"/>
                <w:sz w:val="21"/>
              </w:rPr>
            </w:pPr>
            <w:r>
              <w:rPr>
                <w:rFonts w:ascii="Times New Roman"/>
                <w:sz w:val="21"/>
              </w:rPr>
              <w:t>167</w:t>
            </w:r>
          </w:p>
        </w:tc>
        <w:tc>
          <w:tcPr>
            <w:tcW w:w="1271" w:type="dxa"/>
          </w:tcPr>
          <w:p>
            <w:pPr>
              <w:pStyle w:val="19"/>
              <w:spacing w:before="179"/>
              <w:ind w:left="87" w:right="78"/>
              <w:rPr>
                <w:rFonts w:ascii="Times New Roman"/>
                <w:sz w:val="21"/>
              </w:rPr>
            </w:pPr>
            <w:r>
              <w:rPr>
                <w:rFonts w:ascii="Times New Roman"/>
                <w:sz w:val="21"/>
              </w:rPr>
              <w:t>230</w:t>
            </w:r>
          </w:p>
        </w:tc>
        <w:tc>
          <w:tcPr>
            <w:tcW w:w="822" w:type="dxa"/>
          </w:tcPr>
          <w:p>
            <w:pPr>
              <w:pStyle w:val="19"/>
              <w:spacing w:before="179"/>
              <w:ind w:left="74" w:right="66"/>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50" w:type="dxa"/>
            <w:vMerge w:val="continue"/>
            <w:tcBorders>
              <w:top w:val="nil"/>
            </w:tcBorders>
          </w:tcPr>
          <w:p>
            <w:pPr>
              <w:rPr>
                <w:sz w:val="2"/>
                <w:szCs w:val="2"/>
              </w:rPr>
            </w:pPr>
          </w:p>
        </w:tc>
        <w:tc>
          <w:tcPr>
            <w:tcW w:w="1072" w:type="dxa"/>
          </w:tcPr>
          <w:p>
            <w:pPr>
              <w:pStyle w:val="19"/>
              <w:spacing w:before="40"/>
              <w:ind w:left="7"/>
              <w:rPr>
                <w:sz w:val="21"/>
              </w:rPr>
            </w:pPr>
            <w:r>
              <w:rPr>
                <w:w w:val="99"/>
                <w:sz w:val="21"/>
              </w:rPr>
              <w:t>铁</w:t>
            </w:r>
          </w:p>
        </w:tc>
        <w:tc>
          <w:tcPr>
            <w:tcW w:w="1270" w:type="dxa"/>
          </w:tcPr>
          <w:p>
            <w:pPr>
              <w:pStyle w:val="19"/>
              <w:spacing w:before="59"/>
              <w:ind w:left="9" w:right="1"/>
              <w:rPr>
                <w:rFonts w:ascii="Times New Roman"/>
                <w:sz w:val="21"/>
              </w:rPr>
            </w:pPr>
            <w:r>
              <w:rPr>
                <w:rFonts w:ascii="Times New Roman"/>
                <w:sz w:val="21"/>
              </w:rPr>
              <w:t>0.03L</w:t>
            </w:r>
          </w:p>
        </w:tc>
        <w:tc>
          <w:tcPr>
            <w:tcW w:w="1270" w:type="dxa"/>
          </w:tcPr>
          <w:p>
            <w:pPr>
              <w:pStyle w:val="19"/>
              <w:spacing w:before="59"/>
              <w:ind w:left="9" w:right="1"/>
              <w:rPr>
                <w:rFonts w:ascii="Times New Roman"/>
                <w:sz w:val="21"/>
              </w:rPr>
            </w:pPr>
            <w:r>
              <w:rPr>
                <w:rFonts w:ascii="Times New Roman"/>
                <w:sz w:val="21"/>
              </w:rPr>
              <w:t>0.31</w:t>
            </w:r>
          </w:p>
        </w:tc>
        <w:tc>
          <w:tcPr>
            <w:tcW w:w="1270" w:type="dxa"/>
          </w:tcPr>
          <w:p>
            <w:pPr>
              <w:pStyle w:val="19"/>
              <w:spacing w:before="59"/>
              <w:ind w:left="8" w:right="1"/>
              <w:rPr>
                <w:rFonts w:ascii="Times New Roman"/>
                <w:sz w:val="21"/>
              </w:rPr>
            </w:pPr>
            <w:r>
              <w:rPr>
                <w:rFonts w:ascii="Times New Roman"/>
                <w:sz w:val="21"/>
              </w:rPr>
              <w:t>0.12</w:t>
            </w:r>
          </w:p>
        </w:tc>
        <w:tc>
          <w:tcPr>
            <w:tcW w:w="1270" w:type="dxa"/>
          </w:tcPr>
          <w:p>
            <w:pPr>
              <w:pStyle w:val="19"/>
              <w:spacing w:before="59"/>
              <w:ind w:left="12" w:right="1"/>
              <w:rPr>
                <w:rFonts w:ascii="Times New Roman"/>
                <w:sz w:val="21"/>
              </w:rPr>
            </w:pPr>
            <w:r>
              <w:rPr>
                <w:rFonts w:ascii="Times New Roman"/>
                <w:sz w:val="21"/>
              </w:rPr>
              <w:t>0.08</w:t>
            </w:r>
          </w:p>
        </w:tc>
        <w:tc>
          <w:tcPr>
            <w:tcW w:w="1271" w:type="dxa"/>
          </w:tcPr>
          <w:p>
            <w:pPr>
              <w:pStyle w:val="19"/>
              <w:spacing w:before="59"/>
              <w:ind w:left="87" w:right="78"/>
              <w:rPr>
                <w:rFonts w:ascii="Times New Roman"/>
                <w:sz w:val="21"/>
              </w:rPr>
            </w:pPr>
            <w:r>
              <w:rPr>
                <w:rFonts w:ascii="Times New Roman"/>
                <w:sz w:val="21"/>
              </w:rPr>
              <w:t>0.1</w:t>
            </w:r>
          </w:p>
        </w:tc>
        <w:tc>
          <w:tcPr>
            <w:tcW w:w="822" w:type="dxa"/>
          </w:tcPr>
          <w:p>
            <w:pPr>
              <w:pStyle w:val="19"/>
              <w:spacing w:before="59"/>
              <w:ind w:left="74" w:right="66"/>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9"/>
              <w:spacing w:before="42"/>
              <w:ind w:left="7"/>
              <w:rPr>
                <w:sz w:val="21"/>
              </w:rPr>
            </w:pPr>
            <w:r>
              <w:rPr>
                <w:w w:val="99"/>
                <w:sz w:val="21"/>
              </w:rPr>
              <w:t>锰</w:t>
            </w:r>
          </w:p>
        </w:tc>
        <w:tc>
          <w:tcPr>
            <w:tcW w:w="1270" w:type="dxa"/>
          </w:tcPr>
          <w:p>
            <w:pPr>
              <w:pStyle w:val="19"/>
              <w:spacing w:before="58"/>
              <w:ind w:left="10" w:right="1"/>
              <w:rPr>
                <w:rFonts w:ascii="Times New Roman"/>
                <w:sz w:val="21"/>
              </w:rPr>
            </w:pPr>
            <w:r>
              <w:rPr>
                <w:rFonts w:ascii="Times New Roman"/>
                <w:sz w:val="21"/>
              </w:rPr>
              <w:t>0.01</w:t>
            </w:r>
          </w:p>
        </w:tc>
        <w:tc>
          <w:tcPr>
            <w:tcW w:w="1270" w:type="dxa"/>
          </w:tcPr>
          <w:p>
            <w:pPr>
              <w:pStyle w:val="19"/>
              <w:spacing w:before="58"/>
              <w:ind w:left="9" w:right="1"/>
              <w:rPr>
                <w:rFonts w:ascii="Times New Roman"/>
                <w:sz w:val="21"/>
              </w:rPr>
            </w:pPr>
            <w:r>
              <w:rPr>
                <w:rFonts w:ascii="Times New Roman"/>
                <w:sz w:val="21"/>
              </w:rPr>
              <w:t>0.03</w:t>
            </w:r>
          </w:p>
        </w:tc>
        <w:tc>
          <w:tcPr>
            <w:tcW w:w="1270" w:type="dxa"/>
          </w:tcPr>
          <w:p>
            <w:pPr>
              <w:pStyle w:val="19"/>
              <w:spacing w:before="58"/>
              <w:ind w:left="8" w:right="1"/>
              <w:rPr>
                <w:rFonts w:ascii="Times New Roman"/>
                <w:sz w:val="21"/>
              </w:rPr>
            </w:pPr>
            <w:r>
              <w:rPr>
                <w:rFonts w:ascii="Times New Roman"/>
                <w:sz w:val="21"/>
              </w:rPr>
              <w:t>0.02</w:t>
            </w:r>
          </w:p>
        </w:tc>
        <w:tc>
          <w:tcPr>
            <w:tcW w:w="1270" w:type="dxa"/>
          </w:tcPr>
          <w:p>
            <w:pPr>
              <w:pStyle w:val="19"/>
              <w:spacing w:before="58"/>
              <w:ind w:left="12" w:right="1"/>
              <w:rPr>
                <w:rFonts w:ascii="Times New Roman"/>
                <w:sz w:val="21"/>
              </w:rPr>
            </w:pPr>
            <w:r>
              <w:rPr>
                <w:rFonts w:ascii="Times New Roman"/>
                <w:sz w:val="21"/>
              </w:rPr>
              <w:t>0.04</w:t>
            </w:r>
          </w:p>
        </w:tc>
        <w:tc>
          <w:tcPr>
            <w:tcW w:w="1271" w:type="dxa"/>
          </w:tcPr>
          <w:p>
            <w:pPr>
              <w:pStyle w:val="19"/>
              <w:spacing w:before="58"/>
              <w:ind w:left="87" w:right="78"/>
              <w:rPr>
                <w:rFonts w:ascii="Times New Roman"/>
                <w:sz w:val="21"/>
              </w:rPr>
            </w:pPr>
            <w:r>
              <w:rPr>
                <w:rFonts w:ascii="Times New Roman"/>
                <w:sz w:val="21"/>
              </w:rPr>
              <w:t>0.06</w:t>
            </w:r>
          </w:p>
        </w:tc>
        <w:tc>
          <w:tcPr>
            <w:tcW w:w="822" w:type="dxa"/>
          </w:tcPr>
          <w:p>
            <w:pPr>
              <w:pStyle w:val="19"/>
              <w:spacing w:before="58"/>
              <w:ind w:left="74" w:right="66"/>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850" w:type="dxa"/>
            <w:vMerge w:val="continue"/>
            <w:tcBorders>
              <w:top w:val="nil"/>
            </w:tcBorders>
          </w:tcPr>
          <w:p>
            <w:pPr>
              <w:rPr>
                <w:sz w:val="2"/>
                <w:szCs w:val="2"/>
              </w:rPr>
            </w:pPr>
          </w:p>
        </w:tc>
        <w:tc>
          <w:tcPr>
            <w:tcW w:w="1072" w:type="dxa"/>
          </w:tcPr>
          <w:p>
            <w:pPr>
              <w:pStyle w:val="19"/>
              <w:spacing w:before="41"/>
              <w:ind w:left="7"/>
              <w:rPr>
                <w:sz w:val="21"/>
              </w:rPr>
            </w:pPr>
            <w:r>
              <w:rPr>
                <w:w w:val="99"/>
                <w:sz w:val="21"/>
              </w:rPr>
              <w:t>铅</w:t>
            </w:r>
          </w:p>
        </w:tc>
        <w:tc>
          <w:tcPr>
            <w:tcW w:w="1270" w:type="dxa"/>
          </w:tcPr>
          <w:p>
            <w:pPr>
              <w:pStyle w:val="19"/>
              <w:spacing w:before="58"/>
              <w:ind w:left="11" w:right="1"/>
              <w:rPr>
                <w:rFonts w:ascii="Times New Roman"/>
                <w:sz w:val="21"/>
              </w:rPr>
            </w:pPr>
            <w:r>
              <w:rPr>
                <w:rFonts w:ascii="Times New Roman"/>
                <w:sz w:val="21"/>
              </w:rPr>
              <w:t>2.5L</w:t>
            </w:r>
          </w:p>
        </w:tc>
        <w:tc>
          <w:tcPr>
            <w:tcW w:w="1270" w:type="dxa"/>
          </w:tcPr>
          <w:p>
            <w:pPr>
              <w:pStyle w:val="19"/>
              <w:spacing w:before="58"/>
              <w:ind w:left="13" w:right="1"/>
              <w:rPr>
                <w:rFonts w:ascii="Times New Roman"/>
                <w:sz w:val="21"/>
              </w:rPr>
            </w:pPr>
            <w:r>
              <w:rPr>
                <w:rFonts w:ascii="Times New Roman"/>
                <w:sz w:val="21"/>
              </w:rPr>
              <w:t>2.5L</w:t>
            </w:r>
          </w:p>
        </w:tc>
        <w:tc>
          <w:tcPr>
            <w:tcW w:w="1270" w:type="dxa"/>
          </w:tcPr>
          <w:p>
            <w:pPr>
              <w:pStyle w:val="19"/>
              <w:spacing w:before="58"/>
              <w:ind w:left="12" w:right="1"/>
              <w:rPr>
                <w:rFonts w:ascii="Times New Roman"/>
                <w:sz w:val="21"/>
              </w:rPr>
            </w:pPr>
            <w:r>
              <w:rPr>
                <w:rFonts w:ascii="Times New Roman"/>
                <w:sz w:val="21"/>
              </w:rPr>
              <w:t>2.5L</w:t>
            </w:r>
          </w:p>
        </w:tc>
        <w:tc>
          <w:tcPr>
            <w:tcW w:w="1270" w:type="dxa"/>
          </w:tcPr>
          <w:p>
            <w:pPr>
              <w:pStyle w:val="19"/>
              <w:spacing w:before="58"/>
              <w:ind w:left="11" w:right="1"/>
              <w:rPr>
                <w:rFonts w:ascii="Times New Roman"/>
                <w:sz w:val="21"/>
              </w:rPr>
            </w:pPr>
            <w:r>
              <w:rPr>
                <w:rFonts w:ascii="Times New Roman"/>
                <w:sz w:val="21"/>
              </w:rPr>
              <w:t>2.5L</w:t>
            </w:r>
          </w:p>
        </w:tc>
        <w:tc>
          <w:tcPr>
            <w:tcW w:w="1271" w:type="dxa"/>
          </w:tcPr>
          <w:p>
            <w:pPr>
              <w:pStyle w:val="19"/>
              <w:spacing w:before="58"/>
              <w:ind w:left="87" w:right="78"/>
              <w:rPr>
                <w:rFonts w:ascii="Times New Roman"/>
                <w:sz w:val="21"/>
              </w:rPr>
            </w:pPr>
            <w:r>
              <w:rPr>
                <w:rFonts w:ascii="Times New Roman"/>
                <w:sz w:val="21"/>
              </w:rPr>
              <w:t>2.5L</w:t>
            </w:r>
          </w:p>
        </w:tc>
        <w:tc>
          <w:tcPr>
            <w:tcW w:w="822" w:type="dxa"/>
          </w:tcPr>
          <w:p>
            <w:pPr>
              <w:pStyle w:val="19"/>
              <w:spacing w:before="58"/>
              <w:ind w:left="74" w:right="66"/>
              <w:rPr>
                <w:rFonts w:ascii="Times New Roman" w:hAnsi="Times New Roman"/>
                <w:sz w:val="21"/>
              </w:rPr>
            </w:pPr>
            <w:r>
              <w:rPr>
                <w:rFonts w:ascii="Times New Roman" w:hAnsi="Times New Roman"/>
                <w:sz w:val="21"/>
              </w:rPr>
              <w:t>μg/L</w:t>
            </w:r>
          </w:p>
        </w:tc>
      </w:tr>
    </w:tbl>
    <w:p>
      <w:pPr>
        <w:spacing w:after="0"/>
        <w:rPr>
          <w:rFonts w:ascii="Times New Roman" w:hAnsi="Times New Roman"/>
          <w:sz w:val="21"/>
        </w:rPr>
        <w:sectPr>
          <w:type w:val="continuous"/>
          <w:pgSz w:w="11910" w:h="16840"/>
          <w:pgMar w:top="1580" w:right="0" w:bottom="280" w:left="0" w:header="720" w:footer="720" w:gutter="0"/>
        </w:sectPr>
      </w:pPr>
    </w:p>
    <w:tbl>
      <w:tblPr>
        <w:tblStyle w:val="15"/>
        <w:tblW w:w="0" w:type="auto"/>
        <w:tblInd w:w="14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1072"/>
        <w:gridCol w:w="1270"/>
        <w:gridCol w:w="1270"/>
        <w:gridCol w:w="1270"/>
        <w:gridCol w:w="1270"/>
        <w:gridCol w:w="1271"/>
        <w:gridCol w:w="8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restart"/>
          </w:tcPr>
          <w:p>
            <w:pPr>
              <w:pStyle w:val="19"/>
              <w:jc w:val="left"/>
              <w:rPr>
                <w:rFonts w:ascii="Times New Roman"/>
                <w:sz w:val="20"/>
              </w:rPr>
            </w:pPr>
          </w:p>
        </w:tc>
        <w:tc>
          <w:tcPr>
            <w:tcW w:w="1072" w:type="dxa"/>
          </w:tcPr>
          <w:p>
            <w:pPr>
              <w:pStyle w:val="19"/>
              <w:spacing w:before="41"/>
              <w:ind w:left="10"/>
              <w:rPr>
                <w:sz w:val="21"/>
              </w:rPr>
            </w:pPr>
            <w:r>
              <w:rPr>
                <w:sz w:val="21"/>
              </w:rPr>
              <w:t>六价铬</w:t>
            </w:r>
          </w:p>
        </w:tc>
        <w:tc>
          <w:tcPr>
            <w:tcW w:w="1270" w:type="dxa"/>
          </w:tcPr>
          <w:p>
            <w:pPr>
              <w:pStyle w:val="19"/>
              <w:spacing w:before="59"/>
              <w:ind w:right="322"/>
              <w:jc w:val="right"/>
              <w:rPr>
                <w:rFonts w:ascii="Times New Roman"/>
                <w:sz w:val="21"/>
              </w:rPr>
            </w:pPr>
            <w:r>
              <w:rPr>
                <w:rFonts w:ascii="Times New Roman"/>
                <w:w w:val="95"/>
                <w:sz w:val="21"/>
              </w:rPr>
              <w:t>0.004L</w:t>
            </w:r>
          </w:p>
        </w:tc>
        <w:tc>
          <w:tcPr>
            <w:tcW w:w="1270" w:type="dxa"/>
          </w:tcPr>
          <w:p>
            <w:pPr>
              <w:pStyle w:val="19"/>
              <w:spacing w:before="59"/>
              <w:ind w:left="11" w:right="1"/>
              <w:rPr>
                <w:rFonts w:ascii="Times New Roman"/>
                <w:sz w:val="21"/>
              </w:rPr>
            </w:pPr>
            <w:r>
              <w:rPr>
                <w:rFonts w:ascii="Times New Roman"/>
                <w:sz w:val="21"/>
              </w:rPr>
              <w:t>0.004L</w:t>
            </w:r>
          </w:p>
        </w:tc>
        <w:tc>
          <w:tcPr>
            <w:tcW w:w="1270" w:type="dxa"/>
          </w:tcPr>
          <w:p>
            <w:pPr>
              <w:pStyle w:val="19"/>
              <w:spacing w:before="59"/>
              <w:ind w:left="10" w:right="1"/>
              <w:rPr>
                <w:rFonts w:ascii="Times New Roman"/>
                <w:sz w:val="21"/>
              </w:rPr>
            </w:pPr>
            <w:r>
              <w:rPr>
                <w:rFonts w:ascii="Times New Roman"/>
                <w:sz w:val="21"/>
              </w:rPr>
              <w:t>0.004L</w:t>
            </w:r>
          </w:p>
        </w:tc>
        <w:tc>
          <w:tcPr>
            <w:tcW w:w="1270" w:type="dxa"/>
          </w:tcPr>
          <w:p>
            <w:pPr>
              <w:pStyle w:val="19"/>
              <w:spacing w:before="59"/>
              <w:ind w:left="333"/>
              <w:jc w:val="left"/>
              <w:rPr>
                <w:rFonts w:ascii="Times New Roman"/>
                <w:sz w:val="21"/>
              </w:rPr>
            </w:pPr>
            <w:r>
              <w:rPr>
                <w:rFonts w:ascii="Times New Roman"/>
                <w:sz w:val="21"/>
              </w:rPr>
              <w:t>0.004L</w:t>
            </w:r>
          </w:p>
        </w:tc>
        <w:tc>
          <w:tcPr>
            <w:tcW w:w="1271" w:type="dxa"/>
          </w:tcPr>
          <w:p>
            <w:pPr>
              <w:pStyle w:val="19"/>
              <w:spacing w:before="59"/>
              <w:ind w:left="84" w:right="78"/>
              <w:rPr>
                <w:rFonts w:ascii="Times New Roman"/>
                <w:sz w:val="21"/>
              </w:rPr>
            </w:pPr>
            <w:r>
              <w:rPr>
                <w:rFonts w:ascii="Times New Roman"/>
                <w:sz w:val="21"/>
              </w:rPr>
              <w:t>0.004L</w:t>
            </w:r>
          </w:p>
        </w:tc>
        <w:tc>
          <w:tcPr>
            <w:tcW w:w="822" w:type="dxa"/>
          </w:tcPr>
          <w:p>
            <w:pPr>
              <w:pStyle w:val="19"/>
              <w:spacing w:before="59"/>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9"/>
              <w:spacing w:before="40"/>
              <w:ind w:left="10"/>
              <w:rPr>
                <w:sz w:val="21"/>
              </w:rPr>
            </w:pPr>
            <w:r>
              <w:rPr>
                <w:sz w:val="21"/>
              </w:rPr>
              <w:t>氯化物</w:t>
            </w:r>
          </w:p>
        </w:tc>
        <w:tc>
          <w:tcPr>
            <w:tcW w:w="1270" w:type="dxa"/>
          </w:tcPr>
          <w:p>
            <w:pPr>
              <w:pStyle w:val="19"/>
              <w:spacing w:before="59"/>
              <w:ind w:left="9"/>
              <w:rPr>
                <w:rFonts w:ascii="Times New Roman"/>
                <w:sz w:val="21"/>
              </w:rPr>
            </w:pPr>
            <w:r>
              <w:rPr>
                <w:rFonts w:ascii="Times New Roman"/>
                <w:w w:val="99"/>
                <w:sz w:val="21"/>
              </w:rPr>
              <w:t>9</w:t>
            </w:r>
          </w:p>
        </w:tc>
        <w:tc>
          <w:tcPr>
            <w:tcW w:w="1270" w:type="dxa"/>
          </w:tcPr>
          <w:p>
            <w:pPr>
              <w:pStyle w:val="19"/>
              <w:spacing w:before="59"/>
              <w:ind w:left="9" w:right="1"/>
              <w:rPr>
                <w:rFonts w:ascii="Times New Roman"/>
                <w:sz w:val="21"/>
              </w:rPr>
            </w:pPr>
            <w:r>
              <w:rPr>
                <w:rFonts w:ascii="Times New Roman"/>
                <w:sz w:val="21"/>
              </w:rPr>
              <w:t>23</w:t>
            </w:r>
          </w:p>
        </w:tc>
        <w:tc>
          <w:tcPr>
            <w:tcW w:w="1270" w:type="dxa"/>
          </w:tcPr>
          <w:p>
            <w:pPr>
              <w:pStyle w:val="19"/>
              <w:spacing w:before="59"/>
              <w:ind w:left="7"/>
              <w:rPr>
                <w:rFonts w:ascii="Times New Roman"/>
                <w:sz w:val="21"/>
              </w:rPr>
            </w:pPr>
            <w:r>
              <w:rPr>
                <w:rFonts w:ascii="Times New Roman"/>
                <w:w w:val="99"/>
                <w:sz w:val="21"/>
              </w:rPr>
              <w:t>7</w:t>
            </w:r>
          </w:p>
        </w:tc>
        <w:tc>
          <w:tcPr>
            <w:tcW w:w="1270" w:type="dxa"/>
          </w:tcPr>
          <w:p>
            <w:pPr>
              <w:pStyle w:val="19"/>
              <w:spacing w:before="59"/>
              <w:ind w:left="12" w:right="1"/>
              <w:rPr>
                <w:rFonts w:ascii="Times New Roman"/>
                <w:sz w:val="21"/>
              </w:rPr>
            </w:pPr>
            <w:r>
              <w:rPr>
                <w:rFonts w:ascii="Times New Roman"/>
                <w:sz w:val="21"/>
              </w:rPr>
              <w:t>7.03</w:t>
            </w:r>
          </w:p>
        </w:tc>
        <w:tc>
          <w:tcPr>
            <w:tcW w:w="1271" w:type="dxa"/>
          </w:tcPr>
          <w:p>
            <w:pPr>
              <w:pStyle w:val="19"/>
              <w:spacing w:before="59"/>
              <w:ind w:left="87" w:right="78"/>
              <w:rPr>
                <w:rFonts w:ascii="Times New Roman"/>
                <w:sz w:val="21"/>
              </w:rPr>
            </w:pPr>
            <w:r>
              <w:rPr>
                <w:rFonts w:ascii="Times New Roman"/>
                <w:sz w:val="21"/>
              </w:rPr>
              <w:t>6.13</w:t>
            </w:r>
          </w:p>
        </w:tc>
        <w:tc>
          <w:tcPr>
            <w:tcW w:w="822" w:type="dxa"/>
          </w:tcPr>
          <w:p>
            <w:pPr>
              <w:pStyle w:val="19"/>
              <w:spacing w:before="59"/>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50" w:type="dxa"/>
            <w:vMerge w:val="continue"/>
            <w:tcBorders>
              <w:top w:val="nil"/>
            </w:tcBorders>
          </w:tcPr>
          <w:p>
            <w:pPr>
              <w:rPr>
                <w:sz w:val="2"/>
                <w:szCs w:val="2"/>
              </w:rPr>
            </w:pPr>
          </w:p>
        </w:tc>
        <w:tc>
          <w:tcPr>
            <w:tcW w:w="1072" w:type="dxa"/>
          </w:tcPr>
          <w:p>
            <w:pPr>
              <w:pStyle w:val="19"/>
              <w:spacing w:before="40"/>
              <w:ind w:left="10"/>
              <w:rPr>
                <w:sz w:val="21"/>
              </w:rPr>
            </w:pPr>
            <w:r>
              <w:rPr>
                <w:sz w:val="21"/>
              </w:rPr>
              <w:t>硫酸盐</w:t>
            </w:r>
          </w:p>
        </w:tc>
        <w:tc>
          <w:tcPr>
            <w:tcW w:w="1270" w:type="dxa"/>
          </w:tcPr>
          <w:p>
            <w:pPr>
              <w:pStyle w:val="19"/>
              <w:spacing w:before="58"/>
              <w:ind w:left="10" w:right="1"/>
              <w:rPr>
                <w:rFonts w:ascii="Times New Roman"/>
                <w:sz w:val="21"/>
              </w:rPr>
            </w:pPr>
            <w:r>
              <w:rPr>
                <w:rFonts w:ascii="Times New Roman"/>
                <w:sz w:val="21"/>
              </w:rPr>
              <w:t>22</w:t>
            </w:r>
          </w:p>
        </w:tc>
        <w:tc>
          <w:tcPr>
            <w:tcW w:w="1270" w:type="dxa"/>
          </w:tcPr>
          <w:p>
            <w:pPr>
              <w:pStyle w:val="19"/>
              <w:spacing w:before="58"/>
              <w:ind w:left="9" w:right="1"/>
              <w:rPr>
                <w:rFonts w:ascii="Times New Roman"/>
                <w:sz w:val="21"/>
              </w:rPr>
            </w:pPr>
            <w:r>
              <w:rPr>
                <w:rFonts w:ascii="Times New Roman"/>
                <w:sz w:val="21"/>
              </w:rPr>
              <w:t>59</w:t>
            </w:r>
          </w:p>
        </w:tc>
        <w:tc>
          <w:tcPr>
            <w:tcW w:w="1270" w:type="dxa"/>
          </w:tcPr>
          <w:p>
            <w:pPr>
              <w:pStyle w:val="19"/>
              <w:spacing w:before="58"/>
              <w:ind w:left="8" w:right="1"/>
              <w:rPr>
                <w:rFonts w:ascii="Times New Roman"/>
                <w:sz w:val="21"/>
              </w:rPr>
            </w:pPr>
            <w:r>
              <w:rPr>
                <w:rFonts w:ascii="Times New Roman"/>
                <w:sz w:val="21"/>
              </w:rPr>
              <w:t>15</w:t>
            </w:r>
          </w:p>
        </w:tc>
        <w:tc>
          <w:tcPr>
            <w:tcW w:w="1270" w:type="dxa"/>
          </w:tcPr>
          <w:p>
            <w:pPr>
              <w:pStyle w:val="19"/>
              <w:spacing w:before="58"/>
              <w:ind w:left="12" w:right="1"/>
              <w:rPr>
                <w:rFonts w:ascii="Times New Roman"/>
                <w:sz w:val="21"/>
              </w:rPr>
            </w:pPr>
            <w:r>
              <w:rPr>
                <w:rFonts w:ascii="Times New Roman"/>
                <w:sz w:val="21"/>
              </w:rPr>
              <w:t>15.1</w:t>
            </w:r>
          </w:p>
        </w:tc>
        <w:tc>
          <w:tcPr>
            <w:tcW w:w="1271" w:type="dxa"/>
          </w:tcPr>
          <w:p>
            <w:pPr>
              <w:pStyle w:val="19"/>
              <w:spacing w:before="58"/>
              <w:ind w:left="87" w:right="78"/>
              <w:rPr>
                <w:rFonts w:ascii="Times New Roman"/>
                <w:sz w:val="21"/>
              </w:rPr>
            </w:pPr>
            <w:r>
              <w:rPr>
                <w:rFonts w:ascii="Times New Roman"/>
                <w:sz w:val="21"/>
              </w:rPr>
              <w:t>16</w:t>
            </w:r>
          </w:p>
        </w:tc>
        <w:tc>
          <w:tcPr>
            <w:tcW w:w="822" w:type="dxa"/>
          </w:tcPr>
          <w:p>
            <w:pPr>
              <w:pStyle w:val="19"/>
              <w:spacing w:before="58"/>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9"/>
              <w:spacing w:before="42"/>
              <w:ind w:left="7"/>
              <w:rPr>
                <w:sz w:val="21"/>
              </w:rPr>
            </w:pPr>
            <w:r>
              <w:rPr>
                <w:sz w:val="21"/>
              </w:rPr>
              <w:t>细菌总数</w:t>
            </w:r>
          </w:p>
        </w:tc>
        <w:tc>
          <w:tcPr>
            <w:tcW w:w="1270" w:type="dxa"/>
          </w:tcPr>
          <w:p>
            <w:pPr>
              <w:pStyle w:val="19"/>
              <w:spacing w:before="58"/>
              <w:ind w:left="10" w:right="1"/>
              <w:rPr>
                <w:rFonts w:ascii="Times New Roman"/>
                <w:sz w:val="21"/>
              </w:rPr>
            </w:pPr>
            <w:r>
              <w:rPr>
                <w:rFonts w:ascii="Times New Roman"/>
                <w:sz w:val="21"/>
              </w:rPr>
              <w:t>14</w:t>
            </w:r>
          </w:p>
        </w:tc>
        <w:tc>
          <w:tcPr>
            <w:tcW w:w="1270" w:type="dxa"/>
          </w:tcPr>
          <w:p>
            <w:pPr>
              <w:pStyle w:val="19"/>
              <w:spacing w:before="58"/>
              <w:ind w:left="9" w:right="1"/>
              <w:rPr>
                <w:rFonts w:ascii="Times New Roman"/>
                <w:sz w:val="21"/>
              </w:rPr>
            </w:pPr>
            <w:r>
              <w:rPr>
                <w:rFonts w:ascii="Times New Roman"/>
                <w:sz w:val="21"/>
              </w:rPr>
              <w:t>10</w:t>
            </w:r>
          </w:p>
        </w:tc>
        <w:tc>
          <w:tcPr>
            <w:tcW w:w="1270" w:type="dxa"/>
          </w:tcPr>
          <w:p>
            <w:pPr>
              <w:pStyle w:val="19"/>
              <w:spacing w:before="58"/>
              <w:ind w:left="8" w:right="1"/>
              <w:rPr>
                <w:rFonts w:ascii="Times New Roman"/>
                <w:sz w:val="21"/>
              </w:rPr>
            </w:pPr>
            <w:r>
              <w:rPr>
                <w:rFonts w:ascii="Times New Roman"/>
                <w:sz w:val="21"/>
              </w:rPr>
              <w:t>11</w:t>
            </w:r>
          </w:p>
        </w:tc>
        <w:tc>
          <w:tcPr>
            <w:tcW w:w="1270" w:type="dxa"/>
          </w:tcPr>
          <w:p>
            <w:pPr>
              <w:pStyle w:val="19"/>
              <w:spacing w:before="58"/>
              <w:ind w:left="12" w:right="1"/>
              <w:rPr>
                <w:rFonts w:ascii="Times New Roman"/>
                <w:sz w:val="21"/>
              </w:rPr>
            </w:pPr>
            <w:r>
              <w:rPr>
                <w:rFonts w:ascii="Times New Roman"/>
                <w:sz w:val="21"/>
              </w:rPr>
              <w:t>11</w:t>
            </w:r>
          </w:p>
        </w:tc>
        <w:tc>
          <w:tcPr>
            <w:tcW w:w="1271" w:type="dxa"/>
          </w:tcPr>
          <w:p>
            <w:pPr>
              <w:pStyle w:val="19"/>
              <w:spacing w:before="58"/>
              <w:ind w:left="87" w:right="78"/>
              <w:rPr>
                <w:rFonts w:ascii="Times New Roman"/>
                <w:sz w:val="21"/>
              </w:rPr>
            </w:pPr>
            <w:r>
              <w:rPr>
                <w:rFonts w:ascii="Times New Roman"/>
                <w:sz w:val="21"/>
              </w:rPr>
              <w:t>10</w:t>
            </w:r>
          </w:p>
        </w:tc>
        <w:tc>
          <w:tcPr>
            <w:tcW w:w="822" w:type="dxa"/>
          </w:tcPr>
          <w:p>
            <w:pPr>
              <w:pStyle w:val="19"/>
              <w:spacing w:before="58"/>
              <w:ind w:right="21"/>
              <w:jc w:val="right"/>
              <w:rPr>
                <w:rFonts w:ascii="Times New Roman"/>
                <w:sz w:val="21"/>
              </w:rPr>
            </w:pPr>
            <w:r>
              <w:rPr>
                <w:rFonts w:ascii="Times New Roman"/>
                <w:sz w:val="21"/>
              </w:rPr>
              <w:t>CFU/mL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9"/>
              <w:spacing w:before="41"/>
              <w:ind w:left="7"/>
              <w:rPr>
                <w:sz w:val="21"/>
              </w:rPr>
            </w:pPr>
            <w:r>
              <w:rPr>
                <w:sz w:val="21"/>
              </w:rPr>
              <w:t>总大肠菌群</w:t>
            </w:r>
          </w:p>
        </w:tc>
        <w:tc>
          <w:tcPr>
            <w:tcW w:w="1270" w:type="dxa"/>
          </w:tcPr>
          <w:p>
            <w:pPr>
              <w:pStyle w:val="19"/>
              <w:spacing w:before="58"/>
              <w:ind w:left="9" w:right="1"/>
              <w:rPr>
                <w:rFonts w:ascii="Times New Roman"/>
                <w:sz w:val="21"/>
              </w:rPr>
            </w:pPr>
            <w:r>
              <w:rPr>
                <w:rFonts w:ascii="Times New Roman"/>
                <w:sz w:val="21"/>
              </w:rPr>
              <w:t>20L</w:t>
            </w:r>
          </w:p>
        </w:tc>
        <w:tc>
          <w:tcPr>
            <w:tcW w:w="1270" w:type="dxa"/>
          </w:tcPr>
          <w:p>
            <w:pPr>
              <w:pStyle w:val="19"/>
              <w:spacing w:before="58"/>
              <w:ind w:left="13" w:right="1"/>
              <w:rPr>
                <w:rFonts w:ascii="Times New Roman"/>
                <w:sz w:val="21"/>
              </w:rPr>
            </w:pPr>
            <w:r>
              <w:rPr>
                <w:rFonts w:ascii="Times New Roman"/>
                <w:sz w:val="21"/>
              </w:rPr>
              <w:t>20L</w:t>
            </w:r>
          </w:p>
        </w:tc>
        <w:tc>
          <w:tcPr>
            <w:tcW w:w="1270" w:type="dxa"/>
          </w:tcPr>
          <w:p>
            <w:pPr>
              <w:pStyle w:val="19"/>
              <w:spacing w:before="58"/>
              <w:ind w:left="12" w:right="1"/>
              <w:rPr>
                <w:rFonts w:ascii="Times New Roman"/>
                <w:sz w:val="21"/>
              </w:rPr>
            </w:pPr>
            <w:r>
              <w:rPr>
                <w:rFonts w:ascii="Times New Roman"/>
                <w:sz w:val="21"/>
              </w:rPr>
              <w:t>20L</w:t>
            </w:r>
          </w:p>
        </w:tc>
        <w:tc>
          <w:tcPr>
            <w:tcW w:w="1270" w:type="dxa"/>
          </w:tcPr>
          <w:p>
            <w:pPr>
              <w:pStyle w:val="19"/>
              <w:spacing w:before="58"/>
              <w:ind w:left="11" w:right="1"/>
              <w:rPr>
                <w:rFonts w:ascii="Times New Roman"/>
                <w:sz w:val="21"/>
              </w:rPr>
            </w:pPr>
            <w:r>
              <w:rPr>
                <w:rFonts w:ascii="Times New Roman"/>
                <w:sz w:val="21"/>
              </w:rPr>
              <w:t>20L</w:t>
            </w:r>
          </w:p>
        </w:tc>
        <w:tc>
          <w:tcPr>
            <w:tcW w:w="1271" w:type="dxa"/>
          </w:tcPr>
          <w:p>
            <w:pPr>
              <w:pStyle w:val="19"/>
              <w:spacing w:before="58"/>
              <w:ind w:left="87" w:right="78"/>
              <w:rPr>
                <w:rFonts w:ascii="Times New Roman"/>
                <w:sz w:val="21"/>
              </w:rPr>
            </w:pPr>
            <w:r>
              <w:rPr>
                <w:rFonts w:ascii="Times New Roman"/>
                <w:sz w:val="21"/>
              </w:rPr>
              <w:t>20L</w:t>
            </w:r>
          </w:p>
        </w:tc>
        <w:tc>
          <w:tcPr>
            <w:tcW w:w="822" w:type="dxa"/>
          </w:tcPr>
          <w:p>
            <w:pPr>
              <w:pStyle w:val="19"/>
              <w:spacing w:before="58"/>
              <w:ind w:right="81"/>
              <w:jc w:val="right"/>
              <w:rPr>
                <w:rFonts w:ascii="Times New Roman"/>
                <w:sz w:val="21"/>
              </w:rPr>
            </w:pPr>
            <w:r>
              <w:rPr>
                <w:rFonts w:ascii="Times New Roman"/>
                <w:w w:val="95"/>
                <w:sz w:val="21"/>
              </w:rPr>
              <w:t>MPN/L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9"/>
              <w:spacing w:before="41"/>
              <w:ind w:left="7"/>
              <w:rPr>
                <w:sz w:val="21"/>
              </w:rPr>
            </w:pPr>
            <w:r>
              <w:rPr>
                <w:sz w:val="21"/>
              </w:rPr>
              <w:t>挥发性酚类</w:t>
            </w:r>
          </w:p>
        </w:tc>
        <w:tc>
          <w:tcPr>
            <w:tcW w:w="1270" w:type="dxa"/>
          </w:tcPr>
          <w:p>
            <w:pPr>
              <w:pStyle w:val="19"/>
              <w:spacing w:before="60"/>
              <w:ind w:right="269"/>
              <w:jc w:val="right"/>
              <w:rPr>
                <w:rFonts w:ascii="Times New Roman"/>
                <w:sz w:val="21"/>
              </w:rPr>
            </w:pPr>
            <w:r>
              <w:rPr>
                <w:rFonts w:ascii="Times New Roman"/>
                <w:w w:val="95"/>
                <w:sz w:val="21"/>
              </w:rPr>
              <w:t>0.0003L</w:t>
            </w:r>
          </w:p>
        </w:tc>
        <w:tc>
          <w:tcPr>
            <w:tcW w:w="1270" w:type="dxa"/>
          </w:tcPr>
          <w:p>
            <w:pPr>
              <w:pStyle w:val="19"/>
              <w:spacing w:before="60"/>
              <w:ind w:left="10" w:right="1"/>
              <w:rPr>
                <w:rFonts w:ascii="Times New Roman"/>
                <w:sz w:val="21"/>
              </w:rPr>
            </w:pPr>
            <w:r>
              <w:rPr>
                <w:rFonts w:ascii="Times New Roman"/>
                <w:sz w:val="21"/>
              </w:rPr>
              <w:t>0.0003L</w:t>
            </w:r>
          </w:p>
        </w:tc>
        <w:tc>
          <w:tcPr>
            <w:tcW w:w="1270" w:type="dxa"/>
          </w:tcPr>
          <w:p>
            <w:pPr>
              <w:pStyle w:val="19"/>
              <w:spacing w:before="60"/>
              <w:ind w:left="10" w:right="1"/>
              <w:rPr>
                <w:rFonts w:ascii="Times New Roman"/>
                <w:sz w:val="21"/>
              </w:rPr>
            </w:pPr>
            <w:r>
              <w:rPr>
                <w:rFonts w:ascii="Times New Roman"/>
                <w:sz w:val="21"/>
              </w:rPr>
              <w:t>0.0003L</w:t>
            </w:r>
          </w:p>
        </w:tc>
        <w:tc>
          <w:tcPr>
            <w:tcW w:w="1270" w:type="dxa"/>
          </w:tcPr>
          <w:p>
            <w:pPr>
              <w:pStyle w:val="19"/>
              <w:spacing w:before="60"/>
              <w:ind w:left="281"/>
              <w:jc w:val="left"/>
              <w:rPr>
                <w:rFonts w:ascii="Times New Roman"/>
                <w:sz w:val="21"/>
              </w:rPr>
            </w:pPr>
            <w:r>
              <w:rPr>
                <w:rFonts w:ascii="Times New Roman"/>
                <w:sz w:val="21"/>
              </w:rPr>
              <w:t>0.0003L</w:t>
            </w:r>
          </w:p>
        </w:tc>
        <w:tc>
          <w:tcPr>
            <w:tcW w:w="1271" w:type="dxa"/>
          </w:tcPr>
          <w:p>
            <w:pPr>
              <w:pStyle w:val="19"/>
              <w:spacing w:before="60"/>
              <w:ind w:left="89" w:right="78"/>
              <w:rPr>
                <w:rFonts w:ascii="Times New Roman"/>
                <w:sz w:val="21"/>
              </w:rPr>
            </w:pPr>
            <w:r>
              <w:rPr>
                <w:rFonts w:ascii="Times New Roman"/>
                <w:sz w:val="21"/>
              </w:rPr>
              <w:t>0.0003L</w:t>
            </w:r>
          </w:p>
        </w:tc>
        <w:tc>
          <w:tcPr>
            <w:tcW w:w="822" w:type="dxa"/>
          </w:tcPr>
          <w:p>
            <w:pPr>
              <w:pStyle w:val="19"/>
              <w:spacing w:before="60"/>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9"/>
              <w:spacing w:before="40"/>
              <w:ind w:left="10"/>
              <w:rPr>
                <w:sz w:val="21"/>
              </w:rPr>
            </w:pPr>
            <w:r>
              <w:rPr>
                <w:sz w:val="21"/>
              </w:rPr>
              <w:t>氰化物</w:t>
            </w:r>
          </w:p>
        </w:tc>
        <w:tc>
          <w:tcPr>
            <w:tcW w:w="1270" w:type="dxa"/>
          </w:tcPr>
          <w:p>
            <w:pPr>
              <w:pStyle w:val="19"/>
              <w:spacing w:before="59"/>
              <w:ind w:right="322"/>
              <w:jc w:val="right"/>
              <w:rPr>
                <w:rFonts w:ascii="Times New Roman"/>
                <w:sz w:val="21"/>
              </w:rPr>
            </w:pPr>
            <w:r>
              <w:rPr>
                <w:rFonts w:ascii="Times New Roman"/>
                <w:w w:val="95"/>
                <w:sz w:val="21"/>
              </w:rPr>
              <w:t>0.002L</w:t>
            </w:r>
          </w:p>
        </w:tc>
        <w:tc>
          <w:tcPr>
            <w:tcW w:w="1270" w:type="dxa"/>
          </w:tcPr>
          <w:p>
            <w:pPr>
              <w:pStyle w:val="19"/>
              <w:spacing w:before="59"/>
              <w:ind w:left="11" w:right="1"/>
              <w:rPr>
                <w:rFonts w:ascii="Times New Roman"/>
                <w:sz w:val="21"/>
              </w:rPr>
            </w:pPr>
            <w:r>
              <w:rPr>
                <w:rFonts w:ascii="Times New Roman"/>
                <w:sz w:val="21"/>
              </w:rPr>
              <w:t>0.002L</w:t>
            </w:r>
          </w:p>
        </w:tc>
        <w:tc>
          <w:tcPr>
            <w:tcW w:w="1270" w:type="dxa"/>
          </w:tcPr>
          <w:p>
            <w:pPr>
              <w:pStyle w:val="19"/>
              <w:spacing w:before="59"/>
              <w:ind w:left="10" w:right="1"/>
              <w:rPr>
                <w:rFonts w:ascii="Times New Roman"/>
                <w:sz w:val="21"/>
              </w:rPr>
            </w:pPr>
            <w:r>
              <w:rPr>
                <w:rFonts w:ascii="Times New Roman"/>
                <w:sz w:val="21"/>
              </w:rPr>
              <w:t>0.002L</w:t>
            </w:r>
          </w:p>
        </w:tc>
        <w:tc>
          <w:tcPr>
            <w:tcW w:w="1270" w:type="dxa"/>
          </w:tcPr>
          <w:p>
            <w:pPr>
              <w:pStyle w:val="19"/>
              <w:spacing w:before="59"/>
              <w:ind w:left="333"/>
              <w:jc w:val="left"/>
              <w:rPr>
                <w:rFonts w:ascii="Times New Roman"/>
                <w:sz w:val="21"/>
              </w:rPr>
            </w:pPr>
            <w:r>
              <w:rPr>
                <w:rFonts w:ascii="Times New Roman"/>
                <w:sz w:val="21"/>
              </w:rPr>
              <w:t>0.002L</w:t>
            </w:r>
          </w:p>
        </w:tc>
        <w:tc>
          <w:tcPr>
            <w:tcW w:w="1271" w:type="dxa"/>
          </w:tcPr>
          <w:p>
            <w:pPr>
              <w:pStyle w:val="19"/>
              <w:spacing w:before="59"/>
              <w:ind w:left="84" w:right="78"/>
              <w:rPr>
                <w:rFonts w:ascii="Times New Roman"/>
                <w:sz w:val="21"/>
              </w:rPr>
            </w:pPr>
            <w:r>
              <w:rPr>
                <w:rFonts w:ascii="Times New Roman"/>
                <w:sz w:val="21"/>
              </w:rPr>
              <w:t>0.002L</w:t>
            </w:r>
          </w:p>
        </w:tc>
        <w:tc>
          <w:tcPr>
            <w:tcW w:w="822" w:type="dxa"/>
          </w:tcPr>
          <w:p>
            <w:pPr>
              <w:pStyle w:val="19"/>
              <w:spacing w:before="59"/>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50" w:type="dxa"/>
            <w:vMerge w:val="continue"/>
            <w:tcBorders>
              <w:top w:val="nil"/>
            </w:tcBorders>
          </w:tcPr>
          <w:p>
            <w:pPr>
              <w:rPr>
                <w:sz w:val="2"/>
                <w:szCs w:val="2"/>
              </w:rPr>
            </w:pPr>
          </w:p>
        </w:tc>
        <w:tc>
          <w:tcPr>
            <w:tcW w:w="1072" w:type="dxa"/>
          </w:tcPr>
          <w:p>
            <w:pPr>
              <w:pStyle w:val="19"/>
              <w:spacing w:before="40"/>
              <w:ind w:left="7"/>
              <w:rPr>
                <w:sz w:val="21"/>
              </w:rPr>
            </w:pPr>
            <w:r>
              <w:rPr>
                <w:w w:val="99"/>
                <w:sz w:val="21"/>
              </w:rPr>
              <w:t>砷</w:t>
            </w:r>
          </w:p>
        </w:tc>
        <w:tc>
          <w:tcPr>
            <w:tcW w:w="1270" w:type="dxa"/>
          </w:tcPr>
          <w:p>
            <w:pPr>
              <w:pStyle w:val="19"/>
              <w:spacing w:before="59"/>
              <w:ind w:left="11" w:right="1"/>
              <w:rPr>
                <w:rFonts w:ascii="Times New Roman"/>
                <w:sz w:val="21"/>
              </w:rPr>
            </w:pPr>
            <w:r>
              <w:rPr>
                <w:rFonts w:ascii="Times New Roman"/>
                <w:sz w:val="21"/>
              </w:rPr>
              <w:t>0.3L</w:t>
            </w:r>
          </w:p>
        </w:tc>
        <w:tc>
          <w:tcPr>
            <w:tcW w:w="1270" w:type="dxa"/>
          </w:tcPr>
          <w:p>
            <w:pPr>
              <w:pStyle w:val="19"/>
              <w:spacing w:before="59"/>
              <w:ind w:left="13" w:right="1"/>
              <w:rPr>
                <w:rFonts w:ascii="Times New Roman"/>
                <w:sz w:val="21"/>
              </w:rPr>
            </w:pPr>
            <w:r>
              <w:rPr>
                <w:rFonts w:ascii="Times New Roman"/>
                <w:sz w:val="21"/>
              </w:rPr>
              <w:t>0.3L</w:t>
            </w:r>
          </w:p>
        </w:tc>
        <w:tc>
          <w:tcPr>
            <w:tcW w:w="1270" w:type="dxa"/>
          </w:tcPr>
          <w:p>
            <w:pPr>
              <w:pStyle w:val="19"/>
              <w:spacing w:before="59"/>
              <w:ind w:left="12" w:right="1"/>
              <w:rPr>
                <w:rFonts w:ascii="Times New Roman"/>
                <w:sz w:val="21"/>
              </w:rPr>
            </w:pPr>
            <w:r>
              <w:rPr>
                <w:rFonts w:ascii="Times New Roman"/>
                <w:sz w:val="21"/>
              </w:rPr>
              <w:t>0.3L</w:t>
            </w:r>
          </w:p>
        </w:tc>
        <w:tc>
          <w:tcPr>
            <w:tcW w:w="1270" w:type="dxa"/>
          </w:tcPr>
          <w:p>
            <w:pPr>
              <w:pStyle w:val="19"/>
              <w:spacing w:before="59"/>
              <w:ind w:left="11" w:right="1"/>
              <w:rPr>
                <w:rFonts w:ascii="Times New Roman"/>
                <w:sz w:val="21"/>
              </w:rPr>
            </w:pPr>
            <w:r>
              <w:rPr>
                <w:rFonts w:ascii="Times New Roman"/>
                <w:sz w:val="21"/>
              </w:rPr>
              <w:t>0.3L</w:t>
            </w:r>
          </w:p>
        </w:tc>
        <w:tc>
          <w:tcPr>
            <w:tcW w:w="1271" w:type="dxa"/>
          </w:tcPr>
          <w:p>
            <w:pPr>
              <w:pStyle w:val="19"/>
              <w:spacing w:before="59"/>
              <w:ind w:left="87" w:right="78"/>
              <w:rPr>
                <w:rFonts w:ascii="Times New Roman"/>
                <w:sz w:val="21"/>
              </w:rPr>
            </w:pPr>
            <w:r>
              <w:rPr>
                <w:rFonts w:ascii="Times New Roman"/>
                <w:sz w:val="21"/>
              </w:rPr>
              <w:t>0.3L</w:t>
            </w:r>
          </w:p>
        </w:tc>
        <w:tc>
          <w:tcPr>
            <w:tcW w:w="822" w:type="dxa"/>
          </w:tcPr>
          <w:p>
            <w:pPr>
              <w:pStyle w:val="19"/>
              <w:spacing w:before="59"/>
              <w:ind w:left="209"/>
              <w:jc w:val="left"/>
              <w:rPr>
                <w:rFonts w:ascii="Times New Roman" w:hAnsi="Times New Roman"/>
                <w:sz w:val="21"/>
              </w:rPr>
            </w:pPr>
            <w:r>
              <w:rPr>
                <w:rFonts w:ascii="Times New Roman" w:hAnsi="Times New Roman"/>
                <w:sz w:val="21"/>
              </w:rPr>
              <w:t>μg/L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9"/>
              <w:spacing w:before="40"/>
              <w:ind w:left="7"/>
              <w:rPr>
                <w:sz w:val="21"/>
              </w:rPr>
            </w:pPr>
            <w:r>
              <w:rPr>
                <w:w w:val="99"/>
                <w:sz w:val="21"/>
              </w:rPr>
              <w:t>汞</w:t>
            </w:r>
          </w:p>
        </w:tc>
        <w:tc>
          <w:tcPr>
            <w:tcW w:w="1270" w:type="dxa"/>
          </w:tcPr>
          <w:p>
            <w:pPr>
              <w:pStyle w:val="19"/>
              <w:spacing w:before="58"/>
              <w:ind w:right="375"/>
              <w:jc w:val="right"/>
              <w:rPr>
                <w:rFonts w:ascii="Times New Roman"/>
                <w:sz w:val="21"/>
              </w:rPr>
            </w:pPr>
            <w:r>
              <w:rPr>
                <w:rFonts w:ascii="Times New Roman"/>
                <w:sz w:val="21"/>
              </w:rPr>
              <w:t>0.04L</w:t>
            </w:r>
          </w:p>
        </w:tc>
        <w:tc>
          <w:tcPr>
            <w:tcW w:w="1270" w:type="dxa"/>
          </w:tcPr>
          <w:p>
            <w:pPr>
              <w:pStyle w:val="19"/>
              <w:spacing w:before="58"/>
              <w:ind w:left="11" w:right="1"/>
              <w:rPr>
                <w:rFonts w:ascii="Times New Roman"/>
                <w:sz w:val="21"/>
              </w:rPr>
            </w:pPr>
            <w:r>
              <w:rPr>
                <w:rFonts w:ascii="Times New Roman"/>
                <w:sz w:val="21"/>
              </w:rPr>
              <w:t>0.04L</w:t>
            </w:r>
          </w:p>
        </w:tc>
        <w:tc>
          <w:tcPr>
            <w:tcW w:w="1270" w:type="dxa"/>
          </w:tcPr>
          <w:p>
            <w:pPr>
              <w:pStyle w:val="19"/>
              <w:spacing w:before="58"/>
              <w:ind w:left="10" w:right="1"/>
              <w:rPr>
                <w:rFonts w:ascii="Times New Roman"/>
                <w:sz w:val="21"/>
              </w:rPr>
            </w:pPr>
            <w:r>
              <w:rPr>
                <w:rFonts w:ascii="Times New Roman"/>
                <w:sz w:val="21"/>
              </w:rPr>
              <w:t>0.04L</w:t>
            </w:r>
          </w:p>
        </w:tc>
        <w:tc>
          <w:tcPr>
            <w:tcW w:w="1270" w:type="dxa"/>
          </w:tcPr>
          <w:p>
            <w:pPr>
              <w:pStyle w:val="19"/>
              <w:spacing w:before="58"/>
              <w:ind w:left="386"/>
              <w:jc w:val="left"/>
              <w:rPr>
                <w:rFonts w:ascii="Times New Roman"/>
                <w:sz w:val="21"/>
              </w:rPr>
            </w:pPr>
            <w:r>
              <w:rPr>
                <w:rFonts w:ascii="Times New Roman"/>
                <w:sz w:val="21"/>
              </w:rPr>
              <w:t>0.04L</w:t>
            </w:r>
          </w:p>
        </w:tc>
        <w:tc>
          <w:tcPr>
            <w:tcW w:w="1271" w:type="dxa"/>
          </w:tcPr>
          <w:p>
            <w:pPr>
              <w:pStyle w:val="19"/>
              <w:spacing w:before="58"/>
              <w:ind w:left="89" w:right="78"/>
              <w:rPr>
                <w:rFonts w:ascii="Times New Roman"/>
                <w:sz w:val="21"/>
              </w:rPr>
            </w:pPr>
            <w:r>
              <w:rPr>
                <w:rFonts w:ascii="Times New Roman"/>
                <w:sz w:val="21"/>
              </w:rPr>
              <w:t>0.04L</w:t>
            </w:r>
          </w:p>
        </w:tc>
        <w:tc>
          <w:tcPr>
            <w:tcW w:w="822" w:type="dxa"/>
          </w:tcPr>
          <w:p>
            <w:pPr>
              <w:pStyle w:val="19"/>
              <w:spacing w:before="58"/>
              <w:ind w:left="209"/>
              <w:jc w:val="left"/>
              <w:rPr>
                <w:rFonts w:ascii="Times New Roman" w:hAnsi="Times New Roman"/>
                <w:sz w:val="21"/>
              </w:rPr>
            </w:pPr>
            <w:r>
              <w:rPr>
                <w:rFonts w:ascii="Times New Roman" w:hAnsi="Times New Roman"/>
                <w:sz w:val="21"/>
              </w:rPr>
              <w:t>μg/L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9"/>
              <w:spacing w:before="42"/>
              <w:ind w:left="10"/>
              <w:rPr>
                <w:sz w:val="21"/>
              </w:rPr>
            </w:pPr>
            <w:r>
              <w:rPr>
                <w:sz w:val="21"/>
              </w:rPr>
              <w:t>氟化物</w:t>
            </w:r>
          </w:p>
        </w:tc>
        <w:tc>
          <w:tcPr>
            <w:tcW w:w="1270" w:type="dxa"/>
          </w:tcPr>
          <w:p>
            <w:pPr>
              <w:pStyle w:val="19"/>
              <w:spacing w:before="58"/>
              <w:ind w:left="10" w:right="1"/>
              <w:rPr>
                <w:rFonts w:ascii="Times New Roman"/>
                <w:sz w:val="21"/>
              </w:rPr>
            </w:pPr>
            <w:r>
              <w:rPr>
                <w:rFonts w:ascii="Times New Roman"/>
                <w:sz w:val="21"/>
              </w:rPr>
              <w:t>0.23</w:t>
            </w:r>
          </w:p>
        </w:tc>
        <w:tc>
          <w:tcPr>
            <w:tcW w:w="1270" w:type="dxa"/>
          </w:tcPr>
          <w:p>
            <w:pPr>
              <w:pStyle w:val="19"/>
              <w:spacing w:before="58"/>
              <w:ind w:left="9" w:right="1"/>
              <w:rPr>
                <w:rFonts w:ascii="Times New Roman"/>
                <w:sz w:val="21"/>
              </w:rPr>
            </w:pPr>
            <w:r>
              <w:rPr>
                <w:rFonts w:ascii="Times New Roman"/>
                <w:sz w:val="21"/>
              </w:rPr>
              <w:t>0.24</w:t>
            </w:r>
          </w:p>
        </w:tc>
        <w:tc>
          <w:tcPr>
            <w:tcW w:w="1270" w:type="dxa"/>
          </w:tcPr>
          <w:p>
            <w:pPr>
              <w:pStyle w:val="19"/>
              <w:spacing w:before="58"/>
              <w:ind w:left="8" w:right="1"/>
              <w:rPr>
                <w:rFonts w:ascii="Times New Roman"/>
                <w:sz w:val="21"/>
              </w:rPr>
            </w:pPr>
            <w:r>
              <w:rPr>
                <w:rFonts w:ascii="Times New Roman"/>
                <w:sz w:val="21"/>
              </w:rPr>
              <w:t>0.26</w:t>
            </w:r>
          </w:p>
        </w:tc>
        <w:tc>
          <w:tcPr>
            <w:tcW w:w="1270" w:type="dxa"/>
          </w:tcPr>
          <w:p>
            <w:pPr>
              <w:pStyle w:val="19"/>
              <w:spacing w:before="58"/>
              <w:ind w:left="12" w:right="1"/>
              <w:rPr>
                <w:rFonts w:ascii="Times New Roman"/>
                <w:sz w:val="21"/>
              </w:rPr>
            </w:pPr>
            <w:r>
              <w:rPr>
                <w:rFonts w:ascii="Times New Roman"/>
                <w:sz w:val="21"/>
              </w:rPr>
              <w:t>0.22</w:t>
            </w:r>
          </w:p>
        </w:tc>
        <w:tc>
          <w:tcPr>
            <w:tcW w:w="1271" w:type="dxa"/>
          </w:tcPr>
          <w:p>
            <w:pPr>
              <w:pStyle w:val="19"/>
              <w:spacing w:before="58"/>
              <w:ind w:left="87" w:right="78"/>
              <w:rPr>
                <w:rFonts w:ascii="Times New Roman"/>
                <w:sz w:val="21"/>
              </w:rPr>
            </w:pPr>
            <w:r>
              <w:rPr>
                <w:rFonts w:ascii="Times New Roman"/>
                <w:sz w:val="21"/>
              </w:rPr>
              <w:t>0.21</w:t>
            </w:r>
          </w:p>
        </w:tc>
        <w:tc>
          <w:tcPr>
            <w:tcW w:w="822" w:type="dxa"/>
          </w:tcPr>
          <w:p>
            <w:pPr>
              <w:pStyle w:val="19"/>
              <w:spacing w:before="58"/>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50" w:type="dxa"/>
            <w:vMerge w:val="continue"/>
            <w:tcBorders>
              <w:top w:val="nil"/>
            </w:tcBorders>
          </w:tcPr>
          <w:p>
            <w:pPr>
              <w:rPr>
                <w:sz w:val="2"/>
                <w:szCs w:val="2"/>
              </w:rPr>
            </w:pPr>
          </w:p>
        </w:tc>
        <w:tc>
          <w:tcPr>
            <w:tcW w:w="1072" w:type="dxa"/>
          </w:tcPr>
          <w:p>
            <w:pPr>
              <w:pStyle w:val="19"/>
              <w:spacing w:before="41"/>
              <w:ind w:left="7"/>
              <w:rPr>
                <w:sz w:val="21"/>
              </w:rPr>
            </w:pPr>
            <w:r>
              <w:rPr>
                <w:w w:val="99"/>
                <w:sz w:val="21"/>
              </w:rPr>
              <w:t>镉</w:t>
            </w:r>
          </w:p>
        </w:tc>
        <w:tc>
          <w:tcPr>
            <w:tcW w:w="1270" w:type="dxa"/>
          </w:tcPr>
          <w:p>
            <w:pPr>
              <w:pStyle w:val="19"/>
              <w:spacing w:before="58"/>
              <w:ind w:left="11" w:right="1"/>
              <w:rPr>
                <w:rFonts w:ascii="Times New Roman"/>
                <w:sz w:val="21"/>
              </w:rPr>
            </w:pPr>
            <w:r>
              <w:rPr>
                <w:rFonts w:ascii="Times New Roman"/>
                <w:sz w:val="21"/>
              </w:rPr>
              <w:t>0.5L</w:t>
            </w:r>
          </w:p>
        </w:tc>
        <w:tc>
          <w:tcPr>
            <w:tcW w:w="1270" w:type="dxa"/>
          </w:tcPr>
          <w:p>
            <w:pPr>
              <w:pStyle w:val="19"/>
              <w:spacing w:before="58"/>
              <w:ind w:left="13" w:right="1"/>
              <w:rPr>
                <w:rFonts w:ascii="Times New Roman"/>
                <w:sz w:val="21"/>
              </w:rPr>
            </w:pPr>
            <w:r>
              <w:rPr>
                <w:rFonts w:ascii="Times New Roman"/>
                <w:sz w:val="21"/>
              </w:rPr>
              <w:t>0.5L</w:t>
            </w:r>
          </w:p>
        </w:tc>
        <w:tc>
          <w:tcPr>
            <w:tcW w:w="1270" w:type="dxa"/>
          </w:tcPr>
          <w:p>
            <w:pPr>
              <w:pStyle w:val="19"/>
              <w:spacing w:before="58"/>
              <w:ind w:left="12" w:right="1"/>
              <w:rPr>
                <w:rFonts w:ascii="Times New Roman"/>
                <w:sz w:val="21"/>
              </w:rPr>
            </w:pPr>
            <w:r>
              <w:rPr>
                <w:rFonts w:ascii="Times New Roman"/>
                <w:sz w:val="21"/>
              </w:rPr>
              <w:t>0.5L</w:t>
            </w:r>
          </w:p>
        </w:tc>
        <w:tc>
          <w:tcPr>
            <w:tcW w:w="1270" w:type="dxa"/>
          </w:tcPr>
          <w:p>
            <w:pPr>
              <w:pStyle w:val="19"/>
              <w:spacing w:before="58"/>
              <w:ind w:left="11" w:right="1"/>
              <w:rPr>
                <w:rFonts w:ascii="Times New Roman"/>
                <w:sz w:val="21"/>
              </w:rPr>
            </w:pPr>
            <w:r>
              <w:rPr>
                <w:rFonts w:ascii="Times New Roman"/>
                <w:sz w:val="21"/>
              </w:rPr>
              <w:t>0.5L</w:t>
            </w:r>
          </w:p>
        </w:tc>
        <w:tc>
          <w:tcPr>
            <w:tcW w:w="1271" w:type="dxa"/>
          </w:tcPr>
          <w:p>
            <w:pPr>
              <w:pStyle w:val="19"/>
              <w:spacing w:before="58"/>
              <w:ind w:left="87" w:right="78"/>
              <w:rPr>
                <w:rFonts w:ascii="Times New Roman"/>
                <w:sz w:val="21"/>
              </w:rPr>
            </w:pPr>
            <w:r>
              <w:rPr>
                <w:rFonts w:ascii="Times New Roman"/>
                <w:sz w:val="21"/>
              </w:rPr>
              <w:t>0.5L</w:t>
            </w:r>
          </w:p>
        </w:tc>
        <w:tc>
          <w:tcPr>
            <w:tcW w:w="822" w:type="dxa"/>
          </w:tcPr>
          <w:p>
            <w:pPr>
              <w:pStyle w:val="19"/>
              <w:spacing w:before="58"/>
              <w:ind w:left="209"/>
              <w:jc w:val="left"/>
              <w:rPr>
                <w:rFonts w:ascii="Times New Roman" w:hAnsi="Times New Roman"/>
                <w:sz w:val="21"/>
              </w:rPr>
            </w:pPr>
            <w:r>
              <w:rPr>
                <w:rFonts w:ascii="Times New Roman" w:hAnsi="Times New Roman"/>
                <w:sz w:val="21"/>
              </w:rPr>
              <w:t>μg/L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9"/>
              <w:spacing w:before="41"/>
              <w:ind w:left="10"/>
              <w:rPr>
                <w:sz w:val="21"/>
              </w:rPr>
            </w:pPr>
            <w:r>
              <w:rPr>
                <w:sz w:val="21"/>
              </w:rPr>
              <w:t>钾离子</w:t>
            </w:r>
          </w:p>
        </w:tc>
        <w:tc>
          <w:tcPr>
            <w:tcW w:w="1270" w:type="dxa"/>
          </w:tcPr>
          <w:p>
            <w:pPr>
              <w:pStyle w:val="19"/>
              <w:spacing w:before="60"/>
              <w:ind w:left="10" w:right="1"/>
              <w:rPr>
                <w:rFonts w:ascii="Times New Roman"/>
                <w:sz w:val="21"/>
              </w:rPr>
            </w:pPr>
            <w:r>
              <w:rPr>
                <w:rFonts w:ascii="Times New Roman"/>
                <w:sz w:val="21"/>
              </w:rPr>
              <w:t>1.9</w:t>
            </w:r>
          </w:p>
        </w:tc>
        <w:tc>
          <w:tcPr>
            <w:tcW w:w="1270" w:type="dxa"/>
          </w:tcPr>
          <w:p>
            <w:pPr>
              <w:pStyle w:val="19"/>
              <w:spacing w:before="60"/>
              <w:ind w:left="9" w:right="1"/>
              <w:rPr>
                <w:rFonts w:ascii="Times New Roman"/>
                <w:sz w:val="21"/>
              </w:rPr>
            </w:pPr>
            <w:r>
              <w:rPr>
                <w:rFonts w:ascii="Times New Roman"/>
                <w:sz w:val="21"/>
              </w:rPr>
              <w:t>2.36</w:t>
            </w:r>
          </w:p>
        </w:tc>
        <w:tc>
          <w:tcPr>
            <w:tcW w:w="1270" w:type="dxa"/>
          </w:tcPr>
          <w:p>
            <w:pPr>
              <w:pStyle w:val="19"/>
              <w:spacing w:before="60"/>
              <w:ind w:left="8" w:right="1"/>
              <w:rPr>
                <w:rFonts w:ascii="Times New Roman"/>
                <w:sz w:val="21"/>
              </w:rPr>
            </w:pPr>
            <w:r>
              <w:rPr>
                <w:rFonts w:ascii="Times New Roman"/>
                <w:sz w:val="21"/>
              </w:rPr>
              <w:t>1.46</w:t>
            </w:r>
          </w:p>
        </w:tc>
        <w:tc>
          <w:tcPr>
            <w:tcW w:w="1270" w:type="dxa"/>
          </w:tcPr>
          <w:p>
            <w:pPr>
              <w:pStyle w:val="19"/>
              <w:spacing w:before="60"/>
              <w:ind w:left="12" w:right="1"/>
              <w:rPr>
                <w:rFonts w:ascii="Times New Roman"/>
                <w:sz w:val="21"/>
              </w:rPr>
            </w:pPr>
            <w:r>
              <w:rPr>
                <w:rFonts w:ascii="Times New Roman"/>
                <w:sz w:val="21"/>
              </w:rPr>
              <w:t>1.51</w:t>
            </w:r>
          </w:p>
        </w:tc>
        <w:tc>
          <w:tcPr>
            <w:tcW w:w="1271" w:type="dxa"/>
          </w:tcPr>
          <w:p>
            <w:pPr>
              <w:pStyle w:val="19"/>
              <w:spacing w:before="60"/>
              <w:ind w:left="87" w:right="78"/>
              <w:rPr>
                <w:rFonts w:ascii="Times New Roman"/>
                <w:sz w:val="21"/>
              </w:rPr>
            </w:pPr>
            <w:r>
              <w:rPr>
                <w:rFonts w:ascii="Times New Roman"/>
                <w:sz w:val="21"/>
              </w:rPr>
              <w:t>1.32</w:t>
            </w:r>
          </w:p>
        </w:tc>
        <w:tc>
          <w:tcPr>
            <w:tcW w:w="822" w:type="dxa"/>
          </w:tcPr>
          <w:p>
            <w:pPr>
              <w:pStyle w:val="19"/>
              <w:spacing w:before="60"/>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50" w:type="dxa"/>
            <w:vMerge w:val="continue"/>
            <w:tcBorders>
              <w:top w:val="nil"/>
            </w:tcBorders>
          </w:tcPr>
          <w:p>
            <w:pPr>
              <w:rPr>
                <w:sz w:val="2"/>
                <w:szCs w:val="2"/>
              </w:rPr>
            </w:pPr>
          </w:p>
        </w:tc>
        <w:tc>
          <w:tcPr>
            <w:tcW w:w="1072" w:type="dxa"/>
          </w:tcPr>
          <w:p>
            <w:pPr>
              <w:pStyle w:val="19"/>
              <w:spacing w:before="40"/>
              <w:ind w:left="10"/>
              <w:rPr>
                <w:sz w:val="21"/>
              </w:rPr>
            </w:pPr>
            <w:r>
              <w:rPr>
                <w:sz w:val="21"/>
              </w:rPr>
              <w:t>钠离子</w:t>
            </w:r>
          </w:p>
        </w:tc>
        <w:tc>
          <w:tcPr>
            <w:tcW w:w="1270" w:type="dxa"/>
          </w:tcPr>
          <w:p>
            <w:pPr>
              <w:pStyle w:val="19"/>
              <w:spacing w:before="59"/>
              <w:ind w:left="10" w:right="1"/>
              <w:rPr>
                <w:rFonts w:ascii="Times New Roman"/>
                <w:sz w:val="21"/>
              </w:rPr>
            </w:pPr>
            <w:r>
              <w:rPr>
                <w:rFonts w:ascii="Times New Roman"/>
                <w:sz w:val="21"/>
              </w:rPr>
              <w:t>7.13</w:t>
            </w:r>
          </w:p>
        </w:tc>
        <w:tc>
          <w:tcPr>
            <w:tcW w:w="1270" w:type="dxa"/>
          </w:tcPr>
          <w:p>
            <w:pPr>
              <w:pStyle w:val="19"/>
              <w:spacing w:before="59"/>
              <w:ind w:left="9" w:right="1"/>
              <w:rPr>
                <w:rFonts w:ascii="Times New Roman"/>
                <w:sz w:val="21"/>
              </w:rPr>
            </w:pPr>
            <w:r>
              <w:rPr>
                <w:rFonts w:ascii="Times New Roman"/>
                <w:sz w:val="21"/>
              </w:rPr>
              <w:t>24</w:t>
            </w:r>
          </w:p>
        </w:tc>
        <w:tc>
          <w:tcPr>
            <w:tcW w:w="1270" w:type="dxa"/>
          </w:tcPr>
          <w:p>
            <w:pPr>
              <w:pStyle w:val="19"/>
              <w:spacing w:before="59"/>
              <w:ind w:left="8" w:right="1"/>
              <w:rPr>
                <w:rFonts w:ascii="Times New Roman"/>
                <w:sz w:val="21"/>
              </w:rPr>
            </w:pPr>
            <w:r>
              <w:rPr>
                <w:rFonts w:ascii="Times New Roman"/>
                <w:sz w:val="21"/>
              </w:rPr>
              <w:t>14</w:t>
            </w:r>
          </w:p>
        </w:tc>
        <w:tc>
          <w:tcPr>
            <w:tcW w:w="1270" w:type="dxa"/>
          </w:tcPr>
          <w:p>
            <w:pPr>
              <w:pStyle w:val="19"/>
              <w:spacing w:before="59"/>
              <w:ind w:left="12" w:right="1"/>
              <w:rPr>
                <w:rFonts w:ascii="Times New Roman"/>
                <w:sz w:val="21"/>
              </w:rPr>
            </w:pPr>
            <w:r>
              <w:rPr>
                <w:rFonts w:ascii="Times New Roman"/>
                <w:sz w:val="21"/>
              </w:rPr>
              <w:t>12.6</w:t>
            </w:r>
          </w:p>
        </w:tc>
        <w:tc>
          <w:tcPr>
            <w:tcW w:w="1271" w:type="dxa"/>
          </w:tcPr>
          <w:p>
            <w:pPr>
              <w:pStyle w:val="19"/>
              <w:spacing w:before="59"/>
              <w:ind w:left="87" w:right="78"/>
              <w:rPr>
                <w:rFonts w:ascii="Times New Roman"/>
                <w:sz w:val="21"/>
              </w:rPr>
            </w:pPr>
            <w:r>
              <w:rPr>
                <w:rFonts w:ascii="Times New Roman"/>
                <w:sz w:val="21"/>
              </w:rPr>
              <w:t>13.5</w:t>
            </w:r>
          </w:p>
        </w:tc>
        <w:tc>
          <w:tcPr>
            <w:tcW w:w="822" w:type="dxa"/>
          </w:tcPr>
          <w:p>
            <w:pPr>
              <w:pStyle w:val="19"/>
              <w:spacing w:before="59"/>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50" w:type="dxa"/>
            <w:vMerge w:val="continue"/>
            <w:tcBorders>
              <w:top w:val="nil"/>
            </w:tcBorders>
          </w:tcPr>
          <w:p>
            <w:pPr>
              <w:rPr>
                <w:sz w:val="2"/>
                <w:szCs w:val="2"/>
              </w:rPr>
            </w:pPr>
          </w:p>
        </w:tc>
        <w:tc>
          <w:tcPr>
            <w:tcW w:w="1072" w:type="dxa"/>
          </w:tcPr>
          <w:p>
            <w:pPr>
              <w:pStyle w:val="19"/>
              <w:spacing w:before="40"/>
              <w:ind w:left="10"/>
              <w:rPr>
                <w:sz w:val="21"/>
              </w:rPr>
            </w:pPr>
            <w:r>
              <w:rPr>
                <w:sz w:val="21"/>
              </w:rPr>
              <w:t>钙离子</w:t>
            </w:r>
          </w:p>
        </w:tc>
        <w:tc>
          <w:tcPr>
            <w:tcW w:w="1270" w:type="dxa"/>
          </w:tcPr>
          <w:p>
            <w:pPr>
              <w:pStyle w:val="19"/>
              <w:spacing w:before="59"/>
              <w:ind w:left="10" w:right="1"/>
              <w:rPr>
                <w:rFonts w:ascii="Times New Roman"/>
                <w:sz w:val="21"/>
              </w:rPr>
            </w:pPr>
            <w:r>
              <w:rPr>
                <w:rFonts w:ascii="Times New Roman"/>
                <w:sz w:val="21"/>
              </w:rPr>
              <w:t>59</w:t>
            </w:r>
          </w:p>
        </w:tc>
        <w:tc>
          <w:tcPr>
            <w:tcW w:w="1270" w:type="dxa"/>
          </w:tcPr>
          <w:p>
            <w:pPr>
              <w:pStyle w:val="19"/>
              <w:spacing w:before="59"/>
              <w:ind w:left="9" w:right="1"/>
              <w:rPr>
                <w:rFonts w:ascii="Times New Roman"/>
                <w:sz w:val="21"/>
              </w:rPr>
            </w:pPr>
            <w:r>
              <w:rPr>
                <w:rFonts w:ascii="Times New Roman"/>
                <w:sz w:val="21"/>
              </w:rPr>
              <w:t>51.8</w:t>
            </w:r>
          </w:p>
        </w:tc>
        <w:tc>
          <w:tcPr>
            <w:tcW w:w="1270" w:type="dxa"/>
          </w:tcPr>
          <w:p>
            <w:pPr>
              <w:pStyle w:val="19"/>
              <w:spacing w:before="59"/>
              <w:ind w:left="8" w:right="1"/>
              <w:rPr>
                <w:rFonts w:ascii="Times New Roman"/>
                <w:sz w:val="21"/>
              </w:rPr>
            </w:pPr>
            <w:r>
              <w:rPr>
                <w:rFonts w:ascii="Times New Roman"/>
                <w:sz w:val="21"/>
              </w:rPr>
              <w:t>23.5</w:t>
            </w:r>
          </w:p>
        </w:tc>
        <w:tc>
          <w:tcPr>
            <w:tcW w:w="1270" w:type="dxa"/>
          </w:tcPr>
          <w:p>
            <w:pPr>
              <w:pStyle w:val="19"/>
              <w:spacing w:before="59"/>
              <w:ind w:left="12" w:right="1"/>
              <w:rPr>
                <w:rFonts w:ascii="Times New Roman"/>
                <w:sz w:val="21"/>
              </w:rPr>
            </w:pPr>
            <w:r>
              <w:rPr>
                <w:rFonts w:ascii="Times New Roman"/>
                <w:sz w:val="21"/>
              </w:rPr>
              <w:t>23.8</w:t>
            </w:r>
          </w:p>
        </w:tc>
        <w:tc>
          <w:tcPr>
            <w:tcW w:w="1271" w:type="dxa"/>
          </w:tcPr>
          <w:p>
            <w:pPr>
              <w:pStyle w:val="19"/>
              <w:spacing w:before="59"/>
              <w:ind w:left="87" w:right="78"/>
              <w:rPr>
                <w:rFonts w:ascii="Times New Roman"/>
                <w:sz w:val="21"/>
              </w:rPr>
            </w:pPr>
            <w:r>
              <w:rPr>
                <w:rFonts w:ascii="Times New Roman"/>
                <w:sz w:val="21"/>
              </w:rPr>
              <w:t>21.6</w:t>
            </w:r>
          </w:p>
        </w:tc>
        <w:tc>
          <w:tcPr>
            <w:tcW w:w="822" w:type="dxa"/>
          </w:tcPr>
          <w:p>
            <w:pPr>
              <w:pStyle w:val="19"/>
              <w:spacing w:before="59"/>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9"/>
              <w:spacing w:before="40"/>
              <w:ind w:left="10"/>
              <w:rPr>
                <w:sz w:val="21"/>
              </w:rPr>
            </w:pPr>
            <w:r>
              <w:rPr>
                <w:sz w:val="21"/>
              </w:rPr>
              <w:t>镁离子</w:t>
            </w:r>
          </w:p>
        </w:tc>
        <w:tc>
          <w:tcPr>
            <w:tcW w:w="1270" w:type="dxa"/>
          </w:tcPr>
          <w:p>
            <w:pPr>
              <w:pStyle w:val="19"/>
              <w:spacing w:before="58"/>
              <w:ind w:left="10" w:right="1"/>
              <w:rPr>
                <w:rFonts w:ascii="Times New Roman"/>
                <w:sz w:val="21"/>
              </w:rPr>
            </w:pPr>
            <w:r>
              <w:rPr>
                <w:rFonts w:ascii="Times New Roman"/>
                <w:sz w:val="21"/>
              </w:rPr>
              <w:t>19</w:t>
            </w:r>
          </w:p>
        </w:tc>
        <w:tc>
          <w:tcPr>
            <w:tcW w:w="1270" w:type="dxa"/>
          </w:tcPr>
          <w:p>
            <w:pPr>
              <w:pStyle w:val="19"/>
              <w:spacing w:before="58"/>
              <w:ind w:left="9" w:right="1"/>
              <w:rPr>
                <w:rFonts w:ascii="Times New Roman"/>
                <w:sz w:val="21"/>
              </w:rPr>
            </w:pPr>
            <w:r>
              <w:rPr>
                <w:rFonts w:ascii="Times New Roman"/>
                <w:sz w:val="21"/>
              </w:rPr>
              <w:t>9.54</w:t>
            </w:r>
          </w:p>
        </w:tc>
        <w:tc>
          <w:tcPr>
            <w:tcW w:w="1270" w:type="dxa"/>
          </w:tcPr>
          <w:p>
            <w:pPr>
              <w:pStyle w:val="19"/>
              <w:spacing w:before="58"/>
              <w:ind w:left="13" w:right="1"/>
              <w:rPr>
                <w:rFonts w:ascii="Times New Roman"/>
                <w:sz w:val="21"/>
              </w:rPr>
            </w:pPr>
            <w:r>
              <w:rPr>
                <w:rFonts w:ascii="Times New Roman"/>
                <w:sz w:val="21"/>
              </w:rPr>
              <w:t>6.6</w:t>
            </w:r>
          </w:p>
        </w:tc>
        <w:tc>
          <w:tcPr>
            <w:tcW w:w="1270" w:type="dxa"/>
          </w:tcPr>
          <w:p>
            <w:pPr>
              <w:pStyle w:val="19"/>
              <w:spacing w:before="58"/>
              <w:ind w:left="12" w:right="1"/>
              <w:rPr>
                <w:rFonts w:ascii="Times New Roman"/>
                <w:sz w:val="21"/>
              </w:rPr>
            </w:pPr>
            <w:r>
              <w:rPr>
                <w:rFonts w:ascii="Times New Roman"/>
                <w:sz w:val="21"/>
              </w:rPr>
              <w:t>7.1</w:t>
            </w:r>
          </w:p>
        </w:tc>
        <w:tc>
          <w:tcPr>
            <w:tcW w:w="1271" w:type="dxa"/>
          </w:tcPr>
          <w:p>
            <w:pPr>
              <w:pStyle w:val="19"/>
              <w:spacing w:before="58"/>
              <w:ind w:left="87" w:right="78"/>
              <w:rPr>
                <w:rFonts w:ascii="Times New Roman"/>
                <w:sz w:val="21"/>
              </w:rPr>
            </w:pPr>
            <w:r>
              <w:rPr>
                <w:rFonts w:ascii="Times New Roman"/>
                <w:sz w:val="21"/>
              </w:rPr>
              <w:t>7.4</w:t>
            </w:r>
          </w:p>
        </w:tc>
        <w:tc>
          <w:tcPr>
            <w:tcW w:w="822" w:type="dxa"/>
          </w:tcPr>
          <w:p>
            <w:pPr>
              <w:pStyle w:val="19"/>
              <w:spacing w:before="58"/>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50" w:type="dxa"/>
            <w:vMerge w:val="continue"/>
            <w:tcBorders>
              <w:top w:val="nil"/>
            </w:tcBorders>
          </w:tcPr>
          <w:p>
            <w:pPr>
              <w:rPr>
                <w:sz w:val="2"/>
                <w:szCs w:val="2"/>
              </w:rPr>
            </w:pPr>
          </w:p>
        </w:tc>
        <w:tc>
          <w:tcPr>
            <w:tcW w:w="1072" w:type="dxa"/>
          </w:tcPr>
          <w:p>
            <w:pPr>
              <w:pStyle w:val="19"/>
              <w:spacing w:before="42"/>
              <w:ind w:left="7"/>
              <w:rPr>
                <w:sz w:val="21"/>
              </w:rPr>
            </w:pPr>
            <w:r>
              <w:rPr>
                <w:sz w:val="21"/>
              </w:rPr>
              <w:t>碳酸根离子</w:t>
            </w:r>
          </w:p>
        </w:tc>
        <w:tc>
          <w:tcPr>
            <w:tcW w:w="1270" w:type="dxa"/>
          </w:tcPr>
          <w:p>
            <w:pPr>
              <w:pStyle w:val="19"/>
              <w:spacing w:before="58"/>
              <w:ind w:left="9"/>
              <w:rPr>
                <w:rFonts w:ascii="Times New Roman"/>
                <w:sz w:val="21"/>
              </w:rPr>
            </w:pPr>
            <w:r>
              <w:rPr>
                <w:rFonts w:ascii="Times New Roman"/>
                <w:w w:val="99"/>
                <w:sz w:val="21"/>
              </w:rPr>
              <w:t>0</w:t>
            </w:r>
          </w:p>
        </w:tc>
        <w:tc>
          <w:tcPr>
            <w:tcW w:w="1270" w:type="dxa"/>
          </w:tcPr>
          <w:p>
            <w:pPr>
              <w:pStyle w:val="19"/>
              <w:spacing w:before="58"/>
              <w:ind w:left="8"/>
              <w:rPr>
                <w:rFonts w:ascii="Times New Roman"/>
                <w:sz w:val="21"/>
              </w:rPr>
            </w:pPr>
            <w:r>
              <w:rPr>
                <w:rFonts w:ascii="Times New Roman"/>
                <w:w w:val="99"/>
                <w:sz w:val="21"/>
              </w:rPr>
              <w:t>0</w:t>
            </w:r>
          </w:p>
        </w:tc>
        <w:tc>
          <w:tcPr>
            <w:tcW w:w="1270" w:type="dxa"/>
          </w:tcPr>
          <w:p>
            <w:pPr>
              <w:pStyle w:val="19"/>
              <w:spacing w:before="58"/>
              <w:ind w:left="7"/>
              <w:rPr>
                <w:rFonts w:ascii="Times New Roman"/>
                <w:sz w:val="21"/>
              </w:rPr>
            </w:pPr>
            <w:r>
              <w:rPr>
                <w:rFonts w:ascii="Times New Roman"/>
                <w:w w:val="99"/>
                <w:sz w:val="21"/>
              </w:rPr>
              <w:t>0</w:t>
            </w:r>
          </w:p>
        </w:tc>
        <w:tc>
          <w:tcPr>
            <w:tcW w:w="1270" w:type="dxa"/>
          </w:tcPr>
          <w:p>
            <w:pPr>
              <w:pStyle w:val="19"/>
              <w:spacing w:before="58"/>
              <w:ind w:left="6"/>
              <w:rPr>
                <w:rFonts w:ascii="Times New Roman"/>
                <w:sz w:val="21"/>
              </w:rPr>
            </w:pPr>
            <w:r>
              <w:rPr>
                <w:rFonts w:ascii="Times New Roman"/>
                <w:w w:val="99"/>
                <w:sz w:val="21"/>
              </w:rPr>
              <w:t>0</w:t>
            </w:r>
          </w:p>
        </w:tc>
        <w:tc>
          <w:tcPr>
            <w:tcW w:w="1271" w:type="dxa"/>
          </w:tcPr>
          <w:p>
            <w:pPr>
              <w:pStyle w:val="19"/>
              <w:spacing w:before="58"/>
              <w:ind w:left="9"/>
              <w:rPr>
                <w:rFonts w:ascii="Times New Roman"/>
                <w:sz w:val="21"/>
              </w:rPr>
            </w:pPr>
            <w:r>
              <w:rPr>
                <w:rFonts w:ascii="Times New Roman"/>
                <w:w w:val="99"/>
                <w:sz w:val="21"/>
              </w:rPr>
              <w:t>0</w:t>
            </w:r>
          </w:p>
        </w:tc>
        <w:tc>
          <w:tcPr>
            <w:tcW w:w="822" w:type="dxa"/>
          </w:tcPr>
          <w:p>
            <w:pPr>
              <w:pStyle w:val="19"/>
              <w:spacing w:before="58"/>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850" w:type="dxa"/>
            <w:vMerge w:val="continue"/>
            <w:tcBorders>
              <w:top w:val="nil"/>
            </w:tcBorders>
          </w:tcPr>
          <w:p>
            <w:pPr>
              <w:rPr>
                <w:sz w:val="2"/>
                <w:szCs w:val="2"/>
              </w:rPr>
            </w:pPr>
          </w:p>
        </w:tc>
        <w:tc>
          <w:tcPr>
            <w:tcW w:w="1072" w:type="dxa"/>
          </w:tcPr>
          <w:p>
            <w:pPr>
              <w:pStyle w:val="19"/>
              <w:ind w:left="7"/>
              <w:rPr>
                <w:sz w:val="21"/>
              </w:rPr>
            </w:pPr>
            <w:r>
              <w:rPr>
                <w:sz w:val="21"/>
              </w:rPr>
              <w:t>碳酸氢根离</w:t>
            </w:r>
          </w:p>
          <w:p>
            <w:pPr>
              <w:pStyle w:val="19"/>
              <w:spacing w:before="58"/>
              <w:ind w:left="7"/>
              <w:rPr>
                <w:sz w:val="21"/>
              </w:rPr>
            </w:pPr>
            <w:r>
              <w:rPr>
                <w:w w:val="99"/>
                <w:sz w:val="21"/>
              </w:rPr>
              <w:t>子</w:t>
            </w:r>
          </w:p>
        </w:tc>
        <w:tc>
          <w:tcPr>
            <w:tcW w:w="1270" w:type="dxa"/>
          </w:tcPr>
          <w:p>
            <w:pPr>
              <w:pStyle w:val="19"/>
              <w:spacing w:before="180"/>
              <w:ind w:left="397"/>
              <w:jc w:val="left"/>
              <w:rPr>
                <w:rFonts w:ascii="Times New Roman"/>
                <w:sz w:val="21"/>
              </w:rPr>
            </w:pPr>
            <w:r>
              <w:rPr>
                <w:rFonts w:ascii="Times New Roman"/>
                <w:sz w:val="21"/>
              </w:rPr>
              <w:t>251.3</w:t>
            </w:r>
          </w:p>
        </w:tc>
        <w:tc>
          <w:tcPr>
            <w:tcW w:w="1270" w:type="dxa"/>
          </w:tcPr>
          <w:p>
            <w:pPr>
              <w:pStyle w:val="19"/>
              <w:spacing w:before="180"/>
              <w:ind w:left="11" w:right="1"/>
              <w:rPr>
                <w:rFonts w:ascii="Times New Roman"/>
                <w:sz w:val="21"/>
              </w:rPr>
            </w:pPr>
            <w:r>
              <w:rPr>
                <w:rFonts w:ascii="Times New Roman"/>
                <w:sz w:val="21"/>
              </w:rPr>
              <w:t>150.3</w:t>
            </w:r>
          </w:p>
        </w:tc>
        <w:tc>
          <w:tcPr>
            <w:tcW w:w="1270" w:type="dxa"/>
          </w:tcPr>
          <w:p>
            <w:pPr>
              <w:pStyle w:val="19"/>
              <w:spacing w:before="180"/>
              <w:ind w:left="11" w:right="1"/>
              <w:rPr>
                <w:rFonts w:ascii="Times New Roman"/>
                <w:sz w:val="21"/>
              </w:rPr>
            </w:pPr>
            <w:r>
              <w:rPr>
                <w:rFonts w:ascii="Times New Roman"/>
                <w:sz w:val="21"/>
              </w:rPr>
              <w:t>112.1</w:t>
            </w:r>
          </w:p>
        </w:tc>
        <w:tc>
          <w:tcPr>
            <w:tcW w:w="1270" w:type="dxa"/>
          </w:tcPr>
          <w:p>
            <w:pPr>
              <w:pStyle w:val="19"/>
              <w:spacing w:before="180"/>
              <w:ind w:left="398"/>
              <w:jc w:val="left"/>
              <w:rPr>
                <w:rFonts w:ascii="Times New Roman"/>
                <w:sz w:val="21"/>
              </w:rPr>
            </w:pPr>
            <w:r>
              <w:rPr>
                <w:rFonts w:ascii="Times New Roman"/>
                <w:sz w:val="21"/>
              </w:rPr>
              <w:t>121.9</w:t>
            </w:r>
          </w:p>
        </w:tc>
        <w:tc>
          <w:tcPr>
            <w:tcW w:w="1271" w:type="dxa"/>
          </w:tcPr>
          <w:p>
            <w:pPr>
              <w:pStyle w:val="19"/>
              <w:spacing w:before="180"/>
              <w:ind w:left="87" w:right="78"/>
              <w:rPr>
                <w:rFonts w:ascii="Times New Roman"/>
                <w:sz w:val="21"/>
              </w:rPr>
            </w:pPr>
            <w:r>
              <w:rPr>
                <w:rFonts w:ascii="Times New Roman"/>
                <w:sz w:val="21"/>
              </w:rPr>
              <w:t>112</w:t>
            </w:r>
          </w:p>
        </w:tc>
        <w:tc>
          <w:tcPr>
            <w:tcW w:w="822" w:type="dxa"/>
          </w:tcPr>
          <w:p>
            <w:pPr>
              <w:pStyle w:val="19"/>
              <w:spacing w:before="180"/>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9"/>
              <w:spacing w:before="40"/>
              <w:ind w:left="10"/>
              <w:rPr>
                <w:sz w:val="21"/>
              </w:rPr>
            </w:pPr>
            <w:r>
              <w:rPr>
                <w:sz w:val="21"/>
              </w:rPr>
              <w:t>氯离子</w:t>
            </w:r>
          </w:p>
        </w:tc>
        <w:tc>
          <w:tcPr>
            <w:tcW w:w="1270" w:type="dxa"/>
          </w:tcPr>
          <w:p>
            <w:pPr>
              <w:pStyle w:val="19"/>
              <w:spacing w:before="58"/>
              <w:ind w:left="10" w:right="1"/>
              <w:rPr>
                <w:rFonts w:ascii="Times New Roman"/>
                <w:sz w:val="21"/>
              </w:rPr>
            </w:pPr>
            <w:r>
              <w:rPr>
                <w:rFonts w:ascii="Times New Roman"/>
                <w:sz w:val="21"/>
              </w:rPr>
              <w:t>8.74</w:t>
            </w:r>
          </w:p>
        </w:tc>
        <w:tc>
          <w:tcPr>
            <w:tcW w:w="1270" w:type="dxa"/>
          </w:tcPr>
          <w:p>
            <w:pPr>
              <w:pStyle w:val="19"/>
              <w:spacing w:before="58"/>
              <w:ind w:left="9" w:right="1"/>
              <w:rPr>
                <w:rFonts w:ascii="Times New Roman"/>
                <w:sz w:val="21"/>
              </w:rPr>
            </w:pPr>
            <w:r>
              <w:rPr>
                <w:rFonts w:ascii="Times New Roman"/>
                <w:sz w:val="21"/>
              </w:rPr>
              <w:t>22.6</w:t>
            </w:r>
          </w:p>
        </w:tc>
        <w:tc>
          <w:tcPr>
            <w:tcW w:w="1270" w:type="dxa"/>
          </w:tcPr>
          <w:p>
            <w:pPr>
              <w:pStyle w:val="19"/>
              <w:spacing w:before="58"/>
              <w:ind w:left="8" w:right="1"/>
              <w:rPr>
                <w:rFonts w:ascii="Times New Roman"/>
                <w:sz w:val="21"/>
              </w:rPr>
            </w:pPr>
            <w:r>
              <w:rPr>
                <w:rFonts w:ascii="Times New Roman"/>
                <w:sz w:val="21"/>
              </w:rPr>
              <w:t>7.16</w:t>
            </w:r>
          </w:p>
        </w:tc>
        <w:tc>
          <w:tcPr>
            <w:tcW w:w="1270" w:type="dxa"/>
          </w:tcPr>
          <w:p>
            <w:pPr>
              <w:pStyle w:val="19"/>
              <w:spacing w:before="58"/>
              <w:ind w:left="12" w:right="1"/>
              <w:rPr>
                <w:rFonts w:ascii="Times New Roman"/>
                <w:sz w:val="21"/>
              </w:rPr>
            </w:pPr>
            <w:r>
              <w:rPr>
                <w:rFonts w:ascii="Times New Roman"/>
                <w:sz w:val="21"/>
              </w:rPr>
              <w:t>7.58</w:t>
            </w:r>
          </w:p>
        </w:tc>
        <w:tc>
          <w:tcPr>
            <w:tcW w:w="1271" w:type="dxa"/>
          </w:tcPr>
          <w:p>
            <w:pPr>
              <w:pStyle w:val="19"/>
              <w:spacing w:before="58"/>
              <w:ind w:left="87" w:right="78"/>
              <w:rPr>
                <w:rFonts w:ascii="Times New Roman"/>
                <w:sz w:val="21"/>
              </w:rPr>
            </w:pPr>
            <w:r>
              <w:rPr>
                <w:rFonts w:ascii="Times New Roman"/>
                <w:sz w:val="21"/>
              </w:rPr>
              <w:t>6.68</w:t>
            </w:r>
          </w:p>
        </w:tc>
        <w:tc>
          <w:tcPr>
            <w:tcW w:w="822" w:type="dxa"/>
          </w:tcPr>
          <w:p>
            <w:pPr>
              <w:pStyle w:val="19"/>
              <w:spacing w:before="58"/>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50" w:type="dxa"/>
            <w:vMerge w:val="continue"/>
            <w:tcBorders>
              <w:top w:val="nil"/>
            </w:tcBorders>
          </w:tcPr>
          <w:p>
            <w:pPr>
              <w:rPr>
                <w:sz w:val="2"/>
                <w:szCs w:val="2"/>
              </w:rPr>
            </w:pPr>
          </w:p>
        </w:tc>
        <w:tc>
          <w:tcPr>
            <w:tcW w:w="1072" w:type="dxa"/>
          </w:tcPr>
          <w:p>
            <w:pPr>
              <w:pStyle w:val="19"/>
              <w:spacing w:before="39"/>
              <w:ind w:left="7"/>
              <w:rPr>
                <w:sz w:val="21"/>
              </w:rPr>
            </w:pPr>
            <w:r>
              <w:rPr>
                <w:sz w:val="21"/>
              </w:rPr>
              <w:t>硫酸根离子</w:t>
            </w:r>
          </w:p>
        </w:tc>
        <w:tc>
          <w:tcPr>
            <w:tcW w:w="1270" w:type="dxa"/>
          </w:tcPr>
          <w:p>
            <w:pPr>
              <w:pStyle w:val="19"/>
              <w:spacing w:before="58"/>
              <w:ind w:left="10" w:right="1"/>
              <w:rPr>
                <w:rFonts w:ascii="Times New Roman"/>
                <w:sz w:val="21"/>
              </w:rPr>
            </w:pPr>
            <w:r>
              <w:rPr>
                <w:rFonts w:ascii="Times New Roman"/>
                <w:sz w:val="21"/>
              </w:rPr>
              <w:t>23.6</w:t>
            </w:r>
          </w:p>
        </w:tc>
        <w:tc>
          <w:tcPr>
            <w:tcW w:w="1270" w:type="dxa"/>
          </w:tcPr>
          <w:p>
            <w:pPr>
              <w:pStyle w:val="19"/>
              <w:spacing w:before="58"/>
              <w:ind w:left="9" w:right="1"/>
              <w:rPr>
                <w:rFonts w:ascii="Times New Roman"/>
                <w:sz w:val="21"/>
              </w:rPr>
            </w:pPr>
            <w:r>
              <w:rPr>
                <w:rFonts w:ascii="Times New Roman"/>
                <w:sz w:val="21"/>
              </w:rPr>
              <w:t>58.4</w:t>
            </w:r>
          </w:p>
        </w:tc>
        <w:tc>
          <w:tcPr>
            <w:tcW w:w="1270" w:type="dxa"/>
          </w:tcPr>
          <w:p>
            <w:pPr>
              <w:pStyle w:val="19"/>
              <w:spacing w:before="58"/>
              <w:ind w:left="8" w:right="1"/>
              <w:rPr>
                <w:rFonts w:ascii="Times New Roman"/>
                <w:sz w:val="21"/>
              </w:rPr>
            </w:pPr>
            <w:r>
              <w:rPr>
                <w:rFonts w:ascii="Times New Roman"/>
                <w:sz w:val="21"/>
              </w:rPr>
              <w:t>15.4</w:t>
            </w:r>
          </w:p>
        </w:tc>
        <w:tc>
          <w:tcPr>
            <w:tcW w:w="1270" w:type="dxa"/>
          </w:tcPr>
          <w:p>
            <w:pPr>
              <w:pStyle w:val="19"/>
              <w:spacing w:before="58"/>
              <w:ind w:left="12" w:right="1"/>
              <w:rPr>
                <w:rFonts w:ascii="Times New Roman"/>
                <w:sz w:val="21"/>
              </w:rPr>
            </w:pPr>
            <w:r>
              <w:rPr>
                <w:rFonts w:ascii="Times New Roman"/>
                <w:sz w:val="21"/>
              </w:rPr>
              <w:t>16.3</w:t>
            </w:r>
          </w:p>
        </w:tc>
        <w:tc>
          <w:tcPr>
            <w:tcW w:w="1271" w:type="dxa"/>
          </w:tcPr>
          <w:p>
            <w:pPr>
              <w:pStyle w:val="19"/>
              <w:spacing w:before="58"/>
              <w:ind w:left="87" w:right="78"/>
              <w:rPr>
                <w:rFonts w:ascii="Times New Roman"/>
                <w:sz w:val="21"/>
              </w:rPr>
            </w:pPr>
            <w:r>
              <w:rPr>
                <w:rFonts w:ascii="Times New Roman"/>
                <w:sz w:val="21"/>
              </w:rPr>
              <w:t>16.6</w:t>
            </w:r>
          </w:p>
        </w:tc>
        <w:tc>
          <w:tcPr>
            <w:tcW w:w="822" w:type="dxa"/>
          </w:tcPr>
          <w:p>
            <w:pPr>
              <w:pStyle w:val="19"/>
              <w:spacing w:before="58"/>
              <w:ind w:left="183"/>
              <w:jc w:val="left"/>
              <w:rPr>
                <w:rFonts w:ascii="Times New Roman"/>
                <w:sz w:val="21"/>
              </w:rPr>
            </w:pPr>
            <w:r>
              <w:rPr>
                <w:rFonts w:ascii="Times New Roman"/>
                <w:sz w:val="21"/>
              </w:rPr>
              <w:t>mg/L</w:t>
            </w:r>
          </w:p>
        </w:tc>
      </w:tr>
    </w:tbl>
    <w:p>
      <w:pPr>
        <w:spacing w:before="1"/>
        <w:ind w:left="432" w:right="0" w:firstLine="0"/>
        <w:jc w:val="center"/>
        <w:rPr>
          <w:b/>
          <w:sz w:val="21"/>
        </w:rPr>
      </w:pPr>
      <w:r>
        <w:rPr>
          <w:b/>
          <w:sz w:val="21"/>
        </w:rPr>
        <w:t xml:space="preserve">表 </w:t>
      </w:r>
      <w:r>
        <w:rPr>
          <w:rFonts w:ascii="Times New Roman" w:eastAsia="Times New Roman"/>
          <w:b/>
          <w:sz w:val="21"/>
        </w:rPr>
        <w:t xml:space="preserve">5.3-5 </w:t>
      </w:r>
      <w:r>
        <w:rPr>
          <w:b/>
          <w:sz w:val="21"/>
        </w:rPr>
        <w:t>地下水水质现状评价结果表（单因子指数）</w:t>
      </w:r>
    </w:p>
    <w:p>
      <w:pPr>
        <w:pStyle w:val="9"/>
        <w:spacing w:before="10"/>
        <w:rPr>
          <w:b/>
          <w:sz w:val="10"/>
        </w:rPr>
      </w:pPr>
    </w:p>
    <w:tbl>
      <w:tblPr>
        <w:tblStyle w:val="15"/>
        <w:tblW w:w="0" w:type="auto"/>
        <w:tblInd w:w="14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34"/>
        <w:gridCol w:w="1160"/>
        <w:gridCol w:w="1197"/>
        <w:gridCol w:w="1197"/>
        <w:gridCol w:w="1197"/>
        <w:gridCol w:w="1197"/>
        <w:gridCol w:w="1199"/>
        <w:gridCol w:w="920"/>
        <w:gridCol w:w="6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vMerge w:val="restart"/>
            <w:tcBorders>
              <w:bottom w:val="single" w:color="000000" w:sz="4" w:space="0"/>
              <w:right w:val="single" w:color="000000" w:sz="4" w:space="0"/>
            </w:tcBorders>
          </w:tcPr>
          <w:p>
            <w:pPr>
              <w:pStyle w:val="19"/>
              <w:spacing w:before="69" w:line="290" w:lineRule="auto"/>
              <w:ind w:left="112" w:right="95"/>
              <w:jc w:val="left"/>
              <w:rPr>
                <w:sz w:val="21"/>
              </w:rPr>
            </w:pPr>
            <w:r>
              <w:rPr>
                <w:sz w:val="21"/>
              </w:rPr>
              <w:t>序号</w:t>
            </w:r>
          </w:p>
        </w:tc>
        <w:tc>
          <w:tcPr>
            <w:tcW w:w="1160" w:type="dxa"/>
            <w:vMerge w:val="restart"/>
            <w:tcBorders>
              <w:left w:val="single" w:color="000000" w:sz="4" w:space="0"/>
              <w:bottom w:val="single" w:color="000000" w:sz="4" w:space="0"/>
              <w:right w:val="single" w:color="000000" w:sz="4" w:space="0"/>
            </w:tcBorders>
          </w:tcPr>
          <w:p>
            <w:pPr>
              <w:pStyle w:val="19"/>
              <w:spacing w:before="2"/>
              <w:jc w:val="left"/>
              <w:rPr>
                <w:b/>
                <w:sz w:val="18"/>
              </w:rPr>
            </w:pPr>
          </w:p>
          <w:p>
            <w:pPr>
              <w:pStyle w:val="19"/>
              <w:ind w:left="163"/>
              <w:jc w:val="left"/>
              <w:rPr>
                <w:sz w:val="21"/>
              </w:rPr>
            </w:pPr>
            <w:r>
              <w:rPr>
                <w:sz w:val="21"/>
              </w:rPr>
              <w:t>检测项目</w:t>
            </w:r>
          </w:p>
        </w:tc>
        <w:tc>
          <w:tcPr>
            <w:tcW w:w="5987" w:type="dxa"/>
            <w:gridSpan w:val="5"/>
            <w:tcBorders>
              <w:left w:val="single" w:color="000000" w:sz="4" w:space="0"/>
              <w:bottom w:val="single" w:color="000000" w:sz="4" w:space="0"/>
              <w:right w:val="single" w:color="000000" w:sz="4" w:space="0"/>
            </w:tcBorders>
          </w:tcPr>
          <w:p>
            <w:pPr>
              <w:pStyle w:val="19"/>
              <w:spacing w:before="62"/>
              <w:ind w:left="2889" w:right="2872"/>
              <w:rPr>
                <w:rFonts w:ascii="Times New Roman"/>
                <w:sz w:val="21"/>
              </w:rPr>
            </w:pPr>
            <w:r>
              <w:rPr>
                <w:rFonts w:ascii="Times New Roman"/>
                <w:sz w:val="21"/>
              </w:rPr>
              <w:t>Pi</w:t>
            </w:r>
          </w:p>
        </w:tc>
        <w:tc>
          <w:tcPr>
            <w:tcW w:w="920" w:type="dxa"/>
            <w:vMerge w:val="restart"/>
            <w:tcBorders>
              <w:left w:val="single" w:color="000000" w:sz="4" w:space="0"/>
              <w:bottom w:val="single" w:color="000000" w:sz="4" w:space="0"/>
              <w:right w:val="single" w:color="000000" w:sz="4" w:space="0"/>
            </w:tcBorders>
          </w:tcPr>
          <w:p>
            <w:pPr>
              <w:pStyle w:val="19"/>
              <w:spacing w:before="69"/>
              <w:ind w:left="149"/>
              <w:jc w:val="left"/>
              <w:rPr>
                <w:sz w:val="21"/>
              </w:rPr>
            </w:pPr>
            <w:r>
              <w:rPr>
                <w:w w:val="95"/>
                <w:sz w:val="21"/>
              </w:rPr>
              <w:t>超标率</w:t>
            </w:r>
          </w:p>
          <w:p>
            <w:pPr>
              <w:pStyle w:val="19"/>
              <w:spacing w:before="58"/>
              <w:ind w:left="168"/>
              <w:jc w:val="left"/>
              <w:rPr>
                <w:sz w:val="21"/>
              </w:rPr>
            </w:pPr>
            <w:r>
              <w:rPr>
                <w:sz w:val="21"/>
              </w:rPr>
              <w:t>（</w:t>
            </w:r>
            <w:r>
              <w:rPr>
                <w:rFonts w:ascii="Times New Roman" w:eastAsia="Times New Roman"/>
                <w:sz w:val="21"/>
              </w:rPr>
              <w:t>%</w:t>
            </w:r>
            <w:r>
              <w:rPr>
                <w:sz w:val="21"/>
              </w:rPr>
              <w:t>）</w:t>
            </w:r>
          </w:p>
        </w:tc>
        <w:tc>
          <w:tcPr>
            <w:tcW w:w="620" w:type="dxa"/>
            <w:vMerge w:val="restart"/>
            <w:tcBorders>
              <w:left w:val="single" w:color="000000" w:sz="4" w:space="0"/>
              <w:bottom w:val="single" w:color="000000" w:sz="4" w:space="0"/>
            </w:tcBorders>
          </w:tcPr>
          <w:p>
            <w:pPr>
              <w:pStyle w:val="19"/>
              <w:spacing w:before="69" w:line="290" w:lineRule="auto"/>
              <w:ind w:left="105" w:right="80"/>
              <w:jc w:val="left"/>
              <w:rPr>
                <w:sz w:val="21"/>
              </w:rPr>
            </w:pPr>
            <w:r>
              <w:rPr>
                <w:sz w:val="21"/>
              </w:rPr>
              <w:t>达标情况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6" w:hRule="atLeast"/>
        </w:trPr>
        <w:tc>
          <w:tcPr>
            <w:tcW w:w="434" w:type="dxa"/>
            <w:vMerge w:val="continue"/>
            <w:tcBorders>
              <w:top w:val="nil"/>
              <w:bottom w:val="single" w:color="000000" w:sz="4" w:space="0"/>
              <w:right w:val="single" w:color="000000" w:sz="4" w:space="0"/>
            </w:tcBorders>
          </w:tcPr>
          <w:p>
            <w:pPr>
              <w:rPr>
                <w:sz w:val="2"/>
                <w:szCs w:val="2"/>
              </w:rPr>
            </w:pPr>
          </w:p>
        </w:tc>
        <w:tc>
          <w:tcPr>
            <w:tcW w:w="1160" w:type="dxa"/>
            <w:vMerge w:val="continue"/>
            <w:tcBorders>
              <w:top w:val="nil"/>
              <w:left w:val="single" w:color="000000" w:sz="4" w:space="0"/>
              <w:bottom w:val="single" w:color="000000" w:sz="4" w:space="0"/>
              <w:right w:val="single" w:color="000000" w:sz="4" w:space="0"/>
            </w:tcBorders>
          </w:tcPr>
          <w:p>
            <w:pPr>
              <w:rPr>
                <w:sz w:val="2"/>
                <w:szCs w:val="2"/>
              </w:rPr>
            </w:pP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38"/>
              <w:ind w:left="34"/>
              <w:rPr>
                <w:rFonts w:ascii="Times New Roman"/>
                <w:sz w:val="21"/>
              </w:rPr>
            </w:pPr>
            <w:r>
              <w:rPr>
                <w:rFonts w:ascii="Times New Roman"/>
                <w:spacing w:val="-10"/>
                <w:sz w:val="21"/>
              </w:rPr>
              <w:t>SZ3006-20101</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38"/>
              <w:ind w:left="31"/>
              <w:rPr>
                <w:rFonts w:ascii="Times New Roman"/>
                <w:sz w:val="21"/>
              </w:rPr>
            </w:pPr>
            <w:r>
              <w:rPr>
                <w:rFonts w:ascii="Times New Roman"/>
                <w:spacing w:val="-10"/>
                <w:sz w:val="21"/>
              </w:rPr>
              <w:t>SZ3006-20201</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38"/>
              <w:ind w:left="32"/>
              <w:rPr>
                <w:rFonts w:ascii="Times New Roman"/>
                <w:sz w:val="21"/>
              </w:rPr>
            </w:pPr>
            <w:r>
              <w:rPr>
                <w:rFonts w:ascii="Times New Roman"/>
                <w:spacing w:val="-10"/>
                <w:sz w:val="21"/>
              </w:rPr>
              <w:t>SZ3006-20301</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38"/>
              <w:ind w:left="33"/>
              <w:rPr>
                <w:rFonts w:ascii="Times New Roman"/>
                <w:sz w:val="21"/>
              </w:rPr>
            </w:pPr>
            <w:r>
              <w:rPr>
                <w:rFonts w:ascii="Times New Roman"/>
                <w:spacing w:val="-10"/>
                <w:sz w:val="21"/>
              </w:rPr>
              <w:t>SZ3006-20801</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38"/>
              <w:ind w:left="32"/>
              <w:rPr>
                <w:rFonts w:ascii="Times New Roman"/>
                <w:sz w:val="21"/>
              </w:rPr>
            </w:pPr>
            <w:r>
              <w:rPr>
                <w:rFonts w:ascii="Times New Roman"/>
                <w:spacing w:val="-10"/>
                <w:sz w:val="21"/>
              </w:rPr>
              <w:t>SZ3006-20901</w:t>
            </w:r>
          </w:p>
        </w:tc>
        <w:tc>
          <w:tcPr>
            <w:tcW w:w="920" w:type="dxa"/>
            <w:vMerge w:val="continue"/>
            <w:tcBorders>
              <w:top w:val="nil"/>
              <w:left w:val="single" w:color="000000" w:sz="4" w:space="0"/>
              <w:bottom w:val="single" w:color="000000" w:sz="4" w:space="0"/>
              <w:right w:val="single" w:color="000000" w:sz="4" w:space="0"/>
            </w:tcBorders>
          </w:tcPr>
          <w:p>
            <w:pPr>
              <w:rPr>
                <w:sz w:val="2"/>
                <w:szCs w:val="2"/>
              </w:rPr>
            </w:pPr>
          </w:p>
        </w:tc>
        <w:tc>
          <w:tcPr>
            <w:tcW w:w="620"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bottom w:val="single" w:color="000000" w:sz="4" w:space="0"/>
              <w:right w:val="single" w:color="000000" w:sz="4" w:space="0"/>
            </w:tcBorders>
          </w:tcPr>
          <w:p>
            <w:pPr>
              <w:pStyle w:val="19"/>
              <w:spacing w:before="61"/>
              <w:ind w:left="11"/>
              <w:rPr>
                <w:rFonts w:ascii="Times New Roman"/>
                <w:sz w:val="21"/>
              </w:rPr>
            </w:pPr>
            <w:r>
              <w:rPr>
                <w:rFonts w:ascii="Times New Roman"/>
                <w:w w:val="99"/>
                <w:sz w:val="21"/>
              </w:rPr>
              <w:t>1</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44"/>
              <w:ind w:left="21" w:right="5"/>
              <w:rPr>
                <w:sz w:val="21"/>
              </w:rPr>
            </w:pPr>
            <w:r>
              <w:rPr>
                <w:rFonts w:ascii="Times New Roman" w:eastAsia="Times New Roman"/>
                <w:sz w:val="21"/>
              </w:rPr>
              <w:t xml:space="preserve">pH </w:t>
            </w:r>
            <w:r>
              <w:rPr>
                <w:sz w:val="21"/>
              </w:rPr>
              <w:t>值</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20"/>
              <w:rPr>
                <w:rFonts w:ascii="Times New Roman"/>
                <w:sz w:val="21"/>
              </w:rPr>
            </w:pPr>
            <w:r>
              <w:rPr>
                <w:rFonts w:ascii="Times New Roman"/>
                <w:sz w:val="21"/>
              </w:rPr>
              <w:t>0.34</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21"/>
              <w:rPr>
                <w:rFonts w:ascii="Times New Roman"/>
                <w:sz w:val="21"/>
              </w:rPr>
            </w:pPr>
            <w:r>
              <w:rPr>
                <w:rFonts w:ascii="Times New Roman"/>
                <w:sz w:val="21"/>
              </w:rPr>
              <w:t>0.01</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20"/>
              <w:rPr>
                <w:rFonts w:ascii="Times New Roman"/>
                <w:sz w:val="21"/>
              </w:rPr>
            </w:pPr>
            <w:r>
              <w:rPr>
                <w:rFonts w:ascii="Times New Roman"/>
                <w:sz w:val="21"/>
              </w:rPr>
              <w:t>0.07</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19"/>
              <w:rPr>
                <w:rFonts w:ascii="Times New Roman"/>
                <w:sz w:val="21"/>
              </w:rPr>
            </w:pPr>
            <w:r>
              <w:rPr>
                <w:rFonts w:ascii="Times New Roman"/>
                <w:sz w:val="21"/>
              </w:rPr>
              <w:t>0.09</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61"/>
              <w:ind w:left="18"/>
              <w:rPr>
                <w:rFonts w:ascii="Times New Roman"/>
                <w:sz w:val="21"/>
              </w:rPr>
            </w:pPr>
            <w:r>
              <w:rPr>
                <w:rFonts w:ascii="Times New Roman"/>
                <w:sz w:val="21"/>
              </w:rPr>
              <w:t>0.11</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61"/>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44"/>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tcBorders>
              <w:top w:val="single" w:color="000000" w:sz="4" w:space="0"/>
              <w:bottom w:val="single" w:color="000000" w:sz="4" w:space="0"/>
              <w:right w:val="single" w:color="000000" w:sz="4" w:space="0"/>
            </w:tcBorders>
          </w:tcPr>
          <w:p>
            <w:pPr>
              <w:pStyle w:val="19"/>
              <w:spacing w:before="62"/>
              <w:ind w:left="11"/>
              <w:rPr>
                <w:rFonts w:ascii="Times New Roman"/>
                <w:sz w:val="21"/>
              </w:rPr>
            </w:pPr>
            <w:r>
              <w:rPr>
                <w:rFonts w:ascii="Times New Roman"/>
                <w:w w:val="99"/>
                <w:sz w:val="21"/>
              </w:rPr>
              <w:t>2</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43"/>
              <w:ind w:left="21" w:right="5"/>
              <w:rPr>
                <w:sz w:val="21"/>
              </w:rPr>
            </w:pPr>
            <w:r>
              <w:rPr>
                <w:sz w:val="21"/>
              </w:rPr>
              <w:t>氨氮</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21"/>
              <w:rPr>
                <w:rFonts w:ascii="Times New Roman"/>
                <w:sz w:val="21"/>
              </w:rPr>
            </w:pPr>
            <w:r>
              <w:rPr>
                <w:rFonts w:ascii="Times New Roman"/>
                <w:sz w:val="21"/>
              </w:rPr>
              <w:t>0.41</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20"/>
              <w:rPr>
                <w:rFonts w:ascii="Times New Roman"/>
                <w:sz w:val="21"/>
              </w:rPr>
            </w:pPr>
            <w:r>
              <w:rPr>
                <w:rFonts w:ascii="Times New Roman"/>
                <w:sz w:val="21"/>
              </w:rPr>
              <w:t>0.31</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19"/>
              <w:rPr>
                <w:rFonts w:ascii="Times New Roman"/>
                <w:sz w:val="21"/>
              </w:rPr>
            </w:pPr>
            <w:r>
              <w:rPr>
                <w:rFonts w:ascii="Times New Roman"/>
                <w:sz w:val="21"/>
              </w:rPr>
              <w:t>0.33</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62"/>
              <w:ind w:left="18"/>
              <w:rPr>
                <w:rFonts w:ascii="Times New Roman"/>
                <w:sz w:val="21"/>
              </w:rPr>
            </w:pPr>
            <w:r>
              <w:rPr>
                <w:rFonts w:ascii="Times New Roman"/>
                <w:sz w:val="21"/>
              </w:rPr>
              <w:t>0.27</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62"/>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43"/>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bottom w:val="single" w:color="000000" w:sz="4" w:space="0"/>
              <w:right w:val="single" w:color="000000" w:sz="4" w:space="0"/>
            </w:tcBorders>
          </w:tcPr>
          <w:p>
            <w:pPr>
              <w:pStyle w:val="19"/>
              <w:spacing w:before="62"/>
              <w:ind w:left="11"/>
              <w:rPr>
                <w:rFonts w:ascii="Times New Roman"/>
                <w:sz w:val="21"/>
              </w:rPr>
            </w:pPr>
            <w:r>
              <w:rPr>
                <w:rFonts w:ascii="Times New Roman"/>
                <w:w w:val="99"/>
                <w:sz w:val="21"/>
              </w:rPr>
              <w:t>3</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44"/>
              <w:ind w:left="21" w:right="5"/>
              <w:rPr>
                <w:sz w:val="21"/>
              </w:rPr>
            </w:pPr>
            <w:r>
              <w:rPr>
                <w:sz w:val="21"/>
              </w:rPr>
              <w:t>硝酸盐</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20"/>
              <w:rPr>
                <w:rFonts w:ascii="Times New Roman"/>
                <w:sz w:val="21"/>
              </w:rPr>
            </w:pPr>
            <w:r>
              <w:rPr>
                <w:rFonts w:ascii="Times New Roman"/>
                <w:sz w:val="21"/>
              </w:rPr>
              <w:t>0.20</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21"/>
              <w:rPr>
                <w:rFonts w:ascii="Times New Roman"/>
                <w:sz w:val="21"/>
              </w:rPr>
            </w:pPr>
            <w:r>
              <w:rPr>
                <w:rFonts w:ascii="Times New Roman"/>
                <w:sz w:val="21"/>
              </w:rPr>
              <w:t>0.46</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20"/>
              <w:rPr>
                <w:rFonts w:ascii="Times New Roman"/>
                <w:sz w:val="21"/>
              </w:rPr>
            </w:pPr>
            <w:r>
              <w:rPr>
                <w:rFonts w:ascii="Times New Roman"/>
                <w:sz w:val="21"/>
              </w:rPr>
              <w:t>0.14</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19"/>
              <w:rPr>
                <w:rFonts w:ascii="Times New Roman"/>
                <w:sz w:val="21"/>
              </w:rPr>
            </w:pPr>
            <w:r>
              <w:rPr>
                <w:rFonts w:ascii="Times New Roman"/>
                <w:sz w:val="21"/>
              </w:rPr>
              <w:t>0.12</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62"/>
              <w:ind w:left="18"/>
              <w:rPr>
                <w:rFonts w:ascii="Times New Roman"/>
                <w:sz w:val="21"/>
              </w:rPr>
            </w:pPr>
            <w:r>
              <w:rPr>
                <w:rFonts w:ascii="Times New Roman"/>
                <w:sz w:val="21"/>
              </w:rPr>
              <w:t>0.17</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62"/>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44"/>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tcBorders>
              <w:top w:val="single" w:color="000000" w:sz="4" w:space="0"/>
              <w:bottom w:val="single" w:color="000000" w:sz="4" w:space="0"/>
              <w:right w:val="single" w:color="000000" w:sz="4" w:space="0"/>
            </w:tcBorders>
          </w:tcPr>
          <w:p>
            <w:pPr>
              <w:pStyle w:val="19"/>
              <w:spacing w:before="61"/>
              <w:ind w:left="11"/>
              <w:rPr>
                <w:rFonts w:ascii="Times New Roman"/>
                <w:sz w:val="21"/>
              </w:rPr>
            </w:pPr>
            <w:r>
              <w:rPr>
                <w:rFonts w:ascii="Times New Roman"/>
                <w:w w:val="99"/>
                <w:sz w:val="21"/>
              </w:rPr>
              <w:t>4</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45"/>
              <w:ind w:left="19" w:right="5"/>
              <w:rPr>
                <w:sz w:val="21"/>
              </w:rPr>
            </w:pPr>
            <w:r>
              <w:rPr>
                <w:sz w:val="21"/>
              </w:rPr>
              <w:t>亚硝酸盐</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21"/>
              <w:rPr>
                <w:rFonts w:ascii="Times New Roman"/>
                <w:sz w:val="21"/>
              </w:rPr>
            </w:pPr>
            <w:r>
              <w:rPr>
                <w:rFonts w:ascii="Times New Roman"/>
                <w:sz w:val="21"/>
              </w:rPr>
              <w:t>0.02</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20"/>
              <w:rPr>
                <w:rFonts w:ascii="Times New Roman"/>
                <w:sz w:val="21"/>
              </w:rPr>
            </w:pPr>
            <w:r>
              <w:rPr>
                <w:rFonts w:ascii="Times New Roman"/>
                <w:sz w:val="21"/>
              </w:rPr>
              <w:t>0.03</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19"/>
              <w:rPr>
                <w:rFonts w:ascii="Times New Roman"/>
                <w:sz w:val="21"/>
              </w:rPr>
            </w:pPr>
            <w:r>
              <w:rPr>
                <w:rFonts w:ascii="Times New Roman"/>
                <w:sz w:val="21"/>
              </w:rPr>
              <w:t>0.02</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61"/>
              <w:ind w:left="18"/>
              <w:rPr>
                <w:rFonts w:ascii="Times New Roman"/>
                <w:sz w:val="21"/>
              </w:rPr>
            </w:pPr>
            <w:r>
              <w:rPr>
                <w:rFonts w:ascii="Times New Roman"/>
                <w:sz w:val="21"/>
              </w:rPr>
              <w:t>0.02</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61"/>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45"/>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tcBorders>
              <w:top w:val="single" w:color="000000" w:sz="4" w:space="0"/>
              <w:bottom w:val="single" w:color="000000" w:sz="4" w:space="0"/>
              <w:right w:val="single" w:color="000000" w:sz="4" w:space="0"/>
            </w:tcBorders>
          </w:tcPr>
          <w:p>
            <w:pPr>
              <w:pStyle w:val="19"/>
              <w:spacing w:before="62"/>
              <w:ind w:left="11"/>
              <w:rPr>
                <w:rFonts w:ascii="Times New Roman"/>
                <w:sz w:val="21"/>
              </w:rPr>
            </w:pPr>
            <w:r>
              <w:rPr>
                <w:rFonts w:ascii="Times New Roman"/>
                <w:w w:val="99"/>
                <w:sz w:val="21"/>
              </w:rPr>
              <w:t>5</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43"/>
              <w:ind w:left="21" w:right="5"/>
              <w:rPr>
                <w:sz w:val="21"/>
              </w:rPr>
            </w:pPr>
            <w:r>
              <w:rPr>
                <w:sz w:val="21"/>
              </w:rPr>
              <w:t>总硬度</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20"/>
              <w:rPr>
                <w:rFonts w:ascii="Times New Roman"/>
                <w:sz w:val="21"/>
              </w:rPr>
            </w:pPr>
            <w:r>
              <w:rPr>
                <w:rFonts w:ascii="Times New Roman"/>
                <w:sz w:val="21"/>
              </w:rPr>
              <w:t>0.51</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21"/>
              <w:rPr>
                <w:rFonts w:ascii="Times New Roman"/>
                <w:sz w:val="21"/>
              </w:rPr>
            </w:pPr>
            <w:r>
              <w:rPr>
                <w:rFonts w:ascii="Times New Roman"/>
                <w:sz w:val="21"/>
              </w:rPr>
              <w:t>0.35</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20"/>
              <w:rPr>
                <w:rFonts w:ascii="Times New Roman"/>
                <w:sz w:val="21"/>
              </w:rPr>
            </w:pPr>
            <w:r>
              <w:rPr>
                <w:rFonts w:ascii="Times New Roman"/>
                <w:sz w:val="21"/>
              </w:rPr>
              <w:t>0.23</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19"/>
              <w:rPr>
                <w:rFonts w:ascii="Times New Roman"/>
                <w:sz w:val="21"/>
              </w:rPr>
            </w:pPr>
            <w:r>
              <w:rPr>
                <w:rFonts w:ascii="Times New Roman"/>
                <w:sz w:val="21"/>
              </w:rPr>
              <w:t>0.25</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62"/>
              <w:ind w:left="18"/>
              <w:rPr>
                <w:rFonts w:ascii="Times New Roman"/>
                <w:sz w:val="21"/>
              </w:rPr>
            </w:pPr>
            <w:r>
              <w:rPr>
                <w:rFonts w:ascii="Times New Roman"/>
                <w:sz w:val="21"/>
              </w:rPr>
              <w:t>0.24</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62"/>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43"/>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434" w:type="dxa"/>
            <w:tcBorders>
              <w:top w:val="single" w:color="000000" w:sz="4" w:space="0"/>
              <w:bottom w:val="single" w:color="000000" w:sz="4" w:space="0"/>
              <w:right w:val="single" w:color="000000" w:sz="4" w:space="0"/>
            </w:tcBorders>
          </w:tcPr>
          <w:p>
            <w:pPr>
              <w:pStyle w:val="19"/>
              <w:spacing w:before="180"/>
              <w:ind w:left="11"/>
              <w:rPr>
                <w:rFonts w:ascii="Times New Roman"/>
                <w:sz w:val="21"/>
              </w:rPr>
            </w:pPr>
            <w:r>
              <w:rPr>
                <w:rFonts w:ascii="Times New Roman"/>
                <w:w w:val="99"/>
                <w:sz w:val="21"/>
              </w:rPr>
              <w:t>6</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1"/>
              <w:ind w:left="24" w:right="5"/>
              <w:rPr>
                <w:sz w:val="21"/>
              </w:rPr>
            </w:pPr>
            <w:r>
              <w:rPr>
                <w:color w:val="FF0000"/>
                <w:sz w:val="21"/>
              </w:rPr>
              <w:t>高锰酸盐指</w:t>
            </w:r>
          </w:p>
          <w:p>
            <w:pPr>
              <w:pStyle w:val="19"/>
              <w:spacing w:before="57"/>
              <w:ind w:left="19"/>
              <w:rPr>
                <w:sz w:val="21"/>
              </w:rPr>
            </w:pPr>
            <w:r>
              <w:rPr>
                <w:color w:val="FF0000"/>
                <w:w w:val="99"/>
                <w:sz w:val="21"/>
              </w:rPr>
              <w:t>数</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180"/>
              <w:ind w:left="20"/>
              <w:rPr>
                <w:rFonts w:ascii="Times New Roman"/>
                <w:sz w:val="21"/>
              </w:rPr>
            </w:pPr>
            <w:r>
              <w:rPr>
                <w:rFonts w:ascii="Times New Roman"/>
                <w:sz w:val="21"/>
              </w:rPr>
              <w:t>1.10</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180"/>
              <w:ind w:left="21"/>
              <w:rPr>
                <w:rFonts w:ascii="Times New Roman"/>
                <w:sz w:val="21"/>
              </w:rPr>
            </w:pPr>
            <w:r>
              <w:rPr>
                <w:rFonts w:ascii="Times New Roman"/>
                <w:sz w:val="21"/>
              </w:rPr>
              <w:t>0.87</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180"/>
              <w:ind w:left="20"/>
              <w:rPr>
                <w:rFonts w:ascii="Times New Roman"/>
                <w:sz w:val="21"/>
              </w:rPr>
            </w:pPr>
            <w:r>
              <w:rPr>
                <w:rFonts w:ascii="Times New Roman"/>
                <w:sz w:val="21"/>
              </w:rPr>
              <w:t>0.57</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180"/>
              <w:ind w:left="19"/>
              <w:rPr>
                <w:rFonts w:ascii="Times New Roman"/>
                <w:sz w:val="21"/>
              </w:rPr>
            </w:pPr>
            <w:r>
              <w:rPr>
                <w:rFonts w:ascii="Times New Roman"/>
                <w:sz w:val="21"/>
              </w:rPr>
              <w:t>0.67</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180"/>
              <w:ind w:left="18"/>
              <w:rPr>
                <w:rFonts w:ascii="Times New Roman"/>
                <w:sz w:val="21"/>
              </w:rPr>
            </w:pPr>
            <w:r>
              <w:rPr>
                <w:rFonts w:ascii="Times New Roman"/>
                <w:sz w:val="21"/>
              </w:rPr>
              <w:t>0.73</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180"/>
              <w:ind w:left="251" w:right="233"/>
              <w:rPr>
                <w:rFonts w:ascii="Times New Roman"/>
                <w:sz w:val="21"/>
              </w:rPr>
            </w:pPr>
            <w:r>
              <w:rPr>
                <w:rFonts w:ascii="Times New Roman"/>
                <w:sz w:val="21"/>
              </w:rPr>
              <w:t>20%</w:t>
            </w:r>
          </w:p>
        </w:tc>
        <w:tc>
          <w:tcPr>
            <w:tcW w:w="620" w:type="dxa"/>
            <w:tcBorders>
              <w:top w:val="single" w:color="000000" w:sz="4" w:space="0"/>
              <w:left w:val="single" w:color="000000" w:sz="4" w:space="0"/>
              <w:bottom w:val="single" w:color="000000" w:sz="4" w:space="0"/>
            </w:tcBorders>
          </w:tcPr>
          <w:p>
            <w:pPr>
              <w:pStyle w:val="19"/>
              <w:spacing w:before="1"/>
              <w:ind w:left="105"/>
              <w:jc w:val="left"/>
              <w:rPr>
                <w:sz w:val="21"/>
              </w:rPr>
            </w:pPr>
            <w:r>
              <w:rPr>
                <w:sz w:val="21"/>
              </w:rPr>
              <w:t>不达</w:t>
            </w:r>
          </w:p>
          <w:p>
            <w:pPr>
              <w:pStyle w:val="19"/>
              <w:spacing w:before="57"/>
              <w:ind w:left="208"/>
              <w:jc w:val="left"/>
              <w:rPr>
                <w:sz w:val="21"/>
              </w:rPr>
            </w:pPr>
            <w:r>
              <w:rPr>
                <w:w w:val="99"/>
                <w:sz w:val="21"/>
              </w:rPr>
              <w:t>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434" w:type="dxa"/>
            <w:tcBorders>
              <w:top w:val="single" w:color="000000" w:sz="4" w:space="0"/>
              <w:bottom w:val="single" w:color="000000" w:sz="4" w:space="0"/>
              <w:right w:val="single" w:color="000000" w:sz="4" w:space="0"/>
            </w:tcBorders>
          </w:tcPr>
          <w:p>
            <w:pPr>
              <w:pStyle w:val="19"/>
              <w:spacing w:before="181"/>
              <w:ind w:left="11"/>
              <w:rPr>
                <w:rFonts w:ascii="Times New Roman"/>
                <w:sz w:val="21"/>
              </w:rPr>
            </w:pPr>
            <w:r>
              <w:rPr>
                <w:rFonts w:ascii="Times New Roman"/>
                <w:w w:val="99"/>
                <w:sz w:val="21"/>
              </w:rPr>
              <w:t>7</w:t>
            </w:r>
          </w:p>
        </w:tc>
        <w:tc>
          <w:tcPr>
            <w:tcW w:w="1160" w:type="dxa"/>
            <w:tcBorders>
              <w:top w:val="single" w:color="000000" w:sz="4" w:space="0"/>
              <w:left w:val="single" w:color="000000" w:sz="4" w:space="0"/>
              <w:bottom w:val="single" w:color="000000" w:sz="4" w:space="0"/>
              <w:right w:val="single" w:color="000000" w:sz="4" w:space="0"/>
            </w:tcBorders>
          </w:tcPr>
          <w:p>
            <w:pPr>
              <w:pStyle w:val="19"/>
              <w:spacing w:line="268" w:lineRule="exact"/>
              <w:ind w:left="24" w:right="5"/>
              <w:rPr>
                <w:sz w:val="21"/>
              </w:rPr>
            </w:pPr>
            <w:r>
              <w:rPr>
                <w:sz w:val="21"/>
              </w:rPr>
              <w:t>溶解性总固</w:t>
            </w:r>
          </w:p>
          <w:p>
            <w:pPr>
              <w:pStyle w:val="19"/>
              <w:spacing w:before="57"/>
              <w:ind w:left="19"/>
              <w:rPr>
                <w:sz w:val="21"/>
              </w:rPr>
            </w:pPr>
            <w:r>
              <w:rPr>
                <w:w w:val="99"/>
                <w:sz w:val="21"/>
              </w:rPr>
              <w:t>体</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181"/>
              <w:ind w:left="20"/>
              <w:rPr>
                <w:rFonts w:ascii="Times New Roman"/>
                <w:sz w:val="21"/>
              </w:rPr>
            </w:pPr>
            <w:r>
              <w:rPr>
                <w:rFonts w:ascii="Times New Roman"/>
                <w:sz w:val="21"/>
              </w:rPr>
              <w:t>0.37</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181"/>
              <w:ind w:left="21"/>
              <w:rPr>
                <w:rFonts w:ascii="Times New Roman"/>
                <w:sz w:val="21"/>
              </w:rPr>
            </w:pPr>
            <w:r>
              <w:rPr>
                <w:rFonts w:ascii="Times New Roman"/>
                <w:sz w:val="21"/>
              </w:rPr>
              <w:t>0.39</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181"/>
              <w:ind w:left="20"/>
              <w:rPr>
                <w:rFonts w:ascii="Times New Roman"/>
                <w:sz w:val="21"/>
              </w:rPr>
            </w:pPr>
            <w:r>
              <w:rPr>
                <w:rFonts w:ascii="Times New Roman"/>
                <w:sz w:val="21"/>
              </w:rPr>
              <w:t>0.17</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181"/>
              <w:ind w:left="19"/>
              <w:rPr>
                <w:rFonts w:ascii="Times New Roman"/>
                <w:sz w:val="21"/>
              </w:rPr>
            </w:pPr>
            <w:r>
              <w:rPr>
                <w:rFonts w:ascii="Times New Roman"/>
                <w:sz w:val="21"/>
              </w:rPr>
              <w:t>0.17</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181"/>
              <w:ind w:left="18"/>
              <w:rPr>
                <w:rFonts w:ascii="Times New Roman"/>
                <w:sz w:val="21"/>
              </w:rPr>
            </w:pPr>
            <w:r>
              <w:rPr>
                <w:rFonts w:ascii="Times New Roman"/>
                <w:sz w:val="21"/>
              </w:rPr>
              <w:t>0.23</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181"/>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162"/>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434" w:type="dxa"/>
            <w:tcBorders>
              <w:top w:val="single" w:color="000000" w:sz="4" w:space="0"/>
              <w:bottom w:val="single" w:color="000000" w:sz="4" w:space="0"/>
              <w:right w:val="single" w:color="000000" w:sz="4" w:space="0"/>
            </w:tcBorders>
          </w:tcPr>
          <w:p>
            <w:pPr>
              <w:pStyle w:val="19"/>
              <w:spacing w:before="180"/>
              <w:ind w:left="11"/>
              <w:rPr>
                <w:rFonts w:ascii="Times New Roman"/>
                <w:sz w:val="21"/>
              </w:rPr>
            </w:pPr>
            <w:r>
              <w:rPr>
                <w:rFonts w:ascii="Times New Roman"/>
                <w:w w:val="99"/>
                <w:sz w:val="21"/>
              </w:rPr>
              <w:t>8</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164"/>
              <w:ind w:left="19"/>
              <w:rPr>
                <w:sz w:val="21"/>
              </w:rPr>
            </w:pPr>
            <w:r>
              <w:rPr>
                <w:w w:val="99"/>
                <w:sz w:val="21"/>
              </w:rPr>
              <w:t>铁</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180"/>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180"/>
              <w:ind w:left="21"/>
              <w:rPr>
                <w:rFonts w:ascii="Times New Roman"/>
                <w:sz w:val="21"/>
              </w:rPr>
            </w:pPr>
            <w:r>
              <w:rPr>
                <w:rFonts w:ascii="Times New Roman"/>
                <w:sz w:val="21"/>
              </w:rPr>
              <w:t>1.03</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180"/>
              <w:ind w:left="20"/>
              <w:rPr>
                <w:rFonts w:ascii="Times New Roman"/>
                <w:sz w:val="21"/>
              </w:rPr>
            </w:pPr>
            <w:r>
              <w:rPr>
                <w:rFonts w:ascii="Times New Roman"/>
                <w:sz w:val="21"/>
              </w:rPr>
              <w:t>0.40</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180"/>
              <w:ind w:left="19"/>
              <w:rPr>
                <w:rFonts w:ascii="Times New Roman"/>
                <w:sz w:val="21"/>
              </w:rPr>
            </w:pPr>
            <w:r>
              <w:rPr>
                <w:rFonts w:ascii="Times New Roman"/>
                <w:sz w:val="21"/>
              </w:rPr>
              <w:t>0.27</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180"/>
              <w:ind w:left="18"/>
              <w:rPr>
                <w:rFonts w:ascii="Times New Roman"/>
                <w:sz w:val="21"/>
              </w:rPr>
            </w:pPr>
            <w:r>
              <w:rPr>
                <w:rFonts w:ascii="Times New Roman"/>
                <w:sz w:val="21"/>
              </w:rPr>
              <w:t>0.33</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180"/>
              <w:ind w:left="251" w:right="233"/>
              <w:rPr>
                <w:rFonts w:ascii="Times New Roman"/>
                <w:sz w:val="21"/>
              </w:rPr>
            </w:pPr>
            <w:r>
              <w:rPr>
                <w:rFonts w:ascii="Times New Roman"/>
                <w:sz w:val="21"/>
              </w:rPr>
              <w:t>20%</w:t>
            </w:r>
          </w:p>
        </w:tc>
        <w:tc>
          <w:tcPr>
            <w:tcW w:w="620" w:type="dxa"/>
            <w:tcBorders>
              <w:top w:val="single" w:color="000000" w:sz="4" w:space="0"/>
              <w:left w:val="single" w:color="000000" w:sz="4" w:space="0"/>
              <w:bottom w:val="single" w:color="000000" w:sz="4" w:space="0"/>
            </w:tcBorders>
          </w:tcPr>
          <w:p>
            <w:pPr>
              <w:pStyle w:val="19"/>
              <w:spacing w:before="1"/>
              <w:ind w:left="105"/>
              <w:jc w:val="left"/>
              <w:rPr>
                <w:sz w:val="21"/>
              </w:rPr>
            </w:pPr>
            <w:r>
              <w:rPr>
                <w:sz w:val="21"/>
              </w:rPr>
              <w:t>不达</w:t>
            </w:r>
          </w:p>
          <w:p>
            <w:pPr>
              <w:pStyle w:val="19"/>
              <w:spacing w:before="57"/>
              <w:ind w:left="208"/>
              <w:jc w:val="left"/>
              <w:rPr>
                <w:sz w:val="21"/>
              </w:rPr>
            </w:pPr>
            <w:r>
              <w:rPr>
                <w:w w:val="99"/>
                <w:sz w:val="21"/>
              </w:rPr>
              <w:t>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1" w:hRule="atLeast"/>
        </w:trPr>
        <w:tc>
          <w:tcPr>
            <w:tcW w:w="434" w:type="dxa"/>
            <w:tcBorders>
              <w:top w:val="single" w:color="000000" w:sz="4" w:space="0"/>
              <w:right w:val="single" w:color="000000" w:sz="4" w:space="0"/>
            </w:tcBorders>
          </w:tcPr>
          <w:p>
            <w:pPr>
              <w:pStyle w:val="19"/>
              <w:spacing w:before="61"/>
              <w:ind w:left="11"/>
              <w:rPr>
                <w:rFonts w:ascii="Times New Roman"/>
                <w:sz w:val="21"/>
              </w:rPr>
            </w:pPr>
            <w:r>
              <w:rPr>
                <w:rFonts w:ascii="Times New Roman"/>
                <w:w w:val="99"/>
                <w:sz w:val="21"/>
              </w:rPr>
              <w:t>9</w:t>
            </w:r>
          </w:p>
        </w:tc>
        <w:tc>
          <w:tcPr>
            <w:tcW w:w="1160" w:type="dxa"/>
            <w:tcBorders>
              <w:top w:val="single" w:color="000000" w:sz="4" w:space="0"/>
              <w:left w:val="single" w:color="000000" w:sz="4" w:space="0"/>
              <w:right w:val="single" w:color="000000" w:sz="4" w:space="0"/>
            </w:tcBorders>
          </w:tcPr>
          <w:p>
            <w:pPr>
              <w:pStyle w:val="19"/>
              <w:spacing w:before="45"/>
              <w:ind w:left="19"/>
              <w:rPr>
                <w:sz w:val="21"/>
              </w:rPr>
            </w:pPr>
            <w:r>
              <w:rPr>
                <w:w w:val="99"/>
                <w:sz w:val="21"/>
              </w:rPr>
              <w:t>锰</w:t>
            </w:r>
          </w:p>
        </w:tc>
        <w:tc>
          <w:tcPr>
            <w:tcW w:w="1197" w:type="dxa"/>
            <w:tcBorders>
              <w:top w:val="single" w:color="000000" w:sz="4" w:space="0"/>
              <w:left w:val="single" w:color="000000" w:sz="4" w:space="0"/>
              <w:right w:val="single" w:color="000000" w:sz="4" w:space="0"/>
            </w:tcBorders>
          </w:tcPr>
          <w:p>
            <w:pPr>
              <w:pStyle w:val="19"/>
              <w:spacing w:before="61"/>
              <w:ind w:left="20"/>
              <w:rPr>
                <w:rFonts w:ascii="Times New Roman"/>
                <w:sz w:val="21"/>
              </w:rPr>
            </w:pPr>
            <w:r>
              <w:rPr>
                <w:rFonts w:ascii="Times New Roman"/>
                <w:sz w:val="21"/>
              </w:rPr>
              <w:t>0.10</w:t>
            </w:r>
          </w:p>
        </w:tc>
        <w:tc>
          <w:tcPr>
            <w:tcW w:w="1197" w:type="dxa"/>
            <w:tcBorders>
              <w:top w:val="single" w:color="000000" w:sz="4" w:space="0"/>
              <w:left w:val="single" w:color="000000" w:sz="4" w:space="0"/>
              <w:right w:val="single" w:color="000000" w:sz="4" w:space="0"/>
            </w:tcBorders>
          </w:tcPr>
          <w:p>
            <w:pPr>
              <w:pStyle w:val="19"/>
              <w:spacing w:before="61"/>
              <w:ind w:left="21"/>
              <w:rPr>
                <w:rFonts w:ascii="Times New Roman"/>
                <w:sz w:val="21"/>
              </w:rPr>
            </w:pPr>
            <w:r>
              <w:rPr>
                <w:rFonts w:ascii="Times New Roman"/>
                <w:sz w:val="21"/>
              </w:rPr>
              <w:t>0.30</w:t>
            </w:r>
          </w:p>
        </w:tc>
        <w:tc>
          <w:tcPr>
            <w:tcW w:w="1197" w:type="dxa"/>
            <w:tcBorders>
              <w:top w:val="single" w:color="000000" w:sz="4" w:space="0"/>
              <w:left w:val="single" w:color="000000" w:sz="4" w:space="0"/>
              <w:right w:val="single" w:color="000000" w:sz="4" w:space="0"/>
            </w:tcBorders>
          </w:tcPr>
          <w:p>
            <w:pPr>
              <w:pStyle w:val="19"/>
              <w:spacing w:before="61"/>
              <w:ind w:left="20"/>
              <w:rPr>
                <w:rFonts w:ascii="Times New Roman"/>
                <w:sz w:val="21"/>
              </w:rPr>
            </w:pPr>
            <w:r>
              <w:rPr>
                <w:rFonts w:ascii="Times New Roman"/>
                <w:sz w:val="21"/>
              </w:rPr>
              <w:t>0.20</w:t>
            </w:r>
          </w:p>
        </w:tc>
        <w:tc>
          <w:tcPr>
            <w:tcW w:w="1197" w:type="dxa"/>
            <w:tcBorders>
              <w:top w:val="single" w:color="000000" w:sz="4" w:space="0"/>
              <w:left w:val="single" w:color="000000" w:sz="4" w:space="0"/>
              <w:right w:val="single" w:color="000000" w:sz="4" w:space="0"/>
            </w:tcBorders>
          </w:tcPr>
          <w:p>
            <w:pPr>
              <w:pStyle w:val="19"/>
              <w:spacing w:before="61"/>
              <w:ind w:left="19"/>
              <w:rPr>
                <w:rFonts w:ascii="Times New Roman"/>
                <w:sz w:val="21"/>
              </w:rPr>
            </w:pPr>
            <w:r>
              <w:rPr>
                <w:rFonts w:ascii="Times New Roman"/>
                <w:sz w:val="21"/>
              </w:rPr>
              <w:t>0.40</w:t>
            </w:r>
          </w:p>
        </w:tc>
        <w:tc>
          <w:tcPr>
            <w:tcW w:w="1199" w:type="dxa"/>
            <w:tcBorders>
              <w:top w:val="single" w:color="000000" w:sz="4" w:space="0"/>
              <w:left w:val="single" w:color="000000" w:sz="4" w:space="0"/>
              <w:right w:val="single" w:color="000000" w:sz="4" w:space="0"/>
            </w:tcBorders>
          </w:tcPr>
          <w:p>
            <w:pPr>
              <w:pStyle w:val="19"/>
              <w:spacing w:before="61"/>
              <w:ind w:left="18"/>
              <w:rPr>
                <w:rFonts w:ascii="Times New Roman"/>
                <w:sz w:val="21"/>
              </w:rPr>
            </w:pPr>
            <w:r>
              <w:rPr>
                <w:rFonts w:ascii="Times New Roman"/>
                <w:sz w:val="21"/>
              </w:rPr>
              <w:t>0.60</w:t>
            </w:r>
          </w:p>
        </w:tc>
        <w:tc>
          <w:tcPr>
            <w:tcW w:w="920" w:type="dxa"/>
            <w:tcBorders>
              <w:top w:val="single" w:color="000000" w:sz="4" w:space="0"/>
              <w:left w:val="single" w:color="000000" w:sz="4" w:space="0"/>
              <w:right w:val="single" w:color="000000" w:sz="4" w:space="0"/>
            </w:tcBorders>
          </w:tcPr>
          <w:p>
            <w:pPr>
              <w:pStyle w:val="19"/>
              <w:spacing w:before="61"/>
              <w:ind w:left="17"/>
              <w:rPr>
                <w:rFonts w:ascii="Times New Roman"/>
                <w:sz w:val="21"/>
              </w:rPr>
            </w:pPr>
            <w:r>
              <w:rPr>
                <w:rFonts w:ascii="Times New Roman"/>
                <w:w w:val="99"/>
                <w:sz w:val="21"/>
              </w:rPr>
              <w:t>/</w:t>
            </w:r>
          </w:p>
        </w:tc>
        <w:tc>
          <w:tcPr>
            <w:tcW w:w="620" w:type="dxa"/>
            <w:tcBorders>
              <w:top w:val="single" w:color="000000" w:sz="4" w:space="0"/>
              <w:left w:val="single" w:color="000000" w:sz="4" w:space="0"/>
            </w:tcBorders>
          </w:tcPr>
          <w:p>
            <w:pPr>
              <w:pStyle w:val="19"/>
              <w:spacing w:before="45"/>
              <w:ind w:left="84" w:right="61"/>
              <w:rPr>
                <w:sz w:val="21"/>
              </w:rPr>
            </w:pPr>
            <w:r>
              <w:rPr>
                <w:sz w:val="21"/>
              </w:rPr>
              <w:t>达标</w:t>
            </w:r>
          </w:p>
        </w:tc>
      </w:tr>
    </w:tbl>
    <w:p>
      <w:pPr>
        <w:spacing w:after="0"/>
        <w:rPr>
          <w:sz w:val="21"/>
        </w:rPr>
        <w:sectPr>
          <w:pgSz w:w="11910" w:h="16840"/>
          <w:pgMar w:top="1400" w:right="0" w:bottom="880" w:left="0" w:header="0" w:footer="681" w:gutter="0"/>
        </w:sectPr>
      </w:pPr>
    </w:p>
    <w:tbl>
      <w:tblPr>
        <w:tblStyle w:val="15"/>
        <w:tblW w:w="0" w:type="auto"/>
        <w:tblInd w:w="14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34"/>
        <w:gridCol w:w="1160"/>
        <w:gridCol w:w="1197"/>
        <w:gridCol w:w="1197"/>
        <w:gridCol w:w="1197"/>
        <w:gridCol w:w="1197"/>
        <w:gridCol w:w="1199"/>
        <w:gridCol w:w="920"/>
        <w:gridCol w:w="6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vMerge w:val="restart"/>
            <w:tcBorders>
              <w:bottom w:val="single" w:color="000000" w:sz="4" w:space="0"/>
              <w:right w:val="single" w:color="000000" w:sz="4" w:space="0"/>
            </w:tcBorders>
          </w:tcPr>
          <w:p>
            <w:pPr>
              <w:pStyle w:val="19"/>
              <w:spacing w:before="69" w:line="290" w:lineRule="auto"/>
              <w:ind w:left="112" w:right="95"/>
              <w:jc w:val="left"/>
              <w:rPr>
                <w:sz w:val="21"/>
              </w:rPr>
            </w:pPr>
            <w:r>
              <w:rPr>
                <w:sz w:val="21"/>
              </w:rPr>
              <w:t>序号</w:t>
            </w:r>
          </w:p>
        </w:tc>
        <w:tc>
          <w:tcPr>
            <w:tcW w:w="1160" w:type="dxa"/>
            <w:vMerge w:val="restart"/>
            <w:tcBorders>
              <w:left w:val="single" w:color="000000" w:sz="4" w:space="0"/>
              <w:bottom w:val="single" w:color="000000" w:sz="4" w:space="0"/>
              <w:right w:val="single" w:color="000000" w:sz="4" w:space="0"/>
            </w:tcBorders>
          </w:tcPr>
          <w:p>
            <w:pPr>
              <w:pStyle w:val="19"/>
              <w:spacing w:before="1"/>
              <w:jc w:val="left"/>
              <w:rPr>
                <w:b/>
                <w:sz w:val="18"/>
              </w:rPr>
            </w:pPr>
          </w:p>
          <w:p>
            <w:pPr>
              <w:pStyle w:val="19"/>
              <w:spacing w:before="1"/>
              <w:ind w:left="163"/>
              <w:jc w:val="left"/>
              <w:rPr>
                <w:sz w:val="21"/>
              </w:rPr>
            </w:pPr>
            <w:r>
              <w:rPr>
                <w:sz w:val="21"/>
              </w:rPr>
              <w:t>检测项目</w:t>
            </w:r>
          </w:p>
        </w:tc>
        <w:tc>
          <w:tcPr>
            <w:tcW w:w="5987" w:type="dxa"/>
            <w:gridSpan w:val="5"/>
            <w:tcBorders>
              <w:left w:val="single" w:color="000000" w:sz="4" w:space="0"/>
              <w:bottom w:val="single" w:color="000000" w:sz="4" w:space="0"/>
              <w:right w:val="single" w:color="000000" w:sz="4" w:space="0"/>
            </w:tcBorders>
          </w:tcPr>
          <w:p>
            <w:pPr>
              <w:pStyle w:val="19"/>
              <w:spacing w:before="61"/>
              <w:ind w:left="2889" w:right="2872"/>
              <w:rPr>
                <w:rFonts w:ascii="Times New Roman"/>
                <w:sz w:val="21"/>
              </w:rPr>
            </w:pPr>
            <w:r>
              <w:rPr>
                <w:rFonts w:ascii="Times New Roman"/>
                <w:sz w:val="21"/>
              </w:rPr>
              <w:t>Pi</w:t>
            </w:r>
          </w:p>
        </w:tc>
        <w:tc>
          <w:tcPr>
            <w:tcW w:w="920" w:type="dxa"/>
            <w:vMerge w:val="restart"/>
            <w:tcBorders>
              <w:left w:val="single" w:color="000000" w:sz="4" w:space="0"/>
              <w:bottom w:val="single" w:color="000000" w:sz="4" w:space="0"/>
              <w:right w:val="single" w:color="000000" w:sz="4" w:space="0"/>
            </w:tcBorders>
          </w:tcPr>
          <w:p>
            <w:pPr>
              <w:pStyle w:val="19"/>
              <w:spacing w:before="69"/>
              <w:ind w:left="149"/>
              <w:jc w:val="left"/>
              <w:rPr>
                <w:sz w:val="21"/>
              </w:rPr>
            </w:pPr>
            <w:r>
              <w:rPr>
                <w:w w:val="95"/>
                <w:sz w:val="21"/>
              </w:rPr>
              <w:t>超标率</w:t>
            </w:r>
          </w:p>
          <w:p>
            <w:pPr>
              <w:pStyle w:val="19"/>
              <w:spacing w:before="57"/>
              <w:ind w:left="168"/>
              <w:jc w:val="left"/>
              <w:rPr>
                <w:sz w:val="21"/>
              </w:rPr>
            </w:pPr>
            <w:r>
              <w:rPr>
                <w:sz w:val="21"/>
              </w:rPr>
              <w:t>（</w:t>
            </w:r>
            <w:r>
              <w:rPr>
                <w:rFonts w:ascii="Times New Roman" w:eastAsia="Times New Roman"/>
                <w:sz w:val="21"/>
              </w:rPr>
              <w:t>%</w:t>
            </w:r>
            <w:r>
              <w:rPr>
                <w:sz w:val="21"/>
              </w:rPr>
              <w:t>）</w:t>
            </w:r>
          </w:p>
        </w:tc>
        <w:tc>
          <w:tcPr>
            <w:tcW w:w="620" w:type="dxa"/>
            <w:vMerge w:val="restart"/>
            <w:tcBorders>
              <w:left w:val="single" w:color="000000" w:sz="4" w:space="0"/>
              <w:bottom w:val="single" w:color="000000" w:sz="4" w:space="0"/>
            </w:tcBorders>
          </w:tcPr>
          <w:p>
            <w:pPr>
              <w:pStyle w:val="19"/>
              <w:spacing w:before="69" w:line="290" w:lineRule="auto"/>
              <w:ind w:left="105" w:right="80"/>
              <w:jc w:val="left"/>
              <w:rPr>
                <w:sz w:val="21"/>
              </w:rPr>
            </w:pPr>
            <w:r>
              <w:rPr>
                <w:sz w:val="21"/>
              </w:rPr>
              <w:t>达标情况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5" w:hRule="atLeast"/>
        </w:trPr>
        <w:tc>
          <w:tcPr>
            <w:tcW w:w="434" w:type="dxa"/>
            <w:vMerge w:val="continue"/>
            <w:tcBorders>
              <w:top w:val="nil"/>
              <w:bottom w:val="single" w:color="000000" w:sz="4" w:space="0"/>
              <w:right w:val="single" w:color="000000" w:sz="4" w:space="0"/>
            </w:tcBorders>
          </w:tcPr>
          <w:p>
            <w:pPr>
              <w:rPr>
                <w:sz w:val="2"/>
                <w:szCs w:val="2"/>
              </w:rPr>
            </w:pPr>
          </w:p>
        </w:tc>
        <w:tc>
          <w:tcPr>
            <w:tcW w:w="1160" w:type="dxa"/>
            <w:vMerge w:val="continue"/>
            <w:tcBorders>
              <w:top w:val="nil"/>
              <w:left w:val="single" w:color="000000" w:sz="4" w:space="0"/>
              <w:bottom w:val="single" w:color="000000" w:sz="4" w:space="0"/>
              <w:right w:val="single" w:color="000000" w:sz="4" w:space="0"/>
            </w:tcBorders>
          </w:tcPr>
          <w:p>
            <w:pPr>
              <w:rPr>
                <w:sz w:val="2"/>
                <w:szCs w:val="2"/>
              </w:rPr>
            </w:pP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38"/>
              <w:ind w:left="34"/>
              <w:rPr>
                <w:rFonts w:ascii="Times New Roman"/>
                <w:sz w:val="21"/>
              </w:rPr>
            </w:pPr>
            <w:r>
              <w:rPr>
                <w:rFonts w:ascii="Times New Roman"/>
                <w:spacing w:val="-10"/>
                <w:sz w:val="21"/>
              </w:rPr>
              <w:t>SZ3006-20101</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38"/>
              <w:ind w:left="31"/>
              <w:rPr>
                <w:rFonts w:ascii="Times New Roman"/>
                <w:sz w:val="21"/>
              </w:rPr>
            </w:pPr>
            <w:r>
              <w:rPr>
                <w:rFonts w:ascii="Times New Roman"/>
                <w:spacing w:val="-10"/>
                <w:sz w:val="21"/>
              </w:rPr>
              <w:t>SZ3006-20201</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38"/>
              <w:ind w:left="32"/>
              <w:rPr>
                <w:rFonts w:ascii="Times New Roman"/>
                <w:sz w:val="21"/>
              </w:rPr>
            </w:pPr>
            <w:r>
              <w:rPr>
                <w:rFonts w:ascii="Times New Roman"/>
                <w:spacing w:val="-10"/>
                <w:sz w:val="21"/>
              </w:rPr>
              <w:t>SZ3006-20301</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38"/>
              <w:ind w:left="33"/>
              <w:rPr>
                <w:rFonts w:ascii="Times New Roman"/>
                <w:sz w:val="21"/>
              </w:rPr>
            </w:pPr>
            <w:r>
              <w:rPr>
                <w:rFonts w:ascii="Times New Roman"/>
                <w:spacing w:val="-10"/>
                <w:sz w:val="21"/>
              </w:rPr>
              <w:t>SZ3006-20801</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38"/>
              <w:ind w:left="32"/>
              <w:rPr>
                <w:rFonts w:ascii="Times New Roman"/>
                <w:sz w:val="21"/>
              </w:rPr>
            </w:pPr>
            <w:r>
              <w:rPr>
                <w:rFonts w:ascii="Times New Roman"/>
                <w:spacing w:val="-10"/>
                <w:sz w:val="21"/>
              </w:rPr>
              <w:t>SZ3006-20901</w:t>
            </w:r>
          </w:p>
        </w:tc>
        <w:tc>
          <w:tcPr>
            <w:tcW w:w="920" w:type="dxa"/>
            <w:vMerge w:val="continue"/>
            <w:tcBorders>
              <w:top w:val="nil"/>
              <w:left w:val="single" w:color="000000" w:sz="4" w:space="0"/>
              <w:bottom w:val="single" w:color="000000" w:sz="4" w:space="0"/>
              <w:right w:val="single" w:color="000000" w:sz="4" w:space="0"/>
            </w:tcBorders>
          </w:tcPr>
          <w:p>
            <w:pPr>
              <w:rPr>
                <w:sz w:val="2"/>
                <w:szCs w:val="2"/>
              </w:rPr>
            </w:pPr>
          </w:p>
        </w:tc>
        <w:tc>
          <w:tcPr>
            <w:tcW w:w="620"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tcBorders>
              <w:top w:val="single" w:color="000000" w:sz="4" w:space="0"/>
              <w:bottom w:val="single" w:color="000000" w:sz="4" w:space="0"/>
              <w:right w:val="single" w:color="000000" w:sz="4" w:space="0"/>
            </w:tcBorders>
          </w:tcPr>
          <w:p>
            <w:pPr>
              <w:pStyle w:val="19"/>
              <w:spacing w:before="63"/>
              <w:ind w:left="91" w:right="76"/>
              <w:rPr>
                <w:rFonts w:ascii="Times New Roman"/>
                <w:sz w:val="21"/>
              </w:rPr>
            </w:pPr>
            <w:r>
              <w:rPr>
                <w:rFonts w:ascii="Times New Roman"/>
                <w:sz w:val="21"/>
              </w:rPr>
              <w:t>10</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44"/>
              <w:ind w:left="19"/>
              <w:rPr>
                <w:sz w:val="21"/>
              </w:rPr>
            </w:pPr>
            <w:r>
              <w:rPr>
                <w:w w:val="99"/>
                <w:sz w:val="21"/>
              </w:rPr>
              <w:t>铅</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3"/>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3"/>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3"/>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3"/>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63"/>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63"/>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44"/>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bottom w:val="single" w:color="000000" w:sz="4" w:space="0"/>
              <w:right w:val="single" w:color="000000" w:sz="4" w:space="0"/>
            </w:tcBorders>
          </w:tcPr>
          <w:p>
            <w:pPr>
              <w:pStyle w:val="19"/>
              <w:spacing w:before="61"/>
              <w:ind w:left="90" w:right="77"/>
              <w:rPr>
                <w:rFonts w:ascii="Times New Roman"/>
                <w:sz w:val="21"/>
              </w:rPr>
            </w:pPr>
            <w:r>
              <w:rPr>
                <w:rFonts w:ascii="Times New Roman"/>
                <w:sz w:val="21"/>
              </w:rPr>
              <w:t>11</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45"/>
              <w:ind w:left="21" w:right="5"/>
              <w:rPr>
                <w:sz w:val="21"/>
              </w:rPr>
            </w:pPr>
            <w:r>
              <w:rPr>
                <w:sz w:val="21"/>
              </w:rPr>
              <w:t>六价铬</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61"/>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61"/>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45"/>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tcBorders>
              <w:top w:val="single" w:color="000000" w:sz="4" w:space="0"/>
              <w:bottom w:val="single" w:color="000000" w:sz="4" w:space="0"/>
              <w:right w:val="single" w:color="000000" w:sz="4" w:space="0"/>
            </w:tcBorders>
          </w:tcPr>
          <w:p>
            <w:pPr>
              <w:pStyle w:val="19"/>
              <w:spacing w:before="62"/>
              <w:ind w:left="91" w:right="76"/>
              <w:rPr>
                <w:rFonts w:ascii="Times New Roman"/>
                <w:sz w:val="21"/>
              </w:rPr>
            </w:pPr>
            <w:r>
              <w:rPr>
                <w:rFonts w:ascii="Times New Roman"/>
                <w:sz w:val="21"/>
              </w:rPr>
              <w:t>12</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43"/>
              <w:ind w:left="21" w:right="5"/>
              <w:rPr>
                <w:sz w:val="21"/>
              </w:rPr>
            </w:pPr>
            <w:r>
              <w:rPr>
                <w:sz w:val="21"/>
              </w:rPr>
              <w:t>氯化物</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20"/>
              <w:rPr>
                <w:rFonts w:ascii="Times New Roman"/>
                <w:sz w:val="21"/>
              </w:rPr>
            </w:pPr>
            <w:r>
              <w:rPr>
                <w:rFonts w:ascii="Times New Roman"/>
                <w:sz w:val="21"/>
              </w:rPr>
              <w:t>0.04</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21"/>
              <w:rPr>
                <w:rFonts w:ascii="Times New Roman"/>
                <w:sz w:val="21"/>
              </w:rPr>
            </w:pPr>
            <w:r>
              <w:rPr>
                <w:rFonts w:ascii="Times New Roman"/>
                <w:sz w:val="21"/>
              </w:rPr>
              <w:t>0.09</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20"/>
              <w:rPr>
                <w:rFonts w:ascii="Times New Roman"/>
                <w:sz w:val="21"/>
              </w:rPr>
            </w:pPr>
            <w:r>
              <w:rPr>
                <w:rFonts w:ascii="Times New Roman"/>
                <w:sz w:val="21"/>
              </w:rPr>
              <w:t>0.03</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19"/>
              <w:rPr>
                <w:rFonts w:ascii="Times New Roman"/>
                <w:sz w:val="21"/>
              </w:rPr>
            </w:pPr>
            <w:r>
              <w:rPr>
                <w:rFonts w:ascii="Times New Roman"/>
                <w:sz w:val="21"/>
              </w:rPr>
              <w:t>0.03</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62"/>
              <w:ind w:left="18"/>
              <w:rPr>
                <w:rFonts w:ascii="Times New Roman"/>
                <w:sz w:val="21"/>
              </w:rPr>
            </w:pPr>
            <w:r>
              <w:rPr>
                <w:rFonts w:ascii="Times New Roman"/>
                <w:sz w:val="21"/>
              </w:rPr>
              <w:t>0.02</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62"/>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43"/>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bottom w:val="single" w:color="000000" w:sz="4" w:space="0"/>
              <w:right w:val="single" w:color="000000" w:sz="4" w:space="0"/>
            </w:tcBorders>
          </w:tcPr>
          <w:p>
            <w:pPr>
              <w:pStyle w:val="19"/>
              <w:spacing w:before="63"/>
              <w:ind w:left="91" w:right="76"/>
              <w:rPr>
                <w:rFonts w:ascii="Times New Roman"/>
                <w:sz w:val="21"/>
              </w:rPr>
            </w:pPr>
            <w:r>
              <w:rPr>
                <w:rFonts w:ascii="Times New Roman"/>
                <w:sz w:val="21"/>
              </w:rPr>
              <w:t>13</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44"/>
              <w:ind w:left="21" w:right="5"/>
              <w:rPr>
                <w:sz w:val="21"/>
              </w:rPr>
            </w:pPr>
            <w:r>
              <w:rPr>
                <w:sz w:val="21"/>
              </w:rPr>
              <w:t>硫酸盐</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3"/>
              <w:ind w:left="20"/>
              <w:rPr>
                <w:rFonts w:ascii="Times New Roman"/>
                <w:sz w:val="21"/>
              </w:rPr>
            </w:pPr>
            <w:r>
              <w:rPr>
                <w:rFonts w:ascii="Times New Roman"/>
                <w:sz w:val="21"/>
              </w:rPr>
              <w:t>0.09</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3"/>
              <w:ind w:left="21"/>
              <w:rPr>
                <w:rFonts w:ascii="Times New Roman"/>
                <w:sz w:val="21"/>
              </w:rPr>
            </w:pPr>
            <w:r>
              <w:rPr>
                <w:rFonts w:ascii="Times New Roman"/>
                <w:sz w:val="21"/>
              </w:rPr>
              <w:t>0.24</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3"/>
              <w:ind w:left="20"/>
              <w:rPr>
                <w:rFonts w:ascii="Times New Roman"/>
                <w:sz w:val="21"/>
              </w:rPr>
            </w:pPr>
            <w:r>
              <w:rPr>
                <w:rFonts w:ascii="Times New Roman"/>
                <w:sz w:val="21"/>
              </w:rPr>
              <w:t>0.06</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3"/>
              <w:ind w:left="19"/>
              <w:rPr>
                <w:rFonts w:ascii="Times New Roman"/>
                <w:sz w:val="21"/>
              </w:rPr>
            </w:pPr>
            <w:r>
              <w:rPr>
                <w:rFonts w:ascii="Times New Roman"/>
                <w:sz w:val="21"/>
              </w:rPr>
              <w:t>0.06</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63"/>
              <w:ind w:left="18"/>
              <w:rPr>
                <w:rFonts w:ascii="Times New Roman"/>
                <w:sz w:val="21"/>
              </w:rPr>
            </w:pPr>
            <w:r>
              <w:rPr>
                <w:rFonts w:ascii="Times New Roman"/>
                <w:sz w:val="21"/>
              </w:rPr>
              <w:t>0.06</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63"/>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44"/>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tcBorders>
              <w:top w:val="single" w:color="000000" w:sz="4" w:space="0"/>
              <w:bottom w:val="single" w:color="000000" w:sz="4" w:space="0"/>
              <w:right w:val="single" w:color="000000" w:sz="4" w:space="0"/>
            </w:tcBorders>
          </w:tcPr>
          <w:p>
            <w:pPr>
              <w:pStyle w:val="19"/>
              <w:spacing w:before="61"/>
              <w:ind w:left="91" w:right="76"/>
              <w:rPr>
                <w:rFonts w:ascii="Times New Roman"/>
                <w:sz w:val="21"/>
              </w:rPr>
            </w:pPr>
            <w:r>
              <w:rPr>
                <w:rFonts w:ascii="Times New Roman"/>
                <w:sz w:val="21"/>
              </w:rPr>
              <w:t>14</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45"/>
              <w:ind w:left="19" w:right="5"/>
              <w:rPr>
                <w:sz w:val="21"/>
              </w:rPr>
            </w:pPr>
            <w:r>
              <w:rPr>
                <w:sz w:val="21"/>
              </w:rPr>
              <w:t>细菌总数</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20"/>
              <w:rPr>
                <w:rFonts w:ascii="Times New Roman"/>
                <w:sz w:val="21"/>
              </w:rPr>
            </w:pPr>
            <w:r>
              <w:rPr>
                <w:rFonts w:ascii="Times New Roman"/>
                <w:sz w:val="21"/>
              </w:rPr>
              <w:t>0.14</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21"/>
              <w:rPr>
                <w:rFonts w:ascii="Times New Roman"/>
                <w:sz w:val="21"/>
              </w:rPr>
            </w:pPr>
            <w:r>
              <w:rPr>
                <w:rFonts w:ascii="Times New Roman"/>
                <w:sz w:val="21"/>
              </w:rPr>
              <w:t>0.10</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20"/>
              <w:rPr>
                <w:rFonts w:ascii="Times New Roman"/>
                <w:sz w:val="21"/>
              </w:rPr>
            </w:pPr>
            <w:r>
              <w:rPr>
                <w:rFonts w:ascii="Times New Roman"/>
                <w:sz w:val="21"/>
              </w:rPr>
              <w:t>0.11</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19"/>
              <w:rPr>
                <w:rFonts w:ascii="Times New Roman"/>
                <w:sz w:val="21"/>
              </w:rPr>
            </w:pPr>
            <w:r>
              <w:rPr>
                <w:rFonts w:ascii="Times New Roman"/>
                <w:sz w:val="21"/>
              </w:rPr>
              <w:t>0.11</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61"/>
              <w:ind w:left="18"/>
              <w:rPr>
                <w:rFonts w:ascii="Times New Roman"/>
                <w:sz w:val="21"/>
              </w:rPr>
            </w:pPr>
            <w:r>
              <w:rPr>
                <w:rFonts w:ascii="Times New Roman"/>
                <w:sz w:val="21"/>
              </w:rPr>
              <w:t>0.10</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61"/>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45"/>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tcBorders>
              <w:top w:val="single" w:color="000000" w:sz="4" w:space="0"/>
              <w:bottom w:val="single" w:color="000000" w:sz="4" w:space="0"/>
              <w:right w:val="single" w:color="000000" w:sz="4" w:space="0"/>
            </w:tcBorders>
          </w:tcPr>
          <w:p>
            <w:pPr>
              <w:pStyle w:val="19"/>
              <w:spacing w:before="62"/>
              <w:ind w:left="91" w:right="76"/>
              <w:rPr>
                <w:rFonts w:ascii="Times New Roman"/>
                <w:sz w:val="21"/>
              </w:rPr>
            </w:pPr>
            <w:r>
              <w:rPr>
                <w:rFonts w:ascii="Times New Roman"/>
                <w:sz w:val="21"/>
              </w:rPr>
              <w:t>15</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43"/>
              <w:ind w:left="24" w:right="5"/>
              <w:rPr>
                <w:sz w:val="21"/>
              </w:rPr>
            </w:pPr>
            <w:r>
              <w:rPr>
                <w:sz w:val="21"/>
              </w:rPr>
              <w:t>总大肠菌群</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62"/>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62"/>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43"/>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tcBorders>
              <w:top w:val="single" w:color="000000" w:sz="4" w:space="0"/>
              <w:bottom w:val="single" w:color="000000" w:sz="4" w:space="0"/>
              <w:right w:val="single" w:color="000000" w:sz="4" w:space="0"/>
            </w:tcBorders>
          </w:tcPr>
          <w:p>
            <w:pPr>
              <w:pStyle w:val="19"/>
              <w:spacing w:before="63"/>
              <w:ind w:left="91" w:right="76"/>
              <w:rPr>
                <w:rFonts w:ascii="Times New Roman"/>
                <w:sz w:val="21"/>
              </w:rPr>
            </w:pPr>
            <w:r>
              <w:rPr>
                <w:rFonts w:ascii="Times New Roman"/>
                <w:sz w:val="21"/>
              </w:rPr>
              <w:t>16</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44"/>
              <w:ind w:left="24" w:right="5"/>
              <w:rPr>
                <w:sz w:val="21"/>
              </w:rPr>
            </w:pPr>
            <w:r>
              <w:rPr>
                <w:sz w:val="21"/>
              </w:rPr>
              <w:t>挥发性酚类</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3"/>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3"/>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3"/>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3"/>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63"/>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63"/>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44"/>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bottom w:val="single" w:color="000000" w:sz="4" w:space="0"/>
              <w:right w:val="single" w:color="000000" w:sz="4" w:space="0"/>
            </w:tcBorders>
          </w:tcPr>
          <w:p>
            <w:pPr>
              <w:pStyle w:val="19"/>
              <w:spacing w:before="61"/>
              <w:ind w:left="91" w:right="76"/>
              <w:rPr>
                <w:rFonts w:ascii="Times New Roman"/>
                <w:sz w:val="21"/>
              </w:rPr>
            </w:pPr>
            <w:r>
              <w:rPr>
                <w:rFonts w:ascii="Times New Roman"/>
                <w:sz w:val="21"/>
              </w:rPr>
              <w:t>17</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45"/>
              <w:ind w:left="21" w:right="5"/>
              <w:rPr>
                <w:sz w:val="21"/>
              </w:rPr>
            </w:pPr>
            <w:r>
              <w:rPr>
                <w:sz w:val="21"/>
              </w:rPr>
              <w:t>氰化物</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61"/>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61"/>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45"/>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bottom w:val="single" w:color="000000" w:sz="4" w:space="0"/>
              <w:right w:val="single" w:color="000000" w:sz="4" w:space="0"/>
            </w:tcBorders>
          </w:tcPr>
          <w:p>
            <w:pPr>
              <w:pStyle w:val="19"/>
              <w:spacing w:before="62"/>
              <w:ind w:left="91" w:right="76"/>
              <w:rPr>
                <w:rFonts w:ascii="Times New Roman"/>
                <w:sz w:val="21"/>
              </w:rPr>
            </w:pPr>
            <w:r>
              <w:rPr>
                <w:rFonts w:ascii="Times New Roman"/>
                <w:sz w:val="21"/>
              </w:rPr>
              <w:t>18</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43"/>
              <w:ind w:left="19"/>
              <w:rPr>
                <w:sz w:val="21"/>
              </w:rPr>
            </w:pPr>
            <w:r>
              <w:rPr>
                <w:w w:val="99"/>
                <w:sz w:val="21"/>
              </w:rPr>
              <w:t>砷</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62"/>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62"/>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43"/>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tcBorders>
              <w:top w:val="single" w:color="000000" w:sz="4" w:space="0"/>
              <w:bottom w:val="single" w:color="000000" w:sz="4" w:space="0"/>
              <w:right w:val="single" w:color="000000" w:sz="4" w:space="0"/>
            </w:tcBorders>
          </w:tcPr>
          <w:p>
            <w:pPr>
              <w:pStyle w:val="19"/>
              <w:spacing w:before="63"/>
              <w:ind w:left="91" w:right="76"/>
              <w:rPr>
                <w:rFonts w:ascii="Times New Roman"/>
                <w:sz w:val="21"/>
              </w:rPr>
            </w:pPr>
            <w:r>
              <w:rPr>
                <w:rFonts w:ascii="Times New Roman"/>
                <w:sz w:val="21"/>
              </w:rPr>
              <w:t>19</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44"/>
              <w:ind w:left="19"/>
              <w:rPr>
                <w:sz w:val="21"/>
              </w:rPr>
            </w:pPr>
            <w:r>
              <w:rPr>
                <w:w w:val="99"/>
                <w:sz w:val="21"/>
              </w:rPr>
              <w:t>汞</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3"/>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3"/>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3"/>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3"/>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63"/>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63"/>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44"/>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bottom w:val="single" w:color="000000" w:sz="4" w:space="0"/>
              <w:right w:val="single" w:color="000000" w:sz="4" w:space="0"/>
            </w:tcBorders>
          </w:tcPr>
          <w:p>
            <w:pPr>
              <w:pStyle w:val="19"/>
              <w:spacing w:before="61"/>
              <w:ind w:left="91" w:right="76"/>
              <w:rPr>
                <w:rFonts w:ascii="Times New Roman"/>
                <w:sz w:val="21"/>
              </w:rPr>
            </w:pPr>
            <w:r>
              <w:rPr>
                <w:rFonts w:ascii="Times New Roman"/>
                <w:sz w:val="21"/>
              </w:rPr>
              <w:t>20</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45"/>
              <w:ind w:left="21" w:right="5"/>
              <w:rPr>
                <w:sz w:val="21"/>
              </w:rPr>
            </w:pPr>
            <w:r>
              <w:rPr>
                <w:sz w:val="21"/>
              </w:rPr>
              <w:t>氟化物</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20"/>
              <w:rPr>
                <w:rFonts w:ascii="Times New Roman"/>
                <w:sz w:val="21"/>
              </w:rPr>
            </w:pPr>
            <w:r>
              <w:rPr>
                <w:rFonts w:ascii="Times New Roman"/>
                <w:sz w:val="21"/>
              </w:rPr>
              <w:t>0.23</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21"/>
              <w:rPr>
                <w:rFonts w:ascii="Times New Roman"/>
                <w:sz w:val="21"/>
              </w:rPr>
            </w:pPr>
            <w:r>
              <w:rPr>
                <w:rFonts w:ascii="Times New Roman"/>
                <w:sz w:val="21"/>
              </w:rPr>
              <w:t>0.24</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20"/>
              <w:rPr>
                <w:rFonts w:ascii="Times New Roman"/>
                <w:sz w:val="21"/>
              </w:rPr>
            </w:pPr>
            <w:r>
              <w:rPr>
                <w:rFonts w:ascii="Times New Roman"/>
                <w:sz w:val="21"/>
              </w:rPr>
              <w:t>0.26</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19"/>
              <w:rPr>
                <w:rFonts w:ascii="Times New Roman"/>
                <w:sz w:val="21"/>
              </w:rPr>
            </w:pPr>
            <w:r>
              <w:rPr>
                <w:rFonts w:ascii="Times New Roman"/>
                <w:sz w:val="21"/>
              </w:rPr>
              <w:t>0.22</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61"/>
              <w:ind w:left="18"/>
              <w:rPr>
                <w:rFonts w:ascii="Times New Roman"/>
                <w:sz w:val="21"/>
              </w:rPr>
            </w:pPr>
            <w:r>
              <w:rPr>
                <w:rFonts w:ascii="Times New Roman"/>
                <w:sz w:val="21"/>
              </w:rPr>
              <w:t>0.21</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61"/>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45"/>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tcBorders>
              <w:top w:val="single" w:color="000000" w:sz="4" w:space="0"/>
              <w:bottom w:val="single" w:color="000000" w:sz="4" w:space="0"/>
              <w:right w:val="single" w:color="000000" w:sz="4" w:space="0"/>
            </w:tcBorders>
          </w:tcPr>
          <w:p>
            <w:pPr>
              <w:pStyle w:val="19"/>
              <w:spacing w:before="62"/>
              <w:ind w:left="90" w:right="77"/>
              <w:rPr>
                <w:rFonts w:ascii="Times New Roman"/>
                <w:sz w:val="21"/>
              </w:rPr>
            </w:pPr>
            <w:r>
              <w:rPr>
                <w:rFonts w:ascii="Times New Roman"/>
                <w:sz w:val="21"/>
              </w:rPr>
              <w:t>21</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43"/>
              <w:ind w:left="19"/>
              <w:rPr>
                <w:sz w:val="21"/>
              </w:rPr>
            </w:pPr>
            <w:r>
              <w:rPr>
                <w:w w:val="99"/>
                <w:sz w:val="21"/>
              </w:rPr>
              <w:t>镉</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62"/>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62"/>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43"/>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bottom w:val="single" w:color="000000" w:sz="4" w:space="0"/>
              <w:right w:val="single" w:color="000000" w:sz="4" w:space="0"/>
            </w:tcBorders>
          </w:tcPr>
          <w:p>
            <w:pPr>
              <w:pStyle w:val="19"/>
              <w:spacing w:before="63"/>
              <w:ind w:left="91" w:right="76"/>
              <w:rPr>
                <w:rFonts w:ascii="Times New Roman"/>
                <w:sz w:val="21"/>
              </w:rPr>
            </w:pPr>
            <w:r>
              <w:rPr>
                <w:rFonts w:ascii="Times New Roman"/>
                <w:sz w:val="21"/>
              </w:rPr>
              <w:t>22</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44"/>
              <w:ind w:left="21" w:right="5"/>
              <w:rPr>
                <w:sz w:val="21"/>
              </w:rPr>
            </w:pPr>
            <w:r>
              <w:rPr>
                <w:sz w:val="21"/>
              </w:rPr>
              <w:t>钾离子</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3"/>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3"/>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3"/>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3"/>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63"/>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63"/>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44"/>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bottom w:val="single" w:color="000000" w:sz="4" w:space="0"/>
              <w:right w:val="single" w:color="000000" w:sz="4" w:space="0"/>
            </w:tcBorders>
          </w:tcPr>
          <w:p>
            <w:pPr>
              <w:pStyle w:val="19"/>
              <w:spacing w:before="61"/>
              <w:ind w:left="91" w:right="76"/>
              <w:rPr>
                <w:rFonts w:ascii="Times New Roman"/>
                <w:sz w:val="21"/>
              </w:rPr>
            </w:pPr>
            <w:r>
              <w:rPr>
                <w:rFonts w:ascii="Times New Roman"/>
                <w:sz w:val="21"/>
              </w:rPr>
              <w:t>23</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45"/>
              <w:ind w:left="21" w:right="5"/>
              <w:rPr>
                <w:sz w:val="21"/>
              </w:rPr>
            </w:pPr>
            <w:r>
              <w:rPr>
                <w:sz w:val="21"/>
              </w:rPr>
              <w:t>钠离子</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20"/>
              <w:rPr>
                <w:rFonts w:ascii="Times New Roman"/>
                <w:sz w:val="21"/>
              </w:rPr>
            </w:pPr>
            <w:r>
              <w:rPr>
                <w:rFonts w:ascii="Times New Roman"/>
                <w:sz w:val="21"/>
              </w:rPr>
              <w:t>0.04</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21"/>
              <w:rPr>
                <w:rFonts w:ascii="Times New Roman"/>
                <w:sz w:val="21"/>
              </w:rPr>
            </w:pPr>
            <w:r>
              <w:rPr>
                <w:rFonts w:ascii="Times New Roman"/>
                <w:sz w:val="21"/>
              </w:rPr>
              <w:t>0.12</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20"/>
              <w:rPr>
                <w:rFonts w:ascii="Times New Roman"/>
                <w:sz w:val="21"/>
              </w:rPr>
            </w:pPr>
            <w:r>
              <w:rPr>
                <w:rFonts w:ascii="Times New Roman"/>
                <w:sz w:val="21"/>
              </w:rPr>
              <w:t>0.07</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19"/>
              <w:rPr>
                <w:rFonts w:ascii="Times New Roman"/>
                <w:sz w:val="21"/>
              </w:rPr>
            </w:pPr>
            <w:r>
              <w:rPr>
                <w:rFonts w:ascii="Times New Roman"/>
                <w:sz w:val="21"/>
              </w:rPr>
              <w:t>0.06</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61"/>
              <w:ind w:left="18"/>
              <w:rPr>
                <w:rFonts w:ascii="Times New Roman"/>
                <w:sz w:val="21"/>
              </w:rPr>
            </w:pPr>
            <w:r>
              <w:rPr>
                <w:rFonts w:ascii="Times New Roman"/>
                <w:sz w:val="21"/>
              </w:rPr>
              <w:t>0.07</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61"/>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45"/>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bottom w:val="single" w:color="000000" w:sz="4" w:space="0"/>
              <w:right w:val="single" w:color="000000" w:sz="4" w:space="0"/>
            </w:tcBorders>
          </w:tcPr>
          <w:p>
            <w:pPr>
              <w:pStyle w:val="19"/>
              <w:spacing w:before="62"/>
              <w:ind w:left="91" w:right="76"/>
              <w:rPr>
                <w:rFonts w:ascii="Times New Roman"/>
                <w:sz w:val="21"/>
              </w:rPr>
            </w:pPr>
            <w:r>
              <w:rPr>
                <w:rFonts w:ascii="Times New Roman"/>
                <w:sz w:val="21"/>
              </w:rPr>
              <w:t>24</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43"/>
              <w:ind w:left="21" w:right="5"/>
              <w:rPr>
                <w:sz w:val="21"/>
              </w:rPr>
            </w:pPr>
            <w:r>
              <w:rPr>
                <w:sz w:val="21"/>
              </w:rPr>
              <w:t>钙离子</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2"/>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62"/>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62"/>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43"/>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bottom w:val="single" w:color="000000" w:sz="4" w:space="0"/>
              <w:right w:val="single" w:color="000000" w:sz="4" w:space="0"/>
            </w:tcBorders>
          </w:tcPr>
          <w:p>
            <w:pPr>
              <w:pStyle w:val="19"/>
              <w:spacing w:before="63"/>
              <w:ind w:left="91" w:right="76"/>
              <w:rPr>
                <w:rFonts w:ascii="Times New Roman"/>
                <w:sz w:val="21"/>
              </w:rPr>
            </w:pPr>
            <w:r>
              <w:rPr>
                <w:rFonts w:ascii="Times New Roman"/>
                <w:sz w:val="21"/>
              </w:rPr>
              <w:t>25</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44"/>
              <w:ind w:left="21" w:right="5"/>
              <w:rPr>
                <w:sz w:val="21"/>
              </w:rPr>
            </w:pPr>
            <w:r>
              <w:rPr>
                <w:sz w:val="21"/>
              </w:rPr>
              <w:t>镁离子</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3"/>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3"/>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3"/>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3"/>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63"/>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63"/>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44"/>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tcBorders>
              <w:top w:val="single" w:color="000000" w:sz="4" w:space="0"/>
              <w:bottom w:val="single" w:color="000000" w:sz="4" w:space="0"/>
              <w:right w:val="single" w:color="000000" w:sz="4" w:space="0"/>
            </w:tcBorders>
          </w:tcPr>
          <w:p>
            <w:pPr>
              <w:pStyle w:val="19"/>
              <w:spacing w:before="61"/>
              <w:ind w:left="91" w:right="76"/>
              <w:rPr>
                <w:rFonts w:ascii="Times New Roman"/>
                <w:sz w:val="21"/>
              </w:rPr>
            </w:pPr>
            <w:r>
              <w:rPr>
                <w:rFonts w:ascii="Times New Roman"/>
                <w:sz w:val="21"/>
              </w:rPr>
              <w:t>26</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45"/>
              <w:ind w:left="24" w:right="5"/>
              <w:rPr>
                <w:sz w:val="21"/>
              </w:rPr>
            </w:pPr>
            <w:r>
              <w:rPr>
                <w:sz w:val="21"/>
              </w:rPr>
              <w:t>碳酸根离子</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1"/>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61"/>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61"/>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45"/>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434" w:type="dxa"/>
            <w:tcBorders>
              <w:top w:val="single" w:color="000000" w:sz="4" w:space="0"/>
              <w:bottom w:val="single" w:color="000000" w:sz="4" w:space="0"/>
              <w:right w:val="single" w:color="000000" w:sz="4" w:space="0"/>
            </w:tcBorders>
          </w:tcPr>
          <w:p>
            <w:pPr>
              <w:pStyle w:val="19"/>
              <w:spacing w:before="180"/>
              <w:ind w:left="91" w:right="76"/>
              <w:rPr>
                <w:rFonts w:ascii="Times New Roman"/>
                <w:sz w:val="21"/>
              </w:rPr>
            </w:pPr>
            <w:r>
              <w:rPr>
                <w:rFonts w:ascii="Times New Roman"/>
                <w:sz w:val="21"/>
              </w:rPr>
              <w:t>27</w:t>
            </w:r>
          </w:p>
        </w:tc>
        <w:tc>
          <w:tcPr>
            <w:tcW w:w="1160" w:type="dxa"/>
            <w:tcBorders>
              <w:top w:val="single" w:color="000000" w:sz="4" w:space="0"/>
              <w:left w:val="single" w:color="000000" w:sz="4" w:space="0"/>
              <w:bottom w:val="single" w:color="000000" w:sz="4" w:space="0"/>
              <w:right w:val="single" w:color="000000" w:sz="4" w:space="0"/>
            </w:tcBorders>
          </w:tcPr>
          <w:p>
            <w:pPr>
              <w:pStyle w:val="19"/>
              <w:ind w:left="24" w:right="5"/>
              <w:rPr>
                <w:sz w:val="21"/>
              </w:rPr>
            </w:pPr>
            <w:r>
              <w:rPr>
                <w:sz w:val="21"/>
              </w:rPr>
              <w:t>碳酸氢根离</w:t>
            </w:r>
          </w:p>
          <w:p>
            <w:pPr>
              <w:pStyle w:val="19"/>
              <w:spacing w:before="57"/>
              <w:ind w:left="19"/>
              <w:rPr>
                <w:sz w:val="21"/>
              </w:rPr>
            </w:pPr>
            <w:r>
              <w:rPr>
                <w:w w:val="99"/>
                <w:sz w:val="21"/>
              </w:rPr>
              <w:t>子</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180"/>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180"/>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180"/>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180"/>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180"/>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180"/>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163"/>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tcBorders>
              <w:top w:val="single" w:color="000000" w:sz="4" w:space="0"/>
              <w:bottom w:val="single" w:color="000000" w:sz="4" w:space="0"/>
              <w:right w:val="single" w:color="000000" w:sz="4" w:space="0"/>
            </w:tcBorders>
          </w:tcPr>
          <w:p>
            <w:pPr>
              <w:pStyle w:val="19"/>
              <w:spacing w:before="60"/>
              <w:ind w:left="91" w:right="76"/>
              <w:rPr>
                <w:rFonts w:ascii="Times New Roman"/>
                <w:sz w:val="21"/>
              </w:rPr>
            </w:pPr>
            <w:r>
              <w:rPr>
                <w:rFonts w:ascii="Times New Roman"/>
                <w:sz w:val="21"/>
              </w:rPr>
              <w:t>28</w:t>
            </w:r>
          </w:p>
        </w:tc>
        <w:tc>
          <w:tcPr>
            <w:tcW w:w="1160" w:type="dxa"/>
            <w:tcBorders>
              <w:top w:val="single" w:color="000000" w:sz="4" w:space="0"/>
              <w:left w:val="single" w:color="000000" w:sz="4" w:space="0"/>
              <w:bottom w:val="single" w:color="000000" w:sz="4" w:space="0"/>
              <w:right w:val="single" w:color="000000" w:sz="4" w:space="0"/>
            </w:tcBorders>
          </w:tcPr>
          <w:p>
            <w:pPr>
              <w:pStyle w:val="19"/>
              <w:spacing w:before="42"/>
              <w:ind w:left="21" w:right="5"/>
              <w:rPr>
                <w:sz w:val="21"/>
              </w:rPr>
            </w:pPr>
            <w:r>
              <w:rPr>
                <w:sz w:val="21"/>
              </w:rPr>
              <w:t>氯离子</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0"/>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0"/>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0"/>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9"/>
              <w:spacing w:before="60"/>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9"/>
              <w:spacing w:before="60"/>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9"/>
              <w:spacing w:before="60"/>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9"/>
              <w:spacing w:before="42"/>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right w:val="single" w:color="000000" w:sz="4" w:space="0"/>
            </w:tcBorders>
          </w:tcPr>
          <w:p>
            <w:pPr>
              <w:pStyle w:val="19"/>
              <w:spacing w:before="61"/>
              <w:ind w:left="91" w:right="76"/>
              <w:rPr>
                <w:rFonts w:ascii="Times New Roman"/>
                <w:sz w:val="21"/>
              </w:rPr>
            </w:pPr>
            <w:r>
              <w:rPr>
                <w:rFonts w:ascii="Times New Roman"/>
                <w:sz w:val="21"/>
              </w:rPr>
              <w:t>29</w:t>
            </w:r>
          </w:p>
        </w:tc>
        <w:tc>
          <w:tcPr>
            <w:tcW w:w="1160" w:type="dxa"/>
            <w:tcBorders>
              <w:top w:val="single" w:color="000000" w:sz="4" w:space="0"/>
              <w:left w:val="single" w:color="000000" w:sz="4" w:space="0"/>
              <w:right w:val="single" w:color="000000" w:sz="4" w:space="0"/>
            </w:tcBorders>
          </w:tcPr>
          <w:p>
            <w:pPr>
              <w:pStyle w:val="19"/>
              <w:spacing w:before="42"/>
              <w:ind w:left="24" w:right="5"/>
              <w:rPr>
                <w:sz w:val="21"/>
              </w:rPr>
            </w:pPr>
            <w:r>
              <w:rPr>
                <w:sz w:val="21"/>
              </w:rPr>
              <w:t>硫酸根离子</w:t>
            </w:r>
          </w:p>
        </w:tc>
        <w:tc>
          <w:tcPr>
            <w:tcW w:w="1197" w:type="dxa"/>
            <w:tcBorders>
              <w:top w:val="single" w:color="000000" w:sz="4" w:space="0"/>
              <w:left w:val="single" w:color="000000" w:sz="4" w:space="0"/>
              <w:right w:val="single" w:color="000000" w:sz="4" w:space="0"/>
            </w:tcBorders>
          </w:tcPr>
          <w:p>
            <w:pPr>
              <w:pStyle w:val="19"/>
              <w:spacing w:before="61"/>
              <w:ind w:left="17"/>
              <w:rPr>
                <w:rFonts w:ascii="Times New Roman"/>
                <w:sz w:val="21"/>
              </w:rPr>
            </w:pPr>
            <w:r>
              <w:rPr>
                <w:rFonts w:ascii="Times New Roman"/>
                <w:w w:val="99"/>
                <w:sz w:val="21"/>
              </w:rPr>
              <w:t>/</w:t>
            </w:r>
          </w:p>
        </w:tc>
        <w:tc>
          <w:tcPr>
            <w:tcW w:w="1197" w:type="dxa"/>
            <w:tcBorders>
              <w:top w:val="single" w:color="000000" w:sz="4" w:space="0"/>
              <w:left w:val="single" w:color="000000" w:sz="4" w:space="0"/>
              <w:right w:val="single" w:color="000000" w:sz="4" w:space="0"/>
            </w:tcBorders>
          </w:tcPr>
          <w:p>
            <w:pPr>
              <w:pStyle w:val="19"/>
              <w:spacing w:before="61"/>
              <w:ind w:left="18"/>
              <w:rPr>
                <w:rFonts w:ascii="Times New Roman"/>
                <w:sz w:val="21"/>
              </w:rPr>
            </w:pPr>
            <w:r>
              <w:rPr>
                <w:rFonts w:ascii="Times New Roman"/>
                <w:w w:val="99"/>
                <w:sz w:val="21"/>
              </w:rPr>
              <w:t>/</w:t>
            </w:r>
          </w:p>
        </w:tc>
        <w:tc>
          <w:tcPr>
            <w:tcW w:w="1197" w:type="dxa"/>
            <w:tcBorders>
              <w:top w:val="single" w:color="000000" w:sz="4" w:space="0"/>
              <w:left w:val="single" w:color="000000" w:sz="4" w:space="0"/>
              <w:right w:val="single" w:color="000000" w:sz="4" w:space="0"/>
            </w:tcBorders>
          </w:tcPr>
          <w:p>
            <w:pPr>
              <w:pStyle w:val="19"/>
              <w:spacing w:before="61"/>
              <w:ind w:left="19"/>
              <w:rPr>
                <w:rFonts w:ascii="Times New Roman"/>
                <w:sz w:val="21"/>
              </w:rPr>
            </w:pPr>
            <w:r>
              <w:rPr>
                <w:rFonts w:ascii="Times New Roman"/>
                <w:w w:val="99"/>
                <w:sz w:val="21"/>
              </w:rPr>
              <w:t>/</w:t>
            </w:r>
          </w:p>
        </w:tc>
        <w:tc>
          <w:tcPr>
            <w:tcW w:w="1197" w:type="dxa"/>
            <w:tcBorders>
              <w:top w:val="single" w:color="000000" w:sz="4" w:space="0"/>
              <w:left w:val="single" w:color="000000" w:sz="4" w:space="0"/>
              <w:right w:val="single" w:color="000000" w:sz="4" w:space="0"/>
            </w:tcBorders>
          </w:tcPr>
          <w:p>
            <w:pPr>
              <w:pStyle w:val="19"/>
              <w:spacing w:before="61"/>
              <w:ind w:left="15"/>
              <w:rPr>
                <w:rFonts w:ascii="Times New Roman"/>
                <w:sz w:val="21"/>
              </w:rPr>
            </w:pPr>
            <w:r>
              <w:rPr>
                <w:rFonts w:ascii="Times New Roman"/>
                <w:w w:val="99"/>
                <w:sz w:val="21"/>
              </w:rPr>
              <w:t>/</w:t>
            </w:r>
          </w:p>
        </w:tc>
        <w:tc>
          <w:tcPr>
            <w:tcW w:w="1199" w:type="dxa"/>
            <w:tcBorders>
              <w:top w:val="single" w:color="000000" w:sz="4" w:space="0"/>
              <w:left w:val="single" w:color="000000" w:sz="4" w:space="0"/>
              <w:right w:val="single" w:color="000000" w:sz="4" w:space="0"/>
            </w:tcBorders>
          </w:tcPr>
          <w:p>
            <w:pPr>
              <w:pStyle w:val="19"/>
              <w:spacing w:before="61"/>
              <w:ind w:left="19"/>
              <w:rPr>
                <w:rFonts w:ascii="Times New Roman"/>
                <w:sz w:val="21"/>
              </w:rPr>
            </w:pPr>
            <w:r>
              <w:rPr>
                <w:rFonts w:ascii="Times New Roman"/>
                <w:w w:val="99"/>
                <w:sz w:val="21"/>
              </w:rPr>
              <w:t>/</w:t>
            </w:r>
          </w:p>
        </w:tc>
        <w:tc>
          <w:tcPr>
            <w:tcW w:w="920" w:type="dxa"/>
            <w:tcBorders>
              <w:top w:val="single" w:color="000000" w:sz="4" w:space="0"/>
              <w:left w:val="single" w:color="000000" w:sz="4" w:space="0"/>
              <w:right w:val="single" w:color="000000" w:sz="4" w:space="0"/>
            </w:tcBorders>
          </w:tcPr>
          <w:p>
            <w:pPr>
              <w:pStyle w:val="19"/>
              <w:spacing w:before="61"/>
              <w:ind w:left="17"/>
              <w:rPr>
                <w:rFonts w:ascii="Times New Roman"/>
                <w:sz w:val="21"/>
              </w:rPr>
            </w:pPr>
            <w:r>
              <w:rPr>
                <w:rFonts w:ascii="Times New Roman"/>
                <w:w w:val="99"/>
                <w:sz w:val="21"/>
              </w:rPr>
              <w:t>/</w:t>
            </w:r>
          </w:p>
        </w:tc>
        <w:tc>
          <w:tcPr>
            <w:tcW w:w="620" w:type="dxa"/>
            <w:tcBorders>
              <w:top w:val="single" w:color="000000" w:sz="4" w:space="0"/>
              <w:left w:val="single" w:color="000000" w:sz="4" w:space="0"/>
            </w:tcBorders>
          </w:tcPr>
          <w:p>
            <w:pPr>
              <w:pStyle w:val="19"/>
              <w:spacing w:before="42"/>
              <w:ind w:left="84" w:right="61"/>
              <w:rPr>
                <w:sz w:val="21"/>
              </w:rPr>
            </w:pPr>
            <w:r>
              <w:rPr>
                <w:sz w:val="21"/>
              </w:rPr>
              <w:t>达标</w:t>
            </w:r>
          </w:p>
        </w:tc>
      </w:tr>
    </w:tbl>
    <w:p>
      <w:pPr>
        <w:pStyle w:val="9"/>
        <w:spacing w:before="1" w:line="364" w:lineRule="auto"/>
        <w:ind w:left="1418" w:right="1338" w:firstLine="480"/>
      </w:pPr>
      <w:r>
        <w:t>各项指标除高锰酸盐指数及铁外均满足《地下水质量标准》（</w:t>
      </w:r>
      <w:r>
        <w:rPr>
          <w:rFonts w:ascii="Times New Roman" w:hAnsi="Times New Roman" w:eastAsia="Times New Roman"/>
        </w:rPr>
        <w:t>GB/T14848-2017</w:t>
      </w:r>
      <w:r>
        <w:t>）中Ⅲ类标准。</w:t>
      </w:r>
    </w:p>
    <w:p>
      <w:pPr>
        <w:pStyle w:val="9"/>
        <w:spacing w:line="306" w:lineRule="exact"/>
        <w:ind w:left="1418"/>
      </w:pPr>
      <w:r>
        <w:t>（</w:t>
      </w:r>
      <w:r>
        <w:rPr>
          <w:rFonts w:ascii="Times New Roman" w:eastAsia="Times New Roman"/>
        </w:rPr>
        <w:t>2</w:t>
      </w:r>
      <w:r>
        <w:t>）地下水化学类型</w:t>
      </w:r>
    </w:p>
    <w:p>
      <w:pPr>
        <w:pStyle w:val="9"/>
        <w:spacing w:before="161" w:line="364" w:lineRule="auto"/>
        <w:ind w:left="1418" w:right="1413" w:firstLine="480"/>
        <w:jc w:val="both"/>
      </w:pPr>
      <w:r>
        <w:rPr>
          <w:spacing w:val="-4"/>
        </w:rPr>
        <w:t>本次采用舒卡列夫分类法对地下水化学类型进行评价。地下水化学类型的舒卡列夫</w:t>
      </w:r>
      <w:r>
        <w:rPr>
          <w:spacing w:val="-6"/>
        </w:rPr>
        <w:t xml:space="preserve">分类是根据地下水中 </w:t>
      </w:r>
      <w:r>
        <w:rPr>
          <w:rFonts w:ascii="Times New Roman" w:eastAsia="Times New Roman"/>
        </w:rPr>
        <w:t xml:space="preserve">6 </w:t>
      </w:r>
      <w:r>
        <w:t>种主要离子（</w:t>
      </w:r>
      <w:r>
        <w:rPr>
          <w:rFonts w:ascii="Times New Roman" w:eastAsia="Times New Roman"/>
        </w:rPr>
        <w:t>Na</w:t>
      </w:r>
      <w:r>
        <w:rPr>
          <w:rFonts w:ascii="Times New Roman" w:eastAsia="Times New Roman"/>
          <w:position w:val="8"/>
          <w:sz w:val="15"/>
        </w:rPr>
        <w:t>+</w:t>
      </w:r>
      <w:r>
        <w:t>、</w:t>
      </w:r>
      <w:r>
        <w:rPr>
          <w:rFonts w:ascii="Times New Roman" w:eastAsia="Times New Roman"/>
        </w:rPr>
        <w:t>Ca</w:t>
      </w:r>
      <w:r>
        <w:rPr>
          <w:rFonts w:ascii="Times New Roman" w:eastAsia="Times New Roman"/>
          <w:position w:val="8"/>
          <w:sz w:val="15"/>
        </w:rPr>
        <w:t>2+</w:t>
      </w:r>
      <w:r>
        <w:t>、</w:t>
      </w:r>
      <w:r>
        <w:rPr>
          <w:rFonts w:ascii="Times New Roman" w:eastAsia="Times New Roman"/>
        </w:rPr>
        <w:t>Mg</w:t>
      </w:r>
      <w:r>
        <w:rPr>
          <w:rFonts w:ascii="Times New Roman" w:eastAsia="Times New Roman"/>
          <w:position w:val="8"/>
          <w:sz w:val="15"/>
        </w:rPr>
        <w:t>2+</w:t>
      </w:r>
      <w:r>
        <w:t>、</w:t>
      </w:r>
      <w:r>
        <w:rPr>
          <w:rFonts w:ascii="Times New Roman" w:eastAsia="Times New Roman"/>
        </w:rPr>
        <w:t>HCO</w:t>
      </w:r>
      <w:r>
        <w:rPr>
          <w:rFonts w:ascii="Times New Roman" w:eastAsia="Times New Roman"/>
          <w:position w:val="8"/>
          <w:sz w:val="15"/>
        </w:rPr>
        <w:t>3-</w:t>
      </w:r>
      <w:r>
        <w:t>、</w:t>
      </w:r>
      <w:r>
        <w:rPr>
          <w:rFonts w:ascii="Times New Roman" w:eastAsia="Times New Roman"/>
        </w:rPr>
        <w:t>SO4</w:t>
      </w:r>
      <w:r>
        <w:rPr>
          <w:rFonts w:ascii="Times New Roman" w:eastAsia="Times New Roman"/>
          <w:position w:val="8"/>
          <w:sz w:val="15"/>
        </w:rPr>
        <w:t>2-</w:t>
      </w:r>
      <w:r>
        <w:t>、</w:t>
      </w:r>
      <w:r>
        <w:rPr>
          <w:rFonts w:ascii="Times New Roman" w:eastAsia="Times New Roman"/>
        </w:rPr>
        <w:t>Cl</w:t>
      </w:r>
      <w:r>
        <w:rPr>
          <w:rFonts w:ascii="Times New Roman" w:eastAsia="Times New Roman"/>
          <w:position w:val="8"/>
          <w:sz w:val="15"/>
        </w:rPr>
        <w:t>-</w:t>
      </w:r>
      <w:r>
        <w:t>，</w:t>
      </w:r>
      <w:r>
        <w:rPr>
          <w:rFonts w:ascii="Times New Roman" w:eastAsia="Times New Roman"/>
        </w:rPr>
        <w:t>K</w:t>
      </w:r>
      <w:r>
        <w:rPr>
          <w:rFonts w:ascii="Times New Roman" w:eastAsia="Times New Roman"/>
          <w:position w:val="8"/>
          <w:sz w:val="15"/>
        </w:rPr>
        <w:t>+</w:t>
      </w:r>
      <w:r>
        <w:t>合并于</w:t>
      </w:r>
      <w:r>
        <w:rPr>
          <w:rFonts w:ascii="Times New Roman" w:eastAsia="Times New Roman"/>
        </w:rPr>
        <w:t>Na</w:t>
      </w:r>
      <w:r>
        <w:rPr>
          <w:rFonts w:ascii="Times New Roman" w:eastAsia="Times New Roman"/>
          <w:position w:val="8"/>
          <w:sz w:val="15"/>
        </w:rPr>
        <w:t>+</w:t>
      </w:r>
      <w:r>
        <w:t>）</w:t>
      </w:r>
      <w:r>
        <w:rPr>
          <w:spacing w:val="-6"/>
        </w:rPr>
        <w:t xml:space="preserve">。具体步骤如下：将 </w:t>
      </w:r>
      <w:r>
        <w:rPr>
          <w:rFonts w:ascii="Times New Roman" w:eastAsia="Times New Roman"/>
        </w:rPr>
        <w:t xml:space="preserve">6 </w:t>
      </w:r>
      <w:r>
        <w:rPr>
          <w:spacing w:val="-6"/>
        </w:rPr>
        <w:t xml:space="preserve">种主要离子中含量大于 </w:t>
      </w:r>
      <w:r>
        <w:rPr>
          <w:rFonts w:ascii="Times New Roman" w:eastAsia="Times New Roman"/>
        </w:rPr>
        <w:t>25</w:t>
      </w:r>
      <w:r>
        <w:rPr>
          <w:spacing w:val="-2"/>
        </w:rPr>
        <w:t>％毫克当量的阴离子和阳离子进</w:t>
      </w:r>
      <w:r>
        <w:rPr>
          <w:spacing w:val="-7"/>
        </w:rPr>
        <w:t xml:space="preserve">行组合，可组合出 </w:t>
      </w:r>
      <w:r>
        <w:rPr>
          <w:rFonts w:ascii="Times New Roman" w:eastAsia="Times New Roman"/>
        </w:rPr>
        <w:t xml:space="preserve">49 </w:t>
      </w:r>
      <w:r>
        <w:t>型水，并将每型用一个阿拉伯数字作为代号，详见下表。</w:t>
      </w:r>
    </w:p>
    <w:p>
      <w:pPr>
        <w:spacing w:before="0" w:line="305" w:lineRule="exact"/>
        <w:ind w:left="4591" w:right="0" w:firstLine="0"/>
        <w:jc w:val="both"/>
        <w:rPr>
          <w:b/>
          <w:sz w:val="24"/>
        </w:rPr>
      </w:pPr>
      <w:r>
        <w:rPr>
          <w:b/>
          <w:spacing w:val="-28"/>
          <w:sz w:val="21"/>
        </w:rPr>
        <w:t xml:space="preserve">表 </w:t>
      </w:r>
      <w:r>
        <w:rPr>
          <w:rFonts w:ascii="Times New Roman" w:eastAsia="Times New Roman"/>
          <w:b/>
          <w:sz w:val="21"/>
        </w:rPr>
        <w:t>5.3-6</w:t>
      </w:r>
      <w:r>
        <w:rPr>
          <w:rFonts w:ascii="Times New Roman" w:eastAsia="Times New Roman"/>
          <w:b/>
          <w:spacing w:val="52"/>
          <w:sz w:val="21"/>
        </w:rPr>
        <w:t xml:space="preserve"> </w:t>
      </w:r>
      <w:r>
        <w:rPr>
          <w:b/>
          <w:sz w:val="24"/>
        </w:rPr>
        <w:t>表舒卡列夫分类表</w:t>
      </w:r>
    </w:p>
    <w:p>
      <w:pPr>
        <w:pStyle w:val="9"/>
        <w:spacing w:before="4"/>
        <w:rPr>
          <w:b/>
          <w:sz w:val="12"/>
        </w:rPr>
      </w:pP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92"/>
        <w:gridCol w:w="958"/>
        <w:gridCol w:w="1339"/>
        <w:gridCol w:w="1621"/>
        <w:gridCol w:w="1131"/>
        <w:gridCol w:w="906"/>
        <w:gridCol w:w="1138"/>
        <w:gridCol w:w="7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2" w:hRule="atLeast"/>
        </w:trPr>
        <w:tc>
          <w:tcPr>
            <w:tcW w:w="1492" w:type="dxa"/>
            <w:tcBorders>
              <w:right w:val="single" w:color="000000" w:sz="4" w:space="0"/>
            </w:tcBorders>
          </w:tcPr>
          <w:p>
            <w:pPr>
              <w:pStyle w:val="19"/>
              <w:spacing w:before="159"/>
              <w:ind w:left="108"/>
              <w:jc w:val="left"/>
              <w:rPr>
                <w:sz w:val="21"/>
              </w:rPr>
            </w:pPr>
            <w:r>
              <w:rPr>
                <w:sz w:val="21"/>
              </w:rPr>
              <w:t xml:space="preserve">超过 </w:t>
            </w:r>
            <w:r>
              <w:rPr>
                <w:rFonts w:ascii="Times New Roman" w:eastAsia="Times New Roman"/>
                <w:sz w:val="21"/>
              </w:rPr>
              <w:t>25%</w:t>
            </w:r>
            <w:r>
              <w:rPr>
                <w:sz w:val="21"/>
              </w:rPr>
              <w:t>毫克</w:t>
            </w:r>
          </w:p>
        </w:tc>
        <w:tc>
          <w:tcPr>
            <w:tcW w:w="958" w:type="dxa"/>
            <w:tcBorders>
              <w:left w:val="single" w:color="000000" w:sz="4" w:space="0"/>
              <w:right w:val="single" w:color="000000" w:sz="4" w:space="0"/>
            </w:tcBorders>
          </w:tcPr>
          <w:p>
            <w:pPr>
              <w:pStyle w:val="19"/>
              <w:spacing w:before="12"/>
              <w:jc w:val="left"/>
              <w:rPr>
                <w:b/>
                <w:sz w:val="13"/>
              </w:rPr>
            </w:pPr>
          </w:p>
          <w:p>
            <w:pPr>
              <w:pStyle w:val="19"/>
              <w:spacing w:line="71" w:lineRule="exact"/>
              <w:ind w:right="184"/>
              <w:jc w:val="right"/>
              <w:rPr>
                <w:rFonts w:ascii="Times New Roman"/>
                <w:sz w:val="13"/>
              </w:rPr>
            </w:pPr>
            <w:r>
              <w:rPr>
                <w:rFonts w:ascii="Times New Roman"/>
                <w:w w:val="105"/>
                <w:sz w:val="13"/>
              </w:rPr>
              <w:t>-</w:t>
            </w:r>
          </w:p>
          <w:p>
            <w:pPr>
              <w:pStyle w:val="19"/>
              <w:spacing w:line="183" w:lineRule="exact"/>
              <w:ind w:left="205"/>
              <w:jc w:val="left"/>
              <w:rPr>
                <w:rFonts w:ascii="Times New Roman"/>
                <w:sz w:val="21"/>
              </w:rPr>
            </w:pPr>
            <w:r>
              <w:rPr>
                <w:rFonts w:ascii="Times New Roman"/>
                <w:position w:val="2"/>
                <w:sz w:val="21"/>
              </w:rPr>
              <w:t>HCO</w:t>
            </w:r>
            <w:r>
              <w:rPr>
                <w:rFonts w:ascii="Times New Roman"/>
                <w:position w:val="2"/>
                <w:sz w:val="21"/>
                <w:vertAlign w:val="subscript"/>
              </w:rPr>
              <w:t>3</w:t>
            </w:r>
          </w:p>
        </w:tc>
        <w:tc>
          <w:tcPr>
            <w:tcW w:w="1339" w:type="dxa"/>
            <w:tcBorders>
              <w:left w:val="single" w:color="000000" w:sz="4" w:space="0"/>
              <w:right w:val="single" w:color="000000" w:sz="4" w:space="0"/>
            </w:tcBorders>
          </w:tcPr>
          <w:p>
            <w:pPr>
              <w:pStyle w:val="19"/>
              <w:spacing w:before="12"/>
              <w:jc w:val="left"/>
              <w:rPr>
                <w:b/>
                <w:sz w:val="13"/>
              </w:rPr>
            </w:pPr>
          </w:p>
          <w:p>
            <w:pPr>
              <w:pStyle w:val="19"/>
              <w:tabs>
                <w:tab w:val="left" w:pos="1099"/>
              </w:tabs>
              <w:spacing w:line="71" w:lineRule="exact"/>
              <w:ind w:left="648"/>
              <w:jc w:val="left"/>
              <w:rPr>
                <w:rFonts w:ascii="Times New Roman"/>
                <w:sz w:val="13"/>
              </w:rPr>
            </w:pPr>
            <w:r>
              <w:rPr>
                <w:rFonts w:ascii="Times New Roman"/>
                <w:w w:val="105"/>
                <w:sz w:val="13"/>
              </w:rPr>
              <w:t>-</w:t>
            </w:r>
            <w:r>
              <w:rPr>
                <w:rFonts w:ascii="Times New Roman"/>
                <w:w w:val="105"/>
                <w:sz w:val="13"/>
              </w:rPr>
              <w:tab/>
            </w:r>
            <w:r>
              <w:rPr>
                <w:rFonts w:ascii="Times New Roman"/>
                <w:w w:val="105"/>
                <w:sz w:val="13"/>
              </w:rPr>
              <w:t>2-</w:t>
            </w:r>
          </w:p>
          <w:p>
            <w:pPr>
              <w:pStyle w:val="19"/>
              <w:spacing w:line="183" w:lineRule="exact"/>
              <w:ind w:left="137"/>
              <w:jc w:val="left"/>
              <w:rPr>
                <w:rFonts w:ascii="Times New Roman"/>
                <w:sz w:val="21"/>
              </w:rPr>
            </w:pPr>
            <w:r>
              <w:rPr>
                <w:rFonts w:ascii="Times New Roman"/>
                <w:position w:val="2"/>
                <w:sz w:val="21"/>
              </w:rPr>
              <w:t>HCO</w:t>
            </w:r>
            <w:r>
              <w:rPr>
                <w:rFonts w:ascii="Times New Roman"/>
                <w:position w:val="2"/>
                <w:sz w:val="21"/>
                <w:vertAlign w:val="subscript"/>
              </w:rPr>
              <w:t>3</w:t>
            </w:r>
            <w:r>
              <w:rPr>
                <w:rFonts w:ascii="Times New Roman"/>
                <w:position w:val="2"/>
                <w:sz w:val="21"/>
                <w:vertAlign w:val="baseline"/>
              </w:rPr>
              <w:t xml:space="preserve"> -SO</w:t>
            </w:r>
            <w:r>
              <w:rPr>
                <w:rFonts w:ascii="Times New Roman"/>
                <w:position w:val="2"/>
                <w:sz w:val="21"/>
                <w:vertAlign w:val="subscript"/>
              </w:rPr>
              <w:t>4</w:t>
            </w:r>
          </w:p>
        </w:tc>
        <w:tc>
          <w:tcPr>
            <w:tcW w:w="1621" w:type="dxa"/>
            <w:tcBorders>
              <w:left w:val="single" w:color="000000" w:sz="4" w:space="0"/>
              <w:right w:val="single" w:color="000000" w:sz="4" w:space="0"/>
            </w:tcBorders>
          </w:tcPr>
          <w:p>
            <w:pPr>
              <w:pStyle w:val="19"/>
              <w:spacing w:before="12"/>
              <w:jc w:val="left"/>
              <w:rPr>
                <w:b/>
                <w:sz w:val="13"/>
              </w:rPr>
            </w:pPr>
          </w:p>
          <w:p>
            <w:pPr>
              <w:pStyle w:val="19"/>
              <w:tabs>
                <w:tab w:val="left" w:pos="381"/>
              </w:tabs>
              <w:spacing w:line="71" w:lineRule="exact"/>
              <w:ind w:right="96"/>
              <w:jc w:val="right"/>
              <w:rPr>
                <w:rFonts w:ascii="Times New Roman"/>
                <w:sz w:val="13"/>
              </w:rPr>
            </w:pPr>
            <w:r>
              <w:rPr>
                <w:rFonts w:ascii="Times New Roman"/>
                <w:w w:val="105"/>
                <w:sz w:val="13"/>
              </w:rPr>
              <w:t>2-</w:t>
            </w:r>
            <w:r>
              <w:rPr>
                <w:rFonts w:ascii="Times New Roman"/>
                <w:w w:val="105"/>
                <w:sz w:val="13"/>
              </w:rPr>
              <w:tab/>
            </w:r>
            <w:r>
              <w:rPr>
                <w:rFonts w:ascii="Times New Roman"/>
                <w:w w:val="105"/>
                <w:sz w:val="13"/>
              </w:rPr>
              <w:t>-</w:t>
            </w:r>
          </w:p>
          <w:p>
            <w:pPr>
              <w:pStyle w:val="19"/>
              <w:spacing w:line="183" w:lineRule="exact"/>
              <w:ind w:left="123"/>
              <w:jc w:val="left"/>
              <w:rPr>
                <w:rFonts w:ascii="Times New Roman"/>
                <w:sz w:val="21"/>
              </w:rPr>
            </w:pPr>
            <w:r>
              <w:rPr>
                <w:rFonts w:ascii="Times New Roman"/>
                <w:position w:val="2"/>
                <w:sz w:val="21"/>
              </w:rPr>
              <w:t>HCO</w:t>
            </w:r>
            <w:r>
              <w:rPr>
                <w:rFonts w:ascii="Times New Roman"/>
                <w:position w:val="2"/>
                <w:sz w:val="21"/>
                <w:vertAlign w:val="subscript"/>
              </w:rPr>
              <w:t>3</w:t>
            </w:r>
            <w:r>
              <w:rPr>
                <w:rFonts w:ascii="Times New Roman"/>
                <w:position w:val="2"/>
                <w:sz w:val="21"/>
                <w:vertAlign w:val="superscript"/>
              </w:rPr>
              <w:t>-</w:t>
            </w:r>
            <w:r>
              <w:rPr>
                <w:rFonts w:ascii="Times New Roman"/>
                <w:position w:val="2"/>
                <w:sz w:val="21"/>
                <w:vertAlign w:val="baseline"/>
              </w:rPr>
              <w:t>-SO</w:t>
            </w:r>
            <w:r>
              <w:rPr>
                <w:rFonts w:ascii="Times New Roman"/>
                <w:position w:val="2"/>
                <w:sz w:val="21"/>
                <w:vertAlign w:val="subscript"/>
              </w:rPr>
              <w:t>4</w:t>
            </w:r>
            <w:r>
              <w:rPr>
                <w:rFonts w:ascii="Times New Roman"/>
                <w:position w:val="2"/>
                <w:sz w:val="21"/>
                <w:vertAlign w:val="baseline"/>
              </w:rPr>
              <w:t xml:space="preserve"> -Cl</w:t>
            </w:r>
          </w:p>
        </w:tc>
        <w:tc>
          <w:tcPr>
            <w:tcW w:w="1131" w:type="dxa"/>
            <w:tcBorders>
              <w:left w:val="single" w:color="000000" w:sz="4" w:space="0"/>
              <w:right w:val="single" w:color="000000" w:sz="4" w:space="0"/>
            </w:tcBorders>
          </w:tcPr>
          <w:p>
            <w:pPr>
              <w:pStyle w:val="19"/>
              <w:spacing w:before="12"/>
              <w:jc w:val="left"/>
              <w:rPr>
                <w:b/>
                <w:sz w:val="13"/>
              </w:rPr>
            </w:pPr>
          </w:p>
          <w:p>
            <w:pPr>
              <w:pStyle w:val="19"/>
              <w:tabs>
                <w:tab w:val="left" w:pos="962"/>
              </w:tabs>
              <w:spacing w:line="71" w:lineRule="exact"/>
              <w:ind w:left="647"/>
              <w:jc w:val="left"/>
              <w:rPr>
                <w:rFonts w:ascii="Times New Roman"/>
                <w:sz w:val="13"/>
              </w:rPr>
            </w:pPr>
            <w:r>
              <w:rPr>
                <w:rFonts w:ascii="Times New Roman"/>
                <w:w w:val="105"/>
                <w:sz w:val="13"/>
              </w:rPr>
              <w:t>-</w:t>
            </w:r>
            <w:r>
              <w:rPr>
                <w:rFonts w:ascii="Times New Roman"/>
                <w:w w:val="105"/>
                <w:sz w:val="13"/>
              </w:rPr>
              <w:tab/>
            </w:r>
            <w:r>
              <w:rPr>
                <w:rFonts w:ascii="Times New Roman"/>
                <w:w w:val="105"/>
                <w:sz w:val="13"/>
              </w:rPr>
              <w:t>-</w:t>
            </w:r>
          </w:p>
          <w:p>
            <w:pPr>
              <w:pStyle w:val="19"/>
              <w:spacing w:line="183" w:lineRule="exact"/>
              <w:ind w:left="136"/>
              <w:jc w:val="left"/>
              <w:rPr>
                <w:rFonts w:ascii="Times New Roman"/>
                <w:sz w:val="21"/>
              </w:rPr>
            </w:pPr>
            <w:r>
              <w:rPr>
                <w:rFonts w:ascii="Times New Roman"/>
                <w:position w:val="2"/>
                <w:sz w:val="21"/>
              </w:rPr>
              <w:t>HCO</w:t>
            </w:r>
            <w:r>
              <w:rPr>
                <w:rFonts w:ascii="Times New Roman"/>
                <w:position w:val="2"/>
                <w:sz w:val="21"/>
                <w:vertAlign w:val="subscript"/>
              </w:rPr>
              <w:t>3</w:t>
            </w:r>
            <w:r>
              <w:rPr>
                <w:rFonts w:ascii="Times New Roman"/>
                <w:position w:val="2"/>
                <w:sz w:val="21"/>
                <w:vertAlign w:val="baseline"/>
              </w:rPr>
              <w:t xml:space="preserve"> -Cl</w:t>
            </w:r>
          </w:p>
        </w:tc>
        <w:tc>
          <w:tcPr>
            <w:tcW w:w="906" w:type="dxa"/>
            <w:tcBorders>
              <w:left w:val="single" w:color="000000" w:sz="4" w:space="0"/>
              <w:right w:val="single" w:color="000000" w:sz="4" w:space="0"/>
            </w:tcBorders>
          </w:tcPr>
          <w:p>
            <w:pPr>
              <w:pStyle w:val="19"/>
              <w:spacing w:before="170"/>
              <w:ind w:left="234"/>
              <w:jc w:val="left"/>
              <w:rPr>
                <w:rFonts w:ascii="Times New Roman"/>
                <w:sz w:val="13"/>
              </w:rPr>
            </w:pPr>
            <w:r>
              <w:rPr>
                <w:rFonts w:ascii="Times New Roman"/>
                <w:w w:val="105"/>
                <w:position w:val="2"/>
                <w:sz w:val="21"/>
              </w:rPr>
              <w:t>SO</w:t>
            </w:r>
            <w:r>
              <w:rPr>
                <w:rFonts w:ascii="Times New Roman"/>
                <w:w w:val="105"/>
                <w:sz w:val="13"/>
              </w:rPr>
              <w:t>4</w:t>
            </w:r>
            <w:r>
              <w:rPr>
                <w:rFonts w:ascii="Times New Roman"/>
                <w:w w:val="105"/>
                <w:position w:val="9"/>
                <w:sz w:val="13"/>
              </w:rPr>
              <w:t>2-</w:t>
            </w:r>
          </w:p>
        </w:tc>
        <w:tc>
          <w:tcPr>
            <w:tcW w:w="1138" w:type="dxa"/>
            <w:tcBorders>
              <w:left w:val="single" w:color="000000" w:sz="4" w:space="0"/>
              <w:right w:val="single" w:color="000000" w:sz="4" w:space="0"/>
            </w:tcBorders>
          </w:tcPr>
          <w:p>
            <w:pPr>
              <w:pStyle w:val="19"/>
              <w:spacing w:before="12"/>
              <w:jc w:val="left"/>
              <w:rPr>
                <w:b/>
                <w:sz w:val="13"/>
              </w:rPr>
            </w:pPr>
          </w:p>
          <w:p>
            <w:pPr>
              <w:pStyle w:val="19"/>
              <w:tabs>
                <w:tab w:val="left" w:pos="912"/>
              </w:tabs>
              <w:spacing w:line="71" w:lineRule="exact"/>
              <w:ind w:left="528"/>
              <w:jc w:val="left"/>
              <w:rPr>
                <w:rFonts w:ascii="Times New Roman"/>
                <w:sz w:val="13"/>
              </w:rPr>
            </w:pPr>
            <w:r>
              <w:rPr>
                <w:rFonts w:ascii="Times New Roman"/>
                <w:w w:val="105"/>
                <w:sz w:val="13"/>
              </w:rPr>
              <w:t>2-</w:t>
            </w:r>
            <w:r>
              <w:rPr>
                <w:rFonts w:ascii="Times New Roman"/>
                <w:w w:val="105"/>
                <w:sz w:val="13"/>
              </w:rPr>
              <w:tab/>
            </w:r>
            <w:r>
              <w:rPr>
                <w:rFonts w:ascii="Times New Roman"/>
                <w:w w:val="105"/>
                <w:sz w:val="13"/>
              </w:rPr>
              <w:t>-</w:t>
            </w:r>
          </w:p>
          <w:p>
            <w:pPr>
              <w:pStyle w:val="19"/>
              <w:spacing w:line="183" w:lineRule="exact"/>
              <w:ind w:left="192"/>
              <w:jc w:val="left"/>
              <w:rPr>
                <w:rFonts w:ascii="Times New Roman"/>
                <w:sz w:val="21"/>
              </w:rPr>
            </w:pPr>
            <w:r>
              <w:rPr>
                <w:rFonts w:ascii="Times New Roman"/>
                <w:position w:val="2"/>
                <w:sz w:val="21"/>
              </w:rPr>
              <w:t>SO</w:t>
            </w:r>
            <w:r>
              <w:rPr>
                <w:rFonts w:ascii="Times New Roman"/>
                <w:position w:val="2"/>
                <w:sz w:val="21"/>
                <w:vertAlign w:val="subscript"/>
              </w:rPr>
              <w:t>4</w:t>
            </w:r>
            <w:r>
              <w:rPr>
                <w:rFonts w:ascii="Times New Roman"/>
                <w:position w:val="2"/>
                <w:sz w:val="21"/>
                <w:vertAlign w:val="baseline"/>
              </w:rPr>
              <w:t xml:space="preserve"> -Cl</w:t>
            </w:r>
          </w:p>
        </w:tc>
        <w:tc>
          <w:tcPr>
            <w:tcW w:w="701" w:type="dxa"/>
            <w:tcBorders>
              <w:left w:val="single" w:color="000000" w:sz="4" w:space="0"/>
            </w:tcBorders>
          </w:tcPr>
          <w:p>
            <w:pPr>
              <w:pStyle w:val="19"/>
              <w:spacing w:before="173"/>
              <w:ind w:left="232"/>
              <w:jc w:val="left"/>
              <w:rPr>
                <w:rFonts w:ascii="Times New Roman"/>
                <w:sz w:val="13"/>
              </w:rPr>
            </w:pPr>
            <w:r>
              <w:rPr>
                <w:rFonts w:ascii="Times New Roman"/>
                <w:sz w:val="21"/>
              </w:rPr>
              <w:t>Cl</w:t>
            </w:r>
            <w:r>
              <w:rPr>
                <w:rFonts w:ascii="Times New Roman"/>
                <w:position w:val="7"/>
                <w:sz w:val="13"/>
              </w:rPr>
              <w:t>-</w:t>
            </w:r>
          </w:p>
        </w:tc>
      </w:tr>
    </w:tbl>
    <w:p>
      <w:pPr>
        <w:spacing w:after="0"/>
        <w:jc w:val="left"/>
        <w:rPr>
          <w:rFonts w:ascii="Times New Roman"/>
          <w:sz w:val="13"/>
        </w:rPr>
        <w:sectPr>
          <w:pgSz w:w="11910" w:h="16840"/>
          <w:pgMar w:top="1400" w:right="0" w:bottom="880" w:left="0" w:header="0" w:footer="681" w:gutter="0"/>
        </w:sectPr>
      </w:pP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92"/>
        <w:gridCol w:w="958"/>
        <w:gridCol w:w="1339"/>
        <w:gridCol w:w="1621"/>
        <w:gridCol w:w="1131"/>
        <w:gridCol w:w="906"/>
        <w:gridCol w:w="1138"/>
        <w:gridCol w:w="7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5" w:hRule="atLeast"/>
        </w:trPr>
        <w:tc>
          <w:tcPr>
            <w:tcW w:w="1492" w:type="dxa"/>
            <w:tcBorders>
              <w:bottom w:val="single" w:color="000000" w:sz="4" w:space="0"/>
              <w:right w:val="single" w:color="000000" w:sz="4" w:space="0"/>
            </w:tcBorders>
          </w:tcPr>
          <w:p>
            <w:pPr>
              <w:pStyle w:val="19"/>
              <w:spacing w:before="79"/>
              <w:ind w:left="91" w:right="78"/>
              <w:rPr>
                <w:sz w:val="21"/>
              </w:rPr>
            </w:pPr>
            <w:r>
              <w:rPr>
                <w:sz w:val="21"/>
              </w:rPr>
              <w:t>当量的离子</w:t>
            </w:r>
          </w:p>
        </w:tc>
        <w:tc>
          <w:tcPr>
            <w:tcW w:w="958" w:type="dxa"/>
            <w:tcBorders>
              <w:left w:val="single" w:color="000000" w:sz="4" w:space="0"/>
              <w:bottom w:val="single" w:color="000000" w:sz="4" w:space="0"/>
              <w:right w:val="single" w:color="000000" w:sz="4" w:space="0"/>
            </w:tcBorders>
          </w:tcPr>
          <w:p>
            <w:pPr>
              <w:pStyle w:val="19"/>
              <w:jc w:val="left"/>
              <w:rPr>
                <w:rFonts w:ascii="Times New Roman"/>
                <w:sz w:val="22"/>
              </w:rPr>
            </w:pPr>
          </w:p>
        </w:tc>
        <w:tc>
          <w:tcPr>
            <w:tcW w:w="1339" w:type="dxa"/>
            <w:tcBorders>
              <w:left w:val="single" w:color="000000" w:sz="4" w:space="0"/>
              <w:bottom w:val="single" w:color="000000" w:sz="4" w:space="0"/>
              <w:right w:val="single" w:color="000000" w:sz="4" w:space="0"/>
            </w:tcBorders>
          </w:tcPr>
          <w:p>
            <w:pPr>
              <w:pStyle w:val="19"/>
              <w:jc w:val="left"/>
              <w:rPr>
                <w:rFonts w:ascii="Times New Roman"/>
                <w:sz w:val="22"/>
              </w:rPr>
            </w:pPr>
          </w:p>
        </w:tc>
        <w:tc>
          <w:tcPr>
            <w:tcW w:w="1621" w:type="dxa"/>
            <w:tcBorders>
              <w:left w:val="single" w:color="000000" w:sz="4" w:space="0"/>
              <w:bottom w:val="single" w:color="000000" w:sz="4" w:space="0"/>
              <w:right w:val="single" w:color="000000" w:sz="4" w:space="0"/>
            </w:tcBorders>
          </w:tcPr>
          <w:p>
            <w:pPr>
              <w:pStyle w:val="19"/>
              <w:jc w:val="left"/>
              <w:rPr>
                <w:rFonts w:ascii="Times New Roman"/>
                <w:sz w:val="22"/>
              </w:rPr>
            </w:pPr>
          </w:p>
        </w:tc>
        <w:tc>
          <w:tcPr>
            <w:tcW w:w="1131" w:type="dxa"/>
            <w:tcBorders>
              <w:left w:val="single" w:color="000000" w:sz="4" w:space="0"/>
              <w:bottom w:val="single" w:color="000000" w:sz="4" w:space="0"/>
              <w:right w:val="single" w:color="000000" w:sz="4" w:space="0"/>
            </w:tcBorders>
          </w:tcPr>
          <w:p>
            <w:pPr>
              <w:pStyle w:val="19"/>
              <w:jc w:val="left"/>
              <w:rPr>
                <w:rFonts w:ascii="Times New Roman"/>
                <w:sz w:val="22"/>
              </w:rPr>
            </w:pPr>
          </w:p>
        </w:tc>
        <w:tc>
          <w:tcPr>
            <w:tcW w:w="906" w:type="dxa"/>
            <w:tcBorders>
              <w:left w:val="single" w:color="000000" w:sz="4" w:space="0"/>
              <w:bottom w:val="single" w:color="000000" w:sz="4" w:space="0"/>
              <w:right w:val="single" w:color="000000" w:sz="4" w:space="0"/>
            </w:tcBorders>
          </w:tcPr>
          <w:p>
            <w:pPr>
              <w:pStyle w:val="19"/>
              <w:jc w:val="left"/>
              <w:rPr>
                <w:rFonts w:ascii="Times New Roman"/>
                <w:sz w:val="22"/>
              </w:rPr>
            </w:pPr>
          </w:p>
        </w:tc>
        <w:tc>
          <w:tcPr>
            <w:tcW w:w="1138" w:type="dxa"/>
            <w:tcBorders>
              <w:left w:val="single" w:color="000000" w:sz="4" w:space="0"/>
              <w:bottom w:val="single" w:color="000000" w:sz="4" w:space="0"/>
              <w:right w:val="single" w:color="000000" w:sz="4" w:space="0"/>
            </w:tcBorders>
          </w:tcPr>
          <w:p>
            <w:pPr>
              <w:pStyle w:val="19"/>
              <w:jc w:val="left"/>
              <w:rPr>
                <w:rFonts w:ascii="Times New Roman"/>
                <w:sz w:val="22"/>
              </w:rPr>
            </w:pPr>
          </w:p>
        </w:tc>
        <w:tc>
          <w:tcPr>
            <w:tcW w:w="701" w:type="dxa"/>
            <w:tcBorders>
              <w:left w:val="single" w:color="000000" w:sz="4" w:space="0"/>
              <w:bottom w:val="single" w:color="000000" w:sz="4" w:space="0"/>
            </w:tcBorders>
          </w:tcPr>
          <w:p>
            <w:pPr>
              <w:pStyle w:val="19"/>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492" w:type="dxa"/>
            <w:tcBorders>
              <w:top w:val="single" w:color="000000" w:sz="4" w:space="0"/>
              <w:bottom w:val="single" w:color="000000" w:sz="4" w:space="0"/>
              <w:right w:val="single" w:color="000000" w:sz="4" w:space="0"/>
            </w:tcBorders>
          </w:tcPr>
          <w:p>
            <w:pPr>
              <w:pStyle w:val="19"/>
              <w:spacing w:before="93"/>
              <w:ind w:left="94" w:right="78"/>
              <w:rPr>
                <w:rFonts w:ascii="Times New Roman"/>
                <w:sz w:val="13"/>
              </w:rPr>
            </w:pPr>
            <w:r>
              <w:rPr>
                <w:rFonts w:ascii="Times New Roman"/>
                <w:position w:val="-6"/>
                <w:sz w:val="21"/>
              </w:rPr>
              <w:t>Ca</w:t>
            </w:r>
            <w:r>
              <w:rPr>
                <w:rFonts w:ascii="Times New Roman"/>
                <w:sz w:val="13"/>
              </w:rPr>
              <w:t>2+</w:t>
            </w:r>
          </w:p>
        </w:tc>
        <w:tc>
          <w:tcPr>
            <w:tcW w:w="958" w:type="dxa"/>
            <w:tcBorders>
              <w:top w:val="single" w:color="000000" w:sz="4" w:space="0"/>
              <w:left w:val="single" w:color="000000" w:sz="4" w:space="0"/>
              <w:bottom w:val="single" w:color="000000" w:sz="4" w:space="0"/>
              <w:right w:val="single" w:color="000000" w:sz="4" w:space="0"/>
            </w:tcBorders>
          </w:tcPr>
          <w:p>
            <w:pPr>
              <w:pStyle w:val="19"/>
              <w:spacing w:before="93"/>
              <w:ind w:left="17"/>
              <w:rPr>
                <w:rFonts w:ascii="Times New Roman"/>
                <w:sz w:val="21"/>
              </w:rPr>
            </w:pPr>
            <w:r>
              <w:rPr>
                <w:rFonts w:ascii="Times New Roman"/>
                <w:w w:val="99"/>
                <w:sz w:val="21"/>
              </w:rPr>
              <w:t>1</w:t>
            </w:r>
          </w:p>
        </w:tc>
        <w:tc>
          <w:tcPr>
            <w:tcW w:w="1339" w:type="dxa"/>
            <w:tcBorders>
              <w:top w:val="single" w:color="000000" w:sz="4" w:space="0"/>
              <w:left w:val="single" w:color="000000" w:sz="4" w:space="0"/>
              <w:bottom w:val="single" w:color="000000" w:sz="4" w:space="0"/>
              <w:right w:val="single" w:color="000000" w:sz="4" w:space="0"/>
            </w:tcBorders>
          </w:tcPr>
          <w:p>
            <w:pPr>
              <w:pStyle w:val="19"/>
              <w:spacing w:before="93"/>
              <w:ind w:left="622"/>
              <w:jc w:val="left"/>
              <w:rPr>
                <w:rFonts w:ascii="Times New Roman"/>
                <w:sz w:val="21"/>
              </w:rPr>
            </w:pPr>
            <w:r>
              <w:rPr>
                <w:rFonts w:ascii="Times New Roman"/>
                <w:w w:val="99"/>
                <w:sz w:val="21"/>
              </w:rPr>
              <w:t>8</w:t>
            </w:r>
          </w:p>
        </w:tc>
        <w:tc>
          <w:tcPr>
            <w:tcW w:w="1621" w:type="dxa"/>
            <w:tcBorders>
              <w:top w:val="single" w:color="000000" w:sz="4" w:space="0"/>
              <w:left w:val="single" w:color="000000" w:sz="4" w:space="0"/>
              <w:bottom w:val="single" w:color="000000" w:sz="4" w:space="0"/>
              <w:right w:val="single" w:color="000000" w:sz="4" w:space="0"/>
            </w:tcBorders>
          </w:tcPr>
          <w:p>
            <w:pPr>
              <w:pStyle w:val="19"/>
              <w:spacing w:before="93"/>
              <w:ind w:left="688" w:right="672"/>
              <w:rPr>
                <w:rFonts w:ascii="Times New Roman"/>
                <w:sz w:val="21"/>
              </w:rPr>
            </w:pPr>
            <w:r>
              <w:rPr>
                <w:rFonts w:ascii="Times New Roman"/>
                <w:sz w:val="21"/>
              </w:rPr>
              <w:t>15</w:t>
            </w:r>
          </w:p>
        </w:tc>
        <w:tc>
          <w:tcPr>
            <w:tcW w:w="1131" w:type="dxa"/>
            <w:tcBorders>
              <w:top w:val="single" w:color="000000" w:sz="4" w:space="0"/>
              <w:left w:val="single" w:color="000000" w:sz="4" w:space="0"/>
              <w:bottom w:val="single" w:color="000000" w:sz="4" w:space="0"/>
              <w:right w:val="single" w:color="000000" w:sz="4" w:space="0"/>
            </w:tcBorders>
          </w:tcPr>
          <w:p>
            <w:pPr>
              <w:pStyle w:val="19"/>
              <w:spacing w:before="93"/>
              <w:ind w:left="445" w:right="426"/>
              <w:rPr>
                <w:rFonts w:ascii="Times New Roman"/>
                <w:sz w:val="21"/>
              </w:rPr>
            </w:pPr>
            <w:r>
              <w:rPr>
                <w:rFonts w:ascii="Times New Roman"/>
                <w:sz w:val="21"/>
              </w:rPr>
              <w:t>22</w:t>
            </w:r>
          </w:p>
        </w:tc>
        <w:tc>
          <w:tcPr>
            <w:tcW w:w="906" w:type="dxa"/>
            <w:tcBorders>
              <w:top w:val="single" w:color="000000" w:sz="4" w:space="0"/>
              <w:left w:val="single" w:color="000000" w:sz="4" w:space="0"/>
              <w:bottom w:val="single" w:color="000000" w:sz="4" w:space="0"/>
              <w:right w:val="single" w:color="000000" w:sz="4" w:space="0"/>
            </w:tcBorders>
          </w:tcPr>
          <w:p>
            <w:pPr>
              <w:pStyle w:val="19"/>
              <w:spacing w:before="93"/>
              <w:ind w:left="227" w:right="209"/>
              <w:rPr>
                <w:rFonts w:ascii="Times New Roman"/>
                <w:sz w:val="21"/>
              </w:rPr>
            </w:pPr>
            <w:r>
              <w:rPr>
                <w:rFonts w:ascii="Times New Roman"/>
                <w:sz w:val="21"/>
              </w:rPr>
              <w:t>29</w:t>
            </w:r>
          </w:p>
        </w:tc>
        <w:tc>
          <w:tcPr>
            <w:tcW w:w="1138" w:type="dxa"/>
            <w:tcBorders>
              <w:top w:val="single" w:color="000000" w:sz="4" w:space="0"/>
              <w:left w:val="single" w:color="000000" w:sz="4" w:space="0"/>
              <w:bottom w:val="single" w:color="000000" w:sz="4" w:space="0"/>
              <w:right w:val="single" w:color="000000" w:sz="4" w:space="0"/>
            </w:tcBorders>
          </w:tcPr>
          <w:p>
            <w:pPr>
              <w:pStyle w:val="19"/>
              <w:spacing w:before="93"/>
              <w:ind w:left="448" w:right="430"/>
              <w:rPr>
                <w:rFonts w:ascii="Times New Roman"/>
                <w:sz w:val="21"/>
              </w:rPr>
            </w:pPr>
            <w:r>
              <w:rPr>
                <w:rFonts w:ascii="Times New Roman"/>
                <w:sz w:val="21"/>
              </w:rPr>
              <w:t>36</w:t>
            </w:r>
          </w:p>
        </w:tc>
        <w:tc>
          <w:tcPr>
            <w:tcW w:w="701" w:type="dxa"/>
            <w:tcBorders>
              <w:top w:val="single" w:color="000000" w:sz="4" w:space="0"/>
              <w:left w:val="single" w:color="000000" w:sz="4" w:space="0"/>
              <w:bottom w:val="single" w:color="000000" w:sz="4" w:space="0"/>
            </w:tcBorders>
          </w:tcPr>
          <w:p>
            <w:pPr>
              <w:pStyle w:val="19"/>
              <w:spacing w:before="93"/>
              <w:ind w:left="229" w:right="206"/>
              <w:rPr>
                <w:rFonts w:ascii="Times New Roman"/>
                <w:sz w:val="21"/>
              </w:rPr>
            </w:pPr>
            <w:r>
              <w:rPr>
                <w:rFonts w:ascii="Times New Roman"/>
                <w:sz w:val="21"/>
              </w:rPr>
              <w:t>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492" w:type="dxa"/>
            <w:tcBorders>
              <w:top w:val="single" w:color="000000" w:sz="4" w:space="0"/>
              <w:bottom w:val="single" w:color="000000" w:sz="4" w:space="0"/>
              <w:right w:val="single" w:color="000000" w:sz="4" w:space="0"/>
            </w:tcBorders>
          </w:tcPr>
          <w:p>
            <w:pPr>
              <w:pStyle w:val="19"/>
              <w:spacing w:before="92"/>
              <w:ind w:left="96" w:right="78"/>
              <w:rPr>
                <w:rFonts w:ascii="Times New Roman"/>
                <w:sz w:val="13"/>
              </w:rPr>
            </w:pPr>
            <w:r>
              <w:rPr>
                <w:rFonts w:ascii="Times New Roman"/>
                <w:sz w:val="21"/>
              </w:rPr>
              <w:t>Ca</w:t>
            </w:r>
            <w:r>
              <w:rPr>
                <w:rFonts w:ascii="Times New Roman"/>
                <w:position w:val="7"/>
                <w:sz w:val="13"/>
              </w:rPr>
              <w:t>2+</w:t>
            </w:r>
            <w:r>
              <w:rPr>
                <w:rFonts w:ascii="Times New Roman"/>
                <w:sz w:val="21"/>
              </w:rPr>
              <w:t>-Mg</w:t>
            </w:r>
            <w:r>
              <w:rPr>
                <w:rFonts w:ascii="Times New Roman"/>
                <w:position w:val="7"/>
                <w:sz w:val="13"/>
              </w:rPr>
              <w:t>2+</w:t>
            </w:r>
          </w:p>
        </w:tc>
        <w:tc>
          <w:tcPr>
            <w:tcW w:w="958" w:type="dxa"/>
            <w:tcBorders>
              <w:top w:val="single" w:color="000000" w:sz="4" w:space="0"/>
              <w:left w:val="single" w:color="000000" w:sz="4" w:space="0"/>
              <w:bottom w:val="single" w:color="000000" w:sz="4" w:space="0"/>
              <w:right w:val="single" w:color="000000" w:sz="4" w:space="0"/>
            </w:tcBorders>
          </w:tcPr>
          <w:p>
            <w:pPr>
              <w:pStyle w:val="19"/>
              <w:spacing w:before="92"/>
              <w:ind w:left="17"/>
              <w:rPr>
                <w:rFonts w:ascii="Times New Roman"/>
                <w:sz w:val="21"/>
              </w:rPr>
            </w:pPr>
            <w:r>
              <w:rPr>
                <w:rFonts w:ascii="Times New Roman"/>
                <w:w w:val="99"/>
                <w:sz w:val="21"/>
              </w:rPr>
              <w:t>2</w:t>
            </w:r>
          </w:p>
        </w:tc>
        <w:tc>
          <w:tcPr>
            <w:tcW w:w="1339" w:type="dxa"/>
            <w:tcBorders>
              <w:top w:val="single" w:color="000000" w:sz="4" w:space="0"/>
              <w:left w:val="single" w:color="000000" w:sz="4" w:space="0"/>
              <w:bottom w:val="single" w:color="000000" w:sz="4" w:space="0"/>
              <w:right w:val="single" w:color="000000" w:sz="4" w:space="0"/>
            </w:tcBorders>
          </w:tcPr>
          <w:p>
            <w:pPr>
              <w:pStyle w:val="19"/>
              <w:spacing w:before="92"/>
              <w:ind w:left="622"/>
              <w:jc w:val="left"/>
              <w:rPr>
                <w:rFonts w:ascii="Times New Roman"/>
                <w:sz w:val="21"/>
              </w:rPr>
            </w:pPr>
            <w:r>
              <w:rPr>
                <w:rFonts w:ascii="Times New Roman"/>
                <w:w w:val="99"/>
                <w:sz w:val="21"/>
              </w:rPr>
              <w:t>9</w:t>
            </w:r>
          </w:p>
        </w:tc>
        <w:tc>
          <w:tcPr>
            <w:tcW w:w="1621" w:type="dxa"/>
            <w:tcBorders>
              <w:top w:val="single" w:color="000000" w:sz="4" w:space="0"/>
              <w:left w:val="single" w:color="000000" w:sz="4" w:space="0"/>
              <w:bottom w:val="single" w:color="000000" w:sz="4" w:space="0"/>
              <w:right w:val="single" w:color="000000" w:sz="4" w:space="0"/>
            </w:tcBorders>
          </w:tcPr>
          <w:p>
            <w:pPr>
              <w:pStyle w:val="19"/>
              <w:spacing w:before="92"/>
              <w:ind w:left="688" w:right="672"/>
              <w:rPr>
                <w:rFonts w:ascii="Times New Roman"/>
                <w:sz w:val="21"/>
              </w:rPr>
            </w:pPr>
            <w:r>
              <w:rPr>
                <w:rFonts w:ascii="Times New Roman"/>
                <w:sz w:val="21"/>
              </w:rPr>
              <w:t>16</w:t>
            </w:r>
          </w:p>
        </w:tc>
        <w:tc>
          <w:tcPr>
            <w:tcW w:w="1131" w:type="dxa"/>
            <w:tcBorders>
              <w:top w:val="single" w:color="000000" w:sz="4" w:space="0"/>
              <w:left w:val="single" w:color="000000" w:sz="4" w:space="0"/>
              <w:bottom w:val="single" w:color="000000" w:sz="4" w:space="0"/>
              <w:right w:val="single" w:color="000000" w:sz="4" w:space="0"/>
            </w:tcBorders>
          </w:tcPr>
          <w:p>
            <w:pPr>
              <w:pStyle w:val="19"/>
              <w:spacing w:before="92"/>
              <w:ind w:left="445" w:right="426"/>
              <w:rPr>
                <w:rFonts w:ascii="Times New Roman"/>
                <w:sz w:val="21"/>
              </w:rPr>
            </w:pPr>
            <w:r>
              <w:rPr>
                <w:rFonts w:ascii="Times New Roman"/>
                <w:sz w:val="21"/>
              </w:rPr>
              <w:t>23</w:t>
            </w:r>
          </w:p>
        </w:tc>
        <w:tc>
          <w:tcPr>
            <w:tcW w:w="906" w:type="dxa"/>
            <w:tcBorders>
              <w:top w:val="single" w:color="000000" w:sz="4" w:space="0"/>
              <w:left w:val="single" w:color="000000" w:sz="4" w:space="0"/>
              <w:bottom w:val="single" w:color="000000" w:sz="4" w:space="0"/>
              <w:right w:val="single" w:color="000000" w:sz="4" w:space="0"/>
            </w:tcBorders>
          </w:tcPr>
          <w:p>
            <w:pPr>
              <w:pStyle w:val="19"/>
              <w:spacing w:before="92"/>
              <w:ind w:left="227" w:right="209"/>
              <w:rPr>
                <w:rFonts w:ascii="Times New Roman"/>
                <w:sz w:val="21"/>
              </w:rPr>
            </w:pPr>
            <w:r>
              <w:rPr>
                <w:rFonts w:ascii="Times New Roman"/>
                <w:sz w:val="21"/>
              </w:rPr>
              <w:t>30</w:t>
            </w:r>
          </w:p>
        </w:tc>
        <w:tc>
          <w:tcPr>
            <w:tcW w:w="1138" w:type="dxa"/>
            <w:tcBorders>
              <w:top w:val="single" w:color="000000" w:sz="4" w:space="0"/>
              <w:left w:val="single" w:color="000000" w:sz="4" w:space="0"/>
              <w:bottom w:val="single" w:color="000000" w:sz="4" w:space="0"/>
              <w:right w:val="single" w:color="000000" w:sz="4" w:space="0"/>
            </w:tcBorders>
          </w:tcPr>
          <w:p>
            <w:pPr>
              <w:pStyle w:val="19"/>
              <w:spacing w:before="92"/>
              <w:ind w:left="448" w:right="430"/>
              <w:rPr>
                <w:rFonts w:ascii="Times New Roman"/>
                <w:sz w:val="21"/>
              </w:rPr>
            </w:pPr>
            <w:r>
              <w:rPr>
                <w:rFonts w:ascii="Times New Roman"/>
                <w:sz w:val="21"/>
              </w:rPr>
              <w:t>37</w:t>
            </w:r>
          </w:p>
        </w:tc>
        <w:tc>
          <w:tcPr>
            <w:tcW w:w="701" w:type="dxa"/>
            <w:tcBorders>
              <w:top w:val="single" w:color="000000" w:sz="4" w:space="0"/>
              <w:left w:val="single" w:color="000000" w:sz="4" w:space="0"/>
              <w:bottom w:val="single" w:color="000000" w:sz="4" w:space="0"/>
            </w:tcBorders>
          </w:tcPr>
          <w:p>
            <w:pPr>
              <w:pStyle w:val="19"/>
              <w:spacing w:before="92"/>
              <w:ind w:left="229" w:right="206"/>
              <w:rPr>
                <w:rFonts w:ascii="Times New Roman"/>
                <w:sz w:val="21"/>
              </w:rPr>
            </w:pPr>
            <w:r>
              <w:rPr>
                <w:rFonts w:ascii="Times New Roman"/>
                <w:sz w:val="21"/>
              </w:rPr>
              <w:t>44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492" w:type="dxa"/>
            <w:tcBorders>
              <w:top w:val="single" w:color="000000" w:sz="4" w:space="0"/>
              <w:bottom w:val="single" w:color="000000" w:sz="4" w:space="0"/>
              <w:right w:val="single" w:color="000000" w:sz="4" w:space="0"/>
            </w:tcBorders>
          </w:tcPr>
          <w:p>
            <w:pPr>
              <w:pStyle w:val="19"/>
              <w:spacing w:before="92"/>
              <w:ind w:left="94" w:right="78"/>
              <w:rPr>
                <w:rFonts w:ascii="Times New Roman"/>
                <w:sz w:val="13"/>
              </w:rPr>
            </w:pPr>
            <w:r>
              <w:rPr>
                <w:rFonts w:ascii="Times New Roman"/>
                <w:position w:val="-6"/>
                <w:sz w:val="21"/>
              </w:rPr>
              <w:t>Mg</w:t>
            </w:r>
            <w:r>
              <w:rPr>
                <w:rFonts w:ascii="Times New Roman"/>
                <w:sz w:val="13"/>
              </w:rPr>
              <w:t>2+</w:t>
            </w:r>
          </w:p>
        </w:tc>
        <w:tc>
          <w:tcPr>
            <w:tcW w:w="958" w:type="dxa"/>
            <w:tcBorders>
              <w:top w:val="single" w:color="000000" w:sz="4" w:space="0"/>
              <w:left w:val="single" w:color="000000" w:sz="4" w:space="0"/>
              <w:bottom w:val="single" w:color="000000" w:sz="4" w:space="0"/>
              <w:right w:val="single" w:color="000000" w:sz="4" w:space="0"/>
            </w:tcBorders>
          </w:tcPr>
          <w:p>
            <w:pPr>
              <w:pStyle w:val="19"/>
              <w:spacing w:before="92"/>
              <w:ind w:left="17"/>
              <w:rPr>
                <w:rFonts w:ascii="Times New Roman"/>
                <w:sz w:val="21"/>
              </w:rPr>
            </w:pPr>
            <w:r>
              <w:rPr>
                <w:rFonts w:ascii="Times New Roman"/>
                <w:w w:val="99"/>
                <w:sz w:val="21"/>
              </w:rPr>
              <w:t>3</w:t>
            </w:r>
          </w:p>
        </w:tc>
        <w:tc>
          <w:tcPr>
            <w:tcW w:w="1339" w:type="dxa"/>
            <w:tcBorders>
              <w:top w:val="single" w:color="000000" w:sz="4" w:space="0"/>
              <w:left w:val="single" w:color="000000" w:sz="4" w:space="0"/>
              <w:bottom w:val="single" w:color="000000" w:sz="4" w:space="0"/>
              <w:right w:val="single" w:color="000000" w:sz="4" w:space="0"/>
            </w:tcBorders>
          </w:tcPr>
          <w:p>
            <w:pPr>
              <w:pStyle w:val="19"/>
              <w:spacing w:before="92"/>
              <w:ind w:left="569"/>
              <w:jc w:val="left"/>
              <w:rPr>
                <w:rFonts w:ascii="Times New Roman"/>
                <w:sz w:val="21"/>
              </w:rPr>
            </w:pPr>
            <w:r>
              <w:rPr>
                <w:rFonts w:ascii="Times New Roman"/>
                <w:sz w:val="21"/>
              </w:rPr>
              <w:t>10</w:t>
            </w:r>
          </w:p>
        </w:tc>
        <w:tc>
          <w:tcPr>
            <w:tcW w:w="1621" w:type="dxa"/>
            <w:tcBorders>
              <w:top w:val="single" w:color="000000" w:sz="4" w:space="0"/>
              <w:left w:val="single" w:color="000000" w:sz="4" w:space="0"/>
              <w:bottom w:val="single" w:color="000000" w:sz="4" w:space="0"/>
              <w:right w:val="single" w:color="000000" w:sz="4" w:space="0"/>
            </w:tcBorders>
          </w:tcPr>
          <w:p>
            <w:pPr>
              <w:pStyle w:val="19"/>
              <w:spacing w:before="92"/>
              <w:ind w:left="688" w:right="672"/>
              <w:rPr>
                <w:rFonts w:ascii="Times New Roman"/>
                <w:sz w:val="21"/>
              </w:rPr>
            </w:pPr>
            <w:r>
              <w:rPr>
                <w:rFonts w:ascii="Times New Roman"/>
                <w:sz w:val="21"/>
              </w:rPr>
              <w:t>17</w:t>
            </w:r>
          </w:p>
        </w:tc>
        <w:tc>
          <w:tcPr>
            <w:tcW w:w="1131" w:type="dxa"/>
            <w:tcBorders>
              <w:top w:val="single" w:color="000000" w:sz="4" w:space="0"/>
              <w:left w:val="single" w:color="000000" w:sz="4" w:space="0"/>
              <w:bottom w:val="single" w:color="000000" w:sz="4" w:space="0"/>
              <w:right w:val="single" w:color="000000" w:sz="4" w:space="0"/>
            </w:tcBorders>
          </w:tcPr>
          <w:p>
            <w:pPr>
              <w:pStyle w:val="19"/>
              <w:spacing w:before="92"/>
              <w:ind w:left="445" w:right="426"/>
              <w:rPr>
                <w:rFonts w:ascii="Times New Roman"/>
                <w:sz w:val="21"/>
              </w:rPr>
            </w:pPr>
            <w:r>
              <w:rPr>
                <w:rFonts w:ascii="Times New Roman"/>
                <w:sz w:val="21"/>
              </w:rPr>
              <w:t>24</w:t>
            </w:r>
          </w:p>
        </w:tc>
        <w:tc>
          <w:tcPr>
            <w:tcW w:w="906" w:type="dxa"/>
            <w:tcBorders>
              <w:top w:val="single" w:color="000000" w:sz="4" w:space="0"/>
              <w:left w:val="single" w:color="000000" w:sz="4" w:space="0"/>
              <w:bottom w:val="single" w:color="000000" w:sz="4" w:space="0"/>
              <w:right w:val="single" w:color="000000" w:sz="4" w:space="0"/>
            </w:tcBorders>
          </w:tcPr>
          <w:p>
            <w:pPr>
              <w:pStyle w:val="19"/>
              <w:spacing w:before="92"/>
              <w:ind w:left="227" w:right="209"/>
              <w:rPr>
                <w:rFonts w:ascii="Times New Roman"/>
                <w:sz w:val="21"/>
              </w:rPr>
            </w:pPr>
            <w:r>
              <w:rPr>
                <w:rFonts w:ascii="Times New Roman"/>
                <w:sz w:val="21"/>
              </w:rPr>
              <w:t>31</w:t>
            </w:r>
          </w:p>
        </w:tc>
        <w:tc>
          <w:tcPr>
            <w:tcW w:w="1138" w:type="dxa"/>
            <w:tcBorders>
              <w:top w:val="single" w:color="000000" w:sz="4" w:space="0"/>
              <w:left w:val="single" w:color="000000" w:sz="4" w:space="0"/>
              <w:bottom w:val="single" w:color="000000" w:sz="4" w:space="0"/>
              <w:right w:val="single" w:color="000000" w:sz="4" w:space="0"/>
            </w:tcBorders>
          </w:tcPr>
          <w:p>
            <w:pPr>
              <w:pStyle w:val="19"/>
              <w:spacing w:before="92"/>
              <w:ind w:left="448" w:right="430"/>
              <w:rPr>
                <w:rFonts w:ascii="Times New Roman"/>
                <w:sz w:val="21"/>
              </w:rPr>
            </w:pPr>
            <w:r>
              <w:rPr>
                <w:rFonts w:ascii="Times New Roman"/>
                <w:sz w:val="21"/>
              </w:rPr>
              <w:t>38</w:t>
            </w:r>
          </w:p>
        </w:tc>
        <w:tc>
          <w:tcPr>
            <w:tcW w:w="701" w:type="dxa"/>
            <w:tcBorders>
              <w:top w:val="single" w:color="000000" w:sz="4" w:space="0"/>
              <w:left w:val="single" w:color="000000" w:sz="4" w:space="0"/>
              <w:bottom w:val="single" w:color="000000" w:sz="4" w:space="0"/>
            </w:tcBorders>
          </w:tcPr>
          <w:p>
            <w:pPr>
              <w:pStyle w:val="19"/>
              <w:spacing w:before="92"/>
              <w:ind w:left="229" w:right="206"/>
              <w:rPr>
                <w:rFonts w:ascii="Times New Roman"/>
                <w:sz w:val="21"/>
              </w:rPr>
            </w:pPr>
            <w:r>
              <w:rPr>
                <w:rFonts w:ascii="Times New Roman"/>
                <w:sz w:val="21"/>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492" w:type="dxa"/>
            <w:tcBorders>
              <w:top w:val="single" w:color="000000" w:sz="4" w:space="0"/>
              <w:bottom w:val="single" w:color="000000" w:sz="4" w:space="0"/>
              <w:right w:val="single" w:color="000000" w:sz="4" w:space="0"/>
            </w:tcBorders>
          </w:tcPr>
          <w:p>
            <w:pPr>
              <w:pStyle w:val="19"/>
              <w:spacing w:before="91"/>
              <w:ind w:left="96" w:right="78"/>
              <w:rPr>
                <w:rFonts w:ascii="Times New Roman"/>
                <w:sz w:val="13"/>
              </w:rPr>
            </w:pPr>
            <w:r>
              <w:rPr>
                <w:rFonts w:ascii="Times New Roman"/>
                <w:sz w:val="21"/>
              </w:rPr>
              <w:t>Na</w:t>
            </w:r>
            <w:r>
              <w:rPr>
                <w:rFonts w:ascii="Times New Roman"/>
                <w:position w:val="7"/>
                <w:sz w:val="13"/>
              </w:rPr>
              <w:t>+</w:t>
            </w:r>
            <w:r>
              <w:rPr>
                <w:rFonts w:ascii="Times New Roman"/>
                <w:sz w:val="21"/>
              </w:rPr>
              <w:t>-Ca</w:t>
            </w:r>
            <w:r>
              <w:rPr>
                <w:rFonts w:ascii="Times New Roman"/>
                <w:position w:val="7"/>
                <w:sz w:val="13"/>
              </w:rPr>
              <w:t>2+</w:t>
            </w:r>
          </w:p>
        </w:tc>
        <w:tc>
          <w:tcPr>
            <w:tcW w:w="958" w:type="dxa"/>
            <w:tcBorders>
              <w:top w:val="single" w:color="000000" w:sz="4" w:space="0"/>
              <w:left w:val="single" w:color="000000" w:sz="4" w:space="0"/>
              <w:bottom w:val="single" w:color="000000" w:sz="4" w:space="0"/>
              <w:right w:val="single" w:color="000000" w:sz="4" w:space="0"/>
            </w:tcBorders>
          </w:tcPr>
          <w:p>
            <w:pPr>
              <w:pStyle w:val="19"/>
              <w:spacing w:before="91"/>
              <w:ind w:left="17"/>
              <w:rPr>
                <w:rFonts w:ascii="Times New Roman"/>
                <w:sz w:val="21"/>
              </w:rPr>
            </w:pPr>
            <w:r>
              <w:rPr>
                <w:rFonts w:ascii="Times New Roman"/>
                <w:w w:val="99"/>
                <w:sz w:val="21"/>
              </w:rPr>
              <w:t>4</w:t>
            </w:r>
          </w:p>
        </w:tc>
        <w:tc>
          <w:tcPr>
            <w:tcW w:w="1339" w:type="dxa"/>
            <w:tcBorders>
              <w:top w:val="single" w:color="000000" w:sz="4" w:space="0"/>
              <w:left w:val="single" w:color="000000" w:sz="4" w:space="0"/>
              <w:bottom w:val="single" w:color="000000" w:sz="4" w:space="0"/>
              <w:right w:val="single" w:color="000000" w:sz="4" w:space="0"/>
            </w:tcBorders>
          </w:tcPr>
          <w:p>
            <w:pPr>
              <w:pStyle w:val="19"/>
              <w:spacing w:before="91"/>
              <w:ind w:left="569"/>
              <w:jc w:val="left"/>
              <w:rPr>
                <w:rFonts w:ascii="Times New Roman"/>
                <w:sz w:val="21"/>
              </w:rPr>
            </w:pPr>
            <w:r>
              <w:rPr>
                <w:rFonts w:ascii="Times New Roman"/>
                <w:sz w:val="21"/>
              </w:rPr>
              <w:t>11</w:t>
            </w:r>
          </w:p>
        </w:tc>
        <w:tc>
          <w:tcPr>
            <w:tcW w:w="1621" w:type="dxa"/>
            <w:tcBorders>
              <w:top w:val="single" w:color="000000" w:sz="4" w:space="0"/>
              <w:left w:val="single" w:color="000000" w:sz="4" w:space="0"/>
              <w:bottom w:val="single" w:color="000000" w:sz="4" w:space="0"/>
              <w:right w:val="single" w:color="000000" w:sz="4" w:space="0"/>
            </w:tcBorders>
          </w:tcPr>
          <w:p>
            <w:pPr>
              <w:pStyle w:val="19"/>
              <w:spacing w:before="91"/>
              <w:ind w:left="688" w:right="672"/>
              <w:rPr>
                <w:rFonts w:ascii="Times New Roman"/>
                <w:sz w:val="21"/>
              </w:rPr>
            </w:pPr>
            <w:r>
              <w:rPr>
                <w:rFonts w:ascii="Times New Roman"/>
                <w:sz w:val="21"/>
              </w:rPr>
              <w:t>18</w:t>
            </w:r>
          </w:p>
        </w:tc>
        <w:tc>
          <w:tcPr>
            <w:tcW w:w="1131" w:type="dxa"/>
            <w:tcBorders>
              <w:top w:val="single" w:color="000000" w:sz="4" w:space="0"/>
              <w:left w:val="single" w:color="000000" w:sz="4" w:space="0"/>
              <w:bottom w:val="single" w:color="000000" w:sz="4" w:space="0"/>
              <w:right w:val="single" w:color="000000" w:sz="4" w:space="0"/>
            </w:tcBorders>
          </w:tcPr>
          <w:p>
            <w:pPr>
              <w:pStyle w:val="19"/>
              <w:spacing w:before="91"/>
              <w:ind w:left="445" w:right="426"/>
              <w:rPr>
                <w:rFonts w:ascii="Times New Roman"/>
                <w:sz w:val="21"/>
              </w:rPr>
            </w:pPr>
            <w:r>
              <w:rPr>
                <w:rFonts w:ascii="Times New Roman"/>
                <w:sz w:val="21"/>
              </w:rPr>
              <w:t>25</w:t>
            </w:r>
          </w:p>
        </w:tc>
        <w:tc>
          <w:tcPr>
            <w:tcW w:w="906" w:type="dxa"/>
            <w:tcBorders>
              <w:top w:val="single" w:color="000000" w:sz="4" w:space="0"/>
              <w:left w:val="single" w:color="000000" w:sz="4" w:space="0"/>
              <w:bottom w:val="single" w:color="000000" w:sz="4" w:space="0"/>
              <w:right w:val="single" w:color="000000" w:sz="4" w:space="0"/>
            </w:tcBorders>
          </w:tcPr>
          <w:p>
            <w:pPr>
              <w:pStyle w:val="19"/>
              <w:spacing w:before="91"/>
              <w:ind w:left="227" w:right="209"/>
              <w:rPr>
                <w:rFonts w:ascii="Times New Roman"/>
                <w:sz w:val="21"/>
              </w:rPr>
            </w:pPr>
            <w:r>
              <w:rPr>
                <w:rFonts w:ascii="Times New Roman"/>
                <w:sz w:val="21"/>
              </w:rPr>
              <w:t>32</w:t>
            </w:r>
          </w:p>
        </w:tc>
        <w:tc>
          <w:tcPr>
            <w:tcW w:w="1138" w:type="dxa"/>
            <w:tcBorders>
              <w:top w:val="single" w:color="000000" w:sz="4" w:space="0"/>
              <w:left w:val="single" w:color="000000" w:sz="4" w:space="0"/>
              <w:bottom w:val="single" w:color="000000" w:sz="4" w:space="0"/>
              <w:right w:val="single" w:color="000000" w:sz="4" w:space="0"/>
            </w:tcBorders>
          </w:tcPr>
          <w:p>
            <w:pPr>
              <w:pStyle w:val="19"/>
              <w:spacing w:before="91"/>
              <w:ind w:left="448" w:right="430"/>
              <w:rPr>
                <w:rFonts w:ascii="Times New Roman"/>
                <w:sz w:val="21"/>
              </w:rPr>
            </w:pPr>
            <w:r>
              <w:rPr>
                <w:rFonts w:ascii="Times New Roman"/>
                <w:sz w:val="21"/>
              </w:rPr>
              <w:t>39</w:t>
            </w:r>
          </w:p>
        </w:tc>
        <w:tc>
          <w:tcPr>
            <w:tcW w:w="701" w:type="dxa"/>
            <w:tcBorders>
              <w:top w:val="single" w:color="000000" w:sz="4" w:space="0"/>
              <w:left w:val="single" w:color="000000" w:sz="4" w:space="0"/>
              <w:bottom w:val="single" w:color="000000" w:sz="4" w:space="0"/>
            </w:tcBorders>
          </w:tcPr>
          <w:p>
            <w:pPr>
              <w:pStyle w:val="19"/>
              <w:spacing w:before="91"/>
              <w:ind w:left="229" w:right="206"/>
              <w:rPr>
                <w:rFonts w:ascii="Times New Roman"/>
                <w:sz w:val="21"/>
              </w:rPr>
            </w:pPr>
            <w:r>
              <w:rPr>
                <w:rFonts w:ascii="Times New Roman"/>
                <w:sz w:val="21"/>
              </w:rPr>
              <w:t>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492" w:type="dxa"/>
            <w:tcBorders>
              <w:top w:val="single" w:color="000000" w:sz="4" w:space="0"/>
              <w:bottom w:val="single" w:color="000000" w:sz="4" w:space="0"/>
              <w:right w:val="single" w:color="000000" w:sz="4" w:space="0"/>
            </w:tcBorders>
          </w:tcPr>
          <w:p>
            <w:pPr>
              <w:pStyle w:val="19"/>
              <w:spacing w:before="91"/>
              <w:ind w:left="99" w:right="78"/>
              <w:rPr>
                <w:rFonts w:ascii="Times New Roman"/>
                <w:sz w:val="13"/>
              </w:rPr>
            </w:pPr>
            <w:r>
              <w:rPr>
                <w:rFonts w:ascii="Times New Roman"/>
                <w:sz w:val="21"/>
              </w:rPr>
              <w:t>Na</w:t>
            </w:r>
            <w:r>
              <w:rPr>
                <w:rFonts w:ascii="Times New Roman"/>
                <w:position w:val="7"/>
                <w:sz w:val="13"/>
              </w:rPr>
              <w:t>+</w:t>
            </w:r>
            <w:r>
              <w:rPr>
                <w:rFonts w:ascii="Times New Roman"/>
                <w:sz w:val="21"/>
              </w:rPr>
              <w:t>-Ca</w:t>
            </w:r>
            <w:r>
              <w:rPr>
                <w:rFonts w:ascii="Times New Roman"/>
                <w:position w:val="7"/>
                <w:sz w:val="13"/>
              </w:rPr>
              <w:t>2+</w:t>
            </w:r>
            <w:r>
              <w:rPr>
                <w:rFonts w:ascii="Times New Roman"/>
                <w:sz w:val="21"/>
              </w:rPr>
              <w:t>-Mg</w:t>
            </w:r>
            <w:r>
              <w:rPr>
                <w:rFonts w:ascii="Times New Roman"/>
                <w:position w:val="7"/>
                <w:sz w:val="13"/>
              </w:rPr>
              <w:t>2+</w:t>
            </w:r>
          </w:p>
        </w:tc>
        <w:tc>
          <w:tcPr>
            <w:tcW w:w="958" w:type="dxa"/>
            <w:tcBorders>
              <w:top w:val="single" w:color="000000" w:sz="4" w:space="0"/>
              <w:left w:val="single" w:color="000000" w:sz="4" w:space="0"/>
              <w:bottom w:val="single" w:color="000000" w:sz="4" w:space="0"/>
              <w:right w:val="single" w:color="000000" w:sz="4" w:space="0"/>
            </w:tcBorders>
          </w:tcPr>
          <w:p>
            <w:pPr>
              <w:pStyle w:val="19"/>
              <w:spacing w:before="91"/>
              <w:ind w:left="17"/>
              <w:rPr>
                <w:rFonts w:ascii="Times New Roman"/>
                <w:sz w:val="21"/>
              </w:rPr>
            </w:pPr>
            <w:r>
              <w:rPr>
                <w:rFonts w:ascii="Times New Roman"/>
                <w:w w:val="99"/>
                <w:sz w:val="21"/>
              </w:rPr>
              <w:t>5</w:t>
            </w:r>
          </w:p>
        </w:tc>
        <w:tc>
          <w:tcPr>
            <w:tcW w:w="1339" w:type="dxa"/>
            <w:tcBorders>
              <w:top w:val="single" w:color="000000" w:sz="4" w:space="0"/>
              <w:left w:val="single" w:color="000000" w:sz="4" w:space="0"/>
              <w:bottom w:val="single" w:color="000000" w:sz="4" w:space="0"/>
              <w:right w:val="single" w:color="000000" w:sz="4" w:space="0"/>
            </w:tcBorders>
          </w:tcPr>
          <w:p>
            <w:pPr>
              <w:pStyle w:val="19"/>
              <w:spacing w:before="91"/>
              <w:ind w:left="569"/>
              <w:jc w:val="left"/>
              <w:rPr>
                <w:rFonts w:ascii="Times New Roman"/>
                <w:sz w:val="21"/>
              </w:rPr>
            </w:pPr>
            <w:r>
              <w:rPr>
                <w:rFonts w:ascii="Times New Roman"/>
                <w:sz w:val="21"/>
              </w:rPr>
              <w:t>12</w:t>
            </w:r>
          </w:p>
        </w:tc>
        <w:tc>
          <w:tcPr>
            <w:tcW w:w="1621" w:type="dxa"/>
            <w:tcBorders>
              <w:top w:val="single" w:color="000000" w:sz="4" w:space="0"/>
              <w:left w:val="single" w:color="000000" w:sz="4" w:space="0"/>
              <w:bottom w:val="single" w:color="000000" w:sz="4" w:space="0"/>
              <w:right w:val="single" w:color="000000" w:sz="4" w:space="0"/>
            </w:tcBorders>
          </w:tcPr>
          <w:p>
            <w:pPr>
              <w:pStyle w:val="19"/>
              <w:spacing w:before="91"/>
              <w:ind w:left="688" w:right="672"/>
              <w:rPr>
                <w:rFonts w:ascii="Times New Roman"/>
                <w:sz w:val="21"/>
              </w:rPr>
            </w:pPr>
            <w:r>
              <w:rPr>
                <w:rFonts w:ascii="Times New Roman"/>
                <w:sz w:val="21"/>
              </w:rPr>
              <w:t>19</w:t>
            </w:r>
          </w:p>
        </w:tc>
        <w:tc>
          <w:tcPr>
            <w:tcW w:w="1131" w:type="dxa"/>
            <w:tcBorders>
              <w:top w:val="single" w:color="000000" w:sz="4" w:space="0"/>
              <w:left w:val="single" w:color="000000" w:sz="4" w:space="0"/>
              <w:bottom w:val="single" w:color="000000" w:sz="4" w:space="0"/>
              <w:right w:val="single" w:color="000000" w:sz="4" w:space="0"/>
            </w:tcBorders>
          </w:tcPr>
          <w:p>
            <w:pPr>
              <w:pStyle w:val="19"/>
              <w:spacing w:before="91"/>
              <w:ind w:left="445" w:right="426"/>
              <w:rPr>
                <w:rFonts w:ascii="Times New Roman"/>
                <w:sz w:val="21"/>
              </w:rPr>
            </w:pPr>
            <w:r>
              <w:rPr>
                <w:rFonts w:ascii="Times New Roman"/>
                <w:sz w:val="21"/>
              </w:rPr>
              <w:t>26</w:t>
            </w:r>
          </w:p>
        </w:tc>
        <w:tc>
          <w:tcPr>
            <w:tcW w:w="906" w:type="dxa"/>
            <w:tcBorders>
              <w:top w:val="single" w:color="000000" w:sz="4" w:space="0"/>
              <w:left w:val="single" w:color="000000" w:sz="4" w:space="0"/>
              <w:bottom w:val="single" w:color="000000" w:sz="4" w:space="0"/>
              <w:right w:val="single" w:color="000000" w:sz="4" w:space="0"/>
            </w:tcBorders>
          </w:tcPr>
          <w:p>
            <w:pPr>
              <w:pStyle w:val="19"/>
              <w:spacing w:before="91"/>
              <w:ind w:left="227" w:right="209"/>
              <w:rPr>
                <w:rFonts w:ascii="Times New Roman"/>
                <w:sz w:val="21"/>
              </w:rPr>
            </w:pPr>
            <w:r>
              <w:rPr>
                <w:rFonts w:ascii="Times New Roman"/>
                <w:sz w:val="21"/>
              </w:rPr>
              <w:t>33</w:t>
            </w:r>
          </w:p>
        </w:tc>
        <w:tc>
          <w:tcPr>
            <w:tcW w:w="1138" w:type="dxa"/>
            <w:tcBorders>
              <w:top w:val="single" w:color="000000" w:sz="4" w:space="0"/>
              <w:left w:val="single" w:color="000000" w:sz="4" w:space="0"/>
              <w:bottom w:val="single" w:color="000000" w:sz="4" w:space="0"/>
              <w:right w:val="single" w:color="000000" w:sz="4" w:space="0"/>
            </w:tcBorders>
          </w:tcPr>
          <w:p>
            <w:pPr>
              <w:pStyle w:val="19"/>
              <w:spacing w:before="91"/>
              <w:ind w:left="448" w:right="430"/>
              <w:rPr>
                <w:rFonts w:ascii="Times New Roman"/>
                <w:sz w:val="21"/>
              </w:rPr>
            </w:pPr>
            <w:r>
              <w:rPr>
                <w:rFonts w:ascii="Times New Roman"/>
                <w:sz w:val="21"/>
              </w:rPr>
              <w:t>40</w:t>
            </w:r>
          </w:p>
        </w:tc>
        <w:tc>
          <w:tcPr>
            <w:tcW w:w="701" w:type="dxa"/>
            <w:tcBorders>
              <w:top w:val="single" w:color="000000" w:sz="4" w:space="0"/>
              <w:left w:val="single" w:color="000000" w:sz="4" w:space="0"/>
              <w:bottom w:val="single" w:color="000000" w:sz="4" w:space="0"/>
            </w:tcBorders>
          </w:tcPr>
          <w:p>
            <w:pPr>
              <w:pStyle w:val="19"/>
              <w:spacing w:before="91"/>
              <w:ind w:left="229" w:right="206"/>
              <w:rPr>
                <w:rFonts w:ascii="Times New Roman"/>
                <w:sz w:val="21"/>
              </w:rPr>
            </w:pPr>
            <w:r>
              <w:rPr>
                <w:rFonts w:ascii="Times New Roman"/>
                <w:sz w:val="21"/>
              </w:rPr>
              <w:t>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492" w:type="dxa"/>
            <w:tcBorders>
              <w:top w:val="single" w:color="000000" w:sz="4" w:space="0"/>
              <w:bottom w:val="single" w:color="000000" w:sz="4" w:space="0"/>
              <w:right w:val="single" w:color="000000" w:sz="4" w:space="0"/>
            </w:tcBorders>
          </w:tcPr>
          <w:p>
            <w:pPr>
              <w:pStyle w:val="19"/>
              <w:spacing w:before="91"/>
              <w:ind w:left="95" w:right="78"/>
              <w:rPr>
                <w:rFonts w:ascii="Times New Roman"/>
                <w:sz w:val="13"/>
              </w:rPr>
            </w:pPr>
            <w:r>
              <w:rPr>
                <w:rFonts w:ascii="Times New Roman"/>
                <w:sz w:val="21"/>
              </w:rPr>
              <w:t>Na</w:t>
            </w:r>
            <w:r>
              <w:rPr>
                <w:rFonts w:ascii="Times New Roman"/>
                <w:position w:val="7"/>
                <w:sz w:val="13"/>
              </w:rPr>
              <w:t>+</w:t>
            </w:r>
            <w:r>
              <w:rPr>
                <w:rFonts w:ascii="Times New Roman"/>
                <w:sz w:val="21"/>
              </w:rPr>
              <w:t>-Mg</w:t>
            </w:r>
            <w:r>
              <w:rPr>
                <w:rFonts w:ascii="Times New Roman"/>
                <w:position w:val="7"/>
                <w:sz w:val="13"/>
              </w:rPr>
              <w:t>2</w:t>
            </w:r>
          </w:p>
        </w:tc>
        <w:tc>
          <w:tcPr>
            <w:tcW w:w="958" w:type="dxa"/>
            <w:tcBorders>
              <w:top w:val="single" w:color="000000" w:sz="4" w:space="0"/>
              <w:left w:val="single" w:color="000000" w:sz="4" w:space="0"/>
              <w:bottom w:val="single" w:color="000000" w:sz="4" w:space="0"/>
              <w:right w:val="single" w:color="000000" w:sz="4" w:space="0"/>
            </w:tcBorders>
          </w:tcPr>
          <w:p>
            <w:pPr>
              <w:pStyle w:val="19"/>
              <w:spacing w:before="91"/>
              <w:ind w:left="17"/>
              <w:rPr>
                <w:rFonts w:ascii="Times New Roman"/>
                <w:sz w:val="21"/>
              </w:rPr>
            </w:pPr>
            <w:r>
              <w:rPr>
                <w:rFonts w:ascii="Times New Roman"/>
                <w:w w:val="99"/>
                <w:sz w:val="21"/>
              </w:rPr>
              <w:t>6</w:t>
            </w:r>
          </w:p>
        </w:tc>
        <w:tc>
          <w:tcPr>
            <w:tcW w:w="1339" w:type="dxa"/>
            <w:tcBorders>
              <w:top w:val="single" w:color="000000" w:sz="4" w:space="0"/>
              <w:left w:val="single" w:color="000000" w:sz="4" w:space="0"/>
              <w:bottom w:val="single" w:color="000000" w:sz="4" w:space="0"/>
              <w:right w:val="single" w:color="000000" w:sz="4" w:space="0"/>
            </w:tcBorders>
          </w:tcPr>
          <w:p>
            <w:pPr>
              <w:pStyle w:val="19"/>
              <w:spacing w:before="91"/>
              <w:ind w:left="569"/>
              <w:jc w:val="left"/>
              <w:rPr>
                <w:rFonts w:ascii="Times New Roman"/>
                <w:sz w:val="21"/>
              </w:rPr>
            </w:pPr>
            <w:r>
              <w:rPr>
                <w:rFonts w:ascii="Times New Roman"/>
                <w:sz w:val="21"/>
              </w:rPr>
              <w:t>13</w:t>
            </w:r>
          </w:p>
        </w:tc>
        <w:tc>
          <w:tcPr>
            <w:tcW w:w="1621" w:type="dxa"/>
            <w:tcBorders>
              <w:top w:val="single" w:color="000000" w:sz="4" w:space="0"/>
              <w:left w:val="single" w:color="000000" w:sz="4" w:space="0"/>
              <w:bottom w:val="single" w:color="000000" w:sz="4" w:space="0"/>
              <w:right w:val="single" w:color="000000" w:sz="4" w:space="0"/>
            </w:tcBorders>
          </w:tcPr>
          <w:p>
            <w:pPr>
              <w:pStyle w:val="19"/>
              <w:spacing w:before="91"/>
              <w:ind w:left="688" w:right="672"/>
              <w:rPr>
                <w:rFonts w:ascii="Times New Roman"/>
                <w:sz w:val="21"/>
              </w:rPr>
            </w:pPr>
            <w:r>
              <w:rPr>
                <w:rFonts w:ascii="Times New Roman"/>
                <w:sz w:val="21"/>
              </w:rPr>
              <w:t>20</w:t>
            </w:r>
          </w:p>
        </w:tc>
        <w:tc>
          <w:tcPr>
            <w:tcW w:w="1131" w:type="dxa"/>
            <w:tcBorders>
              <w:top w:val="single" w:color="000000" w:sz="4" w:space="0"/>
              <w:left w:val="single" w:color="000000" w:sz="4" w:space="0"/>
              <w:bottom w:val="single" w:color="000000" w:sz="4" w:space="0"/>
              <w:right w:val="single" w:color="000000" w:sz="4" w:space="0"/>
            </w:tcBorders>
          </w:tcPr>
          <w:p>
            <w:pPr>
              <w:pStyle w:val="19"/>
              <w:spacing w:before="91"/>
              <w:ind w:left="445" w:right="426"/>
              <w:rPr>
                <w:rFonts w:ascii="Times New Roman"/>
                <w:sz w:val="21"/>
              </w:rPr>
            </w:pPr>
            <w:r>
              <w:rPr>
                <w:rFonts w:ascii="Times New Roman"/>
                <w:sz w:val="21"/>
              </w:rPr>
              <w:t>27</w:t>
            </w:r>
          </w:p>
        </w:tc>
        <w:tc>
          <w:tcPr>
            <w:tcW w:w="906" w:type="dxa"/>
            <w:tcBorders>
              <w:top w:val="single" w:color="000000" w:sz="4" w:space="0"/>
              <w:left w:val="single" w:color="000000" w:sz="4" w:space="0"/>
              <w:bottom w:val="single" w:color="000000" w:sz="4" w:space="0"/>
              <w:right w:val="single" w:color="000000" w:sz="4" w:space="0"/>
            </w:tcBorders>
          </w:tcPr>
          <w:p>
            <w:pPr>
              <w:pStyle w:val="19"/>
              <w:spacing w:before="91"/>
              <w:ind w:left="227" w:right="209"/>
              <w:rPr>
                <w:rFonts w:ascii="Times New Roman"/>
                <w:sz w:val="21"/>
              </w:rPr>
            </w:pPr>
            <w:r>
              <w:rPr>
                <w:rFonts w:ascii="Times New Roman"/>
                <w:sz w:val="21"/>
              </w:rPr>
              <w:t>34</w:t>
            </w:r>
          </w:p>
        </w:tc>
        <w:tc>
          <w:tcPr>
            <w:tcW w:w="1138" w:type="dxa"/>
            <w:tcBorders>
              <w:top w:val="single" w:color="000000" w:sz="4" w:space="0"/>
              <w:left w:val="single" w:color="000000" w:sz="4" w:space="0"/>
              <w:bottom w:val="single" w:color="000000" w:sz="4" w:space="0"/>
              <w:right w:val="single" w:color="000000" w:sz="4" w:space="0"/>
            </w:tcBorders>
          </w:tcPr>
          <w:p>
            <w:pPr>
              <w:pStyle w:val="19"/>
              <w:spacing w:before="91"/>
              <w:ind w:left="448" w:right="430"/>
              <w:rPr>
                <w:rFonts w:ascii="Times New Roman"/>
                <w:sz w:val="21"/>
              </w:rPr>
            </w:pPr>
            <w:r>
              <w:rPr>
                <w:rFonts w:ascii="Times New Roman"/>
                <w:sz w:val="21"/>
              </w:rPr>
              <w:t>41</w:t>
            </w:r>
          </w:p>
        </w:tc>
        <w:tc>
          <w:tcPr>
            <w:tcW w:w="701" w:type="dxa"/>
            <w:tcBorders>
              <w:top w:val="single" w:color="000000" w:sz="4" w:space="0"/>
              <w:left w:val="single" w:color="000000" w:sz="4" w:space="0"/>
              <w:bottom w:val="single" w:color="000000" w:sz="4" w:space="0"/>
            </w:tcBorders>
          </w:tcPr>
          <w:p>
            <w:pPr>
              <w:pStyle w:val="19"/>
              <w:spacing w:before="91"/>
              <w:ind w:left="229" w:right="206"/>
              <w:rPr>
                <w:rFonts w:ascii="Times New Roman"/>
                <w:sz w:val="21"/>
              </w:rPr>
            </w:pPr>
            <w:r>
              <w:rPr>
                <w:rFonts w:ascii="Times New Roman"/>
                <w:sz w:val="21"/>
              </w:rPr>
              <w:t>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1492" w:type="dxa"/>
            <w:tcBorders>
              <w:top w:val="single" w:color="000000" w:sz="4" w:space="0"/>
              <w:right w:val="single" w:color="000000" w:sz="4" w:space="0"/>
            </w:tcBorders>
          </w:tcPr>
          <w:p>
            <w:pPr>
              <w:pStyle w:val="19"/>
              <w:spacing w:before="93"/>
              <w:ind w:left="94" w:right="78"/>
              <w:rPr>
                <w:rFonts w:ascii="Times New Roman"/>
                <w:sz w:val="13"/>
              </w:rPr>
            </w:pPr>
            <w:r>
              <w:rPr>
                <w:rFonts w:ascii="Times New Roman"/>
                <w:sz w:val="21"/>
              </w:rPr>
              <w:t>Na</w:t>
            </w:r>
            <w:r>
              <w:rPr>
                <w:rFonts w:ascii="Times New Roman"/>
                <w:position w:val="7"/>
                <w:sz w:val="13"/>
              </w:rPr>
              <w:t>+</w:t>
            </w:r>
          </w:p>
        </w:tc>
        <w:tc>
          <w:tcPr>
            <w:tcW w:w="958" w:type="dxa"/>
            <w:tcBorders>
              <w:top w:val="single" w:color="000000" w:sz="4" w:space="0"/>
              <w:left w:val="single" w:color="000000" w:sz="4" w:space="0"/>
              <w:right w:val="single" w:color="000000" w:sz="4" w:space="0"/>
            </w:tcBorders>
          </w:tcPr>
          <w:p>
            <w:pPr>
              <w:pStyle w:val="19"/>
              <w:spacing w:before="93"/>
              <w:ind w:left="17"/>
              <w:rPr>
                <w:rFonts w:ascii="Times New Roman"/>
                <w:sz w:val="21"/>
              </w:rPr>
            </w:pPr>
            <w:r>
              <w:rPr>
                <w:rFonts w:ascii="Times New Roman"/>
                <w:w w:val="99"/>
                <w:sz w:val="21"/>
              </w:rPr>
              <w:t>7</w:t>
            </w:r>
          </w:p>
        </w:tc>
        <w:tc>
          <w:tcPr>
            <w:tcW w:w="1339" w:type="dxa"/>
            <w:tcBorders>
              <w:top w:val="single" w:color="000000" w:sz="4" w:space="0"/>
              <w:left w:val="single" w:color="000000" w:sz="4" w:space="0"/>
              <w:right w:val="single" w:color="000000" w:sz="4" w:space="0"/>
            </w:tcBorders>
          </w:tcPr>
          <w:p>
            <w:pPr>
              <w:pStyle w:val="19"/>
              <w:spacing w:before="93"/>
              <w:ind w:left="569"/>
              <w:jc w:val="left"/>
              <w:rPr>
                <w:rFonts w:ascii="Times New Roman"/>
                <w:sz w:val="21"/>
              </w:rPr>
            </w:pPr>
            <w:r>
              <w:rPr>
                <w:rFonts w:ascii="Times New Roman"/>
                <w:sz w:val="21"/>
              </w:rPr>
              <w:t>14</w:t>
            </w:r>
          </w:p>
        </w:tc>
        <w:tc>
          <w:tcPr>
            <w:tcW w:w="1621" w:type="dxa"/>
            <w:tcBorders>
              <w:top w:val="single" w:color="000000" w:sz="4" w:space="0"/>
              <w:left w:val="single" w:color="000000" w:sz="4" w:space="0"/>
              <w:right w:val="single" w:color="000000" w:sz="4" w:space="0"/>
            </w:tcBorders>
          </w:tcPr>
          <w:p>
            <w:pPr>
              <w:pStyle w:val="19"/>
              <w:spacing w:before="93"/>
              <w:ind w:left="688" w:right="672"/>
              <w:rPr>
                <w:rFonts w:ascii="Times New Roman"/>
                <w:sz w:val="21"/>
              </w:rPr>
            </w:pPr>
            <w:r>
              <w:rPr>
                <w:rFonts w:ascii="Times New Roman"/>
                <w:sz w:val="21"/>
              </w:rPr>
              <w:t>21</w:t>
            </w:r>
          </w:p>
        </w:tc>
        <w:tc>
          <w:tcPr>
            <w:tcW w:w="1131" w:type="dxa"/>
            <w:tcBorders>
              <w:top w:val="single" w:color="000000" w:sz="4" w:space="0"/>
              <w:left w:val="single" w:color="000000" w:sz="4" w:space="0"/>
              <w:right w:val="single" w:color="000000" w:sz="4" w:space="0"/>
            </w:tcBorders>
          </w:tcPr>
          <w:p>
            <w:pPr>
              <w:pStyle w:val="19"/>
              <w:spacing w:before="93"/>
              <w:ind w:left="445" w:right="426"/>
              <w:rPr>
                <w:rFonts w:ascii="Times New Roman"/>
                <w:sz w:val="21"/>
              </w:rPr>
            </w:pPr>
            <w:r>
              <w:rPr>
                <w:rFonts w:ascii="Times New Roman"/>
                <w:sz w:val="21"/>
              </w:rPr>
              <w:t>28</w:t>
            </w:r>
          </w:p>
        </w:tc>
        <w:tc>
          <w:tcPr>
            <w:tcW w:w="906" w:type="dxa"/>
            <w:tcBorders>
              <w:top w:val="single" w:color="000000" w:sz="4" w:space="0"/>
              <w:left w:val="single" w:color="000000" w:sz="4" w:space="0"/>
              <w:right w:val="single" w:color="000000" w:sz="4" w:space="0"/>
            </w:tcBorders>
          </w:tcPr>
          <w:p>
            <w:pPr>
              <w:pStyle w:val="19"/>
              <w:spacing w:before="93"/>
              <w:ind w:left="227" w:right="209"/>
              <w:rPr>
                <w:rFonts w:ascii="Times New Roman"/>
                <w:sz w:val="21"/>
              </w:rPr>
            </w:pPr>
            <w:r>
              <w:rPr>
                <w:rFonts w:ascii="Times New Roman"/>
                <w:sz w:val="21"/>
              </w:rPr>
              <w:t>35</w:t>
            </w:r>
          </w:p>
        </w:tc>
        <w:tc>
          <w:tcPr>
            <w:tcW w:w="1138" w:type="dxa"/>
            <w:tcBorders>
              <w:top w:val="single" w:color="000000" w:sz="4" w:space="0"/>
              <w:left w:val="single" w:color="000000" w:sz="4" w:space="0"/>
              <w:right w:val="single" w:color="000000" w:sz="4" w:space="0"/>
            </w:tcBorders>
          </w:tcPr>
          <w:p>
            <w:pPr>
              <w:pStyle w:val="19"/>
              <w:spacing w:before="93"/>
              <w:ind w:left="448" w:right="430"/>
              <w:rPr>
                <w:rFonts w:ascii="Times New Roman"/>
                <w:sz w:val="21"/>
              </w:rPr>
            </w:pPr>
            <w:r>
              <w:rPr>
                <w:rFonts w:ascii="Times New Roman"/>
                <w:sz w:val="21"/>
              </w:rPr>
              <w:t>42</w:t>
            </w:r>
          </w:p>
        </w:tc>
        <w:tc>
          <w:tcPr>
            <w:tcW w:w="701" w:type="dxa"/>
            <w:tcBorders>
              <w:top w:val="single" w:color="000000" w:sz="4" w:space="0"/>
              <w:left w:val="single" w:color="000000" w:sz="4" w:space="0"/>
            </w:tcBorders>
          </w:tcPr>
          <w:p>
            <w:pPr>
              <w:pStyle w:val="19"/>
              <w:spacing w:before="93"/>
              <w:ind w:left="229" w:right="206"/>
              <w:rPr>
                <w:rFonts w:ascii="Times New Roman"/>
                <w:sz w:val="21"/>
              </w:rPr>
            </w:pPr>
            <w:r>
              <w:rPr>
                <w:rFonts w:ascii="Times New Roman"/>
                <w:sz w:val="21"/>
              </w:rPr>
              <w:t>49</w:t>
            </w:r>
          </w:p>
        </w:tc>
      </w:tr>
    </w:tbl>
    <w:p>
      <w:pPr>
        <w:pStyle w:val="9"/>
        <w:spacing w:before="3" w:line="362" w:lineRule="auto"/>
        <w:ind w:left="1418" w:right="1413" w:firstLine="480"/>
      </w:pPr>
      <w:r>
        <w:t>按矿化度又划分为四组，即：</w:t>
      </w:r>
      <w:r>
        <w:rPr>
          <w:rFonts w:ascii="Times New Roman" w:eastAsia="Times New Roman"/>
        </w:rPr>
        <w:t xml:space="preserve">A </w:t>
      </w:r>
      <w:r>
        <w:rPr>
          <w:spacing w:val="-8"/>
        </w:rPr>
        <w:t xml:space="preserve">组矿化度小于 </w:t>
      </w:r>
      <w:r>
        <w:rPr>
          <w:rFonts w:ascii="Times New Roman" w:eastAsia="Times New Roman"/>
        </w:rPr>
        <w:t>1.5g/L</w:t>
      </w:r>
      <w:r>
        <w:t>；</w:t>
      </w:r>
      <w:r>
        <w:rPr>
          <w:rFonts w:ascii="Times New Roman" w:eastAsia="Times New Roman"/>
        </w:rPr>
        <w:t xml:space="preserve">B </w:t>
      </w:r>
      <w:r>
        <w:rPr>
          <w:spacing w:val="-10"/>
        </w:rPr>
        <w:t xml:space="preserve">组矿化度为 </w:t>
      </w:r>
      <w:r>
        <w:rPr>
          <w:rFonts w:ascii="Times New Roman" w:eastAsia="Times New Roman"/>
        </w:rPr>
        <w:t>1.5</w:t>
      </w:r>
      <w:r>
        <w:t>～</w:t>
      </w:r>
      <w:r>
        <w:rPr>
          <w:rFonts w:ascii="Times New Roman" w:eastAsia="Times New Roman"/>
        </w:rPr>
        <w:t>10g/L</w:t>
      </w:r>
      <w:r>
        <w:t xml:space="preserve">； </w:t>
      </w:r>
      <w:r>
        <w:rPr>
          <w:rFonts w:ascii="Times New Roman" w:eastAsia="Times New Roman"/>
        </w:rPr>
        <w:t xml:space="preserve">C </w:t>
      </w:r>
      <w:r>
        <w:rPr>
          <w:spacing w:val="-20"/>
        </w:rPr>
        <w:t xml:space="preserve">组为 </w:t>
      </w:r>
      <w:r>
        <w:rPr>
          <w:rFonts w:ascii="Times New Roman" w:eastAsia="Times New Roman"/>
        </w:rPr>
        <w:t>10~40g/L</w:t>
      </w:r>
      <w:r>
        <w:t>；</w:t>
      </w:r>
      <w:r>
        <w:rPr>
          <w:rFonts w:ascii="Times New Roman" w:eastAsia="Times New Roman"/>
        </w:rPr>
        <w:t xml:space="preserve">D </w:t>
      </w:r>
      <w:r>
        <w:rPr>
          <w:spacing w:val="-15"/>
        </w:rPr>
        <w:t xml:space="preserve">组大于 </w:t>
      </w:r>
      <w:r>
        <w:rPr>
          <w:rFonts w:ascii="Times New Roman" w:eastAsia="Times New Roman"/>
        </w:rPr>
        <w:t>40g/L</w:t>
      </w:r>
      <w:r>
        <w:t>。</w:t>
      </w:r>
    </w:p>
    <w:p>
      <w:pPr>
        <w:pStyle w:val="9"/>
        <w:spacing w:before="5"/>
        <w:ind w:left="1960"/>
      </w:pPr>
      <w:r>
        <mc:AlternateContent>
          <mc:Choice Requires="wps">
            <w:drawing>
              <wp:anchor distT="0" distB="0" distL="114300" distR="114300" simplePos="0" relativeHeight="212771840" behindDoc="1" locked="0" layoutInCell="1" allowOverlap="1">
                <wp:simplePos x="0" y="0"/>
                <wp:positionH relativeFrom="page">
                  <wp:posOffset>4201160</wp:posOffset>
                </wp:positionH>
                <wp:positionV relativeFrom="paragraph">
                  <wp:posOffset>77470</wp:posOffset>
                </wp:positionV>
                <wp:extent cx="377190" cy="109855"/>
                <wp:effectExtent l="0" t="0" r="0" b="0"/>
                <wp:wrapNone/>
                <wp:docPr id="30" name="文本框 53"/>
                <wp:cNvGraphicFramePr/>
                <a:graphic xmlns:a="http://schemas.openxmlformats.org/drawingml/2006/main">
                  <a:graphicData uri="http://schemas.microsoft.com/office/word/2010/wordprocessingShape">
                    <wps:wsp>
                      <wps:cNvSpPr txBox="1"/>
                      <wps:spPr>
                        <a:xfrm>
                          <a:off x="0" y="0"/>
                          <a:ext cx="377190" cy="109855"/>
                        </a:xfrm>
                        <a:prstGeom prst="rect">
                          <a:avLst/>
                        </a:prstGeom>
                        <a:noFill/>
                        <a:ln>
                          <a:noFill/>
                        </a:ln>
                      </wps:spPr>
                      <wps:txbx>
                        <w:txbxContent>
                          <w:p>
                            <w:pPr>
                              <w:tabs>
                                <w:tab w:val="left" w:pos="515"/>
                              </w:tabs>
                              <w:spacing w:before="0" w:line="171" w:lineRule="exact"/>
                              <w:ind w:left="0" w:right="0" w:firstLine="0"/>
                              <w:jc w:val="left"/>
                              <w:rPr>
                                <w:rFonts w:ascii="Times New Roman"/>
                                <w:sz w:val="15"/>
                              </w:rPr>
                            </w:pPr>
                            <w:r>
                              <w:rPr>
                                <w:rFonts w:ascii="Times New Roman"/>
                                <w:w w:val="105"/>
                                <w:sz w:val="15"/>
                              </w:rPr>
                              <w:t>3</w:t>
                            </w:r>
                            <w:r>
                              <w:rPr>
                                <w:rFonts w:ascii="Times New Roman"/>
                                <w:w w:val="105"/>
                                <w:sz w:val="15"/>
                              </w:rPr>
                              <w:tab/>
                            </w:r>
                            <w:r>
                              <w:rPr>
                                <w:rFonts w:ascii="Times New Roman"/>
                                <w:spacing w:val="-19"/>
                                <w:w w:val="105"/>
                                <w:sz w:val="15"/>
                              </w:rPr>
                              <w:t>4</w:t>
                            </w:r>
                          </w:p>
                        </w:txbxContent>
                      </wps:txbx>
                      <wps:bodyPr lIns="0" tIns="0" rIns="0" bIns="0" upright="1"/>
                    </wps:wsp>
                  </a:graphicData>
                </a:graphic>
              </wp:anchor>
            </w:drawing>
          </mc:Choice>
          <mc:Fallback>
            <w:pict>
              <v:shape id="文本框 53" o:spid="_x0000_s1026" o:spt="202" type="#_x0000_t202" style="position:absolute;left:0pt;margin-left:330.8pt;margin-top:6.1pt;height:8.65pt;width:29.7pt;mso-position-horizontal-relative:page;z-index:-290544640;mso-width-relative:page;mso-height-relative:page;" filled="f" stroked="f" coordsize="21600,21600" o:gfxdata="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mQUY7XAAAACQEAAA8AAAAAAAAA&#10;AQAgAAAAIgAAAGRycy9kb3ducmV2LnhtbFBLAQIUABQAAAAIAIdO4kBid8OzoAEAACUDAAAOAAAA&#10;AAAAAAEAIAAAACYBAABkcnMvZTJvRG9jLnhtbFBLBQYAAAAABgAGAFkBAAA4BQAAAAA=&#10;">
                <v:fill on="f" focussize="0,0"/>
                <v:stroke on="f"/>
                <v:imagedata o:title=""/>
                <o:lock v:ext="edit" aspectratio="f"/>
                <v:textbox inset="0mm,0mm,0mm,0mm">
                  <w:txbxContent>
                    <w:p>
                      <w:pPr>
                        <w:tabs>
                          <w:tab w:val="left" w:pos="515"/>
                        </w:tabs>
                        <w:spacing w:before="0" w:line="171" w:lineRule="exact"/>
                        <w:ind w:left="0" w:right="0" w:firstLine="0"/>
                        <w:jc w:val="left"/>
                        <w:rPr>
                          <w:rFonts w:ascii="Times New Roman"/>
                          <w:sz w:val="15"/>
                        </w:rPr>
                      </w:pPr>
                      <w:r>
                        <w:rPr>
                          <w:rFonts w:ascii="Times New Roman"/>
                          <w:w w:val="105"/>
                          <w:sz w:val="15"/>
                        </w:rPr>
                        <w:t>3</w:t>
                      </w:r>
                      <w:r>
                        <w:rPr>
                          <w:rFonts w:ascii="Times New Roman"/>
                          <w:w w:val="105"/>
                          <w:sz w:val="15"/>
                        </w:rPr>
                        <w:tab/>
                      </w:r>
                      <w:r>
                        <w:rPr>
                          <w:rFonts w:ascii="Times New Roman"/>
                          <w:spacing w:val="-19"/>
                          <w:w w:val="105"/>
                          <w:sz w:val="15"/>
                        </w:rPr>
                        <w:t>4</w:t>
                      </w:r>
                    </w:p>
                  </w:txbxContent>
                </v:textbox>
              </v:shape>
            </w:pict>
          </mc:Fallback>
        </mc:AlternateContent>
      </w:r>
      <w:r>
        <w:rPr>
          <w:spacing w:val="14"/>
        </w:rPr>
        <w:t xml:space="preserve">根据计算结果， 地下水各点位均为 </w:t>
      </w:r>
      <w:r>
        <w:rPr>
          <w:rFonts w:ascii="Times New Roman" w:eastAsia="Times New Roman"/>
        </w:rPr>
        <w:t>HCO</w:t>
      </w:r>
      <w:r>
        <w:rPr>
          <w:rFonts w:ascii="Times New Roman" w:eastAsia="Times New Roman"/>
          <w:spacing w:val="19"/>
        </w:rPr>
        <w:t xml:space="preserve"> </w:t>
      </w:r>
      <w:r>
        <w:rPr>
          <w:rFonts w:ascii="Times New Roman" w:eastAsia="Times New Roman"/>
          <w:position w:val="8"/>
          <w:sz w:val="15"/>
        </w:rPr>
        <w:t>-</w:t>
      </w:r>
      <w:r>
        <w:rPr>
          <w:rFonts w:ascii="Times New Roman" w:eastAsia="Times New Roman"/>
        </w:rPr>
        <w:t>-SO</w:t>
      </w:r>
      <w:r>
        <w:rPr>
          <w:rFonts w:ascii="Times New Roman" w:eastAsia="Times New Roman"/>
          <w:spacing w:val="20"/>
        </w:rPr>
        <w:t xml:space="preserve"> </w:t>
      </w:r>
      <w:r>
        <w:rPr>
          <w:rFonts w:ascii="Times New Roman" w:eastAsia="Times New Roman"/>
          <w:position w:val="8"/>
          <w:sz w:val="15"/>
        </w:rPr>
        <w:t>2-</w:t>
      </w:r>
      <w:r>
        <w:rPr>
          <w:rFonts w:ascii="Times New Roman" w:eastAsia="Times New Roman"/>
        </w:rPr>
        <w:t>-Ca</w:t>
      </w:r>
      <w:r>
        <w:rPr>
          <w:rFonts w:ascii="Times New Roman" w:eastAsia="Times New Roman"/>
          <w:position w:val="8"/>
          <w:sz w:val="15"/>
        </w:rPr>
        <w:t>2+</w:t>
      </w:r>
      <w:r>
        <w:rPr>
          <w:rFonts w:ascii="Times New Roman" w:eastAsia="Times New Roman"/>
        </w:rPr>
        <w:t>-Mg</w:t>
      </w:r>
      <w:r>
        <w:rPr>
          <w:rFonts w:ascii="Times New Roman" w:eastAsia="Times New Roman"/>
          <w:position w:val="8"/>
          <w:sz w:val="15"/>
        </w:rPr>
        <w:t>2+</w:t>
      </w:r>
      <w:r>
        <w:t>型。</w:t>
      </w:r>
    </w:p>
    <w:p>
      <w:pPr>
        <w:pStyle w:val="5"/>
        <w:numPr>
          <w:ilvl w:val="1"/>
          <w:numId w:val="63"/>
        </w:numPr>
        <w:tabs>
          <w:tab w:val="left" w:pos="1868"/>
        </w:tabs>
        <w:spacing w:before="160" w:after="0" w:line="240" w:lineRule="auto"/>
        <w:ind w:left="1867" w:right="0" w:hanging="450"/>
        <w:jc w:val="left"/>
      </w:pPr>
      <w:bookmarkStart w:id="306" w:name="5.4建设期地下水环境影响分析与防治措施"/>
      <w:bookmarkEnd w:id="306"/>
      <w:bookmarkStart w:id="307" w:name="_bookmark30"/>
      <w:bookmarkEnd w:id="307"/>
      <w:bookmarkStart w:id="308" w:name="_bookmark30"/>
      <w:bookmarkEnd w:id="308"/>
      <w:r>
        <w:rPr>
          <w:w w:val="95"/>
        </w:rPr>
        <w:t>建设期地下水环境影响分析与防治措施</w:t>
      </w:r>
    </w:p>
    <w:p>
      <w:pPr>
        <w:pStyle w:val="9"/>
        <w:spacing w:before="7"/>
        <w:rPr>
          <w:b/>
          <w:sz w:val="26"/>
        </w:rPr>
      </w:pPr>
    </w:p>
    <w:p>
      <w:pPr>
        <w:pStyle w:val="9"/>
        <w:spacing w:before="1" w:line="374" w:lineRule="auto"/>
        <w:ind w:left="1418" w:right="1354" w:firstLine="480"/>
      </w:pPr>
      <w:r>
        <w:t>矿井建设期污水排放主要有井下排水、施工区废水和施工营地生活污水三部分水污染源。</w:t>
      </w:r>
    </w:p>
    <w:p>
      <w:pPr>
        <w:pStyle w:val="9"/>
        <w:spacing w:line="284" w:lineRule="exact"/>
        <w:ind w:left="1898"/>
      </w:pPr>
      <w:r>
        <w:t xml:space="preserve">本项目矿井建设工期为 </w:t>
      </w:r>
      <w:r>
        <w:rPr>
          <w:rFonts w:ascii="Times New Roman" w:eastAsia="Times New Roman"/>
        </w:rPr>
        <w:t xml:space="preserve">21 </w:t>
      </w:r>
      <w:r>
        <w:t>个月，施工人数较多，必然要排放一定量的生活污水，</w:t>
      </w:r>
    </w:p>
    <w:p>
      <w:pPr>
        <w:pStyle w:val="9"/>
        <w:spacing w:before="160"/>
        <w:ind w:left="1418"/>
      </w:pPr>
      <w:r>
        <w:t>使用场地设有防渗旱厕，定期清掏，外运堆肥，不外排</w:t>
      </w:r>
    </w:p>
    <w:p>
      <w:pPr>
        <w:pStyle w:val="9"/>
        <w:spacing w:before="158"/>
        <w:ind w:left="1936"/>
      </w:pPr>
      <w:r>
        <w:t>施工区废水主要来自于施工设备冲洗水和建材物料冲洗水，废水中主要含有</w:t>
      </w:r>
    </w:p>
    <w:p>
      <w:pPr>
        <w:pStyle w:val="9"/>
        <w:spacing w:before="161"/>
        <w:ind w:left="1418"/>
        <w:jc w:val="both"/>
      </w:pPr>
      <w:r>
        <w:rPr>
          <w:rFonts w:ascii="Times New Roman" w:eastAsia="Times New Roman"/>
        </w:rPr>
        <w:t xml:space="preserve">SS </w:t>
      </w:r>
      <w:r>
        <w:t>和石油类污染物。该部分废水收集到临时废水沉淀池处理后循环利用。</w:t>
      </w:r>
    </w:p>
    <w:p>
      <w:pPr>
        <w:pStyle w:val="9"/>
        <w:spacing w:before="158" w:line="364" w:lineRule="auto"/>
        <w:ind w:left="1418" w:right="1417" w:firstLine="600"/>
        <w:jc w:val="both"/>
      </w:pPr>
      <w:r>
        <w:t>施工期井下排水可能造成局部地下水位的下降和地下水资源的破坏，影响本矿井</w:t>
      </w:r>
      <w:r>
        <w:rPr>
          <w:spacing w:val="-4"/>
        </w:rPr>
        <w:t>充水因素的地下水主要是风化裂隙和构造裂隙含水层，受地表水及大气降水补给，补给</w:t>
      </w:r>
      <w:r>
        <w:rPr>
          <w:spacing w:val="-1"/>
        </w:rPr>
        <w:t xml:space="preserve">条件较弱，井筒施工过程对地下水的水量影响较小。井下排水主要污染物为 </w:t>
      </w:r>
      <w:r>
        <w:rPr>
          <w:rFonts w:ascii="Times New Roman" w:eastAsia="Times New Roman"/>
        </w:rPr>
        <w:t>SS</w:t>
      </w:r>
      <w:r>
        <w:t>，抽排</w:t>
      </w:r>
      <w:r>
        <w:rPr>
          <w:spacing w:val="-4"/>
        </w:rPr>
        <w:t>至地面设置的临时废水沉淀池，经沉淀处理后再回用于井下施工用水和地面设备、物料</w:t>
      </w:r>
      <w:r>
        <w:t>冲洗水。</w:t>
      </w:r>
    </w:p>
    <w:p>
      <w:pPr>
        <w:pStyle w:val="5"/>
        <w:numPr>
          <w:ilvl w:val="1"/>
          <w:numId w:val="63"/>
        </w:numPr>
        <w:tabs>
          <w:tab w:val="left" w:pos="1868"/>
        </w:tabs>
        <w:spacing w:before="0" w:after="0" w:line="240" w:lineRule="auto"/>
        <w:ind w:left="1867" w:right="0" w:hanging="450"/>
        <w:jc w:val="left"/>
      </w:pPr>
      <w:bookmarkStart w:id="309" w:name="_bookmark31"/>
      <w:bookmarkEnd w:id="309"/>
      <w:bookmarkStart w:id="310" w:name="5.5煤炭开采对地下水环境的影响分析"/>
      <w:bookmarkEnd w:id="310"/>
      <w:bookmarkStart w:id="311" w:name="_bookmark31"/>
      <w:bookmarkEnd w:id="311"/>
      <w:r>
        <w:t>煤炭开采对地下水环境的影响分析</w:t>
      </w:r>
    </w:p>
    <w:p>
      <w:pPr>
        <w:pStyle w:val="9"/>
        <w:spacing w:before="197" w:line="364" w:lineRule="auto"/>
        <w:ind w:left="1418" w:right="1417" w:firstLine="600"/>
        <w:jc w:val="both"/>
      </w:pPr>
      <w:r>
        <w:t>本项目对地下水环境的影响主要表现在：矿区废污水排放对浅层地下水水质的影</w:t>
      </w:r>
      <w:r>
        <w:rPr>
          <w:spacing w:val="-8"/>
        </w:rPr>
        <w:t>响；煤矸石转运场淋溶对地下水水质的污染；矿井疏干排水对区域地下水资源量及评价</w:t>
      </w:r>
      <w:r>
        <w:t>范围内的地下水资源量的影响、井田及周边范围内地下水位的下降等。</w:t>
      </w:r>
    </w:p>
    <w:p>
      <w:pPr>
        <w:pStyle w:val="8"/>
        <w:numPr>
          <w:ilvl w:val="2"/>
          <w:numId w:val="63"/>
        </w:numPr>
        <w:tabs>
          <w:tab w:val="left" w:pos="2439"/>
        </w:tabs>
        <w:spacing w:before="0" w:after="0" w:line="307" w:lineRule="exact"/>
        <w:ind w:left="2438" w:right="0" w:hanging="541"/>
        <w:jc w:val="both"/>
        <w:rPr>
          <w:rFonts w:ascii="Times New Roman" w:eastAsia="Times New Roman"/>
        </w:rPr>
      </w:pPr>
      <w:bookmarkStart w:id="312" w:name="5.5.1项目区含水层性质"/>
      <w:bookmarkEnd w:id="312"/>
      <w:bookmarkStart w:id="313" w:name="5.5.1项目区含水层性质"/>
      <w:bookmarkEnd w:id="313"/>
      <w:r>
        <w:t>项目区含水层性质</w:t>
      </w:r>
    </w:p>
    <w:p>
      <w:pPr>
        <w:pStyle w:val="9"/>
        <w:spacing w:before="160" w:line="362" w:lineRule="auto"/>
        <w:ind w:left="1418" w:right="1354" w:firstLine="600"/>
      </w:pPr>
      <w:r>
        <w:t>本矿含水层为第四系孔隙含水层、风化及构造裂隙含水层，无岩溶含水层，其中位于煤系地层上部的第四系孔隙含水层厚度小，含水性弱；风化裂隙含水层，位于煤系</w:t>
      </w:r>
    </w:p>
    <w:p>
      <w:pPr>
        <w:spacing w:after="0" w:line="362" w:lineRule="auto"/>
        <w:sectPr>
          <w:pgSz w:w="11910" w:h="16840"/>
          <w:pgMar w:top="1400" w:right="0" w:bottom="880" w:left="0" w:header="0" w:footer="681" w:gutter="0"/>
        </w:sectPr>
      </w:pPr>
    </w:p>
    <w:p>
      <w:pPr>
        <w:pStyle w:val="9"/>
        <w:spacing w:before="41" w:line="364" w:lineRule="auto"/>
        <w:ind w:left="1418" w:right="1297"/>
      </w:pPr>
      <w:r>
        <w:rPr>
          <w:spacing w:val="-5"/>
        </w:rPr>
        <w:t>地层浅部的风化裂隙中，受大气降水补给，含水性较弱；构造裂隙含水层，主要发育在</w:t>
      </w:r>
      <w:r>
        <w:rPr>
          <w:spacing w:val="-8"/>
        </w:rPr>
        <w:t>矿区内断层构造裂隙带两侧，发育很不均匀，其涌水量不大。因此影响本矿井充水因素</w:t>
      </w:r>
      <w:r>
        <w:rPr>
          <w:spacing w:val="-16"/>
        </w:rPr>
        <w:t xml:space="preserve">的地下水主要是风化裂隙和构造裂隙含水层，受地表水及大气降水补给，补给条件较弱， </w:t>
      </w:r>
      <w:r>
        <w:rPr>
          <w:spacing w:val="-8"/>
        </w:rPr>
        <w:t xml:space="preserve">类别确定为简单。新生界第四系顶部有 </w:t>
      </w:r>
      <w:r>
        <w:rPr>
          <w:rFonts w:ascii="Times New Roman" w:hAnsi="Times New Roman" w:eastAsia="Times New Roman"/>
        </w:rPr>
        <w:t xml:space="preserve">1.0—8.0 </w:t>
      </w:r>
      <w:r>
        <w:rPr>
          <w:spacing w:val="-3"/>
        </w:rPr>
        <w:t>米的腐植土和粘土，在一定程度上对大气降水起着隔水作用，因而不易接受大气降水污染，总体对地下水污染较小。</w:t>
      </w:r>
    </w:p>
    <w:p>
      <w:pPr>
        <w:pStyle w:val="8"/>
        <w:numPr>
          <w:ilvl w:val="2"/>
          <w:numId w:val="63"/>
        </w:numPr>
        <w:tabs>
          <w:tab w:val="left" w:pos="2439"/>
        </w:tabs>
        <w:spacing w:before="0" w:after="0" w:line="306" w:lineRule="exact"/>
        <w:ind w:left="2438" w:right="0" w:hanging="541"/>
        <w:jc w:val="left"/>
        <w:rPr>
          <w:rFonts w:ascii="Times New Roman" w:eastAsia="Times New Roman"/>
        </w:rPr>
      </w:pPr>
      <w:r>
        <w:t>地下水环境影响分析</w:t>
      </w:r>
    </w:p>
    <w:p>
      <w:pPr>
        <w:pStyle w:val="9"/>
        <w:spacing w:before="158"/>
        <w:ind w:left="2006"/>
      </w:pPr>
      <w:r>
        <w:rPr>
          <w:rFonts w:ascii="Times New Roman" w:eastAsia="Times New Roman"/>
        </w:rPr>
        <w:t>1</w:t>
      </w:r>
      <w:r>
        <w:t>、地下水预测因子</w:t>
      </w:r>
    </w:p>
    <w:p>
      <w:pPr>
        <w:pStyle w:val="9"/>
        <w:spacing w:before="161" w:line="362" w:lineRule="auto"/>
        <w:ind w:left="1418" w:right="1297" w:firstLine="480"/>
        <w:jc w:val="both"/>
      </w:pPr>
      <w:r>
        <w:rPr>
          <w:spacing w:val="-9"/>
        </w:rPr>
        <w:t xml:space="preserve">本项目产生的废水主要包括生产废水和生活污水，其中，生产废水主要为地下涌水， </w:t>
      </w:r>
      <w:r>
        <w:rPr>
          <w:spacing w:val="-9"/>
          <w:position w:val="2"/>
        </w:rPr>
        <w:t xml:space="preserve">主要污染物为 </w:t>
      </w:r>
      <w:r>
        <w:rPr>
          <w:rFonts w:ascii="Times New Roman" w:eastAsia="Times New Roman"/>
          <w:position w:val="2"/>
        </w:rPr>
        <w:t>SS</w:t>
      </w:r>
      <w:r>
        <w:rPr>
          <w:spacing w:val="-3"/>
          <w:position w:val="2"/>
        </w:rPr>
        <w:t xml:space="preserve">，对地下水影响较小；生活污水主要污染物为 </w:t>
      </w:r>
      <w:r>
        <w:rPr>
          <w:rFonts w:ascii="Times New Roman" w:eastAsia="Times New Roman"/>
          <w:position w:val="2"/>
        </w:rPr>
        <w:t xml:space="preserve">COD </w:t>
      </w:r>
      <w:r>
        <w:rPr>
          <w:spacing w:val="-30"/>
          <w:position w:val="2"/>
        </w:rPr>
        <w:t xml:space="preserve">和 </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vertAlign w:val="baseline"/>
        </w:rPr>
        <w:t>-N</w:t>
      </w:r>
      <w:r>
        <w:rPr>
          <w:position w:val="2"/>
          <w:vertAlign w:val="baseline"/>
        </w:rPr>
        <w:t xml:space="preserve">，因此， </w:t>
      </w:r>
      <w:r>
        <w:rPr>
          <w:spacing w:val="-3"/>
          <w:vertAlign w:val="baseline"/>
        </w:rPr>
        <w:t xml:space="preserve">本次地下水环境影响预测主要以生活污水为主，预测因子取 </w:t>
      </w:r>
      <w:r>
        <w:rPr>
          <w:rFonts w:ascii="Times New Roman" w:eastAsia="Times New Roman"/>
          <w:vertAlign w:val="baseline"/>
        </w:rPr>
        <w:t>COD</w:t>
      </w:r>
      <w:r>
        <w:rPr>
          <w:vertAlign w:val="baseline"/>
        </w:rPr>
        <w:t>。</w:t>
      </w:r>
    </w:p>
    <w:p>
      <w:pPr>
        <w:pStyle w:val="9"/>
        <w:spacing w:before="2"/>
        <w:ind w:left="2006"/>
      </w:pPr>
      <w:r>
        <w:rPr>
          <w:rFonts w:ascii="Times New Roman" w:eastAsia="Times New Roman"/>
        </w:rPr>
        <w:t>2</w:t>
      </w:r>
      <w:r>
        <w:t>、地下水污染途径</w:t>
      </w:r>
    </w:p>
    <w:p>
      <w:pPr>
        <w:pStyle w:val="9"/>
        <w:spacing w:before="160" w:line="362" w:lineRule="auto"/>
        <w:ind w:left="1418" w:right="1416" w:firstLine="480"/>
      </w:pPr>
      <w:r>
        <w:t>厂区污水渗漏造成的地下水污染途径主要是通过上部土层孔隙缓慢渗流补给地下水，渗漏污染方向与地下水径流方向一致。如厂区污水渗漏，将会影响地下水水质。</w:t>
      </w:r>
    </w:p>
    <w:p>
      <w:pPr>
        <w:pStyle w:val="9"/>
        <w:spacing w:before="5"/>
        <w:ind w:left="2006"/>
      </w:pPr>
      <w:r>
        <w:rPr>
          <w:rFonts w:ascii="Times New Roman" w:eastAsia="Times New Roman"/>
        </w:rPr>
        <w:t>3</w:t>
      </w:r>
      <w:r>
        <w:t>、预测时段</w:t>
      </w:r>
    </w:p>
    <w:p>
      <w:pPr>
        <w:pStyle w:val="9"/>
        <w:spacing w:before="160" w:line="362" w:lineRule="auto"/>
        <w:ind w:left="1418" w:right="1351" w:firstLine="480"/>
      </w:pPr>
      <w:r>
        <w:t>结合地下水跟踪监测的频率（</w:t>
      </w:r>
      <w:r>
        <w:rPr>
          <w:rFonts w:ascii="Times New Roman" w:eastAsia="Times New Roman"/>
        </w:rPr>
        <w:t xml:space="preserve">1 </w:t>
      </w:r>
      <w:r>
        <w:t>次</w:t>
      </w:r>
      <w:r>
        <w:rPr>
          <w:rFonts w:ascii="Times New Roman" w:eastAsia="Times New Roman"/>
        </w:rPr>
        <w:t>/</w:t>
      </w:r>
      <w:r>
        <w:t xml:space="preserve">季度），预测时段设定为污水处理站发生泄漏后的 </w:t>
      </w:r>
      <w:r>
        <w:rPr>
          <w:rFonts w:ascii="Times New Roman" w:eastAsia="Times New Roman"/>
        </w:rPr>
        <w:t xml:space="preserve">100 </w:t>
      </w:r>
      <w:r>
        <w:t xml:space="preserve">天和 </w:t>
      </w:r>
      <w:r>
        <w:rPr>
          <w:rFonts w:ascii="Times New Roman" w:eastAsia="Times New Roman"/>
        </w:rPr>
        <w:t xml:space="preserve">1000 </w:t>
      </w:r>
      <w:r>
        <w:t>天。</w:t>
      </w:r>
    </w:p>
    <w:p>
      <w:pPr>
        <w:pStyle w:val="9"/>
        <w:spacing w:before="5"/>
        <w:ind w:left="2006"/>
      </w:pPr>
      <w:r>
        <w:rPr>
          <w:rFonts w:ascii="Times New Roman" w:eastAsia="Times New Roman"/>
        </w:rPr>
        <w:t>4</w:t>
      </w:r>
      <w:r>
        <w:t>、情景设置</w:t>
      </w:r>
    </w:p>
    <w:p>
      <w:pPr>
        <w:pStyle w:val="9"/>
        <w:spacing w:before="158" w:line="364" w:lineRule="auto"/>
        <w:ind w:left="1418" w:right="1286" w:firstLine="480"/>
      </w:pPr>
      <w:r>
        <w:rPr>
          <w:spacing w:val="-9"/>
        </w:rPr>
        <w:t xml:space="preserve">特征污染物 </w:t>
      </w:r>
      <w:r>
        <w:rPr>
          <w:rFonts w:ascii="Times New Roman" w:hAnsi="Times New Roman" w:eastAsia="Times New Roman"/>
        </w:rPr>
        <w:t xml:space="preserve">COD </w:t>
      </w:r>
      <w:r>
        <w:rPr>
          <w:spacing w:val="-9"/>
        </w:rPr>
        <w:t xml:space="preserve">最大浓度为 </w:t>
      </w:r>
      <w:r>
        <w:rPr>
          <w:rFonts w:ascii="Times New Roman" w:hAnsi="Times New Roman" w:eastAsia="Times New Roman"/>
        </w:rPr>
        <w:t>300mg/L</w:t>
      </w:r>
      <w:r>
        <w:t>。污水处理站为钢筋混凝土构筑物，正常情</w:t>
      </w:r>
      <w:r>
        <w:rPr>
          <w:spacing w:val="-12"/>
        </w:rPr>
        <w:t xml:space="preserve">况下渗漏量为 </w:t>
      </w:r>
      <w:r>
        <w:rPr>
          <w:rFonts w:ascii="Times New Roman" w:hAnsi="Times New Roman" w:eastAsia="Times New Roman"/>
        </w:rPr>
        <w:t>2</w:t>
      </w:r>
      <w:r>
        <w:rPr>
          <w:rFonts w:ascii="Times New Roman" w:hAnsi="Times New Roman" w:eastAsia="Times New Roman"/>
          <w:spacing w:val="-3"/>
        </w:rPr>
        <w:t>L</w:t>
      </w:r>
      <w:r>
        <w:rPr>
          <w:rFonts w:ascii="Times New Roman" w:hAnsi="Times New Roman" w:eastAsia="Times New Roman"/>
        </w:rPr>
        <w:t>/m</w:t>
      </w:r>
      <w:r>
        <w:rPr>
          <w:rFonts w:ascii="Times New Roman" w:hAnsi="Times New Roman" w:eastAsia="Times New Roman"/>
          <w:spacing w:val="1"/>
          <w:w w:val="104"/>
          <w:position w:val="8"/>
          <w:sz w:val="15"/>
        </w:rPr>
        <w:t>2</w:t>
      </w:r>
      <w:r>
        <w:rPr>
          <w:rFonts w:ascii="Times New Roman" w:hAnsi="Times New Roman" w:eastAsia="Times New Roman"/>
          <w:spacing w:val="-1"/>
        </w:rPr>
        <w:t>·</w:t>
      </w:r>
      <w:r>
        <w:rPr>
          <w:rFonts w:ascii="Times New Roman" w:hAnsi="Times New Roman" w:eastAsia="Times New Roman"/>
        </w:rPr>
        <w:t>d</w:t>
      </w:r>
      <w:r>
        <w:rPr>
          <w:spacing w:val="-19"/>
        </w:rPr>
        <w:t xml:space="preserve">，非正常情况下渗漏量为 </w:t>
      </w:r>
      <w:r>
        <w:rPr>
          <w:rFonts w:ascii="Times New Roman" w:hAnsi="Times New Roman" w:eastAsia="Times New Roman"/>
        </w:rPr>
        <w:t>20</w:t>
      </w:r>
      <w:r>
        <w:rPr>
          <w:rFonts w:ascii="Times New Roman" w:hAnsi="Times New Roman" w:eastAsia="Times New Roman"/>
          <w:spacing w:val="-3"/>
        </w:rPr>
        <w:t>L</w:t>
      </w:r>
      <w:r>
        <w:rPr>
          <w:rFonts w:ascii="Times New Roman" w:hAnsi="Times New Roman" w:eastAsia="Times New Roman"/>
        </w:rPr>
        <w:t>/m</w:t>
      </w:r>
      <w:r>
        <w:rPr>
          <w:rFonts w:ascii="Times New Roman" w:hAnsi="Times New Roman" w:eastAsia="Times New Roman"/>
          <w:spacing w:val="1"/>
          <w:w w:val="104"/>
          <w:position w:val="8"/>
          <w:sz w:val="15"/>
        </w:rPr>
        <w:t>2</w:t>
      </w:r>
      <w:r>
        <w:rPr>
          <w:rFonts w:ascii="Times New Roman" w:hAnsi="Times New Roman" w:eastAsia="Times New Roman"/>
          <w:spacing w:val="-1"/>
        </w:rPr>
        <w:t>·</w:t>
      </w:r>
      <w:r>
        <w:rPr>
          <w:rFonts w:ascii="Times New Roman" w:hAnsi="Times New Roman" w:eastAsia="Times New Roman"/>
        </w:rPr>
        <w:t>d</w:t>
      </w:r>
      <w:r>
        <w:rPr>
          <w:spacing w:val="-19"/>
        </w:rPr>
        <w:t xml:space="preserve">，污水处理站渗水面积为 </w:t>
      </w:r>
      <w:r>
        <w:rPr>
          <w:rFonts w:ascii="Times New Roman" w:hAnsi="Times New Roman" w:eastAsia="Times New Roman"/>
        </w:rPr>
        <w:t>200m</w:t>
      </w:r>
      <w:r>
        <w:rPr>
          <w:rFonts w:ascii="Times New Roman" w:hAnsi="Times New Roman" w:eastAsia="Times New Roman"/>
          <w:spacing w:val="-2"/>
          <w:w w:val="104"/>
          <w:position w:val="8"/>
          <w:sz w:val="15"/>
        </w:rPr>
        <w:t>2</w:t>
      </w:r>
      <w:r>
        <w:t>。特征污染物的渗漏量计算如下：</w:t>
      </w:r>
    </w:p>
    <w:p>
      <w:pPr>
        <w:pStyle w:val="9"/>
        <w:spacing w:line="307" w:lineRule="exact"/>
        <w:ind w:left="1898"/>
      </w:pPr>
      <w:r>
        <w:t>非正常情况下污水泄漏量：</w:t>
      </w:r>
      <w:r>
        <w:rPr>
          <w:rFonts w:ascii="Times New Roman" w:hAnsi="Times New Roman" w:eastAsia="Times New Roman"/>
        </w:rPr>
        <w:t>200m</w:t>
      </w:r>
      <w:r>
        <w:rPr>
          <w:rFonts w:ascii="Times New Roman" w:hAnsi="Times New Roman" w:eastAsia="Times New Roman"/>
          <w:position w:val="8"/>
          <w:sz w:val="15"/>
        </w:rPr>
        <w:t>2</w:t>
      </w:r>
      <w:r>
        <w:rPr>
          <w:rFonts w:ascii="Times New Roman" w:hAnsi="Times New Roman" w:eastAsia="Times New Roman"/>
        </w:rPr>
        <w:t>×20L/m</w:t>
      </w:r>
      <w:r>
        <w:rPr>
          <w:rFonts w:ascii="Times New Roman" w:hAnsi="Times New Roman" w:eastAsia="Times New Roman"/>
          <w:position w:val="8"/>
          <w:sz w:val="15"/>
        </w:rPr>
        <w:t>2</w:t>
      </w:r>
      <w:r>
        <w:rPr>
          <w:rFonts w:ascii="Times New Roman" w:hAnsi="Times New Roman" w:eastAsia="Times New Roman"/>
        </w:rPr>
        <w:t>·d×10</w:t>
      </w:r>
      <w:r>
        <w:rPr>
          <w:rFonts w:ascii="Times New Roman" w:hAnsi="Times New Roman" w:eastAsia="Times New Roman"/>
          <w:position w:val="8"/>
          <w:sz w:val="15"/>
        </w:rPr>
        <w:t>-3</w:t>
      </w:r>
      <w:r>
        <w:rPr>
          <w:rFonts w:ascii="Times New Roman" w:hAnsi="Times New Roman" w:eastAsia="Times New Roman"/>
        </w:rPr>
        <w:t>=4.0m</w:t>
      </w:r>
      <w:r>
        <w:rPr>
          <w:rFonts w:ascii="Times New Roman" w:hAnsi="Times New Roman" w:eastAsia="Times New Roman"/>
          <w:position w:val="8"/>
          <w:sz w:val="15"/>
        </w:rPr>
        <w:t>3</w:t>
      </w:r>
      <w:r>
        <w:rPr>
          <w:rFonts w:ascii="Times New Roman" w:hAnsi="Times New Roman" w:eastAsia="Times New Roman"/>
        </w:rPr>
        <w:t>/d</w:t>
      </w:r>
      <w:r>
        <w:t>。</w:t>
      </w:r>
    </w:p>
    <w:p>
      <w:pPr>
        <w:pStyle w:val="9"/>
        <w:spacing w:before="159"/>
        <w:ind w:left="2006"/>
      </w:pPr>
      <w:r>
        <w:rPr>
          <w:rFonts w:ascii="Times New Roman" w:eastAsia="Times New Roman"/>
        </w:rPr>
        <w:t>5</w:t>
      </w:r>
      <w:r>
        <w:t>、预测结果</w:t>
      </w:r>
    </w:p>
    <w:p>
      <w:pPr>
        <w:pStyle w:val="18"/>
        <w:numPr>
          <w:ilvl w:val="0"/>
          <w:numId w:val="64"/>
        </w:numPr>
        <w:tabs>
          <w:tab w:val="left" w:pos="2500"/>
        </w:tabs>
        <w:spacing w:before="160" w:after="0" w:line="240" w:lineRule="auto"/>
        <w:ind w:left="2499" w:right="0" w:hanging="602"/>
        <w:jc w:val="left"/>
        <w:rPr>
          <w:sz w:val="24"/>
        </w:rPr>
      </w:pPr>
      <w:r>
        <w:rPr>
          <w:sz w:val="24"/>
        </w:rPr>
        <w:t>正常情况</w:t>
      </w:r>
    </w:p>
    <w:p>
      <w:pPr>
        <w:pStyle w:val="9"/>
        <w:spacing w:before="158" w:line="364" w:lineRule="auto"/>
        <w:ind w:left="1418" w:right="1411" w:firstLine="480"/>
        <w:jc w:val="both"/>
      </w:pPr>
      <w:r>
        <w:rPr>
          <w:spacing w:val="-4"/>
        </w:rPr>
        <w:t>根据《环境影响评价技术导则地下水环境》</w:t>
      </w:r>
      <w:r>
        <w:t>（</w:t>
      </w:r>
      <w:r>
        <w:rPr>
          <w:rFonts w:ascii="Times New Roman" w:hAnsi="Times New Roman" w:eastAsia="Times New Roman"/>
        </w:rPr>
        <w:t>HJ610-2016</w:t>
      </w:r>
      <w:r>
        <w:t>）</w:t>
      </w:r>
      <w:r>
        <w:rPr>
          <w:spacing w:val="-4"/>
        </w:rPr>
        <w:t>要求，地下水环境影响</w:t>
      </w:r>
      <w:r>
        <w:t>评价三级评价预测方法可以选用解析法。根据本项目地下水的污染特性选用</w:t>
      </w:r>
      <w:r>
        <w:rPr>
          <w:rFonts w:ascii="Times New Roman" w:hAnsi="Times New Roman" w:eastAsia="Times New Roman"/>
        </w:rPr>
        <w:t>“</w:t>
      </w:r>
      <w:r>
        <w:t>一维无限长多孔介质柱体，一端为定浓度边界型</w:t>
      </w:r>
      <w:r>
        <w:rPr>
          <w:rFonts w:ascii="Times New Roman" w:hAnsi="Times New Roman" w:eastAsia="Times New Roman"/>
        </w:rPr>
        <w:t>”</w:t>
      </w:r>
      <w:r>
        <w:t>，公式如下。</w:t>
      </w:r>
    </w:p>
    <w:p>
      <w:pPr>
        <w:pStyle w:val="9"/>
        <w:spacing w:before="12"/>
        <w:rPr>
          <w:sz w:val="15"/>
        </w:rPr>
      </w:pPr>
      <w:r>
        <w:drawing>
          <wp:anchor distT="0" distB="0" distL="0" distR="0" simplePos="0" relativeHeight="1024" behindDoc="0" locked="0" layoutInCell="1" allowOverlap="1">
            <wp:simplePos x="0" y="0"/>
            <wp:positionH relativeFrom="page">
              <wp:posOffset>2536825</wp:posOffset>
            </wp:positionH>
            <wp:positionV relativeFrom="paragraph">
              <wp:posOffset>154305</wp:posOffset>
            </wp:positionV>
            <wp:extent cx="2999105" cy="521970"/>
            <wp:effectExtent l="0" t="0" r="0" b="0"/>
            <wp:wrapTopAndBottom/>
            <wp:docPr id="4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8.png"/>
                    <pic:cNvPicPr>
                      <a:picLocks noChangeAspect="1"/>
                    </pic:cNvPicPr>
                  </pic:nvPicPr>
                  <pic:blipFill>
                    <a:blip r:embed="rId51" cstate="print"/>
                    <a:stretch>
                      <a:fillRect/>
                    </a:stretch>
                  </pic:blipFill>
                  <pic:spPr>
                    <a:xfrm>
                      <a:off x="0" y="0"/>
                      <a:ext cx="2999083" cy="522065"/>
                    </a:xfrm>
                    <a:prstGeom prst="rect">
                      <a:avLst/>
                    </a:prstGeom>
                  </pic:spPr>
                </pic:pic>
              </a:graphicData>
            </a:graphic>
          </wp:anchor>
        </w:drawing>
      </w:r>
    </w:p>
    <w:p>
      <w:pPr>
        <w:pStyle w:val="9"/>
        <w:spacing w:before="12"/>
        <w:rPr>
          <w:sz w:val="25"/>
        </w:rPr>
      </w:pPr>
    </w:p>
    <w:p>
      <w:pPr>
        <w:spacing w:before="76"/>
        <w:ind w:left="1876" w:right="0" w:firstLine="0"/>
        <w:jc w:val="left"/>
        <w:rPr>
          <w:sz w:val="21"/>
        </w:rPr>
      </w:pPr>
      <w:r>
        <w:rPr>
          <w:sz w:val="21"/>
        </w:rPr>
        <w:t>式中：</w:t>
      </w:r>
      <w:r>
        <w:rPr>
          <w:rFonts w:ascii="Times New Roman" w:hAnsi="Times New Roman" w:eastAsia="Times New Roman"/>
          <w:sz w:val="21"/>
        </w:rPr>
        <w:t>x—</w:t>
      </w:r>
      <w:r>
        <w:rPr>
          <w:sz w:val="21"/>
        </w:rPr>
        <w:t>距注入点的距离，</w:t>
      </w:r>
      <w:r>
        <w:rPr>
          <w:rFonts w:ascii="Times New Roman" w:hAnsi="Times New Roman" w:eastAsia="Times New Roman"/>
          <w:sz w:val="21"/>
        </w:rPr>
        <w:t>m</w:t>
      </w:r>
      <w:r>
        <w:rPr>
          <w:sz w:val="21"/>
        </w:rPr>
        <w:t>；</w:t>
      </w:r>
    </w:p>
    <w:p>
      <w:pPr>
        <w:spacing w:after="0"/>
        <w:jc w:val="left"/>
        <w:rPr>
          <w:sz w:val="21"/>
        </w:rPr>
        <w:sectPr>
          <w:pgSz w:w="11910" w:h="16840"/>
          <w:pgMar w:top="1360" w:right="0" w:bottom="880" w:left="0" w:header="0" w:footer="681" w:gutter="0"/>
        </w:sectPr>
      </w:pPr>
    </w:p>
    <w:p>
      <w:pPr>
        <w:spacing w:before="49"/>
        <w:ind w:left="2450" w:right="0" w:firstLine="0"/>
        <w:jc w:val="left"/>
        <w:rPr>
          <w:sz w:val="21"/>
        </w:rPr>
      </w:pPr>
      <w:r>
        <w:rPr>
          <w:rFonts w:ascii="Times New Roman" w:hAnsi="Times New Roman" w:eastAsia="Times New Roman"/>
          <w:sz w:val="21"/>
        </w:rPr>
        <w:t>t—</w:t>
      </w:r>
      <w:r>
        <w:rPr>
          <w:sz w:val="21"/>
        </w:rPr>
        <w:t>时间，</w:t>
      </w:r>
      <w:r>
        <w:rPr>
          <w:rFonts w:ascii="Times New Roman" w:hAnsi="Times New Roman" w:eastAsia="Times New Roman"/>
          <w:sz w:val="21"/>
        </w:rPr>
        <w:t>d</w:t>
      </w:r>
      <w:r>
        <w:rPr>
          <w:sz w:val="21"/>
        </w:rPr>
        <w:t>；</w:t>
      </w:r>
    </w:p>
    <w:p>
      <w:pPr>
        <w:pStyle w:val="9"/>
        <w:rPr>
          <w:sz w:val="18"/>
        </w:rPr>
      </w:pPr>
    </w:p>
    <w:p>
      <w:pPr>
        <w:spacing w:before="0"/>
        <w:ind w:left="2450" w:right="0" w:firstLine="0"/>
        <w:jc w:val="left"/>
        <w:rPr>
          <w:sz w:val="21"/>
        </w:rPr>
      </w:pPr>
      <w:r>
        <w:rPr>
          <w:rFonts w:ascii="Times New Roman" w:hAnsi="Times New Roman" w:eastAsia="Times New Roman"/>
          <w:sz w:val="21"/>
        </w:rPr>
        <w:t xml:space="preserve">C(x,t)—t </w:t>
      </w:r>
      <w:r>
        <w:rPr>
          <w:sz w:val="21"/>
        </w:rPr>
        <w:t xml:space="preserve">时刻点 </w:t>
      </w:r>
      <w:r>
        <w:rPr>
          <w:rFonts w:ascii="Times New Roman" w:hAnsi="Times New Roman" w:eastAsia="Times New Roman"/>
          <w:sz w:val="21"/>
        </w:rPr>
        <w:t xml:space="preserve">x </w:t>
      </w:r>
      <w:r>
        <w:rPr>
          <w:sz w:val="21"/>
        </w:rPr>
        <w:t>处的示踪剂浓度，</w:t>
      </w:r>
      <w:r>
        <w:rPr>
          <w:rFonts w:ascii="Times New Roman" w:hAnsi="Times New Roman" w:eastAsia="Times New Roman"/>
          <w:sz w:val="21"/>
        </w:rPr>
        <w:t>g/L</w:t>
      </w:r>
      <w:r>
        <w:rPr>
          <w:sz w:val="21"/>
        </w:rPr>
        <w:t>；</w:t>
      </w:r>
    </w:p>
    <w:p>
      <w:pPr>
        <w:pStyle w:val="9"/>
        <w:spacing w:before="11"/>
        <w:rPr>
          <w:sz w:val="17"/>
        </w:rPr>
      </w:pPr>
    </w:p>
    <w:p>
      <w:pPr>
        <w:spacing w:before="1"/>
        <w:ind w:left="2467" w:right="0" w:firstLine="0"/>
        <w:jc w:val="left"/>
        <w:rPr>
          <w:sz w:val="21"/>
        </w:rPr>
      </w:pPr>
      <w:r>
        <w:rPr>
          <w:rFonts w:ascii="Times New Roman" w:hAnsi="Times New Roman" w:eastAsia="Times New Roman"/>
          <w:position w:val="2"/>
          <w:sz w:val="21"/>
        </w:rPr>
        <w:t>C</w:t>
      </w:r>
      <w:r>
        <w:rPr>
          <w:rFonts w:ascii="Times New Roman" w:hAnsi="Times New Roman" w:eastAsia="Times New Roman"/>
          <w:position w:val="2"/>
          <w:sz w:val="21"/>
          <w:vertAlign w:val="subscript"/>
        </w:rPr>
        <w:t>0</w:t>
      </w:r>
      <w:r>
        <w:rPr>
          <w:rFonts w:ascii="Times New Roman" w:hAnsi="Times New Roman" w:eastAsia="Times New Roman"/>
          <w:position w:val="2"/>
          <w:sz w:val="21"/>
          <w:vertAlign w:val="baseline"/>
        </w:rPr>
        <w:t>—</w:t>
      </w:r>
      <w:r>
        <w:rPr>
          <w:position w:val="2"/>
          <w:sz w:val="21"/>
          <w:vertAlign w:val="baseline"/>
        </w:rPr>
        <w:t>注入示踪剂浓度，</w:t>
      </w:r>
      <w:r>
        <w:rPr>
          <w:rFonts w:ascii="Times New Roman" w:hAnsi="Times New Roman" w:eastAsia="Times New Roman"/>
          <w:position w:val="2"/>
          <w:sz w:val="21"/>
          <w:vertAlign w:val="baseline"/>
        </w:rPr>
        <w:t>g/L</w:t>
      </w:r>
      <w:r>
        <w:rPr>
          <w:position w:val="2"/>
          <w:sz w:val="21"/>
          <w:vertAlign w:val="baseline"/>
        </w:rPr>
        <w:t>；</w:t>
      </w:r>
    </w:p>
    <w:p>
      <w:pPr>
        <w:pStyle w:val="9"/>
        <w:spacing w:before="9"/>
        <w:rPr>
          <w:sz w:val="17"/>
        </w:rPr>
      </w:pPr>
    </w:p>
    <w:p>
      <w:pPr>
        <w:spacing w:before="0"/>
        <w:ind w:left="2450" w:right="0" w:firstLine="0"/>
        <w:jc w:val="left"/>
        <w:rPr>
          <w:rFonts w:ascii="Times New Roman" w:hAnsi="Times New Roman" w:eastAsia="Times New Roman"/>
          <w:sz w:val="21"/>
        </w:rPr>
      </w:pPr>
      <w:r>
        <w:rPr>
          <w:rFonts w:ascii="Times New Roman" w:hAnsi="Times New Roman" w:eastAsia="Times New Roman"/>
          <w:sz w:val="21"/>
        </w:rPr>
        <w:t>u—</w:t>
      </w:r>
      <w:r>
        <w:rPr>
          <w:sz w:val="21"/>
        </w:rPr>
        <w:t>水流速度，</w:t>
      </w:r>
      <w:r>
        <w:rPr>
          <w:rFonts w:ascii="Times New Roman" w:hAnsi="Times New Roman" w:eastAsia="Times New Roman"/>
          <w:sz w:val="21"/>
        </w:rPr>
        <w:t>m/d</w:t>
      </w:r>
      <w:r>
        <w:rPr>
          <w:sz w:val="21"/>
        </w:rPr>
        <w:t xml:space="preserve">；本次评价取 </w:t>
      </w:r>
      <w:r>
        <w:rPr>
          <w:rFonts w:ascii="Times New Roman" w:hAnsi="Times New Roman" w:eastAsia="Times New Roman"/>
          <w:sz w:val="21"/>
        </w:rPr>
        <w:t>0.1m/d</w:t>
      </w:r>
    </w:p>
    <w:p>
      <w:pPr>
        <w:pStyle w:val="9"/>
        <w:spacing w:before="5"/>
        <w:rPr>
          <w:rFonts w:ascii="Times New Roman"/>
          <w:sz w:val="18"/>
        </w:rPr>
      </w:pPr>
    </w:p>
    <w:p>
      <w:pPr>
        <w:spacing w:before="1"/>
        <w:ind w:left="2450" w:right="0" w:firstLine="0"/>
        <w:jc w:val="left"/>
        <w:rPr>
          <w:rFonts w:ascii="Times New Roman" w:hAnsi="Times New Roman" w:eastAsia="Times New Roman"/>
          <w:sz w:val="24"/>
        </w:rPr>
      </w:pPr>
      <w:r>
        <w:rPr>
          <w:rFonts w:ascii="Times New Roman" w:hAnsi="Times New Roman" w:eastAsia="Times New Roman"/>
          <w:position w:val="2"/>
          <w:sz w:val="21"/>
        </w:rPr>
        <w:t>D</w:t>
      </w:r>
      <w:r>
        <w:rPr>
          <w:rFonts w:ascii="Times New Roman" w:hAnsi="Times New Roman" w:eastAsia="Times New Roman"/>
          <w:position w:val="2"/>
          <w:sz w:val="21"/>
          <w:vertAlign w:val="subscript"/>
        </w:rPr>
        <w:t>L</w:t>
      </w:r>
      <w:r>
        <w:rPr>
          <w:rFonts w:ascii="Times New Roman" w:hAnsi="Times New Roman" w:eastAsia="Times New Roman"/>
          <w:position w:val="2"/>
          <w:sz w:val="21"/>
          <w:vertAlign w:val="baseline"/>
        </w:rPr>
        <w:t>—</w:t>
      </w:r>
      <w:r>
        <w:rPr>
          <w:position w:val="2"/>
          <w:sz w:val="21"/>
          <w:vertAlign w:val="baseline"/>
        </w:rPr>
        <w:t>纵向弥散系数，</w:t>
      </w:r>
      <w:r>
        <w:rPr>
          <w:rFonts w:ascii="Times New Roman" w:hAnsi="Times New Roman" w:eastAsia="Times New Roman"/>
          <w:position w:val="2"/>
          <w:sz w:val="21"/>
          <w:vertAlign w:val="baseline"/>
        </w:rPr>
        <w:t>m</w:t>
      </w:r>
      <w:r>
        <w:rPr>
          <w:rFonts w:ascii="Times New Roman" w:hAnsi="Times New Roman" w:eastAsia="Times New Roman"/>
          <w:position w:val="2"/>
          <w:sz w:val="21"/>
          <w:vertAlign w:val="superscript"/>
        </w:rPr>
        <w:t>2</w:t>
      </w:r>
      <w:r>
        <w:rPr>
          <w:rFonts w:ascii="Times New Roman" w:hAnsi="Times New Roman" w:eastAsia="Times New Roman"/>
          <w:position w:val="2"/>
          <w:sz w:val="21"/>
          <w:vertAlign w:val="baseline"/>
        </w:rPr>
        <w:t>/d</w:t>
      </w:r>
      <w:r>
        <w:rPr>
          <w:position w:val="2"/>
          <w:sz w:val="21"/>
          <w:vertAlign w:val="baseline"/>
        </w:rPr>
        <w:t xml:space="preserve">；本次评价取 </w:t>
      </w:r>
      <w:r>
        <w:rPr>
          <w:rFonts w:ascii="Times New Roman" w:hAnsi="Times New Roman" w:eastAsia="Times New Roman"/>
          <w:position w:val="2"/>
          <w:sz w:val="24"/>
          <w:vertAlign w:val="baseline"/>
        </w:rPr>
        <w:t>0.2m</w:t>
      </w:r>
      <w:r>
        <w:rPr>
          <w:rFonts w:ascii="Times New Roman" w:hAnsi="Times New Roman" w:eastAsia="Times New Roman"/>
          <w:position w:val="2"/>
          <w:sz w:val="24"/>
          <w:vertAlign w:val="superscript"/>
        </w:rPr>
        <w:t>2</w:t>
      </w:r>
      <w:r>
        <w:rPr>
          <w:rFonts w:ascii="Times New Roman" w:hAnsi="Times New Roman" w:eastAsia="Times New Roman"/>
          <w:position w:val="2"/>
          <w:sz w:val="24"/>
          <w:vertAlign w:val="baseline"/>
        </w:rPr>
        <w:t>/d</w:t>
      </w:r>
    </w:p>
    <w:p>
      <w:pPr>
        <w:spacing w:before="222"/>
        <w:ind w:left="2450" w:right="0" w:firstLine="0"/>
        <w:jc w:val="left"/>
        <w:rPr>
          <w:sz w:val="21"/>
        </w:rPr>
      </w:pPr>
      <w:r>
        <w:rPr>
          <w:rFonts w:ascii="Times New Roman" w:hAnsi="Times New Roman" w:eastAsia="Times New Roman"/>
          <w:sz w:val="21"/>
        </w:rPr>
        <w:t>erfc()—</w:t>
      </w:r>
      <w:r>
        <w:rPr>
          <w:sz w:val="21"/>
        </w:rPr>
        <w:t>余差数函数；</w:t>
      </w:r>
    </w:p>
    <w:p>
      <w:pPr>
        <w:pStyle w:val="9"/>
        <w:spacing w:before="42"/>
        <w:ind w:left="417"/>
        <w:jc w:val="center"/>
      </w:pPr>
      <w:r>
        <w:rPr>
          <w:sz w:val="21"/>
        </w:rPr>
        <w:t>本</w:t>
      </w:r>
      <w:r>
        <w:t>项目潜水层主要为砂土，渗透系数参照《环境影响评价技术导则</w:t>
      </w:r>
      <w:r>
        <w:rPr>
          <w:rFonts w:ascii="Times New Roman" w:hAnsi="Times New Roman" w:eastAsia="Times New Roman"/>
        </w:rPr>
        <w:t>—</w:t>
      </w:r>
      <w:r>
        <w:t>地下水环境》</w:t>
      </w:r>
    </w:p>
    <w:p>
      <w:pPr>
        <w:pStyle w:val="9"/>
        <w:spacing w:before="155" w:line="364" w:lineRule="auto"/>
        <w:ind w:left="1418" w:right="1411"/>
        <w:jc w:val="both"/>
      </w:pPr>
      <w:r>
        <w:rPr>
          <w:position w:val="2"/>
        </w:rPr>
        <w:t>（</w:t>
      </w:r>
      <w:r>
        <w:rPr>
          <w:rFonts w:ascii="Times New Roman" w:hAnsi="Times New Roman" w:eastAsia="Times New Roman"/>
          <w:position w:val="2"/>
        </w:rPr>
        <w:t>HJ610-2016</w:t>
      </w:r>
      <w:r>
        <w:rPr>
          <w:position w:val="2"/>
        </w:rPr>
        <w:t>）</w:t>
      </w:r>
      <w:r>
        <w:rPr>
          <w:spacing w:val="-22"/>
          <w:position w:val="2"/>
        </w:rPr>
        <w:t xml:space="preserve">附录 </w:t>
      </w:r>
      <w:r>
        <w:rPr>
          <w:rFonts w:ascii="Times New Roman" w:hAnsi="Times New Roman" w:eastAsia="Times New Roman"/>
          <w:position w:val="2"/>
        </w:rPr>
        <w:t xml:space="preserve">B1 </w:t>
      </w:r>
      <w:r>
        <w:rPr>
          <w:spacing w:val="-10"/>
          <w:position w:val="2"/>
        </w:rPr>
        <w:t xml:space="preserve">中的沙土，取值为 </w:t>
      </w:r>
      <w:r>
        <w:rPr>
          <w:rFonts w:ascii="Times New Roman" w:hAnsi="Times New Roman" w:eastAsia="Times New Roman"/>
          <w:spacing w:val="-3"/>
          <w:position w:val="2"/>
        </w:rPr>
        <w:t>1.5m/d</w:t>
      </w:r>
      <w:r>
        <w:rPr>
          <w:spacing w:val="3"/>
          <w:position w:val="2"/>
        </w:rPr>
        <w:t>，有效孔隙度取经验值</w:t>
      </w:r>
      <w:r>
        <w:rPr>
          <w:rFonts w:ascii="Times New Roman" w:hAnsi="Times New Roman" w:eastAsia="Times New Roman"/>
          <w:position w:val="2"/>
        </w:rPr>
        <w:t>n</w:t>
      </w:r>
      <w:r>
        <w:rPr>
          <w:rFonts w:ascii="Times New Roman" w:hAnsi="Times New Roman" w:eastAsia="Times New Roman"/>
          <w:position w:val="2"/>
          <w:vertAlign w:val="subscript"/>
        </w:rPr>
        <w:t>e</w:t>
      </w:r>
      <w:r>
        <w:rPr>
          <w:rFonts w:ascii="Times New Roman" w:hAnsi="Times New Roman" w:eastAsia="Times New Roman"/>
          <w:position w:val="2"/>
          <w:vertAlign w:val="baseline"/>
        </w:rPr>
        <w:t>=0.30</w:t>
      </w:r>
      <w:r>
        <w:rPr>
          <w:spacing w:val="-5"/>
          <w:position w:val="2"/>
          <w:vertAlign w:val="baseline"/>
        </w:rPr>
        <w:t>，水力</w:t>
      </w:r>
      <w:r>
        <w:rPr>
          <w:spacing w:val="-16"/>
          <w:vertAlign w:val="baseline"/>
        </w:rPr>
        <w:t xml:space="preserve">坡度取 </w:t>
      </w:r>
      <w:r>
        <w:rPr>
          <w:rFonts w:ascii="Times New Roman" w:hAnsi="Times New Roman" w:eastAsia="Times New Roman"/>
          <w:vertAlign w:val="baseline"/>
        </w:rPr>
        <w:t>I=3‰</w:t>
      </w:r>
      <w:r>
        <w:rPr>
          <w:spacing w:val="-8"/>
          <w:vertAlign w:val="baseline"/>
        </w:rPr>
        <w:t xml:space="preserve">，根据达西定律 </w:t>
      </w:r>
      <w:r>
        <w:rPr>
          <w:rFonts w:ascii="Times New Roman" w:hAnsi="Times New Roman" w:eastAsia="Times New Roman"/>
          <w:vertAlign w:val="baseline"/>
        </w:rPr>
        <w:t>u=</w:t>
      </w:r>
      <w:r>
        <w:rPr>
          <w:vertAlign w:val="baseline"/>
        </w:rPr>
        <w:t>渗透系数</w:t>
      </w:r>
      <w:r>
        <w:rPr>
          <w:rFonts w:ascii="Times New Roman" w:hAnsi="Times New Roman" w:eastAsia="Times New Roman"/>
          <w:vertAlign w:val="baseline"/>
        </w:rPr>
        <w:t>×</w:t>
      </w:r>
      <w:r>
        <w:rPr>
          <w:vertAlign w:val="baseline"/>
        </w:rPr>
        <w:t>地下水水力坡度</w:t>
      </w:r>
      <w:r>
        <w:rPr>
          <w:rFonts w:ascii="Times New Roman" w:hAnsi="Times New Roman" w:eastAsia="Times New Roman"/>
          <w:vertAlign w:val="baseline"/>
        </w:rPr>
        <w:t>/</w:t>
      </w:r>
      <w:r>
        <w:rPr>
          <w:spacing w:val="-2"/>
          <w:vertAlign w:val="baseline"/>
        </w:rPr>
        <w:t>有效孔隙度，计算可得流速</w:t>
      </w:r>
      <w:r>
        <w:rPr>
          <w:spacing w:val="-31"/>
          <w:vertAlign w:val="baseline"/>
        </w:rPr>
        <w:t xml:space="preserve">为 </w:t>
      </w:r>
      <w:r>
        <w:rPr>
          <w:rFonts w:ascii="Times New Roman" w:hAnsi="Times New Roman" w:eastAsia="Times New Roman"/>
          <w:vertAlign w:val="baseline"/>
        </w:rPr>
        <w:t>0.015m/d</w:t>
      </w:r>
      <w:r>
        <w:rPr>
          <w:spacing w:val="-5"/>
          <w:vertAlign w:val="baseline"/>
        </w:rPr>
        <w:t xml:space="preserve">，弥散系数根据经验值取 </w:t>
      </w:r>
      <w:r>
        <w:rPr>
          <w:rFonts w:ascii="Times New Roman" w:hAnsi="Times New Roman" w:eastAsia="Times New Roman"/>
          <w:vertAlign w:val="baseline"/>
        </w:rPr>
        <w:t>0.2m</w:t>
      </w:r>
      <w:r>
        <w:rPr>
          <w:rFonts w:ascii="Times New Roman" w:hAnsi="Times New Roman" w:eastAsia="Times New Roman"/>
          <w:position w:val="8"/>
          <w:sz w:val="15"/>
          <w:vertAlign w:val="baseline"/>
        </w:rPr>
        <w:t>2</w:t>
      </w:r>
      <w:r>
        <w:rPr>
          <w:rFonts w:ascii="Times New Roman" w:hAnsi="Times New Roman" w:eastAsia="Times New Roman"/>
          <w:vertAlign w:val="baseline"/>
        </w:rPr>
        <w:t>/d</w:t>
      </w:r>
      <w:r>
        <w:rPr>
          <w:vertAlign w:val="baseline"/>
        </w:rPr>
        <w:t>。</w:t>
      </w:r>
    </w:p>
    <w:p>
      <w:pPr>
        <w:spacing w:before="0" w:line="266" w:lineRule="exact"/>
        <w:ind w:left="2" w:right="0" w:firstLine="0"/>
        <w:jc w:val="center"/>
        <w:rPr>
          <w:b/>
          <w:sz w:val="21"/>
        </w:rPr>
      </w:pPr>
      <w:r>
        <w:rPr>
          <w:b/>
          <w:spacing w:val="-28"/>
          <w:sz w:val="21"/>
        </w:rPr>
        <w:t xml:space="preserve">表 </w:t>
      </w:r>
      <w:r>
        <w:rPr>
          <w:rFonts w:ascii="Times New Roman" w:eastAsia="Times New Roman"/>
          <w:b/>
          <w:sz w:val="21"/>
        </w:rPr>
        <w:t>5.5-1</w:t>
      </w:r>
      <w:r>
        <w:rPr>
          <w:rFonts w:ascii="Times New Roman" w:eastAsia="Times New Roman"/>
          <w:b/>
          <w:spacing w:val="52"/>
          <w:sz w:val="21"/>
        </w:rPr>
        <w:t xml:space="preserve"> </w:t>
      </w:r>
      <w:r>
        <w:rPr>
          <w:b/>
          <w:sz w:val="21"/>
        </w:rPr>
        <w:t>预测参数</w:t>
      </w:r>
    </w:p>
    <w:p>
      <w:pPr>
        <w:pStyle w:val="9"/>
        <w:spacing w:before="11" w:after="1"/>
        <w:rPr>
          <w:b/>
          <w:sz w:val="10"/>
        </w:rPr>
      </w:pPr>
    </w:p>
    <w:tbl>
      <w:tblPr>
        <w:tblStyle w:val="15"/>
        <w:tblW w:w="0" w:type="auto"/>
        <w:tblInd w:w="13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3"/>
        <w:gridCol w:w="513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153" w:type="dxa"/>
            <w:tcBorders>
              <w:bottom w:val="single" w:color="000000" w:sz="4" w:space="0"/>
              <w:right w:val="single" w:color="000000" w:sz="4" w:space="0"/>
            </w:tcBorders>
          </w:tcPr>
          <w:p>
            <w:pPr>
              <w:pStyle w:val="19"/>
              <w:spacing w:before="64"/>
              <w:ind w:left="1528" w:right="1519"/>
              <w:rPr>
                <w:sz w:val="21"/>
              </w:rPr>
            </w:pPr>
            <w:r>
              <w:rPr>
                <w:sz w:val="21"/>
              </w:rPr>
              <w:t>含水层参数</w:t>
            </w:r>
          </w:p>
        </w:tc>
        <w:tc>
          <w:tcPr>
            <w:tcW w:w="5131" w:type="dxa"/>
            <w:tcBorders>
              <w:left w:val="single" w:color="000000" w:sz="4" w:space="0"/>
              <w:bottom w:val="single" w:color="000000" w:sz="4" w:space="0"/>
            </w:tcBorders>
          </w:tcPr>
          <w:p>
            <w:pPr>
              <w:pStyle w:val="19"/>
              <w:spacing w:before="64"/>
              <w:ind w:left="2148" w:right="2127"/>
              <w:rPr>
                <w:sz w:val="21"/>
              </w:rPr>
            </w:pPr>
            <w:r>
              <w:rPr>
                <w:sz w:val="21"/>
              </w:rPr>
              <w:t>取值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153" w:type="dxa"/>
            <w:tcBorders>
              <w:top w:val="single" w:color="000000" w:sz="4" w:space="0"/>
              <w:bottom w:val="single" w:color="000000" w:sz="4" w:space="0"/>
              <w:right w:val="single" w:color="000000" w:sz="4" w:space="0"/>
            </w:tcBorders>
          </w:tcPr>
          <w:p>
            <w:pPr>
              <w:pStyle w:val="19"/>
              <w:spacing w:before="62"/>
              <w:ind w:left="1528" w:right="1519"/>
              <w:rPr>
                <w:sz w:val="21"/>
              </w:rPr>
            </w:pPr>
            <w:r>
              <w:rPr>
                <w:sz w:val="21"/>
              </w:rPr>
              <w:t>水流速度</w:t>
            </w:r>
          </w:p>
        </w:tc>
        <w:tc>
          <w:tcPr>
            <w:tcW w:w="5131" w:type="dxa"/>
            <w:tcBorders>
              <w:top w:val="single" w:color="000000" w:sz="4" w:space="0"/>
              <w:left w:val="single" w:color="000000" w:sz="4" w:space="0"/>
              <w:bottom w:val="single" w:color="000000" w:sz="4" w:space="0"/>
            </w:tcBorders>
          </w:tcPr>
          <w:p>
            <w:pPr>
              <w:pStyle w:val="19"/>
              <w:spacing w:before="76"/>
              <w:ind w:left="2149" w:right="2127"/>
              <w:rPr>
                <w:rFonts w:ascii="Times New Roman"/>
                <w:sz w:val="21"/>
              </w:rPr>
            </w:pPr>
            <w:r>
              <w:rPr>
                <w:rFonts w:ascii="Times New Roman"/>
                <w:sz w:val="21"/>
              </w:rPr>
              <w:t>0.015m/d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153" w:type="dxa"/>
            <w:tcBorders>
              <w:top w:val="single" w:color="000000" w:sz="4" w:space="0"/>
              <w:right w:val="single" w:color="000000" w:sz="4" w:space="0"/>
            </w:tcBorders>
          </w:tcPr>
          <w:p>
            <w:pPr>
              <w:pStyle w:val="19"/>
              <w:spacing w:before="63"/>
              <w:ind w:left="1528" w:right="1519"/>
              <w:rPr>
                <w:sz w:val="21"/>
              </w:rPr>
            </w:pPr>
            <w:r>
              <w:rPr>
                <w:sz w:val="21"/>
              </w:rPr>
              <w:t>弥散系数</w:t>
            </w:r>
          </w:p>
        </w:tc>
        <w:tc>
          <w:tcPr>
            <w:tcW w:w="5131" w:type="dxa"/>
            <w:tcBorders>
              <w:top w:val="single" w:color="000000" w:sz="4" w:space="0"/>
              <w:left w:val="single" w:color="000000" w:sz="4" w:space="0"/>
            </w:tcBorders>
          </w:tcPr>
          <w:p>
            <w:pPr>
              <w:pStyle w:val="19"/>
              <w:spacing w:before="77"/>
              <w:ind w:left="2149" w:right="2127"/>
              <w:rPr>
                <w:rFonts w:ascii="Times New Roman"/>
                <w:sz w:val="21"/>
              </w:rPr>
            </w:pPr>
            <w:r>
              <w:rPr>
                <w:rFonts w:ascii="Times New Roman"/>
                <w:sz w:val="21"/>
              </w:rPr>
              <w:t>0.2m</w:t>
            </w:r>
            <w:r>
              <w:rPr>
                <w:rFonts w:ascii="Times New Roman"/>
                <w:position w:val="7"/>
                <w:sz w:val="13"/>
              </w:rPr>
              <w:t>2</w:t>
            </w:r>
            <w:r>
              <w:rPr>
                <w:rFonts w:ascii="Times New Roman"/>
                <w:sz w:val="21"/>
              </w:rPr>
              <w:t>/d</w:t>
            </w:r>
          </w:p>
        </w:tc>
      </w:tr>
    </w:tbl>
    <w:p>
      <w:pPr>
        <w:spacing w:after="0"/>
        <w:rPr>
          <w:rFonts w:ascii="Times New Roman"/>
          <w:sz w:val="21"/>
        </w:rPr>
        <w:sectPr>
          <w:pgSz w:w="11910" w:h="16840"/>
          <w:pgMar w:top="1540" w:right="0" w:bottom="880" w:left="0" w:header="0" w:footer="681" w:gutter="0"/>
        </w:sectPr>
      </w:pPr>
    </w:p>
    <w:p>
      <w:pPr>
        <w:spacing w:before="2"/>
        <w:ind w:left="1838" w:right="0" w:firstLine="0"/>
        <w:jc w:val="left"/>
        <w:rPr>
          <w:sz w:val="21"/>
        </w:rPr>
      </w:pPr>
      <w:r>
        <w:rPr>
          <w:sz w:val="21"/>
        </w:rPr>
        <w:t>污染物预测参数见下表。</w:t>
      </w:r>
    </w:p>
    <w:p>
      <w:pPr>
        <w:pStyle w:val="9"/>
        <w:spacing w:before="12"/>
        <w:rPr>
          <w:sz w:val="31"/>
        </w:rPr>
      </w:pPr>
      <w:r>
        <w:br w:type="column"/>
      </w:r>
    </w:p>
    <w:p>
      <w:pPr>
        <w:spacing w:before="0"/>
        <w:ind w:left="629" w:right="0" w:firstLine="0"/>
        <w:jc w:val="left"/>
        <w:rPr>
          <w:b/>
          <w:sz w:val="21"/>
        </w:rPr>
      </w:pPr>
      <w:r>
        <w:rPr>
          <w:b/>
          <w:spacing w:val="-28"/>
          <w:sz w:val="21"/>
        </w:rPr>
        <w:t xml:space="preserve">表 </w:t>
      </w:r>
      <w:r>
        <w:rPr>
          <w:rFonts w:ascii="Times New Roman" w:eastAsia="Times New Roman"/>
          <w:b/>
          <w:sz w:val="21"/>
        </w:rPr>
        <w:t>5.5-2</w:t>
      </w:r>
      <w:r>
        <w:rPr>
          <w:rFonts w:ascii="Times New Roman" w:eastAsia="Times New Roman"/>
          <w:b/>
          <w:spacing w:val="52"/>
          <w:sz w:val="21"/>
        </w:rPr>
        <w:t xml:space="preserve"> </w:t>
      </w:r>
      <w:r>
        <w:rPr>
          <w:b/>
          <w:sz w:val="21"/>
        </w:rPr>
        <w:t>污染物预测参数</w:t>
      </w:r>
    </w:p>
    <w:p>
      <w:pPr>
        <w:spacing w:after="0"/>
        <w:jc w:val="left"/>
        <w:rPr>
          <w:sz w:val="21"/>
        </w:rPr>
        <w:sectPr>
          <w:type w:val="continuous"/>
          <w:pgSz w:w="11910" w:h="16840"/>
          <w:pgMar w:top="1580" w:right="0" w:bottom="280" w:left="0" w:header="720" w:footer="720" w:gutter="0"/>
          <w:cols w:equalWidth="0" w:num="2">
            <w:col w:w="4148" w:space="40"/>
            <w:col w:w="7722"/>
          </w:cols>
        </w:sectPr>
      </w:pPr>
    </w:p>
    <w:p>
      <w:pPr>
        <w:pStyle w:val="9"/>
        <w:spacing w:before="11"/>
        <w:rPr>
          <w:b/>
          <w:sz w:val="10"/>
        </w:rPr>
      </w:pPr>
    </w:p>
    <w:tbl>
      <w:tblPr>
        <w:tblStyle w:val="15"/>
        <w:tblW w:w="0" w:type="auto"/>
        <w:tblInd w:w="13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643"/>
        <w:gridCol w:w="46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4643" w:type="dxa"/>
            <w:tcBorders>
              <w:bottom w:val="single" w:color="000000" w:sz="4" w:space="0"/>
              <w:right w:val="single" w:color="000000" w:sz="4" w:space="0"/>
            </w:tcBorders>
          </w:tcPr>
          <w:p>
            <w:pPr>
              <w:pStyle w:val="19"/>
              <w:spacing w:before="2"/>
              <w:ind w:left="1668" w:right="1657"/>
              <w:rPr>
                <w:sz w:val="21"/>
              </w:rPr>
            </w:pPr>
            <w:r>
              <w:rPr>
                <w:sz w:val="21"/>
              </w:rPr>
              <w:t>污染物</w:t>
            </w:r>
          </w:p>
        </w:tc>
        <w:tc>
          <w:tcPr>
            <w:tcW w:w="4641" w:type="dxa"/>
            <w:tcBorders>
              <w:left w:val="single" w:color="000000" w:sz="4" w:space="0"/>
              <w:bottom w:val="single" w:color="000000" w:sz="4" w:space="0"/>
            </w:tcBorders>
          </w:tcPr>
          <w:p>
            <w:pPr>
              <w:pStyle w:val="19"/>
              <w:spacing w:before="2"/>
              <w:ind w:left="1657" w:right="1634"/>
              <w:rPr>
                <w:sz w:val="21"/>
              </w:rPr>
            </w:pPr>
            <w:r>
              <w:rPr>
                <w:sz w:val="21"/>
              </w:rPr>
              <w:t>浓度（</w:t>
            </w:r>
            <w:r>
              <w:rPr>
                <w:rFonts w:ascii="Times New Roman" w:eastAsia="Times New Roman"/>
                <w:sz w:val="21"/>
              </w:rPr>
              <w:t>mg/L</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643" w:type="dxa"/>
            <w:tcBorders>
              <w:top w:val="single" w:color="000000" w:sz="4" w:space="0"/>
              <w:right w:val="single" w:color="000000" w:sz="4" w:space="0"/>
            </w:tcBorders>
          </w:tcPr>
          <w:p>
            <w:pPr>
              <w:pStyle w:val="19"/>
              <w:spacing w:before="77"/>
              <w:ind w:left="1668" w:right="1657"/>
              <w:rPr>
                <w:rFonts w:ascii="Times New Roman"/>
                <w:sz w:val="21"/>
              </w:rPr>
            </w:pPr>
            <w:r>
              <w:rPr>
                <w:rFonts w:ascii="Times New Roman"/>
                <w:sz w:val="21"/>
              </w:rPr>
              <w:t>COD</w:t>
            </w:r>
          </w:p>
        </w:tc>
        <w:tc>
          <w:tcPr>
            <w:tcW w:w="4641" w:type="dxa"/>
            <w:tcBorders>
              <w:top w:val="single" w:color="000000" w:sz="4" w:space="0"/>
              <w:left w:val="single" w:color="000000" w:sz="4" w:space="0"/>
            </w:tcBorders>
          </w:tcPr>
          <w:p>
            <w:pPr>
              <w:pStyle w:val="19"/>
              <w:spacing w:before="77"/>
              <w:ind w:left="1657" w:right="1633"/>
              <w:rPr>
                <w:rFonts w:ascii="Times New Roman"/>
                <w:sz w:val="21"/>
              </w:rPr>
            </w:pPr>
            <w:r>
              <w:rPr>
                <w:rFonts w:ascii="Times New Roman"/>
                <w:sz w:val="21"/>
              </w:rPr>
              <w:t>300</w:t>
            </w:r>
          </w:p>
        </w:tc>
      </w:tr>
    </w:tbl>
    <w:p>
      <w:pPr>
        <w:pStyle w:val="9"/>
        <w:spacing w:before="11"/>
        <w:rPr>
          <w:b/>
          <w:sz w:val="12"/>
        </w:rPr>
      </w:pPr>
    </w:p>
    <w:p>
      <w:pPr>
        <w:spacing w:before="77"/>
        <w:ind w:left="5" w:right="0" w:firstLine="0"/>
        <w:jc w:val="center"/>
        <w:rPr>
          <w:b/>
          <w:sz w:val="21"/>
        </w:rPr>
      </w:pPr>
      <w:r>
        <w:rPr>
          <w:b/>
          <w:sz w:val="21"/>
        </w:rPr>
        <w:t xml:space="preserve">表 </w:t>
      </w:r>
      <w:r>
        <w:rPr>
          <w:rFonts w:ascii="Times New Roman" w:eastAsia="Times New Roman"/>
          <w:b/>
          <w:sz w:val="21"/>
        </w:rPr>
        <w:t xml:space="preserve">5.5-3 COD100d </w:t>
      </w:r>
      <w:r>
        <w:rPr>
          <w:b/>
          <w:sz w:val="21"/>
        </w:rPr>
        <w:t xml:space="preserve">和 </w:t>
      </w:r>
      <w:r>
        <w:rPr>
          <w:rFonts w:ascii="Times New Roman" w:eastAsia="Times New Roman"/>
          <w:b/>
          <w:sz w:val="21"/>
        </w:rPr>
        <w:t xml:space="preserve">1000d </w:t>
      </w:r>
      <w:r>
        <w:rPr>
          <w:b/>
          <w:sz w:val="21"/>
        </w:rPr>
        <w:t>地下水迁移情况</w:t>
      </w:r>
    </w:p>
    <w:p>
      <w:pPr>
        <w:pStyle w:val="9"/>
        <w:spacing w:before="11" w:after="1"/>
        <w:rPr>
          <w:b/>
          <w:sz w:val="10"/>
        </w:rPr>
      </w:pP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02"/>
        <w:gridCol w:w="2335"/>
        <w:gridCol w:w="2303"/>
        <w:gridCol w:w="23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286" w:type="dxa"/>
            <w:gridSpan w:val="4"/>
            <w:tcBorders>
              <w:bottom w:val="single" w:color="000000" w:sz="4" w:space="0"/>
            </w:tcBorders>
          </w:tcPr>
          <w:p>
            <w:pPr>
              <w:pStyle w:val="19"/>
              <w:spacing w:before="77"/>
              <w:ind w:left="3288" w:right="3272"/>
              <w:rPr>
                <w:rFonts w:ascii="Times New Roman"/>
                <w:sz w:val="21"/>
              </w:rPr>
            </w:pPr>
            <w:r>
              <w:rPr>
                <w:rFonts w:ascii="Times New Roman"/>
                <w:sz w:val="21"/>
              </w:rPr>
              <w:t>COD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37" w:type="dxa"/>
            <w:gridSpan w:val="2"/>
            <w:tcBorders>
              <w:top w:val="single" w:color="000000" w:sz="4" w:space="0"/>
              <w:bottom w:val="single" w:color="000000" w:sz="4" w:space="0"/>
              <w:right w:val="single" w:color="000000" w:sz="4" w:space="0"/>
            </w:tcBorders>
          </w:tcPr>
          <w:p>
            <w:pPr>
              <w:pStyle w:val="19"/>
              <w:spacing w:before="61"/>
              <w:ind w:left="1346"/>
              <w:jc w:val="left"/>
              <w:rPr>
                <w:sz w:val="21"/>
              </w:rPr>
            </w:pPr>
            <w:r>
              <w:rPr>
                <w:rFonts w:ascii="Times New Roman" w:eastAsia="Times New Roman"/>
                <w:sz w:val="21"/>
              </w:rPr>
              <w:t xml:space="preserve">100d </w:t>
            </w:r>
            <w:r>
              <w:rPr>
                <w:sz w:val="21"/>
              </w:rPr>
              <w:t>污染物迁移结果</w:t>
            </w:r>
          </w:p>
        </w:tc>
        <w:tc>
          <w:tcPr>
            <w:tcW w:w="4649" w:type="dxa"/>
            <w:gridSpan w:val="2"/>
            <w:tcBorders>
              <w:top w:val="single" w:color="000000" w:sz="4" w:space="0"/>
              <w:left w:val="single" w:color="000000" w:sz="4" w:space="0"/>
              <w:bottom w:val="single" w:color="000000" w:sz="4" w:space="0"/>
            </w:tcBorders>
          </w:tcPr>
          <w:p>
            <w:pPr>
              <w:pStyle w:val="19"/>
              <w:spacing w:before="61"/>
              <w:ind w:left="1305"/>
              <w:jc w:val="left"/>
              <w:rPr>
                <w:sz w:val="21"/>
              </w:rPr>
            </w:pPr>
            <w:r>
              <w:rPr>
                <w:rFonts w:ascii="Times New Roman" w:eastAsia="Times New Roman"/>
                <w:sz w:val="21"/>
              </w:rPr>
              <w:t xml:space="preserve">1000d </w:t>
            </w:r>
            <w:r>
              <w:rPr>
                <w:sz w:val="21"/>
              </w:rPr>
              <w:t>污染物迁移结果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top w:val="single" w:color="000000" w:sz="4" w:space="0"/>
              <w:bottom w:val="single" w:color="000000" w:sz="4" w:space="0"/>
              <w:right w:val="single" w:color="000000" w:sz="4" w:space="0"/>
            </w:tcBorders>
          </w:tcPr>
          <w:p>
            <w:pPr>
              <w:pStyle w:val="19"/>
              <w:spacing w:before="62"/>
              <w:ind w:left="393" w:right="381"/>
              <w:rPr>
                <w:sz w:val="21"/>
              </w:rPr>
            </w:pPr>
            <w:r>
              <w:rPr>
                <w:sz w:val="21"/>
              </w:rPr>
              <w:t>距离（</w:t>
            </w:r>
            <w:r>
              <w:rPr>
                <w:rFonts w:ascii="Times New Roman" w:eastAsia="Times New Roman"/>
                <w:sz w:val="21"/>
              </w:rPr>
              <w:t>m</w:t>
            </w:r>
            <w:r>
              <w:rPr>
                <w:sz w:val="21"/>
              </w:rPr>
              <w:t>）</w:t>
            </w:r>
          </w:p>
        </w:tc>
        <w:tc>
          <w:tcPr>
            <w:tcW w:w="2335" w:type="dxa"/>
            <w:tcBorders>
              <w:top w:val="single" w:color="000000" w:sz="4" w:space="0"/>
              <w:left w:val="single" w:color="000000" w:sz="4" w:space="0"/>
              <w:bottom w:val="single" w:color="000000" w:sz="4" w:space="0"/>
              <w:right w:val="single" w:color="000000" w:sz="4" w:space="0"/>
            </w:tcBorders>
          </w:tcPr>
          <w:p>
            <w:pPr>
              <w:pStyle w:val="19"/>
              <w:spacing w:before="62"/>
              <w:ind w:left="147" w:right="130"/>
              <w:rPr>
                <w:sz w:val="21"/>
              </w:rPr>
            </w:pPr>
            <w:r>
              <w:rPr>
                <w:sz w:val="21"/>
              </w:rPr>
              <w:t>浓度（</w:t>
            </w:r>
            <w:r>
              <w:rPr>
                <w:rFonts w:ascii="Times New Roman" w:eastAsia="Times New Roman"/>
                <w:sz w:val="21"/>
              </w:rPr>
              <w:t>mg/L</w:t>
            </w:r>
            <w:r>
              <w:rPr>
                <w:sz w:val="21"/>
              </w:rPr>
              <w:t>）</w:t>
            </w:r>
          </w:p>
        </w:tc>
        <w:tc>
          <w:tcPr>
            <w:tcW w:w="2303" w:type="dxa"/>
            <w:tcBorders>
              <w:top w:val="single" w:color="000000" w:sz="4" w:space="0"/>
              <w:left w:val="single" w:color="000000" w:sz="4" w:space="0"/>
              <w:bottom w:val="single" w:color="000000" w:sz="4" w:space="0"/>
              <w:right w:val="single" w:color="000000" w:sz="4" w:space="0"/>
            </w:tcBorders>
          </w:tcPr>
          <w:p>
            <w:pPr>
              <w:pStyle w:val="19"/>
              <w:spacing w:before="62"/>
              <w:ind w:left="633" w:right="615"/>
              <w:rPr>
                <w:sz w:val="21"/>
              </w:rPr>
            </w:pPr>
            <w:r>
              <w:rPr>
                <w:sz w:val="21"/>
              </w:rPr>
              <w:t>距离（</w:t>
            </w:r>
            <w:r>
              <w:rPr>
                <w:rFonts w:ascii="Times New Roman" w:eastAsia="Times New Roman"/>
                <w:sz w:val="21"/>
              </w:rPr>
              <w:t>m</w:t>
            </w:r>
            <w:r>
              <w:rPr>
                <w:sz w:val="21"/>
              </w:rPr>
              <w:t>）</w:t>
            </w:r>
          </w:p>
        </w:tc>
        <w:tc>
          <w:tcPr>
            <w:tcW w:w="2346" w:type="dxa"/>
            <w:tcBorders>
              <w:top w:val="single" w:color="000000" w:sz="4" w:space="0"/>
              <w:left w:val="single" w:color="000000" w:sz="4" w:space="0"/>
              <w:bottom w:val="single" w:color="000000" w:sz="4" w:space="0"/>
            </w:tcBorders>
          </w:tcPr>
          <w:p>
            <w:pPr>
              <w:pStyle w:val="19"/>
              <w:spacing w:before="62"/>
              <w:ind w:left="509" w:right="486"/>
              <w:rPr>
                <w:sz w:val="21"/>
              </w:rPr>
            </w:pPr>
            <w:r>
              <w:rPr>
                <w:sz w:val="21"/>
              </w:rPr>
              <w:t>浓度（</w:t>
            </w:r>
            <w:r>
              <w:rPr>
                <w:rFonts w:ascii="Times New Roman" w:eastAsia="Times New Roman"/>
                <w:sz w:val="21"/>
              </w:rPr>
              <w:t>mg/L</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302" w:type="dxa"/>
            <w:tcBorders>
              <w:top w:val="single" w:color="000000" w:sz="4" w:space="0"/>
              <w:bottom w:val="single" w:color="000000" w:sz="4" w:space="0"/>
              <w:right w:val="single" w:color="000000" w:sz="4" w:space="0"/>
            </w:tcBorders>
          </w:tcPr>
          <w:p>
            <w:pPr>
              <w:pStyle w:val="19"/>
              <w:spacing w:before="75"/>
              <w:ind w:left="11"/>
              <w:rPr>
                <w:rFonts w:ascii="Times New Roman"/>
                <w:sz w:val="21"/>
              </w:rPr>
            </w:pPr>
            <w:r>
              <w:rPr>
                <w:rFonts w:ascii="Times New Roman"/>
                <w:w w:val="99"/>
                <w:sz w:val="21"/>
              </w:rPr>
              <w:t>0</w:t>
            </w:r>
          </w:p>
        </w:tc>
        <w:tc>
          <w:tcPr>
            <w:tcW w:w="2335" w:type="dxa"/>
            <w:tcBorders>
              <w:top w:val="single" w:color="000000" w:sz="4" w:space="0"/>
              <w:left w:val="single" w:color="000000" w:sz="4" w:space="0"/>
              <w:bottom w:val="single" w:color="000000" w:sz="4" w:space="0"/>
              <w:right w:val="single" w:color="000000" w:sz="4" w:space="0"/>
            </w:tcBorders>
          </w:tcPr>
          <w:p>
            <w:pPr>
              <w:pStyle w:val="19"/>
              <w:spacing w:before="75"/>
              <w:ind w:left="147" w:right="129"/>
              <w:rPr>
                <w:rFonts w:ascii="Times New Roman"/>
                <w:sz w:val="21"/>
              </w:rPr>
            </w:pPr>
            <w:r>
              <w:rPr>
                <w:rFonts w:ascii="Times New Roman"/>
                <w:sz w:val="21"/>
              </w:rPr>
              <w:t>300.00</w:t>
            </w:r>
          </w:p>
        </w:tc>
        <w:tc>
          <w:tcPr>
            <w:tcW w:w="2303" w:type="dxa"/>
            <w:tcBorders>
              <w:top w:val="single" w:color="000000" w:sz="4" w:space="0"/>
              <w:left w:val="single" w:color="000000" w:sz="4" w:space="0"/>
              <w:bottom w:val="single" w:color="000000" w:sz="4" w:space="0"/>
              <w:right w:val="single" w:color="000000" w:sz="4" w:space="0"/>
            </w:tcBorders>
          </w:tcPr>
          <w:p>
            <w:pPr>
              <w:pStyle w:val="19"/>
              <w:spacing w:before="75"/>
              <w:ind w:left="19"/>
              <w:rPr>
                <w:rFonts w:ascii="Times New Roman"/>
                <w:sz w:val="21"/>
              </w:rPr>
            </w:pPr>
            <w:r>
              <w:rPr>
                <w:rFonts w:ascii="Times New Roman"/>
                <w:w w:val="99"/>
                <w:sz w:val="21"/>
              </w:rPr>
              <w:t>0</w:t>
            </w:r>
          </w:p>
        </w:tc>
        <w:tc>
          <w:tcPr>
            <w:tcW w:w="2346" w:type="dxa"/>
            <w:tcBorders>
              <w:top w:val="single" w:color="000000" w:sz="4" w:space="0"/>
              <w:left w:val="single" w:color="000000" w:sz="4" w:space="0"/>
              <w:bottom w:val="single" w:color="000000" w:sz="4" w:space="0"/>
            </w:tcBorders>
          </w:tcPr>
          <w:p>
            <w:pPr>
              <w:pStyle w:val="19"/>
              <w:spacing w:before="75"/>
              <w:ind w:left="509" w:right="485"/>
              <w:rPr>
                <w:rFonts w:ascii="Times New Roman"/>
                <w:sz w:val="21"/>
              </w:rPr>
            </w:pPr>
            <w:r>
              <w:rPr>
                <w:rFonts w:ascii="Times New Roman"/>
                <w:sz w:val="21"/>
              </w:rPr>
              <w:t>300.00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top w:val="single" w:color="000000" w:sz="4" w:space="0"/>
              <w:bottom w:val="single" w:color="000000" w:sz="4" w:space="0"/>
              <w:right w:val="single" w:color="000000" w:sz="4" w:space="0"/>
            </w:tcBorders>
          </w:tcPr>
          <w:p>
            <w:pPr>
              <w:pStyle w:val="19"/>
              <w:spacing w:before="76"/>
              <w:ind w:left="396" w:right="381"/>
              <w:rPr>
                <w:rFonts w:ascii="Times New Roman"/>
                <w:sz w:val="21"/>
              </w:rPr>
            </w:pPr>
            <w:r>
              <w:rPr>
                <w:rFonts w:ascii="Times New Roman"/>
                <w:sz w:val="21"/>
              </w:rPr>
              <w:t>10</w:t>
            </w:r>
          </w:p>
        </w:tc>
        <w:tc>
          <w:tcPr>
            <w:tcW w:w="2335" w:type="dxa"/>
            <w:tcBorders>
              <w:top w:val="single" w:color="000000" w:sz="4" w:space="0"/>
              <w:left w:val="single" w:color="000000" w:sz="4" w:space="0"/>
              <w:bottom w:val="single" w:color="000000" w:sz="4" w:space="0"/>
              <w:right w:val="single" w:color="000000" w:sz="4" w:space="0"/>
            </w:tcBorders>
          </w:tcPr>
          <w:p>
            <w:pPr>
              <w:pStyle w:val="19"/>
              <w:spacing w:before="76"/>
              <w:ind w:left="147" w:right="127"/>
              <w:rPr>
                <w:rFonts w:ascii="Times New Roman"/>
                <w:sz w:val="21"/>
              </w:rPr>
            </w:pPr>
            <w:r>
              <w:rPr>
                <w:rFonts w:ascii="Times New Roman"/>
                <w:sz w:val="21"/>
              </w:rPr>
              <w:t>48.80</w:t>
            </w:r>
          </w:p>
        </w:tc>
        <w:tc>
          <w:tcPr>
            <w:tcW w:w="2303" w:type="dxa"/>
            <w:tcBorders>
              <w:top w:val="single" w:color="000000" w:sz="4" w:space="0"/>
              <w:left w:val="single" w:color="000000" w:sz="4" w:space="0"/>
              <w:bottom w:val="single" w:color="000000" w:sz="4" w:space="0"/>
              <w:right w:val="single" w:color="000000" w:sz="4" w:space="0"/>
            </w:tcBorders>
          </w:tcPr>
          <w:p>
            <w:pPr>
              <w:pStyle w:val="19"/>
              <w:spacing w:before="76"/>
              <w:ind w:left="633" w:right="614"/>
              <w:rPr>
                <w:rFonts w:ascii="Times New Roman"/>
                <w:sz w:val="21"/>
              </w:rPr>
            </w:pPr>
            <w:r>
              <w:rPr>
                <w:rFonts w:ascii="Times New Roman"/>
                <w:sz w:val="21"/>
              </w:rPr>
              <w:t>50</w:t>
            </w:r>
          </w:p>
        </w:tc>
        <w:tc>
          <w:tcPr>
            <w:tcW w:w="2346" w:type="dxa"/>
            <w:tcBorders>
              <w:top w:val="single" w:color="000000" w:sz="4" w:space="0"/>
              <w:left w:val="single" w:color="000000" w:sz="4" w:space="0"/>
              <w:bottom w:val="single" w:color="000000" w:sz="4" w:space="0"/>
            </w:tcBorders>
          </w:tcPr>
          <w:p>
            <w:pPr>
              <w:pStyle w:val="19"/>
              <w:spacing w:before="76"/>
              <w:ind w:left="509" w:right="483"/>
              <w:rPr>
                <w:rFonts w:ascii="Times New Roman"/>
                <w:sz w:val="21"/>
              </w:rPr>
            </w:pPr>
            <w:r>
              <w:rPr>
                <w:rFonts w:ascii="Times New Roman"/>
                <w:sz w:val="21"/>
              </w:rPr>
              <w:t>19.40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top w:val="single" w:color="000000" w:sz="4" w:space="0"/>
              <w:bottom w:val="single" w:color="000000" w:sz="4" w:space="0"/>
              <w:right w:val="single" w:color="000000" w:sz="4" w:space="0"/>
            </w:tcBorders>
          </w:tcPr>
          <w:p>
            <w:pPr>
              <w:pStyle w:val="19"/>
              <w:spacing w:before="75"/>
              <w:ind w:left="396" w:right="381"/>
              <w:rPr>
                <w:rFonts w:ascii="Times New Roman"/>
                <w:sz w:val="21"/>
              </w:rPr>
            </w:pPr>
            <w:r>
              <w:rPr>
                <w:rFonts w:ascii="Times New Roman"/>
                <w:sz w:val="21"/>
              </w:rPr>
              <w:t>20</w:t>
            </w:r>
          </w:p>
        </w:tc>
        <w:tc>
          <w:tcPr>
            <w:tcW w:w="2335" w:type="dxa"/>
            <w:tcBorders>
              <w:top w:val="single" w:color="000000" w:sz="4" w:space="0"/>
              <w:left w:val="single" w:color="000000" w:sz="4" w:space="0"/>
              <w:bottom w:val="single" w:color="000000" w:sz="4" w:space="0"/>
              <w:right w:val="single" w:color="000000" w:sz="4" w:space="0"/>
            </w:tcBorders>
          </w:tcPr>
          <w:p>
            <w:pPr>
              <w:pStyle w:val="19"/>
              <w:spacing w:before="75"/>
              <w:ind w:left="147" w:right="127"/>
              <w:rPr>
                <w:rFonts w:ascii="Times New Roman"/>
                <w:sz w:val="21"/>
              </w:rPr>
            </w:pPr>
            <w:r>
              <w:rPr>
                <w:rFonts w:ascii="Times New Roman"/>
                <w:sz w:val="21"/>
              </w:rPr>
              <w:t>0.97</w:t>
            </w:r>
          </w:p>
        </w:tc>
        <w:tc>
          <w:tcPr>
            <w:tcW w:w="2303" w:type="dxa"/>
            <w:tcBorders>
              <w:top w:val="single" w:color="000000" w:sz="4" w:space="0"/>
              <w:left w:val="single" w:color="000000" w:sz="4" w:space="0"/>
              <w:bottom w:val="single" w:color="000000" w:sz="4" w:space="0"/>
              <w:right w:val="single" w:color="000000" w:sz="4" w:space="0"/>
            </w:tcBorders>
          </w:tcPr>
          <w:p>
            <w:pPr>
              <w:pStyle w:val="19"/>
              <w:spacing w:before="75"/>
              <w:ind w:left="633" w:right="614"/>
              <w:rPr>
                <w:rFonts w:ascii="Times New Roman"/>
                <w:sz w:val="21"/>
              </w:rPr>
            </w:pPr>
            <w:r>
              <w:rPr>
                <w:rFonts w:ascii="Times New Roman"/>
                <w:sz w:val="21"/>
              </w:rPr>
              <w:t>100</w:t>
            </w:r>
          </w:p>
        </w:tc>
        <w:tc>
          <w:tcPr>
            <w:tcW w:w="2346" w:type="dxa"/>
            <w:tcBorders>
              <w:top w:val="single" w:color="000000" w:sz="4" w:space="0"/>
              <w:left w:val="single" w:color="000000" w:sz="4" w:space="0"/>
              <w:bottom w:val="single" w:color="000000" w:sz="4" w:space="0"/>
            </w:tcBorders>
          </w:tcPr>
          <w:p>
            <w:pPr>
              <w:pStyle w:val="19"/>
              <w:spacing w:before="75"/>
              <w:ind w:left="509" w:right="485"/>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top w:val="single" w:color="000000" w:sz="4" w:space="0"/>
              <w:bottom w:val="single" w:color="000000" w:sz="4" w:space="0"/>
              <w:right w:val="single" w:color="000000" w:sz="4" w:space="0"/>
            </w:tcBorders>
          </w:tcPr>
          <w:p>
            <w:pPr>
              <w:pStyle w:val="19"/>
              <w:spacing w:before="76"/>
              <w:ind w:left="396" w:right="381"/>
              <w:rPr>
                <w:rFonts w:ascii="Times New Roman"/>
                <w:sz w:val="21"/>
              </w:rPr>
            </w:pPr>
            <w:r>
              <w:rPr>
                <w:rFonts w:ascii="Times New Roman"/>
                <w:sz w:val="21"/>
              </w:rPr>
              <w:t>30</w:t>
            </w:r>
          </w:p>
        </w:tc>
        <w:tc>
          <w:tcPr>
            <w:tcW w:w="2335" w:type="dxa"/>
            <w:tcBorders>
              <w:top w:val="single" w:color="000000" w:sz="4" w:space="0"/>
              <w:left w:val="single" w:color="000000" w:sz="4" w:space="0"/>
              <w:bottom w:val="single" w:color="000000" w:sz="4" w:space="0"/>
              <w:right w:val="single" w:color="000000" w:sz="4" w:space="0"/>
            </w:tcBorders>
          </w:tcPr>
          <w:p>
            <w:pPr>
              <w:pStyle w:val="19"/>
              <w:spacing w:before="76"/>
              <w:ind w:left="147" w:right="127"/>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9"/>
              <w:spacing w:before="76"/>
              <w:ind w:left="633" w:right="614"/>
              <w:rPr>
                <w:rFonts w:ascii="Times New Roman"/>
                <w:sz w:val="21"/>
              </w:rPr>
            </w:pPr>
            <w:r>
              <w:rPr>
                <w:rFonts w:ascii="Times New Roman"/>
                <w:sz w:val="21"/>
              </w:rPr>
              <w:t>150</w:t>
            </w:r>
          </w:p>
        </w:tc>
        <w:tc>
          <w:tcPr>
            <w:tcW w:w="2346" w:type="dxa"/>
            <w:tcBorders>
              <w:top w:val="single" w:color="000000" w:sz="4" w:space="0"/>
              <w:left w:val="single" w:color="000000" w:sz="4" w:space="0"/>
              <w:bottom w:val="single" w:color="000000" w:sz="4" w:space="0"/>
            </w:tcBorders>
          </w:tcPr>
          <w:p>
            <w:pPr>
              <w:pStyle w:val="19"/>
              <w:spacing w:before="76"/>
              <w:ind w:left="509" w:right="485"/>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top w:val="single" w:color="000000" w:sz="4" w:space="0"/>
              <w:bottom w:val="single" w:color="000000" w:sz="4" w:space="0"/>
              <w:right w:val="single" w:color="000000" w:sz="4" w:space="0"/>
            </w:tcBorders>
          </w:tcPr>
          <w:p>
            <w:pPr>
              <w:pStyle w:val="19"/>
              <w:spacing w:before="77"/>
              <w:ind w:left="396" w:right="381"/>
              <w:rPr>
                <w:rFonts w:ascii="Times New Roman"/>
                <w:sz w:val="21"/>
              </w:rPr>
            </w:pPr>
            <w:r>
              <w:rPr>
                <w:rFonts w:ascii="Times New Roman"/>
                <w:sz w:val="21"/>
              </w:rPr>
              <w:t>40</w:t>
            </w:r>
          </w:p>
        </w:tc>
        <w:tc>
          <w:tcPr>
            <w:tcW w:w="2335" w:type="dxa"/>
            <w:tcBorders>
              <w:top w:val="single" w:color="000000" w:sz="4" w:space="0"/>
              <w:left w:val="single" w:color="000000" w:sz="4" w:space="0"/>
              <w:bottom w:val="single" w:color="000000" w:sz="4" w:space="0"/>
              <w:right w:val="single" w:color="000000" w:sz="4" w:space="0"/>
            </w:tcBorders>
          </w:tcPr>
          <w:p>
            <w:pPr>
              <w:pStyle w:val="19"/>
              <w:spacing w:before="77"/>
              <w:ind w:left="147" w:right="127"/>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9"/>
              <w:spacing w:before="77"/>
              <w:ind w:left="633" w:right="614"/>
              <w:rPr>
                <w:rFonts w:ascii="Times New Roman"/>
                <w:sz w:val="21"/>
              </w:rPr>
            </w:pPr>
            <w:r>
              <w:rPr>
                <w:rFonts w:ascii="Times New Roman"/>
                <w:sz w:val="21"/>
              </w:rPr>
              <w:t>200</w:t>
            </w:r>
          </w:p>
        </w:tc>
        <w:tc>
          <w:tcPr>
            <w:tcW w:w="2346" w:type="dxa"/>
            <w:tcBorders>
              <w:top w:val="single" w:color="000000" w:sz="4" w:space="0"/>
              <w:left w:val="single" w:color="000000" w:sz="4" w:space="0"/>
              <w:bottom w:val="single" w:color="000000" w:sz="4" w:space="0"/>
            </w:tcBorders>
          </w:tcPr>
          <w:p>
            <w:pPr>
              <w:pStyle w:val="19"/>
              <w:spacing w:before="77"/>
              <w:ind w:left="509" w:right="485"/>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302" w:type="dxa"/>
            <w:tcBorders>
              <w:top w:val="single" w:color="000000" w:sz="4" w:space="0"/>
              <w:bottom w:val="single" w:color="000000" w:sz="4" w:space="0"/>
              <w:right w:val="single" w:color="000000" w:sz="4" w:space="0"/>
            </w:tcBorders>
          </w:tcPr>
          <w:p>
            <w:pPr>
              <w:pStyle w:val="19"/>
              <w:spacing w:before="75"/>
              <w:ind w:left="396" w:right="381"/>
              <w:rPr>
                <w:rFonts w:ascii="Times New Roman"/>
                <w:sz w:val="21"/>
              </w:rPr>
            </w:pPr>
            <w:r>
              <w:rPr>
                <w:rFonts w:ascii="Times New Roman"/>
                <w:sz w:val="21"/>
              </w:rPr>
              <w:t>50</w:t>
            </w:r>
          </w:p>
        </w:tc>
        <w:tc>
          <w:tcPr>
            <w:tcW w:w="2335" w:type="dxa"/>
            <w:tcBorders>
              <w:top w:val="single" w:color="000000" w:sz="4" w:space="0"/>
              <w:left w:val="single" w:color="000000" w:sz="4" w:space="0"/>
              <w:bottom w:val="single" w:color="000000" w:sz="4" w:space="0"/>
              <w:right w:val="single" w:color="000000" w:sz="4" w:space="0"/>
            </w:tcBorders>
          </w:tcPr>
          <w:p>
            <w:pPr>
              <w:pStyle w:val="19"/>
              <w:spacing w:before="75"/>
              <w:ind w:left="147" w:right="127"/>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9"/>
              <w:spacing w:before="75"/>
              <w:ind w:left="633" w:right="614"/>
              <w:rPr>
                <w:rFonts w:ascii="Times New Roman"/>
                <w:sz w:val="21"/>
              </w:rPr>
            </w:pPr>
            <w:r>
              <w:rPr>
                <w:rFonts w:ascii="Times New Roman"/>
                <w:sz w:val="21"/>
              </w:rPr>
              <w:t>250</w:t>
            </w:r>
          </w:p>
        </w:tc>
        <w:tc>
          <w:tcPr>
            <w:tcW w:w="2346" w:type="dxa"/>
            <w:tcBorders>
              <w:top w:val="single" w:color="000000" w:sz="4" w:space="0"/>
              <w:left w:val="single" w:color="000000" w:sz="4" w:space="0"/>
              <w:bottom w:val="single" w:color="000000" w:sz="4" w:space="0"/>
            </w:tcBorders>
          </w:tcPr>
          <w:p>
            <w:pPr>
              <w:pStyle w:val="19"/>
              <w:spacing w:before="75"/>
              <w:ind w:left="509" w:right="485"/>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top w:val="single" w:color="000000" w:sz="4" w:space="0"/>
              <w:bottom w:val="single" w:color="000000" w:sz="4" w:space="0"/>
              <w:right w:val="single" w:color="000000" w:sz="4" w:space="0"/>
            </w:tcBorders>
          </w:tcPr>
          <w:p>
            <w:pPr>
              <w:pStyle w:val="19"/>
              <w:spacing w:before="76"/>
              <w:ind w:left="396" w:right="381"/>
              <w:rPr>
                <w:rFonts w:ascii="Times New Roman"/>
                <w:sz w:val="21"/>
              </w:rPr>
            </w:pPr>
            <w:r>
              <w:rPr>
                <w:rFonts w:ascii="Times New Roman"/>
                <w:sz w:val="21"/>
              </w:rPr>
              <w:t>60</w:t>
            </w:r>
          </w:p>
        </w:tc>
        <w:tc>
          <w:tcPr>
            <w:tcW w:w="2335" w:type="dxa"/>
            <w:tcBorders>
              <w:top w:val="single" w:color="000000" w:sz="4" w:space="0"/>
              <w:left w:val="single" w:color="000000" w:sz="4" w:space="0"/>
              <w:bottom w:val="single" w:color="000000" w:sz="4" w:space="0"/>
              <w:right w:val="single" w:color="000000" w:sz="4" w:space="0"/>
            </w:tcBorders>
          </w:tcPr>
          <w:p>
            <w:pPr>
              <w:pStyle w:val="19"/>
              <w:spacing w:before="76"/>
              <w:ind w:left="147" w:right="127"/>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9"/>
              <w:spacing w:before="76"/>
              <w:ind w:left="633" w:right="614"/>
              <w:rPr>
                <w:rFonts w:ascii="Times New Roman"/>
                <w:sz w:val="21"/>
              </w:rPr>
            </w:pPr>
            <w:r>
              <w:rPr>
                <w:rFonts w:ascii="Times New Roman"/>
                <w:sz w:val="21"/>
              </w:rPr>
              <w:t>300</w:t>
            </w:r>
          </w:p>
        </w:tc>
        <w:tc>
          <w:tcPr>
            <w:tcW w:w="2346" w:type="dxa"/>
            <w:tcBorders>
              <w:top w:val="single" w:color="000000" w:sz="4" w:space="0"/>
              <w:left w:val="single" w:color="000000" w:sz="4" w:space="0"/>
              <w:bottom w:val="single" w:color="000000" w:sz="4" w:space="0"/>
            </w:tcBorders>
          </w:tcPr>
          <w:p>
            <w:pPr>
              <w:pStyle w:val="19"/>
              <w:spacing w:before="76"/>
              <w:ind w:left="509" w:right="485"/>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top w:val="single" w:color="000000" w:sz="4" w:space="0"/>
              <w:bottom w:val="single" w:color="000000" w:sz="4" w:space="0"/>
              <w:right w:val="single" w:color="000000" w:sz="4" w:space="0"/>
            </w:tcBorders>
          </w:tcPr>
          <w:p>
            <w:pPr>
              <w:pStyle w:val="19"/>
              <w:spacing w:before="75"/>
              <w:ind w:left="396" w:right="381"/>
              <w:rPr>
                <w:rFonts w:ascii="Times New Roman"/>
                <w:sz w:val="21"/>
              </w:rPr>
            </w:pPr>
            <w:r>
              <w:rPr>
                <w:rFonts w:ascii="Times New Roman"/>
                <w:sz w:val="21"/>
              </w:rPr>
              <w:t>70</w:t>
            </w:r>
          </w:p>
        </w:tc>
        <w:tc>
          <w:tcPr>
            <w:tcW w:w="2335" w:type="dxa"/>
            <w:tcBorders>
              <w:top w:val="single" w:color="000000" w:sz="4" w:space="0"/>
              <w:left w:val="single" w:color="000000" w:sz="4" w:space="0"/>
              <w:bottom w:val="single" w:color="000000" w:sz="4" w:space="0"/>
              <w:right w:val="single" w:color="000000" w:sz="4" w:space="0"/>
            </w:tcBorders>
          </w:tcPr>
          <w:p>
            <w:pPr>
              <w:pStyle w:val="19"/>
              <w:spacing w:before="75"/>
              <w:ind w:left="147" w:right="127"/>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9"/>
              <w:spacing w:before="75"/>
              <w:ind w:left="633" w:right="614"/>
              <w:rPr>
                <w:rFonts w:ascii="Times New Roman"/>
                <w:sz w:val="21"/>
              </w:rPr>
            </w:pPr>
            <w:r>
              <w:rPr>
                <w:rFonts w:ascii="Times New Roman"/>
                <w:sz w:val="21"/>
              </w:rPr>
              <w:t>350</w:t>
            </w:r>
          </w:p>
        </w:tc>
        <w:tc>
          <w:tcPr>
            <w:tcW w:w="2346" w:type="dxa"/>
            <w:tcBorders>
              <w:top w:val="single" w:color="000000" w:sz="4" w:space="0"/>
              <w:left w:val="single" w:color="000000" w:sz="4" w:space="0"/>
              <w:bottom w:val="single" w:color="000000" w:sz="4" w:space="0"/>
            </w:tcBorders>
          </w:tcPr>
          <w:p>
            <w:pPr>
              <w:pStyle w:val="19"/>
              <w:spacing w:before="75"/>
              <w:ind w:left="509" w:right="485"/>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2302" w:type="dxa"/>
            <w:tcBorders>
              <w:top w:val="single" w:color="000000" w:sz="4" w:space="0"/>
              <w:right w:val="single" w:color="000000" w:sz="4" w:space="0"/>
            </w:tcBorders>
          </w:tcPr>
          <w:p>
            <w:pPr>
              <w:pStyle w:val="19"/>
              <w:spacing w:before="76"/>
              <w:ind w:left="396" w:right="381"/>
              <w:rPr>
                <w:rFonts w:ascii="Times New Roman"/>
                <w:sz w:val="21"/>
              </w:rPr>
            </w:pPr>
            <w:r>
              <w:rPr>
                <w:rFonts w:ascii="Times New Roman"/>
                <w:sz w:val="21"/>
              </w:rPr>
              <w:t>80</w:t>
            </w:r>
          </w:p>
        </w:tc>
        <w:tc>
          <w:tcPr>
            <w:tcW w:w="2335" w:type="dxa"/>
            <w:tcBorders>
              <w:top w:val="single" w:color="000000" w:sz="4" w:space="0"/>
              <w:left w:val="single" w:color="000000" w:sz="4" w:space="0"/>
              <w:right w:val="single" w:color="000000" w:sz="4" w:space="0"/>
            </w:tcBorders>
          </w:tcPr>
          <w:p>
            <w:pPr>
              <w:pStyle w:val="19"/>
              <w:spacing w:before="76"/>
              <w:ind w:left="147" w:right="127"/>
              <w:rPr>
                <w:rFonts w:ascii="Times New Roman"/>
                <w:sz w:val="21"/>
              </w:rPr>
            </w:pPr>
            <w:r>
              <w:rPr>
                <w:rFonts w:ascii="Times New Roman"/>
                <w:sz w:val="21"/>
              </w:rPr>
              <w:t>0.00</w:t>
            </w:r>
          </w:p>
        </w:tc>
        <w:tc>
          <w:tcPr>
            <w:tcW w:w="2303" w:type="dxa"/>
            <w:tcBorders>
              <w:top w:val="single" w:color="000000" w:sz="4" w:space="0"/>
              <w:left w:val="single" w:color="000000" w:sz="4" w:space="0"/>
              <w:right w:val="single" w:color="000000" w:sz="4" w:space="0"/>
            </w:tcBorders>
          </w:tcPr>
          <w:p>
            <w:pPr>
              <w:pStyle w:val="19"/>
              <w:spacing w:before="76"/>
              <w:ind w:left="633" w:right="614"/>
              <w:rPr>
                <w:rFonts w:ascii="Times New Roman"/>
                <w:sz w:val="21"/>
              </w:rPr>
            </w:pPr>
            <w:r>
              <w:rPr>
                <w:rFonts w:ascii="Times New Roman"/>
                <w:sz w:val="21"/>
              </w:rPr>
              <w:t>400</w:t>
            </w:r>
          </w:p>
        </w:tc>
        <w:tc>
          <w:tcPr>
            <w:tcW w:w="2346" w:type="dxa"/>
            <w:tcBorders>
              <w:top w:val="single" w:color="000000" w:sz="4" w:space="0"/>
              <w:left w:val="single" w:color="000000" w:sz="4" w:space="0"/>
            </w:tcBorders>
          </w:tcPr>
          <w:p>
            <w:pPr>
              <w:pStyle w:val="19"/>
              <w:spacing w:before="76"/>
              <w:ind w:left="509" w:right="485"/>
              <w:rPr>
                <w:rFonts w:ascii="Times New Roman"/>
                <w:sz w:val="21"/>
              </w:rPr>
            </w:pPr>
            <w:r>
              <w:rPr>
                <w:rFonts w:ascii="Times New Roman"/>
                <w:sz w:val="21"/>
              </w:rPr>
              <w:t>0.00</w:t>
            </w:r>
          </w:p>
        </w:tc>
      </w:tr>
    </w:tbl>
    <w:p>
      <w:pPr>
        <w:spacing w:after="0"/>
        <w:rPr>
          <w:rFonts w:ascii="Times New Roman"/>
          <w:sz w:val="21"/>
        </w:rPr>
        <w:sectPr>
          <w:type w:val="continuous"/>
          <w:pgSz w:w="11910" w:h="16840"/>
          <w:pgMar w:top="1580" w:right="0" w:bottom="280" w:left="0" w:header="720" w:footer="720" w:gutter="0"/>
        </w:sectPr>
      </w:pP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02"/>
        <w:gridCol w:w="2335"/>
        <w:gridCol w:w="2303"/>
        <w:gridCol w:w="23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bottom w:val="single" w:color="000000" w:sz="4" w:space="0"/>
              <w:right w:val="single" w:color="000000" w:sz="4" w:space="0"/>
            </w:tcBorders>
          </w:tcPr>
          <w:p>
            <w:pPr>
              <w:pStyle w:val="19"/>
              <w:spacing w:before="76"/>
              <w:ind w:left="396" w:right="381"/>
              <w:rPr>
                <w:rFonts w:ascii="Times New Roman"/>
                <w:sz w:val="21"/>
              </w:rPr>
            </w:pPr>
            <w:r>
              <w:rPr>
                <w:rFonts w:ascii="Times New Roman"/>
                <w:sz w:val="21"/>
              </w:rPr>
              <w:t>90</w:t>
            </w:r>
          </w:p>
        </w:tc>
        <w:tc>
          <w:tcPr>
            <w:tcW w:w="2335" w:type="dxa"/>
            <w:tcBorders>
              <w:left w:val="single" w:color="000000" w:sz="4" w:space="0"/>
              <w:bottom w:val="single" w:color="000000" w:sz="4" w:space="0"/>
              <w:right w:val="single" w:color="000000" w:sz="4" w:space="0"/>
            </w:tcBorders>
          </w:tcPr>
          <w:p>
            <w:pPr>
              <w:pStyle w:val="19"/>
              <w:spacing w:before="76"/>
              <w:ind w:left="147" w:right="127"/>
              <w:rPr>
                <w:rFonts w:ascii="Times New Roman"/>
                <w:sz w:val="21"/>
              </w:rPr>
            </w:pPr>
            <w:r>
              <w:rPr>
                <w:rFonts w:ascii="Times New Roman"/>
                <w:sz w:val="21"/>
              </w:rPr>
              <w:t>0.00</w:t>
            </w:r>
          </w:p>
        </w:tc>
        <w:tc>
          <w:tcPr>
            <w:tcW w:w="2303" w:type="dxa"/>
            <w:tcBorders>
              <w:left w:val="single" w:color="000000" w:sz="4" w:space="0"/>
              <w:bottom w:val="single" w:color="000000" w:sz="4" w:space="0"/>
              <w:right w:val="single" w:color="000000" w:sz="4" w:space="0"/>
            </w:tcBorders>
          </w:tcPr>
          <w:p>
            <w:pPr>
              <w:pStyle w:val="19"/>
              <w:spacing w:before="76"/>
              <w:ind w:right="976"/>
              <w:jc w:val="right"/>
              <w:rPr>
                <w:rFonts w:ascii="Times New Roman"/>
                <w:sz w:val="21"/>
              </w:rPr>
            </w:pPr>
            <w:r>
              <w:rPr>
                <w:rFonts w:ascii="Times New Roman"/>
                <w:sz w:val="21"/>
              </w:rPr>
              <w:t>450</w:t>
            </w:r>
          </w:p>
        </w:tc>
        <w:tc>
          <w:tcPr>
            <w:tcW w:w="2346" w:type="dxa"/>
            <w:tcBorders>
              <w:left w:val="single" w:color="000000" w:sz="4" w:space="0"/>
              <w:bottom w:val="single" w:color="000000" w:sz="4" w:space="0"/>
            </w:tcBorders>
          </w:tcPr>
          <w:p>
            <w:pPr>
              <w:pStyle w:val="19"/>
              <w:spacing w:before="76"/>
              <w:ind w:right="968"/>
              <w:jc w:val="right"/>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302" w:type="dxa"/>
            <w:tcBorders>
              <w:top w:val="single" w:color="000000" w:sz="4" w:space="0"/>
              <w:right w:val="single" w:color="000000" w:sz="4" w:space="0"/>
            </w:tcBorders>
          </w:tcPr>
          <w:p>
            <w:pPr>
              <w:pStyle w:val="19"/>
              <w:spacing w:before="77"/>
              <w:ind w:left="396" w:right="381"/>
              <w:rPr>
                <w:rFonts w:ascii="Times New Roman"/>
                <w:sz w:val="21"/>
              </w:rPr>
            </w:pPr>
            <w:r>
              <w:rPr>
                <w:rFonts w:ascii="Times New Roman"/>
                <w:sz w:val="21"/>
              </w:rPr>
              <w:t>100</w:t>
            </w:r>
          </w:p>
        </w:tc>
        <w:tc>
          <w:tcPr>
            <w:tcW w:w="2335" w:type="dxa"/>
            <w:tcBorders>
              <w:top w:val="single" w:color="000000" w:sz="4" w:space="0"/>
              <w:left w:val="single" w:color="000000" w:sz="4" w:space="0"/>
              <w:right w:val="single" w:color="000000" w:sz="4" w:space="0"/>
            </w:tcBorders>
          </w:tcPr>
          <w:p>
            <w:pPr>
              <w:pStyle w:val="19"/>
              <w:spacing w:before="77"/>
              <w:ind w:left="147" w:right="127"/>
              <w:rPr>
                <w:rFonts w:ascii="Times New Roman"/>
                <w:sz w:val="21"/>
              </w:rPr>
            </w:pPr>
            <w:r>
              <w:rPr>
                <w:rFonts w:ascii="Times New Roman"/>
                <w:sz w:val="21"/>
              </w:rPr>
              <w:t>0.00</w:t>
            </w:r>
          </w:p>
        </w:tc>
        <w:tc>
          <w:tcPr>
            <w:tcW w:w="2303" w:type="dxa"/>
            <w:tcBorders>
              <w:top w:val="single" w:color="000000" w:sz="4" w:space="0"/>
              <w:left w:val="single" w:color="000000" w:sz="4" w:space="0"/>
              <w:right w:val="single" w:color="000000" w:sz="4" w:space="0"/>
            </w:tcBorders>
          </w:tcPr>
          <w:p>
            <w:pPr>
              <w:pStyle w:val="19"/>
              <w:spacing w:before="77"/>
              <w:ind w:right="976"/>
              <w:jc w:val="right"/>
              <w:rPr>
                <w:rFonts w:ascii="Times New Roman"/>
                <w:sz w:val="21"/>
              </w:rPr>
            </w:pPr>
            <w:r>
              <w:rPr>
                <w:rFonts w:ascii="Times New Roman"/>
                <w:sz w:val="21"/>
              </w:rPr>
              <w:t>500</w:t>
            </w:r>
          </w:p>
        </w:tc>
        <w:tc>
          <w:tcPr>
            <w:tcW w:w="2346" w:type="dxa"/>
            <w:tcBorders>
              <w:top w:val="single" w:color="000000" w:sz="4" w:space="0"/>
              <w:left w:val="single" w:color="000000" w:sz="4" w:space="0"/>
            </w:tcBorders>
          </w:tcPr>
          <w:p>
            <w:pPr>
              <w:pStyle w:val="19"/>
              <w:spacing w:before="77"/>
              <w:ind w:right="968"/>
              <w:jc w:val="right"/>
              <w:rPr>
                <w:rFonts w:ascii="Times New Roman"/>
                <w:sz w:val="21"/>
              </w:rPr>
            </w:pPr>
            <w:r>
              <w:rPr>
                <w:rFonts w:ascii="Times New Roman"/>
                <w:sz w:val="21"/>
              </w:rPr>
              <w:t>0.00</w:t>
            </w:r>
          </w:p>
        </w:tc>
      </w:tr>
    </w:tbl>
    <w:p>
      <w:pPr>
        <w:pStyle w:val="9"/>
        <w:spacing w:before="3" w:line="364" w:lineRule="auto"/>
        <w:ind w:left="1418" w:right="1353" w:firstLine="480"/>
      </w:pPr>
      <w:r>
        <w:rPr>
          <w:spacing w:val="-6"/>
        </w:rPr>
        <w:t>由上表可知，在正常情况下，区域地下水流动缓慢，如污染物渗入地下水，污染物随地下水迁移速度较慢，</w:t>
      </w:r>
      <w:r>
        <w:rPr>
          <w:rFonts w:ascii="Times New Roman" w:eastAsia="Times New Roman"/>
          <w:spacing w:val="-6"/>
        </w:rPr>
        <w:t>100</w:t>
      </w:r>
      <w:r>
        <w:rPr>
          <w:spacing w:val="-6"/>
        </w:rPr>
        <w:t>天时，预测超标距离为</w:t>
      </w:r>
      <w:r>
        <w:rPr>
          <w:rFonts w:ascii="Times New Roman" w:eastAsia="Times New Roman"/>
          <w:spacing w:val="-6"/>
        </w:rPr>
        <w:t>17m</w:t>
      </w:r>
      <w:r>
        <w:rPr>
          <w:spacing w:val="-6"/>
        </w:rPr>
        <w:t>，影响距离为</w:t>
      </w:r>
      <w:r>
        <w:rPr>
          <w:rFonts w:ascii="Times New Roman" w:eastAsia="Times New Roman"/>
          <w:spacing w:val="-6"/>
        </w:rPr>
        <w:t>24m</w:t>
      </w:r>
      <w:r>
        <w:rPr>
          <w:spacing w:val="-6"/>
        </w:rPr>
        <w:t>；</w:t>
      </w:r>
      <w:r>
        <w:rPr>
          <w:rFonts w:ascii="Times New Roman" w:eastAsia="Times New Roman"/>
          <w:spacing w:val="-6"/>
        </w:rPr>
        <w:t>1000</w:t>
      </w:r>
      <w:r>
        <w:rPr>
          <w:spacing w:val="-10"/>
        </w:rPr>
        <w:t xml:space="preserve">天时， </w:t>
      </w:r>
      <w:r>
        <w:t>预测超标距离为</w:t>
      </w:r>
      <w:r>
        <w:rPr>
          <w:rFonts w:ascii="Times New Roman" w:eastAsia="Times New Roman"/>
        </w:rPr>
        <w:t>65m</w:t>
      </w:r>
      <w:r>
        <w:t>，影响距离为</w:t>
      </w:r>
      <w:r>
        <w:rPr>
          <w:rFonts w:ascii="Times New Roman" w:eastAsia="Times New Roman"/>
        </w:rPr>
        <w:t>85m</w:t>
      </w:r>
      <w:r>
        <w:t>，该范围内无地下水敏感目标，不会对周围地下水井产生影响，故对其地下水环境影响较小。</w:t>
      </w:r>
    </w:p>
    <w:p>
      <w:pPr>
        <w:pStyle w:val="18"/>
        <w:numPr>
          <w:ilvl w:val="0"/>
          <w:numId w:val="64"/>
        </w:numPr>
        <w:tabs>
          <w:tab w:val="left" w:pos="2500"/>
        </w:tabs>
        <w:spacing w:before="0" w:after="0" w:line="305" w:lineRule="exact"/>
        <w:ind w:left="2499" w:right="0" w:hanging="602"/>
        <w:jc w:val="left"/>
        <w:rPr>
          <w:sz w:val="24"/>
        </w:rPr>
      </w:pPr>
      <w:r>
        <w:rPr>
          <w:sz w:val="24"/>
        </w:rPr>
        <w:t>非正常情况</w:t>
      </w:r>
    </w:p>
    <w:p>
      <w:pPr>
        <w:pStyle w:val="9"/>
        <w:spacing w:before="158" w:line="364" w:lineRule="auto"/>
        <w:ind w:left="1418" w:right="1411" w:firstLine="480"/>
        <w:jc w:val="both"/>
      </w:pPr>
      <w:r>
        <w:rPr>
          <w:spacing w:val="-4"/>
        </w:rPr>
        <w:t>根据《环境影响评价技术导则地下水环境》</w:t>
      </w:r>
      <w:r>
        <w:t>（</w:t>
      </w:r>
      <w:r>
        <w:rPr>
          <w:rFonts w:ascii="Times New Roman" w:hAnsi="Times New Roman" w:eastAsia="Times New Roman"/>
        </w:rPr>
        <w:t>HJ610-2016</w:t>
      </w:r>
      <w:r>
        <w:t>）</w:t>
      </w:r>
      <w:r>
        <w:rPr>
          <w:spacing w:val="-4"/>
        </w:rPr>
        <w:t>要求，地下水环境影响</w:t>
      </w:r>
      <w:r>
        <w:t>评价三级评价预测方法可以选用解析法。根据本项目地下水的污染特性选用</w:t>
      </w:r>
      <w:r>
        <w:rPr>
          <w:rFonts w:ascii="Times New Roman" w:hAnsi="Times New Roman" w:eastAsia="Times New Roman"/>
        </w:rPr>
        <w:t>“</w:t>
      </w:r>
      <w:r>
        <w:t>一维无限长多孔介质柱体，示踪剂瞬时注入</w:t>
      </w:r>
      <w:r>
        <w:rPr>
          <w:rFonts w:ascii="Times New Roman" w:hAnsi="Times New Roman" w:eastAsia="Times New Roman"/>
        </w:rPr>
        <w:t>”</w:t>
      </w:r>
      <w:r>
        <w:t>，公式如下。</w:t>
      </w:r>
    </w:p>
    <w:p>
      <w:pPr>
        <w:pStyle w:val="9"/>
        <w:spacing w:before="2"/>
        <w:rPr>
          <w:sz w:val="21"/>
        </w:rPr>
      </w:pPr>
      <w:r>
        <w:drawing>
          <wp:anchor distT="0" distB="0" distL="0" distR="0" simplePos="0" relativeHeight="1024" behindDoc="0" locked="0" layoutInCell="1" allowOverlap="1">
            <wp:simplePos x="0" y="0"/>
            <wp:positionH relativeFrom="page">
              <wp:posOffset>2604770</wp:posOffset>
            </wp:positionH>
            <wp:positionV relativeFrom="paragraph">
              <wp:posOffset>196850</wp:posOffset>
            </wp:positionV>
            <wp:extent cx="2501265" cy="643890"/>
            <wp:effectExtent l="0" t="0" r="0" b="0"/>
            <wp:wrapTopAndBottom/>
            <wp:docPr id="4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9.jpeg"/>
                    <pic:cNvPicPr>
                      <a:picLocks noChangeAspect="1"/>
                    </pic:cNvPicPr>
                  </pic:nvPicPr>
                  <pic:blipFill>
                    <a:blip r:embed="rId52" cstate="print"/>
                    <a:stretch>
                      <a:fillRect/>
                    </a:stretch>
                  </pic:blipFill>
                  <pic:spPr>
                    <a:xfrm>
                      <a:off x="0" y="0"/>
                      <a:ext cx="2501352" cy="643889"/>
                    </a:xfrm>
                    <a:prstGeom prst="rect">
                      <a:avLst/>
                    </a:prstGeom>
                  </pic:spPr>
                </pic:pic>
              </a:graphicData>
            </a:graphic>
          </wp:anchor>
        </w:drawing>
      </w:r>
    </w:p>
    <w:p>
      <w:pPr>
        <w:pStyle w:val="9"/>
        <w:spacing w:before="7"/>
        <w:rPr>
          <w:sz w:val="28"/>
        </w:rPr>
      </w:pPr>
    </w:p>
    <w:p>
      <w:pPr>
        <w:spacing w:before="76" w:line="446" w:lineRule="auto"/>
        <w:ind w:left="2450" w:right="7053" w:hanging="507"/>
        <w:jc w:val="left"/>
        <w:rPr>
          <w:sz w:val="21"/>
        </w:rPr>
      </w:pPr>
      <w:r>
        <w:rPr>
          <w:sz w:val="21"/>
        </w:rPr>
        <w:t xml:space="preserve">式中 </w:t>
      </w:r>
      <w:r>
        <w:rPr>
          <w:rFonts w:ascii="Times New Roman" w:hAnsi="Times New Roman" w:eastAsia="Times New Roman"/>
          <w:sz w:val="21"/>
        </w:rPr>
        <w:t>x—</w:t>
      </w:r>
      <w:r>
        <w:rPr>
          <w:sz w:val="21"/>
        </w:rPr>
        <w:t>距注入点的距离，</w:t>
      </w:r>
      <w:r>
        <w:rPr>
          <w:rFonts w:ascii="Times New Roman" w:hAnsi="Times New Roman" w:eastAsia="Times New Roman"/>
          <w:sz w:val="21"/>
        </w:rPr>
        <w:t>m</w:t>
      </w:r>
      <w:r>
        <w:rPr>
          <w:sz w:val="21"/>
        </w:rPr>
        <w:t xml:space="preserve">； </w:t>
      </w:r>
      <w:r>
        <w:rPr>
          <w:rFonts w:ascii="Times New Roman" w:hAnsi="Times New Roman" w:eastAsia="Times New Roman"/>
          <w:sz w:val="21"/>
        </w:rPr>
        <w:t>t—</w:t>
      </w:r>
      <w:r>
        <w:rPr>
          <w:sz w:val="21"/>
        </w:rPr>
        <w:t>时间，</w:t>
      </w:r>
      <w:r>
        <w:rPr>
          <w:rFonts w:ascii="Times New Roman" w:hAnsi="Times New Roman" w:eastAsia="Times New Roman"/>
          <w:sz w:val="21"/>
        </w:rPr>
        <w:t>d</w:t>
      </w:r>
      <w:r>
        <w:rPr>
          <w:sz w:val="21"/>
        </w:rPr>
        <w:t>；</w:t>
      </w:r>
    </w:p>
    <w:p>
      <w:pPr>
        <w:spacing w:before="0"/>
        <w:ind w:left="2450" w:right="0" w:firstLine="0"/>
        <w:jc w:val="left"/>
        <w:rPr>
          <w:sz w:val="21"/>
        </w:rPr>
      </w:pPr>
      <w:r>
        <w:rPr>
          <w:rFonts w:ascii="Times New Roman" w:hAnsi="Times New Roman" w:eastAsia="Times New Roman"/>
          <w:sz w:val="21"/>
        </w:rPr>
        <w:t xml:space="preserve">C—t </w:t>
      </w:r>
      <w:r>
        <w:rPr>
          <w:sz w:val="21"/>
        </w:rPr>
        <w:t xml:space="preserve">时刻 </w:t>
      </w:r>
      <w:r>
        <w:rPr>
          <w:rFonts w:ascii="Times New Roman" w:hAnsi="Times New Roman" w:eastAsia="Times New Roman"/>
          <w:sz w:val="21"/>
        </w:rPr>
        <w:t xml:space="preserve">x </w:t>
      </w:r>
      <w:r>
        <w:rPr>
          <w:sz w:val="21"/>
        </w:rPr>
        <w:t>处的示踪剂浓度，</w:t>
      </w:r>
      <w:r>
        <w:rPr>
          <w:rFonts w:ascii="Times New Roman" w:hAnsi="Times New Roman" w:eastAsia="Times New Roman"/>
          <w:sz w:val="21"/>
        </w:rPr>
        <w:t>g/L</w:t>
      </w:r>
      <w:r>
        <w:rPr>
          <w:sz w:val="21"/>
        </w:rPr>
        <w:t>；</w:t>
      </w:r>
    </w:p>
    <w:p>
      <w:pPr>
        <w:pStyle w:val="9"/>
        <w:rPr>
          <w:sz w:val="18"/>
        </w:rPr>
      </w:pPr>
    </w:p>
    <w:p>
      <w:pPr>
        <w:spacing w:before="0" w:line="446" w:lineRule="auto"/>
        <w:ind w:left="2450" w:right="6756" w:firstLine="0"/>
        <w:jc w:val="left"/>
        <w:rPr>
          <w:sz w:val="21"/>
        </w:rPr>
      </w:pPr>
      <w:r>
        <w:rPr>
          <w:rFonts w:ascii="Times New Roman" w:hAnsi="Times New Roman" w:eastAsia="Times New Roman"/>
          <w:sz w:val="21"/>
        </w:rPr>
        <w:t>m—</w:t>
      </w:r>
      <w:r>
        <w:rPr>
          <w:sz w:val="21"/>
        </w:rPr>
        <w:t>注入的示踪剂质量，</w:t>
      </w:r>
      <w:r>
        <w:rPr>
          <w:rFonts w:ascii="Times New Roman" w:hAnsi="Times New Roman" w:eastAsia="Times New Roman"/>
          <w:sz w:val="21"/>
        </w:rPr>
        <w:t>kg</w:t>
      </w:r>
      <w:r>
        <w:rPr>
          <w:sz w:val="21"/>
        </w:rPr>
        <w:t xml:space="preserve">； </w:t>
      </w:r>
      <w:r>
        <w:rPr>
          <w:rFonts w:ascii="Times New Roman" w:hAnsi="Times New Roman" w:eastAsia="Times New Roman"/>
          <w:sz w:val="21"/>
        </w:rPr>
        <w:t>w—</w:t>
      </w:r>
      <w:r>
        <w:rPr>
          <w:sz w:val="21"/>
        </w:rPr>
        <w:t>横截面面积，</w:t>
      </w:r>
      <w:r>
        <w:rPr>
          <w:rFonts w:ascii="Times New Roman" w:hAnsi="Times New Roman" w:eastAsia="Times New Roman"/>
          <w:sz w:val="21"/>
        </w:rPr>
        <w:t>m</w:t>
      </w:r>
      <w:r>
        <w:rPr>
          <w:rFonts w:ascii="Times New Roman" w:hAnsi="Times New Roman" w:eastAsia="Times New Roman"/>
          <w:position w:val="7"/>
          <w:sz w:val="13"/>
        </w:rPr>
        <w:t>2</w:t>
      </w:r>
      <w:r>
        <w:rPr>
          <w:sz w:val="21"/>
        </w:rPr>
        <w:t>；</w:t>
      </w:r>
    </w:p>
    <w:p>
      <w:pPr>
        <w:spacing w:before="0"/>
        <w:ind w:left="2450" w:right="0" w:firstLine="0"/>
        <w:jc w:val="left"/>
        <w:rPr>
          <w:sz w:val="21"/>
        </w:rPr>
      </w:pPr>
      <w:r>
        <w:rPr>
          <w:rFonts w:ascii="Times New Roman" w:hAnsi="Times New Roman" w:eastAsia="Times New Roman"/>
          <w:sz w:val="21"/>
        </w:rPr>
        <w:t>u—</w:t>
      </w:r>
      <w:r>
        <w:rPr>
          <w:sz w:val="21"/>
        </w:rPr>
        <w:t>水流速度，</w:t>
      </w:r>
      <w:r>
        <w:rPr>
          <w:rFonts w:ascii="Times New Roman" w:hAnsi="Times New Roman" w:eastAsia="Times New Roman"/>
          <w:sz w:val="21"/>
        </w:rPr>
        <w:t>m/d</w:t>
      </w:r>
      <w:r>
        <w:rPr>
          <w:sz w:val="21"/>
        </w:rPr>
        <w:t>；</w:t>
      </w:r>
    </w:p>
    <w:p>
      <w:pPr>
        <w:pStyle w:val="9"/>
        <w:spacing w:before="9"/>
        <w:rPr>
          <w:sz w:val="17"/>
        </w:rPr>
      </w:pPr>
    </w:p>
    <w:p>
      <w:pPr>
        <w:spacing w:before="0"/>
        <w:ind w:left="2450" w:right="0" w:firstLine="0"/>
        <w:jc w:val="left"/>
        <w:rPr>
          <w:sz w:val="21"/>
        </w:rPr>
      </w:pPr>
      <w:r>
        <w:rPr>
          <w:rFonts w:ascii="Times New Roman" w:hAnsi="Times New Roman" w:eastAsia="Times New Roman"/>
          <w:position w:val="2"/>
          <w:sz w:val="21"/>
        </w:rPr>
        <w:t>n</w:t>
      </w:r>
      <w:r>
        <w:rPr>
          <w:rFonts w:ascii="Times New Roman" w:hAnsi="Times New Roman" w:eastAsia="Times New Roman"/>
          <w:position w:val="2"/>
          <w:sz w:val="21"/>
          <w:vertAlign w:val="subscript"/>
        </w:rPr>
        <w:t>e</w:t>
      </w:r>
      <w:r>
        <w:rPr>
          <w:rFonts w:ascii="Times New Roman" w:hAnsi="Times New Roman" w:eastAsia="Times New Roman"/>
          <w:position w:val="2"/>
          <w:sz w:val="21"/>
          <w:vertAlign w:val="baseline"/>
        </w:rPr>
        <w:t>—</w:t>
      </w:r>
      <w:r>
        <w:rPr>
          <w:position w:val="2"/>
          <w:sz w:val="21"/>
          <w:vertAlign w:val="baseline"/>
        </w:rPr>
        <w:t>有效孔隙度，无量纲；</w:t>
      </w:r>
    </w:p>
    <w:p>
      <w:pPr>
        <w:spacing w:before="0" w:line="500" w:lineRule="atLeast"/>
        <w:ind w:left="2450" w:right="6935" w:firstLine="0"/>
        <w:jc w:val="left"/>
        <w:rPr>
          <w:sz w:val="21"/>
        </w:rPr>
      </w:pPr>
      <w:r>
        <w:rPr>
          <w:rFonts w:ascii="Times New Roman" w:hAnsi="Times New Roman" w:eastAsia="Times New Roman"/>
          <w:position w:val="2"/>
          <w:sz w:val="21"/>
        </w:rPr>
        <w:t>D</w:t>
      </w:r>
      <w:r>
        <w:rPr>
          <w:rFonts w:ascii="Times New Roman" w:hAnsi="Times New Roman" w:eastAsia="Times New Roman"/>
          <w:position w:val="2"/>
          <w:sz w:val="21"/>
          <w:vertAlign w:val="subscript"/>
        </w:rPr>
        <w:t>L</w:t>
      </w:r>
      <w:r>
        <w:rPr>
          <w:rFonts w:ascii="Times New Roman" w:hAnsi="Times New Roman" w:eastAsia="Times New Roman"/>
          <w:position w:val="2"/>
          <w:sz w:val="21"/>
          <w:vertAlign w:val="baseline"/>
        </w:rPr>
        <w:t>—</w:t>
      </w:r>
      <w:r>
        <w:rPr>
          <w:position w:val="2"/>
          <w:sz w:val="21"/>
          <w:vertAlign w:val="baseline"/>
        </w:rPr>
        <w:t>纵向弥散系数，</w:t>
      </w:r>
      <w:r>
        <w:rPr>
          <w:rFonts w:ascii="Times New Roman" w:hAnsi="Times New Roman" w:eastAsia="Times New Roman"/>
          <w:position w:val="2"/>
          <w:sz w:val="21"/>
          <w:vertAlign w:val="baseline"/>
        </w:rPr>
        <w:t>m</w:t>
      </w:r>
      <w:r>
        <w:rPr>
          <w:rFonts w:ascii="Times New Roman" w:hAnsi="Times New Roman" w:eastAsia="Times New Roman"/>
          <w:position w:val="2"/>
          <w:sz w:val="21"/>
          <w:vertAlign w:val="superscript"/>
        </w:rPr>
        <w:t>2</w:t>
      </w:r>
      <w:r>
        <w:rPr>
          <w:rFonts w:ascii="Times New Roman" w:hAnsi="Times New Roman" w:eastAsia="Times New Roman"/>
          <w:position w:val="2"/>
          <w:sz w:val="21"/>
          <w:vertAlign w:val="baseline"/>
        </w:rPr>
        <w:t>/d</w:t>
      </w:r>
      <w:r>
        <w:rPr>
          <w:position w:val="2"/>
          <w:sz w:val="21"/>
          <w:vertAlign w:val="baseline"/>
        </w:rPr>
        <w:t xml:space="preserve">； </w:t>
      </w:r>
      <w:r>
        <w:rPr>
          <w:rFonts w:ascii="Times New Roman" w:hAnsi="Times New Roman" w:eastAsia="Times New Roman"/>
          <w:sz w:val="21"/>
          <w:vertAlign w:val="baseline"/>
        </w:rPr>
        <w:t>π—</w:t>
      </w:r>
      <w:r>
        <w:rPr>
          <w:sz w:val="21"/>
          <w:vertAlign w:val="baseline"/>
        </w:rPr>
        <w:t>圆周率。</w:t>
      </w:r>
    </w:p>
    <w:p>
      <w:pPr>
        <w:pStyle w:val="9"/>
        <w:spacing w:before="39"/>
        <w:ind w:left="1838"/>
      </w:pPr>
      <w:r>
        <w:rPr>
          <w:sz w:val="21"/>
        </w:rPr>
        <w:t>本</w:t>
      </w:r>
      <w:r>
        <w:t>项目潜水层主要为砂土，渗透系数参照《环境影响评价技术导则</w:t>
      </w:r>
      <w:r>
        <w:rPr>
          <w:rFonts w:ascii="Times New Roman" w:hAnsi="Times New Roman" w:eastAsia="Times New Roman"/>
        </w:rPr>
        <w:t>—</w:t>
      </w:r>
      <w:r>
        <w:t>地下水环境》</w:t>
      </w:r>
    </w:p>
    <w:p>
      <w:pPr>
        <w:pStyle w:val="9"/>
        <w:spacing w:before="155" w:line="364" w:lineRule="auto"/>
        <w:ind w:left="1418" w:right="1411"/>
        <w:jc w:val="both"/>
      </w:pPr>
      <w:r>
        <w:rPr>
          <w:position w:val="2"/>
        </w:rPr>
        <w:t>（</w:t>
      </w:r>
      <w:r>
        <w:rPr>
          <w:rFonts w:ascii="Times New Roman" w:hAnsi="Times New Roman" w:eastAsia="Times New Roman"/>
          <w:position w:val="2"/>
        </w:rPr>
        <w:t>HJ610-2016</w:t>
      </w:r>
      <w:r>
        <w:rPr>
          <w:position w:val="2"/>
        </w:rPr>
        <w:t>）</w:t>
      </w:r>
      <w:r>
        <w:rPr>
          <w:spacing w:val="-22"/>
          <w:position w:val="2"/>
        </w:rPr>
        <w:t xml:space="preserve">附录 </w:t>
      </w:r>
      <w:r>
        <w:rPr>
          <w:rFonts w:ascii="Times New Roman" w:hAnsi="Times New Roman" w:eastAsia="Times New Roman"/>
          <w:position w:val="2"/>
        </w:rPr>
        <w:t xml:space="preserve">B1 </w:t>
      </w:r>
      <w:r>
        <w:rPr>
          <w:spacing w:val="-10"/>
          <w:position w:val="2"/>
        </w:rPr>
        <w:t xml:space="preserve">中的沙土，取值为 </w:t>
      </w:r>
      <w:r>
        <w:rPr>
          <w:rFonts w:ascii="Times New Roman" w:hAnsi="Times New Roman" w:eastAsia="Times New Roman"/>
          <w:spacing w:val="-3"/>
          <w:position w:val="2"/>
        </w:rPr>
        <w:t>1.5m/d</w:t>
      </w:r>
      <w:r>
        <w:rPr>
          <w:spacing w:val="3"/>
          <w:position w:val="2"/>
        </w:rPr>
        <w:t>，有效孔隙度取经验值</w:t>
      </w:r>
      <w:r>
        <w:rPr>
          <w:rFonts w:ascii="Times New Roman" w:hAnsi="Times New Roman" w:eastAsia="Times New Roman"/>
          <w:position w:val="2"/>
        </w:rPr>
        <w:t>n</w:t>
      </w:r>
      <w:r>
        <w:rPr>
          <w:rFonts w:ascii="Times New Roman" w:hAnsi="Times New Roman" w:eastAsia="Times New Roman"/>
          <w:position w:val="2"/>
          <w:vertAlign w:val="subscript"/>
        </w:rPr>
        <w:t>e</w:t>
      </w:r>
      <w:r>
        <w:rPr>
          <w:rFonts w:ascii="Times New Roman" w:hAnsi="Times New Roman" w:eastAsia="Times New Roman"/>
          <w:position w:val="2"/>
          <w:vertAlign w:val="baseline"/>
        </w:rPr>
        <w:t>=0.30</w:t>
      </w:r>
      <w:r>
        <w:rPr>
          <w:spacing w:val="-5"/>
          <w:position w:val="2"/>
          <w:vertAlign w:val="baseline"/>
        </w:rPr>
        <w:t>，水力</w:t>
      </w:r>
      <w:r>
        <w:rPr>
          <w:spacing w:val="-16"/>
          <w:vertAlign w:val="baseline"/>
        </w:rPr>
        <w:t xml:space="preserve">坡度取 </w:t>
      </w:r>
      <w:r>
        <w:rPr>
          <w:rFonts w:ascii="Times New Roman" w:hAnsi="Times New Roman" w:eastAsia="Times New Roman"/>
          <w:vertAlign w:val="baseline"/>
        </w:rPr>
        <w:t>I=3‰</w:t>
      </w:r>
      <w:r>
        <w:rPr>
          <w:spacing w:val="-8"/>
          <w:vertAlign w:val="baseline"/>
        </w:rPr>
        <w:t xml:space="preserve">，根据达西定律 </w:t>
      </w:r>
      <w:r>
        <w:rPr>
          <w:rFonts w:ascii="Times New Roman" w:hAnsi="Times New Roman" w:eastAsia="Times New Roman"/>
          <w:vertAlign w:val="baseline"/>
        </w:rPr>
        <w:t>u=</w:t>
      </w:r>
      <w:r>
        <w:rPr>
          <w:vertAlign w:val="baseline"/>
        </w:rPr>
        <w:t>渗透系数</w:t>
      </w:r>
      <w:r>
        <w:rPr>
          <w:rFonts w:ascii="Times New Roman" w:hAnsi="Times New Roman" w:eastAsia="Times New Roman"/>
          <w:vertAlign w:val="baseline"/>
        </w:rPr>
        <w:t>×</w:t>
      </w:r>
      <w:r>
        <w:rPr>
          <w:vertAlign w:val="baseline"/>
        </w:rPr>
        <w:t>地下水水力坡度</w:t>
      </w:r>
      <w:r>
        <w:rPr>
          <w:rFonts w:ascii="Times New Roman" w:hAnsi="Times New Roman" w:eastAsia="Times New Roman"/>
          <w:vertAlign w:val="baseline"/>
        </w:rPr>
        <w:t>/</w:t>
      </w:r>
      <w:r>
        <w:rPr>
          <w:spacing w:val="-2"/>
          <w:vertAlign w:val="baseline"/>
        </w:rPr>
        <w:t>有效孔隙度，计算可得流速</w:t>
      </w:r>
      <w:r>
        <w:rPr>
          <w:spacing w:val="-31"/>
          <w:vertAlign w:val="baseline"/>
        </w:rPr>
        <w:t xml:space="preserve">为 </w:t>
      </w:r>
      <w:r>
        <w:rPr>
          <w:rFonts w:ascii="Times New Roman" w:hAnsi="Times New Roman" w:eastAsia="Times New Roman"/>
          <w:vertAlign w:val="baseline"/>
        </w:rPr>
        <w:t>0.015m/d</w:t>
      </w:r>
      <w:r>
        <w:rPr>
          <w:spacing w:val="-5"/>
          <w:vertAlign w:val="baseline"/>
        </w:rPr>
        <w:t xml:space="preserve">，弥散系数根据经验值取 </w:t>
      </w:r>
      <w:r>
        <w:rPr>
          <w:rFonts w:ascii="Times New Roman" w:hAnsi="Times New Roman" w:eastAsia="Times New Roman"/>
          <w:vertAlign w:val="baseline"/>
        </w:rPr>
        <w:t>0.2m</w:t>
      </w:r>
      <w:r>
        <w:rPr>
          <w:rFonts w:ascii="Times New Roman" w:hAnsi="Times New Roman" w:eastAsia="Times New Roman"/>
          <w:position w:val="8"/>
          <w:sz w:val="15"/>
          <w:vertAlign w:val="baseline"/>
        </w:rPr>
        <w:t>2</w:t>
      </w:r>
      <w:r>
        <w:rPr>
          <w:rFonts w:ascii="Times New Roman" w:hAnsi="Times New Roman" w:eastAsia="Times New Roman"/>
          <w:vertAlign w:val="baseline"/>
        </w:rPr>
        <w:t>/d</w:t>
      </w:r>
      <w:r>
        <w:rPr>
          <w:vertAlign w:val="baseline"/>
        </w:rPr>
        <w:t>。</w:t>
      </w:r>
    </w:p>
    <w:p>
      <w:pPr>
        <w:spacing w:before="0" w:line="266" w:lineRule="exact"/>
        <w:ind w:left="2" w:right="0" w:firstLine="0"/>
        <w:jc w:val="center"/>
        <w:rPr>
          <w:b/>
          <w:sz w:val="21"/>
        </w:rPr>
      </w:pPr>
      <w:r>
        <w:rPr>
          <w:b/>
          <w:spacing w:val="-28"/>
          <w:sz w:val="21"/>
        </w:rPr>
        <w:t xml:space="preserve">表 </w:t>
      </w:r>
      <w:r>
        <w:rPr>
          <w:rFonts w:ascii="Times New Roman" w:eastAsia="Times New Roman"/>
          <w:b/>
          <w:sz w:val="21"/>
        </w:rPr>
        <w:t>5.5-4</w:t>
      </w:r>
      <w:r>
        <w:rPr>
          <w:rFonts w:ascii="Times New Roman" w:eastAsia="Times New Roman"/>
          <w:b/>
          <w:spacing w:val="52"/>
          <w:sz w:val="21"/>
        </w:rPr>
        <w:t xml:space="preserve"> </w:t>
      </w:r>
      <w:r>
        <w:rPr>
          <w:b/>
          <w:sz w:val="21"/>
        </w:rPr>
        <w:t>预测参数</w:t>
      </w:r>
    </w:p>
    <w:p>
      <w:pPr>
        <w:pStyle w:val="9"/>
        <w:spacing w:before="11"/>
        <w:rPr>
          <w:b/>
          <w:sz w:val="10"/>
        </w:rPr>
      </w:pPr>
    </w:p>
    <w:tbl>
      <w:tblPr>
        <w:tblStyle w:val="15"/>
        <w:tblW w:w="0" w:type="auto"/>
        <w:tblInd w:w="13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3"/>
        <w:gridCol w:w="513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153" w:type="dxa"/>
            <w:tcBorders>
              <w:bottom w:val="single" w:color="000000" w:sz="4" w:space="0"/>
              <w:right w:val="single" w:color="000000" w:sz="4" w:space="0"/>
            </w:tcBorders>
          </w:tcPr>
          <w:p>
            <w:pPr>
              <w:pStyle w:val="19"/>
              <w:spacing w:before="64"/>
              <w:ind w:left="1528" w:right="1519"/>
              <w:rPr>
                <w:sz w:val="21"/>
              </w:rPr>
            </w:pPr>
            <w:r>
              <w:rPr>
                <w:sz w:val="21"/>
              </w:rPr>
              <w:t>含水层参数</w:t>
            </w:r>
          </w:p>
        </w:tc>
        <w:tc>
          <w:tcPr>
            <w:tcW w:w="5131" w:type="dxa"/>
            <w:tcBorders>
              <w:left w:val="single" w:color="000000" w:sz="4" w:space="0"/>
              <w:bottom w:val="single" w:color="000000" w:sz="4" w:space="0"/>
            </w:tcBorders>
          </w:tcPr>
          <w:p>
            <w:pPr>
              <w:pStyle w:val="19"/>
              <w:spacing w:before="64"/>
              <w:ind w:left="2148" w:right="2127"/>
              <w:rPr>
                <w:sz w:val="21"/>
              </w:rPr>
            </w:pPr>
            <w:r>
              <w:rPr>
                <w:sz w:val="21"/>
              </w:rPr>
              <w:t>取值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4153" w:type="dxa"/>
            <w:tcBorders>
              <w:top w:val="single" w:color="000000" w:sz="4" w:space="0"/>
              <w:right w:val="single" w:color="000000" w:sz="4" w:space="0"/>
            </w:tcBorders>
          </w:tcPr>
          <w:p>
            <w:pPr>
              <w:pStyle w:val="19"/>
              <w:spacing w:before="62"/>
              <w:ind w:left="1528" w:right="1519"/>
              <w:rPr>
                <w:sz w:val="21"/>
              </w:rPr>
            </w:pPr>
            <w:r>
              <w:rPr>
                <w:sz w:val="21"/>
              </w:rPr>
              <w:t>水流速度</w:t>
            </w:r>
          </w:p>
        </w:tc>
        <w:tc>
          <w:tcPr>
            <w:tcW w:w="5131" w:type="dxa"/>
            <w:tcBorders>
              <w:top w:val="single" w:color="000000" w:sz="4" w:space="0"/>
              <w:left w:val="single" w:color="000000" w:sz="4" w:space="0"/>
            </w:tcBorders>
          </w:tcPr>
          <w:p>
            <w:pPr>
              <w:pStyle w:val="19"/>
              <w:spacing w:before="76"/>
              <w:ind w:left="2149" w:right="2127"/>
              <w:rPr>
                <w:rFonts w:ascii="Times New Roman"/>
                <w:sz w:val="21"/>
              </w:rPr>
            </w:pPr>
            <w:r>
              <w:rPr>
                <w:rFonts w:ascii="Times New Roman"/>
                <w:sz w:val="21"/>
              </w:rPr>
              <w:t>0.015m/d</w:t>
            </w:r>
          </w:p>
        </w:tc>
      </w:tr>
    </w:tbl>
    <w:p>
      <w:pPr>
        <w:spacing w:after="0"/>
        <w:rPr>
          <w:rFonts w:ascii="Times New Roman"/>
          <w:sz w:val="21"/>
        </w:rPr>
        <w:sectPr>
          <w:pgSz w:w="11910" w:h="16840"/>
          <w:pgMar w:top="1400" w:right="0" w:bottom="880" w:left="0" w:header="0" w:footer="681" w:gutter="0"/>
        </w:sectPr>
      </w:pPr>
    </w:p>
    <w:tbl>
      <w:tblPr>
        <w:tblStyle w:val="15"/>
        <w:tblW w:w="0" w:type="auto"/>
        <w:tblInd w:w="13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3"/>
        <w:gridCol w:w="513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153" w:type="dxa"/>
            <w:tcBorders>
              <w:bottom w:val="single" w:color="000000" w:sz="4" w:space="0"/>
              <w:right w:val="single" w:color="000000" w:sz="4" w:space="0"/>
            </w:tcBorders>
          </w:tcPr>
          <w:p>
            <w:pPr>
              <w:pStyle w:val="19"/>
              <w:spacing w:before="62"/>
              <w:ind w:left="1528" w:right="1519"/>
              <w:rPr>
                <w:sz w:val="21"/>
              </w:rPr>
            </w:pPr>
            <w:r>
              <w:rPr>
                <w:sz w:val="21"/>
              </w:rPr>
              <w:t>弥散系数</w:t>
            </w:r>
          </w:p>
        </w:tc>
        <w:tc>
          <w:tcPr>
            <w:tcW w:w="5131" w:type="dxa"/>
            <w:tcBorders>
              <w:left w:val="single" w:color="000000" w:sz="4" w:space="0"/>
              <w:bottom w:val="single" w:color="000000" w:sz="4" w:space="0"/>
            </w:tcBorders>
          </w:tcPr>
          <w:p>
            <w:pPr>
              <w:pStyle w:val="19"/>
              <w:spacing w:before="76"/>
              <w:ind w:left="2149" w:right="2127"/>
              <w:rPr>
                <w:rFonts w:ascii="Times New Roman"/>
                <w:sz w:val="21"/>
              </w:rPr>
            </w:pPr>
            <w:r>
              <w:rPr>
                <w:rFonts w:ascii="Times New Roman"/>
                <w:sz w:val="21"/>
              </w:rPr>
              <w:t>0.2m</w:t>
            </w:r>
            <w:r>
              <w:rPr>
                <w:rFonts w:ascii="Times New Roman"/>
                <w:position w:val="7"/>
                <w:sz w:val="13"/>
              </w:rPr>
              <w:t>2</w:t>
            </w:r>
            <w:r>
              <w:rPr>
                <w:rFonts w:ascii="Times New Roman"/>
                <w:sz w:val="21"/>
              </w:rPr>
              <w:t>/d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153" w:type="dxa"/>
            <w:tcBorders>
              <w:top w:val="single" w:color="000000" w:sz="4" w:space="0"/>
              <w:bottom w:val="single" w:color="000000" w:sz="4" w:space="0"/>
              <w:right w:val="single" w:color="000000" w:sz="4" w:space="0"/>
            </w:tcBorders>
          </w:tcPr>
          <w:p>
            <w:pPr>
              <w:pStyle w:val="19"/>
              <w:spacing w:before="63"/>
              <w:ind w:left="1528" w:right="1519"/>
              <w:rPr>
                <w:sz w:val="21"/>
              </w:rPr>
            </w:pPr>
            <w:r>
              <w:rPr>
                <w:sz w:val="21"/>
              </w:rPr>
              <w:t>有效孔隙度</w:t>
            </w:r>
          </w:p>
        </w:tc>
        <w:tc>
          <w:tcPr>
            <w:tcW w:w="5131" w:type="dxa"/>
            <w:tcBorders>
              <w:top w:val="single" w:color="000000" w:sz="4" w:space="0"/>
              <w:left w:val="single" w:color="000000" w:sz="4" w:space="0"/>
              <w:bottom w:val="single" w:color="000000" w:sz="4" w:space="0"/>
            </w:tcBorders>
          </w:tcPr>
          <w:p>
            <w:pPr>
              <w:pStyle w:val="19"/>
              <w:spacing w:before="77"/>
              <w:ind w:left="2149" w:right="2125"/>
              <w:rPr>
                <w:rFonts w:ascii="Times New Roman"/>
                <w:sz w:val="21"/>
              </w:rPr>
            </w:pPr>
            <w:r>
              <w:rPr>
                <w:rFonts w:ascii="Times New Roman"/>
                <w:sz w:val="21"/>
              </w:rPr>
              <w:t>0.30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153" w:type="dxa"/>
            <w:tcBorders>
              <w:top w:val="single" w:color="000000" w:sz="4" w:space="0"/>
              <w:right w:val="single" w:color="000000" w:sz="4" w:space="0"/>
            </w:tcBorders>
          </w:tcPr>
          <w:p>
            <w:pPr>
              <w:pStyle w:val="19"/>
              <w:spacing w:before="64"/>
              <w:ind w:left="1528" w:right="1519"/>
              <w:rPr>
                <w:sz w:val="21"/>
              </w:rPr>
            </w:pPr>
            <w:r>
              <w:rPr>
                <w:sz w:val="21"/>
              </w:rPr>
              <w:t>横截面面积</w:t>
            </w:r>
          </w:p>
        </w:tc>
        <w:tc>
          <w:tcPr>
            <w:tcW w:w="5131" w:type="dxa"/>
            <w:tcBorders>
              <w:top w:val="single" w:color="000000" w:sz="4" w:space="0"/>
              <w:left w:val="single" w:color="000000" w:sz="4" w:space="0"/>
            </w:tcBorders>
          </w:tcPr>
          <w:p>
            <w:pPr>
              <w:pStyle w:val="19"/>
              <w:spacing w:before="78"/>
              <w:ind w:left="2149" w:right="2125"/>
              <w:rPr>
                <w:rFonts w:ascii="Times New Roman"/>
                <w:sz w:val="13"/>
              </w:rPr>
            </w:pPr>
            <w:r>
              <w:rPr>
                <w:rFonts w:ascii="Times New Roman"/>
                <w:sz w:val="21"/>
              </w:rPr>
              <w:t>0.01m</w:t>
            </w:r>
            <w:r>
              <w:rPr>
                <w:rFonts w:ascii="Times New Roman"/>
                <w:position w:val="7"/>
                <w:sz w:val="13"/>
              </w:rPr>
              <w:t>2</w:t>
            </w:r>
          </w:p>
        </w:tc>
      </w:tr>
    </w:tbl>
    <w:p>
      <w:pPr>
        <w:spacing w:after="0"/>
        <w:rPr>
          <w:rFonts w:ascii="Times New Roman"/>
          <w:sz w:val="13"/>
        </w:rPr>
        <w:sectPr>
          <w:footerReference r:id="rId19" w:type="default"/>
          <w:pgSz w:w="11910" w:h="16840"/>
          <w:pgMar w:top="1400" w:right="0" w:bottom="880" w:left="0" w:header="0" w:footer="681" w:gutter="0"/>
          <w:pgNumType w:start="120"/>
        </w:sectPr>
      </w:pPr>
    </w:p>
    <w:p>
      <w:pPr>
        <w:spacing w:before="3"/>
        <w:ind w:left="1838" w:right="0" w:firstLine="0"/>
        <w:jc w:val="left"/>
        <w:rPr>
          <w:sz w:val="21"/>
        </w:rPr>
      </w:pPr>
      <w:r>
        <w:rPr>
          <w:sz w:val="21"/>
        </w:rPr>
        <w:t>污染物预测参数见下表。</w:t>
      </w:r>
    </w:p>
    <w:p>
      <w:pPr>
        <w:pStyle w:val="9"/>
        <w:rPr>
          <w:sz w:val="32"/>
        </w:rPr>
      </w:pPr>
      <w:r>
        <w:br w:type="column"/>
      </w:r>
    </w:p>
    <w:p>
      <w:pPr>
        <w:spacing w:before="0"/>
        <w:ind w:left="629" w:right="0" w:firstLine="0"/>
        <w:jc w:val="left"/>
        <w:rPr>
          <w:b/>
          <w:sz w:val="21"/>
        </w:rPr>
      </w:pPr>
      <w:r>
        <w:rPr>
          <w:b/>
          <w:spacing w:val="-28"/>
          <w:sz w:val="21"/>
        </w:rPr>
        <w:t xml:space="preserve">表 </w:t>
      </w:r>
      <w:r>
        <w:rPr>
          <w:rFonts w:ascii="Times New Roman" w:eastAsia="Times New Roman"/>
          <w:b/>
          <w:sz w:val="21"/>
        </w:rPr>
        <w:t>5.5-5</w:t>
      </w:r>
      <w:r>
        <w:rPr>
          <w:rFonts w:ascii="Times New Roman" w:eastAsia="Times New Roman"/>
          <w:b/>
          <w:spacing w:val="52"/>
          <w:sz w:val="21"/>
        </w:rPr>
        <w:t xml:space="preserve"> </w:t>
      </w:r>
      <w:r>
        <w:rPr>
          <w:b/>
          <w:sz w:val="21"/>
        </w:rPr>
        <w:t>污染物预测参数</w:t>
      </w:r>
    </w:p>
    <w:p>
      <w:pPr>
        <w:spacing w:after="0"/>
        <w:jc w:val="left"/>
        <w:rPr>
          <w:sz w:val="21"/>
        </w:rPr>
        <w:sectPr>
          <w:type w:val="continuous"/>
          <w:pgSz w:w="11910" w:h="16840"/>
          <w:pgMar w:top="1580" w:right="0" w:bottom="280" w:left="0" w:header="720" w:footer="720" w:gutter="0"/>
          <w:cols w:equalWidth="0" w:num="2">
            <w:col w:w="4148" w:space="40"/>
            <w:col w:w="7722"/>
          </w:cols>
        </w:sectPr>
      </w:pPr>
    </w:p>
    <w:p>
      <w:pPr>
        <w:pStyle w:val="9"/>
        <w:spacing w:before="10"/>
        <w:rPr>
          <w:b/>
          <w:sz w:val="10"/>
        </w:rPr>
      </w:pPr>
    </w:p>
    <w:tbl>
      <w:tblPr>
        <w:tblStyle w:val="15"/>
        <w:tblW w:w="0" w:type="auto"/>
        <w:tblInd w:w="13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18"/>
        <w:gridCol w:w="2119"/>
        <w:gridCol w:w="2934"/>
        <w:gridCol w:w="211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2118" w:type="dxa"/>
            <w:tcBorders>
              <w:bottom w:val="single" w:color="000000" w:sz="4" w:space="0"/>
              <w:right w:val="single" w:color="000000" w:sz="4" w:space="0"/>
            </w:tcBorders>
          </w:tcPr>
          <w:p>
            <w:pPr>
              <w:pStyle w:val="19"/>
              <w:spacing w:before="12"/>
              <w:jc w:val="left"/>
              <w:rPr>
                <w:b/>
                <w:sz w:val="15"/>
              </w:rPr>
            </w:pPr>
          </w:p>
          <w:p>
            <w:pPr>
              <w:pStyle w:val="19"/>
              <w:ind w:left="723" w:right="709"/>
              <w:rPr>
                <w:sz w:val="21"/>
              </w:rPr>
            </w:pPr>
            <w:r>
              <w:rPr>
                <w:sz w:val="21"/>
              </w:rPr>
              <w:t>污染物</w:t>
            </w:r>
          </w:p>
        </w:tc>
        <w:tc>
          <w:tcPr>
            <w:tcW w:w="2119" w:type="dxa"/>
            <w:tcBorders>
              <w:left w:val="single" w:color="000000" w:sz="4" w:space="0"/>
              <w:bottom w:val="single" w:color="000000" w:sz="4" w:space="0"/>
              <w:right w:val="single" w:color="000000" w:sz="4" w:space="0"/>
            </w:tcBorders>
          </w:tcPr>
          <w:p>
            <w:pPr>
              <w:pStyle w:val="19"/>
              <w:spacing w:before="12"/>
              <w:jc w:val="left"/>
              <w:rPr>
                <w:b/>
                <w:sz w:val="15"/>
              </w:rPr>
            </w:pPr>
          </w:p>
          <w:p>
            <w:pPr>
              <w:pStyle w:val="19"/>
              <w:ind w:left="395" w:right="379"/>
              <w:rPr>
                <w:sz w:val="21"/>
              </w:rPr>
            </w:pPr>
            <w:r>
              <w:rPr>
                <w:sz w:val="21"/>
              </w:rPr>
              <w:t>浓度（</w:t>
            </w:r>
            <w:r>
              <w:rPr>
                <w:rFonts w:ascii="Times New Roman" w:eastAsia="Times New Roman"/>
                <w:sz w:val="21"/>
              </w:rPr>
              <w:t>mg/L</w:t>
            </w:r>
            <w:r>
              <w:rPr>
                <w:sz w:val="21"/>
              </w:rPr>
              <w:t>）</w:t>
            </w:r>
          </w:p>
        </w:tc>
        <w:tc>
          <w:tcPr>
            <w:tcW w:w="2934" w:type="dxa"/>
            <w:tcBorders>
              <w:left w:val="single" w:color="000000" w:sz="4" w:space="0"/>
              <w:bottom w:val="single" w:color="000000" w:sz="4" w:space="0"/>
              <w:right w:val="single" w:color="000000" w:sz="4" w:space="0"/>
            </w:tcBorders>
          </w:tcPr>
          <w:p>
            <w:pPr>
              <w:pStyle w:val="19"/>
              <w:spacing w:before="12"/>
              <w:jc w:val="left"/>
              <w:rPr>
                <w:b/>
                <w:sz w:val="15"/>
              </w:rPr>
            </w:pPr>
          </w:p>
          <w:p>
            <w:pPr>
              <w:pStyle w:val="19"/>
              <w:ind w:left="519" w:right="502"/>
              <w:rPr>
                <w:sz w:val="21"/>
              </w:rPr>
            </w:pPr>
            <w:r>
              <w:rPr>
                <w:sz w:val="21"/>
              </w:rPr>
              <w:t>污水泄漏量（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2111" w:type="dxa"/>
            <w:tcBorders>
              <w:left w:val="single" w:color="000000" w:sz="4" w:space="0"/>
              <w:bottom w:val="single" w:color="000000" w:sz="4" w:space="0"/>
            </w:tcBorders>
          </w:tcPr>
          <w:p>
            <w:pPr>
              <w:pStyle w:val="19"/>
              <w:ind w:left="196" w:right="176"/>
              <w:rPr>
                <w:sz w:val="21"/>
              </w:rPr>
            </w:pPr>
            <w:r>
              <w:rPr>
                <w:sz w:val="21"/>
              </w:rPr>
              <w:t>注入的示踪剂质量</w:t>
            </w:r>
          </w:p>
          <w:p>
            <w:pPr>
              <w:pStyle w:val="19"/>
              <w:spacing w:before="139"/>
              <w:ind w:left="196" w:right="174"/>
              <w:rPr>
                <w:sz w:val="21"/>
              </w:rPr>
            </w:pPr>
            <w:r>
              <w:rPr>
                <w:sz w:val="21"/>
              </w:rPr>
              <w:t>（</w:t>
            </w:r>
            <w:r>
              <w:rPr>
                <w:rFonts w:ascii="Times New Roman" w:eastAsia="Times New Roman"/>
                <w:sz w:val="21"/>
              </w:rPr>
              <w:t>kg</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1" w:hRule="atLeast"/>
        </w:trPr>
        <w:tc>
          <w:tcPr>
            <w:tcW w:w="2118" w:type="dxa"/>
            <w:tcBorders>
              <w:top w:val="single" w:color="000000" w:sz="4" w:space="0"/>
              <w:right w:val="single" w:color="000000" w:sz="4" w:space="0"/>
            </w:tcBorders>
          </w:tcPr>
          <w:p>
            <w:pPr>
              <w:pStyle w:val="19"/>
              <w:spacing w:before="70"/>
              <w:ind w:left="723" w:right="709"/>
              <w:rPr>
                <w:rFonts w:ascii="Times New Roman"/>
                <w:sz w:val="21"/>
              </w:rPr>
            </w:pPr>
            <w:r>
              <w:rPr>
                <w:rFonts w:ascii="Times New Roman"/>
                <w:sz w:val="21"/>
              </w:rPr>
              <w:t>COD</w:t>
            </w:r>
          </w:p>
        </w:tc>
        <w:tc>
          <w:tcPr>
            <w:tcW w:w="2119" w:type="dxa"/>
            <w:tcBorders>
              <w:top w:val="single" w:color="000000" w:sz="4" w:space="0"/>
              <w:left w:val="single" w:color="000000" w:sz="4" w:space="0"/>
              <w:right w:val="single" w:color="000000" w:sz="4" w:space="0"/>
            </w:tcBorders>
          </w:tcPr>
          <w:p>
            <w:pPr>
              <w:pStyle w:val="19"/>
              <w:spacing w:before="70"/>
              <w:ind w:left="395" w:right="376"/>
              <w:rPr>
                <w:rFonts w:ascii="Times New Roman"/>
                <w:sz w:val="21"/>
              </w:rPr>
            </w:pPr>
            <w:r>
              <w:rPr>
                <w:rFonts w:ascii="Times New Roman"/>
                <w:sz w:val="21"/>
              </w:rPr>
              <w:t>300</w:t>
            </w:r>
          </w:p>
        </w:tc>
        <w:tc>
          <w:tcPr>
            <w:tcW w:w="2934" w:type="dxa"/>
            <w:tcBorders>
              <w:top w:val="single" w:color="000000" w:sz="4" w:space="0"/>
              <w:left w:val="single" w:color="000000" w:sz="4" w:space="0"/>
              <w:right w:val="single" w:color="000000" w:sz="4" w:space="0"/>
            </w:tcBorders>
          </w:tcPr>
          <w:p>
            <w:pPr>
              <w:pStyle w:val="19"/>
              <w:spacing w:before="70"/>
              <w:ind w:left="519" w:right="498"/>
              <w:rPr>
                <w:rFonts w:ascii="Times New Roman"/>
                <w:sz w:val="21"/>
              </w:rPr>
            </w:pPr>
            <w:r>
              <w:rPr>
                <w:rFonts w:ascii="Times New Roman"/>
                <w:sz w:val="21"/>
              </w:rPr>
              <w:t>4.0</w:t>
            </w:r>
          </w:p>
        </w:tc>
        <w:tc>
          <w:tcPr>
            <w:tcW w:w="2111" w:type="dxa"/>
            <w:tcBorders>
              <w:top w:val="single" w:color="000000" w:sz="4" w:space="0"/>
              <w:left w:val="single" w:color="000000" w:sz="4" w:space="0"/>
            </w:tcBorders>
          </w:tcPr>
          <w:p>
            <w:pPr>
              <w:pStyle w:val="19"/>
              <w:spacing w:before="70"/>
              <w:ind w:left="196" w:right="170"/>
              <w:rPr>
                <w:rFonts w:ascii="Times New Roman"/>
                <w:sz w:val="21"/>
              </w:rPr>
            </w:pPr>
            <w:r>
              <w:rPr>
                <w:rFonts w:ascii="Times New Roman"/>
                <w:sz w:val="21"/>
              </w:rPr>
              <w:t>1.2</w:t>
            </w:r>
          </w:p>
        </w:tc>
      </w:tr>
    </w:tbl>
    <w:p>
      <w:pPr>
        <w:spacing w:before="0" w:line="364" w:lineRule="auto"/>
        <w:ind w:left="1418" w:right="1406" w:firstLine="420"/>
        <w:jc w:val="both"/>
        <w:rPr>
          <w:sz w:val="21"/>
        </w:rPr>
      </w:pPr>
      <w:r>
        <w:rPr>
          <w:spacing w:val="-2"/>
          <w:sz w:val="21"/>
        </w:rPr>
        <w:t xml:space="preserve">将上表中的预测参数代入地下水溶质运移解析模型中，计算污染物在指定浓度持续渗漏 </w:t>
      </w:r>
      <w:r>
        <w:rPr>
          <w:rFonts w:ascii="Times New Roman" w:eastAsia="Times New Roman"/>
          <w:sz w:val="21"/>
        </w:rPr>
        <w:t>100d</w:t>
      </w:r>
      <w:r>
        <w:rPr>
          <w:sz w:val="21"/>
        </w:rPr>
        <w:t>、</w:t>
      </w:r>
      <w:r>
        <w:rPr>
          <w:rFonts w:ascii="Times New Roman" w:eastAsia="Times New Roman"/>
          <w:sz w:val="21"/>
        </w:rPr>
        <w:t xml:space="preserve">1000d </w:t>
      </w:r>
      <w:r>
        <w:rPr>
          <w:sz w:val="21"/>
        </w:rPr>
        <w:t>的迁移情况，预测结果见下表。</w:t>
      </w:r>
    </w:p>
    <w:p>
      <w:pPr>
        <w:spacing w:before="1"/>
        <w:ind w:left="5" w:right="0" w:firstLine="0"/>
        <w:jc w:val="center"/>
        <w:rPr>
          <w:b/>
          <w:sz w:val="21"/>
        </w:rPr>
      </w:pPr>
      <w:r>
        <w:rPr>
          <w:b/>
          <w:sz w:val="21"/>
        </w:rPr>
        <w:t xml:space="preserve">表 </w:t>
      </w:r>
      <w:r>
        <w:rPr>
          <w:rFonts w:ascii="Times New Roman" w:eastAsia="Times New Roman"/>
          <w:b/>
          <w:sz w:val="21"/>
        </w:rPr>
        <w:t xml:space="preserve">5.5-6 COD100d </w:t>
      </w:r>
      <w:r>
        <w:rPr>
          <w:b/>
          <w:sz w:val="21"/>
        </w:rPr>
        <w:t xml:space="preserve">和 </w:t>
      </w:r>
      <w:r>
        <w:rPr>
          <w:rFonts w:ascii="Times New Roman" w:eastAsia="Times New Roman"/>
          <w:b/>
          <w:sz w:val="21"/>
        </w:rPr>
        <w:t xml:space="preserve">1000d </w:t>
      </w:r>
      <w:r>
        <w:rPr>
          <w:b/>
          <w:sz w:val="21"/>
        </w:rPr>
        <w:t>地下水迁移情况</w:t>
      </w:r>
    </w:p>
    <w:p>
      <w:pPr>
        <w:pStyle w:val="9"/>
        <w:spacing w:before="10"/>
        <w:rPr>
          <w:b/>
          <w:sz w:val="10"/>
        </w:rPr>
      </w:pP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00"/>
        <w:gridCol w:w="2335"/>
        <w:gridCol w:w="2303"/>
        <w:gridCol w:w="234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286" w:type="dxa"/>
            <w:gridSpan w:val="4"/>
            <w:tcBorders>
              <w:bottom w:val="single" w:color="000000" w:sz="4" w:space="0"/>
            </w:tcBorders>
          </w:tcPr>
          <w:p>
            <w:pPr>
              <w:pStyle w:val="19"/>
              <w:spacing w:before="76"/>
              <w:ind w:left="3288" w:right="3272"/>
              <w:rPr>
                <w:rFonts w:ascii="Times New Roman"/>
                <w:sz w:val="21"/>
              </w:rPr>
            </w:pPr>
            <w:r>
              <w:rPr>
                <w:rFonts w:ascii="Times New Roman"/>
                <w:sz w:val="21"/>
              </w:rPr>
              <w:t>COD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35" w:type="dxa"/>
            <w:gridSpan w:val="2"/>
            <w:tcBorders>
              <w:top w:val="single" w:color="000000" w:sz="4" w:space="0"/>
              <w:bottom w:val="single" w:color="000000" w:sz="4" w:space="0"/>
              <w:right w:val="single" w:color="000000" w:sz="4" w:space="0"/>
            </w:tcBorders>
          </w:tcPr>
          <w:p>
            <w:pPr>
              <w:pStyle w:val="19"/>
              <w:spacing w:before="63"/>
              <w:ind w:left="1346"/>
              <w:jc w:val="left"/>
              <w:rPr>
                <w:sz w:val="21"/>
              </w:rPr>
            </w:pPr>
            <w:r>
              <w:rPr>
                <w:rFonts w:ascii="Times New Roman" w:eastAsia="Times New Roman"/>
                <w:sz w:val="21"/>
              </w:rPr>
              <w:t xml:space="preserve">100d </w:t>
            </w:r>
            <w:r>
              <w:rPr>
                <w:sz w:val="21"/>
              </w:rPr>
              <w:t>污染物迁移结果</w:t>
            </w:r>
          </w:p>
        </w:tc>
        <w:tc>
          <w:tcPr>
            <w:tcW w:w="4651" w:type="dxa"/>
            <w:gridSpan w:val="2"/>
            <w:tcBorders>
              <w:top w:val="single" w:color="000000" w:sz="4" w:space="0"/>
              <w:left w:val="single" w:color="000000" w:sz="4" w:space="0"/>
              <w:bottom w:val="single" w:color="000000" w:sz="4" w:space="0"/>
            </w:tcBorders>
          </w:tcPr>
          <w:p>
            <w:pPr>
              <w:pStyle w:val="19"/>
              <w:spacing w:before="63"/>
              <w:ind w:left="1307"/>
              <w:jc w:val="left"/>
              <w:rPr>
                <w:sz w:val="21"/>
              </w:rPr>
            </w:pPr>
            <w:r>
              <w:rPr>
                <w:rFonts w:ascii="Times New Roman" w:eastAsia="Times New Roman"/>
                <w:sz w:val="21"/>
              </w:rPr>
              <w:t xml:space="preserve">1000d </w:t>
            </w:r>
            <w:r>
              <w:rPr>
                <w:sz w:val="21"/>
              </w:rPr>
              <w:t>污染物迁移结果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300" w:type="dxa"/>
            <w:tcBorders>
              <w:top w:val="single" w:color="000000" w:sz="4" w:space="0"/>
              <w:bottom w:val="single" w:color="000000" w:sz="4" w:space="0"/>
              <w:right w:val="single" w:color="000000" w:sz="4" w:space="0"/>
            </w:tcBorders>
          </w:tcPr>
          <w:p>
            <w:pPr>
              <w:pStyle w:val="19"/>
              <w:spacing w:before="61"/>
              <w:ind w:left="626" w:right="614"/>
              <w:rPr>
                <w:sz w:val="21"/>
              </w:rPr>
            </w:pPr>
            <w:r>
              <w:rPr>
                <w:sz w:val="21"/>
              </w:rPr>
              <w:t>距离（</w:t>
            </w:r>
            <w:r>
              <w:rPr>
                <w:rFonts w:ascii="Times New Roman" w:eastAsia="Times New Roman"/>
                <w:sz w:val="21"/>
              </w:rPr>
              <w:t>m</w:t>
            </w:r>
            <w:r>
              <w:rPr>
                <w:sz w:val="21"/>
              </w:rPr>
              <w:t>）</w:t>
            </w:r>
          </w:p>
        </w:tc>
        <w:tc>
          <w:tcPr>
            <w:tcW w:w="2335" w:type="dxa"/>
            <w:tcBorders>
              <w:top w:val="single" w:color="000000" w:sz="4" w:space="0"/>
              <w:left w:val="single" w:color="000000" w:sz="4" w:space="0"/>
              <w:bottom w:val="single" w:color="000000" w:sz="4" w:space="0"/>
              <w:right w:val="single" w:color="000000" w:sz="4" w:space="0"/>
            </w:tcBorders>
          </w:tcPr>
          <w:p>
            <w:pPr>
              <w:pStyle w:val="19"/>
              <w:spacing w:before="61"/>
              <w:ind w:left="146" w:right="130"/>
              <w:rPr>
                <w:sz w:val="21"/>
              </w:rPr>
            </w:pPr>
            <w:r>
              <w:rPr>
                <w:sz w:val="21"/>
              </w:rPr>
              <w:t>浓度（</w:t>
            </w:r>
            <w:r>
              <w:rPr>
                <w:rFonts w:ascii="Times New Roman" w:eastAsia="Times New Roman"/>
                <w:sz w:val="21"/>
              </w:rPr>
              <w:t>mg/L</w:t>
            </w:r>
            <w:r>
              <w:rPr>
                <w:sz w:val="21"/>
              </w:rPr>
              <w:t>）</w:t>
            </w:r>
          </w:p>
        </w:tc>
        <w:tc>
          <w:tcPr>
            <w:tcW w:w="2303" w:type="dxa"/>
            <w:tcBorders>
              <w:top w:val="single" w:color="000000" w:sz="4" w:space="0"/>
              <w:left w:val="single" w:color="000000" w:sz="4" w:space="0"/>
              <w:bottom w:val="single" w:color="000000" w:sz="4" w:space="0"/>
              <w:right w:val="single" w:color="000000" w:sz="4" w:space="0"/>
            </w:tcBorders>
          </w:tcPr>
          <w:p>
            <w:pPr>
              <w:pStyle w:val="19"/>
              <w:spacing w:before="61"/>
              <w:ind w:left="632" w:right="615"/>
              <w:rPr>
                <w:sz w:val="21"/>
              </w:rPr>
            </w:pPr>
            <w:r>
              <w:rPr>
                <w:sz w:val="21"/>
              </w:rPr>
              <w:t>距离（</w:t>
            </w:r>
            <w:r>
              <w:rPr>
                <w:rFonts w:ascii="Times New Roman" w:eastAsia="Times New Roman"/>
                <w:sz w:val="21"/>
              </w:rPr>
              <w:t>m</w:t>
            </w:r>
            <w:r>
              <w:rPr>
                <w:sz w:val="21"/>
              </w:rPr>
              <w:t>）</w:t>
            </w:r>
          </w:p>
        </w:tc>
        <w:tc>
          <w:tcPr>
            <w:tcW w:w="2348" w:type="dxa"/>
            <w:tcBorders>
              <w:top w:val="single" w:color="000000" w:sz="4" w:space="0"/>
              <w:left w:val="single" w:color="000000" w:sz="4" w:space="0"/>
              <w:bottom w:val="single" w:color="000000" w:sz="4" w:space="0"/>
            </w:tcBorders>
          </w:tcPr>
          <w:p>
            <w:pPr>
              <w:pStyle w:val="19"/>
              <w:spacing w:before="61"/>
              <w:ind w:left="510" w:right="488"/>
              <w:rPr>
                <w:sz w:val="21"/>
              </w:rPr>
            </w:pPr>
            <w:r>
              <w:rPr>
                <w:sz w:val="21"/>
              </w:rPr>
              <w:t>浓度（</w:t>
            </w:r>
            <w:r>
              <w:rPr>
                <w:rFonts w:ascii="Times New Roman" w:eastAsia="Times New Roman"/>
                <w:sz w:val="21"/>
              </w:rPr>
              <w:t>mg/L</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0" w:type="dxa"/>
            <w:tcBorders>
              <w:top w:val="single" w:color="000000" w:sz="4" w:space="0"/>
              <w:bottom w:val="single" w:color="000000" w:sz="4" w:space="0"/>
              <w:right w:val="single" w:color="000000" w:sz="4" w:space="0"/>
            </w:tcBorders>
          </w:tcPr>
          <w:p>
            <w:pPr>
              <w:pStyle w:val="19"/>
              <w:spacing w:before="76"/>
              <w:ind w:left="13"/>
              <w:rPr>
                <w:rFonts w:ascii="Times New Roman"/>
                <w:sz w:val="21"/>
              </w:rPr>
            </w:pPr>
            <w:r>
              <w:rPr>
                <w:rFonts w:ascii="Times New Roman"/>
                <w:w w:val="99"/>
                <w:sz w:val="21"/>
              </w:rPr>
              <w:t>0</w:t>
            </w:r>
          </w:p>
        </w:tc>
        <w:tc>
          <w:tcPr>
            <w:tcW w:w="2335" w:type="dxa"/>
            <w:tcBorders>
              <w:top w:val="single" w:color="000000" w:sz="4" w:space="0"/>
              <w:left w:val="single" w:color="000000" w:sz="4" w:space="0"/>
              <w:bottom w:val="single" w:color="000000" w:sz="4" w:space="0"/>
              <w:right w:val="single" w:color="000000" w:sz="4" w:space="0"/>
            </w:tcBorders>
          </w:tcPr>
          <w:p>
            <w:pPr>
              <w:pStyle w:val="19"/>
              <w:spacing w:before="76"/>
              <w:ind w:left="147" w:right="125"/>
              <w:rPr>
                <w:rFonts w:ascii="Times New Roman"/>
                <w:sz w:val="21"/>
              </w:rPr>
            </w:pPr>
            <w:r>
              <w:rPr>
                <w:rFonts w:ascii="Times New Roman"/>
                <w:sz w:val="21"/>
              </w:rPr>
              <w:t>24500.00</w:t>
            </w:r>
          </w:p>
        </w:tc>
        <w:tc>
          <w:tcPr>
            <w:tcW w:w="2303" w:type="dxa"/>
            <w:tcBorders>
              <w:top w:val="single" w:color="000000" w:sz="4" w:space="0"/>
              <w:left w:val="single" w:color="000000" w:sz="4" w:space="0"/>
              <w:bottom w:val="single" w:color="000000" w:sz="4" w:space="0"/>
              <w:right w:val="single" w:color="000000" w:sz="4" w:space="0"/>
            </w:tcBorders>
          </w:tcPr>
          <w:p>
            <w:pPr>
              <w:pStyle w:val="19"/>
              <w:spacing w:before="76"/>
              <w:ind w:left="18"/>
              <w:rPr>
                <w:rFonts w:ascii="Times New Roman"/>
                <w:sz w:val="21"/>
              </w:rPr>
            </w:pPr>
            <w:r>
              <w:rPr>
                <w:rFonts w:ascii="Times New Roman"/>
                <w:w w:val="99"/>
                <w:sz w:val="21"/>
              </w:rPr>
              <w:t>0</w:t>
            </w:r>
          </w:p>
        </w:tc>
        <w:tc>
          <w:tcPr>
            <w:tcW w:w="2348" w:type="dxa"/>
            <w:tcBorders>
              <w:top w:val="single" w:color="000000" w:sz="4" w:space="0"/>
              <w:left w:val="single" w:color="000000" w:sz="4" w:space="0"/>
              <w:bottom w:val="single" w:color="000000" w:sz="4" w:space="0"/>
            </w:tcBorders>
          </w:tcPr>
          <w:p>
            <w:pPr>
              <w:pStyle w:val="19"/>
              <w:spacing w:before="76"/>
              <w:ind w:left="510" w:right="484"/>
              <w:rPr>
                <w:rFonts w:ascii="Times New Roman"/>
                <w:sz w:val="21"/>
              </w:rPr>
            </w:pPr>
            <w:r>
              <w:rPr>
                <w:rFonts w:ascii="Times New Roman"/>
                <w:sz w:val="21"/>
              </w:rPr>
              <w:t>6020.00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0" w:type="dxa"/>
            <w:tcBorders>
              <w:top w:val="single" w:color="000000" w:sz="4" w:space="0"/>
              <w:bottom w:val="single" w:color="000000" w:sz="4" w:space="0"/>
              <w:right w:val="single" w:color="000000" w:sz="4" w:space="0"/>
            </w:tcBorders>
          </w:tcPr>
          <w:p>
            <w:pPr>
              <w:pStyle w:val="19"/>
              <w:spacing w:before="75"/>
              <w:ind w:left="626" w:right="613"/>
              <w:rPr>
                <w:rFonts w:ascii="Times New Roman"/>
                <w:sz w:val="21"/>
              </w:rPr>
            </w:pPr>
            <w:r>
              <w:rPr>
                <w:rFonts w:ascii="Times New Roman"/>
                <w:sz w:val="21"/>
              </w:rPr>
              <w:t>10</w:t>
            </w:r>
          </w:p>
        </w:tc>
        <w:tc>
          <w:tcPr>
            <w:tcW w:w="2335" w:type="dxa"/>
            <w:tcBorders>
              <w:top w:val="single" w:color="000000" w:sz="4" w:space="0"/>
              <w:left w:val="single" w:color="000000" w:sz="4" w:space="0"/>
              <w:bottom w:val="single" w:color="000000" w:sz="4" w:space="0"/>
              <w:right w:val="single" w:color="000000" w:sz="4" w:space="0"/>
            </w:tcBorders>
          </w:tcPr>
          <w:p>
            <w:pPr>
              <w:pStyle w:val="19"/>
              <w:spacing w:before="75"/>
              <w:ind w:left="147" w:right="125"/>
              <w:rPr>
                <w:rFonts w:ascii="Times New Roman"/>
                <w:sz w:val="21"/>
              </w:rPr>
            </w:pPr>
            <w:r>
              <w:rPr>
                <w:rFonts w:ascii="Times New Roman"/>
                <w:sz w:val="21"/>
              </w:rPr>
              <w:t>10200.00</w:t>
            </w:r>
          </w:p>
        </w:tc>
        <w:tc>
          <w:tcPr>
            <w:tcW w:w="2303" w:type="dxa"/>
            <w:tcBorders>
              <w:top w:val="single" w:color="000000" w:sz="4" w:space="0"/>
              <w:left w:val="single" w:color="000000" w:sz="4" w:space="0"/>
              <w:bottom w:val="single" w:color="000000" w:sz="4" w:space="0"/>
              <w:right w:val="single" w:color="000000" w:sz="4" w:space="0"/>
            </w:tcBorders>
          </w:tcPr>
          <w:p>
            <w:pPr>
              <w:pStyle w:val="19"/>
              <w:spacing w:before="75"/>
              <w:ind w:left="633" w:right="615"/>
              <w:rPr>
                <w:rFonts w:ascii="Times New Roman"/>
                <w:sz w:val="21"/>
              </w:rPr>
            </w:pPr>
            <w:r>
              <w:rPr>
                <w:rFonts w:ascii="Times New Roman"/>
                <w:sz w:val="21"/>
              </w:rPr>
              <w:t>50</w:t>
            </w:r>
          </w:p>
        </w:tc>
        <w:tc>
          <w:tcPr>
            <w:tcW w:w="2348" w:type="dxa"/>
            <w:tcBorders>
              <w:top w:val="single" w:color="000000" w:sz="4" w:space="0"/>
              <w:left w:val="single" w:color="000000" w:sz="4" w:space="0"/>
              <w:bottom w:val="single" w:color="000000" w:sz="4" w:space="0"/>
            </w:tcBorders>
          </w:tcPr>
          <w:p>
            <w:pPr>
              <w:pStyle w:val="19"/>
              <w:spacing w:before="75"/>
              <w:ind w:left="510" w:right="484"/>
              <w:rPr>
                <w:rFonts w:ascii="Times New Roman"/>
                <w:sz w:val="21"/>
              </w:rPr>
            </w:pPr>
            <w:r>
              <w:rPr>
                <w:rFonts w:ascii="Times New Roman"/>
                <w:sz w:val="21"/>
              </w:rPr>
              <w:t>1730.00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300" w:type="dxa"/>
            <w:tcBorders>
              <w:top w:val="single" w:color="000000" w:sz="4" w:space="0"/>
              <w:bottom w:val="single" w:color="000000" w:sz="4" w:space="0"/>
              <w:right w:val="single" w:color="000000" w:sz="4" w:space="0"/>
            </w:tcBorders>
          </w:tcPr>
          <w:p>
            <w:pPr>
              <w:pStyle w:val="19"/>
              <w:spacing w:before="76"/>
              <w:ind w:left="626" w:right="613"/>
              <w:rPr>
                <w:rFonts w:ascii="Times New Roman"/>
                <w:sz w:val="21"/>
              </w:rPr>
            </w:pPr>
            <w:r>
              <w:rPr>
                <w:rFonts w:ascii="Times New Roman"/>
                <w:sz w:val="21"/>
              </w:rPr>
              <w:t>20</w:t>
            </w:r>
          </w:p>
        </w:tc>
        <w:tc>
          <w:tcPr>
            <w:tcW w:w="2335" w:type="dxa"/>
            <w:tcBorders>
              <w:top w:val="single" w:color="000000" w:sz="4" w:space="0"/>
              <w:left w:val="single" w:color="000000" w:sz="4" w:space="0"/>
              <w:bottom w:val="single" w:color="000000" w:sz="4" w:space="0"/>
              <w:right w:val="single" w:color="000000" w:sz="4" w:space="0"/>
            </w:tcBorders>
          </w:tcPr>
          <w:p>
            <w:pPr>
              <w:pStyle w:val="19"/>
              <w:spacing w:before="76"/>
              <w:ind w:left="147" w:right="130"/>
              <w:rPr>
                <w:rFonts w:ascii="Times New Roman"/>
                <w:sz w:val="21"/>
              </w:rPr>
            </w:pPr>
            <w:r>
              <w:rPr>
                <w:rFonts w:ascii="Times New Roman"/>
                <w:sz w:val="21"/>
              </w:rPr>
              <w:t>350.00</w:t>
            </w:r>
          </w:p>
        </w:tc>
        <w:tc>
          <w:tcPr>
            <w:tcW w:w="2303" w:type="dxa"/>
            <w:tcBorders>
              <w:top w:val="single" w:color="000000" w:sz="4" w:space="0"/>
              <w:left w:val="single" w:color="000000" w:sz="4" w:space="0"/>
              <w:bottom w:val="single" w:color="000000" w:sz="4" w:space="0"/>
              <w:right w:val="single" w:color="000000" w:sz="4" w:space="0"/>
            </w:tcBorders>
          </w:tcPr>
          <w:p>
            <w:pPr>
              <w:pStyle w:val="19"/>
              <w:spacing w:before="76"/>
              <w:ind w:left="633" w:right="615"/>
              <w:rPr>
                <w:rFonts w:ascii="Times New Roman"/>
                <w:sz w:val="21"/>
              </w:rPr>
            </w:pPr>
            <w:r>
              <w:rPr>
                <w:rFonts w:ascii="Times New Roman"/>
                <w:sz w:val="21"/>
              </w:rPr>
              <w:t>100</w:t>
            </w:r>
          </w:p>
        </w:tc>
        <w:tc>
          <w:tcPr>
            <w:tcW w:w="2348" w:type="dxa"/>
            <w:tcBorders>
              <w:top w:val="single" w:color="000000" w:sz="4" w:space="0"/>
              <w:left w:val="single" w:color="000000" w:sz="4" w:space="0"/>
              <w:bottom w:val="single" w:color="000000" w:sz="4" w:space="0"/>
            </w:tcBorders>
          </w:tcPr>
          <w:p>
            <w:pPr>
              <w:pStyle w:val="19"/>
              <w:spacing w:before="76"/>
              <w:ind w:left="510" w:right="487"/>
              <w:rPr>
                <w:rFonts w:ascii="Times New Roman"/>
                <w:sz w:val="21"/>
              </w:rPr>
            </w:pPr>
            <w:r>
              <w:rPr>
                <w:rFonts w:ascii="Times New Roman"/>
                <w:sz w:val="21"/>
              </w:rPr>
              <w:t>0.95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0" w:type="dxa"/>
            <w:tcBorders>
              <w:top w:val="single" w:color="000000" w:sz="4" w:space="0"/>
              <w:bottom w:val="single" w:color="000000" w:sz="4" w:space="0"/>
              <w:right w:val="single" w:color="000000" w:sz="4" w:space="0"/>
            </w:tcBorders>
          </w:tcPr>
          <w:p>
            <w:pPr>
              <w:pStyle w:val="19"/>
              <w:spacing w:before="75"/>
              <w:ind w:left="626" w:right="613"/>
              <w:rPr>
                <w:rFonts w:ascii="Times New Roman"/>
                <w:sz w:val="21"/>
              </w:rPr>
            </w:pPr>
            <w:r>
              <w:rPr>
                <w:rFonts w:ascii="Times New Roman"/>
                <w:sz w:val="21"/>
              </w:rPr>
              <w:t>30</w:t>
            </w:r>
          </w:p>
        </w:tc>
        <w:tc>
          <w:tcPr>
            <w:tcW w:w="2335" w:type="dxa"/>
            <w:tcBorders>
              <w:top w:val="single" w:color="000000" w:sz="4" w:space="0"/>
              <w:left w:val="single" w:color="000000" w:sz="4" w:space="0"/>
              <w:bottom w:val="single" w:color="000000" w:sz="4" w:space="0"/>
              <w:right w:val="single" w:color="000000" w:sz="4" w:space="0"/>
            </w:tcBorders>
          </w:tcPr>
          <w:p>
            <w:pPr>
              <w:pStyle w:val="19"/>
              <w:spacing w:before="75"/>
              <w:ind w:left="147" w:right="128"/>
              <w:rPr>
                <w:rFonts w:ascii="Times New Roman"/>
                <w:sz w:val="21"/>
              </w:rPr>
            </w:pPr>
            <w:r>
              <w:rPr>
                <w:rFonts w:ascii="Times New Roman"/>
                <w:sz w:val="21"/>
              </w:rPr>
              <w:t>0.98</w:t>
            </w:r>
          </w:p>
        </w:tc>
        <w:tc>
          <w:tcPr>
            <w:tcW w:w="2303" w:type="dxa"/>
            <w:tcBorders>
              <w:top w:val="single" w:color="000000" w:sz="4" w:space="0"/>
              <w:left w:val="single" w:color="000000" w:sz="4" w:space="0"/>
              <w:bottom w:val="single" w:color="000000" w:sz="4" w:space="0"/>
              <w:right w:val="single" w:color="000000" w:sz="4" w:space="0"/>
            </w:tcBorders>
          </w:tcPr>
          <w:p>
            <w:pPr>
              <w:pStyle w:val="19"/>
              <w:spacing w:before="75"/>
              <w:ind w:left="633" w:right="615"/>
              <w:rPr>
                <w:rFonts w:ascii="Times New Roman"/>
                <w:sz w:val="21"/>
              </w:rPr>
            </w:pPr>
            <w:r>
              <w:rPr>
                <w:rFonts w:ascii="Times New Roman"/>
                <w:sz w:val="21"/>
              </w:rPr>
              <w:t>150</w:t>
            </w:r>
          </w:p>
        </w:tc>
        <w:tc>
          <w:tcPr>
            <w:tcW w:w="2348" w:type="dxa"/>
            <w:tcBorders>
              <w:top w:val="single" w:color="000000" w:sz="4" w:space="0"/>
              <w:left w:val="single" w:color="000000" w:sz="4" w:space="0"/>
              <w:bottom w:val="single" w:color="000000" w:sz="4" w:space="0"/>
            </w:tcBorders>
          </w:tcPr>
          <w:p>
            <w:pPr>
              <w:pStyle w:val="19"/>
              <w:spacing w:before="75"/>
              <w:ind w:left="510" w:right="487"/>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300" w:type="dxa"/>
            <w:tcBorders>
              <w:top w:val="single" w:color="000000" w:sz="4" w:space="0"/>
              <w:bottom w:val="single" w:color="000000" w:sz="4" w:space="0"/>
              <w:right w:val="single" w:color="000000" w:sz="4" w:space="0"/>
            </w:tcBorders>
          </w:tcPr>
          <w:p>
            <w:pPr>
              <w:pStyle w:val="19"/>
              <w:spacing w:before="76"/>
              <w:ind w:left="626" w:right="613"/>
              <w:rPr>
                <w:rFonts w:ascii="Times New Roman"/>
                <w:sz w:val="21"/>
              </w:rPr>
            </w:pPr>
            <w:r>
              <w:rPr>
                <w:rFonts w:ascii="Times New Roman"/>
                <w:sz w:val="21"/>
              </w:rPr>
              <w:t>40</w:t>
            </w:r>
          </w:p>
        </w:tc>
        <w:tc>
          <w:tcPr>
            <w:tcW w:w="2335" w:type="dxa"/>
            <w:tcBorders>
              <w:top w:val="single" w:color="000000" w:sz="4" w:space="0"/>
              <w:left w:val="single" w:color="000000" w:sz="4" w:space="0"/>
              <w:bottom w:val="single" w:color="000000" w:sz="4" w:space="0"/>
              <w:right w:val="single" w:color="000000" w:sz="4" w:space="0"/>
            </w:tcBorders>
          </w:tcPr>
          <w:p>
            <w:pPr>
              <w:pStyle w:val="19"/>
              <w:spacing w:before="76"/>
              <w:ind w:left="147" w:right="128"/>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9"/>
              <w:spacing w:before="76"/>
              <w:ind w:left="633" w:right="615"/>
              <w:rPr>
                <w:rFonts w:ascii="Times New Roman"/>
                <w:sz w:val="21"/>
              </w:rPr>
            </w:pPr>
            <w:r>
              <w:rPr>
                <w:rFonts w:ascii="Times New Roman"/>
                <w:sz w:val="21"/>
              </w:rPr>
              <w:t>200</w:t>
            </w:r>
          </w:p>
        </w:tc>
        <w:tc>
          <w:tcPr>
            <w:tcW w:w="2348" w:type="dxa"/>
            <w:tcBorders>
              <w:top w:val="single" w:color="000000" w:sz="4" w:space="0"/>
              <w:left w:val="single" w:color="000000" w:sz="4" w:space="0"/>
              <w:bottom w:val="single" w:color="000000" w:sz="4" w:space="0"/>
            </w:tcBorders>
          </w:tcPr>
          <w:p>
            <w:pPr>
              <w:pStyle w:val="19"/>
              <w:spacing w:before="76"/>
              <w:ind w:left="510" w:right="487"/>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0" w:type="dxa"/>
            <w:tcBorders>
              <w:top w:val="single" w:color="000000" w:sz="4" w:space="0"/>
              <w:bottom w:val="single" w:color="000000" w:sz="4" w:space="0"/>
              <w:right w:val="single" w:color="000000" w:sz="4" w:space="0"/>
            </w:tcBorders>
          </w:tcPr>
          <w:p>
            <w:pPr>
              <w:pStyle w:val="19"/>
              <w:spacing w:before="77"/>
              <w:ind w:left="626" w:right="613"/>
              <w:rPr>
                <w:rFonts w:ascii="Times New Roman"/>
                <w:sz w:val="21"/>
              </w:rPr>
            </w:pPr>
            <w:r>
              <w:rPr>
                <w:rFonts w:ascii="Times New Roman"/>
                <w:sz w:val="21"/>
              </w:rPr>
              <w:t>50</w:t>
            </w:r>
          </w:p>
        </w:tc>
        <w:tc>
          <w:tcPr>
            <w:tcW w:w="2335" w:type="dxa"/>
            <w:tcBorders>
              <w:top w:val="single" w:color="000000" w:sz="4" w:space="0"/>
              <w:left w:val="single" w:color="000000" w:sz="4" w:space="0"/>
              <w:bottom w:val="single" w:color="000000" w:sz="4" w:space="0"/>
              <w:right w:val="single" w:color="000000" w:sz="4" w:space="0"/>
            </w:tcBorders>
          </w:tcPr>
          <w:p>
            <w:pPr>
              <w:pStyle w:val="19"/>
              <w:spacing w:before="77"/>
              <w:ind w:left="147" w:right="128"/>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9"/>
              <w:spacing w:before="77"/>
              <w:ind w:left="633" w:right="615"/>
              <w:rPr>
                <w:rFonts w:ascii="Times New Roman"/>
                <w:sz w:val="21"/>
              </w:rPr>
            </w:pPr>
            <w:r>
              <w:rPr>
                <w:rFonts w:ascii="Times New Roman"/>
                <w:sz w:val="21"/>
              </w:rPr>
              <w:t>250</w:t>
            </w:r>
          </w:p>
        </w:tc>
        <w:tc>
          <w:tcPr>
            <w:tcW w:w="2348" w:type="dxa"/>
            <w:tcBorders>
              <w:top w:val="single" w:color="000000" w:sz="4" w:space="0"/>
              <w:left w:val="single" w:color="000000" w:sz="4" w:space="0"/>
              <w:bottom w:val="single" w:color="000000" w:sz="4" w:space="0"/>
            </w:tcBorders>
          </w:tcPr>
          <w:p>
            <w:pPr>
              <w:pStyle w:val="19"/>
              <w:spacing w:before="77"/>
              <w:ind w:left="510" w:right="487"/>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0" w:type="dxa"/>
            <w:tcBorders>
              <w:top w:val="single" w:color="000000" w:sz="4" w:space="0"/>
              <w:bottom w:val="single" w:color="000000" w:sz="4" w:space="0"/>
              <w:right w:val="single" w:color="000000" w:sz="4" w:space="0"/>
            </w:tcBorders>
          </w:tcPr>
          <w:p>
            <w:pPr>
              <w:pStyle w:val="19"/>
              <w:spacing w:before="75"/>
              <w:ind w:left="626" w:right="613"/>
              <w:rPr>
                <w:rFonts w:ascii="Times New Roman"/>
                <w:sz w:val="21"/>
              </w:rPr>
            </w:pPr>
            <w:r>
              <w:rPr>
                <w:rFonts w:ascii="Times New Roman"/>
                <w:sz w:val="21"/>
              </w:rPr>
              <w:t>60</w:t>
            </w:r>
          </w:p>
        </w:tc>
        <w:tc>
          <w:tcPr>
            <w:tcW w:w="2335" w:type="dxa"/>
            <w:tcBorders>
              <w:top w:val="single" w:color="000000" w:sz="4" w:space="0"/>
              <w:left w:val="single" w:color="000000" w:sz="4" w:space="0"/>
              <w:bottom w:val="single" w:color="000000" w:sz="4" w:space="0"/>
              <w:right w:val="single" w:color="000000" w:sz="4" w:space="0"/>
            </w:tcBorders>
          </w:tcPr>
          <w:p>
            <w:pPr>
              <w:pStyle w:val="19"/>
              <w:spacing w:before="75"/>
              <w:ind w:left="147" w:right="128"/>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9"/>
              <w:spacing w:before="75"/>
              <w:ind w:left="633" w:right="615"/>
              <w:rPr>
                <w:rFonts w:ascii="Times New Roman"/>
                <w:sz w:val="21"/>
              </w:rPr>
            </w:pPr>
            <w:r>
              <w:rPr>
                <w:rFonts w:ascii="Times New Roman"/>
                <w:sz w:val="21"/>
              </w:rPr>
              <w:t>300</w:t>
            </w:r>
          </w:p>
        </w:tc>
        <w:tc>
          <w:tcPr>
            <w:tcW w:w="2348" w:type="dxa"/>
            <w:tcBorders>
              <w:top w:val="single" w:color="000000" w:sz="4" w:space="0"/>
              <w:left w:val="single" w:color="000000" w:sz="4" w:space="0"/>
              <w:bottom w:val="single" w:color="000000" w:sz="4" w:space="0"/>
            </w:tcBorders>
          </w:tcPr>
          <w:p>
            <w:pPr>
              <w:pStyle w:val="19"/>
              <w:spacing w:before="75"/>
              <w:ind w:left="510" w:right="487"/>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300" w:type="dxa"/>
            <w:tcBorders>
              <w:top w:val="single" w:color="000000" w:sz="4" w:space="0"/>
              <w:bottom w:val="single" w:color="000000" w:sz="4" w:space="0"/>
              <w:right w:val="single" w:color="000000" w:sz="4" w:space="0"/>
            </w:tcBorders>
          </w:tcPr>
          <w:p>
            <w:pPr>
              <w:pStyle w:val="19"/>
              <w:spacing w:before="76"/>
              <w:ind w:left="626" w:right="613"/>
              <w:rPr>
                <w:rFonts w:ascii="Times New Roman"/>
                <w:sz w:val="21"/>
              </w:rPr>
            </w:pPr>
            <w:r>
              <w:rPr>
                <w:rFonts w:ascii="Times New Roman"/>
                <w:sz w:val="21"/>
              </w:rPr>
              <w:t>70</w:t>
            </w:r>
          </w:p>
        </w:tc>
        <w:tc>
          <w:tcPr>
            <w:tcW w:w="2335" w:type="dxa"/>
            <w:tcBorders>
              <w:top w:val="single" w:color="000000" w:sz="4" w:space="0"/>
              <w:left w:val="single" w:color="000000" w:sz="4" w:space="0"/>
              <w:bottom w:val="single" w:color="000000" w:sz="4" w:space="0"/>
              <w:right w:val="single" w:color="000000" w:sz="4" w:space="0"/>
            </w:tcBorders>
          </w:tcPr>
          <w:p>
            <w:pPr>
              <w:pStyle w:val="19"/>
              <w:spacing w:before="76"/>
              <w:ind w:left="147" w:right="128"/>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9"/>
              <w:spacing w:before="76"/>
              <w:ind w:left="633" w:right="615"/>
              <w:rPr>
                <w:rFonts w:ascii="Times New Roman"/>
                <w:sz w:val="21"/>
              </w:rPr>
            </w:pPr>
            <w:r>
              <w:rPr>
                <w:rFonts w:ascii="Times New Roman"/>
                <w:sz w:val="21"/>
              </w:rPr>
              <w:t>350</w:t>
            </w:r>
          </w:p>
        </w:tc>
        <w:tc>
          <w:tcPr>
            <w:tcW w:w="2348" w:type="dxa"/>
            <w:tcBorders>
              <w:top w:val="single" w:color="000000" w:sz="4" w:space="0"/>
              <w:left w:val="single" w:color="000000" w:sz="4" w:space="0"/>
              <w:bottom w:val="single" w:color="000000" w:sz="4" w:space="0"/>
            </w:tcBorders>
          </w:tcPr>
          <w:p>
            <w:pPr>
              <w:pStyle w:val="19"/>
              <w:spacing w:before="76"/>
              <w:ind w:left="510" w:right="487"/>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0" w:type="dxa"/>
            <w:tcBorders>
              <w:top w:val="single" w:color="000000" w:sz="4" w:space="0"/>
              <w:bottom w:val="single" w:color="000000" w:sz="4" w:space="0"/>
              <w:right w:val="single" w:color="000000" w:sz="4" w:space="0"/>
            </w:tcBorders>
          </w:tcPr>
          <w:p>
            <w:pPr>
              <w:pStyle w:val="19"/>
              <w:spacing w:before="75"/>
              <w:ind w:left="626" w:right="613"/>
              <w:rPr>
                <w:rFonts w:ascii="Times New Roman"/>
                <w:sz w:val="21"/>
              </w:rPr>
            </w:pPr>
            <w:r>
              <w:rPr>
                <w:rFonts w:ascii="Times New Roman"/>
                <w:sz w:val="21"/>
              </w:rPr>
              <w:t>80</w:t>
            </w:r>
          </w:p>
        </w:tc>
        <w:tc>
          <w:tcPr>
            <w:tcW w:w="2335" w:type="dxa"/>
            <w:tcBorders>
              <w:top w:val="single" w:color="000000" w:sz="4" w:space="0"/>
              <w:left w:val="single" w:color="000000" w:sz="4" w:space="0"/>
              <w:bottom w:val="single" w:color="000000" w:sz="4" w:space="0"/>
              <w:right w:val="single" w:color="000000" w:sz="4" w:space="0"/>
            </w:tcBorders>
          </w:tcPr>
          <w:p>
            <w:pPr>
              <w:pStyle w:val="19"/>
              <w:spacing w:before="75"/>
              <w:ind w:left="147" w:right="128"/>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9"/>
              <w:spacing w:before="75"/>
              <w:ind w:left="633" w:right="615"/>
              <w:rPr>
                <w:rFonts w:ascii="Times New Roman"/>
                <w:sz w:val="21"/>
              </w:rPr>
            </w:pPr>
            <w:r>
              <w:rPr>
                <w:rFonts w:ascii="Times New Roman"/>
                <w:sz w:val="21"/>
              </w:rPr>
              <w:t>400</w:t>
            </w:r>
          </w:p>
        </w:tc>
        <w:tc>
          <w:tcPr>
            <w:tcW w:w="2348" w:type="dxa"/>
            <w:tcBorders>
              <w:top w:val="single" w:color="000000" w:sz="4" w:space="0"/>
              <w:left w:val="single" w:color="000000" w:sz="4" w:space="0"/>
              <w:bottom w:val="single" w:color="000000" w:sz="4" w:space="0"/>
            </w:tcBorders>
          </w:tcPr>
          <w:p>
            <w:pPr>
              <w:pStyle w:val="19"/>
              <w:spacing w:before="75"/>
              <w:ind w:left="510" w:right="487"/>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0" w:type="dxa"/>
            <w:tcBorders>
              <w:top w:val="single" w:color="000000" w:sz="4" w:space="0"/>
              <w:bottom w:val="single" w:color="000000" w:sz="4" w:space="0"/>
              <w:right w:val="single" w:color="000000" w:sz="4" w:space="0"/>
            </w:tcBorders>
          </w:tcPr>
          <w:p>
            <w:pPr>
              <w:pStyle w:val="19"/>
              <w:spacing w:before="76"/>
              <w:ind w:left="626" w:right="613"/>
              <w:rPr>
                <w:rFonts w:ascii="Times New Roman"/>
                <w:sz w:val="21"/>
              </w:rPr>
            </w:pPr>
            <w:r>
              <w:rPr>
                <w:rFonts w:ascii="Times New Roman"/>
                <w:sz w:val="21"/>
              </w:rPr>
              <w:t>90</w:t>
            </w:r>
          </w:p>
        </w:tc>
        <w:tc>
          <w:tcPr>
            <w:tcW w:w="2335" w:type="dxa"/>
            <w:tcBorders>
              <w:top w:val="single" w:color="000000" w:sz="4" w:space="0"/>
              <w:left w:val="single" w:color="000000" w:sz="4" w:space="0"/>
              <w:bottom w:val="single" w:color="000000" w:sz="4" w:space="0"/>
              <w:right w:val="single" w:color="000000" w:sz="4" w:space="0"/>
            </w:tcBorders>
          </w:tcPr>
          <w:p>
            <w:pPr>
              <w:pStyle w:val="19"/>
              <w:spacing w:before="76"/>
              <w:ind w:left="147" w:right="128"/>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9"/>
              <w:spacing w:before="76"/>
              <w:ind w:left="633" w:right="615"/>
              <w:rPr>
                <w:rFonts w:ascii="Times New Roman"/>
                <w:sz w:val="21"/>
              </w:rPr>
            </w:pPr>
            <w:r>
              <w:rPr>
                <w:rFonts w:ascii="Times New Roman"/>
                <w:sz w:val="21"/>
              </w:rPr>
              <w:t>450</w:t>
            </w:r>
          </w:p>
        </w:tc>
        <w:tc>
          <w:tcPr>
            <w:tcW w:w="2348" w:type="dxa"/>
            <w:tcBorders>
              <w:top w:val="single" w:color="000000" w:sz="4" w:space="0"/>
              <w:left w:val="single" w:color="000000" w:sz="4" w:space="0"/>
              <w:bottom w:val="single" w:color="000000" w:sz="4" w:space="0"/>
            </w:tcBorders>
          </w:tcPr>
          <w:p>
            <w:pPr>
              <w:pStyle w:val="19"/>
              <w:spacing w:before="76"/>
              <w:ind w:left="510" w:right="487"/>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300" w:type="dxa"/>
            <w:tcBorders>
              <w:top w:val="single" w:color="000000" w:sz="4" w:space="0"/>
              <w:right w:val="single" w:color="000000" w:sz="4" w:space="0"/>
            </w:tcBorders>
          </w:tcPr>
          <w:p>
            <w:pPr>
              <w:pStyle w:val="19"/>
              <w:spacing w:before="77"/>
              <w:ind w:left="626" w:right="613"/>
              <w:rPr>
                <w:rFonts w:ascii="Times New Roman"/>
                <w:sz w:val="21"/>
              </w:rPr>
            </w:pPr>
            <w:r>
              <w:rPr>
                <w:rFonts w:ascii="Times New Roman"/>
                <w:sz w:val="21"/>
              </w:rPr>
              <w:t>100</w:t>
            </w:r>
          </w:p>
        </w:tc>
        <w:tc>
          <w:tcPr>
            <w:tcW w:w="2335" w:type="dxa"/>
            <w:tcBorders>
              <w:top w:val="single" w:color="000000" w:sz="4" w:space="0"/>
              <w:left w:val="single" w:color="000000" w:sz="4" w:space="0"/>
              <w:right w:val="single" w:color="000000" w:sz="4" w:space="0"/>
            </w:tcBorders>
          </w:tcPr>
          <w:p>
            <w:pPr>
              <w:pStyle w:val="19"/>
              <w:spacing w:before="77"/>
              <w:ind w:left="147" w:right="128"/>
              <w:rPr>
                <w:rFonts w:ascii="Times New Roman"/>
                <w:sz w:val="21"/>
              </w:rPr>
            </w:pPr>
            <w:r>
              <w:rPr>
                <w:rFonts w:ascii="Times New Roman"/>
                <w:sz w:val="21"/>
              </w:rPr>
              <w:t>0.00</w:t>
            </w:r>
          </w:p>
        </w:tc>
        <w:tc>
          <w:tcPr>
            <w:tcW w:w="2303" w:type="dxa"/>
            <w:tcBorders>
              <w:top w:val="single" w:color="000000" w:sz="4" w:space="0"/>
              <w:left w:val="single" w:color="000000" w:sz="4" w:space="0"/>
              <w:right w:val="single" w:color="000000" w:sz="4" w:space="0"/>
            </w:tcBorders>
          </w:tcPr>
          <w:p>
            <w:pPr>
              <w:pStyle w:val="19"/>
              <w:spacing w:before="77"/>
              <w:ind w:left="633" w:right="615"/>
              <w:rPr>
                <w:rFonts w:ascii="Times New Roman"/>
                <w:sz w:val="21"/>
              </w:rPr>
            </w:pPr>
            <w:r>
              <w:rPr>
                <w:rFonts w:ascii="Times New Roman"/>
                <w:sz w:val="21"/>
              </w:rPr>
              <w:t>500</w:t>
            </w:r>
          </w:p>
        </w:tc>
        <w:tc>
          <w:tcPr>
            <w:tcW w:w="2348" w:type="dxa"/>
            <w:tcBorders>
              <w:top w:val="single" w:color="000000" w:sz="4" w:space="0"/>
              <w:left w:val="single" w:color="000000" w:sz="4" w:space="0"/>
            </w:tcBorders>
          </w:tcPr>
          <w:p>
            <w:pPr>
              <w:pStyle w:val="19"/>
              <w:spacing w:before="77"/>
              <w:ind w:left="510" w:right="487"/>
              <w:rPr>
                <w:rFonts w:ascii="Times New Roman"/>
                <w:sz w:val="21"/>
              </w:rPr>
            </w:pPr>
            <w:r>
              <w:rPr>
                <w:rFonts w:ascii="Times New Roman"/>
                <w:sz w:val="21"/>
              </w:rPr>
              <w:t>0.00</w:t>
            </w:r>
          </w:p>
        </w:tc>
      </w:tr>
    </w:tbl>
    <w:p>
      <w:pPr>
        <w:pStyle w:val="9"/>
        <w:spacing w:before="1" w:line="364" w:lineRule="auto"/>
        <w:ind w:left="1418" w:right="1417" w:firstLine="480"/>
        <w:jc w:val="both"/>
      </w:pPr>
      <w:r>
        <w:rPr>
          <w:spacing w:val="-7"/>
        </w:rPr>
        <w:t>由上表可知，在非正常情况下，区域地下水流动缓慢，如污染物渗入地下水，污染</w:t>
      </w:r>
      <w:r>
        <w:rPr>
          <w:spacing w:val="-2"/>
        </w:rPr>
        <w:t>物随地下水迁移速度较慢，</w:t>
      </w:r>
      <w:r>
        <w:rPr>
          <w:rFonts w:ascii="Times New Roman" w:eastAsia="Times New Roman"/>
          <w:spacing w:val="-6"/>
        </w:rPr>
        <w:t>100</w:t>
      </w:r>
      <w:r>
        <w:rPr>
          <w:spacing w:val="-5"/>
        </w:rPr>
        <w:t>天时，预测的最大值为</w:t>
      </w:r>
      <w:r>
        <w:rPr>
          <w:rFonts w:ascii="Times New Roman" w:eastAsia="Times New Roman"/>
        </w:rPr>
        <w:t>25231.32mg/l</w:t>
      </w:r>
      <w:r>
        <w:rPr>
          <w:spacing w:val="-2"/>
        </w:rPr>
        <w:t>，预测超标距离最远</w:t>
      </w:r>
      <w:r>
        <w:rPr>
          <w:spacing w:val="-1"/>
        </w:rPr>
        <w:t>为</w:t>
      </w:r>
      <w:r>
        <w:rPr>
          <w:rFonts w:ascii="Times New Roman" w:eastAsia="Times New Roman"/>
          <w:spacing w:val="-6"/>
        </w:rPr>
        <w:t>28m</w:t>
      </w:r>
      <w:r>
        <w:rPr>
          <w:spacing w:val="-3"/>
        </w:rPr>
        <w:t>，影响距离最远为</w:t>
      </w:r>
      <w:r>
        <w:rPr>
          <w:rFonts w:ascii="Times New Roman" w:eastAsia="Times New Roman"/>
          <w:spacing w:val="-3"/>
        </w:rPr>
        <w:t>33m</w:t>
      </w:r>
      <w:r>
        <w:rPr>
          <w:spacing w:val="-3"/>
        </w:rPr>
        <w:t>；</w:t>
      </w:r>
      <w:r>
        <w:rPr>
          <w:rFonts w:ascii="Times New Roman" w:eastAsia="Times New Roman"/>
          <w:spacing w:val="-3"/>
        </w:rPr>
        <w:t>1000</w:t>
      </w:r>
      <w:r>
        <w:rPr>
          <w:spacing w:val="-5"/>
        </w:rPr>
        <w:t>天时，预测的最大值为</w:t>
      </w:r>
      <w:r>
        <w:rPr>
          <w:rFonts w:ascii="Times New Roman" w:eastAsia="Times New Roman"/>
        </w:rPr>
        <w:t>7978.845mg/l</w:t>
      </w:r>
      <w:r>
        <w:rPr>
          <w:spacing w:val="-2"/>
        </w:rPr>
        <w:t>，预测超标距离</w:t>
      </w:r>
      <w:r>
        <w:t>最远为</w:t>
      </w:r>
      <w:r>
        <w:rPr>
          <w:rFonts w:ascii="Times New Roman" w:eastAsia="Times New Roman"/>
          <w:spacing w:val="-5"/>
        </w:rPr>
        <w:t>94m</w:t>
      </w:r>
      <w:r>
        <w:rPr>
          <w:spacing w:val="-2"/>
        </w:rPr>
        <w:t>，影响距离最远为</w:t>
      </w:r>
      <w:r>
        <w:rPr>
          <w:rFonts w:ascii="Times New Roman" w:eastAsia="Times New Roman"/>
          <w:spacing w:val="-6"/>
        </w:rPr>
        <w:t>110m</w:t>
      </w:r>
      <w:r>
        <w:rPr>
          <w:spacing w:val="-5"/>
        </w:rPr>
        <w:t>，该范围内无地下水敏感目标，不会对周围地下水井</w:t>
      </w:r>
      <w:r>
        <w:t>产生影响，故对其地下水环境影响较小。</w:t>
      </w:r>
    </w:p>
    <w:p>
      <w:pPr>
        <w:pStyle w:val="9"/>
        <w:spacing w:line="306" w:lineRule="exact"/>
        <w:ind w:left="1898"/>
      </w:pPr>
      <w:r>
        <w:rPr>
          <w:rFonts w:ascii="Times New Roman" w:eastAsia="Times New Roman"/>
        </w:rPr>
        <w:t>6</w:t>
      </w:r>
      <w:r>
        <w:t>、煤矸石转运场对地下水水质的影响</w:t>
      </w:r>
    </w:p>
    <w:p>
      <w:pPr>
        <w:pStyle w:val="18"/>
        <w:numPr>
          <w:ilvl w:val="0"/>
          <w:numId w:val="65"/>
        </w:numPr>
        <w:tabs>
          <w:tab w:val="left" w:pos="2500"/>
        </w:tabs>
        <w:spacing w:before="158" w:after="0" w:line="240" w:lineRule="auto"/>
        <w:ind w:left="2499" w:right="0" w:hanging="602"/>
        <w:jc w:val="left"/>
        <w:rPr>
          <w:sz w:val="24"/>
        </w:rPr>
      </w:pPr>
      <w:r>
        <w:rPr>
          <w:sz w:val="24"/>
        </w:rPr>
        <w:t>煤矸石转运场地质情况</w:t>
      </w:r>
    </w:p>
    <w:p>
      <w:pPr>
        <w:pStyle w:val="9"/>
        <w:spacing w:before="160"/>
        <w:ind w:left="1898"/>
      </w:pPr>
      <w:r>
        <w:t xml:space="preserve">据调查煤矸石转运场地面新生界第四系顶部有 </w:t>
      </w:r>
      <w:r>
        <w:rPr>
          <w:rFonts w:ascii="Times New Roman" w:hAnsi="Times New Roman" w:eastAsia="Times New Roman"/>
        </w:rPr>
        <w:t xml:space="preserve">1.0—8.0 </w:t>
      </w:r>
      <w:r>
        <w:t>米的腐植土和粘土，在一定</w:t>
      </w:r>
    </w:p>
    <w:p>
      <w:pPr>
        <w:spacing w:after="0"/>
        <w:sectPr>
          <w:type w:val="continuous"/>
          <w:pgSz w:w="11910" w:h="16840"/>
          <w:pgMar w:top="1580" w:right="0" w:bottom="280" w:left="0" w:header="720" w:footer="720" w:gutter="0"/>
        </w:sectPr>
      </w:pPr>
    </w:p>
    <w:p>
      <w:pPr>
        <w:pStyle w:val="9"/>
        <w:spacing w:before="41"/>
        <w:ind w:left="1418"/>
      </w:pPr>
      <w:r>
        <w:t>程度上对大气降水起着隔水作用，可以防止矸石淋滤液下渗。</w:t>
      </w:r>
    </w:p>
    <w:p>
      <w:pPr>
        <w:pStyle w:val="18"/>
        <w:numPr>
          <w:ilvl w:val="0"/>
          <w:numId w:val="65"/>
        </w:numPr>
        <w:tabs>
          <w:tab w:val="left" w:pos="2500"/>
        </w:tabs>
        <w:spacing w:before="158" w:after="0" w:line="240" w:lineRule="auto"/>
        <w:ind w:left="2499" w:right="0" w:hanging="602"/>
        <w:jc w:val="left"/>
        <w:rPr>
          <w:sz w:val="24"/>
        </w:rPr>
      </w:pPr>
      <w:r>
        <w:rPr>
          <w:sz w:val="24"/>
        </w:rPr>
        <w:t>煤矸石种类检测结果</w:t>
      </w:r>
    </w:p>
    <w:p>
      <w:pPr>
        <w:pStyle w:val="9"/>
        <w:spacing w:before="161"/>
        <w:ind w:left="2018"/>
      </w:pPr>
      <w:r>
        <w:t>经检测，本项目煤矸石属于《一般工业固体废物贮存、处置场污染控制标准》</w:t>
      </w:r>
    </w:p>
    <w:p>
      <w:pPr>
        <w:pStyle w:val="9"/>
        <w:spacing w:before="160"/>
        <w:ind w:left="1418"/>
      </w:pPr>
      <w:r>
        <w:rPr>
          <w:rFonts w:ascii="Times New Roman" w:hAnsi="Times New Roman" w:eastAsia="Times New Roman"/>
        </w:rPr>
        <w:t>(GB18599-2001)</w:t>
      </w:r>
      <w:r>
        <w:t>中所定义第Ⅰ类一般固体废物，煤矸石转运场按Ⅰ类贮存场设计。</w:t>
      </w:r>
    </w:p>
    <w:p>
      <w:pPr>
        <w:pStyle w:val="18"/>
        <w:numPr>
          <w:ilvl w:val="0"/>
          <w:numId w:val="65"/>
        </w:numPr>
        <w:tabs>
          <w:tab w:val="left" w:pos="2500"/>
        </w:tabs>
        <w:spacing w:before="158" w:after="0" w:line="240" w:lineRule="auto"/>
        <w:ind w:left="2499" w:right="0" w:hanging="602"/>
        <w:jc w:val="left"/>
        <w:rPr>
          <w:sz w:val="24"/>
        </w:rPr>
      </w:pPr>
      <w:r>
        <w:rPr>
          <w:sz w:val="24"/>
        </w:rPr>
        <w:t>煤矸石转运场对地下水影响</w:t>
      </w:r>
    </w:p>
    <w:p>
      <w:pPr>
        <w:pStyle w:val="9"/>
        <w:spacing w:before="161" w:line="364" w:lineRule="auto"/>
        <w:ind w:left="1418" w:right="1411" w:firstLine="600"/>
        <w:jc w:val="both"/>
      </w:pPr>
      <w:r>
        <w:t>矸石堆场周边修建截排水沟，正常状况下不会产生矸石淋滤水。根据煤矸石浸出液监测结果，矸石淋溶液各特征污染物浓度均较低，各浓度特征污染物浓度均低于</w:t>
      </w:r>
      <w:r>
        <w:rPr>
          <w:rFonts w:ascii="Times New Roman" w:eastAsia="Times New Roman"/>
        </w:rPr>
        <w:t>GB/T14848-2017</w:t>
      </w:r>
      <w:r>
        <w:t>《地下水质量标准》</w:t>
      </w:r>
      <w:r>
        <w:rPr>
          <w:rFonts w:ascii="Times New Roman" w:eastAsia="Times New Roman"/>
        </w:rPr>
        <w:t xml:space="preserve">III </w:t>
      </w:r>
      <w:r>
        <w:t>类水标准限值，故本次评价不再对临时矸石堆场淋滤液下渗污染进行预测评价。</w:t>
      </w:r>
    </w:p>
    <w:p>
      <w:pPr>
        <w:pStyle w:val="9"/>
        <w:spacing w:line="305" w:lineRule="exact"/>
        <w:ind w:left="1886"/>
      </w:pPr>
      <w:r>
        <w:rPr>
          <w:rFonts w:ascii="Times New Roman" w:eastAsia="Times New Roman"/>
        </w:rPr>
        <w:t>7</w:t>
      </w:r>
      <w:r>
        <w:t>、地下水环境影响分析结论</w:t>
      </w:r>
    </w:p>
    <w:p>
      <w:pPr>
        <w:pStyle w:val="9"/>
        <w:spacing w:before="158" w:line="364" w:lineRule="auto"/>
        <w:ind w:left="1418" w:right="1417" w:firstLine="480"/>
        <w:jc w:val="both"/>
      </w:pPr>
      <w:r>
        <w:rPr>
          <w:spacing w:val="-3"/>
        </w:rPr>
        <w:t>建设项目对地下水的污染主要来自污水处理站下渗对地下水造成的污染，本工程污</w:t>
      </w:r>
      <w:r>
        <w:rPr>
          <w:spacing w:val="-4"/>
        </w:rPr>
        <w:t>水处理构筑物及污水管道均采取了防渗处理措施，在运行期间，通过加强管理，严防污</w:t>
      </w:r>
      <w:r>
        <w:rPr>
          <w:spacing w:val="-8"/>
        </w:rPr>
        <w:t>染物的跑、冒、滴、漏，将污染物渗漏的环境风险事故降到最低限，通过预测结果可以</w:t>
      </w:r>
      <w:r>
        <w:t>看出本工程污染物渗漏对地下水水质影响较小。</w:t>
      </w:r>
    </w:p>
    <w:p>
      <w:pPr>
        <w:pStyle w:val="5"/>
        <w:numPr>
          <w:ilvl w:val="1"/>
          <w:numId w:val="63"/>
        </w:numPr>
        <w:tabs>
          <w:tab w:val="left" w:pos="1868"/>
        </w:tabs>
        <w:spacing w:before="0" w:after="0" w:line="240" w:lineRule="auto"/>
        <w:ind w:left="1867" w:right="0" w:hanging="450"/>
        <w:jc w:val="left"/>
      </w:pPr>
      <w:bookmarkStart w:id="314" w:name="_bookmark32"/>
      <w:bookmarkEnd w:id="314"/>
      <w:bookmarkStart w:id="315" w:name="_bookmark32"/>
      <w:bookmarkEnd w:id="315"/>
      <w:bookmarkStart w:id="316" w:name="5.6地下水环境保护措施"/>
      <w:bookmarkEnd w:id="316"/>
      <w:r>
        <w:rPr>
          <w:w w:val="95"/>
        </w:rPr>
        <w:t>地下水环境保护措施</w:t>
      </w:r>
    </w:p>
    <w:p>
      <w:pPr>
        <w:pStyle w:val="6"/>
        <w:numPr>
          <w:ilvl w:val="2"/>
          <w:numId w:val="63"/>
        </w:numPr>
        <w:tabs>
          <w:tab w:val="left" w:pos="2048"/>
        </w:tabs>
        <w:spacing w:before="200" w:after="0" w:line="240" w:lineRule="auto"/>
        <w:ind w:left="2047" w:right="0" w:hanging="630"/>
        <w:jc w:val="left"/>
        <w:rPr>
          <w:rFonts w:ascii="Times New Roman" w:eastAsia="Times New Roman"/>
        </w:rPr>
      </w:pPr>
      <w:bookmarkStart w:id="317" w:name="5.6.1源头控制措施"/>
      <w:bookmarkEnd w:id="317"/>
      <w:bookmarkStart w:id="318" w:name="5.6.1源头控制措施"/>
      <w:bookmarkEnd w:id="318"/>
      <w:r>
        <w:t>源头控制措施</w:t>
      </w:r>
    </w:p>
    <w:p>
      <w:pPr>
        <w:pStyle w:val="9"/>
        <w:spacing w:before="185" w:line="362" w:lineRule="auto"/>
        <w:ind w:left="1418" w:right="1416" w:firstLine="480"/>
      </w:pPr>
      <w:r>
        <w:rPr>
          <w:rFonts w:ascii="Times New Roman" w:eastAsia="Times New Roman"/>
        </w:rPr>
        <w:t>1</w:t>
      </w:r>
      <w:r>
        <w:t>、矿井生活污水处理站和矿井水处理站水处理过程中的池、渠及地面要采取防渗处理，阻断污染物进入地下水环境途径。</w:t>
      </w:r>
    </w:p>
    <w:p>
      <w:pPr>
        <w:pStyle w:val="9"/>
        <w:spacing w:before="5" w:line="362" w:lineRule="auto"/>
        <w:ind w:left="1418" w:right="1416" w:firstLine="480"/>
      </w:pPr>
      <w:r>
        <w:rPr>
          <w:rFonts w:ascii="Times New Roman" w:eastAsia="Times New Roman"/>
        </w:rPr>
        <w:t>2</w:t>
      </w:r>
      <w:r>
        <w:t>、禁止建设及生产过程中生活垃圾乱堆乱放，生活垃圾统一收集、集中运至垃圾处理厂处置。</w:t>
      </w:r>
    </w:p>
    <w:p>
      <w:pPr>
        <w:pStyle w:val="9"/>
        <w:spacing w:before="5" w:line="362" w:lineRule="auto"/>
        <w:ind w:left="1418" w:right="1245" w:firstLine="480"/>
      </w:pPr>
      <w:r>
        <w:rPr>
          <w:rFonts w:ascii="Times New Roman" w:hAnsi="Times New Roman" w:eastAsia="Times New Roman"/>
        </w:rPr>
        <w:t>3</w:t>
      </w:r>
      <w:r>
        <w:t>、在开采煤层时，需要坚持</w:t>
      </w:r>
      <w:r>
        <w:rPr>
          <w:rFonts w:ascii="Times New Roman" w:hAnsi="Times New Roman" w:eastAsia="Times New Roman"/>
        </w:rPr>
        <w:t>“</w:t>
      </w:r>
      <w:r>
        <w:t>预测预报、有掘必探、先探后掘，先治后采</w:t>
      </w:r>
      <w:r>
        <w:rPr>
          <w:rFonts w:ascii="Times New Roman" w:hAnsi="Times New Roman" w:eastAsia="Times New Roman"/>
        </w:rPr>
        <w:t>”</w:t>
      </w:r>
      <w:r>
        <w:t>的原则， 避免发生突水、透水事故，既可以保护水资源，又可以保证煤矿安全生产。需严格执行</w:t>
      </w:r>
    </w:p>
    <w:p>
      <w:pPr>
        <w:pStyle w:val="9"/>
        <w:spacing w:before="5" w:line="364" w:lineRule="auto"/>
        <w:ind w:left="1418" w:right="1365"/>
        <w:jc w:val="both"/>
      </w:pPr>
      <w:r>
        <w:rPr>
          <w:spacing w:val="-6"/>
        </w:rPr>
        <w:t>《煤矿安全规程》，防止煤矿开采对奥灰水造成影响。严格执行探水工作，在可能发生</w:t>
      </w:r>
      <w:r>
        <w:rPr>
          <w:spacing w:val="-9"/>
        </w:rPr>
        <w:t>突水的区域应采取探防水措施，探测是否有隐伏陷落柱和断裂构造，探明构造情况后进</w:t>
      </w:r>
      <w:r>
        <w:rPr>
          <w:spacing w:val="-10"/>
        </w:rPr>
        <w:t xml:space="preserve">行注浆堵水等工程措施，杜绝矿井突水事件发生。探水钻进要严格按照操作规程进行， </w:t>
      </w:r>
      <w:r>
        <w:rPr>
          <w:spacing w:val="-4"/>
        </w:rPr>
        <w:t>报废的钻孔必须及时封孔，切断各含水层间因钻孔形成的水力联系，防止地下水通过钻</w:t>
      </w:r>
      <w:r>
        <w:rPr>
          <w:spacing w:val="-9"/>
        </w:rPr>
        <w:t>孔进入井巷，以保护地下水资源。另外应加强开采过程中对断层导水性变化的鉴别以及渗水量的监测。</w:t>
      </w:r>
    </w:p>
    <w:p>
      <w:pPr>
        <w:pStyle w:val="9"/>
        <w:spacing w:line="304" w:lineRule="exact"/>
        <w:ind w:left="1898"/>
      </w:pPr>
      <w:r>
        <w:rPr>
          <w:rFonts w:ascii="Times New Roman" w:eastAsia="Times New Roman"/>
        </w:rPr>
        <w:t>4</w:t>
      </w:r>
      <w:r>
        <w:t>、矸石场必须建设完备的排水设施并做好防渗处理，确保矸石淋溶液不对区域水</w:t>
      </w:r>
    </w:p>
    <w:p>
      <w:pPr>
        <w:spacing w:after="0" w:line="304" w:lineRule="exact"/>
        <w:sectPr>
          <w:pgSz w:w="11910" w:h="16840"/>
          <w:pgMar w:top="1360" w:right="0" w:bottom="880" w:left="0" w:header="0" w:footer="681" w:gutter="0"/>
        </w:sectPr>
      </w:pPr>
    </w:p>
    <w:p>
      <w:pPr>
        <w:pStyle w:val="9"/>
        <w:spacing w:before="41"/>
        <w:ind w:left="1418"/>
      </w:pPr>
      <w:r>
        <w:t>环境产生明显影响</w:t>
      </w:r>
    </w:p>
    <w:p>
      <w:pPr>
        <w:pStyle w:val="6"/>
        <w:numPr>
          <w:ilvl w:val="2"/>
          <w:numId w:val="63"/>
        </w:numPr>
        <w:tabs>
          <w:tab w:val="left" w:pos="2048"/>
        </w:tabs>
        <w:spacing w:before="159" w:after="0" w:line="240" w:lineRule="auto"/>
        <w:ind w:left="2047" w:right="0" w:hanging="630"/>
        <w:jc w:val="left"/>
        <w:rPr>
          <w:rFonts w:ascii="Times New Roman" w:eastAsia="Times New Roman"/>
        </w:rPr>
      </w:pPr>
      <w:bookmarkStart w:id="319" w:name="5.6.2地下水水资源损失减缓措施"/>
      <w:bookmarkEnd w:id="319"/>
      <w:bookmarkStart w:id="320" w:name="5.6.2地下水水资源损失减缓措施"/>
      <w:bookmarkEnd w:id="320"/>
      <w:r>
        <w:t>地下水水资源损失减缓措施</w:t>
      </w:r>
    </w:p>
    <w:p>
      <w:pPr>
        <w:pStyle w:val="9"/>
        <w:spacing w:before="185"/>
        <w:ind w:left="1898"/>
      </w:pPr>
      <w:r>
        <w:rPr>
          <w:rFonts w:ascii="Times New Roman" w:eastAsia="Times New Roman"/>
        </w:rPr>
        <w:t>1</w:t>
      </w:r>
      <w:r>
        <w:t>、建立地下水观测网系统</w:t>
      </w:r>
    </w:p>
    <w:p>
      <w:pPr>
        <w:pStyle w:val="9"/>
        <w:spacing w:before="161" w:line="364" w:lineRule="auto"/>
        <w:ind w:left="1418" w:right="1365" w:firstLine="480"/>
        <w:jc w:val="both"/>
      </w:pPr>
      <w:r>
        <w:rPr>
          <w:spacing w:val="-1"/>
        </w:rPr>
        <w:t xml:space="preserve">结合观测区地质、水文地质、地表、地下条件，以用最少点控制较大面积为原则， </w:t>
      </w:r>
      <w:r>
        <w:rPr>
          <w:spacing w:val="-4"/>
        </w:rPr>
        <w:t>建立地下水动态观测网，以掌握地下水位动态变化规律，有效预测疏干涌水量，指导疏</w:t>
      </w:r>
      <w:r>
        <w:rPr>
          <w:spacing w:val="-7"/>
        </w:rPr>
        <w:t>干工作。若实际开发中造成区域地下水水位严重下降，建设单位应及时组织水文地质专</w:t>
      </w:r>
      <w:r>
        <w:rPr>
          <w:spacing w:val="-9"/>
        </w:rPr>
        <w:t>家查找原因，针对性地制定工程防治措施和配套补救措施，对可能造成的不良影响的给以经济补偿，并根据建设项目可能诱发的环境水文地质问题制定相应的监测方案。</w:t>
      </w:r>
    </w:p>
    <w:p>
      <w:pPr>
        <w:pStyle w:val="9"/>
        <w:spacing w:line="306" w:lineRule="exact"/>
        <w:ind w:left="1898"/>
      </w:pPr>
      <w:r>
        <w:rPr>
          <w:rFonts w:ascii="Times New Roman" w:eastAsia="Times New Roman"/>
        </w:rPr>
        <w:t>2</w:t>
      </w:r>
      <w:r>
        <w:t>、做好雨季或非正常状态下的矿坑防排水工作</w:t>
      </w:r>
    </w:p>
    <w:p>
      <w:pPr>
        <w:pStyle w:val="9"/>
        <w:spacing w:before="158" w:line="364" w:lineRule="auto"/>
        <w:ind w:left="1418" w:right="1297" w:firstLine="480"/>
      </w:pPr>
      <w:r>
        <w:rPr>
          <w:spacing w:val="-4"/>
        </w:rPr>
        <w:t>在雨季或非正常状态下，采煤废水量会再很短时间内突然增大，如果防排水系统不</w:t>
      </w:r>
      <w:r>
        <w:rPr>
          <w:spacing w:val="-15"/>
        </w:rPr>
        <w:t xml:space="preserve">合理或者不通畅，涌水量超过排水能力，会造成淹没煤层，污染煤系地层的地下水水质， </w:t>
      </w:r>
      <w:r>
        <w:rPr>
          <w:spacing w:val="-4"/>
        </w:rPr>
        <w:t>甚至会影响煤矿安全生产。因此，为了保证煤矿的正常安全生产，矿方应提前建立好相</w:t>
      </w:r>
      <w:r>
        <w:rPr>
          <w:spacing w:val="-7"/>
        </w:rPr>
        <w:t>关的地下水疏干计算机控制系统、地下水位监测计算机控制系统、地面防排水、地下水疏干系统，根据需要进行预先疏干。</w:t>
      </w:r>
    </w:p>
    <w:p>
      <w:pPr>
        <w:pStyle w:val="6"/>
        <w:numPr>
          <w:ilvl w:val="2"/>
          <w:numId w:val="63"/>
        </w:numPr>
        <w:tabs>
          <w:tab w:val="left" w:pos="2048"/>
        </w:tabs>
        <w:spacing w:before="0" w:after="0" w:line="358" w:lineRule="exact"/>
        <w:ind w:left="2047" w:right="0" w:hanging="630"/>
        <w:jc w:val="left"/>
        <w:rPr>
          <w:rFonts w:ascii="Times New Roman" w:eastAsia="Times New Roman"/>
        </w:rPr>
      </w:pPr>
      <w:bookmarkStart w:id="321" w:name="5.6.3分区防渗控制措施"/>
      <w:bookmarkEnd w:id="321"/>
      <w:bookmarkStart w:id="322" w:name="5.6.3分区防渗控制措施"/>
      <w:bookmarkEnd w:id="322"/>
      <w:r>
        <w:t>分区防渗控制措施</w:t>
      </w:r>
    </w:p>
    <w:p>
      <w:pPr>
        <w:pStyle w:val="9"/>
        <w:spacing w:before="185" w:line="364" w:lineRule="auto"/>
        <w:ind w:left="1418" w:right="1297" w:firstLine="480"/>
      </w:pPr>
      <w:r>
        <w:rPr>
          <w:spacing w:val="-3"/>
        </w:rPr>
        <w:t>将工业场地区划分为重点污染防治区和一般污染防治区，将临时排矸场区域及生活</w:t>
      </w:r>
      <w:r>
        <w:rPr>
          <w:spacing w:val="-15"/>
        </w:rPr>
        <w:t xml:space="preserve">污水处理站、矿井水处理站等区域划分为重点防治区域，对这些区域的地面做防渗处理， </w:t>
      </w:r>
      <w:r>
        <w:rPr>
          <w:spacing w:val="-3"/>
        </w:rPr>
        <w:t>防止污染物下渗造成地下水污染。其它区域划分为一般污染防治区域，对这些区域仅做一般的硬化处理。为防止项目对地下水产生污染，场区拟采取以下分区防渗措施：</w:t>
      </w:r>
    </w:p>
    <w:p>
      <w:pPr>
        <w:pStyle w:val="9"/>
        <w:spacing w:line="305" w:lineRule="exact"/>
        <w:ind w:left="1898"/>
      </w:pPr>
      <w:r>
        <w:t>将项目分为重点防渗区、一般防渗区。</w:t>
      </w:r>
    </w:p>
    <w:p>
      <w:pPr>
        <w:pStyle w:val="9"/>
        <w:spacing w:before="161" w:line="362" w:lineRule="auto"/>
        <w:ind w:left="1418" w:right="1416" w:firstLine="480"/>
      </w:pPr>
      <w:r>
        <w:rPr>
          <w:rFonts w:ascii="Times New Roman" w:hAnsi="Times New Roman" w:eastAsia="Times New Roman"/>
        </w:rPr>
        <w:t>1</w:t>
      </w:r>
      <w:r>
        <w:t xml:space="preserve">、重点防渗区为工业广场矸石暂存场、生活区污水处理站、矿井水处理站，需满足等效黏土防渗层 </w:t>
      </w:r>
      <w:r>
        <w:rPr>
          <w:rFonts w:ascii="Times New Roman" w:hAnsi="Times New Roman" w:eastAsia="Times New Roman"/>
        </w:rPr>
        <w:t>Mb≥6.0m</w:t>
      </w:r>
      <w:r>
        <w:t>，</w:t>
      </w:r>
      <w:r>
        <w:rPr>
          <w:rFonts w:ascii="Times New Roman" w:hAnsi="Times New Roman" w:eastAsia="Times New Roman"/>
        </w:rPr>
        <w:t>K≤1×10</w:t>
      </w:r>
      <w:r>
        <w:rPr>
          <w:rFonts w:ascii="Times New Roman" w:hAnsi="Times New Roman" w:eastAsia="Times New Roman"/>
          <w:position w:val="8"/>
          <w:sz w:val="15"/>
        </w:rPr>
        <w:t>-7</w:t>
      </w:r>
      <w:r>
        <w:rPr>
          <w:rFonts w:ascii="Times New Roman" w:hAnsi="Times New Roman" w:eastAsia="Times New Roman"/>
        </w:rPr>
        <w:t xml:space="preserve">cm/s </w:t>
      </w:r>
      <w:r>
        <w:t>的要求。</w:t>
      </w:r>
    </w:p>
    <w:p>
      <w:pPr>
        <w:pStyle w:val="9"/>
        <w:spacing w:before="2"/>
        <w:ind w:left="1898"/>
        <w:rPr>
          <w:rFonts w:ascii="Times New Roman" w:hAnsi="Times New Roman" w:eastAsia="Times New Roman"/>
        </w:rPr>
      </w:pPr>
      <w:r>
        <w:rPr>
          <w:rFonts w:ascii="Times New Roman" w:hAnsi="Times New Roman" w:eastAsia="Times New Roman"/>
        </w:rPr>
        <w:t>2</w:t>
      </w:r>
      <w:r>
        <w:t xml:space="preserve">、一般防渗区为储煤场等区域，需满足等效黏土防渗层 </w:t>
      </w:r>
      <w:r>
        <w:rPr>
          <w:rFonts w:ascii="Times New Roman" w:hAnsi="Times New Roman" w:eastAsia="Times New Roman"/>
        </w:rPr>
        <w:t>Mb≥1.5m</w:t>
      </w:r>
      <w:r>
        <w:t>，</w:t>
      </w:r>
      <w:r>
        <w:rPr>
          <w:rFonts w:ascii="Times New Roman" w:hAnsi="Times New Roman" w:eastAsia="Times New Roman"/>
        </w:rPr>
        <w:t>K≤1×10</w:t>
      </w:r>
      <w:r>
        <w:rPr>
          <w:rFonts w:ascii="Times New Roman" w:hAnsi="Times New Roman" w:eastAsia="Times New Roman"/>
          <w:position w:val="8"/>
          <w:sz w:val="15"/>
        </w:rPr>
        <w:t>-7</w:t>
      </w:r>
      <w:r>
        <w:rPr>
          <w:rFonts w:ascii="Times New Roman" w:hAnsi="Times New Roman" w:eastAsia="Times New Roman"/>
        </w:rPr>
        <w:t>cm/s</w:t>
      </w:r>
    </w:p>
    <w:p>
      <w:pPr>
        <w:pStyle w:val="9"/>
        <w:spacing w:before="161"/>
        <w:ind w:left="1418"/>
      </w:pPr>
      <w:r>
        <w:t>的要求。</w:t>
      </w:r>
    </w:p>
    <w:p>
      <w:pPr>
        <w:pStyle w:val="9"/>
        <w:spacing w:before="160"/>
        <w:ind w:left="1898"/>
      </w:pPr>
      <w:r>
        <w:rPr>
          <w:rFonts w:ascii="Times New Roman" w:eastAsia="Times New Roman"/>
        </w:rPr>
        <w:t>3</w:t>
      </w:r>
      <w:r>
        <w:t>、简单防渗区</w:t>
      </w:r>
    </w:p>
    <w:p>
      <w:pPr>
        <w:pStyle w:val="9"/>
        <w:spacing w:before="158" w:line="364" w:lineRule="auto"/>
        <w:ind w:left="1418" w:right="1354" w:firstLine="480"/>
      </w:pPr>
      <w:r>
        <w:t>简单防渗区为厂区道路、综合办公区域、变电所和职工宿舍大楼等区域，进行一般地面硬化。</w:t>
      </w:r>
    </w:p>
    <w:p>
      <w:pPr>
        <w:pStyle w:val="6"/>
        <w:numPr>
          <w:ilvl w:val="2"/>
          <w:numId w:val="66"/>
        </w:numPr>
        <w:tabs>
          <w:tab w:val="left" w:pos="2048"/>
        </w:tabs>
        <w:spacing w:before="0" w:after="0" w:line="358" w:lineRule="exact"/>
        <w:ind w:left="2047" w:right="0" w:hanging="630"/>
        <w:jc w:val="left"/>
      </w:pPr>
      <w:bookmarkStart w:id="323" w:name="5.5.4地下水监测措施"/>
      <w:bookmarkEnd w:id="323"/>
      <w:bookmarkStart w:id="324" w:name="5.5.4地下水监测措施"/>
      <w:bookmarkEnd w:id="324"/>
      <w:r>
        <w:t>地下水监测措施</w:t>
      </w:r>
    </w:p>
    <w:p>
      <w:pPr>
        <w:pStyle w:val="9"/>
        <w:spacing w:before="186"/>
        <w:ind w:left="1898"/>
      </w:pPr>
      <w:r>
        <w:t>本次评价给出地下水监测计划，目的在于保护井田下游居民饮水安全，对开采导致</w:t>
      </w:r>
    </w:p>
    <w:p>
      <w:pPr>
        <w:spacing w:after="0"/>
        <w:sectPr>
          <w:pgSz w:w="11910" w:h="16840"/>
          <w:pgMar w:top="1360" w:right="0" w:bottom="880" w:left="0" w:header="0" w:footer="681" w:gutter="0"/>
        </w:sectPr>
      </w:pPr>
    </w:p>
    <w:p>
      <w:pPr>
        <w:pStyle w:val="9"/>
        <w:spacing w:before="41" w:line="364" w:lineRule="auto"/>
        <w:ind w:left="1418" w:right="1417"/>
        <w:jc w:val="both"/>
      </w:pPr>
      <w:r>
        <w:rPr>
          <w:spacing w:val="-5"/>
        </w:rPr>
        <w:t>的地下水污染及时预警，并采取合理的补救措施。因此，为了及时准确的掌握地下水水</w:t>
      </w:r>
      <w:r>
        <w:rPr>
          <w:spacing w:val="-6"/>
        </w:rPr>
        <w:t>质的变化情况，评价建议建立评价区的区域地下水监控体系，其主要包括监测点位与监</w:t>
      </w:r>
      <w:r>
        <w:t>测项目、监测频率与监测因子、监测设备与监测人员等。</w:t>
      </w:r>
    </w:p>
    <w:p>
      <w:pPr>
        <w:pStyle w:val="9"/>
        <w:spacing w:line="307" w:lineRule="exact"/>
        <w:ind w:left="1898"/>
      </w:pPr>
      <w:r>
        <w:rPr>
          <w:rFonts w:ascii="Times New Roman" w:eastAsia="Times New Roman"/>
        </w:rPr>
        <w:t>1</w:t>
      </w:r>
      <w:r>
        <w:t>、监测项目</w:t>
      </w:r>
    </w:p>
    <w:p>
      <w:pPr>
        <w:pStyle w:val="9"/>
        <w:spacing w:before="158" w:line="364" w:lineRule="auto"/>
        <w:ind w:left="1418" w:right="1291" w:firstLine="480"/>
      </w:pPr>
      <w:r>
        <w:rPr>
          <w:rFonts w:ascii="Times New Roman" w:eastAsia="Times New Roman"/>
        </w:rPr>
        <w:t xml:space="preserve">pH </w:t>
      </w:r>
      <w:r>
        <w:t>值、溶解性总固体、总硬度、钾、钠、钙、镁、碳酸根、碳酸氢根、硫酸盐、</w:t>
      </w:r>
      <w:r>
        <w:rPr>
          <w:spacing w:val="-5"/>
        </w:rPr>
        <w:t>氯化物、氨氮、硝酸盐氮、亚硝酸盐氮、挥发酚、氟化物、氰化物、铁、锰、铅、六价</w:t>
      </w:r>
      <w:r>
        <w:rPr>
          <w:spacing w:val="-10"/>
        </w:rPr>
        <w:t xml:space="preserve">铬、镉、汞、砷、高锰酸盐指数、总大肠菌群和细菌总数共 </w:t>
      </w:r>
      <w:r>
        <w:rPr>
          <w:rFonts w:ascii="Times New Roman" w:eastAsia="Times New Roman"/>
        </w:rPr>
        <w:t xml:space="preserve">29 </w:t>
      </w:r>
      <w:r>
        <w:rPr>
          <w:spacing w:val="-4"/>
        </w:rPr>
        <w:t>项，并记录井深、水位、</w:t>
      </w:r>
      <w:r>
        <w:t>水温。</w:t>
      </w:r>
    </w:p>
    <w:p>
      <w:pPr>
        <w:pStyle w:val="9"/>
        <w:spacing w:line="305" w:lineRule="exact"/>
        <w:ind w:left="1898"/>
      </w:pPr>
      <w:r>
        <w:rPr>
          <w:rFonts w:ascii="Times New Roman" w:eastAsia="Times New Roman"/>
        </w:rPr>
        <w:t>2</w:t>
      </w:r>
      <w:r>
        <w:t>、监测点布设</w:t>
      </w:r>
    </w:p>
    <w:p>
      <w:pPr>
        <w:pStyle w:val="9"/>
        <w:spacing w:before="161" w:line="362" w:lineRule="auto"/>
        <w:ind w:left="1418" w:right="1360" w:firstLine="480"/>
      </w:pPr>
      <w:r>
        <w:t>根据该项目的水文地质特点、影响区域、保护目标及主要污染源在评价区布设监测点位。</w:t>
      </w:r>
    </w:p>
    <w:p>
      <w:pPr>
        <w:pStyle w:val="9"/>
        <w:spacing w:before="5"/>
        <w:ind w:left="1898"/>
      </w:pPr>
      <w:r>
        <w:rPr>
          <w:rFonts w:ascii="Times New Roman" w:eastAsia="Times New Roman"/>
        </w:rPr>
        <w:t>3</w:t>
      </w:r>
      <w:r>
        <w:t>、监测频率</w:t>
      </w:r>
    </w:p>
    <w:p>
      <w:pPr>
        <w:pStyle w:val="9"/>
        <w:spacing w:before="158" w:line="364" w:lineRule="auto"/>
        <w:ind w:left="1418" w:right="1372" w:firstLine="480"/>
      </w:pPr>
      <w:r>
        <w:t>地下水水质监测，根据《地下水环境监测技术规范》（</w:t>
      </w:r>
      <w:r>
        <w:rPr>
          <w:rFonts w:ascii="Times New Roman" w:eastAsia="Times New Roman"/>
        </w:rPr>
        <w:t>HJ/T164-2004</w:t>
      </w:r>
      <w:r>
        <w:t xml:space="preserve">）污染控制监测井逢单月监测 </w:t>
      </w:r>
      <w:r>
        <w:rPr>
          <w:rFonts w:ascii="Times New Roman" w:eastAsia="Times New Roman"/>
        </w:rPr>
        <w:t xml:space="preserve">1 </w:t>
      </w:r>
      <w:r>
        <w:t xml:space="preserve">次，全年 </w:t>
      </w:r>
      <w:r>
        <w:rPr>
          <w:rFonts w:ascii="Times New Roman" w:eastAsia="Times New Roman"/>
        </w:rPr>
        <w:t xml:space="preserve">6 </w:t>
      </w:r>
      <w:r>
        <w:t>次。</w:t>
      </w:r>
    </w:p>
    <w:p>
      <w:pPr>
        <w:pStyle w:val="9"/>
        <w:spacing w:before="1"/>
        <w:ind w:left="1898"/>
      </w:pPr>
      <w:r>
        <w:rPr>
          <w:rFonts w:ascii="Times New Roman" w:eastAsia="Times New Roman"/>
        </w:rPr>
        <w:t>4</w:t>
      </w:r>
      <w:r>
        <w:t>、监测数据管理</w:t>
      </w:r>
    </w:p>
    <w:p>
      <w:pPr>
        <w:pStyle w:val="9"/>
        <w:spacing w:before="158" w:line="364" w:lineRule="auto"/>
        <w:ind w:left="1418" w:right="1417" w:firstLine="480"/>
        <w:jc w:val="both"/>
      </w:pPr>
      <w:r>
        <w:rPr>
          <w:spacing w:val="-5"/>
        </w:rPr>
        <w:t>监测结果应及时建立档案，并定期向厂安全环保部门汇报，对于常规监测数据应该</w:t>
      </w:r>
      <w:r>
        <w:rPr>
          <w:spacing w:val="-7"/>
        </w:rPr>
        <w:t>进行公开，信息公开计划应至少包括建设项目特征因子的地下水环境监测值，特别是跟</w:t>
      </w:r>
      <w:r>
        <w:rPr>
          <w:spacing w:val="-4"/>
        </w:rPr>
        <w:t>周边居民用水安全相关的数据要定期张贴公示，如发现异常或者发生事故，应加密监测</w:t>
      </w:r>
      <w:r>
        <w:t>频次，改为每天监测一次，并分析污染原因，及时采取应对措施。</w:t>
      </w:r>
    </w:p>
    <w:p>
      <w:pPr>
        <w:pStyle w:val="6"/>
        <w:numPr>
          <w:ilvl w:val="2"/>
          <w:numId w:val="66"/>
        </w:numPr>
        <w:tabs>
          <w:tab w:val="left" w:pos="2048"/>
        </w:tabs>
        <w:spacing w:before="0" w:after="0" w:line="357" w:lineRule="exact"/>
        <w:ind w:left="2047" w:right="0" w:hanging="630"/>
        <w:jc w:val="left"/>
      </w:pPr>
      <w:bookmarkStart w:id="325" w:name="5.5.5应急管理措施"/>
      <w:bookmarkEnd w:id="325"/>
      <w:bookmarkStart w:id="326" w:name="5.5.5应急管理措施"/>
      <w:bookmarkEnd w:id="326"/>
      <w:r>
        <w:t>应急管理措施</w:t>
      </w:r>
    </w:p>
    <w:p>
      <w:pPr>
        <w:pStyle w:val="9"/>
        <w:spacing w:before="185"/>
        <w:ind w:left="1898"/>
      </w:pPr>
      <w:r>
        <w:rPr>
          <w:rFonts w:ascii="Times New Roman" w:eastAsia="Times New Roman"/>
        </w:rPr>
        <w:t>1</w:t>
      </w:r>
      <w:r>
        <w:t>、风险应急预案</w:t>
      </w:r>
    </w:p>
    <w:p>
      <w:pPr>
        <w:pStyle w:val="9"/>
        <w:spacing w:before="161" w:line="364" w:lineRule="auto"/>
        <w:ind w:left="1418" w:right="1417" w:firstLine="480"/>
        <w:jc w:val="both"/>
      </w:pPr>
      <w:r>
        <w:rPr>
          <w:spacing w:val="-4"/>
        </w:rPr>
        <w:t>制定风险事故应急预案的目的是为了在发生风险事故时，能以最快的速度发挥最大</w:t>
      </w:r>
      <w:r>
        <w:rPr>
          <w:spacing w:val="-8"/>
        </w:rPr>
        <w:t>的效能，有序地实施救援，尽快控制事态的发展，降低事故对地下水的污染。针对应急</w:t>
      </w:r>
      <w:r>
        <w:rPr>
          <w:spacing w:val="-7"/>
        </w:rPr>
        <w:t>工作需要，参照相关技术导则，结合地下水污染治理的技术特点，制定地下水污染应急</w:t>
      </w:r>
      <w:r>
        <w:t>治理程序见下图。</w:t>
      </w:r>
    </w:p>
    <w:p>
      <w:pPr>
        <w:spacing w:after="0" w:line="364" w:lineRule="auto"/>
        <w:jc w:val="both"/>
        <w:sectPr>
          <w:pgSz w:w="11910" w:h="16840"/>
          <w:pgMar w:top="1360" w:right="0" w:bottom="880" w:left="0" w:header="0" w:footer="681" w:gutter="0"/>
        </w:sectPr>
      </w:pPr>
    </w:p>
    <w:p>
      <w:pPr>
        <w:pStyle w:val="9"/>
        <w:ind w:left="2551"/>
        <w:rPr>
          <w:sz w:val="20"/>
        </w:rPr>
      </w:pPr>
      <w:r>
        <w:rPr>
          <w:sz w:val="20"/>
        </w:rPr>
        <w:drawing>
          <wp:inline distT="0" distB="0" distL="0" distR="0">
            <wp:extent cx="4338320" cy="5646420"/>
            <wp:effectExtent l="0" t="0" r="0" b="0"/>
            <wp:docPr id="4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0.jpeg"/>
                    <pic:cNvPicPr>
                      <a:picLocks noChangeAspect="1"/>
                    </pic:cNvPicPr>
                  </pic:nvPicPr>
                  <pic:blipFill>
                    <a:blip r:embed="rId53" cstate="print"/>
                    <a:stretch>
                      <a:fillRect/>
                    </a:stretch>
                  </pic:blipFill>
                  <pic:spPr>
                    <a:xfrm>
                      <a:off x="0" y="0"/>
                      <a:ext cx="4338691" cy="5646420"/>
                    </a:xfrm>
                    <a:prstGeom prst="rect">
                      <a:avLst/>
                    </a:prstGeom>
                  </pic:spPr>
                </pic:pic>
              </a:graphicData>
            </a:graphic>
          </wp:inline>
        </w:drawing>
      </w:r>
    </w:p>
    <w:p>
      <w:pPr>
        <w:pStyle w:val="9"/>
        <w:spacing w:before="11"/>
        <w:rPr>
          <w:sz w:val="7"/>
        </w:rPr>
      </w:pPr>
    </w:p>
    <w:p>
      <w:pPr>
        <w:spacing w:after="0"/>
        <w:rPr>
          <w:sz w:val="7"/>
        </w:rPr>
        <w:sectPr>
          <w:pgSz w:w="11910" w:h="16840"/>
          <w:pgMar w:top="1400" w:right="0" w:bottom="880" w:left="0" w:header="0" w:footer="681" w:gutter="0"/>
        </w:sectPr>
      </w:pPr>
    </w:p>
    <w:p>
      <w:pPr>
        <w:pStyle w:val="9"/>
        <w:spacing w:before="11"/>
        <w:rPr>
          <w:sz w:val="37"/>
        </w:rPr>
      </w:pPr>
    </w:p>
    <w:p>
      <w:pPr>
        <w:pStyle w:val="9"/>
        <w:spacing w:before="1"/>
        <w:ind w:left="1898"/>
      </w:pPr>
      <w:r>
        <w:rPr>
          <w:rFonts w:ascii="Times New Roman" w:eastAsia="Times New Roman"/>
        </w:rPr>
        <w:t>2</w:t>
      </w:r>
      <w:r>
        <w:t>、应急管理</w:t>
      </w:r>
    </w:p>
    <w:p>
      <w:pPr>
        <w:spacing w:before="76"/>
        <w:ind w:left="1138" w:right="0" w:firstLine="0"/>
        <w:jc w:val="left"/>
        <w:rPr>
          <w:b/>
          <w:sz w:val="21"/>
        </w:rPr>
      </w:pPr>
      <w:r>
        <w:br w:type="column"/>
      </w:r>
      <w:r>
        <w:rPr>
          <w:b/>
          <w:spacing w:val="-28"/>
          <w:sz w:val="21"/>
        </w:rPr>
        <w:t xml:space="preserve">图 </w:t>
      </w:r>
      <w:r>
        <w:rPr>
          <w:rFonts w:ascii="Times New Roman" w:eastAsia="Times New Roman"/>
          <w:b/>
          <w:sz w:val="21"/>
        </w:rPr>
        <w:t>5.5-1</w:t>
      </w:r>
      <w:r>
        <w:rPr>
          <w:rFonts w:ascii="Times New Roman" w:eastAsia="Times New Roman"/>
          <w:b/>
          <w:spacing w:val="52"/>
          <w:sz w:val="21"/>
        </w:rPr>
        <w:t xml:space="preserve"> </w:t>
      </w:r>
      <w:r>
        <w:rPr>
          <w:b/>
          <w:sz w:val="21"/>
        </w:rPr>
        <w:t>地下水污染应急治理程序框图</w:t>
      </w:r>
    </w:p>
    <w:p>
      <w:pPr>
        <w:spacing w:after="0"/>
        <w:jc w:val="left"/>
        <w:rPr>
          <w:sz w:val="21"/>
        </w:rPr>
        <w:sectPr>
          <w:type w:val="continuous"/>
          <w:pgSz w:w="11910" w:h="16840"/>
          <w:pgMar w:top="1580" w:right="0" w:bottom="280" w:left="0" w:header="720" w:footer="720" w:gutter="0"/>
          <w:cols w:equalWidth="0" w:num="2">
            <w:col w:w="3219" w:space="40"/>
            <w:col w:w="8651"/>
          </w:cols>
        </w:sectPr>
      </w:pPr>
    </w:p>
    <w:p>
      <w:pPr>
        <w:pStyle w:val="9"/>
        <w:spacing w:before="160"/>
        <w:ind w:left="1898"/>
      </w:pPr>
      <w:r>
        <w:t>在突发地下水污染事故情况下，建议采取以下应急管理措施，以保护地下水环境：</w:t>
      </w:r>
    </w:p>
    <w:p>
      <w:pPr>
        <w:pStyle w:val="9"/>
        <w:spacing w:before="158"/>
        <w:ind w:left="1898"/>
      </w:pPr>
      <w:r>
        <w:t>①立即启动应急预案；</w:t>
      </w:r>
    </w:p>
    <w:p>
      <w:pPr>
        <w:pStyle w:val="9"/>
        <w:spacing w:before="161"/>
        <w:ind w:left="1898"/>
      </w:pPr>
      <w:r>
        <w:t>②查明并切断污染源；</w:t>
      </w:r>
    </w:p>
    <w:p>
      <w:pPr>
        <w:pStyle w:val="9"/>
        <w:spacing w:before="158"/>
        <w:ind w:left="1898"/>
      </w:pPr>
      <w:r>
        <w:t>③查明地下水污染深度、范围和程度；</w:t>
      </w:r>
    </w:p>
    <w:p>
      <w:pPr>
        <w:pStyle w:val="9"/>
        <w:spacing w:before="158"/>
        <w:ind w:left="1898"/>
      </w:pPr>
      <w:r>
        <w:t>④依据查明的地下水污染情况，合理布置浅井，并进行试抽水工作；</w:t>
      </w:r>
    </w:p>
    <w:p>
      <w:pPr>
        <w:pStyle w:val="9"/>
        <w:spacing w:before="160"/>
        <w:ind w:left="1898"/>
      </w:pPr>
      <w:r>
        <w:t>⑤依据抽水设计方案进行施工，抽出被污染的地下水体；</w:t>
      </w:r>
    </w:p>
    <w:p>
      <w:pPr>
        <w:pStyle w:val="9"/>
        <w:spacing w:before="161"/>
        <w:ind w:left="1898"/>
      </w:pPr>
      <w:r>
        <w:t>⑥将抽出的地下水进行集中收集处理，并送实验室进行化验分析；</w:t>
      </w:r>
    </w:p>
    <w:p>
      <w:pPr>
        <w:pStyle w:val="9"/>
        <w:spacing w:before="158" w:line="364" w:lineRule="auto"/>
        <w:ind w:left="1418" w:right="1354" w:firstLine="480"/>
      </w:pPr>
      <w:r>
        <w:t>⑦监测孔中的特征污染物浓度满足《地下水质量标准》相关级别标准后，逐步停止抽水，并进行土壤修复治理工作。</w:t>
      </w:r>
    </w:p>
    <w:p>
      <w:pPr>
        <w:spacing w:after="0" w:line="364" w:lineRule="auto"/>
        <w:sectPr>
          <w:type w:val="continuous"/>
          <w:pgSz w:w="11910" w:h="16840"/>
          <w:pgMar w:top="1580" w:right="0" w:bottom="280" w:left="0" w:header="720" w:footer="720" w:gutter="0"/>
        </w:sectPr>
      </w:pPr>
    </w:p>
    <w:p>
      <w:pPr>
        <w:pStyle w:val="9"/>
        <w:spacing w:before="61"/>
        <w:ind w:left="1898"/>
      </w:pPr>
      <w:r>
        <w:rPr>
          <w:rFonts w:ascii="Times New Roman" w:eastAsia="Times New Roman"/>
        </w:rPr>
        <w:t>3</w:t>
      </w:r>
      <w:r>
        <w:t>、应急保障</w:t>
      </w:r>
    </w:p>
    <w:p>
      <w:pPr>
        <w:pStyle w:val="9"/>
        <w:spacing w:before="158" w:line="364" w:lineRule="auto"/>
        <w:ind w:left="1418" w:right="1360" w:firstLine="480"/>
      </w:pPr>
      <w:r>
        <w:t>①人力资源保障：明确各类应急响应的人力资源，包括专业应急队伍、兼职应急队伍的组织与保障方案。</w:t>
      </w:r>
    </w:p>
    <w:p>
      <w:pPr>
        <w:pStyle w:val="9"/>
        <w:spacing w:before="1" w:line="362" w:lineRule="auto"/>
        <w:ind w:left="1418" w:right="1417" w:firstLine="480"/>
      </w:pPr>
      <w:r>
        <w:rPr>
          <w:spacing w:val="-7"/>
        </w:rPr>
        <w:t>②财力保障：明确应急专项经费来源、使用范围、数量和监督管理措施，保障应急</w:t>
      </w:r>
      <w:r>
        <w:t>状态时应急经费的及时到位。</w:t>
      </w:r>
    </w:p>
    <w:p>
      <w:pPr>
        <w:pStyle w:val="9"/>
        <w:spacing w:before="5" w:line="362" w:lineRule="auto"/>
        <w:ind w:left="1418" w:right="1417" w:firstLine="480"/>
      </w:pPr>
      <w:r>
        <w:rPr>
          <w:spacing w:val="-7"/>
        </w:rPr>
        <w:t>③物资保障：明确应急救援需要使用的应急物资、应急监测仪器、防护器材、装备</w:t>
      </w:r>
      <w:r>
        <w:t>的类型、数量、性能、存放位置、管理责任人等内容。</w:t>
      </w:r>
    </w:p>
    <w:p>
      <w:pPr>
        <w:spacing w:after="0" w:line="362" w:lineRule="auto"/>
        <w:sectPr>
          <w:pgSz w:w="11910" w:h="16840"/>
          <w:pgMar w:top="1340" w:right="0" w:bottom="880" w:left="0" w:header="0" w:footer="681" w:gutter="0"/>
        </w:sectPr>
      </w:pPr>
    </w:p>
    <w:p>
      <w:pPr>
        <w:pStyle w:val="18"/>
        <w:numPr>
          <w:ilvl w:val="2"/>
          <w:numId w:val="14"/>
        </w:numPr>
        <w:tabs>
          <w:tab w:val="left" w:pos="4464"/>
        </w:tabs>
        <w:spacing w:before="41" w:after="0" w:line="240" w:lineRule="auto"/>
        <w:ind w:left="4464" w:right="0" w:hanging="4462"/>
        <w:jc w:val="left"/>
        <w:rPr>
          <w:rFonts w:ascii="Times New Roman" w:eastAsia="Times New Roman"/>
          <w:b/>
          <w:sz w:val="34"/>
        </w:rPr>
      </w:pPr>
      <w:bookmarkStart w:id="327" w:name="_bookmark33"/>
      <w:bookmarkEnd w:id="327"/>
      <w:bookmarkStart w:id="328" w:name="6.地表水环境影响分析"/>
      <w:bookmarkEnd w:id="328"/>
      <w:bookmarkStart w:id="329" w:name="_bookmark33"/>
      <w:bookmarkEnd w:id="329"/>
      <w:r>
        <w:rPr>
          <w:b/>
          <w:sz w:val="36"/>
        </w:rPr>
        <w:t>地表水环境影响分析</w:t>
      </w:r>
    </w:p>
    <w:p>
      <w:pPr>
        <w:pStyle w:val="5"/>
        <w:numPr>
          <w:ilvl w:val="1"/>
          <w:numId w:val="67"/>
        </w:numPr>
        <w:tabs>
          <w:tab w:val="left" w:pos="1868"/>
        </w:tabs>
        <w:spacing w:before="240" w:after="0" w:line="240" w:lineRule="auto"/>
        <w:ind w:left="1867" w:right="0" w:hanging="450"/>
        <w:jc w:val="left"/>
        <w:rPr>
          <w:rFonts w:ascii="Times New Roman" w:eastAsia="Times New Roman"/>
        </w:rPr>
      </w:pPr>
      <w:bookmarkStart w:id="330" w:name="_bookmark34"/>
      <w:bookmarkEnd w:id="330"/>
      <w:bookmarkStart w:id="331" w:name="_bookmark34"/>
      <w:bookmarkEnd w:id="331"/>
      <w:bookmarkStart w:id="332" w:name="6.1地表水环境污染源现状调查"/>
      <w:bookmarkEnd w:id="332"/>
      <w:r>
        <w:t>地表水环境污染源现状调查</w:t>
      </w:r>
    </w:p>
    <w:p>
      <w:pPr>
        <w:pStyle w:val="6"/>
        <w:numPr>
          <w:ilvl w:val="2"/>
          <w:numId w:val="67"/>
        </w:numPr>
        <w:tabs>
          <w:tab w:val="left" w:pos="2048"/>
        </w:tabs>
        <w:spacing w:before="199" w:after="0" w:line="240" w:lineRule="auto"/>
        <w:ind w:left="2047" w:right="0" w:hanging="630"/>
        <w:jc w:val="left"/>
      </w:pPr>
      <w:bookmarkStart w:id="333" w:name="6.1.1评价区水环境概况"/>
      <w:bookmarkEnd w:id="333"/>
      <w:bookmarkStart w:id="334" w:name="6.1.1评价区水环境概况"/>
      <w:bookmarkEnd w:id="334"/>
      <w:r>
        <w:t>评价区水环境概况</w:t>
      </w:r>
    </w:p>
    <w:p>
      <w:pPr>
        <w:pStyle w:val="9"/>
        <w:spacing w:before="186" w:line="364" w:lineRule="auto"/>
        <w:ind w:left="1418" w:right="1417" w:firstLine="480"/>
        <w:jc w:val="both"/>
      </w:pPr>
      <w:r>
        <w:rPr>
          <w:spacing w:val="-5"/>
        </w:rPr>
        <w:t>本项目纳污水体为安邦河。安邦河是松花江下游右岸一级支流，属季节性河流。发</w:t>
      </w:r>
      <w:r>
        <w:rPr>
          <w:spacing w:val="-6"/>
        </w:rPr>
        <w:t>源于完达山余脉，七星砬子东分水岭北麓，自南向北流经双鸭山市、集贤县福利镇至桦</w:t>
      </w:r>
      <w:r>
        <w:t>川县境内，由桦川县新河宫汇入松花江。</w:t>
      </w:r>
    </w:p>
    <w:p>
      <w:pPr>
        <w:pStyle w:val="6"/>
        <w:numPr>
          <w:ilvl w:val="2"/>
          <w:numId w:val="67"/>
        </w:numPr>
        <w:tabs>
          <w:tab w:val="left" w:pos="2048"/>
        </w:tabs>
        <w:spacing w:before="0" w:after="0" w:line="240" w:lineRule="auto"/>
        <w:ind w:left="2047" w:right="0" w:hanging="630"/>
        <w:jc w:val="left"/>
      </w:pPr>
      <w:bookmarkStart w:id="335" w:name="6.1.2污染源现状调查"/>
      <w:bookmarkEnd w:id="335"/>
      <w:bookmarkStart w:id="336" w:name="6.1.2污染源现状调查"/>
      <w:bookmarkEnd w:id="336"/>
      <w:r>
        <w:t>污染源现状调查</w:t>
      </w:r>
    </w:p>
    <w:p>
      <w:pPr>
        <w:pStyle w:val="9"/>
        <w:spacing w:before="183"/>
        <w:ind w:left="476" w:right="663"/>
        <w:jc w:val="center"/>
      </w:pPr>
      <w:r>
        <w:t>本评价区域内，无重大污染工业项目。评价区主要污染源为生活污水排放。</w:t>
      </w:r>
    </w:p>
    <w:p>
      <w:pPr>
        <w:pStyle w:val="5"/>
        <w:numPr>
          <w:ilvl w:val="1"/>
          <w:numId w:val="67"/>
        </w:numPr>
        <w:tabs>
          <w:tab w:val="left" w:pos="1868"/>
        </w:tabs>
        <w:spacing w:before="160" w:after="0" w:line="240" w:lineRule="auto"/>
        <w:ind w:left="1867" w:right="0" w:hanging="450"/>
        <w:jc w:val="left"/>
        <w:rPr>
          <w:rFonts w:ascii="Times New Roman" w:eastAsia="Times New Roman"/>
        </w:rPr>
      </w:pPr>
      <w:bookmarkStart w:id="337" w:name="_bookmark35"/>
      <w:bookmarkEnd w:id="337"/>
      <w:bookmarkStart w:id="338" w:name="_bookmark35"/>
      <w:bookmarkEnd w:id="338"/>
      <w:bookmarkStart w:id="339" w:name="6.2地表水环境质量现状监测与评价"/>
      <w:bookmarkEnd w:id="339"/>
      <w:r>
        <w:t>地表水环境质量现状监测与评价</w:t>
      </w:r>
    </w:p>
    <w:p>
      <w:pPr>
        <w:pStyle w:val="6"/>
        <w:numPr>
          <w:ilvl w:val="2"/>
          <w:numId w:val="67"/>
        </w:numPr>
        <w:tabs>
          <w:tab w:val="left" w:pos="2048"/>
        </w:tabs>
        <w:spacing w:before="200" w:after="0" w:line="240" w:lineRule="auto"/>
        <w:ind w:left="2047" w:right="0" w:hanging="630"/>
        <w:jc w:val="left"/>
      </w:pPr>
      <w:bookmarkStart w:id="340" w:name="6.2.1现状监测"/>
      <w:bookmarkEnd w:id="340"/>
      <w:bookmarkStart w:id="341" w:name="6.2.1现状监测"/>
      <w:bookmarkEnd w:id="341"/>
      <w:r>
        <w:rPr>
          <w:spacing w:val="-1"/>
          <w:w w:val="95"/>
        </w:rPr>
        <w:t>现状监测</w:t>
      </w:r>
    </w:p>
    <w:p>
      <w:pPr>
        <w:pStyle w:val="8"/>
        <w:numPr>
          <w:ilvl w:val="3"/>
          <w:numId w:val="67"/>
        </w:numPr>
        <w:tabs>
          <w:tab w:val="left" w:pos="2139"/>
        </w:tabs>
        <w:spacing w:before="185" w:after="0" w:line="240" w:lineRule="auto"/>
        <w:ind w:left="2138" w:right="0" w:hanging="721"/>
        <w:jc w:val="left"/>
      </w:pPr>
      <w:bookmarkStart w:id="342" w:name="6.2.1.1监测范围"/>
      <w:bookmarkEnd w:id="342"/>
      <w:bookmarkStart w:id="343" w:name="6.2.1.1监测范围"/>
      <w:bookmarkEnd w:id="343"/>
      <w:r>
        <w:rPr>
          <w:w w:val="95"/>
        </w:rPr>
        <w:t>监测范围</w:t>
      </w:r>
    </w:p>
    <w:p>
      <w:pPr>
        <w:pStyle w:val="9"/>
        <w:spacing w:before="158" w:line="364" w:lineRule="auto"/>
        <w:ind w:left="1418" w:right="1417" w:firstLine="480"/>
        <w:jc w:val="both"/>
      </w:pPr>
      <w:r>
        <w:rPr>
          <w:spacing w:val="-4"/>
        </w:rPr>
        <w:t>根据本项目的排污特点及纳污水体的环境质量现状，确定本次评价的监测范围为安</w:t>
      </w:r>
      <w:r>
        <w:rPr>
          <w:spacing w:val="-6"/>
        </w:rPr>
        <w:t xml:space="preserve">邦河本工程排污口上游 </w:t>
      </w:r>
      <w:r>
        <w:rPr>
          <w:rFonts w:ascii="Times New Roman" w:eastAsia="Times New Roman"/>
        </w:rPr>
        <w:t xml:space="preserve">500m </w:t>
      </w:r>
      <w:r>
        <w:rPr>
          <w:spacing w:val="-9"/>
        </w:rPr>
        <w:t xml:space="preserve">至排污口下游 </w:t>
      </w:r>
      <w:r>
        <w:rPr>
          <w:rFonts w:ascii="Times New Roman" w:eastAsia="Times New Roman"/>
        </w:rPr>
        <w:t xml:space="preserve">5000m </w:t>
      </w:r>
      <w:r>
        <w:rPr>
          <w:spacing w:val="-6"/>
        </w:rPr>
        <w:t xml:space="preserve">河段，总控制长度约 </w:t>
      </w:r>
      <w:r>
        <w:rPr>
          <w:rFonts w:ascii="Times New Roman" w:eastAsia="Times New Roman"/>
        </w:rPr>
        <w:t>5500m</w:t>
      </w:r>
      <w:r>
        <w:t>。</w:t>
      </w:r>
    </w:p>
    <w:p>
      <w:pPr>
        <w:pStyle w:val="8"/>
        <w:numPr>
          <w:ilvl w:val="3"/>
          <w:numId w:val="67"/>
        </w:numPr>
        <w:tabs>
          <w:tab w:val="left" w:pos="2139"/>
        </w:tabs>
        <w:spacing w:before="1" w:after="0" w:line="240" w:lineRule="auto"/>
        <w:ind w:left="2138" w:right="0" w:hanging="721"/>
        <w:jc w:val="both"/>
      </w:pPr>
      <w:bookmarkStart w:id="344" w:name="6.2.1.2监测项目及分析方法"/>
      <w:bookmarkEnd w:id="344"/>
      <w:bookmarkStart w:id="345" w:name="6.2.1.2监测项目及分析方法"/>
      <w:bookmarkEnd w:id="345"/>
      <w:r>
        <w:t>监测项目及分析方法</w:t>
      </w:r>
    </w:p>
    <w:p>
      <w:pPr>
        <w:pStyle w:val="9"/>
        <w:spacing w:before="158" w:line="362" w:lineRule="auto"/>
        <w:ind w:left="1418" w:right="1291" w:firstLine="480"/>
        <w:jc w:val="both"/>
      </w:pPr>
      <w:r>
        <w:rPr>
          <w:spacing w:val="-6"/>
        </w:rPr>
        <w:t>根据安邦河水质污染现状及本项目投产后的排水特点，选择如下监测项目：</w:t>
      </w:r>
      <w:r>
        <w:rPr>
          <w:rFonts w:ascii="Times New Roman" w:eastAsia="Times New Roman"/>
          <w:spacing w:val="-28"/>
        </w:rPr>
        <w:t>pH</w:t>
      </w:r>
      <w:r>
        <w:rPr>
          <w:spacing w:val="-84"/>
        </w:rPr>
        <w:t>、</w:t>
      </w:r>
      <w:r>
        <w:rPr>
          <w:rFonts w:ascii="Times New Roman" w:eastAsia="Times New Roman"/>
        </w:rPr>
        <w:t>SS</w:t>
      </w:r>
      <w:r>
        <w:rPr>
          <w:spacing w:val="-12"/>
        </w:rPr>
        <w:t>、</w:t>
      </w:r>
      <w:r>
        <w:rPr>
          <w:rFonts w:ascii="Times New Roman" w:eastAsia="Times New Roman"/>
        </w:rPr>
        <w:t>COD</w:t>
      </w:r>
      <w:r>
        <w:rPr>
          <w:spacing w:val="-17"/>
        </w:rPr>
        <w:t>、石油类、总铁、总锰、总汞、总镉、总铬、六价铬、总铅、总砷、总锌、氟化物、</w:t>
      </w:r>
      <w:r>
        <w:rPr>
          <w:spacing w:val="-27"/>
          <w:position w:val="2"/>
        </w:rPr>
        <w:t>溶解氧、</w:t>
      </w:r>
      <w:r>
        <w:rPr>
          <w:rFonts w:ascii="Times New Roman" w:eastAsia="Times New Roman"/>
          <w:position w:val="2"/>
        </w:rPr>
        <w:t>BOD</w:t>
      </w:r>
      <w:r>
        <w:rPr>
          <w:rFonts w:ascii="Times New Roman" w:eastAsia="Times New Roman"/>
          <w:position w:val="2"/>
          <w:vertAlign w:val="subscript"/>
        </w:rPr>
        <w:t>5</w:t>
      </w:r>
      <w:r>
        <w:rPr>
          <w:spacing w:val="-19"/>
          <w:position w:val="2"/>
          <w:vertAlign w:val="baseline"/>
        </w:rPr>
        <w:t xml:space="preserve">、氨氮共计 </w:t>
      </w:r>
      <w:r>
        <w:rPr>
          <w:rFonts w:ascii="Times New Roman" w:eastAsia="Times New Roman"/>
          <w:position w:val="2"/>
          <w:vertAlign w:val="baseline"/>
        </w:rPr>
        <w:t xml:space="preserve">17 </w:t>
      </w:r>
      <w:r>
        <w:rPr>
          <w:spacing w:val="-17"/>
          <w:position w:val="2"/>
          <w:vertAlign w:val="baseline"/>
        </w:rPr>
        <w:t>项。分析方法按照《地表水环境质量标准》</w:t>
      </w:r>
      <w:r>
        <w:rPr>
          <w:spacing w:val="-3"/>
          <w:position w:val="2"/>
          <w:vertAlign w:val="baseline"/>
        </w:rPr>
        <w:t>（</w:t>
      </w:r>
      <w:r>
        <w:rPr>
          <w:rFonts w:ascii="Times New Roman" w:eastAsia="Times New Roman"/>
          <w:spacing w:val="-3"/>
          <w:position w:val="2"/>
          <w:vertAlign w:val="baseline"/>
        </w:rPr>
        <w:t>GB3838-2002</w:t>
      </w:r>
      <w:r>
        <w:rPr>
          <w:spacing w:val="-3"/>
          <w:position w:val="2"/>
          <w:vertAlign w:val="baseline"/>
        </w:rPr>
        <w:t xml:space="preserve">） </w:t>
      </w:r>
      <w:r>
        <w:rPr>
          <w:vertAlign w:val="baseline"/>
        </w:rPr>
        <w:t>中规定的方法进行，具体见下表。</w:t>
      </w:r>
    </w:p>
    <w:p>
      <w:pPr>
        <w:spacing w:before="7"/>
        <w:ind w:left="4816" w:right="0" w:firstLine="0"/>
        <w:jc w:val="both"/>
        <w:rPr>
          <w:b/>
          <w:sz w:val="21"/>
        </w:rPr>
      </w:pPr>
      <w:r>
        <mc:AlternateContent>
          <mc:Choice Requires="wps">
            <w:drawing>
              <wp:anchor distT="0" distB="0" distL="114300" distR="114300" simplePos="0" relativeHeight="251715584" behindDoc="0" locked="0" layoutInCell="1" allowOverlap="1">
                <wp:simplePos x="0" y="0"/>
                <wp:positionH relativeFrom="page">
                  <wp:posOffset>894080</wp:posOffset>
                </wp:positionH>
                <wp:positionV relativeFrom="paragraph">
                  <wp:posOffset>175895</wp:posOffset>
                </wp:positionV>
                <wp:extent cx="5771515" cy="2887345"/>
                <wp:effectExtent l="0" t="0" r="0" b="0"/>
                <wp:wrapNone/>
                <wp:docPr id="149" name="文本框 54"/>
                <wp:cNvGraphicFramePr/>
                <a:graphic xmlns:a="http://schemas.openxmlformats.org/drawingml/2006/main">
                  <a:graphicData uri="http://schemas.microsoft.com/office/word/2010/wordprocessingShape">
                    <wps:wsp>
                      <wps:cNvSpPr txBox="1"/>
                      <wps:spPr>
                        <a:xfrm>
                          <a:off x="0" y="0"/>
                          <a:ext cx="5771515" cy="2887345"/>
                        </a:xfrm>
                        <a:prstGeom prst="rect">
                          <a:avLst/>
                        </a:prstGeom>
                        <a:noFill/>
                        <a:ln>
                          <a:noFill/>
                        </a:ln>
                      </wps:spPr>
                      <wps:txbx>
                        <w:txbxContent>
                          <w:tbl>
                            <w:tblPr>
                              <w:tblStyle w:val="1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20"/>
                              <w:gridCol w:w="4986"/>
                              <w:gridCol w:w="245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bottom w:val="single" w:color="000000" w:sz="4" w:space="0"/>
                                    <w:right w:val="single" w:color="000000" w:sz="4" w:space="0"/>
                                  </w:tcBorders>
                                </w:tcPr>
                                <w:p>
                                  <w:pPr>
                                    <w:pStyle w:val="19"/>
                                    <w:spacing w:before="53"/>
                                    <w:ind w:left="54" w:right="39"/>
                                    <w:rPr>
                                      <w:sz w:val="21"/>
                                    </w:rPr>
                                  </w:pPr>
                                  <w:r>
                                    <w:rPr>
                                      <w:sz w:val="21"/>
                                    </w:rPr>
                                    <w:t>分析项目</w:t>
                                  </w:r>
                                </w:p>
                              </w:tc>
                              <w:tc>
                                <w:tcPr>
                                  <w:tcW w:w="4986" w:type="dxa"/>
                                  <w:tcBorders>
                                    <w:left w:val="single" w:color="000000" w:sz="4" w:space="0"/>
                                    <w:bottom w:val="single" w:color="000000" w:sz="4" w:space="0"/>
                                    <w:right w:val="single" w:color="000000" w:sz="4" w:space="0"/>
                                  </w:tcBorders>
                                </w:tcPr>
                                <w:p>
                                  <w:pPr>
                                    <w:pStyle w:val="19"/>
                                    <w:spacing w:before="53"/>
                                    <w:ind w:left="259" w:right="241"/>
                                    <w:rPr>
                                      <w:sz w:val="21"/>
                                    </w:rPr>
                                  </w:pPr>
                                  <w:r>
                                    <w:rPr>
                                      <w:sz w:val="21"/>
                                    </w:rPr>
                                    <w:t>分析方法</w:t>
                                  </w:r>
                                </w:p>
                              </w:tc>
                              <w:tc>
                                <w:tcPr>
                                  <w:tcW w:w="2454" w:type="dxa"/>
                                  <w:tcBorders>
                                    <w:left w:val="single" w:color="000000" w:sz="4" w:space="0"/>
                                    <w:bottom w:val="single" w:color="000000" w:sz="4" w:space="0"/>
                                  </w:tcBorders>
                                </w:tcPr>
                                <w:p>
                                  <w:pPr>
                                    <w:pStyle w:val="19"/>
                                    <w:spacing w:before="53"/>
                                    <w:ind w:left="513" w:right="494"/>
                                    <w:rPr>
                                      <w:sz w:val="21"/>
                                    </w:rPr>
                                  </w:pPr>
                                  <w:r>
                                    <w:rPr>
                                      <w:sz w:val="21"/>
                                    </w:rPr>
                                    <w:t>方法标准号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9"/>
                                    <w:spacing w:before="53"/>
                                    <w:ind w:left="56" w:right="39"/>
                                    <w:rPr>
                                      <w:sz w:val="21"/>
                                    </w:rPr>
                                  </w:pPr>
                                  <w:r>
                                    <w:rPr>
                                      <w:rFonts w:ascii="Times New Roman" w:eastAsia="Times New Roman"/>
                                      <w:sz w:val="21"/>
                                    </w:rPr>
                                    <w:t xml:space="preserve">pH </w:t>
                                  </w:r>
                                  <w:r>
                                    <w:rPr>
                                      <w:sz w:val="21"/>
                                    </w:rPr>
                                    <w:t>值</w:t>
                                  </w:r>
                                </w:p>
                              </w:tc>
                              <w:tc>
                                <w:tcPr>
                                  <w:tcW w:w="4986" w:type="dxa"/>
                                  <w:tcBorders>
                                    <w:top w:val="single" w:color="000000" w:sz="4" w:space="0"/>
                                    <w:left w:val="single" w:color="000000" w:sz="4" w:space="0"/>
                                    <w:bottom w:val="single" w:color="000000" w:sz="4" w:space="0"/>
                                    <w:right w:val="single" w:color="000000" w:sz="4" w:space="0"/>
                                  </w:tcBorders>
                                </w:tcPr>
                                <w:p>
                                  <w:pPr>
                                    <w:pStyle w:val="19"/>
                                    <w:spacing w:before="53"/>
                                    <w:ind w:left="257" w:right="241"/>
                                    <w:rPr>
                                      <w:sz w:val="21"/>
                                    </w:rPr>
                                  </w:pPr>
                                  <w:r>
                                    <w:rPr>
                                      <w:sz w:val="21"/>
                                    </w:rPr>
                                    <w:t xml:space="preserve">水质 </w:t>
                                  </w:r>
                                  <w:r>
                                    <w:rPr>
                                      <w:rFonts w:ascii="Times New Roman" w:eastAsia="Times New Roman"/>
                                      <w:sz w:val="21"/>
                                    </w:rPr>
                                    <w:t xml:space="preserve">pH </w:t>
                                  </w:r>
                                  <w:r>
                                    <w:rPr>
                                      <w:sz w:val="21"/>
                                    </w:rPr>
                                    <w:t>值的测定玻璃电极法</w:t>
                                  </w:r>
                                </w:p>
                              </w:tc>
                              <w:tc>
                                <w:tcPr>
                                  <w:tcW w:w="2454" w:type="dxa"/>
                                  <w:tcBorders>
                                    <w:top w:val="single" w:color="000000" w:sz="4" w:space="0"/>
                                    <w:left w:val="single" w:color="000000" w:sz="4" w:space="0"/>
                                    <w:bottom w:val="single" w:color="000000" w:sz="4" w:space="0"/>
                                  </w:tcBorders>
                                </w:tcPr>
                                <w:p>
                                  <w:pPr>
                                    <w:pStyle w:val="19"/>
                                    <w:spacing w:before="70"/>
                                    <w:ind w:left="516" w:right="494"/>
                                    <w:rPr>
                                      <w:rFonts w:ascii="Times New Roman"/>
                                      <w:sz w:val="21"/>
                                    </w:rPr>
                                  </w:pPr>
                                  <w:r>
                                    <w:rPr>
                                      <w:rFonts w:ascii="Times New Roman"/>
                                      <w:sz w:val="21"/>
                                    </w:rPr>
                                    <w:t>GB/T6920-1986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9"/>
                                    <w:spacing w:before="52"/>
                                    <w:ind w:left="56" w:right="39"/>
                                    <w:rPr>
                                      <w:sz w:val="21"/>
                                    </w:rPr>
                                  </w:pPr>
                                  <w:r>
                                    <w:rPr>
                                      <w:sz w:val="21"/>
                                    </w:rPr>
                                    <w:t>悬浮物</w:t>
                                  </w:r>
                                </w:p>
                              </w:tc>
                              <w:tc>
                                <w:tcPr>
                                  <w:tcW w:w="4986" w:type="dxa"/>
                                  <w:tcBorders>
                                    <w:top w:val="single" w:color="000000" w:sz="4" w:space="0"/>
                                    <w:left w:val="single" w:color="000000" w:sz="4" w:space="0"/>
                                    <w:bottom w:val="single" w:color="000000" w:sz="4" w:space="0"/>
                                    <w:right w:val="single" w:color="000000" w:sz="4" w:space="0"/>
                                  </w:tcBorders>
                                </w:tcPr>
                                <w:p>
                                  <w:pPr>
                                    <w:pStyle w:val="19"/>
                                    <w:spacing w:before="52"/>
                                    <w:ind w:left="257" w:right="241"/>
                                    <w:rPr>
                                      <w:sz w:val="21"/>
                                    </w:rPr>
                                  </w:pPr>
                                  <w:r>
                                    <w:rPr>
                                      <w:sz w:val="21"/>
                                    </w:rPr>
                                    <w:t>水质悬浮物的测定重量法</w:t>
                                  </w:r>
                                </w:p>
                              </w:tc>
                              <w:tc>
                                <w:tcPr>
                                  <w:tcW w:w="2454" w:type="dxa"/>
                                  <w:tcBorders>
                                    <w:top w:val="single" w:color="000000" w:sz="4" w:space="0"/>
                                    <w:left w:val="single" w:color="000000" w:sz="4" w:space="0"/>
                                    <w:bottom w:val="single" w:color="000000" w:sz="4" w:space="0"/>
                                  </w:tcBorders>
                                </w:tcPr>
                                <w:p>
                                  <w:pPr>
                                    <w:pStyle w:val="19"/>
                                    <w:spacing w:before="70"/>
                                    <w:ind w:left="514" w:right="494"/>
                                    <w:rPr>
                                      <w:rFonts w:ascii="Times New Roman"/>
                                      <w:sz w:val="21"/>
                                    </w:rPr>
                                  </w:pPr>
                                  <w:r>
                                    <w:rPr>
                                      <w:rFonts w:ascii="Times New Roman"/>
                                      <w:sz w:val="21"/>
                                    </w:rPr>
                                    <w:t>GB11901-1989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9"/>
                                    <w:spacing w:before="52"/>
                                    <w:ind w:left="54" w:right="39"/>
                                    <w:rPr>
                                      <w:sz w:val="21"/>
                                    </w:rPr>
                                  </w:pPr>
                                  <w:r>
                                    <w:rPr>
                                      <w:sz w:val="21"/>
                                    </w:rPr>
                                    <w:t>化学需氧量</w:t>
                                  </w:r>
                                </w:p>
                              </w:tc>
                              <w:tc>
                                <w:tcPr>
                                  <w:tcW w:w="4986" w:type="dxa"/>
                                  <w:tcBorders>
                                    <w:top w:val="single" w:color="000000" w:sz="4" w:space="0"/>
                                    <w:left w:val="single" w:color="000000" w:sz="4" w:space="0"/>
                                    <w:bottom w:val="single" w:color="000000" w:sz="4" w:space="0"/>
                                    <w:right w:val="single" w:color="000000" w:sz="4" w:space="0"/>
                                  </w:tcBorders>
                                </w:tcPr>
                                <w:p>
                                  <w:pPr>
                                    <w:pStyle w:val="19"/>
                                    <w:spacing w:before="52"/>
                                    <w:ind w:left="257" w:right="241"/>
                                    <w:rPr>
                                      <w:sz w:val="21"/>
                                    </w:rPr>
                                  </w:pPr>
                                  <w:r>
                                    <w:rPr>
                                      <w:sz w:val="21"/>
                                    </w:rPr>
                                    <w:t>水质化学需氧量的测定重铬酸盐法</w:t>
                                  </w:r>
                                </w:p>
                              </w:tc>
                              <w:tc>
                                <w:tcPr>
                                  <w:tcW w:w="2454" w:type="dxa"/>
                                  <w:tcBorders>
                                    <w:top w:val="single" w:color="000000" w:sz="4" w:space="0"/>
                                    <w:left w:val="single" w:color="000000" w:sz="4" w:space="0"/>
                                    <w:bottom w:val="single" w:color="000000" w:sz="4" w:space="0"/>
                                  </w:tcBorders>
                                </w:tcPr>
                                <w:p>
                                  <w:pPr>
                                    <w:pStyle w:val="19"/>
                                    <w:spacing w:before="69"/>
                                    <w:ind w:left="511" w:right="494"/>
                                    <w:rPr>
                                      <w:rFonts w:ascii="Times New Roman"/>
                                      <w:sz w:val="21"/>
                                    </w:rPr>
                                  </w:pPr>
                                  <w:r>
                                    <w:rPr>
                                      <w:rFonts w:ascii="Times New Roman"/>
                                      <w:sz w:val="21"/>
                                    </w:rPr>
                                    <w:t>HJ828-2017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9"/>
                                    <w:spacing w:before="53"/>
                                    <w:ind w:left="56" w:right="39"/>
                                    <w:rPr>
                                      <w:sz w:val="21"/>
                                    </w:rPr>
                                  </w:pPr>
                                  <w:r>
                                    <w:rPr>
                                      <w:sz w:val="21"/>
                                    </w:rPr>
                                    <w:t>石油类</w:t>
                                  </w:r>
                                </w:p>
                              </w:tc>
                              <w:tc>
                                <w:tcPr>
                                  <w:tcW w:w="4986" w:type="dxa"/>
                                  <w:tcBorders>
                                    <w:top w:val="single" w:color="000000" w:sz="4" w:space="0"/>
                                    <w:left w:val="single" w:color="000000" w:sz="4" w:space="0"/>
                                    <w:bottom w:val="single" w:color="000000" w:sz="4" w:space="0"/>
                                    <w:right w:val="single" w:color="000000" w:sz="4" w:space="0"/>
                                  </w:tcBorders>
                                </w:tcPr>
                                <w:p>
                                  <w:pPr>
                                    <w:pStyle w:val="19"/>
                                    <w:spacing w:before="53"/>
                                    <w:ind w:left="257" w:right="241"/>
                                    <w:rPr>
                                      <w:sz w:val="21"/>
                                    </w:rPr>
                                  </w:pPr>
                                  <w:r>
                                    <w:rPr>
                                      <w:sz w:val="21"/>
                                    </w:rPr>
                                    <w:t>水质石油类的测定紫外分光光度法</w:t>
                                  </w:r>
                                </w:p>
                              </w:tc>
                              <w:tc>
                                <w:tcPr>
                                  <w:tcW w:w="2454" w:type="dxa"/>
                                  <w:tcBorders>
                                    <w:top w:val="single" w:color="000000" w:sz="4" w:space="0"/>
                                    <w:left w:val="single" w:color="000000" w:sz="4" w:space="0"/>
                                    <w:bottom w:val="single" w:color="000000" w:sz="4" w:space="0"/>
                                  </w:tcBorders>
                                </w:tcPr>
                                <w:p>
                                  <w:pPr>
                                    <w:pStyle w:val="19"/>
                                    <w:spacing w:before="69"/>
                                    <w:ind w:left="511" w:right="494"/>
                                    <w:rPr>
                                      <w:rFonts w:ascii="Times New Roman"/>
                                      <w:sz w:val="21"/>
                                    </w:rPr>
                                  </w:pPr>
                                  <w:r>
                                    <w:rPr>
                                      <w:rFonts w:ascii="Times New Roman"/>
                                      <w:sz w:val="21"/>
                                    </w:rPr>
                                    <w:t>HJ970-2018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9"/>
                                    <w:spacing w:before="53"/>
                                    <w:ind w:left="15"/>
                                    <w:rPr>
                                      <w:sz w:val="21"/>
                                    </w:rPr>
                                  </w:pPr>
                                  <w:r>
                                    <w:rPr>
                                      <w:w w:val="99"/>
                                      <w:sz w:val="21"/>
                                    </w:rPr>
                                    <w:t>铁</w:t>
                                  </w:r>
                                </w:p>
                              </w:tc>
                              <w:tc>
                                <w:tcPr>
                                  <w:tcW w:w="4986" w:type="dxa"/>
                                  <w:tcBorders>
                                    <w:top w:val="single" w:color="000000" w:sz="4" w:space="0"/>
                                    <w:left w:val="single" w:color="000000" w:sz="4" w:space="0"/>
                                    <w:bottom w:val="single" w:color="000000" w:sz="4" w:space="0"/>
                                    <w:right w:val="single" w:color="000000" w:sz="4" w:space="0"/>
                                  </w:tcBorders>
                                </w:tcPr>
                                <w:p>
                                  <w:pPr>
                                    <w:pStyle w:val="19"/>
                                    <w:spacing w:before="53"/>
                                    <w:ind w:left="257" w:right="241"/>
                                    <w:rPr>
                                      <w:sz w:val="21"/>
                                    </w:rPr>
                                  </w:pPr>
                                  <w:r>
                                    <w:rPr>
                                      <w:sz w:val="21"/>
                                    </w:rPr>
                                    <w:t>水质铁、锰的测定火焰原子吸收分光光度法</w:t>
                                  </w:r>
                                </w:p>
                              </w:tc>
                              <w:tc>
                                <w:tcPr>
                                  <w:tcW w:w="2454" w:type="dxa"/>
                                  <w:tcBorders>
                                    <w:top w:val="single" w:color="000000" w:sz="4" w:space="0"/>
                                    <w:left w:val="single" w:color="000000" w:sz="4" w:space="0"/>
                                    <w:bottom w:val="single" w:color="000000" w:sz="4" w:space="0"/>
                                  </w:tcBorders>
                                </w:tcPr>
                                <w:p>
                                  <w:pPr>
                                    <w:pStyle w:val="19"/>
                                    <w:spacing w:before="70"/>
                                    <w:ind w:left="516" w:right="494"/>
                                    <w:rPr>
                                      <w:rFonts w:ascii="Times New Roman"/>
                                      <w:sz w:val="21"/>
                                    </w:rPr>
                                  </w:pPr>
                                  <w:r>
                                    <w:rPr>
                                      <w:rFonts w:ascii="Times New Roman"/>
                                      <w:sz w:val="21"/>
                                    </w:rPr>
                                    <w:t>GB11911-1989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9"/>
                                    <w:spacing w:before="52"/>
                                    <w:ind w:left="15"/>
                                    <w:rPr>
                                      <w:sz w:val="21"/>
                                    </w:rPr>
                                  </w:pPr>
                                  <w:r>
                                    <w:rPr>
                                      <w:w w:val="99"/>
                                      <w:sz w:val="21"/>
                                    </w:rPr>
                                    <w:t>锰</w:t>
                                  </w:r>
                                </w:p>
                              </w:tc>
                              <w:tc>
                                <w:tcPr>
                                  <w:tcW w:w="4986" w:type="dxa"/>
                                  <w:tcBorders>
                                    <w:top w:val="single" w:color="000000" w:sz="4" w:space="0"/>
                                    <w:left w:val="single" w:color="000000" w:sz="4" w:space="0"/>
                                    <w:bottom w:val="single" w:color="000000" w:sz="4" w:space="0"/>
                                    <w:right w:val="single" w:color="000000" w:sz="4" w:space="0"/>
                                  </w:tcBorders>
                                </w:tcPr>
                                <w:p>
                                  <w:pPr>
                                    <w:pStyle w:val="19"/>
                                    <w:spacing w:before="52"/>
                                    <w:ind w:left="257" w:right="241"/>
                                    <w:rPr>
                                      <w:sz w:val="21"/>
                                    </w:rPr>
                                  </w:pPr>
                                  <w:r>
                                    <w:rPr>
                                      <w:sz w:val="21"/>
                                    </w:rPr>
                                    <w:t>水质铁、锰的测定火焰原子吸收分光光度法</w:t>
                                  </w:r>
                                </w:p>
                              </w:tc>
                              <w:tc>
                                <w:tcPr>
                                  <w:tcW w:w="2454" w:type="dxa"/>
                                  <w:tcBorders>
                                    <w:top w:val="single" w:color="000000" w:sz="4" w:space="0"/>
                                    <w:left w:val="single" w:color="000000" w:sz="4" w:space="0"/>
                                    <w:bottom w:val="single" w:color="000000" w:sz="4" w:space="0"/>
                                  </w:tcBorders>
                                </w:tcPr>
                                <w:p>
                                  <w:pPr>
                                    <w:pStyle w:val="19"/>
                                    <w:spacing w:before="70"/>
                                    <w:ind w:left="516" w:right="494"/>
                                    <w:rPr>
                                      <w:rFonts w:ascii="Times New Roman"/>
                                      <w:sz w:val="21"/>
                                    </w:rPr>
                                  </w:pPr>
                                  <w:r>
                                    <w:rPr>
                                      <w:rFonts w:ascii="Times New Roman"/>
                                      <w:sz w:val="21"/>
                                    </w:rPr>
                                    <w:t>GB11911-1989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9"/>
                                    <w:spacing w:before="52"/>
                                    <w:ind w:left="15"/>
                                    <w:rPr>
                                      <w:sz w:val="21"/>
                                    </w:rPr>
                                  </w:pPr>
                                  <w:r>
                                    <w:rPr>
                                      <w:w w:val="99"/>
                                      <w:sz w:val="21"/>
                                    </w:rPr>
                                    <w:t>汞</w:t>
                                  </w:r>
                                </w:p>
                              </w:tc>
                              <w:tc>
                                <w:tcPr>
                                  <w:tcW w:w="4986" w:type="dxa"/>
                                  <w:tcBorders>
                                    <w:top w:val="single" w:color="000000" w:sz="4" w:space="0"/>
                                    <w:left w:val="single" w:color="000000" w:sz="4" w:space="0"/>
                                    <w:bottom w:val="single" w:color="000000" w:sz="4" w:space="0"/>
                                    <w:right w:val="single" w:color="000000" w:sz="4" w:space="0"/>
                                  </w:tcBorders>
                                </w:tcPr>
                                <w:p>
                                  <w:pPr>
                                    <w:pStyle w:val="19"/>
                                    <w:spacing w:before="52"/>
                                    <w:ind w:left="257" w:right="241"/>
                                    <w:rPr>
                                      <w:sz w:val="21"/>
                                    </w:rPr>
                                  </w:pPr>
                                  <w:r>
                                    <w:rPr>
                                      <w:sz w:val="21"/>
                                    </w:rPr>
                                    <w:t>水质汞、砷、硒、铋和锑的测定原子荧光法</w:t>
                                  </w:r>
                                </w:p>
                              </w:tc>
                              <w:tc>
                                <w:tcPr>
                                  <w:tcW w:w="2454" w:type="dxa"/>
                                  <w:tcBorders>
                                    <w:top w:val="single" w:color="000000" w:sz="4" w:space="0"/>
                                    <w:left w:val="single" w:color="000000" w:sz="4" w:space="0"/>
                                    <w:bottom w:val="single" w:color="000000" w:sz="4" w:space="0"/>
                                  </w:tcBorders>
                                </w:tcPr>
                                <w:p>
                                  <w:pPr>
                                    <w:pStyle w:val="19"/>
                                    <w:spacing w:before="69"/>
                                    <w:ind w:left="511" w:right="494"/>
                                    <w:rPr>
                                      <w:rFonts w:ascii="Times New Roman"/>
                                      <w:sz w:val="21"/>
                                    </w:rPr>
                                  </w:pPr>
                                  <w:r>
                                    <w:rPr>
                                      <w:rFonts w:ascii="Times New Roman"/>
                                      <w:sz w:val="21"/>
                                    </w:rPr>
                                    <w:t>HJ694-2014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620" w:type="dxa"/>
                                  <w:tcBorders>
                                    <w:top w:val="single" w:color="000000" w:sz="4" w:space="0"/>
                                    <w:right w:val="single" w:color="000000" w:sz="4" w:space="0"/>
                                  </w:tcBorders>
                                </w:tcPr>
                                <w:p>
                                  <w:pPr>
                                    <w:pStyle w:val="19"/>
                                    <w:spacing w:before="6"/>
                                    <w:jc w:val="left"/>
                                    <w:rPr>
                                      <w:sz w:val="25"/>
                                    </w:rPr>
                                  </w:pPr>
                                </w:p>
                                <w:p>
                                  <w:pPr>
                                    <w:pStyle w:val="19"/>
                                    <w:ind w:left="15"/>
                                    <w:rPr>
                                      <w:sz w:val="21"/>
                                    </w:rPr>
                                  </w:pPr>
                                  <w:r>
                                    <w:rPr>
                                      <w:w w:val="99"/>
                                      <w:sz w:val="21"/>
                                    </w:rPr>
                                    <w:t>镉</w:t>
                                  </w:r>
                                </w:p>
                              </w:tc>
                              <w:tc>
                                <w:tcPr>
                                  <w:tcW w:w="4986" w:type="dxa"/>
                                  <w:tcBorders>
                                    <w:top w:val="single" w:color="000000" w:sz="4" w:space="0"/>
                                    <w:left w:val="single" w:color="000000" w:sz="4" w:space="0"/>
                                    <w:right w:val="single" w:color="000000" w:sz="4" w:space="0"/>
                                  </w:tcBorders>
                                </w:tcPr>
                                <w:p>
                                  <w:pPr>
                                    <w:pStyle w:val="19"/>
                                    <w:spacing w:before="6"/>
                                    <w:jc w:val="left"/>
                                    <w:rPr>
                                      <w:sz w:val="25"/>
                                    </w:rPr>
                                  </w:pPr>
                                </w:p>
                                <w:p>
                                  <w:pPr>
                                    <w:pStyle w:val="19"/>
                                    <w:ind w:left="259" w:right="241"/>
                                    <w:rPr>
                                      <w:sz w:val="21"/>
                                    </w:rPr>
                                  </w:pPr>
                                  <w:r>
                                    <w:rPr>
                                      <w:sz w:val="21"/>
                                    </w:rPr>
                                    <w:t>镉石墨炉原子吸收法</w:t>
                                  </w:r>
                                </w:p>
                              </w:tc>
                              <w:tc>
                                <w:tcPr>
                                  <w:tcW w:w="2454" w:type="dxa"/>
                                  <w:tcBorders>
                                    <w:top w:val="single" w:color="000000" w:sz="4" w:space="0"/>
                                    <w:left w:val="single" w:color="000000" w:sz="4" w:space="0"/>
                                  </w:tcBorders>
                                </w:tcPr>
                                <w:p>
                                  <w:pPr>
                                    <w:pStyle w:val="19"/>
                                    <w:ind w:left="109" w:hanging="101"/>
                                    <w:jc w:val="left"/>
                                    <w:rPr>
                                      <w:sz w:val="21"/>
                                    </w:rPr>
                                  </w:pPr>
                                  <w:r>
                                    <w:rPr>
                                      <w:sz w:val="21"/>
                                    </w:rPr>
                                    <w:t>《水和废水监测分析方法</w:t>
                                  </w:r>
                                </w:p>
                                <w:p>
                                  <w:pPr>
                                    <w:pStyle w:val="19"/>
                                    <w:spacing w:before="9" w:line="320" w:lineRule="atLeast"/>
                                    <w:ind w:left="183" w:right="90" w:hanging="75"/>
                                    <w:jc w:val="left"/>
                                    <w:rPr>
                                      <w:rFonts w:ascii="Times New Roman" w:eastAsia="Times New Roman"/>
                                      <w:sz w:val="21"/>
                                    </w:rPr>
                                  </w:pPr>
                                  <w:r>
                                    <w:rPr>
                                      <w:rFonts w:ascii="Times New Roman" w:eastAsia="Times New Roman"/>
                                      <w:sz w:val="21"/>
                                    </w:rPr>
                                    <w:t>(</w:t>
                                  </w:r>
                                  <w:r>
                                    <w:rPr>
                                      <w:sz w:val="21"/>
                                    </w:rPr>
                                    <w:t>第四版增补版</w:t>
                                  </w:r>
                                  <w:r>
                                    <w:rPr>
                                      <w:rFonts w:ascii="Times New Roman" w:eastAsia="Times New Roman"/>
                                      <w:sz w:val="21"/>
                                    </w:rPr>
                                    <w:t>)</w:t>
                                  </w:r>
                                  <w:r>
                                    <w:rPr>
                                      <w:sz w:val="21"/>
                                    </w:rPr>
                                    <w:t>国家环境保护总局</w:t>
                                  </w:r>
                                  <w:r>
                                    <w:rPr>
                                      <w:rFonts w:ascii="Times New Roman" w:eastAsia="Times New Roman"/>
                                      <w:sz w:val="21"/>
                                    </w:rPr>
                                    <w:t xml:space="preserve">(2002 </w:t>
                                  </w:r>
                                  <w:r>
                                    <w:rPr>
                                      <w:sz w:val="21"/>
                                    </w:rPr>
                                    <w:t>年</w:t>
                                  </w:r>
                                  <w:r>
                                    <w:rPr>
                                      <w:rFonts w:ascii="Times New Roman" w:eastAsia="Times New Roman"/>
                                      <w:sz w:val="21"/>
                                    </w:rPr>
                                    <w:t>)P331</w:t>
                                  </w:r>
                                </w:p>
                              </w:tc>
                            </w:tr>
                          </w:tbl>
                          <w:p>
                            <w:pPr>
                              <w:pStyle w:val="9"/>
                            </w:pPr>
                          </w:p>
                        </w:txbxContent>
                      </wps:txbx>
                      <wps:bodyPr lIns="0" tIns="0" rIns="0" bIns="0" upright="1"/>
                    </wps:wsp>
                  </a:graphicData>
                </a:graphic>
              </wp:anchor>
            </w:drawing>
          </mc:Choice>
          <mc:Fallback>
            <w:pict>
              <v:shape id="文本框 54" o:spid="_x0000_s1026" o:spt="202" type="#_x0000_t202" style="position:absolute;left:0pt;margin-left:70.4pt;margin-top:13.85pt;height:227.35pt;width:454.45pt;mso-position-horizontal-relative:page;z-index:251715584;mso-width-relative:page;mso-height-relative:page;" filled="f" stroked="f" coordsize="21600,21600" o:gfxdata="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dP9eNtkAAAALAQAADwAA&#10;AAAAAAABACAAAAAiAAAAZHJzL2Rvd25yZXYueG1sUEsBAhQAFAAAAAgAh07iQHOsMOOjAQAAKAMA&#10;AA4AAAAAAAAAAQAgAAAAKAEAAGRycy9lMm9Eb2MueG1sUEsFBgAAAAAGAAYAWQEAAD0FAAAAAA==&#10;">
                <v:fill on="f" focussize="0,0"/>
                <v:stroke on="f"/>
                <v:imagedata o:title=""/>
                <o:lock v:ext="edit" aspectratio="f"/>
                <v:textbox inset="0mm,0mm,0mm,0mm">
                  <w:txbxContent>
                    <w:tbl>
                      <w:tblPr>
                        <w:tblStyle w:val="15"/>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20"/>
                        <w:gridCol w:w="4986"/>
                        <w:gridCol w:w="245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bottom w:val="single" w:color="000000" w:sz="4" w:space="0"/>
                              <w:right w:val="single" w:color="000000" w:sz="4" w:space="0"/>
                            </w:tcBorders>
                          </w:tcPr>
                          <w:p>
                            <w:pPr>
                              <w:pStyle w:val="19"/>
                              <w:spacing w:before="53"/>
                              <w:ind w:left="54" w:right="39"/>
                              <w:rPr>
                                <w:sz w:val="21"/>
                              </w:rPr>
                            </w:pPr>
                            <w:r>
                              <w:rPr>
                                <w:sz w:val="21"/>
                              </w:rPr>
                              <w:t>分析项目</w:t>
                            </w:r>
                          </w:p>
                        </w:tc>
                        <w:tc>
                          <w:tcPr>
                            <w:tcW w:w="4986" w:type="dxa"/>
                            <w:tcBorders>
                              <w:left w:val="single" w:color="000000" w:sz="4" w:space="0"/>
                              <w:bottom w:val="single" w:color="000000" w:sz="4" w:space="0"/>
                              <w:right w:val="single" w:color="000000" w:sz="4" w:space="0"/>
                            </w:tcBorders>
                          </w:tcPr>
                          <w:p>
                            <w:pPr>
                              <w:pStyle w:val="19"/>
                              <w:spacing w:before="53"/>
                              <w:ind w:left="259" w:right="241"/>
                              <w:rPr>
                                <w:sz w:val="21"/>
                              </w:rPr>
                            </w:pPr>
                            <w:r>
                              <w:rPr>
                                <w:sz w:val="21"/>
                              </w:rPr>
                              <w:t>分析方法</w:t>
                            </w:r>
                          </w:p>
                        </w:tc>
                        <w:tc>
                          <w:tcPr>
                            <w:tcW w:w="2454" w:type="dxa"/>
                            <w:tcBorders>
                              <w:left w:val="single" w:color="000000" w:sz="4" w:space="0"/>
                              <w:bottom w:val="single" w:color="000000" w:sz="4" w:space="0"/>
                            </w:tcBorders>
                          </w:tcPr>
                          <w:p>
                            <w:pPr>
                              <w:pStyle w:val="19"/>
                              <w:spacing w:before="53"/>
                              <w:ind w:left="513" w:right="494"/>
                              <w:rPr>
                                <w:sz w:val="21"/>
                              </w:rPr>
                            </w:pPr>
                            <w:r>
                              <w:rPr>
                                <w:sz w:val="21"/>
                              </w:rPr>
                              <w:t>方法标准号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9"/>
                              <w:spacing w:before="53"/>
                              <w:ind w:left="56" w:right="39"/>
                              <w:rPr>
                                <w:sz w:val="21"/>
                              </w:rPr>
                            </w:pPr>
                            <w:r>
                              <w:rPr>
                                <w:rFonts w:ascii="Times New Roman" w:eastAsia="Times New Roman"/>
                                <w:sz w:val="21"/>
                              </w:rPr>
                              <w:t xml:space="preserve">pH </w:t>
                            </w:r>
                            <w:r>
                              <w:rPr>
                                <w:sz w:val="21"/>
                              </w:rPr>
                              <w:t>值</w:t>
                            </w:r>
                          </w:p>
                        </w:tc>
                        <w:tc>
                          <w:tcPr>
                            <w:tcW w:w="4986" w:type="dxa"/>
                            <w:tcBorders>
                              <w:top w:val="single" w:color="000000" w:sz="4" w:space="0"/>
                              <w:left w:val="single" w:color="000000" w:sz="4" w:space="0"/>
                              <w:bottom w:val="single" w:color="000000" w:sz="4" w:space="0"/>
                              <w:right w:val="single" w:color="000000" w:sz="4" w:space="0"/>
                            </w:tcBorders>
                          </w:tcPr>
                          <w:p>
                            <w:pPr>
                              <w:pStyle w:val="19"/>
                              <w:spacing w:before="53"/>
                              <w:ind w:left="257" w:right="241"/>
                              <w:rPr>
                                <w:sz w:val="21"/>
                              </w:rPr>
                            </w:pPr>
                            <w:r>
                              <w:rPr>
                                <w:sz w:val="21"/>
                              </w:rPr>
                              <w:t xml:space="preserve">水质 </w:t>
                            </w:r>
                            <w:r>
                              <w:rPr>
                                <w:rFonts w:ascii="Times New Roman" w:eastAsia="Times New Roman"/>
                                <w:sz w:val="21"/>
                              </w:rPr>
                              <w:t xml:space="preserve">pH </w:t>
                            </w:r>
                            <w:r>
                              <w:rPr>
                                <w:sz w:val="21"/>
                              </w:rPr>
                              <w:t>值的测定玻璃电极法</w:t>
                            </w:r>
                          </w:p>
                        </w:tc>
                        <w:tc>
                          <w:tcPr>
                            <w:tcW w:w="2454" w:type="dxa"/>
                            <w:tcBorders>
                              <w:top w:val="single" w:color="000000" w:sz="4" w:space="0"/>
                              <w:left w:val="single" w:color="000000" w:sz="4" w:space="0"/>
                              <w:bottom w:val="single" w:color="000000" w:sz="4" w:space="0"/>
                            </w:tcBorders>
                          </w:tcPr>
                          <w:p>
                            <w:pPr>
                              <w:pStyle w:val="19"/>
                              <w:spacing w:before="70"/>
                              <w:ind w:left="516" w:right="494"/>
                              <w:rPr>
                                <w:rFonts w:ascii="Times New Roman"/>
                                <w:sz w:val="21"/>
                              </w:rPr>
                            </w:pPr>
                            <w:r>
                              <w:rPr>
                                <w:rFonts w:ascii="Times New Roman"/>
                                <w:sz w:val="21"/>
                              </w:rPr>
                              <w:t>GB/T6920-1986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9"/>
                              <w:spacing w:before="52"/>
                              <w:ind w:left="56" w:right="39"/>
                              <w:rPr>
                                <w:sz w:val="21"/>
                              </w:rPr>
                            </w:pPr>
                            <w:r>
                              <w:rPr>
                                <w:sz w:val="21"/>
                              </w:rPr>
                              <w:t>悬浮物</w:t>
                            </w:r>
                          </w:p>
                        </w:tc>
                        <w:tc>
                          <w:tcPr>
                            <w:tcW w:w="4986" w:type="dxa"/>
                            <w:tcBorders>
                              <w:top w:val="single" w:color="000000" w:sz="4" w:space="0"/>
                              <w:left w:val="single" w:color="000000" w:sz="4" w:space="0"/>
                              <w:bottom w:val="single" w:color="000000" w:sz="4" w:space="0"/>
                              <w:right w:val="single" w:color="000000" w:sz="4" w:space="0"/>
                            </w:tcBorders>
                          </w:tcPr>
                          <w:p>
                            <w:pPr>
                              <w:pStyle w:val="19"/>
                              <w:spacing w:before="52"/>
                              <w:ind w:left="257" w:right="241"/>
                              <w:rPr>
                                <w:sz w:val="21"/>
                              </w:rPr>
                            </w:pPr>
                            <w:r>
                              <w:rPr>
                                <w:sz w:val="21"/>
                              </w:rPr>
                              <w:t>水质悬浮物的测定重量法</w:t>
                            </w:r>
                          </w:p>
                        </w:tc>
                        <w:tc>
                          <w:tcPr>
                            <w:tcW w:w="2454" w:type="dxa"/>
                            <w:tcBorders>
                              <w:top w:val="single" w:color="000000" w:sz="4" w:space="0"/>
                              <w:left w:val="single" w:color="000000" w:sz="4" w:space="0"/>
                              <w:bottom w:val="single" w:color="000000" w:sz="4" w:space="0"/>
                            </w:tcBorders>
                          </w:tcPr>
                          <w:p>
                            <w:pPr>
                              <w:pStyle w:val="19"/>
                              <w:spacing w:before="70"/>
                              <w:ind w:left="514" w:right="494"/>
                              <w:rPr>
                                <w:rFonts w:ascii="Times New Roman"/>
                                <w:sz w:val="21"/>
                              </w:rPr>
                            </w:pPr>
                            <w:r>
                              <w:rPr>
                                <w:rFonts w:ascii="Times New Roman"/>
                                <w:sz w:val="21"/>
                              </w:rPr>
                              <w:t>GB11901-1989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9"/>
                              <w:spacing w:before="52"/>
                              <w:ind w:left="54" w:right="39"/>
                              <w:rPr>
                                <w:sz w:val="21"/>
                              </w:rPr>
                            </w:pPr>
                            <w:r>
                              <w:rPr>
                                <w:sz w:val="21"/>
                              </w:rPr>
                              <w:t>化学需氧量</w:t>
                            </w:r>
                          </w:p>
                        </w:tc>
                        <w:tc>
                          <w:tcPr>
                            <w:tcW w:w="4986" w:type="dxa"/>
                            <w:tcBorders>
                              <w:top w:val="single" w:color="000000" w:sz="4" w:space="0"/>
                              <w:left w:val="single" w:color="000000" w:sz="4" w:space="0"/>
                              <w:bottom w:val="single" w:color="000000" w:sz="4" w:space="0"/>
                              <w:right w:val="single" w:color="000000" w:sz="4" w:space="0"/>
                            </w:tcBorders>
                          </w:tcPr>
                          <w:p>
                            <w:pPr>
                              <w:pStyle w:val="19"/>
                              <w:spacing w:before="52"/>
                              <w:ind w:left="257" w:right="241"/>
                              <w:rPr>
                                <w:sz w:val="21"/>
                              </w:rPr>
                            </w:pPr>
                            <w:r>
                              <w:rPr>
                                <w:sz w:val="21"/>
                              </w:rPr>
                              <w:t>水质化学需氧量的测定重铬酸盐法</w:t>
                            </w:r>
                          </w:p>
                        </w:tc>
                        <w:tc>
                          <w:tcPr>
                            <w:tcW w:w="2454" w:type="dxa"/>
                            <w:tcBorders>
                              <w:top w:val="single" w:color="000000" w:sz="4" w:space="0"/>
                              <w:left w:val="single" w:color="000000" w:sz="4" w:space="0"/>
                              <w:bottom w:val="single" w:color="000000" w:sz="4" w:space="0"/>
                            </w:tcBorders>
                          </w:tcPr>
                          <w:p>
                            <w:pPr>
                              <w:pStyle w:val="19"/>
                              <w:spacing w:before="69"/>
                              <w:ind w:left="511" w:right="494"/>
                              <w:rPr>
                                <w:rFonts w:ascii="Times New Roman"/>
                                <w:sz w:val="21"/>
                              </w:rPr>
                            </w:pPr>
                            <w:r>
                              <w:rPr>
                                <w:rFonts w:ascii="Times New Roman"/>
                                <w:sz w:val="21"/>
                              </w:rPr>
                              <w:t>HJ828-2017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9"/>
                              <w:spacing w:before="53"/>
                              <w:ind w:left="56" w:right="39"/>
                              <w:rPr>
                                <w:sz w:val="21"/>
                              </w:rPr>
                            </w:pPr>
                            <w:r>
                              <w:rPr>
                                <w:sz w:val="21"/>
                              </w:rPr>
                              <w:t>石油类</w:t>
                            </w:r>
                          </w:p>
                        </w:tc>
                        <w:tc>
                          <w:tcPr>
                            <w:tcW w:w="4986" w:type="dxa"/>
                            <w:tcBorders>
                              <w:top w:val="single" w:color="000000" w:sz="4" w:space="0"/>
                              <w:left w:val="single" w:color="000000" w:sz="4" w:space="0"/>
                              <w:bottom w:val="single" w:color="000000" w:sz="4" w:space="0"/>
                              <w:right w:val="single" w:color="000000" w:sz="4" w:space="0"/>
                            </w:tcBorders>
                          </w:tcPr>
                          <w:p>
                            <w:pPr>
                              <w:pStyle w:val="19"/>
                              <w:spacing w:before="53"/>
                              <w:ind w:left="257" w:right="241"/>
                              <w:rPr>
                                <w:sz w:val="21"/>
                              </w:rPr>
                            </w:pPr>
                            <w:r>
                              <w:rPr>
                                <w:sz w:val="21"/>
                              </w:rPr>
                              <w:t>水质石油类的测定紫外分光光度法</w:t>
                            </w:r>
                          </w:p>
                        </w:tc>
                        <w:tc>
                          <w:tcPr>
                            <w:tcW w:w="2454" w:type="dxa"/>
                            <w:tcBorders>
                              <w:top w:val="single" w:color="000000" w:sz="4" w:space="0"/>
                              <w:left w:val="single" w:color="000000" w:sz="4" w:space="0"/>
                              <w:bottom w:val="single" w:color="000000" w:sz="4" w:space="0"/>
                            </w:tcBorders>
                          </w:tcPr>
                          <w:p>
                            <w:pPr>
                              <w:pStyle w:val="19"/>
                              <w:spacing w:before="69"/>
                              <w:ind w:left="511" w:right="494"/>
                              <w:rPr>
                                <w:rFonts w:ascii="Times New Roman"/>
                                <w:sz w:val="21"/>
                              </w:rPr>
                            </w:pPr>
                            <w:r>
                              <w:rPr>
                                <w:rFonts w:ascii="Times New Roman"/>
                                <w:sz w:val="21"/>
                              </w:rPr>
                              <w:t>HJ970-2018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9"/>
                              <w:spacing w:before="53"/>
                              <w:ind w:left="15"/>
                              <w:rPr>
                                <w:sz w:val="21"/>
                              </w:rPr>
                            </w:pPr>
                            <w:r>
                              <w:rPr>
                                <w:w w:val="99"/>
                                <w:sz w:val="21"/>
                              </w:rPr>
                              <w:t>铁</w:t>
                            </w:r>
                          </w:p>
                        </w:tc>
                        <w:tc>
                          <w:tcPr>
                            <w:tcW w:w="4986" w:type="dxa"/>
                            <w:tcBorders>
                              <w:top w:val="single" w:color="000000" w:sz="4" w:space="0"/>
                              <w:left w:val="single" w:color="000000" w:sz="4" w:space="0"/>
                              <w:bottom w:val="single" w:color="000000" w:sz="4" w:space="0"/>
                              <w:right w:val="single" w:color="000000" w:sz="4" w:space="0"/>
                            </w:tcBorders>
                          </w:tcPr>
                          <w:p>
                            <w:pPr>
                              <w:pStyle w:val="19"/>
                              <w:spacing w:before="53"/>
                              <w:ind w:left="257" w:right="241"/>
                              <w:rPr>
                                <w:sz w:val="21"/>
                              </w:rPr>
                            </w:pPr>
                            <w:r>
                              <w:rPr>
                                <w:sz w:val="21"/>
                              </w:rPr>
                              <w:t>水质铁、锰的测定火焰原子吸收分光光度法</w:t>
                            </w:r>
                          </w:p>
                        </w:tc>
                        <w:tc>
                          <w:tcPr>
                            <w:tcW w:w="2454" w:type="dxa"/>
                            <w:tcBorders>
                              <w:top w:val="single" w:color="000000" w:sz="4" w:space="0"/>
                              <w:left w:val="single" w:color="000000" w:sz="4" w:space="0"/>
                              <w:bottom w:val="single" w:color="000000" w:sz="4" w:space="0"/>
                            </w:tcBorders>
                          </w:tcPr>
                          <w:p>
                            <w:pPr>
                              <w:pStyle w:val="19"/>
                              <w:spacing w:before="70"/>
                              <w:ind w:left="516" w:right="494"/>
                              <w:rPr>
                                <w:rFonts w:ascii="Times New Roman"/>
                                <w:sz w:val="21"/>
                              </w:rPr>
                            </w:pPr>
                            <w:r>
                              <w:rPr>
                                <w:rFonts w:ascii="Times New Roman"/>
                                <w:sz w:val="21"/>
                              </w:rPr>
                              <w:t>GB11911-1989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9"/>
                              <w:spacing w:before="52"/>
                              <w:ind w:left="15"/>
                              <w:rPr>
                                <w:sz w:val="21"/>
                              </w:rPr>
                            </w:pPr>
                            <w:r>
                              <w:rPr>
                                <w:w w:val="99"/>
                                <w:sz w:val="21"/>
                              </w:rPr>
                              <w:t>锰</w:t>
                            </w:r>
                          </w:p>
                        </w:tc>
                        <w:tc>
                          <w:tcPr>
                            <w:tcW w:w="4986" w:type="dxa"/>
                            <w:tcBorders>
                              <w:top w:val="single" w:color="000000" w:sz="4" w:space="0"/>
                              <w:left w:val="single" w:color="000000" w:sz="4" w:space="0"/>
                              <w:bottom w:val="single" w:color="000000" w:sz="4" w:space="0"/>
                              <w:right w:val="single" w:color="000000" w:sz="4" w:space="0"/>
                            </w:tcBorders>
                          </w:tcPr>
                          <w:p>
                            <w:pPr>
                              <w:pStyle w:val="19"/>
                              <w:spacing w:before="52"/>
                              <w:ind w:left="257" w:right="241"/>
                              <w:rPr>
                                <w:sz w:val="21"/>
                              </w:rPr>
                            </w:pPr>
                            <w:r>
                              <w:rPr>
                                <w:sz w:val="21"/>
                              </w:rPr>
                              <w:t>水质铁、锰的测定火焰原子吸收分光光度法</w:t>
                            </w:r>
                          </w:p>
                        </w:tc>
                        <w:tc>
                          <w:tcPr>
                            <w:tcW w:w="2454" w:type="dxa"/>
                            <w:tcBorders>
                              <w:top w:val="single" w:color="000000" w:sz="4" w:space="0"/>
                              <w:left w:val="single" w:color="000000" w:sz="4" w:space="0"/>
                              <w:bottom w:val="single" w:color="000000" w:sz="4" w:space="0"/>
                            </w:tcBorders>
                          </w:tcPr>
                          <w:p>
                            <w:pPr>
                              <w:pStyle w:val="19"/>
                              <w:spacing w:before="70"/>
                              <w:ind w:left="516" w:right="494"/>
                              <w:rPr>
                                <w:rFonts w:ascii="Times New Roman"/>
                                <w:sz w:val="21"/>
                              </w:rPr>
                            </w:pPr>
                            <w:r>
                              <w:rPr>
                                <w:rFonts w:ascii="Times New Roman"/>
                                <w:sz w:val="21"/>
                              </w:rPr>
                              <w:t>GB11911-1989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9"/>
                              <w:spacing w:before="52"/>
                              <w:ind w:left="15"/>
                              <w:rPr>
                                <w:sz w:val="21"/>
                              </w:rPr>
                            </w:pPr>
                            <w:r>
                              <w:rPr>
                                <w:w w:val="99"/>
                                <w:sz w:val="21"/>
                              </w:rPr>
                              <w:t>汞</w:t>
                            </w:r>
                          </w:p>
                        </w:tc>
                        <w:tc>
                          <w:tcPr>
                            <w:tcW w:w="4986" w:type="dxa"/>
                            <w:tcBorders>
                              <w:top w:val="single" w:color="000000" w:sz="4" w:space="0"/>
                              <w:left w:val="single" w:color="000000" w:sz="4" w:space="0"/>
                              <w:bottom w:val="single" w:color="000000" w:sz="4" w:space="0"/>
                              <w:right w:val="single" w:color="000000" w:sz="4" w:space="0"/>
                            </w:tcBorders>
                          </w:tcPr>
                          <w:p>
                            <w:pPr>
                              <w:pStyle w:val="19"/>
                              <w:spacing w:before="52"/>
                              <w:ind w:left="257" w:right="241"/>
                              <w:rPr>
                                <w:sz w:val="21"/>
                              </w:rPr>
                            </w:pPr>
                            <w:r>
                              <w:rPr>
                                <w:sz w:val="21"/>
                              </w:rPr>
                              <w:t>水质汞、砷、硒、铋和锑的测定原子荧光法</w:t>
                            </w:r>
                          </w:p>
                        </w:tc>
                        <w:tc>
                          <w:tcPr>
                            <w:tcW w:w="2454" w:type="dxa"/>
                            <w:tcBorders>
                              <w:top w:val="single" w:color="000000" w:sz="4" w:space="0"/>
                              <w:left w:val="single" w:color="000000" w:sz="4" w:space="0"/>
                              <w:bottom w:val="single" w:color="000000" w:sz="4" w:space="0"/>
                            </w:tcBorders>
                          </w:tcPr>
                          <w:p>
                            <w:pPr>
                              <w:pStyle w:val="19"/>
                              <w:spacing w:before="69"/>
                              <w:ind w:left="511" w:right="494"/>
                              <w:rPr>
                                <w:rFonts w:ascii="Times New Roman"/>
                                <w:sz w:val="21"/>
                              </w:rPr>
                            </w:pPr>
                            <w:r>
                              <w:rPr>
                                <w:rFonts w:ascii="Times New Roman"/>
                                <w:sz w:val="21"/>
                              </w:rPr>
                              <w:t>HJ694-2014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620" w:type="dxa"/>
                            <w:tcBorders>
                              <w:top w:val="single" w:color="000000" w:sz="4" w:space="0"/>
                              <w:right w:val="single" w:color="000000" w:sz="4" w:space="0"/>
                            </w:tcBorders>
                          </w:tcPr>
                          <w:p>
                            <w:pPr>
                              <w:pStyle w:val="19"/>
                              <w:spacing w:before="6"/>
                              <w:jc w:val="left"/>
                              <w:rPr>
                                <w:sz w:val="25"/>
                              </w:rPr>
                            </w:pPr>
                          </w:p>
                          <w:p>
                            <w:pPr>
                              <w:pStyle w:val="19"/>
                              <w:ind w:left="15"/>
                              <w:rPr>
                                <w:sz w:val="21"/>
                              </w:rPr>
                            </w:pPr>
                            <w:r>
                              <w:rPr>
                                <w:w w:val="99"/>
                                <w:sz w:val="21"/>
                              </w:rPr>
                              <w:t>镉</w:t>
                            </w:r>
                          </w:p>
                        </w:tc>
                        <w:tc>
                          <w:tcPr>
                            <w:tcW w:w="4986" w:type="dxa"/>
                            <w:tcBorders>
                              <w:top w:val="single" w:color="000000" w:sz="4" w:space="0"/>
                              <w:left w:val="single" w:color="000000" w:sz="4" w:space="0"/>
                              <w:right w:val="single" w:color="000000" w:sz="4" w:space="0"/>
                            </w:tcBorders>
                          </w:tcPr>
                          <w:p>
                            <w:pPr>
                              <w:pStyle w:val="19"/>
                              <w:spacing w:before="6"/>
                              <w:jc w:val="left"/>
                              <w:rPr>
                                <w:sz w:val="25"/>
                              </w:rPr>
                            </w:pPr>
                          </w:p>
                          <w:p>
                            <w:pPr>
                              <w:pStyle w:val="19"/>
                              <w:ind w:left="259" w:right="241"/>
                              <w:rPr>
                                <w:sz w:val="21"/>
                              </w:rPr>
                            </w:pPr>
                            <w:r>
                              <w:rPr>
                                <w:sz w:val="21"/>
                              </w:rPr>
                              <w:t>镉石墨炉原子吸收法</w:t>
                            </w:r>
                          </w:p>
                        </w:tc>
                        <w:tc>
                          <w:tcPr>
                            <w:tcW w:w="2454" w:type="dxa"/>
                            <w:tcBorders>
                              <w:top w:val="single" w:color="000000" w:sz="4" w:space="0"/>
                              <w:left w:val="single" w:color="000000" w:sz="4" w:space="0"/>
                            </w:tcBorders>
                          </w:tcPr>
                          <w:p>
                            <w:pPr>
                              <w:pStyle w:val="19"/>
                              <w:ind w:left="109" w:hanging="101"/>
                              <w:jc w:val="left"/>
                              <w:rPr>
                                <w:sz w:val="21"/>
                              </w:rPr>
                            </w:pPr>
                            <w:r>
                              <w:rPr>
                                <w:sz w:val="21"/>
                              </w:rPr>
                              <w:t>《水和废水监测分析方法</w:t>
                            </w:r>
                          </w:p>
                          <w:p>
                            <w:pPr>
                              <w:pStyle w:val="19"/>
                              <w:spacing w:before="9" w:line="320" w:lineRule="atLeast"/>
                              <w:ind w:left="183" w:right="90" w:hanging="75"/>
                              <w:jc w:val="left"/>
                              <w:rPr>
                                <w:rFonts w:ascii="Times New Roman" w:eastAsia="Times New Roman"/>
                                <w:sz w:val="21"/>
                              </w:rPr>
                            </w:pPr>
                            <w:r>
                              <w:rPr>
                                <w:rFonts w:ascii="Times New Roman" w:eastAsia="Times New Roman"/>
                                <w:sz w:val="21"/>
                              </w:rPr>
                              <w:t>(</w:t>
                            </w:r>
                            <w:r>
                              <w:rPr>
                                <w:sz w:val="21"/>
                              </w:rPr>
                              <w:t>第四版增补版</w:t>
                            </w:r>
                            <w:r>
                              <w:rPr>
                                <w:rFonts w:ascii="Times New Roman" w:eastAsia="Times New Roman"/>
                                <w:sz w:val="21"/>
                              </w:rPr>
                              <w:t>)</w:t>
                            </w:r>
                            <w:r>
                              <w:rPr>
                                <w:sz w:val="21"/>
                              </w:rPr>
                              <w:t>国家环境保护总局</w:t>
                            </w:r>
                            <w:r>
                              <w:rPr>
                                <w:rFonts w:ascii="Times New Roman" w:eastAsia="Times New Roman"/>
                                <w:sz w:val="21"/>
                              </w:rPr>
                              <w:t xml:space="preserve">(2002 </w:t>
                            </w:r>
                            <w:r>
                              <w:rPr>
                                <w:sz w:val="21"/>
                              </w:rPr>
                              <w:t>年</w:t>
                            </w:r>
                            <w:r>
                              <w:rPr>
                                <w:rFonts w:ascii="Times New Roman" w:eastAsia="Times New Roman"/>
                                <w:sz w:val="21"/>
                              </w:rPr>
                              <w:t>)P331</w:t>
                            </w:r>
                          </w:p>
                        </w:tc>
                      </w:tr>
                    </w:tbl>
                    <w:p>
                      <w:pPr>
                        <w:pStyle w:val="9"/>
                      </w:pPr>
                    </w:p>
                  </w:txbxContent>
                </v:textbox>
              </v:shape>
            </w:pict>
          </mc:Fallback>
        </mc:AlternateContent>
      </w:r>
      <w:r>
        <w:rPr>
          <w:b/>
          <w:spacing w:val="-28"/>
          <w:sz w:val="21"/>
        </w:rPr>
        <w:t xml:space="preserve">表 </w:t>
      </w:r>
      <w:r>
        <w:rPr>
          <w:rFonts w:ascii="Times New Roman" w:eastAsia="Times New Roman"/>
          <w:b/>
          <w:sz w:val="21"/>
        </w:rPr>
        <w:t>6.2-1</w:t>
      </w:r>
      <w:r>
        <w:rPr>
          <w:rFonts w:ascii="Times New Roman" w:eastAsia="Times New Roman"/>
          <w:b/>
          <w:spacing w:val="52"/>
          <w:sz w:val="21"/>
        </w:rPr>
        <w:t xml:space="preserve"> </w:t>
      </w:r>
      <w:r>
        <w:rPr>
          <w:b/>
          <w:sz w:val="21"/>
        </w:rPr>
        <w:t>地表水检测方法</w:t>
      </w: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spacing w:before="167"/>
        <w:ind w:left="0" w:right="1355" w:firstLine="0"/>
        <w:jc w:val="right"/>
        <w:rPr>
          <w:sz w:val="21"/>
        </w:rPr>
      </w:pPr>
      <w:r>
        <w:rPr>
          <w:w w:val="99"/>
          <w:sz w:val="21"/>
        </w:rPr>
        <w:t>》</w:t>
      </w:r>
    </w:p>
    <w:p>
      <w:pPr>
        <w:spacing w:after="0"/>
        <w:jc w:val="right"/>
        <w:rPr>
          <w:sz w:val="21"/>
        </w:rPr>
        <w:sectPr>
          <w:pgSz w:w="11910" w:h="16840"/>
          <w:pgMar w:top="1360" w:right="0" w:bottom="880" w:left="0" w:header="0" w:footer="681" w:gutter="0"/>
        </w:sectPr>
      </w:pPr>
    </w:p>
    <w:tbl>
      <w:tblPr>
        <w:tblStyle w:val="15"/>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20"/>
        <w:gridCol w:w="4986"/>
        <w:gridCol w:w="245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bottom w:val="single" w:color="000000" w:sz="4" w:space="0"/>
              <w:right w:val="single" w:color="000000" w:sz="4" w:space="0"/>
            </w:tcBorders>
          </w:tcPr>
          <w:p>
            <w:pPr>
              <w:pStyle w:val="19"/>
              <w:spacing w:before="52"/>
              <w:ind w:left="15"/>
              <w:rPr>
                <w:sz w:val="21"/>
              </w:rPr>
            </w:pPr>
            <w:r>
              <w:rPr>
                <w:w w:val="99"/>
                <w:sz w:val="21"/>
              </w:rPr>
              <w:t>铬</w:t>
            </w:r>
          </w:p>
        </w:tc>
        <w:tc>
          <w:tcPr>
            <w:tcW w:w="4986" w:type="dxa"/>
            <w:tcBorders>
              <w:left w:val="single" w:color="000000" w:sz="4" w:space="0"/>
              <w:bottom w:val="single" w:color="000000" w:sz="4" w:space="0"/>
              <w:right w:val="single" w:color="000000" w:sz="4" w:space="0"/>
            </w:tcBorders>
          </w:tcPr>
          <w:p>
            <w:pPr>
              <w:pStyle w:val="19"/>
              <w:spacing w:before="52"/>
              <w:ind w:left="259" w:right="241"/>
              <w:rPr>
                <w:sz w:val="21"/>
              </w:rPr>
            </w:pPr>
            <w:r>
              <w:fldChar w:fldCharType="begin"/>
            </w:r>
            <w:r>
              <w:instrText xml:space="preserve"> HYPERLINK "http://www.es.org.cn/siteadmin/File/StdView.php?bzlistID=1465" \h </w:instrText>
            </w:r>
            <w:r>
              <w:fldChar w:fldCharType="separate"/>
            </w:r>
            <w:r>
              <w:rPr>
                <w:sz w:val="21"/>
              </w:rPr>
              <w:t>水质铬的测定火焰原子吸收分光光度法</w:t>
            </w:r>
            <w:r>
              <w:rPr>
                <w:sz w:val="21"/>
              </w:rPr>
              <w:fldChar w:fldCharType="end"/>
            </w:r>
          </w:p>
        </w:tc>
        <w:tc>
          <w:tcPr>
            <w:tcW w:w="2454" w:type="dxa"/>
            <w:tcBorders>
              <w:left w:val="single" w:color="000000" w:sz="4" w:space="0"/>
              <w:bottom w:val="single" w:color="000000" w:sz="4" w:space="0"/>
            </w:tcBorders>
          </w:tcPr>
          <w:p>
            <w:pPr>
              <w:pStyle w:val="19"/>
              <w:spacing w:before="71"/>
              <w:ind w:left="511" w:right="494"/>
              <w:rPr>
                <w:rFonts w:ascii="Times New Roman"/>
                <w:sz w:val="21"/>
              </w:rPr>
            </w:pPr>
            <w:r>
              <w:rPr>
                <w:rFonts w:ascii="Times New Roman"/>
                <w:sz w:val="21"/>
              </w:rPr>
              <w:t>HJ757-2015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9"/>
              <w:spacing w:before="53"/>
              <w:ind w:left="15"/>
              <w:rPr>
                <w:sz w:val="21"/>
              </w:rPr>
            </w:pPr>
            <w:r>
              <w:rPr>
                <w:w w:val="99"/>
                <w:sz w:val="21"/>
              </w:rPr>
              <w:t>铅</w:t>
            </w:r>
          </w:p>
        </w:tc>
        <w:tc>
          <w:tcPr>
            <w:tcW w:w="4986" w:type="dxa"/>
            <w:tcBorders>
              <w:top w:val="single" w:color="000000" w:sz="4" w:space="0"/>
              <w:left w:val="single" w:color="000000" w:sz="4" w:space="0"/>
              <w:bottom w:val="single" w:color="000000" w:sz="4" w:space="0"/>
              <w:right w:val="single" w:color="000000" w:sz="4" w:space="0"/>
            </w:tcBorders>
          </w:tcPr>
          <w:p>
            <w:pPr>
              <w:pStyle w:val="19"/>
              <w:spacing w:before="53"/>
              <w:ind w:left="259" w:right="241"/>
              <w:rPr>
                <w:sz w:val="21"/>
              </w:rPr>
            </w:pPr>
            <w:r>
              <w:rPr>
                <w:sz w:val="21"/>
              </w:rPr>
              <w:t>水质铜、锌、铅、镉的测定原子吸收分光光度法</w:t>
            </w:r>
          </w:p>
        </w:tc>
        <w:tc>
          <w:tcPr>
            <w:tcW w:w="2454" w:type="dxa"/>
            <w:tcBorders>
              <w:top w:val="single" w:color="000000" w:sz="4" w:space="0"/>
              <w:left w:val="single" w:color="000000" w:sz="4" w:space="0"/>
              <w:bottom w:val="single" w:color="000000" w:sz="4" w:space="0"/>
            </w:tcBorders>
          </w:tcPr>
          <w:p>
            <w:pPr>
              <w:pStyle w:val="19"/>
              <w:spacing w:before="69"/>
              <w:ind w:left="516" w:right="494"/>
              <w:rPr>
                <w:rFonts w:ascii="Times New Roman"/>
                <w:sz w:val="21"/>
              </w:rPr>
            </w:pPr>
            <w:r>
              <w:rPr>
                <w:rFonts w:ascii="Times New Roman"/>
                <w:sz w:val="21"/>
              </w:rPr>
              <w:t>GB/T7475-1987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9"/>
              <w:spacing w:before="53"/>
              <w:ind w:left="15"/>
              <w:rPr>
                <w:sz w:val="21"/>
              </w:rPr>
            </w:pPr>
            <w:r>
              <w:rPr>
                <w:w w:val="99"/>
                <w:sz w:val="21"/>
              </w:rPr>
              <w:t>砷</w:t>
            </w:r>
          </w:p>
        </w:tc>
        <w:tc>
          <w:tcPr>
            <w:tcW w:w="4986" w:type="dxa"/>
            <w:tcBorders>
              <w:top w:val="single" w:color="000000" w:sz="4" w:space="0"/>
              <w:left w:val="single" w:color="000000" w:sz="4" w:space="0"/>
              <w:bottom w:val="single" w:color="000000" w:sz="4" w:space="0"/>
              <w:right w:val="single" w:color="000000" w:sz="4" w:space="0"/>
            </w:tcBorders>
          </w:tcPr>
          <w:p>
            <w:pPr>
              <w:pStyle w:val="19"/>
              <w:spacing w:before="53"/>
              <w:ind w:left="257" w:right="241"/>
              <w:rPr>
                <w:sz w:val="21"/>
              </w:rPr>
            </w:pPr>
            <w:r>
              <w:rPr>
                <w:sz w:val="21"/>
              </w:rPr>
              <w:t>水质汞、砷、硒、铋和锑的测定原子荧光法</w:t>
            </w:r>
          </w:p>
        </w:tc>
        <w:tc>
          <w:tcPr>
            <w:tcW w:w="2454" w:type="dxa"/>
            <w:tcBorders>
              <w:top w:val="single" w:color="000000" w:sz="4" w:space="0"/>
              <w:left w:val="single" w:color="000000" w:sz="4" w:space="0"/>
              <w:bottom w:val="single" w:color="000000" w:sz="4" w:space="0"/>
            </w:tcBorders>
          </w:tcPr>
          <w:p>
            <w:pPr>
              <w:pStyle w:val="19"/>
              <w:spacing w:before="70"/>
              <w:ind w:left="511" w:right="494"/>
              <w:rPr>
                <w:rFonts w:ascii="Times New Roman"/>
                <w:sz w:val="21"/>
              </w:rPr>
            </w:pPr>
            <w:r>
              <w:rPr>
                <w:rFonts w:ascii="Times New Roman"/>
                <w:sz w:val="21"/>
              </w:rPr>
              <w:t>HJ694-2014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9"/>
              <w:spacing w:before="54"/>
              <w:ind w:left="15"/>
              <w:rPr>
                <w:sz w:val="21"/>
              </w:rPr>
            </w:pPr>
            <w:r>
              <w:rPr>
                <w:w w:val="99"/>
                <w:sz w:val="21"/>
              </w:rPr>
              <w:t>锌</w:t>
            </w:r>
          </w:p>
        </w:tc>
        <w:tc>
          <w:tcPr>
            <w:tcW w:w="4986" w:type="dxa"/>
            <w:tcBorders>
              <w:top w:val="single" w:color="000000" w:sz="4" w:space="0"/>
              <w:left w:val="single" w:color="000000" w:sz="4" w:space="0"/>
              <w:bottom w:val="single" w:color="000000" w:sz="4" w:space="0"/>
              <w:right w:val="single" w:color="000000" w:sz="4" w:space="0"/>
            </w:tcBorders>
          </w:tcPr>
          <w:p>
            <w:pPr>
              <w:pStyle w:val="19"/>
              <w:spacing w:before="54"/>
              <w:ind w:left="259" w:right="241"/>
              <w:rPr>
                <w:sz w:val="21"/>
              </w:rPr>
            </w:pPr>
            <w:r>
              <w:rPr>
                <w:sz w:val="21"/>
              </w:rPr>
              <w:t>水质铜、锌、铅、镉的测定原子吸收分光光度法</w:t>
            </w:r>
          </w:p>
        </w:tc>
        <w:tc>
          <w:tcPr>
            <w:tcW w:w="2454" w:type="dxa"/>
            <w:tcBorders>
              <w:top w:val="single" w:color="000000" w:sz="4" w:space="0"/>
              <w:left w:val="single" w:color="000000" w:sz="4" w:space="0"/>
              <w:bottom w:val="single" w:color="000000" w:sz="4" w:space="0"/>
            </w:tcBorders>
          </w:tcPr>
          <w:p>
            <w:pPr>
              <w:pStyle w:val="19"/>
              <w:spacing w:before="70"/>
              <w:ind w:left="516" w:right="494"/>
              <w:rPr>
                <w:rFonts w:ascii="Times New Roman"/>
                <w:sz w:val="21"/>
              </w:rPr>
            </w:pPr>
            <w:r>
              <w:rPr>
                <w:rFonts w:ascii="Times New Roman"/>
                <w:sz w:val="21"/>
              </w:rPr>
              <w:t>GB/T7475-1987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9"/>
              <w:spacing w:before="52"/>
              <w:ind w:left="56" w:right="39"/>
              <w:rPr>
                <w:sz w:val="21"/>
              </w:rPr>
            </w:pPr>
            <w:r>
              <w:rPr>
                <w:sz w:val="21"/>
              </w:rPr>
              <w:t>六价铬</w:t>
            </w:r>
          </w:p>
        </w:tc>
        <w:tc>
          <w:tcPr>
            <w:tcW w:w="4986" w:type="dxa"/>
            <w:tcBorders>
              <w:top w:val="single" w:color="000000" w:sz="4" w:space="0"/>
              <w:left w:val="single" w:color="000000" w:sz="4" w:space="0"/>
              <w:bottom w:val="single" w:color="000000" w:sz="4" w:space="0"/>
              <w:right w:val="single" w:color="000000" w:sz="4" w:space="0"/>
            </w:tcBorders>
          </w:tcPr>
          <w:p>
            <w:pPr>
              <w:pStyle w:val="19"/>
              <w:spacing w:before="52"/>
              <w:ind w:left="257" w:right="241"/>
              <w:rPr>
                <w:sz w:val="21"/>
              </w:rPr>
            </w:pPr>
            <w:r>
              <w:rPr>
                <w:sz w:val="21"/>
              </w:rPr>
              <w:t>水质六价铬的测定二苯碳酰二肼分光光度法</w:t>
            </w:r>
          </w:p>
        </w:tc>
        <w:tc>
          <w:tcPr>
            <w:tcW w:w="2454" w:type="dxa"/>
            <w:tcBorders>
              <w:top w:val="single" w:color="000000" w:sz="4" w:space="0"/>
              <w:left w:val="single" w:color="000000" w:sz="4" w:space="0"/>
              <w:bottom w:val="single" w:color="000000" w:sz="4" w:space="0"/>
            </w:tcBorders>
          </w:tcPr>
          <w:p>
            <w:pPr>
              <w:pStyle w:val="19"/>
              <w:spacing w:before="71"/>
              <w:ind w:left="516" w:right="494"/>
              <w:rPr>
                <w:rFonts w:ascii="Times New Roman"/>
                <w:sz w:val="21"/>
              </w:rPr>
            </w:pPr>
            <w:r>
              <w:rPr>
                <w:rFonts w:ascii="Times New Roman"/>
                <w:sz w:val="21"/>
              </w:rPr>
              <w:t>GB/T7467-1987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9"/>
              <w:spacing w:before="53"/>
              <w:ind w:left="56" w:right="39"/>
              <w:rPr>
                <w:sz w:val="21"/>
              </w:rPr>
            </w:pPr>
            <w:r>
              <w:rPr>
                <w:sz w:val="21"/>
              </w:rPr>
              <w:t>氟化物</w:t>
            </w:r>
          </w:p>
        </w:tc>
        <w:tc>
          <w:tcPr>
            <w:tcW w:w="4986" w:type="dxa"/>
            <w:tcBorders>
              <w:top w:val="single" w:color="000000" w:sz="4" w:space="0"/>
              <w:left w:val="single" w:color="000000" w:sz="4" w:space="0"/>
              <w:bottom w:val="single" w:color="000000" w:sz="4" w:space="0"/>
              <w:right w:val="single" w:color="000000" w:sz="4" w:space="0"/>
            </w:tcBorders>
          </w:tcPr>
          <w:p>
            <w:pPr>
              <w:pStyle w:val="19"/>
              <w:spacing w:before="53"/>
              <w:ind w:left="257" w:right="241"/>
              <w:rPr>
                <w:sz w:val="21"/>
              </w:rPr>
            </w:pPr>
            <w:r>
              <w:rPr>
                <w:sz w:val="21"/>
              </w:rPr>
              <w:t>水质氟化物的测定离子选择电极法</w:t>
            </w:r>
          </w:p>
        </w:tc>
        <w:tc>
          <w:tcPr>
            <w:tcW w:w="2454" w:type="dxa"/>
            <w:tcBorders>
              <w:top w:val="single" w:color="000000" w:sz="4" w:space="0"/>
              <w:left w:val="single" w:color="000000" w:sz="4" w:space="0"/>
              <w:bottom w:val="single" w:color="000000" w:sz="4" w:space="0"/>
            </w:tcBorders>
          </w:tcPr>
          <w:p>
            <w:pPr>
              <w:pStyle w:val="19"/>
              <w:spacing w:before="69"/>
              <w:ind w:left="511" w:right="494"/>
              <w:rPr>
                <w:rFonts w:ascii="Times New Roman"/>
                <w:sz w:val="21"/>
              </w:rPr>
            </w:pPr>
            <w:r>
              <w:rPr>
                <w:rFonts w:ascii="Times New Roman"/>
                <w:sz w:val="21"/>
              </w:rPr>
              <w:t>GB7484-1987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9"/>
              <w:spacing w:before="53"/>
              <w:ind w:left="56" w:right="39"/>
              <w:rPr>
                <w:sz w:val="21"/>
              </w:rPr>
            </w:pPr>
            <w:r>
              <w:rPr>
                <w:sz w:val="21"/>
              </w:rPr>
              <w:t>溶解氧</w:t>
            </w:r>
          </w:p>
        </w:tc>
        <w:tc>
          <w:tcPr>
            <w:tcW w:w="4986" w:type="dxa"/>
            <w:tcBorders>
              <w:top w:val="single" w:color="000000" w:sz="4" w:space="0"/>
              <w:left w:val="single" w:color="000000" w:sz="4" w:space="0"/>
              <w:bottom w:val="single" w:color="000000" w:sz="4" w:space="0"/>
              <w:right w:val="single" w:color="000000" w:sz="4" w:space="0"/>
            </w:tcBorders>
          </w:tcPr>
          <w:p>
            <w:pPr>
              <w:pStyle w:val="19"/>
              <w:spacing w:before="53"/>
              <w:ind w:left="257" w:right="241"/>
              <w:rPr>
                <w:sz w:val="21"/>
              </w:rPr>
            </w:pPr>
            <w:r>
              <w:rPr>
                <w:sz w:val="21"/>
              </w:rPr>
              <w:t>水质溶解氧的测定电化学探头法</w:t>
            </w:r>
          </w:p>
        </w:tc>
        <w:tc>
          <w:tcPr>
            <w:tcW w:w="2454" w:type="dxa"/>
            <w:tcBorders>
              <w:top w:val="single" w:color="000000" w:sz="4" w:space="0"/>
              <w:left w:val="single" w:color="000000" w:sz="4" w:space="0"/>
              <w:bottom w:val="single" w:color="000000" w:sz="4" w:space="0"/>
            </w:tcBorders>
          </w:tcPr>
          <w:p>
            <w:pPr>
              <w:pStyle w:val="19"/>
              <w:spacing w:before="70"/>
              <w:ind w:left="511" w:right="494"/>
              <w:rPr>
                <w:rFonts w:ascii="Times New Roman"/>
                <w:sz w:val="21"/>
              </w:rPr>
            </w:pPr>
            <w:r>
              <w:rPr>
                <w:rFonts w:ascii="Times New Roman"/>
                <w:sz w:val="21"/>
              </w:rPr>
              <w:t>HJ506-2009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9"/>
              <w:spacing w:before="54"/>
              <w:ind w:left="56" w:right="39"/>
              <w:rPr>
                <w:sz w:val="21"/>
              </w:rPr>
            </w:pPr>
            <w:r>
              <w:rPr>
                <w:sz w:val="21"/>
              </w:rPr>
              <w:t>五日生化需氧量</w:t>
            </w:r>
          </w:p>
        </w:tc>
        <w:tc>
          <w:tcPr>
            <w:tcW w:w="4986" w:type="dxa"/>
            <w:tcBorders>
              <w:top w:val="single" w:color="000000" w:sz="4" w:space="0"/>
              <w:left w:val="single" w:color="000000" w:sz="4" w:space="0"/>
              <w:bottom w:val="single" w:color="000000" w:sz="4" w:space="0"/>
              <w:right w:val="single" w:color="000000" w:sz="4" w:space="0"/>
            </w:tcBorders>
          </w:tcPr>
          <w:p>
            <w:pPr>
              <w:pStyle w:val="19"/>
              <w:spacing w:before="51"/>
              <w:ind w:left="262" w:right="241"/>
              <w:rPr>
                <w:sz w:val="21"/>
              </w:rPr>
            </w:pPr>
            <w:r>
              <w:rPr>
                <w:position w:val="2"/>
                <w:sz w:val="21"/>
              </w:rPr>
              <w:t>水质五日生化需氧量</w:t>
            </w:r>
            <w:r>
              <w:rPr>
                <w:rFonts w:ascii="Times New Roman" w:eastAsia="Times New Roman"/>
                <w:position w:val="2"/>
                <w:sz w:val="21"/>
              </w:rPr>
              <w:t>(BOD</w:t>
            </w:r>
            <w:r>
              <w:rPr>
                <w:rFonts w:ascii="Times New Roman" w:eastAsia="Times New Roman"/>
                <w:position w:val="2"/>
                <w:sz w:val="21"/>
                <w:vertAlign w:val="subscript"/>
              </w:rPr>
              <w:t>5</w:t>
            </w:r>
            <w:r>
              <w:rPr>
                <w:rFonts w:ascii="Times New Roman" w:eastAsia="Times New Roman"/>
                <w:position w:val="2"/>
                <w:sz w:val="21"/>
                <w:vertAlign w:val="baseline"/>
              </w:rPr>
              <w:t>)</w:t>
            </w:r>
            <w:r>
              <w:rPr>
                <w:position w:val="2"/>
                <w:sz w:val="21"/>
                <w:vertAlign w:val="baseline"/>
              </w:rPr>
              <w:t>的测定稀释与接种法</w:t>
            </w:r>
          </w:p>
        </w:tc>
        <w:tc>
          <w:tcPr>
            <w:tcW w:w="2454" w:type="dxa"/>
            <w:tcBorders>
              <w:top w:val="single" w:color="000000" w:sz="4" w:space="0"/>
              <w:left w:val="single" w:color="000000" w:sz="4" w:space="0"/>
              <w:bottom w:val="single" w:color="000000" w:sz="4" w:space="0"/>
            </w:tcBorders>
          </w:tcPr>
          <w:p>
            <w:pPr>
              <w:pStyle w:val="19"/>
              <w:spacing w:before="70"/>
              <w:ind w:left="511" w:right="494"/>
              <w:rPr>
                <w:rFonts w:ascii="Times New Roman"/>
                <w:sz w:val="21"/>
              </w:rPr>
            </w:pPr>
            <w:r>
              <w:rPr>
                <w:rFonts w:ascii="Times New Roman"/>
                <w:sz w:val="21"/>
              </w:rPr>
              <w:t>HJ505-2009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5" w:hRule="atLeast"/>
        </w:trPr>
        <w:tc>
          <w:tcPr>
            <w:tcW w:w="1620" w:type="dxa"/>
            <w:tcBorders>
              <w:top w:val="single" w:color="000000" w:sz="4" w:space="0"/>
              <w:right w:val="single" w:color="000000" w:sz="4" w:space="0"/>
            </w:tcBorders>
          </w:tcPr>
          <w:p>
            <w:pPr>
              <w:pStyle w:val="19"/>
              <w:spacing w:before="30"/>
              <w:ind w:left="56" w:right="39"/>
              <w:rPr>
                <w:sz w:val="21"/>
              </w:rPr>
            </w:pPr>
            <w:r>
              <w:rPr>
                <w:sz w:val="21"/>
              </w:rPr>
              <w:t>氨氮</w:t>
            </w:r>
          </w:p>
        </w:tc>
        <w:tc>
          <w:tcPr>
            <w:tcW w:w="4986" w:type="dxa"/>
            <w:tcBorders>
              <w:top w:val="single" w:color="000000" w:sz="4" w:space="0"/>
              <w:left w:val="single" w:color="000000" w:sz="4" w:space="0"/>
              <w:right w:val="single" w:color="000000" w:sz="4" w:space="0"/>
            </w:tcBorders>
          </w:tcPr>
          <w:p>
            <w:pPr>
              <w:pStyle w:val="19"/>
              <w:spacing w:before="30"/>
              <w:ind w:left="259" w:right="241"/>
              <w:rPr>
                <w:sz w:val="21"/>
              </w:rPr>
            </w:pPr>
            <w:r>
              <w:rPr>
                <w:sz w:val="21"/>
              </w:rPr>
              <w:t>水质氨氮的测定纳氏试剂分光光度法</w:t>
            </w:r>
          </w:p>
        </w:tc>
        <w:tc>
          <w:tcPr>
            <w:tcW w:w="2454" w:type="dxa"/>
            <w:tcBorders>
              <w:top w:val="single" w:color="000000" w:sz="4" w:space="0"/>
              <w:left w:val="single" w:color="000000" w:sz="4" w:space="0"/>
            </w:tcBorders>
          </w:tcPr>
          <w:p>
            <w:pPr>
              <w:pStyle w:val="19"/>
              <w:spacing w:before="47"/>
              <w:ind w:left="511" w:right="494"/>
              <w:rPr>
                <w:rFonts w:ascii="Times New Roman"/>
                <w:sz w:val="21"/>
              </w:rPr>
            </w:pPr>
            <w:r>
              <w:rPr>
                <w:rFonts w:ascii="Times New Roman"/>
                <w:sz w:val="21"/>
              </w:rPr>
              <w:t>HJ535-2009</w:t>
            </w:r>
          </w:p>
        </w:tc>
      </w:tr>
    </w:tbl>
    <w:p>
      <w:pPr>
        <w:pStyle w:val="8"/>
        <w:numPr>
          <w:ilvl w:val="3"/>
          <w:numId w:val="67"/>
        </w:numPr>
        <w:tabs>
          <w:tab w:val="left" w:pos="2139"/>
        </w:tabs>
        <w:spacing w:before="3" w:after="0" w:line="240" w:lineRule="auto"/>
        <w:ind w:left="2138" w:right="0" w:hanging="721"/>
        <w:jc w:val="left"/>
      </w:pPr>
      <w:bookmarkStart w:id="346" w:name="6.2.1.3监测结果及分析"/>
      <w:bookmarkEnd w:id="346"/>
      <w:bookmarkStart w:id="347" w:name="6.2.1.3监测结果及分析"/>
      <w:bookmarkEnd w:id="347"/>
      <w:r>
        <w:t>监测结果及分析</w:t>
      </w:r>
    </w:p>
    <w:p>
      <w:pPr>
        <w:pStyle w:val="9"/>
        <w:spacing w:before="158" w:line="362" w:lineRule="auto"/>
        <w:ind w:left="1418" w:right="1417" w:firstLine="480"/>
        <w:jc w:val="both"/>
      </w:pPr>
      <w:r>
        <w:rPr>
          <w:spacing w:val="-4"/>
        </w:rPr>
        <w:t xml:space="preserve">本项目委托黑龙江康和检测有限公司于 </w:t>
      </w:r>
      <w:r>
        <w:rPr>
          <w:rFonts w:ascii="Times New Roman" w:eastAsia="Times New Roman"/>
        </w:rPr>
        <w:t>2020</w:t>
      </w:r>
      <w:r>
        <w:rPr>
          <w:rFonts w:ascii="Times New Roman" w:eastAsia="Times New Roman"/>
          <w:spacing w:val="-12"/>
        </w:rPr>
        <w:t xml:space="preserve"> </w:t>
      </w:r>
      <w:r>
        <w:rPr>
          <w:spacing w:val="-36"/>
        </w:rPr>
        <w:t xml:space="preserve">年 </w:t>
      </w:r>
      <w:r>
        <w:rPr>
          <w:rFonts w:ascii="Times New Roman" w:eastAsia="Times New Roman"/>
        </w:rPr>
        <w:t>04</w:t>
      </w:r>
      <w:r>
        <w:rPr>
          <w:rFonts w:ascii="Times New Roman" w:eastAsia="Times New Roman"/>
          <w:spacing w:val="-10"/>
        </w:rPr>
        <w:t xml:space="preserve"> </w:t>
      </w:r>
      <w:r>
        <w:rPr>
          <w:spacing w:val="-36"/>
        </w:rPr>
        <w:t xml:space="preserve">月 </w:t>
      </w:r>
      <w:r>
        <w:rPr>
          <w:rFonts w:ascii="Times New Roman" w:eastAsia="Times New Roman"/>
        </w:rPr>
        <w:t>13</w:t>
      </w:r>
      <w:r>
        <w:rPr>
          <w:rFonts w:ascii="Times New Roman" w:eastAsia="Times New Roman"/>
          <w:spacing w:val="-10"/>
        </w:rPr>
        <w:t xml:space="preserve"> </w:t>
      </w:r>
      <w:r>
        <w:t>日</w:t>
      </w:r>
      <w:r>
        <w:rPr>
          <w:rFonts w:ascii="Times New Roman" w:eastAsia="Times New Roman"/>
        </w:rPr>
        <w:t>~2020</w:t>
      </w:r>
      <w:r>
        <w:rPr>
          <w:rFonts w:ascii="Times New Roman" w:eastAsia="Times New Roman"/>
          <w:spacing w:val="-11"/>
        </w:rPr>
        <w:t xml:space="preserve"> </w:t>
      </w:r>
      <w:r>
        <w:rPr>
          <w:spacing w:val="-36"/>
        </w:rPr>
        <w:t xml:space="preserve">年 </w:t>
      </w:r>
      <w:r>
        <w:rPr>
          <w:rFonts w:ascii="Times New Roman" w:eastAsia="Times New Roman"/>
        </w:rPr>
        <w:t>04</w:t>
      </w:r>
      <w:r>
        <w:rPr>
          <w:rFonts w:ascii="Times New Roman" w:eastAsia="Times New Roman"/>
          <w:spacing w:val="-10"/>
        </w:rPr>
        <w:t xml:space="preserve"> </w:t>
      </w:r>
      <w:r>
        <w:rPr>
          <w:spacing w:val="-36"/>
        </w:rPr>
        <w:t xml:space="preserve">月 </w:t>
      </w:r>
      <w:r>
        <w:rPr>
          <w:rFonts w:ascii="Times New Roman" w:eastAsia="Times New Roman"/>
        </w:rPr>
        <w:t>15</w:t>
      </w:r>
      <w:r>
        <w:rPr>
          <w:rFonts w:ascii="Times New Roman" w:eastAsia="Times New Roman"/>
          <w:spacing w:val="-12"/>
        </w:rPr>
        <w:t xml:space="preserve"> </w:t>
      </w:r>
      <w:r>
        <w:rPr>
          <w:spacing w:val="-5"/>
        </w:rPr>
        <w:t>日对本</w:t>
      </w:r>
      <w:r>
        <w:t>项目纳污水体安邦河进行监测。地表水现状监测统计结果见下表。</w:t>
      </w:r>
    </w:p>
    <w:p>
      <w:pPr>
        <w:spacing w:before="4" w:after="4"/>
        <w:ind w:left="4840" w:right="0" w:firstLine="0"/>
        <w:jc w:val="left"/>
        <w:rPr>
          <w:b/>
          <w:sz w:val="21"/>
        </w:rPr>
      </w:pPr>
      <w:r>
        <w:rPr>
          <w:b/>
          <w:sz w:val="21"/>
        </w:rPr>
        <w:t xml:space="preserve">表 </w:t>
      </w:r>
      <w:r>
        <w:rPr>
          <w:rFonts w:ascii="Times New Roman" w:eastAsia="Times New Roman"/>
          <w:b/>
          <w:sz w:val="21"/>
        </w:rPr>
        <w:t xml:space="preserve">6.2-2 </w:t>
      </w:r>
      <w:r>
        <w:rPr>
          <w:b/>
          <w:sz w:val="21"/>
        </w:rPr>
        <w:t>地表水监测结果</w:t>
      </w: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65"/>
        <w:gridCol w:w="1658"/>
        <w:gridCol w:w="2031"/>
        <w:gridCol w:w="1977"/>
        <w:gridCol w:w="205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vMerge w:val="restart"/>
            <w:tcBorders>
              <w:bottom w:val="single" w:color="000000" w:sz="4" w:space="0"/>
              <w:right w:val="single" w:color="000000" w:sz="4" w:space="0"/>
            </w:tcBorders>
          </w:tcPr>
          <w:p>
            <w:pPr>
              <w:pStyle w:val="19"/>
              <w:spacing w:before="168"/>
              <w:ind w:left="362"/>
              <w:jc w:val="left"/>
              <w:rPr>
                <w:sz w:val="21"/>
              </w:rPr>
            </w:pPr>
            <w:r>
              <w:rPr>
                <w:sz w:val="21"/>
              </w:rPr>
              <w:t>监测项目</w:t>
            </w:r>
          </w:p>
        </w:tc>
        <w:tc>
          <w:tcPr>
            <w:tcW w:w="1658" w:type="dxa"/>
            <w:vMerge w:val="restart"/>
            <w:tcBorders>
              <w:left w:val="single" w:color="000000" w:sz="4" w:space="0"/>
              <w:bottom w:val="single" w:color="000000" w:sz="4" w:space="0"/>
              <w:right w:val="single" w:color="000000" w:sz="4" w:space="0"/>
            </w:tcBorders>
          </w:tcPr>
          <w:p>
            <w:pPr>
              <w:pStyle w:val="19"/>
              <w:spacing w:before="168"/>
              <w:ind w:left="497" w:right="480"/>
              <w:rPr>
                <w:sz w:val="21"/>
              </w:rPr>
            </w:pPr>
            <w:r>
              <w:rPr>
                <w:sz w:val="21"/>
              </w:rPr>
              <w:t>单位</w:t>
            </w:r>
          </w:p>
        </w:tc>
        <w:tc>
          <w:tcPr>
            <w:tcW w:w="6059" w:type="dxa"/>
            <w:gridSpan w:val="3"/>
            <w:tcBorders>
              <w:left w:val="single" w:color="000000" w:sz="4" w:space="0"/>
              <w:bottom w:val="single" w:color="000000" w:sz="4" w:space="0"/>
            </w:tcBorders>
          </w:tcPr>
          <w:p>
            <w:pPr>
              <w:pStyle w:val="19"/>
              <w:ind w:left="2172" w:right="2151"/>
              <w:rPr>
                <w:sz w:val="21"/>
              </w:rPr>
            </w:pPr>
            <w:r>
              <w:rPr>
                <w:sz w:val="21"/>
              </w:rPr>
              <w:t>监测结果（均值）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vMerge w:val="continue"/>
            <w:tcBorders>
              <w:top w:val="nil"/>
              <w:bottom w:val="single" w:color="000000" w:sz="4" w:space="0"/>
              <w:right w:val="single" w:color="000000" w:sz="4" w:space="0"/>
            </w:tcBorders>
          </w:tcPr>
          <w:p>
            <w:pPr>
              <w:rPr>
                <w:sz w:val="2"/>
                <w:szCs w:val="2"/>
              </w:rPr>
            </w:pPr>
          </w:p>
        </w:tc>
        <w:tc>
          <w:tcPr>
            <w:tcW w:w="1658" w:type="dxa"/>
            <w:vMerge w:val="continue"/>
            <w:tcBorders>
              <w:top w:val="nil"/>
              <w:left w:val="single" w:color="000000" w:sz="4" w:space="0"/>
              <w:bottom w:val="single" w:color="000000" w:sz="4" w:space="0"/>
              <w:right w:val="single" w:color="000000" w:sz="4" w:space="0"/>
            </w:tcBorders>
          </w:tcPr>
          <w:p>
            <w:pPr>
              <w:rPr>
                <w:sz w:val="2"/>
                <w:szCs w:val="2"/>
              </w:rPr>
            </w:pPr>
          </w:p>
        </w:tc>
        <w:tc>
          <w:tcPr>
            <w:tcW w:w="2031" w:type="dxa"/>
            <w:tcBorders>
              <w:top w:val="single" w:color="000000" w:sz="4" w:space="0"/>
              <w:left w:val="single" w:color="000000" w:sz="4" w:space="0"/>
              <w:bottom w:val="single" w:color="000000" w:sz="4" w:space="0"/>
              <w:right w:val="single" w:color="000000" w:sz="4" w:space="0"/>
            </w:tcBorders>
          </w:tcPr>
          <w:p>
            <w:pPr>
              <w:pStyle w:val="19"/>
              <w:spacing w:line="269" w:lineRule="exact"/>
              <w:ind w:left="154" w:right="135"/>
              <w:rPr>
                <w:rFonts w:ascii="Times New Roman" w:eastAsia="Times New Roman"/>
                <w:sz w:val="21"/>
              </w:rPr>
            </w:pPr>
            <w:r>
              <w:rPr>
                <w:sz w:val="21"/>
              </w:rPr>
              <w:t xml:space="preserve">上游 </w:t>
            </w:r>
            <w:r>
              <w:rPr>
                <w:rFonts w:ascii="Times New Roman" w:eastAsia="Times New Roman"/>
                <w:sz w:val="21"/>
              </w:rPr>
              <w:t>500m</w:t>
            </w:r>
          </w:p>
        </w:tc>
        <w:tc>
          <w:tcPr>
            <w:tcW w:w="1977" w:type="dxa"/>
            <w:tcBorders>
              <w:top w:val="single" w:color="000000" w:sz="4" w:space="0"/>
              <w:left w:val="single" w:color="000000" w:sz="4" w:space="0"/>
              <w:bottom w:val="single" w:color="000000" w:sz="4" w:space="0"/>
              <w:right w:val="single" w:color="000000" w:sz="4" w:space="0"/>
            </w:tcBorders>
          </w:tcPr>
          <w:p>
            <w:pPr>
              <w:pStyle w:val="19"/>
              <w:spacing w:line="269" w:lineRule="exact"/>
              <w:ind w:left="418" w:right="399"/>
              <w:rPr>
                <w:rFonts w:ascii="Times New Roman" w:eastAsia="Times New Roman"/>
                <w:sz w:val="21"/>
              </w:rPr>
            </w:pPr>
            <w:r>
              <w:rPr>
                <w:sz w:val="21"/>
              </w:rPr>
              <w:t xml:space="preserve">下游 </w:t>
            </w:r>
            <w:r>
              <w:rPr>
                <w:rFonts w:ascii="Times New Roman" w:eastAsia="Times New Roman"/>
                <w:sz w:val="21"/>
              </w:rPr>
              <w:t>1000m</w:t>
            </w:r>
          </w:p>
        </w:tc>
        <w:tc>
          <w:tcPr>
            <w:tcW w:w="2051" w:type="dxa"/>
            <w:tcBorders>
              <w:top w:val="single" w:color="000000" w:sz="4" w:space="0"/>
              <w:left w:val="single" w:color="000000" w:sz="4" w:space="0"/>
              <w:bottom w:val="single" w:color="000000" w:sz="4" w:space="0"/>
            </w:tcBorders>
          </w:tcPr>
          <w:p>
            <w:pPr>
              <w:pStyle w:val="19"/>
              <w:spacing w:line="269" w:lineRule="exact"/>
              <w:ind w:left="455" w:right="432"/>
              <w:rPr>
                <w:rFonts w:ascii="Times New Roman" w:eastAsia="Times New Roman"/>
                <w:sz w:val="21"/>
              </w:rPr>
            </w:pPr>
            <w:r>
              <w:rPr>
                <w:sz w:val="21"/>
              </w:rPr>
              <w:t xml:space="preserve">下游 </w:t>
            </w:r>
            <w:r>
              <w:rPr>
                <w:rFonts w:ascii="Times New Roman" w:eastAsia="Times New Roman"/>
                <w:sz w:val="21"/>
              </w:rPr>
              <w:t>5000m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565" w:type="dxa"/>
            <w:tcBorders>
              <w:top w:val="single" w:color="000000" w:sz="4" w:space="0"/>
              <w:bottom w:val="single" w:color="000000" w:sz="4" w:space="0"/>
              <w:right w:val="single" w:color="000000" w:sz="4" w:space="0"/>
            </w:tcBorders>
          </w:tcPr>
          <w:p>
            <w:pPr>
              <w:pStyle w:val="19"/>
              <w:spacing w:before="1"/>
              <w:ind w:left="130" w:right="118"/>
              <w:rPr>
                <w:sz w:val="21"/>
              </w:rPr>
            </w:pPr>
            <w:r>
              <w:rPr>
                <w:rFonts w:ascii="Times New Roman" w:eastAsia="Times New Roman"/>
                <w:sz w:val="21"/>
              </w:rPr>
              <w:t xml:space="preserve">pH </w:t>
            </w:r>
            <w:r>
              <w:rPr>
                <w:sz w:val="21"/>
              </w:rPr>
              <w:t>值</w:t>
            </w:r>
          </w:p>
        </w:tc>
        <w:tc>
          <w:tcPr>
            <w:tcW w:w="1658" w:type="dxa"/>
            <w:tcBorders>
              <w:top w:val="single" w:color="000000" w:sz="4" w:space="0"/>
              <w:left w:val="single" w:color="000000" w:sz="4" w:space="0"/>
              <w:bottom w:val="single" w:color="000000" w:sz="4" w:space="0"/>
              <w:right w:val="single" w:color="000000" w:sz="4" w:space="0"/>
            </w:tcBorders>
          </w:tcPr>
          <w:p>
            <w:pPr>
              <w:pStyle w:val="19"/>
              <w:spacing w:before="1"/>
              <w:ind w:left="497" w:right="480"/>
              <w:rPr>
                <w:sz w:val="21"/>
              </w:rPr>
            </w:pPr>
            <w:r>
              <w:rPr>
                <w:sz w:val="21"/>
              </w:rPr>
              <w:t>无量纲</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17"/>
              <w:ind w:left="153" w:right="135"/>
              <w:rPr>
                <w:rFonts w:ascii="Times New Roman"/>
                <w:sz w:val="21"/>
              </w:rPr>
            </w:pPr>
            <w:r>
              <w:rPr>
                <w:rFonts w:ascii="Times New Roman"/>
                <w:sz w:val="21"/>
              </w:rPr>
              <w:t>7.34</w:t>
            </w:r>
          </w:p>
        </w:tc>
        <w:tc>
          <w:tcPr>
            <w:tcW w:w="1977" w:type="dxa"/>
            <w:tcBorders>
              <w:top w:val="single" w:color="000000" w:sz="4" w:space="0"/>
              <w:left w:val="single" w:color="000000" w:sz="4" w:space="0"/>
              <w:bottom w:val="single" w:color="000000" w:sz="4" w:space="0"/>
              <w:right w:val="single" w:color="000000" w:sz="4" w:space="0"/>
            </w:tcBorders>
          </w:tcPr>
          <w:p>
            <w:pPr>
              <w:pStyle w:val="19"/>
              <w:spacing w:before="17"/>
              <w:ind w:left="417" w:right="399"/>
              <w:rPr>
                <w:rFonts w:ascii="Times New Roman"/>
                <w:sz w:val="21"/>
              </w:rPr>
            </w:pPr>
            <w:r>
              <w:rPr>
                <w:rFonts w:ascii="Times New Roman"/>
                <w:sz w:val="21"/>
              </w:rPr>
              <w:t>7.39</w:t>
            </w:r>
          </w:p>
        </w:tc>
        <w:tc>
          <w:tcPr>
            <w:tcW w:w="2051" w:type="dxa"/>
            <w:tcBorders>
              <w:top w:val="single" w:color="000000" w:sz="4" w:space="0"/>
              <w:left w:val="single" w:color="000000" w:sz="4" w:space="0"/>
              <w:bottom w:val="single" w:color="000000" w:sz="4" w:space="0"/>
            </w:tcBorders>
          </w:tcPr>
          <w:p>
            <w:pPr>
              <w:pStyle w:val="19"/>
              <w:spacing w:before="17"/>
              <w:ind w:left="455" w:right="430"/>
              <w:rPr>
                <w:rFonts w:ascii="Times New Roman"/>
                <w:sz w:val="21"/>
              </w:rPr>
            </w:pPr>
            <w:r>
              <w:rPr>
                <w:rFonts w:ascii="Times New Roman"/>
                <w:sz w:val="21"/>
              </w:rPr>
              <w:t>7.46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565" w:type="dxa"/>
            <w:tcBorders>
              <w:top w:val="single" w:color="000000" w:sz="4" w:space="0"/>
              <w:bottom w:val="single" w:color="000000" w:sz="4" w:space="0"/>
              <w:right w:val="single" w:color="000000" w:sz="4" w:space="0"/>
            </w:tcBorders>
          </w:tcPr>
          <w:p>
            <w:pPr>
              <w:pStyle w:val="19"/>
              <w:spacing w:before="1"/>
              <w:ind w:left="130" w:right="120"/>
              <w:rPr>
                <w:sz w:val="21"/>
              </w:rPr>
            </w:pPr>
            <w:r>
              <w:rPr>
                <w:sz w:val="21"/>
              </w:rPr>
              <w:t>悬浮物</w:t>
            </w:r>
          </w:p>
        </w:tc>
        <w:tc>
          <w:tcPr>
            <w:tcW w:w="1658" w:type="dxa"/>
            <w:tcBorders>
              <w:top w:val="single" w:color="000000" w:sz="4" w:space="0"/>
              <w:left w:val="single" w:color="000000" w:sz="4" w:space="0"/>
              <w:bottom w:val="single" w:color="000000" w:sz="4" w:space="0"/>
              <w:right w:val="single" w:color="000000" w:sz="4" w:space="0"/>
            </w:tcBorders>
          </w:tcPr>
          <w:p>
            <w:pPr>
              <w:pStyle w:val="19"/>
              <w:spacing w:before="17"/>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17"/>
              <w:ind w:left="153" w:right="135"/>
              <w:rPr>
                <w:rFonts w:ascii="Times New Roman"/>
                <w:sz w:val="21"/>
              </w:rPr>
            </w:pPr>
            <w:r>
              <w:rPr>
                <w:rFonts w:ascii="Times New Roman"/>
                <w:sz w:val="21"/>
              </w:rPr>
              <w:t>14</w:t>
            </w:r>
          </w:p>
        </w:tc>
        <w:tc>
          <w:tcPr>
            <w:tcW w:w="1977" w:type="dxa"/>
            <w:tcBorders>
              <w:top w:val="single" w:color="000000" w:sz="4" w:space="0"/>
              <w:left w:val="single" w:color="000000" w:sz="4" w:space="0"/>
              <w:bottom w:val="single" w:color="000000" w:sz="4" w:space="0"/>
              <w:right w:val="single" w:color="000000" w:sz="4" w:space="0"/>
            </w:tcBorders>
          </w:tcPr>
          <w:p>
            <w:pPr>
              <w:pStyle w:val="19"/>
              <w:spacing w:before="17"/>
              <w:ind w:left="417" w:right="399"/>
              <w:rPr>
                <w:rFonts w:ascii="Times New Roman"/>
                <w:sz w:val="21"/>
              </w:rPr>
            </w:pPr>
            <w:r>
              <w:rPr>
                <w:rFonts w:ascii="Times New Roman"/>
                <w:sz w:val="21"/>
              </w:rPr>
              <w:t>12</w:t>
            </w:r>
          </w:p>
        </w:tc>
        <w:tc>
          <w:tcPr>
            <w:tcW w:w="2051" w:type="dxa"/>
            <w:tcBorders>
              <w:top w:val="single" w:color="000000" w:sz="4" w:space="0"/>
              <w:left w:val="single" w:color="000000" w:sz="4" w:space="0"/>
              <w:bottom w:val="single" w:color="000000" w:sz="4" w:space="0"/>
            </w:tcBorders>
          </w:tcPr>
          <w:p>
            <w:pPr>
              <w:pStyle w:val="19"/>
              <w:spacing w:before="17"/>
              <w:ind w:left="454" w:right="432"/>
              <w:rPr>
                <w:rFonts w:ascii="Times New Roman"/>
                <w:sz w:val="21"/>
              </w:rPr>
            </w:pPr>
            <w:r>
              <w:rPr>
                <w:rFonts w:ascii="Times New Roman"/>
                <w:sz w:val="21"/>
              </w:rPr>
              <w:t>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tcBorders>
              <w:top w:val="single" w:color="000000" w:sz="4" w:space="0"/>
              <w:bottom w:val="single" w:color="000000" w:sz="4" w:space="0"/>
              <w:right w:val="single" w:color="000000" w:sz="4" w:space="0"/>
            </w:tcBorders>
          </w:tcPr>
          <w:p>
            <w:pPr>
              <w:pStyle w:val="19"/>
              <w:ind w:left="130" w:right="118"/>
              <w:rPr>
                <w:sz w:val="21"/>
              </w:rPr>
            </w:pPr>
            <w:r>
              <w:rPr>
                <w:sz w:val="21"/>
              </w:rPr>
              <w:t>化学需氧量</w:t>
            </w:r>
          </w:p>
        </w:tc>
        <w:tc>
          <w:tcPr>
            <w:tcW w:w="1658" w:type="dxa"/>
            <w:tcBorders>
              <w:top w:val="single" w:color="000000" w:sz="4" w:space="0"/>
              <w:left w:val="single" w:color="000000" w:sz="4" w:space="0"/>
              <w:bottom w:val="single" w:color="000000" w:sz="4" w:space="0"/>
              <w:right w:val="single" w:color="000000" w:sz="4" w:space="0"/>
            </w:tcBorders>
          </w:tcPr>
          <w:p>
            <w:pPr>
              <w:pStyle w:val="19"/>
              <w:spacing w:before="18"/>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18"/>
              <w:ind w:left="153" w:right="135"/>
              <w:rPr>
                <w:rFonts w:ascii="Times New Roman"/>
                <w:sz w:val="21"/>
              </w:rPr>
            </w:pPr>
            <w:r>
              <w:rPr>
                <w:rFonts w:ascii="Times New Roman"/>
                <w:sz w:val="21"/>
              </w:rPr>
              <w:t>16</w:t>
            </w:r>
          </w:p>
        </w:tc>
        <w:tc>
          <w:tcPr>
            <w:tcW w:w="1977" w:type="dxa"/>
            <w:tcBorders>
              <w:top w:val="single" w:color="000000" w:sz="4" w:space="0"/>
              <w:left w:val="single" w:color="000000" w:sz="4" w:space="0"/>
              <w:bottom w:val="single" w:color="000000" w:sz="4" w:space="0"/>
              <w:right w:val="single" w:color="000000" w:sz="4" w:space="0"/>
            </w:tcBorders>
          </w:tcPr>
          <w:p>
            <w:pPr>
              <w:pStyle w:val="19"/>
              <w:spacing w:before="18"/>
              <w:ind w:left="417" w:right="399"/>
              <w:rPr>
                <w:rFonts w:ascii="Times New Roman"/>
                <w:sz w:val="21"/>
              </w:rPr>
            </w:pPr>
            <w:r>
              <w:rPr>
                <w:rFonts w:ascii="Times New Roman"/>
                <w:sz w:val="21"/>
              </w:rPr>
              <w:t>14</w:t>
            </w:r>
          </w:p>
        </w:tc>
        <w:tc>
          <w:tcPr>
            <w:tcW w:w="2051" w:type="dxa"/>
            <w:tcBorders>
              <w:top w:val="single" w:color="000000" w:sz="4" w:space="0"/>
              <w:left w:val="single" w:color="000000" w:sz="4" w:space="0"/>
              <w:bottom w:val="single" w:color="000000" w:sz="4" w:space="0"/>
            </w:tcBorders>
          </w:tcPr>
          <w:p>
            <w:pPr>
              <w:pStyle w:val="19"/>
              <w:spacing w:before="18"/>
              <w:ind w:left="454" w:right="432"/>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tcBorders>
              <w:top w:val="single" w:color="000000" w:sz="4" w:space="0"/>
              <w:bottom w:val="single" w:color="000000" w:sz="4" w:space="0"/>
              <w:right w:val="single" w:color="000000" w:sz="4" w:space="0"/>
            </w:tcBorders>
          </w:tcPr>
          <w:p>
            <w:pPr>
              <w:pStyle w:val="19"/>
              <w:spacing w:before="1"/>
              <w:ind w:left="130" w:right="120"/>
              <w:rPr>
                <w:sz w:val="21"/>
              </w:rPr>
            </w:pPr>
            <w:r>
              <w:rPr>
                <w:sz w:val="21"/>
              </w:rPr>
              <w:t>石油类</w:t>
            </w:r>
          </w:p>
        </w:tc>
        <w:tc>
          <w:tcPr>
            <w:tcW w:w="1658" w:type="dxa"/>
            <w:tcBorders>
              <w:top w:val="single" w:color="000000" w:sz="4" w:space="0"/>
              <w:left w:val="single" w:color="000000" w:sz="4" w:space="0"/>
              <w:bottom w:val="single" w:color="000000" w:sz="4" w:space="0"/>
              <w:right w:val="single" w:color="000000" w:sz="4" w:space="0"/>
            </w:tcBorders>
          </w:tcPr>
          <w:p>
            <w:pPr>
              <w:pStyle w:val="19"/>
              <w:spacing w:before="17"/>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17"/>
              <w:ind w:left="154" w:right="134"/>
              <w:rPr>
                <w:rFonts w:ascii="Times New Roman"/>
                <w:sz w:val="21"/>
              </w:rPr>
            </w:pPr>
            <w:r>
              <w:rPr>
                <w:rFonts w:ascii="Times New Roman"/>
                <w:sz w:val="21"/>
              </w:rPr>
              <w:t>0.01L</w:t>
            </w:r>
          </w:p>
        </w:tc>
        <w:tc>
          <w:tcPr>
            <w:tcW w:w="1977" w:type="dxa"/>
            <w:tcBorders>
              <w:top w:val="single" w:color="000000" w:sz="4" w:space="0"/>
              <w:left w:val="single" w:color="000000" w:sz="4" w:space="0"/>
              <w:bottom w:val="single" w:color="000000" w:sz="4" w:space="0"/>
              <w:right w:val="single" w:color="000000" w:sz="4" w:space="0"/>
            </w:tcBorders>
          </w:tcPr>
          <w:p>
            <w:pPr>
              <w:pStyle w:val="19"/>
              <w:spacing w:before="17"/>
              <w:ind w:left="418" w:right="398"/>
              <w:rPr>
                <w:rFonts w:ascii="Times New Roman"/>
                <w:sz w:val="21"/>
              </w:rPr>
            </w:pPr>
            <w:r>
              <w:rPr>
                <w:rFonts w:ascii="Times New Roman"/>
                <w:sz w:val="21"/>
              </w:rPr>
              <w:t>0.01L</w:t>
            </w:r>
          </w:p>
        </w:tc>
        <w:tc>
          <w:tcPr>
            <w:tcW w:w="2051" w:type="dxa"/>
            <w:tcBorders>
              <w:top w:val="single" w:color="000000" w:sz="4" w:space="0"/>
              <w:left w:val="single" w:color="000000" w:sz="4" w:space="0"/>
              <w:bottom w:val="single" w:color="000000" w:sz="4" w:space="0"/>
            </w:tcBorders>
          </w:tcPr>
          <w:p>
            <w:pPr>
              <w:pStyle w:val="19"/>
              <w:spacing w:before="17"/>
              <w:ind w:left="455" w:right="429"/>
              <w:rPr>
                <w:rFonts w:ascii="Times New Roman"/>
                <w:sz w:val="21"/>
              </w:rPr>
            </w:pPr>
            <w:r>
              <w:rPr>
                <w:rFonts w:ascii="Times New Roman"/>
                <w:sz w:val="21"/>
              </w:rPr>
              <w:t>0.01L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565" w:type="dxa"/>
            <w:tcBorders>
              <w:top w:val="single" w:color="000000" w:sz="4" w:space="0"/>
              <w:bottom w:val="single" w:color="000000" w:sz="4" w:space="0"/>
              <w:right w:val="single" w:color="000000" w:sz="4" w:space="0"/>
            </w:tcBorders>
          </w:tcPr>
          <w:p>
            <w:pPr>
              <w:pStyle w:val="19"/>
              <w:ind w:left="12"/>
              <w:rPr>
                <w:sz w:val="21"/>
              </w:rPr>
            </w:pPr>
            <w:r>
              <w:rPr>
                <w:w w:val="99"/>
                <w:sz w:val="21"/>
              </w:rPr>
              <w:t>铁</w:t>
            </w:r>
          </w:p>
        </w:tc>
        <w:tc>
          <w:tcPr>
            <w:tcW w:w="1658" w:type="dxa"/>
            <w:tcBorders>
              <w:top w:val="single" w:color="000000" w:sz="4" w:space="0"/>
              <w:left w:val="single" w:color="000000" w:sz="4" w:space="0"/>
              <w:bottom w:val="single" w:color="000000" w:sz="4" w:space="0"/>
              <w:right w:val="single" w:color="000000" w:sz="4" w:space="0"/>
            </w:tcBorders>
          </w:tcPr>
          <w:p>
            <w:pPr>
              <w:pStyle w:val="19"/>
              <w:spacing w:before="16"/>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16"/>
              <w:ind w:left="153" w:right="135"/>
              <w:rPr>
                <w:rFonts w:ascii="Times New Roman"/>
                <w:sz w:val="21"/>
              </w:rPr>
            </w:pPr>
            <w:r>
              <w:rPr>
                <w:rFonts w:ascii="Times New Roman"/>
                <w:sz w:val="21"/>
              </w:rPr>
              <w:t>0.07</w:t>
            </w:r>
          </w:p>
        </w:tc>
        <w:tc>
          <w:tcPr>
            <w:tcW w:w="1977" w:type="dxa"/>
            <w:tcBorders>
              <w:top w:val="single" w:color="000000" w:sz="4" w:space="0"/>
              <w:left w:val="single" w:color="000000" w:sz="4" w:space="0"/>
              <w:bottom w:val="single" w:color="000000" w:sz="4" w:space="0"/>
              <w:right w:val="single" w:color="000000" w:sz="4" w:space="0"/>
            </w:tcBorders>
          </w:tcPr>
          <w:p>
            <w:pPr>
              <w:pStyle w:val="19"/>
              <w:spacing w:before="16"/>
              <w:ind w:left="417" w:right="399"/>
              <w:rPr>
                <w:rFonts w:ascii="Times New Roman"/>
                <w:sz w:val="21"/>
              </w:rPr>
            </w:pPr>
            <w:r>
              <w:rPr>
                <w:rFonts w:ascii="Times New Roman"/>
                <w:sz w:val="21"/>
              </w:rPr>
              <w:t>0.07</w:t>
            </w:r>
          </w:p>
        </w:tc>
        <w:tc>
          <w:tcPr>
            <w:tcW w:w="2051" w:type="dxa"/>
            <w:tcBorders>
              <w:top w:val="single" w:color="000000" w:sz="4" w:space="0"/>
              <w:left w:val="single" w:color="000000" w:sz="4" w:space="0"/>
              <w:bottom w:val="single" w:color="000000" w:sz="4" w:space="0"/>
            </w:tcBorders>
          </w:tcPr>
          <w:p>
            <w:pPr>
              <w:pStyle w:val="19"/>
              <w:spacing w:before="16"/>
              <w:ind w:left="455" w:right="430"/>
              <w:rPr>
                <w:rFonts w:ascii="Times New Roman"/>
                <w:sz w:val="21"/>
              </w:rPr>
            </w:pPr>
            <w:r>
              <w:rPr>
                <w:rFonts w:ascii="Times New Roman"/>
                <w:sz w:val="21"/>
              </w:rPr>
              <w:t>0.07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565" w:type="dxa"/>
            <w:tcBorders>
              <w:top w:val="single" w:color="000000" w:sz="4" w:space="0"/>
              <w:bottom w:val="single" w:color="000000" w:sz="4" w:space="0"/>
              <w:right w:val="single" w:color="000000" w:sz="4" w:space="0"/>
            </w:tcBorders>
          </w:tcPr>
          <w:p>
            <w:pPr>
              <w:pStyle w:val="19"/>
              <w:spacing w:line="268" w:lineRule="exact"/>
              <w:ind w:left="12"/>
              <w:rPr>
                <w:sz w:val="21"/>
              </w:rPr>
            </w:pPr>
            <w:r>
              <w:rPr>
                <w:w w:val="99"/>
                <w:sz w:val="21"/>
              </w:rPr>
              <w:t>锰</w:t>
            </w:r>
          </w:p>
        </w:tc>
        <w:tc>
          <w:tcPr>
            <w:tcW w:w="1658" w:type="dxa"/>
            <w:tcBorders>
              <w:top w:val="single" w:color="000000" w:sz="4" w:space="0"/>
              <w:left w:val="single" w:color="000000" w:sz="4" w:space="0"/>
              <w:bottom w:val="single" w:color="000000" w:sz="4" w:space="0"/>
              <w:right w:val="single" w:color="000000" w:sz="4" w:space="0"/>
            </w:tcBorders>
          </w:tcPr>
          <w:p>
            <w:pPr>
              <w:pStyle w:val="19"/>
              <w:spacing w:before="18"/>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18"/>
              <w:ind w:left="153" w:right="135"/>
              <w:rPr>
                <w:rFonts w:ascii="Times New Roman"/>
                <w:sz w:val="21"/>
              </w:rPr>
            </w:pPr>
            <w:r>
              <w:rPr>
                <w:rFonts w:ascii="Times New Roman"/>
                <w:sz w:val="21"/>
              </w:rPr>
              <w:t>0.01</w:t>
            </w:r>
          </w:p>
        </w:tc>
        <w:tc>
          <w:tcPr>
            <w:tcW w:w="1977" w:type="dxa"/>
            <w:tcBorders>
              <w:top w:val="single" w:color="000000" w:sz="4" w:space="0"/>
              <w:left w:val="single" w:color="000000" w:sz="4" w:space="0"/>
              <w:bottom w:val="single" w:color="000000" w:sz="4" w:space="0"/>
              <w:right w:val="single" w:color="000000" w:sz="4" w:space="0"/>
            </w:tcBorders>
          </w:tcPr>
          <w:p>
            <w:pPr>
              <w:pStyle w:val="19"/>
              <w:spacing w:before="18"/>
              <w:ind w:left="417" w:right="399"/>
              <w:rPr>
                <w:rFonts w:ascii="Times New Roman"/>
                <w:sz w:val="21"/>
              </w:rPr>
            </w:pPr>
            <w:r>
              <w:rPr>
                <w:rFonts w:ascii="Times New Roman"/>
                <w:sz w:val="21"/>
              </w:rPr>
              <w:t>0.01</w:t>
            </w:r>
          </w:p>
        </w:tc>
        <w:tc>
          <w:tcPr>
            <w:tcW w:w="2051" w:type="dxa"/>
            <w:tcBorders>
              <w:top w:val="single" w:color="000000" w:sz="4" w:space="0"/>
              <w:left w:val="single" w:color="000000" w:sz="4" w:space="0"/>
              <w:bottom w:val="single" w:color="000000" w:sz="4" w:space="0"/>
            </w:tcBorders>
          </w:tcPr>
          <w:p>
            <w:pPr>
              <w:pStyle w:val="19"/>
              <w:spacing w:before="18"/>
              <w:ind w:left="455" w:right="430"/>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tcBorders>
              <w:top w:val="single" w:color="000000" w:sz="4" w:space="0"/>
              <w:bottom w:val="single" w:color="000000" w:sz="4" w:space="0"/>
              <w:right w:val="single" w:color="000000" w:sz="4" w:space="0"/>
            </w:tcBorders>
          </w:tcPr>
          <w:p>
            <w:pPr>
              <w:pStyle w:val="19"/>
              <w:spacing w:before="2"/>
              <w:ind w:left="12"/>
              <w:rPr>
                <w:sz w:val="21"/>
              </w:rPr>
            </w:pPr>
            <w:r>
              <w:rPr>
                <w:w w:val="99"/>
                <w:sz w:val="21"/>
              </w:rPr>
              <w:t>汞</w:t>
            </w:r>
          </w:p>
        </w:tc>
        <w:tc>
          <w:tcPr>
            <w:tcW w:w="1658" w:type="dxa"/>
            <w:tcBorders>
              <w:top w:val="single" w:color="000000" w:sz="4" w:space="0"/>
              <w:left w:val="single" w:color="000000" w:sz="4" w:space="0"/>
              <w:bottom w:val="single" w:color="000000" w:sz="4" w:space="0"/>
              <w:right w:val="single" w:color="000000" w:sz="4" w:space="0"/>
            </w:tcBorders>
          </w:tcPr>
          <w:p>
            <w:pPr>
              <w:pStyle w:val="19"/>
              <w:spacing w:before="18"/>
              <w:ind w:left="495" w:right="480"/>
              <w:rPr>
                <w:rFonts w:ascii="Times New Roman" w:hAnsi="Times New Roman"/>
                <w:sz w:val="21"/>
              </w:rPr>
            </w:pPr>
            <w:r>
              <w:rPr>
                <w:rFonts w:ascii="Times New Roman" w:hAnsi="Times New Roman"/>
                <w:sz w:val="21"/>
              </w:rPr>
              <w:t>μg/L</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18"/>
              <w:ind w:left="154" w:right="134"/>
              <w:rPr>
                <w:rFonts w:ascii="Times New Roman"/>
                <w:sz w:val="21"/>
              </w:rPr>
            </w:pPr>
            <w:r>
              <w:rPr>
                <w:rFonts w:ascii="Times New Roman"/>
                <w:sz w:val="21"/>
              </w:rPr>
              <w:t>0.04L</w:t>
            </w:r>
          </w:p>
        </w:tc>
        <w:tc>
          <w:tcPr>
            <w:tcW w:w="1977" w:type="dxa"/>
            <w:tcBorders>
              <w:top w:val="single" w:color="000000" w:sz="4" w:space="0"/>
              <w:left w:val="single" w:color="000000" w:sz="4" w:space="0"/>
              <w:bottom w:val="single" w:color="000000" w:sz="4" w:space="0"/>
              <w:right w:val="single" w:color="000000" w:sz="4" w:space="0"/>
            </w:tcBorders>
          </w:tcPr>
          <w:p>
            <w:pPr>
              <w:pStyle w:val="19"/>
              <w:spacing w:before="18"/>
              <w:ind w:left="418" w:right="398"/>
              <w:rPr>
                <w:rFonts w:ascii="Times New Roman"/>
                <w:sz w:val="21"/>
              </w:rPr>
            </w:pPr>
            <w:r>
              <w:rPr>
                <w:rFonts w:ascii="Times New Roman"/>
                <w:sz w:val="21"/>
              </w:rPr>
              <w:t>0.04L</w:t>
            </w:r>
          </w:p>
        </w:tc>
        <w:tc>
          <w:tcPr>
            <w:tcW w:w="2051" w:type="dxa"/>
            <w:tcBorders>
              <w:top w:val="single" w:color="000000" w:sz="4" w:space="0"/>
              <w:left w:val="single" w:color="000000" w:sz="4" w:space="0"/>
              <w:bottom w:val="single" w:color="000000" w:sz="4" w:space="0"/>
            </w:tcBorders>
          </w:tcPr>
          <w:p>
            <w:pPr>
              <w:pStyle w:val="19"/>
              <w:spacing w:before="18"/>
              <w:ind w:left="455" w:right="429"/>
              <w:rPr>
                <w:rFonts w:ascii="Times New Roman"/>
                <w:sz w:val="21"/>
              </w:rPr>
            </w:pPr>
            <w:r>
              <w:rPr>
                <w:rFonts w:ascii="Times New Roman"/>
                <w:sz w:val="21"/>
              </w:rPr>
              <w:t>0.04L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565" w:type="dxa"/>
            <w:tcBorders>
              <w:top w:val="single" w:color="000000" w:sz="4" w:space="0"/>
              <w:bottom w:val="single" w:color="000000" w:sz="4" w:space="0"/>
              <w:right w:val="single" w:color="000000" w:sz="4" w:space="0"/>
            </w:tcBorders>
          </w:tcPr>
          <w:p>
            <w:pPr>
              <w:pStyle w:val="19"/>
              <w:ind w:left="12"/>
              <w:rPr>
                <w:sz w:val="21"/>
              </w:rPr>
            </w:pPr>
            <w:r>
              <w:rPr>
                <w:w w:val="99"/>
                <w:sz w:val="21"/>
              </w:rPr>
              <w:t>镉</w:t>
            </w:r>
          </w:p>
        </w:tc>
        <w:tc>
          <w:tcPr>
            <w:tcW w:w="1658" w:type="dxa"/>
            <w:tcBorders>
              <w:top w:val="single" w:color="000000" w:sz="4" w:space="0"/>
              <w:left w:val="single" w:color="000000" w:sz="4" w:space="0"/>
              <w:bottom w:val="single" w:color="000000" w:sz="4" w:space="0"/>
              <w:right w:val="single" w:color="000000" w:sz="4" w:space="0"/>
            </w:tcBorders>
          </w:tcPr>
          <w:p>
            <w:pPr>
              <w:pStyle w:val="19"/>
              <w:spacing w:before="17"/>
              <w:ind w:left="495" w:right="480"/>
              <w:rPr>
                <w:rFonts w:ascii="Times New Roman" w:hAnsi="Times New Roman"/>
                <w:sz w:val="21"/>
              </w:rPr>
            </w:pPr>
            <w:r>
              <w:rPr>
                <w:rFonts w:ascii="Times New Roman" w:hAnsi="Times New Roman"/>
                <w:sz w:val="21"/>
              </w:rPr>
              <w:t>μg/L</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17"/>
              <w:ind w:left="152" w:right="135"/>
              <w:rPr>
                <w:rFonts w:ascii="Times New Roman"/>
                <w:sz w:val="21"/>
              </w:rPr>
            </w:pPr>
            <w:r>
              <w:rPr>
                <w:rFonts w:ascii="Times New Roman"/>
                <w:sz w:val="21"/>
              </w:rPr>
              <w:t>0.1L</w:t>
            </w:r>
          </w:p>
        </w:tc>
        <w:tc>
          <w:tcPr>
            <w:tcW w:w="1977" w:type="dxa"/>
            <w:tcBorders>
              <w:top w:val="single" w:color="000000" w:sz="4" w:space="0"/>
              <w:left w:val="single" w:color="000000" w:sz="4" w:space="0"/>
              <w:bottom w:val="single" w:color="000000" w:sz="4" w:space="0"/>
              <w:right w:val="single" w:color="000000" w:sz="4" w:space="0"/>
            </w:tcBorders>
          </w:tcPr>
          <w:p>
            <w:pPr>
              <w:pStyle w:val="19"/>
              <w:spacing w:before="17"/>
              <w:ind w:left="416" w:right="399"/>
              <w:rPr>
                <w:rFonts w:ascii="Times New Roman"/>
                <w:sz w:val="21"/>
              </w:rPr>
            </w:pPr>
            <w:r>
              <w:rPr>
                <w:rFonts w:ascii="Times New Roman"/>
                <w:sz w:val="21"/>
              </w:rPr>
              <w:t>0.1L</w:t>
            </w:r>
          </w:p>
        </w:tc>
        <w:tc>
          <w:tcPr>
            <w:tcW w:w="2051" w:type="dxa"/>
            <w:tcBorders>
              <w:top w:val="single" w:color="000000" w:sz="4" w:space="0"/>
              <w:left w:val="single" w:color="000000" w:sz="4" w:space="0"/>
              <w:bottom w:val="single" w:color="000000" w:sz="4" w:space="0"/>
            </w:tcBorders>
          </w:tcPr>
          <w:p>
            <w:pPr>
              <w:pStyle w:val="19"/>
              <w:spacing w:before="17"/>
              <w:ind w:left="455" w:right="431"/>
              <w:rPr>
                <w:rFonts w:ascii="Times New Roman"/>
                <w:sz w:val="21"/>
              </w:rPr>
            </w:pPr>
            <w:r>
              <w:rPr>
                <w:rFonts w:ascii="Times New Roman"/>
                <w:sz w:val="21"/>
              </w:rPr>
              <w:t>0.1L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tcBorders>
              <w:top w:val="single" w:color="000000" w:sz="4" w:space="0"/>
              <w:bottom w:val="single" w:color="000000" w:sz="4" w:space="0"/>
              <w:right w:val="single" w:color="000000" w:sz="4" w:space="0"/>
            </w:tcBorders>
          </w:tcPr>
          <w:p>
            <w:pPr>
              <w:pStyle w:val="19"/>
              <w:spacing w:before="2"/>
              <w:ind w:left="12"/>
              <w:rPr>
                <w:sz w:val="21"/>
              </w:rPr>
            </w:pPr>
            <w:r>
              <w:rPr>
                <w:w w:val="99"/>
                <w:sz w:val="21"/>
              </w:rPr>
              <w:t>铬</w:t>
            </w:r>
          </w:p>
        </w:tc>
        <w:tc>
          <w:tcPr>
            <w:tcW w:w="1658" w:type="dxa"/>
            <w:tcBorders>
              <w:top w:val="single" w:color="000000" w:sz="4" w:space="0"/>
              <w:left w:val="single" w:color="000000" w:sz="4" w:space="0"/>
              <w:bottom w:val="single" w:color="000000" w:sz="4" w:space="0"/>
              <w:right w:val="single" w:color="000000" w:sz="4" w:space="0"/>
            </w:tcBorders>
          </w:tcPr>
          <w:p>
            <w:pPr>
              <w:pStyle w:val="19"/>
              <w:spacing w:before="18"/>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18"/>
              <w:ind w:left="154" w:right="134"/>
              <w:rPr>
                <w:rFonts w:ascii="Times New Roman"/>
                <w:sz w:val="21"/>
              </w:rPr>
            </w:pPr>
            <w:r>
              <w:rPr>
                <w:rFonts w:ascii="Times New Roman"/>
                <w:sz w:val="21"/>
              </w:rPr>
              <w:t>0.03L</w:t>
            </w:r>
          </w:p>
        </w:tc>
        <w:tc>
          <w:tcPr>
            <w:tcW w:w="1977" w:type="dxa"/>
            <w:tcBorders>
              <w:top w:val="single" w:color="000000" w:sz="4" w:space="0"/>
              <w:left w:val="single" w:color="000000" w:sz="4" w:space="0"/>
              <w:bottom w:val="single" w:color="000000" w:sz="4" w:space="0"/>
              <w:right w:val="single" w:color="000000" w:sz="4" w:space="0"/>
            </w:tcBorders>
          </w:tcPr>
          <w:p>
            <w:pPr>
              <w:pStyle w:val="19"/>
              <w:spacing w:before="18"/>
              <w:ind w:left="418" w:right="398"/>
              <w:rPr>
                <w:rFonts w:ascii="Times New Roman"/>
                <w:sz w:val="21"/>
              </w:rPr>
            </w:pPr>
            <w:r>
              <w:rPr>
                <w:rFonts w:ascii="Times New Roman"/>
                <w:sz w:val="21"/>
              </w:rPr>
              <w:t>0.03L</w:t>
            </w:r>
          </w:p>
        </w:tc>
        <w:tc>
          <w:tcPr>
            <w:tcW w:w="2051" w:type="dxa"/>
            <w:tcBorders>
              <w:top w:val="single" w:color="000000" w:sz="4" w:space="0"/>
              <w:left w:val="single" w:color="000000" w:sz="4" w:space="0"/>
              <w:bottom w:val="single" w:color="000000" w:sz="4" w:space="0"/>
            </w:tcBorders>
          </w:tcPr>
          <w:p>
            <w:pPr>
              <w:pStyle w:val="19"/>
              <w:spacing w:before="18"/>
              <w:ind w:left="455" w:right="429"/>
              <w:rPr>
                <w:rFonts w:ascii="Times New Roman"/>
                <w:sz w:val="21"/>
              </w:rPr>
            </w:pPr>
            <w:r>
              <w:rPr>
                <w:rFonts w:ascii="Times New Roman"/>
                <w:sz w:val="21"/>
              </w:rPr>
              <w:t>0.03L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tcBorders>
              <w:top w:val="single" w:color="000000" w:sz="4" w:space="0"/>
              <w:bottom w:val="single" w:color="000000" w:sz="4" w:space="0"/>
              <w:right w:val="single" w:color="000000" w:sz="4" w:space="0"/>
            </w:tcBorders>
          </w:tcPr>
          <w:p>
            <w:pPr>
              <w:pStyle w:val="19"/>
              <w:spacing w:before="1"/>
              <w:ind w:left="12"/>
              <w:rPr>
                <w:sz w:val="21"/>
              </w:rPr>
            </w:pPr>
            <w:r>
              <w:rPr>
                <w:w w:val="99"/>
                <w:sz w:val="21"/>
              </w:rPr>
              <w:t>铅</w:t>
            </w:r>
          </w:p>
        </w:tc>
        <w:tc>
          <w:tcPr>
            <w:tcW w:w="1658" w:type="dxa"/>
            <w:tcBorders>
              <w:top w:val="single" w:color="000000" w:sz="4" w:space="0"/>
              <w:left w:val="single" w:color="000000" w:sz="4" w:space="0"/>
              <w:bottom w:val="single" w:color="000000" w:sz="4" w:space="0"/>
              <w:right w:val="single" w:color="000000" w:sz="4" w:space="0"/>
            </w:tcBorders>
          </w:tcPr>
          <w:p>
            <w:pPr>
              <w:pStyle w:val="19"/>
              <w:spacing w:before="17"/>
              <w:ind w:left="495" w:right="480"/>
              <w:rPr>
                <w:rFonts w:ascii="Times New Roman" w:hAnsi="Times New Roman"/>
                <w:sz w:val="21"/>
              </w:rPr>
            </w:pPr>
            <w:r>
              <w:rPr>
                <w:rFonts w:ascii="Times New Roman" w:hAnsi="Times New Roman"/>
                <w:sz w:val="21"/>
              </w:rPr>
              <w:t>μg/L</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17"/>
              <w:ind w:left="152" w:right="135"/>
              <w:rPr>
                <w:rFonts w:ascii="Times New Roman"/>
                <w:sz w:val="21"/>
              </w:rPr>
            </w:pPr>
            <w:r>
              <w:rPr>
                <w:rFonts w:ascii="Times New Roman"/>
                <w:sz w:val="21"/>
              </w:rPr>
              <w:t>10L</w:t>
            </w:r>
          </w:p>
        </w:tc>
        <w:tc>
          <w:tcPr>
            <w:tcW w:w="1977" w:type="dxa"/>
            <w:tcBorders>
              <w:top w:val="single" w:color="000000" w:sz="4" w:space="0"/>
              <w:left w:val="single" w:color="000000" w:sz="4" w:space="0"/>
              <w:bottom w:val="single" w:color="000000" w:sz="4" w:space="0"/>
              <w:right w:val="single" w:color="000000" w:sz="4" w:space="0"/>
            </w:tcBorders>
          </w:tcPr>
          <w:p>
            <w:pPr>
              <w:pStyle w:val="19"/>
              <w:spacing w:before="17"/>
              <w:ind w:left="416" w:right="399"/>
              <w:rPr>
                <w:rFonts w:ascii="Times New Roman"/>
                <w:sz w:val="21"/>
              </w:rPr>
            </w:pPr>
            <w:r>
              <w:rPr>
                <w:rFonts w:ascii="Times New Roman"/>
                <w:sz w:val="21"/>
              </w:rPr>
              <w:t>10L</w:t>
            </w:r>
          </w:p>
        </w:tc>
        <w:tc>
          <w:tcPr>
            <w:tcW w:w="2051" w:type="dxa"/>
            <w:tcBorders>
              <w:top w:val="single" w:color="000000" w:sz="4" w:space="0"/>
              <w:left w:val="single" w:color="000000" w:sz="4" w:space="0"/>
              <w:bottom w:val="single" w:color="000000" w:sz="4" w:space="0"/>
            </w:tcBorders>
          </w:tcPr>
          <w:p>
            <w:pPr>
              <w:pStyle w:val="19"/>
              <w:spacing w:before="17"/>
              <w:ind w:left="454" w:right="432"/>
              <w:rPr>
                <w:rFonts w:ascii="Times New Roman"/>
                <w:sz w:val="21"/>
              </w:rPr>
            </w:pPr>
            <w:r>
              <w:rPr>
                <w:rFonts w:ascii="Times New Roman"/>
                <w:sz w:val="21"/>
              </w:rPr>
              <w:t>10L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7" w:hRule="atLeast"/>
        </w:trPr>
        <w:tc>
          <w:tcPr>
            <w:tcW w:w="1565" w:type="dxa"/>
            <w:tcBorders>
              <w:top w:val="single" w:color="000000" w:sz="4" w:space="0"/>
              <w:bottom w:val="single" w:color="000000" w:sz="4" w:space="0"/>
              <w:right w:val="single" w:color="000000" w:sz="4" w:space="0"/>
            </w:tcBorders>
          </w:tcPr>
          <w:p>
            <w:pPr>
              <w:pStyle w:val="19"/>
              <w:spacing w:before="50"/>
              <w:ind w:left="12"/>
              <w:rPr>
                <w:sz w:val="21"/>
              </w:rPr>
            </w:pPr>
            <w:r>
              <w:rPr>
                <w:w w:val="99"/>
                <w:sz w:val="21"/>
              </w:rPr>
              <w:t>砷</w:t>
            </w:r>
          </w:p>
        </w:tc>
        <w:tc>
          <w:tcPr>
            <w:tcW w:w="1658" w:type="dxa"/>
            <w:tcBorders>
              <w:top w:val="single" w:color="000000" w:sz="4" w:space="0"/>
              <w:left w:val="single" w:color="000000" w:sz="4" w:space="0"/>
              <w:bottom w:val="single" w:color="000000" w:sz="4" w:space="0"/>
              <w:right w:val="single" w:color="000000" w:sz="4" w:space="0"/>
            </w:tcBorders>
          </w:tcPr>
          <w:p>
            <w:pPr>
              <w:pStyle w:val="19"/>
              <w:spacing w:before="67"/>
              <w:ind w:left="495" w:right="480"/>
              <w:rPr>
                <w:rFonts w:ascii="Times New Roman" w:hAnsi="Times New Roman"/>
                <w:sz w:val="21"/>
              </w:rPr>
            </w:pPr>
            <w:r>
              <w:rPr>
                <w:rFonts w:ascii="Times New Roman" w:hAnsi="Times New Roman"/>
                <w:sz w:val="21"/>
              </w:rPr>
              <w:t>μg/L</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67"/>
              <w:ind w:left="152" w:right="135"/>
              <w:rPr>
                <w:rFonts w:ascii="Times New Roman"/>
                <w:sz w:val="21"/>
              </w:rPr>
            </w:pPr>
            <w:r>
              <w:rPr>
                <w:rFonts w:ascii="Times New Roman"/>
                <w:sz w:val="21"/>
              </w:rPr>
              <w:t>0.3L</w:t>
            </w:r>
          </w:p>
        </w:tc>
        <w:tc>
          <w:tcPr>
            <w:tcW w:w="1977" w:type="dxa"/>
            <w:tcBorders>
              <w:top w:val="single" w:color="000000" w:sz="4" w:space="0"/>
              <w:left w:val="single" w:color="000000" w:sz="4" w:space="0"/>
              <w:bottom w:val="single" w:color="000000" w:sz="4" w:space="0"/>
              <w:right w:val="single" w:color="000000" w:sz="4" w:space="0"/>
            </w:tcBorders>
          </w:tcPr>
          <w:p>
            <w:pPr>
              <w:pStyle w:val="19"/>
              <w:spacing w:before="67"/>
              <w:ind w:left="416" w:right="399"/>
              <w:rPr>
                <w:rFonts w:ascii="Times New Roman"/>
                <w:sz w:val="21"/>
              </w:rPr>
            </w:pPr>
            <w:r>
              <w:rPr>
                <w:rFonts w:ascii="Times New Roman"/>
                <w:sz w:val="21"/>
              </w:rPr>
              <w:t>0.3L</w:t>
            </w:r>
          </w:p>
        </w:tc>
        <w:tc>
          <w:tcPr>
            <w:tcW w:w="2051" w:type="dxa"/>
            <w:tcBorders>
              <w:top w:val="single" w:color="000000" w:sz="4" w:space="0"/>
              <w:left w:val="single" w:color="000000" w:sz="4" w:space="0"/>
              <w:bottom w:val="single" w:color="000000" w:sz="4" w:space="0"/>
            </w:tcBorders>
          </w:tcPr>
          <w:p>
            <w:pPr>
              <w:pStyle w:val="19"/>
              <w:spacing w:before="67"/>
              <w:ind w:left="455" w:right="431"/>
              <w:rPr>
                <w:rFonts w:ascii="Times New Roman"/>
                <w:sz w:val="21"/>
              </w:rPr>
            </w:pPr>
            <w:r>
              <w:rPr>
                <w:rFonts w:ascii="Times New Roman"/>
                <w:sz w:val="21"/>
              </w:rPr>
              <w:t>0.3L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tcBorders>
              <w:top w:val="single" w:color="000000" w:sz="4" w:space="0"/>
              <w:bottom w:val="single" w:color="000000" w:sz="4" w:space="0"/>
              <w:right w:val="single" w:color="000000" w:sz="4" w:space="0"/>
            </w:tcBorders>
          </w:tcPr>
          <w:p>
            <w:pPr>
              <w:pStyle w:val="19"/>
              <w:spacing w:line="268" w:lineRule="exact"/>
              <w:ind w:left="12"/>
              <w:rPr>
                <w:sz w:val="21"/>
              </w:rPr>
            </w:pPr>
            <w:r>
              <w:rPr>
                <w:w w:val="99"/>
                <w:sz w:val="21"/>
              </w:rPr>
              <w:t>锌</w:t>
            </w:r>
          </w:p>
        </w:tc>
        <w:tc>
          <w:tcPr>
            <w:tcW w:w="1658" w:type="dxa"/>
            <w:tcBorders>
              <w:top w:val="single" w:color="000000" w:sz="4" w:space="0"/>
              <w:left w:val="single" w:color="000000" w:sz="4" w:space="0"/>
              <w:bottom w:val="single" w:color="000000" w:sz="4" w:space="0"/>
              <w:right w:val="single" w:color="000000" w:sz="4" w:space="0"/>
            </w:tcBorders>
          </w:tcPr>
          <w:p>
            <w:pPr>
              <w:pStyle w:val="19"/>
              <w:spacing w:before="17"/>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17"/>
              <w:ind w:left="154" w:right="134"/>
              <w:rPr>
                <w:rFonts w:ascii="Times New Roman"/>
                <w:sz w:val="21"/>
              </w:rPr>
            </w:pPr>
            <w:r>
              <w:rPr>
                <w:rFonts w:ascii="Times New Roman"/>
                <w:sz w:val="21"/>
              </w:rPr>
              <w:t>0.05L</w:t>
            </w:r>
          </w:p>
        </w:tc>
        <w:tc>
          <w:tcPr>
            <w:tcW w:w="1977" w:type="dxa"/>
            <w:tcBorders>
              <w:top w:val="single" w:color="000000" w:sz="4" w:space="0"/>
              <w:left w:val="single" w:color="000000" w:sz="4" w:space="0"/>
              <w:bottom w:val="single" w:color="000000" w:sz="4" w:space="0"/>
              <w:right w:val="single" w:color="000000" w:sz="4" w:space="0"/>
            </w:tcBorders>
          </w:tcPr>
          <w:p>
            <w:pPr>
              <w:pStyle w:val="19"/>
              <w:spacing w:before="17"/>
              <w:ind w:left="418" w:right="398"/>
              <w:rPr>
                <w:rFonts w:ascii="Times New Roman"/>
                <w:sz w:val="21"/>
              </w:rPr>
            </w:pPr>
            <w:r>
              <w:rPr>
                <w:rFonts w:ascii="Times New Roman"/>
                <w:sz w:val="21"/>
              </w:rPr>
              <w:t>0.05L</w:t>
            </w:r>
          </w:p>
        </w:tc>
        <w:tc>
          <w:tcPr>
            <w:tcW w:w="2051" w:type="dxa"/>
            <w:tcBorders>
              <w:top w:val="single" w:color="000000" w:sz="4" w:space="0"/>
              <w:left w:val="single" w:color="000000" w:sz="4" w:space="0"/>
              <w:bottom w:val="single" w:color="000000" w:sz="4" w:space="0"/>
            </w:tcBorders>
          </w:tcPr>
          <w:p>
            <w:pPr>
              <w:pStyle w:val="19"/>
              <w:spacing w:before="17"/>
              <w:ind w:left="455" w:right="429"/>
              <w:rPr>
                <w:rFonts w:ascii="Times New Roman"/>
                <w:sz w:val="21"/>
              </w:rPr>
            </w:pPr>
            <w:r>
              <w:rPr>
                <w:rFonts w:ascii="Times New Roman"/>
                <w:sz w:val="21"/>
              </w:rPr>
              <w:t>0.05L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565" w:type="dxa"/>
            <w:tcBorders>
              <w:top w:val="single" w:color="000000" w:sz="4" w:space="0"/>
              <w:bottom w:val="single" w:color="000000" w:sz="4" w:space="0"/>
              <w:right w:val="single" w:color="000000" w:sz="4" w:space="0"/>
            </w:tcBorders>
          </w:tcPr>
          <w:p>
            <w:pPr>
              <w:pStyle w:val="19"/>
              <w:ind w:left="130" w:right="120"/>
              <w:rPr>
                <w:sz w:val="21"/>
              </w:rPr>
            </w:pPr>
            <w:r>
              <w:rPr>
                <w:sz w:val="21"/>
              </w:rPr>
              <w:t>六价铬</w:t>
            </w:r>
          </w:p>
        </w:tc>
        <w:tc>
          <w:tcPr>
            <w:tcW w:w="1658" w:type="dxa"/>
            <w:tcBorders>
              <w:top w:val="single" w:color="000000" w:sz="4" w:space="0"/>
              <w:left w:val="single" w:color="000000" w:sz="4" w:space="0"/>
              <w:bottom w:val="single" w:color="000000" w:sz="4" w:space="0"/>
              <w:right w:val="single" w:color="000000" w:sz="4" w:space="0"/>
            </w:tcBorders>
          </w:tcPr>
          <w:p>
            <w:pPr>
              <w:pStyle w:val="19"/>
              <w:spacing w:before="16"/>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16"/>
              <w:ind w:left="154" w:right="134"/>
              <w:rPr>
                <w:rFonts w:ascii="Times New Roman"/>
                <w:sz w:val="21"/>
              </w:rPr>
            </w:pPr>
            <w:r>
              <w:rPr>
                <w:rFonts w:ascii="Times New Roman"/>
                <w:sz w:val="21"/>
              </w:rPr>
              <w:t>0.004L</w:t>
            </w:r>
          </w:p>
        </w:tc>
        <w:tc>
          <w:tcPr>
            <w:tcW w:w="1977" w:type="dxa"/>
            <w:tcBorders>
              <w:top w:val="single" w:color="000000" w:sz="4" w:space="0"/>
              <w:left w:val="single" w:color="000000" w:sz="4" w:space="0"/>
              <w:bottom w:val="single" w:color="000000" w:sz="4" w:space="0"/>
              <w:right w:val="single" w:color="000000" w:sz="4" w:space="0"/>
            </w:tcBorders>
          </w:tcPr>
          <w:p>
            <w:pPr>
              <w:pStyle w:val="19"/>
              <w:spacing w:before="16"/>
              <w:ind w:left="418" w:right="398"/>
              <w:rPr>
                <w:rFonts w:ascii="Times New Roman"/>
                <w:sz w:val="21"/>
              </w:rPr>
            </w:pPr>
            <w:r>
              <w:rPr>
                <w:rFonts w:ascii="Times New Roman"/>
                <w:sz w:val="21"/>
              </w:rPr>
              <w:t>0.004L</w:t>
            </w:r>
          </w:p>
        </w:tc>
        <w:tc>
          <w:tcPr>
            <w:tcW w:w="2051" w:type="dxa"/>
            <w:tcBorders>
              <w:top w:val="single" w:color="000000" w:sz="4" w:space="0"/>
              <w:left w:val="single" w:color="000000" w:sz="4" w:space="0"/>
              <w:bottom w:val="single" w:color="000000" w:sz="4" w:space="0"/>
            </w:tcBorders>
          </w:tcPr>
          <w:p>
            <w:pPr>
              <w:pStyle w:val="19"/>
              <w:spacing w:before="16"/>
              <w:ind w:left="455" w:right="431"/>
              <w:rPr>
                <w:rFonts w:ascii="Times New Roman"/>
                <w:sz w:val="21"/>
              </w:rPr>
            </w:pPr>
            <w:r>
              <w:rPr>
                <w:rFonts w:ascii="Times New Roman"/>
                <w:sz w:val="21"/>
              </w:rPr>
              <w:t>0.004L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tcBorders>
              <w:top w:val="single" w:color="000000" w:sz="4" w:space="0"/>
              <w:bottom w:val="single" w:color="000000" w:sz="4" w:space="0"/>
              <w:right w:val="single" w:color="000000" w:sz="4" w:space="0"/>
            </w:tcBorders>
          </w:tcPr>
          <w:p>
            <w:pPr>
              <w:pStyle w:val="19"/>
              <w:ind w:left="130" w:right="120"/>
              <w:rPr>
                <w:sz w:val="21"/>
              </w:rPr>
            </w:pPr>
            <w:r>
              <w:rPr>
                <w:sz w:val="21"/>
              </w:rPr>
              <w:t>氟化物</w:t>
            </w:r>
          </w:p>
        </w:tc>
        <w:tc>
          <w:tcPr>
            <w:tcW w:w="1658" w:type="dxa"/>
            <w:tcBorders>
              <w:top w:val="single" w:color="000000" w:sz="4" w:space="0"/>
              <w:left w:val="single" w:color="000000" w:sz="4" w:space="0"/>
              <w:bottom w:val="single" w:color="000000" w:sz="4" w:space="0"/>
              <w:right w:val="single" w:color="000000" w:sz="4" w:space="0"/>
            </w:tcBorders>
          </w:tcPr>
          <w:p>
            <w:pPr>
              <w:pStyle w:val="19"/>
              <w:spacing w:before="19"/>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19"/>
              <w:ind w:left="154" w:right="134"/>
              <w:rPr>
                <w:rFonts w:ascii="Times New Roman"/>
                <w:sz w:val="21"/>
              </w:rPr>
            </w:pPr>
            <w:r>
              <w:rPr>
                <w:rFonts w:ascii="Times New Roman"/>
                <w:sz w:val="21"/>
              </w:rPr>
              <w:t>0.05L</w:t>
            </w:r>
          </w:p>
        </w:tc>
        <w:tc>
          <w:tcPr>
            <w:tcW w:w="1977" w:type="dxa"/>
            <w:tcBorders>
              <w:top w:val="single" w:color="000000" w:sz="4" w:space="0"/>
              <w:left w:val="single" w:color="000000" w:sz="4" w:space="0"/>
              <w:bottom w:val="single" w:color="000000" w:sz="4" w:space="0"/>
              <w:right w:val="single" w:color="000000" w:sz="4" w:space="0"/>
            </w:tcBorders>
          </w:tcPr>
          <w:p>
            <w:pPr>
              <w:pStyle w:val="19"/>
              <w:spacing w:before="19"/>
              <w:ind w:left="418" w:right="398"/>
              <w:rPr>
                <w:rFonts w:ascii="Times New Roman"/>
                <w:sz w:val="21"/>
              </w:rPr>
            </w:pPr>
            <w:r>
              <w:rPr>
                <w:rFonts w:ascii="Times New Roman"/>
                <w:sz w:val="21"/>
              </w:rPr>
              <w:t>0.05L</w:t>
            </w:r>
          </w:p>
        </w:tc>
        <w:tc>
          <w:tcPr>
            <w:tcW w:w="2051" w:type="dxa"/>
            <w:tcBorders>
              <w:top w:val="single" w:color="000000" w:sz="4" w:space="0"/>
              <w:left w:val="single" w:color="000000" w:sz="4" w:space="0"/>
              <w:bottom w:val="single" w:color="000000" w:sz="4" w:space="0"/>
            </w:tcBorders>
          </w:tcPr>
          <w:p>
            <w:pPr>
              <w:pStyle w:val="19"/>
              <w:spacing w:before="19"/>
              <w:ind w:left="455" w:right="429"/>
              <w:rPr>
                <w:rFonts w:ascii="Times New Roman"/>
                <w:sz w:val="21"/>
              </w:rPr>
            </w:pPr>
            <w:r>
              <w:rPr>
                <w:rFonts w:ascii="Times New Roman"/>
                <w:sz w:val="21"/>
              </w:rPr>
              <w:t>0.05L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tcBorders>
              <w:top w:val="single" w:color="000000" w:sz="4" w:space="0"/>
              <w:bottom w:val="single" w:color="000000" w:sz="4" w:space="0"/>
              <w:right w:val="single" w:color="000000" w:sz="4" w:space="0"/>
            </w:tcBorders>
          </w:tcPr>
          <w:p>
            <w:pPr>
              <w:pStyle w:val="19"/>
              <w:spacing w:before="1"/>
              <w:ind w:left="130" w:right="120"/>
              <w:rPr>
                <w:sz w:val="21"/>
              </w:rPr>
            </w:pPr>
            <w:r>
              <w:rPr>
                <w:sz w:val="21"/>
              </w:rPr>
              <w:t>溶解氧</w:t>
            </w:r>
          </w:p>
        </w:tc>
        <w:tc>
          <w:tcPr>
            <w:tcW w:w="1658" w:type="dxa"/>
            <w:tcBorders>
              <w:top w:val="single" w:color="000000" w:sz="4" w:space="0"/>
              <w:left w:val="single" w:color="000000" w:sz="4" w:space="0"/>
              <w:bottom w:val="single" w:color="000000" w:sz="4" w:space="0"/>
              <w:right w:val="single" w:color="000000" w:sz="4" w:space="0"/>
            </w:tcBorders>
          </w:tcPr>
          <w:p>
            <w:pPr>
              <w:pStyle w:val="19"/>
              <w:spacing w:before="18"/>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18"/>
              <w:ind w:left="153" w:right="135"/>
              <w:rPr>
                <w:rFonts w:ascii="Times New Roman"/>
                <w:sz w:val="21"/>
              </w:rPr>
            </w:pPr>
            <w:r>
              <w:rPr>
                <w:rFonts w:ascii="Times New Roman"/>
                <w:sz w:val="21"/>
              </w:rPr>
              <w:t>7.20</w:t>
            </w:r>
          </w:p>
        </w:tc>
        <w:tc>
          <w:tcPr>
            <w:tcW w:w="1977" w:type="dxa"/>
            <w:tcBorders>
              <w:top w:val="single" w:color="000000" w:sz="4" w:space="0"/>
              <w:left w:val="single" w:color="000000" w:sz="4" w:space="0"/>
              <w:bottom w:val="single" w:color="000000" w:sz="4" w:space="0"/>
              <w:right w:val="single" w:color="000000" w:sz="4" w:space="0"/>
            </w:tcBorders>
          </w:tcPr>
          <w:p>
            <w:pPr>
              <w:pStyle w:val="19"/>
              <w:spacing w:before="18"/>
              <w:ind w:left="417" w:right="399"/>
              <w:rPr>
                <w:rFonts w:ascii="Times New Roman"/>
                <w:sz w:val="21"/>
              </w:rPr>
            </w:pPr>
            <w:r>
              <w:rPr>
                <w:rFonts w:ascii="Times New Roman"/>
                <w:sz w:val="21"/>
              </w:rPr>
              <w:t>7.23</w:t>
            </w:r>
          </w:p>
        </w:tc>
        <w:tc>
          <w:tcPr>
            <w:tcW w:w="2051" w:type="dxa"/>
            <w:tcBorders>
              <w:top w:val="single" w:color="000000" w:sz="4" w:space="0"/>
              <w:left w:val="single" w:color="000000" w:sz="4" w:space="0"/>
              <w:bottom w:val="single" w:color="000000" w:sz="4" w:space="0"/>
            </w:tcBorders>
          </w:tcPr>
          <w:p>
            <w:pPr>
              <w:pStyle w:val="19"/>
              <w:spacing w:before="18"/>
              <w:ind w:left="455" w:right="430"/>
              <w:rPr>
                <w:rFonts w:ascii="Times New Roman"/>
                <w:sz w:val="21"/>
              </w:rPr>
            </w:pPr>
            <w:r>
              <w:rPr>
                <w:rFonts w:ascii="Times New Roman"/>
                <w:sz w:val="21"/>
              </w:rPr>
              <w:t>7.34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565" w:type="dxa"/>
            <w:tcBorders>
              <w:top w:val="single" w:color="000000" w:sz="4" w:space="0"/>
              <w:bottom w:val="single" w:color="000000" w:sz="4" w:space="0"/>
              <w:right w:val="single" w:color="000000" w:sz="4" w:space="0"/>
            </w:tcBorders>
          </w:tcPr>
          <w:p>
            <w:pPr>
              <w:pStyle w:val="19"/>
              <w:ind w:left="130" w:right="120"/>
              <w:rPr>
                <w:sz w:val="21"/>
              </w:rPr>
            </w:pPr>
            <w:r>
              <w:rPr>
                <w:sz w:val="21"/>
              </w:rPr>
              <w:t>五日生化需氧</w:t>
            </w:r>
          </w:p>
          <w:p>
            <w:pPr>
              <w:pStyle w:val="19"/>
              <w:spacing w:before="58"/>
              <w:ind w:left="12"/>
              <w:rPr>
                <w:sz w:val="21"/>
              </w:rPr>
            </w:pPr>
            <w:r>
              <w:rPr>
                <w:w w:val="99"/>
                <w:sz w:val="21"/>
              </w:rPr>
              <w:t>量</w:t>
            </w:r>
          </w:p>
        </w:tc>
        <w:tc>
          <w:tcPr>
            <w:tcW w:w="1658" w:type="dxa"/>
            <w:tcBorders>
              <w:top w:val="single" w:color="000000" w:sz="4" w:space="0"/>
              <w:left w:val="single" w:color="000000" w:sz="4" w:space="0"/>
              <w:bottom w:val="single" w:color="000000" w:sz="4" w:space="0"/>
              <w:right w:val="single" w:color="000000" w:sz="4" w:space="0"/>
            </w:tcBorders>
          </w:tcPr>
          <w:p>
            <w:pPr>
              <w:pStyle w:val="19"/>
              <w:spacing w:before="180"/>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9"/>
              <w:spacing w:before="180"/>
              <w:ind w:left="153" w:right="135"/>
              <w:rPr>
                <w:rFonts w:ascii="Times New Roman"/>
                <w:sz w:val="21"/>
              </w:rPr>
            </w:pPr>
            <w:r>
              <w:rPr>
                <w:rFonts w:ascii="Times New Roman"/>
                <w:sz w:val="21"/>
              </w:rPr>
              <w:t>5.8</w:t>
            </w:r>
          </w:p>
        </w:tc>
        <w:tc>
          <w:tcPr>
            <w:tcW w:w="1977" w:type="dxa"/>
            <w:tcBorders>
              <w:top w:val="single" w:color="000000" w:sz="4" w:space="0"/>
              <w:left w:val="single" w:color="000000" w:sz="4" w:space="0"/>
              <w:bottom w:val="single" w:color="000000" w:sz="4" w:space="0"/>
              <w:right w:val="single" w:color="000000" w:sz="4" w:space="0"/>
            </w:tcBorders>
          </w:tcPr>
          <w:p>
            <w:pPr>
              <w:pStyle w:val="19"/>
              <w:spacing w:before="180"/>
              <w:ind w:left="417" w:right="399"/>
              <w:rPr>
                <w:rFonts w:ascii="Times New Roman"/>
                <w:sz w:val="21"/>
              </w:rPr>
            </w:pPr>
            <w:r>
              <w:rPr>
                <w:rFonts w:ascii="Times New Roman"/>
                <w:sz w:val="21"/>
              </w:rPr>
              <w:t>5.4</w:t>
            </w:r>
          </w:p>
        </w:tc>
        <w:tc>
          <w:tcPr>
            <w:tcW w:w="2051" w:type="dxa"/>
            <w:tcBorders>
              <w:top w:val="single" w:color="000000" w:sz="4" w:space="0"/>
              <w:left w:val="single" w:color="000000" w:sz="4" w:space="0"/>
              <w:bottom w:val="single" w:color="000000" w:sz="4" w:space="0"/>
            </w:tcBorders>
          </w:tcPr>
          <w:p>
            <w:pPr>
              <w:pStyle w:val="19"/>
              <w:spacing w:before="180"/>
              <w:ind w:left="454" w:right="432"/>
              <w:rPr>
                <w:rFonts w:ascii="Times New Roman"/>
                <w:sz w:val="21"/>
              </w:rPr>
            </w:pPr>
            <w:r>
              <w:rPr>
                <w:rFonts w:ascii="Times New Roman"/>
                <w:sz w:val="21"/>
              </w:rPr>
              <w:t>5.2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565" w:type="dxa"/>
            <w:tcBorders>
              <w:top w:val="single" w:color="000000" w:sz="4" w:space="0"/>
              <w:right w:val="single" w:color="000000" w:sz="4" w:space="0"/>
            </w:tcBorders>
          </w:tcPr>
          <w:p>
            <w:pPr>
              <w:pStyle w:val="19"/>
              <w:spacing w:line="268" w:lineRule="exact"/>
              <w:ind w:left="130" w:right="120"/>
              <w:rPr>
                <w:sz w:val="21"/>
              </w:rPr>
            </w:pPr>
            <w:r>
              <w:rPr>
                <w:sz w:val="21"/>
              </w:rPr>
              <w:t>氨氮</w:t>
            </w:r>
          </w:p>
        </w:tc>
        <w:tc>
          <w:tcPr>
            <w:tcW w:w="1658" w:type="dxa"/>
            <w:tcBorders>
              <w:top w:val="single" w:color="000000" w:sz="4" w:space="0"/>
              <w:left w:val="single" w:color="000000" w:sz="4" w:space="0"/>
              <w:right w:val="single" w:color="000000" w:sz="4" w:space="0"/>
            </w:tcBorders>
          </w:tcPr>
          <w:p>
            <w:pPr>
              <w:pStyle w:val="19"/>
              <w:spacing w:before="18"/>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right w:val="single" w:color="000000" w:sz="4" w:space="0"/>
            </w:tcBorders>
          </w:tcPr>
          <w:p>
            <w:pPr>
              <w:pStyle w:val="19"/>
              <w:spacing w:before="18"/>
              <w:ind w:left="153" w:right="135"/>
              <w:rPr>
                <w:rFonts w:ascii="Times New Roman"/>
                <w:sz w:val="21"/>
              </w:rPr>
            </w:pPr>
            <w:r>
              <w:rPr>
                <w:rFonts w:ascii="Times New Roman"/>
                <w:sz w:val="21"/>
              </w:rPr>
              <w:t>0.275</w:t>
            </w:r>
          </w:p>
        </w:tc>
        <w:tc>
          <w:tcPr>
            <w:tcW w:w="1977" w:type="dxa"/>
            <w:tcBorders>
              <w:top w:val="single" w:color="000000" w:sz="4" w:space="0"/>
              <w:left w:val="single" w:color="000000" w:sz="4" w:space="0"/>
              <w:right w:val="single" w:color="000000" w:sz="4" w:space="0"/>
            </w:tcBorders>
          </w:tcPr>
          <w:p>
            <w:pPr>
              <w:pStyle w:val="19"/>
              <w:spacing w:before="18"/>
              <w:ind w:left="417" w:right="399"/>
              <w:rPr>
                <w:rFonts w:ascii="Times New Roman"/>
                <w:sz w:val="21"/>
              </w:rPr>
            </w:pPr>
            <w:r>
              <w:rPr>
                <w:rFonts w:ascii="Times New Roman"/>
                <w:sz w:val="21"/>
              </w:rPr>
              <w:t>0.363</w:t>
            </w:r>
          </w:p>
        </w:tc>
        <w:tc>
          <w:tcPr>
            <w:tcW w:w="2051" w:type="dxa"/>
            <w:tcBorders>
              <w:top w:val="single" w:color="000000" w:sz="4" w:space="0"/>
              <w:left w:val="single" w:color="000000" w:sz="4" w:space="0"/>
            </w:tcBorders>
          </w:tcPr>
          <w:p>
            <w:pPr>
              <w:pStyle w:val="19"/>
              <w:spacing w:before="18"/>
              <w:ind w:left="454" w:right="432"/>
              <w:rPr>
                <w:rFonts w:ascii="Times New Roman"/>
                <w:sz w:val="21"/>
              </w:rPr>
            </w:pPr>
            <w:r>
              <w:rPr>
                <w:rFonts w:ascii="Times New Roman"/>
                <w:sz w:val="21"/>
              </w:rPr>
              <w:t>0.269</w:t>
            </w:r>
          </w:p>
        </w:tc>
      </w:tr>
    </w:tbl>
    <w:p>
      <w:pPr>
        <w:pStyle w:val="9"/>
        <w:spacing w:before="3" w:line="364" w:lineRule="auto"/>
        <w:ind w:left="1418" w:right="1413" w:firstLine="480"/>
        <w:jc w:val="both"/>
      </w:pPr>
      <w:r>
        <w:rPr>
          <w:spacing w:val="-5"/>
        </w:rPr>
        <w:t>本次地表水环境质量监测中，水样采集方法、采样频率、分析方法等均符合《地表</w:t>
      </w:r>
      <w:r>
        <w:t>水和污水监测技术规范》（</w:t>
      </w:r>
      <w:r>
        <w:rPr>
          <w:rFonts w:ascii="Times New Roman" w:eastAsia="Times New Roman"/>
        </w:rPr>
        <w:t>HJ/T91-2002</w:t>
      </w:r>
      <w:r>
        <w:t>）规范要求，监测结果具有代表性，可作为本次地表水环境质量现状评价的基础数据。</w:t>
      </w:r>
    </w:p>
    <w:p>
      <w:pPr>
        <w:spacing w:after="0" w:line="364" w:lineRule="auto"/>
        <w:jc w:val="both"/>
        <w:sectPr>
          <w:pgSz w:w="11910" w:h="16840"/>
          <w:pgMar w:top="1400" w:right="0" w:bottom="880" w:left="0" w:header="0" w:footer="681" w:gutter="0"/>
        </w:sectPr>
      </w:pPr>
    </w:p>
    <w:p>
      <w:pPr>
        <w:pStyle w:val="6"/>
        <w:numPr>
          <w:ilvl w:val="2"/>
          <w:numId w:val="67"/>
        </w:numPr>
        <w:tabs>
          <w:tab w:val="left" w:pos="2048"/>
        </w:tabs>
        <w:spacing w:before="42" w:after="0" w:line="240" w:lineRule="auto"/>
        <w:ind w:left="2047" w:right="0" w:hanging="630"/>
        <w:jc w:val="left"/>
      </w:pPr>
      <w:bookmarkStart w:id="348" w:name="6.2.2地表水环境质量现状评价"/>
      <w:bookmarkEnd w:id="348"/>
      <w:bookmarkStart w:id="349" w:name="6.2.2地表水环境质量现状评价"/>
      <w:bookmarkEnd w:id="349"/>
      <w:r>
        <w:t>地表水环境质量现状评价</w:t>
      </w:r>
    </w:p>
    <w:p>
      <w:pPr>
        <w:pStyle w:val="8"/>
        <w:numPr>
          <w:ilvl w:val="3"/>
          <w:numId w:val="67"/>
        </w:numPr>
        <w:tabs>
          <w:tab w:val="left" w:pos="2139"/>
        </w:tabs>
        <w:spacing w:before="185" w:after="0" w:line="240" w:lineRule="auto"/>
        <w:ind w:left="2138" w:right="0" w:hanging="721"/>
        <w:jc w:val="left"/>
      </w:pPr>
      <w:bookmarkStart w:id="350" w:name="6.2.2.1评价范围"/>
      <w:bookmarkEnd w:id="350"/>
      <w:bookmarkStart w:id="351" w:name="6.2.2.1评价范围"/>
      <w:bookmarkEnd w:id="351"/>
      <w:r>
        <w:t>评价范围</w:t>
      </w:r>
    </w:p>
    <w:p>
      <w:pPr>
        <w:pStyle w:val="9"/>
        <w:spacing w:before="158"/>
        <w:ind w:left="1898"/>
      </w:pPr>
      <w:r>
        <w:t>同现状监测范围。</w:t>
      </w:r>
    </w:p>
    <w:p>
      <w:pPr>
        <w:pStyle w:val="8"/>
        <w:numPr>
          <w:ilvl w:val="3"/>
          <w:numId w:val="67"/>
        </w:numPr>
        <w:tabs>
          <w:tab w:val="left" w:pos="2139"/>
        </w:tabs>
        <w:spacing w:before="161" w:after="0" w:line="240" w:lineRule="auto"/>
        <w:ind w:left="2138" w:right="0" w:hanging="721"/>
        <w:jc w:val="left"/>
      </w:pPr>
      <w:bookmarkStart w:id="352" w:name="6.2.2.2评价参数的选择"/>
      <w:bookmarkEnd w:id="352"/>
      <w:bookmarkStart w:id="353" w:name="6.2.2.2评价参数的选择"/>
      <w:bookmarkEnd w:id="353"/>
      <w:r>
        <w:t>评价参数的选择</w:t>
      </w:r>
    </w:p>
    <w:p>
      <w:pPr>
        <w:pStyle w:val="9"/>
        <w:spacing w:before="160" w:line="362" w:lineRule="auto"/>
        <w:ind w:left="1418" w:right="1365" w:firstLine="480"/>
      </w:pPr>
      <w:r>
        <w:t>根据地表水的水质特点及其功能，结合对水监测结果的分析和新项目的排污情况， 为较全面了解地表水水质现状，对评价区域的河段进行现状评价。</w:t>
      </w:r>
    </w:p>
    <w:p>
      <w:pPr>
        <w:pStyle w:val="8"/>
        <w:numPr>
          <w:ilvl w:val="3"/>
          <w:numId w:val="67"/>
        </w:numPr>
        <w:tabs>
          <w:tab w:val="left" w:pos="2139"/>
        </w:tabs>
        <w:spacing w:before="5" w:after="0" w:line="240" w:lineRule="auto"/>
        <w:ind w:left="2138" w:right="0" w:hanging="721"/>
        <w:jc w:val="left"/>
      </w:pPr>
      <w:bookmarkStart w:id="354" w:name="6.2.2.3评价标准"/>
      <w:bookmarkEnd w:id="354"/>
      <w:bookmarkStart w:id="355" w:name="6.2.2.3评价标准"/>
      <w:bookmarkEnd w:id="355"/>
      <w:r>
        <w:t>评价标准</w:t>
      </w:r>
    </w:p>
    <w:p>
      <w:pPr>
        <w:pStyle w:val="9"/>
        <w:spacing w:before="158" w:line="364" w:lineRule="auto"/>
        <w:ind w:left="1418" w:right="1413" w:firstLine="480"/>
        <w:jc w:val="both"/>
      </w:pPr>
      <w:r>
        <w:rPr>
          <w:spacing w:val="-1"/>
        </w:rPr>
        <w:t>根据全国重要江河湖泊水功能区划</w:t>
      </w:r>
      <w:r>
        <w:rPr>
          <w:rFonts w:ascii="Times New Roman" w:hAnsi="Times New Roman" w:eastAsia="Times New Roman"/>
          <w:spacing w:val="-1"/>
        </w:rPr>
        <w:t>(</w:t>
      </w:r>
      <w:r>
        <w:rPr>
          <w:rFonts w:ascii="Times New Roman" w:hAnsi="Times New Roman" w:eastAsia="Times New Roman"/>
        </w:rPr>
        <w:t>20</w:t>
      </w:r>
      <w:r>
        <w:rPr>
          <w:rFonts w:ascii="Times New Roman" w:hAnsi="Times New Roman" w:eastAsia="Times New Roman"/>
          <w:spacing w:val="-5"/>
        </w:rPr>
        <w:t>1</w:t>
      </w:r>
      <w:r>
        <w:rPr>
          <w:rFonts w:ascii="Times New Roman" w:hAnsi="Times New Roman" w:eastAsia="Times New Roman"/>
          <w:spacing w:val="-3"/>
        </w:rPr>
        <w:t>1</w:t>
      </w:r>
      <w:r>
        <w:rPr>
          <w:rFonts w:ascii="Times New Roman" w:hAnsi="Times New Roman" w:eastAsia="Times New Roman"/>
          <w:spacing w:val="-1"/>
        </w:rPr>
        <w:t>-</w:t>
      </w:r>
      <w:r>
        <w:rPr>
          <w:rFonts w:ascii="Times New Roman" w:hAnsi="Times New Roman" w:eastAsia="Times New Roman"/>
        </w:rPr>
        <w:t xml:space="preserve">2030 </w:t>
      </w:r>
      <w:r>
        <w:t>年</w:t>
      </w:r>
      <w:r>
        <w:rPr>
          <w:rFonts w:ascii="Times New Roman" w:hAnsi="Times New Roman" w:eastAsia="Times New Roman"/>
          <w:spacing w:val="-1"/>
        </w:rPr>
        <w:t>)</w:t>
      </w:r>
      <w:r>
        <w:rPr>
          <w:spacing w:val="-25"/>
        </w:rPr>
        <w:t>，本项目</w:t>
      </w:r>
      <w:r>
        <w:rPr>
          <w:color w:val="FF0000"/>
        </w:rPr>
        <w:t>所在区域地表水系</w:t>
      </w:r>
      <w:r>
        <w:rPr>
          <w:spacing w:val="-5"/>
        </w:rPr>
        <w:t>为安邦</w:t>
      </w:r>
      <w:r>
        <w:rPr>
          <w:spacing w:val="-8"/>
        </w:rPr>
        <w:t>河，源头水至寒葱沟水库断面之间流域，水体功能为Ⅱ类，评价区地表水执行《地表水</w:t>
      </w:r>
      <w:r>
        <w:t>环境质量标准》（</w:t>
      </w:r>
      <w:r>
        <w:rPr>
          <w:rFonts w:ascii="Times New Roman" w:hAnsi="Times New Roman" w:eastAsia="Times New Roman"/>
        </w:rPr>
        <w:t>GB3838-2002</w:t>
      </w:r>
      <w:r>
        <w:t>）中Ⅱ类标准。具体标准限值见下表。</w:t>
      </w:r>
    </w:p>
    <w:p>
      <w:pPr>
        <w:spacing w:before="0" w:after="3" w:line="267" w:lineRule="exact"/>
        <w:ind w:left="2" w:right="0" w:firstLine="0"/>
        <w:jc w:val="center"/>
        <w:rPr>
          <w:b/>
          <w:sz w:val="21"/>
        </w:rPr>
      </w:pPr>
      <w:r>
        <w:rPr>
          <w:b/>
          <w:spacing w:val="-28"/>
          <w:sz w:val="21"/>
        </w:rPr>
        <w:t xml:space="preserve">表 </w:t>
      </w:r>
      <w:r>
        <w:rPr>
          <w:rFonts w:ascii="Times New Roman" w:eastAsia="Times New Roman"/>
          <w:b/>
          <w:sz w:val="21"/>
        </w:rPr>
        <w:t>6.2-3</w:t>
      </w:r>
      <w:r>
        <w:rPr>
          <w:rFonts w:ascii="Times New Roman" w:eastAsia="Times New Roman"/>
          <w:b/>
          <w:spacing w:val="52"/>
          <w:sz w:val="21"/>
        </w:rPr>
        <w:t xml:space="preserve"> </w:t>
      </w:r>
      <w:r>
        <w:rPr>
          <w:b/>
          <w:sz w:val="21"/>
        </w:rPr>
        <w:t>评价标准</w:t>
      </w:r>
    </w:p>
    <w:tbl>
      <w:tblPr>
        <w:tblStyle w:val="15"/>
        <w:tblW w:w="0" w:type="auto"/>
        <w:tblInd w:w="13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128"/>
        <w:gridCol w:w="3089"/>
        <w:gridCol w:w="30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3128" w:type="dxa"/>
            <w:tcBorders>
              <w:bottom w:val="single" w:color="000000" w:sz="4" w:space="0"/>
              <w:right w:val="single" w:color="000000" w:sz="4" w:space="0"/>
            </w:tcBorders>
          </w:tcPr>
          <w:p>
            <w:pPr>
              <w:pStyle w:val="19"/>
              <w:spacing w:before="18"/>
              <w:ind w:left="803" w:right="794"/>
              <w:rPr>
                <w:sz w:val="21"/>
              </w:rPr>
            </w:pPr>
            <w:r>
              <w:rPr>
                <w:sz w:val="21"/>
              </w:rPr>
              <w:t>项目</w:t>
            </w:r>
          </w:p>
        </w:tc>
        <w:tc>
          <w:tcPr>
            <w:tcW w:w="3089" w:type="dxa"/>
            <w:tcBorders>
              <w:left w:val="single" w:color="000000" w:sz="4" w:space="0"/>
              <w:bottom w:val="single" w:color="000000" w:sz="4" w:space="0"/>
              <w:right w:val="single" w:color="000000" w:sz="4" w:space="0"/>
            </w:tcBorders>
          </w:tcPr>
          <w:p>
            <w:pPr>
              <w:pStyle w:val="19"/>
              <w:spacing w:before="18"/>
              <w:ind w:left="1208" w:right="1195"/>
              <w:rPr>
                <w:sz w:val="21"/>
              </w:rPr>
            </w:pPr>
            <w:r>
              <w:rPr>
                <w:sz w:val="21"/>
              </w:rPr>
              <w:t>单位</w:t>
            </w:r>
          </w:p>
        </w:tc>
        <w:tc>
          <w:tcPr>
            <w:tcW w:w="3067" w:type="dxa"/>
            <w:tcBorders>
              <w:left w:val="single" w:color="000000" w:sz="4" w:space="0"/>
              <w:bottom w:val="single" w:color="000000" w:sz="4" w:space="0"/>
            </w:tcBorders>
          </w:tcPr>
          <w:p>
            <w:pPr>
              <w:pStyle w:val="19"/>
              <w:spacing w:line="291" w:lineRule="exact"/>
              <w:ind w:left="45" w:right="24"/>
              <w:rPr>
                <w:sz w:val="21"/>
              </w:rPr>
            </w:pPr>
            <w:r>
              <w:rPr>
                <w:sz w:val="24"/>
              </w:rPr>
              <w:t>Ⅱ</w:t>
            </w:r>
            <w:r>
              <w:rPr>
                <w:sz w:val="21"/>
              </w:rPr>
              <w:t>类标准值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3128" w:type="dxa"/>
            <w:tcBorders>
              <w:top w:val="single" w:color="000000" w:sz="4" w:space="0"/>
              <w:bottom w:val="single" w:color="000000" w:sz="4" w:space="0"/>
              <w:right w:val="single" w:color="000000" w:sz="4" w:space="0"/>
            </w:tcBorders>
          </w:tcPr>
          <w:p>
            <w:pPr>
              <w:pStyle w:val="19"/>
              <w:spacing w:before="2" w:line="251" w:lineRule="exact"/>
              <w:ind w:left="806" w:right="794"/>
              <w:rPr>
                <w:sz w:val="21"/>
              </w:rPr>
            </w:pPr>
            <w:r>
              <w:rPr>
                <w:rFonts w:ascii="Times New Roman" w:eastAsia="Times New Roman"/>
                <w:sz w:val="21"/>
              </w:rPr>
              <w:t xml:space="preserve">pH </w:t>
            </w:r>
            <w:r>
              <w:rPr>
                <w:sz w:val="21"/>
              </w:rPr>
              <w:t>值</w:t>
            </w:r>
          </w:p>
        </w:tc>
        <w:tc>
          <w:tcPr>
            <w:tcW w:w="3089" w:type="dxa"/>
            <w:tcBorders>
              <w:top w:val="single" w:color="000000" w:sz="4" w:space="0"/>
              <w:left w:val="single" w:color="000000" w:sz="4" w:space="0"/>
              <w:bottom w:val="single" w:color="000000" w:sz="4" w:space="0"/>
              <w:right w:val="single" w:color="000000" w:sz="4" w:space="0"/>
            </w:tcBorders>
          </w:tcPr>
          <w:p>
            <w:pPr>
              <w:pStyle w:val="19"/>
              <w:spacing w:before="2" w:line="251" w:lineRule="exact"/>
              <w:ind w:left="1213" w:right="1195"/>
              <w:rPr>
                <w:sz w:val="21"/>
              </w:rPr>
            </w:pPr>
            <w:r>
              <w:rPr>
                <w:sz w:val="21"/>
              </w:rPr>
              <w:t>无量纲</w:t>
            </w:r>
          </w:p>
        </w:tc>
        <w:tc>
          <w:tcPr>
            <w:tcW w:w="3067" w:type="dxa"/>
            <w:tcBorders>
              <w:top w:val="single" w:color="000000" w:sz="4" w:space="0"/>
              <w:left w:val="single" w:color="000000" w:sz="4" w:space="0"/>
              <w:bottom w:val="single" w:color="000000" w:sz="4" w:space="0"/>
            </w:tcBorders>
          </w:tcPr>
          <w:p>
            <w:pPr>
              <w:pStyle w:val="19"/>
              <w:spacing w:before="16" w:line="237" w:lineRule="exact"/>
              <w:ind w:left="45" w:right="23"/>
              <w:rPr>
                <w:rFonts w:ascii="Times New Roman"/>
                <w:sz w:val="21"/>
              </w:rPr>
            </w:pPr>
            <w:r>
              <w:rPr>
                <w:rFonts w:ascii="Times New Roman"/>
                <w:sz w:val="21"/>
              </w:rPr>
              <w:t>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3128" w:type="dxa"/>
            <w:tcBorders>
              <w:top w:val="single" w:color="000000" w:sz="4" w:space="0"/>
              <w:bottom w:val="single" w:color="000000" w:sz="4" w:space="0"/>
              <w:right w:val="single" w:color="000000" w:sz="4" w:space="0"/>
            </w:tcBorders>
          </w:tcPr>
          <w:p>
            <w:pPr>
              <w:pStyle w:val="19"/>
              <w:spacing w:before="16"/>
              <w:ind w:left="808" w:right="794"/>
              <w:rPr>
                <w:sz w:val="21"/>
              </w:rPr>
            </w:pPr>
            <w:r>
              <w:rPr>
                <w:sz w:val="21"/>
              </w:rPr>
              <w:t>悬浮物</w:t>
            </w:r>
          </w:p>
        </w:tc>
        <w:tc>
          <w:tcPr>
            <w:tcW w:w="3089" w:type="dxa"/>
            <w:tcBorders>
              <w:top w:val="single" w:color="000000" w:sz="4" w:space="0"/>
              <w:left w:val="single" w:color="000000" w:sz="4" w:space="0"/>
              <w:bottom w:val="single" w:color="000000" w:sz="4" w:space="0"/>
              <w:right w:val="single" w:color="000000" w:sz="4" w:space="0"/>
            </w:tcBorders>
          </w:tcPr>
          <w:p>
            <w:pPr>
              <w:pStyle w:val="19"/>
              <w:spacing w:before="30"/>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9"/>
              <w:spacing w:before="30"/>
              <w:ind w:left="21"/>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9"/>
              <w:spacing w:before="23"/>
              <w:ind w:left="806" w:right="794"/>
              <w:rPr>
                <w:sz w:val="21"/>
              </w:rPr>
            </w:pPr>
            <w:r>
              <w:rPr>
                <w:sz w:val="21"/>
              </w:rPr>
              <w:t>化学需氧量</w:t>
            </w:r>
          </w:p>
        </w:tc>
        <w:tc>
          <w:tcPr>
            <w:tcW w:w="3089" w:type="dxa"/>
            <w:tcBorders>
              <w:top w:val="single" w:color="000000" w:sz="4" w:space="0"/>
              <w:left w:val="single" w:color="000000" w:sz="4" w:space="0"/>
              <w:bottom w:val="single" w:color="000000" w:sz="4" w:space="0"/>
              <w:right w:val="single" w:color="000000" w:sz="4" w:space="0"/>
            </w:tcBorders>
          </w:tcPr>
          <w:p>
            <w:pPr>
              <w:pStyle w:val="19"/>
              <w:spacing w:before="59" w:line="241" w:lineRule="exact"/>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9"/>
              <w:spacing w:before="37"/>
              <w:ind w:left="45" w:right="21"/>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9"/>
              <w:spacing w:before="22"/>
              <w:ind w:left="808" w:right="794"/>
              <w:rPr>
                <w:sz w:val="21"/>
              </w:rPr>
            </w:pPr>
            <w:r>
              <w:rPr>
                <w:sz w:val="21"/>
              </w:rPr>
              <w:t>石油类</w:t>
            </w:r>
          </w:p>
        </w:tc>
        <w:tc>
          <w:tcPr>
            <w:tcW w:w="3089" w:type="dxa"/>
            <w:tcBorders>
              <w:top w:val="single" w:color="000000" w:sz="4" w:space="0"/>
              <w:left w:val="single" w:color="000000" w:sz="4" w:space="0"/>
              <w:bottom w:val="single" w:color="000000" w:sz="4" w:space="0"/>
              <w:right w:val="single" w:color="000000" w:sz="4" w:space="0"/>
            </w:tcBorders>
          </w:tcPr>
          <w:p>
            <w:pPr>
              <w:pStyle w:val="19"/>
              <w:spacing w:before="58"/>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9"/>
              <w:spacing w:before="38"/>
              <w:ind w:left="45" w:right="23"/>
              <w:rPr>
                <w:rFonts w:ascii="Times New Roman"/>
                <w:sz w:val="21"/>
              </w:rPr>
            </w:pPr>
            <w:r>
              <w:rPr>
                <w:rFonts w:asci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9"/>
              <w:spacing w:before="23"/>
              <w:ind w:left="12"/>
              <w:rPr>
                <w:sz w:val="21"/>
              </w:rPr>
            </w:pPr>
            <w:r>
              <w:rPr>
                <w:w w:val="99"/>
                <w:sz w:val="21"/>
              </w:rPr>
              <w:t>铁</w:t>
            </w:r>
          </w:p>
        </w:tc>
        <w:tc>
          <w:tcPr>
            <w:tcW w:w="3089" w:type="dxa"/>
            <w:tcBorders>
              <w:top w:val="single" w:color="000000" w:sz="4" w:space="0"/>
              <w:left w:val="single" w:color="000000" w:sz="4" w:space="0"/>
              <w:bottom w:val="single" w:color="000000" w:sz="4" w:space="0"/>
              <w:right w:val="single" w:color="000000" w:sz="4" w:space="0"/>
            </w:tcBorders>
          </w:tcPr>
          <w:p>
            <w:pPr>
              <w:pStyle w:val="19"/>
              <w:spacing w:before="59" w:line="241" w:lineRule="exact"/>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9"/>
              <w:spacing w:before="37"/>
              <w:ind w:left="21"/>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9"/>
              <w:spacing w:before="22"/>
              <w:ind w:left="12"/>
              <w:rPr>
                <w:sz w:val="21"/>
              </w:rPr>
            </w:pPr>
            <w:r>
              <w:rPr>
                <w:w w:val="99"/>
                <w:sz w:val="21"/>
              </w:rPr>
              <w:t>锰</w:t>
            </w:r>
          </w:p>
        </w:tc>
        <w:tc>
          <w:tcPr>
            <w:tcW w:w="3089" w:type="dxa"/>
            <w:tcBorders>
              <w:top w:val="single" w:color="000000" w:sz="4" w:space="0"/>
              <w:left w:val="single" w:color="000000" w:sz="4" w:space="0"/>
              <w:bottom w:val="single" w:color="000000" w:sz="4" w:space="0"/>
              <w:right w:val="single" w:color="000000" w:sz="4" w:space="0"/>
            </w:tcBorders>
          </w:tcPr>
          <w:p>
            <w:pPr>
              <w:pStyle w:val="19"/>
              <w:spacing w:before="58"/>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9"/>
              <w:spacing w:before="38"/>
              <w:ind w:left="21"/>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9"/>
              <w:spacing w:before="23"/>
              <w:ind w:left="12"/>
              <w:rPr>
                <w:sz w:val="21"/>
              </w:rPr>
            </w:pPr>
            <w:r>
              <w:rPr>
                <w:w w:val="99"/>
                <w:sz w:val="21"/>
              </w:rPr>
              <w:t>汞</w:t>
            </w:r>
          </w:p>
        </w:tc>
        <w:tc>
          <w:tcPr>
            <w:tcW w:w="3089" w:type="dxa"/>
            <w:tcBorders>
              <w:top w:val="single" w:color="000000" w:sz="4" w:space="0"/>
              <w:left w:val="single" w:color="000000" w:sz="4" w:space="0"/>
              <w:bottom w:val="single" w:color="000000" w:sz="4" w:space="0"/>
              <w:right w:val="single" w:color="000000" w:sz="4" w:space="0"/>
            </w:tcBorders>
          </w:tcPr>
          <w:p>
            <w:pPr>
              <w:pStyle w:val="19"/>
              <w:spacing w:before="59" w:line="241" w:lineRule="exact"/>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9"/>
              <w:spacing w:before="37"/>
              <w:ind w:left="45" w:right="23"/>
              <w:rPr>
                <w:rFonts w:ascii="Times New Roman"/>
                <w:sz w:val="21"/>
              </w:rPr>
            </w:pPr>
            <w:r>
              <w:rPr>
                <w:rFonts w:ascii="Times New Roman"/>
                <w:sz w:val="21"/>
              </w:rPr>
              <w:t>0.00005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9"/>
              <w:spacing w:before="22"/>
              <w:ind w:left="12"/>
              <w:rPr>
                <w:sz w:val="21"/>
              </w:rPr>
            </w:pPr>
            <w:r>
              <w:rPr>
                <w:w w:val="99"/>
                <w:sz w:val="21"/>
              </w:rPr>
              <w:t>镉</w:t>
            </w:r>
          </w:p>
        </w:tc>
        <w:tc>
          <w:tcPr>
            <w:tcW w:w="3089" w:type="dxa"/>
            <w:tcBorders>
              <w:top w:val="single" w:color="000000" w:sz="4" w:space="0"/>
              <w:left w:val="single" w:color="000000" w:sz="4" w:space="0"/>
              <w:bottom w:val="single" w:color="000000" w:sz="4" w:space="0"/>
              <w:right w:val="single" w:color="000000" w:sz="4" w:space="0"/>
            </w:tcBorders>
          </w:tcPr>
          <w:p>
            <w:pPr>
              <w:pStyle w:val="19"/>
              <w:spacing w:before="58"/>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9"/>
              <w:spacing w:before="38"/>
              <w:ind w:left="45" w:right="21"/>
              <w:rPr>
                <w:rFonts w:ascii="Times New Roman"/>
                <w:sz w:val="21"/>
              </w:rPr>
            </w:pPr>
            <w:r>
              <w:rPr>
                <w:rFonts w:ascii="Times New Roman"/>
                <w:sz w:val="21"/>
              </w:rPr>
              <w:t>0.005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9"/>
              <w:spacing w:before="23"/>
              <w:ind w:left="12"/>
              <w:rPr>
                <w:sz w:val="21"/>
              </w:rPr>
            </w:pPr>
            <w:r>
              <w:rPr>
                <w:w w:val="99"/>
                <w:sz w:val="21"/>
              </w:rPr>
              <w:t>铬</w:t>
            </w:r>
          </w:p>
        </w:tc>
        <w:tc>
          <w:tcPr>
            <w:tcW w:w="3089" w:type="dxa"/>
            <w:tcBorders>
              <w:top w:val="single" w:color="000000" w:sz="4" w:space="0"/>
              <w:left w:val="single" w:color="000000" w:sz="4" w:space="0"/>
              <w:bottom w:val="single" w:color="000000" w:sz="4" w:space="0"/>
              <w:right w:val="single" w:color="000000" w:sz="4" w:space="0"/>
            </w:tcBorders>
          </w:tcPr>
          <w:p>
            <w:pPr>
              <w:pStyle w:val="19"/>
              <w:spacing w:before="59" w:line="241" w:lineRule="exact"/>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9"/>
              <w:spacing w:before="37"/>
              <w:ind w:left="21"/>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9"/>
              <w:spacing w:before="22"/>
              <w:ind w:left="12"/>
              <w:rPr>
                <w:sz w:val="21"/>
              </w:rPr>
            </w:pPr>
            <w:r>
              <w:rPr>
                <w:w w:val="99"/>
                <w:sz w:val="21"/>
              </w:rPr>
              <w:t>铅</w:t>
            </w:r>
          </w:p>
        </w:tc>
        <w:tc>
          <w:tcPr>
            <w:tcW w:w="3089" w:type="dxa"/>
            <w:tcBorders>
              <w:top w:val="single" w:color="000000" w:sz="4" w:space="0"/>
              <w:left w:val="single" w:color="000000" w:sz="4" w:space="0"/>
              <w:bottom w:val="single" w:color="000000" w:sz="4" w:space="0"/>
              <w:right w:val="single" w:color="000000" w:sz="4" w:space="0"/>
            </w:tcBorders>
          </w:tcPr>
          <w:p>
            <w:pPr>
              <w:pStyle w:val="19"/>
              <w:spacing w:before="58"/>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9"/>
              <w:spacing w:before="38"/>
              <w:ind w:left="45" w:right="23"/>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9"/>
              <w:spacing w:before="23"/>
              <w:ind w:left="12"/>
              <w:rPr>
                <w:sz w:val="21"/>
              </w:rPr>
            </w:pPr>
            <w:r>
              <w:rPr>
                <w:w w:val="99"/>
                <w:sz w:val="21"/>
              </w:rPr>
              <w:t>砷</w:t>
            </w:r>
          </w:p>
        </w:tc>
        <w:tc>
          <w:tcPr>
            <w:tcW w:w="3089" w:type="dxa"/>
            <w:tcBorders>
              <w:top w:val="single" w:color="000000" w:sz="4" w:space="0"/>
              <w:left w:val="single" w:color="000000" w:sz="4" w:space="0"/>
              <w:bottom w:val="single" w:color="000000" w:sz="4" w:space="0"/>
              <w:right w:val="single" w:color="000000" w:sz="4" w:space="0"/>
            </w:tcBorders>
          </w:tcPr>
          <w:p>
            <w:pPr>
              <w:pStyle w:val="19"/>
              <w:spacing w:before="59" w:line="241" w:lineRule="exact"/>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9"/>
              <w:spacing w:before="37"/>
              <w:ind w:left="45" w:right="21"/>
              <w:rPr>
                <w:rFonts w:ascii="Times New Roman"/>
                <w:sz w:val="21"/>
              </w:rPr>
            </w:pPr>
            <w:r>
              <w:rPr>
                <w:rFonts w:asci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3128" w:type="dxa"/>
            <w:tcBorders>
              <w:top w:val="single" w:color="000000" w:sz="4" w:space="0"/>
              <w:bottom w:val="single" w:color="000000" w:sz="4" w:space="0"/>
              <w:right w:val="single" w:color="000000" w:sz="4" w:space="0"/>
            </w:tcBorders>
          </w:tcPr>
          <w:p>
            <w:pPr>
              <w:pStyle w:val="19"/>
              <w:spacing w:before="17"/>
              <w:ind w:left="12"/>
              <w:rPr>
                <w:sz w:val="21"/>
              </w:rPr>
            </w:pPr>
            <w:r>
              <w:rPr>
                <w:w w:val="99"/>
                <w:sz w:val="21"/>
              </w:rPr>
              <w:t>锌</w:t>
            </w:r>
          </w:p>
        </w:tc>
        <w:tc>
          <w:tcPr>
            <w:tcW w:w="3089" w:type="dxa"/>
            <w:tcBorders>
              <w:top w:val="single" w:color="000000" w:sz="4" w:space="0"/>
              <w:left w:val="single" w:color="000000" w:sz="4" w:space="0"/>
              <w:bottom w:val="single" w:color="000000" w:sz="4" w:space="0"/>
              <w:right w:val="single" w:color="000000" w:sz="4" w:space="0"/>
            </w:tcBorders>
          </w:tcPr>
          <w:p>
            <w:pPr>
              <w:pStyle w:val="19"/>
              <w:spacing w:before="31"/>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9"/>
              <w:spacing w:before="31"/>
              <w:ind w:left="45" w:right="21"/>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3128" w:type="dxa"/>
            <w:tcBorders>
              <w:top w:val="single" w:color="000000" w:sz="4" w:space="0"/>
              <w:bottom w:val="single" w:color="000000" w:sz="4" w:space="0"/>
              <w:right w:val="single" w:color="000000" w:sz="4" w:space="0"/>
            </w:tcBorders>
          </w:tcPr>
          <w:p>
            <w:pPr>
              <w:pStyle w:val="19"/>
              <w:spacing w:before="17"/>
              <w:ind w:left="808" w:right="794"/>
              <w:rPr>
                <w:sz w:val="21"/>
              </w:rPr>
            </w:pPr>
            <w:r>
              <w:rPr>
                <w:sz w:val="21"/>
              </w:rPr>
              <w:t>六价铬</w:t>
            </w:r>
          </w:p>
        </w:tc>
        <w:tc>
          <w:tcPr>
            <w:tcW w:w="3089" w:type="dxa"/>
            <w:tcBorders>
              <w:top w:val="single" w:color="000000" w:sz="4" w:space="0"/>
              <w:left w:val="single" w:color="000000" w:sz="4" w:space="0"/>
              <w:bottom w:val="single" w:color="000000" w:sz="4" w:space="0"/>
              <w:right w:val="single" w:color="000000" w:sz="4" w:space="0"/>
            </w:tcBorders>
          </w:tcPr>
          <w:p>
            <w:pPr>
              <w:pStyle w:val="19"/>
              <w:spacing w:before="31"/>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9"/>
              <w:spacing w:before="31"/>
              <w:ind w:left="45" w:right="21"/>
              <w:rPr>
                <w:rFonts w:ascii="Times New Roman"/>
                <w:sz w:val="21"/>
              </w:rPr>
            </w:pPr>
            <w:r>
              <w:rPr>
                <w:rFonts w:asci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3128" w:type="dxa"/>
            <w:tcBorders>
              <w:top w:val="single" w:color="000000" w:sz="4" w:space="0"/>
              <w:bottom w:val="single" w:color="000000" w:sz="4" w:space="0"/>
              <w:right w:val="single" w:color="000000" w:sz="4" w:space="0"/>
            </w:tcBorders>
          </w:tcPr>
          <w:p>
            <w:pPr>
              <w:pStyle w:val="19"/>
              <w:spacing w:before="17"/>
              <w:ind w:left="808" w:right="794"/>
              <w:rPr>
                <w:sz w:val="21"/>
              </w:rPr>
            </w:pPr>
            <w:r>
              <w:rPr>
                <w:sz w:val="21"/>
              </w:rPr>
              <w:t>氟化物</w:t>
            </w:r>
          </w:p>
        </w:tc>
        <w:tc>
          <w:tcPr>
            <w:tcW w:w="3089" w:type="dxa"/>
            <w:tcBorders>
              <w:top w:val="single" w:color="000000" w:sz="4" w:space="0"/>
              <w:left w:val="single" w:color="000000" w:sz="4" w:space="0"/>
              <w:bottom w:val="single" w:color="000000" w:sz="4" w:space="0"/>
              <w:right w:val="single" w:color="000000" w:sz="4" w:space="0"/>
            </w:tcBorders>
          </w:tcPr>
          <w:p>
            <w:pPr>
              <w:pStyle w:val="19"/>
              <w:spacing w:before="31"/>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9"/>
              <w:spacing w:before="31"/>
              <w:ind w:left="45" w:right="23"/>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3128" w:type="dxa"/>
            <w:tcBorders>
              <w:top w:val="single" w:color="000000" w:sz="4" w:space="0"/>
              <w:bottom w:val="single" w:color="000000" w:sz="4" w:space="0"/>
              <w:right w:val="single" w:color="000000" w:sz="4" w:space="0"/>
            </w:tcBorders>
          </w:tcPr>
          <w:p>
            <w:pPr>
              <w:pStyle w:val="19"/>
              <w:spacing w:before="17"/>
              <w:ind w:left="808" w:right="794"/>
              <w:rPr>
                <w:sz w:val="21"/>
              </w:rPr>
            </w:pPr>
            <w:r>
              <w:rPr>
                <w:sz w:val="21"/>
              </w:rPr>
              <w:t>溶解氧</w:t>
            </w:r>
          </w:p>
        </w:tc>
        <w:tc>
          <w:tcPr>
            <w:tcW w:w="3089" w:type="dxa"/>
            <w:tcBorders>
              <w:top w:val="single" w:color="000000" w:sz="4" w:space="0"/>
              <w:left w:val="single" w:color="000000" w:sz="4" w:space="0"/>
              <w:bottom w:val="single" w:color="000000" w:sz="4" w:space="0"/>
              <w:right w:val="single" w:color="000000" w:sz="4" w:space="0"/>
            </w:tcBorders>
          </w:tcPr>
          <w:p>
            <w:pPr>
              <w:pStyle w:val="19"/>
              <w:spacing w:before="31"/>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9"/>
              <w:spacing w:before="31"/>
              <w:ind w:left="24"/>
              <w:rPr>
                <w:rFonts w:ascii="Times New Roman"/>
                <w:sz w:val="21"/>
              </w:rPr>
            </w:pPr>
            <w:r>
              <w:rPr>
                <w:rFonts w:ascii="Times New Roman"/>
                <w:w w:val="99"/>
                <w:sz w:val="21"/>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3128" w:type="dxa"/>
            <w:tcBorders>
              <w:top w:val="single" w:color="000000" w:sz="4" w:space="0"/>
              <w:bottom w:val="single" w:color="000000" w:sz="4" w:space="0"/>
              <w:right w:val="single" w:color="000000" w:sz="4" w:space="0"/>
            </w:tcBorders>
          </w:tcPr>
          <w:p>
            <w:pPr>
              <w:pStyle w:val="19"/>
              <w:spacing w:before="16"/>
              <w:ind w:left="808" w:right="794"/>
              <w:rPr>
                <w:sz w:val="21"/>
              </w:rPr>
            </w:pPr>
            <w:r>
              <w:rPr>
                <w:sz w:val="21"/>
              </w:rPr>
              <w:t>五日生化需氧量</w:t>
            </w:r>
          </w:p>
        </w:tc>
        <w:tc>
          <w:tcPr>
            <w:tcW w:w="3089" w:type="dxa"/>
            <w:tcBorders>
              <w:top w:val="single" w:color="000000" w:sz="4" w:space="0"/>
              <w:left w:val="single" w:color="000000" w:sz="4" w:space="0"/>
              <w:bottom w:val="single" w:color="000000" w:sz="4" w:space="0"/>
              <w:right w:val="single" w:color="000000" w:sz="4" w:space="0"/>
            </w:tcBorders>
          </w:tcPr>
          <w:p>
            <w:pPr>
              <w:pStyle w:val="19"/>
              <w:spacing w:before="30"/>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9"/>
              <w:spacing w:before="30"/>
              <w:ind w:left="24"/>
              <w:rPr>
                <w:rFonts w:ascii="Times New Roman"/>
                <w:sz w:val="21"/>
              </w:rPr>
            </w:pPr>
            <w:r>
              <w:rPr>
                <w:rFonts w:ascii="Times New Roman"/>
                <w:w w:val="99"/>
                <w:sz w:val="21"/>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3128" w:type="dxa"/>
            <w:tcBorders>
              <w:top w:val="single" w:color="000000" w:sz="4" w:space="0"/>
              <w:right w:val="single" w:color="000000" w:sz="4" w:space="0"/>
            </w:tcBorders>
          </w:tcPr>
          <w:p>
            <w:pPr>
              <w:pStyle w:val="19"/>
              <w:spacing w:before="16"/>
              <w:ind w:left="803" w:right="794"/>
              <w:rPr>
                <w:sz w:val="21"/>
              </w:rPr>
            </w:pPr>
            <w:r>
              <w:rPr>
                <w:sz w:val="21"/>
              </w:rPr>
              <w:t>氨氮</w:t>
            </w:r>
          </w:p>
        </w:tc>
        <w:tc>
          <w:tcPr>
            <w:tcW w:w="3089" w:type="dxa"/>
            <w:tcBorders>
              <w:top w:val="single" w:color="000000" w:sz="4" w:space="0"/>
              <w:left w:val="single" w:color="000000" w:sz="4" w:space="0"/>
              <w:right w:val="single" w:color="000000" w:sz="4" w:space="0"/>
            </w:tcBorders>
          </w:tcPr>
          <w:p>
            <w:pPr>
              <w:pStyle w:val="19"/>
              <w:spacing w:before="30"/>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tcBorders>
          </w:tcPr>
          <w:p>
            <w:pPr>
              <w:pStyle w:val="19"/>
              <w:spacing w:before="30"/>
              <w:ind w:left="45" w:right="21"/>
              <w:rPr>
                <w:rFonts w:ascii="Times New Roman"/>
                <w:sz w:val="21"/>
              </w:rPr>
            </w:pPr>
            <w:r>
              <w:rPr>
                <w:rFonts w:ascii="Times New Roman"/>
                <w:sz w:val="21"/>
              </w:rPr>
              <w:t>0.5</w:t>
            </w:r>
          </w:p>
        </w:tc>
      </w:tr>
    </w:tbl>
    <w:p>
      <w:pPr>
        <w:pStyle w:val="8"/>
        <w:numPr>
          <w:ilvl w:val="3"/>
          <w:numId w:val="67"/>
        </w:numPr>
        <w:tabs>
          <w:tab w:val="left" w:pos="2139"/>
        </w:tabs>
        <w:spacing w:before="1" w:after="0" w:line="240" w:lineRule="auto"/>
        <w:ind w:left="2138" w:right="0" w:hanging="721"/>
        <w:jc w:val="left"/>
      </w:pPr>
      <w:bookmarkStart w:id="356" w:name="6.2.2.4评价方法"/>
      <w:bookmarkEnd w:id="356"/>
      <w:bookmarkStart w:id="357" w:name="6.2.2.4评价方法"/>
      <w:bookmarkEnd w:id="357"/>
      <w:r>
        <w:t>评价方法</w:t>
      </w:r>
    </w:p>
    <w:p>
      <w:pPr>
        <w:pStyle w:val="9"/>
        <w:spacing w:before="160"/>
        <w:ind w:left="1898"/>
      </w:pPr>
      <w:r>
        <w:t>采用水质指数法。</w:t>
      </w:r>
    </w:p>
    <w:p>
      <w:pPr>
        <w:pStyle w:val="9"/>
        <w:spacing w:before="158"/>
        <w:ind w:left="1898"/>
      </w:pPr>
      <w:r>
        <w:t>一般水质因子（随水质浓度增加而水质变差的水质因子）的指数计算公式：</w:t>
      </w:r>
    </w:p>
    <w:p>
      <w:pPr>
        <w:spacing w:before="158"/>
        <w:ind w:left="482" w:right="0" w:firstLine="0"/>
        <w:jc w:val="center"/>
        <w:rPr>
          <w:rFonts w:ascii="Times New Roman" w:eastAsia="Times New Roman"/>
          <w:sz w:val="15"/>
        </w:rPr>
      </w:pPr>
      <w:r>
        <w:rPr>
          <w:rFonts w:ascii="Times New Roman" w:eastAsia="Times New Roman"/>
          <w:position w:val="2"/>
          <w:sz w:val="24"/>
        </w:rPr>
        <w:t>S</w:t>
      </w:r>
      <w:r>
        <w:rPr>
          <w:rFonts w:ascii="Times New Roman" w:eastAsia="Times New Roman"/>
          <w:sz w:val="15"/>
        </w:rPr>
        <w:t>i,j</w:t>
      </w:r>
      <w:r>
        <w:rPr>
          <w:position w:val="2"/>
          <w:sz w:val="24"/>
        </w:rPr>
        <w:t>＝</w:t>
      </w:r>
      <w:r>
        <w:rPr>
          <w:rFonts w:ascii="Times New Roman" w:eastAsia="Times New Roman"/>
          <w:position w:val="2"/>
          <w:sz w:val="24"/>
        </w:rPr>
        <w:t>C</w:t>
      </w:r>
      <w:r>
        <w:rPr>
          <w:rFonts w:ascii="Times New Roman" w:eastAsia="Times New Roman"/>
          <w:sz w:val="15"/>
        </w:rPr>
        <w:t>i,j</w:t>
      </w:r>
      <w:r>
        <w:rPr>
          <w:rFonts w:ascii="Times New Roman" w:eastAsia="Times New Roman"/>
          <w:position w:val="2"/>
          <w:sz w:val="24"/>
        </w:rPr>
        <w:t>/C</w:t>
      </w:r>
      <w:r>
        <w:rPr>
          <w:rFonts w:ascii="Times New Roman" w:eastAsia="Times New Roman"/>
          <w:sz w:val="15"/>
        </w:rPr>
        <w:t>si</w:t>
      </w:r>
    </w:p>
    <w:p>
      <w:pPr>
        <w:pStyle w:val="9"/>
        <w:spacing w:before="160"/>
        <w:ind w:left="1898"/>
      </w:pPr>
      <w:r>
        <w:rPr>
          <w:position w:val="2"/>
        </w:rPr>
        <w:t>式中：</w:t>
      </w:r>
      <w:r>
        <w:rPr>
          <w:rFonts w:ascii="Times New Roman" w:eastAsia="Times New Roman"/>
          <w:position w:val="2"/>
        </w:rPr>
        <w:t>S</w:t>
      </w:r>
      <w:r>
        <w:rPr>
          <w:rFonts w:ascii="Times New Roman" w:eastAsia="Times New Roman"/>
          <w:position w:val="2"/>
          <w:vertAlign w:val="subscript"/>
        </w:rPr>
        <w:t>i,j</w:t>
      </w:r>
      <w:r>
        <w:rPr>
          <w:position w:val="2"/>
          <w:vertAlign w:val="baseline"/>
        </w:rPr>
        <w:t xml:space="preserve">－评价因子 </w:t>
      </w:r>
      <w:r>
        <w:rPr>
          <w:rFonts w:ascii="Times New Roman" w:eastAsia="Times New Roman"/>
          <w:position w:val="2"/>
          <w:vertAlign w:val="baseline"/>
        </w:rPr>
        <w:t xml:space="preserve">i </w:t>
      </w:r>
      <w:r>
        <w:rPr>
          <w:position w:val="2"/>
          <w:vertAlign w:val="baseline"/>
        </w:rPr>
        <w:t xml:space="preserve">的水质指数，大于 </w:t>
      </w:r>
      <w:r>
        <w:rPr>
          <w:rFonts w:ascii="Times New Roman" w:eastAsia="Times New Roman"/>
          <w:position w:val="2"/>
          <w:vertAlign w:val="baseline"/>
        </w:rPr>
        <w:t xml:space="preserve">1 </w:t>
      </w:r>
      <w:r>
        <w:rPr>
          <w:position w:val="2"/>
          <w:vertAlign w:val="baseline"/>
        </w:rPr>
        <w:t>表明该水质因子超标；</w:t>
      </w:r>
    </w:p>
    <w:p>
      <w:pPr>
        <w:pStyle w:val="9"/>
        <w:spacing w:before="154"/>
        <w:ind w:left="1898"/>
      </w:pPr>
      <w:r>
        <w:rPr>
          <w:rFonts w:ascii="Times New Roman" w:eastAsia="Times New Roman"/>
          <w:position w:val="2"/>
        </w:rPr>
        <w:t>C</w:t>
      </w:r>
      <w:r>
        <w:rPr>
          <w:rFonts w:ascii="Times New Roman" w:eastAsia="Times New Roman"/>
          <w:position w:val="2"/>
          <w:vertAlign w:val="subscript"/>
        </w:rPr>
        <w:t>i,j</w:t>
      </w:r>
      <w:r>
        <w:rPr>
          <w:position w:val="2"/>
          <w:vertAlign w:val="baseline"/>
        </w:rPr>
        <w:t xml:space="preserve">－评价因子 </w:t>
      </w:r>
      <w:r>
        <w:rPr>
          <w:rFonts w:ascii="Times New Roman" w:eastAsia="Times New Roman"/>
          <w:position w:val="2"/>
          <w:vertAlign w:val="baseline"/>
        </w:rPr>
        <w:t xml:space="preserve">i </w:t>
      </w:r>
      <w:r>
        <w:rPr>
          <w:position w:val="2"/>
          <w:vertAlign w:val="baseline"/>
        </w:rPr>
        <w:t xml:space="preserve">在第 </w:t>
      </w:r>
      <w:r>
        <w:rPr>
          <w:rFonts w:ascii="Times New Roman" w:eastAsia="Times New Roman"/>
          <w:position w:val="2"/>
          <w:vertAlign w:val="baseline"/>
        </w:rPr>
        <w:t xml:space="preserve">j </w:t>
      </w:r>
      <w:r>
        <w:rPr>
          <w:position w:val="2"/>
          <w:vertAlign w:val="baseline"/>
        </w:rPr>
        <w:t>点的实测统计代表值，</w:t>
      </w:r>
      <w:r>
        <w:rPr>
          <w:rFonts w:ascii="Times New Roman" w:eastAsia="Times New Roman"/>
          <w:position w:val="2"/>
          <w:vertAlign w:val="baseline"/>
        </w:rPr>
        <w:t>mg/L</w:t>
      </w:r>
      <w:r>
        <w:rPr>
          <w:position w:val="2"/>
          <w:vertAlign w:val="baseline"/>
        </w:rPr>
        <w:t>；</w:t>
      </w:r>
    </w:p>
    <w:p>
      <w:pPr>
        <w:pStyle w:val="9"/>
        <w:spacing w:before="153"/>
        <w:ind w:left="1898"/>
      </w:pPr>
      <w:r>
        <w:rPr>
          <w:rFonts w:ascii="Times New Roman" w:eastAsia="Times New Roman"/>
          <w:position w:val="2"/>
        </w:rPr>
        <w:t>C</w:t>
      </w:r>
      <w:r>
        <w:rPr>
          <w:rFonts w:ascii="Times New Roman" w:eastAsia="Times New Roman"/>
          <w:position w:val="2"/>
          <w:vertAlign w:val="subscript"/>
        </w:rPr>
        <w:t>si</w:t>
      </w:r>
      <w:r>
        <w:rPr>
          <w:position w:val="2"/>
          <w:vertAlign w:val="baseline"/>
        </w:rPr>
        <w:t xml:space="preserve">－评价因子 </w:t>
      </w:r>
      <w:r>
        <w:rPr>
          <w:rFonts w:ascii="Times New Roman" w:eastAsia="Times New Roman"/>
          <w:position w:val="2"/>
          <w:vertAlign w:val="baseline"/>
        </w:rPr>
        <w:t xml:space="preserve">i </w:t>
      </w:r>
      <w:r>
        <w:rPr>
          <w:position w:val="2"/>
          <w:vertAlign w:val="baseline"/>
        </w:rPr>
        <w:t>的水质评价标准限值，</w:t>
      </w:r>
      <w:r>
        <w:rPr>
          <w:rFonts w:ascii="Times New Roman" w:eastAsia="Times New Roman"/>
          <w:position w:val="2"/>
          <w:vertAlign w:val="baseline"/>
        </w:rPr>
        <w:t>mg/L</w:t>
      </w:r>
      <w:r>
        <w:rPr>
          <w:position w:val="2"/>
          <w:vertAlign w:val="baseline"/>
        </w:rPr>
        <w:t>。</w:t>
      </w:r>
    </w:p>
    <w:p>
      <w:pPr>
        <w:spacing w:after="0"/>
        <w:sectPr>
          <w:pgSz w:w="11910" w:h="16840"/>
          <w:pgMar w:top="1360" w:right="0" w:bottom="880" w:left="0" w:header="0" w:footer="681" w:gutter="0"/>
        </w:sectPr>
      </w:pPr>
    </w:p>
    <w:p>
      <w:pPr>
        <w:pStyle w:val="9"/>
        <w:spacing w:before="61"/>
        <w:ind w:left="1898"/>
      </w:pPr>
      <w:r>
        <w:t>溶解氧（</w:t>
      </w:r>
      <w:r>
        <w:rPr>
          <w:rFonts w:ascii="Times New Roman" w:eastAsia="Times New Roman"/>
        </w:rPr>
        <w:t>DO</w:t>
      </w:r>
      <w:r>
        <w:t>）的标准指数计算公式：</w:t>
      </w:r>
    </w:p>
    <w:p>
      <w:pPr>
        <w:pStyle w:val="9"/>
        <w:rPr>
          <w:sz w:val="20"/>
        </w:rPr>
      </w:pPr>
    </w:p>
    <w:p>
      <w:pPr>
        <w:pStyle w:val="9"/>
        <w:spacing w:before="12"/>
        <w:rPr>
          <w:sz w:val="10"/>
        </w:rPr>
      </w:pPr>
      <w:r>
        <w:drawing>
          <wp:anchor distT="0" distB="0" distL="0" distR="0" simplePos="0" relativeHeight="1024" behindDoc="0" locked="0" layoutInCell="1" allowOverlap="1">
            <wp:simplePos x="0" y="0"/>
            <wp:positionH relativeFrom="page">
              <wp:posOffset>2656205</wp:posOffset>
            </wp:positionH>
            <wp:positionV relativeFrom="paragraph">
              <wp:posOffset>113665</wp:posOffset>
            </wp:positionV>
            <wp:extent cx="2522220" cy="770890"/>
            <wp:effectExtent l="0" t="0" r="0" b="0"/>
            <wp:wrapTopAndBottom/>
            <wp:docPr id="4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1.jpeg"/>
                    <pic:cNvPicPr>
                      <a:picLocks noChangeAspect="1"/>
                    </pic:cNvPicPr>
                  </pic:nvPicPr>
                  <pic:blipFill>
                    <a:blip r:embed="rId54" cstate="print"/>
                    <a:stretch>
                      <a:fillRect/>
                    </a:stretch>
                  </pic:blipFill>
                  <pic:spPr>
                    <a:xfrm>
                      <a:off x="0" y="0"/>
                      <a:ext cx="2522156" cy="771144"/>
                    </a:xfrm>
                    <a:prstGeom prst="rect">
                      <a:avLst/>
                    </a:prstGeom>
                  </pic:spPr>
                </pic:pic>
              </a:graphicData>
            </a:graphic>
          </wp:anchor>
        </w:drawing>
      </w:r>
    </w:p>
    <w:p>
      <w:pPr>
        <w:pStyle w:val="9"/>
        <w:spacing w:before="2"/>
        <w:rPr>
          <w:sz w:val="11"/>
        </w:rPr>
      </w:pPr>
    </w:p>
    <w:p>
      <w:pPr>
        <w:pStyle w:val="9"/>
        <w:spacing w:before="73"/>
        <w:ind w:left="1898"/>
      </w:pPr>
      <w:r>
        <w:rPr>
          <w:position w:val="2"/>
        </w:rPr>
        <w:t>式中：</w:t>
      </w:r>
      <w:r>
        <w:rPr>
          <w:rFonts w:ascii="Times New Roman" w:hAnsi="Times New Roman" w:eastAsia="Times New Roman"/>
          <w:position w:val="2"/>
        </w:rPr>
        <w:t>S</w:t>
      </w:r>
      <w:r>
        <w:rPr>
          <w:rFonts w:ascii="Times New Roman" w:hAnsi="Times New Roman" w:eastAsia="Times New Roman"/>
          <w:position w:val="2"/>
          <w:vertAlign w:val="subscript"/>
        </w:rPr>
        <w:t>DO,j</w:t>
      </w:r>
      <w:r>
        <w:rPr>
          <w:rFonts w:ascii="Times New Roman" w:hAnsi="Times New Roman" w:eastAsia="Times New Roman"/>
          <w:position w:val="2"/>
          <w:vertAlign w:val="baseline"/>
        </w:rPr>
        <w:t>——</w:t>
      </w:r>
      <w:r>
        <w:rPr>
          <w:position w:val="2"/>
          <w:vertAlign w:val="baseline"/>
        </w:rPr>
        <w:t xml:space="preserve">溶解氧的标准指数，大于 </w:t>
      </w:r>
      <w:r>
        <w:rPr>
          <w:rFonts w:ascii="Times New Roman" w:hAnsi="Times New Roman" w:eastAsia="Times New Roman"/>
          <w:position w:val="2"/>
          <w:vertAlign w:val="baseline"/>
        </w:rPr>
        <w:t xml:space="preserve">1 </w:t>
      </w:r>
      <w:r>
        <w:rPr>
          <w:position w:val="2"/>
          <w:vertAlign w:val="baseline"/>
        </w:rPr>
        <w:t>表明该水质因子超标；</w:t>
      </w:r>
    </w:p>
    <w:p>
      <w:pPr>
        <w:pStyle w:val="9"/>
        <w:spacing w:before="153" w:line="360" w:lineRule="auto"/>
        <w:ind w:left="1898" w:right="4755"/>
      </w:pPr>
      <w:r>
        <w:rPr>
          <w:rFonts w:ascii="Times New Roman" w:hAnsi="Times New Roman" w:eastAsia="Times New Roman"/>
          <w:position w:val="2"/>
        </w:rPr>
        <w:t>DO</w:t>
      </w:r>
      <w:r>
        <w:rPr>
          <w:rFonts w:ascii="Times New Roman" w:hAnsi="Times New Roman" w:eastAsia="Times New Roman"/>
          <w:position w:val="2"/>
          <w:vertAlign w:val="subscript"/>
        </w:rPr>
        <w:t>j</w:t>
      </w:r>
      <w:r>
        <w:rPr>
          <w:rFonts w:ascii="Times New Roman" w:hAnsi="Times New Roman" w:eastAsia="Times New Roman"/>
          <w:position w:val="2"/>
          <w:vertAlign w:val="baseline"/>
        </w:rPr>
        <w:t>——</w:t>
      </w:r>
      <w:r>
        <w:rPr>
          <w:position w:val="2"/>
          <w:vertAlign w:val="baseline"/>
        </w:rPr>
        <w:t xml:space="preserve">溶解氧在 </w:t>
      </w:r>
      <w:r>
        <w:rPr>
          <w:rFonts w:ascii="Times New Roman" w:hAnsi="Times New Roman" w:eastAsia="Times New Roman"/>
          <w:position w:val="2"/>
          <w:vertAlign w:val="baseline"/>
        </w:rPr>
        <w:t xml:space="preserve">j </w:t>
      </w:r>
      <w:r>
        <w:rPr>
          <w:position w:val="2"/>
          <w:vertAlign w:val="baseline"/>
        </w:rPr>
        <w:t>点的实测统计代表值，</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position w:val="2"/>
          <w:vertAlign w:val="baseline"/>
        </w:rPr>
        <w:t>DO</w:t>
      </w:r>
      <w:r>
        <w:rPr>
          <w:rFonts w:ascii="Times New Roman" w:hAnsi="Times New Roman" w:eastAsia="Times New Roman"/>
          <w:position w:val="2"/>
          <w:vertAlign w:val="subscript"/>
        </w:rPr>
        <w:t>s</w:t>
      </w:r>
      <w:r>
        <w:rPr>
          <w:rFonts w:ascii="Times New Roman" w:hAnsi="Times New Roman" w:eastAsia="Times New Roman"/>
          <w:position w:val="2"/>
          <w:vertAlign w:val="baseline"/>
        </w:rPr>
        <w:t>——</w:t>
      </w:r>
      <w:r>
        <w:rPr>
          <w:position w:val="2"/>
          <w:vertAlign w:val="baseline"/>
        </w:rPr>
        <w:t>溶解氧的水质评价标准限值，</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position w:val="2"/>
          <w:vertAlign w:val="baseline"/>
        </w:rPr>
        <w:t>DO</w:t>
      </w:r>
      <w:r>
        <w:rPr>
          <w:rFonts w:ascii="Times New Roman" w:hAnsi="Times New Roman" w:eastAsia="Times New Roman"/>
          <w:position w:val="2"/>
          <w:vertAlign w:val="subscript"/>
        </w:rPr>
        <w:t>f</w:t>
      </w:r>
      <w:r>
        <w:rPr>
          <w:rFonts w:ascii="Times New Roman" w:hAnsi="Times New Roman" w:eastAsia="Times New Roman"/>
          <w:position w:val="2"/>
          <w:vertAlign w:val="baseline"/>
        </w:rPr>
        <w:t>——</w:t>
      </w:r>
      <w:r>
        <w:rPr>
          <w:position w:val="2"/>
          <w:vertAlign w:val="baseline"/>
        </w:rPr>
        <w:t>饱和溶解氧浓度，</w:t>
      </w:r>
      <w:r>
        <w:rPr>
          <w:rFonts w:ascii="Times New Roman" w:hAnsi="Times New Roman" w:eastAsia="Times New Roman"/>
          <w:position w:val="2"/>
          <w:vertAlign w:val="baseline"/>
        </w:rPr>
        <w:t>mg/L</w:t>
      </w:r>
      <w:r>
        <w:rPr>
          <w:position w:val="2"/>
          <w:vertAlign w:val="baseline"/>
        </w:rPr>
        <w:t>，</w:t>
      </w:r>
    </w:p>
    <w:p>
      <w:pPr>
        <w:pStyle w:val="9"/>
        <w:spacing w:before="8" w:line="362" w:lineRule="auto"/>
        <w:ind w:left="1898" w:right="6505"/>
      </w:pPr>
      <w:r>
        <w:rPr>
          <w:rFonts w:ascii="Times New Roman" w:hAnsi="Times New Roman" w:eastAsia="Times New Roman"/>
        </w:rPr>
        <w:t>S——</w:t>
      </w:r>
      <w:r>
        <w:t xml:space="preserve">实用盐度符号，量纲为 </w:t>
      </w:r>
      <w:r>
        <w:rPr>
          <w:rFonts w:ascii="Times New Roman" w:hAnsi="Times New Roman" w:eastAsia="Times New Roman"/>
        </w:rPr>
        <w:t>1</w:t>
      </w:r>
      <w:r>
        <w:t xml:space="preserve">； </w:t>
      </w:r>
      <w:r>
        <w:rPr>
          <w:rFonts w:ascii="Times New Roman" w:hAnsi="Times New Roman" w:eastAsia="Times New Roman"/>
        </w:rPr>
        <w:t>T——</w:t>
      </w:r>
      <w:r>
        <w:t>水温，℃。</w:t>
      </w:r>
    </w:p>
    <w:p>
      <w:pPr>
        <w:pStyle w:val="9"/>
        <w:spacing w:before="5"/>
        <w:ind w:left="1898"/>
      </w:pPr>
      <w:r>
        <w:rPr>
          <w:rFonts w:ascii="Times New Roman" w:eastAsia="Times New Roman"/>
        </w:rPr>
        <w:t xml:space="preserve">pH </w:t>
      </w:r>
      <w:r>
        <w:t>值的指数计算公式：</w:t>
      </w:r>
    </w:p>
    <w:p>
      <w:pPr>
        <w:pStyle w:val="9"/>
        <w:spacing w:before="3"/>
        <w:rPr>
          <w:sz w:val="9"/>
        </w:rPr>
      </w:pPr>
      <w:r>
        <w:drawing>
          <wp:anchor distT="0" distB="0" distL="0" distR="0" simplePos="0" relativeHeight="1024" behindDoc="0" locked="0" layoutInCell="1" allowOverlap="1">
            <wp:simplePos x="0" y="0"/>
            <wp:positionH relativeFrom="page">
              <wp:posOffset>2785745</wp:posOffset>
            </wp:positionH>
            <wp:positionV relativeFrom="paragraph">
              <wp:posOffset>99695</wp:posOffset>
            </wp:positionV>
            <wp:extent cx="2205990" cy="431800"/>
            <wp:effectExtent l="0" t="0" r="0" b="0"/>
            <wp:wrapTopAndBottom/>
            <wp:docPr id="5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2.jpeg"/>
                    <pic:cNvPicPr>
                      <a:picLocks noChangeAspect="1"/>
                    </pic:cNvPicPr>
                  </pic:nvPicPr>
                  <pic:blipFill>
                    <a:blip r:embed="rId55" cstate="print"/>
                    <a:stretch>
                      <a:fillRect/>
                    </a:stretch>
                  </pic:blipFill>
                  <pic:spPr>
                    <a:xfrm>
                      <a:off x="0" y="0"/>
                      <a:ext cx="2205922" cy="432053"/>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2663190</wp:posOffset>
            </wp:positionH>
            <wp:positionV relativeFrom="paragraph">
              <wp:posOffset>621030</wp:posOffset>
            </wp:positionV>
            <wp:extent cx="2359025" cy="433070"/>
            <wp:effectExtent l="0" t="0" r="0" b="0"/>
            <wp:wrapTopAndBottom/>
            <wp:docPr id="5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3.jpeg"/>
                    <pic:cNvPicPr>
                      <a:picLocks noChangeAspect="1"/>
                    </pic:cNvPicPr>
                  </pic:nvPicPr>
                  <pic:blipFill>
                    <a:blip r:embed="rId56" cstate="print"/>
                    <a:stretch>
                      <a:fillRect/>
                    </a:stretch>
                  </pic:blipFill>
                  <pic:spPr>
                    <a:xfrm>
                      <a:off x="0" y="0"/>
                      <a:ext cx="2358985" cy="433387"/>
                    </a:xfrm>
                    <a:prstGeom prst="rect">
                      <a:avLst/>
                    </a:prstGeom>
                  </pic:spPr>
                </pic:pic>
              </a:graphicData>
            </a:graphic>
          </wp:anchor>
        </w:drawing>
      </w:r>
    </w:p>
    <w:p>
      <w:pPr>
        <w:pStyle w:val="9"/>
        <w:spacing w:before="8"/>
        <w:rPr>
          <w:sz w:val="5"/>
        </w:rPr>
      </w:pPr>
    </w:p>
    <w:p>
      <w:pPr>
        <w:pStyle w:val="9"/>
        <w:spacing w:before="4"/>
        <w:rPr>
          <w:sz w:val="20"/>
        </w:rPr>
      </w:pPr>
    </w:p>
    <w:p>
      <w:pPr>
        <w:pStyle w:val="9"/>
        <w:ind w:left="1898"/>
      </w:pPr>
      <w:r>
        <w:rPr>
          <w:position w:val="2"/>
        </w:rPr>
        <w:t>式中：</w:t>
      </w:r>
      <w:r>
        <w:rPr>
          <w:rFonts w:ascii="Times New Roman" w:hAnsi="Times New Roman" w:eastAsia="Times New Roman"/>
          <w:position w:val="2"/>
        </w:rPr>
        <w:t>S</w:t>
      </w:r>
      <w:r>
        <w:rPr>
          <w:rFonts w:ascii="Times New Roman" w:hAnsi="Times New Roman" w:eastAsia="Times New Roman"/>
          <w:position w:val="2"/>
          <w:vertAlign w:val="subscript"/>
        </w:rPr>
        <w:t>pH,j</w:t>
      </w:r>
      <w:r>
        <w:rPr>
          <w:rFonts w:ascii="Times New Roman" w:hAnsi="Times New Roman" w:eastAsia="Times New Roman"/>
          <w:position w:val="2"/>
          <w:vertAlign w:val="baseline"/>
        </w:rPr>
        <w:t xml:space="preserve">——pH </w:t>
      </w:r>
      <w:r>
        <w:rPr>
          <w:position w:val="2"/>
          <w:vertAlign w:val="baseline"/>
        </w:rPr>
        <w:t xml:space="preserve">值的指数，大于 </w:t>
      </w:r>
      <w:r>
        <w:rPr>
          <w:rFonts w:ascii="Times New Roman" w:hAnsi="Times New Roman" w:eastAsia="Times New Roman"/>
          <w:position w:val="2"/>
          <w:vertAlign w:val="baseline"/>
        </w:rPr>
        <w:t xml:space="preserve">1 </w:t>
      </w:r>
      <w:r>
        <w:rPr>
          <w:position w:val="2"/>
          <w:vertAlign w:val="baseline"/>
        </w:rPr>
        <w:t>表明该水质因子超标；</w:t>
      </w:r>
    </w:p>
    <w:p>
      <w:pPr>
        <w:pStyle w:val="9"/>
        <w:spacing w:before="156" w:line="360" w:lineRule="auto"/>
        <w:ind w:left="1898" w:right="5974"/>
      </w:pPr>
      <w:r>
        <w:rPr>
          <w:rFonts w:ascii="Times New Roman" w:hAnsi="Times New Roman" w:eastAsia="Times New Roman"/>
          <w:position w:val="2"/>
        </w:rPr>
        <w:t>pH</w:t>
      </w:r>
      <w:r>
        <w:rPr>
          <w:rFonts w:ascii="Times New Roman" w:hAnsi="Times New Roman" w:eastAsia="Times New Roman"/>
          <w:position w:val="2"/>
          <w:vertAlign w:val="subscript"/>
        </w:rPr>
        <w:t>j</w:t>
      </w:r>
      <w:r>
        <w:rPr>
          <w:rFonts w:ascii="Times New Roman" w:hAnsi="Times New Roman" w:eastAsia="Times New Roman"/>
          <w:position w:val="2"/>
          <w:vertAlign w:val="baseline"/>
        </w:rPr>
        <w:t xml:space="preserve">——pH </w:t>
      </w:r>
      <w:r>
        <w:rPr>
          <w:position w:val="2"/>
          <w:vertAlign w:val="baseline"/>
        </w:rPr>
        <w:t xml:space="preserve">值实测统计代表值； </w:t>
      </w:r>
      <w:r>
        <w:rPr>
          <w:rFonts w:ascii="Times New Roman" w:hAnsi="Times New Roman" w:eastAsia="Times New Roman"/>
          <w:position w:val="2"/>
          <w:vertAlign w:val="baseline"/>
        </w:rPr>
        <w:t>pH</w:t>
      </w:r>
      <w:r>
        <w:rPr>
          <w:rFonts w:ascii="Times New Roman" w:hAnsi="Times New Roman" w:eastAsia="Times New Roman"/>
          <w:position w:val="2"/>
          <w:vertAlign w:val="subscript"/>
        </w:rPr>
        <w:t>sd</w:t>
      </w:r>
      <w:r>
        <w:rPr>
          <w:rFonts w:ascii="Times New Roman" w:hAnsi="Times New Roman" w:eastAsia="Times New Roman"/>
          <w:position w:val="2"/>
          <w:vertAlign w:val="baseline"/>
        </w:rPr>
        <w:t>——</w:t>
      </w:r>
      <w:r>
        <w:rPr>
          <w:position w:val="2"/>
          <w:vertAlign w:val="baseline"/>
        </w:rPr>
        <w:t xml:space="preserve">评价标准中 </w:t>
      </w:r>
      <w:r>
        <w:rPr>
          <w:rFonts w:ascii="Times New Roman" w:hAnsi="Times New Roman" w:eastAsia="Times New Roman"/>
          <w:position w:val="2"/>
          <w:vertAlign w:val="baseline"/>
        </w:rPr>
        <w:t xml:space="preserve">pH </w:t>
      </w:r>
      <w:r>
        <w:rPr>
          <w:position w:val="2"/>
          <w:vertAlign w:val="baseline"/>
        </w:rPr>
        <w:t xml:space="preserve">值的下限值； </w:t>
      </w:r>
      <w:r>
        <w:rPr>
          <w:rFonts w:ascii="Times New Roman" w:hAnsi="Times New Roman" w:eastAsia="Times New Roman"/>
          <w:position w:val="2"/>
          <w:vertAlign w:val="baseline"/>
        </w:rPr>
        <w:t>pH</w:t>
      </w:r>
      <w:r>
        <w:rPr>
          <w:rFonts w:ascii="Times New Roman" w:hAnsi="Times New Roman" w:eastAsia="Times New Roman"/>
          <w:position w:val="2"/>
          <w:vertAlign w:val="subscript"/>
        </w:rPr>
        <w:t>su</w:t>
      </w:r>
      <w:r>
        <w:rPr>
          <w:rFonts w:ascii="Times New Roman" w:hAnsi="Times New Roman" w:eastAsia="Times New Roman"/>
          <w:position w:val="2"/>
          <w:vertAlign w:val="baseline"/>
        </w:rPr>
        <w:t>——</w:t>
      </w:r>
      <w:r>
        <w:rPr>
          <w:position w:val="2"/>
          <w:vertAlign w:val="baseline"/>
        </w:rPr>
        <w:t xml:space="preserve">评价标准中 </w:t>
      </w:r>
      <w:r>
        <w:rPr>
          <w:rFonts w:ascii="Times New Roman" w:hAnsi="Times New Roman" w:eastAsia="Times New Roman"/>
          <w:position w:val="2"/>
          <w:vertAlign w:val="baseline"/>
        </w:rPr>
        <w:t xml:space="preserve">pH </w:t>
      </w:r>
      <w:r>
        <w:rPr>
          <w:position w:val="2"/>
          <w:vertAlign w:val="baseline"/>
        </w:rPr>
        <w:t>值的上限值。</w:t>
      </w:r>
    </w:p>
    <w:p>
      <w:pPr>
        <w:pStyle w:val="9"/>
        <w:spacing w:before="6" w:line="364" w:lineRule="auto"/>
        <w:ind w:left="1418" w:right="1416" w:firstLine="480"/>
      </w:pPr>
      <w:r>
        <w:t>水质评价因子的标准指数＞</w:t>
      </w:r>
      <w:r>
        <w:rPr>
          <w:rFonts w:ascii="Times New Roman" w:eastAsia="Times New Roman"/>
        </w:rPr>
        <w:t>1</w:t>
      </w:r>
      <w:r>
        <w:t>，表明该评价因子的水质超过了规定的水质标准，已不能满足使用功能的要求。</w:t>
      </w:r>
    </w:p>
    <w:p>
      <w:pPr>
        <w:pStyle w:val="8"/>
        <w:numPr>
          <w:ilvl w:val="3"/>
          <w:numId w:val="67"/>
        </w:numPr>
        <w:tabs>
          <w:tab w:val="left" w:pos="2139"/>
        </w:tabs>
        <w:spacing w:before="1" w:after="0" w:line="240" w:lineRule="auto"/>
        <w:ind w:left="2138" w:right="0" w:hanging="721"/>
        <w:jc w:val="left"/>
      </w:pPr>
      <w:bookmarkStart w:id="358" w:name="6.2.2.5评价结果及分析"/>
      <w:bookmarkEnd w:id="358"/>
      <w:bookmarkStart w:id="359" w:name="6.2.2.5评价结果及分析"/>
      <w:bookmarkEnd w:id="359"/>
      <w:r>
        <w:rPr>
          <w:w w:val="95"/>
        </w:rPr>
        <w:t>评价结果及分析</w:t>
      </w:r>
    </w:p>
    <w:p>
      <w:pPr>
        <w:pStyle w:val="9"/>
        <w:spacing w:before="158"/>
        <w:ind w:left="1898"/>
      </w:pPr>
      <w:r>
        <w:t>地表水环境质量现状评价结果见下表。</w:t>
      </w:r>
    </w:p>
    <w:p>
      <w:pPr>
        <w:pStyle w:val="8"/>
        <w:spacing w:before="158" w:after="4"/>
        <w:ind w:left="492" w:firstLine="0"/>
        <w:jc w:val="center"/>
      </w:pPr>
      <w:r>
        <w:t xml:space="preserve">表 </w:t>
      </w:r>
      <w:r>
        <w:rPr>
          <w:rFonts w:ascii="Times New Roman" w:eastAsia="Times New Roman"/>
        </w:rPr>
        <w:t xml:space="preserve">6.2-4  </w:t>
      </w:r>
      <w:r>
        <w:t>地表水环境质量现状评价结果</w:t>
      </w:r>
    </w:p>
    <w:tbl>
      <w:tblPr>
        <w:tblStyle w:val="15"/>
        <w:tblW w:w="0" w:type="auto"/>
        <w:tblInd w:w="129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83"/>
        <w:gridCol w:w="1663"/>
        <w:gridCol w:w="889"/>
        <w:gridCol w:w="1643"/>
        <w:gridCol w:w="912"/>
        <w:gridCol w:w="1670"/>
        <w:gridCol w:w="88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vMerge w:val="restart"/>
            <w:tcBorders>
              <w:bottom w:val="single" w:color="000000" w:sz="4" w:space="0"/>
              <w:right w:val="single" w:color="000000" w:sz="4" w:space="0"/>
            </w:tcBorders>
          </w:tcPr>
          <w:p>
            <w:pPr>
              <w:pStyle w:val="19"/>
              <w:jc w:val="left"/>
              <w:rPr>
                <w:b/>
                <w:sz w:val="20"/>
              </w:rPr>
            </w:pPr>
          </w:p>
          <w:p>
            <w:pPr>
              <w:pStyle w:val="19"/>
              <w:jc w:val="left"/>
              <w:rPr>
                <w:b/>
                <w:sz w:val="20"/>
              </w:rPr>
            </w:pPr>
          </w:p>
          <w:p>
            <w:pPr>
              <w:pStyle w:val="19"/>
              <w:ind w:left="420"/>
              <w:jc w:val="left"/>
              <w:rPr>
                <w:sz w:val="21"/>
              </w:rPr>
            </w:pPr>
            <w:r>
              <w:rPr>
                <w:sz w:val="21"/>
              </w:rPr>
              <w:t>评价参数</w:t>
            </w:r>
          </w:p>
        </w:tc>
        <w:tc>
          <w:tcPr>
            <w:tcW w:w="7661" w:type="dxa"/>
            <w:gridSpan w:val="6"/>
            <w:tcBorders>
              <w:left w:val="single" w:color="000000" w:sz="4" w:space="0"/>
              <w:bottom w:val="single" w:color="000000" w:sz="4" w:space="0"/>
            </w:tcBorders>
          </w:tcPr>
          <w:p>
            <w:pPr>
              <w:pStyle w:val="19"/>
              <w:spacing w:before="76"/>
              <w:ind w:left="3813" w:right="3372"/>
              <w:rPr>
                <w:sz w:val="21"/>
              </w:rPr>
            </w:pPr>
            <w:r>
              <w:rPr>
                <w:sz w:val="21"/>
              </w:rPr>
              <w:t>断面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vMerge w:val="continue"/>
            <w:tcBorders>
              <w:top w:val="nil"/>
              <w:bottom w:val="single" w:color="000000" w:sz="4" w:space="0"/>
              <w:right w:val="single" w:color="000000" w:sz="4" w:space="0"/>
            </w:tcBorders>
          </w:tcPr>
          <w:p>
            <w:pPr>
              <w:rPr>
                <w:sz w:val="2"/>
                <w:szCs w:val="2"/>
              </w:rPr>
            </w:pPr>
          </w:p>
        </w:tc>
        <w:tc>
          <w:tcPr>
            <w:tcW w:w="2552" w:type="dxa"/>
            <w:gridSpan w:val="2"/>
            <w:tcBorders>
              <w:top w:val="single" w:color="000000" w:sz="4" w:space="0"/>
              <w:left w:val="single" w:color="000000" w:sz="4" w:space="0"/>
              <w:bottom w:val="single" w:color="000000" w:sz="4" w:space="0"/>
              <w:right w:val="single" w:color="000000" w:sz="4" w:space="0"/>
            </w:tcBorders>
          </w:tcPr>
          <w:p>
            <w:pPr>
              <w:pStyle w:val="19"/>
              <w:spacing w:before="78"/>
              <w:ind w:left="806"/>
              <w:jc w:val="left"/>
              <w:rPr>
                <w:rFonts w:ascii="Times New Roman" w:eastAsia="Times New Roman"/>
                <w:sz w:val="21"/>
              </w:rPr>
            </w:pPr>
            <w:r>
              <w:rPr>
                <w:sz w:val="21"/>
              </w:rPr>
              <w:t xml:space="preserve">上游 </w:t>
            </w:r>
            <w:r>
              <w:rPr>
                <w:rFonts w:ascii="Times New Roman" w:eastAsia="Times New Roman"/>
                <w:sz w:val="21"/>
              </w:rPr>
              <w:t>500m</w:t>
            </w:r>
          </w:p>
        </w:tc>
        <w:tc>
          <w:tcPr>
            <w:tcW w:w="2555" w:type="dxa"/>
            <w:gridSpan w:val="2"/>
            <w:tcBorders>
              <w:top w:val="single" w:color="000000" w:sz="4" w:space="0"/>
              <w:left w:val="single" w:color="000000" w:sz="4" w:space="0"/>
              <w:bottom w:val="single" w:color="000000" w:sz="4" w:space="0"/>
              <w:right w:val="single" w:color="000000" w:sz="4" w:space="0"/>
            </w:tcBorders>
          </w:tcPr>
          <w:p>
            <w:pPr>
              <w:pStyle w:val="19"/>
              <w:spacing w:before="78"/>
              <w:ind w:left="755"/>
              <w:jc w:val="left"/>
              <w:rPr>
                <w:rFonts w:ascii="Times New Roman" w:eastAsia="Times New Roman"/>
                <w:sz w:val="21"/>
              </w:rPr>
            </w:pPr>
            <w:r>
              <w:rPr>
                <w:sz w:val="21"/>
              </w:rPr>
              <w:t xml:space="preserve">下游 </w:t>
            </w:r>
            <w:r>
              <w:rPr>
                <w:rFonts w:ascii="Times New Roman" w:eastAsia="Times New Roman"/>
                <w:sz w:val="21"/>
              </w:rPr>
              <w:t>1000m</w:t>
            </w:r>
          </w:p>
        </w:tc>
        <w:tc>
          <w:tcPr>
            <w:tcW w:w="2554" w:type="dxa"/>
            <w:gridSpan w:val="2"/>
            <w:tcBorders>
              <w:top w:val="single" w:color="000000" w:sz="4" w:space="0"/>
              <w:left w:val="single" w:color="000000" w:sz="4" w:space="0"/>
              <w:bottom w:val="single" w:color="000000" w:sz="4" w:space="0"/>
            </w:tcBorders>
          </w:tcPr>
          <w:p>
            <w:pPr>
              <w:pStyle w:val="19"/>
              <w:spacing w:before="78"/>
              <w:ind w:left="753"/>
              <w:jc w:val="left"/>
              <w:rPr>
                <w:rFonts w:ascii="Times New Roman" w:eastAsia="Times New Roman"/>
                <w:sz w:val="21"/>
              </w:rPr>
            </w:pPr>
            <w:r>
              <w:rPr>
                <w:sz w:val="21"/>
              </w:rPr>
              <w:t xml:space="preserve">下游 </w:t>
            </w:r>
            <w:r>
              <w:rPr>
                <w:rFonts w:ascii="Times New Roman" w:eastAsia="Times New Roman"/>
                <w:sz w:val="21"/>
              </w:rPr>
              <w:t>5000m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vMerge w:val="continue"/>
            <w:tcBorders>
              <w:top w:val="nil"/>
              <w:bottom w:val="single" w:color="000000" w:sz="4" w:space="0"/>
              <w:right w:val="single" w:color="000000" w:sz="4" w:space="0"/>
            </w:tcBorders>
          </w:tcPr>
          <w:p>
            <w:pPr>
              <w:rPr>
                <w:sz w:val="2"/>
                <w:szCs w:val="2"/>
              </w:rPr>
            </w:pPr>
          </w:p>
        </w:tc>
        <w:tc>
          <w:tcPr>
            <w:tcW w:w="1663" w:type="dxa"/>
            <w:tcBorders>
              <w:top w:val="single" w:color="000000" w:sz="4" w:space="0"/>
              <w:left w:val="single" w:color="000000" w:sz="4" w:space="0"/>
              <w:bottom w:val="single" w:color="000000" w:sz="4" w:space="0"/>
              <w:right w:val="single" w:color="000000" w:sz="4" w:space="0"/>
            </w:tcBorders>
          </w:tcPr>
          <w:p>
            <w:pPr>
              <w:pStyle w:val="19"/>
              <w:spacing w:before="77"/>
              <w:ind w:left="220" w:right="203"/>
              <w:rPr>
                <w:rFonts w:ascii="Times New Roman" w:eastAsia="Times New Roman"/>
                <w:sz w:val="21"/>
              </w:rPr>
            </w:pPr>
            <w:r>
              <w:rPr>
                <w:sz w:val="21"/>
              </w:rPr>
              <w:t xml:space="preserve">实测值 </w:t>
            </w:r>
            <w:r>
              <w:rPr>
                <w:rFonts w:ascii="Times New Roman" w:eastAsia="Times New Roman"/>
                <w:sz w:val="21"/>
              </w:rPr>
              <w:t>mg/L</w:t>
            </w:r>
          </w:p>
        </w:tc>
        <w:tc>
          <w:tcPr>
            <w:tcW w:w="889" w:type="dxa"/>
            <w:tcBorders>
              <w:top w:val="single" w:color="000000" w:sz="4" w:space="0"/>
              <w:left w:val="single" w:color="000000" w:sz="4" w:space="0"/>
              <w:bottom w:val="single" w:color="000000" w:sz="4" w:space="0"/>
              <w:right w:val="single" w:color="000000" w:sz="4" w:space="0"/>
            </w:tcBorders>
          </w:tcPr>
          <w:p>
            <w:pPr>
              <w:pStyle w:val="19"/>
              <w:spacing w:before="90"/>
              <w:ind w:left="245" w:right="222"/>
              <w:rPr>
                <w:rFonts w:ascii="Times New Roman" w:eastAsia="Times New Roman"/>
                <w:sz w:val="13"/>
              </w:rPr>
            </w:pPr>
            <w:r>
              <w:rPr>
                <w:rFonts w:ascii="Times New Roman" w:eastAsia="Times New Roman"/>
                <w:spacing w:val="-2"/>
                <w:w w:val="99"/>
                <w:position w:val="3"/>
                <w:sz w:val="21"/>
              </w:rPr>
              <w:t>P</w:t>
            </w:r>
            <w:r>
              <w:rPr>
                <w:rFonts w:ascii="Times New Roman" w:eastAsia="Times New Roman"/>
                <w:w w:val="105"/>
                <w:position w:val="1"/>
                <w:sz w:val="13"/>
              </w:rPr>
              <w:t>i</w:t>
            </w:r>
            <w:r>
              <w:rPr>
                <w:spacing w:val="-1"/>
                <w:w w:val="106"/>
                <w:sz w:val="10"/>
              </w:rPr>
              <w:t>，</w:t>
            </w:r>
            <w:r>
              <w:rPr>
                <w:rFonts w:ascii="Times New Roman" w:eastAsia="Times New Roman"/>
                <w:w w:val="105"/>
                <w:position w:val="1"/>
                <w:sz w:val="13"/>
              </w:rPr>
              <w:t>j</w:t>
            </w:r>
          </w:p>
        </w:tc>
        <w:tc>
          <w:tcPr>
            <w:tcW w:w="1643" w:type="dxa"/>
            <w:tcBorders>
              <w:top w:val="single" w:color="000000" w:sz="4" w:space="0"/>
              <w:left w:val="single" w:color="000000" w:sz="4" w:space="0"/>
              <w:bottom w:val="single" w:color="000000" w:sz="4" w:space="0"/>
              <w:right w:val="single" w:color="000000" w:sz="4" w:space="0"/>
            </w:tcBorders>
          </w:tcPr>
          <w:p>
            <w:pPr>
              <w:pStyle w:val="19"/>
              <w:spacing w:before="77"/>
              <w:ind w:left="209" w:right="193"/>
              <w:rPr>
                <w:rFonts w:ascii="Times New Roman" w:eastAsia="Times New Roman"/>
                <w:sz w:val="21"/>
              </w:rPr>
            </w:pPr>
            <w:r>
              <w:rPr>
                <w:sz w:val="21"/>
              </w:rPr>
              <w:t xml:space="preserve">实测值 </w:t>
            </w:r>
            <w:r>
              <w:rPr>
                <w:rFonts w:ascii="Times New Roman" w:eastAsia="Times New Roman"/>
                <w:sz w:val="21"/>
              </w:rPr>
              <w:t>mg/L</w:t>
            </w:r>
          </w:p>
        </w:tc>
        <w:tc>
          <w:tcPr>
            <w:tcW w:w="912" w:type="dxa"/>
            <w:tcBorders>
              <w:top w:val="single" w:color="000000" w:sz="4" w:space="0"/>
              <w:left w:val="single" w:color="000000" w:sz="4" w:space="0"/>
              <w:bottom w:val="single" w:color="000000" w:sz="4" w:space="0"/>
              <w:right w:val="single" w:color="000000" w:sz="4" w:space="0"/>
            </w:tcBorders>
          </w:tcPr>
          <w:p>
            <w:pPr>
              <w:pStyle w:val="19"/>
              <w:spacing w:before="90"/>
              <w:ind w:left="256" w:right="237"/>
              <w:rPr>
                <w:rFonts w:ascii="Times New Roman" w:eastAsia="Times New Roman"/>
                <w:sz w:val="13"/>
              </w:rPr>
            </w:pPr>
            <w:r>
              <w:rPr>
                <w:rFonts w:ascii="Times New Roman" w:eastAsia="Times New Roman"/>
                <w:spacing w:val="1"/>
                <w:w w:val="99"/>
                <w:position w:val="3"/>
                <w:sz w:val="21"/>
              </w:rPr>
              <w:t>P</w:t>
            </w:r>
            <w:r>
              <w:rPr>
                <w:rFonts w:ascii="Times New Roman" w:eastAsia="Times New Roman"/>
                <w:spacing w:val="-3"/>
                <w:w w:val="105"/>
                <w:position w:val="1"/>
                <w:sz w:val="13"/>
              </w:rPr>
              <w:t>i</w:t>
            </w:r>
            <w:r>
              <w:rPr>
                <w:spacing w:val="-1"/>
                <w:w w:val="106"/>
                <w:sz w:val="10"/>
              </w:rPr>
              <w:t>，</w:t>
            </w:r>
            <w:r>
              <w:rPr>
                <w:rFonts w:ascii="Times New Roman" w:eastAsia="Times New Roman"/>
                <w:w w:val="105"/>
                <w:position w:val="1"/>
                <w:sz w:val="13"/>
              </w:rPr>
              <w:t>j</w:t>
            </w:r>
          </w:p>
        </w:tc>
        <w:tc>
          <w:tcPr>
            <w:tcW w:w="1670" w:type="dxa"/>
            <w:tcBorders>
              <w:top w:val="single" w:color="000000" w:sz="4" w:space="0"/>
              <w:left w:val="single" w:color="000000" w:sz="4" w:space="0"/>
              <w:bottom w:val="single" w:color="000000" w:sz="4" w:space="0"/>
              <w:right w:val="single" w:color="000000" w:sz="4" w:space="0"/>
            </w:tcBorders>
          </w:tcPr>
          <w:p>
            <w:pPr>
              <w:pStyle w:val="19"/>
              <w:spacing w:before="77"/>
              <w:ind w:left="224" w:right="206"/>
              <w:rPr>
                <w:rFonts w:ascii="Times New Roman" w:eastAsia="Times New Roman"/>
                <w:sz w:val="21"/>
              </w:rPr>
            </w:pPr>
            <w:r>
              <w:rPr>
                <w:sz w:val="21"/>
              </w:rPr>
              <w:t xml:space="preserve">实测值 </w:t>
            </w:r>
            <w:r>
              <w:rPr>
                <w:rFonts w:ascii="Times New Roman" w:eastAsia="Times New Roman"/>
                <w:sz w:val="21"/>
              </w:rPr>
              <w:t>mg/L</w:t>
            </w:r>
          </w:p>
        </w:tc>
        <w:tc>
          <w:tcPr>
            <w:tcW w:w="884" w:type="dxa"/>
            <w:tcBorders>
              <w:top w:val="single" w:color="000000" w:sz="4" w:space="0"/>
              <w:left w:val="single" w:color="000000" w:sz="4" w:space="0"/>
              <w:bottom w:val="single" w:color="000000" w:sz="4" w:space="0"/>
            </w:tcBorders>
          </w:tcPr>
          <w:p>
            <w:pPr>
              <w:pStyle w:val="19"/>
              <w:spacing w:before="90"/>
              <w:ind w:left="242" w:right="218"/>
              <w:rPr>
                <w:rFonts w:ascii="Times New Roman" w:eastAsia="Times New Roman"/>
                <w:sz w:val="13"/>
              </w:rPr>
            </w:pPr>
            <w:r>
              <w:rPr>
                <w:rFonts w:ascii="Times New Roman" w:eastAsia="Times New Roman"/>
                <w:spacing w:val="1"/>
                <w:w w:val="99"/>
                <w:position w:val="3"/>
                <w:sz w:val="21"/>
              </w:rPr>
              <w:t>P</w:t>
            </w:r>
            <w:r>
              <w:rPr>
                <w:rFonts w:ascii="Times New Roman" w:eastAsia="Times New Roman"/>
                <w:spacing w:val="-3"/>
                <w:w w:val="105"/>
                <w:position w:val="1"/>
                <w:sz w:val="13"/>
              </w:rPr>
              <w:t>i</w:t>
            </w:r>
            <w:r>
              <w:rPr>
                <w:spacing w:val="-1"/>
                <w:w w:val="106"/>
                <w:sz w:val="10"/>
              </w:rPr>
              <w:t>，</w:t>
            </w:r>
            <w:r>
              <w:rPr>
                <w:rFonts w:ascii="Times New Roman" w:eastAsia="Times New Roman"/>
                <w:w w:val="105"/>
                <w:position w:val="1"/>
                <w:sz w:val="13"/>
              </w:rPr>
              <w:t>j</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9"/>
              <w:spacing w:before="76"/>
              <w:ind w:left="294" w:right="282"/>
              <w:rPr>
                <w:sz w:val="21"/>
              </w:rPr>
            </w:pPr>
            <w:r>
              <w:rPr>
                <w:rFonts w:ascii="Times New Roman" w:eastAsia="Times New Roman"/>
                <w:sz w:val="21"/>
              </w:rPr>
              <w:t xml:space="preserve">pH </w:t>
            </w:r>
            <w:r>
              <w:rPr>
                <w:sz w:val="21"/>
              </w:rPr>
              <w:t>值</w:t>
            </w:r>
          </w:p>
        </w:tc>
        <w:tc>
          <w:tcPr>
            <w:tcW w:w="1663" w:type="dxa"/>
            <w:tcBorders>
              <w:top w:val="single" w:color="000000" w:sz="4" w:space="0"/>
              <w:left w:val="single" w:color="000000" w:sz="4" w:space="0"/>
              <w:bottom w:val="single" w:color="000000" w:sz="4" w:space="0"/>
              <w:right w:val="single" w:color="000000" w:sz="4" w:space="0"/>
            </w:tcBorders>
          </w:tcPr>
          <w:p>
            <w:pPr>
              <w:pStyle w:val="19"/>
              <w:spacing w:before="90"/>
              <w:ind w:left="220" w:right="200"/>
              <w:rPr>
                <w:rFonts w:ascii="Times New Roman"/>
                <w:sz w:val="21"/>
              </w:rPr>
            </w:pPr>
            <w:r>
              <w:rPr>
                <w:rFonts w:ascii="Times New Roman"/>
                <w:sz w:val="21"/>
              </w:rPr>
              <w:t>7.34</w:t>
            </w:r>
          </w:p>
        </w:tc>
        <w:tc>
          <w:tcPr>
            <w:tcW w:w="889" w:type="dxa"/>
            <w:tcBorders>
              <w:top w:val="single" w:color="000000" w:sz="4" w:space="0"/>
              <w:left w:val="single" w:color="000000" w:sz="4" w:space="0"/>
              <w:bottom w:val="single" w:color="000000" w:sz="4" w:space="0"/>
              <w:right w:val="single" w:color="000000" w:sz="4" w:space="0"/>
            </w:tcBorders>
          </w:tcPr>
          <w:p>
            <w:pPr>
              <w:pStyle w:val="19"/>
              <w:spacing w:before="90"/>
              <w:ind w:left="243" w:right="224"/>
              <w:rPr>
                <w:rFonts w:ascii="Times New Roman"/>
                <w:sz w:val="21"/>
              </w:rPr>
            </w:pPr>
            <w:r>
              <w:rPr>
                <w:rFonts w:ascii="Times New Roman"/>
                <w:sz w:val="21"/>
              </w:rPr>
              <w:t>0.17</w:t>
            </w:r>
          </w:p>
        </w:tc>
        <w:tc>
          <w:tcPr>
            <w:tcW w:w="1643" w:type="dxa"/>
            <w:tcBorders>
              <w:top w:val="single" w:color="000000" w:sz="4" w:space="0"/>
              <w:left w:val="single" w:color="000000" w:sz="4" w:space="0"/>
              <w:bottom w:val="single" w:color="000000" w:sz="4" w:space="0"/>
              <w:right w:val="single" w:color="000000" w:sz="4" w:space="0"/>
            </w:tcBorders>
          </w:tcPr>
          <w:p>
            <w:pPr>
              <w:pStyle w:val="19"/>
              <w:spacing w:before="90"/>
              <w:ind w:left="209" w:right="190"/>
              <w:rPr>
                <w:rFonts w:ascii="Times New Roman"/>
                <w:sz w:val="21"/>
              </w:rPr>
            </w:pPr>
            <w:r>
              <w:rPr>
                <w:rFonts w:ascii="Times New Roman"/>
                <w:sz w:val="21"/>
              </w:rPr>
              <w:t>7.39</w:t>
            </w:r>
          </w:p>
        </w:tc>
        <w:tc>
          <w:tcPr>
            <w:tcW w:w="912" w:type="dxa"/>
            <w:tcBorders>
              <w:top w:val="single" w:color="000000" w:sz="4" w:space="0"/>
              <w:left w:val="single" w:color="000000" w:sz="4" w:space="0"/>
              <w:bottom w:val="single" w:color="000000" w:sz="4" w:space="0"/>
              <w:right w:val="single" w:color="000000" w:sz="4" w:space="0"/>
            </w:tcBorders>
          </w:tcPr>
          <w:p>
            <w:pPr>
              <w:pStyle w:val="19"/>
              <w:spacing w:before="90"/>
              <w:ind w:left="256" w:right="238"/>
              <w:rPr>
                <w:rFonts w:ascii="Times New Roman"/>
                <w:sz w:val="21"/>
              </w:rPr>
            </w:pPr>
            <w:r>
              <w:rPr>
                <w:rFonts w:ascii="Times New Roman"/>
                <w:sz w:val="21"/>
              </w:rPr>
              <w:t>0.20</w:t>
            </w:r>
          </w:p>
        </w:tc>
        <w:tc>
          <w:tcPr>
            <w:tcW w:w="1670" w:type="dxa"/>
            <w:tcBorders>
              <w:top w:val="single" w:color="000000" w:sz="4" w:space="0"/>
              <w:left w:val="single" w:color="000000" w:sz="4" w:space="0"/>
              <w:bottom w:val="single" w:color="000000" w:sz="4" w:space="0"/>
              <w:right w:val="single" w:color="000000" w:sz="4" w:space="0"/>
            </w:tcBorders>
          </w:tcPr>
          <w:p>
            <w:pPr>
              <w:pStyle w:val="19"/>
              <w:spacing w:before="90"/>
              <w:ind w:left="224" w:right="206"/>
              <w:rPr>
                <w:rFonts w:ascii="Times New Roman"/>
                <w:sz w:val="21"/>
              </w:rPr>
            </w:pPr>
            <w:r>
              <w:rPr>
                <w:rFonts w:ascii="Times New Roman"/>
                <w:sz w:val="21"/>
              </w:rPr>
              <w:t>7.46</w:t>
            </w:r>
          </w:p>
        </w:tc>
        <w:tc>
          <w:tcPr>
            <w:tcW w:w="884" w:type="dxa"/>
            <w:tcBorders>
              <w:top w:val="single" w:color="000000" w:sz="4" w:space="0"/>
              <w:left w:val="single" w:color="000000" w:sz="4" w:space="0"/>
              <w:bottom w:val="single" w:color="000000" w:sz="4" w:space="0"/>
            </w:tcBorders>
          </w:tcPr>
          <w:p>
            <w:pPr>
              <w:pStyle w:val="19"/>
              <w:spacing w:before="90"/>
              <w:ind w:left="242" w:right="219"/>
              <w:rPr>
                <w:rFonts w:ascii="Times New Roman"/>
                <w:sz w:val="21"/>
              </w:rPr>
            </w:pPr>
            <w:r>
              <w:rPr>
                <w:rFonts w:ascii="Times New Roman"/>
                <w:sz w:val="21"/>
              </w:rPr>
              <w:t>0.23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9"/>
              <w:spacing w:before="76"/>
              <w:ind w:left="294" w:right="282"/>
              <w:rPr>
                <w:sz w:val="21"/>
              </w:rPr>
            </w:pPr>
            <w:r>
              <w:rPr>
                <w:sz w:val="21"/>
              </w:rPr>
              <w:t>悬浮物</w:t>
            </w:r>
          </w:p>
        </w:tc>
        <w:tc>
          <w:tcPr>
            <w:tcW w:w="1663" w:type="dxa"/>
            <w:tcBorders>
              <w:top w:val="single" w:color="000000" w:sz="4" w:space="0"/>
              <w:left w:val="single" w:color="000000" w:sz="4" w:space="0"/>
              <w:bottom w:val="single" w:color="000000" w:sz="4" w:space="0"/>
              <w:right w:val="single" w:color="000000" w:sz="4" w:space="0"/>
            </w:tcBorders>
          </w:tcPr>
          <w:p>
            <w:pPr>
              <w:pStyle w:val="19"/>
              <w:spacing w:before="90"/>
              <w:ind w:left="218" w:right="203"/>
              <w:rPr>
                <w:rFonts w:ascii="Times New Roman"/>
                <w:sz w:val="21"/>
              </w:rPr>
            </w:pPr>
            <w:r>
              <w:rPr>
                <w:rFonts w:ascii="Times New Roman"/>
                <w:sz w:val="21"/>
              </w:rPr>
              <w:t>14</w:t>
            </w:r>
          </w:p>
        </w:tc>
        <w:tc>
          <w:tcPr>
            <w:tcW w:w="889" w:type="dxa"/>
            <w:tcBorders>
              <w:top w:val="single" w:color="000000" w:sz="4" w:space="0"/>
              <w:left w:val="single" w:color="000000" w:sz="4" w:space="0"/>
              <w:bottom w:val="single" w:color="000000" w:sz="4" w:space="0"/>
              <w:right w:val="single" w:color="000000" w:sz="4" w:space="0"/>
            </w:tcBorders>
          </w:tcPr>
          <w:p>
            <w:pPr>
              <w:pStyle w:val="19"/>
              <w:spacing w:before="90"/>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9"/>
              <w:spacing w:before="90"/>
              <w:ind w:left="209" w:right="190"/>
              <w:rPr>
                <w:rFonts w:ascii="Times New Roman"/>
                <w:sz w:val="21"/>
              </w:rPr>
            </w:pPr>
            <w:r>
              <w:rPr>
                <w:rFonts w:ascii="Times New Roman"/>
                <w:sz w:val="21"/>
              </w:rPr>
              <w:t>12</w:t>
            </w:r>
          </w:p>
        </w:tc>
        <w:tc>
          <w:tcPr>
            <w:tcW w:w="912" w:type="dxa"/>
            <w:tcBorders>
              <w:top w:val="single" w:color="000000" w:sz="4" w:space="0"/>
              <w:left w:val="single" w:color="000000" w:sz="4" w:space="0"/>
              <w:bottom w:val="single" w:color="000000" w:sz="4" w:space="0"/>
              <w:right w:val="single" w:color="000000" w:sz="4" w:space="0"/>
            </w:tcBorders>
          </w:tcPr>
          <w:p>
            <w:pPr>
              <w:pStyle w:val="19"/>
              <w:spacing w:before="90"/>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9"/>
              <w:spacing w:before="90"/>
              <w:ind w:left="224" w:right="206"/>
              <w:rPr>
                <w:rFonts w:ascii="Times New Roman"/>
                <w:sz w:val="21"/>
              </w:rPr>
            </w:pPr>
            <w:r>
              <w:rPr>
                <w:rFonts w:ascii="Times New Roman"/>
                <w:sz w:val="21"/>
              </w:rPr>
              <w:t>14</w:t>
            </w:r>
          </w:p>
        </w:tc>
        <w:tc>
          <w:tcPr>
            <w:tcW w:w="884" w:type="dxa"/>
            <w:tcBorders>
              <w:top w:val="single" w:color="000000" w:sz="4" w:space="0"/>
              <w:left w:val="single" w:color="000000" w:sz="4" w:space="0"/>
              <w:bottom w:val="single" w:color="000000" w:sz="4" w:space="0"/>
            </w:tcBorders>
          </w:tcPr>
          <w:p>
            <w:pPr>
              <w:pStyle w:val="19"/>
              <w:spacing w:before="90"/>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1683" w:type="dxa"/>
            <w:tcBorders>
              <w:top w:val="single" w:color="000000" w:sz="4" w:space="0"/>
              <w:right w:val="single" w:color="000000" w:sz="4" w:space="0"/>
            </w:tcBorders>
          </w:tcPr>
          <w:p>
            <w:pPr>
              <w:pStyle w:val="19"/>
              <w:spacing w:before="78"/>
              <w:ind w:left="294" w:right="284"/>
              <w:rPr>
                <w:sz w:val="21"/>
              </w:rPr>
            </w:pPr>
            <w:r>
              <w:rPr>
                <w:sz w:val="21"/>
              </w:rPr>
              <w:t>化学需氧量</w:t>
            </w:r>
          </w:p>
        </w:tc>
        <w:tc>
          <w:tcPr>
            <w:tcW w:w="1663" w:type="dxa"/>
            <w:tcBorders>
              <w:top w:val="single" w:color="000000" w:sz="4" w:space="0"/>
              <w:left w:val="single" w:color="000000" w:sz="4" w:space="0"/>
              <w:right w:val="single" w:color="000000" w:sz="4" w:space="0"/>
            </w:tcBorders>
          </w:tcPr>
          <w:p>
            <w:pPr>
              <w:pStyle w:val="19"/>
              <w:spacing w:before="91"/>
              <w:ind w:left="218" w:right="203"/>
              <w:rPr>
                <w:rFonts w:ascii="Times New Roman"/>
                <w:sz w:val="21"/>
              </w:rPr>
            </w:pPr>
            <w:r>
              <w:rPr>
                <w:rFonts w:ascii="Times New Roman"/>
                <w:sz w:val="21"/>
              </w:rPr>
              <w:t>16</w:t>
            </w:r>
          </w:p>
        </w:tc>
        <w:tc>
          <w:tcPr>
            <w:tcW w:w="889" w:type="dxa"/>
            <w:tcBorders>
              <w:top w:val="single" w:color="000000" w:sz="4" w:space="0"/>
              <w:left w:val="single" w:color="000000" w:sz="4" w:space="0"/>
              <w:right w:val="single" w:color="000000" w:sz="4" w:space="0"/>
            </w:tcBorders>
          </w:tcPr>
          <w:p>
            <w:pPr>
              <w:pStyle w:val="19"/>
              <w:spacing w:before="91"/>
              <w:ind w:left="245" w:right="223"/>
              <w:rPr>
                <w:rFonts w:ascii="Times New Roman"/>
                <w:sz w:val="21"/>
              </w:rPr>
            </w:pPr>
            <w:r>
              <w:rPr>
                <w:rFonts w:ascii="Times New Roman"/>
                <w:sz w:val="21"/>
              </w:rPr>
              <w:t>1.07</w:t>
            </w:r>
          </w:p>
        </w:tc>
        <w:tc>
          <w:tcPr>
            <w:tcW w:w="1643" w:type="dxa"/>
            <w:tcBorders>
              <w:top w:val="single" w:color="000000" w:sz="4" w:space="0"/>
              <w:left w:val="single" w:color="000000" w:sz="4" w:space="0"/>
              <w:right w:val="single" w:color="000000" w:sz="4" w:space="0"/>
            </w:tcBorders>
          </w:tcPr>
          <w:p>
            <w:pPr>
              <w:pStyle w:val="19"/>
              <w:spacing w:before="91"/>
              <w:ind w:left="209" w:right="190"/>
              <w:rPr>
                <w:rFonts w:ascii="Times New Roman"/>
                <w:sz w:val="21"/>
              </w:rPr>
            </w:pPr>
            <w:r>
              <w:rPr>
                <w:rFonts w:ascii="Times New Roman"/>
                <w:sz w:val="21"/>
              </w:rPr>
              <w:t>14</w:t>
            </w:r>
          </w:p>
        </w:tc>
        <w:tc>
          <w:tcPr>
            <w:tcW w:w="912" w:type="dxa"/>
            <w:tcBorders>
              <w:top w:val="single" w:color="000000" w:sz="4" w:space="0"/>
              <w:left w:val="single" w:color="000000" w:sz="4" w:space="0"/>
              <w:right w:val="single" w:color="000000" w:sz="4" w:space="0"/>
            </w:tcBorders>
          </w:tcPr>
          <w:p>
            <w:pPr>
              <w:pStyle w:val="19"/>
              <w:spacing w:before="91"/>
              <w:ind w:left="256" w:right="238"/>
              <w:rPr>
                <w:rFonts w:ascii="Times New Roman"/>
                <w:sz w:val="21"/>
              </w:rPr>
            </w:pPr>
            <w:r>
              <w:rPr>
                <w:rFonts w:ascii="Times New Roman"/>
                <w:sz w:val="21"/>
              </w:rPr>
              <w:t>0.93</w:t>
            </w:r>
          </w:p>
        </w:tc>
        <w:tc>
          <w:tcPr>
            <w:tcW w:w="1670" w:type="dxa"/>
            <w:tcBorders>
              <w:top w:val="single" w:color="000000" w:sz="4" w:space="0"/>
              <w:left w:val="single" w:color="000000" w:sz="4" w:space="0"/>
              <w:right w:val="single" w:color="000000" w:sz="4" w:space="0"/>
            </w:tcBorders>
          </w:tcPr>
          <w:p>
            <w:pPr>
              <w:pStyle w:val="19"/>
              <w:spacing w:before="91"/>
              <w:ind w:left="224" w:right="206"/>
              <w:rPr>
                <w:rFonts w:ascii="Times New Roman"/>
                <w:sz w:val="21"/>
              </w:rPr>
            </w:pPr>
            <w:r>
              <w:rPr>
                <w:rFonts w:ascii="Times New Roman"/>
                <w:sz w:val="21"/>
              </w:rPr>
              <w:t>15</w:t>
            </w:r>
          </w:p>
        </w:tc>
        <w:tc>
          <w:tcPr>
            <w:tcW w:w="884" w:type="dxa"/>
            <w:tcBorders>
              <w:top w:val="single" w:color="000000" w:sz="4" w:space="0"/>
              <w:left w:val="single" w:color="000000" w:sz="4" w:space="0"/>
            </w:tcBorders>
          </w:tcPr>
          <w:p>
            <w:pPr>
              <w:pStyle w:val="19"/>
              <w:spacing w:before="91"/>
              <w:ind w:left="242" w:right="219"/>
              <w:rPr>
                <w:rFonts w:ascii="Times New Roman"/>
                <w:sz w:val="21"/>
              </w:rPr>
            </w:pPr>
            <w:r>
              <w:rPr>
                <w:rFonts w:ascii="Times New Roman"/>
                <w:sz w:val="21"/>
              </w:rPr>
              <w:t>1.00</w:t>
            </w:r>
          </w:p>
        </w:tc>
      </w:tr>
    </w:tbl>
    <w:p>
      <w:pPr>
        <w:spacing w:after="0"/>
        <w:rPr>
          <w:rFonts w:ascii="Times New Roman"/>
          <w:sz w:val="21"/>
        </w:rPr>
        <w:sectPr>
          <w:pgSz w:w="11910" w:h="16840"/>
          <w:pgMar w:top="1340" w:right="0" w:bottom="880" w:left="0" w:header="0" w:footer="681" w:gutter="0"/>
        </w:sectPr>
      </w:pPr>
    </w:p>
    <w:tbl>
      <w:tblPr>
        <w:tblStyle w:val="15"/>
        <w:tblW w:w="0" w:type="auto"/>
        <w:tblInd w:w="129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83"/>
        <w:gridCol w:w="1663"/>
        <w:gridCol w:w="889"/>
        <w:gridCol w:w="1643"/>
        <w:gridCol w:w="912"/>
        <w:gridCol w:w="1670"/>
        <w:gridCol w:w="88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bottom w:val="single" w:color="000000" w:sz="4" w:space="0"/>
              <w:right w:val="single" w:color="000000" w:sz="4" w:space="0"/>
            </w:tcBorders>
          </w:tcPr>
          <w:p>
            <w:pPr>
              <w:pStyle w:val="19"/>
              <w:spacing w:before="76"/>
              <w:ind w:left="294" w:right="282"/>
              <w:rPr>
                <w:sz w:val="21"/>
              </w:rPr>
            </w:pPr>
            <w:r>
              <w:rPr>
                <w:sz w:val="21"/>
              </w:rPr>
              <w:t>石油类</w:t>
            </w:r>
          </w:p>
        </w:tc>
        <w:tc>
          <w:tcPr>
            <w:tcW w:w="1663" w:type="dxa"/>
            <w:tcBorders>
              <w:left w:val="single" w:color="000000" w:sz="4" w:space="0"/>
              <w:bottom w:val="single" w:color="000000" w:sz="4" w:space="0"/>
              <w:right w:val="single" w:color="000000" w:sz="4" w:space="0"/>
            </w:tcBorders>
          </w:tcPr>
          <w:p>
            <w:pPr>
              <w:pStyle w:val="19"/>
              <w:spacing w:before="90"/>
              <w:ind w:left="220" w:right="201"/>
              <w:rPr>
                <w:rFonts w:ascii="Times New Roman"/>
                <w:sz w:val="21"/>
              </w:rPr>
            </w:pPr>
            <w:r>
              <w:rPr>
                <w:rFonts w:ascii="Times New Roman"/>
                <w:sz w:val="21"/>
              </w:rPr>
              <w:t>0.01L</w:t>
            </w:r>
          </w:p>
        </w:tc>
        <w:tc>
          <w:tcPr>
            <w:tcW w:w="889" w:type="dxa"/>
            <w:tcBorders>
              <w:left w:val="single" w:color="000000" w:sz="4" w:space="0"/>
              <w:bottom w:val="single" w:color="000000" w:sz="4" w:space="0"/>
              <w:right w:val="single" w:color="000000" w:sz="4" w:space="0"/>
            </w:tcBorders>
          </w:tcPr>
          <w:p>
            <w:pPr>
              <w:pStyle w:val="19"/>
              <w:spacing w:before="90"/>
              <w:ind w:left="19"/>
              <w:rPr>
                <w:rFonts w:ascii="Times New Roman"/>
                <w:sz w:val="21"/>
              </w:rPr>
            </w:pPr>
            <w:r>
              <w:rPr>
                <w:rFonts w:ascii="Times New Roman"/>
                <w:w w:val="99"/>
                <w:sz w:val="21"/>
              </w:rPr>
              <w:t>/</w:t>
            </w:r>
          </w:p>
        </w:tc>
        <w:tc>
          <w:tcPr>
            <w:tcW w:w="1643" w:type="dxa"/>
            <w:tcBorders>
              <w:left w:val="single" w:color="000000" w:sz="4" w:space="0"/>
              <w:bottom w:val="single" w:color="000000" w:sz="4" w:space="0"/>
              <w:right w:val="single" w:color="000000" w:sz="4" w:space="0"/>
            </w:tcBorders>
          </w:tcPr>
          <w:p>
            <w:pPr>
              <w:pStyle w:val="19"/>
              <w:spacing w:before="90"/>
              <w:ind w:right="556"/>
              <w:jc w:val="right"/>
              <w:rPr>
                <w:rFonts w:ascii="Times New Roman"/>
                <w:sz w:val="21"/>
              </w:rPr>
            </w:pPr>
            <w:r>
              <w:rPr>
                <w:rFonts w:ascii="Times New Roman"/>
                <w:sz w:val="21"/>
              </w:rPr>
              <w:t>0.01L</w:t>
            </w:r>
          </w:p>
        </w:tc>
        <w:tc>
          <w:tcPr>
            <w:tcW w:w="912" w:type="dxa"/>
            <w:tcBorders>
              <w:left w:val="single" w:color="000000" w:sz="4" w:space="0"/>
              <w:bottom w:val="single" w:color="000000" w:sz="4" w:space="0"/>
              <w:right w:val="single" w:color="000000" w:sz="4" w:space="0"/>
            </w:tcBorders>
          </w:tcPr>
          <w:p>
            <w:pPr>
              <w:pStyle w:val="19"/>
              <w:spacing w:before="90"/>
              <w:ind w:left="20"/>
              <w:rPr>
                <w:rFonts w:ascii="Times New Roman"/>
                <w:sz w:val="21"/>
              </w:rPr>
            </w:pPr>
            <w:r>
              <w:rPr>
                <w:rFonts w:ascii="Times New Roman"/>
                <w:w w:val="99"/>
                <w:sz w:val="21"/>
              </w:rPr>
              <w:t>/</w:t>
            </w:r>
          </w:p>
        </w:tc>
        <w:tc>
          <w:tcPr>
            <w:tcW w:w="1670" w:type="dxa"/>
            <w:tcBorders>
              <w:left w:val="single" w:color="000000" w:sz="4" w:space="0"/>
              <w:bottom w:val="single" w:color="000000" w:sz="4" w:space="0"/>
              <w:right w:val="single" w:color="000000" w:sz="4" w:space="0"/>
            </w:tcBorders>
          </w:tcPr>
          <w:p>
            <w:pPr>
              <w:pStyle w:val="19"/>
              <w:spacing w:before="90"/>
              <w:ind w:left="224" w:right="206"/>
              <w:rPr>
                <w:rFonts w:ascii="Times New Roman"/>
                <w:sz w:val="21"/>
              </w:rPr>
            </w:pPr>
            <w:r>
              <w:rPr>
                <w:rFonts w:ascii="Times New Roman"/>
                <w:sz w:val="21"/>
              </w:rPr>
              <w:t>0.01L</w:t>
            </w:r>
          </w:p>
        </w:tc>
        <w:tc>
          <w:tcPr>
            <w:tcW w:w="884" w:type="dxa"/>
            <w:tcBorders>
              <w:left w:val="single" w:color="000000" w:sz="4" w:space="0"/>
              <w:bottom w:val="single" w:color="000000" w:sz="4" w:space="0"/>
            </w:tcBorders>
          </w:tcPr>
          <w:p>
            <w:pPr>
              <w:pStyle w:val="19"/>
              <w:spacing w:before="90"/>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9"/>
              <w:spacing w:before="78"/>
              <w:ind w:left="10"/>
              <w:rPr>
                <w:sz w:val="21"/>
              </w:rPr>
            </w:pPr>
            <w:r>
              <w:rPr>
                <w:w w:val="99"/>
                <w:sz w:val="21"/>
              </w:rPr>
              <w:t>铁</w:t>
            </w:r>
          </w:p>
        </w:tc>
        <w:tc>
          <w:tcPr>
            <w:tcW w:w="1663" w:type="dxa"/>
            <w:tcBorders>
              <w:top w:val="single" w:color="000000" w:sz="4" w:space="0"/>
              <w:left w:val="single" w:color="000000" w:sz="4" w:space="0"/>
              <w:bottom w:val="single" w:color="000000" w:sz="4" w:space="0"/>
              <w:right w:val="single" w:color="000000" w:sz="4" w:space="0"/>
            </w:tcBorders>
          </w:tcPr>
          <w:p>
            <w:pPr>
              <w:pStyle w:val="19"/>
              <w:spacing w:before="92"/>
              <w:ind w:left="220" w:right="200"/>
              <w:rPr>
                <w:rFonts w:ascii="Times New Roman"/>
                <w:sz w:val="21"/>
              </w:rPr>
            </w:pPr>
            <w:r>
              <w:rPr>
                <w:rFonts w:ascii="Times New Roman"/>
                <w:sz w:val="21"/>
              </w:rPr>
              <w:t>0.07</w:t>
            </w:r>
          </w:p>
        </w:tc>
        <w:tc>
          <w:tcPr>
            <w:tcW w:w="889" w:type="dxa"/>
            <w:tcBorders>
              <w:top w:val="single" w:color="000000" w:sz="4" w:space="0"/>
              <w:left w:val="single" w:color="000000" w:sz="4" w:space="0"/>
              <w:bottom w:val="single" w:color="000000" w:sz="4" w:space="0"/>
              <w:right w:val="single" w:color="000000" w:sz="4" w:space="0"/>
            </w:tcBorders>
          </w:tcPr>
          <w:p>
            <w:pPr>
              <w:pStyle w:val="19"/>
              <w:spacing w:before="92"/>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9"/>
              <w:spacing w:before="92"/>
              <w:ind w:right="620"/>
              <w:jc w:val="right"/>
              <w:rPr>
                <w:rFonts w:ascii="Times New Roman"/>
                <w:sz w:val="21"/>
              </w:rPr>
            </w:pPr>
            <w:r>
              <w:rPr>
                <w:rFonts w:ascii="Times New Roman"/>
                <w:sz w:val="21"/>
              </w:rPr>
              <w:t>0.07</w:t>
            </w:r>
          </w:p>
        </w:tc>
        <w:tc>
          <w:tcPr>
            <w:tcW w:w="912" w:type="dxa"/>
            <w:tcBorders>
              <w:top w:val="single" w:color="000000" w:sz="4" w:space="0"/>
              <w:left w:val="single" w:color="000000" w:sz="4" w:space="0"/>
              <w:bottom w:val="single" w:color="000000" w:sz="4" w:space="0"/>
              <w:right w:val="single" w:color="000000" w:sz="4" w:space="0"/>
            </w:tcBorders>
          </w:tcPr>
          <w:p>
            <w:pPr>
              <w:pStyle w:val="19"/>
              <w:spacing w:before="92"/>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9"/>
              <w:spacing w:before="92"/>
              <w:ind w:left="224" w:right="206"/>
              <w:rPr>
                <w:rFonts w:ascii="Times New Roman"/>
                <w:sz w:val="21"/>
              </w:rPr>
            </w:pPr>
            <w:r>
              <w:rPr>
                <w:rFonts w:ascii="Times New Roman"/>
                <w:sz w:val="21"/>
              </w:rPr>
              <w:t>0.07</w:t>
            </w:r>
          </w:p>
        </w:tc>
        <w:tc>
          <w:tcPr>
            <w:tcW w:w="884" w:type="dxa"/>
            <w:tcBorders>
              <w:top w:val="single" w:color="000000" w:sz="4" w:space="0"/>
              <w:left w:val="single" w:color="000000" w:sz="4" w:space="0"/>
              <w:bottom w:val="single" w:color="000000" w:sz="4" w:space="0"/>
            </w:tcBorders>
          </w:tcPr>
          <w:p>
            <w:pPr>
              <w:pStyle w:val="19"/>
              <w:spacing w:before="92"/>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9"/>
              <w:spacing w:before="77"/>
              <w:ind w:left="10"/>
              <w:rPr>
                <w:sz w:val="21"/>
              </w:rPr>
            </w:pPr>
            <w:r>
              <w:rPr>
                <w:w w:val="99"/>
                <w:sz w:val="21"/>
              </w:rPr>
              <w:t>锰</w:t>
            </w:r>
          </w:p>
        </w:tc>
        <w:tc>
          <w:tcPr>
            <w:tcW w:w="1663" w:type="dxa"/>
            <w:tcBorders>
              <w:top w:val="single" w:color="000000" w:sz="4" w:space="0"/>
              <w:left w:val="single" w:color="000000" w:sz="4" w:space="0"/>
              <w:bottom w:val="single" w:color="000000" w:sz="4" w:space="0"/>
              <w:right w:val="single" w:color="000000" w:sz="4" w:space="0"/>
            </w:tcBorders>
          </w:tcPr>
          <w:p>
            <w:pPr>
              <w:pStyle w:val="19"/>
              <w:spacing w:before="91"/>
              <w:ind w:left="220" w:right="200"/>
              <w:rPr>
                <w:rFonts w:ascii="Times New Roman"/>
                <w:sz w:val="21"/>
              </w:rPr>
            </w:pPr>
            <w:r>
              <w:rPr>
                <w:rFonts w:ascii="Times New Roman"/>
                <w:sz w:val="21"/>
              </w:rPr>
              <w:t>0.01</w:t>
            </w:r>
          </w:p>
        </w:tc>
        <w:tc>
          <w:tcPr>
            <w:tcW w:w="889" w:type="dxa"/>
            <w:tcBorders>
              <w:top w:val="single" w:color="000000" w:sz="4" w:space="0"/>
              <w:left w:val="single" w:color="000000" w:sz="4" w:space="0"/>
              <w:bottom w:val="single" w:color="000000" w:sz="4" w:space="0"/>
              <w:right w:val="single" w:color="000000" w:sz="4" w:space="0"/>
            </w:tcBorders>
          </w:tcPr>
          <w:p>
            <w:pPr>
              <w:pStyle w:val="19"/>
              <w:spacing w:before="91"/>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9"/>
              <w:spacing w:before="91"/>
              <w:ind w:right="620"/>
              <w:jc w:val="right"/>
              <w:rPr>
                <w:rFonts w:ascii="Times New Roman"/>
                <w:sz w:val="21"/>
              </w:rPr>
            </w:pPr>
            <w:r>
              <w:rPr>
                <w:rFonts w:ascii="Times New Roman"/>
                <w:sz w:val="21"/>
              </w:rPr>
              <w:t>0.01</w:t>
            </w:r>
          </w:p>
        </w:tc>
        <w:tc>
          <w:tcPr>
            <w:tcW w:w="912" w:type="dxa"/>
            <w:tcBorders>
              <w:top w:val="single" w:color="000000" w:sz="4" w:space="0"/>
              <w:left w:val="single" w:color="000000" w:sz="4" w:space="0"/>
              <w:bottom w:val="single" w:color="000000" w:sz="4" w:space="0"/>
              <w:right w:val="single" w:color="000000" w:sz="4" w:space="0"/>
            </w:tcBorders>
          </w:tcPr>
          <w:p>
            <w:pPr>
              <w:pStyle w:val="19"/>
              <w:spacing w:before="91"/>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9"/>
              <w:spacing w:before="91"/>
              <w:ind w:left="224" w:right="206"/>
              <w:rPr>
                <w:rFonts w:ascii="Times New Roman"/>
                <w:sz w:val="21"/>
              </w:rPr>
            </w:pPr>
            <w:r>
              <w:rPr>
                <w:rFonts w:ascii="Times New Roman"/>
                <w:sz w:val="21"/>
              </w:rPr>
              <w:t>0.01</w:t>
            </w:r>
          </w:p>
        </w:tc>
        <w:tc>
          <w:tcPr>
            <w:tcW w:w="884" w:type="dxa"/>
            <w:tcBorders>
              <w:top w:val="single" w:color="000000" w:sz="4" w:space="0"/>
              <w:left w:val="single" w:color="000000" w:sz="4" w:space="0"/>
              <w:bottom w:val="single" w:color="000000" w:sz="4" w:space="0"/>
            </w:tcBorders>
          </w:tcPr>
          <w:p>
            <w:pPr>
              <w:pStyle w:val="19"/>
              <w:spacing w:before="91"/>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9"/>
              <w:spacing w:before="77"/>
              <w:ind w:left="10"/>
              <w:rPr>
                <w:sz w:val="21"/>
              </w:rPr>
            </w:pPr>
            <w:r>
              <w:rPr>
                <w:w w:val="99"/>
                <w:sz w:val="21"/>
              </w:rPr>
              <w:t>汞</w:t>
            </w:r>
          </w:p>
        </w:tc>
        <w:tc>
          <w:tcPr>
            <w:tcW w:w="1663" w:type="dxa"/>
            <w:tcBorders>
              <w:top w:val="single" w:color="000000" w:sz="4" w:space="0"/>
              <w:left w:val="single" w:color="000000" w:sz="4" w:space="0"/>
              <w:bottom w:val="single" w:color="000000" w:sz="4" w:space="0"/>
              <w:right w:val="single" w:color="000000" w:sz="4" w:space="0"/>
            </w:tcBorders>
          </w:tcPr>
          <w:p>
            <w:pPr>
              <w:pStyle w:val="19"/>
              <w:spacing w:before="91"/>
              <w:ind w:left="220" w:right="201"/>
              <w:rPr>
                <w:rFonts w:ascii="Times New Roman"/>
                <w:sz w:val="21"/>
              </w:rPr>
            </w:pPr>
            <w:r>
              <w:rPr>
                <w:rFonts w:ascii="Times New Roman"/>
                <w:sz w:val="21"/>
              </w:rPr>
              <w:t>0.04L</w:t>
            </w:r>
          </w:p>
        </w:tc>
        <w:tc>
          <w:tcPr>
            <w:tcW w:w="889" w:type="dxa"/>
            <w:tcBorders>
              <w:top w:val="single" w:color="000000" w:sz="4" w:space="0"/>
              <w:left w:val="single" w:color="000000" w:sz="4" w:space="0"/>
              <w:bottom w:val="single" w:color="000000" w:sz="4" w:space="0"/>
              <w:right w:val="single" w:color="000000" w:sz="4" w:space="0"/>
            </w:tcBorders>
          </w:tcPr>
          <w:p>
            <w:pPr>
              <w:pStyle w:val="19"/>
              <w:spacing w:before="91"/>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9"/>
              <w:spacing w:before="91"/>
              <w:ind w:right="556"/>
              <w:jc w:val="right"/>
              <w:rPr>
                <w:rFonts w:ascii="Times New Roman"/>
                <w:sz w:val="21"/>
              </w:rPr>
            </w:pPr>
            <w:r>
              <w:rPr>
                <w:rFonts w:ascii="Times New Roman"/>
                <w:sz w:val="21"/>
              </w:rPr>
              <w:t>0.04L</w:t>
            </w:r>
          </w:p>
        </w:tc>
        <w:tc>
          <w:tcPr>
            <w:tcW w:w="912" w:type="dxa"/>
            <w:tcBorders>
              <w:top w:val="single" w:color="000000" w:sz="4" w:space="0"/>
              <w:left w:val="single" w:color="000000" w:sz="4" w:space="0"/>
              <w:bottom w:val="single" w:color="000000" w:sz="4" w:space="0"/>
              <w:right w:val="single" w:color="000000" w:sz="4" w:space="0"/>
            </w:tcBorders>
          </w:tcPr>
          <w:p>
            <w:pPr>
              <w:pStyle w:val="19"/>
              <w:spacing w:before="91"/>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9"/>
              <w:spacing w:before="91"/>
              <w:ind w:left="224" w:right="206"/>
              <w:rPr>
                <w:rFonts w:ascii="Times New Roman"/>
                <w:sz w:val="21"/>
              </w:rPr>
            </w:pPr>
            <w:r>
              <w:rPr>
                <w:rFonts w:ascii="Times New Roman"/>
                <w:sz w:val="21"/>
              </w:rPr>
              <w:t>0.04L</w:t>
            </w:r>
          </w:p>
        </w:tc>
        <w:tc>
          <w:tcPr>
            <w:tcW w:w="884" w:type="dxa"/>
            <w:tcBorders>
              <w:top w:val="single" w:color="000000" w:sz="4" w:space="0"/>
              <w:left w:val="single" w:color="000000" w:sz="4" w:space="0"/>
              <w:bottom w:val="single" w:color="000000" w:sz="4" w:space="0"/>
            </w:tcBorders>
          </w:tcPr>
          <w:p>
            <w:pPr>
              <w:pStyle w:val="19"/>
              <w:spacing w:before="91"/>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9"/>
              <w:spacing w:before="76"/>
              <w:ind w:left="10"/>
              <w:rPr>
                <w:sz w:val="21"/>
              </w:rPr>
            </w:pPr>
            <w:r>
              <w:rPr>
                <w:w w:val="99"/>
                <w:sz w:val="21"/>
              </w:rPr>
              <w:t>镉</w:t>
            </w:r>
          </w:p>
        </w:tc>
        <w:tc>
          <w:tcPr>
            <w:tcW w:w="1663" w:type="dxa"/>
            <w:tcBorders>
              <w:top w:val="single" w:color="000000" w:sz="4" w:space="0"/>
              <w:left w:val="single" w:color="000000" w:sz="4" w:space="0"/>
              <w:bottom w:val="single" w:color="000000" w:sz="4" w:space="0"/>
              <w:right w:val="single" w:color="000000" w:sz="4" w:space="0"/>
            </w:tcBorders>
          </w:tcPr>
          <w:p>
            <w:pPr>
              <w:pStyle w:val="19"/>
              <w:spacing w:before="90"/>
              <w:ind w:left="220" w:right="201"/>
              <w:rPr>
                <w:rFonts w:ascii="Times New Roman"/>
                <w:sz w:val="21"/>
              </w:rPr>
            </w:pPr>
            <w:r>
              <w:rPr>
                <w:rFonts w:ascii="Times New Roman"/>
                <w:sz w:val="21"/>
              </w:rPr>
              <w:t>0.1L</w:t>
            </w:r>
          </w:p>
        </w:tc>
        <w:tc>
          <w:tcPr>
            <w:tcW w:w="889" w:type="dxa"/>
            <w:tcBorders>
              <w:top w:val="single" w:color="000000" w:sz="4" w:space="0"/>
              <w:left w:val="single" w:color="000000" w:sz="4" w:space="0"/>
              <w:bottom w:val="single" w:color="000000" w:sz="4" w:space="0"/>
              <w:right w:val="single" w:color="000000" w:sz="4" w:space="0"/>
            </w:tcBorders>
          </w:tcPr>
          <w:p>
            <w:pPr>
              <w:pStyle w:val="19"/>
              <w:spacing w:before="90"/>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9"/>
              <w:spacing w:before="90"/>
              <w:ind w:right="609"/>
              <w:jc w:val="right"/>
              <w:rPr>
                <w:rFonts w:ascii="Times New Roman"/>
                <w:sz w:val="21"/>
              </w:rPr>
            </w:pPr>
            <w:r>
              <w:rPr>
                <w:rFonts w:ascii="Times New Roman"/>
                <w:sz w:val="21"/>
              </w:rPr>
              <w:t>0.1L</w:t>
            </w:r>
          </w:p>
        </w:tc>
        <w:tc>
          <w:tcPr>
            <w:tcW w:w="912" w:type="dxa"/>
            <w:tcBorders>
              <w:top w:val="single" w:color="000000" w:sz="4" w:space="0"/>
              <w:left w:val="single" w:color="000000" w:sz="4" w:space="0"/>
              <w:bottom w:val="single" w:color="000000" w:sz="4" w:space="0"/>
              <w:right w:val="single" w:color="000000" w:sz="4" w:space="0"/>
            </w:tcBorders>
          </w:tcPr>
          <w:p>
            <w:pPr>
              <w:pStyle w:val="19"/>
              <w:spacing w:before="90"/>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9"/>
              <w:spacing w:before="90"/>
              <w:ind w:left="224" w:right="204"/>
              <w:rPr>
                <w:rFonts w:ascii="Times New Roman"/>
                <w:sz w:val="21"/>
              </w:rPr>
            </w:pPr>
            <w:r>
              <w:rPr>
                <w:rFonts w:ascii="Times New Roman"/>
                <w:sz w:val="21"/>
              </w:rPr>
              <w:t>0.1L</w:t>
            </w:r>
          </w:p>
        </w:tc>
        <w:tc>
          <w:tcPr>
            <w:tcW w:w="884" w:type="dxa"/>
            <w:tcBorders>
              <w:top w:val="single" w:color="000000" w:sz="4" w:space="0"/>
              <w:left w:val="single" w:color="000000" w:sz="4" w:space="0"/>
              <w:bottom w:val="single" w:color="000000" w:sz="4" w:space="0"/>
            </w:tcBorders>
          </w:tcPr>
          <w:p>
            <w:pPr>
              <w:pStyle w:val="19"/>
              <w:spacing w:before="90"/>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9"/>
              <w:spacing w:before="78"/>
              <w:ind w:left="10"/>
              <w:rPr>
                <w:sz w:val="21"/>
              </w:rPr>
            </w:pPr>
            <w:r>
              <w:rPr>
                <w:w w:val="99"/>
                <w:sz w:val="21"/>
              </w:rPr>
              <w:t>铬</w:t>
            </w:r>
          </w:p>
        </w:tc>
        <w:tc>
          <w:tcPr>
            <w:tcW w:w="1663" w:type="dxa"/>
            <w:tcBorders>
              <w:top w:val="single" w:color="000000" w:sz="4" w:space="0"/>
              <w:left w:val="single" w:color="000000" w:sz="4" w:space="0"/>
              <w:bottom w:val="single" w:color="000000" w:sz="4" w:space="0"/>
              <w:right w:val="single" w:color="000000" w:sz="4" w:space="0"/>
            </w:tcBorders>
          </w:tcPr>
          <w:p>
            <w:pPr>
              <w:pStyle w:val="19"/>
              <w:spacing w:before="92"/>
              <w:ind w:left="220" w:right="201"/>
              <w:rPr>
                <w:rFonts w:ascii="Times New Roman"/>
                <w:sz w:val="21"/>
              </w:rPr>
            </w:pPr>
            <w:r>
              <w:rPr>
                <w:rFonts w:ascii="Times New Roman"/>
                <w:sz w:val="21"/>
              </w:rPr>
              <w:t>0.03L</w:t>
            </w:r>
          </w:p>
        </w:tc>
        <w:tc>
          <w:tcPr>
            <w:tcW w:w="889" w:type="dxa"/>
            <w:tcBorders>
              <w:top w:val="single" w:color="000000" w:sz="4" w:space="0"/>
              <w:left w:val="single" w:color="000000" w:sz="4" w:space="0"/>
              <w:bottom w:val="single" w:color="000000" w:sz="4" w:space="0"/>
              <w:right w:val="single" w:color="000000" w:sz="4" w:space="0"/>
            </w:tcBorders>
          </w:tcPr>
          <w:p>
            <w:pPr>
              <w:pStyle w:val="19"/>
              <w:spacing w:before="92"/>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9"/>
              <w:spacing w:before="92"/>
              <w:ind w:right="556"/>
              <w:jc w:val="right"/>
              <w:rPr>
                <w:rFonts w:ascii="Times New Roman"/>
                <w:sz w:val="21"/>
              </w:rPr>
            </w:pPr>
            <w:r>
              <w:rPr>
                <w:rFonts w:ascii="Times New Roman"/>
                <w:sz w:val="21"/>
              </w:rPr>
              <w:t>0.03L</w:t>
            </w:r>
          </w:p>
        </w:tc>
        <w:tc>
          <w:tcPr>
            <w:tcW w:w="912" w:type="dxa"/>
            <w:tcBorders>
              <w:top w:val="single" w:color="000000" w:sz="4" w:space="0"/>
              <w:left w:val="single" w:color="000000" w:sz="4" w:space="0"/>
              <w:bottom w:val="single" w:color="000000" w:sz="4" w:space="0"/>
              <w:right w:val="single" w:color="000000" w:sz="4" w:space="0"/>
            </w:tcBorders>
          </w:tcPr>
          <w:p>
            <w:pPr>
              <w:pStyle w:val="19"/>
              <w:spacing w:before="92"/>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9"/>
              <w:spacing w:before="92"/>
              <w:ind w:left="224" w:right="206"/>
              <w:rPr>
                <w:rFonts w:ascii="Times New Roman"/>
                <w:sz w:val="21"/>
              </w:rPr>
            </w:pPr>
            <w:r>
              <w:rPr>
                <w:rFonts w:ascii="Times New Roman"/>
                <w:sz w:val="21"/>
              </w:rPr>
              <w:t>0.03L</w:t>
            </w:r>
          </w:p>
        </w:tc>
        <w:tc>
          <w:tcPr>
            <w:tcW w:w="884" w:type="dxa"/>
            <w:tcBorders>
              <w:top w:val="single" w:color="000000" w:sz="4" w:space="0"/>
              <w:left w:val="single" w:color="000000" w:sz="4" w:space="0"/>
              <w:bottom w:val="single" w:color="000000" w:sz="4" w:space="0"/>
            </w:tcBorders>
          </w:tcPr>
          <w:p>
            <w:pPr>
              <w:pStyle w:val="19"/>
              <w:spacing w:before="92"/>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9"/>
              <w:spacing w:before="77"/>
              <w:ind w:left="10"/>
              <w:rPr>
                <w:sz w:val="21"/>
              </w:rPr>
            </w:pPr>
            <w:r>
              <w:rPr>
                <w:w w:val="99"/>
                <w:sz w:val="21"/>
              </w:rPr>
              <w:t>铅</w:t>
            </w:r>
          </w:p>
        </w:tc>
        <w:tc>
          <w:tcPr>
            <w:tcW w:w="1663" w:type="dxa"/>
            <w:tcBorders>
              <w:top w:val="single" w:color="000000" w:sz="4" w:space="0"/>
              <w:left w:val="single" w:color="000000" w:sz="4" w:space="0"/>
              <w:bottom w:val="single" w:color="000000" w:sz="4" w:space="0"/>
              <w:right w:val="single" w:color="000000" w:sz="4" w:space="0"/>
            </w:tcBorders>
          </w:tcPr>
          <w:p>
            <w:pPr>
              <w:pStyle w:val="19"/>
              <w:spacing w:before="91"/>
              <w:ind w:left="220" w:right="201"/>
              <w:rPr>
                <w:rFonts w:ascii="Times New Roman"/>
                <w:sz w:val="21"/>
              </w:rPr>
            </w:pPr>
            <w:r>
              <w:rPr>
                <w:rFonts w:ascii="Times New Roman"/>
                <w:sz w:val="21"/>
              </w:rPr>
              <w:t>10L</w:t>
            </w:r>
          </w:p>
        </w:tc>
        <w:tc>
          <w:tcPr>
            <w:tcW w:w="889" w:type="dxa"/>
            <w:tcBorders>
              <w:top w:val="single" w:color="000000" w:sz="4" w:space="0"/>
              <w:left w:val="single" w:color="000000" w:sz="4" w:space="0"/>
              <w:bottom w:val="single" w:color="000000" w:sz="4" w:space="0"/>
              <w:right w:val="single" w:color="000000" w:sz="4" w:space="0"/>
            </w:tcBorders>
          </w:tcPr>
          <w:p>
            <w:pPr>
              <w:pStyle w:val="19"/>
              <w:spacing w:before="91"/>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9"/>
              <w:spacing w:before="91"/>
              <w:ind w:left="209" w:right="190"/>
              <w:rPr>
                <w:rFonts w:ascii="Times New Roman"/>
                <w:sz w:val="21"/>
              </w:rPr>
            </w:pPr>
            <w:r>
              <w:rPr>
                <w:rFonts w:ascii="Times New Roman"/>
                <w:sz w:val="21"/>
              </w:rPr>
              <w:t>10L</w:t>
            </w:r>
          </w:p>
        </w:tc>
        <w:tc>
          <w:tcPr>
            <w:tcW w:w="912" w:type="dxa"/>
            <w:tcBorders>
              <w:top w:val="single" w:color="000000" w:sz="4" w:space="0"/>
              <w:left w:val="single" w:color="000000" w:sz="4" w:space="0"/>
              <w:bottom w:val="single" w:color="000000" w:sz="4" w:space="0"/>
              <w:right w:val="single" w:color="000000" w:sz="4" w:space="0"/>
            </w:tcBorders>
          </w:tcPr>
          <w:p>
            <w:pPr>
              <w:pStyle w:val="19"/>
              <w:spacing w:before="91"/>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9"/>
              <w:spacing w:before="91"/>
              <w:ind w:left="224" w:right="206"/>
              <w:rPr>
                <w:rFonts w:ascii="Times New Roman"/>
                <w:sz w:val="21"/>
              </w:rPr>
            </w:pPr>
            <w:r>
              <w:rPr>
                <w:rFonts w:ascii="Times New Roman"/>
                <w:sz w:val="21"/>
              </w:rPr>
              <w:t>10L</w:t>
            </w:r>
          </w:p>
        </w:tc>
        <w:tc>
          <w:tcPr>
            <w:tcW w:w="884" w:type="dxa"/>
            <w:tcBorders>
              <w:top w:val="single" w:color="000000" w:sz="4" w:space="0"/>
              <w:left w:val="single" w:color="000000" w:sz="4" w:space="0"/>
              <w:bottom w:val="single" w:color="000000" w:sz="4" w:space="0"/>
            </w:tcBorders>
          </w:tcPr>
          <w:p>
            <w:pPr>
              <w:pStyle w:val="19"/>
              <w:spacing w:before="91"/>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9"/>
              <w:spacing w:before="77"/>
              <w:ind w:left="10"/>
              <w:rPr>
                <w:sz w:val="21"/>
              </w:rPr>
            </w:pPr>
            <w:r>
              <w:rPr>
                <w:w w:val="99"/>
                <w:sz w:val="21"/>
              </w:rPr>
              <w:t>砷</w:t>
            </w:r>
          </w:p>
        </w:tc>
        <w:tc>
          <w:tcPr>
            <w:tcW w:w="1663" w:type="dxa"/>
            <w:tcBorders>
              <w:top w:val="single" w:color="000000" w:sz="4" w:space="0"/>
              <w:left w:val="single" w:color="000000" w:sz="4" w:space="0"/>
              <w:bottom w:val="single" w:color="000000" w:sz="4" w:space="0"/>
              <w:right w:val="single" w:color="000000" w:sz="4" w:space="0"/>
            </w:tcBorders>
          </w:tcPr>
          <w:p>
            <w:pPr>
              <w:pStyle w:val="19"/>
              <w:spacing w:before="91"/>
              <w:ind w:left="220" w:right="201"/>
              <w:rPr>
                <w:rFonts w:ascii="Times New Roman"/>
                <w:sz w:val="21"/>
              </w:rPr>
            </w:pPr>
            <w:r>
              <w:rPr>
                <w:rFonts w:ascii="Times New Roman"/>
                <w:sz w:val="21"/>
              </w:rPr>
              <w:t>0.3L</w:t>
            </w:r>
          </w:p>
        </w:tc>
        <w:tc>
          <w:tcPr>
            <w:tcW w:w="889" w:type="dxa"/>
            <w:tcBorders>
              <w:top w:val="single" w:color="000000" w:sz="4" w:space="0"/>
              <w:left w:val="single" w:color="000000" w:sz="4" w:space="0"/>
              <w:bottom w:val="single" w:color="000000" w:sz="4" w:space="0"/>
              <w:right w:val="single" w:color="000000" w:sz="4" w:space="0"/>
            </w:tcBorders>
          </w:tcPr>
          <w:p>
            <w:pPr>
              <w:pStyle w:val="19"/>
              <w:spacing w:before="91"/>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9"/>
              <w:spacing w:before="91"/>
              <w:ind w:right="609"/>
              <w:jc w:val="right"/>
              <w:rPr>
                <w:rFonts w:ascii="Times New Roman"/>
                <w:sz w:val="21"/>
              </w:rPr>
            </w:pPr>
            <w:r>
              <w:rPr>
                <w:rFonts w:ascii="Times New Roman"/>
                <w:sz w:val="21"/>
              </w:rPr>
              <w:t>0.3L</w:t>
            </w:r>
          </w:p>
        </w:tc>
        <w:tc>
          <w:tcPr>
            <w:tcW w:w="912" w:type="dxa"/>
            <w:tcBorders>
              <w:top w:val="single" w:color="000000" w:sz="4" w:space="0"/>
              <w:left w:val="single" w:color="000000" w:sz="4" w:space="0"/>
              <w:bottom w:val="single" w:color="000000" w:sz="4" w:space="0"/>
              <w:right w:val="single" w:color="000000" w:sz="4" w:space="0"/>
            </w:tcBorders>
          </w:tcPr>
          <w:p>
            <w:pPr>
              <w:pStyle w:val="19"/>
              <w:spacing w:before="91"/>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9"/>
              <w:spacing w:before="91"/>
              <w:ind w:left="224" w:right="204"/>
              <w:rPr>
                <w:rFonts w:ascii="Times New Roman"/>
                <w:sz w:val="21"/>
              </w:rPr>
            </w:pPr>
            <w:r>
              <w:rPr>
                <w:rFonts w:ascii="Times New Roman"/>
                <w:sz w:val="21"/>
              </w:rPr>
              <w:t>0.3L</w:t>
            </w:r>
          </w:p>
        </w:tc>
        <w:tc>
          <w:tcPr>
            <w:tcW w:w="884" w:type="dxa"/>
            <w:tcBorders>
              <w:top w:val="single" w:color="000000" w:sz="4" w:space="0"/>
              <w:left w:val="single" w:color="000000" w:sz="4" w:space="0"/>
              <w:bottom w:val="single" w:color="000000" w:sz="4" w:space="0"/>
            </w:tcBorders>
          </w:tcPr>
          <w:p>
            <w:pPr>
              <w:pStyle w:val="19"/>
              <w:spacing w:before="91"/>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9"/>
              <w:spacing w:before="76"/>
              <w:ind w:left="10"/>
              <w:rPr>
                <w:sz w:val="21"/>
              </w:rPr>
            </w:pPr>
            <w:r>
              <w:rPr>
                <w:w w:val="99"/>
                <w:sz w:val="21"/>
              </w:rPr>
              <w:t>锌</w:t>
            </w:r>
          </w:p>
        </w:tc>
        <w:tc>
          <w:tcPr>
            <w:tcW w:w="1663" w:type="dxa"/>
            <w:tcBorders>
              <w:top w:val="single" w:color="000000" w:sz="4" w:space="0"/>
              <w:left w:val="single" w:color="000000" w:sz="4" w:space="0"/>
              <w:bottom w:val="single" w:color="000000" w:sz="4" w:space="0"/>
              <w:right w:val="single" w:color="000000" w:sz="4" w:space="0"/>
            </w:tcBorders>
          </w:tcPr>
          <w:p>
            <w:pPr>
              <w:pStyle w:val="19"/>
              <w:spacing w:before="90"/>
              <w:ind w:left="220" w:right="201"/>
              <w:rPr>
                <w:rFonts w:ascii="Times New Roman"/>
                <w:sz w:val="21"/>
              </w:rPr>
            </w:pPr>
            <w:r>
              <w:rPr>
                <w:rFonts w:ascii="Times New Roman"/>
                <w:sz w:val="21"/>
              </w:rPr>
              <w:t>0.05L</w:t>
            </w:r>
          </w:p>
        </w:tc>
        <w:tc>
          <w:tcPr>
            <w:tcW w:w="889" w:type="dxa"/>
            <w:tcBorders>
              <w:top w:val="single" w:color="000000" w:sz="4" w:space="0"/>
              <w:left w:val="single" w:color="000000" w:sz="4" w:space="0"/>
              <w:bottom w:val="single" w:color="000000" w:sz="4" w:space="0"/>
              <w:right w:val="single" w:color="000000" w:sz="4" w:space="0"/>
            </w:tcBorders>
          </w:tcPr>
          <w:p>
            <w:pPr>
              <w:pStyle w:val="19"/>
              <w:spacing w:before="90"/>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9"/>
              <w:spacing w:before="90"/>
              <w:ind w:right="556"/>
              <w:jc w:val="right"/>
              <w:rPr>
                <w:rFonts w:ascii="Times New Roman"/>
                <w:sz w:val="21"/>
              </w:rPr>
            </w:pPr>
            <w:r>
              <w:rPr>
                <w:rFonts w:ascii="Times New Roman"/>
                <w:sz w:val="21"/>
              </w:rPr>
              <w:t>0.05L</w:t>
            </w:r>
          </w:p>
        </w:tc>
        <w:tc>
          <w:tcPr>
            <w:tcW w:w="912" w:type="dxa"/>
            <w:tcBorders>
              <w:top w:val="single" w:color="000000" w:sz="4" w:space="0"/>
              <w:left w:val="single" w:color="000000" w:sz="4" w:space="0"/>
              <w:bottom w:val="single" w:color="000000" w:sz="4" w:space="0"/>
              <w:right w:val="single" w:color="000000" w:sz="4" w:space="0"/>
            </w:tcBorders>
          </w:tcPr>
          <w:p>
            <w:pPr>
              <w:pStyle w:val="19"/>
              <w:spacing w:before="90"/>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9"/>
              <w:spacing w:before="90"/>
              <w:ind w:left="224" w:right="206"/>
              <w:rPr>
                <w:rFonts w:ascii="Times New Roman"/>
                <w:sz w:val="21"/>
              </w:rPr>
            </w:pPr>
            <w:r>
              <w:rPr>
                <w:rFonts w:ascii="Times New Roman"/>
                <w:sz w:val="21"/>
              </w:rPr>
              <w:t>0.05L</w:t>
            </w:r>
          </w:p>
        </w:tc>
        <w:tc>
          <w:tcPr>
            <w:tcW w:w="884" w:type="dxa"/>
            <w:tcBorders>
              <w:top w:val="single" w:color="000000" w:sz="4" w:space="0"/>
              <w:left w:val="single" w:color="000000" w:sz="4" w:space="0"/>
              <w:bottom w:val="single" w:color="000000" w:sz="4" w:space="0"/>
            </w:tcBorders>
          </w:tcPr>
          <w:p>
            <w:pPr>
              <w:pStyle w:val="19"/>
              <w:spacing w:before="90"/>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9"/>
              <w:spacing w:before="78"/>
              <w:ind w:left="294" w:right="282"/>
              <w:rPr>
                <w:sz w:val="21"/>
              </w:rPr>
            </w:pPr>
            <w:r>
              <w:rPr>
                <w:sz w:val="21"/>
              </w:rPr>
              <w:t>六价铬</w:t>
            </w:r>
          </w:p>
        </w:tc>
        <w:tc>
          <w:tcPr>
            <w:tcW w:w="1663" w:type="dxa"/>
            <w:tcBorders>
              <w:top w:val="single" w:color="000000" w:sz="4" w:space="0"/>
              <w:left w:val="single" w:color="000000" w:sz="4" w:space="0"/>
              <w:bottom w:val="single" w:color="000000" w:sz="4" w:space="0"/>
              <w:right w:val="single" w:color="000000" w:sz="4" w:space="0"/>
            </w:tcBorders>
          </w:tcPr>
          <w:p>
            <w:pPr>
              <w:pStyle w:val="19"/>
              <w:spacing w:before="92"/>
              <w:ind w:left="220" w:right="203"/>
              <w:rPr>
                <w:rFonts w:ascii="Times New Roman"/>
                <w:sz w:val="21"/>
              </w:rPr>
            </w:pPr>
            <w:r>
              <w:rPr>
                <w:rFonts w:ascii="Times New Roman"/>
                <w:sz w:val="21"/>
              </w:rPr>
              <w:t>0.004L</w:t>
            </w:r>
          </w:p>
        </w:tc>
        <w:tc>
          <w:tcPr>
            <w:tcW w:w="889" w:type="dxa"/>
            <w:tcBorders>
              <w:top w:val="single" w:color="000000" w:sz="4" w:space="0"/>
              <w:left w:val="single" w:color="000000" w:sz="4" w:space="0"/>
              <w:bottom w:val="single" w:color="000000" w:sz="4" w:space="0"/>
              <w:right w:val="single" w:color="000000" w:sz="4" w:space="0"/>
            </w:tcBorders>
          </w:tcPr>
          <w:p>
            <w:pPr>
              <w:pStyle w:val="19"/>
              <w:spacing w:before="92"/>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9"/>
              <w:spacing w:before="92"/>
              <w:ind w:right="505"/>
              <w:jc w:val="right"/>
              <w:rPr>
                <w:rFonts w:ascii="Times New Roman"/>
                <w:sz w:val="21"/>
              </w:rPr>
            </w:pPr>
            <w:r>
              <w:rPr>
                <w:rFonts w:ascii="Times New Roman"/>
                <w:w w:val="95"/>
                <w:sz w:val="21"/>
              </w:rPr>
              <w:t>0.004L</w:t>
            </w:r>
          </w:p>
        </w:tc>
        <w:tc>
          <w:tcPr>
            <w:tcW w:w="912" w:type="dxa"/>
            <w:tcBorders>
              <w:top w:val="single" w:color="000000" w:sz="4" w:space="0"/>
              <w:left w:val="single" w:color="000000" w:sz="4" w:space="0"/>
              <w:bottom w:val="single" w:color="000000" w:sz="4" w:space="0"/>
              <w:right w:val="single" w:color="000000" w:sz="4" w:space="0"/>
            </w:tcBorders>
          </w:tcPr>
          <w:p>
            <w:pPr>
              <w:pStyle w:val="19"/>
              <w:spacing w:before="92"/>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9"/>
              <w:spacing w:before="92"/>
              <w:ind w:left="224" w:right="204"/>
              <w:rPr>
                <w:rFonts w:ascii="Times New Roman"/>
                <w:sz w:val="21"/>
              </w:rPr>
            </w:pPr>
            <w:r>
              <w:rPr>
                <w:rFonts w:ascii="Times New Roman"/>
                <w:sz w:val="21"/>
              </w:rPr>
              <w:t>0.004L</w:t>
            </w:r>
          </w:p>
        </w:tc>
        <w:tc>
          <w:tcPr>
            <w:tcW w:w="884" w:type="dxa"/>
            <w:tcBorders>
              <w:top w:val="single" w:color="000000" w:sz="4" w:space="0"/>
              <w:left w:val="single" w:color="000000" w:sz="4" w:space="0"/>
              <w:bottom w:val="single" w:color="000000" w:sz="4" w:space="0"/>
            </w:tcBorders>
          </w:tcPr>
          <w:p>
            <w:pPr>
              <w:pStyle w:val="19"/>
              <w:spacing w:before="92"/>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9"/>
              <w:spacing w:before="77"/>
              <w:ind w:left="294" w:right="282"/>
              <w:rPr>
                <w:sz w:val="21"/>
              </w:rPr>
            </w:pPr>
            <w:r>
              <w:rPr>
                <w:sz w:val="21"/>
              </w:rPr>
              <w:t>氟化物</w:t>
            </w:r>
          </w:p>
        </w:tc>
        <w:tc>
          <w:tcPr>
            <w:tcW w:w="1663" w:type="dxa"/>
            <w:tcBorders>
              <w:top w:val="single" w:color="000000" w:sz="4" w:space="0"/>
              <w:left w:val="single" w:color="000000" w:sz="4" w:space="0"/>
              <w:bottom w:val="single" w:color="000000" w:sz="4" w:space="0"/>
              <w:right w:val="single" w:color="000000" w:sz="4" w:space="0"/>
            </w:tcBorders>
          </w:tcPr>
          <w:p>
            <w:pPr>
              <w:pStyle w:val="19"/>
              <w:spacing w:before="91"/>
              <w:ind w:left="220" w:right="201"/>
              <w:rPr>
                <w:rFonts w:ascii="Times New Roman"/>
                <w:sz w:val="21"/>
              </w:rPr>
            </w:pPr>
            <w:r>
              <w:rPr>
                <w:rFonts w:ascii="Times New Roman"/>
                <w:sz w:val="21"/>
              </w:rPr>
              <w:t>0.05L</w:t>
            </w:r>
          </w:p>
        </w:tc>
        <w:tc>
          <w:tcPr>
            <w:tcW w:w="889"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2"/>
              </w:rPr>
            </w:pPr>
          </w:p>
        </w:tc>
        <w:tc>
          <w:tcPr>
            <w:tcW w:w="1643" w:type="dxa"/>
            <w:tcBorders>
              <w:top w:val="single" w:color="000000" w:sz="4" w:space="0"/>
              <w:left w:val="single" w:color="000000" w:sz="4" w:space="0"/>
              <w:bottom w:val="single" w:color="000000" w:sz="4" w:space="0"/>
              <w:right w:val="single" w:color="000000" w:sz="4" w:space="0"/>
            </w:tcBorders>
          </w:tcPr>
          <w:p>
            <w:pPr>
              <w:pStyle w:val="19"/>
              <w:spacing w:before="91"/>
              <w:ind w:right="556"/>
              <w:jc w:val="right"/>
              <w:rPr>
                <w:rFonts w:ascii="Times New Roman"/>
                <w:sz w:val="21"/>
              </w:rPr>
            </w:pPr>
            <w:r>
              <w:rPr>
                <w:rFonts w:ascii="Times New Roman"/>
                <w:sz w:val="21"/>
              </w:rPr>
              <w:t>0.05L</w:t>
            </w:r>
          </w:p>
        </w:tc>
        <w:tc>
          <w:tcPr>
            <w:tcW w:w="912" w:type="dxa"/>
            <w:tcBorders>
              <w:top w:val="single" w:color="000000" w:sz="4" w:space="0"/>
              <w:left w:val="single" w:color="000000" w:sz="4" w:space="0"/>
              <w:bottom w:val="single" w:color="000000" w:sz="4" w:space="0"/>
              <w:right w:val="single" w:color="000000" w:sz="4" w:space="0"/>
            </w:tcBorders>
          </w:tcPr>
          <w:p>
            <w:pPr>
              <w:pStyle w:val="19"/>
              <w:spacing w:before="91"/>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9"/>
              <w:spacing w:before="91"/>
              <w:ind w:left="224" w:right="206"/>
              <w:rPr>
                <w:rFonts w:ascii="Times New Roman"/>
                <w:sz w:val="21"/>
              </w:rPr>
            </w:pPr>
            <w:r>
              <w:rPr>
                <w:rFonts w:ascii="Times New Roman"/>
                <w:sz w:val="21"/>
              </w:rPr>
              <w:t>0.05L</w:t>
            </w:r>
          </w:p>
        </w:tc>
        <w:tc>
          <w:tcPr>
            <w:tcW w:w="884" w:type="dxa"/>
            <w:tcBorders>
              <w:top w:val="single" w:color="000000" w:sz="4" w:space="0"/>
              <w:left w:val="single" w:color="000000" w:sz="4" w:space="0"/>
              <w:bottom w:val="single" w:color="000000" w:sz="4" w:space="0"/>
            </w:tcBorders>
          </w:tcPr>
          <w:p>
            <w:pPr>
              <w:pStyle w:val="19"/>
              <w:spacing w:before="91"/>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9"/>
              <w:spacing w:before="77"/>
              <w:ind w:left="294" w:right="282"/>
              <w:rPr>
                <w:sz w:val="21"/>
              </w:rPr>
            </w:pPr>
            <w:r>
              <w:rPr>
                <w:sz w:val="21"/>
              </w:rPr>
              <w:t>溶解氧</w:t>
            </w:r>
          </w:p>
        </w:tc>
        <w:tc>
          <w:tcPr>
            <w:tcW w:w="1663" w:type="dxa"/>
            <w:tcBorders>
              <w:top w:val="single" w:color="000000" w:sz="4" w:space="0"/>
              <w:left w:val="single" w:color="000000" w:sz="4" w:space="0"/>
              <w:bottom w:val="single" w:color="000000" w:sz="4" w:space="0"/>
              <w:right w:val="single" w:color="000000" w:sz="4" w:space="0"/>
            </w:tcBorders>
          </w:tcPr>
          <w:p>
            <w:pPr>
              <w:pStyle w:val="19"/>
              <w:spacing w:before="91"/>
              <w:ind w:left="220" w:right="200"/>
              <w:rPr>
                <w:rFonts w:ascii="Times New Roman"/>
                <w:sz w:val="21"/>
              </w:rPr>
            </w:pPr>
            <w:r>
              <w:rPr>
                <w:rFonts w:ascii="Times New Roman"/>
                <w:sz w:val="21"/>
              </w:rPr>
              <w:t>7.20</w:t>
            </w:r>
          </w:p>
        </w:tc>
        <w:tc>
          <w:tcPr>
            <w:tcW w:w="889" w:type="dxa"/>
            <w:tcBorders>
              <w:top w:val="single" w:color="000000" w:sz="4" w:space="0"/>
              <w:left w:val="single" w:color="000000" w:sz="4" w:space="0"/>
              <w:bottom w:val="single" w:color="000000" w:sz="4" w:space="0"/>
              <w:right w:val="single" w:color="000000" w:sz="4" w:space="0"/>
            </w:tcBorders>
          </w:tcPr>
          <w:p>
            <w:pPr>
              <w:pStyle w:val="19"/>
              <w:spacing w:before="91"/>
              <w:ind w:left="245" w:right="223"/>
              <w:rPr>
                <w:rFonts w:ascii="Times New Roman"/>
                <w:sz w:val="21"/>
              </w:rPr>
            </w:pPr>
            <w:r>
              <w:rPr>
                <w:rFonts w:ascii="Times New Roman"/>
                <w:sz w:val="21"/>
              </w:rPr>
              <w:t>0.42</w:t>
            </w:r>
          </w:p>
        </w:tc>
        <w:tc>
          <w:tcPr>
            <w:tcW w:w="1643" w:type="dxa"/>
            <w:tcBorders>
              <w:top w:val="single" w:color="000000" w:sz="4" w:space="0"/>
              <w:left w:val="single" w:color="000000" w:sz="4" w:space="0"/>
              <w:bottom w:val="single" w:color="000000" w:sz="4" w:space="0"/>
              <w:right w:val="single" w:color="000000" w:sz="4" w:space="0"/>
            </w:tcBorders>
          </w:tcPr>
          <w:p>
            <w:pPr>
              <w:pStyle w:val="19"/>
              <w:spacing w:before="91"/>
              <w:ind w:right="620"/>
              <w:jc w:val="right"/>
              <w:rPr>
                <w:rFonts w:ascii="Times New Roman"/>
                <w:sz w:val="21"/>
              </w:rPr>
            </w:pPr>
            <w:r>
              <w:rPr>
                <w:rFonts w:ascii="Times New Roman"/>
                <w:sz w:val="21"/>
              </w:rPr>
              <w:t>7.23</w:t>
            </w:r>
          </w:p>
        </w:tc>
        <w:tc>
          <w:tcPr>
            <w:tcW w:w="912" w:type="dxa"/>
            <w:tcBorders>
              <w:top w:val="single" w:color="000000" w:sz="4" w:space="0"/>
              <w:left w:val="single" w:color="000000" w:sz="4" w:space="0"/>
              <w:bottom w:val="single" w:color="000000" w:sz="4" w:space="0"/>
              <w:right w:val="single" w:color="000000" w:sz="4" w:space="0"/>
            </w:tcBorders>
          </w:tcPr>
          <w:p>
            <w:pPr>
              <w:pStyle w:val="19"/>
              <w:spacing w:before="91"/>
              <w:ind w:left="256" w:right="238"/>
              <w:rPr>
                <w:rFonts w:ascii="Times New Roman"/>
                <w:sz w:val="21"/>
              </w:rPr>
            </w:pPr>
            <w:r>
              <w:rPr>
                <w:rFonts w:ascii="Times New Roman"/>
                <w:sz w:val="21"/>
              </w:rPr>
              <w:t>0.41</w:t>
            </w:r>
          </w:p>
        </w:tc>
        <w:tc>
          <w:tcPr>
            <w:tcW w:w="1670" w:type="dxa"/>
            <w:tcBorders>
              <w:top w:val="single" w:color="000000" w:sz="4" w:space="0"/>
              <w:left w:val="single" w:color="000000" w:sz="4" w:space="0"/>
              <w:bottom w:val="single" w:color="000000" w:sz="4" w:space="0"/>
              <w:right w:val="single" w:color="000000" w:sz="4" w:space="0"/>
            </w:tcBorders>
          </w:tcPr>
          <w:p>
            <w:pPr>
              <w:pStyle w:val="19"/>
              <w:spacing w:before="91"/>
              <w:ind w:left="224" w:right="206"/>
              <w:rPr>
                <w:rFonts w:ascii="Times New Roman"/>
                <w:sz w:val="21"/>
              </w:rPr>
            </w:pPr>
            <w:r>
              <w:rPr>
                <w:rFonts w:ascii="Times New Roman"/>
                <w:sz w:val="21"/>
              </w:rPr>
              <w:t>7.34</w:t>
            </w:r>
          </w:p>
        </w:tc>
        <w:tc>
          <w:tcPr>
            <w:tcW w:w="884" w:type="dxa"/>
            <w:tcBorders>
              <w:top w:val="single" w:color="000000" w:sz="4" w:space="0"/>
              <w:left w:val="single" w:color="000000" w:sz="4" w:space="0"/>
              <w:bottom w:val="single" w:color="000000" w:sz="4" w:space="0"/>
            </w:tcBorders>
          </w:tcPr>
          <w:p>
            <w:pPr>
              <w:pStyle w:val="19"/>
              <w:spacing w:before="91"/>
              <w:ind w:left="242" w:right="219"/>
              <w:rPr>
                <w:rFonts w:ascii="Times New Roman"/>
                <w:sz w:val="21"/>
              </w:rPr>
            </w:pPr>
            <w:r>
              <w:rPr>
                <w:rFonts w:ascii="Times New Roman"/>
                <w:sz w:val="21"/>
              </w:rPr>
              <w:t>0.41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1683" w:type="dxa"/>
            <w:tcBorders>
              <w:top w:val="single" w:color="000000" w:sz="4" w:space="0"/>
              <w:bottom w:val="single" w:color="000000" w:sz="4" w:space="0"/>
              <w:right w:val="single" w:color="000000" w:sz="4" w:space="0"/>
            </w:tcBorders>
          </w:tcPr>
          <w:p>
            <w:pPr>
              <w:pStyle w:val="19"/>
              <w:spacing w:before="1" w:line="270" w:lineRule="atLeast"/>
              <w:ind w:left="734" w:right="196" w:hanging="524"/>
              <w:jc w:val="left"/>
              <w:rPr>
                <w:sz w:val="21"/>
              </w:rPr>
            </w:pPr>
            <w:r>
              <w:rPr>
                <w:sz w:val="21"/>
              </w:rPr>
              <w:t>五日生化需氧量</w:t>
            </w:r>
          </w:p>
        </w:tc>
        <w:tc>
          <w:tcPr>
            <w:tcW w:w="1663" w:type="dxa"/>
            <w:tcBorders>
              <w:top w:val="single" w:color="000000" w:sz="4" w:space="0"/>
              <w:left w:val="single" w:color="000000" w:sz="4" w:space="0"/>
              <w:bottom w:val="single" w:color="000000" w:sz="4" w:space="0"/>
              <w:right w:val="single" w:color="000000" w:sz="4" w:space="0"/>
            </w:tcBorders>
          </w:tcPr>
          <w:p>
            <w:pPr>
              <w:pStyle w:val="19"/>
              <w:spacing w:before="150"/>
              <w:ind w:left="220" w:right="200"/>
              <w:rPr>
                <w:rFonts w:ascii="Times New Roman"/>
                <w:sz w:val="21"/>
              </w:rPr>
            </w:pPr>
            <w:r>
              <w:rPr>
                <w:rFonts w:ascii="Times New Roman"/>
                <w:sz w:val="21"/>
              </w:rPr>
              <w:t>5.8</w:t>
            </w:r>
          </w:p>
        </w:tc>
        <w:tc>
          <w:tcPr>
            <w:tcW w:w="889" w:type="dxa"/>
            <w:tcBorders>
              <w:top w:val="single" w:color="000000" w:sz="4" w:space="0"/>
              <w:left w:val="single" w:color="000000" w:sz="4" w:space="0"/>
              <w:bottom w:val="single" w:color="000000" w:sz="4" w:space="0"/>
              <w:right w:val="single" w:color="000000" w:sz="4" w:space="0"/>
            </w:tcBorders>
          </w:tcPr>
          <w:p>
            <w:pPr>
              <w:pStyle w:val="19"/>
              <w:spacing w:before="150"/>
              <w:ind w:left="245" w:right="223"/>
              <w:rPr>
                <w:rFonts w:ascii="Times New Roman"/>
                <w:sz w:val="21"/>
              </w:rPr>
            </w:pPr>
            <w:r>
              <w:rPr>
                <w:rFonts w:ascii="Times New Roman"/>
                <w:sz w:val="21"/>
              </w:rPr>
              <w:t>1.93</w:t>
            </w:r>
          </w:p>
        </w:tc>
        <w:tc>
          <w:tcPr>
            <w:tcW w:w="1643" w:type="dxa"/>
            <w:tcBorders>
              <w:top w:val="single" w:color="000000" w:sz="4" w:space="0"/>
              <w:left w:val="single" w:color="000000" w:sz="4" w:space="0"/>
              <w:bottom w:val="single" w:color="000000" w:sz="4" w:space="0"/>
              <w:right w:val="single" w:color="000000" w:sz="4" w:space="0"/>
            </w:tcBorders>
          </w:tcPr>
          <w:p>
            <w:pPr>
              <w:pStyle w:val="19"/>
              <w:spacing w:before="150"/>
              <w:ind w:left="209" w:right="190"/>
              <w:rPr>
                <w:rFonts w:ascii="Times New Roman"/>
                <w:sz w:val="21"/>
              </w:rPr>
            </w:pPr>
            <w:r>
              <w:rPr>
                <w:rFonts w:ascii="Times New Roman"/>
                <w:sz w:val="21"/>
              </w:rPr>
              <w:t>5.4</w:t>
            </w:r>
          </w:p>
        </w:tc>
        <w:tc>
          <w:tcPr>
            <w:tcW w:w="912" w:type="dxa"/>
            <w:tcBorders>
              <w:top w:val="single" w:color="000000" w:sz="4" w:space="0"/>
              <w:left w:val="single" w:color="000000" w:sz="4" w:space="0"/>
              <w:bottom w:val="single" w:color="000000" w:sz="4" w:space="0"/>
              <w:right w:val="single" w:color="000000" w:sz="4" w:space="0"/>
            </w:tcBorders>
          </w:tcPr>
          <w:p>
            <w:pPr>
              <w:pStyle w:val="19"/>
              <w:spacing w:before="150"/>
              <w:ind w:left="256" w:right="238"/>
              <w:rPr>
                <w:rFonts w:ascii="Times New Roman"/>
                <w:sz w:val="21"/>
              </w:rPr>
            </w:pPr>
            <w:r>
              <w:rPr>
                <w:rFonts w:ascii="Times New Roman"/>
                <w:sz w:val="21"/>
              </w:rPr>
              <w:t>1.80</w:t>
            </w:r>
          </w:p>
        </w:tc>
        <w:tc>
          <w:tcPr>
            <w:tcW w:w="1670" w:type="dxa"/>
            <w:tcBorders>
              <w:top w:val="single" w:color="000000" w:sz="4" w:space="0"/>
              <w:left w:val="single" w:color="000000" w:sz="4" w:space="0"/>
              <w:bottom w:val="single" w:color="000000" w:sz="4" w:space="0"/>
              <w:right w:val="single" w:color="000000" w:sz="4" w:space="0"/>
            </w:tcBorders>
          </w:tcPr>
          <w:p>
            <w:pPr>
              <w:pStyle w:val="19"/>
              <w:spacing w:before="150"/>
              <w:ind w:left="224" w:right="206"/>
              <w:rPr>
                <w:rFonts w:ascii="Times New Roman"/>
                <w:sz w:val="21"/>
              </w:rPr>
            </w:pPr>
            <w:r>
              <w:rPr>
                <w:rFonts w:ascii="Times New Roman"/>
                <w:sz w:val="21"/>
              </w:rPr>
              <w:t>5.2</w:t>
            </w:r>
          </w:p>
        </w:tc>
        <w:tc>
          <w:tcPr>
            <w:tcW w:w="884" w:type="dxa"/>
            <w:tcBorders>
              <w:top w:val="single" w:color="000000" w:sz="4" w:space="0"/>
              <w:left w:val="single" w:color="000000" w:sz="4" w:space="0"/>
              <w:bottom w:val="single" w:color="000000" w:sz="4" w:space="0"/>
            </w:tcBorders>
          </w:tcPr>
          <w:p>
            <w:pPr>
              <w:pStyle w:val="19"/>
              <w:spacing w:before="150"/>
              <w:ind w:left="242" w:right="219"/>
              <w:rPr>
                <w:rFonts w:ascii="Times New Roman"/>
                <w:sz w:val="21"/>
              </w:rPr>
            </w:pPr>
            <w:r>
              <w:rPr>
                <w:rFonts w:ascii="Times New Roman"/>
                <w:sz w:val="21"/>
              </w:rPr>
              <w:t>1.73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683" w:type="dxa"/>
            <w:tcBorders>
              <w:top w:val="single" w:color="000000" w:sz="4" w:space="0"/>
              <w:right w:val="single" w:color="000000" w:sz="4" w:space="0"/>
            </w:tcBorders>
          </w:tcPr>
          <w:p>
            <w:pPr>
              <w:pStyle w:val="19"/>
              <w:spacing w:before="75"/>
              <w:ind w:left="294" w:right="282"/>
              <w:rPr>
                <w:sz w:val="21"/>
              </w:rPr>
            </w:pPr>
            <w:r>
              <w:rPr>
                <w:sz w:val="21"/>
              </w:rPr>
              <w:t>氨氮</w:t>
            </w:r>
          </w:p>
        </w:tc>
        <w:tc>
          <w:tcPr>
            <w:tcW w:w="1663" w:type="dxa"/>
            <w:tcBorders>
              <w:top w:val="single" w:color="000000" w:sz="4" w:space="0"/>
              <w:left w:val="single" w:color="000000" w:sz="4" w:space="0"/>
              <w:right w:val="single" w:color="000000" w:sz="4" w:space="0"/>
            </w:tcBorders>
          </w:tcPr>
          <w:p>
            <w:pPr>
              <w:pStyle w:val="19"/>
              <w:spacing w:before="89"/>
              <w:ind w:left="220" w:right="200"/>
              <w:rPr>
                <w:rFonts w:ascii="Times New Roman"/>
                <w:sz w:val="21"/>
              </w:rPr>
            </w:pPr>
            <w:r>
              <w:rPr>
                <w:rFonts w:ascii="Times New Roman"/>
                <w:sz w:val="21"/>
              </w:rPr>
              <w:t>0.275</w:t>
            </w:r>
          </w:p>
        </w:tc>
        <w:tc>
          <w:tcPr>
            <w:tcW w:w="889" w:type="dxa"/>
            <w:tcBorders>
              <w:top w:val="single" w:color="000000" w:sz="4" w:space="0"/>
              <w:left w:val="single" w:color="000000" w:sz="4" w:space="0"/>
              <w:right w:val="single" w:color="000000" w:sz="4" w:space="0"/>
            </w:tcBorders>
          </w:tcPr>
          <w:p>
            <w:pPr>
              <w:pStyle w:val="19"/>
              <w:spacing w:before="89"/>
              <w:ind w:left="245" w:right="223"/>
              <w:rPr>
                <w:rFonts w:ascii="Times New Roman"/>
                <w:sz w:val="21"/>
              </w:rPr>
            </w:pPr>
            <w:r>
              <w:rPr>
                <w:rFonts w:ascii="Times New Roman"/>
                <w:sz w:val="21"/>
              </w:rPr>
              <w:t>0.55</w:t>
            </w:r>
          </w:p>
        </w:tc>
        <w:tc>
          <w:tcPr>
            <w:tcW w:w="1643" w:type="dxa"/>
            <w:tcBorders>
              <w:top w:val="single" w:color="000000" w:sz="4" w:space="0"/>
              <w:left w:val="single" w:color="000000" w:sz="4" w:space="0"/>
              <w:right w:val="single" w:color="000000" w:sz="4" w:space="0"/>
            </w:tcBorders>
          </w:tcPr>
          <w:p>
            <w:pPr>
              <w:pStyle w:val="19"/>
              <w:spacing w:before="89"/>
              <w:ind w:right="567"/>
              <w:jc w:val="right"/>
              <w:rPr>
                <w:rFonts w:ascii="Times New Roman"/>
                <w:sz w:val="21"/>
              </w:rPr>
            </w:pPr>
            <w:r>
              <w:rPr>
                <w:rFonts w:ascii="Times New Roman"/>
                <w:sz w:val="21"/>
              </w:rPr>
              <w:t>0.363</w:t>
            </w:r>
          </w:p>
        </w:tc>
        <w:tc>
          <w:tcPr>
            <w:tcW w:w="912" w:type="dxa"/>
            <w:tcBorders>
              <w:top w:val="single" w:color="000000" w:sz="4" w:space="0"/>
              <w:left w:val="single" w:color="000000" w:sz="4" w:space="0"/>
              <w:right w:val="single" w:color="000000" w:sz="4" w:space="0"/>
            </w:tcBorders>
          </w:tcPr>
          <w:p>
            <w:pPr>
              <w:pStyle w:val="19"/>
              <w:spacing w:before="89"/>
              <w:ind w:left="256" w:right="238"/>
              <w:rPr>
                <w:rFonts w:ascii="Times New Roman"/>
                <w:sz w:val="21"/>
              </w:rPr>
            </w:pPr>
            <w:r>
              <w:rPr>
                <w:rFonts w:ascii="Times New Roman"/>
                <w:sz w:val="21"/>
              </w:rPr>
              <w:t>0.73</w:t>
            </w:r>
          </w:p>
        </w:tc>
        <w:tc>
          <w:tcPr>
            <w:tcW w:w="1670" w:type="dxa"/>
            <w:tcBorders>
              <w:top w:val="single" w:color="000000" w:sz="4" w:space="0"/>
              <w:left w:val="single" w:color="000000" w:sz="4" w:space="0"/>
              <w:right w:val="single" w:color="000000" w:sz="4" w:space="0"/>
            </w:tcBorders>
          </w:tcPr>
          <w:p>
            <w:pPr>
              <w:pStyle w:val="19"/>
              <w:spacing w:before="89"/>
              <w:ind w:left="224" w:right="206"/>
              <w:rPr>
                <w:rFonts w:ascii="Times New Roman"/>
                <w:sz w:val="21"/>
              </w:rPr>
            </w:pPr>
            <w:r>
              <w:rPr>
                <w:rFonts w:ascii="Times New Roman"/>
                <w:sz w:val="21"/>
              </w:rPr>
              <w:t>0.269</w:t>
            </w:r>
          </w:p>
        </w:tc>
        <w:tc>
          <w:tcPr>
            <w:tcW w:w="884" w:type="dxa"/>
            <w:tcBorders>
              <w:top w:val="single" w:color="000000" w:sz="4" w:space="0"/>
              <w:left w:val="single" w:color="000000" w:sz="4" w:space="0"/>
            </w:tcBorders>
          </w:tcPr>
          <w:p>
            <w:pPr>
              <w:pStyle w:val="19"/>
              <w:spacing w:before="89"/>
              <w:ind w:left="242" w:right="219"/>
              <w:rPr>
                <w:rFonts w:ascii="Times New Roman"/>
                <w:sz w:val="21"/>
              </w:rPr>
            </w:pPr>
            <w:r>
              <w:rPr>
                <w:rFonts w:ascii="Times New Roman"/>
                <w:sz w:val="21"/>
              </w:rPr>
              <w:t>0.54</w:t>
            </w:r>
          </w:p>
        </w:tc>
      </w:tr>
    </w:tbl>
    <w:p>
      <w:pPr>
        <w:pStyle w:val="18"/>
        <w:numPr>
          <w:ilvl w:val="3"/>
          <w:numId w:val="67"/>
        </w:numPr>
        <w:tabs>
          <w:tab w:val="left" w:pos="2139"/>
        </w:tabs>
        <w:spacing w:before="2" w:after="0" w:line="240" w:lineRule="auto"/>
        <w:ind w:left="2138" w:right="0" w:hanging="721"/>
        <w:jc w:val="left"/>
        <w:rPr>
          <w:b/>
          <w:sz w:val="24"/>
        </w:rPr>
      </w:pPr>
      <w:bookmarkStart w:id="360" w:name="6.2.2.6地表水环境质量现状评价结论"/>
      <w:bookmarkEnd w:id="360"/>
      <w:bookmarkStart w:id="361" w:name="6.2.2.6地表水环境质量现状评价结论"/>
      <w:bookmarkEnd w:id="361"/>
      <w:r>
        <w:rPr>
          <w:b/>
          <w:sz w:val="24"/>
        </w:rPr>
        <w:t>地表水环境质量现状评价结论</w:t>
      </w:r>
    </w:p>
    <w:p>
      <w:pPr>
        <w:pStyle w:val="9"/>
        <w:spacing w:before="158" w:line="364" w:lineRule="auto"/>
        <w:ind w:left="1418" w:right="1417" w:firstLine="480"/>
        <w:jc w:val="both"/>
      </w:pPr>
      <w:r>
        <w:rPr>
          <w:spacing w:val="-6"/>
        </w:rPr>
        <w:t>从上表可看出，纳污水体安邦河除化学需氧量、五日生化需氧量外均符合《地表水</w:t>
      </w:r>
      <w:r>
        <w:t>环境质量标准》</w:t>
      </w:r>
      <w:r>
        <w:rPr>
          <w:rFonts w:ascii="Times New Roman" w:hAnsi="Times New Roman" w:eastAsia="Times New Roman"/>
        </w:rPr>
        <w:t xml:space="preserve">GB3838-2002 </w:t>
      </w:r>
      <w:r>
        <w:t>中的Ⅱ类水体水质标准，为地表水不达标区。</w:t>
      </w:r>
    </w:p>
    <w:p>
      <w:pPr>
        <w:pStyle w:val="5"/>
        <w:numPr>
          <w:ilvl w:val="1"/>
          <w:numId w:val="67"/>
        </w:numPr>
        <w:tabs>
          <w:tab w:val="left" w:pos="1868"/>
        </w:tabs>
        <w:spacing w:before="1" w:after="0" w:line="240" w:lineRule="auto"/>
        <w:ind w:left="1867" w:right="0" w:hanging="450"/>
        <w:jc w:val="left"/>
        <w:rPr>
          <w:rFonts w:ascii="Times New Roman" w:eastAsia="Times New Roman"/>
        </w:rPr>
      </w:pPr>
      <w:bookmarkStart w:id="362" w:name="_bookmark36"/>
      <w:bookmarkEnd w:id="362"/>
      <w:bookmarkStart w:id="363" w:name="_bookmark36"/>
      <w:bookmarkEnd w:id="363"/>
      <w:bookmarkStart w:id="364" w:name="6.3建设期地表水环境影响分析与防治措施"/>
      <w:bookmarkEnd w:id="364"/>
      <w:r>
        <w:t>建设期地表水环境影响分析与防治措施</w:t>
      </w:r>
    </w:p>
    <w:p>
      <w:pPr>
        <w:pStyle w:val="9"/>
        <w:spacing w:before="197" w:line="364" w:lineRule="auto"/>
        <w:ind w:left="1418" w:right="1417" w:firstLine="480"/>
        <w:jc w:val="both"/>
      </w:pPr>
      <w:r>
        <w:rPr>
          <w:spacing w:val="-4"/>
        </w:rPr>
        <w:t>建设期间由于矿区的污水处理系统尚未健全，难以集中处理并排放，这些污水如果不做处理直接排入地面水系安邦河，对安邦河水质会有一定的影响。所以建议对矿井工</w:t>
      </w:r>
      <w:r>
        <w:rPr>
          <w:spacing w:val="3"/>
        </w:rPr>
        <w:t>业场地施工过程中产生的污废水要按地方施工现场的环境保护要求进行集中管理和处理，避免任意排放。</w:t>
      </w:r>
    </w:p>
    <w:p>
      <w:pPr>
        <w:pStyle w:val="5"/>
        <w:numPr>
          <w:ilvl w:val="1"/>
          <w:numId w:val="67"/>
        </w:numPr>
        <w:tabs>
          <w:tab w:val="left" w:pos="1868"/>
        </w:tabs>
        <w:spacing w:before="0" w:after="0" w:line="240" w:lineRule="auto"/>
        <w:ind w:left="1867" w:right="0" w:hanging="450"/>
        <w:jc w:val="left"/>
        <w:rPr>
          <w:rFonts w:ascii="Times New Roman" w:eastAsia="Times New Roman"/>
        </w:rPr>
      </w:pPr>
      <w:bookmarkStart w:id="365" w:name="_bookmark37"/>
      <w:bookmarkEnd w:id="365"/>
      <w:bookmarkStart w:id="366" w:name="6.4运营期地表水环境影响预测与评价"/>
      <w:bookmarkEnd w:id="366"/>
      <w:bookmarkStart w:id="367" w:name="_bookmark37"/>
      <w:bookmarkEnd w:id="367"/>
      <w:r>
        <w:t>运营期地表水环境影响预测与评价</w:t>
      </w:r>
    </w:p>
    <w:p>
      <w:pPr>
        <w:pStyle w:val="6"/>
        <w:numPr>
          <w:ilvl w:val="2"/>
          <w:numId w:val="67"/>
        </w:numPr>
        <w:tabs>
          <w:tab w:val="left" w:pos="2048"/>
        </w:tabs>
        <w:spacing w:before="199" w:after="0" w:line="240" w:lineRule="auto"/>
        <w:ind w:left="2047" w:right="0" w:hanging="630"/>
        <w:jc w:val="left"/>
      </w:pPr>
      <w:bookmarkStart w:id="368" w:name="6.4.1水污染源"/>
      <w:bookmarkEnd w:id="368"/>
      <w:bookmarkStart w:id="369" w:name="6.4.1水污染源"/>
      <w:bookmarkEnd w:id="369"/>
      <w:r>
        <w:t>水污染源</w:t>
      </w:r>
    </w:p>
    <w:p>
      <w:pPr>
        <w:pStyle w:val="9"/>
        <w:spacing w:before="185"/>
        <w:ind w:left="1898"/>
      </w:pPr>
      <w:r>
        <w:t>整合矿井生产期水污染源有矿井水、生活污水。</w:t>
      </w:r>
    </w:p>
    <w:p>
      <w:pPr>
        <w:pStyle w:val="9"/>
        <w:spacing w:before="159" w:line="364" w:lineRule="auto"/>
        <w:ind w:left="1418" w:right="1413" w:firstLine="480"/>
        <w:jc w:val="both"/>
      </w:pPr>
      <w:r>
        <w:rPr>
          <w:spacing w:val="-6"/>
        </w:rPr>
        <w:t>根据工程分析，项目生活污水经处理达标后全部回用；矿井水处理达标后部分用于</w:t>
      </w:r>
      <w:r>
        <w:rPr>
          <w:spacing w:val="-10"/>
        </w:rPr>
        <w:t>井下、绿化、非生活饮用水、道路洒水及锅炉用水，剩余未利用部分外排。项目废水污</w:t>
      </w:r>
      <w:r>
        <w:t>染物产生和排放量见下表。</w:t>
      </w:r>
    </w:p>
    <w:p>
      <w:pPr>
        <w:spacing w:after="0" w:line="364" w:lineRule="auto"/>
        <w:jc w:val="both"/>
        <w:sectPr>
          <w:footerReference r:id="rId20" w:type="default"/>
          <w:pgSz w:w="11910" w:h="16840"/>
          <w:pgMar w:top="1400" w:right="0" w:bottom="880" w:left="0" w:header="0" w:footer="681" w:gutter="0"/>
          <w:pgNumType w:start="130"/>
        </w:sectPr>
      </w:pPr>
    </w:p>
    <w:p>
      <w:pPr>
        <w:spacing w:before="60" w:after="3"/>
        <w:ind w:left="7" w:right="0" w:firstLine="0"/>
        <w:jc w:val="center"/>
        <w:rPr>
          <w:b/>
          <w:sz w:val="21"/>
        </w:rPr>
      </w:pPr>
      <w:r>
        <w:rPr>
          <w:b/>
          <w:spacing w:val="-26"/>
          <w:sz w:val="21"/>
        </w:rPr>
        <w:t xml:space="preserve">表 </w:t>
      </w:r>
      <w:r>
        <w:rPr>
          <w:rFonts w:ascii="Times New Roman" w:eastAsia="Times New Roman"/>
          <w:b/>
          <w:sz w:val="21"/>
        </w:rPr>
        <w:t>6.4-1</w:t>
      </w:r>
      <w:r>
        <w:rPr>
          <w:rFonts w:ascii="Times New Roman" w:eastAsia="Times New Roman"/>
          <w:b/>
          <w:spacing w:val="52"/>
          <w:sz w:val="21"/>
        </w:rPr>
        <w:t xml:space="preserve"> </w:t>
      </w:r>
      <w:r>
        <w:rPr>
          <w:b/>
          <w:sz w:val="21"/>
        </w:rPr>
        <w:t>项目主要水污染物源强</w:t>
      </w:r>
    </w:p>
    <w:tbl>
      <w:tblPr>
        <w:tblStyle w:val="15"/>
        <w:tblW w:w="0" w:type="auto"/>
        <w:tblInd w:w="129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57"/>
        <w:gridCol w:w="1499"/>
        <w:gridCol w:w="1462"/>
        <w:gridCol w:w="1842"/>
        <w:gridCol w:w="1842"/>
        <w:gridCol w:w="184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3818" w:type="dxa"/>
            <w:gridSpan w:val="3"/>
            <w:tcBorders>
              <w:bottom w:val="single" w:color="000000" w:sz="4" w:space="0"/>
              <w:right w:val="single" w:color="000000" w:sz="4" w:space="0"/>
            </w:tcBorders>
          </w:tcPr>
          <w:p>
            <w:pPr>
              <w:pStyle w:val="19"/>
              <w:spacing w:before="1"/>
              <w:ind w:left="3290"/>
              <w:jc w:val="left"/>
              <w:rPr>
                <w:sz w:val="21"/>
              </w:rPr>
            </w:pPr>
            <w:r>
              <w:rPr>
                <w:sz w:val="21"/>
              </w:rPr>
              <w:t>项目</w:t>
            </w:r>
          </w:p>
          <w:p>
            <w:pPr>
              <w:pStyle w:val="19"/>
              <w:spacing w:before="2" w:line="253" w:lineRule="exact"/>
              <w:ind w:left="108"/>
              <w:jc w:val="left"/>
              <w:rPr>
                <w:sz w:val="21"/>
              </w:rPr>
            </w:pPr>
            <w:r>
              <w:rPr>
                <w:sz w:val="21"/>
              </w:rPr>
              <w:t>名称</w:t>
            </w:r>
          </w:p>
        </w:tc>
        <w:tc>
          <w:tcPr>
            <w:tcW w:w="1842" w:type="dxa"/>
            <w:tcBorders>
              <w:left w:val="single" w:color="000000" w:sz="4" w:space="0"/>
              <w:bottom w:val="single" w:color="000000" w:sz="4" w:space="0"/>
              <w:right w:val="single" w:color="000000" w:sz="4" w:space="0"/>
            </w:tcBorders>
          </w:tcPr>
          <w:p>
            <w:pPr>
              <w:pStyle w:val="19"/>
              <w:spacing w:before="152"/>
              <w:ind w:left="588" w:right="571"/>
              <w:rPr>
                <w:rFonts w:ascii="Times New Roman"/>
                <w:sz w:val="21"/>
              </w:rPr>
            </w:pPr>
            <w:r>
              <w:rPr>
                <w:rFonts w:ascii="Times New Roman"/>
                <w:sz w:val="21"/>
              </w:rPr>
              <w:t>COD</w:t>
            </w:r>
          </w:p>
        </w:tc>
        <w:tc>
          <w:tcPr>
            <w:tcW w:w="1842" w:type="dxa"/>
            <w:tcBorders>
              <w:left w:val="single" w:color="000000" w:sz="4" w:space="0"/>
              <w:bottom w:val="single" w:color="000000" w:sz="4" w:space="0"/>
              <w:right w:val="single" w:color="000000" w:sz="4" w:space="0"/>
            </w:tcBorders>
          </w:tcPr>
          <w:p>
            <w:pPr>
              <w:pStyle w:val="19"/>
              <w:spacing w:before="135"/>
              <w:ind w:left="591" w:right="571"/>
              <w:rPr>
                <w:sz w:val="21"/>
              </w:rPr>
            </w:pPr>
            <w:r>
              <w:rPr>
                <w:sz w:val="21"/>
              </w:rPr>
              <w:t>石油类</w:t>
            </w:r>
          </w:p>
        </w:tc>
        <w:tc>
          <w:tcPr>
            <w:tcW w:w="1842" w:type="dxa"/>
            <w:tcBorders>
              <w:left w:val="single" w:color="000000" w:sz="4" w:space="0"/>
              <w:bottom w:val="single" w:color="000000" w:sz="4" w:space="0"/>
            </w:tcBorders>
          </w:tcPr>
          <w:p>
            <w:pPr>
              <w:pStyle w:val="19"/>
              <w:spacing w:before="152"/>
              <w:ind w:right="783"/>
              <w:jc w:val="right"/>
              <w:rPr>
                <w:rFonts w:ascii="Times New Roman"/>
                <w:sz w:val="21"/>
              </w:rPr>
            </w:pPr>
            <w:r>
              <w:rPr>
                <w:rFonts w:ascii="Times New Roman"/>
                <w:w w:val="95"/>
                <w:sz w:val="21"/>
              </w:rPr>
              <w:t>SS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8" w:hRule="atLeast"/>
        </w:trPr>
        <w:tc>
          <w:tcPr>
            <w:tcW w:w="857" w:type="dxa"/>
            <w:vMerge w:val="restart"/>
            <w:tcBorders>
              <w:top w:val="single" w:color="000000" w:sz="4" w:space="0"/>
              <w:right w:val="single" w:color="000000" w:sz="4" w:space="0"/>
            </w:tcBorders>
          </w:tcPr>
          <w:p>
            <w:pPr>
              <w:pStyle w:val="19"/>
              <w:spacing w:before="8"/>
              <w:jc w:val="left"/>
              <w:rPr>
                <w:b/>
                <w:sz w:val="23"/>
              </w:rPr>
            </w:pPr>
          </w:p>
          <w:p>
            <w:pPr>
              <w:pStyle w:val="19"/>
              <w:ind w:left="113"/>
              <w:jc w:val="left"/>
              <w:rPr>
                <w:sz w:val="21"/>
              </w:rPr>
            </w:pPr>
            <w:r>
              <w:rPr>
                <w:sz w:val="21"/>
              </w:rPr>
              <w:t>矿井水</w:t>
            </w:r>
          </w:p>
        </w:tc>
        <w:tc>
          <w:tcPr>
            <w:tcW w:w="2961" w:type="dxa"/>
            <w:gridSpan w:val="2"/>
            <w:tcBorders>
              <w:top w:val="single" w:color="000000" w:sz="4" w:space="0"/>
              <w:left w:val="single" w:color="000000" w:sz="4" w:space="0"/>
              <w:bottom w:val="single" w:color="000000" w:sz="4" w:space="0"/>
              <w:right w:val="single" w:color="000000" w:sz="4" w:space="0"/>
            </w:tcBorders>
          </w:tcPr>
          <w:p>
            <w:pPr>
              <w:pStyle w:val="19"/>
              <w:spacing w:before="22" w:line="267" w:lineRule="exact"/>
              <w:ind w:left="132"/>
              <w:jc w:val="left"/>
              <w:rPr>
                <w:sz w:val="21"/>
              </w:rPr>
            </w:pPr>
            <w:r>
              <w:rPr>
                <w:sz w:val="21"/>
              </w:rPr>
              <w:t>废水最大产、排放量（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5526" w:type="dxa"/>
            <w:gridSpan w:val="3"/>
            <w:tcBorders>
              <w:top w:val="single" w:color="000000" w:sz="4" w:space="0"/>
              <w:left w:val="single" w:color="000000" w:sz="4" w:space="0"/>
              <w:bottom w:val="single" w:color="000000" w:sz="4" w:space="0"/>
            </w:tcBorders>
          </w:tcPr>
          <w:p>
            <w:pPr>
              <w:pStyle w:val="19"/>
              <w:ind w:left="1380"/>
              <w:jc w:val="left"/>
              <w:rPr>
                <w:rFonts w:ascii="Times New Roman" w:eastAsia="Times New Roman"/>
                <w:sz w:val="21"/>
              </w:rPr>
            </w:pPr>
            <w:r>
              <w:rPr>
                <w:sz w:val="21"/>
              </w:rPr>
              <w:t xml:space="preserve">产生 </w:t>
            </w:r>
            <w:r>
              <w:rPr>
                <w:rFonts w:ascii="Times New Roman" w:eastAsia="Times New Roman"/>
                <w:sz w:val="21"/>
              </w:rPr>
              <w:t>1440m</w:t>
            </w:r>
            <w:r>
              <w:rPr>
                <w:rFonts w:ascii="Times New Roman" w:eastAsia="Times New Roman"/>
                <w:position w:val="7"/>
                <w:sz w:val="13"/>
              </w:rPr>
              <w:t>3</w:t>
            </w:r>
            <w:r>
              <w:rPr>
                <w:rFonts w:ascii="Times New Roman" w:eastAsia="Times New Roman"/>
                <w:sz w:val="21"/>
              </w:rPr>
              <w:t>/d</w:t>
            </w:r>
            <w:r>
              <w:rPr>
                <w:sz w:val="21"/>
              </w:rPr>
              <w:t xml:space="preserve">、排放 </w:t>
            </w:r>
            <w:r>
              <w:rPr>
                <w:rFonts w:ascii="Times New Roman" w:eastAsia="Times New Roman"/>
                <w:sz w:val="21"/>
              </w:rPr>
              <w:t>1183m</w:t>
            </w:r>
            <w:r>
              <w:rPr>
                <w:rFonts w:ascii="Times New Roman" w:eastAsia="Times New Roman"/>
                <w:position w:val="7"/>
                <w:sz w:val="13"/>
              </w:rPr>
              <w:t>3</w:t>
            </w:r>
            <w:r>
              <w:rPr>
                <w:rFonts w:ascii="Times New Roman" w:eastAsia="Times New Roman"/>
                <w:sz w:val="21"/>
              </w:rPr>
              <w:t>/d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857" w:type="dxa"/>
            <w:vMerge w:val="continue"/>
            <w:tcBorders>
              <w:top w:val="nil"/>
              <w:right w:val="single" w:color="000000" w:sz="4" w:space="0"/>
            </w:tcBorders>
          </w:tcPr>
          <w:p>
            <w:pPr>
              <w:rPr>
                <w:sz w:val="2"/>
                <w:szCs w:val="2"/>
              </w:rPr>
            </w:pPr>
          </w:p>
        </w:tc>
        <w:tc>
          <w:tcPr>
            <w:tcW w:w="1499" w:type="dxa"/>
            <w:vMerge w:val="restart"/>
            <w:tcBorders>
              <w:top w:val="single" w:color="000000" w:sz="4" w:space="0"/>
              <w:left w:val="single" w:color="000000" w:sz="4" w:space="0"/>
              <w:right w:val="single" w:color="000000" w:sz="4" w:space="0"/>
            </w:tcBorders>
          </w:tcPr>
          <w:p>
            <w:pPr>
              <w:pStyle w:val="19"/>
              <w:ind w:left="122"/>
              <w:jc w:val="left"/>
              <w:rPr>
                <w:sz w:val="21"/>
              </w:rPr>
            </w:pPr>
            <w:r>
              <w:rPr>
                <w:sz w:val="21"/>
              </w:rPr>
              <w:t>主要污染物浓</w:t>
            </w:r>
          </w:p>
          <w:p>
            <w:pPr>
              <w:pStyle w:val="19"/>
              <w:spacing w:before="2" w:line="258" w:lineRule="exact"/>
              <w:ind w:left="211"/>
              <w:jc w:val="left"/>
              <w:rPr>
                <w:sz w:val="21"/>
              </w:rPr>
            </w:pPr>
            <w:r>
              <w:rPr>
                <w:sz w:val="21"/>
              </w:rPr>
              <w:t>度（</w:t>
            </w:r>
            <w:r>
              <w:rPr>
                <w:rFonts w:ascii="Times New Roman" w:eastAsia="Times New Roman"/>
                <w:sz w:val="21"/>
              </w:rPr>
              <w:t>mg/L</w:t>
            </w:r>
            <w:r>
              <w:rPr>
                <w:sz w:val="21"/>
              </w:rPr>
              <w:t>）</w:t>
            </w:r>
          </w:p>
        </w:tc>
        <w:tc>
          <w:tcPr>
            <w:tcW w:w="1462" w:type="dxa"/>
            <w:tcBorders>
              <w:top w:val="single" w:color="000000" w:sz="4" w:space="0"/>
              <w:left w:val="single" w:color="000000" w:sz="4" w:space="0"/>
              <w:bottom w:val="single" w:color="000000" w:sz="4" w:space="0"/>
              <w:right w:val="single" w:color="000000" w:sz="4" w:space="0"/>
            </w:tcBorders>
          </w:tcPr>
          <w:p>
            <w:pPr>
              <w:pStyle w:val="19"/>
              <w:spacing w:line="242" w:lineRule="exact"/>
              <w:ind w:right="399"/>
              <w:jc w:val="right"/>
              <w:rPr>
                <w:sz w:val="21"/>
              </w:rPr>
            </w:pPr>
            <w:r>
              <w:rPr>
                <w:w w:val="95"/>
                <w:sz w:val="21"/>
              </w:rPr>
              <w:t>处理前</w:t>
            </w:r>
          </w:p>
        </w:tc>
        <w:tc>
          <w:tcPr>
            <w:tcW w:w="1842" w:type="dxa"/>
            <w:tcBorders>
              <w:top w:val="single" w:color="000000" w:sz="4" w:space="0"/>
              <w:left w:val="single" w:color="000000" w:sz="4" w:space="0"/>
              <w:bottom w:val="single" w:color="000000" w:sz="4" w:space="0"/>
              <w:right w:val="single" w:color="000000" w:sz="4" w:space="0"/>
            </w:tcBorders>
          </w:tcPr>
          <w:p>
            <w:pPr>
              <w:pStyle w:val="19"/>
              <w:spacing w:before="9" w:line="232" w:lineRule="exact"/>
              <w:ind w:left="587" w:right="571"/>
              <w:rPr>
                <w:rFonts w:ascii="Times New Roman"/>
                <w:sz w:val="21"/>
              </w:rPr>
            </w:pPr>
            <w:r>
              <w:rPr>
                <w:rFonts w:ascii="Times New Roman"/>
                <w:sz w:val="21"/>
              </w:rPr>
              <w:t>150</w:t>
            </w:r>
          </w:p>
        </w:tc>
        <w:tc>
          <w:tcPr>
            <w:tcW w:w="1842" w:type="dxa"/>
            <w:tcBorders>
              <w:top w:val="single" w:color="000000" w:sz="4" w:space="0"/>
              <w:left w:val="single" w:color="000000" w:sz="4" w:space="0"/>
              <w:bottom w:val="single" w:color="000000" w:sz="4" w:space="0"/>
              <w:right w:val="single" w:color="000000" w:sz="4" w:space="0"/>
            </w:tcBorders>
          </w:tcPr>
          <w:p>
            <w:pPr>
              <w:pStyle w:val="19"/>
              <w:spacing w:before="9" w:line="232" w:lineRule="exact"/>
              <w:ind w:left="589" w:right="571"/>
              <w:rPr>
                <w:rFonts w:ascii="Times New Roman"/>
                <w:sz w:val="21"/>
              </w:rPr>
            </w:pPr>
            <w:r>
              <w:rPr>
                <w:rFonts w:ascii="Times New Roman"/>
                <w:sz w:val="21"/>
              </w:rPr>
              <w:t>0.20</w:t>
            </w:r>
          </w:p>
        </w:tc>
        <w:tc>
          <w:tcPr>
            <w:tcW w:w="1842" w:type="dxa"/>
            <w:tcBorders>
              <w:top w:val="single" w:color="000000" w:sz="4" w:space="0"/>
              <w:left w:val="single" w:color="000000" w:sz="4" w:space="0"/>
              <w:bottom w:val="single" w:color="000000" w:sz="4" w:space="0"/>
            </w:tcBorders>
          </w:tcPr>
          <w:p>
            <w:pPr>
              <w:pStyle w:val="19"/>
              <w:spacing w:before="9" w:line="232" w:lineRule="exact"/>
              <w:ind w:right="742"/>
              <w:jc w:val="right"/>
              <w:rPr>
                <w:rFonts w:ascii="Times New Roman"/>
                <w:sz w:val="21"/>
              </w:rPr>
            </w:pPr>
            <w:r>
              <w:rPr>
                <w:rFonts w:ascii="Times New Roman"/>
                <w:sz w:val="21"/>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7" w:hRule="atLeast"/>
        </w:trPr>
        <w:tc>
          <w:tcPr>
            <w:tcW w:w="857" w:type="dxa"/>
            <w:vMerge w:val="continue"/>
            <w:tcBorders>
              <w:top w:val="nil"/>
              <w:right w:val="single" w:color="000000" w:sz="4" w:space="0"/>
            </w:tcBorders>
          </w:tcPr>
          <w:p>
            <w:pPr>
              <w:rPr>
                <w:sz w:val="2"/>
                <w:szCs w:val="2"/>
              </w:rPr>
            </w:pPr>
          </w:p>
        </w:tc>
        <w:tc>
          <w:tcPr>
            <w:tcW w:w="1499" w:type="dxa"/>
            <w:vMerge w:val="continue"/>
            <w:tcBorders>
              <w:top w:val="nil"/>
              <w:left w:val="single" w:color="000000" w:sz="4" w:space="0"/>
              <w:right w:val="single" w:color="000000" w:sz="4" w:space="0"/>
            </w:tcBorders>
          </w:tcPr>
          <w:p>
            <w:pPr>
              <w:rPr>
                <w:sz w:val="2"/>
                <w:szCs w:val="2"/>
              </w:rPr>
            </w:pPr>
          </w:p>
        </w:tc>
        <w:tc>
          <w:tcPr>
            <w:tcW w:w="1462" w:type="dxa"/>
            <w:tcBorders>
              <w:top w:val="single" w:color="000000" w:sz="4" w:space="0"/>
              <w:left w:val="single" w:color="000000" w:sz="4" w:space="0"/>
              <w:right w:val="single" w:color="000000" w:sz="4" w:space="0"/>
            </w:tcBorders>
          </w:tcPr>
          <w:p>
            <w:pPr>
              <w:pStyle w:val="19"/>
              <w:spacing w:line="248" w:lineRule="exact"/>
              <w:ind w:right="399"/>
              <w:jc w:val="right"/>
              <w:rPr>
                <w:sz w:val="21"/>
              </w:rPr>
            </w:pPr>
            <w:r>
              <w:rPr>
                <w:w w:val="95"/>
                <w:sz w:val="21"/>
              </w:rPr>
              <w:t>处理后</w:t>
            </w:r>
          </w:p>
        </w:tc>
        <w:tc>
          <w:tcPr>
            <w:tcW w:w="1842" w:type="dxa"/>
            <w:tcBorders>
              <w:top w:val="single" w:color="000000" w:sz="4" w:space="0"/>
              <w:left w:val="single" w:color="000000" w:sz="4" w:space="0"/>
              <w:right w:val="single" w:color="000000" w:sz="4" w:space="0"/>
            </w:tcBorders>
          </w:tcPr>
          <w:p>
            <w:pPr>
              <w:pStyle w:val="19"/>
              <w:spacing w:before="10" w:line="237" w:lineRule="exact"/>
              <w:ind w:left="591" w:right="570"/>
              <w:rPr>
                <w:rFonts w:ascii="Times New Roman"/>
                <w:sz w:val="21"/>
              </w:rPr>
            </w:pPr>
            <w:r>
              <w:rPr>
                <w:rFonts w:ascii="Times New Roman"/>
                <w:sz w:val="21"/>
              </w:rPr>
              <w:t>12.75</w:t>
            </w:r>
          </w:p>
        </w:tc>
        <w:tc>
          <w:tcPr>
            <w:tcW w:w="1842" w:type="dxa"/>
            <w:tcBorders>
              <w:top w:val="single" w:color="000000" w:sz="4" w:space="0"/>
              <w:left w:val="single" w:color="000000" w:sz="4" w:space="0"/>
              <w:right w:val="single" w:color="000000" w:sz="4" w:space="0"/>
            </w:tcBorders>
          </w:tcPr>
          <w:p>
            <w:pPr>
              <w:pStyle w:val="19"/>
              <w:spacing w:before="10" w:line="237" w:lineRule="exact"/>
              <w:ind w:left="589" w:right="571"/>
              <w:rPr>
                <w:rFonts w:ascii="Times New Roman"/>
                <w:sz w:val="21"/>
              </w:rPr>
            </w:pPr>
            <w:r>
              <w:rPr>
                <w:rFonts w:ascii="Times New Roman"/>
                <w:sz w:val="21"/>
              </w:rPr>
              <w:t>0.05</w:t>
            </w:r>
          </w:p>
        </w:tc>
        <w:tc>
          <w:tcPr>
            <w:tcW w:w="1842" w:type="dxa"/>
            <w:tcBorders>
              <w:top w:val="single" w:color="000000" w:sz="4" w:space="0"/>
              <w:left w:val="single" w:color="000000" w:sz="4" w:space="0"/>
            </w:tcBorders>
          </w:tcPr>
          <w:p>
            <w:pPr>
              <w:pStyle w:val="19"/>
              <w:spacing w:before="10" w:line="237" w:lineRule="exact"/>
              <w:ind w:right="793"/>
              <w:jc w:val="right"/>
              <w:rPr>
                <w:rFonts w:ascii="Times New Roman"/>
                <w:sz w:val="21"/>
              </w:rPr>
            </w:pPr>
            <w:r>
              <w:rPr>
                <w:rFonts w:ascii="Times New Roman"/>
                <w:sz w:val="21"/>
              </w:rPr>
              <w:t>15</w:t>
            </w:r>
          </w:p>
        </w:tc>
      </w:tr>
    </w:tbl>
    <w:p>
      <w:pPr>
        <w:pStyle w:val="6"/>
        <w:numPr>
          <w:ilvl w:val="2"/>
          <w:numId w:val="67"/>
        </w:numPr>
        <w:tabs>
          <w:tab w:val="left" w:pos="2048"/>
        </w:tabs>
        <w:spacing w:before="1" w:after="0" w:line="240" w:lineRule="auto"/>
        <w:ind w:left="2047" w:right="0" w:hanging="630"/>
        <w:jc w:val="left"/>
      </w:pPr>
      <w:bookmarkStart w:id="370" w:name="6.4.2地表水影响评价"/>
      <w:bookmarkEnd w:id="370"/>
      <w:bookmarkStart w:id="371" w:name="6.4.2地表水影响评价"/>
      <w:bookmarkEnd w:id="371"/>
      <w:r>
        <w:t>地表水影响评价</w:t>
      </w:r>
    </w:p>
    <w:p>
      <w:pPr>
        <w:pStyle w:val="18"/>
        <w:numPr>
          <w:ilvl w:val="0"/>
          <w:numId w:val="68"/>
        </w:numPr>
        <w:tabs>
          <w:tab w:val="left" w:pos="2500"/>
        </w:tabs>
        <w:spacing w:before="186" w:after="0" w:line="240" w:lineRule="auto"/>
        <w:ind w:left="2499" w:right="0" w:hanging="602"/>
        <w:jc w:val="left"/>
        <w:rPr>
          <w:sz w:val="24"/>
        </w:rPr>
      </w:pPr>
      <w:r>
        <w:rPr>
          <w:sz w:val="24"/>
        </w:rPr>
        <w:t>预测评价方案</w:t>
      </w:r>
    </w:p>
    <w:p>
      <w:pPr>
        <w:pStyle w:val="9"/>
        <w:spacing w:before="160" w:line="364" w:lineRule="auto"/>
        <w:ind w:left="1418" w:right="1417" w:firstLine="480"/>
        <w:jc w:val="both"/>
      </w:pPr>
      <w:r>
        <w:rPr>
          <w:spacing w:val="-4"/>
        </w:rPr>
        <w:t>本项目运行期对地表水影响进行预测，采煤废水处理站正常运行时废水主要污染物</w:t>
      </w:r>
      <w:r>
        <w:rPr>
          <w:rFonts w:ascii="Times New Roman" w:hAnsi="Times New Roman" w:eastAsia="Times New Roman"/>
        </w:rPr>
        <w:t xml:space="preserve">COD </w:t>
      </w:r>
      <w:r>
        <w:t xml:space="preserve">浓度低于《地表水环境质量标准》Ⅱ类标准 </w:t>
      </w:r>
      <w:r>
        <w:rPr>
          <w:rFonts w:ascii="Times New Roman" w:hAnsi="Times New Roman" w:eastAsia="Times New Roman"/>
        </w:rPr>
        <w:t xml:space="preserve">COD </w:t>
      </w:r>
      <w:r>
        <w:rPr>
          <w:spacing w:val="3"/>
        </w:rPr>
        <w:t>浓度且低于安邦河现状地表水</w:t>
      </w:r>
      <w:r>
        <w:rPr>
          <w:rFonts w:ascii="Times New Roman" w:hAnsi="Times New Roman" w:eastAsia="Times New Roman"/>
          <w:spacing w:val="3"/>
        </w:rPr>
        <w:t xml:space="preserve">COD </w:t>
      </w:r>
      <w:r>
        <w:t>浓度，仅对事故状况下排水进行预测与评价。</w:t>
      </w:r>
    </w:p>
    <w:p>
      <w:pPr>
        <w:pStyle w:val="9"/>
        <w:spacing w:line="364" w:lineRule="auto"/>
        <w:ind w:left="1418" w:right="1417" w:firstLine="480"/>
        <w:jc w:val="both"/>
      </w:pPr>
      <w:r>
        <w:rPr>
          <w:spacing w:val="-3"/>
        </w:rPr>
        <w:t>由于安邦河河道水质现状监测结果已经是受面源排放影响后的叠加值，加之本项目</w:t>
      </w:r>
      <w:r>
        <w:rPr>
          <w:spacing w:val="-4"/>
        </w:rPr>
        <w:t>最大排水量排水占安邦河地表径流流量较小，不会对地表径流造成明显水力冲击，且安</w:t>
      </w:r>
      <w:r>
        <w:rPr>
          <w:spacing w:val="-5"/>
        </w:rPr>
        <w:t>邦河沿岸无新增其他面源，因此仅考虑本项目点源汇入影响，不再对原有污染源进行重</w:t>
      </w:r>
      <w:r>
        <w:t>复叠加预测计算。</w:t>
      </w:r>
    </w:p>
    <w:p>
      <w:pPr>
        <w:pStyle w:val="18"/>
        <w:numPr>
          <w:ilvl w:val="0"/>
          <w:numId w:val="68"/>
        </w:numPr>
        <w:tabs>
          <w:tab w:val="left" w:pos="2500"/>
        </w:tabs>
        <w:spacing w:before="0" w:after="0" w:line="240" w:lineRule="auto"/>
        <w:ind w:left="2499" w:right="0" w:hanging="602"/>
        <w:jc w:val="left"/>
        <w:rPr>
          <w:sz w:val="24"/>
        </w:rPr>
      </w:pPr>
      <w:r>
        <w:rPr>
          <w:sz w:val="24"/>
        </w:rPr>
        <w:t>预测模式</w:t>
      </w:r>
    </w:p>
    <w:p>
      <w:pPr>
        <w:pStyle w:val="9"/>
        <w:spacing w:before="155"/>
        <w:ind w:left="1898"/>
      </w:pPr>
      <w:r>
        <w:t>预测模式采用完全混合模式，其公式如下：</w:t>
      </w:r>
    </w:p>
    <w:p>
      <w:pPr>
        <w:pStyle w:val="9"/>
        <w:spacing w:before="7"/>
        <w:rPr>
          <w:sz w:val="25"/>
        </w:rPr>
      </w:pPr>
      <w:r>
        <w:drawing>
          <wp:anchor distT="0" distB="0" distL="0" distR="0" simplePos="0" relativeHeight="1024" behindDoc="0" locked="0" layoutInCell="1" allowOverlap="1">
            <wp:simplePos x="0" y="0"/>
            <wp:positionH relativeFrom="page">
              <wp:posOffset>1921510</wp:posOffset>
            </wp:positionH>
            <wp:positionV relativeFrom="paragraph">
              <wp:posOffset>232410</wp:posOffset>
            </wp:positionV>
            <wp:extent cx="3651885" cy="331470"/>
            <wp:effectExtent l="0" t="0" r="0" b="0"/>
            <wp:wrapTopAndBottom/>
            <wp:docPr id="5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4.jpeg"/>
                    <pic:cNvPicPr>
                      <a:picLocks noChangeAspect="1"/>
                    </pic:cNvPicPr>
                  </pic:nvPicPr>
                  <pic:blipFill>
                    <a:blip r:embed="rId57" cstate="print"/>
                    <a:stretch>
                      <a:fillRect/>
                    </a:stretch>
                  </pic:blipFill>
                  <pic:spPr>
                    <a:xfrm>
                      <a:off x="0" y="0"/>
                      <a:ext cx="3652186" cy="331470"/>
                    </a:xfrm>
                    <a:prstGeom prst="rect">
                      <a:avLst/>
                    </a:prstGeom>
                  </pic:spPr>
                </pic:pic>
              </a:graphicData>
            </a:graphic>
          </wp:anchor>
        </w:drawing>
      </w:r>
    </w:p>
    <w:p>
      <w:pPr>
        <w:pStyle w:val="9"/>
        <w:spacing w:before="143" w:line="362" w:lineRule="auto"/>
        <w:ind w:left="1898" w:right="6431"/>
      </w:pPr>
      <w:r>
        <w:t>式中：</w:t>
      </w:r>
      <w:r>
        <w:rPr>
          <w:rFonts w:ascii="Times New Roman" w:hAnsi="Times New Roman" w:eastAsia="Times New Roman"/>
        </w:rPr>
        <w:t>C——</w:t>
      </w:r>
      <w:r>
        <w:t>污染物浓度，</w:t>
      </w:r>
      <w:r>
        <w:rPr>
          <w:rFonts w:ascii="Times New Roman" w:hAnsi="Times New Roman" w:eastAsia="Times New Roman"/>
        </w:rPr>
        <w:t>mg/L</w:t>
      </w:r>
      <w:r>
        <w:t xml:space="preserve">； </w:t>
      </w:r>
      <w:r>
        <w:rPr>
          <w:rFonts w:ascii="Times New Roman" w:hAnsi="Times New Roman" w:eastAsia="Times New Roman"/>
          <w:position w:val="2"/>
        </w:rPr>
        <w:t>C</w:t>
      </w:r>
      <w:r>
        <w:rPr>
          <w:rFonts w:ascii="Times New Roman" w:hAnsi="Times New Roman" w:eastAsia="Times New Roman"/>
          <w:position w:val="2"/>
          <w:vertAlign w:val="subscript"/>
        </w:rPr>
        <w:t>p</w:t>
      </w:r>
      <w:r>
        <w:rPr>
          <w:rFonts w:ascii="Times New Roman" w:hAnsi="Times New Roman" w:eastAsia="Times New Roman"/>
          <w:position w:val="2"/>
          <w:vertAlign w:val="baseline"/>
        </w:rPr>
        <w:t>——</w:t>
      </w:r>
      <w:r>
        <w:rPr>
          <w:position w:val="2"/>
          <w:vertAlign w:val="baseline"/>
        </w:rPr>
        <w:t>污染物排放浓度，</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position w:val="2"/>
          <w:vertAlign w:val="baseline"/>
        </w:rPr>
        <w:t>Q</w:t>
      </w:r>
      <w:r>
        <w:rPr>
          <w:rFonts w:ascii="Times New Roman" w:hAnsi="Times New Roman" w:eastAsia="Times New Roman"/>
          <w:position w:val="2"/>
          <w:vertAlign w:val="subscript"/>
        </w:rPr>
        <w:t>p</w:t>
      </w:r>
      <w:r>
        <w:rPr>
          <w:rFonts w:ascii="Times New Roman" w:hAnsi="Times New Roman" w:eastAsia="Times New Roman"/>
          <w:position w:val="2"/>
          <w:vertAlign w:val="baseline"/>
        </w:rPr>
        <w:t>——</w:t>
      </w:r>
      <w:r>
        <w:rPr>
          <w:position w:val="2"/>
          <w:vertAlign w:val="baseline"/>
        </w:rPr>
        <w:t>污水排放量，</w:t>
      </w:r>
      <w:r>
        <w:rPr>
          <w:rFonts w:ascii="Times New Roman" w:hAnsi="Times New Roman" w:eastAsia="Times New Roman"/>
          <w:position w:val="2"/>
          <w:vertAlign w:val="baseline"/>
        </w:rPr>
        <w:t>m</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/s</w:t>
      </w:r>
      <w:r>
        <w:rPr>
          <w:position w:val="2"/>
          <w:vertAlign w:val="baseline"/>
        </w:rPr>
        <w:t>；</w:t>
      </w:r>
    </w:p>
    <w:p>
      <w:pPr>
        <w:pStyle w:val="9"/>
        <w:spacing w:line="360" w:lineRule="auto"/>
        <w:ind w:left="1898" w:right="6113"/>
      </w:pPr>
      <w:r>
        <w:rPr>
          <w:rFonts w:ascii="Times New Roman" w:hAnsi="Times New Roman" w:eastAsia="Times New Roman"/>
          <w:position w:val="2"/>
        </w:rPr>
        <w:t>C</w:t>
      </w:r>
      <w:r>
        <w:rPr>
          <w:rFonts w:ascii="Times New Roman" w:hAnsi="Times New Roman" w:eastAsia="Times New Roman"/>
          <w:position w:val="2"/>
          <w:vertAlign w:val="subscript"/>
        </w:rPr>
        <w:t>h</w:t>
      </w:r>
      <w:r>
        <w:rPr>
          <w:rFonts w:ascii="Times New Roman" w:hAnsi="Times New Roman" w:eastAsia="Times New Roman"/>
          <w:position w:val="2"/>
          <w:vertAlign w:val="baseline"/>
        </w:rPr>
        <w:t>——</w:t>
      </w:r>
      <w:r>
        <w:rPr>
          <w:position w:val="2"/>
          <w:vertAlign w:val="baseline"/>
        </w:rPr>
        <w:t>河流上游污染物浓度，</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position w:val="2"/>
          <w:vertAlign w:val="baseline"/>
        </w:rPr>
        <w:t>Q</w:t>
      </w:r>
      <w:r>
        <w:rPr>
          <w:rFonts w:ascii="Times New Roman" w:hAnsi="Times New Roman" w:eastAsia="Times New Roman"/>
          <w:position w:val="2"/>
          <w:vertAlign w:val="subscript"/>
        </w:rPr>
        <w:t>h</w:t>
      </w:r>
      <w:r>
        <w:rPr>
          <w:rFonts w:ascii="Times New Roman" w:hAnsi="Times New Roman" w:eastAsia="Times New Roman"/>
          <w:position w:val="2"/>
          <w:vertAlign w:val="baseline"/>
        </w:rPr>
        <w:t>——</w:t>
      </w:r>
      <w:r>
        <w:rPr>
          <w:position w:val="2"/>
          <w:vertAlign w:val="baseline"/>
        </w:rPr>
        <w:t>河流流量，</w:t>
      </w:r>
      <w:r>
        <w:rPr>
          <w:rFonts w:ascii="Times New Roman" w:hAnsi="Times New Roman" w:eastAsia="Times New Roman"/>
          <w:position w:val="2"/>
          <w:vertAlign w:val="baseline"/>
        </w:rPr>
        <w:t>m</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/s</w:t>
      </w:r>
      <w:r>
        <w:rPr>
          <w:position w:val="2"/>
          <w:vertAlign w:val="baseline"/>
        </w:rPr>
        <w:t>；</w:t>
      </w:r>
    </w:p>
    <w:p>
      <w:pPr>
        <w:pStyle w:val="18"/>
        <w:numPr>
          <w:ilvl w:val="1"/>
          <w:numId w:val="24"/>
        </w:numPr>
        <w:tabs>
          <w:tab w:val="left" w:pos="2179"/>
        </w:tabs>
        <w:spacing w:before="2" w:after="0" w:line="240" w:lineRule="auto"/>
        <w:ind w:left="2178" w:right="0" w:hanging="281"/>
        <w:jc w:val="left"/>
        <w:rPr>
          <w:sz w:val="24"/>
        </w:rPr>
      </w:pPr>
      <w:r>
        <w:rPr>
          <w:sz w:val="24"/>
        </w:rPr>
        <w:t>预测评价因子</w:t>
      </w:r>
    </w:p>
    <w:p>
      <w:pPr>
        <w:pStyle w:val="9"/>
        <w:spacing w:before="159" w:line="364" w:lineRule="auto"/>
        <w:ind w:left="1898" w:right="6252"/>
      </w:pPr>
      <w:r>
        <w:t xml:space="preserve">本次地表水预测评价因子为 </w:t>
      </w:r>
      <w:r>
        <w:rPr>
          <w:rFonts w:ascii="Times New Roman" w:eastAsia="Times New Roman"/>
        </w:rPr>
        <w:t>COD</w:t>
      </w:r>
      <w:r>
        <w:t>。</w:t>
      </w:r>
      <w:r>
        <w:rPr>
          <w:rFonts w:ascii="Times New Roman" w:eastAsia="Times New Roman"/>
        </w:rPr>
        <w:t>(4)</w:t>
      </w:r>
      <w:r>
        <w:t>预测结果</w:t>
      </w:r>
    </w:p>
    <w:p>
      <w:pPr>
        <w:pStyle w:val="9"/>
        <w:spacing w:line="306" w:lineRule="exact"/>
        <w:ind w:left="1898"/>
      </w:pPr>
      <w:r>
        <w:t>经过预测计算，预测断面相关污染物预测值见下表。</w:t>
      </w:r>
    </w:p>
    <w:p>
      <w:pPr>
        <w:spacing w:before="159" w:after="2"/>
        <w:ind w:left="7" w:right="0" w:firstLine="0"/>
        <w:jc w:val="center"/>
        <w:rPr>
          <w:b/>
          <w:sz w:val="21"/>
        </w:rPr>
      </w:pPr>
      <w:r>
        <mc:AlternateContent>
          <mc:Choice Requires="wps">
            <w:drawing>
              <wp:anchor distT="0" distB="0" distL="114300" distR="114300" simplePos="0" relativeHeight="212780032" behindDoc="1" locked="0" layoutInCell="1" allowOverlap="1">
                <wp:simplePos x="0" y="0"/>
                <wp:positionH relativeFrom="page">
                  <wp:posOffset>814705</wp:posOffset>
                </wp:positionH>
                <wp:positionV relativeFrom="paragraph">
                  <wp:posOffset>278130</wp:posOffset>
                </wp:positionV>
                <wp:extent cx="2310130" cy="387985"/>
                <wp:effectExtent l="635" t="4445" r="13335" b="7620"/>
                <wp:wrapNone/>
                <wp:docPr id="32" name="直线 55"/>
                <wp:cNvGraphicFramePr/>
                <a:graphic xmlns:a="http://schemas.openxmlformats.org/drawingml/2006/main">
                  <a:graphicData uri="http://schemas.microsoft.com/office/word/2010/wordprocessingShape">
                    <wps:wsp>
                      <wps:cNvSpPr/>
                      <wps:spPr>
                        <a:xfrm>
                          <a:off x="0" y="0"/>
                          <a:ext cx="2310130" cy="38798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55" o:spid="_x0000_s1026" o:spt="20" style="position:absolute;left:0pt;margin-left:64.15pt;margin-top:21.9pt;height:30.55pt;width:181.9pt;mso-position-horizontal-relative:page;z-index:-290536448;mso-width-relative:page;mso-height-relative:page;" filled="f" stroked="t" coordsize="21600,21600" o:gfxdata="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tGs6rWAAAACgEAAA8AAAAAAAAAAQAgAAAA&#10;IgAAAGRycy9kb3ducmV2LnhtbFBLAQIUABQAAAAIAIdO4kDJnTgo1AEAAJQDAAAOAAAAAAAAAAEA&#10;IAAAACUBAABkcnMvZTJvRG9jLnhtbFBLBQYAAAAABgAGAFkBAABrBQAAAAA=&#10;">
                <v:fill on="f" focussize="0,0"/>
                <v:stroke weight="0.5pt" color="#000000" joinstyle="round"/>
                <v:imagedata o:title=""/>
                <o:lock v:ext="edit" aspectratio="f"/>
              </v:line>
            </w:pict>
          </mc:Fallback>
        </mc:AlternateContent>
      </w:r>
      <w:r>
        <w:rPr>
          <w:b/>
          <w:spacing w:val="-27"/>
          <w:sz w:val="21"/>
        </w:rPr>
        <w:t xml:space="preserve">表 </w:t>
      </w:r>
      <w:r>
        <w:rPr>
          <w:rFonts w:ascii="Times New Roman" w:eastAsia="Times New Roman"/>
          <w:b/>
          <w:sz w:val="21"/>
        </w:rPr>
        <w:t>6.4-3</w:t>
      </w:r>
      <w:r>
        <w:rPr>
          <w:rFonts w:ascii="Times New Roman" w:eastAsia="Times New Roman"/>
          <w:b/>
          <w:spacing w:val="48"/>
          <w:sz w:val="21"/>
        </w:rPr>
        <w:t xml:space="preserve"> </w:t>
      </w:r>
      <w:r>
        <w:rPr>
          <w:b/>
          <w:sz w:val="21"/>
        </w:rPr>
        <w:t>地表水预测结果一览表</w:t>
      </w:r>
    </w:p>
    <w:tbl>
      <w:tblPr>
        <w:tblStyle w:val="15"/>
        <w:tblW w:w="0" w:type="auto"/>
        <w:tblInd w:w="12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2712"/>
        <w:gridCol w:w="1824"/>
        <w:gridCol w:w="2150"/>
        <w:gridCol w:w="1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3643" w:type="dxa"/>
            <w:gridSpan w:val="2"/>
            <w:vMerge w:val="restart"/>
          </w:tcPr>
          <w:p>
            <w:pPr>
              <w:pStyle w:val="19"/>
              <w:spacing w:before="30"/>
              <w:ind w:left="3115"/>
              <w:jc w:val="left"/>
              <w:rPr>
                <w:sz w:val="21"/>
              </w:rPr>
            </w:pPr>
            <w:r>
              <w:rPr>
                <w:sz w:val="21"/>
              </w:rPr>
              <w:t>项目</w:t>
            </w:r>
          </w:p>
          <w:p>
            <w:pPr>
              <w:pStyle w:val="19"/>
              <w:spacing w:before="3"/>
              <w:ind w:left="108"/>
              <w:jc w:val="left"/>
              <w:rPr>
                <w:sz w:val="21"/>
              </w:rPr>
            </w:pPr>
            <w:r>
              <w:rPr>
                <w:sz w:val="21"/>
              </w:rPr>
              <w:t>名称</w:t>
            </w:r>
          </w:p>
        </w:tc>
        <w:tc>
          <w:tcPr>
            <w:tcW w:w="5701" w:type="dxa"/>
            <w:gridSpan w:val="3"/>
          </w:tcPr>
          <w:p>
            <w:pPr>
              <w:pStyle w:val="19"/>
              <w:spacing w:before="40"/>
              <w:ind w:left="2607" w:right="2600"/>
              <w:rPr>
                <w:rFonts w:ascii="Times New Roman"/>
                <w:sz w:val="21"/>
              </w:rPr>
            </w:pPr>
            <w:r>
              <w:rPr>
                <w:rFonts w:ascii="Times New Roman"/>
                <w:sz w:val="21"/>
              </w:rPr>
              <w:t>COD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643" w:type="dxa"/>
            <w:gridSpan w:val="2"/>
            <w:vMerge w:val="continue"/>
            <w:tcBorders>
              <w:top w:val="nil"/>
            </w:tcBorders>
          </w:tcPr>
          <w:p>
            <w:pPr>
              <w:rPr>
                <w:sz w:val="2"/>
                <w:szCs w:val="2"/>
              </w:rPr>
            </w:pPr>
          </w:p>
        </w:tc>
        <w:tc>
          <w:tcPr>
            <w:tcW w:w="1824" w:type="dxa"/>
          </w:tcPr>
          <w:p>
            <w:pPr>
              <w:pStyle w:val="19"/>
              <w:spacing w:before="1" w:line="251" w:lineRule="exact"/>
              <w:ind w:left="108" w:right="-15"/>
              <w:jc w:val="left"/>
              <w:rPr>
                <w:sz w:val="21"/>
              </w:rPr>
            </w:pPr>
            <w:r>
              <w:rPr>
                <w:sz w:val="21"/>
              </w:rPr>
              <w:t>现状浓度（</w:t>
            </w:r>
            <w:r>
              <w:rPr>
                <w:rFonts w:ascii="Times New Roman" w:eastAsia="Times New Roman"/>
                <w:sz w:val="21"/>
              </w:rPr>
              <w:t>mg/L</w:t>
            </w:r>
            <w:r>
              <w:rPr>
                <w:sz w:val="21"/>
              </w:rPr>
              <w:t>）</w:t>
            </w:r>
          </w:p>
        </w:tc>
        <w:tc>
          <w:tcPr>
            <w:tcW w:w="2150" w:type="dxa"/>
          </w:tcPr>
          <w:p>
            <w:pPr>
              <w:pStyle w:val="19"/>
              <w:spacing w:before="1" w:line="251" w:lineRule="exact"/>
              <w:ind w:left="196" w:right="189"/>
              <w:rPr>
                <w:sz w:val="21"/>
              </w:rPr>
            </w:pPr>
            <w:r>
              <w:rPr>
                <w:sz w:val="21"/>
              </w:rPr>
              <w:t>预测浓度（</w:t>
            </w:r>
            <w:r>
              <w:rPr>
                <w:rFonts w:ascii="Times New Roman" w:eastAsia="Times New Roman"/>
                <w:sz w:val="21"/>
              </w:rPr>
              <w:t>mg/L</w:t>
            </w:r>
            <w:r>
              <w:rPr>
                <w:sz w:val="21"/>
              </w:rPr>
              <w:t>）</w:t>
            </w:r>
          </w:p>
        </w:tc>
        <w:tc>
          <w:tcPr>
            <w:tcW w:w="1727" w:type="dxa"/>
          </w:tcPr>
          <w:p>
            <w:pPr>
              <w:pStyle w:val="19"/>
              <w:spacing w:before="1" w:line="251" w:lineRule="exact"/>
              <w:ind w:left="132" w:right="11"/>
              <w:rPr>
                <w:sz w:val="21"/>
              </w:rPr>
            </w:pPr>
            <w:r>
              <w:rPr>
                <w:spacing w:val="-24"/>
                <w:w w:val="95"/>
                <w:sz w:val="21"/>
              </w:rPr>
              <w:t>变化情况</w:t>
            </w:r>
            <w:r>
              <w:rPr>
                <w:w w:val="95"/>
                <w:sz w:val="21"/>
              </w:rPr>
              <w:t>（</w:t>
            </w:r>
            <w:r>
              <w:rPr>
                <w:rFonts w:ascii="Times New Roman" w:eastAsia="Times New Roman"/>
                <w:w w:val="95"/>
                <w:sz w:val="21"/>
              </w:rPr>
              <w:t>mg/L</w:t>
            </w:r>
            <w:r>
              <w:rPr>
                <w:w w:val="95"/>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931" w:type="dxa"/>
            <w:vMerge w:val="restart"/>
          </w:tcPr>
          <w:p>
            <w:pPr>
              <w:pStyle w:val="19"/>
              <w:jc w:val="left"/>
              <w:rPr>
                <w:rFonts w:ascii="Times New Roman"/>
                <w:sz w:val="22"/>
              </w:rPr>
            </w:pPr>
          </w:p>
        </w:tc>
        <w:tc>
          <w:tcPr>
            <w:tcW w:w="2712" w:type="dxa"/>
          </w:tcPr>
          <w:p>
            <w:pPr>
              <w:pStyle w:val="19"/>
              <w:spacing w:before="1" w:line="250" w:lineRule="exact"/>
              <w:ind w:left="276"/>
              <w:jc w:val="left"/>
              <w:rPr>
                <w:sz w:val="21"/>
              </w:rPr>
            </w:pPr>
            <w:r>
              <w:rPr>
                <w:sz w:val="21"/>
              </w:rPr>
              <w:t xml:space="preserve">下游 </w:t>
            </w:r>
            <w:r>
              <w:rPr>
                <w:rFonts w:ascii="Times New Roman" w:eastAsia="Times New Roman"/>
                <w:sz w:val="21"/>
              </w:rPr>
              <w:t xml:space="preserve">1000m </w:t>
            </w:r>
            <w:r>
              <w:rPr>
                <w:sz w:val="21"/>
              </w:rPr>
              <w:t>断面预测值</w:t>
            </w:r>
          </w:p>
        </w:tc>
        <w:tc>
          <w:tcPr>
            <w:tcW w:w="1824" w:type="dxa"/>
          </w:tcPr>
          <w:p>
            <w:pPr>
              <w:pStyle w:val="19"/>
              <w:spacing w:before="13" w:line="239" w:lineRule="exact"/>
              <w:ind w:left="787" w:right="777"/>
              <w:rPr>
                <w:rFonts w:ascii="Times New Roman"/>
                <w:sz w:val="21"/>
              </w:rPr>
            </w:pPr>
            <w:r>
              <w:rPr>
                <w:rFonts w:ascii="Times New Roman"/>
                <w:sz w:val="21"/>
              </w:rPr>
              <w:t>14</w:t>
            </w:r>
          </w:p>
        </w:tc>
        <w:tc>
          <w:tcPr>
            <w:tcW w:w="2150" w:type="dxa"/>
          </w:tcPr>
          <w:p>
            <w:pPr>
              <w:pStyle w:val="19"/>
              <w:spacing w:before="13" w:line="239" w:lineRule="exact"/>
              <w:ind w:left="196" w:right="188"/>
              <w:rPr>
                <w:rFonts w:ascii="Times New Roman"/>
                <w:sz w:val="21"/>
              </w:rPr>
            </w:pPr>
            <w:r>
              <w:rPr>
                <w:rFonts w:ascii="Times New Roman"/>
                <w:sz w:val="21"/>
              </w:rPr>
              <w:t>14.0625</w:t>
            </w:r>
          </w:p>
        </w:tc>
        <w:tc>
          <w:tcPr>
            <w:tcW w:w="1727" w:type="dxa"/>
          </w:tcPr>
          <w:p>
            <w:pPr>
              <w:pStyle w:val="19"/>
              <w:spacing w:before="13" w:line="239" w:lineRule="exact"/>
              <w:ind w:left="20" w:right="11"/>
              <w:rPr>
                <w:rFonts w:ascii="Times New Roman"/>
                <w:sz w:val="21"/>
              </w:rPr>
            </w:pPr>
            <w:r>
              <w:rPr>
                <w:rFonts w:ascii="Times New Roman"/>
                <w:sz w:val="21"/>
              </w:rPr>
              <w:t>+0.0625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31" w:type="dxa"/>
            <w:vMerge w:val="continue"/>
            <w:tcBorders>
              <w:top w:val="nil"/>
            </w:tcBorders>
          </w:tcPr>
          <w:p>
            <w:pPr>
              <w:rPr>
                <w:sz w:val="2"/>
                <w:szCs w:val="2"/>
              </w:rPr>
            </w:pPr>
          </w:p>
        </w:tc>
        <w:tc>
          <w:tcPr>
            <w:tcW w:w="2712" w:type="dxa"/>
          </w:tcPr>
          <w:p>
            <w:pPr>
              <w:pStyle w:val="19"/>
              <w:spacing w:before="3" w:line="249" w:lineRule="exact"/>
              <w:ind w:left="276"/>
              <w:jc w:val="left"/>
              <w:rPr>
                <w:sz w:val="21"/>
              </w:rPr>
            </w:pPr>
            <w:r>
              <w:rPr>
                <w:sz w:val="21"/>
              </w:rPr>
              <w:t xml:space="preserve">下游 </w:t>
            </w:r>
            <w:r>
              <w:rPr>
                <w:rFonts w:ascii="Times New Roman" w:eastAsia="Times New Roman"/>
                <w:sz w:val="21"/>
              </w:rPr>
              <w:t xml:space="preserve">5000m </w:t>
            </w:r>
            <w:r>
              <w:rPr>
                <w:sz w:val="21"/>
              </w:rPr>
              <w:t>断面预测值</w:t>
            </w:r>
          </w:p>
        </w:tc>
        <w:tc>
          <w:tcPr>
            <w:tcW w:w="1824" w:type="dxa"/>
          </w:tcPr>
          <w:p>
            <w:pPr>
              <w:pStyle w:val="19"/>
              <w:spacing w:before="14" w:line="237" w:lineRule="exact"/>
              <w:ind w:left="787" w:right="777"/>
              <w:rPr>
                <w:rFonts w:ascii="Times New Roman"/>
                <w:sz w:val="21"/>
              </w:rPr>
            </w:pPr>
            <w:r>
              <w:rPr>
                <w:rFonts w:ascii="Times New Roman"/>
                <w:sz w:val="21"/>
              </w:rPr>
              <w:t>15</w:t>
            </w:r>
          </w:p>
        </w:tc>
        <w:tc>
          <w:tcPr>
            <w:tcW w:w="2150" w:type="dxa"/>
          </w:tcPr>
          <w:p>
            <w:pPr>
              <w:pStyle w:val="19"/>
              <w:spacing w:before="14" w:line="237" w:lineRule="exact"/>
              <w:ind w:left="196" w:right="188"/>
              <w:rPr>
                <w:rFonts w:ascii="Times New Roman"/>
                <w:sz w:val="21"/>
              </w:rPr>
            </w:pPr>
            <w:r>
              <w:rPr>
                <w:rFonts w:ascii="Times New Roman"/>
                <w:sz w:val="21"/>
              </w:rPr>
              <w:t>15.0621</w:t>
            </w:r>
          </w:p>
        </w:tc>
        <w:tc>
          <w:tcPr>
            <w:tcW w:w="1727" w:type="dxa"/>
          </w:tcPr>
          <w:p>
            <w:pPr>
              <w:pStyle w:val="19"/>
              <w:spacing w:before="14" w:line="237" w:lineRule="exact"/>
              <w:ind w:left="20" w:right="11"/>
              <w:rPr>
                <w:rFonts w:ascii="Times New Roman"/>
                <w:sz w:val="21"/>
              </w:rPr>
            </w:pPr>
            <w:r>
              <w:rPr>
                <w:rFonts w:ascii="Times New Roman"/>
                <w:sz w:val="21"/>
              </w:rPr>
              <w:t>+0.0621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643" w:type="dxa"/>
            <w:gridSpan w:val="2"/>
          </w:tcPr>
          <w:p>
            <w:pPr>
              <w:pStyle w:val="19"/>
              <w:spacing w:before="2" w:line="251" w:lineRule="exact"/>
              <w:ind w:left="456"/>
              <w:jc w:val="left"/>
              <w:rPr>
                <w:sz w:val="21"/>
              </w:rPr>
            </w:pPr>
            <w:r>
              <w:rPr>
                <w:sz w:val="21"/>
              </w:rPr>
              <w:t>《地表水环境质量标准》Ⅱ类</w:t>
            </w:r>
          </w:p>
        </w:tc>
        <w:tc>
          <w:tcPr>
            <w:tcW w:w="3974" w:type="dxa"/>
            <w:gridSpan w:val="2"/>
          </w:tcPr>
          <w:p>
            <w:pPr>
              <w:pStyle w:val="19"/>
              <w:spacing w:before="15" w:line="237" w:lineRule="exact"/>
              <w:ind w:left="1862" w:right="1852"/>
              <w:rPr>
                <w:rFonts w:ascii="Times New Roman"/>
                <w:sz w:val="21"/>
              </w:rPr>
            </w:pPr>
            <w:r>
              <w:rPr>
                <w:rFonts w:ascii="Times New Roman"/>
                <w:sz w:val="21"/>
              </w:rPr>
              <w:t>15</w:t>
            </w:r>
          </w:p>
        </w:tc>
        <w:tc>
          <w:tcPr>
            <w:tcW w:w="1727" w:type="dxa"/>
          </w:tcPr>
          <w:p>
            <w:pPr>
              <w:pStyle w:val="19"/>
              <w:spacing w:before="15" w:line="237" w:lineRule="exact"/>
              <w:ind w:left="8"/>
              <w:rPr>
                <w:rFonts w:ascii="Times New Roman"/>
                <w:sz w:val="21"/>
              </w:rPr>
            </w:pPr>
            <w:r>
              <w:rPr>
                <w:rFonts w:ascii="Times New Roman"/>
                <w:w w:val="99"/>
                <w:sz w:val="21"/>
              </w:rPr>
              <w:t>/</w:t>
            </w:r>
          </w:p>
        </w:tc>
      </w:tr>
    </w:tbl>
    <w:p>
      <w:pPr>
        <w:spacing w:after="0" w:line="237" w:lineRule="exact"/>
        <w:rPr>
          <w:rFonts w:ascii="Times New Roman"/>
          <w:sz w:val="21"/>
        </w:rPr>
        <w:sectPr>
          <w:pgSz w:w="11910" w:h="16840"/>
          <w:pgMar w:top="1340" w:right="0" w:bottom="880" w:left="0" w:header="0" w:footer="681" w:gutter="0"/>
        </w:sectPr>
      </w:pPr>
    </w:p>
    <w:p>
      <w:pPr>
        <w:pStyle w:val="18"/>
        <w:numPr>
          <w:ilvl w:val="0"/>
          <w:numId w:val="68"/>
        </w:numPr>
        <w:tabs>
          <w:tab w:val="left" w:pos="2500"/>
        </w:tabs>
        <w:spacing w:before="61" w:after="0" w:line="240" w:lineRule="auto"/>
        <w:ind w:left="2499" w:right="0" w:hanging="602"/>
        <w:jc w:val="left"/>
        <w:rPr>
          <w:sz w:val="24"/>
        </w:rPr>
      </w:pPr>
      <w:r>
        <w:rPr>
          <w:sz w:val="24"/>
        </w:rPr>
        <w:t>地表水影响评价</w:t>
      </w:r>
    </w:p>
    <w:p>
      <w:pPr>
        <w:pStyle w:val="9"/>
        <w:spacing w:before="158" w:line="364" w:lineRule="auto"/>
        <w:ind w:left="1418" w:right="1413" w:firstLine="480"/>
        <w:jc w:val="both"/>
      </w:pPr>
      <w:r>
        <w:rPr>
          <w:spacing w:val="-2"/>
        </w:rPr>
        <w:t xml:space="preserve">由预测结果可知，在非正常情况下，矿井水未经处理直接排放，矿井水中 </w:t>
      </w:r>
      <w:r>
        <w:rPr>
          <w:rFonts w:ascii="Times New Roman" w:eastAsia="Times New Roman"/>
        </w:rPr>
        <w:t xml:space="preserve">COD </w:t>
      </w:r>
      <w:r>
        <w:t>超</w:t>
      </w:r>
      <w:r>
        <w:rPr>
          <w:spacing w:val="-2"/>
        </w:rPr>
        <w:t xml:space="preserve">过《煤炭工业污染物排放标准》。事故状态下，矿井水排放会对地表水中 </w:t>
      </w:r>
      <w:r>
        <w:rPr>
          <w:rFonts w:ascii="Times New Roman" w:eastAsia="Times New Roman"/>
        </w:rPr>
        <w:t xml:space="preserve">COD </w:t>
      </w:r>
      <w:r>
        <w:t>浓度增</w:t>
      </w:r>
      <w:r>
        <w:rPr>
          <w:spacing w:val="-27"/>
        </w:rPr>
        <w:t xml:space="preserve">加 </w:t>
      </w:r>
      <w:r>
        <w:rPr>
          <w:rFonts w:ascii="Times New Roman" w:eastAsia="Times New Roman"/>
          <w:spacing w:val="-3"/>
        </w:rPr>
        <w:t>0.0625mg/L</w:t>
      </w:r>
      <w:r>
        <w:rPr>
          <w:spacing w:val="-8"/>
        </w:rPr>
        <w:t>，增加了地表水的污染负荷。因此，要求建设单位加强管理，禁止矿井水</w:t>
      </w:r>
      <w:r>
        <w:t>的非正常排放。</w:t>
      </w:r>
    </w:p>
    <w:p>
      <w:pPr>
        <w:pStyle w:val="9"/>
        <w:spacing w:line="362" w:lineRule="auto"/>
        <w:ind w:left="1418" w:right="1354" w:firstLine="480"/>
      </w:pPr>
      <w:r>
        <w:t>为防止项目产生的污、废水非正常排放对地表水的影响，评价加强对项目污废水处理站的运行管理，确保污废水处理设施正常稳定运行，生活污水全部回用不外排。</w:t>
      </w:r>
    </w:p>
    <w:p>
      <w:pPr>
        <w:pStyle w:val="6"/>
        <w:numPr>
          <w:ilvl w:val="1"/>
          <w:numId w:val="67"/>
        </w:numPr>
        <w:tabs>
          <w:tab w:val="left" w:pos="1839"/>
        </w:tabs>
        <w:spacing w:before="6" w:after="0" w:line="240" w:lineRule="auto"/>
        <w:ind w:left="1838" w:right="0" w:hanging="421"/>
        <w:jc w:val="left"/>
        <w:rPr>
          <w:rFonts w:ascii="Times New Roman" w:eastAsia="Times New Roman"/>
        </w:rPr>
      </w:pPr>
      <w:bookmarkStart w:id="372" w:name="6.5水资源利用及水污染物防治措施可行性分析"/>
      <w:bookmarkEnd w:id="372"/>
      <w:bookmarkStart w:id="373" w:name="_bookmark38"/>
      <w:bookmarkEnd w:id="373"/>
      <w:bookmarkStart w:id="374" w:name="_bookmark38"/>
      <w:bookmarkEnd w:id="374"/>
      <w:r>
        <w:t>水资源利用及水污染物防治措施可行性分析</w:t>
      </w:r>
    </w:p>
    <w:p>
      <w:pPr>
        <w:pStyle w:val="18"/>
        <w:numPr>
          <w:ilvl w:val="2"/>
          <w:numId w:val="67"/>
        </w:numPr>
        <w:tabs>
          <w:tab w:val="left" w:pos="2048"/>
        </w:tabs>
        <w:spacing w:before="186" w:after="0" w:line="240" w:lineRule="auto"/>
        <w:ind w:left="2047" w:right="0" w:hanging="630"/>
        <w:jc w:val="left"/>
        <w:rPr>
          <w:b/>
          <w:sz w:val="28"/>
        </w:rPr>
      </w:pPr>
      <w:bookmarkStart w:id="375" w:name="6.5.1生活污水污染防治措施"/>
      <w:bookmarkEnd w:id="375"/>
      <w:bookmarkStart w:id="376" w:name="6.5.1生活污水污染防治措施"/>
      <w:bookmarkEnd w:id="376"/>
      <w:r>
        <w:rPr>
          <w:b/>
          <w:sz w:val="28"/>
        </w:rPr>
        <w:t>生活污水污染防治措施</w:t>
      </w:r>
    </w:p>
    <w:p>
      <w:pPr>
        <w:pStyle w:val="9"/>
        <w:spacing w:before="185" w:line="364" w:lineRule="auto"/>
        <w:ind w:left="1418" w:right="1286" w:firstLine="480"/>
      </w:pPr>
      <w:r>
        <w:rPr>
          <w:spacing w:val="-5"/>
        </w:rPr>
        <w:t xml:space="preserve">工业场地生活污水排水量约为 </w:t>
      </w:r>
      <w:r>
        <w:rPr>
          <w:rFonts w:ascii="Times New Roman" w:hAnsi="Times New Roman" w:eastAsia="Times New Roman"/>
        </w:rPr>
        <w:t>163.9m</w:t>
      </w:r>
      <w:r>
        <w:rPr>
          <w:rFonts w:ascii="Times New Roman" w:hAnsi="Times New Roman" w:eastAsia="Times New Roman"/>
          <w:position w:val="8"/>
          <w:sz w:val="15"/>
        </w:rPr>
        <w:t>3</w:t>
      </w:r>
      <w:r>
        <w:rPr>
          <w:rFonts w:ascii="Times New Roman" w:hAnsi="Times New Roman" w:eastAsia="Times New Roman"/>
        </w:rPr>
        <w:t>/d</w:t>
      </w:r>
      <w:r>
        <w:rPr>
          <w:spacing w:val="-1"/>
        </w:rPr>
        <w:t>，通过一体化综合污水处理装置</w:t>
      </w:r>
      <w:r>
        <w:t>（</w:t>
      </w:r>
      <w:r>
        <w:rPr>
          <w:rFonts w:ascii="Times New Roman" w:hAnsi="Times New Roman" w:eastAsia="Times New Roman"/>
        </w:rPr>
        <w:t>SBR+</w:t>
      </w:r>
      <w:r>
        <w:t>消毒）处理生活污水（</w:t>
      </w:r>
      <w:r>
        <w:rPr>
          <w:spacing w:val="-9"/>
        </w:rPr>
        <w:t xml:space="preserve">处理规模为 </w:t>
      </w:r>
      <w:r>
        <w:rPr>
          <w:rFonts w:ascii="Times New Roman" w:hAnsi="Times New Roman" w:eastAsia="Times New Roman"/>
        </w:rPr>
        <w:t>200m</w:t>
      </w:r>
      <w:r>
        <w:rPr>
          <w:rFonts w:ascii="Times New Roman" w:hAnsi="Times New Roman" w:eastAsia="Times New Roman"/>
          <w:position w:val="8"/>
          <w:sz w:val="15"/>
        </w:rPr>
        <w:t>3</w:t>
      </w:r>
      <w:r>
        <w:rPr>
          <w:rFonts w:ascii="Times New Roman" w:hAnsi="Times New Roman" w:eastAsia="Times New Roman"/>
        </w:rPr>
        <w:t>/d</w:t>
      </w:r>
      <w:r>
        <w:t>），综合污水处理设备是与传统的生化污水处</w:t>
      </w:r>
      <w:r>
        <w:rPr>
          <w:spacing w:val="-12"/>
        </w:rPr>
        <w:t>理设备相比，具有固液分离效果好、生化效率高、出水水质优、设备集中、占地面积小、</w:t>
      </w:r>
      <w:r>
        <w:rPr>
          <w:spacing w:val="-11"/>
        </w:rPr>
        <w:t>污泥浓度高、便于管理和自动控制等优点，出水水质能达到回用要求设备共有五部份组</w:t>
      </w:r>
      <w:r>
        <w:rPr>
          <w:spacing w:val="-6"/>
        </w:rPr>
        <w:t>成：①初沉池；②接触氧化池；③二沉池；④清水池；⑤污泥池；⑥风机房组成。预计</w:t>
      </w:r>
      <w:r>
        <w:rPr>
          <w:spacing w:val="-9"/>
          <w:position w:val="2"/>
        </w:rPr>
        <w:t>出水水质指标：</w:t>
      </w:r>
      <w:r>
        <w:rPr>
          <w:rFonts w:ascii="Times New Roman" w:hAnsi="Times New Roman" w:eastAsia="Times New Roman"/>
          <w:spacing w:val="-25"/>
          <w:position w:val="2"/>
        </w:rPr>
        <w:t xml:space="preserve">COD </w:t>
      </w:r>
      <w:r>
        <w:rPr>
          <w:position w:val="2"/>
        </w:rPr>
        <w:t>排放浓度</w:t>
      </w:r>
      <w:r>
        <w:rPr>
          <w:rFonts w:ascii="Times New Roman" w:hAnsi="Times New Roman" w:eastAsia="Times New Roman"/>
          <w:spacing w:val="-10"/>
          <w:position w:val="2"/>
        </w:rPr>
        <w:t>≤60mg/L</w:t>
      </w:r>
      <w:r>
        <w:rPr>
          <w:spacing w:val="-10"/>
          <w:position w:val="2"/>
        </w:rPr>
        <w:t>，</w:t>
      </w:r>
      <w:r>
        <w:rPr>
          <w:rFonts w:ascii="Times New Roman" w:hAnsi="Times New Roman" w:eastAsia="Times New Roman"/>
          <w:spacing w:val="-10"/>
          <w:position w:val="2"/>
        </w:rPr>
        <w:t xml:space="preserve">SS </w:t>
      </w:r>
      <w:r>
        <w:rPr>
          <w:position w:val="2"/>
        </w:rPr>
        <w:t>排放浓度</w:t>
      </w:r>
      <w:r>
        <w:rPr>
          <w:rFonts w:ascii="Times New Roman" w:hAnsi="Times New Roman" w:eastAsia="Times New Roman"/>
          <w:spacing w:val="-9"/>
          <w:position w:val="2"/>
        </w:rPr>
        <w:t>≤30mg/L</w:t>
      </w:r>
      <w:r>
        <w:rPr>
          <w:spacing w:val="-9"/>
          <w:position w:val="2"/>
        </w:rPr>
        <w:t>，</w:t>
      </w:r>
      <w:r>
        <w:rPr>
          <w:rFonts w:ascii="Times New Roman" w:hAnsi="Times New Roman" w:eastAsia="Times New Roman"/>
          <w:spacing w:val="-9"/>
          <w:position w:val="2"/>
        </w:rPr>
        <w:t>BOD</w:t>
      </w:r>
      <w:r>
        <w:rPr>
          <w:rFonts w:ascii="Times New Roman" w:hAnsi="Times New Roman" w:eastAsia="Times New Roman"/>
          <w:spacing w:val="-9"/>
          <w:position w:val="2"/>
          <w:vertAlign w:val="subscript"/>
        </w:rPr>
        <w:t>5</w:t>
      </w:r>
      <w:r>
        <w:rPr>
          <w:rFonts w:ascii="Times New Roman" w:hAnsi="Times New Roman" w:eastAsia="Times New Roman"/>
          <w:spacing w:val="-9"/>
          <w:position w:val="2"/>
          <w:vertAlign w:val="baseline"/>
        </w:rPr>
        <w:t xml:space="preserve"> </w:t>
      </w:r>
      <w:r>
        <w:rPr>
          <w:spacing w:val="-1"/>
          <w:position w:val="2"/>
          <w:vertAlign w:val="baseline"/>
        </w:rPr>
        <w:t>排放浓度</w:t>
      </w:r>
      <w:r>
        <w:rPr>
          <w:rFonts w:ascii="Times New Roman" w:hAnsi="Times New Roman" w:eastAsia="Times New Roman"/>
          <w:position w:val="2"/>
          <w:vertAlign w:val="baseline"/>
        </w:rPr>
        <w:t>≤15mg/L</w:t>
      </w:r>
      <w:r>
        <w:rPr>
          <w:position w:val="2"/>
          <w:vertAlign w:val="baseline"/>
        </w:rPr>
        <w:t xml:space="preserve">， </w:t>
      </w:r>
      <w:r>
        <w:rPr>
          <w:vertAlign w:val="baseline"/>
        </w:rPr>
        <w:t>氨氮排放浓度</w:t>
      </w:r>
      <w:r>
        <w:rPr>
          <w:rFonts w:ascii="Times New Roman" w:hAnsi="Times New Roman" w:eastAsia="Times New Roman"/>
          <w:vertAlign w:val="baseline"/>
        </w:rPr>
        <w:t>≤6mg/L</w:t>
      </w:r>
      <w:r>
        <w:rPr>
          <w:vertAlign w:val="baseline"/>
        </w:rPr>
        <w:t>，石油类排放浓度</w:t>
      </w:r>
      <w:r>
        <w:rPr>
          <w:rFonts w:ascii="Times New Roman" w:hAnsi="Times New Roman" w:eastAsia="Times New Roman"/>
          <w:vertAlign w:val="baseline"/>
        </w:rPr>
        <w:t>≤5mg/L</w:t>
      </w:r>
      <w:r>
        <w:rPr>
          <w:vertAlign w:val="baseline"/>
        </w:rPr>
        <w:t>，处理达标后回用于洒水抑尘及井下用水，水质符合《城市污水再生利用 城市杂用水水质》（</w:t>
      </w:r>
      <w:r>
        <w:rPr>
          <w:rFonts w:ascii="Times New Roman" w:hAnsi="Times New Roman" w:eastAsia="Times New Roman"/>
          <w:vertAlign w:val="baseline"/>
        </w:rPr>
        <w:t>GB/T18920-2002</w:t>
      </w:r>
      <w:r>
        <w:rPr>
          <w:vertAlign w:val="baseline"/>
        </w:rPr>
        <w:t>）道路清扫、消防用水标准。</w:t>
      </w:r>
    </w:p>
    <w:p>
      <w:pPr>
        <w:pStyle w:val="9"/>
        <w:spacing w:line="296" w:lineRule="exact"/>
        <w:ind w:left="1898"/>
      </w:pPr>
      <w:r>
        <w:t>处理后的生活污水出水水质见下表。</w:t>
      </w:r>
    </w:p>
    <w:p>
      <w:pPr>
        <w:pStyle w:val="9"/>
        <w:spacing w:before="10"/>
        <w:rPr>
          <w:sz w:val="21"/>
        </w:rPr>
      </w:pPr>
    </w:p>
    <w:p>
      <w:pPr>
        <w:spacing w:before="0" w:after="4"/>
        <w:ind w:left="7" w:right="0" w:firstLine="0"/>
        <w:jc w:val="center"/>
        <w:rPr>
          <w:b/>
          <w:sz w:val="21"/>
        </w:rPr>
      </w:pPr>
      <w:r>
        <w:rPr>
          <w:b/>
          <w:spacing w:val="-26"/>
          <w:sz w:val="21"/>
        </w:rPr>
        <w:t xml:space="preserve">表 </w:t>
      </w:r>
      <w:r>
        <w:rPr>
          <w:rFonts w:ascii="Times New Roman" w:eastAsia="Times New Roman"/>
          <w:b/>
          <w:sz w:val="21"/>
        </w:rPr>
        <w:t>6.5-1</w:t>
      </w:r>
      <w:r>
        <w:rPr>
          <w:rFonts w:ascii="Times New Roman" w:eastAsia="Times New Roman"/>
          <w:b/>
          <w:spacing w:val="52"/>
          <w:sz w:val="21"/>
        </w:rPr>
        <w:t xml:space="preserve"> </w:t>
      </w:r>
      <w:r>
        <w:rPr>
          <w:b/>
          <w:sz w:val="21"/>
        </w:rPr>
        <w:t>生活污水处理效果预测</w:t>
      </w: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99"/>
        <w:gridCol w:w="1040"/>
        <w:gridCol w:w="1816"/>
        <w:gridCol w:w="1557"/>
        <w:gridCol w:w="1817"/>
        <w:gridCol w:w="18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98" w:hRule="atLeast"/>
        </w:trPr>
        <w:tc>
          <w:tcPr>
            <w:tcW w:w="1299" w:type="dxa"/>
            <w:tcBorders>
              <w:bottom w:val="single" w:color="000000" w:sz="4" w:space="0"/>
              <w:right w:val="single" w:color="000000" w:sz="4" w:space="0"/>
            </w:tcBorders>
          </w:tcPr>
          <w:p>
            <w:pPr>
              <w:pStyle w:val="19"/>
              <w:spacing w:before="6"/>
              <w:jc w:val="left"/>
              <w:rPr>
                <w:b/>
                <w:sz w:val="25"/>
              </w:rPr>
            </w:pPr>
          </w:p>
          <w:p>
            <w:pPr>
              <w:pStyle w:val="19"/>
              <w:spacing w:before="1"/>
              <w:ind w:left="228"/>
              <w:jc w:val="left"/>
              <w:rPr>
                <w:sz w:val="21"/>
              </w:rPr>
            </w:pPr>
            <w:r>
              <w:rPr>
                <w:w w:val="95"/>
                <w:sz w:val="21"/>
              </w:rPr>
              <w:t>处理规模</w:t>
            </w:r>
          </w:p>
          <w:p>
            <w:pPr>
              <w:pStyle w:val="19"/>
              <w:spacing w:before="2"/>
              <w:ind w:left="242"/>
              <w:jc w:val="left"/>
              <w:rPr>
                <w:sz w:val="21"/>
              </w:rPr>
            </w:pPr>
            <w:r>
              <w:rPr>
                <w:sz w:val="21"/>
              </w:rPr>
              <w:t>（</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1040" w:type="dxa"/>
            <w:tcBorders>
              <w:left w:val="single" w:color="000000" w:sz="4" w:space="0"/>
              <w:bottom w:val="single" w:color="000000" w:sz="4" w:space="0"/>
              <w:right w:val="single" w:color="000000" w:sz="4" w:space="0"/>
            </w:tcBorders>
          </w:tcPr>
          <w:p>
            <w:pPr>
              <w:pStyle w:val="19"/>
              <w:jc w:val="left"/>
              <w:rPr>
                <w:b/>
                <w:sz w:val="20"/>
              </w:rPr>
            </w:pPr>
          </w:p>
          <w:p>
            <w:pPr>
              <w:pStyle w:val="19"/>
              <w:jc w:val="left"/>
              <w:rPr>
                <w:b/>
                <w:sz w:val="16"/>
              </w:rPr>
            </w:pPr>
          </w:p>
          <w:p>
            <w:pPr>
              <w:pStyle w:val="19"/>
              <w:ind w:left="187" w:right="172"/>
              <w:rPr>
                <w:sz w:val="21"/>
              </w:rPr>
            </w:pPr>
            <w:r>
              <w:rPr>
                <w:sz w:val="21"/>
              </w:rPr>
              <w:t>指标</w:t>
            </w:r>
          </w:p>
        </w:tc>
        <w:tc>
          <w:tcPr>
            <w:tcW w:w="1816" w:type="dxa"/>
            <w:tcBorders>
              <w:left w:val="single" w:color="000000" w:sz="4" w:space="0"/>
              <w:bottom w:val="single" w:color="000000" w:sz="4" w:space="0"/>
              <w:right w:val="single" w:color="000000" w:sz="4" w:space="0"/>
            </w:tcBorders>
          </w:tcPr>
          <w:p>
            <w:pPr>
              <w:pStyle w:val="19"/>
              <w:spacing w:before="6"/>
              <w:jc w:val="left"/>
              <w:rPr>
                <w:b/>
                <w:sz w:val="25"/>
              </w:rPr>
            </w:pPr>
          </w:p>
          <w:p>
            <w:pPr>
              <w:pStyle w:val="19"/>
              <w:spacing w:before="1"/>
              <w:ind w:left="260" w:right="245"/>
              <w:rPr>
                <w:sz w:val="21"/>
              </w:rPr>
            </w:pPr>
            <w:r>
              <w:rPr>
                <w:sz w:val="21"/>
              </w:rPr>
              <w:t>设计进水浓度</w:t>
            </w:r>
          </w:p>
          <w:p>
            <w:pPr>
              <w:pStyle w:val="19"/>
              <w:spacing w:before="2"/>
              <w:ind w:left="260" w:right="242"/>
              <w:rPr>
                <w:sz w:val="21"/>
              </w:rPr>
            </w:pPr>
            <w:r>
              <w:rPr>
                <w:sz w:val="21"/>
              </w:rPr>
              <w:t>（</w:t>
            </w:r>
            <w:r>
              <w:rPr>
                <w:rFonts w:ascii="Times New Roman" w:eastAsia="Times New Roman"/>
                <w:sz w:val="21"/>
              </w:rPr>
              <w:t>mg/L</w:t>
            </w:r>
            <w:r>
              <w:rPr>
                <w:sz w:val="21"/>
              </w:rPr>
              <w:t>）</w:t>
            </w:r>
          </w:p>
        </w:tc>
        <w:tc>
          <w:tcPr>
            <w:tcW w:w="1557" w:type="dxa"/>
            <w:tcBorders>
              <w:left w:val="single" w:color="000000" w:sz="4" w:space="0"/>
              <w:bottom w:val="single" w:color="000000" w:sz="4" w:space="0"/>
              <w:right w:val="single" w:color="000000" w:sz="4" w:space="0"/>
            </w:tcBorders>
          </w:tcPr>
          <w:p>
            <w:pPr>
              <w:pStyle w:val="19"/>
              <w:spacing w:before="6"/>
              <w:jc w:val="left"/>
              <w:rPr>
                <w:b/>
                <w:sz w:val="25"/>
              </w:rPr>
            </w:pPr>
          </w:p>
          <w:p>
            <w:pPr>
              <w:pStyle w:val="19"/>
              <w:spacing w:before="1" w:line="242" w:lineRule="auto"/>
              <w:ind w:left="467" w:right="239" w:hanging="212"/>
              <w:jc w:val="left"/>
              <w:rPr>
                <w:sz w:val="21"/>
              </w:rPr>
            </w:pPr>
            <w:r>
              <w:rPr>
                <w:sz w:val="21"/>
              </w:rPr>
              <w:t>预处理工段去除率</w:t>
            </w:r>
          </w:p>
        </w:tc>
        <w:tc>
          <w:tcPr>
            <w:tcW w:w="1817" w:type="dxa"/>
            <w:tcBorders>
              <w:left w:val="single" w:color="000000" w:sz="4" w:space="0"/>
              <w:bottom w:val="single" w:color="000000" w:sz="4" w:space="0"/>
              <w:right w:val="single" w:color="000000" w:sz="4" w:space="0"/>
            </w:tcBorders>
          </w:tcPr>
          <w:p>
            <w:pPr>
              <w:pStyle w:val="19"/>
              <w:spacing w:before="6"/>
              <w:jc w:val="left"/>
              <w:rPr>
                <w:b/>
                <w:sz w:val="25"/>
              </w:rPr>
            </w:pPr>
          </w:p>
          <w:p>
            <w:pPr>
              <w:pStyle w:val="19"/>
              <w:spacing w:before="1" w:line="242" w:lineRule="auto"/>
              <w:ind w:left="597" w:right="263" w:hanging="315"/>
              <w:jc w:val="left"/>
              <w:rPr>
                <w:sz w:val="21"/>
              </w:rPr>
            </w:pPr>
            <w:r>
              <w:rPr>
                <w:sz w:val="21"/>
              </w:rPr>
              <w:t>生化处理工段去除率</w:t>
            </w:r>
          </w:p>
        </w:tc>
        <w:tc>
          <w:tcPr>
            <w:tcW w:w="1815" w:type="dxa"/>
            <w:tcBorders>
              <w:left w:val="single" w:color="000000" w:sz="4" w:space="0"/>
              <w:bottom w:val="single" w:color="000000" w:sz="4" w:space="0"/>
            </w:tcBorders>
          </w:tcPr>
          <w:p>
            <w:pPr>
              <w:pStyle w:val="19"/>
              <w:spacing w:before="6"/>
              <w:jc w:val="left"/>
              <w:rPr>
                <w:b/>
                <w:sz w:val="25"/>
              </w:rPr>
            </w:pPr>
          </w:p>
          <w:p>
            <w:pPr>
              <w:pStyle w:val="19"/>
              <w:spacing w:before="1"/>
              <w:ind w:left="259" w:right="240"/>
              <w:rPr>
                <w:sz w:val="21"/>
              </w:rPr>
            </w:pPr>
            <w:r>
              <w:rPr>
                <w:sz w:val="21"/>
              </w:rPr>
              <w:t>设计出水浓度</w:t>
            </w:r>
          </w:p>
          <w:p>
            <w:pPr>
              <w:pStyle w:val="19"/>
              <w:spacing w:before="2"/>
              <w:ind w:left="259" w:right="238"/>
              <w:rPr>
                <w:sz w:val="21"/>
              </w:rPr>
            </w:pPr>
            <w:r>
              <w:rPr>
                <w:sz w:val="21"/>
              </w:rPr>
              <w:t>（</w:t>
            </w:r>
            <w:r>
              <w:rPr>
                <w:rFonts w:ascii="Times New Roman" w:eastAsia="Times New Roman"/>
                <w:sz w:val="21"/>
              </w:rPr>
              <w:t>mg/L</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7" w:hRule="atLeast"/>
        </w:trPr>
        <w:tc>
          <w:tcPr>
            <w:tcW w:w="1299" w:type="dxa"/>
            <w:vMerge w:val="restart"/>
            <w:tcBorders>
              <w:top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spacing w:before="3"/>
              <w:jc w:val="left"/>
              <w:rPr>
                <w:b/>
                <w:sz w:val="20"/>
              </w:rPr>
            </w:pPr>
          </w:p>
          <w:p>
            <w:pPr>
              <w:pStyle w:val="19"/>
              <w:spacing w:before="1"/>
              <w:ind w:left="25" w:right="10"/>
              <w:rPr>
                <w:rFonts w:ascii="Times New Roman"/>
                <w:sz w:val="21"/>
              </w:rPr>
            </w:pPr>
            <w:r>
              <w:rPr>
                <w:rFonts w:ascii="Times New Roman"/>
                <w:sz w:val="21"/>
              </w:rPr>
              <w:t>200</w:t>
            </w:r>
          </w:p>
        </w:tc>
        <w:tc>
          <w:tcPr>
            <w:tcW w:w="1040" w:type="dxa"/>
            <w:tcBorders>
              <w:top w:val="single" w:color="000000" w:sz="4" w:space="0"/>
              <w:left w:val="single" w:color="000000" w:sz="4" w:space="0"/>
              <w:bottom w:val="single" w:color="000000" w:sz="4" w:space="0"/>
              <w:right w:val="single" w:color="000000" w:sz="4" w:space="0"/>
            </w:tcBorders>
          </w:tcPr>
          <w:p>
            <w:pPr>
              <w:pStyle w:val="19"/>
              <w:spacing w:before="119"/>
              <w:ind w:left="187" w:right="171"/>
              <w:rPr>
                <w:rFonts w:ascii="Times New Roman"/>
                <w:sz w:val="21"/>
              </w:rPr>
            </w:pPr>
            <w:r>
              <w:rPr>
                <w:rFonts w:ascii="Times New Roman"/>
                <w:sz w:val="21"/>
              </w:rPr>
              <w:t>SS</w:t>
            </w:r>
          </w:p>
        </w:tc>
        <w:tc>
          <w:tcPr>
            <w:tcW w:w="1816" w:type="dxa"/>
            <w:tcBorders>
              <w:top w:val="single" w:color="000000" w:sz="4" w:space="0"/>
              <w:left w:val="single" w:color="000000" w:sz="4" w:space="0"/>
              <w:bottom w:val="single" w:color="000000" w:sz="4" w:space="0"/>
              <w:right w:val="single" w:color="000000" w:sz="4" w:space="0"/>
            </w:tcBorders>
          </w:tcPr>
          <w:p>
            <w:pPr>
              <w:pStyle w:val="19"/>
              <w:spacing w:before="119"/>
              <w:ind w:right="733"/>
              <w:jc w:val="right"/>
              <w:rPr>
                <w:rFonts w:ascii="Times New Roman"/>
                <w:sz w:val="21"/>
              </w:rPr>
            </w:pPr>
            <w:r>
              <w:rPr>
                <w:rFonts w:ascii="Times New Roman"/>
                <w:sz w:val="21"/>
              </w:rPr>
              <w:t>200</w:t>
            </w:r>
          </w:p>
        </w:tc>
        <w:tc>
          <w:tcPr>
            <w:tcW w:w="1557" w:type="dxa"/>
            <w:tcBorders>
              <w:top w:val="single" w:color="000000" w:sz="4" w:space="0"/>
              <w:left w:val="single" w:color="000000" w:sz="4" w:space="0"/>
              <w:bottom w:val="single" w:color="000000" w:sz="4" w:space="0"/>
              <w:right w:val="single" w:color="000000" w:sz="4" w:space="0"/>
            </w:tcBorders>
          </w:tcPr>
          <w:p>
            <w:pPr>
              <w:pStyle w:val="19"/>
              <w:spacing w:line="240" w:lineRule="exact"/>
              <w:ind w:left="570" w:right="552"/>
              <w:rPr>
                <w:rFonts w:ascii="Times New Roman"/>
                <w:sz w:val="21"/>
              </w:rPr>
            </w:pPr>
            <w:r>
              <w:rPr>
                <w:rFonts w:ascii="Times New Roman"/>
                <w:sz w:val="21"/>
              </w:rPr>
              <w:t>75%</w:t>
            </w:r>
          </w:p>
          <w:p>
            <w:pPr>
              <w:pStyle w:val="19"/>
              <w:spacing w:line="218" w:lineRule="exact"/>
              <w:ind w:left="567" w:right="552"/>
              <w:rPr>
                <w:rFonts w:ascii="Times New Roman"/>
                <w:sz w:val="21"/>
              </w:rPr>
            </w:pPr>
            <w:r>
              <w:rPr>
                <w:rFonts w:ascii="Times New Roman"/>
                <w:sz w:val="21"/>
              </w:rPr>
              <w:t>50</w:t>
            </w:r>
          </w:p>
        </w:tc>
        <w:tc>
          <w:tcPr>
            <w:tcW w:w="1817" w:type="dxa"/>
            <w:tcBorders>
              <w:top w:val="single" w:color="000000" w:sz="4" w:space="0"/>
              <w:left w:val="single" w:color="000000" w:sz="4" w:space="0"/>
              <w:bottom w:val="single" w:color="000000" w:sz="4" w:space="0"/>
              <w:right w:val="single" w:color="000000" w:sz="4" w:space="0"/>
            </w:tcBorders>
          </w:tcPr>
          <w:p>
            <w:pPr>
              <w:pStyle w:val="19"/>
              <w:spacing w:line="240" w:lineRule="exact"/>
              <w:ind w:left="71" w:right="53"/>
              <w:rPr>
                <w:rFonts w:ascii="Times New Roman"/>
                <w:sz w:val="21"/>
              </w:rPr>
            </w:pPr>
            <w:r>
              <w:rPr>
                <w:rFonts w:ascii="Times New Roman"/>
                <w:sz w:val="21"/>
              </w:rPr>
              <w:t>80%</w:t>
            </w:r>
          </w:p>
          <w:p>
            <w:pPr>
              <w:pStyle w:val="19"/>
              <w:spacing w:line="218" w:lineRule="exact"/>
              <w:ind w:left="71" w:right="55"/>
              <w:rPr>
                <w:rFonts w:ascii="Times New Roman"/>
                <w:sz w:val="21"/>
              </w:rPr>
            </w:pPr>
            <w:r>
              <w:rPr>
                <w:rFonts w:ascii="Times New Roman"/>
                <w:sz w:val="21"/>
              </w:rPr>
              <w:t>10</w:t>
            </w:r>
          </w:p>
        </w:tc>
        <w:tc>
          <w:tcPr>
            <w:tcW w:w="1815" w:type="dxa"/>
            <w:tcBorders>
              <w:top w:val="single" w:color="000000" w:sz="4" w:space="0"/>
              <w:left w:val="single" w:color="000000" w:sz="4" w:space="0"/>
              <w:bottom w:val="single" w:color="000000" w:sz="4" w:space="0"/>
            </w:tcBorders>
          </w:tcPr>
          <w:p>
            <w:pPr>
              <w:pStyle w:val="19"/>
              <w:spacing w:before="119"/>
              <w:ind w:left="259" w:right="237"/>
              <w:rPr>
                <w:rFonts w:ascii="Times New Roman" w:hAnsi="Times New Roman"/>
                <w:sz w:val="21"/>
              </w:rPr>
            </w:pPr>
            <w:r>
              <w:rPr>
                <w:rFonts w:ascii="Times New Roman" w:hAns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2" w:hRule="atLeast"/>
        </w:trPr>
        <w:tc>
          <w:tcPr>
            <w:tcW w:w="1299" w:type="dxa"/>
            <w:vMerge w:val="continue"/>
            <w:tcBorders>
              <w:top w:val="nil"/>
              <w:right w:val="single" w:color="000000" w:sz="4" w:space="0"/>
            </w:tcBorders>
          </w:tcPr>
          <w:p>
            <w:pPr>
              <w:rPr>
                <w:sz w:val="2"/>
                <w:szCs w:val="2"/>
              </w:rPr>
            </w:pPr>
          </w:p>
        </w:tc>
        <w:tc>
          <w:tcPr>
            <w:tcW w:w="1040" w:type="dxa"/>
            <w:tcBorders>
              <w:top w:val="single" w:color="000000" w:sz="4" w:space="0"/>
              <w:left w:val="single" w:color="000000" w:sz="4" w:space="0"/>
              <w:bottom w:val="single" w:color="000000" w:sz="4" w:space="0"/>
              <w:right w:val="single" w:color="000000" w:sz="4" w:space="0"/>
            </w:tcBorders>
          </w:tcPr>
          <w:p>
            <w:pPr>
              <w:pStyle w:val="19"/>
              <w:spacing w:before="113"/>
              <w:ind w:left="187" w:right="167"/>
              <w:rPr>
                <w:rFonts w:ascii="Times New Roman"/>
                <w:sz w:val="21"/>
              </w:rPr>
            </w:pPr>
            <w:r>
              <w:rPr>
                <w:rFonts w:ascii="Times New Roman"/>
                <w:sz w:val="21"/>
              </w:rPr>
              <w:t>COD</w:t>
            </w:r>
          </w:p>
        </w:tc>
        <w:tc>
          <w:tcPr>
            <w:tcW w:w="1816" w:type="dxa"/>
            <w:tcBorders>
              <w:top w:val="single" w:color="000000" w:sz="4" w:space="0"/>
              <w:left w:val="single" w:color="000000" w:sz="4" w:space="0"/>
              <w:bottom w:val="single" w:color="000000" w:sz="4" w:space="0"/>
              <w:right w:val="single" w:color="000000" w:sz="4" w:space="0"/>
            </w:tcBorders>
          </w:tcPr>
          <w:p>
            <w:pPr>
              <w:pStyle w:val="19"/>
              <w:spacing w:before="113"/>
              <w:ind w:right="733"/>
              <w:jc w:val="right"/>
              <w:rPr>
                <w:rFonts w:ascii="Times New Roman"/>
                <w:sz w:val="21"/>
              </w:rPr>
            </w:pPr>
            <w:r>
              <w:rPr>
                <w:rFonts w:ascii="Times New Roman"/>
                <w:sz w:val="21"/>
              </w:rPr>
              <w:t>300</w:t>
            </w:r>
          </w:p>
        </w:tc>
        <w:tc>
          <w:tcPr>
            <w:tcW w:w="1557" w:type="dxa"/>
            <w:tcBorders>
              <w:top w:val="single" w:color="000000" w:sz="4" w:space="0"/>
              <w:left w:val="single" w:color="000000" w:sz="4" w:space="0"/>
              <w:bottom w:val="single" w:color="000000" w:sz="4" w:space="0"/>
              <w:right w:val="single" w:color="000000" w:sz="4" w:space="0"/>
            </w:tcBorders>
          </w:tcPr>
          <w:p>
            <w:pPr>
              <w:pStyle w:val="19"/>
              <w:spacing w:line="235" w:lineRule="exact"/>
              <w:ind w:left="570" w:right="552"/>
              <w:rPr>
                <w:rFonts w:ascii="Times New Roman"/>
                <w:sz w:val="21"/>
              </w:rPr>
            </w:pPr>
            <w:r>
              <w:rPr>
                <w:rFonts w:ascii="Times New Roman"/>
                <w:sz w:val="21"/>
              </w:rPr>
              <w:t>5%</w:t>
            </w:r>
          </w:p>
          <w:p>
            <w:pPr>
              <w:pStyle w:val="19"/>
              <w:spacing w:before="1" w:line="217" w:lineRule="exact"/>
              <w:ind w:left="570" w:right="550"/>
              <w:rPr>
                <w:rFonts w:ascii="Times New Roman"/>
                <w:sz w:val="21"/>
              </w:rPr>
            </w:pPr>
            <w:r>
              <w:rPr>
                <w:rFonts w:ascii="Times New Roman"/>
                <w:sz w:val="21"/>
              </w:rPr>
              <w:t>285</w:t>
            </w:r>
          </w:p>
        </w:tc>
        <w:tc>
          <w:tcPr>
            <w:tcW w:w="1817" w:type="dxa"/>
            <w:tcBorders>
              <w:top w:val="single" w:color="000000" w:sz="4" w:space="0"/>
              <w:left w:val="single" w:color="000000" w:sz="4" w:space="0"/>
              <w:bottom w:val="single" w:color="000000" w:sz="4" w:space="0"/>
              <w:right w:val="single" w:color="000000" w:sz="4" w:space="0"/>
            </w:tcBorders>
          </w:tcPr>
          <w:p>
            <w:pPr>
              <w:pStyle w:val="19"/>
              <w:spacing w:line="235" w:lineRule="exact"/>
              <w:ind w:left="71" w:right="53"/>
              <w:rPr>
                <w:rFonts w:ascii="Times New Roman"/>
                <w:sz w:val="21"/>
              </w:rPr>
            </w:pPr>
            <w:r>
              <w:rPr>
                <w:rFonts w:ascii="Times New Roman"/>
                <w:sz w:val="21"/>
              </w:rPr>
              <w:t>80%</w:t>
            </w:r>
          </w:p>
          <w:p>
            <w:pPr>
              <w:pStyle w:val="19"/>
              <w:spacing w:before="1" w:line="217" w:lineRule="exact"/>
              <w:ind w:left="71" w:right="55"/>
              <w:rPr>
                <w:rFonts w:ascii="Times New Roman"/>
                <w:sz w:val="21"/>
              </w:rPr>
            </w:pPr>
            <w:r>
              <w:rPr>
                <w:rFonts w:ascii="Times New Roman"/>
                <w:sz w:val="21"/>
              </w:rPr>
              <w:t>57</w:t>
            </w:r>
          </w:p>
        </w:tc>
        <w:tc>
          <w:tcPr>
            <w:tcW w:w="1815" w:type="dxa"/>
            <w:tcBorders>
              <w:top w:val="single" w:color="000000" w:sz="4" w:space="0"/>
              <w:left w:val="single" w:color="000000" w:sz="4" w:space="0"/>
              <w:bottom w:val="single" w:color="000000" w:sz="4" w:space="0"/>
            </w:tcBorders>
          </w:tcPr>
          <w:p>
            <w:pPr>
              <w:pStyle w:val="19"/>
              <w:spacing w:before="113"/>
              <w:ind w:left="259" w:right="237"/>
              <w:rPr>
                <w:rFonts w:ascii="Times New Roman" w:hAnsi="Times New Roman"/>
                <w:sz w:val="21"/>
              </w:rPr>
            </w:pPr>
            <w:r>
              <w:rPr>
                <w:rFonts w:ascii="Times New Roman" w:hAnsi="Times New Roman"/>
                <w:sz w:val="21"/>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2" w:hRule="atLeast"/>
        </w:trPr>
        <w:tc>
          <w:tcPr>
            <w:tcW w:w="1299" w:type="dxa"/>
            <w:vMerge w:val="continue"/>
            <w:tcBorders>
              <w:top w:val="nil"/>
              <w:right w:val="single" w:color="000000" w:sz="4" w:space="0"/>
            </w:tcBorders>
          </w:tcPr>
          <w:p>
            <w:pPr>
              <w:rPr>
                <w:sz w:val="2"/>
                <w:szCs w:val="2"/>
              </w:rPr>
            </w:pPr>
          </w:p>
        </w:tc>
        <w:tc>
          <w:tcPr>
            <w:tcW w:w="1040" w:type="dxa"/>
            <w:tcBorders>
              <w:top w:val="single" w:color="000000" w:sz="4" w:space="0"/>
              <w:left w:val="single" w:color="000000" w:sz="4" w:space="0"/>
              <w:bottom w:val="single" w:color="000000" w:sz="4" w:space="0"/>
              <w:right w:val="single" w:color="000000" w:sz="4" w:space="0"/>
            </w:tcBorders>
          </w:tcPr>
          <w:p>
            <w:pPr>
              <w:pStyle w:val="19"/>
              <w:spacing w:before="111"/>
              <w:ind w:left="187" w:right="168"/>
              <w:rPr>
                <w:rFonts w:ascii="Times New Roman"/>
                <w:sz w:val="21"/>
              </w:rPr>
            </w:pPr>
            <w:r>
              <w:rPr>
                <w:rFonts w:ascii="Times New Roman"/>
                <w:position w:val="2"/>
                <w:sz w:val="21"/>
              </w:rPr>
              <w:t>BOD</w:t>
            </w:r>
            <w:r>
              <w:rPr>
                <w:rFonts w:ascii="Times New Roman"/>
                <w:position w:val="2"/>
                <w:sz w:val="21"/>
                <w:vertAlign w:val="subscript"/>
              </w:rPr>
              <w:t>5</w:t>
            </w:r>
          </w:p>
        </w:tc>
        <w:tc>
          <w:tcPr>
            <w:tcW w:w="1816" w:type="dxa"/>
            <w:tcBorders>
              <w:top w:val="single" w:color="000000" w:sz="4" w:space="0"/>
              <w:left w:val="single" w:color="000000" w:sz="4" w:space="0"/>
              <w:bottom w:val="single" w:color="000000" w:sz="4" w:space="0"/>
              <w:right w:val="single" w:color="000000" w:sz="4" w:space="0"/>
            </w:tcBorders>
          </w:tcPr>
          <w:p>
            <w:pPr>
              <w:pStyle w:val="19"/>
              <w:spacing w:before="114"/>
              <w:ind w:right="733"/>
              <w:jc w:val="right"/>
              <w:rPr>
                <w:rFonts w:ascii="Times New Roman"/>
                <w:sz w:val="21"/>
              </w:rPr>
            </w:pPr>
            <w:r>
              <w:rPr>
                <w:rFonts w:ascii="Times New Roman"/>
                <w:sz w:val="21"/>
              </w:rPr>
              <w:t>120</w:t>
            </w:r>
          </w:p>
        </w:tc>
        <w:tc>
          <w:tcPr>
            <w:tcW w:w="1557" w:type="dxa"/>
            <w:tcBorders>
              <w:top w:val="single" w:color="000000" w:sz="4" w:space="0"/>
              <w:left w:val="single" w:color="000000" w:sz="4" w:space="0"/>
              <w:bottom w:val="single" w:color="000000" w:sz="4" w:space="0"/>
              <w:right w:val="single" w:color="000000" w:sz="4" w:space="0"/>
            </w:tcBorders>
          </w:tcPr>
          <w:p>
            <w:pPr>
              <w:pStyle w:val="19"/>
              <w:spacing w:line="235" w:lineRule="exact"/>
              <w:ind w:left="570" w:right="552"/>
              <w:rPr>
                <w:rFonts w:ascii="Times New Roman"/>
                <w:sz w:val="21"/>
              </w:rPr>
            </w:pPr>
            <w:r>
              <w:rPr>
                <w:rFonts w:ascii="Times New Roman"/>
                <w:sz w:val="21"/>
              </w:rPr>
              <w:t>5%</w:t>
            </w:r>
          </w:p>
          <w:p>
            <w:pPr>
              <w:pStyle w:val="19"/>
              <w:spacing w:line="217" w:lineRule="exact"/>
              <w:ind w:left="570" w:right="552"/>
              <w:rPr>
                <w:rFonts w:ascii="Times New Roman"/>
                <w:sz w:val="21"/>
              </w:rPr>
            </w:pPr>
            <w:r>
              <w:rPr>
                <w:rFonts w:ascii="Times New Roman"/>
                <w:spacing w:val="-2"/>
                <w:sz w:val="21"/>
              </w:rPr>
              <w:t>114</w:t>
            </w:r>
          </w:p>
        </w:tc>
        <w:tc>
          <w:tcPr>
            <w:tcW w:w="1817" w:type="dxa"/>
            <w:tcBorders>
              <w:top w:val="single" w:color="000000" w:sz="4" w:space="0"/>
              <w:left w:val="single" w:color="000000" w:sz="4" w:space="0"/>
              <w:bottom w:val="single" w:color="000000" w:sz="4" w:space="0"/>
              <w:right w:val="single" w:color="000000" w:sz="4" w:space="0"/>
            </w:tcBorders>
          </w:tcPr>
          <w:p>
            <w:pPr>
              <w:pStyle w:val="19"/>
              <w:spacing w:line="235" w:lineRule="exact"/>
              <w:ind w:left="71" w:right="53"/>
              <w:rPr>
                <w:rFonts w:ascii="Times New Roman"/>
                <w:sz w:val="21"/>
              </w:rPr>
            </w:pPr>
            <w:r>
              <w:rPr>
                <w:rFonts w:ascii="Times New Roman"/>
                <w:sz w:val="21"/>
              </w:rPr>
              <w:t>90%</w:t>
            </w:r>
          </w:p>
          <w:p>
            <w:pPr>
              <w:pStyle w:val="19"/>
              <w:spacing w:line="217" w:lineRule="exact"/>
              <w:ind w:left="71" w:right="50"/>
              <w:rPr>
                <w:rFonts w:ascii="Times New Roman"/>
                <w:sz w:val="21"/>
              </w:rPr>
            </w:pPr>
            <w:r>
              <w:rPr>
                <w:rFonts w:ascii="Times New Roman"/>
                <w:sz w:val="21"/>
              </w:rPr>
              <w:t>11.4</w:t>
            </w:r>
          </w:p>
        </w:tc>
        <w:tc>
          <w:tcPr>
            <w:tcW w:w="1815" w:type="dxa"/>
            <w:tcBorders>
              <w:top w:val="single" w:color="000000" w:sz="4" w:space="0"/>
              <w:left w:val="single" w:color="000000" w:sz="4" w:space="0"/>
              <w:bottom w:val="single" w:color="000000" w:sz="4" w:space="0"/>
            </w:tcBorders>
          </w:tcPr>
          <w:p>
            <w:pPr>
              <w:pStyle w:val="19"/>
              <w:spacing w:before="114"/>
              <w:ind w:left="259" w:right="237"/>
              <w:rPr>
                <w:rFonts w:ascii="Times New Roman" w:hAnsi="Times New Roman"/>
                <w:sz w:val="21"/>
              </w:rPr>
            </w:pPr>
            <w:r>
              <w:rPr>
                <w:rFonts w:ascii="Times New Roman" w:hAns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2" w:hRule="atLeast"/>
        </w:trPr>
        <w:tc>
          <w:tcPr>
            <w:tcW w:w="1299" w:type="dxa"/>
            <w:vMerge w:val="continue"/>
            <w:tcBorders>
              <w:top w:val="nil"/>
              <w:right w:val="single" w:color="000000" w:sz="4" w:space="0"/>
            </w:tcBorders>
          </w:tcPr>
          <w:p>
            <w:pPr>
              <w:rPr>
                <w:sz w:val="2"/>
                <w:szCs w:val="2"/>
              </w:rPr>
            </w:pPr>
          </w:p>
        </w:tc>
        <w:tc>
          <w:tcPr>
            <w:tcW w:w="1040" w:type="dxa"/>
            <w:tcBorders>
              <w:top w:val="single" w:color="000000" w:sz="4" w:space="0"/>
              <w:left w:val="single" w:color="000000" w:sz="4" w:space="0"/>
              <w:bottom w:val="single" w:color="000000" w:sz="4" w:space="0"/>
              <w:right w:val="single" w:color="000000" w:sz="4" w:space="0"/>
            </w:tcBorders>
          </w:tcPr>
          <w:p>
            <w:pPr>
              <w:pStyle w:val="19"/>
              <w:spacing w:before="100"/>
              <w:ind w:left="187" w:right="172"/>
              <w:rPr>
                <w:sz w:val="21"/>
              </w:rPr>
            </w:pPr>
            <w:r>
              <w:rPr>
                <w:sz w:val="21"/>
              </w:rPr>
              <w:t>石油类</w:t>
            </w:r>
          </w:p>
        </w:tc>
        <w:tc>
          <w:tcPr>
            <w:tcW w:w="1816" w:type="dxa"/>
            <w:tcBorders>
              <w:top w:val="single" w:color="000000" w:sz="4" w:space="0"/>
              <w:left w:val="single" w:color="000000" w:sz="4" w:space="0"/>
              <w:bottom w:val="single" w:color="000000" w:sz="4" w:space="0"/>
              <w:right w:val="single" w:color="000000" w:sz="4" w:space="0"/>
            </w:tcBorders>
          </w:tcPr>
          <w:p>
            <w:pPr>
              <w:pStyle w:val="19"/>
              <w:spacing w:before="114"/>
              <w:ind w:right="786"/>
              <w:jc w:val="right"/>
              <w:rPr>
                <w:rFonts w:ascii="Times New Roman"/>
                <w:sz w:val="21"/>
              </w:rPr>
            </w:pPr>
            <w:r>
              <w:rPr>
                <w:rFonts w:ascii="Times New Roman"/>
                <w:sz w:val="21"/>
              </w:rPr>
              <w:t>20</w:t>
            </w:r>
          </w:p>
        </w:tc>
        <w:tc>
          <w:tcPr>
            <w:tcW w:w="1557" w:type="dxa"/>
            <w:tcBorders>
              <w:top w:val="single" w:color="000000" w:sz="4" w:space="0"/>
              <w:left w:val="single" w:color="000000" w:sz="4" w:space="0"/>
              <w:bottom w:val="single" w:color="000000" w:sz="4" w:space="0"/>
              <w:right w:val="single" w:color="000000" w:sz="4" w:space="0"/>
            </w:tcBorders>
          </w:tcPr>
          <w:p>
            <w:pPr>
              <w:pStyle w:val="19"/>
              <w:spacing w:line="236" w:lineRule="exact"/>
              <w:ind w:left="570" w:right="552"/>
              <w:rPr>
                <w:rFonts w:ascii="Times New Roman"/>
                <w:sz w:val="21"/>
              </w:rPr>
            </w:pPr>
            <w:r>
              <w:rPr>
                <w:rFonts w:ascii="Times New Roman"/>
                <w:sz w:val="21"/>
              </w:rPr>
              <w:t>90%</w:t>
            </w:r>
          </w:p>
          <w:p>
            <w:pPr>
              <w:pStyle w:val="19"/>
              <w:spacing w:before="1" w:line="216" w:lineRule="exact"/>
              <w:ind w:left="20"/>
              <w:rPr>
                <w:rFonts w:ascii="Times New Roman"/>
                <w:sz w:val="21"/>
              </w:rPr>
            </w:pPr>
            <w:r>
              <w:rPr>
                <w:rFonts w:ascii="Times New Roman"/>
                <w:w w:val="99"/>
                <w:sz w:val="21"/>
              </w:rPr>
              <w:t>2</w:t>
            </w:r>
          </w:p>
        </w:tc>
        <w:tc>
          <w:tcPr>
            <w:tcW w:w="1817" w:type="dxa"/>
            <w:tcBorders>
              <w:top w:val="single" w:color="000000" w:sz="4" w:space="0"/>
              <w:left w:val="single" w:color="000000" w:sz="4" w:space="0"/>
              <w:bottom w:val="single" w:color="000000" w:sz="4" w:space="0"/>
              <w:right w:val="single" w:color="000000" w:sz="4" w:space="0"/>
            </w:tcBorders>
          </w:tcPr>
          <w:p>
            <w:pPr>
              <w:pStyle w:val="19"/>
              <w:spacing w:line="236" w:lineRule="exact"/>
              <w:ind w:left="71" w:right="53"/>
              <w:rPr>
                <w:rFonts w:ascii="Times New Roman"/>
                <w:sz w:val="21"/>
              </w:rPr>
            </w:pPr>
            <w:r>
              <w:rPr>
                <w:rFonts w:ascii="Times New Roman"/>
                <w:sz w:val="21"/>
              </w:rPr>
              <w:t>0%</w:t>
            </w:r>
          </w:p>
          <w:p>
            <w:pPr>
              <w:pStyle w:val="19"/>
              <w:spacing w:before="1" w:line="216" w:lineRule="exact"/>
              <w:ind w:left="16"/>
              <w:rPr>
                <w:rFonts w:ascii="Times New Roman"/>
                <w:sz w:val="21"/>
              </w:rPr>
            </w:pPr>
            <w:r>
              <w:rPr>
                <w:rFonts w:ascii="Times New Roman"/>
                <w:w w:val="99"/>
                <w:sz w:val="21"/>
              </w:rPr>
              <w:t>2</w:t>
            </w:r>
          </w:p>
        </w:tc>
        <w:tc>
          <w:tcPr>
            <w:tcW w:w="1815" w:type="dxa"/>
            <w:tcBorders>
              <w:top w:val="single" w:color="000000" w:sz="4" w:space="0"/>
              <w:left w:val="single" w:color="000000" w:sz="4" w:space="0"/>
              <w:bottom w:val="single" w:color="000000" w:sz="4" w:space="0"/>
            </w:tcBorders>
          </w:tcPr>
          <w:p>
            <w:pPr>
              <w:pStyle w:val="19"/>
              <w:spacing w:before="114"/>
              <w:ind w:left="259" w:right="237"/>
              <w:rPr>
                <w:rFonts w:ascii="Times New Roman" w:hAnsi="Times New Roman"/>
                <w:sz w:val="21"/>
              </w:rPr>
            </w:pPr>
            <w:r>
              <w:rPr>
                <w:rFonts w:ascii="Times New Roman" w:hAnsi="Times New Roman"/>
                <w:sz w:val="21"/>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7" w:hRule="atLeast"/>
        </w:trPr>
        <w:tc>
          <w:tcPr>
            <w:tcW w:w="1299" w:type="dxa"/>
            <w:vMerge w:val="continue"/>
            <w:tcBorders>
              <w:top w:val="nil"/>
              <w:right w:val="single" w:color="000000" w:sz="4" w:space="0"/>
            </w:tcBorders>
          </w:tcPr>
          <w:p>
            <w:pPr>
              <w:rPr>
                <w:sz w:val="2"/>
                <w:szCs w:val="2"/>
              </w:rPr>
            </w:pPr>
          </w:p>
        </w:tc>
        <w:tc>
          <w:tcPr>
            <w:tcW w:w="1040" w:type="dxa"/>
            <w:tcBorders>
              <w:top w:val="single" w:color="000000" w:sz="4" w:space="0"/>
              <w:left w:val="single" w:color="000000" w:sz="4" w:space="0"/>
              <w:right w:val="single" w:color="000000" w:sz="4" w:space="0"/>
            </w:tcBorders>
          </w:tcPr>
          <w:p>
            <w:pPr>
              <w:pStyle w:val="19"/>
              <w:spacing w:before="99"/>
              <w:ind w:left="187" w:right="172"/>
              <w:rPr>
                <w:sz w:val="21"/>
              </w:rPr>
            </w:pPr>
            <w:r>
              <w:rPr>
                <w:sz w:val="21"/>
              </w:rPr>
              <w:t>氨氮</w:t>
            </w:r>
          </w:p>
        </w:tc>
        <w:tc>
          <w:tcPr>
            <w:tcW w:w="1816" w:type="dxa"/>
            <w:tcBorders>
              <w:top w:val="single" w:color="000000" w:sz="4" w:space="0"/>
              <w:left w:val="single" w:color="000000" w:sz="4" w:space="0"/>
              <w:right w:val="single" w:color="000000" w:sz="4" w:space="0"/>
            </w:tcBorders>
          </w:tcPr>
          <w:p>
            <w:pPr>
              <w:pStyle w:val="19"/>
              <w:spacing w:before="116"/>
              <w:ind w:right="786"/>
              <w:jc w:val="right"/>
              <w:rPr>
                <w:rFonts w:ascii="Times New Roman"/>
                <w:sz w:val="21"/>
              </w:rPr>
            </w:pPr>
            <w:r>
              <w:rPr>
                <w:rFonts w:ascii="Times New Roman"/>
                <w:sz w:val="21"/>
              </w:rPr>
              <w:t>25</w:t>
            </w:r>
          </w:p>
        </w:tc>
        <w:tc>
          <w:tcPr>
            <w:tcW w:w="1557" w:type="dxa"/>
            <w:tcBorders>
              <w:top w:val="single" w:color="000000" w:sz="4" w:space="0"/>
              <w:left w:val="single" w:color="000000" w:sz="4" w:space="0"/>
              <w:right w:val="single" w:color="000000" w:sz="4" w:space="0"/>
            </w:tcBorders>
          </w:tcPr>
          <w:p>
            <w:pPr>
              <w:pStyle w:val="19"/>
              <w:spacing w:line="237" w:lineRule="exact"/>
              <w:ind w:left="570" w:right="552"/>
              <w:rPr>
                <w:rFonts w:ascii="Times New Roman"/>
                <w:sz w:val="21"/>
              </w:rPr>
            </w:pPr>
            <w:r>
              <w:rPr>
                <w:rFonts w:ascii="Times New Roman"/>
                <w:sz w:val="21"/>
              </w:rPr>
              <w:t>0%</w:t>
            </w:r>
          </w:p>
          <w:p>
            <w:pPr>
              <w:pStyle w:val="19"/>
              <w:spacing w:line="221" w:lineRule="exact"/>
              <w:ind w:left="567" w:right="552"/>
              <w:rPr>
                <w:rFonts w:ascii="Times New Roman"/>
                <w:sz w:val="21"/>
              </w:rPr>
            </w:pPr>
            <w:r>
              <w:rPr>
                <w:rFonts w:ascii="Times New Roman"/>
                <w:sz w:val="21"/>
              </w:rPr>
              <w:t>25</w:t>
            </w:r>
          </w:p>
        </w:tc>
        <w:tc>
          <w:tcPr>
            <w:tcW w:w="1817" w:type="dxa"/>
            <w:tcBorders>
              <w:top w:val="single" w:color="000000" w:sz="4" w:space="0"/>
              <w:left w:val="single" w:color="000000" w:sz="4" w:space="0"/>
              <w:right w:val="single" w:color="000000" w:sz="4" w:space="0"/>
            </w:tcBorders>
          </w:tcPr>
          <w:p>
            <w:pPr>
              <w:pStyle w:val="19"/>
              <w:spacing w:line="237" w:lineRule="exact"/>
              <w:ind w:left="71" w:right="53"/>
              <w:rPr>
                <w:rFonts w:ascii="Times New Roman"/>
                <w:sz w:val="21"/>
              </w:rPr>
            </w:pPr>
            <w:r>
              <w:rPr>
                <w:rFonts w:ascii="Times New Roman"/>
                <w:sz w:val="21"/>
              </w:rPr>
              <w:t>80%</w:t>
            </w:r>
          </w:p>
          <w:p>
            <w:pPr>
              <w:pStyle w:val="19"/>
              <w:spacing w:line="221" w:lineRule="exact"/>
              <w:ind w:left="16"/>
              <w:rPr>
                <w:rFonts w:ascii="Times New Roman"/>
                <w:sz w:val="21"/>
              </w:rPr>
            </w:pPr>
            <w:r>
              <w:rPr>
                <w:rFonts w:ascii="Times New Roman"/>
                <w:w w:val="99"/>
                <w:sz w:val="21"/>
              </w:rPr>
              <w:t>5</w:t>
            </w:r>
          </w:p>
        </w:tc>
        <w:tc>
          <w:tcPr>
            <w:tcW w:w="1815" w:type="dxa"/>
            <w:tcBorders>
              <w:top w:val="single" w:color="000000" w:sz="4" w:space="0"/>
              <w:left w:val="single" w:color="000000" w:sz="4" w:space="0"/>
            </w:tcBorders>
          </w:tcPr>
          <w:p>
            <w:pPr>
              <w:pStyle w:val="19"/>
              <w:spacing w:before="116"/>
              <w:ind w:left="259" w:right="237"/>
              <w:rPr>
                <w:rFonts w:ascii="Times New Roman" w:hAnsi="Times New Roman"/>
                <w:sz w:val="21"/>
              </w:rPr>
            </w:pPr>
            <w:r>
              <w:rPr>
                <w:rFonts w:ascii="Times New Roman" w:hAnsi="Times New Roman"/>
                <w:sz w:val="21"/>
              </w:rPr>
              <w:t>≤6</w:t>
            </w:r>
          </w:p>
        </w:tc>
      </w:tr>
    </w:tbl>
    <w:p>
      <w:pPr>
        <w:pStyle w:val="6"/>
        <w:numPr>
          <w:ilvl w:val="2"/>
          <w:numId w:val="67"/>
        </w:numPr>
        <w:tabs>
          <w:tab w:val="left" w:pos="2048"/>
        </w:tabs>
        <w:spacing w:before="3" w:after="0" w:line="240" w:lineRule="auto"/>
        <w:ind w:left="2047" w:right="0" w:hanging="630"/>
        <w:jc w:val="left"/>
      </w:pPr>
      <w:bookmarkStart w:id="377" w:name="6.5.2矿井水处理和利用方案"/>
      <w:bookmarkEnd w:id="377"/>
      <w:bookmarkStart w:id="378" w:name="6.5.2矿井水处理和利用方案"/>
      <w:bookmarkEnd w:id="378"/>
      <w:r>
        <w:t>矿井水处理和利用方案</w:t>
      </w:r>
    </w:p>
    <w:p>
      <w:pPr>
        <w:pStyle w:val="9"/>
        <w:spacing w:before="185"/>
        <w:ind w:left="1898"/>
      </w:pPr>
      <w:r>
        <w:t xml:space="preserve">在工业场地建一座处理能力 </w:t>
      </w:r>
      <w:r>
        <w:rPr>
          <w:rFonts w:ascii="Times New Roman" w:eastAsia="Times New Roman"/>
        </w:rPr>
        <w:t>1600m</w:t>
      </w:r>
      <w:r>
        <w:rPr>
          <w:rFonts w:ascii="Times New Roman" w:eastAsia="Times New Roman"/>
          <w:position w:val="8"/>
          <w:sz w:val="15"/>
        </w:rPr>
        <w:t>3</w:t>
      </w:r>
      <w:r>
        <w:rPr>
          <w:rFonts w:ascii="Times New Roman" w:eastAsia="Times New Roman"/>
        </w:rPr>
        <w:t xml:space="preserve">/d </w:t>
      </w:r>
      <w:r>
        <w:t>的矿井水处理站。矿井水正常排水量</w:t>
      </w:r>
    </w:p>
    <w:p>
      <w:pPr>
        <w:spacing w:after="0"/>
        <w:sectPr>
          <w:pgSz w:w="11910" w:h="16840"/>
          <w:pgMar w:top="1340" w:right="0" w:bottom="880" w:left="0" w:header="0" w:footer="681" w:gutter="0"/>
        </w:sectPr>
      </w:pPr>
    </w:p>
    <w:p>
      <w:pPr>
        <w:pStyle w:val="9"/>
        <w:spacing w:before="61" w:line="364" w:lineRule="auto"/>
        <w:ind w:left="1418" w:right="1417"/>
        <w:jc w:val="both"/>
      </w:pPr>
      <w:r>
        <w:rPr>
          <w:rFonts w:ascii="Times New Roman" w:hAnsi="Times New Roman" w:eastAsia="Times New Roman"/>
          <w:spacing w:val="-6"/>
        </w:rPr>
        <w:t>1440m</w:t>
      </w:r>
      <w:r>
        <w:rPr>
          <w:rFonts w:ascii="Times New Roman" w:hAnsi="Times New Roman" w:eastAsia="Times New Roman"/>
          <w:spacing w:val="-6"/>
          <w:position w:val="8"/>
          <w:sz w:val="15"/>
        </w:rPr>
        <w:t>3</w:t>
      </w:r>
      <w:r>
        <w:rPr>
          <w:rFonts w:ascii="Times New Roman" w:hAnsi="Times New Roman" w:eastAsia="Times New Roman"/>
          <w:spacing w:val="-6"/>
        </w:rPr>
        <w:t>/d</w:t>
      </w:r>
      <w:r>
        <w:rPr>
          <w:spacing w:val="-6"/>
        </w:rPr>
        <w:t xml:space="preserve">，设计提出处理站采用混凝沉淀过滤 </w:t>
      </w:r>
      <w:r>
        <w:rPr>
          <w:rFonts w:ascii="Times New Roman" w:hAnsi="Times New Roman" w:eastAsia="Times New Roman"/>
          <w:sz w:val="21"/>
        </w:rPr>
        <w:t xml:space="preserve">MBR </w:t>
      </w:r>
      <w:r>
        <w:rPr>
          <w:sz w:val="21"/>
        </w:rPr>
        <w:t>膜</w:t>
      </w:r>
      <w:r>
        <w:rPr>
          <w:spacing w:val="-7"/>
        </w:rPr>
        <w:t>及消毒处理工艺。处理后其水质指</w:t>
      </w:r>
      <w:r>
        <w:rPr>
          <w:spacing w:val="-1"/>
        </w:rPr>
        <w:t>标为：</w:t>
      </w:r>
      <w:r>
        <w:rPr>
          <w:rFonts w:ascii="Times New Roman" w:hAnsi="Times New Roman" w:eastAsia="Times New Roman"/>
          <w:spacing w:val="-1"/>
        </w:rPr>
        <w:t>SS≤15mg/L</w:t>
      </w:r>
      <w:r>
        <w:rPr>
          <w:spacing w:val="-5"/>
        </w:rPr>
        <w:t>、</w:t>
      </w:r>
      <w:r>
        <w:rPr>
          <w:rFonts w:ascii="Times New Roman" w:hAnsi="Times New Roman" w:eastAsia="Times New Roman"/>
          <w:spacing w:val="-1"/>
        </w:rPr>
        <w:t>COD≤12.75mg/L</w:t>
      </w:r>
      <w:r>
        <w:rPr>
          <w:spacing w:val="-2"/>
        </w:rPr>
        <w:t>，处理后部分回用于工业广场和井下用水等，剩余达标排入安邦河。</w:t>
      </w:r>
    </w:p>
    <w:p>
      <w:pPr>
        <w:pStyle w:val="9"/>
        <w:spacing w:line="362" w:lineRule="auto"/>
        <w:ind w:left="1898" w:right="4725"/>
        <w:jc w:val="both"/>
      </w:pPr>
      <w:r>
        <w:t xml:space="preserve">矿井水利用方案见图 </w:t>
      </w:r>
      <w:r>
        <w:rPr>
          <w:rFonts w:ascii="Times New Roman" w:eastAsia="Times New Roman"/>
        </w:rPr>
        <w:t xml:space="preserve">2.3-1 </w:t>
      </w:r>
      <w:r>
        <w:t>工业场地水量平衡图。采用这种工艺处理后的采煤废水出水水质见下表。</w:t>
      </w:r>
    </w:p>
    <w:p>
      <w:pPr>
        <w:spacing w:before="123" w:after="3"/>
        <w:ind w:left="4500" w:right="0" w:firstLine="0"/>
        <w:jc w:val="both"/>
        <w:rPr>
          <w:b/>
          <w:sz w:val="21"/>
        </w:rPr>
      </w:pPr>
      <w:r>
        <w:rPr>
          <w:b/>
          <w:spacing w:val="-26"/>
          <w:sz w:val="21"/>
        </w:rPr>
        <w:t xml:space="preserve">表 </w:t>
      </w:r>
      <w:r>
        <w:rPr>
          <w:rFonts w:ascii="Times New Roman" w:eastAsia="Times New Roman"/>
          <w:b/>
          <w:sz w:val="21"/>
        </w:rPr>
        <w:t>6.5-2</w:t>
      </w:r>
      <w:r>
        <w:rPr>
          <w:rFonts w:ascii="Times New Roman" w:eastAsia="Times New Roman"/>
          <w:b/>
          <w:spacing w:val="52"/>
          <w:sz w:val="21"/>
        </w:rPr>
        <w:t xml:space="preserve"> </w:t>
      </w:r>
      <w:r>
        <w:rPr>
          <w:b/>
          <w:sz w:val="21"/>
        </w:rPr>
        <w:t>采煤废水处理效果预测</w:t>
      </w: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61"/>
        <w:gridCol w:w="787"/>
        <w:gridCol w:w="1761"/>
        <w:gridCol w:w="1511"/>
        <w:gridCol w:w="2263"/>
        <w:gridCol w:w="176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98" w:hRule="atLeast"/>
        </w:trPr>
        <w:tc>
          <w:tcPr>
            <w:tcW w:w="1261" w:type="dxa"/>
            <w:tcBorders>
              <w:bottom w:val="single" w:color="000000" w:sz="4" w:space="0"/>
              <w:right w:val="single" w:color="000000" w:sz="4" w:space="0"/>
            </w:tcBorders>
          </w:tcPr>
          <w:p>
            <w:pPr>
              <w:pStyle w:val="19"/>
              <w:spacing w:before="5"/>
              <w:jc w:val="left"/>
              <w:rPr>
                <w:b/>
                <w:sz w:val="25"/>
              </w:rPr>
            </w:pPr>
          </w:p>
          <w:p>
            <w:pPr>
              <w:pStyle w:val="19"/>
              <w:ind w:left="208"/>
              <w:jc w:val="left"/>
              <w:rPr>
                <w:sz w:val="21"/>
              </w:rPr>
            </w:pPr>
            <w:r>
              <w:rPr>
                <w:w w:val="95"/>
                <w:sz w:val="21"/>
              </w:rPr>
              <w:t>处理规模</w:t>
            </w:r>
          </w:p>
          <w:p>
            <w:pPr>
              <w:pStyle w:val="19"/>
              <w:spacing w:before="5"/>
              <w:ind w:left="223"/>
              <w:jc w:val="left"/>
              <w:rPr>
                <w:sz w:val="21"/>
              </w:rPr>
            </w:pPr>
            <w:r>
              <w:rPr>
                <w:sz w:val="21"/>
              </w:rPr>
              <w:t>（</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787" w:type="dxa"/>
            <w:tcBorders>
              <w:left w:val="single" w:color="000000" w:sz="4" w:space="0"/>
              <w:bottom w:val="single" w:color="000000" w:sz="4" w:space="0"/>
              <w:right w:val="single" w:color="000000" w:sz="4" w:space="0"/>
            </w:tcBorders>
          </w:tcPr>
          <w:p>
            <w:pPr>
              <w:pStyle w:val="19"/>
              <w:jc w:val="left"/>
              <w:rPr>
                <w:b/>
                <w:sz w:val="20"/>
              </w:rPr>
            </w:pPr>
          </w:p>
          <w:p>
            <w:pPr>
              <w:pStyle w:val="19"/>
              <w:spacing w:before="1"/>
              <w:jc w:val="left"/>
              <w:rPr>
                <w:b/>
                <w:sz w:val="16"/>
              </w:rPr>
            </w:pPr>
          </w:p>
          <w:p>
            <w:pPr>
              <w:pStyle w:val="19"/>
              <w:ind w:left="151" w:right="138"/>
              <w:rPr>
                <w:sz w:val="21"/>
              </w:rPr>
            </w:pPr>
            <w:r>
              <w:rPr>
                <w:sz w:val="21"/>
              </w:rPr>
              <w:t>指标</w:t>
            </w:r>
          </w:p>
        </w:tc>
        <w:tc>
          <w:tcPr>
            <w:tcW w:w="1761" w:type="dxa"/>
            <w:tcBorders>
              <w:left w:val="single" w:color="000000" w:sz="4" w:space="0"/>
              <w:bottom w:val="single" w:color="000000" w:sz="4" w:space="0"/>
              <w:right w:val="single" w:color="000000" w:sz="4" w:space="0"/>
            </w:tcBorders>
          </w:tcPr>
          <w:p>
            <w:pPr>
              <w:pStyle w:val="19"/>
              <w:spacing w:before="5"/>
              <w:jc w:val="left"/>
              <w:rPr>
                <w:b/>
                <w:sz w:val="25"/>
              </w:rPr>
            </w:pPr>
          </w:p>
          <w:p>
            <w:pPr>
              <w:pStyle w:val="19"/>
              <w:ind w:left="231" w:right="217"/>
              <w:rPr>
                <w:sz w:val="21"/>
              </w:rPr>
            </w:pPr>
            <w:r>
              <w:rPr>
                <w:sz w:val="21"/>
              </w:rPr>
              <w:t>设计进水浓度</w:t>
            </w:r>
          </w:p>
          <w:p>
            <w:pPr>
              <w:pStyle w:val="19"/>
              <w:spacing w:before="5"/>
              <w:ind w:left="232" w:right="216"/>
              <w:rPr>
                <w:sz w:val="21"/>
              </w:rPr>
            </w:pPr>
            <w:r>
              <w:rPr>
                <w:sz w:val="21"/>
              </w:rPr>
              <w:t>（</w:t>
            </w:r>
            <w:r>
              <w:rPr>
                <w:rFonts w:ascii="Times New Roman" w:eastAsia="Times New Roman"/>
                <w:sz w:val="21"/>
              </w:rPr>
              <w:t>mg/L</w:t>
            </w:r>
            <w:r>
              <w:rPr>
                <w:sz w:val="21"/>
              </w:rPr>
              <w:t>）</w:t>
            </w:r>
          </w:p>
        </w:tc>
        <w:tc>
          <w:tcPr>
            <w:tcW w:w="1511" w:type="dxa"/>
            <w:tcBorders>
              <w:left w:val="single" w:color="000000" w:sz="4" w:space="0"/>
              <w:bottom w:val="single" w:color="000000" w:sz="4" w:space="0"/>
              <w:right w:val="single" w:color="000000" w:sz="4" w:space="0"/>
            </w:tcBorders>
          </w:tcPr>
          <w:p>
            <w:pPr>
              <w:pStyle w:val="19"/>
              <w:spacing w:before="5"/>
              <w:jc w:val="left"/>
              <w:rPr>
                <w:b/>
                <w:sz w:val="25"/>
              </w:rPr>
            </w:pPr>
          </w:p>
          <w:p>
            <w:pPr>
              <w:pStyle w:val="19"/>
              <w:spacing w:line="244" w:lineRule="auto"/>
              <w:ind w:left="444" w:right="426"/>
              <w:jc w:val="left"/>
              <w:rPr>
                <w:sz w:val="21"/>
              </w:rPr>
            </w:pPr>
            <w:r>
              <w:rPr>
                <w:sz w:val="21"/>
              </w:rPr>
              <w:t>预处理去除率</w:t>
            </w:r>
          </w:p>
        </w:tc>
        <w:tc>
          <w:tcPr>
            <w:tcW w:w="2263" w:type="dxa"/>
            <w:tcBorders>
              <w:left w:val="single" w:color="000000" w:sz="4" w:space="0"/>
              <w:bottom w:val="single" w:color="000000" w:sz="4" w:space="0"/>
              <w:right w:val="single" w:color="000000" w:sz="4" w:space="0"/>
            </w:tcBorders>
          </w:tcPr>
          <w:p>
            <w:pPr>
              <w:pStyle w:val="19"/>
              <w:spacing w:before="5"/>
              <w:jc w:val="left"/>
              <w:rPr>
                <w:b/>
                <w:sz w:val="25"/>
              </w:rPr>
            </w:pPr>
          </w:p>
          <w:p>
            <w:pPr>
              <w:pStyle w:val="19"/>
              <w:spacing w:line="244" w:lineRule="auto"/>
              <w:ind w:left="399" w:right="92" w:hanging="288"/>
              <w:jc w:val="left"/>
              <w:rPr>
                <w:sz w:val="21"/>
              </w:rPr>
            </w:pPr>
            <w:r>
              <w:rPr>
                <w:spacing w:val="-14"/>
                <w:sz w:val="21"/>
              </w:rPr>
              <w:t>混凝沉淀、过滤、</w:t>
            </w:r>
            <w:r>
              <w:rPr>
                <w:rFonts w:ascii="Times New Roman" w:eastAsia="Times New Roman"/>
                <w:spacing w:val="-4"/>
                <w:sz w:val="21"/>
              </w:rPr>
              <w:t xml:space="preserve">MBR </w:t>
            </w:r>
            <w:r>
              <w:rPr>
                <w:sz w:val="21"/>
              </w:rPr>
              <w:t>膜、消毒去除率</w:t>
            </w:r>
          </w:p>
        </w:tc>
        <w:tc>
          <w:tcPr>
            <w:tcW w:w="1761" w:type="dxa"/>
            <w:tcBorders>
              <w:left w:val="single" w:color="000000" w:sz="4" w:space="0"/>
              <w:bottom w:val="single" w:color="000000" w:sz="4" w:space="0"/>
            </w:tcBorders>
          </w:tcPr>
          <w:p>
            <w:pPr>
              <w:pStyle w:val="19"/>
              <w:spacing w:before="5"/>
              <w:jc w:val="left"/>
              <w:rPr>
                <w:b/>
                <w:sz w:val="25"/>
              </w:rPr>
            </w:pPr>
          </w:p>
          <w:p>
            <w:pPr>
              <w:pStyle w:val="19"/>
              <w:ind w:left="234" w:right="212"/>
              <w:rPr>
                <w:sz w:val="21"/>
              </w:rPr>
            </w:pPr>
            <w:r>
              <w:rPr>
                <w:sz w:val="21"/>
              </w:rPr>
              <w:t>设计出水浓度</w:t>
            </w:r>
          </w:p>
          <w:p>
            <w:pPr>
              <w:pStyle w:val="19"/>
              <w:spacing w:before="5"/>
              <w:ind w:left="234" w:right="211"/>
              <w:rPr>
                <w:sz w:val="21"/>
              </w:rPr>
            </w:pPr>
            <w:r>
              <w:rPr>
                <w:sz w:val="21"/>
              </w:rPr>
              <w:t>（</w:t>
            </w:r>
            <w:r>
              <w:rPr>
                <w:rFonts w:ascii="Times New Roman" w:eastAsia="Times New Roman"/>
                <w:sz w:val="21"/>
              </w:rPr>
              <w:t>mg/L</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1261" w:type="dxa"/>
            <w:vMerge w:val="restart"/>
            <w:tcBorders>
              <w:top w:val="single" w:color="000000" w:sz="4" w:space="0"/>
              <w:right w:val="single" w:color="000000" w:sz="4" w:space="0"/>
            </w:tcBorders>
          </w:tcPr>
          <w:p>
            <w:pPr>
              <w:pStyle w:val="19"/>
              <w:spacing w:before="6"/>
              <w:jc w:val="left"/>
              <w:rPr>
                <w:b/>
                <w:sz w:val="28"/>
              </w:rPr>
            </w:pPr>
          </w:p>
          <w:p>
            <w:pPr>
              <w:pStyle w:val="19"/>
              <w:ind w:left="420"/>
              <w:jc w:val="left"/>
              <w:rPr>
                <w:rFonts w:ascii="Times New Roman"/>
                <w:sz w:val="21"/>
              </w:rPr>
            </w:pPr>
            <w:r>
              <w:rPr>
                <w:rFonts w:ascii="Times New Roman"/>
                <w:sz w:val="21"/>
              </w:rPr>
              <w:t>1440</w:t>
            </w:r>
          </w:p>
        </w:tc>
        <w:tc>
          <w:tcPr>
            <w:tcW w:w="787" w:type="dxa"/>
            <w:tcBorders>
              <w:top w:val="single" w:color="000000" w:sz="4" w:space="0"/>
              <w:left w:val="single" w:color="000000" w:sz="4" w:space="0"/>
              <w:bottom w:val="single" w:color="000000" w:sz="4" w:space="0"/>
              <w:right w:val="single" w:color="000000" w:sz="4" w:space="0"/>
            </w:tcBorders>
          </w:tcPr>
          <w:p>
            <w:pPr>
              <w:pStyle w:val="19"/>
              <w:spacing w:before="120"/>
              <w:ind w:left="155" w:right="136"/>
              <w:rPr>
                <w:rFonts w:ascii="Times New Roman"/>
                <w:sz w:val="21"/>
              </w:rPr>
            </w:pPr>
            <w:r>
              <w:rPr>
                <w:rFonts w:ascii="Times New Roman"/>
                <w:sz w:val="21"/>
              </w:rPr>
              <w:t>SS</w:t>
            </w:r>
          </w:p>
        </w:tc>
        <w:tc>
          <w:tcPr>
            <w:tcW w:w="1761" w:type="dxa"/>
            <w:tcBorders>
              <w:top w:val="single" w:color="000000" w:sz="4" w:space="0"/>
              <w:left w:val="single" w:color="000000" w:sz="4" w:space="0"/>
              <w:bottom w:val="single" w:color="000000" w:sz="4" w:space="0"/>
              <w:right w:val="single" w:color="000000" w:sz="4" w:space="0"/>
            </w:tcBorders>
          </w:tcPr>
          <w:p>
            <w:pPr>
              <w:pStyle w:val="19"/>
              <w:spacing w:before="120"/>
              <w:ind w:left="232" w:right="215"/>
              <w:rPr>
                <w:rFonts w:ascii="Times New Roman"/>
                <w:sz w:val="21"/>
              </w:rPr>
            </w:pPr>
            <w:r>
              <w:rPr>
                <w:rFonts w:ascii="Times New Roman"/>
                <w:sz w:val="21"/>
              </w:rPr>
              <w:t>300</w:t>
            </w:r>
          </w:p>
        </w:tc>
        <w:tc>
          <w:tcPr>
            <w:tcW w:w="1511" w:type="dxa"/>
            <w:tcBorders>
              <w:top w:val="single" w:color="000000" w:sz="4" w:space="0"/>
              <w:left w:val="single" w:color="000000" w:sz="4" w:space="0"/>
              <w:bottom w:val="single" w:color="000000" w:sz="4" w:space="0"/>
              <w:right w:val="single" w:color="000000" w:sz="4" w:space="0"/>
            </w:tcBorders>
          </w:tcPr>
          <w:p>
            <w:pPr>
              <w:pStyle w:val="19"/>
              <w:spacing w:line="241" w:lineRule="exact"/>
              <w:ind w:left="501" w:right="484"/>
              <w:rPr>
                <w:rFonts w:ascii="Times New Roman"/>
                <w:sz w:val="21"/>
              </w:rPr>
            </w:pPr>
            <w:r>
              <w:rPr>
                <w:rFonts w:ascii="Times New Roman"/>
                <w:sz w:val="21"/>
              </w:rPr>
              <w:t>75%</w:t>
            </w:r>
          </w:p>
          <w:p>
            <w:pPr>
              <w:pStyle w:val="19"/>
              <w:spacing w:line="217" w:lineRule="exact"/>
              <w:ind w:left="503" w:right="484"/>
              <w:rPr>
                <w:rFonts w:ascii="Times New Roman"/>
                <w:sz w:val="21"/>
              </w:rPr>
            </w:pPr>
            <w:r>
              <w:rPr>
                <w:rFonts w:ascii="Times New Roman"/>
                <w:sz w:val="21"/>
              </w:rPr>
              <w:t>75</w:t>
            </w:r>
          </w:p>
        </w:tc>
        <w:tc>
          <w:tcPr>
            <w:tcW w:w="2263" w:type="dxa"/>
            <w:tcBorders>
              <w:top w:val="single" w:color="000000" w:sz="4" w:space="0"/>
              <w:left w:val="single" w:color="000000" w:sz="4" w:space="0"/>
              <w:bottom w:val="single" w:color="000000" w:sz="4" w:space="0"/>
              <w:right w:val="single" w:color="000000" w:sz="4" w:space="0"/>
            </w:tcBorders>
          </w:tcPr>
          <w:p>
            <w:pPr>
              <w:pStyle w:val="19"/>
              <w:spacing w:line="241" w:lineRule="exact"/>
              <w:ind w:left="879" w:right="859"/>
              <w:rPr>
                <w:rFonts w:ascii="Times New Roman"/>
                <w:sz w:val="21"/>
              </w:rPr>
            </w:pPr>
            <w:r>
              <w:rPr>
                <w:rFonts w:ascii="Times New Roman"/>
                <w:sz w:val="21"/>
              </w:rPr>
              <w:t>80%</w:t>
            </w:r>
          </w:p>
          <w:p>
            <w:pPr>
              <w:pStyle w:val="19"/>
              <w:spacing w:line="217" w:lineRule="exact"/>
              <w:ind w:left="879" w:right="861"/>
              <w:rPr>
                <w:rFonts w:ascii="Times New Roman"/>
                <w:sz w:val="21"/>
              </w:rPr>
            </w:pPr>
            <w:r>
              <w:rPr>
                <w:rFonts w:ascii="Times New Roman"/>
                <w:sz w:val="21"/>
              </w:rPr>
              <w:t>15</w:t>
            </w:r>
          </w:p>
        </w:tc>
        <w:tc>
          <w:tcPr>
            <w:tcW w:w="1761" w:type="dxa"/>
            <w:tcBorders>
              <w:top w:val="single" w:color="000000" w:sz="4" w:space="0"/>
              <w:left w:val="single" w:color="000000" w:sz="4" w:space="0"/>
              <w:bottom w:val="single" w:color="000000" w:sz="4" w:space="0"/>
            </w:tcBorders>
          </w:tcPr>
          <w:p>
            <w:pPr>
              <w:pStyle w:val="19"/>
              <w:spacing w:before="120"/>
              <w:ind w:left="234" w:right="210"/>
              <w:rPr>
                <w:rFonts w:ascii="Times New Roman" w:hAnsi="Times New Roman"/>
                <w:sz w:val="21"/>
              </w:rPr>
            </w:pPr>
            <w:r>
              <w:rPr>
                <w:rFonts w:ascii="Times New Roman" w:hAns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7" w:hRule="atLeast"/>
        </w:trPr>
        <w:tc>
          <w:tcPr>
            <w:tcW w:w="1261" w:type="dxa"/>
            <w:vMerge w:val="continue"/>
            <w:tcBorders>
              <w:top w:val="nil"/>
              <w:right w:val="single" w:color="000000" w:sz="4" w:space="0"/>
            </w:tcBorders>
          </w:tcPr>
          <w:p>
            <w:pPr>
              <w:rPr>
                <w:sz w:val="2"/>
                <w:szCs w:val="2"/>
              </w:rPr>
            </w:pPr>
          </w:p>
        </w:tc>
        <w:tc>
          <w:tcPr>
            <w:tcW w:w="787" w:type="dxa"/>
            <w:tcBorders>
              <w:top w:val="single" w:color="000000" w:sz="4" w:space="0"/>
              <w:left w:val="single" w:color="000000" w:sz="4" w:space="0"/>
              <w:right w:val="single" w:color="000000" w:sz="4" w:space="0"/>
            </w:tcBorders>
          </w:tcPr>
          <w:p>
            <w:pPr>
              <w:pStyle w:val="19"/>
              <w:spacing w:before="114"/>
              <w:ind w:left="155" w:right="138"/>
              <w:rPr>
                <w:rFonts w:ascii="Times New Roman"/>
                <w:sz w:val="21"/>
              </w:rPr>
            </w:pPr>
            <w:r>
              <w:rPr>
                <w:rFonts w:ascii="Times New Roman"/>
                <w:sz w:val="21"/>
              </w:rPr>
              <w:t>COD</w:t>
            </w:r>
          </w:p>
        </w:tc>
        <w:tc>
          <w:tcPr>
            <w:tcW w:w="1761" w:type="dxa"/>
            <w:tcBorders>
              <w:top w:val="single" w:color="000000" w:sz="4" w:space="0"/>
              <w:left w:val="single" w:color="000000" w:sz="4" w:space="0"/>
              <w:right w:val="single" w:color="000000" w:sz="4" w:space="0"/>
            </w:tcBorders>
          </w:tcPr>
          <w:p>
            <w:pPr>
              <w:pStyle w:val="19"/>
              <w:spacing w:before="114"/>
              <w:ind w:left="232" w:right="215"/>
              <w:rPr>
                <w:rFonts w:ascii="Times New Roman"/>
                <w:sz w:val="21"/>
              </w:rPr>
            </w:pPr>
            <w:r>
              <w:rPr>
                <w:rFonts w:ascii="Times New Roman"/>
                <w:sz w:val="21"/>
              </w:rPr>
              <w:t>150</w:t>
            </w:r>
          </w:p>
        </w:tc>
        <w:tc>
          <w:tcPr>
            <w:tcW w:w="1511" w:type="dxa"/>
            <w:tcBorders>
              <w:top w:val="single" w:color="000000" w:sz="4" w:space="0"/>
              <w:left w:val="single" w:color="000000" w:sz="4" w:space="0"/>
              <w:right w:val="single" w:color="000000" w:sz="4" w:space="0"/>
            </w:tcBorders>
          </w:tcPr>
          <w:p>
            <w:pPr>
              <w:pStyle w:val="19"/>
              <w:spacing w:line="235" w:lineRule="exact"/>
              <w:ind w:left="501" w:right="484"/>
              <w:rPr>
                <w:rFonts w:ascii="Times New Roman"/>
                <w:sz w:val="21"/>
              </w:rPr>
            </w:pPr>
            <w:r>
              <w:rPr>
                <w:rFonts w:ascii="Times New Roman"/>
                <w:sz w:val="21"/>
              </w:rPr>
              <w:t>15%</w:t>
            </w:r>
          </w:p>
          <w:p>
            <w:pPr>
              <w:pStyle w:val="19"/>
              <w:spacing w:line="223" w:lineRule="exact"/>
              <w:ind w:left="503" w:right="484"/>
              <w:rPr>
                <w:rFonts w:ascii="Times New Roman"/>
                <w:sz w:val="21"/>
              </w:rPr>
            </w:pPr>
            <w:r>
              <w:rPr>
                <w:rFonts w:ascii="Times New Roman"/>
                <w:sz w:val="21"/>
              </w:rPr>
              <w:t>127.5</w:t>
            </w:r>
          </w:p>
        </w:tc>
        <w:tc>
          <w:tcPr>
            <w:tcW w:w="2263" w:type="dxa"/>
            <w:tcBorders>
              <w:top w:val="single" w:color="000000" w:sz="4" w:space="0"/>
              <w:left w:val="single" w:color="000000" w:sz="4" w:space="0"/>
              <w:right w:val="single" w:color="000000" w:sz="4" w:space="0"/>
            </w:tcBorders>
          </w:tcPr>
          <w:p>
            <w:pPr>
              <w:pStyle w:val="19"/>
              <w:spacing w:line="235" w:lineRule="exact"/>
              <w:ind w:left="879" w:right="861"/>
              <w:rPr>
                <w:rFonts w:ascii="Times New Roman"/>
                <w:sz w:val="21"/>
              </w:rPr>
            </w:pPr>
            <w:r>
              <w:rPr>
                <w:rFonts w:ascii="Times New Roman"/>
                <w:sz w:val="21"/>
              </w:rPr>
              <w:t>90%</w:t>
            </w:r>
          </w:p>
          <w:p>
            <w:pPr>
              <w:pStyle w:val="19"/>
              <w:spacing w:line="223" w:lineRule="exact"/>
              <w:ind w:left="879" w:right="861"/>
              <w:rPr>
                <w:rFonts w:ascii="Times New Roman"/>
                <w:sz w:val="21"/>
              </w:rPr>
            </w:pPr>
            <w:r>
              <w:rPr>
                <w:rFonts w:ascii="Times New Roman"/>
                <w:sz w:val="21"/>
              </w:rPr>
              <w:t>12.75</w:t>
            </w:r>
          </w:p>
        </w:tc>
        <w:tc>
          <w:tcPr>
            <w:tcW w:w="1761" w:type="dxa"/>
            <w:tcBorders>
              <w:top w:val="single" w:color="000000" w:sz="4" w:space="0"/>
              <w:left w:val="single" w:color="000000" w:sz="4" w:space="0"/>
            </w:tcBorders>
          </w:tcPr>
          <w:p>
            <w:pPr>
              <w:pStyle w:val="19"/>
              <w:spacing w:before="114"/>
              <w:ind w:left="234" w:right="208"/>
              <w:rPr>
                <w:rFonts w:ascii="Times New Roman" w:hAnsi="Times New Roman"/>
                <w:sz w:val="21"/>
              </w:rPr>
            </w:pPr>
            <w:r>
              <w:rPr>
                <w:rFonts w:ascii="Times New Roman" w:hAnsi="Times New Roman"/>
                <w:sz w:val="21"/>
              </w:rPr>
              <w:t>≤12.75</w:t>
            </w:r>
          </w:p>
        </w:tc>
      </w:tr>
    </w:tbl>
    <w:p>
      <w:pPr>
        <w:pStyle w:val="9"/>
        <w:spacing w:before="2" w:line="362" w:lineRule="auto"/>
        <w:ind w:left="1418" w:right="1291" w:firstLine="480"/>
        <w:jc w:val="both"/>
        <w:rPr>
          <w:rFonts w:ascii="Times New Roman" w:hAnsi="Times New Roman" w:eastAsia="Times New Roman"/>
        </w:rPr>
      </w:pPr>
      <w:r>
        <w:rPr>
          <w:spacing w:val="-14"/>
        </w:rPr>
        <w:t>采煤废水采用混凝、沉淀、过滤、</w:t>
      </w:r>
      <w:r>
        <w:rPr>
          <w:rFonts w:ascii="Times New Roman" w:hAnsi="Times New Roman" w:eastAsia="Times New Roman"/>
        </w:rPr>
        <w:t xml:space="preserve">MBR </w:t>
      </w:r>
      <w:r>
        <w:rPr>
          <w:spacing w:val="-14"/>
        </w:rPr>
        <w:t xml:space="preserve">膜、消毒处理工艺后，矿井外排废水 </w:t>
      </w:r>
      <w:r>
        <w:rPr>
          <w:rFonts w:ascii="Times New Roman" w:hAnsi="Times New Roman" w:eastAsia="Times New Roman"/>
          <w:spacing w:val="-3"/>
        </w:rPr>
        <w:t>SS≤15</w:t>
      </w:r>
      <w:r>
        <w:rPr>
          <w:spacing w:val="-3"/>
        </w:rPr>
        <w:t xml:space="preserve">； </w:t>
      </w:r>
      <w:r>
        <w:rPr>
          <w:rFonts w:ascii="Times New Roman" w:hAnsi="Times New Roman" w:eastAsia="Times New Roman"/>
        </w:rPr>
        <w:t>COD≤12.75</w:t>
      </w:r>
    </w:p>
    <w:p>
      <w:pPr>
        <w:pStyle w:val="9"/>
        <w:spacing w:line="364" w:lineRule="auto"/>
        <w:ind w:left="1418" w:right="1413" w:firstLine="480"/>
        <w:jc w:val="both"/>
      </w:pPr>
      <w:r>
        <w:t>水质能同时满足《煤炭工业污染物排放标准》（</w:t>
      </w:r>
      <w:r>
        <w:rPr>
          <w:rFonts w:ascii="Times New Roman" w:hAnsi="Times New Roman" w:eastAsia="Times New Roman"/>
        </w:rPr>
        <w:t>GB20426-2006</w:t>
      </w:r>
      <w:r>
        <w:t>）</w:t>
      </w:r>
      <w:r>
        <w:rPr>
          <w:spacing w:val="-27"/>
        </w:rPr>
        <w:t xml:space="preserve">表 </w:t>
      </w:r>
      <w:r>
        <w:rPr>
          <w:rFonts w:ascii="Times New Roman" w:hAnsi="Times New Roman" w:eastAsia="Times New Roman"/>
        </w:rPr>
        <w:t>1</w:t>
      </w:r>
      <w:r>
        <w:t>、</w:t>
      </w:r>
      <w:r>
        <w:rPr>
          <w:rFonts w:ascii="Times New Roman" w:hAnsi="Times New Roman" w:eastAsia="Times New Roman"/>
        </w:rPr>
        <w:t xml:space="preserve">2 </w:t>
      </w:r>
      <w:r>
        <w:rPr>
          <w:spacing w:val="-4"/>
        </w:rPr>
        <w:t>标准限值</w:t>
      </w:r>
      <w:r>
        <w:t>的要求及《地表水环境质量标准》（</w:t>
      </w:r>
      <w:r>
        <w:rPr>
          <w:rFonts w:ascii="Times New Roman" w:hAnsi="Times New Roman" w:eastAsia="Times New Roman"/>
        </w:rPr>
        <w:t>GB3838-2002</w:t>
      </w:r>
      <w:r>
        <w:t>）</w:t>
      </w:r>
      <w:r>
        <w:rPr>
          <w:spacing w:val="-1"/>
        </w:rPr>
        <w:t>中Ⅱ类标准限值，处理后采煤废水</w:t>
      </w:r>
      <w:r>
        <w:t>可作为安邦河补充用水资源化利用，该处理工艺技术可行。</w:t>
      </w:r>
    </w:p>
    <w:p>
      <w:pPr>
        <w:spacing w:after="0" w:line="364" w:lineRule="auto"/>
        <w:jc w:val="both"/>
        <w:sectPr>
          <w:pgSz w:w="11910" w:h="16840"/>
          <w:pgMar w:top="1340" w:right="0" w:bottom="880" w:left="0" w:header="0" w:footer="681" w:gutter="0"/>
        </w:sectPr>
      </w:pPr>
    </w:p>
    <w:p>
      <w:pPr>
        <w:pStyle w:val="3"/>
        <w:numPr>
          <w:ilvl w:val="2"/>
          <w:numId w:val="14"/>
        </w:numPr>
        <w:tabs>
          <w:tab w:val="left" w:pos="4644"/>
        </w:tabs>
        <w:spacing w:before="41" w:after="0" w:line="240" w:lineRule="auto"/>
        <w:ind w:left="4644" w:right="0" w:hanging="4644"/>
        <w:jc w:val="left"/>
        <w:rPr>
          <w:rFonts w:ascii="Times New Roman" w:eastAsia="Times New Roman"/>
          <w:sz w:val="34"/>
        </w:rPr>
      </w:pPr>
      <w:bookmarkStart w:id="379" w:name="7.大气环境影响分析"/>
      <w:bookmarkEnd w:id="379"/>
      <w:bookmarkStart w:id="380" w:name="_bookmark39"/>
      <w:bookmarkEnd w:id="380"/>
      <w:bookmarkStart w:id="381" w:name="_bookmark39"/>
      <w:bookmarkEnd w:id="381"/>
      <w:r>
        <w:t>大气环境影响分析</w:t>
      </w:r>
    </w:p>
    <w:p>
      <w:pPr>
        <w:pStyle w:val="5"/>
        <w:numPr>
          <w:ilvl w:val="1"/>
          <w:numId w:val="69"/>
        </w:numPr>
        <w:tabs>
          <w:tab w:val="left" w:pos="1868"/>
        </w:tabs>
        <w:spacing w:before="240" w:after="0" w:line="240" w:lineRule="auto"/>
        <w:ind w:left="1867" w:right="0" w:hanging="450"/>
        <w:jc w:val="both"/>
      </w:pPr>
      <w:bookmarkStart w:id="382" w:name="_bookmark40"/>
      <w:bookmarkEnd w:id="382"/>
      <w:bookmarkStart w:id="383" w:name="7.1环境空气质量现状评价"/>
      <w:bookmarkEnd w:id="383"/>
      <w:bookmarkStart w:id="384" w:name="_bookmark40"/>
      <w:bookmarkEnd w:id="384"/>
      <w:r>
        <w:t>环境空气质量现状评价</w:t>
      </w:r>
    </w:p>
    <w:p>
      <w:pPr>
        <w:pStyle w:val="9"/>
        <w:spacing w:before="198" w:line="364" w:lineRule="auto"/>
        <w:ind w:left="1418" w:right="1416" w:firstLine="480"/>
        <w:jc w:val="both"/>
      </w:pPr>
      <w:r>
        <w:t xml:space="preserve">环境空气质量常规污染物现状数据来源于双鸭山市政府网站公布的 </w:t>
      </w:r>
      <w:r>
        <w:rPr>
          <w:rFonts w:ascii="Times New Roman" w:eastAsia="Times New Roman"/>
        </w:rPr>
        <w:t xml:space="preserve">2019 </w:t>
      </w:r>
      <w:r>
        <w:t>年全年环境空气例行监测数据，环境空气质量特征污染物委托黑龙江康和检测有限公司进行监测。</w:t>
      </w:r>
    </w:p>
    <w:p>
      <w:pPr>
        <w:pStyle w:val="9"/>
        <w:spacing w:line="364" w:lineRule="auto"/>
        <w:ind w:left="1418" w:right="1365" w:firstLine="480"/>
        <w:jc w:val="both"/>
      </w:pPr>
      <w:r>
        <w:t>根据《环境影响评价技术导则</w:t>
      </w:r>
      <w:r>
        <w:rPr>
          <w:rFonts w:ascii="Times New Roman" w:eastAsia="Times New Roman"/>
        </w:rPr>
        <w:t>-</w:t>
      </w:r>
      <w:r>
        <w:t>大气环境》（</w:t>
      </w:r>
      <w:r>
        <w:rPr>
          <w:rFonts w:ascii="Times New Roman" w:eastAsia="Times New Roman"/>
        </w:rPr>
        <w:t>HJ2.2-2018</w:t>
      </w:r>
      <w:r>
        <w:t>）中环境空气二级评价等级要求和本项目生产规模、建设性质，结合本项目厂址周围地形特点、排污特征和评价范围内环境空气保护目标分布的情况对环境空气质量现状进行调查，并进行了补充监测。</w:t>
      </w:r>
    </w:p>
    <w:p>
      <w:pPr>
        <w:pStyle w:val="6"/>
        <w:numPr>
          <w:ilvl w:val="2"/>
          <w:numId w:val="69"/>
        </w:numPr>
        <w:tabs>
          <w:tab w:val="left" w:pos="2048"/>
        </w:tabs>
        <w:spacing w:before="0" w:after="0" w:line="357" w:lineRule="exact"/>
        <w:ind w:left="2047" w:right="0" w:hanging="630"/>
        <w:jc w:val="both"/>
      </w:pPr>
      <w:bookmarkStart w:id="385" w:name="7.1.1区域环境空气质量现状调查"/>
      <w:bookmarkEnd w:id="385"/>
      <w:bookmarkStart w:id="386" w:name="7.1.1区域环境空气质量现状调查"/>
      <w:bookmarkEnd w:id="386"/>
      <w:r>
        <w:t>区域环境空气质量现状调查</w:t>
      </w:r>
    </w:p>
    <w:p>
      <w:pPr>
        <w:pStyle w:val="9"/>
        <w:spacing w:before="185" w:line="362" w:lineRule="auto"/>
        <w:ind w:left="1418" w:right="1411" w:firstLine="480"/>
        <w:jc w:val="both"/>
      </w:pPr>
      <w:r>
        <w:rPr>
          <w:spacing w:val="-3"/>
        </w:rPr>
        <w:t>根据双鸭山市人民政府网公布的《</w:t>
      </w:r>
      <w:r>
        <w:rPr>
          <w:rFonts w:ascii="Times New Roman" w:hAnsi="Times New Roman" w:eastAsia="Times New Roman"/>
        </w:rPr>
        <w:t xml:space="preserve">2019 </w:t>
      </w:r>
      <w:r>
        <w:rPr>
          <w:spacing w:val="-4"/>
        </w:rPr>
        <w:t>年双鸭山市环境空气质量状况》所示，</w:t>
      </w:r>
      <w:r>
        <w:rPr>
          <w:rFonts w:ascii="Times New Roman" w:hAnsi="Times New Roman" w:eastAsia="Times New Roman"/>
          <w:spacing w:val="-11"/>
        </w:rPr>
        <w:t xml:space="preserve">2019 </w:t>
      </w:r>
      <w:r>
        <w:rPr>
          <w:position w:val="2"/>
        </w:rPr>
        <w:t>年双鸭山市环境空气质量现状为：</w:t>
      </w:r>
      <w:r>
        <w:rPr>
          <w:rFonts w:ascii="Times New Roman" w:hAnsi="Times New Roman" w:eastAsia="Times New Roman"/>
          <w:position w:val="2"/>
        </w:rPr>
        <w:t>PM</w:t>
      </w:r>
      <w:r>
        <w:rPr>
          <w:rFonts w:ascii="Times New Roman" w:hAnsi="Times New Roman" w:eastAsia="Times New Roman"/>
          <w:position w:val="2"/>
          <w:vertAlign w:val="subscript"/>
        </w:rPr>
        <w:t>2.5</w:t>
      </w:r>
      <w:r>
        <w:rPr>
          <w:rFonts w:ascii="Times New Roman" w:hAnsi="Times New Roman" w:eastAsia="Times New Roman"/>
          <w:position w:val="2"/>
          <w:vertAlign w:val="baseline"/>
        </w:rPr>
        <w:t xml:space="preserve"> </w:t>
      </w:r>
      <w:r>
        <w:rPr>
          <w:spacing w:val="-5"/>
          <w:position w:val="2"/>
          <w:vertAlign w:val="baseline"/>
        </w:rPr>
        <w:t xml:space="preserve">全年平均浓度值为 </w:t>
      </w:r>
      <w:r>
        <w:rPr>
          <w:rFonts w:ascii="Times New Roman" w:hAnsi="Times New Roman" w:eastAsia="Times New Roman"/>
          <w:position w:val="2"/>
          <w:vertAlign w:val="baseline"/>
        </w:rPr>
        <w:t>29μg/m</w:t>
      </w:r>
      <w:r>
        <w:rPr>
          <w:rFonts w:ascii="Times New Roman" w:hAnsi="Times New Roman" w:eastAsia="Times New Roman"/>
          <w:position w:val="2"/>
          <w:vertAlign w:val="superscript"/>
        </w:rPr>
        <w:t>3</w:t>
      </w:r>
      <w:r>
        <w:rPr>
          <w:spacing w:val="4"/>
          <w:position w:val="2"/>
          <w:vertAlign w:val="baseline"/>
        </w:rPr>
        <w:t>、</w:t>
      </w:r>
      <w:r>
        <w:rPr>
          <w:rFonts w:ascii="Times New Roman" w:hAnsi="Times New Roman" w:eastAsia="Times New Roman"/>
          <w:position w:val="2"/>
          <w:vertAlign w:val="baseline"/>
        </w:rPr>
        <w:t>PM</w:t>
      </w:r>
      <w:r>
        <w:rPr>
          <w:rFonts w:ascii="Times New Roman" w:hAnsi="Times New Roman" w:eastAsia="Times New Roman"/>
          <w:position w:val="2"/>
          <w:vertAlign w:val="subscript"/>
        </w:rPr>
        <w:t>10</w:t>
      </w:r>
      <w:r>
        <w:rPr>
          <w:rFonts w:ascii="Times New Roman" w:hAnsi="Times New Roman" w:eastAsia="Times New Roman"/>
          <w:position w:val="2"/>
          <w:vertAlign w:val="baseline"/>
        </w:rPr>
        <w:t xml:space="preserve"> </w:t>
      </w:r>
      <w:r>
        <w:rPr>
          <w:position w:val="2"/>
          <w:vertAlign w:val="baseline"/>
        </w:rPr>
        <w:t>全年平均浓</w:t>
      </w:r>
      <w:r>
        <w:rPr>
          <w:spacing w:val="-15"/>
          <w:position w:val="2"/>
          <w:vertAlign w:val="baseline"/>
        </w:rPr>
        <w:t xml:space="preserve">度值为 </w:t>
      </w:r>
      <w:r>
        <w:rPr>
          <w:rFonts w:ascii="Times New Roman" w:hAnsi="Times New Roman" w:eastAsia="Times New Roman"/>
          <w:position w:val="2"/>
          <w:vertAlign w:val="baseline"/>
        </w:rPr>
        <w:t>50μg/m</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SO</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 </w:t>
      </w:r>
      <w:r>
        <w:rPr>
          <w:spacing w:val="-7"/>
          <w:position w:val="2"/>
          <w:vertAlign w:val="baseline"/>
        </w:rPr>
        <w:t xml:space="preserve">全年平均浓度值为 </w:t>
      </w:r>
      <w:r>
        <w:rPr>
          <w:rFonts w:ascii="Times New Roman" w:hAnsi="Times New Roman" w:eastAsia="Times New Roman"/>
          <w:position w:val="2"/>
          <w:vertAlign w:val="baseline"/>
        </w:rPr>
        <w:t>8μg/m</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NO</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 </w:t>
      </w:r>
      <w:r>
        <w:rPr>
          <w:spacing w:val="-7"/>
          <w:position w:val="2"/>
          <w:vertAlign w:val="baseline"/>
        </w:rPr>
        <w:t xml:space="preserve">全年平均浓度值为 </w:t>
      </w:r>
      <w:r>
        <w:rPr>
          <w:rFonts w:ascii="Times New Roman" w:hAnsi="Times New Roman" w:eastAsia="Times New Roman"/>
          <w:position w:val="2"/>
          <w:vertAlign w:val="baseline"/>
        </w:rPr>
        <w:t>15μg/m</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 xml:space="preserve">CO </w:t>
      </w:r>
      <w:r>
        <w:rPr>
          <w:spacing w:val="-7"/>
          <w:position w:val="2"/>
          <w:vertAlign w:val="baseline"/>
        </w:rPr>
        <w:t xml:space="preserve">全年平均浓度值为 </w:t>
      </w:r>
      <w:r>
        <w:rPr>
          <w:rFonts w:ascii="Times New Roman" w:hAnsi="Times New Roman" w:eastAsia="Times New Roman"/>
          <w:spacing w:val="-5"/>
          <w:position w:val="2"/>
          <w:vertAlign w:val="baseline"/>
        </w:rPr>
        <w:t>0.7mg/m</w:t>
      </w:r>
      <w:r>
        <w:rPr>
          <w:rFonts w:ascii="Times New Roman" w:hAnsi="Times New Roman" w:eastAsia="Times New Roman"/>
          <w:spacing w:val="-5"/>
          <w:position w:val="2"/>
          <w:vertAlign w:val="superscript"/>
        </w:rPr>
        <w:t>3</w:t>
      </w:r>
      <w:r>
        <w:rPr>
          <w:spacing w:val="-10"/>
          <w:position w:val="2"/>
          <w:vertAlign w:val="baseline"/>
        </w:rPr>
        <w:t xml:space="preserve">，平均浓度第 </w:t>
      </w:r>
      <w:r>
        <w:rPr>
          <w:rFonts w:ascii="Times New Roman" w:hAnsi="Times New Roman" w:eastAsia="Times New Roman"/>
          <w:position w:val="2"/>
          <w:vertAlign w:val="baseline"/>
        </w:rPr>
        <w:t xml:space="preserve">95 </w:t>
      </w:r>
      <w:r>
        <w:rPr>
          <w:spacing w:val="-10"/>
          <w:position w:val="2"/>
          <w:vertAlign w:val="baseline"/>
        </w:rPr>
        <w:t xml:space="preserve">百分位数为 </w:t>
      </w:r>
      <w:r>
        <w:rPr>
          <w:rFonts w:ascii="Times New Roman" w:hAnsi="Times New Roman" w:eastAsia="Times New Roman"/>
          <w:position w:val="2"/>
          <w:vertAlign w:val="baseline"/>
        </w:rPr>
        <w:t>1.4mg/m</w:t>
      </w:r>
      <w:r>
        <w:rPr>
          <w:rFonts w:ascii="Times New Roman" w:hAnsi="Times New Roman" w:eastAsia="Times New Roman"/>
          <w:position w:val="2"/>
          <w:vertAlign w:val="superscript"/>
        </w:rPr>
        <w:t>3</w:t>
      </w:r>
      <w:r>
        <w:rPr>
          <w:spacing w:val="-39"/>
          <w:position w:val="2"/>
          <w:vertAlign w:val="baseline"/>
        </w:rPr>
        <w:t>、</w:t>
      </w:r>
      <w:r>
        <w:rPr>
          <w:rFonts w:ascii="Times New Roman" w:hAnsi="Times New Roman" w:eastAsia="Times New Roman"/>
          <w:position w:val="2"/>
          <w:vertAlign w:val="baseline"/>
        </w:rPr>
        <w:t>O</w:t>
      </w:r>
      <w:r>
        <w:rPr>
          <w:rFonts w:ascii="Times New Roman" w:hAnsi="Times New Roman" w:eastAsia="Times New Roman"/>
          <w:position w:val="2"/>
          <w:vertAlign w:val="subscript"/>
        </w:rPr>
        <w:t>3</w:t>
      </w:r>
      <w:r>
        <w:rPr>
          <w:rFonts w:ascii="Times New Roman" w:hAnsi="Times New Roman" w:eastAsia="Times New Roman"/>
          <w:position w:val="2"/>
          <w:vertAlign w:val="baseline"/>
        </w:rPr>
        <w:t xml:space="preserve">8h </w:t>
      </w:r>
      <w:r>
        <w:rPr>
          <w:spacing w:val="-3"/>
          <w:position w:val="2"/>
          <w:vertAlign w:val="baseline"/>
        </w:rPr>
        <w:t>全年平均浓度</w:t>
      </w:r>
      <w:r>
        <w:rPr>
          <w:spacing w:val="-17"/>
          <w:vertAlign w:val="baseline"/>
        </w:rPr>
        <w:t xml:space="preserve">值为 </w:t>
      </w:r>
      <w:r>
        <w:rPr>
          <w:rFonts w:ascii="Times New Roman" w:hAnsi="Times New Roman" w:eastAsia="Times New Roman"/>
          <w:vertAlign w:val="baseline"/>
        </w:rPr>
        <w:t>69μg/m</w:t>
      </w:r>
      <w:r>
        <w:rPr>
          <w:rFonts w:ascii="Times New Roman" w:hAnsi="Times New Roman" w:eastAsia="Times New Roman"/>
          <w:position w:val="8"/>
          <w:sz w:val="15"/>
          <w:vertAlign w:val="baseline"/>
        </w:rPr>
        <w:t>3</w:t>
      </w:r>
      <w:r>
        <w:rPr>
          <w:spacing w:val="-7"/>
          <w:vertAlign w:val="baseline"/>
        </w:rPr>
        <w:t xml:space="preserve">、平均浓度第 </w:t>
      </w:r>
      <w:r>
        <w:rPr>
          <w:rFonts w:ascii="Times New Roman" w:hAnsi="Times New Roman" w:eastAsia="Times New Roman"/>
          <w:vertAlign w:val="baseline"/>
        </w:rPr>
        <w:t xml:space="preserve">90 </w:t>
      </w:r>
      <w:r>
        <w:rPr>
          <w:spacing w:val="-8"/>
          <w:vertAlign w:val="baseline"/>
        </w:rPr>
        <w:t xml:space="preserve">百分位数为 </w:t>
      </w:r>
      <w:r>
        <w:rPr>
          <w:rFonts w:ascii="Times New Roman" w:hAnsi="Times New Roman" w:eastAsia="Times New Roman"/>
          <w:vertAlign w:val="baseline"/>
        </w:rPr>
        <w:t>102μg/m3</w:t>
      </w:r>
      <w:r>
        <w:rPr>
          <w:vertAlign w:val="baseline"/>
        </w:rPr>
        <w:t>，总体评价达标，本项目区域空气质量现状评价见下表。</w:t>
      </w:r>
    </w:p>
    <w:p>
      <w:pPr>
        <w:spacing w:before="3"/>
        <w:ind w:left="7" w:right="0" w:firstLine="0"/>
        <w:jc w:val="center"/>
        <w:rPr>
          <w:b/>
          <w:sz w:val="21"/>
        </w:rPr>
      </w:pPr>
      <w:r>
        <w:rPr>
          <w:b/>
          <w:spacing w:val="-28"/>
          <w:sz w:val="21"/>
        </w:rPr>
        <w:t xml:space="preserve">表 </w:t>
      </w:r>
      <w:r>
        <w:rPr>
          <w:rFonts w:ascii="Times New Roman" w:eastAsia="Times New Roman"/>
          <w:b/>
          <w:sz w:val="21"/>
        </w:rPr>
        <w:t>7.1-1</w:t>
      </w:r>
      <w:r>
        <w:rPr>
          <w:rFonts w:ascii="Times New Roman" w:eastAsia="Times New Roman"/>
          <w:b/>
          <w:spacing w:val="52"/>
          <w:sz w:val="21"/>
        </w:rPr>
        <w:t xml:space="preserve"> </w:t>
      </w:r>
      <w:r>
        <w:rPr>
          <w:b/>
          <w:sz w:val="21"/>
        </w:rPr>
        <w:t>区域空气质量现状评价表</w:t>
      </w: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13"/>
        <w:gridCol w:w="3162"/>
        <w:gridCol w:w="1468"/>
        <w:gridCol w:w="1700"/>
        <w:gridCol w:w="1038"/>
        <w:gridCol w:w="9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1013" w:type="dxa"/>
            <w:tcBorders>
              <w:bottom w:val="single" w:color="000000" w:sz="4" w:space="0"/>
              <w:right w:val="single" w:color="000000" w:sz="4" w:space="0"/>
            </w:tcBorders>
          </w:tcPr>
          <w:p>
            <w:pPr>
              <w:pStyle w:val="19"/>
              <w:spacing w:before="135"/>
              <w:ind w:left="169" w:right="159"/>
              <w:rPr>
                <w:sz w:val="21"/>
              </w:rPr>
            </w:pPr>
            <w:r>
              <w:rPr>
                <w:sz w:val="21"/>
              </w:rPr>
              <w:t>污染物</w:t>
            </w:r>
          </w:p>
        </w:tc>
        <w:tc>
          <w:tcPr>
            <w:tcW w:w="3162" w:type="dxa"/>
            <w:tcBorders>
              <w:left w:val="single" w:color="000000" w:sz="4" w:space="0"/>
              <w:bottom w:val="single" w:color="000000" w:sz="4" w:space="0"/>
              <w:right w:val="single" w:color="000000" w:sz="4" w:space="0"/>
            </w:tcBorders>
          </w:tcPr>
          <w:p>
            <w:pPr>
              <w:pStyle w:val="19"/>
              <w:spacing w:before="135"/>
              <w:ind w:left="120" w:right="102"/>
              <w:rPr>
                <w:sz w:val="21"/>
              </w:rPr>
            </w:pPr>
            <w:r>
              <w:rPr>
                <w:sz w:val="21"/>
              </w:rPr>
              <w:t>年评价指标</w:t>
            </w:r>
          </w:p>
        </w:tc>
        <w:tc>
          <w:tcPr>
            <w:tcW w:w="1468" w:type="dxa"/>
            <w:tcBorders>
              <w:left w:val="single" w:color="000000" w:sz="4" w:space="0"/>
              <w:bottom w:val="single" w:color="000000" w:sz="4" w:space="0"/>
              <w:right w:val="single" w:color="000000" w:sz="4" w:space="0"/>
            </w:tcBorders>
          </w:tcPr>
          <w:p>
            <w:pPr>
              <w:pStyle w:val="19"/>
              <w:ind w:left="289"/>
              <w:jc w:val="left"/>
              <w:rPr>
                <w:rFonts w:ascii="Times New Roman" w:eastAsia="Times New Roman"/>
                <w:sz w:val="21"/>
              </w:rPr>
            </w:pPr>
            <w:r>
              <w:rPr>
                <w:w w:val="95"/>
                <w:sz w:val="21"/>
              </w:rPr>
              <w:t>现状浓度</w:t>
            </w:r>
            <w:r>
              <w:rPr>
                <w:rFonts w:ascii="Times New Roman" w:eastAsia="Times New Roman"/>
                <w:w w:val="95"/>
                <w:sz w:val="21"/>
              </w:rPr>
              <w:t>/</w:t>
            </w:r>
          </w:p>
          <w:p>
            <w:pPr>
              <w:pStyle w:val="19"/>
              <w:spacing w:before="5" w:line="251" w:lineRule="exact"/>
              <w:ind w:left="274"/>
              <w:jc w:val="left"/>
              <w:rPr>
                <w:sz w:val="21"/>
              </w:rPr>
            </w:pPr>
            <w:r>
              <w:rPr>
                <w:sz w:val="21"/>
              </w:rPr>
              <w:t>（</w:t>
            </w:r>
            <w:r>
              <w:rPr>
                <w:rFonts w:ascii="Times New Roman" w:hAnsi="Times New Roman" w:eastAsia="Times New Roman"/>
                <w:sz w:val="21"/>
              </w:rPr>
              <w:t>μg/m</w:t>
            </w:r>
            <w:r>
              <w:rPr>
                <w:rFonts w:ascii="Times New Roman" w:hAnsi="Times New Roman" w:eastAsia="Times New Roman"/>
                <w:position w:val="7"/>
                <w:sz w:val="13"/>
              </w:rPr>
              <w:t>3</w:t>
            </w:r>
            <w:r>
              <w:rPr>
                <w:sz w:val="21"/>
              </w:rPr>
              <w:t>）</w:t>
            </w:r>
          </w:p>
        </w:tc>
        <w:tc>
          <w:tcPr>
            <w:tcW w:w="1700" w:type="dxa"/>
            <w:tcBorders>
              <w:left w:val="single" w:color="000000" w:sz="4" w:space="0"/>
              <w:bottom w:val="single" w:color="000000" w:sz="4" w:space="0"/>
              <w:right w:val="single" w:color="000000" w:sz="4" w:space="0"/>
            </w:tcBorders>
          </w:tcPr>
          <w:p>
            <w:pPr>
              <w:pStyle w:val="19"/>
              <w:spacing w:before="135"/>
              <w:ind w:left="112" w:right="-15"/>
              <w:rPr>
                <w:sz w:val="21"/>
              </w:rPr>
            </w:pPr>
            <w:r>
              <w:rPr>
                <w:sz w:val="21"/>
              </w:rPr>
              <w:t>标准值</w:t>
            </w:r>
            <w:r>
              <w:rPr>
                <w:rFonts w:ascii="Times New Roman" w:hAnsi="Times New Roman" w:eastAsia="Times New Roman"/>
                <w:spacing w:val="-6"/>
                <w:sz w:val="21"/>
              </w:rPr>
              <w:t>/</w:t>
            </w:r>
            <w:r>
              <w:rPr>
                <w:spacing w:val="-6"/>
                <w:sz w:val="21"/>
              </w:rPr>
              <w:t>（</w:t>
            </w:r>
            <w:r>
              <w:rPr>
                <w:rFonts w:ascii="Times New Roman" w:hAnsi="Times New Roman" w:eastAsia="Times New Roman"/>
                <w:spacing w:val="-6"/>
                <w:sz w:val="21"/>
              </w:rPr>
              <w:t>μg/m</w:t>
            </w:r>
            <w:r>
              <w:rPr>
                <w:rFonts w:ascii="Times New Roman" w:hAnsi="Times New Roman" w:eastAsia="Times New Roman"/>
                <w:spacing w:val="-6"/>
                <w:position w:val="7"/>
                <w:sz w:val="13"/>
              </w:rPr>
              <w:t>3</w:t>
            </w:r>
            <w:r>
              <w:rPr>
                <w:spacing w:val="-6"/>
                <w:sz w:val="21"/>
              </w:rPr>
              <w:t>）</w:t>
            </w:r>
          </w:p>
        </w:tc>
        <w:tc>
          <w:tcPr>
            <w:tcW w:w="1038" w:type="dxa"/>
            <w:tcBorders>
              <w:left w:val="single" w:color="000000" w:sz="4" w:space="0"/>
              <w:bottom w:val="single" w:color="000000" w:sz="4" w:space="0"/>
              <w:right w:val="single" w:color="000000" w:sz="4" w:space="0"/>
            </w:tcBorders>
          </w:tcPr>
          <w:p>
            <w:pPr>
              <w:pStyle w:val="19"/>
              <w:spacing w:before="15"/>
              <w:ind w:left="187" w:right="171"/>
              <w:rPr>
                <w:sz w:val="21"/>
              </w:rPr>
            </w:pPr>
            <w:r>
              <w:rPr>
                <w:sz w:val="21"/>
              </w:rPr>
              <w:t>占标率</w:t>
            </w:r>
          </w:p>
          <w:p>
            <w:pPr>
              <w:pStyle w:val="19"/>
              <w:spacing w:before="4" w:line="237" w:lineRule="exact"/>
              <w:ind w:left="187" w:right="170"/>
              <w:rPr>
                <w:rFonts w:ascii="Times New Roman"/>
                <w:sz w:val="21"/>
              </w:rPr>
            </w:pPr>
            <w:r>
              <w:rPr>
                <w:rFonts w:ascii="Times New Roman"/>
                <w:sz w:val="21"/>
              </w:rPr>
              <w:t>/%</w:t>
            </w:r>
          </w:p>
        </w:tc>
        <w:tc>
          <w:tcPr>
            <w:tcW w:w="901" w:type="dxa"/>
            <w:tcBorders>
              <w:left w:val="single" w:color="000000" w:sz="4" w:space="0"/>
              <w:bottom w:val="single" w:color="000000" w:sz="4" w:space="0"/>
            </w:tcBorders>
          </w:tcPr>
          <w:p>
            <w:pPr>
              <w:pStyle w:val="19"/>
              <w:ind w:left="118" w:right="97"/>
              <w:rPr>
                <w:sz w:val="21"/>
              </w:rPr>
            </w:pPr>
            <w:r>
              <w:rPr>
                <w:sz w:val="21"/>
              </w:rPr>
              <w:t>达标情</w:t>
            </w:r>
          </w:p>
          <w:p>
            <w:pPr>
              <w:pStyle w:val="19"/>
              <w:spacing w:before="5" w:line="251" w:lineRule="exact"/>
              <w:ind w:left="23"/>
              <w:rPr>
                <w:sz w:val="21"/>
              </w:rPr>
            </w:pPr>
            <w:r>
              <w:rPr>
                <w:w w:val="99"/>
                <w:sz w:val="21"/>
              </w:rPr>
              <w:t>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1013" w:type="dxa"/>
            <w:tcBorders>
              <w:top w:val="single" w:color="000000" w:sz="4" w:space="0"/>
              <w:bottom w:val="single" w:color="000000" w:sz="4" w:space="0"/>
              <w:right w:val="single" w:color="000000" w:sz="4" w:space="0"/>
            </w:tcBorders>
          </w:tcPr>
          <w:p>
            <w:pPr>
              <w:pStyle w:val="19"/>
              <w:spacing w:before="13" w:line="239" w:lineRule="exact"/>
              <w:ind w:left="169" w:right="153"/>
              <w:rPr>
                <w:rFonts w:ascii="Times New Roman"/>
                <w:sz w:val="21"/>
              </w:rPr>
            </w:pPr>
            <w:r>
              <w:rPr>
                <w:rFonts w:ascii="Times New Roman"/>
                <w:position w:val="2"/>
                <w:sz w:val="21"/>
              </w:rPr>
              <w:t>SO</w:t>
            </w:r>
            <w:r>
              <w:rPr>
                <w:rFonts w:ascii="Times New Roman"/>
                <w:position w:val="2"/>
                <w:sz w:val="21"/>
                <w:vertAlign w:val="subscript"/>
              </w:rPr>
              <w:t>2</w:t>
            </w:r>
          </w:p>
        </w:tc>
        <w:tc>
          <w:tcPr>
            <w:tcW w:w="3162" w:type="dxa"/>
            <w:tcBorders>
              <w:top w:val="single" w:color="000000" w:sz="4" w:space="0"/>
              <w:left w:val="single" w:color="000000" w:sz="4" w:space="0"/>
              <w:bottom w:val="single" w:color="000000" w:sz="4" w:space="0"/>
              <w:right w:val="single" w:color="000000" w:sz="4" w:space="0"/>
            </w:tcBorders>
          </w:tcPr>
          <w:p>
            <w:pPr>
              <w:pStyle w:val="19"/>
              <w:spacing w:line="252" w:lineRule="exact"/>
              <w:ind w:left="119" w:right="103"/>
              <w:rPr>
                <w:sz w:val="21"/>
              </w:rPr>
            </w:pPr>
            <w:r>
              <w:rPr>
                <w:sz w:val="21"/>
              </w:rPr>
              <w:t>年平均质量浓度</w:t>
            </w:r>
          </w:p>
        </w:tc>
        <w:tc>
          <w:tcPr>
            <w:tcW w:w="1468" w:type="dxa"/>
            <w:tcBorders>
              <w:top w:val="single" w:color="000000" w:sz="4" w:space="0"/>
              <w:left w:val="single" w:color="000000" w:sz="4" w:space="0"/>
              <w:bottom w:val="single" w:color="000000" w:sz="4" w:space="0"/>
              <w:right w:val="single" w:color="000000" w:sz="4" w:space="0"/>
            </w:tcBorders>
          </w:tcPr>
          <w:p>
            <w:pPr>
              <w:pStyle w:val="19"/>
              <w:spacing w:before="14" w:line="238" w:lineRule="exact"/>
              <w:ind w:left="16"/>
              <w:rPr>
                <w:rFonts w:ascii="Times New Roman"/>
                <w:sz w:val="21"/>
              </w:rPr>
            </w:pPr>
            <w:r>
              <w:rPr>
                <w:rFonts w:ascii="Times New Roman"/>
                <w:w w:val="99"/>
                <w:sz w:val="21"/>
              </w:rPr>
              <w:t>8</w:t>
            </w:r>
          </w:p>
        </w:tc>
        <w:tc>
          <w:tcPr>
            <w:tcW w:w="1700" w:type="dxa"/>
            <w:tcBorders>
              <w:top w:val="single" w:color="000000" w:sz="4" w:space="0"/>
              <w:left w:val="single" w:color="000000" w:sz="4" w:space="0"/>
              <w:bottom w:val="single" w:color="000000" w:sz="4" w:space="0"/>
              <w:right w:val="single" w:color="000000" w:sz="4" w:space="0"/>
            </w:tcBorders>
          </w:tcPr>
          <w:p>
            <w:pPr>
              <w:pStyle w:val="19"/>
              <w:spacing w:before="14" w:line="238" w:lineRule="exact"/>
              <w:ind w:left="112" w:right="96"/>
              <w:rPr>
                <w:rFonts w:ascii="Times New Roman"/>
                <w:sz w:val="21"/>
              </w:rPr>
            </w:pPr>
            <w:r>
              <w:rPr>
                <w:rFonts w:ascii="Times New Roman"/>
                <w:sz w:val="21"/>
              </w:rPr>
              <w:t>60</w:t>
            </w:r>
          </w:p>
        </w:tc>
        <w:tc>
          <w:tcPr>
            <w:tcW w:w="1038" w:type="dxa"/>
            <w:tcBorders>
              <w:top w:val="single" w:color="000000" w:sz="4" w:space="0"/>
              <w:left w:val="single" w:color="000000" w:sz="4" w:space="0"/>
              <w:bottom w:val="single" w:color="000000" w:sz="4" w:space="0"/>
              <w:right w:val="single" w:color="000000" w:sz="4" w:space="0"/>
            </w:tcBorders>
          </w:tcPr>
          <w:p>
            <w:pPr>
              <w:pStyle w:val="19"/>
              <w:spacing w:before="14" w:line="238" w:lineRule="exact"/>
              <w:ind w:left="286"/>
              <w:jc w:val="left"/>
              <w:rPr>
                <w:rFonts w:ascii="Times New Roman"/>
                <w:sz w:val="21"/>
              </w:rPr>
            </w:pPr>
            <w:r>
              <w:rPr>
                <w:rFonts w:ascii="Times New Roman"/>
                <w:sz w:val="21"/>
              </w:rPr>
              <w:t>13.33</w:t>
            </w:r>
          </w:p>
        </w:tc>
        <w:tc>
          <w:tcPr>
            <w:tcW w:w="901" w:type="dxa"/>
            <w:tcBorders>
              <w:top w:val="single" w:color="000000" w:sz="4" w:space="0"/>
              <w:left w:val="single" w:color="000000" w:sz="4" w:space="0"/>
              <w:bottom w:val="single" w:color="000000" w:sz="4" w:space="0"/>
            </w:tcBorders>
          </w:tcPr>
          <w:p>
            <w:pPr>
              <w:pStyle w:val="19"/>
              <w:spacing w:line="252" w:lineRule="exact"/>
              <w:ind w:left="118" w:right="9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13" w:type="dxa"/>
            <w:tcBorders>
              <w:top w:val="single" w:color="000000" w:sz="4" w:space="0"/>
              <w:bottom w:val="single" w:color="000000" w:sz="4" w:space="0"/>
              <w:right w:val="single" w:color="000000" w:sz="4" w:space="0"/>
            </w:tcBorders>
          </w:tcPr>
          <w:p>
            <w:pPr>
              <w:pStyle w:val="19"/>
              <w:spacing w:before="12" w:line="241" w:lineRule="exact"/>
              <w:ind w:left="169" w:right="153"/>
              <w:rPr>
                <w:rFonts w:ascii="Times New Roman"/>
                <w:sz w:val="21"/>
              </w:rPr>
            </w:pPr>
            <w:r>
              <w:rPr>
                <w:rFonts w:ascii="Times New Roman"/>
                <w:position w:val="2"/>
                <w:sz w:val="21"/>
              </w:rPr>
              <w:t>NO</w:t>
            </w:r>
            <w:r>
              <w:rPr>
                <w:rFonts w:ascii="Times New Roman"/>
                <w:position w:val="2"/>
                <w:sz w:val="21"/>
                <w:vertAlign w:val="subscript"/>
              </w:rPr>
              <w:t>2</w:t>
            </w:r>
          </w:p>
        </w:tc>
        <w:tc>
          <w:tcPr>
            <w:tcW w:w="3162" w:type="dxa"/>
            <w:tcBorders>
              <w:top w:val="single" w:color="000000" w:sz="4" w:space="0"/>
              <w:left w:val="single" w:color="000000" w:sz="4" w:space="0"/>
              <w:bottom w:val="single" w:color="000000" w:sz="4" w:space="0"/>
              <w:right w:val="single" w:color="000000" w:sz="4" w:space="0"/>
            </w:tcBorders>
          </w:tcPr>
          <w:p>
            <w:pPr>
              <w:pStyle w:val="19"/>
              <w:spacing w:before="1" w:line="252" w:lineRule="exact"/>
              <w:ind w:left="119" w:right="103"/>
              <w:rPr>
                <w:sz w:val="21"/>
              </w:rPr>
            </w:pPr>
            <w:r>
              <w:rPr>
                <w:sz w:val="21"/>
              </w:rPr>
              <w:t>年平均质量浓度</w:t>
            </w:r>
          </w:p>
        </w:tc>
        <w:tc>
          <w:tcPr>
            <w:tcW w:w="1468" w:type="dxa"/>
            <w:tcBorders>
              <w:top w:val="single" w:color="000000" w:sz="4" w:space="0"/>
              <w:left w:val="single" w:color="000000" w:sz="4" w:space="0"/>
              <w:bottom w:val="single" w:color="000000" w:sz="4" w:space="0"/>
              <w:right w:val="single" w:color="000000" w:sz="4" w:space="0"/>
            </w:tcBorders>
          </w:tcPr>
          <w:p>
            <w:pPr>
              <w:pStyle w:val="19"/>
              <w:spacing w:before="15" w:line="238" w:lineRule="exact"/>
              <w:ind w:left="505" w:right="489"/>
              <w:rPr>
                <w:rFonts w:ascii="Times New Roman"/>
                <w:sz w:val="21"/>
              </w:rPr>
            </w:pPr>
            <w:r>
              <w:rPr>
                <w:rFonts w:ascii="Times New Roman"/>
                <w:sz w:val="21"/>
              </w:rPr>
              <w:t>15</w:t>
            </w:r>
          </w:p>
        </w:tc>
        <w:tc>
          <w:tcPr>
            <w:tcW w:w="1700" w:type="dxa"/>
            <w:tcBorders>
              <w:top w:val="single" w:color="000000" w:sz="4" w:space="0"/>
              <w:left w:val="single" w:color="000000" w:sz="4" w:space="0"/>
              <w:bottom w:val="single" w:color="000000" w:sz="4" w:space="0"/>
              <w:right w:val="single" w:color="000000" w:sz="4" w:space="0"/>
            </w:tcBorders>
          </w:tcPr>
          <w:p>
            <w:pPr>
              <w:pStyle w:val="19"/>
              <w:spacing w:before="15" w:line="238" w:lineRule="exact"/>
              <w:ind w:left="112" w:right="96"/>
              <w:rPr>
                <w:rFonts w:ascii="Times New Roman"/>
                <w:sz w:val="21"/>
              </w:rPr>
            </w:pPr>
            <w:r>
              <w:rPr>
                <w:rFonts w:ascii="Times New Roman"/>
                <w:sz w:val="21"/>
              </w:rPr>
              <w:t>40</w:t>
            </w:r>
          </w:p>
        </w:tc>
        <w:tc>
          <w:tcPr>
            <w:tcW w:w="1038" w:type="dxa"/>
            <w:tcBorders>
              <w:top w:val="single" w:color="000000" w:sz="4" w:space="0"/>
              <w:left w:val="single" w:color="000000" w:sz="4" w:space="0"/>
              <w:bottom w:val="single" w:color="000000" w:sz="4" w:space="0"/>
              <w:right w:val="single" w:color="000000" w:sz="4" w:space="0"/>
            </w:tcBorders>
          </w:tcPr>
          <w:p>
            <w:pPr>
              <w:pStyle w:val="19"/>
              <w:spacing w:before="15" w:line="238" w:lineRule="exact"/>
              <w:ind w:left="339"/>
              <w:jc w:val="left"/>
              <w:rPr>
                <w:rFonts w:ascii="Times New Roman"/>
                <w:sz w:val="21"/>
              </w:rPr>
            </w:pPr>
            <w:r>
              <w:rPr>
                <w:rFonts w:ascii="Times New Roman"/>
                <w:sz w:val="21"/>
              </w:rPr>
              <w:t>37.5</w:t>
            </w:r>
          </w:p>
        </w:tc>
        <w:tc>
          <w:tcPr>
            <w:tcW w:w="901" w:type="dxa"/>
            <w:tcBorders>
              <w:top w:val="single" w:color="000000" w:sz="4" w:space="0"/>
              <w:left w:val="single" w:color="000000" w:sz="4" w:space="0"/>
              <w:bottom w:val="single" w:color="000000" w:sz="4" w:space="0"/>
            </w:tcBorders>
          </w:tcPr>
          <w:p>
            <w:pPr>
              <w:pStyle w:val="19"/>
              <w:spacing w:before="1" w:line="252" w:lineRule="exact"/>
              <w:ind w:left="118" w:right="9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13" w:type="dxa"/>
            <w:tcBorders>
              <w:top w:val="single" w:color="000000" w:sz="4" w:space="0"/>
              <w:bottom w:val="single" w:color="000000" w:sz="4" w:space="0"/>
              <w:right w:val="single" w:color="000000" w:sz="4" w:space="0"/>
            </w:tcBorders>
          </w:tcPr>
          <w:p>
            <w:pPr>
              <w:pStyle w:val="19"/>
              <w:spacing w:before="12" w:line="240" w:lineRule="exact"/>
              <w:ind w:left="169" w:right="156"/>
              <w:rPr>
                <w:rFonts w:ascii="Times New Roman"/>
                <w:sz w:val="21"/>
              </w:rPr>
            </w:pPr>
            <w:r>
              <w:rPr>
                <w:rFonts w:ascii="Times New Roman"/>
                <w:position w:val="2"/>
                <w:sz w:val="21"/>
              </w:rPr>
              <w:t>PM</w:t>
            </w:r>
            <w:r>
              <w:rPr>
                <w:rFonts w:ascii="Times New Roman"/>
                <w:position w:val="2"/>
                <w:sz w:val="21"/>
                <w:vertAlign w:val="subscript"/>
              </w:rPr>
              <w:t>10</w:t>
            </w:r>
          </w:p>
        </w:tc>
        <w:tc>
          <w:tcPr>
            <w:tcW w:w="3162" w:type="dxa"/>
            <w:tcBorders>
              <w:top w:val="single" w:color="000000" w:sz="4" w:space="0"/>
              <w:left w:val="single" w:color="000000" w:sz="4" w:space="0"/>
              <w:bottom w:val="single" w:color="000000" w:sz="4" w:space="0"/>
              <w:right w:val="single" w:color="000000" w:sz="4" w:space="0"/>
            </w:tcBorders>
          </w:tcPr>
          <w:p>
            <w:pPr>
              <w:pStyle w:val="19"/>
              <w:spacing w:line="252" w:lineRule="exact"/>
              <w:ind w:left="119" w:right="103"/>
              <w:rPr>
                <w:sz w:val="21"/>
              </w:rPr>
            </w:pPr>
            <w:r>
              <w:rPr>
                <w:sz w:val="21"/>
              </w:rPr>
              <w:t>年平均质量浓度</w:t>
            </w:r>
          </w:p>
        </w:tc>
        <w:tc>
          <w:tcPr>
            <w:tcW w:w="1468" w:type="dxa"/>
            <w:tcBorders>
              <w:top w:val="single" w:color="000000" w:sz="4" w:space="0"/>
              <w:left w:val="single" w:color="000000" w:sz="4" w:space="0"/>
              <w:bottom w:val="single" w:color="000000" w:sz="4" w:space="0"/>
              <w:right w:val="single" w:color="000000" w:sz="4" w:space="0"/>
            </w:tcBorders>
          </w:tcPr>
          <w:p>
            <w:pPr>
              <w:pStyle w:val="19"/>
              <w:spacing w:before="13" w:line="239" w:lineRule="exact"/>
              <w:ind w:left="505" w:right="489"/>
              <w:rPr>
                <w:rFonts w:ascii="Times New Roman"/>
                <w:sz w:val="21"/>
              </w:rPr>
            </w:pPr>
            <w:r>
              <w:rPr>
                <w:rFonts w:ascii="Times New Roman"/>
                <w:sz w:val="21"/>
              </w:rPr>
              <w:t>50</w:t>
            </w:r>
          </w:p>
        </w:tc>
        <w:tc>
          <w:tcPr>
            <w:tcW w:w="1700" w:type="dxa"/>
            <w:tcBorders>
              <w:top w:val="single" w:color="000000" w:sz="4" w:space="0"/>
              <w:left w:val="single" w:color="000000" w:sz="4" w:space="0"/>
              <w:bottom w:val="single" w:color="000000" w:sz="4" w:space="0"/>
              <w:right w:val="single" w:color="000000" w:sz="4" w:space="0"/>
            </w:tcBorders>
          </w:tcPr>
          <w:p>
            <w:pPr>
              <w:pStyle w:val="19"/>
              <w:spacing w:before="13" w:line="239" w:lineRule="exact"/>
              <w:ind w:left="112" w:right="96"/>
              <w:rPr>
                <w:rFonts w:ascii="Times New Roman"/>
                <w:sz w:val="21"/>
              </w:rPr>
            </w:pPr>
            <w:r>
              <w:rPr>
                <w:rFonts w:ascii="Times New Roman"/>
                <w:sz w:val="21"/>
              </w:rPr>
              <w:t>70</w:t>
            </w:r>
          </w:p>
        </w:tc>
        <w:tc>
          <w:tcPr>
            <w:tcW w:w="1038" w:type="dxa"/>
            <w:tcBorders>
              <w:top w:val="single" w:color="000000" w:sz="4" w:space="0"/>
              <w:left w:val="single" w:color="000000" w:sz="4" w:space="0"/>
              <w:bottom w:val="single" w:color="000000" w:sz="4" w:space="0"/>
              <w:right w:val="single" w:color="000000" w:sz="4" w:space="0"/>
            </w:tcBorders>
          </w:tcPr>
          <w:p>
            <w:pPr>
              <w:pStyle w:val="19"/>
              <w:spacing w:before="13" w:line="239" w:lineRule="exact"/>
              <w:ind w:left="286"/>
              <w:jc w:val="left"/>
              <w:rPr>
                <w:rFonts w:ascii="Times New Roman"/>
                <w:sz w:val="21"/>
              </w:rPr>
            </w:pPr>
            <w:r>
              <w:rPr>
                <w:rFonts w:ascii="Times New Roman"/>
                <w:sz w:val="21"/>
              </w:rPr>
              <w:t>71.43</w:t>
            </w:r>
          </w:p>
        </w:tc>
        <w:tc>
          <w:tcPr>
            <w:tcW w:w="901" w:type="dxa"/>
            <w:tcBorders>
              <w:top w:val="single" w:color="000000" w:sz="4" w:space="0"/>
              <w:left w:val="single" w:color="000000" w:sz="4" w:space="0"/>
              <w:bottom w:val="single" w:color="000000" w:sz="4" w:space="0"/>
            </w:tcBorders>
          </w:tcPr>
          <w:p>
            <w:pPr>
              <w:pStyle w:val="19"/>
              <w:spacing w:line="252" w:lineRule="exact"/>
              <w:ind w:left="118" w:right="9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13" w:type="dxa"/>
            <w:tcBorders>
              <w:top w:val="single" w:color="000000" w:sz="4" w:space="0"/>
              <w:bottom w:val="single" w:color="000000" w:sz="4" w:space="0"/>
              <w:right w:val="single" w:color="000000" w:sz="4" w:space="0"/>
            </w:tcBorders>
          </w:tcPr>
          <w:p>
            <w:pPr>
              <w:pStyle w:val="19"/>
              <w:spacing w:before="11" w:line="242" w:lineRule="exact"/>
              <w:ind w:left="169" w:right="156"/>
              <w:rPr>
                <w:rFonts w:ascii="Times New Roman"/>
                <w:sz w:val="13"/>
              </w:rPr>
            </w:pPr>
            <w:r>
              <w:rPr>
                <w:rFonts w:ascii="Times New Roman"/>
                <w:w w:val="105"/>
                <w:position w:val="2"/>
                <w:sz w:val="21"/>
              </w:rPr>
              <w:t>PM</w:t>
            </w:r>
            <w:r>
              <w:rPr>
                <w:rFonts w:ascii="Times New Roman"/>
                <w:w w:val="105"/>
                <w:sz w:val="13"/>
              </w:rPr>
              <w:t>2.5</w:t>
            </w:r>
          </w:p>
        </w:tc>
        <w:tc>
          <w:tcPr>
            <w:tcW w:w="3162" w:type="dxa"/>
            <w:tcBorders>
              <w:top w:val="single" w:color="000000" w:sz="4" w:space="0"/>
              <w:left w:val="single" w:color="000000" w:sz="4" w:space="0"/>
              <w:bottom w:val="single" w:color="000000" w:sz="4" w:space="0"/>
              <w:right w:val="single" w:color="000000" w:sz="4" w:space="0"/>
            </w:tcBorders>
          </w:tcPr>
          <w:p>
            <w:pPr>
              <w:pStyle w:val="19"/>
              <w:spacing w:line="253" w:lineRule="exact"/>
              <w:ind w:left="119" w:right="103"/>
              <w:rPr>
                <w:sz w:val="21"/>
              </w:rPr>
            </w:pPr>
            <w:r>
              <w:rPr>
                <w:sz w:val="21"/>
              </w:rPr>
              <w:t>年平均质量浓度</w:t>
            </w:r>
          </w:p>
        </w:tc>
        <w:tc>
          <w:tcPr>
            <w:tcW w:w="1468" w:type="dxa"/>
            <w:tcBorders>
              <w:top w:val="single" w:color="000000" w:sz="4" w:space="0"/>
              <w:left w:val="single" w:color="000000" w:sz="4" w:space="0"/>
              <w:bottom w:val="single" w:color="000000" w:sz="4" w:space="0"/>
              <w:right w:val="single" w:color="000000" w:sz="4" w:space="0"/>
            </w:tcBorders>
          </w:tcPr>
          <w:p>
            <w:pPr>
              <w:pStyle w:val="19"/>
              <w:spacing w:before="14" w:line="239" w:lineRule="exact"/>
              <w:ind w:left="505" w:right="489"/>
              <w:rPr>
                <w:rFonts w:ascii="Times New Roman"/>
                <w:sz w:val="21"/>
              </w:rPr>
            </w:pPr>
            <w:r>
              <w:rPr>
                <w:rFonts w:ascii="Times New Roman"/>
                <w:sz w:val="21"/>
              </w:rPr>
              <w:t>29</w:t>
            </w:r>
          </w:p>
        </w:tc>
        <w:tc>
          <w:tcPr>
            <w:tcW w:w="1700" w:type="dxa"/>
            <w:tcBorders>
              <w:top w:val="single" w:color="000000" w:sz="4" w:space="0"/>
              <w:left w:val="single" w:color="000000" w:sz="4" w:space="0"/>
              <w:bottom w:val="single" w:color="000000" w:sz="4" w:space="0"/>
              <w:right w:val="single" w:color="000000" w:sz="4" w:space="0"/>
            </w:tcBorders>
          </w:tcPr>
          <w:p>
            <w:pPr>
              <w:pStyle w:val="19"/>
              <w:spacing w:before="14" w:line="239" w:lineRule="exact"/>
              <w:ind w:left="112" w:right="96"/>
              <w:rPr>
                <w:rFonts w:ascii="Times New Roman"/>
                <w:sz w:val="21"/>
              </w:rPr>
            </w:pPr>
            <w:r>
              <w:rPr>
                <w:rFonts w:ascii="Times New Roman"/>
                <w:sz w:val="21"/>
              </w:rPr>
              <w:t>35</w:t>
            </w:r>
          </w:p>
        </w:tc>
        <w:tc>
          <w:tcPr>
            <w:tcW w:w="1038" w:type="dxa"/>
            <w:tcBorders>
              <w:top w:val="single" w:color="000000" w:sz="4" w:space="0"/>
              <w:left w:val="single" w:color="000000" w:sz="4" w:space="0"/>
              <w:bottom w:val="single" w:color="000000" w:sz="4" w:space="0"/>
              <w:right w:val="single" w:color="000000" w:sz="4" w:space="0"/>
            </w:tcBorders>
          </w:tcPr>
          <w:p>
            <w:pPr>
              <w:pStyle w:val="19"/>
              <w:spacing w:before="14" w:line="239" w:lineRule="exact"/>
              <w:ind w:left="286"/>
              <w:jc w:val="left"/>
              <w:rPr>
                <w:rFonts w:ascii="Times New Roman"/>
                <w:sz w:val="21"/>
              </w:rPr>
            </w:pPr>
            <w:r>
              <w:rPr>
                <w:rFonts w:ascii="Times New Roman"/>
                <w:sz w:val="21"/>
              </w:rPr>
              <w:t>82.86</w:t>
            </w:r>
          </w:p>
        </w:tc>
        <w:tc>
          <w:tcPr>
            <w:tcW w:w="901" w:type="dxa"/>
            <w:tcBorders>
              <w:top w:val="single" w:color="000000" w:sz="4" w:space="0"/>
              <w:left w:val="single" w:color="000000" w:sz="4" w:space="0"/>
              <w:bottom w:val="single" w:color="000000" w:sz="4" w:space="0"/>
            </w:tcBorders>
          </w:tcPr>
          <w:p>
            <w:pPr>
              <w:pStyle w:val="19"/>
              <w:spacing w:line="253" w:lineRule="exact"/>
              <w:ind w:left="118" w:right="9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13" w:type="dxa"/>
            <w:tcBorders>
              <w:top w:val="single" w:color="000000" w:sz="4" w:space="0"/>
              <w:bottom w:val="single" w:color="000000" w:sz="4" w:space="0"/>
              <w:right w:val="single" w:color="000000" w:sz="4" w:space="0"/>
            </w:tcBorders>
          </w:tcPr>
          <w:p>
            <w:pPr>
              <w:pStyle w:val="19"/>
              <w:spacing w:before="14" w:line="238" w:lineRule="exact"/>
              <w:ind w:left="169" w:right="157"/>
              <w:rPr>
                <w:rFonts w:ascii="Times New Roman"/>
                <w:sz w:val="21"/>
              </w:rPr>
            </w:pPr>
            <w:r>
              <w:rPr>
                <w:rFonts w:ascii="Times New Roman"/>
                <w:sz w:val="21"/>
              </w:rPr>
              <w:t>CO</w:t>
            </w:r>
          </w:p>
        </w:tc>
        <w:tc>
          <w:tcPr>
            <w:tcW w:w="3162" w:type="dxa"/>
            <w:tcBorders>
              <w:top w:val="single" w:color="000000" w:sz="4" w:space="0"/>
              <w:left w:val="single" w:color="000000" w:sz="4" w:space="0"/>
              <w:bottom w:val="single" w:color="000000" w:sz="4" w:space="0"/>
              <w:right w:val="single" w:color="000000" w:sz="4" w:space="0"/>
            </w:tcBorders>
          </w:tcPr>
          <w:p>
            <w:pPr>
              <w:pStyle w:val="19"/>
              <w:spacing w:line="252" w:lineRule="exact"/>
              <w:ind w:left="120" w:right="102"/>
              <w:rPr>
                <w:sz w:val="21"/>
              </w:rPr>
            </w:pPr>
            <w:r>
              <w:rPr>
                <w:rFonts w:ascii="Times New Roman" w:eastAsia="Times New Roman"/>
                <w:sz w:val="21"/>
              </w:rPr>
              <w:t xml:space="preserve">24 </w:t>
            </w:r>
            <w:r>
              <w:rPr>
                <w:sz w:val="21"/>
              </w:rPr>
              <w:t xml:space="preserve">小时平均第 </w:t>
            </w:r>
            <w:r>
              <w:rPr>
                <w:rFonts w:ascii="Times New Roman" w:eastAsia="Times New Roman"/>
                <w:sz w:val="21"/>
              </w:rPr>
              <w:t xml:space="preserve">95 </w:t>
            </w:r>
            <w:r>
              <w:rPr>
                <w:sz w:val="21"/>
              </w:rPr>
              <w:t>百分位数</w:t>
            </w:r>
          </w:p>
        </w:tc>
        <w:tc>
          <w:tcPr>
            <w:tcW w:w="1468" w:type="dxa"/>
            <w:tcBorders>
              <w:top w:val="single" w:color="000000" w:sz="4" w:space="0"/>
              <w:left w:val="single" w:color="000000" w:sz="4" w:space="0"/>
              <w:bottom w:val="single" w:color="000000" w:sz="4" w:space="0"/>
              <w:right w:val="single" w:color="000000" w:sz="4" w:space="0"/>
            </w:tcBorders>
          </w:tcPr>
          <w:p>
            <w:pPr>
              <w:pStyle w:val="19"/>
              <w:spacing w:before="14" w:line="238" w:lineRule="exact"/>
              <w:ind w:left="508" w:right="489"/>
              <w:rPr>
                <w:rFonts w:ascii="Times New Roman"/>
                <w:sz w:val="21"/>
              </w:rPr>
            </w:pPr>
            <w:r>
              <w:rPr>
                <w:rFonts w:ascii="Times New Roman"/>
                <w:sz w:val="21"/>
              </w:rPr>
              <w:t>1400</w:t>
            </w:r>
          </w:p>
        </w:tc>
        <w:tc>
          <w:tcPr>
            <w:tcW w:w="1700" w:type="dxa"/>
            <w:tcBorders>
              <w:top w:val="single" w:color="000000" w:sz="4" w:space="0"/>
              <w:left w:val="single" w:color="000000" w:sz="4" w:space="0"/>
              <w:bottom w:val="single" w:color="000000" w:sz="4" w:space="0"/>
              <w:right w:val="single" w:color="000000" w:sz="4" w:space="0"/>
            </w:tcBorders>
          </w:tcPr>
          <w:p>
            <w:pPr>
              <w:pStyle w:val="19"/>
              <w:spacing w:before="14" w:line="238" w:lineRule="exact"/>
              <w:ind w:left="112" w:right="93"/>
              <w:rPr>
                <w:rFonts w:ascii="Times New Roman"/>
                <w:sz w:val="21"/>
              </w:rPr>
            </w:pPr>
            <w:r>
              <w:rPr>
                <w:rFonts w:ascii="Times New Roman"/>
                <w:sz w:val="21"/>
              </w:rPr>
              <w:t>4000</w:t>
            </w:r>
          </w:p>
        </w:tc>
        <w:tc>
          <w:tcPr>
            <w:tcW w:w="1038" w:type="dxa"/>
            <w:tcBorders>
              <w:top w:val="single" w:color="000000" w:sz="4" w:space="0"/>
              <w:left w:val="single" w:color="000000" w:sz="4" w:space="0"/>
              <w:bottom w:val="single" w:color="000000" w:sz="4" w:space="0"/>
              <w:right w:val="single" w:color="000000" w:sz="4" w:space="0"/>
            </w:tcBorders>
          </w:tcPr>
          <w:p>
            <w:pPr>
              <w:pStyle w:val="19"/>
              <w:spacing w:before="14" w:line="238" w:lineRule="exact"/>
              <w:ind w:left="187" w:right="168"/>
              <w:rPr>
                <w:rFonts w:ascii="Times New Roman"/>
                <w:sz w:val="21"/>
              </w:rPr>
            </w:pPr>
            <w:r>
              <w:rPr>
                <w:rFonts w:ascii="Times New Roman"/>
                <w:sz w:val="21"/>
              </w:rPr>
              <w:t>35</w:t>
            </w:r>
          </w:p>
        </w:tc>
        <w:tc>
          <w:tcPr>
            <w:tcW w:w="901" w:type="dxa"/>
            <w:tcBorders>
              <w:top w:val="single" w:color="000000" w:sz="4" w:space="0"/>
              <w:left w:val="single" w:color="000000" w:sz="4" w:space="0"/>
              <w:bottom w:val="single" w:color="000000" w:sz="4" w:space="0"/>
            </w:tcBorders>
          </w:tcPr>
          <w:p>
            <w:pPr>
              <w:pStyle w:val="19"/>
              <w:spacing w:line="252" w:lineRule="exact"/>
              <w:ind w:left="118" w:right="9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1013" w:type="dxa"/>
            <w:tcBorders>
              <w:top w:val="single" w:color="000000" w:sz="4" w:space="0"/>
              <w:right w:val="single" w:color="000000" w:sz="4" w:space="0"/>
            </w:tcBorders>
          </w:tcPr>
          <w:p>
            <w:pPr>
              <w:pStyle w:val="19"/>
              <w:spacing w:before="146"/>
              <w:ind w:left="169" w:right="156"/>
              <w:rPr>
                <w:rFonts w:ascii="Times New Roman"/>
                <w:sz w:val="21"/>
              </w:rPr>
            </w:pPr>
            <w:r>
              <w:rPr>
                <w:rFonts w:ascii="Times New Roman"/>
                <w:position w:val="2"/>
                <w:sz w:val="21"/>
              </w:rPr>
              <w:t>O</w:t>
            </w:r>
            <w:r>
              <w:rPr>
                <w:rFonts w:ascii="Times New Roman"/>
                <w:position w:val="2"/>
                <w:sz w:val="21"/>
                <w:vertAlign w:val="subscript"/>
              </w:rPr>
              <w:t>3</w:t>
            </w:r>
          </w:p>
        </w:tc>
        <w:tc>
          <w:tcPr>
            <w:tcW w:w="3162" w:type="dxa"/>
            <w:tcBorders>
              <w:top w:val="single" w:color="000000" w:sz="4" w:space="0"/>
              <w:left w:val="single" w:color="000000" w:sz="4" w:space="0"/>
              <w:right w:val="single" w:color="000000" w:sz="4" w:space="0"/>
            </w:tcBorders>
          </w:tcPr>
          <w:p>
            <w:pPr>
              <w:pStyle w:val="19"/>
              <w:spacing w:line="268" w:lineRule="exact"/>
              <w:ind w:left="120" w:right="103"/>
              <w:rPr>
                <w:rFonts w:ascii="Times New Roman" w:eastAsia="Times New Roman"/>
                <w:sz w:val="21"/>
              </w:rPr>
            </w:pPr>
            <w:r>
              <w:rPr>
                <w:sz w:val="21"/>
              </w:rPr>
              <w:t xml:space="preserve">最大 </w:t>
            </w:r>
            <w:r>
              <w:rPr>
                <w:rFonts w:ascii="Times New Roman" w:eastAsia="Times New Roman"/>
                <w:sz w:val="21"/>
              </w:rPr>
              <w:t xml:space="preserve">8 </w:t>
            </w:r>
            <w:r>
              <w:rPr>
                <w:sz w:val="21"/>
              </w:rPr>
              <w:t xml:space="preserve">小时滑动平均值的第 </w:t>
            </w:r>
            <w:r>
              <w:rPr>
                <w:rFonts w:ascii="Times New Roman" w:eastAsia="Times New Roman"/>
                <w:sz w:val="21"/>
              </w:rPr>
              <w:t>90</w:t>
            </w:r>
          </w:p>
          <w:p>
            <w:pPr>
              <w:pStyle w:val="19"/>
              <w:spacing w:before="4" w:line="252" w:lineRule="exact"/>
              <w:ind w:left="120" w:right="102"/>
              <w:rPr>
                <w:sz w:val="21"/>
              </w:rPr>
            </w:pPr>
            <w:r>
              <w:rPr>
                <w:sz w:val="21"/>
              </w:rPr>
              <w:t>百分位数</w:t>
            </w:r>
          </w:p>
        </w:tc>
        <w:tc>
          <w:tcPr>
            <w:tcW w:w="1468" w:type="dxa"/>
            <w:tcBorders>
              <w:top w:val="single" w:color="000000" w:sz="4" w:space="0"/>
              <w:left w:val="single" w:color="000000" w:sz="4" w:space="0"/>
              <w:right w:val="single" w:color="000000" w:sz="4" w:space="0"/>
            </w:tcBorders>
          </w:tcPr>
          <w:p>
            <w:pPr>
              <w:pStyle w:val="19"/>
              <w:spacing w:before="150"/>
              <w:ind w:left="505" w:right="489"/>
              <w:rPr>
                <w:rFonts w:ascii="Times New Roman"/>
                <w:sz w:val="21"/>
              </w:rPr>
            </w:pPr>
            <w:r>
              <w:rPr>
                <w:rFonts w:ascii="Times New Roman"/>
                <w:sz w:val="21"/>
              </w:rPr>
              <w:t>102</w:t>
            </w:r>
          </w:p>
        </w:tc>
        <w:tc>
          <w:tcPr>
            <w:tcW w:w="1700" w:type="dxa"/>
            <w:tcBorders>
              <w:top w:val="single" w:color="000000" w:sz="4" w:space="0"/>
              <w:left w:val="single" w:color="000000" w:sz="4" w:space="0"/>
              <w:right w:val="single" w:color="000000" w:sz="4" w:space="0"/>
            </w:tcBorders>
          </w:tcPr>
          <w:p>
            <w:pPr>
              <w:pStyle w:val="19"/>
              <w:spacing w:before="150"/>
              <w:ind w:left="112" w:right="96"/>
              <w:rPr>
                <w:rFonts w:ascii="Times New Roman"/>
                <w:sz w:val="21"/>
              </w:rPr>
            </w:pPr>
            <w:r>
              <w:rPr>
                <w:rFonts w:ascii="Times New Roman"/>
                <w:sz w:val="21"/>
              </w:rPr>
              <w:t>160</w:t>
            </w:r>
          </w:p>
        </w:tc>
        <w:tc>
          <w:tcPr>
            <w:tcW w:w="1038" w:type="dxa"/>
            <w:tcBorders>
              <w:top w:val="single" w:color="000000" w:sz="4" w:space="0"/>
              <w:left w:val="single" w:color="000000" w:sz="4" w:space="0"/>
              <w:right w:val="single" w:color="000000" w:sz="4" w:space="0"/>
            </w:tcBorders>
          </w:tcPr>
          <w:p>
            <w:pPr>
              <w:pStyle w:val="19"/>
              <w:spacing w:before="150"/>
              <w:ind w:left="286"/>
              <w:jc w:val="left"/>
              <w:rPr>
                <w:rFonts w:ascii="Times New Roman"/>
                <w:sz w:val="21"/>
              </w:rPr>
            </w:pPr>
            <w:r>
              <w:rPr>
                <w:rFonts w:ascii="Times New Roman"/>
                <w:sz w:val="21"/>
              </w:rPr>
              <w:t>63.75</w:t>
            </w:r>
          </w:p>
        </w:tc>
        <w:tc>
          <w:tcPr>
            <w:tcW w:w="901" w:type="dxa"/>
            <w:tcBorders>
              <w:top w:val="single" w:color="000000" w:sz="4" w:space="0"/>
              <w:left w:val="single" w:color="000000" w:sz="4" w:space="0"/>
            </w:tcBorders>
          </w:tcPr>
          <w:p>
            <w:pPr>
              <w:pStyle w:val="19"/>
              <w:spacing w:before="136"/>
              <w:ind w:left="118" w:right="97"/>
              <w:rPr>
                <w:sz w:val="21"/>
              </w:rPr>
            </w:pPr>
            <w:r>
              <w:rPr>
                <w:sz w:val="21"/>
              </w:rPr>
              <w:t>达标</w:t>
            </w:r>
          </w:p>
        </w:tc>
      </w:tr>
    </w:tbl>
    <w:p>
      <w:pPr>
        <w:pStyle w:val="9"/>
        <w:spacing w:before="2" w:line="364" w:lineRule="auto"/>
        <w:ind w:left="1418" w:right="1413" w:firstLine="480"/>
        <w:jc w:val="both"/>
      </w:pPr>
      <w:r>
        <w:rPr>
          <w:spacing w:val="-13"/>
        </w:rPr>
        <w:t>根据《</w:t>
      </w:r>
      <w:r>
        <w:rPr>
          <w:rFonts w:ascii="Times New Roman" w:eastAsia="Times New Roman"/>
        </w:rPr>
        <w:t xml:space="preserve">2019 </w:t>
      </w:r>
      <w:r>
        <w:rPr>
          <w:spacing w:val="-6"/>
        </w:rPr>
        <w:t>年双鸭山市环境空气质量状况》中相关数据，双鸭山市区域基本污染物</w:t>
      </w:r>
      <w:r>
        <w:t>均均符合《环境空气质量标准》（</w:t>
      </w:r>
      <w:r>
        <w:rPr>
          <w:rFonts w:ascii="Times New Roman" w:eastAsia="Times New Roman"/>
        </w:rPr>
        <w:t>GB3095-2012</w:t>
      </w:r>
      <w:r>
        <w:t>）</w:t>
      </w:r>
      <w:r>
        <w:rPr>
          <w:spacing w:val="-1"/>
        </w:rPr>
        <w:t>中二级标准要求，区域属于环境空气</w:t>
      </w:r>
      <w:r>
        <w:t>质量达标区。</w:t>
      </w:r>
    </w:p>
    <w:p>
      <w:pPr>
        <w:pStyle w:val="6"/>
        <w:numPr>
          <w:ilvl w:val="2"/>
          <w:numId w:val="69"/>
        </w:numPr>
        <w:tabs>
          <w:tab w:val="left" w:pos="2048"/>
        </w:tabs>
        <w:spacing w:before="0" w:after="0" w:line="240" w:lineRule="auto"/>
        <w:ind w:left="2047" w:right="0" w:hanging="630"/>
        <w:jc w:val="left"/>
      </w:pPr>
      <w:bookmarkStart w:id="387" w:name="7.1.2环境空气质量现状补充监测"/>
      <w:bookmarkEnd w:id="387"/>
      <w:bookmarkStart w:id="388" w:name="7.1.2环境空气质量现状补充监测"/>
      <w:bookmarkEnd w:id="388"/>
      <w:r>
        <w:t>环境空气质量现状补充监测</w:t>
      </w:r>
    </w:p>
    <w:p>
      <w:pPr>
        <w:pStyle w:val="9"/>
        <w:spacing w:before="183"/>
        <w:ind w:left="1898"/>
      </w:pPr>
      <w:r>
        <w:rPr>
          <w:rFonts w:ascii="Times New Roman" w:eastAsia="Times New Roman"/>
        </w:rPr>
        <w:t>1</w:t>
      </w:r>
      <w:r>
        <w:t>、监测范围</w:t>
      </w:r>
    </w:p>
    <w:p>
      <w:pPr>
        <w:pStyle w:val="9"/>
        <w:spacing w:before="161"/>
        <w:ind w:left="1898"/>
      </w:pPr>
      <w:r>
        <w:t xml:space="preserve">根据本项目地理位置及评价范围，即以工业广场场区为中心边长 </w:t>
      </w:r>
      <w:r>
        <w:rPr>
          <w:rFonts w:ascii="Times New Roman" w:eastAsia="Times New Roman"/>
        </w:rPr>
        <w:t xml:space="preserve">5km </w:t>
      </w:r>
      <w:r>
        <w:t>的矩形区域。</w:t>
      </w:r>
    </w:p>
    <w:p>
      <w:pPr>
        <w:pStyle w:val="9"/>
        <w:spacing w:before="158"/>
        <w:ind w:left="1898"/>
      </w:pPr>
      <w:r>
        <w:rPr>
          <w:rFonts w:ascii="Times New Roman" w:eastAsia="Times New Roman"/>
        </w:rPr>
        <w:t>2</w:t>
      </w:r>
      <w:r>
        <w:t>、监测点位及监测因子</w:t>
      </w:r>
    </w:p>
    <w:p>
      <w:pPr>
        <w:spacing w:after="0"/>
        <w:sectPr>
          <w:pgSz w:w="11910" w:h="16840"/>
          <w:pgMar w:top="1360" w:right="0" w:bottom="880" w:left="0" w:header="0" w:footer="681" w:gutter="0"/>
        </w:sectPr>
      </w:pPr>
    </w:p>
    <w:p>
      <w:pPr>
        <w:pStyle w:val="9"/>
        <w:spacing w:before="61" w:line="364" w:lineRule="auto"/>
        <w:ind w:left="1418" w:right="1413" w:firstLine="480"/>
        <w:jc w:val="both"/>
      </w:pPr>
      <w:r>
        <w:t>根据《环境影响评价技术导则大气环境》（</w:t>
      </w:r>
      <w:r>
        <w:rPr>
          <w:rFonts w:ascii="Times New Roman" w:eastAsia="Times New Roman"/>
        </w:rPr>
        <w:t>HJ2.2-2018</w:t>
      </w:r>
      <w:r>
        <w:t>）</w:t>
      </w:r>
      <w:r>
        <w:rPr>
          <w:spacing w:val="-2"/>
        </w:rPr>
        <w:t>要求及本项目大气环境影</w:t>
      </w:r>
      <w:r>
        <w:rPr>
          <w:spacing w:val="-7"/>
        </w:rPr>
        <w:t>响评价等级，结合厂址结合本项目厂址周围地形特点、排污特征和评价范围内有环境空</w:t>
      </w:r>
      <w:r>
        <w:rPr>
          <w:spacing w:val="-5"/>
        </w:rPr>
        <w:t xml:space="preserve">气保护目标建新村分布的情况，本次评价共布设 </w:t>
      </w:r>
      <w:r>
        <w:rPr>
          <w:rFonts w:ascii="Times New Roman" w:eastAsia="Times New Roman"/>
        </w:rPr>
        <w:t xml:space="preserve">2 </w:t>
      </w:r>
      <w:r>
        <w:rPr>
          <w:spacing w:val="-4"/>
        </w:rPr>
        <w:t>个环境空气监测点，其他污染物补充</w:t>
      </w:r>
      <w:r>
        <w:t>监测点位基本信息表及监测因子见下表及附图。</w:t>
      </w:r>
    </w:p>
    <w:p>
      <w:pPr>
        <w:spacing w:before="0" w:line="265" w:lineRule="exact"/>
        <w:ind w:left="3871" w:right="0" w:firstLine="0"/>
        <w:jc w:val="both"/>
        <w:rPr>
          <w:b/>
          <w:sz w:val="21"/>
        </w:rPr>
      </w:pPr>
      <w:r>
        <w:rPr>
          <w:b/>
          <w:spacing w:val="-28"/>
          <w:sz w:val="21"/>
        </w:rPr>
        <w:t xml:space="preserve">表 </w:t>
      </w:r>
      <w:r>
        <w:rPr>
          <w:rFonts w:ascii="Times New Roman" w:eastAsia="Times New Roman"/>
          <w:b/>
          <w:sz w:val="21"/>
        </w:rPr>
        <w:t>7.1-2</w:t>
      </w:r>
      <w:r>
        <w:rPr>
          <w:rFonts w:ascii="Times New Roman" w:eastAsia="Times New Roman"/>
          <w:b/>
          <w:spacing w:val="52"/>
          <w:sz w:val="21"/>
        </w:rPr>
        <w:t xml:space="preserve"> </w:t>
      </w:r>
      <w:r>
        <w:rPr>
          <w:b/>
          <w:sz w:val="21"/>
        </w:rPr>
        <w:t>其他污染物补充监测点位基本信息表</w:t>
      </w:r>
    </w:p>
    <w:p>
      <w:pPr>
        <w:pStyle w:val="9"/>
        <w:spacing w:before="11" w:after="1"/>
        <w:rPr>
          <w:b/>
          <w:sz w:val="10"/>
        </w:rPr>
      </w:pPr>
    </w:p>
    <w:tbl>
      <w:tblPr>
        <w:tblStyle w:val="15"/>
        <w:tblW w:w="0" w:type="auto"/>
        <w:tblInd w:w="13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64"/>
        <w:gridCol w:w="1991"/>
        <w:gridCol w:w="1285"/>
        <w:gridCol w:w="3289"/>
        <w:gridCol w:w="18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4" w:hRule="atLeast"/>
        </w:trPr>
        <w:tc>
          <w:tcPr>
            <w:tcW w:w="864" w:type="dxa"/>
            <w:tcBorders>
              <w:bottom w:val="single" w:color="000000" w:sz="4" w:space="0"/>
              <w:right w:val="single" w:color="000000" w:sz="4" w:space="0"/>
            </w:tcBorders>
          </w:tcPr>
          <w:p>
            <w:pPr>
              <w:pStyle w:val="19"/>
              <w:spacing w:before="121"/>
              <w:ind w:left="201" w:right="188"/>
              <w:rPr>
                <w:sz w:val="21"/>
              </w:rPr>
            </w:pPr>
            <w:r>
              <w:rPr>
                <w:sz w:val="21"/>
              </w:rPr>
              <w:t>编号</w:t>
            </w:r>
          </w:p>
        </w:tc>
        <w:tc>
          <w:tcPr>
            <w:tcW w:w="1991" w:type="dxa"/>
            <w:tcBorders>
              <w:left w:val="single" w:color="000000" w:sz="4" w:space="0"/>
              <w:bottom w:val="single" w:color="000000" w:sz="4" w:space="0"/>
              <w:right w:val="single" w:color="000000" w:sz="4" w:space="0"/>
            </w:tcBorders>
          </w:tcPr>
          <w:p>
            <w:pPr>
              <w:pStyle w:val="19"/>
              <w:spacing w:before="121"/>
              <w:ind w:left="348" w:right="331"/>
              <w:rPr>
                <w:sz w:val="21"/>
              </w:rPr>
            </w:pPr>
            <w:r>
              <w:rPr>
                <w:sz w:val="21"/>
              </w:rPr>
              <w:t>监测点位</w:t>
            </w:r>
          </w:p>
        </w:tc>
        <w:tc>
          <w:tcPr>
            <w:tcW w:w="1285" w:type="dxa"/>
            <w:tcBorders>
              <w:left w:val="single" w:color="000000" w:sz="4" w:space="0"/>
              <w:bottom w:val="single" w:color="000000" w:sz="4" w:space="0"/>
              <w:right w:val="single" w:color="000000" w:sz="4" w:space="0"/>
            </w:tcBorders>
          </w:tcPr>
          <w:p>
            <w:pPr>
              <w:pStyle w:val="19"/>
              <w:spacing w:before="121"/>
              <w:ind w:left="226"/>
              <w:jc w:val="left"/>
              <w:rPr>
                <w:sz w:val="21"/>
              </w:rPr>
            </w:pPr>
            <w:r>
              <w:rPr>
                <w:sz w:val="21"/>
              </w:rPr>
              <w:t>监测因子</w:t>
            </w:r>
          </w:p>
        </w:tc>
        <w:tc>
          <w:tcPr>
            <w:tcW w:w="3289" w:type="dxa"/>
            <w:tcBorders>
              <w:left w:val="single" w:color="000000" w:sz="4" w:space="0"/>
              <w:bottom w:val="single" w:color="000000" w:sz="4" w:space="0"/>
              <w:right w:val="single" w:color="000000" w:sz="4" w:space="0"/>
            </w:tcBorders>
          </w:tcPr>
          <w:p>
            <w:pPr>
              <w:pStyle w:val="19"/>
              <w:spacing w:before="121"/>
              <w:ind w:left="1207" w:right="1192"/>
              <w:rPr>
                <w:sz w:val="21"/>
              </w:rPr>
            </w:pPr>
            <w:r>
              <w:rPr>
                <w:sz w:val="21"/>
              </w:rPr>
              <w:t>检测时段</w:t>
            </w:r>
          </w:p>
        </w:tc>
        <w:tc>
          <w:tcPr>
            <w:tcW w:w="1850" w:type="dxa"/>
            <w:tcBorders>
              <w:left w:val="single" w:color="000000" w:sz="4" w:space="0"/>
              <w:bottom w:val="single" w:color="000000" w:sz="4" w:space="0"/>
            </w:tcBorders>
          </w:tcPr>
          <w:p>
            <w:pPr>
              <w:pStyle w:val="19"/>
              <w:spacing w:before="1"/>
              <w:ind w:left="265" w:right="269"/>
              <w:rPr>
                <w:sz w:val="21"/>
              </w:rPr>
            </w:pPr>
            <w:r>
              <w:rPr>
                <w:sz w:val="21"/>
              </w:rPr>
              <w:t>相对厂界距离</w:t>
            </w:r>
          </w:p>
          <w:p>
            <w:pPr>
              <w:pStyle w:val="19"/>
              <w:spacing w:before="2" w:line="222" w:lineRule="exact"/>
              <w:ind w:left="9"/>
              <w:rPr>
                <w:rFonts w:ascii="Times New Roman"/>
                <w:sz w:val="21"/>
              </w:rPr>
            </w:pPr>
            <w:r>
              <w:rPr>
                <w:rFonts w:ascii="Times New Roman"/>
                <w:w w:val="99"/>
                <w:sz w:val="21"/>
              </w:rPr>
              <w:t>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2" w:hRule="atLeast"/>
        </w:trPr>
        <w:tc>
          <w:tcPr>
            <w:tcW w:w="864" w:type="dxa"/>
            <w:tcBorders>
              <w:top w:val="single" w:color="000000" w:sz="4" w:space="0"/>
              <w:bottom w:val="single" w:color="000000" w:sz="4" w:space="0"/>
              <w:right w:val="single" w:color="000000" w:sz="4" w:space="0"/>
            </w:tcBorders>
          </w:tcPr>
          <w:p>
            <w:pPr>
              <w:pStyle w:val="19"/>
              <w:spacing w:before="76"/>
              <w:ind w:left="200" w:right="188"/>
              <w:rPr>
                <w:rFonts w:ascii="Times New Roman"/>
                <w:sz w:val="21"/>
              </w:rPr>
            </w:pPr>
            <w:r>
              <w:rPr>
                <w:rFonts w:ascii="Times New Roman"/>
                <w:sz w:val="21"/>
              </w:rPr>
              <w:t>1#</w:t>
            </w:r>
          </w:p>
        </w:tc>
        <w:tc>
          <w:tcPr>
            <w:tcW w:w="1991" w:type="dxa"/>
            <w:tcBorders>
              <w:top w:val="single" w:color="000000" w:sz="4" w:space="0"/>
              <w:left w:val="single" w:color="000000" w:sz="4" w:space="0"/>
              <w:bottom w:val="single" w:color="000000" w:sz="4" w:space="0"/>
              <w:right w:val="single" w:color="000000" w:sz="4" w:space="0"/>
            </w:tcBorders>
          </w:tcPr>
          <w:p>
            <w:pPr>
              <w:pStyle w:val="19"/>
              <w:spacing w:before="63"/>
              <w:ind w:left="348" w:right="333"/>
              <w:rPr>
                <w:sz w:val="21"/>
              </w:rPr>
            </w:pPr>
            <w:r>
              <w:rPr>
                <w:sz w:val="21"/>
              </w:rPr>
              <w:t>主井工业广场</w:t>
            </w:r>
          </w:p>
        </w:tc>
        <w:tc>
          <w:tcPr>
            <w:tcW w:w="1285" w:type="dxa"/>
            <w:vMerge w:val="restart"/>
            <w:tcBorders>
              <w:top w:val="single" w:color="000000" w:sz="4" w:space="0"/>
              <w:left w:val="single" w:color="000000" w:sz="4" w:space="0"/>
              <w:right w:val="single" w:color="000000" w:sz="4" w:space="0"/>
            </w:tcBorders>
          </w:tcPr>
          <w:p>
            <w:pPr>
              <w:pStyle w:val="19"/>
              <w:spacing w:before="11"/>
              <w:jc w:val="left"/>
              <w:rPr>
                <w:b/>
                <w:sz w:val="21"/>
              </w:rPr>
            </w:pPr>
          </w:p>
          <w:p>
            <w:pPr>
              <w:pStyle w:val="19"/>
              <w:ind w:left="188" w:right="170"/>
              <w:rPr>
                <w:rFonts w:ascii="Times New Roman"/>
                <w:sz w:val="21"/>
              </w:rPr>
            </w:pPr>
            <w:r>
              <w:rPr>
                <w:rFonts w:ascii="Times New Roman"/>
                <w:sz w:val="21"/>
              </w:rPr>
              <w:t>TSP</w:t>
            </w:r>
          </w:p>
        </w:tc>
        <w:tc>
          <w:tcPr>
            <w:tcW w:w="3289" w:type="dxa"/>
            <w:vMerge w:val="restart"/>
            <w:tcBorders>
              <w:top w:val="single" w:color="000000" w:sz="4" w:space="0"/>
              <w:left w:val="single" w:color="000000" w:sz="4" w:space="0"/>
              <w:right w:val="single" w:color="000000" w:sz="4" w:space="0"/>
            </w:tcBorders>
          </w:tcPr>
          <w:p>
            <w:pPr>
              <w:pStyle w:val="19"/>
              <w:spacing w:before="2"/>
              <w:jc w:val="left"/>
              <w:rPr>
                <w:b/>
                <w:sz w:val="19"/>
              </w:rPr>
            </w:pPr>
          </w:p>
          <w:p>
            <w:pPr>
              <w:pStyle w:val="19"/>
              <w:spacing w:before="1"/>
              <w:ind w:left="448"/>
              <w:jc w:val="left"/>
              <w:rPr>
                <w:rFonts w:ascii="Times New Roman" w:eastAsia="Times New Roman"/>
                <w:sz w:val="24"/>
              </w:rPr>
            </w:pPr>
            <w:r>
              <w:rPr>
                <w:rFonts w:ascii="Times New Roman" w:eastAsia="Times New Roman"/>
                <w:sz w:val="24"/>
              </w:rPr>
              <w:t>2020.04.13</w:t>
            </w:r>
            <w:r>
              <w:rPr>
                <w:sz w:val="24"/>
              </w:rPr>
              <w:t>～</w:t>
            </w:r>
            <w:r>
              <w:rPr>
                <w:rFonts w:ascii="Times New Roman" w:eastAsia="Times New Roman"/>
                <w:sz w:val="24"/>
              </w:rPr>
              <w:t>2020.04.20</w:t>
            </w:r>
          </w:p>
        </w:tc>
        <w:tc>
          <w:tcPr>
            <w:tcW w:w="1850" w:type="dxa"/>
            <w:tcBorders>
              <w:top w:val="single" w:color="000000" w:sz="4" w:space="0"/>
              <w:left w:val="single" w:color="000000" w:sz="4" w:space="0"/>
              <w:bottom w:val="single" w:color="000000" w:sz="4" w:space="0"/>
            </w:tcBorders>
          </w:tcPr>
          <w:p>
            <w:pPr>
              <w:pStyle w:val="19"/>
              <w:spacing w:before="76"/>
              <w:ind w:left="7"/>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1" w:hRule="atLeast"/>
        </w:trPr>
        <w:tc>
          <w:tcPr>
            <w:tcW w:w="864" w:type="dxa"/>
            <w:tcBorders>
              <w:top w:val="single" w:color="000000" w:sz="4" w:space="0"/>
              <w:right w:val="single" w:color="000000" w:sz="4" w:space="0"/>
            </w:tcBorders>
          </w:tcPr>
          <w:p>
            <w:pPr>
              <w:pStyle w:val="19"/>
              <w:spacing w:before="70"/>
              <w:ind w:left="200" w:right="188"/>
              <w:rPr>
                <w:rFonts w:ascii="Times New Roman"/>
                <w:sz w:val="21"/>
              </w:rPr>
            </w:pPr>
            <w:r>
              <w:rPr>
                <w:rFonts w:ascii="Times New Roman"/>
                <w:sz w:val="21"/>
              </w:rPr>
              <w:t>2#</w:t>
            </w:r>
          </w:p>
        </w:tc>
        <w:tc>
          <w:tcPr>
            <w:tcW w:w="1991" w:type="dxa"/>
            <w:tcBorders>
              <w:top w:val="single" w:color="000000" w:sz="4" w:space="0"/>
              <w:left w:val="single" w:color="000000" w:sz="4" w:space="0"/>
              <w:right w:val="single" w:color="000000" w:sz="4" w:space="0"/>
            </w:tcBorders>
          </w:tcPr>
          <w:p>
            <w:pPr>
              <w:pStyle w:val="19"/>
              <w:spacing w:before="56"/>
              <w:ind w:left="348" w:right="333"/>
              <w:rPr>
                <w:sz w:val="21"/>
              </w:rPr>
            </w:pPr>
            <w:r>
              <w:rPr>
                <w:sz w:val="21"/>
              </w:rPr>
              <w:t>副井工业广场</w:t>
            </w:r>
          </w:p>
        </w:tc>
        <w:tc>
          <w:tcPr>
            <w:tcW w:w="1285" w:type="dxa"/>
            <w:vMerge w:val="continue"/>
            <w:tcBorders>
              <w:top w:val="nil"/>
              <w:left w:val="single" w:color="000000" w:sz="4" w:space="0"/>
              <w:right w:val="single" w:color="000000" w:sz="4" w:space="0"/>
            </w:tcBorders>
          </w:tcPr>
          <w:p>
            <w:pPr>
              <w:rPr>
                <w:sz w:val="2"/>
                <w:szCs w:val="2"/>
              </w:rPr>
            </w:pPr>
          </w:p>
        </w:tc>
        <w:tc>
          <w:tcPr>
            <w:tcW w:w="3289" w:type="dxa"/>
            <w:vMerge w:val="continue"/>
            <w:tcBorders>
              <w:top w:val="nil"/>
              <w:left w:val="single" w:color="000000" w:sz="4" w:space="0"/>
              <w:right w:val="single" w:color="000000" w:sz="4" w:space="0"/>
            </w:tcBorders>
          </w:tcPr>
          <w:p>
            <w:pPr>
              <w:rPr>
                <w:sz w:val="2"/>
                <w:szCs w:val="2"/>
              </w:rPr>
            </w:pPr>
          </w:p>
        </w:tc>
        <w:tc>
          <w:tcPr>
            <w:tcW w:w="1850" w:type="dxa"/>
            <w:tcBorders>
              <w:top w:val="single" w:color="000000" w:sz="4" w:space="0"/>
              <w:left w:val="single" w:color="000000" w:sz="4" w:space="0"/>
            </w:tcBorders>
          </w:tcPr>
          <w:p>
            <w:pPr>
              <w:pStyle w:val="19"/>
              <w:spacing w:before="70"/>
              <w:ind w:left="7"/>
              <w:rPr>
                <w:rFonts w:ascii="Times New Roman"/>
                <w:sz w:val="21"/>
              </w:rPr>
            </w:pPr>
            <w:r>
              <w:rPr>
                <w:rFonts w:ascii="Times New Roman"/>
                <w:w w:val="99"/>
                <w:sz w:val="21"/>
              </w:rPr>
              <w:t>-</w:t>
            </w:r>
          </w:p>
        </w:tc>
      </w:tr>
    </w:tbl>
    <w:p>
      <w:pPr>
        <w:pStyle w:val="9"/>
        <w:spacing w:before="1"/>
        <w:ind w:left="1898"/>
      </w:pPr>
      <w:r>
        <w:rPr>
          <w:rFonts w:ascii="Times New Roman" w:eastAsia="Times New Roman"/>
        </w:rPr>
        <w:t>3</w:t>
      </w:r>
      <w:r>
        <w:t>、监测采样时间、频率</w:t>
      </w:r>
    </w:p>
    <w:p>
      <w:pPr>
        <w:pStyle w:val="9"/>
        <w:spacing w:before="161" w:line="362" w:lineRule="auto"/>
        <w:ind w:left="1898" w:right="5138"/>
      </w:pPr>
      <w:r>
        <w:t>监测时间：</w:t>
      </w:r>
      <w:r>
        <w:rPr>
          <w:rFonts w:ascii="Times New Roman" w:eastAsia="Times New Roman"/>
        </w:rPr>
        <w:t>2020.04.13</w:t>
      </w:r>
      <w:r>
        <w:t>～</w:t>
      </w:r>
      <w:r>
        <w:rPr>
          <w:rFonts w:ascii="Times New Roman" w:eastAsia="Times New Roman"/>
        </w:rPr>
        <w:t>2020.04.20</w:t>
      </w:r>
      <w:r>
        <w:t xml:space="preserve">，连续 </w:t>
      </w:r>
      <w:r>
        <w:rPr>
          <w:rFonts w:ascii="Times New Roman" w:eastAsia="Times New Roman"/>
        </w:rPr>
        <w:t xml:space="preserve">7 </w:t>
      </w:r>
      <w:r>
        <w:t>天频率：</w:t>
      </w:r>
      <w:r>
        <w:rPr>
          <w:rFonts w:ascii="Times New Roman" w:eastAsia="Times New Roman"/>
        </w:rPr>
        <w:t xml:space="preserve">TSP </w:t>
      </w:r>
      <w:r>
        <w:t xml:space="preserve">采样为每天 </w:t>
      </w:r>
      <w:r>
        <w:rPr>
          <w:rFonts w:ascii="Times New Roman" w:eastAsia="Times New Roman"/>
        </w:rPr>
        <w:t>24h</w:t>
      </w:r>
      <w:r>
        <w:t>。</w:t>
      </w:r>
    </w:p>
    <w:p>
      <w:pPr>
        <w:pStyle w:val="9"/>
        <w:spacing w:before="5"/>
        <w:ind w:left="1898"/>
      </w:pPr>
      <w:r>
        <w:rPr>
          <w:rFonts w:ascii="Times New Roman" w:eastAsia="Times New Roman"/>
        </w:rPr>
        <w:t>4</w:t>
      </w:r>
      <w:r>
        <w:t>、监测分析方法</w:t>
      </w:r>
    </w:p>
    <w:p>
      <w:pPr>
        <w:pStyle w:val="9"/>
        <w:spacing w:before="158"/>
        <w:ind w:left="1898"/>
      </w:pPr>
      <w:r>
        <w:t>监测分析方法及使用仪器采样及监测分析方法，具体见下表。</w:t>
      </w:r>
    </w:p>
    <w:p>
      <w:pPr>
        <w:spacing w:before="159"/>
        <w:ind w:left="7" w:right="0" w:firstLine="0"/>
        <w:jc w:val="center"/>
        <w:rPr>
          <w:b/>
          <w:sz w:val="21"/>
        </w:rPr>
      </w:pPr>
      <w:r>
        <w:rPr>
          <w:b/>
          <w:spacing w:val="-26"/>
          <w:sz w:val="21"/>
        </w:rPr>
        <w:t xml:space="preserve">表 </w:t>
      </w:r>
      <w:r>
        <w:rPr>
          <w:rFonts w:ascii="Times New Roman" w:eastAsia="Times New Roman"/>
          <w:b/>
          <w:sz w:val="21"/>
        </w:rPr>
        <w:t>7.1-3</w:t>
      </w:r>
      <w:r>
        <w:rPr>
          <w:rFonts w:ascii="Times New Roman" w:eastAsia="Times New Roman"/>
          <w:b/>
          <w:spacing w:val="52"/>
          <w:sz w:val="21"/>
        </w:rPr>
        <w:t xml:space="preserve"> </w:t>
      </w:r>
      <w:r>
        <w:rPr>
          <w:b/>
          <w:sz w:val="21"/>
        </w:rPr>
        <w:t>监测分析方法一览表</w:t>
      </w:r>
    </w:p>
    <w:p>
      <w:pPr>
        <w:pStyle w:val="9"/>
        <w:spacing w:before="11"/>
        <w:rPr>
          <w:b/>
          <w:sz w:val="10"/>
        </w:rPr>
      </w:pPr>
    </w:p>
    <w:tbl>
      <w:tblPr>
        <w:tblStyle w:val="15"/>
        <w:tblW w:w="0" w:type="auto"/>
        <w:tblInd w:w="14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94"/>
        <w:gridCol w:w="1294"/>
        <w:gridCol w:w="653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1294" w:type="dxa"/>
            <w:tcBorders>
              <w:bottom w:val="single" w:color="000000" w:sz="4" w:space="0"/>
              <w:right w:val="single" w:color="000000" w:sz="4" w:space="0"/>
            </w:tcBorders>
          </w:tcPr>
          <w:p>
            <w:pPr>
              <w:pStyle w:val="19"/>
              <w:spacing w:before="6" w:line="258" w:lineRule="exact"/>
              <w:ind w:left="204" w:right="193"/>
              <w:rPr>
                <w:sz w:val="21"/>
              </w:rPr>
            </w:pPr>
            <w:r>
              <w:rPr>
                <w:sz w:val="21"/>
              </w:rPr>
              <w:t>类别</w:t>
            </w:r>
          </w:p>
        </w:tc>
        <w:tc>
          <w:tcPr>
            <w:tcW w:w="1294" w:type="dxa"/>
            <w:tcBorders>
              <w:left w:val="single" w:color="000000" w:sz="4" w:space="0"/>
              <w:bottom w:val="single" w:color="000000" w:sz="4" w:space="0"/>
              <w:right w:val="single" w:color="000000" w:sz="4" w:space="0"/>
            </w:tcBorders>
          </w:tcPr>
          <w:p>
            <w:pPr>
              <w:pStyle w:val="19"/>
              <w:spacing w:before="6" w:line="258" w:lineRule="exact"/>
              <w:ind w:left="441"/>
              <w:jc w:val="left"/>
              <w:rPr>
                <w:sz w:val="21"/>
              </w:rPr>
            </w:pPr>
            <w:r>
              <w:rPr>
                <w:sz w:val="21"/>
              </w:rPr>
              <w:t>项目</w:t>
            </w:r>
          </w:p>
        </w:tc>
        <w:tc>
          <w:tcPr>
            <w:tcW w:w="6534" w:type="dxa"/>
            <w:tcBorders>
              <w:left w:val="single" w:color="000000" w:sz="4" w:space="0"/>
              <w:bottom w:val="single" w:color="000000" w:sz="4" w:space="0"/>
            </w:tcBorders>
          </w:tcPr>
          <w:p>
            <w:pPr>
              <w:pStyle w:val="19"/>
              <w:spacing w:before="6" w:line="258" w:lineRule="exact"/>
              <w:ind w:left="325" w:right="302"/>
              <w:rPr>
                <w:sz w:val="21"/>
              </w:rPr>
            </w:pPr>
            <w:r>
              <w:rPr>
                <w:sz w:val="21"/>
              </w:rPr>
              <w:t>方法名称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6" w:hRule="atLeast"/>
        </w:trPr>
        <w:tc>
          <w:tcPr>
            <w:tcW w:w="1294" w:type="dxa"/>
            <w:tcBorders>
              <w:top w:val="single" w:color="000000" w:sz="4" w:space="0"/>
              <w:right w:val="single" w:color="000000" w:sz="4" w:space="0"/>
            </w:tcBorders>
          </w:tcPr>
          <w:p>
            <w:pPr>
              <w:pStyle w:val="19"/>
              <w:spacing w:before="7"/>
              <w:jc w:val="left"/>
              <w:rPr>
                <w:b/>
                <w:sz w:val="18"/>
              </w:rPr>
            </w:pPr>
          </w:p>
          <w:p>
            <w:pPr>
              <w:pStyle w:val="19"/>
              <w:ind w:left="206" w:right="193"/>
              <w:rPr>
                <w:sz w:val="21"/>
              </w:rPr>
            </w:pPr>
            <w:r>
              <w:rPr>
                <w:sz w:val="21"/>
              </w:rPr>
              <w:t>环境空气</w:t>
            </w:r>
          </w:p>
        </w:tc>
        <w:tc>
          <w:tcPr>
            <w:tcW w:w="1294" w:type="dxa"/>
            <w:tcBorders>
              <w:top w:val="single" w:color="000000" w:sz="4" w:space="0"/>
              <w:left w:val="single" w:color="000000" w:sz="4" w:space="0"/>
              <w:right w:val="single" w:color="000000" w:sz="4" w:space="0"/>
            </w:tcBorders>
          </w:tcPr>
          <w:p>
            <w:pPr>
              <w:pStyle w:val="19"/>
              <w:spacing w:before="8"/>
              <w:jc w:val="left"/>
              <w:rPr>
                <w:b/>
                <w:sz w:val="19"/>
              </w:rPr>
            </w:pPr>
          </w:p>
          <w:p>
            <w:pPr>
              <w:pStyle w:val="19"/>
              <w:ind w:left="472"/>
              <w:jc w:val="left"/>
              <w:rPr>
                <w:rFonts w:ascii="Times New Roman"/>
                <w:sz w:val="21"/>
              </w:rPr>
            </w:pPr>
            <w:r>
              <w:rPr>
                <w:rFonts w:ascii="Times New Roman"/>
                <w:sz w:val="21"/>
              </w:rPr>
              <w:t>TSP</w:t>
            </w:r>
          </w:p>
        </w:tc>
        <w:tc>
          <w:tcPr>
            <w:tcW w:w="6534" w:type="dxa"/>
            <w:tcBorders>
              <w:top w:val="single" w:color="000000" w:sz="4" w:space="0"/>
              <w:left w:val="single" w:color="000000" w:sz="4" w:space="0"/>
            </w:tcBorders>
          </w:tcPr>
          <w:p>
            <w:pPr>
              <w:pStyle w:val="19"/>
              <w:spacing w:before="7"/>
              <w:jc w:val="left"/>
              <w:rPr>
                <w:b/>
                <w:sz w:val="18"/>
              </w:rPr>
            </w:pPr>
          </w:p>
          <w:p>
            <w:pPr>
              <w:pStyle w:val="19"/>
              <w:ind w:left="325" w:right="302"/>
              <w:rPr>
                <w:sz w:val="21"/>
              </w:rPr>
            </w:pPr>
            <w:r>
              <w:rPr>
                <w:sz w:val="21"/>
              </w:rPr>
              <w:t xml:space="preserve">环境空气总悬浮颗粒物的测定重量法 </w:t>
            </w:r>
            <w:r>
              <w:rPr>
                <w:rFonts w:ascii="Times New Roman" w:eastAsia="Times New Roman"/>
                <w:sz w:val="21"/>
              </w:rPr>
              <w:t xml:space="preserve">GB/T15432-1995 </w:t>
            </w:r>
            <w:r>
              <w:rPr>
                <w:sz w:val="21"/>
              </w:rPr>
              <w:t>及修改单</w:t>
            </w:r>
          </w:p>
        </w:tc>
      </w:tr>
    </w:tbl>
    <w:p>
      <w:pPr>
        <w:pStyle w:val="9"/>
        <w:spacing w:before="3"/>
        <w:ind w:left="1898"/>
      </w:pPr>
      <w:r>
        <w:rPr>
          <w:rFonts w:ascii="Times New Roman" w:eastAsia="Times New Roman"/>
        </w:rPr>
        <w:t>5</w:t>
      </w:r>
      <w:r>
        <w:t>、环境空气监测结果</w:t>
      </w:r>
    </w:p>
    <w:p>
      <w:pPr>
        <w:pStyle w:val="9"/>
        <w:spacing w:before="158"/>
        <w:ind w:left="1898"/>
      </w:pPr>
      <w:r>
        <w:t>环境空气监测结果见下表。</w:t>
      </w:r>
    </w:p>
    <w:p>
      <w:pPr>
        <w:spacing w:before="159"/>
        <w:ind w:left="11" w:right="0" w:firstLine="0"/>
        <w:jc w:val="center"/>
        <w:rPr>
          <w:rFonts w:ascii="Times New Roman" w:eastAsia="Times New Roman"/>
          <w:b/>
          <w:sz w:val="13"/>
        </w:rPr>
      </w:pPr>
      <w:r>
        <w:rPr>
          <w:b/>
          <w:spacing w:val="-28"/>
          <w:sz w:val="21"/>
        </w:rPr>
        <w:t xml:space="preserve">表 </w:t>
      </w:r>
      <w:r>
        <w:rPr>
          <w:rFonts w:ascii="Times New Roman" w:eastAsia="Times New Roman"/>
          <w:b/>
          <w:sz w:val="21"/>
        </w:rPr>
        <w:t>7.1-4</w:t>
      </w:r>
      <w:r>
        <w:rPr>
          <w:rFonts w:ascii="Times New Roman" w:eastAsia="Times New Roman"/>
          <w:b/>
          <w:spacing w:val="52"/>
          <w:sz w:val="21"/>
        </w:rPr>
        <w:t xml:space="preserve"> </w:t>
      </w:r>
      <w:r>
        <w:rPr>
          <w:b/>
          <w:sz w:val="21"/>
        </w:rPr>
        <w:t>环境空气监测结果单位：</w:t>
      </w:r>
      <w:r>
        <w:rPr>
          <w:rFonts w:ascii="Times New Roman" w:eastAsia="Times New Roman"/>
          <w:b/>
          <w:sz w:val="21"/>
        </w:rPr>
        <w:t>mg/m</w:t>
      </w:r>
      <w:r>
        <w:rPr>
          <w:rFonts w:ascii="Times New Roman" w:eastAsia="Times New Roman"/>
          <w:b/>
          <w:position w:val="7"/>
          <w:sz w:val="13"/>
        </w:rPr>
        <w:t>3</w:t>
      </w:r>
    </w:p>
    <w:p>
      <w:pPr>
        <w:pStyle w:val="9"/>
        <w:rPr>
          <w:rFonts w:ascii="Times New Roman"/>
          <w:b/>
          <w:sz w:val="12"/>
        </w:rPr>
      </w:pPr>
    </w:p>
    <w:tbl>
      <w:tblPr>
        <w:tblStyle w:val="15"/>
        <w:tblW w:w="0" w:type="auto"/>
        <w:tblInd w:w="13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16"/>
        <w:gridCol w:w="3403"/>
        <w:gridCol w:w="2218"/>
        <w:gridCol w:w="20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restart"/>
            <w:tcBorders>
              <w:bottom w:val="single" w:color="000000" w:sz="4" w:space="0"/>
              <w:right w:val="single" w:color="000000" w:sz="4" w:space="0"/>
            </w:tcBorders>
          </w:tcPr>
          <w:p>
            <w:pPr>
              <w:pStyle w:val="19"/>
              <w:spacing w:before="7"/>
              <w:jc w:val="left"/>
              <w:rPr>
                <w:rFonts w:ascii="Times New Roman"/>
                <w:b/>
                <w:sz w:val="25"/>
              </w:rPr>
            </w:pPr>
          </w:p>
          <w:p>
            <w:pPr>
              <w:pStyle w:val="19"/>
              <w:spacing w:before="1"/>
              <w:ind w:left="467"/>
              <w:jc w:val="left"/>
              <w:rPr>
                <w:sz w:val="21"/>
              </w:rPr>
            </w:pPr>
            <w:r>
              <w:rPr>
                <w:sz w:val="21"/>
              </w:rPr>
              <w:t>采样地点</w:t>
            </w:r>
          </w:p>
        </w:tc>
        <w:tc>
          <w:tcPr>
            <w:tcW w:w="3403" w:type="dxa"/>
            <w:tcBorders>
              <w:left w:val="single" w:color="000000" w:sz="4" w:space="0"/>
              <w:bottom w:val="single" w:color="000000" w:sz="4" w:space="0"/>
              <w:right w:val="single" w:color="000000" w:sz="4" w:space="0"/>
            </w:tcBorders>
          </w:tcPr>
          <w:p>
            <w:pPr>
              <w:pStyle w:val="19"/>
              <w:spacing w:before="77"/>
              <w:ind w:left="95" w:right="81"/>
              <w:rPr>
                <w:sz w:val="21"/>
              </w:rPr>
            </w:pPr>
            <w:r>
              <w:rPr>
                <w:sz w:val="21"/>
              </w:rPr>
              <w:t>采样时间</w:t>
            </w:r>
          </w:p>
        </w:tc>
        <w:tc>
          <w:tcPr>
            <w:tcW w:w="2218" w:type="dxa"/>
            <w:vMerge w:val="restart"/>
            <w:tcBorders>
              <w:left w:val="single" w:color="000000" w:sz="4" w:space="0"/>
              <w:bottom w:val="single" w:color="000000" w:sz="4" w:space="0"/>
              <w:right w:val="single" w:color="000000" w:sz="4" w:space="0"/>
            </w:tcBorders>
          </w:tcPr>
          <w:p>
            <w:pPr>
              <w:pStyle w:val="19"/>
              <w:spacing w:before="9"/>
              <w:jc w:val="left"/>
              <w:rPr>
                <w:rFonts w:ascii="Times New Roman"/>
                <w:b/>
                <w:sz w:val="24"/>
              </w:rPr>
            </w:pPr>
          </w:p>
          <w:p>
            <w:pPr>
              <w:pStyle w:val="19"/>
              <w:spacing w:before="1"/>
              <w:ind w:left="694"/>
              <w:jc w:val="left"/>
              <w:rPr>
                <w:sz w:val="21"/>
              </w:rPr>
            </w:pPr>
            <w:r>
              <w:rPr>
                <w:sz w:val="21"/>
              </w:rPr>
              <w:t>监测时间</w:t>
            </w:r>
          </w:p>
        </w:tc>
        <w:tc>
          <w:tcPr>
            <w:tcW w:w="2047" w:type="dxa"/>
            <w:tcBorders>
              <w:left w:val="single" w:color="000000" w:sz="4" w:space="0"/>
              <w:bottom w:val="single" w:color="000000" w:sz="4" w:space="0"/>
            </w:tcBorders>
          </w:tcPr>
          <w:p>
            <w:pPr>
              <w:pStyle w:val="19"/>
              <w:spacing w:before="74"/>
              <w:ind w:left="375" w:right="249"/>
              <w:rPr>
                <w:sz w:val="21"/>
              </w:rPr>
            </w:pPr>
            <w:r>
              <w:rPr>
                <w:sz w:val="21"/>
              </w:rPr>
              <w:t>分析项目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continue"/>
            <w:tcBorders>
              <w:top w:val="nil"/>
              <w:bottom w:val="single" w:color="000000" w:sz="4" w:space="0"/>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9"/>
              <w:spacing w:before="76"/>
              <w:ind w:left="97" w:right="81"/>
              <w:rPr>
                <w:sz w:val="21"/>
              </w:rPr>
            </w:pPr>
            <w:r>
              <w:rPr>
                <w:rFonts w:ascii="Times New Roman" w:eastAsia="Times New Roman"/>
                <w:sz w:val="21"/>
              </w:rPr>
              <w:t xml:space="preserve">2020 </w:t>
            </w:r>
            <w:r>
              <w:rPr>
                <w:sz w:val="21"/>
              </w:rPr>
              <w:t>年</w:t>
            </w:r>
          </w:p>
        </w:tc>
        <w:tc>
          <w:tcPr>
            <w:tcW w:w="2218" w:type="dxa"/>
            <w:vMerge w:val="continue"/>
            <w:tcBorders>
              <w:top w:val="nil"/>
              <w:left w:val="single" w:color="000000" w:sz="4" w:space="0"/>
              <w:bottom w:val="single" w:color="000000" w:sz="4" w:space="0"/>
              <w:right w:val="single" w:color="000000" w:sz="4" w:space="0"/>
            </w:tcBorders>
          </w:tcPr>
          <w:p>
            <w:pPr>
              <w:rPr>
                <w:sz w:val="2"/>
                <w:szCs w:val="2"/>
              </w:rPr>
            </w:pPr>
          </w:p>
        </w:tc>
        <w:tc>
          <w:tcPr>
            <w:tcW w:w="2047" w:type="dxa"/>
            <w:tcBorders>
              <w:top w:val="single" w:color="000000" w:sz="4" w:space="0"/>
              <w:left w:val="single" w:color="000000" w:sz="4" w:space="0"/>
              <w:bottom w:val="single" w:color="000000" w:sz="4" w:space="0"/>
            </w:tcBorders>
          </w:tcPr>
          <w:p>
            <w:pPr>
              <w:pStyle w:val="19"/>
              <w:spacing w:before="69"/>
              <w:ind w:left="375" w:right="357"/>
              <w:rPr>
                <w:sz w:val="21"/>
              </w:rPr>
            </w:pPr>
            <w:r>
              <w:rPr>
                <w:sz w:val="21"/>
              </w:rPr>
              <w:t>总悬浮颗粒物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restart"/>
            <w:tcBorders>
              <w:top w:val="single" w:color="000000" w:sz="4" w:space="0"/>
              <w:bottom w:val="single" w:color="000000" w:sz="4" w:space="0"/>
              <w:right w:val="single" w:color="000000" w:sz="4" w:space="0"/>
            </w:tcBorders>
          </w:tcPr>
          <w:p>
            <w:pPr>
              <w:pStyle w:val="19"/>
              <w:jc w:val="left"/>
              <w:rPr>
                <w:rFonts w:ascii="Times New Roman"/>
                <w:b/>
                <w:sz w:val="20"/>
              </w:rPr>
            </w:pPr>
          </w:p>
          <w:p>
            <w:pPr>
              <w:pStyle w:val="19"/>
              <w:jc w:val="left"/>
              <w:rPr>
                <w:rFonts w:ascii="Times New Roman"/>
                <w:b/>
                <w:sz w:val="20"/>
              </w:rPr>
            </w:pPr>
          </w:p>
          <w:p>
            <w:pPr>
              <w:pStyle w:val="19"/>
              <w:jc w:val="left"/>
              <w:rPr>
                <w:rFonts w:ascii="Times New Roman"/>
                <w:b/>
                <w:sz w:val="20"/>
              </w:rPr>
            </w:pPr>
          </w:p>
          <w:p>
            <w:pPr>
              <w:pStyle w:val="19"/>
              <w:jc w:val="left"/>
              <w:rPr>
                <w:rFonts w:ascii="Times New Roman"/>
                <w:b/>
                <w:sz w:val="20"/>
              </w:rPr>
            </w:pPr>
          </w:p>
          <w:p>
            <w:pPr>
              <w:pStyle w:val="19"/>
              <w:jc w:val="left"/>
              <w:rPr>
                <w:rFonts w:ascii="Times New Roman"/>
                <w:b/>
                <w:sz w:val="20"/>
              </w:rPr>
            </w:pPr>
          </w:p>
          <w:p>
            <w:pPr>
              <w:pStyle w:val="19"/>
              <w:spacing w:before="1"/>
              <w:jc w:val="left"/>
              <w:rPr>
                <w:rFonts w:ascii="Times New Roman"/>
                <w:b/>
                <w:sz w:val="20"/>
              </w:rPr>
            </w:pPr>
          </w:p>
          <w:p>
            <w:pPr>
              <w:pStyle w:val="19"/>
              <w:ind w:left="176"/>
              <w:jc w:val="left"/>
              <w:rPr>
                <w:sz w:val="21"/>
              </w:rPr>
            </w:pPr>
            <w:r>
              <w:rPr>
                <w:sz w:val="21"/>
              </w:rPr>
              <w:t>主井工业广场</w:t>
            </w:r>
          </w:p>
        </w:tc>
        <w:tc>
          <w:tcPr>
            <w:tcW w:w="3403" w:type="dxa"/>
            <w:tcBorders>
              <w:top w:val="single" w:color="000000" w:sz="4" w:space="0"/>
              <w:left w:val="single" w:color="000000" w:sz="4" w:space="0"/>
              <w:bottom w:val="single" w:color="000000" w:sz="4" w:space="0"/>
              <w:right w:val="single" w:color="000000" w:sz="4" w:space="0"/>
            </w:tcBorders>
          </w:tcPr>
          <w:p>
            <w:pPr>
              <w:pStyle w:val="19"/>
              <w:spacing w:before="78"/>
              <w:ind w:left="106" w:right="81"/>
              <w:rPr>
                <w:rFonts w:ascii="Times New Roman" w:eastAsia="Times New Roman"/>
                <w:sz w:val="21"/>
              </w:rPr>
            </w:pPr>
            <w:bookmarkStart w:id="389" w:name="4月13日10:00至4月14日10:00"/>
            <w:bookmarkEnd w:id="389"/>
            <w:r>
              <w:rPr>
                <w:rFonts w:ascii="Times New Roman" w:eastAsia="Times New Roman"/>
                <w:sz w:val="21"/>
              </w:rPr>
              <w:t xml:space="preserve">4 </w:t>
            </w:r>
            <w:r>
              <w:rPr>
                <w:spacing w:val="-26"/>
                <w:sz w:val="21"/>
              </w:rPr>
              <w:t xml:space="preserve">月 </w:t>
            </w:r>
            <w:r>
              <w:rPr>
                <w:rFonts w:ascii="Times New Roman" w:eastAsia="Times New Roman"/>
                <w:sz w:val="21"/>
              </w:rPr>
              <w:t xml:space="preserve">13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14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9"/>
              <w:spacing w:before="92"/>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9"/>
              <w:spacing w:before="183" w:line="222" w:lineRule="exact"/>
              <w:ind w:left="375" w:right="351"/>
              <w:rPr>
                <w:rFonts w:ascii="Times New Roman"/>
                <w:sz w:val="21"/>
              </w:rPr>
            </w:pPr>
            <w:r>
              <w:rPr>
                <w:rFonts w:ascii="Times New Roman"/>
                <w:sz w:val="21"/>
              </w:rPr>
              <w:t>0.100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continue"/>
            <w:tcBorders>
              <w:top w:val="nil"/>
              <w:bottom w:val="single" w:color="000000" w:sz="4" w:space="0"/>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9"/>
              <w:spacing w:before="77"/>
              <w:ind w:left="106" w:right="81"/>
              <w:rPr>
                <w:rFonts w:ascii="Times New Roman" w:eastAsia="Times New Roman"/>
                <w:sz w:val="21"/>
              </w:rPr>
            </w:pPr>
            <w:bookmarkStart w:id="390" w:name="4月14日10:00至4月15日10:00"/>
            <w:bookmarkEnd w:id="390"/>
            <w:r>
              <w:rPr>
                <w:rFonts w:ascii="Times New Roman" w:eastAsia="Times New Roman"/>
                <w:sz w:val="21"/>
              </w:rPr>
              <w:t xml:space="preserve">4 </w:t>
            </w:r>
            <w:r>
              <w:rPr>
                <w:spacing w:val="-26"/>
                <w:sz w:val="21"/>
              </w:rPr>
              <w:t xml:space="preserve">月 </w:t>
            </w:r>
            <w:r>
              <w:rPr>
                <w:rFonts w:ascii="Times New Roman" w:eastAsia="Times New Roman"/>
                <w:sz w:val="21"/>
              </w:rPr>
              <w:t xml:space="preserve">14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15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9"/>
              <w:spacing w:before="91"/>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9"/>
              <w:spacing w:before="182" w:line="222" w:lineRule="exact"/>
              <w:ind w:left="375" w:right="351"/>
              <w:rPr>
                <w:rFonts w:ascii="Times New Roman"/>
                <w:sz w:val="21"/>
              </w:rPr>
            </w:pPr>
            <w:r>
              <w:rPr>
                <w:rFonts w:ascii="Times New Roman"/>
                <w:sz w:val="21"/>
              </w:rPr>
              <w:t>0.117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continue"/>
            <w:tcBorders>
              <w:top w:val="nil"/>
              <w:bottom w:val="single" w:color="000000" w:sz="4" w:space="0"/>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9"/>
              <w:spacing w:before="77"/>
              <w:ind w:left="106" w:right="81"/>
              <w:rPr>
                <w:rFonts w:ascii="Times New Roman" w:eastAsia="Times New Roman"/>
                <w:sz w:val="21"/>
              </w:rPr>
            </w:pPr>
            <w:bookmarkStart w:id="391" w:name="4月15日10:00至4月16日10:00"/>
            <w:bookmarkEnd w:id="391"/>
            <w:r>
              <w:rPr>
                <w:rFonts w:ascii="Times New Roman" w:eastAsia="Times New Roman"/>
                <w:sz w:val="21"/>
              </w:rPr>
              <w:t xml:space="preserve">4 </w:t>
            </w:r>
            <w:r>
              <w:rPr>
                <w:spacing w:val="-26"/>
                <w:sz w:val="21"/>
              </w:rPr>
              <w:t xml:space="preserve">月 </w:t>
            </w:r>
            <w:r>
              <w:rPr>
                <w:rFonts w:ascii="Times New Roman" w:eastAsia="Times New Roman"/>
                <w:sz w:val="21"/>
              </w:rPr>
              <w:t xml:space="preserve">15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16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9"/>
              <w:spacing w:before="90"/>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9"/>
              <w:spacing w:before="182" w:line="223" w:lineRule="exact"/>
              <w:ind w:left="375" w:right="351"/>
              <w:rPr>
                <w:rFonts w:ascii="Times New Roman"/>
                <w:sz w:val="21"/>
              </w:rPr>
            </w:pPr>
            <w:r>
              <w:rPr>
                <w:rFonts w:ascii="Times New Roman"/>
                <w:sz w:val="21"/>
              </w:rPr>
              <w:t>0.083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continue"/>
            <w:tcBorders>
              <w:top w:val="nil"/>
              <w:bottom w:val="single" w:color="000000" w:sz="4" w:space="0"/>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9"/>
              <w:spacing w:before="76"/>
              <w:ind w:left="106" w:right="81"/>
              <w:rPr>
                <w:rFonts w:ascii="Times New Roman" w:eastAsia="Times New Roman"/>
                <w:sz w:val="21"/>
              </w:rPr>
            </w:pPr>
            <w:bookmarkStart w:id="392" w:name="4月16日10:00至4月17日10:00"/>
            <w:bookmarkEnd w:id="392"/>
            <w:r>
              <w:rPr>
                <w:rFonts w:ascii="Times New Roman" w:eastAsia="Times New Roman"/>
                <w:sz w:val="21"/>
              </w:rPr>
              <w:t xml:space="preserve">4 </w:t>
            </w:r>
            <w:r>
              <w:rPr>
                <w:spacing w:val="-26"/>
                <w:sz w:val="21"/>
              </w:rPr>
              <w:t xml:space="preserve">月 </w:t>
            </w:r>
            <w:r>
              <w:rPr>
                <w:rFonts w:ascii="Times New Roman" w:eastAsia="Times New Roman"/>
                <w:sz w:val="21"/>
              </w:rPr>
              <w:t xml:space="preserve">16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17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9"/>
              <w:spacing w:before="90"/>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9"/>
              <w:spacing w:before="183" w:line="221" w:lineRule="exact"/>
              <w:ind w:left="375" w:right="351"/>
              <w:rPr>
                <w:rFonts w:ascii="Times New Roman"/>
                <w:sz w:val="21"/>
              </w:rPr>
            </w:pPr>
            <w:r>
              <w:rPr>
                <w:rFonts w:ascii="Times New Roman"/>
                <w:sz w:val="21"/>
              </w:rPr>
              <w:t>0.117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continue"/>
            <w:tcBorders>
              <w:top w:val="nil"/>
              <w:bottom w:val="single" w:color="000000" w:sz="4" w:space="0"/>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9"/>
              <w:spacing w:before="78"/>
              <w:ind w:left="106" w:right="81"/>
              <w:rPr>
                <w:rFonts w:ascii="Times New Roman" w:eastAsia="Times New Roman"/>
                <w:sz w:val="21"/>
              </w:rPr>
            </w:pPr>
            <w:bookmarkStart w:id="393" w:name="4月17日10:00至4月18日10:00"/>
            <w:bookmarkEnd w:id="393"/>
            <w:r>
              <w:rPr>
                <w:rFonts w:ascii="Times New Roman" w:eastAsia="Times New Roman"/>
                <w:sz w:val="21"/>
              </w:rPr>
              <w:t xml:space="preserve">4 </w:t>
            </w:r>
            <w:r>
              <w:rPr>
                <w:spacing w:val="-26"/>
                <w:sz w:val="21"/>
              </w:rPr>
              <w:t xml:space="preserve">月 </w:t>
            </w:r>
            <w:r>
              <w:rPr>
                <w:rFonts w:ascii="Times New Roman" w:eastAsia="Times New Roman"/>
                <w:sz w:val="21"/>
              </w:rPr>
              <w:t xml:space="preserve">17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18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9"/>
              <w:spacing w:before="92"/>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9"/>
              <w:spacing w:before="183" w:line="222" w:lineRule="exact"/>
              <w:ind w:left="375" w:right="351"/>
              <w:rPr>
                <w:rFonts w:ascii="Times New Roman"/>
                <w:sz w:val="21"/>
              </w:rPr>
            </w:pPr>
            <w:r>
              <w:rPr>
                <w:rFonts w:ascii="Times New Roman"/>
                <w:sz w:val="21"/>
              </w:rPr>
              <w:t>0.083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continue"/>
            <w:tcBorders>
              <w:top w:val="nil"/>
              <w:bottom w:val="single" w:color="000000" w:sz="4" w:space="0"/>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9"/>
              <w:spacing w:before="77"/>
              <w:ind w:left="106" w:right="81"/>
              <w:rPr>
                <w:rFonts w:ascii="Times New Roman" w:eastAsia="Times New Roman"/>
                <w:sz w:val="21"/>
              </w:rPr>
            </w:pPr>
            <w:bookmarkStart w:id="394" w:name="4月18日10:00至4月19日10:00"/>
            <w:bookmarkEnd w:id="394"/>
            <w:r>
              <w:rPr>
                <w:rFonts w:ascii="Times New Roman" w:eastAsia="Times New Roman"/>
                <w:sz w:val="21"/>
              </w:rPr>
              <w:t xml:space="preserve">4 </w:t>
            </w:r>
            <w:r>
              <w:rPr>
                <w:spacing w:val="-26"/>
                <w:sz w:val="21"/>
              </w:rPr>
              <w:t xml:space="preserve">月 </w:t>
            </w:r>
            <w:r>
              <w:rPr>
                <w:rFonts w:ascii="Times New Roman" w:eastAsia="Times New Roman"/>
                <w:sz w:val="21"/>
              </w:rPr>
              <w:t xml:space="preserve">18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19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9"/>
              <w:spacing w:before="91"/>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9"/>
              <w:spacing w:before="182" w:line="222" w:lineRule="exact"/>
              <w:ind w:left="375" w:right="351"/>
              <w:rPr>
                <w:rFonts w:ascii="Times New Roman"/>
                <w:sz w:val="21"/>
              </w:rPr>
            </w:pPr>
            <w:r>
              <w:rPr>
                <w:rFonts w:ascii="Times New Roman"/>
                <w:sz w:val="21"/>
              </w:rPr>
              <w:t>0.117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continue"/>
            <w:tcBorders>
              <w:top w:val="nil"/>
              <w:bottom w:val="single" w:color="000000" w:sz="4" w:space="0"/>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9"/>
              <w:spacing w:before="77"/>
              <w:ind w:left="106" w:right="81"/>
              <w:rPr>
                <w:rFonts w:ascii="Times New Roman" w:eastAsia="Times New Roman"/>
                <w:sz w:val="21"/>
              </w:rPr>
            </w:pPr>
            <w:bookmarkStart w:id="395" w:name="4月19日10:00至4月20日10:00"/>
            <w:bookmarkEnd w:id="395"/>
            <w:r>
              <w:rPr>
                <w:rFonts w:ascii="Times New Roman" w:eastAsia="Times New Roman"/>
                <w:sz w:val="21"/>
              </w:rPr>
              <w:t xml:space="preserve">4 </w:t>
            </w:r>
            <w:r>
              <w:rPr>
                <w:spacing w:val="-26"/>
                <w:sz w:val="21"/>
              </w:rPr>
              <w:t xml:space="preserve">月 </w:t>
            </w:r>
            <w:r>
              <w:rPr>
                <w:rFonts w:ascii="Times New Roman" w:eastAsia="Times New Roman"/>
                <w:sz w:val="21"/>
              </w:rPr>
              <w:t xml:space="preserve">19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20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9"/>
              <w:spacing w:before="90"/>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9"/>
              <w:spacing w:before="182" w:line="223" w:lineRule="exact"/>
              <w:ind w:left="375" w:right="351"/>
              <w:rPr>
                <w:rFonts w:ascii="Times New Roman"/>
                <w:sz w:val="21"/>
              </w:rPr>
            </w:pPr>
            <w:r>
              <w:rPr>
                <w:rFonts w:ascii="Times New Roman"/>
                <w:sz w:val="21"/>
              </w:rPr>
              <w:t>0.100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1616" w:type="dxa"/>
            <w:vMerge w:val="restart"/>
            <w:tcBorders>
              <w:top w:val="single" w:color="000000" w:sz="4" w:space="0"/>
              <w:right w:val="single" w:color="000000" w:sz="4" w:space="0"/>
            </w:tcBorders>
          </w:tcPr>
          <w:p>
            <w:pPr>
              <w:pStyle w:val="19"/>
              <w:spacing w:before="7"/>
              <w:jc w:val="left"/>
              <w:rPr>
                <w:rFonts w:ascii="Times New Roman"/>
                <w:b/>
                <w:sz w:val="25"/>
              </w:rPr>
            </w:pPr>
          </w:p>
          <w:p>
            <w:pPr>
              <w:pStyle w:val="19"/>
              <w:ind w:left="176"/>
              <w:jc w:val="left"/>
              <w:rPr>
                <w:sz w:val="21"/>
              </w:rPr>
            </w:pPr>
            <w:r>
              <w:rPr>
                <w:sz w:val="21"/>
              </w:rPr>
              <w:t>副井工业广场</w:t>
            </w:r>
          </w:p>
        </w:tc>
        <w:tc>
          <w:tcPr>
            <w:tcW w:w="3403" w:type="dxa"/>
            <w:tcBorders>
              <w:top w:val="single" w:color="000000" w:sz="4" w:space="0"/>
              <w:left w:val="single" w:color="000000" w:sz="4" w:space="0"/>
              <w:bottom w:val="single" w:color="000000" w:sz="4" w:space="0"/>
              <w:right w:val="single" w:color="000000" w:sz="4" w:space="0"/>
            </w:tcBorders>
          </w:tcPr>
          <w:p>
            <w:pPr>
              <w:pStyle w:val="19"/>
              <w:spacing w:before="76"/>
              <w:ind w:left="106" w:right="81"/>
              <w:rPr>
                <w:rFonts w:ascii="Times New Roman" w:eastAsia="Times New Roman"/>
                <w:sz w:val="21"/>
              </w:rPr>
            </w:pPr>
            <w:bookmarkStart w:id="396" w:name="4月13日10:00至4月14日10:00"/>
            <w:bookmarkEnd w:id="396"/>
            <w:r>
              <w:rPr>
                <w:rFonts w:ascii="Times New Roman" w:eastAsia="Times New Roman"/>
                <w:sz w:val="21"/>
              </w:rPr>
              <w:t xml:space="preserve">4 </w:t>
            </w:r>
            <w:r>
              <w:rPr>
                <w:spacing w:val="-26"/>
                <w:sz w:val="21"/>
              </w:rPr>
              <w:t xml:space="preserve">月 </w:t>
            </w:r>
            <w:r>
              <w:rPr>
                <w:rFonts w:ascii="Times New Roman" w:eastAsia="Times New Roman"/>
                <w:sz w:val="21"/>
              </w:rPr>
              <w:t xml:space="preserve">13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14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9"/>
              <w:spacing w:before="90"/>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9"/>
              <w:spacing w:before="183" w:line="216" w:lineRule="exact"/>
              <w:ind w:left="375" w:right="351"/>
              <w:rPr>
                <w:rFonts w:ascii="Times New Roman"/>
                <w:sz w:val="21"/>
              </w:rPr>
            </w:pPr>
            <w:r>
              <w:rPr>
                <w:rFonts w:ascii="Times New Roman"/>
                <w:sz w:val="21"/>
              </w:rPr>
              <w:t>0.100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7" w:hRule="atLeast"/>
        </w:trPr>
        <w:tc>
          <w:tcPr>
            <w:tcW w:w="1616" w:type="dxa"/>
            <w:vMerge w:val="continue"/>
            <w:tcBorders>
              <w:top w:val="nil"/>
              <w:right w:val="single" w:color="000000" w:sz="4" w:space="0"/>
            </w:tcBorders>
          </w:tcPr>
          <w:p>
            <w:pPr>
              <w:rPr>
                <w:sz w:val="2"/>
                <w:szCs w:val="2"/>
              </w:rPr>
            </w:pPr>
          </w:p>
        </w:tc>
        <w:tc>
          <w:tcPr>
            <w:tcW w:w="3403" w:type="dxa"/>
            <w:tcBorders>
              <w:top w:val="single" w:color="000000" w:sz="4" w:space="0"/>
              <w:left w:val="single" w:color="000000" w:sz="4" w:space="0"/>
              <w:right w:val="single" w:color="000000" w:sz="4" w:space="0"/>
            </w:tcBorders>
          </w:tcPr>
          <w:p>
            <w:pPr>
              <w:pStyle w:val="19"/>
              <w:spacing w:before="73"/>
              <w:ind w:left="106" w:right="81"/>
              <w:rPr>
                <w:rFonts w:ascii="Times New Roman" w:eastAsia="Times New Roman"/>
                <w:sz w:val="21"/>
              </w:rPr>
            </w:pPr>
            <w:bookmarkStart w:id="397" w:name="4月14日10:00至4月15日10:00"/>
            <w:bookmarkEnd w:id="397"/>
            <w:r>
              <w:rPr>
                <w:rFonts w:ascii="Times New Roman" w:eastAsia="Times New Roman"/>
                <w:sz w:val="21"/>
              </w:rPr>
              <w:t xml:space="preserve">4 </w:t>
            </w:r>
            <w:r>
              <w:rPr>
                <w:spacing w:val="-26"/>
                <w:sz w:val="21"/>
              </w:rPr>
              <w:t xml:space="preserve">月 </w:t>
            </w:r>
            <w:r>
              <w:rPr>
                <w:rFonts w:ascii="Times New Roman" w:eastAsia="Times New Roman"/>
                <w:sz w:val="21"/>
              </w:rPr>
              <w:t xml:space="preserve">14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15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right w:val="single" w:color="000000" w:sz="4" w:space="0"/>
            </w:tcBorders>
          </w:tcPr>
          <w:p>
            <w:pPr>
              <w:pStyle w:val="19"/>
              <w:spacing w:before="87"/>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tcBorders>
          </w:tcPr>
          <w:p>
            <w:pPr>
              <w:pStyle w:val="19"/>
              <w:spacing w:before="178" w:line="220" w:lineRule="exact"/>
              <w:ind w:left="375" w:right="351"/>
              <w:rPr>
                <w:rFonts w:ascii="Times New Roman"/>
                <w:sz w:val="21"/>
              </w:rPr>
            </w:pPr>
            <w:r>
              <w:rPr>
                <w:rFonts w:ascii="Times New Roman"/>
                <w:sz w:val="21"/>
              </w:rPr>
              <w:t>0.117</w:t>
            </w:r>
          </w:p>
        </w:tc>
      </w:tr>
    </w:tbl>
    <w:p>
      <w:pPr>
        <w:spacing w:after="0" w:line="220" w:lineRule="exact"/>
        <w:rPr>
          <w:rFonts w:ascii="Times New Roman"/>
          <w:sz w:val="21"/>
        </w:rPr>
        <w:sectPr>
          <w:pgSz w:w="11910" w:h="16840"/>
          <w:pgMar w:top="1340" w:right="0" w:bottom="880" w:left="0" w:header="0" w:footer="681" w:gutter="0"/>
        </w:sectPr>
      </w:pPr>
    </w:p>
    <w:tbl>
      <w:tblPr>
        <w:tblStyle w:val="15"/>
        <w:tblW w:w="0" w:type="auto"/>
        <w:tblInd w:w="13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16"/>
        <w:gridCol w:w="3403"/>
        <w:gridCol w:w="2218"/>
        <w:gridCol w:w="20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1616" w:type="dxa"/>
            <w:vMerge w:val="restart"/>
            <w:tcBorders>
              <w:right w:val="single" w:color="000000" w:sz="4" w:space="0"/>
            </w:tcBorders>
          </w:tcPr>
          <w:p>
            <w:pPr>
              <w:pStyle w:val="19"/>
              <w:jc w:val="left"/>
              <w:rPr>
                <w:rFonts w:ascii="Times New Roman"/>
                <w:sz w:val="22"/>
              </w:rPr>
            </w:pPr>
          </w:p>
        </w:tc>
        <w:tc>
          <w:tcPr>
            <w:tcW w:w="3403" w:type="dxa"/>
            <w:tcBorders>
              <w:left w:val="single" w:color="000000" w:sz="4" w:space="0"/>
              <w:bottom w:val="single" w:color="000000" w:sz="4" w:space="0"/>
              <w:right w:val="single" w:color="000000" w:sz="4" w:space="0"/>
            </w:tcBorders>
          </w:tcPr>
          <w:p>
            <w:pPr>
              <w:pStyle w:val="19"/>
              <w:spacing w:before="76"/>
              <w:ind w:left="106" w:right="81"/>
              <w:rPr>
                <w:rFonts w:ascii="Times New Roman" w:eastAsia="Times New Roman"/>
                <w:sz w:val="21"/>
              </w:rPr>
            </w:pPr>
            <w:bookmarkStart w:id="398" w:name="4月15日10:00至4月16日10:00"/>
            <w:bookmarkEnd w:id="398"/>
            <w:r>
              <w:rPr>
                <w:rFonts w:ascii="Times New Roman" w:eastAsia="Times New Roman"/>
                <w:sz w:val="21"/>
              </w:rPr>
              <w:t xml:space="preserve">4 </w:t>
            </w:r>
            <w:r>
              <w:rPr>
                <w:spacing w:val="-26"/>
                <w:sz w:val="21"/>
              </w:rPr>
              <w:t xml:space="preserve">月 </w:t>
            </w:r>
            <w:r>
              <w:rPr>
                <w:rFonts w:ascii="Times New Roman" w:eastAsia="Times New Roman"/>
                <w:sz w:val="21"/>
              </w:rPr>
              <w:t xml:space="preserve">15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16 </w:t>
            </w:r>
            <w:r>
              <w:rPr>
                <w:spacing w:val="-26"/>
                <w:sz w:val="21"/>
              </w:rPr>
              <w:t xml:space="preserve">日 </w:t>
            </w:r>
            <w:r>
              <w:rPr>
                <w:rFonts w:ascii="Times New Roman" w:eastAsia="Times New Roman"/>
                <w:sz w:val="21"/>
              </w:rPr>
              <w:t>10:00</w:t>
            </w:r>
          </w:p>
        </w:tc>
        <w:tc>
          <w:tcPr>
            <w:tcW w:w="2218" w:type="dxa"/>
            <w:tcBorders>
              <w:left w:val="single" w:color="000000" w:sz="4" w:space="0"/>
              <w:bottom w:val="single" w:color="000000" w:sz="4" w:space="0"/>
              <w:right w:val="single" w:color="000000" w:sz="4" w:space="0"/>
            </w:tcBorders>
          </w:tcPr>
          <w:p>
            <w:pPr>
              <w:pStyle w:val="19"/>
              <w:spacing w:before="90"/>
              <w:ind w:left="936" w:right="916"/>
              <w:rPr>
                <w:rFonts w:ascii="Times New Roman"/>
                <w:sz w:val="21"/>
              </w:rPr>
            </w:pPr>
            <w:r>
              <w:rPr>
                <w:rFonts w:ascii="Times New Roman"/>
                <w:sz w:val="21"/>
              </w:rPr>
              <w:t>24h</w:t>
            </w:r>
          </w:p>
        </w:tc>
        <w:tc>
          <w:tcPr>
            <w:tcW w:w="2047" w:type="dxa"/>
            <w:tcBorders>
              <w:left w:val="single" w:color="000000" w:sz="4" w:space="0"/>
              <w:bottom w:val="single" w:color="000000" w:sz="4" w:space="0"/>
            </w:tcBorders>
          </w:tcPr>
          <w:p>
            <w:pPr>
              <w:pStyle w:val="19"/>
              <w:spacing w:before="184" w:line="216" w:lineRule="exact"/>
              <w:ind w:right="765"/>
              <w:jc w:val="right"/>
              <w:rPr>
                <w:rFonts w:ascii="Times New Roman"/>
                <w:sz w:val="21"/>
              </w:rPr>
            </w:pPr>
            <w:r>
              <w:rPr>
                <w:rFonts w:ascii="Times New Roman"/>
                <w:w w:val="95"/>
                <w:sz w:val="21"/>
              </w:rPr>
              <w:t>0.083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616" w:type="dxa"/>
            <w:vMerge w:val="continue"/>
            <w:tcBorders>
              <w:top w:val="nil"/>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9"/>
              <w:spacing w:before="73"/>
              <w:ind w:left="106" w:right="81"/>
              <w:rPr>
                <w:rFonts w:ascii="Times New Roman" w:eastAsia="Times New Roman"/>
                <w:sz w:val="21"/>
              </w:rPr>
            </w:pPr>
            <w:bookmarkStart w:id="399" w:name="4月16日10:00至4月17日10:00"/>
            <w:bookmarkEnd w:id="399"/>
            <w:r>
              <w:rPr>
                <w:rFonts w:ascii="Times New Roman" w:eastAsia="Times New Roman"/>
                <w:sz w:val="21"/>
              </w:rPr>
              <w:t xml:space="preserve">4 </w:t>
            </w:r>
            <w:r>
              <w:rPr>
                <w:spacing w:val="-26"/>
                <w:sz w:val="21"/>
              </w:rPr>
              <w:t xml:space="preserve">月 </w:t>
            </w:r>
            <w:r>
              <w:rPr>
                <w:rFonts w:ascii="Times New Roman" w:eastAsia="Times New Roman"/>
                <w:sz w:val="21"/>
              </w:rPr>
              <w:t xml:space="preserve">16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17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9"/>
              <w:spacing w:before="87"/>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9"/>
              <w:spacing w:before="178" w:line="217" w:lineRule="exact"/>
              <w:ind w:right="765"/>
              <w:jc w:val="right"/>
              <w:rPr>
                <w:rFonts w:ascii="Times New Roman"/>
                <w:sz w:val="21"/>
              </w:rPr>
            </w:pPr>
            <w:r>
              <w:rPr>
                <w:rFonts w:ascii="Times New Roman"/>
                <w:w w:val="95"/>
                <w:sz w:val="21"/>
              </w:rPr>
              <w:t>0.100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616" w:type="dxa"/>
            <w:vMerge w:val="continue"/>
            <w:tcBorders>
              <w:top w:val="nil"/>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9"/>
              <w:spacing w:before="72"/>
              <w:ind w:left="106" w:right="81"/>
              <w:rPr>
                <w:rFonts w:ascii="Times New Roman" w:eastAsia="Times New Roman"/>
                <w:sz w:val="21"/>
              </w:rPr>
            </w:pPr>
            <w:bookmarkStart w:id="400" w:name="4月17日10:00至4月18日10:00"/>
            <w:bookmarkEnd w:id="400"/>
            <w:r>
              <w:rPr>
                <w:rFonts w:ascii="Times New Roman" w:eastAsia="Times New Roman"/>
                <w:sz w:val="21"/>
              </w:rPr>
              <w:t xml:space="preserve">4 </w:t>
            </w:r>
            <w:r>
              <w:rPr>
                <w:spacing w:val="-26"/>
                <w:sz w:val="21"/>
              </w:rPr>
              <w:t xml:space="preserve">月 </w:t>
            </w:r>
            <w:r>
              <w:rPr>
                <w:rFonts w:ascii="Times New Roman" w:eastAsia="Times New Roman"/>
                <w:sz w:val="21"/>
              </w:rPr>
              <w:t xml:space="preserve">17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18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9"/>
              <w:spacing w:before="86"/>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9"/>
              <w:spacing w:before="177" w:line="217" w:lineRule="exact"/>
              <w:ind w:right="765"/>
              <w:jc w:val="right"/>
              <w:rPr>
                <w:rFonts w:ascii="Times New Roman"/>
                <w:sz w:val="21"/>
              </w:rPr>
            </w:pPr>
            <w:r>
              <w:rPr>
                <w:rFonts w:ascii="Times New Roman"/>
                <w:w w:val="95"/>
                <w:sz w:val="21"/>
              </w:rPr>
              <w:t>0.100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616" w:type="dxa"/>
            <w:vMerge w:val="continue"/>
            <w:tcBorders>
              <w:top w:val="nil"/>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9"/>
              <w:spacing w:before="72"/>
              <w:ind w:left="106" w:right="81"/>
              <w:rPr>
                <w:rFonts w:ascii="Times New Roman" w:eastAsia="Times New Roman"/>
                <w:sz w:val="21"/>
              </w:rPr>
            </w:pPr>
            <w:bookmarkStart w:id="401" w:name="4月18日10:00至4月19日10:00"/>
            <w:bookmarkEnd w:id="401"/>
            <w:r>
              <w:rPr>
                <w:rFonts w:ascii="Times New Roman" w:eastAsia="Times New Roman"/>
                <w:sz w:val="21"/>
              </w:rPr>
              <w:t xml:space="preserve">4 </w:t>
            </w:r>
            <w:r>
              <w:rPr>
                <w:spacing w:val="-26"/>
                <w:sz w:val="21"/>
              </w:rPr>
              <w:t xml:space="preserve">月 </w:t>
            </w:r>
            <w:r>
              <w:rPr>
                <w:rFonts w:ascii="Times New Roman" w:eastAsia="Times New Roman"/>
                <w:sz w:val="21"/>
              </w:rPr>
              <w:t xml:space="preserve">18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19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9"/>
              <w:spacing w:before="86"/>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9"/>
              <w:spacing w:before="177" w:line="218" w:lineRule="exact"/>
              <w:ind w:right="765"/>
              <w:jc w:val="right"/>
              <w:rPr>
                <w:rFonts w:ascii="Times New Roman"/>
                <w:sz w:val="21"/>
              </w:rPr>
            </w:pPr>
            <w:r>
              <w:rPr>
                <w:rFonts w:ascii="Times New Roman"/>
                <w:w w:val="95"/>
                <w:sz w:val="21"/>
              </w:rPr>
              <w:t>0.083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1616" w:type="dxa"/>
            <w:vMerge w:val="continue"/>
            <w:tcBorders>
              <w:top w:val="nil"/>
              <w:right w:val="single" w:color="000000" w:sz="4" w:space="0"/>
            </w:tcBorders>
          </w:tcPr>
          <w:p>
            <w:pPr>
              <w:rPr>
                <w:sz w:val="2"/>
                <w:szCs w:val="2"/>
              </w:rPr>
            </w:pPr>
          </w:p>
        </w:tc>
        <w:tc>
          <w:tcPr>
            <w:tcW w:w="3403" w:type="dxa"/>
            <w:tcBorders>
              <w:top w:val="single" w:color="000000" w:sz="4" w:space="0"/>
              <w:left w:val="single" w:color="000000" w:sz="4" w:space="0"/>
              <w:right w:val="single" w:color="000000" w:sz="4" w:space="0"/>
            </w:tcBorders>
          </w:tcPr>
          <w:p>
            <w:pPr>
              <w:pStyle w:val="19"/>
              <w:spacing w:before="71"/>
              <w:ind w:left="106" w:right="81"/>
              <w:rPr>
                <w:rFonts w:ascii="Times New Roman" w:eastAsia="Times New Roman"/>
                <w:sz w:val="21"/>
              </w:rPr>
            </w:pPr>
            <w:bookmarkStart w:id="402" w:name="4月19日10:00至4月20日10:00"/>
            <w:bookmarkEnd w:id="402"/>
            <w:r>
              <w:rPr>
                <w:rFonts w:ascii="Times New Roman" w:eastAsia="Times New Roman"/>
                <w:sz w:val="21"/>
              </w:rPr>
              <w:t xml:space="preserve">4 </w:t>
            </w:r>
            <w:r>
              <w:rPr>
                <w:spacing w:val="-26"/>
                <w:sz w:val="21"/>
              </w:rPr>
              <w:t xml:space="preserve">月 </w:t>
            </w:r>
            <w:r>
              <w:rPr>
                <w:rFonts w:ascii="Times New Roman" w:eastAsia="Times New Roman"/>
                <w:sz w:val="21"/>
              </w:rPr>
              <w:t xml:space="preserve">19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20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right w:val="single" w:color="000000" w:sz="4" w:space="0"/>
            </w:tcBorders>
          </w:tcPr>
          <w:p>
            <w:pPr>
              <w:pStyle w:val="19"/>
              <w:spacing w:before="85"/>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tcBorders>
          </w:tcPr>
          <w:p>
            <w:pPr>
              <w:pStyle w:val="19"/>
              <w:spacing w:before="179" w:line="221" w:lineRule="exact"/>
              <w:ind w:right="765"/>
              <w:jc w:val="right"/>
              <w:rPr>
                <w:rFonts w:ascii="Times New Roman"/>
                <w:sz w:val="21"/>
              </w:rPr>
            </w:pPr>
            <w:r>
              <w:rPr>
                <w:rFonts w:ascii="Times New Roman"/>
                <w:w w:val="95"/>
                <w:sz w:val="21"/>
              </w:rPr>
              <w:t>0.083</w:t>
            </w:r>
          </w:p>
        </w:tc>
      </w:tr>
    </w:tbl>
    <w:p>
      <w:pPr>
        <w:pStyle w:val="6"/>
        <w:numPr>
          <w:ilvl w:val="2"/>
          <w:numId w:val="69"/>
        </w:numPr>
        <w:tabs>
          <w:tab w:val="left" w:pos="2048"/>
        </w:tabs>
        <w:spacing w:before="3" w:after="0" w:line="240" w:lineRule="auto"/>
        <w:ind w:left="2047" w:right="0" w:hanging="630"/>
        <w:jc w:val="left"/>
      </w:pPr>
      <w:bookmarkStart w:id="403" w:name="7.1.3环境空气质量现状评价"/>
      <w:bookmarkEnd w:id="403"/>
      <w:bookmarkStart w:id="404" w:name="7.1.3环境空气质量现状评价"/>
      <w:bookmarkEnd w:id="404"/>
      <w:r>
        <w:t>环境空气质量现状评价</w:t>
      </w:r>
    </w:p>
    <w:p>
      <w:pPr>
        <w:pStyle w:val="9"/>
        <w:spacing w:before="186"/>
        <w:ind w:left="1898"/>
      </w:pPr>
      <w:r>
        <w:rPr>
          <w:rFonts w:ascii="Times New Roman" w:eastAsia="Times New Roman"/>
        </w:rPr>
        <w:t>1</w:t>
      </w:r>
      <w:r>
        <w:t>、评价参数</w:t>
      </w:r>
    </w:p>
    <w:p>
      <w:pPr>
        <w:pStyle w:val="9"/>
        <w:spacing w:before="158"/>
        <w:ind w:left="1898"/>
      </w:pPr>
      <w:r>
        <w:t>评价参数同监测参数</w:t>
      </w:r>
    </w:p>
    <w:p>
      <w:pPr>
        <w:pStyle w:val="9"/>
        <w:spacing w:before="160"/>
        <w:ind w:left="1898"/>
      </w:pPr>
      <w:r>
        <w:rPr>
          <w:rFonts w:ascii="Times New Roman" w:eastAsia="Times New Roman"/>
        </w:rPr>
        <w:t>2</w:t>
      </w:r>
      <w:r>
        <w:t>、评价标准</w:t>
      </w:r>
    </w:p>
    <w:p>
      <w:pPr>
        <w:pStyle w:val="9"/>
        <w:spacing w:before="158"/>
        <w:ind w:left="1898"/>
      </w:pPr>
      <w:r>
        <w:rPr>
          <w:rFonts w:ascii="Times New Roman" w:eastAsia="Times New Roman"/>
        </w:rPr>
        <w:t xml:space="preserve">TSP </w:t>
      </w:r>
      <w:r>
        <w:t>执行《环境空气质量标准》（</w:t>
      </w:r>
      <w:r>
        <w:rPr>
          <w:rFonts w:ascii="Times New Roman" w:eastAsia="Times New Roman"/>
        </w:rPr>
        <w:t>GB3095-2012</w:t>
      </w:r>
      <w:r>
        <w:t xml:space="preserve">）表 </w:t>
      </w:r>
      <w:r>
        <w:rPr>
          <w:rFonts w:ascii="Times New Roman" w:eastAsia="Times New Roman"/>
        </w:rPr>
        <w:t xml:space="preserve">2 </w:t>
      </w:r>
      <w:r>
        <w:t>二级标准限值要求。</w:t>
      </w:r>
    </w:p>
    <w:p>
      <w:pPr>
        <w:pStyle w:val="9"/>
        <w:spacing w:before="161"/>
        <w:ind w:left="1898"/>
      </w:pPr>
      <w:r>
        <w:rPr>
          <w:rFonts w:ascii="Times New Roman" w:eastAsia="Times New Roman"/>
        </w:rPr>
        <w:t>3</w:t>
      </w:r>
      <w:r>
        <w:t>、评价方法</w:t>
      </w:r>
    </w:p>
    <w:p>
      <w:pPr>
        <w:pStyle w:val="9"/>
        <w:spacing w:before="160"/>
        <w:ind w:left="1898"/>
      </w:pPr>
      <w:r>
        <w:t>采用占标率的方法进行评价。占标率</w:t>
      </w:r>
      <w:r>
        <w:rPr>
          <w:rFonts w:ascii="Times New Roman" w:eastAsia="Times New Roman"/>
        </w:rPr>
        <w:t>&gt;100%</w:t>
      </w:r>
      <w:r>
        <w:t>，表明该参数超过了规定的标准。</w:t>
      </w:r>
    </w:p>
    <w:p>
      <w:pPr>
        <w:pStyle w:val="9"/>
        <w:rPr>
          <w:sz w:val="15"/>
        </w:rPr>
      </w:pPr>
    </w:p>
    <w:p>
      <w:pPr>
        <w:spacing w:after="0"/>
        <w:rPr>
          <w:sz w:val="15"/>
        </w:rPr>
        <w:sectPr>
          <w:pgSz w:w="11910" w:h="16840"/>
          <w:pgMar w:top="1400" w:right="0" w:bottom="880" w:left="0" w:header="0" w:footer="681" w:gutter="0"/>
        </w:sectPr>
      </w:pPr>
    </w:p>
    <w:p>
      <w:pPr>
        <w:spacing w:before="125" w:line="127" w:lineRule="auto"/>
        <w:ind w:left="0" w:right="73" w:firstLine="0"/>
        <w:jc w:val="right"/>
        <w:rPr>
          <w:rFonts w:ascii="Times New Roman" w:hAnsi="Times New Roman"/>
          <w:i/>
          <w:sz w:val="23"/>
        </w:rPr>
      </w:pPr>
      <w:r>
        <mc:AlternateContent>
          <mc:Choice Requires="wps">
            <w:drawing>
              <wp:anchor distT="0" distB="0" distL="114300" distR="114300" simplePos="0" relativeHeight="212781056" behindDoc="1" locked="0" layoutInCell="1" allowOverlap="1">
                <wp:simplePos x="0" y="0"/>
                <wp:positionH relativeFrom="page">
                  <wp:posOffset>3585845</wp:posOffset>
                </wp:positionH>
                <wp:positionV relativeFrom="paragraph">
                  <wp:posOffset>173355</wp:posOffset>
                </wp:positionV>
                <wp:extent cx="197485" cy="0"/>
                <wp:effectExtent l="0" t="0" r="0" b="0"/>
                <wp:wrapNone/>
                <wp:docPr id="34" name="直线 56"/>
                <wp:cNvGraphicFramePr/>
                <a:graphic xmlns:a="http://schemas.openxmlformats.org/drawingml/2006/main">
                  <a:graphicData uri="http://schemas.microsoft.com/office/word/2010/wordprocessingShape">
                    <wps:wsp>
                      <wps:cNvSpPr/>
                      <wps:spPr>
                        <a:xfrm>
                          <a:off x="0" y="0"/>
                          <a:ext cx="197485" cy="0"/>
                        </a:xfrm>
                        <a:prstGeom prst="line">
                          <a:avLst/>
                        </a:prstGeom>
                        <a:ln w="7404" cap="flat" cmpd="sng">
                          <a:solidFill>
                            <a:srgbClr val="000000"/>
                          </a:solidFill>
                          <a:prstDash val="solid"/>
                          <a:headEnd type="none" w="med" len="med"/>
                          <a:tailEnd type="none" w="med" len="med"/>
                        </a:ln>
                      </wps:spPr>
                      <wps:bodyPr upright="1"/>
                    </wps:wsp>
                  </a:graphicData>
                </a:graphic>
              </wp:anchor>
            </w:drawing>
          </mc:Choice>
          <mc:Fallback>
            <w:pict>
              <v:line id="直线 56" o:spid="_x0000_s1026" o:spt="20" style="position:absolute;left:0pt;margin-left:282.35pt;margin-top:13.65pt;height:0pt;width:15.55pt;mso-position-horizontal-relative:page;z-index:-290535424;mso-width-relative:page;mso-height-relative:page;" filled="f" stroked="t" coordsize="21600,21600" o:gfxdata="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F81w92QAAAAkBAAAPAAAAAAAAAAEAIAAAACIA&#10;AABkcnMvZG93bnJldi54bWxQSwECFAAUAAAACACHTuJAlokzis8BAACOAwAADgAAAAAAAAABACAA&#10;AAAoAQAAZHJzL2Uyb0RvYy54bWxQSwUGAAAAAAYABgBZAQAAaQUAAAAA&#10;">
                <v:fill on="f" focussize="0,0"/>
                <v:stroke weight="0.582992125984252pt" color="#000000" joinstyle="round"/>
                <v:imagedata o:title=""/>
                <o:lock v:ext="edit" aspectratio="f"/>
              </v:line>
            </w:pict>
          </mc:Fallback>
        </mc:AlternateContent>
      </w:r>
      <w:r>
        <mc:AlternateContent>
          <mc:Choice Requires="wps">
            <w:drawing>
              <wp:anchor distT="0" distB="0" distL="114300" distR="114300" simplePos="0" relativeHeight="212782080" behindDoc="1" locked="0" layoutInCell="1" allowOverlap="1">
                <wp:simplePos x="0" y="0"/>
                <wp:positionH relativeFrom="page">
                  <wp:posOffset>3613785</wp:posOffset>
                </wp:positionH>
                <wp:positionV relativeFrom="paragraph">
                  <wp:posOffset>-13970</wp:posOffset>
                </wp:positionV>
                <wp:extent cx="122555" cy="187325"/>
                <wp:effectExtent l="0" t="0" r="0" b="0"/>
                <wp:wrapNone/>
                <wp:docPr id="36" name="文本框 57"/>
                <wp:cNvGraphicFramePr/>
                <a:graphic xmlns:a="http://schemas.openxmlformats.org/drawingml/2006/main">
                  <a:graphicData uri="http://schemas.microsoft.com/office/word/2010/wordprocessingShape">
                    <wps:wsp>
                      <wps:cNvSpPr txBox="1"/>
                      <wps:spPr>
                        <a:xfrm>
                          <a:off x="0" y="0"/>
                          <a:ext cx="122555" cy="187325"/>
                        </a:xfrm>
                        <a:prstGeom prst="rect">
                          <a:avLst/>
                        </a:prstGeom>
                        <a:noFill/>
                        <a:ln>
                          <a:noFill/>
                        </a:ln>
                      </wps:spPr>
                      <wps:txbx>
                        <w:txbxContent>
                          <w:p>
                            <w:pPr>
                              <w:spacing w:before="0" w:line="293" w:lineRule="exact"/>
                              <w:ind w:left="0" w:right="0" w:firstLine="0"/>
                              <w:jc w:val="left"/>
                              <w:rPr>
                                <w:rFonts w:ascii="Times New Roman"/>
                                <w:i/>
                                <w:sz w:val="13"/>
                              </w:rPr>
                            </w:pPr>
                            <w:r>
                              <w:rPr>
                                <w:rFonts w:ascii="Times New Roman"/>
                                <w:i/>
                                <w:sz w:val="23"/>
                              </w:rPr>
                              <w:t>C</w:t>
                            </w:r>
                            <w:r>
                              <w:rPr>
                                <w:rFonts w:ascii="Times New Roman"/>
                                <w:i/>
                                <w:position w:val="-5"/>
                                <w:sz w:val="13"/>
                              </w:rPr>
                              <w:t>i</w:t>
                            </w:r>
                          </w:p>
                        </w:txbxContent>
                      </wps:txbx>
                      <wps:bodyPr lIns="0" tIns="0" rIns="0" bIns="0" upright="1"/>
                    </wps:wsp>
                  </a:graphicData>
                </a:graphic>
              </wp:anchor>
            </w:drawing>
          </mc:Choice>
          <mc:Fallback>
            <w:pict>
              <v:shape id="文本框 57" o:spid="_x0000_s1026" o:spt="202" type="#_x0000_t202" style="position:absolute;left:0pt;margin-left:284.55pt;margin-top:-1.1pt;height:14.75pt;width:9.65pt;mso-position-horizontal-relative:page;z-index:-290534400;mso-width-relative:page;mso-height-relative:page;" filled="f" stroked="f" coordsize="21600,21600" o:gfxdata="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wQ7qX9kAAAAJAQAADwAAAAAA&#10;AAABACAAAAAiAAAAZHJzL2Rvd25yZXYueG1sUEsBAhQAFAAAAAgAh07iQNJZwyqgAQAAJQMAAA4A&#10;AAAAAAAAAQAgAAAAKAEAAGRycy9lMm9Eb2MueG1sUEsFBgAAAAAGAAYAWQEAADoFAAAAAA==&#10;">
                <v:fill on="f" focussize="0,0"/>
                <v:stroke on="f"/>
                <v:imagedata o:title=""/>
                <o:lock v:ext="edit" aspectratio="f"/>
                <v:textbox inset="0mm,0mm,0mm,0mm">
                  <w:txbxContent>
                    <w:p>
                      <w:pPr>
                        <w:spacing w:before="0" w:line="293" w:lineRule="exact"/>
                        <w:ind w:left="0" w:right="0" w:firstLine="0"/>
                        <w:jc w:val="left"/>
                        <w:rPr>
                          <w:rFonts w:ascii="Times New Roman"/>
                          <w:i/>
                          <w:sz w:val="13"/>
                        </w:rPr>
                      </w:pPr>
                      <w:r>
                        <w:rPr>
                          <w:rFonts w:ascii="Times New Roman"/>
                          <w:i/>
                          <w:sz w:val="23"/>
                        </w:rPr>
                        <w:t>C</w:t>
                      </w:r>
                      <w:r>
                        <w:rPr>
                          <w:rFonts w:ascii="Times New Roman"/>
                          <w:i/>
                          <w:position w:val="-5"/>
                          <w:sz w:val="13"/>
                        </w:rPr>
                        <w:t>i</w:t>
                      </w:r>
                    </w:p>
                  </w:txbxContent>
                </v:textbox>
              </v:shape>
            </w:pict>
          </mc:Fallback>
        </mc:AlternateContent>
      </w:r>
      <w:r>
        <w:rPr>
          <w:rFonts w:ascii="Times New Roman" w:hAnsi="Times New Roman"/>
          <w:i/>
          <w:sz w:val="23"/>
        </w:rPr>
        <w:t>P</w:t>
      </w:r>
      <w:r>
        <w:rPr>
          <w:rFonts w:ascii="Times New Roman" w:hAnsi="Times New Roman"/>
          <w:i/>
          <w:position w:val="-5"/>
          <w:sz w:val="13"/>
        </w:rPr>
        <w:t xml:space="preserve">i </w:t>
      </w:r>
      <w:r>
        <w:rPr>
          <w:rFonts w:ascii="Symbol" w:hAnsi="Symbol"/>
          <w:sz w:val="23"/>
        </w:rPr>
        <w:t></w:t>
      </w:r>
      <w:r>
        <w:rPr>
          <w:rFonts w:ascii="Times New Roman" w:hAnsi="Times New Roman"/>
          <w:sz w:val="23"/>
        </w:rPr>
        <w:t xml:space="preserve"> </w:t>
      </w:r>
      <w:r>
        <w:rPr>
          <w:rFonts w:ascii="Times New Roman" w:hAnsi="Times New Roman"/>
          <w:i/>
          <w:position w:val="-17"/>
          <w:sz w:val="23"/>
        </w:rPr>
        <w:t>C</w:t>
      </w:r>
    </w:p>
    <w:p>
      <w:pPr>
        <w:spacing w:before="101"/>
        <w:ind w:left="68" w:right="0" w:firstLine="0"/>
        <w:jc w:val="left"/>
        <w:rPr>
          <w:rFonts w:ascii="Times New Roman" w:hAnsi="Times New Roman"/>
          <w:sz w:val="23"/>
        </w:rPr>
      </w:pPr>
      <w:r>
        <w:br w:type="column"/>
      </w:r>
      <w:r>
        <w:rPr>
          <w:rFonts w:ascii="Symbol" w:hAnsi="Symbol"/>
          <w:sz w:val="23"/>
        </w:rPr>
        <w:t></w:t>
      </w:r>
      <w:r>
        <w:rPr>
          <w:rFonts w:ascii="Times New Roman" w:hAnsi="Times New Roman"/>
          <w:sz w:val="23"/>
        </w:rPr>
        <w:t>100%</w:t>
      </w:r>
    </w:p>
    <w:p>
      <w:pPr>
        <w:spacing w:after="0"/>
        <w:jc w:val="left"/>
        <w:rPr>
          <w:rFonts w:ascii="Times New Roman" w:hAnsi="Times New Roman"/>
          <w:sz w:val="23"/>
        </w:rPr>
        <w:sectPr>
          <w:type w:val="continuous"/>
          <w:pgSz w:w="11910" w:h="16840"/>
          <w:pgMar w:top="1580" w:right="0" w:bottom="280" w:left="0" w:header="720" w:footer="720" w:gutter="0"/>
          <w:cols w:equalWidth="0" w:num="2">
            <w:col w:w="5884" w:space="40"/>
            <w:col w:w="5986"/>
          </w:cols>
        </w:sectPr>
      </w:pPr>
    </w:p>
    <w:p>
      <w:pPr>
        <w:spacing w:before="0" w:line="146" w:lineRule="exact"/>
        <w:ind w:left="492" w:right="663" w:firstLine="0"/>
        <w:jc w:val="center"/>
        <w:rPr>
          <w:rFonts w:ascii="Times New Roman"/>
          <w:i/>
          <w:sz w:val="13"/>
        </w:rPr>
      </w:pPr>
      <w:r>
        <w:rPr>
          <w:rFonts w:ascii="Times New Roman"/>
          <w:i/>
          <w:sz w:val="13"/>
        </w:rPr>
        <w:t>oi</w:t>
      </w:r>
    </w:p>
    <w:p>
      <w:pPr>
        <w:pStyle w:val="9"/>
        <w:spacing w:before="8"/>
        <w:rPr>
          <w:rFonts w:ascii="Times New Roman"/>
          <w:i/>
          <w:sz w:val="13"/>
        </w:rPr>
      </w:pPr>
    </w:p>
    <w:p>
      <w:pPr>
        <w:pStyle w:val="9"/>
        <w:ind w:left="1898"/>
      </w:pPr>
      <w:r>
        <w:rPr>
          <w:position w:val="2"/>
        </w:rPr>
        <w:t>式中：</w:t>
      </w:r>
      <w:r>
        <w:rPr>
          <w:rFonts w:ascii="Times New Roman" w:hAnsi="Times New Roman" w:eastAsia="Times New Roman"/>
          <w:position w:val="2"/>
        </w:rPr>
        <w:t>P</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占标率</w:t>
      </w:r>
      <w:r>
        <w:rPr>
          <w:rFonts w:ascii="Times New Roman" w:hAnsi="Times New Roman" w:eastAsia="Times New Roman"/>
          <w:position w:val="2"/>
          <w:vertAlign w:val="baseline"/>
        </w:rPr>
        <w:t>%</w:t>
      </w:r>
      <w:r>
        <w:rPr>
          <w:position w:val="2"/>
          <w:vertAlign w:val="baseline"/>
        </w:rPr>
        <w:t>；</w:t>
      </w:r>
    </w:p>
    <w:p>
      <w:pPr>
        <w:pStyle w:val="9"/>
        <w:spacing w:before="156"/>
        <w:ind w:left="2618"/>
      </w:pPr>
      <w:r>
        <w:rPr>
          <w:rFonts w:ascii="Times New Roman" w:hAnsi="Times New Roman" w:eastAsia="Times New Roman"/>
          <w:position w:val="2"/>
        </w:rPr>
        <w:t>C</w:t>
      </w:r>
      <w:r>
        <w:rPr>
          <w:rFonts w:ascii="Times New Roman" w:hAnsi="Times New Roman" w:eastAsia="Times New Roman"/>
          <w:position w:val="2"/>
          <w:vertAlign w:val="subscript"/>
        </w:rPr>
        <w:t>i</w:t>
      </w:r>
      <w:r>
        <w:rPr>
          <w:rFonts w:ascii="Times New Roman" w:hAnsi="Times New Roman" w:eastAsia="Times New Roman"/>
          <w:position w:val="2"/>
          <w:vertAlign w:val="baseline"/>
        </w:rPr>
        <w:t xml:space="preserve">—i </w:t>
      </w:r>
      <w:r>
        <w:rPr>
          <w:position w:val="2"/>
          <w:vertAlign w:val="baseline"/>
        </w:rPr>
        <w:t>污染因子监测浓度（</w:t>
      </w:r>
      <w:r>
        <w:rPr>
          <w:rFonts w:ascii="Times New Roman" w:hAnsi="Times New Roman" w:eastAsia="Times New Roman"/>
          <w:position w:val="2"/>
          <w:vertAlign w:val="baseline"/>
        </w:rPr>
        <w:t>mg/m</w:t>
      </w:r>
      <w:r>
        <w:rPr>
          <w:rFonts w:ascii="Times New Roman" w:hAnsi="Times New Roman" w:eastAsia="Times New Roman"/>
          <w:position w:val="2"/>
          <w:vertAlign w:val="superscript"/>
        </w:rPr>
        <w:t>3</w:t>
      </w:r>
      <w:r>
        <w:rPr>
          <w:position w:val="2"/>
          <w:vertAlign w:val="baseline"/>
        </w:rPr>
        <w:t>）；</w:t>
      </w:r>
    </w:p>
    <w:p>
      <w:pPr>
        <w:pStyle w:val="9"/>
        <w:spacing w:before="154"/>
        <w:ind w:left="2618"/>
      </w:pPr>
      <w:r>
        <w:rPr>
          <w:rFonts w:ascii="Times New Roman" w:hAnsi="Times New Roman" w:eastAsia="Times New Roman"/>
          <w:position w:val="2"/>
        </w:rPr>
        <w:t>C</w:t>
      </w:r>
      <w:r>
        <w:rPr>
          <w:rFonts w:ascii="Times New Roman" w:hAnsi="Times New Roman" w:eastAsia="Times New Roman"/>
          <w:position w:val="2"/>
          <w:vertAlign w:val="subscript"/>
        </w:rPr>
        <w:t>0i</w:t>
      </w:r>
      <w:r>
        <w:rPr>
          <w:rFonts w:ascii="Times New Roman" w:hAnsi="Times New Roman" w:eastAsia="Times New Roman"/>
          <w:position w:val="2"/>
          <w:vertAlign w:val="baseline"/>
        </w:rPr>
        <w:t xml:space="preserve">—i </w:t>
      </w:r>
      <w:r>
        <w:rPr>
          <w:position w:val="2"/>
          <w:vertAlign w:val="baseline"/>
        </w:rPr>
        <w:t>污染因子标准浓度（</w:t>
      </w:r>
      <w:r>
        <w:rPr>
          <w:rFonts w:ascii="Times New Roman" w:hAnsi="Times New Roman" w:eastAsia="Times New Roman"/>
          <w:position w:val="2"/>
          <w:vertAlign w:val="baseline"/>
        </w:rPr>
        <w:t>mg/m</w:t>
      </w:r>
      <w:r>
        <w:rPr>
          <w:rFonts w:ascii="Times New Roman" w:hAnsi="Times New Roman" w:eastAsia="Times New Roman"/>
          <w:position w:val="2"/>
          <w:vertAlign w:val="superscript"/>
        </w:rPr>
        <w:t>3</w:t>
      </w:r>
      <w:r>
        <w:rPr>
          <w:position w:val="2"/>
          <w:vertAlign w:val="baseline"/>
        </w:rPr>
        <w:t>）。</w:t>
      </w:r>
    </w:p>
    <w:p>
      <w:pPr>
        <w:pStyle w:val="9"/>
        <w:spacing w:before="159"/>
        <w:ind w:left="1898"/>
      </w:pPr>
      <w:r>
        <w:rPr>
          <w:rFonts w:ascii="Times New Roman" w:eastAsia="Times New Roman"/>
        </w:rPr>
        <w:t>4</w:t>
      </w:r>
      <w:r>
        <w:t>、现状评价结论</w:t>
      </w:r>
    </w:p>
    <w:p>
      <w:pPr>
        <w:pStyle w:val="18"/>
        <w:numPr>
          <w:ilvl w:val="3"/>
          <w:numId w:val="69"/>
        </w:numPr>
        <w:tabs>
          <w:tab w:val="left" w:pos="2500"/>
        </w:tabs>
        <w:spacing w:before="160" w:after="0" w:line="240" w:lineRule="auto"/>
        <w:ind w:left="2499" w:right="0" w:hanging="602"/>
        <w:jc w:val="left"/>
        <w:rPr>
          <w:sz w:val="24"/>
        </w:rPr>
      </w:pPr>
      <w:r>
        <w:rPr>
          <w:sz w:val="24"/>
        </w:rPr>
        <w:t>评价结果</w:t>
      </w:r>
    </w:p>
    <w:p>
      <w:pPr>
        <w:pStyle w:val="9"/>
        <w:spacing w:before="158"/>
        <w:ind w:left="1898"/>
      </w:pPr>
      <w:r>
        <w:t>根据上述评价方法和评价标准计算得出的评价结果见下表。</w:t>
      </w:r>
    </w:p>
    <w:p>
      <w:pPr>
        <w:spacing w:before="160"/>
        <w:ind w:left="7" w:right="0" w:firstLine="0"/>
        <w:jc w:val="center"/>
        <w:rPr>
          <w:b/>
          <w:sz w:val="21"/>
        </w:rPr>
      </w:pPr>
      <w:r>
        <w:rPr>
          <w:b/>
          <w:spacing w:val="-28"/>
          <w:sz w:val="21"/>
        </w:rPr>
        <w:t xml:space="preserve">表 </w:t>
      </w:r>
      <w:r>
        <w:rPr>
          <w:rFonts w:ascii="Times New Roman" w:eastAsia="Times New Roman"/>
          <w:b/>
          <w:sz w:val="21"/>
        </w:rPr>
        <w:t>7.1-5</w:t>
      </w:r>
      <w:r>
        <w:rPr>
          <w:rFonts w:ascii="Times New Roman" w:eastAsia="Times New Roman"/>
          <w:b/>
          <w:spacing w:val="52"/>
          <w:sz w:val="21"/>
        </w:rPr>
        <w:t xml:space="preserve"> </w:t>
      </w:r>
      <w:r>
        <w:rPr>
          <w:b/>
          <w:sz w:val="21"/>
        </w:rPr>
        <w:t>其他污染物环境质量现状表</w:t>
      </w:r>
    </w:p>
    <w:p>
      <w:pPr>
        <w:pStyle w:val="9"/>
        <w:spacing w:before="10"/>
        <w:rPr>
          <w:b/>
          <w:sz w:val="10"/>
        </w:rPr>
      </w:pPr>
    </w:p>
    <w:tbl>
      <w:tblPr>
        <w:tblStyle w:val="15"/>
        <w:tblW w:w="0" w:type="auto"/>
        <w:tblInd w:w="141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17"/>
        <w:gridCol w:w="1101"/>
        <w:gridCol w:w="830"/>
        <w:gridCol w:w="1201"/>
        <w:gridCol w:w="1562"/>
        <w:gridCol w:w="1370"/>
        <w:gridCol w:w="1056"/>
        <w:gridCol w:w="10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0" w:hRule="atLeast"/>
        </w:trPr>
        <w:tc>
          <w:tcPr>
            <w:tcW w:w="917" w:type="dxa"/>
            <w:tcBorders>
              <w:bottom w:val="single" w:color="000000" w:sz="4" w:space="0"/>
              <w:right w:val="single" w:color="000000" w:sz="4" w:space="0"/>
            </w:tcBorders>
          </w:tcPr>
          <w:p>
            <w:pPr>
              <w:pStyle w:val="19"/>
              <w:spacing w:before="9"/>
              <w:jc w:val="left"/>
              <w:rPr>
                <w:b/>
                <w:sz w:val="24"/>
              </w:rPr>
            </w:pPr>
          </w:p>
          <w:p>
            <w:pPr>
              <w:pStyle w:val="19"/>
              <w:ind w:left="38"/>
              <w:jc w:val="left"/>
              <w:rPr>
                <w:sz w:val="21"/>
              </w:rPr>
            </w:pPr>
            <w:r>
              <w:rPr>
                <w:sz w:val="21"/>
              </w:rPr>
              <w:t>监测点位</w:t>
            </w:r>
          </w:p>
        </w:tc>
        <w:tc>
          <w:tcPr>
            <w:tcW w:w="1101" w:type="dxa"/>
            <w:tcBorders>
              <w:left w:val="single" w:color="000000" w:sz="4" w:space="0"/>
              <w:bottom w:val="single" w:color="000000" w:sz="4" w:space="0"/>
              <w:right w:val="single" w:color="000000" w:sz="4" w:space="0"/>
            </w:tcBorders>
          </w:tcPr>
          <w:p>
            <w:pPr>
              <w:pStyle w:val="19"/>
              <w:spacing w:before="9"/>
              <w:jc w:val="left"/>
              <w:rPr>
                <w:b/>
                <w:sz w:val="24"/>
              </w:rPr>
            </w:pPr>
          </w:p>
          <w:p>
            <w:pPr>
              <w:pStyle w:val="19"/>
              <w:ind w:left="112" w:right="95"/>
              <w:rPr>
                <w:sz w:val="21"/>
              </w:rPr>
            </w:pPr>
            <w:r>
              <w:rPr>
                <w:sz w:val="21"/>
              </w:rPr>
              <w:t>污染物</w:t>
            </w:r>
          </w:p>
        </w:tc>
        <w:tc>
          <w:tcPr>
            <w:tcW w:w="830" w:type="dxa"/>
            <w:tcBorders>
              <w:left w:val="single" w:color="000000" w:sz="4" w:space="0"/>
              <w:bottom w:val="single" w:color="000000" w:sz="4" w:space="0"/>
              <w:right w:val="single" w:color="000000" w:sz="4" w:space="0"/>
            </w:tcBorders>
          </w:tcPr>
          <w:p>
            <w:pPr>
              <w:pStyle w:val="19"/>
              <w:spacing w:before="180" w:line="242" w:lineRule="auto"/>
              <w:ind w:left="315" w:right="85" w:hanging="212"/>
              <w:jc w:val="left"/>
              <w:rPr>
                <w:sz w:val="21"/>
              </w:rPr>
            </w:pPr>
            <w:r>
              <w:rPr>
                <w:sz w:val="21"/>
              </w:rPr>
              <w:t>平均时间</w:t>
            </w:r>
          </w:p>
        </w:tc>
        <w:tc>
          <w:tcPr>
            <w:tcW w:w="1201" w:type="dxa"/>
            <w:tcBorders>
              <w:left w:val="single" w:color="000000" w:sz="4" w:space="0"/>
              <w:bottom w:val="single" w:color="000000" w:sz="4" w:space="0"/>
              <w:right w:val="single" w:color="000000" w:sz="4" w:space="0"/>
            </w:tcBorders>
          </w:tcPr>
          <w:p>
            <w:pPr>
              <w:pStyle w:val="19"/>
              <w:spacing w:before="180"/>
              <w:ind w:left="154"/>
              <w:jc w:val="left"/>
              <w:rPr>
                <w:rFonts w:ascii="Times New Roman" w:eastAsia="Times New Roman"/>
                <w:sz w:val="21"/>
              </w:rPr>
            </w:pPr>
            <w:r>
              <w:rPr>
                <w:sz w:val="21"/>
              </w:rPr>
              <w:t>评价标准</w:t>
            </w:r>
            <w:r>
              <w:rPr>
                <w:rFonts w:ascii="Times New Roman" w:eastAsia="Times New Roman"/>
                <w:sz w:val="21"/>
              </w:rPr>
              <w:t>/</w:t>
            </w:r>
          </w:p>
          <w:p>
            <w:pPr>
              <w:pStyle w:val="19"/>
              <w:spacing w:before="2"/>
              <w:ind w:left="116"/>
              <w:jc w:val="left"/>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1562" w:type="dxa"/>
            <w:tcBorders>
              <w:left w:val="single" w:color="000000" w:sz="4" w:space="0"/>
              <w:bottom w:val="single" w:color="000000" w:sz="4" w:space="0"/>
              <w:right w:val="single" w:color="000000" w:sz="4" w:space="0"/>
            </w:tcBorders>
          </w:tcPr>
          <w:p>
            <w:pPr>
              <w:pStyle w:val="19"/>
              <w:spacing w:before="180"/>
              <w:ind w:left="106" w:right="86"/>
              <w:rPr>
                <w:rFonts w:ascii="Times New Roman" w:eastAsia="Times New Roman"/>
                <w:sz w:val="21"/>
              </w:rPr>
            </w:pPr>
            <w:r>
              <w:rPr>
                <w:sz w:val="21"/>
              </w:rPr>
              <w:t>最大监测浓度</w:t>
            </w:r>
            <w:r>
              <w:rPr>
                <w:rFonts w:ascii="Times New Roman" w:eastAsia="Times New Roman"/>
                <w:sz w:val="21"/>
              </w:rPr>
              <w:t>/</w:t>
            </w:r>
          </w:p>
          <w:p>
            <w:pPr>
              <w:pStyle w:val="19"/>
              <w:spacing w:before="2"/>
              <w:ind w:left="106" w:right="86"/>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1370" w:type="dxa"/>
            <w:tcBorders>
              <w:left w:val="single" w:color="000000" w:sz="4" w:space="0"/>
              <w:bottom w:val="single" w:color="000000" w:sz="4" w:space="0"/>
              <w:right w:val="single" w:color="000000" w:sz="4" w:space="0"/>
            </w:tcBorders>
          </w:tcPr>
          <w:p>
            <w:pPr>
              <w:pStyle w:val="19"/>
              <w:spacing w:before="180" w:line="242" w:lineRule="auto"/>
              <w:ind w:left="468" w:right="39" w:hanging="408"/>
              <w:jc w:val="left"/>
              <w:rPr>
                <w:rFonts w:ascii="Times New Roman" w:eastAsia="Times New Roman"/>
                <w:sz w:val="21"/>
              </w:rPr>
            </w:pPr>
            <w:r>
              <w:rPr>
                <w:sz w:val="21"/>
              </w:rPr>
              <w:t>最大浓度占标率</w:t>
            </w:r>
            <w:r>
              <w:rPr>
                <w:rFonts w:ascii="Times New Roman" w:eastAsia="Times New Roman"/>
                <w:sz w:val="21"/>
              </w:rPr>
              <w:t>/%</w:t>
            </w:r>
          </w:p>
        </w:tc>
        <w:tc>
          <w:tcPr>
            <w:tcW w:w="1056" w:type="dxa"/>
            <w:tcBorders>
              <w:left w:val="single" w:color="000000" w:sz="4" w:space="0"/>
              <w:bottom w:val="single" w:color="000000" w:sz="4" w:space="0"/>
              <w:right w:val="single" w:color="000000" w:sz="4" w:space="0"/>
            </w:tcBorders>
          </w:tcPr>
          <w:p>
            <w:pPr>
              <w:pStyle w:val="19"/>
              <w:spacing w:before="9"/>
              <w:jc w:val="left"/>
              <w:rPr>
                <w:b/>
                <w:sz w:val="24"/>
              </w:rPr>
            </w:pPr>
          </w:p>
          <w:p>
            <w:pPr>
              <w:pStyle w:val="19"/>
              <w:ind w:left="79" w:right="62"/>
              <w:rPr>
                <w:rFonts w:ascii="Times New Roman" w:eastAsia="Times New Roman"/>
                <w:sz w:val="21"/>
              </w:rPr>
            </w:pPr>
            <w:r>
              <w:rPr>
                <w:sz w:val="21"/>
              </w:rPr>
              <w:t>超标率</w:t>
            </w:r>
            <w:r>
              <w:rPr>
                <w:rFonts w:ascii="Times New Roman" w:eastAsia="Times New Roman"/>
                <w:sz w:val="21"/>
              </w:rPr>
              <w:t>/%</w:t>
            </w:r>
          </w:p>
        </w:tc>
        <w:tc>
          <w:tcPr>
            <w:tcW w:w="1056" w:type="dxa"/>
            <w:tcBorders>
              <w:left w:val="single" w:color="000000" w:sz="4" w:space="0"/>
              <w:bottom w:val="single" w:color="000000" w:sz="4" w:space="0"/>
            </w:tcBorders>
          </w:tcPr>
          <w:p>
            <w:pPr>
              <w:pStyle w:val="19"/>
              <w:spacing w:before="9"/>
              <w:jc w:val="left"/>
              <w:rPr>
                <w:b/>
                <w:sz w:val="24"/>
              </w:rPr>
            </w:pPr>
          </w:p>
          <w:p>
            <w:pPr>
              <w:pStyle w:val="19"/>
              <w:ind w:left="92" w:right="69"/>
              <w:rPr>
                <w:sz w:val="21"/>
              </w:rPr>
            </w:pPr>
            <w:r>
              <w:rPr>
                <w:sz w:val="21"/>
              </w:rPr>
              <w:t>达标情况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8" w:hRule="atLeast"/>
        </w:trPr>
        <w:tc>
          <w:tcPr>
            <w:tcW w:w="917" w:type="dxa"/>
            <w:tcBorders>
              <w:top w:val="single" w:color="000000" w:sz="4" w:space="0"/>
              <w:bottom w:val="single" w:color="000000" w:sz="4" w:space="0"/>
              <w:right w:val="single" w:color="000000" w:sz="4" w:space="0"/>
            </w:tcBorders>
          </w:tcPr>
          <w:p>
            <w:pPr>
              <w:pStyle w:val="19"/>
              <w:spacing w:before="13" w:line="270" w:lineRule="atLeast"/>
              <w:ind w:left="247" w:right="23" w:hanging="209"/>
              <w:jc w:val="left"/>
              <w:rPr>
                <w:sz w:val="21"/>
              </w:rPr>
            </w:pPr>
            <w:r>
              <w:rPr>
                <w:sz w:val="21"/>
              </w:rPr>
              <w:t>主井工业广场</w:t>
            </w:r>
          </w:p>
        </w:tc>
        <w:tc>
          <w:tcPr>
            <w:tcW w:w="1101" w:type="dxa"/>
            <w:tcBorders>
              <w:top w:val="single" w:color="000000" w:sz="4" w:space="0"/>
              <w:left w:val="single" w:color="000000" w:sz="4" w:space="0"/>
              <w:bottom w:val="single" w:color="000000" w:sz="4" w:space="0"/>
              <w:right w:val="single" w:color="000000" w:sz="4" w:space="0"/>
            </w:tcBorders>
          </w:tcPr>
          <w:p>
            <w:pPr>
              <w:pStyle w:val="19"/>
              <w:spacing w:before="165"/>
              <w:ind w:left="112" w:right="94"/>
              <w:rPr>
                <w:rFonts w:ascii="Times New Roman"/>
                <w:sz w:val="21"/>
              </w:rPr>
            </w:pPr>
            <w:r>
              <w:rPr>
                <w:rFonts w:ascii="Times New Roman"/>
                <w:sz w:val="21"/>
              </w:rPr>
              <w:t>TSP</w:t>
            </w:r>
          </w:p>
        </w:tc>
        <w:tc>
          <w:tcPr>
            <w:tcW w:w="830" w:type="dxa"/>
            <w:tcBorders>
              <w:top w:val="single" w:color="000000" w:sz="4" w:space="0"/>
              <w:left w:val="single" w:color="000000" w:sz="4" w:space="0"/>
              <w:bottom w:val="single" w:color="000000" w:sz="4" w:space="0"/>
              <w:right w:val="single" w:color="000000" w:sz="4" w:space="0"/>
            </w:tcBorders>
          </w:tcPr>
          <w:p>
            <w:pPr>
              <w:pStyle w:val="19"/>
              <w:spacing w:before="151"/>
              <w:ind w:left="83" w:right="67"/>
              <w:rPr>
                <w:sz w:val="21"/>
              </w:rPr>
            </w:pPr>
            <w:r>
              <w:rPr>
                <w:sz w:val="21"/>
              </w:rPr>
              <w:t>日平均</w:t>
            </w:r>
          </w:p>
        </w:tc>
        <w:tc>
          <w:tcPr>
            <w:tcW w:w="1201" w:type="dxa"/>
            <w:tcBorders>
              <w:top w:val="single" w:color="000000" w:sz="4" w:space="0"/>
              <w:left w:val="single" w:color="000000" w:sz="4" w:space="0"/>
              <w:bottom w:val="single" w:color="000000" w:sz="4" w:space="0"/>
              <w:right w:val="single" w:color="000000" w:sz="4" w:space="0"/>
            </w:tcBorders>
          </w:tcPr>
          <w:p>
            <w:pPr>
              <w:pStyle w:val="19"/>
              <w:spacing w:before="165"/>
              <w:ind w:left="453" w:right="434"/>
              <w:rPr>
                <w:rFonts w:ascii="Times New Roman"/>
                <w:sz w:val="21"/>
              </w:rPr>
            </w:pPr>
            <w:r>
              <w:rPr>
                <w:rFonts w:ascii="Times New Roman"/>
                <w:sz w:val="21"/>
              </w:rPr>
              <w:t>0.3</w:t>
            </w:r>
          </w:p>
        </w:tc>
        <w:tc>
          <w:tcPr>
            <w:tcW w:w="1562" w:type="dxa"/>
            <w:tcBorders>
              <w:top w:val="single" w:color="000000" w:sz="4" w:space="0"/>
              <w:left w:val="single" w:color="000000" w:sz="4" w:space="0"/>
              <w:bottom w:val="single" w:color="000000" w:sz="4" w:space="0"/>
              <w:right w:val="single" w:color="000000" w:sz="4" w:space="0"/>
            </w:tcBorders>
          </w:tcPr>
          <w:p>
            <w:pPr>
              <w:pStyle w:val="19"/>
              <w:spacing w:before="165"/>
              <w:ind w:left="106" w:right="85"/>
              <w:rPr>
                <w:rFonts w:ascii="Times New Roman"/>
                <w:sz w:val="21"/>
              </w:rPr>
            </w:pPr>
            <w:r>
              <w:rPr>
                <w:rFonts w:ascii="Times New Roman"/>
                <w:sz w:val="21"/>
              </w:rPr>
              <w:t>0.117</w:t>
            </w:r>
          </w:p>
        </w:tc>
        <w:tc>
          <w:tcPr>
            <w:tcW w:w="1370" w:type="dxa"/>
            <w:tcBorders>
              <w:top w:val="single" w:color="000000" w:sz="4" w:space="0"/>
              <w:left w:val="single" w:color="000000" w:sz="4" w:space="0"/>
              <w:bottom w:val="single" w:color="000000" w:sz="4" w:space="0"/>
              <w:right w:val="single" w:color="000000" w:sz="4" w:space="0"/>
            </w:tcBorders>
          </w:tcPr>
          <w:p>
            <w:pPr>
              <w:pStyle w:val="19"/>
              <w:spacing w:before="165"/>
              <w:ind w:left="563" w:right="546"/>
              <w:rPr>
                <w:rFonts w:ascii="Times New Roman"/>
                <w:sz w:val="21"/>
              </w:rPr>
            </w:pPr>
            <w:r>
              <w:rPr>
                <w:rFonts w:ascii="Times New Roman"/>
                <w:sz w:val="21"/>
              </w:rPr>
              <w:t>39</w:t>
            </w:r>
          </w:p>
        </w:tc>
        <w:tc>
          <w:tcPr>
            <w:tcW w:w="1056" w:type="dxa"/>
            <w:tcBorders>
              <w:top w:val="single" w:color="000000" w:sz="4" w:space="0"/>
              <w:left w:val="single" w:color="000000" w:sz="4" w:space="0"/>
              <w:bottom w:val="single" w:color="000000" w:sz="4" w:space="0"/>
              <w:right w:val="single" w:color="000000" w:sz="4" w:space="0"/>
            </w:tcBorders>
          </w:tcPr>
          <w:p>
            <w:pPr>
              <w:pStyle w:val="19"/>
              <w:spacing w:before="165"/>
              <w:ind w:left="15"/>
              <w:rPr>
                <w:rFonts w:ascii="Times New Roman"/>
                <w:sz w:val="21"/>
              </w:rPr>
            </w:pPr>
            <w:r>
              <w:rPr>
                <w:rFonts w:ascii="Times New Roman"/>
                <w:w w:val="99"/>
                <w:sz w:val="21"/>
              </w:rPr>
              <w:t>0</w:t>
            </w:r>
          </w:p>
        </w:tc>
        <w:tc>
          <w:tcPr>
            <w:tcW w:w="1056" w:type="dxa"/>
            <w:tcBorders>
              <w:top w:val="single" w:color="000000" w:sz="4" w:space="0"/>
              <w:left w:val="single" w:color="000000" w:sz="4" w:space="0"/>
              <w:bottom w:val="single" w:color="000000" w:sz="4" w:space="0"/>
            </w:tcBorders>
          </w:tcPr>
          <w:p>
            <w:pPr>
              <w:pStyle w:val="19"/>
              <w:spacing w:before="151"/>
              <w:ind w:left="90" w:right="69"/>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9" w:hRule="atLeast"/>
        </w:trPr>
        <w:tc>
          <w:tcPr>
            <w:tcW w:w="917" w:type="dxa"/>
            <w:tcBorders>
              <w:top w:val="single" w:color="000000" w:sz="4" w:space="0"/>
              <w:right w:val="single" w:color="000000" w:sz="4" w:space="0"/>
            </w:tcBorders>
          </w:tcPr>
          <w:p>
            <w:pPr>
              <w:pStyle w:val="19"/>
              <w:spacing w:before="15" w:line="270" w:lineRule="atLeast"/>
              <w:ind w:left="247" w:right="23" w:hanging="209"/>
              <w:jc w:val="left"/>
              <w:rPr>
                <w:sz w:val="21"/>
              </w:rPr>
            </w:pPr>
            <w:r>
              <w:rPr>
                <w:sz w:val="21"/>
              </w:rPr>
              <w:t>副井工业广场</w:t>
            </w:r>
          </w:p>
        </w:tc>
        <w:tc>
          <w:tcPr>
            <w:tcW w:w="1101" w:type="dxa"/>
            <w:tcBorders>
              <w:top w:val="single" w:color="000000" w:sz="4" w:space="0"/>
              <w:left w:val="single" w:color="000000" w:sz="4" w:space="0"/>
              <w:right w:val="single" w:color="000000" w:sz="4" w:space="0"/>
            </w:tcBorders>
          </w:tcPr>
          <w:p>
            <w:pPr>
              <w:pStyle w:val="19"/>
              <w:spacing w:before="167"/>
              <w:ind w:left="112" w:right="94"/>
              <w:rPr>
                <w:rFonts w:ascii="Times New Roman"/>
                <w:sz w:val="21"/>
              </w:rPr>
            </w:pPr>
            <w:r>
              <w:rPr>
                <w:rFonts w:ascii="Times New Roman"/>
                <w:sz w:val="21"/>
              </w:rPr>
              <w:t>TSP</w:t>
            </w:r>
          </w:p>
        </w:tc>
        <w:tc>
          <w:tcPr>
            <w:tcW w:w="830" w:type="dxa"/>
            <w:tcBorders>
              <w:top w:val="single" w:color="000000" w:sz="4" w:space="0"/>
              <w:left w:val="single" w:color="000000" w:sz="4" w:space="0"/>
              <w:right w:val="single" w:color="000000" w:sz="4" w:space="0"/>
            </w:tcBorders>
          </w:tcPr>
          <w:p>
            <w:pPr>
              <w:pStyle w:val="19"/>
              <w:spacing w:before="150"/>
              <w:ind w:left="83" w:right="67"/>
              <w:rPr>
                <w:sz w:val="21"/>
              </w:rPr>
            </w:pPr>
            <w:r>
              <w:rPr>
                <w:sz w:val="21"/>
              </w:rPr>
              <w:t>日平均</w:t>
            </w:r>
          </w:p>
        </w:tc>
        <w:tc>
          <w:tcPr>
            <w:tcW w:w="1201" w:type="dxa"/>
            <w:tcBorders>
              <w:top w:val="single" w:color="000000" w:sz="4" w:space="0"/>
              <w:left w:val="single" w:color="000000" w:sz="4" w:space="0"/>
              <w:right w:val="single" w:color="000000" w:sz="4" w:space="0"/>
            </w:tcBorders>
          </w:tcPr>
          <w:p>
            <w:pPr>
              <w:pStyle w:val="19"/>
              <w:spacing w:before="167"/>
              <w:ind w:left="453" w:right="434"/>
              <w:rPr>
                <w:rFonts w:ascii="Times New Roman"/>
                <w:sz w:val="21"/>
              </w:rPr>
            </w:pPr>
            <w:r>
              <w:rPr>
                <w:rFonts w:ascii="Times New Roman"/>
                <w:sz w:val="21"/>
              </w:rPr>
              <w:t>0.3</w:t>
            </w:r>
          </w:p>
        </w:tc>
        <w:tc>
          <w:tcPr>
            <w:tcW w:w="1562" w:type="dxa"/>
            <w:tcBorders>
              <w:top w:val="single" w:color="000000" w:sz="4" w:space="0"/>
              <w:left w:val="single" w:color="000000" w:sz="4" w:space="0"/>
              <w:right w:val="single" w:color="000000" w:sz="4" w:space="0"/>
            </w:tcBorders>
          </w:tcPr>
          <w:p>
            <w:pPr>
              <w:pStyle w:val="19"/>
              <w:spacing w:before="167"/>
              <w:ind w:left="106" w:right="85"/>
              <w:rPr>
                <w:rFonts w:ascii="Times New Roman"/>
                <w:sz w:val="21"/>
              </w:rPr>
            </w:pPr>
            <w:r>
              <w:rPr>
                <w:rFonts w:ascii="Times New Roman"/>
                <w:sz w:val="21"/>
              </w:rPr>
              <w:t>0.117</w:t>
            </w:r>
          </w:p>
        </w:tc>
        <w:tc>
          <w:tcPr>
            <w:tcW w:w="1370" w:type="dxa"/>
            <w:tcBorders>
              <w:top w:val="single" w:color="000000" w:sz="4" w:space="0"/>
              <w:left w:val="single" w:color="000000" w:sz="4" w:space="0"/>
              <w:right w:val="single" w:color="000000" w:sz="4" w:space="0"/>
            </w:tcBorders>
          </w:tcPr>
          <w:p>
            <w:pPr>
              <w:pStyle w:val="19"/>
              <w:spacing w:before="167"/>
              <w:ind w:left="563" w:right="546"/>
              <w:rPr>
                <w:rFonts w:ascii="Times New Roman"/>
                <w:sz w:val="21"/>
              </w:rPr>
            </w:pPr>
            <w:r>
              <w:rPr>
                <w:rFonts w:ascii="Times New Roman"/>
                <w:sz w:val="21"/>
              </w:rPr>
              <w:t>39</w:t>
            </w:r>
          </w:p>
        </w:tc>
        <w:tc>
          <w:tcPr>
            <w:tcW w:w="1056" w:type="dxa"/>
            <w:tcBorders>
              <w:top w:val="single" w:color="000000" w:sz="4" w:space="0"/>
              <w:left w:val="single" w:color="000000" w:sz="4" w:space="0"/>
              <w:right w:val="single" w:color="000000" w:sz="4" w:space="0"/>
            </w:tcBorders>
          </w:tcPr>
          <w:p>
            <w:pPr>
              <w:pStyle w:val="19"/>
              <w:spacing w:before="167"/>
              <w:ind w:left="15"/>
              <w:rPr>
                <w:rFonts w:ascii="Times New Roman"/>
                <w:sz w:val="21"/>
              </w:rPr>
            </w:pPr>
            <w:r>
              <w:rPr>
                <w:rFonts w:ascii="Times New Roman"/>
                <w:w w:val="99"/>
                <w:sz w:val="21"/>
              </w:rPr>
              <w:t>0</w:t>
            </w:r>
          </w:p>
        </w:tc>
        <w:tc>
          <w:tcPr>
            <w:tcW w:w="1056" w:type="dxa"/>
            <w:tcBorders>
              <w:top w:val="single" w:color="000000" w:sz="4" w:space="0"/>
              <w:left w:val="single" w:color="000000" w:sz="4" w:space="0"/>
            </w:tcBorders>
          </w:tcPr>
          <w:p>
            <w:pPr>
              <w:pStyle w:val="19"/>
              <w:spacing w:before="150"/>
              <w:ind w:left="90" w:right="69"/>
              <w:rPr>
                <w:sz w:val="21"/>
              </w:rPr>
            </w:pPr>
            <w:r>
              <w:rPr>
                <w:sz w:val="21"/>
              </w:rPr>
              <w:t>达标</w:t>
            </w:r>
          </w:p>
        </w:tc>
      </w:tr>
    </w:tbl>
    <w:p>
      <w:pPr>
        <w:pStyle w:val="18"/>
        <w:numPr>
          <w:ilvl w:val="3"/>
          <w:numId w:val="69"/>
        </w:numPr>
        <w:tabs>
          <w:tab w:val="left" w:pos="2500"/>
        </w:tabs>
        <w:spacing w:before="2" w:after="0" w:line="240" w:lineRule="auto"/>
        <w:ind w:left="2499" w:right="0" w:hanging="602"/>
        <w:jc w:val="left"/>
        <w:rPr>
          <w:sz w:val="24"/>
        </w:rPr>
      </w:pPr>
      <w:r>
        <w:rPr>
          <w:sz w:val="24"/>
        </w:rPr>
        <w:t>现状评价结论</w:t>
      </w:r>
    </w:p>
    <w:p>
      <w:pPr>
        <w:pStyle w:val="9"/>
        <w:spacing w:before="158" w:line="364" w:lineRule="auto"/>
        <w:ind w:left="1418" w:right="1411" w:firstLine="480"/>
        <w:jc w:val="both"/>
      </w:pPr>
      <w:r>
        <w:rPr>
          <w:spacing w:val="-4"/>
        </w:rPr>
        <w:t xml:space="preserve">主井工业广场日均值浓度最大值为 </w:t>
      </w:r>
      <w:r>
        <w:rPr>
          <w:rFonts w:ascii="Times New Roman" w:eastAsia="Times New Roman"/>
          <w:spacing w:val="-5"/>
        </w:rPr>
        <w:t>0.117mg/m</w:t>
      </w:r>
      <w:r>
        <w:rPr>
          <w:rFonts w:ascii="Times New Roman" w:eastAsia="Times New Roman"/>
          <w:spacing w:val="-5"/>
          <w:position w:val="8"/>
          <w:sz w:val="15"/>
        </w:rPr>
        <w:t>3</w:t>
      </w:r>
      <w:r>
        <w:rPr>
          <w:spacing w:val="-2"/>
        </w:rPr>
        <w:t>，最大占标</w:t>
      </w:r>
      <w:r>
        <w:rPr>
          <w:sz w:val="21"/>
        </w:rPr>
        <w:t>率</w:t>
      </w:r>
      <w:r>
        <w:rPr>
          <w:spacing w:val="-28"/>
        </w:rPr>
        <w:t xml:space="preserve">为 </w:t>
      </w:r>
      <w:r>
        <w:rPr>
          <w:rFonts w:ascii="Times New Roman" w:eastAsia="Times New Roman"/>
          <w:spacing w:val="-9"/>
        </w:rPr>
        <w:t>39%</w:t>
      </w:r>
      <w:r>
        <w:rPr>
          <w:spacing w:val="-5"/>
        </w:rPr>
        <w:t>；副井工业广场</w:t>
      </w:r>
      <w:r>
        <w:rPr>
          <w:rFonts w:ascii="Times New Roman" w:eastAsia="Times New Roman"/>
        </w:rPr>
        <w:t xml:space="preserve">TSP </w:t>
      </w:r>
      <w:r>
        <w:rPr>
          <w:spacing w:val="-6"/>
        </w:rPr>
        <w:t xml:space="preserve">日均值浓度最大值为 </w:t>
      </w:r>
      <w:r>
        <w:rPr>
          <w:rFonts w:ascii="Times New Roman" w:eastAsia="Times New Roman"/>
          <w:spacing w:val="-7"/>
        </w:rPr>
        <w:t>0.117mg/m</w:t>
      </w:r>
      <w:r>
        <w:rPr>
          <w:rFonts w:ascii="Times New Roman" w:eastAsia="Times New Roman"/>
          <w:spacing w:val="-7"/>
          <w:position w:val="8"/>
          <w:sz w:val="15"/>
        </w:rPr>
        <w:t>3</w:t>
      </w:r>
      <w:r>
        <w:rPr>
          <w:spacing w:val="-3"/>
        </w:rPr>
        <w:t>，最大占标</w:t>
      </w:r>
      <w:r>
        <w:rPr>
          <w:sz w:val="21"/>
        </w:rPr>
        <w:t>率</w:t>
      </w:r>
      <w:r>
        <w:rPr>
          <w:spacing w:val="-29"/>
        </w:rPr>
        <w:t xml:space="preserve">为 </w:t>
      </w:r>
      <w:r>
        <w:rPr>
          <w:rFonts w:ascii="Times New Roman" w:eastAsia="Times New Roman"/>
        </w:rPr>
        <w:t>39%</w:t>
      </w:r>
      <w:r>
        <w:rPr>
          <w:spacing w:val="-17"/>
        </w:rPr>
        <w:t xml:space="preserve">。各监测点的 </w:t>
      </w:r>
      <w:r>
        <w:rPr>
          <w:rFonts w:ascii="Times New Roman" w:eastAsia="Times New Roman"/>
        </w:rPr>
        <w:t xml:space="preserve">TSP </w:t>
      </w:r>
      <w:r>
        <w:t>日均值浓度值均满足《环境空气质量标准》（</w:t>
      </w:r>
      <w:r>
        <w:rPr>
          <w:rFonts w:ascii="Times New Roman" w:eastAsia="Times New Roman"/>
        </w:rPr>
        <w:t>GB3095-2012</w:t>
      </w:r>
      <w:r>
        <w:t>）</w:t>
      </w:r>
      <w:r>
        <w:rPr>
          <w:spacing w:val="-31"/>
        </w:rPr>
        <w:t xml:space="preserve">表 </w:t>
      </w:r>
      <w:r>
        <w:rPr>
          <w:rFonts w:ascii="Times New Roman" w:eastAsia="Times New Roman"/>
        </w:rPr>
        <w:t xml:space="preserve">2 </w:t>
      </w:r>
      <w:r>
        <w:t>二级标准限值要求。</w:t>
      </w:r>
    </w:p>
    <w:p>
      <w:pPr>
        <w:spacing w:after="0" w:line="364" w:lineRule="auto"/>
        <w:jc w:val="both"/>
        <w:sectPr>
          <w:type w:val="continuous"/>
          <w:pgSz w:w="11910" w:h="16840"/>
          <w:pgMar w:top="1580" w:right="0" w:bottom="280" w:left="0" w:header="720" w:footer="720" w:gutter="0"/>
        </w:sectPr>
      </w:pPr>
    </w:p>
    <w:p>
      <w:pPr>
        <w:pStyle w:val="5"/>
        <w:numPr>
          <w:ilvl w:val="1"/>
          <w:numId w:val="69"/>
        </w:numPr>
        <w:tabs>
          <w:tab w:val="left" w:pos="1868"/>
        </w:tabs>
        <w:spacing w:before="44" w:after="0" w:line="240" w:lineRule="auto"/>
        <w:ind w:left="1867" w:right="0" w:hanging="450"/>
        <w:jc w:val="left"/>
      </w:pPr>
      <w:bookmarkStart w:id="405" w:name="_bookmark41"/>
      <w:bookmarkEnd w:id="405"/>
      <w:bookmarkStart w:id="406" w:name="7.2建设期大气环境影响及防治措施"/>
      <w:bookmarkEnd w:id="406"/>
      <w:bookmarkStart w:id="407" w:name="_bookmark41"/>
      <w:bookmarkEnd w:id="407"/>
      <w:r>
        <w:t>建设期大气环境影响及防治措施</w:t>
      </w:r>
    </w:p>
    <w:p>
      <w:pPr>
        <w:pStyle w:val="6"/>
        <w:numPr>
          <w:ilvl w:val="2"/>
          <w:numId w:val="69"/>
        </w:numPr>
        <w:tabs>
          <w:tab w:val="left" w:pos="2048"/>
        </w:tabs>
        <w:spacing w:before="197" w:after="0" w:line="240" w:lineRule="auto"/>
        <w:ind w:left="2047" w:right="0" w:hanging="630"/>
        <w:jc w:val="left"/>
      </w:pPr>
      <w:bookmarkStart w:id="408" w:name="7.2.1建设期环境空气影响"/>
      <w:bookmarkEnd w:id="408"/>
      <w:bookmarkStart w:id="409" w:name="7.2.1建设期环境空气影响"/>
      <w:bookmarkEnd w:id="409"/>
      <w:r>
        <w:t>建设期环境空气影响</w:t>
      </w:r>
    </w:p>
    <w:p>
      <w:pPr>
        <w:pStyle w:val="9"/>
        <w:spacing w:before="185" w:line="364" w:lineRule="auto"/>
        <w:ind w:left="1418" w:right="1417" w:firstLine="480"/>
        <w:jc w:val="both"/>
      </w:pPr>
      <w:r>
        <w:rPr>
          <w:spacing w:val="-3"/>
        </w:rPr>
        <w:t>矿井工业场地在施工过程中对大气环境的影响主要为下面两个方面：一方面是施工</w:t>
      </w:r>
      <w:r>
        <w:rPr>
          <w:spacing w:val="-5"/>
        </w:rPr>
        <w:t>作业面和地面运输产生的扬尘；另一方面是推土机、挖掘机及交通工具释放的尾气。这些污染源排放高度低，主要影响近距离内的居民，特别是在恶劣天气条件下，会使局部范围内的大气污染加重。为有效防止施工过程中的大气污染，应在施工现场采取针对性</w:t>
      </w:r>
      <w:r>
        <w:t>的保护措施。</w:t>
      </w:r>
    </w:p>
    <w:p>
      <w:pPr>
        <w:pStyle w:val="6"/>
        <w:numPr>
          <w:ilvl w:val="2"/>
          <w:numId w:val="69"/>
        </w:numPr>
        <w:tabs>
          <w:tab w:val="left" w:pos="2048"/>
        </w:tabs>
        <w:spacing w:before="0" w:after="0" w:line="358" w:lineRule="exact"/>
        <w:ind w:left="2047" w:right="0" w:hanging="630"/>
        <w:jc w:val="left"/>
      </w:pPr>
      <w:bookmarkStart w:id="410" w:name="7.2.2建设期环境空气防治措施"/>
      <w:bookmarkEnd w:id="410"/>
      <w:bookmarkStart w:id="411" w:name="7.2.2建设期环境空气防治措施"/>
      <w:bookmarkEnd w:id="411"/>
      <w:r>
        <w:t>建设期环境空气防治措施</w:t>
      </w:r>
    </w:p>
    <w:p>
      <w:pPr>
        <w:pStyle w:val="9"/>
        <w:spacing w:before="185" w:line="362" w:lineRule="auto"/>
        <w:ind w:left="1418" w:right="1417" w:firstLine="480"/>
      </w:pPr>
      <w:r>
        <w:rPr>
          <w:spacing w:val="-7"/>
        </w:rPr>
        <w:t>①在施工工作面，应制定洒水降尘制度，配套洒水设备，专人负责，定期洒水，在</w:t>
      </w:r>
      <w:r>
        <w:t>大风日要加大洒水量和洒水次数。</w:t>
      </w:r>
    </w:p>
    <w:p>
      <w:pPr>
        <w:pStyle w:val="9"/>
        <w:spacing w:before="5"/>
        <w:ind w:left="1898"/>
      </w:pPr>
      <w:r>
        <w:t>②施工现场内运输道路应及时清扫、冲洗，以减少汽车行驶扬尘。</w:t>
      </w:r>
    </w:p>
    <w:p>
      <w:pPr>
        <w:pStyle w:val="9"/>
        <w:spacing w:before="158" w:line="364" w:lineRule="auto"/>
        <w:ind w:left="1418" w:right="1365" w:firstLine="480"/>
        <w:jc w:val="right"/>
      </w:pPr>
      <w:r>
        <w:t>③施工过程中使用的水泥和其它细颗粒散装原料，应贮存于库房内或密闭存放，避免露天堆放。细颗粒物料运输应采用密闭式槽车运输，装卸时要采取措施减少扬尘量。根据同类工程施工现场的类比监测结果分析可知，本期工程施工扬尘对其周围的最</w:t>
      </w:r>
    </w:p>
    <w:p>
      <w:pPr>
        <w:pStyle w:val="9"/>
        <w:spacing w:line="307" w:lineRule="exact"/>
        <w:ind w:right="1416"/>
        <w:jc w:val="right"/>
      </w:pPr>
      <w:r>
        <w:t>近环境空气影响较小， 扬尘浓度贡献值均低于《大气污染物综合排放标准》</w:t>
      </w:r>
    </w:p>
    <w:p>
      <w:pPr>
        <w:pStyle w:val="9"/>
        <w:spacing w:before="158" w:line="364" w:lineRule="auto"/>
        <w:ind w:left="1418" w:right="1368"/>
      </w:pPr>
      <w:r>
        <w:t>（</w:t>
      </w:r>
      <w:r>
        <w:rPr>
          <w:rFonts w:ascii="Times New Roman" w:eastAsia="Times New Roman"/>
        </w:rPr>
        <w:t>GB16297-1996</w:t>
      </w:r>
      <w:r>
        <w:t xml:space="preserve">）规定的颗粒物无组织排放监控浓度限值 </w:t>
      </w:r>
      <w:r>
        <w:rPr>
          <w:rFonts w:ascii="Times New Roman" w:eastAsia="Times New Roman"/>
        </w:rPr>
        <w:t>1mg/m</w:t>
      </w:r>
      <w:r>
        <w:rPr>
          <w:rFonts w:ascii="Times New Roman" w:eastAsia="Times New Roman"/>
          <w:position w:val="8"/>
          <w:sz w:val="15"/>
        </w:rPr>
        <w:t>3</w:t>
      </w:r>
      <w:r>
        <w:t>，可被周围环境所接受。</w:t>
      </w:r>
    </w:p>
    <w:p>
      <w:pPr>
        <w:pStyle w:val="5"/>
        <w:numPr>
          <w:ilvl w:val="1"/>
          <w:numId w:val="69"/>
        </w:numPr>
        <w:tabs>
          <w:tab w:val="left" w:pos="1868"/>
        </w:tabs>
        <w:spacing w:before="2" w:after="0" w:line="240" w:lineRule="auto"/>
        <w:ind w:left="1867" w:right="0" w:hanging="450"/>
        <w:jc w:val="left"/>
      </w:pPr>
      <w:bookmarkStart w:id="412" w:name="_bookmark42"/>
      <w:bookmarkEnd w:id="412"/>
      <w:bookmarkStart w:id="413" w:name="7.3运营期大气环境影响预测与评价"/>
      <w:bookmarkEnd w:id="413"/>
      <w:bookmarkStart w:id="414" w:name="_bookmark42"/>
      <w:bookmarkEnd w:id="414"/>
      <w:r>
        <w:t>运营期大气环境影响预测与评价</w:t>
      </w:r>
    </w:p>
    <w:p>
      <w:pPr>
        <w:pStyle w:val="6"/>
        <w:numPr>
          <w:ilvl w:val="2"/>
          <w:numId w:val="69"/>
        </w:numPr>
        <w:tabs>
          <w:tab w:val="left" w:pos="2048"/>
        </w:tabs>
        <w:spacing w:before="199" w:after="0" w:line="240" w:lineRule="auto"/>
        <w:ind w:left="2047" w:right="0" w:hanging="630"/>
        <w:jc w:val="left"/>
      </w:pPr>
      <w:bookmarkStart w:id="415" w:name="7.3.1大气环境影响预测"/>
      <w:bookmarkEnd w:id="415"/>
      <w:bookmarkStart w:id="416" w:name="7.3.1大气环境影响预测"/>
      <w:bookmarkEnd w:id="416"/>
      <w:r>
        <w:t>大气环境影响预测</w:t>
      </w:r>
    </w:p>
    <w:p>
      <w:pPr>
        <w:pStyle w:val="9"/>
        <w:spacing w:before="145" w:line="374" w:lineRule="auto"/>
        <w:ind w:left="1418" w:right="1297" w:firstLine="422"/>
      </w:pPr>
      <w:r>
        <w:rPr>
          <w:spacing w:val="-12"/>
        </w:rPr>
        <w:t>依据《环境影响评价技术导则</w:t>
      </w:r>
      <w:r>
        <w:rPr>
          <w:rFonts w:ascii="Times New Roman" w:eastAsia="Times New Roman"/>
        </w:rPr>
        <w:t>-</w:t>
      </w:r>
      <w:r>
        <w:rPr>
          <w:spacing w:val="-22"/>
        </w:rPr>
        <w:t>大气环境》</w:t>
      </w:r>
      <w:r>
        <w:rPr>
          <w:rFonts w:ascii="Times New Roman" w:eastAsia="Times New Roman"/>
        </w:rPr>
        <w:t>(HJ2.2-2018)</w:t>
      </w:r>
      <w:r>
        <w:rPr>
          <w:spacing w:val="-31"/>
        </w:rPr>
        <w:t xml:space="preserve">中 </w:t>
      </w:r>
      <w:r>
        <w:rPr>
          <w:rFonts w:ascii="Times New Roman" w:eastAsia="Times New Roman"/>
        </w:rPr>
        <w:t xml:space="preserve">5.3 </w:t>
      </w:r>
      <w:r>
        <w:rPr>
          <w:spacing w:val="-2"/>
        </w:rPr>
        <w:t xml:space="preserve">节工作等级的确定方法， </w:t>
      </w:r>
      <w:r>
        <w:rPr>
          <w:spacing w:val="-9"/>
        </w:rPr>
        <w:t xml:space="preserve">结合项目工程分析结果，选择正常排放的主要污染物及排放参数，采用附录 </w:t>
      </w:r>
      <w:r>
        <w:rPr>
          <w:rFonts w:ascii="Times New Roman" w:eastAsia="Times New Roman"/>
        </w:rPr>
        <w:t xml:space="preserve">A </w:t>
      </w:r>
      <w:r>
        <w:t>推荐模型</w:t>
      </w:r>
      <w:r>
        <w:rPr>
          <w:spacing w:val="-21"/>
        </w:rPr>
        <w:t xml:space="preserve">中的 </w:t>
      </w:r>
      <w:r>
        <w:rPr>
          <w:rFonts w:ascii="Times New Roman" w:eastAsia="Times New Roman"/>
        </w:rPr>
        <w:t xml:space="preserve">AERSCREEN </w:t>
      </w:r>
      <w:r>
        <w:t>模式计算项目污染源的最大环境影响，然后按评价工作分级判据进行分级。</w:t>
      </w:r>
    </w:p>
    <w:p>
      <w:pPr>
        <w:pStyle w:val="18"/>
        <w:numPr>
          <w:ilvl w:val="0"/>
          <w:numId w:val="70"/>
        </w:numPr>
        <w:tabs>
          <w:tab w:val="left" w:pos="2442"/>
        </w:tabs>
        <w:spacing w:before="0" w:after="0" w:line="310" w:lineRule="exact"/>
        <w:ind w:left="2441" w:right="0" w:hanging="602"/>
        <w:jc w:val="left"/>
        <w:rPr>
          <w:sz w:val="24"/>
        </w:rPr>
      </w:pPr>
      <w:r>
        <w:rPr>
          <w:rFonts w:ascii="Times New Roman" w:eastAsia="Times New Roman"/>
          <w:position w:val="2"/>
          <w:sz w:val="24"/>
        </w:rPr>
        <w:t>P</w:t>
      </w:r>
      <w:r>
        <w:rPr>
          <w:rFonts w:ascii="Times New Roman" w:eastAsia="Times New Roman"/>
          <w:position w:val="2"/>
          <w:sz w:val="24"/>
          <w:vertAlign w:val="subscript"/>
        </w:rPr>
        <w:t>max</w:t>
      </w:r>
      <w:r>
        <w:rPr>
          <w:rFonts w:ascii="Times New Roman" w:eastAsia="Times New Roman"/>
          <w:spacing w:val="-21"/>
          <w:position w:val="2"/>
          <w:sz w:val="24"/>
          <w:vertAlign w:val="baseline"/>
        </w:rPr>
        <w:t xml:space="preserve"> </w:t>
      </w:r>
      <w:r>
        <w:rPr>
          <w:spacing w:val="-30"/>
          <w:position w:val="2"/>
          <w:sz w:val="24"/>
          <w:vertAlign w:val="baseline"/>
        </w:rPr>
        <w:t xml:space="preserve">及 </w:t>
      </w:r>
      <w:r>
        <w:rPr>
          <w:rFonts w:ascii="Times New Roman" w:eastAsia="Times New Roman"/>
          <w:position w:val="2"/>
          <w:sz w:val="24"/>
          <w:vertAlign w:val="baseline"/>
        </w:rPr>
        <w:t>D</w:t>
      </w:r>
      <w:r>
        <w:rPr>
          <w:rFonts w:ascii="Times New Roman" w:eastAsia="Times New Roman"/>
          <w:position w:val="2"/>
          <w:sz w:val="24"/>
          <w:vertAlign w:val="subscript"/>
        </w:rPr>
        <w:t>10</w:t>
      </w:r>
      <w:r>
        <w:rPr>
          <w:rFonts w:ascii="Times New Roman" w:eastAsia="Times New Roman"/>
          <w:position w:val="2"/>
          <w:sz w:val="24"/>
          <w:vertAlign w:val="baseline"/>
        </w:rPr>
        <w:t>%</w:t>
      </w:r>
      <w:r>
        <w:rPr>
          <w:position w:val="2"/>
          <w:sz w:val="24"/>
          <w:vertAlign w:val="baseline"/>
        </w:rPr>
        <w:t>的确定</w:t>
      </w:r>
    </w:p>
    <w:p>
      <w:pPr>
        <w:pStyle w:val="9"/>
        <w:spacing w:before="171" w:line="374" w:lineRule="auto"/>
        <w:ind w:left="1418" w:right="1430" w:firstLine="422"/>
      </w:pPr>
      <w:r>
        <w:drawing>
          <wp:anchor distT="0" distB="0" distL="0" distR="0" simplePos="0" relativeHeight="212783104" behindDoc="1" locked="0" layoutInCell="1" allowOverlap="1">
            <wp:simplePos x="0" y="0"/>
            <wp:positionH relativeFrom="page">
              <wp:posOffset>3369310</wp:posOffset>
            </wp:positionH>
            <wp:positionV relativeFrom="paragraph">
              <wp:posOffset>664210</wp:posOffset>
            </wp:positionV>
            <wp:extent cx="1088390" cy="347980"/>
            <wp:effectExtent l="0" t="0" r="0" b="0"/>
            <wp:wrapNone/>
            <wp:docPr id="5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5.png"/>
                    <pic:cNvPicPr>
                      <a:picLocks noChangeAspect="1"/>
                    </pic:cNvPicPr>
                  </pic:nvPicPr>
                  <pic:blipFill>
                    <a:blip r:embed="rId58" cstate="print"/>
                    <a:stretch>
                      <a:fillRect/>
                    </a:stretch>
                  </pic:blipFill>
                  <pic:spPr>
                    <a:xfrm>
                      <a:off x="0" y="0"/>
                      <a:ext cx="1088136" cy="347918"/>
                    </a:xfrm>
                    <a:prstGeom prst="rect">
                      <a:avLst/>
                    </a:prstGeom>
                  </pic:spPr>
                </pic:pic>
              </a:graphicData>
            </a:graphic>
          </wp:anchor>
        </w:drawing>
      </w:r>
      <w:r>
        <w:t>依据《环境影响评价技术导则大气环境》</w:t>
      </w:r>
      <w:r>
        <w:rPr>
          <w:rFonts w:ascii="Times New Roman" w:eastAsia="Times New Roman"/>
        </w:rPr>
        <w:t>(HJ2.2-2018)</w:t>
      </w:r>
      <w:r>
        <w:t xml:space="preserve">中最大地面浓度占标率 </w:t>
      </w:r>
      <w:r>
        <w:rPr>
          <w:rFonts w:ascii="Times New Roman" w:eastAsia="Times New Roman"/>
        </w:rPr>
        <w:t>P</w:t>
      </w:r>
      <w:r>
        <w:rPr>
          <w:rFonts w:ascii="Times New Roman" w:eastAsia="Times New Roman"/>
          <w:i/>
        </w:rPr>
        <w:t xml:space="preserve">i </w:t>
      </w:r>
      <w:r>
        <w:t>定义如下：</w:t>
      </w:r>
    </w:p>
    <w:p>
      <w:pPr>
        <w:pStyle w:val="9"/>
      </w:pPr>
    </w:p>
    <w:p>
      <w:pPr>
        <w:pStyle w:val="9"/>
        <w:spacing w:before="1"/>
        <w:rPr>
          <w:sz w:val="28"/>
        </w:rPr>
      </w:pPr>
    </w:p>
    <w:p>
      <w:pPr>
        <w:pStyle w:val="9"/>
        <w:spacing w:before="1"/>
        <w:ind w:left="2472"/>
      </w:pPr>
      <w:r>
        <w:drawing>
          <wp:anchor distT="0" distB="0" distL="0" distR="0" simplePos="0" relativeHeight="251724800" behindDoc="0" locked="0" layoutInCell="1" allowOverlap="1">
            <wp:simplePos x="0" y="0"/>
            <wp:positionH relativeFrom="page">
              <wp:posOffset>1438275</wp:posOffset>
            </wp:positionH>
            <wp:positionV relativeFrom="paragraph">
              <wp:posOffset>-3175</wp:posOffset>
            </wp:positionV>
            <wp:extent cx="130810" cy="125730"/>
            <wp:effectExtent l="0" t="0" r="0" b="0"/>
            <wp:wrapNone/>
            <wp:docPr id="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6.png"/>
                    <pic:cNvPicPr>
                      <a:picLocks noChangeAspect="1"/>
                    </pic:cNvPicPr>
                  </pic:nvPicPr>
                  <pic:blipFill>
                    <a:blip r:embed="rId59" cstate="print"/>
                    <a:stretch>
                      <a:fillRect/>
                    </a:stretch>
                  </pic:blipFill>
                  <pic:spPr>
                    <a:xfrm>
                      <a:off x="0" y="0"/>
                      <a:ext cx="131034" cy="126007"/>
                    </a:xfrm>
                    <a:prstGeom prst="rect">
                      <a:avLst/>
                    </a:prstGeom>
                  </pic:spPr>
                </pic:pic>
              </a:graphicData>
            </a:graphic>
          </wp:anchor>
        </w:drawing>
      </w:r>
      <w:r>
        <w:rPr>
          <w:rFonts w:ascii="Times New Roman" w:hAnsi="Times New Roman" w:eastAsia="Times New Roman"/>
        </w:rPr>
        <w:t>——</w:t>
      </w:r>
      <w:r>
        <w:t xml:space="preserve">第 </w:t>
      </w:r>
      <w:r>
        <w:rPr>
          <w:rFonts w:ascii="Times New Roman" w:hAnsi="Times New Roman" w:eastAsia="Times New Roman"/>
        </w:rPr>
        <w:t xml:space="preserve">i </w:t>
      </w:r>
      <w:r>
        <w:t>个污染物的最大地面空气质量浓度占标率，</w:t>
      </w:r>
      <w:r>
        <w:rPr>
          <w:rFonts w:ascii="Times New Roman" w:hAnsi="Times New Roman" w:eastAsia="Times New Roman"/>
        </w:rPr>
        <w:t>%</w:t>
      </w:r>
      <w:r>
        <w:t>；</w:t>
      </w:r>
    </w:p>
    <w:p>
      <w:pPr>
        <w:spacing w:after="0"/>
        <w:sectPr>
          <w:pgSz w:w="11910" w:h="16840"/>
          <w:pgMar w:top="1360" w:right="0" w:bottom="880" w:left="0" w:header="0" w:footer="681" w:gutter="0"/>
        </w:sectPr>
      </w:pPr>
    </w:p>
    <w:p>
      <w:pPr>
        <w:pStyle w:val="9"/>
        <w:spacing w:before="65"/>
        <w:ind w:left="2467"/>
      </w:pPr>
      <w:r>
        <w:drawing>
          <wp:anchor distT="0" distB="0" distL="0" distR="0" simplePos="0" relativeHeight="251725824" behindDoc="0" locked="0" layoutInCell="1" allowOverlap="1">
            <wp:simplePos x="0" y="0"/>
            <wp:positionH relativeFrom="page">
              <wp:posOffset>1443990</wp:posOffset>
            </wp:positionH>
            <wp:positionV relativeFrom="paragraph">
              <wp:posOffset>37465</wp:posOffset>
            </wp:positionV>
            <wp:extent cx="122555" cy="125730"/>
            <wp:effectExtent l="0" t="0" r="0" b="0"/>
            <wp:wrapNone/>
            <wp:docPr id="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png"/>
                    <pic:cNvPicPr>
                      <a:picLocks noChangeAspect="1"/>
                    </pic:cNvPicPr>
                  </pic:nvPicPr>
                  <pic:blipFill>
                    <a:blip r:embed="rId37" cstate="print"/>
                    <a:stretch>
                      <a:fillRect/>
                    </a:stretch>
                  </pic:blipFill>
                  <pic:spPr>
                    <a:xfrm>
                      <a:off x="0" y="0"/>
                      <a:ext cx="122388" cy="125745"/>
                    </a:xfrm>
                    <a:prstGeom prst="rect">
                      <a:avLst/>
                    </a:prstGeom>
                  </pic:spPr>
                </pic:pic>
              </a:graphicData>
            </a:graphic>
          </wp:anchor>
        </w:drawing>
      </w:r>
      <w:r>
        <w:rPr>
          <w:rFonts w:ascii="Times New Roman" w:hAnsi="Times New Roman" w:eastAsia="Times New Roman"/>
        </w:rPr>
        <w:t>——</w:t>
      </w:r>
      <w:r>
        <w:rPr>
          <w:spacing w:val="3"/>
        </w:rPr>
        <w:t>采用估算模型计算出的第</w:t>
      </w:r>
      <w:r>
        <w:rPr>
          <w:rFonts w:ascii="Times New Roman" w:hAnsi="Times New Roman" w:eastAsia="Times New Roman"/>
        </w:rPr>
        <w:t>i</w:t>
      </w:r>
      <w:r>
        <w:rPr>
          <w:rFonts w:ascii="Times New Roman" w:hAnsi="Times New Roman" w:eastAsia="Times New Roman"/>
          <w:spacing w:val="-17"/>
        </w:rPr>
        <w:t xml:space="preserve"> </w:t>
      </w:r>
      <w:r>
        <w:rPr>
          <w:spacing w:val="-10"/>
        </w:rPr>
        <w:t xml:space="preserve">个污染物的最大 </w:t>
      </w:r>
      <w:r>
        <w:rPr>
          <w:rFonts w:ascii="Times New Roman" w:hAnsi="Times New Roman" w:eastAsia="Times New Roman"/>
        </w:rPr>
        <w:t>1h</w:t>
      </w:r>
      <w:r>
        <w:rPr>
          <w:rFonts w:ascii="Times New Roman" w:hAnsi="Times New Roman" w:eastAsia="Times New Roman"/>
          <w:spacing w:val="-17"/>
        </w:rPr>
        <w:t xml:space="preserve"> </w:t>
      </w:r>
      <w:r>
        <w:rPr>
          <w:spacing w:val="-14"/>
        </w:rPr>
        <w:t>地面空气质量浓度，</w:t>
      </w:r>
      <w:r>
        <w:rPr>
          <w:rFonts w:ascii="Times New Roman" w:hAnsi="Times New Roman" w:eastAsia="Times New Roman"/>
        </w:rPr>
        <w:t>μ</w:t>
      </w:r>
      <w:r>
        <w:rPr>
          <w:rFonts w:ascii="Times New Roman" w:hAnsi="Times New Roman" w:eastAsia="Times New Roman"/>
          <w:spacing w:val="-3"/>
        </w:rPr>
        <w:t>g</w:t>
      </w:r>
      <w:r>
        <w:rPr>
          <w:rFonts w:ascii="Times New Roman" w:hAnsi="Times New Roman" w:eastAsia="Times New Roman"/>
        </w:rPr>
        <w:t>/m</w:t>
      </w:r>
      <w:r>
        <w:rPr>
          <w:rFonts w:ascii="Times New Roman" w:hAnsi="Times New Roman" w:eastAsia="Times New Roman"/>
          <w:spacing w:val="1"/>
          <w:w w:val="104"/>
          <w:position w:val="8"/>
          <w:sz w:val="15"/>
        </w:rPr>
        <w:t>3</w:t>
      </w:r>
      <w:r>
        <w:t>；</w:t>
      </w:r>
    </w:p>
    <w:p>
      <w:pPr>
        <w:pStyle w:val="9"/>
        <w:spacing w:before="173"/>
        <w:ind w:left="2560"/>
      </w:pPr>
      <w:r>
        <w:drawing>
          <wp:anchor distT="0" distB="0" distL="0" distR="0" simplePos="0" relativeHeight="251726848" behindDoc="0" locked="0" layoutInCell="1" allowOverlap="1">
            <wp:simplePos x="0" y="0"/>
            <wp:positionH relativeFrom="page">
              <wp:posOffset>1443990</wp:posOffset>
            </wp:positionH>
            <wp:positionV relativeFrom="paragraph">
              <wp:posOffset>106045</wp:posOffset>
            </wp:positionV>
            <wp:extent cx="183515" cy="125730"/>
            <wp:effectExtent l="0" t="0" r="0" b="0"/>
            <wp:wrapNone/>
            <wp:docPr id="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png"/>
                    <pic:cNvPicPr>
                      <a:picLocks noChangeAspect="1"/>
                    </pic:cNvPicPr>
                  </pic:nvPicPr>
                  <pic:blipFill>
                    <a:blip r:embed="rId38" cstate="print"/>
                    <a:stretch>
                      <a:fillRect/>
                    </a:stretch>
                  </pic:blipFill>
                  <pic:spPr>
                    <a:xfrm>
                      <a:off x="0" y="0"/>
                      <a:ext cx="183489" cy="125745"/>
                    </a:xfrm>
                    <a:prstGeom prst="rect">
                      <a:avLst/>
                    </a:prstGeom>
                  </pic:spPr>
                </pic:pic>
              </a:graphicData>
            </a:graphic>
          </wp:anchor>
        </w:drawing>
      </w:r>
      <w:r>
        <w:rPr>
          <w:rFonts w:ascii="Times New Roman" w:hAnsi="Times New Roman" w:eastAsia="Times New Roman"/>
        </w:rPr>
        <w:t>——</w:t>
      </w:r>
      <w:r>
        <w:t xml:space="preserve">第 </w:t>
      </w:r>
      <w:r>
        <w:rPr>
          <w:rFonts w:ascii="Times New Roman" w:hAnsi="Times New Roman" w:eastAsia="Times New Roman"/>
        </w:rPr>
        <w:t xml:space="preserve">i </w:t>
      </w:r>
      <w:r>
        <w:t>个污染物的环境空气质量浓度标准，</w:t>
      </w:r>
      <w:r>
        <w:rPr>
          <w:rFonts w:ascii="Times New Roman" w:hAnsi="Times New Roman" w:eastAsia="Times New Roman"/>
        </w:rPr>
        <w:t>μg/m</w:t>
      </w:r>
      <w:r>
        <w:rPr>
          <w:rFonts w:ascii="Times New Roman" w:hAnsi="Times New Roman" w:eastAsia="Times New Roman"/>
          <w:position w:val="8"/>
          <w:sz w:val="15"/>
        </w:rPr>
        <w:t>3</w:t>
      </w:r>
      <w:r>
        <w:t>。</w:t>
      </w:r>
    </w:p>
    <w:p>
      <w:pPr>
        <w:pStyle w:val="18"/>
        <w:numPr>
          <w:ilvl w:val="0"/>
          <w:numId w:val="70"/>
        </w:numPr>
        <w:tabs>
          <w:tab w:val="left" w:pos="2500"/>
        </w:tabs>
        <w:spacing w:before="28" w:after="0" w:line="240" w:lineRule="auto"/>
        <w:ind w:left="2499" w:right="0" w:hanging="602"/>
        <w:jc w:val="left"/>
        <w:rPr>
          <w:sz w:val="24"/>
        </w:rPr>
      </w:pPr>
      <w:r>
        <w:rPr>
          <w:sz w:val="24"/>
        </w:rPr>
        <w:t>评价等级判别表</w:t>
      </w:r>
    </w:p>
    <w:p>
      <w:pPr>
        <w:pStyle w:val="9"/>
        <w:spacing w:before="158"/>
        <w:ind w:left="1898"/>
      </w:pPr>
      <w:r>
        <w:t>评价等级按下表的分级判据进行划分</w:t>
      </w:r>
    </w:p>
    <w:p>
      <w:pPr>
        <w:pStyle w:val="9"/>
        <w:spacing w:before="10"/>
        <w:rPr>
          <w:sz w:val="21"/>
        </w:rPr>
      </w:pPr>
    </w:p>
    <w:p>
      <w:pPr>
        <w:spacing w:before="0" w:after="4"/>
        <w:ind w:left="5" w:right="0" w:firstLine="0"/>
        <w:jc w:val="center"/>
        <w:rPr>
          <w:b/>
          <w:sz w:val="21"/>
        </w:rPr>
      </w:pPr>
      <w:r>
        <w:rPr>
          <w:b/>
          <w:spacing w:val="-28"/>
          <w:sz w:val="21"/>
        </w:rPr>
        <w:t xml:space="preserve">表 </w:t>
      </w:r>
      <w:r>
        <w:rPr>
          <w:rFonts w:ascii="Times New Roman" w:eastAsia="Times New Roman"/>
          <w:b/>
          <w:sz w:val="21"/>
        </w:rPr>
        <w:t>7.3-1</w:t>
      </w:r>
      <w:r>
        <w:rPr>
          <w:rFonts w:ascii="Times New Roman" w:eastAsia="Times New Roman"/>
          <w:b/>
          <w:spacing w:val="52"/>
          <w:sz w:val="21"/>
        </w:rPr>
        <w:t xml:space="preserve"> </w:t>
      </w:r>
      <w:r>
        <w:rPr>
          <w:b/>
          <w:sz w:val="21"/>
        </w:rPr>
        <w:t>评价等级判别表</w:t>
      </w: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593"/>
        <w:gridCol w:w="469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1" w:hRule="atLeast"/>
        </w:trPr>
        <w:tc>
          <w:tcPr>
            <w:tcW w:w="4593" w:type="dxa"/>
            <w:tcBorders>
              <w:bottom w:val="single" w:color="000000" w:sz="4" w:space="0"/>
              <w:right w:val="single" w:color="000000" w:sz="4" w:space="0"/>
            </w:tcBorders>
          </w:tcPr>
          <w:p>
            <w:pPr>
              <w:pStyle w:val="19"/>
              <w:spacing w:before="75"/>
              <w:ind w:left="1644" w:right="1634"/>
              <w:rPr>
                <w:sz w:val="21"/>
              </w:rPr>
            </w:pPr>
            <w:r>
              <w:rPr>
                <w:sz w:val="21"/>
              </w:rPr>
              <w:t>评价工作等级</w:t>
            </w:r>
          </w:p>
        </w:tc>
        <w:tc>
          <w:tcPr>
            <w:tcW w:w="4691" w:type="dxa"/>
            <w:tcBorders>
              <w:left w:val="single" w:color="000000" w:sz="4" w:space="0"/>
              <w:bottom w:val="single" w:color="000000" w:sz="4" w:space="0"/>
            </w:tcBorders>
          </w:tcPr>
          <w:p>
            <w:pPr>
              <w:pStyle w:val="19"/>
              <w:spacing w:before="75"/>
              <w:ind w:left="1489" w:right="1467"/>
              <w:rPr>
                <w:sz w:val="21"/>
              </w:rPr>
            </w:pPr>
            <w:r>
              <w:rPr>
                <w:sz w:val="21"/>
              </w:rPr>
              <w:t>评价工作分级判据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trPr>
        <w:tc>
          <w:tcPr>
            <w:tcW w:w="4593" w:type="dxa"/>
            <w:tcBorders>
              <w:top w:val="single" w:color="000000" w:sz="4" w:space="0"/>
              <w:bottom w:val="single" w:color="000000" w:sz="4" w:space="0"/>
              <w:right w:val="single" w:color="000000" w:sz="4" w:space="0"/>
            </w:tcBorders>
          </w:tcPr>
          <w:p>
            <w:pPr>
              <w:pStyle w:val="19"/>
              <w:spacing w:before="64"/>
              <w:ind w:left="1642" w:right="1634"/>
              <w:rPr>
                <w:sz w:val="21"/>
              </w:rPr>
            </w:pPr>
            <w:r>
              <w:rPr>
                <w:sz w:val="21"/>
              </w:rPr>
              <w:t>一级评价</w:t>
            </w:r>
          </w:p>
        </w:tc>
        <w:tc>
          <w:tcPr>
            <w:tcW w:w="4691" w:type="dxa"/>
            <w:tcBorders>
              <w:top w:val="single" w:color="000000" w:sz="4" w:space="0"/>
              <w:left w:val="single" w:color="000000" w:sz="4" w:space="0"/>
              <w:bottom w:val="single" w:color="000000" w:sz="4" w:space="0"/>
            </w:tcBorders>
          </w:tcPr>
          <w:p>
            <w:pPr>
              <w:pStyle w:val="19"/>
              <w:spacing w:before="64"/>
              <w:ind w:left="1489" w:right="1463"/>
              <w:rPr>
                <w:rFonts w:ascii="Times New Roman" w:hAnsi="Times New Roman"/>
                <w:sz w:val="21"/>
              </w:rPr>
            </w:pPr>
            <w:r>
              <w:rPr>
                <w:rFonts w:ascii="Times New Roman" w:hAnsi="Times New Roman"/>
                <w:sz w:val="21"/>
              </w:rPr>
              <w:t>Pmax</w:t>
            </w:r>
            <w:r>
              <w:rPr>
                <w:sz w:val="21"/>
              </w:rPr>
              <w:t>≧</w:t>
            </w:r>
            <w:r>
              <w:rPr>
                <w:rFonts w:ascii="Times New Roman" w:hAns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1" w:hRule="atLeast"/>
        </w:trPr>
        <w:tc>
          <w:tcPr>
            <w:tcW w:w="4593" w:type="dxa"/>
            <w:tcBorders>
              <w:top w:val="single" w:color="000000" w:sz="4" w:space="0"/>
              <w:bottom w:val="single" w:color="000000" w:sz="4" w:space="0"/>
              <w:right w:val="single" w:color="000000" w:sz="4" w:space="0"/>
            </w:tcBorders>
          </w:tcPr>
          <w:p>
            <w:pPr>
              <w:pStyle w:val="19"/>
              <w:spacing w:before="75"/>
              <w:ind w:left="1642" w:right="1634"/>
              <w:rPr>
                <w:sz w:val="21"/>
              </w:rPr>
            </w:pPr>
            <w:r>
              <w:rPr>
                <w:sz w:val="21"/>
              </w:rPr>
              <w:t>二级评价</w:t>
            </w:r>
          </w:p>
        </w:tc>
        <w:tc>
          <w:tcPr>
            <w:tcW w:w="4691" w:type="dxa"/>
            <w:tcBorders>
              <w:top w:val="single" w:color="000000" w:sz="4" w:space="0"/>
              <w:left w:val="single" w:color="000000" w:sz="4" w:space="0"/>
              <w:bottom w:val="single" w:color="000000" w:sz="4" w:space="0"/>
            </w:tcBorders>
          </w:tcPr>
          <w:p>
            <w:pPr>
              <w:pStyle w:val="19"/>
              <w:spacing w:before="75"/>
              <w:ind w:left="1489" w:right="1463"/>
              <w:rPr>
                <w:rFonts w:ascii="Times New Roman" w:hAnsi="Times New Roman"/>
                <w:sz w:val="21"/>
              </w:rPr>
            </w:pPr>
            <w:r>
              <w:rPr>
                <w:rFonts w:ascii="Times New Roman" w:hAnsi="Times New Roman"/>
                <w:sz w:val="21"/>
              </w:rPr>
              <w:t>1%</w:t>
            </w:r>
            <w:r>
              <w:rPr>
                <w:sz w:val="21"/>
              </w:rPr>
              <w:t>≦</w:t>
            </w:r>
            <w:r>
              <w:rPr>
                <w:rFonts w:ascii="Times New Roman" w:hAnsi="Times New Roman"/>
                <w:sz w:val="21"/>
              </w:rPr>
              <w:t>Pmax&lt;10%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4593" w:type="dxa"/>
            <w:tcBorders>
              <w:top w:val="single" w:color="000000" w:sz="4" w:space="0"/>
              <w:right w:val="single" w:color="000000" w:sz="4" w:space="0"/>
            </w:tcBorders>
          </w:tcPr>
          <w:p>
            <w:pPr>
              <w:pStyle w:val="19"/>
              <w:spacing w:before="74"/>
              <w:ind w:left="1642" w:right="1634"/>
              <w:rPr>
                <w:sz w:val="21"/>
              </w:rPr>
            </w:pPr>
            <w:r>
              <w:rPr>
                <w:sz w:val="21"/>
              </w:rPr>
              <w:t>三级评价</w:t>
            </w:r>
          </w:p>
        </w:tc>
        <w:tc>
          <w:tcPr>
            <w:tcW w:w="4691" w:type="dxa"/>
            <w:tcBorders>
              <w:top w:val="single" w:color="000000" w:sz="4" w:space="0"/>
              <w:left w:val="single" w:color="000000" w:sz="4" w:space="0"/>
            </w:tcBorders>
          </w:tcPr>
          <w:p>
            <w:pPr>
              <w:pStyle w:val="19"/>
              <w:spacing w:before="88"/>
              <w:ind w:left="1489" w:right="1463"/>
              <w:rPr>
                <w:rFonts w:ascii="Times New Roman"/>
                <w:sz w:val="21"/>
              </w:rPr>
            </w:pPr>
            <w:r>
              <w:rPr>
                <w:rFonts w:ascii="Times New Roman"/>
                <w:sz w:val="21"/>
              </w:rPr>
              <w:t>Pmax&lt;1%</w:t>
            </w:r>
          </w:p>
        </w:tc>
      </w:tr>
    </w:tbl>
    <w:p>
      <w:pPr>
        <w:pStyle w:val="18"/>
        <w:numPr>
          <w:ilvl w:val="0"/>
          <w:numId w:val="70"/>
        </w:numPr>
        <w:tabs>
          <w:tab w:val="left" w:pos="2442"/>
        </w:tabs>
        <w:spacing w:before="146" w:after="0" w:line="240" w:lineRule="auto"/>
        <w:ind w:left="2441" w:right="0" w:hanging="602"/>
        <w:jc w:val="left"/>
        <w:rPr>
          <w:sz w:val="24"/>
        </w:rPr>
      </w:pPr>
      <w:r>
        <w:rPr>
          <w:sz w:val="24"/>
        </w:rPr>
        <w:t>污染物评价标准</w:t>
      </w:r>
    </w:p>
    <w:p>
      <w:pPr>
        <w:pStyle w:val="9"/>
        <w:spacing w:before="172"/>
        <w:ind w:left="1840"/>
      </w:pPr>
      <w:r>
        <w:t>污染物评价标准和来源见下表。</w:t>
      </w:r>
    </w:p>
    <w:p>
      <w:pPr>
        <w:spacing w:before="200" w:after="39"/>
        <w:ind w:left="374" w:right="0" w:firstLine="0"/>
        <w:jc w:val="center"/>
        <w:rPr>
          <w:b/>
          <w:sz w:val="21"/>
        </w:rPr>
      </w:pPr>
      <w:r>
        <w:rPr>
          <w:b/>
          <w:spacing w:val="-28"/>
          <w:sz w:val="21"/>
        </w:rPr>
        <w:t xml:space="preserve">表 </w:t>
      </w:r>
      <w:r>
        <w:rPr>
          <w:rFonts w:ascii="Times New Roman" w:eastAsia="Times New Roman"/>
          <w:b/>
          <w:sz w:val="21"/>
        </w:rPr>
        <w:t>7.3-2</w:t>
      </w:r>
      <w:r>
        <w:rPr>
          <w:rFonts w:ascii="Times New Roman" w:eastAsia="Times New Roman"/>
          <w:b/>
          <w:spacing w:val="52"/>
          <w:sz w:val="21"/>
        </w:rPr>
        <w:t xml:space="preserve"> </w:t>
      </w:r>
      <w:r>
        <w:rPr>
          <w:b/>
          <w:sz w:val="21"/>
        </w:rPr>
        <w:t>污染物评价标准</w:t>
      </w: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37"/>
        <w:gridCol w:w="1551"/>
        <w:gridCol w:w="1551"/>
        <w:gridCol w:w="1551"/>
        <w:gridCol w:w="28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737" w:type="dxa"/>
            <w:tcBorders>
              <w:bottom w:val="single" w:color="000000" w:sz="4" w:space="0"/>
              <w:right w:val="single" w:color="000000" w:sz="4" w:space="0"/>
            </w:tcBorders>
          </w:tcPr>
          <w:p>
            <w:pPr>
              <w:pStyle w:val="19"/>
              <w:spacing w:before="50"/>
              <w:ind w:left="322" w:right="309"/>
              <w:rPr>
                <w:sz w:val="21"/>
              </w:rPr>
            </w:pPr>
            <w:r>
              <w:rPr>
                <w:sz w:val="21"/>
              </w:rPr>
              <w:t>污染物名称</w:t>
            </w:r>
          </w:p>
        </w:tc>
        <w:tc>
          <w:tcPr>
            <w:tcW w:w="1551" w:type="dxa"/>
            <w:tcBorders>
              <w:left w:val="single" w:color="000000" w:sz="4" w:space="0"/>
              <w:bottom w:val="single" w:color="000000" w:sz="4" w:space="0"/>
              <w:right w:val="single" w:color="000000" w:sz="4" w:space="0"/>
            </w:tcBorders>
          </w:tcPr>
          <w:p>
            <w:pPr>
              <w:pStyle w:val="19"/>
              <w:spacing w:before="50"/>
              <w:ind w:left="15"/>
              <w:rPr>
                <w:sz w:val="21"/>
              </w:rPr>
            </w:pPr>
            <w:r>
              <w:rPr>
                <w:sz w:val="21"/>
              </w:rPr>
              <w:t>功能区</w:t>
            </w:r>
          </w:p>
        </w:tc>
        <w:tc>
          <w:tcPr>
            <w:tcW w:w="1551" w:type="dxa"/>
            <w:tcBorders>
              <w:left w:val="single" w:color="000000" w:sz="4" w:space="0"/>
              <w:bottom w:val="single" w:color="000000" w:sz="4" w:space="0"/>
              <w:right w:val="single" w:color="000000" w:sz="4" w:space="0"/>
            </w:tcBorders>
          </w:tcPr>
          <w:p>
            <w:pPr>
              <w:pStyle w:val="19"/>
              <w:spacing w:before="50"/>
              <w:ind w:left="17"/>
              <w:rPr>
                <w:sz w:val="21"/>
              </w:rPr>
            </w:pPr>
            <w:r>
              <w:rPr>
                <w:sz w:val="21"/>
              </w:rPr>
              <w:t>取值时间</w:t>
            </w:r>
          </w:p>
        </w:tc>
        <w:tc>
          <w:tcPr>
            <w:tcW w:w="1551" w:type="dxa"/>
            <w:tcBorders>
              <w:left w:val="single" w:color="000000" w:sz="4" w:space="0"/>
              <w:bottom w:val="single" w:color="000000" w:sz="4" w:space="0"/>
              <w:right w:val="single" w:color="000000" w:sz="4" w:space="0"/>
            </w:tcBorders>
          </w:tcPr>
          <w:p>
            <w:pPr>
              <w:pStyle w:val="19"/>
              <w:spacing w:before="50"/>
              <w:ind w:left="22"/>
              <w:rPr>
                <w:rFonts w:ascii="Times New Roman" w:hAnsi="Times New Roman" w:eastAsia="Times New Roman"/>
                <w:sz w:val="21"/>
              </w:rPr>
            </w:pPr>
            <w:r>
              <w:rPr>
                <w:sz w:val="21"/>
              </w:rPr>
              <w:t>标准值</w:t>
            </w:r>
            <w:r>
              <w:rPr>
                <w:rFonts w:ascii="Times New Roman" w:hAnsi="Times New Roman" w:eastAsia="Times New Roman"/>
                <w:sz w:val="21"/>
              </w:rPr>
              <w:t>(μg/m³)</w:t>
            </w:r>
          </w:p>
        </w:tc>
        <w:tc>
          <w:tcPr>
            <w:tcW w:w="2892" w:type="dxa"/>
            <w:tcBorders>
              <w:left w:val="single" w:color="000000" w:sz="4" w:space="0"/>
              <w:bottom w:val="single" w:color="000000" w:sz="4" w:space="0"/>
            </w:tcBorders>
          </w:tcPr>
          <w:p>
            <w:pPr>
              <w:pStyle w:val="19"/>
              <w:spacing w:before="50"/>
              <w:ind w:left="589" w:right="567"/>
              <w:rPr>
                <w:sz w:val="21"/>
              </w:rPr>
            </w:pPr>
            <w:r>
              <w:rPr>
                <w:sz w:val="21"/>
              </w:rPr>
              <w:t>标准来源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1737" w:type="dxa"/>
            <w:tcBorders>
              <w:top w:val="single" w:color="000000" w:sz="4" w:space="0"/>
              <w:bottom w:val="single" w:color="000000" w:sz="4" w:space="0"/>
              <w:right w:val="single" w:color="000000" w:sz="4" w:space="0"/>
            </w:tcBorders>
          </w:tcPr>
          <w:p>
            <w:pPr>
              <w:pStyle w:val="19"/>
              <w:spacing w:before="65"/>
              <w:ind w:left="322" w:right="306"/>
              <w:rPr>
                <w:rFonts w:ascii="Times New Roman"/>
                <w:sz w:val="21"/>
              </w:rPr>
            </w:pPr>
            <w:r>
              <w:rPr>
                <w:rFonts w:ascii="Times New Roman"/>
                <w:position w:val="2"/>
                <w:sz w:val="21"/>
              </w:rPr>
              <w:t>SO</w:t>
            </w:r>
            <w:r>
              <w:rPr>
                <w:rFonts w:ascii="Times New Roman"/>
                <w:position w:val="2"/>
                <w:sz w:val="21"/>
                <w:vertAlign w:val="subscript"/>
              </w:rPr>
              <w:t>2</w:t>
            </w:r>
          </w:p>
        </w:tc>
        <w:tc>
          <w:tcPr>
            <w:tcW w:w="1551" w:type="dxa"/>
            <w:tcBorders>
              <w:top w:val="single" w:color="000000" w:sz="4" w:space="0"/>
              <w:left w:val="single" w:color="000000" w:sz="4" w:space="0"/>
              <w:bottom w:val="single" w:color="000000" w:sz="4" w:space="0"/>
              <w:right w:val="single" w:color="000000" w:sz="4" w:space="0"/>
            </w:tcBorders>
          </w:tcPr>
          <w:p>
            <w:pPr>
              <w:pStyle w:val="19"/>
              <w:spacing w:before="49"/>
              <w:ind w:left="13"/>
              <w:rPr>
                <w:sz w:val="21"/>
              </w:rPr>
            </w:pPr>
            <w:r>
              <w:rPr>
                <w:sz w:val="21"/>
              </w:rPr>
              <w:t>二类限区</w:t>
            </w:r>
          </w:p>
        </w:tc>
        <w:tc>
          <w:tcPr>
            <w:tcW w:w="1551" w:type="dxa"/>
            <w:tcBorders>
              <w:top w:val="single" w:color="000000" w:sz="4" w:space="0"/>
              <w:left w:val="single" w:color="000000" w:sz="4" w:space="0"/>
              <w:bottom w:val="single" w:color="000000" w:sz="4" w:space="0"/>
              <w:right w:val="single" w:color="000000" w:sz="4" w:space="0"/>
            </w:tcBorders>
          </w:tcPr>
          <w:p>
            <w:pPr>
              <w:pStyle w:val="19"/>
              <w:spacing w:before="49"/>
              <w:ind w:left="14"/>
              <w:rPr>
                <w:sz w:val="21"/>
              </w:rPr>
            </w:pPr>
            <w:r>
              <w:rPr>
                <w:sz w:val="21"/>
              </w:rPr>
              <w:t>一小时</w:t>
            </w:r>
          </w:p>
        </w:tc>
        <w:tc>
          <w:tcPr>
            <w:tcW w:w="1551" w:type="dxa"/>
            <w:tcBorders>
              <w:top w:val="single" w:color="000000" w:sz="4" w:space="0"/>
              <w:left w:val="single" w:color="000000" w:sz="4" w:space="0"/>
              <w:bottom w:val="single" w:color="000000" w:sz="4" w:space="0"/>
              <w:right w:val="single" w:color="000000" w:sz="4" w:space="0"/>
            </w:tcBorders>
          </w:tcPr>
          <w:p>
            <w:pPr>
              <w:pStyle w:val="19"/>
              <w:spacing w:before="68"/>
              <w:ind w:left="19"/>
              <w:rPr>
                <w:rFonts w:ascii="Times New Roman"/>
                <w:sz w:val="21"/>
              </w:rPr>
            </w:pPr>
            <w:r>
              <w:rPr>
                <w:rFonts w:ascii="Times New Roman"/>
                <w:sz w:val="21"/>
              </w:rPr>
              <w:t>500.0</w:t>
            </w:r>
          </w:p>
        </w:tc>
        <w:tc>
          <w:tcPr>
            <w:tcW w:w="2892" w:type="dxa"/>
            <w:vMerge w:val="restart"/>
            <w:tcBorders>
              <w:top w:val="single" w:color="000000" w:sz="4" w:space="0"/>
              <w:left w:val="single" w:color="000000" w:sz="4" w:space="0"/>
            </w:tcBorders>
          </w:tcPr>
          <w:p>
            <w:pPr>
              <w:pStyle w:val="19"/>
              <w:jc w:val="left"/>
              <w:rPr>
                <w:b/>
                <w:sz w:val="20"/>
              </w:rPr>
            </w:pPr>
          </w:p>
          <w:p>
            <w:pPr>
              <w:pStyle w:val="19"/>
              <w:spacing w:before="7"/>
              <w:jc w:val="left"/>
              <w:rPr>
                <w:b/>
                <w:sz w:val="23"/>
              </w:rPr>
            </w:pPr>
          </w:p>
          <w:p>
            <w:pPr>
              <w:pStyle w:val="19"/>
              <w:ind w:left="589" w:right="567"/>
              <w:rPr>
                <w:sz w:val="21"/>
              </w:rPr>
            </w:pPr>
            <w:r>
              <w:rPr>
                <w:sz w:val="21"/>
              </w:rPr>
              <w:t>环境空气质量标准</w:t>
            </w:r>
          </w:p>
          <w:p>
            <w:pPr>
              <w:pStyle w:val="19"/>
              <w:spacing w:before="54"/>
              <w:ind w:left="589" w:right="562"/>
              <w:rPr>
                <w:rFonts w:ascii="Times New Roman"/>
                <w:sz w:val="21"/>
              </w:rPr>
            </w:pPr>
            <w:r>
              <w:rPr>
                <w:rFonts w:ascii="Times New Roman"/>
                <w:sz w:val="21"/>
              </w:rPr>
              <w:t>(GB3095-2012)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737" w:type="dxa"/>
            <w:tcBorders>
              <w:top w:val="single" w:color="000000" w:sz="4" w:space="0"/>
              <w:bottom w:val="single" w:color="000000" w:sz="4" w:space="0"/>
              <w:right w:val="single" w:color="000000" w:sz="4" w:space="0"/>
            </w:tcBorders>
          </w:tcPr>
          <w:p>
            <w:pPr>
              <w:pStyle w:val="19"/>
              <w:spacing w:before="59"/>
              <w:ind w:left="322" w:right="308"/>
              <w:rPr>
                <w:rFonts w:ascii="Times New Roman"/>
                <w:sz w:val="21"/>
              </w:rPr>
            </w:pPr>
            <w:r>
              <w:rPr>
                <w:rFonts w:ascii="Times New Roman"/>
                <w:position w:val="2"/>
                <w:sz w:val="21"/>
              </w:rPr>
              <w:t>PM</w:t>
            </w:r>
            <w:r>
              <w:rPr>
                <w:rFonts w:ascii="Times New Roman"/>
                <w:position w:val="2"/>
                <w:sz w:val="21"/>
                <w:vertAlign w:val="subscript"/>
              </w:rPr>
              <w:t>10</w:t>
            </w:r>
          </w:p>
        </w:tc>
        <w:tc>
          <w:tcPr>
            <w:tcW w:w="1551" w:type="dxa"/>
            <w:tcBorders>
              <w:top w:val="single" w:color="000000" w:sz="4" w:space="0"/>
              <w:left w:val="single" w:color="000000" w:sz="4" w:space="0"/>
              <w:bottom w:val="single" w:color="000000" w:sz="4" w:space="0"/>
              <w:right w:val="single" w:color="000000" w:sz="4" w:space="0"/>
            </w:tcBorders>
          </w:tcPr>
          <w:p>
            <w:pPr>
              <w:pStyle w:val="19"/>
              <w:spacing w:before="46"/>
              <w:ind w:left="13"/>
              <w:rPr>
                <w:sz w:val="21"/>
              </w:rPr>
            </w:pPr>
            <w:r>
              <w:rPr>
                <w:sz w:val="21"/>
              </w:rPr>
              <w:t>二类限区</w:t>
            </w:r>
          </w:p>
        </w:tc>
        <w:tc>
          <w:tcPr>
            <w:tcW w:w="1551" w:type="dxa"/>
            <w:tcBorders>
              <w:top w:val="single" w:color="000000" w:sz="4" w:space="0"/>
              <w:left w:val="single" w:color="000000" w:sz="4" w:space="0"/>
              <w:bottom w:val="single" w:color="000000" w:sz="4" w:space="0"/>
              <w:right w:val="single" w:color="000000" w:sz="4" w:space="0"/>
            </w:tcBorders>
          </w:tcPr>
          <w:p>
            <w:pPr>
              <w:pStyle w:val="19"/>
              <w:spacing w:before="46"/>
              <w:ind w:left="14"/>
              <w:rPr>
                <w:sz w:val="21"/>
              </w:rPr>
            </w:pPr>
            <w:r>
              <w:rPr>
                <w:sz w:val="21"/>
              </w:rPr>
              <w:t>日均</w:t>
            </w:r>
          </w:p>
        </w:tc>
        <w:tc>
          <w:tcPr>
            <w:tcW w:w="1551" w:type="dxa"/>
            <w:tcBorders>
              <w:top w:val="single" w:color="000000" w:sz="4" w:space="0"/>
              <w:left w:val="single" w:color="000000" w:sz="4" w:space="0"/>
              <w:bottom w:val="single" w:color="000000" w:sz="4" w:space="0"/>
              <w:right w:val="single" w:color="000000" w:sz="4" w:space="0"/>
            </w:tcBorders>
          </w:tcPr>
          <w:p>
            <w:pPr>
              <w:pStyle w:val="19"/>
              <w:spacing w:before="62"/>
              <w:ind w:left="19"/>
              <w:rPr>
                <w:rFonts w:ascii="Times New Roman"/>
                <w:sz w:val="21"/>
              </w:rPr>
            </w:pPr>
            <w:r>
              <w:rPr>
                <w:rFonts w:ascii="Times New Roman"/>
                <w:sz w:val="21"/>
              </w:rPr>
              <w:t>150.0</w:t>
            </w:r>
          </w:p>
        </w:tc>
        <w:tc>
          <w:tcPr>
            <w:tcW w:w="2892"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737" w:type="dxa"/>
            <w:tcBorders>
              <w:top w:val="single" w:color="000000" w:sz="4" w:space="0"/>
              <w:bottom w:val="single" w:color="000000" w:sz="4" w:space="0"/>
              <w:right w:val="single" w:color="000000" w:sz="4" w:space="0"/>
            </w:tcBorders>
          </w:tcPr>
          <w:p>
            <w:pPr>
              <w:pStyle w:val="19"/>
              <w:spacing w:before="62"/>
              <w:ind w:left="322" w:right="308"/>
              <w:rPr>
                <w:rFonts w:ascii="Times New Roman"/>
                <w:sz w:val="21"/>
              </w:rPr>
            </w:pPr>
            <w:r>
              <w:rPr>
                <w:rFonts w:ascii="Times New Roman"/>
                <w:sz w:val="21"/>
              </w:rPr>
              <w:t>NOx</w:t>
            </w:r>
          </w:p>
        </w:tc>
        <w:tc>
          <w:tcPr>
            <w:tcW w:w="1551" w:type="dxa"/>
            <w:tcBorders>
              <w:top w:val="single" w:color="000000" w:sz="4" w:space="0"/>
              <w:left w:val="single" w:color="000000" w:sz="4" w:space="0"/>
              <w:bottom w:val="single" w:color="000000" w:sz="4" w:space="0"/>
              <w:right w:val="single" w:color="000000" w:sz="4" w:space="0"/>
            </w:tcBorders>
          </w:tcPr>
          <w:p>
            <w:pPr>
              <w:pStyle w:val="19"/>
              <w:spacing w:before="45"/>
              <w:ind w:left="13"/>
              <w:rPr>
                <w:sz w:val="21"/>
              </w:rPr>
            </w:pPr>
            <w:r>
              <w:rPr>
                <w:sz w:val="21"/>
              </w:rPr>
              <w:t>二类限区</w:t>
            </w:r>
          </w:p>
        </w:tc>
        <w:tc>
          <w:tcPr>
            <w:tcW w:w="1551" w:type="dxa"/>
            <w:tcBorders>
              <w:top w:val="single" w:color="000000" w:sz="4" w:space="0"/>
              <w:left w:val="single" w:color="000000" w:sz="4" w:space="0"/>
              <w:bottom w:val="single" w:color="000000" w:sz="4" w:space="0"/>
              <w:right w:val="single" w:color="000000" w:sz="4" w:space="0"/>
            </w:tcBorders>
          </w:tcPr>
          <w:p>
            <w:pPr>
              <w:pStyle w:val="19"/>
              <w:spacing w:before="45"/>
              <w:ind w:left="14"/>
              <w:rPr>
                <w:sz w:val="21"/>
              </w:rPr>
            </w:pPr>
            <w:r>
              <w:rPr>
                <w:sz w:val="21"/>
              </w:rPr>
              <w:t>一小时</w:t>
            </w:r>
          </w:p>
        </w:tc>
        <w:tc>
          <w:tcPr>
            <w:tcW w:w="1551" w:type="dxa"/>
            <w:tcBorders>
              <w:top w:val="single" w:color="000000" w:sz="4" w:space="0"/>
              <w:left w:val="single" w:color="000000" w:sz="4" w:space="0"/>
              <w:bottom w:val="single" w:color="000000" w:sz="4" w:space="0"/>
              <w:right w:val="single" w:color="000000" w:sz="4" w:space="0"/>
            </w:tcBorders>
          </w:tcPr>
          <w:p>
            <w:pPr>
              <w:pStyle w:val="19"/>
              <w:spacing w:before="62"/>
              <w:ind w:left="19"/>
              <w:rPr>
                <w:rFonts w:ascii="Times New Roman"/>
                <w:sz w:val="21"/>
              </w:rPr>
            </w:pPr>
            <w:r>
              <w:rPr>
                <w:rFonts w:ascii="Times New Roman"/>
                <w:sz w:val="21"/>
              </w:rPr>
              <w:t>250.0</w:t>
            </w:r>
          </w:p>
        </w:tc>
        <w:tc>
          <w:tcPr>
            <w:tcW w:w="2892"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1737" w:type="dxa"/>
            <w:tcBorders>
              <w:top w:val="single" w:color="000000" w:sz="4" w:space="0"/>
              <w:right w:val="single" w:color="000000" w:sz="4" w:space="0"/>
            </w:tcBorders>
          </w:tcPr>
          <w:p>
            <w:pPr>
              <w:pStyle w:val="19"/>
              <w:spacing w:before="61"/>
              <w:ind w:left="320" w:right="309"/>
              <w:rPr>
                <w:rFonts w:ascii="Times New Roman"/>
                <w:sz w:val="21"/>
              </w:rPr>
            </w:pPr>
            <w:r>
              <w:rPr>
                <w:rFonts w:ascii="Times New Roman"/>
                <w:sz w:val="21"/>
              </w:rPr>
              <w:t>TSP</w:t>
            </w:r>
          </w:p>
        </w:tc>
        <w:tc>
          <w:tcPr>
            <w:tcW w:w="1551" w:type="dxa"/>
            <w:tcBorders>
              <w:top w:val="single" w:color="000000" w:sz="4" w:space="0"/>
              <w:left w:val="single" w:color="000000" w:sz="4" w:space="0"/>
              <w:right w:val="single" w:color="000000" w:sz="4" w:space="0"/>
            </w:tcBorders>
          </w:tcPr>
          <w:p>
            <w:pPr>
              <w:pStyle w:val="19"/>
              <w:spacing w:before="45"/>
              <w:ind w:left="13"/>
              <w:rPr>
                <w:sz w:val="21"/>
              </w:rPr>
            </w:pPr>
            <w:r>
              <w:rPr>
                <w:sz w:val="21"/>
              </w:rPr>
              <w:t>二类限区</w:t>
            </w:r>
          </w:p>
        </w:tc>
        <w:tc>
          <w:tcPr>
            <w:tcW w:w="1551" w:type="dxa"/>
            <w:tcBorders>
              <w:top w:val="single" w:color="000000" w:sz="4" w:space="0"/>
              <w:left w:val="single" w:color="000000" w:sz="4" w:space="0"/>
              <w:right w:val="single" w:color="000000" w:sz="4" w:space="0"/>
            </w:tcBorders>
          </w:tcPr>
          <w:p>
            <w:pPr>
              <w:pStyle w:val="19"/>
              <w:spacing w:before="45"/>
              <w:ind w:left="14"/>
              <w:rPr>
                <w:sz w:val="21"/>
              </w:rPr>
            </w:pPr>
            <w:r>
              <w:rPr>
                <w:sz w:val="21"/>
              </w:rPr>
              <w:t>日均</w:t>
            </w:r>
          </w:p>
        </w:tc>
        <w:tc>
          <w:tcPr>
            <w:tcW w:w="1551" w:type="dxa"/>
            <w:tcBorders>
              <w:top w:val="single" w:color="000000" w:sz="4" w:space="0"/>
              <w:left w:val="single" w:color="000000" w:sz="4" w:space="0"/>
              <w:right w:val="single" w:color="000000" w:sz="4" w:space="0"/>
            </w:tcBorders>
          </w:tcPr>
          <w:p>
            <w:pPr>
              <w:pStyle w:val="19"/>
              <w:spacing w:before="61"/>
              <w:ind w:left="19"/>
              <w:rPr>
                <w:rFonts w:ascii="Times New Roman"/>
                <w:sz w:val="21"/>
              </w:rPr>
            </w:pPr>
            <w:r>
              <w:rPr>
                <w:rFonts w:ascii="Times New Roman"/>
                <w:sz w:val="21"/>
              </w:rPr>
              <w:t>300.0</w:t>
            </w:r>
          </w:p>
        </w:tc>
        <w:tc>
          <w:tcPr>
            <w:tcW w:w="2892" w:type="dxa"/>
            <w:vMerge w:val="continue"/>
            <w:tcBorders>
              <w:top w:val="nil"/>
              <w:left w:val="single" w:color="000000" w:sz="4" w:space="0"/>
            </w:tcBorders>
          </w:tcPr>
          <w:p>
            <w:pPr>
              <w:rPr>
                <w:sz w:val="2"/>
                <w:szCs w:val="2"/>
              </w:rPr>
            </w:pPr>
          </w:p>
        </w:tc>
      </w:tr>
    </w:tbl>
    <w:p>
      <w:pPr>
        <w:pStyle w:val="9"/>
        <w:spacing w:before="6"/>
        <w:rPr>
          <w:b/>
          <w:sz w:val="5"/>
        </w:rPr>
      </w:pPr>
    </w:p>
    <w:p>
      <w:pPr>
        <w:spacing w:after="0"/>
        <w:rPr>
          <w:sz w:val="5"/>
        </w:rPr>
        <w:sectPr>
          <w:pgSz w:w="11910" w:h="16840"/>
          <w:pgMar w:top="1480" w:right="0" w:bottom="880" w:left="0" w:header="0" w:footer="681" w:gutter="0"/>
        </w:sectPr>
      </w:pPr>
    </w:p>
    <w:p>
      <w:pPr>
        <w:pStyle w:val="18"/>
        <w:numPr>
          <w:ilvl w:val="1"/>
          <w:numId w:val="24"/>
        </w:numPr>
        <w:tabs>
          <w:tab w:val="left" w:pos="2121"/>
        </w:tabs>
        <w:spacing w:before="76" w:after="0" w:line="240" w:lineRule="auto"/>
        <w:ind w:left="2120" w:right="0" w:hanging="281"/>
        <w:jc w:val="left"/>
        <w:rPr>
          <w:sz w:val="24"/>
        </w:rPr>
      </w:pPr>
      <w:r>
        <w:rPr>
          <w:spacing w:val="-4"/>
          <w:sz w:val="24"/>
        </w:rPr>
        <w:t>污染源参数</w:t>
      </w:r>
    </w:p>
    <w:p>
      <w:pPr>
        <w:pStyle w:val="9"/>
        <w:rPr>
          <w:sz w:val="22"/>
        </w:rPr>
      </w:pPr>
      <w:r>
        <w:br w:type="column"/>
      </w:r>
    </w:p>
    <w:p>
      <w:pPr>
        <w:pStyle w:val="9"/>
        <w:spacing w:before="6"/>
        <w:rPr>
          <w:sz w:val="19"/>
        </w:rPr>
      </w:pPr>
    </w:p>
    <w:p>
      <w:pPr>
        <w:spacing w:before="0"/>
        <w:ind w:left="653" w:right="0" w:firstLine="0"/>
        <w:jc w:val="left"/>
        <w:rPr>
          <w:rFonts w:ascii="Times New Roman" w:eastAsia="Times New Roman"/>
          <w:b/>
          <w:sz w:val="21"/>
        </w:rPr>
      </w:pPr>
      <w:r>
        <w:rPr>
          <w:b/>
          <w:spacing w:val="-28"/>
          <w:sz w:val="21"/>
        </w:rPr>
        <w:t xml:space="preserve">表 </w:t>
      </w:r>
      <w:r>
        <w:rPr>
          <w:rFonts w:ascii="Times New Roman" w:eastAsia="Times New Roman"/>
          <w:b/>
          <w:sz w:val="21"/>
        </w:rPr>
        <w:t>7.3-3</w:t>
      </w:r>
      <w:r>
        <w:rPr>
          <w:rFonts w:ascii="Times New Roman" w:eastAsia="Times New Roman"/>
          <w:b/>
          <w:spacing w:val="52"/>
          <w:sz w:val="21"/>
        </w:rPr>
        <w:t xml:space="preserve"> </w:t>
      </w:r>
      <w:r>
        <w:rPr>
          <w:b/>
          <w:sz w:val="21"/>
        </w:rPr>
        <w:t>主要废气污染源参数一览表</w:t>
      </w:r>
      <w:r>
        <w:rPr>
          <w:rFonts w:ascii="Times New Roman" w:eastAsia="Times New Roman"/>
          <w:b/>
          <w:sz w:val="21"/>
        </w:rPr>
        <w:t>(</w:t>
      </w:r>
      <w:r>
        <w:rPr>
          <w:b/>
          <w:sz w:val="21"/>
        </w:rPr>
        <w:t>点源</w:t>
      </w:r>
      <w:r>
        <w:rPr>
          <w:rFonts w:ascii="Times New Roman" w:eastAsia="Times New Roman"/>
          <w:b/>
          <w:sz w:val="21"/>
        </w:rPr>
        <w:t>)</w:t>
      </w:r>
    </w:p>
    <w:p>
      <w:pPr>
        <w:spacing w:after="0"/>
        <w:jc w:val="left"/>
        <w:rPr>
          <w:rFonts w:ascii="Times New Roman" w:eastAsia="Times New Roman"/>
          <w:sz w:val="21"/>
        </w:rPr>
        <w:sectPr>
          <w:type w:val="continuous"/>
          <w:pgSz w:w="11910" w:h="16840"/>
          <w:pgMar w:top="1580" w:right="0" w:bottom="280" w:left="0" w:header="720" w:footer="720" w:gutter="0"/>
          <w:cols w:equalWidth="0" w:num="2">
            <w:col w:w="3320" w:space="40"/>
            <w:col w:w="8550"/>
          </w:cols>
        </w:sectPr>
      </w:pP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94"/>
        <w:gridCol w:w="1155"/>
        <w:gridCol w:w="1155"/>
        <w:gridCol w:w="694"/>
        <w:gridCol w:w="694"/>
        <w:gridCol w:w="694"/>
        <w:gridCol w:w="695"/>
        <w:gridCol w:w="699"/>
        <w:gridCol w:w="695"/>
        <w:gridCol w:w="695"/>
        <w:gridCol w:w="697"/>
        <w:gridCol w:w="68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694" w:type="dxa"/>
            <w:tcBorders>
              <w:bottom w:val="nil"/>
              <w:right w:val="single" w:color="000000" w:sz="4" w:space="0"/>
            </w:tcBorders>
          </w:tcPr>
          <w:p>
            <w:pPr>
              <w:pStyle w:val="19"/>
              <w:jc w:val="left"/>
              <w:rPr>
                <w:rFonts w:ascii="Times New Roman"/>
                <w:b/>
                <w:sz w:val="20"/>
              </w:rPr>
            </w:pPr>
          </w:p>
          <w:p>
            <w:pPr>
              <w:pStyle w:val="19"/>
              <w:jc w:val="left"/>
              <w:rPr>
                <w:rFonts w:ascii="Times New Roman"/>
                <w:b/>
                <w:sz w:val="21"/>
              </w:rPr>
            </w:pPr>
          </w:p>
          <w:p>
            <w:pPr>
              <w:pStyle w:val="19"/>
              <w:spacing w:before="1"/>
              <w:ind w:left="115" w:right="103"/>
              <w:rPr>
                <w:sz w:val="21"/>
              </w:rPr>
            </w:pPr>
            <w:r>
              <w:rPr>
                <w:sz w:val="21"/>
              </w:rPr>
              <w:t>污染</w:t>
            </w:r>
          </w:p>
        </w:tc>
        <w:tc>
          <w:tcPr>
            <w:tcW w:w="2310" w:type="dxa"/>
            <w:gridSpan w:val="2"/>
            <w:tcBorders>
              <w:left w:val="single" w:color="000000" w:sz="4" w:space="0"/>
              <w:bottom w:val="single" w:color="000000" w:sz="4" w:space="0"/>
              <w:right w:val="single" w:color="000000" w:sz="4" w:space="0"/>
            </w:tcBorders>
          </w:tcPr>
          <w:p>
            <w:pPr>
              <w:pStyle w:val="19"/>
              <w:spacing w:before="93"/>
              <w:ind w:left="192" w:right="177"/>
              <w:rPr>
                <w:sz w:val="21"/>
              </w:rPr>
            </w:pPr>
            <w:r>
              <w:rPr>
                <w:sz w:val="21"/>
              </w:rPr>
              <w:t>排气筒底部中心坐标</w:t>
            </w:r>
          </w:p>
          <w:p>
            <w:pPr>
              <w:pStyle w:val="19"/>
              <w:spacing w:before="54"/>
              <w:ind w:left="192" w:right="172"/>
              <w:rPr>
                <w:rFonts w:ascii="Times New Roman" w:hAnsi="Times New Roman"/>
                <w:sz w:val="21"/>
              </w:rPr>
            </w:pPr>
            <w:r>
              <w:rPr>
                <w:rFonts w:ascii="Times New Roman" w:hAnsi="Times New Roman"/>
                <w:sz w:val="21"/>
              </w:rPr>
              <w:t>(°)</w:t>
            </w:r>
          </w:p>
        </w:tc>
        <w:tc>
          <w:tcPr>
            <w:tcW w:w="694" w:type="dxa"/>
            <w:vMerge w:val="restart"/>
            <w:tcBorders>
              <w:left w:val="single" w:color="000000" w:sz="4" w:space="0"/>
              <w:bottom w:val="single" w:color="000000" w:sz="4" w:space="0"/>
              <w:right w:val="single" w:color="000000" w:sz="4" w:space="0"/>
            </w:tcBorders>
          </w:tcPr>
          <w:p>
            <w:pPr>
              <w:pStyle w:val="19"/>
              <w:spacing w:before="2" w:line="290" w:lineRule="auto"/>
              <w:ind w:left="142" w:right="121"/>
              <w:jc w:val="both"/>
              <w:rPr>
                <w:sz w:val="21"/>
              </w:rPr>
            </w:pPr>
            <w:r>
              <w:rPr>
                <w:sz w:val="21"/>
              </w:rPr>
              <w:t>排气筒底部海拔高度</w:t>
            </w:r>
          </w:p>
          <w:p>
            <w:pPr>
              <w:pStyle w:val="19"/>
              <w:spacing w:before="3"/>
              <w:ind w:left="200"/>
              <w:jc w:val="left"/>
              <w:rPr>
                <w:rFonts w:ascii="Times New Roman"/>
                <w:sz w:val="21"/>
              </w:rPr>
            </w:pPr>
            <w:r>
              <w:rPr>
                <w:rFonts w:ascii="Times New Roman"/>
                <w:sz w:val="21"/>
              </w:rPr>
              <w:t>(m)</w:t>
            </w:r>
          </w:p>
        </w:tc>
        <w:tc>
          <w:tcPr>
            <w:tcW w:w="2782" w:type="dxa"/>
            <w:gridSpan w:val="4"/>
            <w:tcBorders>
              <w:left w:val="single" w:color="000000" w:sz="4" w:space="0"/>
              <w:bottom w:val="single" w:color="000000" w:sz="4" w:space="0"/>
              <w:right w:val="single" w:color="000000" w:sz="4" w:space="0"/>
            </w:tcBorders>
          </w:tcPr>
          <w:p>
            <w:pPr>
              <w:pStyle w:val="19"/>
              <w:spacing w:before="7"/>
              <w:jc w:val="left"/>
              <w:rPr>
                <w:rFonts w:ascii="Times New Roman"/>
                <w:b/>
                <w:sz w:val="20"/>
              </w:rPr>
            </w:pPr>
          </w:p>
          <w:p>
            <w:pPr>
              <w:pStyle w:val="19"/>
              <w:ind w:left="869"/>
              <w:jc w:val="left"/>
              <w:rPr>
                <w:sz w:val="21"/>
              </w:rPr>
            </w:pPr>
            <w:r>
              <w:rPr>
                <w:sz w:val="21"/>
              </w:rPr>
              <w:t>排气筒参数</w:t>
            </w:r>
          </w:p>
        </w:tc>
        <w:tc>
          <w:tcPr>
            <w:tcW w:w="2770" w:type="dxa"/>
            <w:gridSpan w:val="4"/>
            <w:tcBorders>
              <w:left w:val="single" w:color="000000" w:sz="4" w:space="0"/>
              <w:bottom w:val="single" w:color="000000" w:sz="4" w:space="0"/>
            </w:tcBorders>
          </w:tcPr>
          <w:p>
            <w:pPr>
              <w:pStyle w:val="19"/>
              <w:spacing w:before="7"/>
              <w:jc w:val="left"/>
              <w:rPr>
                <w:rFonts w:ascii="Times New Roman"/>
                <w:b/>
                <w:sz w:val="20"/>
              </w:rPr>
            </w:pPr>
          </w:p>
          <w:p>
            <w:pPr>
              <w:pStyle w:val="19"/>
              <w:ind w:left="398"/>
              <w:jc w:val="left"/>
              <w:rPr>
                <w:rFonts w:ascii="Times New Roman" w:eastAsia="Times New Roman"/>
                <w:sz w:val="21"/>
              </w:rPr>
            </w:pPr>
            <w:r>
              <w:rPr>
                <w:sz w:val="21"/>
              </w:rPr>
              <w:t>污染物排放速率</w:t>
            </w:r>
            <w:r>
              <w:rPr>
                <w:rFonts w:ascii="Times New Roman" w:eastAsia="Times New Roman"/>
                <w:sz w:val="21"/>
              </w:rPr>
              <w:t>(kg/h)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9" w:hRule="atLeast"/>
        </w:trPr>
        <w:tc>
          <w:tcPr>
            <w:tcW w:w="694" w:type="dxa"/>
            <w:tcBorders>
              <w:top w:val="nil"/>
              <w:bottom w:val="nil"/>
              <w:right w:val="single" w:color="000000" w:sz="4" w:space="0"/>
            </w:tcBorders>
          </w:tcPr>
          <w:p>
            <w:pPr>
              <w:pStyle w:val="19"/>
              <w:spacing w:line="220" w:lineRule="exact"/>
              <w:ind w:left="115" w:right="103"/>
              <w:rPr>
                <w:sz w:val="21"/>
              </w:rPr>
            </w:pPr>
            <w:r>
              <w:rPr>
                <w:sz w:val="21"/>
              </w:rPr>
              <w:t>源名</w:t>
            </w:r>
          </w:p>
        </w:tc>
        <w:tc>
          <w:tcPr>
            <w:tcW w:w="1155" w:type="dxa"/>
            <w:tcBorders>
              <w:top w:val="single" w:color="000000" w:sz="4" w:space="0"/>
              <w:left w:val="single" w:color="000000" w:sz="4" w:space="0"/>
              <w:bottom w:val="nil"/>
              <w:right w:val="single" w:color="000000" w:sz="4" w:space="0"/>
            </w:tcBorders>
          </w:tcPr>
          <w:p>
            <w:pPr>
              <w:pStyle w:val="19"/>
              <w:jc w:val="left"/>
              <w:rPr>
                <w:rFonts w:ascii="Times New Roman"/>
                <w:sz w:val="16"/>
              </w:rPr>
            </w:pPr>
          </w:p>
        </w:tc>
        <w:tc>
          <w:tcPr>
            <w:tcW w:w="1155" w:type="dxa"/>
            <w:tcBorders>
              <w:top w:val="single" w:color="000000" w:sz="4" w:space="0"/>
              <w:left w:val="single" w:color="000000" w:sz="4" w:space="0"/>
              <w:bottom w:val="nil"/>
              <w:right w:val="single" w:color="000000" w:sz="4" w:space="0"/>
            </w:tcBorders>
          </w:tcPr>
          <w:p>
            <w:pPr>
              <w:pStyle w:val="19"/>
              <w:jc w:val="left"/>
              <w:rPr>
                <w:rFonts w:ascii="Times New Roman"/>
                <w:sz w:val="16"/>
              </w:rPr>
            </w:pPr>
          </w:p>
        </w:tc>
        <w:tc>
          <w:tcPr>
            <w:tcW w:w="694" w:type="dxa"/>
            <w:vMerge w:val="continue"/>
            <w:tcBorders>
              <w:top w:val="nil"/>
              <w:left w:val="single" w:color="000000" w:sz="4" w:space="0"/>
              <w:bottom w:val="single" w:color="000000" w:sz="4" w:space="0"/>
              <w:right w:val="single" w:color="000000" w:sz="4" w:space="0"/>
            </w:tcBorders>
          </w:tcPr>
          <w:p>
            <w:pPr>
              <w:rPr>
                <w:sz w:val="2"/>
                <w:szCs w:val="2"/>
              </w:rPr>
            </w:pPr>
          </w:p>
        </w:tc>
        <w:tc>
          <w:tcPr>
            <w:tcW w:w="694" w:type="dxa"/>
            <w:tcBorders>
              <w:top w:val="single" w:color="000000" w:sz="4" w:space="0"/>
              <w:left w:val="single" w:color="000000" w:sz="4" w:space="0"/>
              <w:bottom w:val="nil"/>
              <w:right w:val="single" w:color="000000" w:sz="4" w:space="0"/>
            </w:tcBorders>
          </w:tcPr>
          <w:p>
            <w:pPr>
              <w:pStyle w:val="19"/>
              <w:jc w:val="left"/>
              <w:rPr>
                <w:rFonts w:ascii="Times New Roman"/>
                <w:sz w:val="16"/>
              </w:rPr>
            </w:pPr>
          </w:p>
        </w:tc>
        <w:tc>
          <w:tcPr>
            <w:tcW w:w="694" w:type="dxa"/>
            <w:tcBorders>
              <w:top w:val="single" w:color="000000" w:sz="4" w:space="0"/>
              <w:left w:val="single" w:color="000000" w:sz="4" w:space="0"/>
              <w:bottom w:val="nil"/>
              <w:right w:val="single" w:color="000000" w:sz="4" w:space="0"/>
            </w:tcBorders>
          </w:tcPr>
          <w:p>
            <w:pPr>
              <w:pStyle w:val="19"/>
              <w:jc w:val="left"/>
              <w:rPr>
                <w:rFonts w:ascii="Times New Roman"/>
                <w:sz w:val="16"/>
              </w:rPr>
            </w:pPr>
          </w:p>
        </w:tc>
        <w:tc>
          <w:tcPr>
            <w:tcW w:w="695" w:type="dxa"/>
            <w:tcBorders>
              <w:top w:val="single" w:color="000000" w:sz="4" w:space="0"/>
              <w:left w:val="single" w:color="000000" w:sz="4" w:space="0"/>
              <w:bottom w:val="nil"/>
              <w:right w:val="single" w:color="000000" w:sz="4" w:space="0"/>
            </w:tcBorders>
          </w:tcPr>
          <w:p>
            <w:pPr>
              <w:pStyle w:val="19"/>
              <w:jc w:val="left"/>
              <w:rPr>
                <w:rFonts w:ascii="Times New Roman"/>
                <w:sz w:val="16"/>
              </w:rPr>
            </w:pPr>
          </w:p>
        </w:tc>
        <w:tc>
          <w:tcPr>
            <w:tcW w:w="699" w:type="dxa"/>
            <w:tcBorders>
              <w:top w:val="single" w:color="000000" w:sz="4" w:space="0"/>
              <w:left w:val="single" w:color="000000" w:sz="4" w:space="0"/>
              <w:bottom w:val="nil"/>
              <w:right w:val="single" w:color="000000" w:sz="4" w:space="0"/>
            </w:tcBorders>
          </w:tcPr>
          <w:p>
            <w:pPr>
              <w:pStyle w:val="19"/>
              <w:jc w:val="left"/>
              <w:rPr>
                <w:rFonts w:ascii="Times New Roman"/>
                <w:sz w:val="16"/>
              </w:rPr>
            </w:pPr>
          </w:p>
        </w:tc>
        <w:tc>
          <w:tcPr>
            <w:tcW w:w="695" w:type="dxa"/>
            <w:tcBorders>
              <w:top w:val="single" w:color="000000" w:sz="4" w:space="0"/>
              <w:left w:val="single" w:color="000000" w:sz="4" w:space="0"/>
              <w:bottom w:val="nil"/>
              <w:right w:val="single" w:color="000000" w:sz="4" w:space="0"/>
            </w:tcBorders>
          </w:tcPr>
          <w:p>
            <w:pPr>
              <w:pStyle w:val="19"/>
              <w:jc w:val="left"/>
              <w:rPr>
                <w:rFonts w:ascii="Times New Roman"/>
                <w:sz w:val="16"/>
              </w:rPr>
            </w:pPr>
          </w:p>
        </w:tc>
        <w:tc>
          <w:tcPr>
            <w:tcW w:w="695" w:type="dxa"/>
            <w:tcBorders>
              <w:top w:val="single" w:color="000000" w:sz="4" w:space="0"/>
              <w:left w:val="single" w:color="000000" w:sz="4" w:space="0"/>
              <w:bottom w:val="nil"/>
              <w:right w:val="single" w:color="000000" w:sz="4" w:space="0"/>
            </w:tcBorders>
          </w:tcPr>
          <w:p>
            <w:pPr>
              <w:pStyle w:val="19"/>
              <w:jc w:val="left"/>
              <w:rPr>
                <w:rFonts w:ascii="Times New Roman"/>
                <w:sz w:val="16"/>
              </w:rPr>
            </w:pPr>
          </w:p>
        </w:tc>
        <w:tc>
          <w:tcPr>
            <w:tcW w:w="697" w:type="dxa"/>
            <w:tcBorders>
              <w:top w:val="single" w:color="000000" w:sz="4" w:space="0"/>
              <w:left w:val="single" w:color="000000" w:sz="4" w:space="0"/>
              <w:bottom w:val="nil"/>
              <w:right w:val="single" w:color="000000" w:sz="4" w:space="0"/>
            </w:tcBorders>
          </w:tcPr>
          <w:p>
            <w:pPr>
              <w:pStyle w:val="19"/>
              <w:jc w:val="left"/>
              <w:rPr>
                <w:rFonts w:ascii="Times New Roman"/>
                <w:sz w:val="16"/>
              </w:rPr>
            </w:pPr>
          </w:p>
        </w:tc>
        <w:tc>
          <w:tcPr>
            <w:tcW w:w="683" w:type="dxa"/>
            <w:tcBorders>
              <w:top w:val="single" w:color="000000" w:sz="4" w:space="0"/>
              <w:left w:val="single" w:color="000000" w:sz="4" w:space="0"/>
              <w:bottom w:val="nil"/>
            </w:tcBorders>
          </w:tcPr>
          <w:p>
            <w:pPr>
              <w:pStyle w:val="19"/>
              <w:jc w:val="left"/>
              <w:rPr>
                <w:rFonts w:ascii="Times New Roman"/>
                <w:sz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4" w:hRule="atLeast"/>
        </w:trPr>
        <w:tc>
          <w:tcPr>
            <w:tcW w:w="694" w:type="dxa"/>
            <w:tcBorders>
              <w:top w:val="nil"/>
              <w:bottom w:val="single" w:color="000000" w:sz="4" w:space="0"/>
              <w:right w:val="single" w:color="000000" w:sz="4" w:space="0"/>
            </w:tcBorders>
          </w:tcPr>
          <w:p>
            <w:pPr>
              <w:pStyle w:val="19"/>
              <w:spacing w:before="65"/>
              <w:ind w:left="14"/>
              <w:rPr>
                <w:sz w:val="21"/>
              </w:rPr>
            </w:pPr>
            <w:r>
              <w:rPr>
                <w:w w:val="99"/>
                <w:sz w:val="21"/>
              </w:rPr>
              <w:t>称</w:t>
            </w:r>
          </w:p>
        </w:tc>
        <w:tc>
          <w:tcPr>
            <w:tcW w:w="1155" w:type="dxa"/>
            <w:tcBorders>
              <w:top w:val="nil"/>
              <w:left w:val="single" w:color="000000" w:sz="4" w:space="0"/>
              <w:bottom w:val="single" w:color="000000" w:sz="4" w:space="0"/>
              <w:right w:val="single" w:color="000000" w:sz="4" w:space="0"/>
            </w:tcBorders>
          </w:tcPr>
          <w:p>
            <w:pPr>
              <w:pStyle w:val="19"/>
              <w:spacing w:before="144"/>
              <w:ind w:left="76" w:right="60"/>
              <w:rPr>
                <w:sz w:val="21"/>
              </w:rPr>
            </w:pPr>
            <w:r>
              <w:rPr>
                <w:sz w:val="21"/>
              </w:rPr>
              <w:t>经度</w:t>
            </w:r>
          </w:p>
        </w:tc>
        <w:tc>
          <w:tcPr>
            <w:tcW w:w="1155" w:type="dxa"/>
            <w:tcBorders>
              <w:top w:val="nil"/>
              <w:left w:val="single" w:color="000000" w:sz="4" w:space="0"/>
              <w:bottom w:val="single" w:color="000000" w:sz="4" w:space="0"/>
              <w:right w:val="single" w:color="000000" w:sz="4" w:space="0"/>
            </w:tcBorders>
          </w:tcPr>
          <w:p>
            <w:pPr>
              <w:pStyle w:val="19"/>
              <w:spacing w:before="144"/>
              <w:ind w:left="371"/>
              <w:jc w:val="left"/>
              <w:rPr>
                <w:sz w:val="21"/>
              </w:rPr>
            </w:pPr>
            <w:r>
              <w:rPr>
                <w:sz w:val="21"/>
              </w:rPr>
              <w:t>纬度</w:t>
            </w:r>
          </w:p>
        </w:tc>
        <w:tc>
          <w:tcPr>
            <w:tcW w:w="694" w:type="dxa"/>
            <w:vMerge w:val="continue"/>
            <w:tcBorders>
              <w:top w:val="nil"/>
              <w:left w:val="single" w:color="000000" w:sz="4" w:space="0"/>
              <w:bottom w:val="single" w:color="000000" w:sz="4" w:space="0"/>
              <w:right w:val="single" w:color="000000" w:sz="4" w:space="0"/>
            </w:tcBorders>
          </w:tcPr>
          <w:p>
            <w:pPr>
              <w:rPr>
                <w:sz w:val="2"/>
                <w:szCs w:val="2"/>
              </w:rPr>
            </w:pPr>
          </w:p>
        </w:tc>
        <w:tc>
          <w:tcPr>
            <w:tcW w:w="694" w:type="dxa"/>
            <w:tcBorders>
              <w:top w:val="nil"/>
              <w:left w:val="single" w:color="000000" w:sz="4" w:space="0"/>
              <w:bottom w:val="single" w:color="000000" w:sz="4" w:space="0"/>
              <w:right w:val="single" w:color="000000" w:sz="4" w:space="0"/>
            </w:tcBorders>
          </w:tcPr>
          <w:p>
            <w:pPr>
              <w:pStyle w:val="19"/>
              <w:ind w:left="142"/>
              <w:jc w:val="left"/>
              <w:rPr>
                <w:sz w:val="21"/>
              </w:rPr>
            </w:pPr>
            <w:r>
              <w:rPr>
                <w:sz w:val="21"/>
              </w:rPr>
              <w:t>高度</w:t>
            </w:r>
          </w:p>
          <w:p>
            <w:pPr>
              <w:pStyle w:val="19"/>
              <w:spacing w:before="55"/>
              <w:ind w:left="199"/>
              <w:jc w:val="left"/>
              <w:rPr>
                <w:rFonts w:ascii="Times New Roman"/>
                <w:sz w:val="21"/>
              </w:rPr>
            </w:pPr>
            <w:r>
              <w:rPr>
                <w:rFonts w:ascii="Times New Roman"/>
                <w:sz w:val="21"/>
              </w:rPr>
              <w:t>(m)</w:t>
            </w:r>
          </w:p>
        </w:tc>
        <w:tc>
          <w:tcPr>
            <w:tcW w:w="694" w:type="dxa"/>
            <w:tcBorders>
              <w:top w:val="nil"/>
              <w:left w:val="single" w:color="000000" w:sz="4" w:space="0"/>
              <w:bottom w:val="single" w:color="000000" w:sz="4" w:space="0"/>
              <w:right w:val="single" w:color="000000" w:sz="4" w:space="0"/>
            </w:tcBorders>
          </w:tcPr>
          <w:p>
            <w:pPr>
              <w:pStyle w:val="19"/>
              <w:ind w:left="141"/>
              <w:jc w:val="left"/>
              <w:rPr>
                <w:sz w:val="21"/>
              </w:rPr>
            </w:pPr>
            <w:r>
              <w:rPr>
                <w:sz w:val="21"/>
              </w:rPr>
              <w:t>内径</w:t>
            </w:r>
          </w:p>
          <w:p>
            <w:pPr>
              <w:pStyle w:val="19"/>
              <w:spacing w:before="55"/>
              <w:ind w:left="199"/>
              <w:jc w:val="left"/>
              <w:rPr>
                <w:rFonts w:ascii="Times New Roman"/>
                <w:sz w:val="21"/>
              </w:rPr>
            </w:pPr>
            <w:r>
              <w:rPr>
                <w:rFonts w:ascii="Times New Roman"/>
                <w:sz w:val="21"/>
              </w:rPr>
              <w:t>(m)</w:t>
            </w:r>
          </w:p>
        </w:tc>
        <w:tc>
          <w:tcPr>
            <w:tcW w:w="695" w:type="dxa"/>
            <w:tcBorders>
              <w:top w:val="nil"/>
              <w:left w:val="single" w:color="000000" w:sz="4" w:space="0"/>
              <w:bottom w:val="single" w:color="000000" w:sz="4" w:space="0"/>
              <w:right w:val="single" w:color="000000" w:sz="4" w:space="0"/>
            </w:tcBorders>
          </w:tcPr>
          <w:p>
            <w:pPr>
              <w:pStyle w:val="19"/>
              <w:spacing w:line="250" w:lineRule="exact"/>
              <w:ind w:left="141"/>
              <w:jc w:val="left"/>
              <w:rPr>
                <w:sz w:val="21"/>
              </w:rPr>
            </w:pPr>
            <w:r>
              <w:rPr>
                <w:spacing w:val="-1"/>
                <w:w w:val="95"/>
                <w:sz w:val="21"/>
              </w:rPr>
              <w:t>温度</w:t>
            </w:r>
          </w:p>
          <w:p>
            <w:pPr>
              <w:pStyle w:val="19"/>
              <w:spacing w:before="55"/>
              <w:ind w:left="177"/>
              <w:jc w:val="left"/>
              <w:rPr>
                <w:rFonts w:ascii="Times New Roman" w:hAnsi="Times New Roman"/>
                <w:sz w:val="21"/>
              </w:rPr>
            </w:pPr>
            <w:r>
              <w:rPr>
                <w:rFonts w:ascii="Times New Roman" w:hAnsi="Times New Roman"/>
                <w:sz w:val="21"/>
              </w:rPr>
              <w:t>(</w:t>
            </w:r>
            <w:r>
              <w:rPr>
                <w:sz w:val="21"/>
              </w:rPr>
              <w:t>℃</w:t>
            </w:r>
            <w:r>
              <w:rPr>
                <w:rFonts w:ascii="Times New Roman" w:hAnsi="Times New Roman"/>
                <w:sz w:val="21"/>
              </w:rPr>
              <w:t>)</w:t>
            </w:r>
          </w:p>
        </w:tc>
        <w:tc>
          <w:tcPr>
            <w:tcW w:w="699" w:type="dxa"/>
            <w:tcBorders>
              <w:top w:val="nil"/>
              <w:left w:val="single" w:color="000000" w:sz="4" w:space="0"/>
              <w:bottom w:val="single" w:color="000000" w:sz="4" w:space="0"/>
              <w:right w:val="single" w:color="000000" w:sz="4" w:space="0"/>
            </w:tcBorders>
          </w:tcPr>
          <w:p>
            <w:pPr>
              <w:pStyle w:val="19"/>
              <w:ind w:left="142"/>
              <w:jc w:val="left"/>
              <w:rPr>
                <w:sz w:val="21"/>
              </w:rPr>
            </w:pPr>
            <w:r>
              <w:rPr>
                <w:spacing w:val="-1"/>
                <w:w w:val="95"/>
                <w:sz w:val="21"/>
              </w:rPr>
              <w:t>流速</w:t>
            </w:r>
          </w:p>
          <w:p>
            <w:pPr>
              <w:pStyle w:val="19"/>
              <w:spacing w:before="55"/>
              <w:ind w:left="132"/>
              <w:jc w:val="left"/>
              <w:rPr>
                <w:rFonts w:ascii="Times New Roman"/>
                <w:sz w:val="21"/>
              </w:rPr>
            </w:pPr>
            <w:r>
              <w:rPr>
                <w:rFonts w:ascii="Times New Roman"/>
                <w:sz w:val="21"/>
              </w:rPr>
              <w:t>(m/s)</w:t>
            </w:r>
          </w:p>
        </w:tc>
        <w:tc>
          <w:tcPr>
            <w:tcW w:w="695" w:type="dxa"/>
            <w:tcBorders>
              <w:top w:val="nil"/>
              <w:left w:val="single" w:color="000000" w:sz="4" w:space="0"/>
              <w:bottom w:val="single" w:color="000000" w:sz="4" w:space="0"/>
              <w:right w:val="single" w:color="000000" w:sz="4" w:space="0"/>
            </w:tcBorders>
          </w:tcPr>
          <w:p>
            <w:pPr>
              <w:pStyle w:val="19"/>
              <w:spacing w:before="157"/>
              <w:ind w:left="146" w:right="127"/>
              <w:rPr>
                <w:rFonts w:ascii="Times New Roman"/>
                <w:sz w:val="21"/>
              </w:rPr>
            </w:pPr>
            <w:r>
              <w:rPr>
                <w:rFonts w:ascii="Times New Roman"/>
                <w:position w:val="2"/>
                <w:sz w:val="21"/>
              </w:rPr>
              <w:t>NO</w:t>
            </w:r>
            <w:r>
              <w:rPr>
                <w:rFonts w:ascii="Times New Roman"/>
                <w:position w:val="2"/>
                <w:sz w:val="21"/>
                <w:vertAlign w:val="subscript"/>
              </w:rPr>
              <w:t>x</w:t>
            </w:r>
          </w:p>
        </w:tc>
        <w:tc>
          <w:tcPr>
            <w:tcW w:w="695" w:type="dxa"/>
            <w:tcBorders>
              <w:top w:val="nil"/>
              <w:left w:val="single" w:color="000000" w:sz="4" w:space="0"/>
              <w:bottom w:val="single" w:color="000000" w:sz="4" w:space="0"/>
              <w:right w:val="single" w:color="000000" w:sz="4" w:space="0"/>
            </w:tcBorders>
          </w:tcPr>
          <w:p>
            <w:pPr>
              <w:pStyle w:val="19"/>
              <w:spacing w:before="157"/>
              <w:ind w:left="146" w:right="127"/>
              <w:rPr>
                <w:rFonts w:ascii="Times New Roman"/>
                <w:sz w:val="21"/>
              </w:rPr>
            </w:pPr>
            <w:r>
              <w:rPr>
                <w:rFonts w:ascii="Times New Roman"/>
                <w:position w:val="2"/>
                <w:sz w:val="21"/>
              </w:rPr>
              <w:t>NO</w:t>
            </w:r>
            <w:r>
              <w:rPr>
                <w:rFonts w:ascii="Times New Roman"/>
                <w:position w:val="2"/>
                <w:sz w:val="21"/>
                <w:vertAlign w:val="subscript"/>
              </w:rPr>
              <w:t>2</w:t>
            </w:r>
          </w:p>
        </w:tc>
        <w:tc>
          <w:tcPr>
            <w:tcW w:w="697" w:type="dxa"/>
            <w:tcBorders>
              <w:top w:val="nil"/>
              <w:left w:val="single" w:color="000000" w:sz="4" w:space="0"/>
              <w:bottom w:val="single" w:color="000000" w:sz="4" w:space="0"/>
              <w:right w:val="single" w:color="000000" w:sz="4" w:space="0"/>
            </w:tcBorders>
          </w:tcPr>
          <w:p>
            <w:pPr>
              <w:pStyle w:val="19"/>
              <w:spacing w:before="157"/>
              <w:ind w:left="148" w:right="129"/>
              <w:rPr>
                <w:rFonts w:ascii="Times New Roman"/>
                <w:sz w:val="21"/>
              </w:rPr>
            </w:pPr>
            <w:r>
              <w:rPr>
                <w:rFonts w:ascii="Times New Roman"/>
                <w:position w:val="2"/>
                <w:sz w:val="21"/>
              </w:rPr>
              <w:t>SO</w:t>
            </w:r>
            <w:r>
              <w:rPr>
                <w:rFonts w:ascii="Times New Roman"/>
                <w:position w:val="2"/>
                <w:sz w:val="21"/>
                <w:vertAlign w:val="subscript"/>
              </w:rPr>
              <w:t>2</w:t>
            </w:r>
          </w:p>
        </w:tc>
        <w:tc>
          <w:tcPr>
            <w:tcW w:w="683" w:type="dxa"/>
            <w:tcBorders>
              <w:top w:val="nil"/>
              <w:left w:val="single" w:color="000000" w:sz="4" w:space="0"/>
              <w:bottom w:val="single" w:color="000000" w:sz="4" w:space="0"/>
            </w:tcBorders>
          </w:tcPr>
          <w:p>
            <w:pPr>
              <w:pStyle w:val="19"/>
              <w:spacing w:before="157"/>
              <w:ind w:left="106" w:right="82"/>
              <w:rPr>
                <w:rFonts w:ascii="Times New Roman"/>
                <w:sz w:val="21"/>
              </w:rPr>
            </w:pPr>
            <w:r>
              <w:rPr>
                <w:rFonts w:ascii="Times New Roman"/>
                <w:position w:val="2"/>
                <w:sz w:val="21"/>
              </w:rPr>
              <w:t>PM</w:t>
            </w:r>
            <w:r>
              <w:rPr>
                <w:rFonts w:ascii="Times New Roman"/>
                <w:position w:val="2"/>
                <w:sz w:val="21"/>
                <w:vertAlign w:val="subscript"/>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694" w:type="dxa"/>
            <w:tcBorders>
              <w:top w:val="single" w:color="000000" w:sz="4" w:space="0"/>
              <w:bottom w:val="single" w:color="000000" w:sz="4" w:space="0"/>
              <w:right w:val="single" w:color="000000" w:sz="4" w:space="0"/>
            </w:tcBorders>
          </w:tcPr>
          <w:p>
            <w:pPr>
              <w:pStyle w:val="19"/>
              <w:spacing w:before="2" w:line="288" w:lineRule="auto"/>
              <w:ind w:left="136" w:right="122"/>
              <w:jc w:val="left"/>
              <w:rPr>
                <w:sz w:val="21"/>
              </w:rPr>
            </w:pPr>
            <w:r>
              <w:rPr>
                <w:spacing w:val="-8"/>
                <w:sz w:val="21"/>
              </w:rPr>
              <w:t>主井</w:t>
            </w:r>
            <w:r>
              <w:rPr>
                <w:spacing w:val="-9"/>
                <w:w w:val="95"/>
                <w:sz w:val="21"/>
              </w:rPr>
              <w:t>暖风</w:t>
            </w:r>
          </w:p>
          <w:p>
            <w:pPr>
              <w:pStyle w:val="19"/>
              <w:spacing w:before="7"/>
              <w:ind w:left="136"/>
              <w:jc w:val="left"/>
              <w:rPr>
                <w:sz w:val="21"/>
              </w:rPr>
            </w:pPr>
            <w:r>
              <w:rPr>
                <w:spacing w:val="-1"/>
                <w:w w:val="95"/>
                <w:sz w:val="21"/>
              </w:rPr>
              <w:t>炉房</w:t>
            </w:r>
          </w:p>
        </w:tc>
        <w:tc>
          <w:tcPr>
            <w:tcW w:w="1155" w:type="dxa"/>
            <w:tcBorders>
              <w:top w:val="single" w:color="000000" w:sz="4" w:space="0"/>
              <w:left w:val="single" w:color="000000" w:sz="4" w:space="0"/>
              <w:bottom w:val="single" w:color="000000" w:sz="4" w:space="0"/>
              <w:right w:val="single" w:color="000000" w:sz="4" w:space="0"/>
            </w:tcBorders>
          </w:tcPr>
          <w:p>
            <w:pPr>
              <w:pStyle w:val="19"/>
              <w:spacing w:before="4"/>
              <w:jc w:val="left"/>
              <w:rPr>
                <w:rFonts w:ascii="Times New Roman"/>
                <w:b/>
                <w:sz w:val="28"/>
              </w:rPr>
            </w:pPr>
          </w:p>
          <w:p>
            <w:pPr>
              <w:pStyle w:val="19"/>
              <w:ind w:left="94" w:right="60"/>
              <w:rPr>
                <w:rFonts w:ascii="Times New Roman" w:hAnsi="Times New Roman"/>
                <w:sz w:val="21"/>
              </w:rPr>
            </w:pPr>
            <w:r>
              <w:rPr>
                <w:rFonts w:ascii="Times New Roman" w:hAnsi="Times New Roman"/>
                <w:spacing w:val="-23"/>
                <w:sz w:val="21"/>
              </w:rPr>
              <w:t>131</w:t>
            </w:r>
            <w:r>
              <w:rPr>
                <w:spacing w:val="-23"/>
                <w:sz w:val="21"/>
              </w:rPr>
              <w:t>°</w:t>
            </w:r>
            <w:r>
              <w:rPr>
                <w:rFonts w:ascii="Times New Roman" w:hAnsi="Times New Roman"/>
                <w:spacing w:val="-23"/>
                <w:sz w:val="21"/>
              </w:rPr>
              <w:t>5'59.80"</w:t>
            </w:r>
          </w:p>
        </w:tc>
        <w:tc>
          <w:tcPr>
            <w:tcW w:w="1155" w:type="dxa"/>
            <w:tcBorders>
              <w:top w:val="single" w:color="000000" w:sz="4" w:space="0"/>
              <w:left w:val="single" w:color="000000" w:sz="4" w:space="0"/>
              <w:bottom w:val="single" w:color="000000" w:sz="4" w:space="0"/>
              <w:right w:val="single" w:color="000000" w:sz="4" w:space="0"/>
            </w:tcBorders>
          </w:tcPr>
          <w:p>
            <w:pPr>
              <w:pStyle w:val="19"/>
              <w:spacing w:before="4"/>
              <w:jc w:val="left"/>
              <w:rPr>
                <w:rFonts w:ascii="Times New Roman"/>
                <w:b/>
                <w:sz w:val="28"/>
              </w:rPr>
            </w:pPr>
          </w:p>
          <w:p>
            <w:pPr>
              <w:pStyle w:val="19"/>
              <w:ind w:left="111"/>
              <w:jc w:val="left"/>
              <w:rPr>
                <w:rFonts w:ascii="Times New Roman" w:hAnsi="Times New Roman"/>
                <w:sz w:val="21"/>
              </w:rPr>
            </w:pPr>
            <w:r>
              <w:rPr>
                <w:rFonts w:ascii="Times New Roman" w:hAnsi="Times New Roman"/>
                <w:spacing w:val="-23"/>
                <w:sz w:val="21"/>
              </w:rPr>
              <w:t>46</w:t>
            </w:r>
            <w:r>
              <w:rPr>
                <w:spacing w:val="-23"/>
                <w:sz w:val="21"/>
              </w:rPr>
              <w:t>°</w:t>
            </w:r>
            <w:r>
              <w:rPr>
                <w:rFonts w:ascii="Times New Roman" w:hAnsi="Times New Roman"/>
                <w:spacing w:val="-23"/>
                <w:sz w:val="21"/>
              </w:rPr>
              <w:t>24'40.53"</w:t>
            </w:r>
          </w:p>
        </w:tc>
        <w:tc>
          <w:tcPr>
            <w:tcW w:w="694" w:type="dxa"/>
            <w:tcBorders>
              <w:top w:val="single" w:color="000000" w:sz="4" w:space="0"/>
              <w:left w:val="single" w:color="000000" w:sz="4" w:space="0"/>
              <w:bottom w:val="single" w:color="000000" w:sz="4" w:space="0"/>
              <w:right w:val="single" w:color="000000" w:sz="4" w:space="0"/>
            </w:tcBorders>
          </w:tcPr>
          <w:p>
            <w:pPr>
              <w:pStyle w:val="19"/>
              <w:spacing w:before="11"/>
              <w:jc w:val="left"/>
              <w:rPr>
                <w:rFonts w:ascii="Times New Roman"/>
                <w:b/>
                <w:sz w:val="29"/>
              </w:rPr>
            </w:pPr>
          </w:p>
          <w:p>
            <w:pPr>
              <w:pStyle w:val="19"/>
              <w:ind w:left="193"/>
              <w:jc w:val="left"/>
              <w:rPr>
                <w:rFonts w:ascii="Times New Roman"/>
                <w:sz w:val="21"/>
              </w:rPr>
            </w:pPr>
            <w:r>
              <w:rPr>
                <w:rFonts w:ascii="Times New Roman"/>
                <w:sz w:val="21"/>
              </w:rPr>
              <w:t>349</w:t>
            </w:r>
          </w:p>
        </w:tc>
        <w:tc>
          <w:tcPr>
            <w:tcW w:w="694" w:type="dxa"/>
            <w:tcBorders>
              <w:top w:val="single" w:color="000000" w:sz="4" w:space="0"/>
              <w:left w:val="single" w:color="000000" w:sz="4" w:space="0"/>
              <w:bottom w:val="single" w:color="000000" w:sz="4" w:space="0"/>
              <w:right w:val="single" w:color="000000" w:sz="4" w:space="0"/>
            </w:tcBorders>
          </w:tcPr>
          <w:p>
            <w:pPr>
              <w:pStyle w:val="19"/>
              <w:spacing w:before="11"/>
              <w:jc w:val="left"/>
              <w:rPr>
                <w:rFonts w:ascii="Times New Roman"/>
                <w:b/>
                <w:sz w:val="29"/>
              </w:rPr>
            </w:pPr>
          </w:p>
          <w:p>
            <w:pPr>
              <w:pStyle w:val="19"/>
              <w:ind w:left="196" w:right="180"/>
              <w:rPr>
                <w:rFonts w:ascii="Times New Roman"/>
                <w:sz w:val="21"/>
              </w:rPr>
            </w:pPr>
            <w:r>
              <w:rPr>
                <w:rFonts w:ascii="Times New Roman"/>
                <w:sz w:val="21"/>
              </w:rPr>
              <w:t>30</w:t>
            </w:r>
          </w:p>
        </w:tc>
        <w:tc>
          <w:tcPr>
            <w:tcW w:w="694" w:type="dxa"/>
            <w:tcBorders>
              <w:top w:val="single" w:color="000000" w:sz="4" w:space="0"/>
              <w:left w:val="single" w:color="000000" w:sz="4" w:space="0"/>
              <w:bottom w:val="single" w:color="000000" w:sz="4" w:space="0"/>
              <w:right w:val="single" w:color="000000" w:sz="4" w:space="0"/>
            </w:tcBorders>
          </w:tcPr>
          <w:p>
            <w:pPr>
              <w:pStyle w:val="19"/>
              <w:spacing w:before="11"/>
              <w:jc w:val="left"/>
              <w:rPr>
                <w:rFonts w:ascii="Times New Roman"/>
                <w:b/>
                <w:sz w:val="29"/>
              </w:rPr>
            </w:pPr>
          </w:p>
          <w:p>
            <w:pPr>
              <w:pStyle w:val="19"/>
              <w:ind w:left="198" w:right="180"/>
              <w:rPr>
                <w:rFonts w:ascii="Times New Roman"/>
                <w:sz w:val="21"/>
              </w:rPr>
            </w:pPr>
            <w:r>
              <w:rPr>
                <w:rFonts w:ascii="Times New Roman"/>
                <w:color w:val="FF0000"/>
                <w:sz w:val="21"/>
              </w:rPr>
              <w:t>0.5</w:t>
            </w:r>
          </w:p>
        </w:tc>
        <w:tc>
          <w:tcPr>
            <w:tcW w:w="695" w:type="dxa"/>
            <w:tcBorders>
              <w:top w:val="single" w:color="000000" w:sz="4" w:space="0"/>
              <w:left w:val="single" w:color="000000" w:sz="4" w:space="0"/>
              <w:bottom w:val="single" w:color="000000" w:sz="4" w:space="0"/>
              <w:right w:val="single" w:color="000000" w:sz="4" w:space="0"/>
            </w:tcBorders>
          </w:tcPr>
          <w:p>
            <w:pPr>
              <w:pStyle w:val="19"/>
              <w:spacing w:before="11"/>
              <w:jc w:val="left"/>
              <w:rPr>
                <w:rFonts w:ascii="Times New Roman"/>
                <w:b/>
                <w:sz w:val="29"/>
              </w:rPr>
            </w:pPr>
          </w:p>
          <w:p>
            <w:pPr>
              <w:pStyle w:val="19"/>
              <w:ind w:left="194"/>
              <w:jc w:val="left"/>
              <w:rPr>
                <w:rFonts w:ascii="Times New Roman"/>
                <w:sz w:val="21"/>
              </w:rPr>
            </w:pPr>
            <w:r>
              <w:rPr>
                <w:rFonts w:ascii="Times New Roman"/>
                <w:sz w:val="21"/>
              </w:rPr>
              <w:t>120</w:t>
            </w:r>
          </w:p>
        </w:tc>
        <w:tc>
          <w:tcPr>
            <w:tcW w:w="699" w:type="dxa"/>
            <w:tcBorders>
              <w:top w:val="single" w:color="000000" w:sz="4" w:space="0"/>
              <w:left w:val="single" w:color="000000" w:sz="4" w:space="0"/>
              <w:bottom w:val="single" w:color="000000" w:sz="4" w:space="0"/>
              <w:right w:val="single" w:color="000000" w:sz="4" w:space="0"/>
            </w:tcBorders>
          </w:tcPr>
          <w:p>
            <w:pPr>
              <w:pStyle w:val="19"/>
              <w:spacing w:before="11"/>
              <w:jc w:val="left"/>
              <w:rPr>
                <w:rFonts w:ascii="Times New Roman"/>
                <w:b/>
                <w:sz w:val="29"/>
              </w:rPr>
            </w:pPr>
          </w:p>
          <w:p>
            <w:pPr>
              <w:pStyle w:val="19"/>
              <w:ind w:left="151" w:right="130"/>
              <w:rPr>
                <w:rFonts w:ascii="Times New Roman"/>
                <w:sz w:val="21"/>
              </w:rPr>
            </w:pPr>
            <w:r>
              <w:rPr>
                <w:rFonts w:ascii="Times New Roman"/>
                <w:color w:val="FF0000"/>
                <w:sz w:val="21"/>
              </w:rPr>
              <w:t>1.16</w:t>
            </w:r>
          </w:p>
        </w:tc>
        <w:tc>
          <w:tcPr>
            <w:tcW w:w="695" w:type="dxa"/>
            <w:tcBorders>
              <w:top w:val="single" w:color="000000" w:sz="4" w:space="0"/>
              <w:left w:val="single" w:color="000000" w:sz="4" w:space="0"/>
              <w:bottom w:val="single" w:color="000000" w:sz="4" w:space="0"/>
              <w:right w:val="single" w:color="000000" w:sz="4" w:space="0"/>
            </w:tcBorders>
          </w:tcPr>
          <w:p>
            <w:pPr>
              <w:pStyle w:val="19"/>
              <w:spacing w:before="11"/>
              <w:jc w:val="left"/>
              <w:rPr>
                <w:rFonts w:ascii="Times New Roman"/>
                <w:b/>
                <w:sz w:val="29"/>
              </w:rPr>
            </w:pPr>
          </w:p>
          <w:p>
            <w:pPr>
              <w:pStyle w:val="19"/>
              <w:ind w:left="146" w:right="127"/>
              <w:rPr>
                <w:rFonts w:ascii="Times New Roman"/>
                <w:sz w:val="21"/>
              </w:rPr>
            </w:pPr>
            <w:r>
              <w:rPr>
                <w:rFonts w:ascii="Times New Roman"/>
                <w:color w:val="FF0000"/>
                <w:sz w:val="21"/>
              </w:rPr>
              <w:t>0.13</w:t>
            </w:r>
          </w:p>
        </w:tc>
        <w:tc>
          <w:tcPr>
            <w:tcW w:w="695" w:type="dxa"/>
            <w:tcBorders>
              <w:top w:val="single" w:color="000000" w:sz="4" w:space="0"/>
              <w:left w:val="single" w:color="000000" w:sz="4" w:space="0"/>
              <w:bottom w:val="single" w:color="000000" w:sz="4" w:space="0"/>
              <w:right w:val="single" w:color="000000" w:sz="4" w:space="0"/>
            </w:tcBorders>
          </w:tcPr>
          <w:p>
            <w:pPr>
              <w:pStyle w:val="19"/>
              <w:spacing w:before="11"/>
              <w:jc w:val="left"/>
              <w:rPr>
                <w:rFonts w:ascii="Times New Roman"/>
                <w:b/>
                <w:sz w:val="29"/>
              </w:rPr>
            </w:pPr>
          </w:p>
          <w:p>
            <w:pPr>
              <w:pStyle w:val="19"/>
              <w:ind w:left="146" w:right="125"/>
              <w:rPr>
                <w:rFonts w:ascii="Times New Roman"/>
                <w:sz w:val="21"/>
              </w:rPr>
            </w:pPr>
            <w:r>
              <w:rPr>
                <w:rFonts w:ascii="Times New Roman"/>
                <w:color w:val="FF0000"/>
                <w:sz w:val="21"/>
              </w:rPr>
              <w:t>0.12</w:t>
            </w:r>
          </w:p>
        </w:tc>
        <w:tc>
          <w:tcPr>
            <w:tcW w:w="697" w:type="dxa"/>
            <w:tcBorders>
              <w:top w:val="single" w:color="000000" w:sz="4" w:space="0"/>
              <w:left w:val="single" w:color="000000" w:sz="4" w:space="0"/>
              <w:bottom w:val="single" w:color="000000" w:sz="4" w:space="0"/>
              <w:right w:val="single" w:color="000000" w:sz="4" w:space="0"/>
            </w:tcBorders>
          </w:tcPr>
          <w:p>
            <w:pPr>
              <w:pStyle w:val="19"/>
              <w:spacing w:before="11"/>
              <w:jc w:val="left"/>
              <w:rPr>
                <w:rFonts w:ascii="Times New Roman"/>
                <w:b/>
                <w:sz w:val="29"/>
              </w:rPr>
            </w:pPr>
          </w:p>
          <w:p>
            <w:pPr>
              <w:pStyle w:val="19"/>
              <w:ind w:left="148" w:right="129"/>
              <w:rPr>
                <w:rFonts w:ascii="Times New Roman"/>
                <w:sz w:val="21"/>
              </w:rPr>
            </w:pPr>
            <w:r>
              <w:rPr>
                <w:rFonts w:ascii="Times New Roman"/>
                <w:sz w:val="21"/>
              </w:rPr>
              <w:t>0.02</w:t>
            </w:r>
          </w:p>
        </w:tc>
        <w:tc>
          <w:tcPr>
            <w:tcW w:w="683" w:type="dxa"/>
            <w:tcBorders>
              <w:top w:val="single" w:color="000000" w:sz="4" w:space="0"/>
              <w:left w:val="single" w:color="000000" w:sz="4" w:space="0"/>
              <w:bottom w:val="single" w:color="000000" w:sz="4" w:space="0"/>
            </w:tcBorders>
          </w:tcPr>
          <w:p>
            <w:pPr>
              <w:pStyle w:val="19"/>
              <w:spacing w:before="11"/>
              <w:jc w:val="left"/>
              <w:rPr>
                <w:rFonts w:ascii="Times New Roman"/>
                <w:b/>
                <w:sz w:val="29"/>
              </w:rPr>
            </w:pPr>
          </w:p>
          <w:p>
            <w:pPr>
              <w:pStyle w:val="19"/>
              <w:ind w:left="106" w:right="82"/>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694" w:type="dxa"/>
            <w:tcBorders>
              <w:top w:val="single" w:color="000000" w:sz="4" w:space="0"/>
              <w:bottom w:val="single" w:color="000000" w:sz="4" w:space="0"/>
              <w:right w:val="single" w:color="000000" w:sz="4" w:space="0"/>
            </w:tcBorders>
          </w:tcPr>
          <w:p>
            <w:pPr>
              <w:pStyle w:val="19"/>
              <w:spacing w:line="290" w:lineRule="auto"/>
              <w:ind w:left="136" w:right="122"/>
              <w:jc w:val="left"/>
              <w:rPr>
                <w:sz w:val="21"/>
              </w:rPr>
            </w:pPr>
            <w:r>
              <w:rPr>
                <w:spacing w:val="-8"/>
                <w:sz w:val="21"/>
              </w:rPr>
              <w:t>副井</w:t>
            </w:r>
            <w:r>
              <w:rPr>
                <w:spacing w:val="-9"/>
                <w:w w:val="95"/>
                <w:sz w:val="21"/>
              </w:rPr>
              <w:t>暖风</w:t>
            </w:r>
          </w:p>
          <w:p>
            <w:pPr>
              <w:pStyle w:val="19"/>
              <w:spacing w:before="1"/>
              <w:ind w:left="136"/>
              <w:jc w:val="left"/>
              <w:rPr>
                <w:sz w:val="21"/>
              </w:rPr>
            </w:pPr>
            <w:r>
              <w:rPr>
                <w:spacing w:val="-1"/>
                <w:w w:val="95"/>
                <w:sz w:val="21"/>
              </w:rPr>
              <w:t>炉房</w:t>
            </w:r>
          </w:p>
        </w:tc>
        <w:tc>
          <w:tcPr>
            <w:tcW w:w="1155" w:type="dxa"/>
            <w:tcBorders>
              <w:top w:val="single" w:color="000000" w:sz="4" w:space="0"/>
              <w:left w:val="single" w:color="000000" w:sz="4" w:space="0"/>
              <w:bottom w:val="single" w:color="000000" w:sz="4" w:space="0"/>
              <w:right w:val="single" w:color="000000" w:sz="4" w:space="0"/>
            </w:tcBorders>
          </w:tcPr>
          <w:p>
            <w:pPr>
              <w:pStyle w:val="19"/>
              <w:spacing w:before="4"/>
              <w:jc w:val="left"/>
              <w:rPr>
                <w:rFonts w:ascii="Times New Roman"/>
                <w:b/>
                <w:sz w:val="28"/>
              </w:rPr>
            </w:pPr>
          </w:p>
          <w:p>
            <w:pPr>
              <w:pStyle w:val="19"/>
              <w:ind w:left="94" w:right="60"/>
              <w:rPr>
                <w:rFonts w:ascii="Times New Roman" w:hAnsi="Times New Roman"/>
                <w:sz w:val="21"/>
              </w:rPr>
            </w:pPr>
            <w:r>
              <w:rPr>
                <w:rFonts w:ascii="Times New Roman" w:hAnsi="Times New Roman"/>
                <w:spacing w:val="-23"/>
                <w:sz w:val="21"/>
              </w:rPr>
              <w:t>131</w:t>
            </w:r>
            <w:r>
              <w:rPr>
                <w:spacing w:val="-23"/>
                <w:sz w:val="21"/>
              </w:rPr>
              <w:t>°</w:t>
            </w:r>
            <w:r>
              <w:rPr>
                <w:rFonts w:ascii="Times New Roman" w:hAnsi="Times New Roman"/>
                <w:spacing w:val="-23"/>
                <w:sz w:val="21"/>
              </w:rPr>
              <w:t>6'47.64"</w:t>
            </w:r>
          </w:p>
        </w:tc>
        <w:tc>
          <w:tcPr>
            <w:tcW w:w="1155" w:type="dxa"/>
            <w:tcBorders>
              <w:top w:val="single" w:color="000000" w:sz="4" w:space="0"/>
              <w:left w:val="single" w:color="000000" w:sz="4" w:space="0"/>
              <w:bottom w:val="single" w:color="000000" w:sz="4" w:space="0"/>
              <w:right w:val="single" w:color="000000" w:sz="4" w:space="0"/>
            </w:tcBorders>
          </w:tcPr>
          <w:p>
            <w:pPr>
              <w:pStyle w:val="19"/>
              <w:spacing w:before="4"/>
              <w:jc w:val="left"/>
              <w:rPr>
                <w:rFonts w:ascii="Times New Roman"/>
                <w:b/>
                <w:sz w:val="28"/>
              </w:rPr>
            </w:pPr>
          </w:p>
          <w:p>
            <w:pPr>
              <w:pStyle w:val="19"/>
              <w:ind w:left="111"/>
              <w:jc w:val="left"/>
              <w:rPr>
                <w:rFonts w:ascii="Times New Roman" w:hAnsi="Times New Roman"/>
                <w:sz w:val="21"/>
              </w:rPr>
            </w:pPr>
            <w:r>
              <w:rPr>
                <w:rFonts w:ascii="Times New Roman" w:hAnsi="Times New Roman"/>
                <w:spacing w:val="-23"/>
                <w:sz w:val="21"/>
              </w:rPr>
              <w:t>46</w:t>
            </w:r>
            <w:r>
              <w:rPr>
                <w:spacing w:val="-23"/>
                <w:sz w:val="21"/>
              </w:rPr>
              <w:t>°</w:t>
            </w:r>
            <w:r>
              <w:rPr>
                <w:rFonts w:ascii="Times New Roman" w:hAnsi="Times New Roman"/>
                <w:spacing w:val="-23"/>
                <w:sz w:val="21"/>
              </w:rPr>
              <w:t>24'59.76"</w:t>
            </w:r>
          </w:p>
        </w:tc>
        <w:tc>
          <w:tcPr>
            <w:tcW w:w="6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b/>
                <w:sz w:val="30"/>
              </w:rPr>
            </w:pPr>
          </w:p>
          <w:p>
            <w:pPr>
              <w:pStyle w:val="19"/>
              <w:ind w:left="193"/>
              <w:jc w:val="left"/>
              <w:rPr>
                <w:rFonts w:ascii="Times New Roman"/>
                <w:sz w:val="21"/>
              </w:rPr>
            </w:pPr>
            <w:r>
              <w:rPr>
                <w:rFonts w:ascii="Times New Roman"/>
                <w:sz w:val="21"/>
              </w:rPr>
              <w:t>301</w:t>
            </w:r>
          </w:p>
        </w:tc>
        <w:tc>
          <w:tcPr>
            <w:tcW w:w="6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b/>
                <w:sz w:val="30"/>
              </w:rPr>
            </w:pPr>
          </w:p>
          <w:p>
            <w:pPr>
              <w:pStyle w:val="19"/>
              <w:ind w:left="196" w:right="180"/>
              <w:rPr>
                <w:rFonts w:ascii="Times New Roman"/>
                <w:sz w:val="21"/>
              </w:rPr>
            </w:pPr>
            <w:r>
              <w:rPr>
                <w:rFonts w:ascii="Times New Roman"/>
                <w:sz w:val="21"/>
              </w:rPr>
              <w:t>30</w:t>
            </w:r>
          </w:p>
        </w:tc>
        <w:tc>
          <w:tcPr>
            <w:tcW w:w="69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b/>
                <w:sz w:val="30"/>
              </w:rPr>
            </w:pPr>
          </w:p>
          <w:p>
            <w:pPr>
              <w:pStyle w:val="19"/>
              <w:ind w:left="199" w:right="179"/>
              <w:rPr>
                <w:rFonts w:ascii="Times New Roman"/>
                <w:sz w:val="21"/>
              </w:rPr>
            </w:pPr>
            <w:r>
              <w:rPr>
                <w:rFonts w:ascii="Times New Roman"/>
                <w:sz w:val="21"/>
              </w:rPr>
              <w:t>0.8</w:t>
            </w:r>
          </w:p>
        </w:tc>
        <w:tc>
          <w:tcPr>
            <w:tcW w:w="69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b/>
                <w:sz w:val="30"/>
              </w:rPr>
            </w:pPr>
          </w:p>
          <w:p>
            <w:pPr>
              <w:pStyle w:val="19"/>
              <w:ind w:left="194"/>
              <w:jc w:val="left"/>
              <w:rPr>
                <w:rFonts w:ascii="Times New Roman"/>
                <w:sz w:val="21"/>
              </w:rPr>
            </w:pPr>
            <w:r>
              <w:rPr>
                <w:rFonts w:ascii="Times New Roman"/>
                <w:sz w:val="21"/>
              </w:rPr>
              <w:t>120</w:t>
            </w:r>
          </w:p>
        </w:tc>
        <w:tc>
          <w:tcPr>
            <w:tcW w:w="699"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b/>
                <w:sz w:val="30"/>
              </w:rPr>
            </w:pPr>
          </w:p>
          <w:p>
            <w:pPr>
              <w:pStyle w:val="19"/>
              <w:ind w:left="151" w:right="130"/>
              <w:rPr>
                <w:rFonts w:ascii="Times New Roman"/>
                <w:sz w:val="21"/>
              </w:rPr>
            </w:pPr>
            <w:r>
              <w:rPr>
                <w:rFonts w:ascii="Times New Roman"/>
                <w:sz w:val="21"/>
              </w:rPr>
              <w:t>1.94</w:t>
            </w:r>
          </w:p>
        </w:tc>
        <w:tc>
          <w:tcPr>
            <w:tcW w:w="69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b/>
                <w:sz w:val="30"/>
              </w:rPr>
            </w:pPr>
          </w:p>
          <w:p>
            <w:pPr>
              <w:pStyle w:val="19"/>
              <w:ind w:left="146" w:right="127"/>
              <w:rPr>
                <w:rFonts w:ascii="Times New Roman"/>
                <w:sz w:val="21"/>
              </w:rPr>
            </w:pPr>
            <w:r>
              <w:rPr>
                <w:rFonts w:ascii="Times New Roman"/>
                <w:color w:val="FF0000"/>
                <w:sz w:val="21"/>
              </w:rPr>
              <w:t>0.57</w:t>
            </w:r>
          </w:p>
        </w:tc>
        <w:tc>
          <w:tcPr>
            <w:tcW w:w="69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b/>
                <w:sz w:val="30"/>
              </w:rPr>
            </w:pPr>
          </w:p>
          <w:p>
            <w:pPr>
              <w:pStyle w:val="19"/>
              <w:ind w:left="146" w:right="125"/>
              <w:rPr>
                <w:rFonts w:ascii="Times New Roman"/>
                <w:sz w:val="21"/>
              </w:rPr>
            </w:pPr>
            <w:r>
              <w:rPr>
                <w:rFonts w:ascii="Times New Roman"/>
                <w:color w:val="FF0000"/>
                <w:sz w:val="21"/>
              </w:rPr>
              <w:t>0.51</w:t>
            </w:r>
          </w:p>
        </w:tc>
        <w:tc>
          <w:tcPr>
            <w:tcW w:w="697"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b/>
                <w:sz w:val="30"/>
              </w:rPr>
            </w:pPr>
          </w:p>
          <w:p>
            <w:pPr>
              <w:pStyle w:val="19"/>
              <w:ind w:left="148" w:right="129"/>
              <w:rPr>
                <w:rFonts w:ascii="Times New Roman"/>
                <w:sz w:val="21"/>
              </w:rPr>
            </w:pPr>
            <w:r>
              <w:rPr>
                <w:rFonts w:ascii="Times New Roman"/>
                <w:sz w:val="21"/>
              </w:rPr>
              <w:t>0.08</w:t>
            </w:r>
          </w:p>
        </w:tc>
        <w:tc>
          <w:tcPr>
            <w:tcW w:w="683" w:type="dxa"/>
            <w:tcBorders>
              <w:top w:val="single" w:color="000000" w:sz="4" w:space="0"/>
              <w:left w:val="single" w:color="000000" w:sz="4" w:space="0"/>
              <w:bottom w:val="single" w:color="000000" w:sz="4" w:space="0"/>
            </w:tcBorders>
          </w:tcPr>
          <w:p>
            <w:pPr>
              <w:pStyle w:val="19"/>
              <w:jc w:val="left"/>
              <w:rPr>
                <w:rFonts w:ascii="Times New Roman"/>
                <w:b/>
                <w:sz w:val="30"/>
              </w:rPr>
            </w:pPr>
          </w:p>
          <w:p>
            <w:pPr>
              <w:pStyle w:val="19"/>
              <w:ind w:left="106" w:right="82"/>
              <w:rPr>
                <w:rFonts w:ascii="Times New Roman"/>
                <w:sz w:val="21"/>
              </w:rPr>
            </w:pPr>
            <w:r>
              <w:rPr>
                <w:rFonts w:ascii="Times New Roman"/>
                <w:sz w:val="21"/>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694" w:type="dxa"/>
            <w:tcBorders>
              <w:top w:val="single" w:color="000000" w:sz="4" w:space="0"/>
              <w:right w:val="single" w:color="000000" w:sz="4" w:space="0"/>
            </w:tcBorders>
          </w:tcPr>
          <w:p>
            <w:pPr>
              <w:pStyle w:val="19"/>
              <w:spacing w:before="1" w:line="290" w:lineRule="auto"/>
              <w:ind w:left="136" w:right="122"/>
              <w:rPr>
                <w:sz w:val="21"/>
              </w:rPr>
            </w:pPr>
            <w:r>
              <w:rPr>
                <w:sz w:val="21"/>
              </w:rPr>
              <w:t>副井锅炉</w:t>
            </w:r>
          </w:p>
          <w:p>
            <w:pPr>
              <w:pStyle w:val="19"/>
              <w:spacing w:before="2"/>
              <w:ind w:left="14"/>
              <w:rPr>
                <w:sz w:val="21"/>
              </w:rPr>
            </w:pPr>
            <w:r>
              <w:rPr>
                <w:w w:val="99"/>
                <w:sz w:val="21"/>
              </w:rPr>
              <w:t>房</w:t>
            </w:r>
          </w:p>
        </w:tc>
        <w:tc>
          <w:tcPr>
            <w:tcW w:w="1155" w:type="dxa"/>
            <w:tcBorders>
              <w:top w:val="single" w:color="000000" w:sz="4" w:space="0"/>
              <w:left w:val="single" w:color="000000" w:sz="4" w:space="0"/>
              <w:right w:val="single" w:color="000000" w:sz="4" w:space="0"/>
            </w:tcBorders>
          </w:tcPr>
          <w:p>
            <w:pPr>
              <w:pStyle w:val="19"/>
              <w:spacing w:before="5"/>
              <w:jc w:val="left"/>
              <w:rPr>
                <w:rFonts w:ascii="Times New Roman"/>
                <w:b/>
                <w:sz w:val="28"/>
              </w:rPr>
            </w:pPr>
          </w:p>
          <w:p>
            <w:pPr>
              <w:pStyle w:val="19"/>
              <w:ind w:left="94" w:right="60"/>
              <w:rPr>
                <w:rFonts w:ascii="Times New Roman" w:hAnsi="Times New Roman"/>
                <w:sz w:val="21"/>
              </w:rPr>
            </w:pPr>
            <w:r>
              <w:rPr>
                <w:rFonts w:ascii="Times New Roman" w:hAnsi="Times New Roman"/>
                <w:spacing w:val="-23"/>
                <w:sz w:val="21"/>
              </w:rPr>
              <w:t>131</w:t>
            </w:r>
            <w:r>
              <w:rPr>
                <w:spacing w:val="-23"/>
                <w:sz w:val="21"/>
              </w:rPr>
              <w:t>°</w:t>
            </w:r>
            <w:r>
              <w:rPr>
                <w:rFonts w:ascii="Times New Roman" w:hAnsi="Times New Roman"/>
                <w:spacing w:val="-23"/>
                <w:sz w:val="21"/>
              </w:rPr>
              <w:t>6'55.18"</w:t>
            </w:r>
          </w:p>
        </w:tc>
        <w:tc>
          <w:tcPr>
            <w:tcW w:w="1155" w:type="dxa"/>
            <w:tcBorders>
              <w:top w:val="single" w:color="000000" w:sz="4" w:space="0"/>
              <w:left w:val="single" w:color="000000" w:sz="4" w:space="0"/>
              <w:right w:val="single" w:color="000000" w:sz="4" w:space="0"/>
            </w:tcBorders>
          </w:tcPr>
          <w:p>
            <w:pPr>
              <w:pStyle w:val="19"/>
              <w:spacing w:before="5"/>
              <w:jc w:val="left"/>
              <w:rPr>
                <w:rFonts w:ascii="Times New Roman"/>
                <w:b/>
                <w:sz w:val="28"/>
              </w:rPr>
            </w:pPr>
          </w:p>
          <w:p>
            <w:pPr>
              <w:pStyle w:val="19"/>
              <w:ind w:left="111"/>
              <w:jc w:val="left"/>
              <w:rPr>
                <w:rFonts w:ascii="Times New Roman" w:hAnsi="Times New Roman"/>
                <w:sz w:val="21"/>
              </w:rPr>
            </w:pPr>
            <w:r>
              <w:rPr>
                <w:rFonts w:ascii="Times New Roman" w:hAnsi="Times New Roman"/>
                <w:spacing w:val="-23"/>
                <w:sz w:val="21"/>
              </w:rPr>
              <w:t>46</w:t>
            </w:r>
            <w:r>
              <w:rPr>
                <w:spacing w:val="-23"/>
                <w:sz w:val="21"/>
              </w:rPr>
              <w:t>°</w:t>
            </w:r>
            <w:r>
              <w:rPr>
                <w:rFonts w:ascii="Times New Roman" w:hAnsi="Times New Roman"/>
                <w:spacing w:val="-23"/>
                <w:sz w:val="21"/>
              </w:rPr>
              <w:t>25'0.90"</w:t>
            </w:r>
          </w:p>
        </w:tc>
        <w:tc>
          <w:tcPr>
            <w:tcW w:w="694" w:type="dxa"/>
            <w:tcBorders>
              <w:top w:val="single" w:color="000000" w:sz="4" w:space="0"/>
              <w:left w:val="single" w:color="000000" w:sz="4" w:space="0"/>
              <w:right w:val="single" w:color="000000" w:sz="4" w:space="0"/>
            </w:tcBorders>
          </w:tcPr>
          <w:p>
            <w:pPr>
              <w:pStyle w:val="19"/>
              <w:spacing w:before="10"/>
              <w:jc w:val="left"/>
              <w:rPr>
                <w:rFonts w:ascii="Times New Roman"/>
                <w:b/>
                <w:sz w:val="29"/>
              </w:rPr>
            </w:pPr>
          </w:p>
          <w:p>
            <w:pPr>
              <w:pStyle w:val="19"/>
              <w:ind w:left="193"/>
              <w:jc w:val="left"/>
              <w:rPr>
                <w:rFonts w:ascii="Times New Roman"/>
                <w:sz w:val="21"/>
              </w:rPr>
            </w:pPr>
            <w:r>
              <w:rPr>
                <w:rFonts w:ascii="Times New Roman"/>
                <w:sz w:val="21"/>
              </w:rPr>
              <w:t>308</w:t>
            </w:r>
          </w:p>
        </w:tc>
        <w:tc>
          <w:tcPr>
            <w:tcW w:w="694" w:type="dxa"/>
            <w:tcBorders>
              <w:top w:val="single" w:color="000000" w:sz="4" w:space="0"/>
              <w:left w:val="single" w:color="000000" w:sz="4" w:space="0"/>
              <w:right w:val="single" w:color="000000" w:sz="4" w:space="0"/>
            </w:tcBorders>
          </w:tcPr>
          <w:p>
            <w:pPr>
              <w:pStyle w:val="19"/>
              <w:spacing w:before="10"/>
              <w:jc w:val="left"/>
              <w:rPr>
                <w:rFonts w:ascii="Times New Roman"/>
                <w:b/>
                <w:sz w:val="29"/>
              </w:rPr>
            </w:pPr>
          </w:p>
          <w:p>
            <w:pPr>
              <w:pStyle w:val="19"/>
              <w:ind w:left="196" w:right="180"/>
              <w:rPr>
                <w:rFonts w:ascii="Times New Roman"/>
                <w:sz w:val="21"/>
              </w:rPr>
            </w:pPr>
            <w:r>
              <w:rPr>
                <w:rFonts w:ascii="Times New Roman"/>
                <w:sz w:val="21"/>
              </w:rPr>
              <w:t>30</w:t>
            </w:r>
          </w:p>
        </w:tc>
        <w:tc>
          <w:tcPr>
            <w:tcW w:w="694" w:type="dxa"/>
            <w:tcBorders>
              <w:top w:val="single" w:color="000000" w:sz="4" w:space="0"/>
              <w:left w:val="single" w:color="000000" w:sz="4" w:space="0"/>
              <w:right w:val="single" w:color="000000" w:sz="4" w:space="0"/>
            </w:tcBorders>
          </w:tcPr>
          <w:p>
            <w:pPr>
              <w:pStyle w:val="19"/>
              <w:spacing w:before="10"/>
              <w:jc w:val="left"/>
              <w:rPr>
                <w:rFonts w:ascii="Times New Roman"/>
                <w:b/>
                <w:sz w:val="29"/>
              </w:rPr>
            </w:pPr>
          </w:p>
          <w:p>
            <w:pPr>
              <w:pStyle w:val="19"/>
              <w:ind w:left="199" w:right="179"/>
              <w:rPr>
                <w:rFonts w:ascii="Times New Roman"/>
                <w:sz w:val="21"/>
              </w:rPr>
            </w:pPr>
            <w:r>
              <w:rPr>
                <w:rFonts w:ascii="Times New Roman"/>
                <w:sz w:val="21"/>
              </w:rPr>
              <w:t>0.8</w:t>
            </w:r>
          </w:p>
        </w:tc>
        <w:tc>
          <w:tcPr>
            <w:tcW w:w="695" w:type="dxa"/>
            <w:tcBorders>
              <w:top w:val="single" w:color="000000" w:sz="4" w:space="0"/>
              <w:left w:val="single" w:color="000000" w:sz="4" w:space="0"/>
              <w:right w:val="single" w:color="000000" w:sz="4" w:space="0"/>
            </w:tcBorders>
          </w:tcPr>
          <w:p>
            <w:pPr>
              <w:pStyle w:val="19"/>
              <w:spacing w:before="10"/>
              <w:jc w:val="left"/>
              <w:rPr>
                <w:rFonts w:ascii="Times New Roman"/>
                <w:b/>
                <w:sz w:val="29"/>
              </w:rPr>
            </w:pPr>
          </w:p>
          <w:p>
            <w:pPr>
              <w:pStyle w:val="19"/>
              <w:ind w:left="194"/>
              <w:jc w:val="left"/>
              <w:rPr>
                <w:rFonts w:ascii="Times New Roman"/>
                <w:sz w:val="21"/>
              </w:rPr>
            </w:pPr>
            <w:r>
              <w:rPr>
                <w:rFonts w:ascii="Times New Roman"/>
                <w:sz w:val="21"/>
              </w:rPr>
              <w:t>120</w:t>
            </w:r>
          </w:p>
        </w:tc>
        <w:tc>
          <w:tcPr>
            <w:tcW w:w="699" w:type="dxa"/>
            <w:tcBorders>
              <w:top w:val="single" w:color="000000" w:sz="4" w:space="0"/>
              <w:left w:val="single" w:color="000000" w:sz="4" w:space="0"/>
              <w:right w:val="single" w:color="000000" w:sz="4" w:space="0"/>
            </w:tcBorders>
          </w:tcPr>
          <w:p>
            <w:pPr>
              <w:pStyle w:val="19"/>
              <w:spacing w:before="10"/>
              <w:jc w:val="left"/>
              <w:rPr>
                <w:rFonts w:ascii="Times New Roman"/>
                <w:b/>
                <w:sz w:val="29"/>
              </w:rPr>
            </w:pPr>
          </w:p>
          <w:p>
            <w:pPr>
              <w:pStyle w:val="19"/>
              <w:ind w:left="151" w:right="130"/>
              <w:rPr>
                <w:rFonts w:ascii="Times New Roman"/>
                <w:sz w:val="21"/>
              </w:rPr>
            </w:pPr>
            <w:r>
              <w:rPr>
                <w:rFonts w:ascii="Times New Roman"/>
                <w:sz w:val="21"/>
              </w:rPr>
              <w:t>1.20</w:t>
            </w:r>
          </w:p>
        </w:tc>
        <w:tc>
          <w:tcPr>
            <w:tcW w:w="695" w:type="dxa"/>
            <w:tcBorders>
              <w:top w:val="single" w:color="000000" w:sz="4" w:space="0"/>
              <w:left w:val="single" w:color="000000" w:sz="4" w:space="0"/>
              <w:right w:val="single" w:color="000000" w:sz="4" w:space="0"/>
            </w:tcBorders>
          </w:tcPr>
          <w:p>
            <w:pPr>
              <w:pStyle w:val="19"/>
              <w:spacing w:before="10"/>
              <w:jc w:val="left"/>
              <w:rPr>
                <w:rFonts w:ascii="Times New Roman"/>
                <w:b/>
                <w:sz w:val="29"/>
              </w:rPr>
            </w:pPr>
          </w:p>
          <w:p>
            <w:pPr>
              <w:pStyle w:val="19"/>
              <w:ind w:left="146" w:right="127"/>
              <w:rPr>
                <w:rFonts w:ascii="Times New Roman"/>
                <w:sz w:val="21"/>
              </w:rPr>
            </w:pPr>
            <w:r>
              <w:rPr>
                <w:rFonts w:ascii="Times New Roman"/>
                <w:color w:val="FF0000"/>
                <w:sz w:val="21"/>
              </w:rPr>
              <w:t>0.35</w:t>
            </w:r>
          </w:p>
        </w:tc>
        <w:tc>
          <w:tcPr>
            <w:tcW w:w="695" w:type="dxa"/>
            <w:tcBorders>
              <w:top w:val="single" w:color="000000" w:sz="4" w:space="0"/>
              <w:left w:val="single" w:color="000000" w:sz="4" w:space="0"/>
              <w:right w:val="single" w:color="000000" w:sz="4" w:space="0"/>
            </w:tcBorders>
          </w:tcPr>
          <w:p>
            <w:pPr>
              <w:pStyle w:val="19"/>
              <w:spacing w:before="10"/>
              <w:jc w:val="left"/>
              <w:rPr>
                <w:rFonts w:ascii="Times New Roman"/>
                <w:b/>
                <w:sz w:val="29"/>
              </w:rPr>
            </w:pPr>
          </w:p>
          <w:p>
            <w:pPr>
              <w:pStyle w:val="19"/>
              <w:ind w:left="146" w:right="125"/>
              <w:rPr>
                <w:rFonts w:ascii="Times New Roman"/>
                <w:sz w:val="21"/>
              </w:rPr>
            </w:pPr>
            <w:r>
              <w:rPr>
                <w:rFonts w:ascii="Times New Roman"/>
                <w:color w:val="FF0000"/>
                <w:sz w:val="21"/>
              </w:rPr>
              <w:t>0.32</w:t>
            </w:r>
          </w:p>
        </w:tc>
        <w:tc>
          <w:tcPr>
            <w:tcW w:w="697" w:type="dxa"/>
            <w:tcBorders>
              <w:top w:val="single" w:color="000000" w:sz="4" w:space="0"/>
              <w:left w:val="single" w:color="000000" w:sz="4" w:space="0"/>
              <w:right w:val="single" w:color="000000" w:sz="4" w:space="0"/>
            </w:tcBorders>
          </w:tcPr>
          <w:p>
            <w:pPr>
              <w:pStyle w:val="19"/>
              <w:spacing w:before="10"/>
              <w:jc w:val="left"/>
              <w:rPr>
                <w:rFonts w:ascii="Times New Roman"/>
                <w:b/>
                <w:sz w:val="29"/>
              </w:rPr>
            </w:pPr>
          </w:p>
          <w:p>
            <w:pPr>
              <w:pStyle w:val="19"/>
              <w:ind w:left="148" w:right="129"/>
              <w:rPr>
                <w:rFonts w:ascii="Times New Roman"/>
                <w:sz w:val="21"/>
              </w:rPr>
            </w:pPr>
            <w:r>
              <w:rPr>
                <w:rFonts w:ascii="Times New Roman"/>
                <w:sz w:val="21"/>
              </w:rPr>
              <w:t>0.05</w:t>
            </w:r>
          </w:p>
        </w:tc>
        <w:tc>
          <w:tcPr>
            <w:tcW w:w="683" w:type="dxa"/>
            <w:tcBorders>
              <w:top w:val="single" w:color="000000" w:sz="4" w:space="0"/>
              <w:left w:val="single" w:color="000000" w:sz="4" w:space="0"/>
            </w:tcBorders>
          </w:tcPr>
          <w:p>
            <w:pPr>
              <w:pStyle w:val="19"/>
              <w:spacing w:before="10"/>
              <w:jc w:val="left"/>
              <w:rPr>
                <w:rFonts w:ascii="Times New Roman"/>
                <w:b/>
                <w:sz w:val="29"/>
              </w:rPr>
            </w:pPr>
          </w:p>
          <w:p>
            <w:pPr>
              <w:pStyle w:val="19"/>
              <w:ind w:left="106" w:right="82"/>
              <w:rPr>
                <w:rFonts w:ascii="Times New Roman"/>
                <w:sz w:val="21"/>
              </w:rPr>
            </w:pPr>
            <w:r>
              <w:rPr>
                <w:rFonts w:ascii="Times New Roman"/>
                <w:sz w:val="21"/>
              </w:rPr>
              <w:t>0.03</w:t>
            </w:r>
          </w:p>
        </w:tc>
      </w:tr>
    </w:tbl>
    <w:p>
      <w:pPr>
        <w:spacing w:after="0"/>
        <w:rPr>
          <w:rFonts w:ascii="Times New Roman"/>
          <w:sz w:val="21"/>
        </w:rPr>
        <w:sectPr>
          <w:type w:val="continuous"/>
          <w:pgSz w:w="11910" w:h="16840"/>
          <w:pgMar w:top="1580" w:right="0" w:bottom="280" w:left="0" w:header="720" w:footer="720" w:gutter="0"/>
        </w:sectPr>
      </w:pP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94"/>
        <w:gridCol w:w="1155"/>
        <w:gridCol w:w="1155"/>
        <w:gridCol w:w="694"/>
        <w:gridCol w:w="694"/>
        <w:gridCol w:w="694"/>
        <w:gridCol w:w="695"/>
        <w:gridCol w:w="699"/>
        <w:gridCol w:w="695"/>
        <w:gridCol w:w="695"/>
        <w:gridCol w:w="697"/>
        <w:gridCol w:w="68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694" w:type="dxa"/>
            <w:tcBorders>
              <w:right w:val="single" w:color="000000" w:sz="4" w:space="0"/>
            </w:tcBorders>
          </w:tcPr>
          <w:p>
            <w:pPr>
              <w:pStyle w:val="19"/>
              <w:spacing w:before="74" w:line="290" w:lineRule="auto"/>
              <w:ind w:left="136" w:right="122"/>
              <w:jc w:val="left"/>
              <w:rPr>
                <w:sz w:val="21"/>
              </w:rPr>
            </w:pPr>
            <w:r>
              <w:rPr>
                <w:sz w:val="21"/>
              </w:rPr>
              <w:t>筛分车间</w:t>
            </w:r>
          </w:p>
        </w:tc>
        <w:tc>
          <w:tcPr>
            <w:tcW w:w="1155" w:type="dxa"/>
            <w:tcBorders>
              <w:left w:val="single" w:color="000000" w:sz="4" w:space="0"/>
              <w:right w:val="single" w:color="000000" w:sz="4" w:space="0"/>
            </w:tcBorders>
          </w:tcPr>
          <w:p>
            <w:pPr>
              <w:pStyle w:val="19"/>
              <w:tabs>
                <w:tab w:val="left" w:pos="875"/>
              </w:tabs>
              <w:spacing w:before="93"/>
              <w:ind w:left="112"/>
              <w:jc w:val="left"/>
              <w:rPr>
                <w:sz w:val="21"/>
              </w:rPr>
            </w:pPr>
            <w:r>
              <w:rPr>
                <w:rFonts w:ascii="Times New Roman" w:hAnsi="Times New Roman"/>
                <w:spacing w:val="-10"/>
                <w:sz w:val="21"/>
              </w:rPr>
              <w:t>131</w:t>
            </w:r>
            <w:r>
              <w:rPr>
                <w:rFonts w:ascii="Times New Roman" w:hAnsi="Times New Roman"/>
                <w:spacing w:val="-10"/>
                <w:sz w:val="21"/>
              </w:rPr>
              <w:tab/>
            </w:r>
            <w:r>
              <w:rPr>
                <w:sz w:val="21"/>
              </w:rPr>
              <w:t>°</w:t>
            </w:r>
          </w:p>
          <w:p>
            <w:pPr>
              <w:pStyle w:val="19"/>
              <w:spacing w:before="55"/>
              <w:ind w:left="112"/>
              <w:jc w:val="left"/>
              <w:rPr>
                <w:rFonts w:ascii="Times New Roman"/>
                <w:sz w:val="21"/>
              </w:rPr>
            </w:pPr>
            <w:r>
              <w:rPr>
                <w:rFonts w:ascii="Times New Roman"/>
                <w:sz w:val="21"/>
              </w:rPr>
              <w:t>5'55.21"</w:t>
            </w:r>
          </w:p>
        </w:tc>
        <w:tc>
          <w:tcPr>
            <w:tcW w:w="1155" w:type="dxa"/>
            <w:tcBorders>
              <w:left w:val="single" w:color="000000" w:sz="4" w:space="0"/>
              <w:right w:val="single" w:color="000000" w:sz="4" w:space="0"/>
            </w:tcBorders>
          </w:tcPr>
          <w:p>
            <w:pPr>
              <w:pStyle w:val="19"/>
              <w:tabs>
                <w:tab w:val="left" w:pos="875"/>
              </w:tabs>
              <w:spacing w:before="93"/>
              <w:ind w:left="111"/>
              <w:jc w:val="left"/>
              <w:rPr>
                <w:sz w:val="21"/>
              </w:rPr>
            </w:pPr>
            <w:r>
              <w:rPr>
                <w:rFonts w:ascii="Times New Roman" w:hAnsi="Times New Roman"/>
                <w:spacing w:val="-7"/>
                <w:sz w:val="21"/>
              </w:rPr>
              <w:t>46</w:t>
            </w:r>
            <w:r>
              <w:rPr>
                <w:rFonts w:ascii="Times New Roman" w:hAnsi="Times New Roman"/>
                <w:spacing w:val="-7"/>
                <w:sz w:val="21"/>
              </w:rPr>
              <w:tab/>
            </w:r>
            <w:r>
              <w:rPr>
                <w:sz w:val="21"/>
              </w:rPr>
              <w:t>°</w:t>
            </w:r>
          </w:p>
          <w:p>
            <w:pPr>
              <w:pStyle w:val="19"/>
              <w:spacing w:before="55"/>
              <w:ind w:left="111"/>
              <w:jc w:val="left"/>
              <w:rPr>
                <w:rFonts w:ascii="Times New Roman"/>
                <w:sz w:val="21"/>
              </w:rPr>
            </w:pPr>
            <w:r>
              <w:rPr>
                <w:rFonts w:ascii="Times New Roman"/>
                <w:sz w:val="21"/>
              </w:rPr>
              <w:t>24'39.58"</w:t>
            </w:r>
          </w:p>
        </w:tc>
        <w:tc>
          <w:tcPr>
            <w:tcW w:w="694" w:type="dxa"/>
            <w:tcBorders>
              <w:left w:val="single" w:color="000000" w:sz="4" w:space="0"/>
              <w:right w:val="single" w:color="000000" w:sz="4" w:space="0"/>
            </w:tcBorders>
          </w:tcPr>
          <w:p>
            <w:pPr>
              <w:pStyle w:val="19"/>
              <w:spacing w:before="3"/>
              <w:jc w:val="left"/>
              <w:rPr>
                <w:rFonts w:ascii="Times New Roman"/>
                <w:b/>
                <w:sz w:val="22"/>
              </w:rPr>
            </w:pPr>
          </w:p>
          <w:p>
            <w:pPr>
              <w:pStyle w:val="19"/>
              <w:ind w:left="193"/>
              <w:jc w:val="left"/>
              <w:rPr>
                <w:rFonts w:ascii="Times New Roman"/>
                <w:sz w:val="21"/>
              </w:rPr>
            </w:pPr>
            <w:r>
              <w:rPr>
                <w:rFonts w:ascii="Times New Roman"/>
                <w:sz w:val="21"/>
              </w:rPr>
              <w:t>347</w:t>
            </w:r>
          </w:p>
        </w:tc>
        <w:tc>
          <w:tcPr>
            <w:tcW w:w="694" w:type="dxa"/>
            <w:tcBorders>
              <w:left w:val="single" w:color="000000" w:sz="4" w:space="0"/>
              <w:right w:val="single" w:color="000000" w:sz="4" w:space="0"/>
            </w:tcBorders>
          </w:tcPr>
          <w:p>
            <w:pPr>
              <w:pStyle w:val="19"/>
              <w:spacing w:before="3"/>
              <w:jc w:val="left"/>
              <w:rPr>
                <w:rFonts w:ascii="Times New Roman"/>
                <w:b/>
                <w:sz w:val="22"/>
              </w:rPr>
            </w:pPr>
          </w:p>
          <w:p>
            <w:pPr>
              <w:pStyle w:val="19"/>
              <w:ind w:left="196" w:right="180"/>
              <w:rPr>
                <w:rFonts w:ascii="Times New Roman"/>
                <w:sz w:val="21"/>
              </w:rPr>
            </w:pPr>
            <w:r>
              <w:rPr>
                <w:rFonts w:ascii="Times New Roman"/>
                <w:sz w:val="21"/>
              </w:rPr>
              <w:t>15</w:t>
            </w:r>
          </w:p>
        </w:tc>
        <w:tc>
          <w:tcPr>
            <w:tcW w:w="694" w:type="dxa"/>
            <w:tcBorders>
              <w:left w:val="single" w:color="000000" w:sz="4" w:space="0"/>
              <w:right w:val="single" w:color="000000" w:sz="4" w:space="0"/>
            </w:tcBorders>
          </w:tcPr>
          <w:p>
            <w:pPr>
              <w:pStyle w:val="19"/>
              <w:spacing w:before="3"/>
              <w:jc w:val="left"/>
              <w:rPr>
                <w:rFonts w:ascii="Times New Roman"/>
                <w:b/>
                <w:sz w:val="22"/>
              </w:rPr>
            </w:pPr>
          </w:p>
          <w:p>
            <w:pPr>
              <w:pStyle w:val="19"/>
              <w:ind w:left="221"/>
              <w:jc w:val="left"/>
              <w:rPr>
                <w:rFonts w:ascii="Times New Roman"/>
                <w:sz w:val="21"/>
              </w:rPr>
            </w:pPr>
            <w:r>
              <w:rPr>
                <w:rFonts w:ascii="Times New Roman"/>
                <w:sz w:val="21"/>
              </w:rPr>
              <w:t>0.3</w:t>
            </w:r>
          </w:p>
        </w:tc>
        <w:tc>
          <w:tcPr>
            <w:tcW w:w="695" w:type="dxa"/>
            <w:tcBorders>
              <w:left w:val="single" w:color="000000" w:sz="4" w:space="0"/>
              <w:right w:val="single" w:color="000000" w:sz="4" w:space="0"/>
            </w:tcBorders>
          </w:tcPr>
          <w:p>
            <w:pPr>
              <w:pStyle w:val="19"/>
              <w:spacing w:before="3"/>
              <w:jc w:val="left"/>
              <w:rPr>
                <w:rFonts w:ascii="Times New Roman"/>
                <w:b/>
                <w:sz w:val="22"/>
              </w:rPr>
            </w:pPr>
          </w:p>
          <w:p>
            <w:pPr>
              <w:pStyle w:val="19"/>
              <w:ind w:left="247"/>
              <w:jc w:val="left"/>
              <w:rPr>
                <w:rFonts w:ascii="Times New Roman"/>
                <w:sz w:val="21"/>
              </w:rPr>
            </w:pPr>
            <w:r>
              <w:rPr>
                <w:rFonts w:ascii="Times New Roman"/>
                <w:sz w:val="21"/>
              </w:rPr>
              <w:t>25</w:t>
            </w:r>
          </w:p>
        </w:tc>
        <w:tc>
          <w:tcPr>
            <w:tcW w:w="699" w:type="dxa"/>
            <w:tcBorders>
              <w:left w:val="single" w:color="000000" w:sz="4" w:space="0"/>
              <w:right w:val="single" w:color="000000" w:sz="4" w:space="0"/>
            </w:tcBorders>
          </w:tcPr>
          <w:p>
            <w:pPr>
              <w:pStyle w:val="19"/>
              <w:spacing w:before="3"/>
              <w:jc w:val="left"/>
              <w:rPr>
                <w:rFonts w:ascii="Times New Roman"/>
                <w:b/>
                <w:sz w:val="22"/>
              </w:rPr>
            </w:pPr>
          </w:p>
          <w:p>
            <w:pPr>
              <w:pStyle w:val="19"/>
              <w:ind w:left="171"/>
              <w:jc w:val="left"/>
              <w:rPr>
                <w:rFonts w:ascii="Times New Roman"/>
                <w:sz w:val="21"/>
              </w:rPr>
            </w:pPr>
            <w:r>
              <w:rPr>
                <w:rFonts w:ascii="Times New Roman"/>
                <w:sz w:val="21"/>
              </w:rPr>
              <w:t>7.86</w:t>
            </w:r>
          </w:p>
        </w:tc>
        <w:tc>
          <w:tcPr>
            <w:tcW w:w="695" w:type="dxa"/>
            <w:tcBorders>
              <w:left w:val="single" w:color="000000" w:sz="4" w:space="0"/>
              <w:right w:val="single" w:color="000000" w:sz="4" w:space="0"/>
            </w:tcBorders>
          </w:tcPr>
          <w:p>
            <w:pPr>
              <w:pStyle w:val="19"/>
              <w:spacing w:before="3"/>
              <w:jc w:val="left"/>
              <w:rPr>
                <w:rFonts w:ascii="Times New Roman"/>
                <w:b/>
                <w:sz w:val="22"/>
              </w:rPr>
            </w:pPr>
          </w:p>
          <w:p>
            <w:pPr>
              <w:pStyle w:val="19"/>
              <w:ind w:left="16"/>
              <w:rPr>
                <w:rFonts w:ascii="Times New Roman"/>
                <w:sz w:val="21"/>
              </w:rPr>
            </w:pPr>
            <w:r>
              <w:rPr>
                <w:rFonts w:ascii="Times New Roman"/>
                <w:w w:val="99"/>
                <w:sz w:val="21"/>
              </w:rPr>
              <w:t>/</w:t>
            </w:r>
          </w:p>
        </w:tc>
        <w:tc>
          <w:tcPr>
            <w:tcW w:w="695" w:type="dxa"/>
            <w:tcBorders>
              <w:left w:val="single" w:color="000000" w:sz="4" w:space="0"/>
              <w:right w:val="single" w:color="000000" w:sz="4" w:space="0"/>
            </w:tcBorders>
          </w:tcPr>
          <w:p>
            <w:pPr>
              <w:pStyle w:val="19"/>
              <w:spacing w:before="3"/>
              <w:jc w:val="left"/>
              <w:rPr>
                <w:rFonts w:ascii="Times New Roman"/>
                <w:b/>
                <w:sz w:val="22"/>
              </w:rPr>
            </w:pPr>
          </w:p>
          <w:p>
            <w:pPr>
              <w:pStyle w:val="19"/>
              <w:ind w:left="18"/>
              <w:rPr>
                <w:rFonts w:ascii="Times New Roman"/>
                <w:sz w:val="21"/>
              </w:rPr>
            </w:pPr>
            <w:r>
              <w:rPr>
                <w:rFonts w:ascii="Times New Roman"/>
                <w:w w:val="99"/>
                <w:sz w:val="21"/>
              </w:rPr>
              <w:t>/</w:t>
            </w:r>
          </w:p>
        </w:tc>
        <w:tc>
          <w:tcPr>
            <w:tcW w:w="697" w:type="dxa"/>
            <w:tcBorders>
              <w:left w:val="single" w:color="000000" w:sz="4" w:space="0"/>
              <w:right w:val="single" w:color="000000" w:sz="4" w:space="0"/>
            </w:tcBorders>
          </w:tcPr>
          <w:p>
            <w:pPr>
              <w:pStyle w:val="19"/>
              <w:spacing w:before="3"/>
              <w:jc w:val="left"/>
              <w:rPr>
                <w:rFonts w:ascii="Times New Roman"/>
                <w:b/>
                <w:sz w:val="22"/>
              </w:rPr>
            </w:pPr>
          </w:p>
          <w:p>
            <w:pPr>
              <w:pStyle w:val="19"/>
              <w:ind w:left="18"/>
              <w:rPr>
                <w:rFonts w:ascii="Times New Roman"/>
                <w:sz w:val="21"/>
              </w:rPr>
            </w:pPr>
            <w:r>
              <w:rPr>
                <w:rFonts w:ascii="Times New Roman"/>
                <w:w w:val="99"/>
                <w:sz w:val="21"/>
              </w:rPr>
              <w:t>/</w:t>
            </w:r>
          </w:p>
        </w:tc>
        <w:tc>
          <w:tcPr>
            <w:tcW w:w="683" w:type="dxa"/>
            <w:tcBorders>
              <w:left w:val="single" w:color="000000" w:sz="4" w:space="0"/>
            </w:tcBorders>
          </w:tcPr>
          <w:p>
            <w:pPr>
              <w:pStyle w:val="19"/>
              <w:spacing w:before="3"/>
              <w:jc w:val="left"/>
              <w:rPr>
                <w:rFonts w:ascii="Times New Roman"/>
                <w:b/>
                <w:sz w:val="22"/>
              </w:rPr>
            </w:pPr>
          </w:p>
          <w:p>
            <w:pPr>
              <w:pStyle w:val="19"/>
              <w:ind w:left="162"/>
              <w:jc w:val="left"/>
              <w:rPr>
                <w:rFonts w:ascii="Times New Roman"/>
                <w:sz w:val="21"/>
              </w:rPr>
            </w:pPr>
            <w:r>
              <w:rPr>
                <w:rFonts w:ascii="Times New Roman"/>
                <w:sz w:val="21"/>
              </w:rPr>
              <w:t>0.08</w:t>
            </w:r>
          </w:p>
        </w:tc>
      </w:tr>
    </w:tbl>
    <w:p>
      <w:pPr>
        <w:spacing w:before="121" w:after="3"/>
        <w:ind w:left="14" w:right="0" w:firstLine="0"/>
        <w:jc w:val="center"/>
        <w:rPr>
          <w:rFonts w:ascii="Times New Roman" w:eastAsia="Times New Roman"/>
          <w:b/>
          <w:sz w:val="21"/>
        </w:rPr>
      </w:pPr>
      <w:r>
        <w:rPr>
          <w:b/>
          <w:spacing w:val="-26"/>
          <w:sz w:val="21"/>
        </w:rPr>
        <w:t xml:space="preserve">表 </w:t>
      </w:r>
      <w:r>
        <w:rPr>
          <w:rFonts w:ascii="Times New Roman" w:eastAsia="Times New Roman"/>
          <w:b/>
          <w:sz w:val="21"/>
        </w:rPr>
        <w:t>7.3-4</w:t>
      </w:r>
      <w:r>
        <w:rPr>
          <w:rFonts w:ascii="Times New Roman" w:eastAsia="Times New Roman"/>
          <w:b/>
          <w:spacing w:val="52"/>
          <w:sz w:val="21"/>
        </w:rPr>
        <w:t xml:space="preserve"> </w:t>
      </w:r>
      <w:r>
        <w:rPr>
          <w:b/>
          <w:sz w:val="21"/>
        </w:rPr>
        <w:t>主要废气污染源参数一览表</w:t>
      </w:r>
      <w:r>
        <w:rPr>
          <w:rFonts w:ascii="Times New Roman" w:eastAsia="Times New Roman"/>
          <w:b/>
          <w:sz w:val="21"/>
        </w:rPr>
        <w:t>(</w:t>
      </w:r>
      <w:r>
        <w:rPr>
          <w:b/>
          <w:sz w:val="21"/>
        </w:rPr>
        <w:t>矩形面源</w:t>
      </w:r>
      <w:r>
        <w:rPr>
          <w:rFonts w:ascii="Times New Roman" w:eastAsia="Times New Roman"/>
          <w:b/>
          <w:sz w:val="21"/>
        </w:rPr>
        <w:t>)</w:t>
      </w: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59"/>
        <w:gridCol w:w="1400"/>
        <w:gridCol w:w="1400"/>
        <w:gridCol w:w="840"/>
        <w:gridCol w:w="1107"/>
        <w:gridCol w:w="1107"/>
        <w:gridCol w:w="1108"/>
        <w:gridCol w:w="116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3" w:hRule="atLeast"/>
        </w:trPr>
        <w:tc>
          <w:tcPr>
            <w:tcW w:w="1159" w:type="dxa"/>
            <w:vMerge w:val="restart"/>
          </w:tcPr>
          <w:p>
            <w:pPr>
              <w:pStyle w:val="19"/>
              <w:jc w:val="left"/>
              <w:rPr>
                <w:rFonts w:ascii="Times New Roman"/>
                <w:b/>
                <w:sz w:val="20"/>
              </w:rPr>
            </w:pPr>
          </w:p>
          <w:p>
            <w:pPr>
              <w:pStyle w:val="19"/>
              <w:spacing w:before="2"/>
              <w:jc w:val="left"/>
              <w:rPr>
                <w:rFonts w:ascii="Times New Roman"/>
                <w:b/>
                <w:sz w:val="20"/>
              </w:rPr>
            </w:pPr>
          </w:p>
          <w:p>
            <w:pPr>
              <w:pStyle w:val="19"/>
              <w:spacing w:line="290" w:lineRule="auto"/>
              <w:ind w:left="369" w:right="244" w:hanging="106"/>
              <w:jc w:val="left"/>
              <w:rPr>
                <w:sz w:val="21"/>
              </w:rPr>
            </w:pPr>
            <w:r>
              <w:rPr>
                <w:sz w:val="21"/>
              </w:rPr>
              <w:t>污染源名称</w:t>
            </w:r>
          </w:p>
        </w:tc>
        <w:tc>
          <w:tcPr>
            <w:tcW w:w="2800" w:type="dxa"/>
            <w:gridSpan w:val="2"/>
          </w:tcPr>
          <w:p>
            <w:pPr>
              <w:pStyle w:val="19"/>
              <w:spacing w:before="9"/>
              <w:jc w:val="left"/>
              <w:rPr>
                <w:rFonts w:ascii="Times New Roman"/>
                <w:b/>
                <w:sz w:val="26"/>
              </w:rPr>
            </w:pPr>
          </w:p>
          <w:p>
            <w:pPr>
              <w:pStyle w:val="19"/>
              <w:ind w:left="1057" w:right="1039"/>
              <w:rPr>
                <w:rFonts w:ascii="Times New Roman" w:hAnsi="Times New Roman" w:eastAsia="Times New Roman"/>
                <w:sz w:val="21"/>
              </w:rPr>
            </w:pPr>
            <w:r>
              <w:rPr>
                <w:sz w:val="21"/>
              </w:rPr>
              <w:t>坐标</w:t>
            </w:r>
            <w:r>
              <w:rPr>
                <w:rFonts w:ascii="Times New Roman" w:hAnsi="Times New Roman" w:eastAsia="Times New Roman"/>
                <w:sz w:val="21"/>
              </w:rPr>
              <w:t>(°)</w:t>
            </w:r>
          </w:p>
        </w:tc>
        <w:tc>
          <w:tcPr>
            <w:tcW w:w="840" w:type="dxa"/>
            <w:vMerge w:val="restart"/>
          </w:tcPr>
          <w:p>
            <w:pPr>
              <w:pStyle w:val="19"/>
              <w:spacing w:before="7"/>
              <w:jc w:val="left"/>
              <w:rPr>
                <w:rFonts w:ascii="Times New Roman"/>
                <w:b/>
                <w:sz w:val="27"/>
              </w:rPr>
            </w:pPr>
          </w:p>
          <w:p>
            <w:pPr>
              <w:pStyle w:val="19"/>
              <w:tabs>
                <w:tab w:val="left" w:pos="519"/>
              </w:tabs>
              <w:ind w:left="106"/>
              <w:jc w:val="left"/>
              <w:rPr>
                <w:sz w:val="21"/>
              </w:rPr>
            </w:pPr>
            <w:r>
              <w:rPr>
                <w:sz w:val="21"/>
              </w:rPr>
              <w:t>海</w:t>
            </w:r>
            <w:r>
              <w:rPr>
                <w:sz w:val="21"/>
              </w:rPr>
              <w:tab/>
            </w:r>
            <w:r>
              <w:rPr>
                <w:sz w:val="21"/>
              </w:rPr>
              <w:t>拔</w:t>
            </w:r>
          </w:p>
          <w:p>
            <w:pPr>
              <w:pStyle w:val="19"/>
              <w:tabs>
                <w:tab w:val="left" w:pos="519"/>
              </w:tabs>
              <w:spacing w:before="58"/>
              <w:ind w:left="106"/>
              <w:jc w:val="left"/>
              <w:rPr>
                <w:sz w:val="21"/>
              </w:rPr>
            </w:pPr>
            <w:r>
              <w:rPr>
                <w:sz w:val="21"/>
              </w:rPr>
              <w:t>高</w:t>
            </w:r>
            <w:r>
              <w:rPr>
                <w:sz w:val="21"/>
              </w:rPr>
              <w:tab/>
            </w:r>
            <w:r>
              <w:rPr>
                <w:sz w:val="21"/>
              </w:rPr>
              <w:t>度</w:t>
            </w:r>
          </w:p>
          <w:p>
            <w:pPr>
              <w:pStyle w:val="19"/>
              <w:spacing w:before="57"/>
              <w:ind w:left="106"/>
              <w:jc w:val="left"/>
              <w:rPr>
                <w:rFonts w:ascii="Times New Roman"/>
                <w:sz w:val="21"/>
              </w:rPr>
            </w:pPr>
            <w:r>
              <w:rPr>
                <w:rFonts w:ascii="Times New Roman"/>
                <w:sz w:val="21"/>
              </w:rPr>
              <w:t>(m)</w:t>
            </w:r>
          </w:p>
        </w:tc>
        <w:tc>
          <w:tcPr>
            <w:tcW w:w="3322" w:type="dxa"/>
            <w:gridSpan w:val="3"/>
          </w:tcPr>
          <w:p>
            <w:pPr>
              <w:pStyle w:val="19"/>
              <w:spacing w:before="9"/>
              <w:jc w:val="left"/>
              <w:rPr>
                <w:rFonts w:ascii="Times New Roman"/>
                <w:b/>
                <w:sz w:val="26"/>
              </w:rPr>
            </w:pPr>
          </w:p>
          <w:p>
            <w:pPr>
              <w:pStyle w:val="19"/>
              <w:ind w:left="1218" w:right="1204"/>
              <w:rPr>
                <w:sz w:val="21"/>
              </w:rPr>
            </w:pPr>
            <w:r>
              <w:rPr>
                <w:sz w:val="21"/>
              </w:rPr>
              <w:t>矩形面源</w:t>
            </w:r>
          </w:p>
        </w:tc>
        <w:tc>
          <w:tcPr>
            <w:tcW w:w="1161" w:type="dxa"/>
          </w:tcPr>
          <w:p>
            <w:pPr>
              <w:pStyle w:val="19"/>
              <w:spacing w:before="1" w:line="290" w:lineRule="auto"/>
              <w:ind w:left="108" w:right="87"/>
              <w:jc w:val="left"/>
              <w:rPr>
                <w:sz w:val="21"/>
              </w:rPr>
            </w:pPr>
            <w:r>
              <w:rPr>
                <w:sz w:val="21"/>
              </w:rPr>
              <w:t>污染物排放 速 率</w:t>
            </w:r>
          </w:p>
          <w:p>
            <w:pPr>
              <w:pStyle w:val="19"/>
              <w:spacing w:before="1"/>
              <w:ind w:left="108"/>
              <w:jc w:val="left"/>
              <w:rPr>
                <w:rFonts w:ascii="Times New Roman"/>
                <w:sz w:val="21"/>
              </w:rPr>
            </w:pPr>
            <w:r>
              <w:rPr>
                <w:rFonts w:ascii="Times New Roman"/>
                <w:sz w:val="21"/>
              </w:rPr>
              <w:t>(kg/h)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6" w:hRule="atLeast"/>
        </w:trPr>
        <w:tc>
          <w:tcPr>
            <w:tcW w:w="1159" w:type="dxa"/>
            <w:vMerge w:val="continue"/>
            <w:tcBorders>
              <w:top w:val="nil"/>
            </w:tcBorders>
          </w:tcPr>
          <w:p>
            <w:pPr>
              <w:rPr>
                <w:sz w:val="2"/>
                <w:szCs w:val="2"/>
              </w:rPr>
            </w:pPr>
          </w:p>
        </w:tc>
        <w:tc>
          <w:tcPr>
            <w:tcW w:w="1400" w:type="dxa"/>
          </w:tcPr>
          <w:p>
            <w:pPr>
              <w:pStyle w:val="19"/>
              <w:spacing w:before="143"/>
              <w:ind w:left="467" w:right="450"/>
              <w:rPr>
                <w:sz w:val="21"/>
              </w:rPr>
            </w:pPr>
            <w:r>
              <w:rPr>
                <w:sz w:val="21"/>
              </w:rPr>
              <w:t>经度</w:t>
            </w:r>
          </w:p>
        </w:tc>
        <w:tc>
          <w:tcPr>
            <w:tcW w:w="1400" w:type="dxa"/>
          </w:tcPr>
          <w:p>
            <w:pPr>
              <w:pStyle w:val="19"/>
              <w:spacing w:before="143"/>
              <w:ind w:left="466" w:right="451"/>
              <w:rPr>
                <w:sz w:val="21"/>
              </w:rPr>
            </w:pPr>
            <w:r>
              <w:rPr>
                <w:sz w:val="21"/>
              </w:rPr>
              <w:t>纬度</w:t>
            </w:r>
          </w:p>
        </w:tc>
        <w:tc>
          <w:tcPr>
            <w:tcW w:w="840" w:type="dxa"/>
            <w:vMerge w:val="continue"/>
            <w:tcBorders>
              <w:top w:val="nil"/>
            </w:tcBorders>
          </w:tcPr>
          <w:p>
            <w:pPr>
              <w:rPr>
                <w:sz w:val="2"/>
                <w:szCs w:val="2"/>
              </w:rPr>
            </w:pPr>
          </w:p>
        </w:tc>
        <w:tc>
          <w:tcPr>
            <w:tcW w:w="1107" w:type="dxa"/>
          </w:tcPr>
          <w:p>
            <w:pPr>
              <w:pStyle w:val="19"/>
              <w:spacing w:before="143"/>
              <w:ind w:left="129" w:right="108"/>
              <w:rPr>
                <w:rFonts w:ascii="Times New Roman" w:eastAsia="Times New Roman"/>
                <w:sz w:val="21"/>
              </w:rPr>
            </w:pPr>
            <w:r>
              <w:rPr>
                <w:sz w:val="21"/>
              </w:rPr>
              <w:t>长度</w:t>
            </w:r>
            <w:r>
              <w:rPr>
                <w:rFonts w:ascii="Times New Roman" w:eastAsia="Times New Roman"/>
                <w:sz w:val="21"/>
              </w:rPr>
              <w:t>(m)</w:t>
            </w:r>
          </w:p>
        </w:tc>
        <w:tc>
          <w:tcPr>
            <w:tcW w:w="1107" w:type="dxa"/>
          </w:tcPr>
          <w:p>
            <w:pPr>
              <w:pStyle w:val="19"/>
              <w:spacing w:before="143"/>
              <w:ind w:left="129" w:right="109"/>
              <w:rPr>
                <w:rFonts w:ascii="Times New Roman" w:eastAsia="Times New Roman"/>
                <w:sz w:val="21"/>
              </w:rPr>
            </w:pPr>
            <w:r>
              <w:rPr>
                <w:sz w:val="21"/>
              </w:rPr>
              <w:t>宽度</w:t>
            </w:r>
            <w:r>
              <w:rPr>
                <w:rFonts w:ascii="Times New Roman" w:eastAsia="Times New Roman"/>
                <w:sz w:val="21"/>
              </w:rPr>
              <w:t>(m)</w:t>
            </w:r>
          </w:p>
        </w:tc>
        <w:tc>
          <w:tcPr>
            <w:tcW w:w="1108" w:type="dxa"/>
          </w:tcPr>
          <w:p>
            <w:pPr>
              <w:pStyle w:val="19"/>
              <w:ind w:left="113" w:right="95"/>
              <w:rPr>
                <w:sz w:val="21"/>
              </w:rPr>
            </w:pPr>
            <w:r>
              <w:rPr>
                <w:sz w:val="21"/>
              </w:rPr>
              <w:t>有效高度</w:t>
            </w:r>
          </w:p>
          <w:p>
            <w:pPr>
              <w:pStyle w:val="19"/>
              <w:spacing w:before="56"/>
              <w:ind w:left="113" w:right="93"/>
              <w:rPr>
                <w:rFonts w:ascii="Times New Roman"/>
                <w:sz w:val="21"/>
              </w:rPr>
            </w:pPr>
            <w:r>
              <w:rPr>
                <w:rFonts w:ascii="Times New Roman"/>
                <w:sz w:val="21"/>
              </w:rPr>
              <w:t>(m)</w:t>
            </w:r>
          </w:p>
        </w:tc>
        <w:tc>
          <w:tcPr>
            <w:tcW w:w="1161" w:type="dxa"/>
          </w:tcPr>
          <w:p>
            <w:pPr>
              <w:pStyle w:val="19"/>
              <w:spacing w:before="162"/>
              <w:ind w:left="242" w:right="224"/>
              <w:rPr>
                <w:rFonts w:ascii="Times New Roman"/>
                <w:sz w:val="21"/>
              </w:rPr>
            </w:pPr>
            <w:r>
              <w:rPr>
                <w:rFonts w:ascii="Times New Roman"/>
                <w:sz w:val="21"/>
              </w:rPr>
              <w:t>TSP</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159" w:type="dxa"/>
          </w:tcPr>
          <w:p>
            <w:pPr>
              <w:pStyle w:val="19"/>
              <w:spacing w:before="2"/>
              <w:ind w:left="137" w:right="122"/>
              <w:rPr>
                <w:sz w:val="21"/>
              </w:rPr>
            </w:pPr>
            <w:r>
              <w:rPr>
                <w:sz w:val="21"/>
              </w:rPr>
              <w:t>煤矸石暂</w:t>
            </w:r>
          </w:p>
          <w:p>
            <w:pPr>
              <w:pStyle w:val="19"/>
              <w:spacing w:before="55"/>
              <w:ind w:left="137" w:right="120"/>
              <w:rPr>
                <w:sz w:val="21"/>
              </w:rPr>
            </w:pPr>
            <w:r>
              <w:rPr>
                <w:sz w:val="21"/>
              </w:rPr>
              <w:t>存场</w:t>
            </w:r>
          </w:p>
        </w:tc>
        <w:tc>
          <w:tcPr>
            <w:tcW w:w="1400" w:type="dxa"/>
          </w:tcPr>
          <w:p>
            <w:pPr>
              <w:pStyle w:val="19"/>
              <w:spacing w:before="181"/>
              <w:ind w:left="151"/>
              <w:jc w:val="left"/>
              <w:rPr>
                <w:rFonts w:ascii="Times New Roman" w:hAnsi="Times New Roman"/>
                <w:sz w:val="21"/>
              </w:rPr>
            </w:pPr>
            <w:r>
              <w:rPr>
                <w:rFonts w:ascii="Times New Roman" w:hAnsi="Times New Roman"/>
                <w:sz w:val="21"/>
              </w:rPr>
              <w:t>131°6'46.41"</w:t>
            </w:r>
          </w:p>
        </w:tc>
        <w:tc>
          <w:tcPr>
            <w:tcW w:w="1400" w:type="dxa"/>
          </w:tcPr>
          <w:p>
            <w:pPr>
              <w:pStyle w:val="19"/>
              <w:spacing w:before="181"/>
              <w:ind w:left="150"/>
              <w:jc w:val="left"/>
              <w:rPr>
                <w:rFonts w:ascii="Times New Roman" w:hAnsi="Times New Roman"/>
                <w:sz w:val="21"/>
              </w:rPr>
            </w:pPr>
            <w:r>
              <w:rPr>
                <w:rFonts w:ascii="Times New Roman" w:hAnsi="Times New Roman"/>
                <w:sz w:val="21"/>
              </w:rPr>
              <w:t>46°24'54.68"</w:t>
            </w:r>
          </w:p>
        </w:tc>
        <w:tc>
          <w:tcPr>
            <w:tcW w:w="840" w:type="dxa"/>
          </w:tcPr>
          <w:p>
            <w:pPr>
              <w:pStyle w:val="19"/>
              <w:spacing w:before="181"/>
              <w:ind w:left="83" w:right="63"/>
              <w:rPr>
                <w:rFonts w:ascii="Times New Roman"/>
                <w:sz w:val="21"/>
              </w:rPr>
            </w:pPr>
            <w:r>
              <w:rPr>
                <w:rFonts w:ascii="Times New Roman"/>
                <w:sz w:val="21"/>
              </w:rPr>
              <w:t>312</w:t>
            </w:r>
          </w:p>
        </w:tc>
        <w:tc>
          <w:tcPr>
            <w:tcW w:w="1107" w:type="dxa"/>
          </w:tcPr>
          <w:p>
            <w:pPr>
              <w:pStyle w:val="19"/>
              <w:spacing w:before="181"/>
              <w:ind w:left="129" w:right="112"/>
              <w:rPr>
                <w:rFonts w:ascii="Times New Roman"/>
                <w:sz w:val="21"/>
              </w:rPr>
            </w:pPr>
            <w:r>
              <w:rPr>
                <w:rFonts w:ascii="Times New Roman"/>
                <w:sz w:val="21"/>
              </w:rPr>
              <w:t>24</w:t>
            </w:r>
          </w:p>
        </w:tc>
        <w:tc>
          <w:tcPr>
            <w:tcW w:w="1107" w:type="dxa"/>
          </w:tcPr>
          <w:p>
            <w:pPr>
              <w:pStyle w:val="19"/>
              <w:spacing w:before="181"/>
              <w:ind w:left="128" w:right="112"/>
              <w:rPr>
                <w:rFonts w:ascii="Times New Roman"/>
                <w:sz w:val="21"/>
              </w:rPr>
            </w:pPr>
            <w:r>
              <w:rPr>
                <w:rFonts w:ascii="Times New Roman"/>
                <w:sz w:val="21"/>
              </w:rPr>
              <w:t>34</w:t>
            </w:r>
          </w:p>
        </w:tc>
        <w:tc>
          <w:tcPr>
            <w:tcW w:w="1108" w:type="dxa"/>
          </w:tcPr>
          <w:p>
            <w:pPr>
              <w:pStyle w:val="19"/>
              <w:spacing w:before="181"/>
              <w:ind w:left="113" w:right="94"/>
              <w:rPr>
                <w:rFonts w:ascii="Times New Roman"/>
                <w:sz w:val="21"/>
              </w:rPr>
            </w:pPr>
            <w:r>
              <w:rPr>
                <w:rFonts w:ascii="Times New Roman"/>
                <w:sz w:val="21"/>
              </w:rPr>
              <w:t>10</w:t>
            </w:r>
          </w:p>
        </w:tc>
        <w:tc>
          <w:tcPr>
            <w:tcW w:w="1161" w:type="dxa"/>
          </w:tcPr>
          <w:p>
            <w:pPr>
              <w:pStyle w:val="19"/>
              <w:spacing w:before="181"/>
              <w:ind w:left="242" w:right="224"/>
              <w:rPr>
                <w:rFonts w:ascii="Times New Roman"/>
                <w:sz w:val="21"/>
              </w:rPr>
            </w:pPr>
            <w:r>
              <w:rPr>
                <w:rFonts w:ascii="Times New Roman"/>
                <w:sz w:val="21"/>
              </w:rPr>
              <w:t>0.0004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59" w:type="dxa"/>
          </w:tcPr>
          <w:p>
            <w:pPr>
              <w:pStyle w:val="19"/>
              <w:ind w:left="264"/>
              <w:jc w:val="left"/>
              <w:rPr>
                <w:sz w:val="21"/>
              </w:rPr>
            </w:pPr>
            <w:r>
              <w:rPr>
                <w:sz w:val="21"/>
              </w:rPr>
              <w:t>储煤场</w:t>
            </w:r>
          </w:p>
        </w:tc>
        <w:tc>
          <w:tcPr>
            <w:tcW w:w="1400" w:type="dxa"/>
          </w:tcPr>
          <w:p>
            <w:pPr>
              <w:pStyle w:val="19"/>
              <w:spacing w:before="16"/>
              <w:ind w:left="108"/>
              <w:jc w:val="left"/>
              <w:rPr>
                <w:rFonts w:ascii="Times New Roman" w:hAnsi="Times New Roman"/>
                <w:sz w:val="21"/>
              </w:rPr>
            </w:pPr>
            <w:r>
              <w:rPr>
                <w:rFonts w:ascii="Times New Roman" w:hAnsi="Times New Roman"/>
                <w:sz w:val="21"/>
              </w:rPr>
              <w:t>131°5'52.03"</w:t>
            </w:r>
          </w:p>
        </w:tc>
        <w:tc>
          <w:tcPr>
            <w:tcW w:w="1400" w:type="dxa"/>
          </w:tcPr>
          <w:p>
            <w:pPr>
              <w:pStyle w:val="19"/>
              <w:spacing w:before="16"/>
              <w:ind w:left="150"/>
              <w:jc w:val="left"/>
              <w:rPr>
                <w:rFonts w:ascii="Times New Roman" w:hAnsi="Times New Roman"/>
                <w:sz w:val="21"/>
              </w:rPr>
            </w:pPr>
            <w:r>
              <w:rPr>
                <w:rFonts w:ascii="Times New Roman" w:hAnsi="Times New Roman"/>
                <w:sz w:val="21"/>
              </w:rPr>
              <w:t>46°24'39.33"</w:t>
            </w:r>
          </w:p>
        </w:tc>
        <w:tc>
          <w:tcPr>
            <w:tcW w:w="840" w:type="dxa"/>
          </w:tcPr>
          <w:p>
            <w:pPr>
              <w:pStyle w:val="19"/>
              <w:spacing w:before="16"/>
              <w:ind w:left="83" w:right="63"/>
              <w:rPr>
                <w:rFonts w:ascii="Times New Roman"/>
                <w:sz w:val="21"/>
              </w:rPr>
            </w:pPr>
            <w:r>
              <w:rPr>
                <w:rFonts w:ascii="Times New Roman"/>
                <w:sz w:val="21"/>
              </w:rPr>
              <w:t>340</w:t>
            </w:r>
          </w:p>
        </w:tc>
        <w:tc>
          <w:tcPr>
            <w:tcW w:w="1107" w:type="dxa"/>
          </w:tcPr>
          <w:p>
            <w:pPr>
              <w:pStyle w:val="19"/>
              <w:spacing w:before="16"/>
              <w:ind w:left="129" w:right="112"/>
              <w:rPr>
                <w:rFonts w:ascii="Times New Roman"/>
                <w:sz w:val="21"/>
              </w:rPr>
            </w:pPr>
            <w:r>
              <w:rPr>
                <w:rFonts w:ascii="Times New Roman"/>
                <w:sz w:val="21"/>
              </w:rPr>
              <w:t>120</w:t>
            </w:r>
          </w:p>
        </w:tc>
        <w:tc>
          <w:tcPr>
            <w:tcW w:w="1107" w:type="dxa"/>
          </w:tcPr>
          <w:p>
            <w:pPr>
              <w:pStyle w:val="19"/>
              <w:spacing w:before="16"/>
              <w:ind w:left="128" w:right="112"/>
              <w:rPr>
                <w:rFonts w:ascii="Times New Roman"/>
                <w:sz w:val="21"/>
              </w:rPr>
            </w:pPr>
            <w:r>
              <w:rPr>
                <w:rFonts w:ascii="Times New Roman"/>
                <w:sz w:val="21"/>
              </w:rPr>
              <w:t>30</w:t>
            </w:r>
          </w:p>
        </w:tc>
        <w:tc>
          <w:tcPr>
            <w:tcW w:w="1108" w:type="dxa"/>
          </w:tcPr>
          <w:p>
            <w:pPr>
              <w:pStyle w:val="19"/>
              <w:spacing w:before="16"/>
              <w:ind w:left="113" w:right="94"/>
              <w:rPr>
                <w:rFonts w:ascii="Times New Roman"/>
                <w:sz w:val="21"/>
              </w:rPr>
            </w:pPr>
            <w:r>
              <w:rPr>
                <w:rFonts w:ascii="Times New Roman"/>
                <w:sz w:val="21"/>
              </w:rPr>
              <w:t>10</w:t>
            </w:r>
          </w:p>
        </w:tc>
        <w:tc>
          <w:tcPr>
            <w:tcW w:w="1161" w:type="dxa"/>
          </w:tcPr>
          <w:p>
            <w:pPr>
              <w:pStyle w:val="19"/>
              <w:spacing w:before="16"/>
              <w:ind w:left="244" w:right="224"/>
              <w:rPr>
                <w:rFonts w:ascii="Times New Roman"/>
                <w:sz w:val="21"/>
              </w:rPr>
            </w:pPr>
            <w:r>
              <w:rPr>
                <w:rFonts w:ascii="Times New Roman"/>
                <w:sz w:val="21"/>
              </w:rPr>
              <w:t>0.004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1159" w:type="dxa"/>
          </w:tcPr>
          <w:p>
            <w:pPr>
              <w:pStyle w:val="19"/>
              <w:spacing w:before="1" w:line="288" w:lineRule="auto"/>
              <w:ind w:left="158" w:right="140"/>
              <w:rPr>
                <w:sz w:val="21"/>
              </w:rPr>
            </w:pPr>
            <w:r>
              <w:rPr>
                <w:color w:val="FF0000"/>
                <w:sz w:val="21"/>
              </w:rPr>
              <w:t>筛分车间无组织排</w:t>
            </w:r>
          </w:p>
          <w:p>
            <w:pPr>
              <w:pStyle w:val="19"/>
              <w:spacing w:before="7"/>
              <w:ind w:left="15"/>
              <w:rPr>
                <w:sz w:val="21"/>
              </w:rPr>
            </w:pPr>
            <w:r>
              <w:rPr>
                <w:color w:val="FF0000"/>
                <w:w w:val="99"/>
                <w:sz w:val="21"/>
              </w:rPr>
              <w:t>放</w:t>
            </w:r>
          </w:p>
        </w:tc>
        <w:tc>
          <w:tcPr>
            <w:tcW w:w="1400" w:type="dxa"/>
          </w:tcPr>
          <w:p>
            <w:pPr>
              <w:pStyle w:val="19"/>
              <w:spacing w:before="3"/>
              <w:jc w:val="left"/>
              <w:rPr>
                <w:rFonts w:ascii="Times New Roman"/>
                <w:b/>
                <w:sz w:val="28"/>
              </w:rPr>
            </w:pPr>
          </w:p>
          <w:p>
            <w:pPr>
              <w:pStyle w:val="19"/>
              <w:ind w:left="108"/>
              <w:jc w:val="left"/>
              <w:rPr>
                <w:rFonts w:ascii="Times New Roman" w:hAnsi="Times New Roman"/>
                <w:sz w:val="21"/>
              </w:rPr>
            </w:pPr>
            <w:r>
              <w:rPr>
                <w:rFonts w:ascii="Times New Roman" w:hAnsi="Times New Roman"/>
                <w:color w:val="FF0000"/>
                <w:sz w:val="21"/>
              </w:rPr>
              <w:t>131</w:t>
            </w:r>
            <w:r>
              <w:rPr>
                <w:color w:val="FF0000"/>
                <w:sz w:val="21"/>
              </w:rPr>
              <w:t>°</w:t>
            </w:r>
            <w:r>
              <w:rPr>
                <w:rFonts w:ascii="Times New Roman" w:hAnsi="Times New Roman"/>
                <w:color w:val="FF0000"/>
                <w:sz w:val="21"/>
              </w:rPr>
              <w:t>5'55.21"</w:t>
            </w:r>
          </w:p>
        </w:tc>
        <w:tc>
          <w:tcPr>
            <w:tcW w:w="1400" w:type="dxa"/>
          </w:tcPr>
          <w:p>
            <w:pPr>
              <w:pStyle w:val="19"/>
              <w:spacing w:before="3"/>
              <w:jc w:val="left"/>
              <w:rPr>
                <w:rFonts w:ascii="Times New Roman"/>
                <w:b/>
                <w:sz w:val="28"/>
              </w:rPr>
            </w:pPr>
          </w:p>
          <w:p>
            <w:pPr>
              <w:pStyle w:val="19"/>
              <w:ind w:left="107"/>
              <w:jc w:val="left"/>
              <w:rPr>
                <w:rFonts w:ascii="Times New Roman" w:hAnsi="Times New Roman"/>
                <w:sz w:val="21"/>
              </w:rPr>
            </w:pPr>
            <w:r>
              <w:rPr>
                <w:rFonts w:ascii="Times New Roman" w:hAnsi="Times New Roman"/>
                <w:color w:val="FF0000"/>
                <w:sz w:val="21"/>
              </w:rPr>
              <w:t>46</w:t>
            </w:r>
            <w:r>
              <w:rPr>
                <w:color w:val="FF0000"/>
                <w:sz w:val="21"/>
              </w:rPr>
              <w:t>°</w:t>
            </w:r>
            <w:r>
              <w:rPr>
                <w:rFonts w:ascii="Times New Roman" w:hAnsi="Times New Roman"/>
                <w:color w:val="FF0000"/>
                <w:sz w:val="21"/>
              </w:rPr>
              <w:t>24'39.58"</w:t>
            </w:r>
          </w:p>
        </w:tc>
        <w:tc>
          <w:tcPr>
            <w:tcW w:w="840" w:type="dxa"/>
          </w:tcPr>
          <w:p>
            <w:pPr>
              <w:pStyle w:val="19"/>
              <w:spacing w:before="10"/>
              <w:jc w:val="left"/>
              <w:rPr>
                <w:rFonts w:ascii="Times New Roman"/>
                <w:b/>
                <w:sz w:val="29"/>
              </w:rPr>
            </w:pPr>
          </w:p>
          <w:p>
            <w:pPr>
              <w:pStyle w:val="19"/>
              <w:ind w:left="83" w:right="63"/>
              <w:rPr>
                <w:rFonts w:ascii="Times New Roman"/>
                <w:sz w:val="21"/>
              </w:rPr>
            </w:pPr>
            <w:r>
              <w:rPr>
                <w:rFonts w:ascii="Times New Roman"/>
                <w:color w:val="FF0000"/>
                <w:sz w:val="21"/>
              </w:rPr>
              <w:t>347</w:t>
            </w:r>
          </w:p>
        </w:tc>
        <w:tc>
          <w:tcPr>
            <w:tcW w:w="1107" w:type="dxa"/>
          </w:tcPr>
          <w:p>
            <w:pPr>
              <w:pStyle w:val="19"/>
              <w:spacing w:before="10"/>
              <w:jc w:val="left"/>
              <w:rPr>
                <w:rFonts w:ascii="Times New Roman"/>
                <w:b/>
                <w:sz w:val="29"/>
              </w:rPr>
            </w:pPr>
          </w:p>
          <w:p>
            <w:pPr>
              <w:pStyle w:val="19"/>
              <w:ind w:left="17"/>
              <w:rPr>
                <w:rFonts w:ascii="Times New Roman"/>
                <w:sz w:val="21"/>
              </w:rPr>
            </w:pPr>
            <w:r>
              <w:rPr>
                <w:rFonts w:ascii="Times New Roman"/>
                <w:color w:val="FF0000"/>
                <w:w w:val="99"/>
                <w:sz w:val="21"/>
              </w:rPr>
              <w:t>3</w:t>
            </w:r>
          </w:p>
        </w:tc>
        <w:tc>
          <w:tcPr>
            <w:tcW w:w="1107" w:type="dxa"/>
          </w:tcPr>
          <w:p>
            <w:pPr>
              <w:pStyle w:val="19"/>
              <w:spacing w:before="10"/>
              <w:jc w:val="left"/>
              <w:rPr>
                <w:rFonts w:ascii="Times New Roman"/>
                <w:b/>
                <w:sz w:val="29"/>
              </w:rPr>
            </w:pPr>
          </w:p>
          <w:p>
            <w:pPr>
              <w:pStyle w:val="19"/>
              <w:ind w:left="16"/>
              <w:rPr>
                <w:rFonts w:ascii="Times New Roman"/>
                <w:sz w:val="21"/>
              </w:rPr>
            </w:pPr>
            <w:r>
              <w:rPr>
                <w:rFonts w:ascii="Times New Roman"/>
                <w:color w:val="FF0000"/>
                <w:w w:val="99"/>
                <w:sz w:val="21"/>
              </w:rPr>
              <w:t>3</w:t>
            </w:r>
          </w:p>
        </w:tc>
        <w:tc>
          <w:tcPr>
            <w:tcW w:w="1108" w:type="dxa"/>
          </w:tcPr>
          <w:p>
            <w:pPr>
              <w:pStyle w:val="19"/>
              <w:spacing w:before="10"/>
              <w:jc w:val="left"/>
              <w:rPr>
                <w:rFonts w:ascii="Times New Roman"/>
                <w:b/>
                <w:sz w:val="29"/>
              </w:rPr>
            </w:pPr>
          </w:p>
          <w:p>
            <w:pPr>
              <w:pStyle w:val="19"/>
              <w:ind w:left="113" w:right="94"/>
              <w:rPr>
                <w:rFonts w:ascii="Times New Roman"/>
                <w:sz w:val="21"/>
              </w:rPr>
            </w:pPr>
            <w:r>
              <w:rPr>
                <w:rFonts w:ascii="Times New Roman"/>
                <w:color w:val="FF0000"/>
                <w:sz w:val="21"/>
              </w:rPr>
              <w:t>10</w:t>
            </w:r>
          </w:p>
        </w:tc>
        <w:tc>
          <w:tcPr>
            <w:tcW w:w="1161" w:type="dxa"/>
          </w:tcPr>
          <w:p>
            <w:pPr>
              <w:pStyle w:val="19"/>
              <w:spacing w:before="10"/>
              <w:jc w:val="left"/>
              <w:rPr>
                <w:rFonts w:ascii="Times New Roman"/>
                <w:b/>
                <w:sz w:val="29"/>
              </w:rPr>
            </w:pPr>
          </w:p>
          <w:p>
            <w:pPr>
              <w:pStyle w:val="19"/>
              <w:ind w:left="244" w:right="224"/>
              <w:rPr>
                <w:rFonts w:ascii="Times New Roman"/>
                <w:sz w:val="21"/>
              </w:rPr>
            </w:pPr>
            <w:r>
              <w:rPr>
                <w:rFonts w:ascii="Times New Roman"/>
                <w:color w:val="FF0000"/>
                <w:sz w:val="21"/>
              </w:rPr>
              <w:t>0.89</w:t>
            </w:r>
          </w:p>
        </w:tc>
      </w:tr>
    </w:tbl>
    <w:p>
      <w:pPr>
        <w:pStyle w:val="9"/>
        <w:spacing w:before="2"/>
        <w:rPr>
          <w:rFonts w:ascii="Times New Roman"/>
          <w:b/>
          <w:sz w:val="6"/>
        </w:rPr>
      </w:pPr>
    </w:p>
    <w:p>
      <w:pPr>
        <w:pStyle w:val="18"/>
        <w:numPr>
          <w:ilvl w:val="1"/>
          <w:numId w:val="24"/>
        </w:numPr>
        <w:tabs>
          <w:tab w:val="left" w:pos="2121"/>
        </w:tabs>
        <w:spacing w:before="74" w:after="0" w:line="240" w:lineRule="auto"/>
        <w:ind w:left="2120" w:right="0" w:hanging="281"/>
        <w:jc w:val="left"/>
        <w:rPr>
          <w:sz w:val="24"/>
        </w:rPr>
      </w:pPr>
      <w:r>
        <w:rPr>
          <w:sz w:val="24"/>
        </w:rPr>
        <w:t>项目参数</w:t>
      </w:r>
    </w:p>
    <w:p>
      <w:pPr>
        <w:pStyle w:val="9"/>
        <w:spacing w:before="172"/>
        <w:ind w:left="520" w:right="6707"/>
        <w:jc w:val="center"/>
      </w:pPr>
      <w:r>
        <w:t>估算模式所用参数见下表。</w:t>
      </w:r>
    </w:p>
    <w:p>
      <w:pPr>
        <w:spacing w:before="150" w:after="3"/>
        <w:ind w:left="5" w:right="0" w:firstLine="0"/>
        <w:jc w:val="center"/>
        <w:rPr>
          <w:b/>
          <w:sz w:val="21"/>
        </w:rPr>
      </w:pPr>
      <w:r>
        <w:rPr>
          <w:b/>
          <w:spacing w:val="-28"/>
          <w:sz w:val="21"/>
        </w:rPr>
        <w:t xml:space="preserve">表 </w:t>
      </w:r>
      <w:r>
        <w:rPr>
          <w:rFonts w:ascii="Times New Roman" w:eastAsia="Times New Roman"/>
          <w:b/>
          <w:sz w:val="21"/>
        </w:rPr>
        <w:t>7.3-5</w:t>
      </w:r>
      <w:r>
        <w:rPr>
          <w:rFonts w:ascii="Times New Roman" w:eastAsia="Times New Roman"/>
          <w:b/>
          <w:spacing w:val="52"/>
          <w:sz w:val="21"/>
        </w:rPr>
        <w:t xml:space="preserve"> </w:t>
      </w:r>
      <w:r>
        <w:rPr>
          <w:b/>
          <w:sz w:val="21"/>
        </w:rPr>
        <w:t>估算模型参数表</w:t>
      </w: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021"/>
        <w:gridCol w:w="2622"/>
        <w:gridCol w:w="464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43" w:type="dxa"/>
            <w:gridSpan w:val="2"/>
            <w:tcBorders>
              <w:bottom w:val="single" w:color="000000" w:sz="4" w:space="0"/>
              <w:right w:val="single" w:color="000000" w:sz="4" w:space="0"/>
            </w:tcBorders>
          </w:tcPr>
          <w:p>
            <w:pPr>
              <w:pStyle w:val="19"/>
              <w:spacing w:before="61"/>
              <w:ind w:left="1668" w:right="1660"/>
              <w:rPr>
                <w:sz w:val="21"/>
              </w:rPr>
            </w:pPr>
            <w:r>
              <w:rPr>
                <w:sz w:val="21"/>
              </w:rPr>
              <w:t>参数</w:t>
            </w:r>
          </w:p>
        </w:tc>
        <w:tc>
          <w:tcPr>
            <w:tcW w:w="4643" w:type="dxa"/>
            <w:tcBorders>
              <w:left w:val="single" w:color="000000" w:sz="4" w:space="0"/>
              <w:bottom w:val="single" w:color="000000" w:sz="4" w:space="0"/>
            </w:tcBorders>
          </w:tcPr>
          <w:p>
            <w:pPr>
              <w:pStyle w:val="19"/>
              <w:spacing w:before="61"/>
              <w:ind w:left="1668" w:right="1648"/>
              <w:rPr>
                <w:sz w:val="21"/>
              </w:rPr>
            </w:pPr>
            <w:r>
              <w:rPr>
                <w:sz w:val="21"/>
              </w:rPr>
              <w:t>取值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021" w:type="dxa"/>
            <w:vMerge w:val="restart"/>
            <w:tcBorders>
              <w:top w:val="single" w:color="000000" w:sz="4" w:space="0"/>
              <w:bottom w:val="single" w:color="000000" w:sz="4" w:space="0"/>
              <w:right w:val="single" w:color="000000" w:sz="4" w:space="0"/>
            </w:tcBorders>
          </w:tcPr>
          <w:p>
            <w:pPr>
              <w:pStyle w:val="19"/>
              <w:spacing w:before="7"/>
              <w:jc w:val="left"/>
              <w:rPr>
                <w:b/>
                <w:sz w:val="20"/>
              </w:rPr>
            </w:pPr>
          </w:p>
          <w:p>
            <w:pPr>
              <w:pStyle w:val="19"/>
              <w:spacing w:before="1"/>
              <w:ind w:left="350"/>
              <w:jc w:val="left"/>
              <w:rPr>
                <w:sz w:val="21"/>
              </w:rPr>
            </w:pPr>
            <w:r>
              <w:rPr>
                <w:sz w:val="21"/>
              </w:rPr>
              <w:t>城市</w:t>
            </w:r>
            <w:r>
              <w:rPr>
                <w:rFonts w:ascii="Times New Roman" w:eastAsia="Times New Roman"/>
                <w:sz w:val="21"/>
              </w:rPr>
              <w:t>/</w:t>
            </w:r>
            <w:r>
              <w:rPr>
                <w:sz w:val="21"/>
              </w:rPr>
              <w:t>农村选项</w:t>
            </w:r>
          </w:p>
        </w:tc>
        <w:tc>
          <w:tcPr>
            <w:tcW w:w="2622" w:type="dxa"/>
            <w:tcBorders>
              <w:top w:val="single" w:color="000000" w:sz="4" w:space="0"/>
              <w:left w:val="single" w:color="000000" w:sz="4" w:space="0"/>
              <w:bottom w:val="single" w:color="000000" w:sz="4" w:space="0"/>
              <w:right w:val="single" w:color="000000" w:sz="4" w:space="0"/>
            </w:tcBorders>
          </w:tcPr>
          <w:p>
            <w:pPr>
              <w:pStyle w:val="19"/>
              <w:spacing w:before="62"/>
              <w:ind w:left="383" w:right="367"/>
              <w:rPr>
                <w:sz w:val="21"/>
              </w:rPr>
            </w:pPr>
            <w:r>
              <w:rPr>
                <w:sz w:val="21"/>
              </w:rPr>
              <w:t>城市</w:t>
            </w:r>
            <w:r>
              <w:rPr>
                <w:rFonts w:ascii="Times New Roman" w:eastAsia="Times New Roman"/>
                <w:sz w:val="21"/>
              </w:rPr>
              <w:t>/</w:t>
            </w:r>
            <w:r>
              <w:rPr>
                <w:sz w:val="21"/>
              </w:rPr>
              <w:t>农村</w:t>
            </w:r>
          </w:p>
        </w:tc>
        <w:tc>
          <w:tcPr>
            <w:tcW w:w="4643" w:type="dxa"/>
            <w:tcBorders>
              <w:top w:val="single" w:color="000000" w:sz="4" w:space="0"/>
              <w:left w:val="single" w:color="000000" w:sz="4" w:space="0"/>
              <w:bottom w:val="single" w:color="000000" w:sz="4" w:space="0"/>
            </w:tcBorders>
          </w:tcPr>
          <w:p>
            <w:pPr>
              <w:pStyle w:val="19"/>
              <w:spacing w:before="62"/>
              <w:ind w:left="1668" w:right="1648"/>
              <w:rPr>
                <w:sz w:val="21"/>
              </w:rPr>
            </w:pPr>
            <w:r>
              <w:rPr>
                <w:sz w:val="21"/>
              </w:rPr>
              <w:t>农村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021" w:type="dxa"/>
            <w:vMerge w:val="continue"/>
            <w:tcBorders>
              <w:top w:val="nil"/>
              <w:bottom w:val="single" w:color="000000" w:sz="4" w:space="0"/>
              <w:right w:val="single" w:color="000000" w:sz="4" w:space="0"/>
            </w:tcBorders>
          </w:tcPr>
          <w:p>
            <w:pPr>
              <w:rPr>
                <w:sz w:val="2"/>
                <w:szCs w:val="2"/>
              </w:rPr>
            </w:pPr>
          </w:p>
        </w:tc>
        <w:tc>
          <w:tcPr>
            <w:tcW w:w="2622" w:type="dxa"/>
            <w:tcBorders>
              <w:top w:val="single" w:color="000000" w:sz="4" w:space="0"/>
              <w:left w:val="single" w:color="000000" w:sz="4" w:space="0"/>
              <w:bottom w:val="single" w:color="000000" w:sz="4" w:space="0"/>
              <w:right w:val="single" w:color="000000" w:sz="4" w:space="0"/>
            </w:tcBorders>
          </w:tcPr>
          <w:p>
            <w:pPr>
              <w:pStyle w:val="19"/>
              <w:spacing w:before="61"/>
              <w:ind w:left="385" w:right="367"/>
              <w:rPr>
                <w:rFonts w:ascii="Times New Roman" w:eastAsia="Times New Roman"/>
                <w:sz w:val="21"/>
              </w:rPr>
            </w:pPr>
            <w:r>
              <w:rPr>
                <w:sz w:val="21"/>
              </w:rPr>
              <w:t>人口数</w:t>
            </w:r>
            <w:r>
              <w:rPr>
                <w:rFonts w:ascii="Times New Roman" w:eastAsia="Times New Roman"/>
                <w:sz w:val="21"/>
              </w:rPr>
              <w:t>(</w:t>
            </w:r>
            <w:r>
              <w:rPr>
                <w:sz w:val="21"/>
              </w:rPr>
              <w:t>城市人口数</w:t>
            </w:r>
            <w:r>
              <w:rPr>
                <w:rFonts w:ascii="Times New Roman" w:eastAsia="Times New Roman"/>
                <w:sz w:val="21"/>
              </w:rPr>
              <w:t>)</w:t>
            </w:r>
          </w:p>
        </w:tc>
        <w:tc>
          <w:tcPr>
            <w:tcW w:w="4643" w:type="dxa"/>
            <w:tcBorders>
              <w:top w:val="single" w:color="000000" w:sz="4" w:space="0"/>
              <w:left w:val="single" w:color="000000" w:sz="4" w:space="0"/>
              <w:bottom w:val="single" w:color="000000" w:sz="4" w:space="0"/>
            </w:tcBorders>
          </w:tcPr>
          <w:p>
            <w:pPr>
              <w:pStyle w:val="19"/>
              <w:spacing w:before="75"/>
              <w:ind w:left="21"/>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643" w:type="dxa"/>
            <w:gridSpan w:val="2"/>
            <w:tcBorders>
              <w:top w:val="single" w:color="000000" w:sz="4" w:space="0"/>
              <w:bottom w:val="single" w:color="000000" w:sz="4" w:space="0"/>
              <w:right w:val="single" w:color="000000" w:sz="4" w:space="0"/>
            </w:tcBorders>
          </w:tcPr>
          <w:p>
            <w:pPr>
              <w:pStyle w:val="19"/>
              <w:spacing w:before="62"/>
              <w:ind w:left="1668" w:right="1660"/>
              <w:rPr>
                <w:sz w:val="21"/>
              </w:rPr>
            </w:pPr>
            <w:r>
              <w:rPr>
                <w:sz w:val="21"/>
              </w:rPr>
              <w:t>最高环境温度</w:t>
            </w:r>
          </w:p>
        </w:tc>
        <w:tc>
          <w:tcPr>
            <w:tcW w:w="4643" w:type="dxa"/>
            <w:tcBorders>
              <w:top w:val="single" w:color="000000" w:sz="4" w:space="0"/>
              <w:left w:val="single" w:color="000000" w:sz="4" w:space="0"/>
              <w:bottom w:val="single" w:color="000000" w:sz="4" w:space="0"/>
            </w:tcBorders>
          </w:tcPr>
          <w:p>
            <w:pPr>
              <w:pStyle w:val="19"/>
              <w:spacing w:before="76"/>
              <w:ind w:left="1668" w:right="1644"/>
              <w:rPr>
                <w:rFonts w:ascii="Times New Roman"/>
                <w:sz w:val="21"/>
              </w:rPr>
            </w:pPr>
            <w:r>
              <w:rPr>
                <w:rFonts w:ascii="Times New Roman"/>
                <w:sz w:val="21"/>
              </w:rPr>
              <w:t>35.4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43" w:type="dxa"/>
            <w:gridSpan w:val="2"/>
            <w:tcBorders>
              <w:top w:val="single" w:color="000000" w:sz="4" w:space="0"/>
              <w:bottom w:val="single" w:color="000000" w:sz="4" w:space="0"/>
              <w:right w:val="single" w:color="000000" w:sz="4" w:space="0"/>
            </w:tcBorders>
          </w:tcPr>
          <w:p>
            <w:pPr>
              <w:pStyle w:val="19"/>
              <w:spacing w:before="63"/>
              <w:ind w:left="1668" w:right="1660"/>
              <w:rPr>
                <w:sz w:val="21"/>
              </w:rPr>
            </w:pPr>
            <w:r>
              <w:rPr>
                <w:sz w:val="21"/>
              </w:rPr>
              <w:t>最低环境温度</w:t>
            </w:r>
          </w:p>
        </w:tc>
        <w:tc>
          <w:tcPr>
            <w:tcW w:w="4643" w:type="dxa"/>
            <w:tcBorders>
              <w:top w:val="single" w:color="000000" w:sz="4" w:space="0"/>
              <w:left w:val="single" w:color="000000" w:sz="4" w:space="0"/>
              <w:bottom w:val="single" w:color="000000" w:sz="4" w:space="0"/>
            </w:tcBorders>
          </w:tcPr>
          <w:p>
            <w:pPr>
              <w:pStyle w:val="19"/>
              <w:spacing w:before="77"/>
              <w:ind w:left="1668" w:right="1644"/>
              <w:rPr>
                <w:rFonts w:ascii="Times New Roman"/>
                <w:sz w:val="21"/>
              </w:rPr>
            </w:pPr>
            <w:r>
              <w:rPr>
                <w:rFonts w:ascii="Times New Roman"/>
                <w:sz w:val="21"/>
              </w:rPr>
              <w:t>-35.6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43" w:type="dxa"/>
            <w:gridSpan w:val="2"/>
            <w:tcBorders>
              <w:top w:val="single" w:color="000000" w:sz="4" w:space="0"/>
              <w:bottom w:val="single" w:color="000000" w:sz="4" w:space="0"/>
              <w:right w:val="single" w:color="000000" w:sz="4" w:space="0"/>
            </w:tcBorders>
          </w:tcPr>
          <w:p>
            <w:pPr>
              <w:pStyle w:val="19"/>
              <w:spacing w:before="62"/>
              <w:ind w:left="1668" w:right="1660"/>
              <w:rPr>
                <w:sz w:val="21"/>
              </w:rPr>
            </w:pPr>
            <w:r>
              <w:rPr>
                <w:sz w:val="21"/>
              </w:rPr>
              <w:t>土地利用类型</w:t>
            </w:r>
          </w:p>
        </w:tc>
        <w:tc>
          <w:tcPr>
            <w:tcW w:w="4643" w:type="dxa"/>
            <w:tcBorders>
              <w:top w:val="single" w:color="000000" w:sz="4" w:space="0"/>
              <w:left w:val="single" w:color="000000" w:sz="4" w:space="0"/>
              <w:bottom w:val="single" w:color="000000" w:sz="4" w:space="0"/>
            </w:tcBorders>
          </w:tcPr>
          <w:p>
            <w:pPr>
              <w:pStyle w:val="19"/>
              <w:spacing w:before="62"/>
              <w:ind w:left="1668" w:right="1648"/>
              <w:rPr>
                <w:sz w:val="21"/>
              </w:rPr>
            </w:pPr>
            <w:r>
              <w:rPr>
                <w:sz w:val="21"/>
              </w:rPr>
              <w:t>落叶林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643" w:type="dxa"/>
            <w:gridSpan w:val="2"/>
            <w:tcBorders>
              <w:top w:val="single" w:color="000000" w:sz="4" w:space="0"/>
              <w:bottom w:val="single" w:color="000000" w:sz="4" w:space="0"/>
              <w:right w:val="single" w:color="000000" w:sz="4" w:space="0"/>
            </w:tcBorders>
          </w:tcPr>
          <w:p>
            <w:pPr>
              <w:pStyle w:val="19"/>
              <w:spacing w:before="62"/>
              <w:ind w:left="1668" w:right="1660"/>
              <w:rPr>
                <w:sz w:val="21"/>
              </w:rPr>
            </w:pPr>
            <w:r>
              <w:rPr>
                <w:sz w:val="21"/>
              </w:rPr>
              <w:t>区域湿度条件</w:t>
            </w:r>
          </w:p>
        </w:tc>
        <w:tc>
          <w:tcPr>
            <w:tcW w:w="4643" w:type="dxa"/>
            <w:tcBorders>
              <w:top w:val="single" w:color="000000" w:sz="4" w:space="0"/>
              <w:left w:val="single" w:color="000000" w:sz="4" w:space="0"/>
              <w:bottom w:val="single" w:color="000000" w:sz="4" w:space="0"/>
            </w:tcBorders>
          </w:tcPr>
          <w:p>
            <w:pPr>
              <w:pStyle w:val="19"/>
              <w:spacing w:before="62"/>
              <w:ind w:left="1668" w:right="1648"/>
              <w:rPr>
                <w:sz w:val="21"/>
              </w:rPr>
            </w:pPr>
            <w:r>
              <w:rPr>
                <w:sz w:val="21"/>
              </w:rPr>
              <w:t>潮湿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021" w:type="dxa"/>
            <w:vMerge w:val="restart"/>
            <w:tcBorders>
              <w:top w:val="single" w:color="000000" w:sz="4" w:space="0"/>
              <w:bottom w:val="single" w:color="000000" w:sz="4" w:space="0"/>
              <w:right w:val="single" w:color="000000" w:sz="4" w:space="0"/>
            </w:tcBorders>
          </w:tcPr>
          <w:p>
            <w:pPr>
              <w:pStyle w:val="19"/>
              <w:spacing w:before="9"/>
              <w:jc w:val="left"/>
              <w:rPr>
                <w:b/>
                <w:sz w:val="20"/>
              </w:rPr>
            </w:pPr>
          </w:p>
          <w:p>
            <w:pPr>
              <w:pStyle w:val="19"/>
              <w:ind w:left="379"/>
              <w:jc w:val="left"/>
              <w:rPr>
                <w:sz w:val="21"/>
              </w:rPr>
            </w:pPr>
            <w:r>
              <w:rPr>
                <w:sz w:val="21"/>
              </w:rPr>
              <w:t>是否考虑地形</w:t>
            </w:r>
          </w:p>
        </w:tc>
        <w:tc>
          <w:tcPr>
            <w:tcW w:w="2622" w:type="dxa"/>
            <w:tcBorders>
              <w:top w:val="single" w:color="000000" w:sz="4" w:space="0"/>
              <w:left w:val="single" w:color="000000" w:sz="4" w:space="0"/>
              <w:bottom w:val="single" w:color="000000" w:sz="4" w:space="0"/>
              <w:right w:val="single" w:color="000000" w:sz="4" w:space="0"/>
            </w:tcBorders>
          </w:tcPr>
          <w:p>
            <w:pPr>
              <w:pStyle w:val="19"/>
              <w:spacing w:before="61"/>
              <w:ind w:left="383" w:right="367"/>
              <w:rPr>
                <w:sz w:val="21"/>
              </w:rPr>
            </w:pPr>
            <w:r>
              <w:rPr>
                <w:sz w:val="21"/>
              </w:rPr>
              <w:t>考虑地形</w:t>
            </w:r>
          </w:p>
        </w:tc>
        <w:tc>
          <w:tcPr>
            <w:tcW w:w="4643" w:type="dxa"/>
            <w:tcBorders>
              <w:top w:val="single" w:color="000000" w:sz="4" w:space="0"/>
              <w:left w:val="single" w:color="000000" w:sz="4" w:space="0"/>
              <w:bottom w:val="single" w:color="000000" w:sz="4" w:space="0"/>
            </w:tcBorders>
          </w:tcPr>
          <w:p>
            <w:pPr>
              <w:pStyle w:val="19"/>
              <w:spacing w:before="61"/>
              <w:ind w:left="23"/>
              <w:rPr>
                <w:sz w:val="21"/>
              </w:rPr>
            </w:pPr>
            <w:r>
              <w:rPr>
                <w:w w:val="99"/>
                <w:sz w:val="21"/>
              </w:rPr>
              <w:t>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021" w:type="dxa"/>
            <w:vMerge w:val="continue"/>
            <w:tcBorders>
              <w:top w:val="nil"/>
              <w:bottom w:val="single" w:color="000000" w:sz="4" w:space="0"/>
              <w:right w:val="single" w:color="000000" w:sz="4" w:space="0"/>
            </w:tcBorders>
          </w:tcPr>
          <w:p>
            <w:pPr>
              <w:rPr>
                <w:sz w:val="2"/>
                <w:szCs w:val="2"/>
              </w:rPr>
            </w:pPr>
          </w:p>
        </w:tc>
        <w:tc>
          <w:tcPr>
            <w:tcW w:w="2622" w:type="dxa"/>
            <w:tcBorders>
              <w:top w:val="single" w:color="000000" w:sz="4" w:space="0"/>
              <w:left w:val="single" w:color="000000" w:sz="4" w:space="0"/>
              <w:bottom w:val="single" w:color="000000" w:sz="4" w:space="0"/>
              <w:right w:val="single" w:color="000000" w:sz="4" w:space="0"/>
            </w:tcBorders>
          </w:tcPr>
          <w:p>
            <w:pPr>
              <w:pStyle w:val="19"/>
              <w:spacing w:before="62"/>
              <w:ind w:left="385" w:right="367"/>
              <w:rPr>
                <w:rFonts w:ascii="Times New Roman" w:eastAsia="Times New Roman"/>
                <w:sz w:val="21"/>
              </w:rPr>
            </w:pPr>
            <w:r>
              <w:rPr>
                <w:sz w:val="21"/>
              </w:rPr>
              <w:t>地形数据分辨率</w:t>
            </w:r>
            <w:r>
              <w:rPr>
                <w:rFonts w:ascii="Times New Roman" w:eastAsia="Times New Roman"/>
                <w:sz w:val="21"/>
              </w:rPr>
              <w:t>(m)</w:t>
            </w:r>
          </w:p>
        </w:tc>
        <w:tc>
          <w:tcPr>
            <w:tcW w:w="4643" w:type="dxa"/>
            <w:tcBorders>
              <w:top w:val="single" w:color="000000" w:sz="4" w:space="0"/>
              <w:left w:val="single" w:color="000000" w:sz="4" w:space="0"/>
              <w:bottom w:val="single" w:color="000000" w:sz="4" w:space="0"/>
            </w:tcBorders>
          </w:tcPr>
          <w:p>
            <w:pPr>
              <w:pStyle w:val="19"/>
              <w:spacing w:before="76"/>
              <w:ind w:left="1668" w:right="1644"/>
              <w:rPr>
                <w:rFonts w:ascii="Times New Roman"/>
                <w:sz w:val="21"/>
              </w:rPr>
            </w:pPr>
            <w:r>
              <w:rPr>
                <w:rFonts w:ascii="Times New Roman"/>
                <w:sz w:val="21"/>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2" w:hRule="atLeast"/>
        </w:trPr>
        <w:tc>
          <w:tcPr>
            <w:tcW w:w="2021" w:type="dxa"/>
            <w:vMerge w:val="restart"/>
            <w:tcBorders>
              <w:top w:val="single" w:color="000000" w:sz="4" w:space="0"/>
              <w:right w:val="single" w:color="000000" w:sz="4" w:space="0"/>
            </w:tcBorders>
          </w:tcPr>
          <w:p>
            <w:pPr>
              <w:pStyle w:val="19"/>
              <w:jc w:val="left"/>
              <w:rPr>
                <w:b/>
                <w:sz w:val="20"/>
              </w:rPr>
            </w:pPr>
          </w:p>
          <w:p>
            <w:pPr>
              <w:pStyle w:val="19"/>
              <w:spacing w:before="7"/>
              <w:jc w:val="left"/>
              <w:rPr>
                <w:b/>
                <w:sz w:val="16"/>
              </w:rPr>
            </w:pPr>
          </w:p>
          <w:p>
            <w:pPr>
              <w:pStyle w:val="19"/>
              <w:ind w:left="170"/>
              <w:jc w:val="left"/>
              <w:rPr>
                <w:sz w:val="21"/>
              </w:rPr>
            </w:pPr>
            <w:r>
              <w:rPr>
                <w:sz w:val="21"/>
              </w:rPr>
              <w:t>是否考虑岸线熏烟</w:t>
            </w:r>
          </w:p>
        </w:tc>
        <w:tc>
          <w:tcPr>
            <w:tcW w:w="2622" w:type="dxa"/>
            <w:tcBorders>
              <w:top w:val="single" w:color="000000" w:sz="4" w:space="0"/>
              <w:left w:val="single" w:color="000000" w:sz="4" w:space="0"/>
              <w:bottom w:val="single" w:color="000000" w:sz="4" w:space="0"/>
              <w:right w:val="single" w:color="000000" w:sz="4" w:space="0"/>
            </w:tcBorders>
          </w:tcPr>
          <w:p>
            <w:pPr>
              <w:pStyle w:val="19"/>
              <w:spacing w:before="61"/>
              <w:ind w:left="385" w:right="367"/>
              <w:rPr>
                <w:sz w:val="21"/>
              </w:rPr>
            </w:pPr>
            <w:r>
              <w:rPr>
                <w:sz w:val="21"/>
              </w:rPr>
              <w:t>考虑岸线熏烟</w:t>
            </w:r>
          </w:p>
        </w:tc>
        <w:tc>
          <w:tcPr>
            <w:tcW w:w="4643" w:type="dxa"/>
            <w:tcBorders>
              <w:top w:val="single" w:color="000000" w:sz="4" w:space="0"/>
              <w:left w:val="single" w:color="000000" w:sz="4" w:space="0"/>
              <w:bottom w:val="single" w:color="000000" w:sz="4" w:space="0"/>
            </w:tcBorders>
          </w:tcPr>
          <w:p>
            <w:pPr>
              <w:pStyle w:val="19"/>
              <w:spacing w:before="61"/>
              <w:ind w:left="23"/>
              <w:rPr>
                <w:sz w:val="21"/>
              </w:rPr>
            </w:pPr>
            <w:r>
              <w:rPr>
                <w:w w:val="99"/>
                <w:sz w:val="21"/>
              </w:rPr>
              <w:t>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2021" w:type="dxa"/>
            <w:vMerge w:val="continue"/>
            <w:tcBorders>
              <w:top w:val="nil"/>
              <w:right w:val="single" w:color="000000" w:sz="4" w:space="0"/>
            </w:tcBorders>
          </w:tcPr>
          <w:p>
            <w:pPr>
              <w:rPr>
                <w:sz w:val="2"/>
                <w:szCs w:val="2"/>
              </w:rPr>
            </w:pPr>
          </w:p>
        </w:tc>
        <w:tc>
          <w:tcPr>
            <w:tcW w:w="2622" w:type="dxa"/>
            <w:tcBorders>
              <w:top w:val="single" w:color="000000" w:sz="4" w:space="0"/>
              <w:left w:val="single" w:color="000000" w:sz="4" w:space="0"/>
              <w:bottom w:val="single" w:color="000000" w:sz="4" w:space="0"/>
              <w:right w:val="single" w:color="000000" w:sz="4" w:space="0"/>
            </w:tcBorders>
          </w:tcPr>
          <w:p>
            <w:pPr>
              <w:pStyle w:val="19"/>
              <w:spacing w:before="57"/>
              <w:ind w:left="384" w:right="367"/>
              <w:rPr>
                <w:rFonts w:ascii="Times New Roman" w:eastAsia="Times New Roman"/>
                <w:sz w:val="21"/>
              </w:rPr>
            </w:pPr>
            <w:r>
              <w:rPr>
                <w:sz w:val="21"/>
              </w:rPr>
              <w:t>岸线距离</w:t>
            </w:r>
            <w:r>
              <w:rPr>
                <w:rFonts w:ascii="Times New Roman" w:eastAsia="Times New Roman"/>
                <w:sz w:val="21"/>
              </w:rPr>
              <w:t>/m</w:t>
            </w:r>
          </w:p>
        </w:tc>
        <w:tc>
          <w:tcPr>
            <w:tcW w:w="4643" w:type="dxa"/>
            <w:tcBorders>
              <w:top w:val="single" w:color="000000" w:sz="4" w:space="0"/>
              <w:left w:val="single" w:color="000000" w:sz="4" w:space="0"/>
              <w:bottom w:val="single" w:color="000000" w:sz="4" w:space="0"/>
            </w:tcBorders>
          </w:tcPr>
          <w:p>
            <w:pPr>
              <w:pStyle w:val="19"/>
              <w:spacing w:before="71"/>
              <w:ind w:left="21"/>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1" w:hRule="atLeast"/>
        </w:trPr>
        <w:tc>
          <w:tcPr>
            <w:tcW w:w="2021" w:type="dxa"/>
            <w:vMerge w:val="continue"/>
            <w:tcBorders>
              <w:top w:val="nil"/>
              <w:right w:val="single" w:color="000000" w:sz="4" w:space="0"/>
            </w:tcBorders>
          </w:tcPr>
          <w:p>
            <w:pPr>
              <w:rPr>
                <w:sz w:val="2"/>
                <w:szCs w:val="2"/>
              </w:rPr>
            </w:pPr>
          </w:p>
        </w:tc>
        <w:tc>
          <w:tcPr>
            <w:tcW w:w="2622" w:type="dxa"/>
            <w:tcBorders>
              <w:top w:val="single" w:color="000000" w:sz="4" w:space="0"/>
              <w:left w:val="single" w:color="000000" w:sz="4" w:space="0"/>
              <w:right w:val="single" w:color="000000" w:sz="4" w:space="0"/>
            </w:tcBorders>
          </w:tcPr>
          <w:p>
            <w:pPr>
              <w:pStyle w:val="19"/>
              <w:spacing w:before="58"/>
              <w:ind w:left="385" w:right="365"/>
              <w:rPr>
                <w:rFonts w:ascii="Times New Roman" w:hAnsi="Times New Roman" w:eastAsia="Times New Roman"/>
                <w:sz w:val="21"/>
              </w:rPr>
            </w:pPr>
            <w:r>
              <w:rPr>
                <w:sz w:val="21"/>
              </w:rPr>
              <w:t>岸线方向</w:t>
            </w:r>
            <w:r>
              <w:rPr>
                <w:rFonts w:ascii="Times New Roman" w:hAnsi="Times New Roman" w:eastAsia="Times New Roman"/>
                <w:sz w:val="21"/>
              </w:rPr>
              <w:t>/°</w:t>
            </w:r>
          </w:p>
        </w:tc>
        <w:tc>
          <w:tcPr>
            <w:tcW w:w="4643" w:type="dxa"/>
            <w:tcBorders>
              <w:top w:val="single" w:color="000000" w:sz="4" w:space="0"/>
              <w:left w:val="single" w:color="000000" w:sz="4" w:space="0"/>
            </w:tcBorders>
          </w:tcPr>
          <w:p>
            <w:pPr>
              <w:pStyle w:val="19"/>
              <w:spacing w:before="72"/>
              <w:ind w:left="21"/>
              <w:rPr>
                <w:rFonts w:ascii="Times New Roman"/>
                <w:sz w:val="21"/>
              </w:rPr>
            </w:pPr>
            <w:r>
              <w:rPr>
                <w:rFonts w:ascii="Times New Roman"/>
                <w:w w:val="99"/>
                <w:sz w:val="21"/>
              </w:rPr>
              <w:t>/</w:t>
            </w:r>
          </w:p>
        </w:tc>
      </w:tr>
    </w:tbl>
    <w:p>
      <w:pPr>
        <w:pStyle w:val="9"/>
        <w:spacing w:before="6"/>
        <w:rPr>
          <w:b/>
          <w:sz w:val="5"/>
        </w:rPr>
      </w:pPr>
    </w:p>
    <w:p>
      <w:pPr>
        <w:pStyle w:val="18"/>
        <w:numPr>
          <w:ilvl w:val="1"/>
          <w:numId w:val="24"/>
        </w:numPr>
        <w:tabs>
          <w:tab w:val="left" w:pos="2121"/>
        </w:tabs>
        <w:spacing w:before="74" w:after="0" w:line="240" w:lineRule="auto"/>
        <w:ind w:left="2120" w:right="0" w:hanging="281"/>
        <w:jc w:val="left"/>
        <w:rPr>
          <w:sz w:val="24"/>
        </w:rPr>
      </w:pPr>
      <w:r>
        <w:rPr>
          <w:sz w:val="24"/>
        </w:rPr>
        <w:t>评价工作等级确定</w:t>
      </w:r>
    </w:p>
    <w:p>
      <w:pPr>
        <w:pStyle w:val="9"/>
        <w:spacing w:before="170"/>
        <w:ind w:left="1418"/>
        <w:rPr>
          <w:rFonts w:ascii="Times New Roman" w:eastAsia="Times New Roman"/>
        </w:rPr>
      </w:pPr>
      <w:r>
        <w:rPr>
          <w:position w:val="2"/>
        </w:rPr>
        <w:t xml:space="preserve">本项目所有污染源的正常排放的污染物的 </w:t>
      </w:r>
      <w:r>
        <w:rPr>
          <w:rFonts w:ascii="Times New Roman" w:eastAsia="Times New Roman"/>
          <w:position w:val="2"/>
        </w:rPr>
        <w:t>P</w:t>
      </w:r>
      <w:r>
        <w:rPr>
          <w:rFonts w:ascii="Times New Roman" w:eastAsia="Times New Roman"/>
          <w:position w:val="2"/>
          <w:vertAlign w:val="subscript"/>
        </w:rPr>
        <w:t>max</w:t>
      </w:r>
      <w:r>
        <w:rPr>
          <w:rFonts w:ascii="Times New Roman" w:eastAsia="Times New Roman"/>
          <w:position w:val="2"/>
          <w:vertAlign w:val="baseline"/>
        </w:rPr>
        <w:t xml:space="preserve"> </w:t>
      </w:r>
      <w:r>
        <w:rPr>
          <w:position w:val="2"/>
          <w:vertAlign w:val="baseline"/>
        </w:rPr>
        <w:t xml:space="preserve">和 </w:t>
      </w:r>
      <w:r>
        <w:rPr>
          <w:rFonts w:ascii="Times New Roman" w:eastAsia="Times New Roman"/>
          <w:position w:val="2"/>
          <w:vertAlign w:val="baseline"/>
        </w:rPr>
        <w:t>D</w:t>
      </w:r>
      <w:r>
        <w:rPr>
          <w:rFonts w:ascii="Times New Roman" w:eastAsia="Times New Roman"/>
          <w:position w:val="2"/>
          <w:vertAlign w:val="subscript"/>
        </w:rPr>
        <w:t>10%</w:t>
      </w:r>
      <w:r>
        <w:rPr>
          <w:position w:val="2"/>
          <w:vertAlign w:val="baseline"/>
        </w:rPr>
        <w:t>预测结果如下</w:t>
      </w:r>
      <w:r>
        <w:rPr>
          <w:rFonts w:ascii="Times New Roman" w:eastAsia="Times New Roman"/>
          <w:position w:val="2"/>
          <w:vertAlign w:val="baseline"/>
        </w:rPr>
        <w:t>:</w:t>
      </w:r>
    </w:p>
    <w:p>
      <w:pPr>
        <w:spacing w:before="145"/>
        <w:ind w:left="10" w:right="0" w:firstLine="0"/>
        <w:jc w:val="center"/>
        <w:rPr>
          <w:b/>
          <w:sz w:val="21"/>
        </w:rPr>
      </w:pPr>
      <w:r>
        <w:rPr>
          <w:b/>
          <w:position w:val="2"/>
          <w:sz w:val="21"/>
        </w:rPr>
        <w:t xml:space="preserve">表 </w:t>
      </w:r>
      <w:r>
        <w:rPr>
          <w:rFonts w:ascii="Times New Roman" w:eastAsia="Times New Roman"/>
          <w:b/>
          <w:position w:val="2"/>
          <w:sz w:val="21"/>
        </w:rPr>
        <w:t>7.3-6 P</w:t>
      </w:r>
      <w:r>
        <w:rPr>
          <w:rFonts w:ascii="Times New Roman" w:eastAsia="Times New Roman"/>
          <w:b/>
          <w:position w:val="2"/>
          <w:sz w:val="21"/>
          <w:vertAlign w:val="subscript"/>
        </w:rPr>
        <w:t>max</w:t>
      </w:r>
      <w:r>
        <w:rPr>
          <w:rFonts w:ascii="Times New Roman" w:eastAsia="Times New Roman"/>
          <w:b/>
          <w:position w:val="2"/>
          <w:sz w:val="21"/>
          <w:vertAlign w:val="baseline"/>
        </w:rPr>
        <w:t xml:space="preserve"> </w:t>
      </w:r>
      <w:r>
        <w:rPr>
          <w:b/>
          <w:position w:val="2"/>
          <w:sz w:val="21"/>
          <w:vertAlign w:val="baseline"/>
        </w:rPr>
        <w:t xml:space="preserve">和 </w:t>
      </w:r>
      <w:r>
        <w:rPr>
          <w:rFonts w:ascii="Times New Roman" w:eastAsia="Times New Roman"/>
          <w:b/>
          <w:position w:val="2"/>
          <w:sz w:val="21"/>
          <w:vertAlign w:val="baseline"/>
        </w:rPr>
        <w:t>D</w:t>
      </w:r>
      <w:r>
        <w:rPr>
          <w:rFonts w:ascii="Times New Roman" w:eastAsia="Times New Roman"/>
          <w:b/>
          <w:position w:val="2"/>
          <w:sz w:val="21"/>
          <w:vertAlign w:val="subscript"/>
        </w:rPr>
        <w:t>10%</w:t>
      </w:r>
      <w:r>
        <w:rPr>
          <w:b/>
          <w:position w:val="2"/>
          <w:sz w:val="21"/>
          <w:vertAlign w:val="baseline"/>
        </w:rPr>
        <w:t>预测和计算结果一览表</w:t>
      </w: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46"/>
        <w:gridCol w:w="1546"/>
        <w:gridCol w:w="1547"/>
        <w:gridCol w:w="1547"/>
        <w:gridCol w:w="1547"/>
        <w:gridCol w:w="15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4" w:hRule="atLeast"/>
        </w:trPr>
        <w:tc>
          <w:tcPr>
            <w:tcW w:w="1546" w:type="dxa"/>
            <w:tcBorders>
              <w:bottom w:val="single" w:color="000000" w:sz="4" w:space="0"/>
              <w:right w:val="single" w:color="000000" w:sz="4" w:space="0"/>
            </w:tcBorders>
          </w:tcPr>
          <w:p>
            <w:pPr>
              <w:pStyle w:val="19"/>
              <w:spacing w:before="119"/>
              <w:ind w:left="247"/>
              <w:jc w:val="left"/>
              <w:rPr>
                <w:sz w:val="21"/>
              </w:rPr>
            </w:pPr>
            <w:r>
              <w:rPr>
                <w:sz w:val="21"/>
              </w:rPr>
              <w:t>污染源名称</w:t>
            </w:r>
          </w:p>
        </w:tc>
        <w:tc>
          <w:tcPr>
            <w:tcW w:w="1546" w:type="dxa"/>
            <w:tcBorders>
              <w:left w:val="single" w:color="000000" w:sz="4" w:space="0"/>
              <w:bottom w:val="single" w:color="000000" w:sz="4" w:space="0"/>
              <w:right w:val="single" w:color="000000" w:sz="4" w:space="0"/>
            </w:tcBorders>
          </w:tcPr>
          <w:p>
            <w:pPr>
              <w:pStyle w:val="19"/>
              <w:spacing w:before="119"/>
              <w:ind w:left="336" w:right="320"/>
              <w:rPr>
                <w:sz w:val="21"/>
              </w:rPr>
            </w:pPr>
            <w:r>
              <w:rPr>
                <w:sz w:val="21"/>
              </w:rPr>
              <w:t>评价因子</w:t>
            </w:r>
          </w:p>
        </w:tc>
        <w:tc>
          <w:tcPr>
            <w:tcW w:w="1547" w:type="dxa"/>
            <w:tcBorders>
              <w:left w:val="single" w:color="000000" w:sz="4" w:space="0"/>
              <w:bottom w:val="single" w:color="000000" w:sz="4" w:space="0"/>
              <w:right w:val="single" w:color="000000" w:sz="4" w:space="0"/>
            </w:tcBorders>
          </w:tcPr>
          <w:p>
            <w:pPr>
              <w:pStyle w:val="19"/>
              <w:spacing w:line="269" w:lineRule="exact"/>
              <w:ind w:left="356"/>
              <w:jc w:val="left"/>
              <w:rPr>
                <w:sz w:val="21"/>
              </w:rPr>
            </w:pPr>
            <w:r>
              <w:rPr>
                <w:sz w:val="21"/>
              </w:rPr>
              <w:t>评价标准</w:t>
            </w:r>
          </w:p>
          <w:p>
            <w:pPr>
              <w:pStyle w:val="19"/>
              <w:spacing w:before="1" w:line="224" w:lineRule="exact"/>
              <w:ind w:left="457"/>
              <w:jc w:val="left"/>
              <w:rPr>
                <w:rFonts w:ascii="Times New Roman" w:hAnsi="Times New Roman"/>
                <w:sz w:val="21"/>
              </w:rPr>
            </w:pPr>
            <w:r>
              <w:rPr>
                <w:rFonts w:ascii="Times New Roman" w:hAnsi="Times New Roman"/>
                <w:sz w:val="21"/>
              </w:rPr>
              <w:t>(μg/m³)</w:t>
            </w:r>
          </w:p>
        </w:tc>
        <w:tc>
          <w:tcPr>
            <w:tcW w:w="1547" w:type="dxa"/>
            <w:tcBorders>
              <w:left w:val="single" w:color="000000" w:sz="4" w:space="0"/>
              <w:bottom w:val="single" w:color="000000" w:sz="4" w:space="0"/>
              <w:right w:val="single" w:color="000000" w:sz="4" w:space="0"/>
            </w:tcBorders>
          </w:tcPr>
          <w:p>
            <w:pPr>
              <w:pStyle w:val="19"/>
              <w:spacing w:before="130"/>
              <w:ind w:left="83" w:right="60"/>
              <w:rPr>
                <w:rFonts w:ascii="Times New Roman" w:hAnsi="Times New Roman"/>
                <w:sz w:val="21"/>
              </w:rPr>
            </w:pPr>
            <w:r>
              <w:rPr>
                <w:rFonts w:ascii="Times New Roman" w:hAnsi="Times New Roman"/>
                <w:position w:val="2"/>
                <w:sz w:val="21"/>
              </w:rPr>
              <w:t>C</w:t>
            </w:r>
            <w:r>
              <w:rPr>
                <w:rFonts w:ascii="Times New Roman" w:hAnsi="Times New Roman"/>
                <w:position w:val="2"/>
                <w:sz w:val="21"/>
                <w:vertAlign w:val="subscript"/>
              </w:rPr>
              <w:t>max</w:t>
            </w:r>
            <w:r>
              <w:rPr>
                <w:rFonts w:ascii="Times New Roman" w:hAnsi="Times New Roman"/>
                <w:position w:val="2"/>
                <w:sz w:val="21"/>
                <w:vertAlign w:val="baseline"/>
              </w:rPr>
              <w:t>(μg/m³)</w:t>
            </w:r>
          </w:p>
        </w:tc>
        <w:tc>
          <w:tcPr>
            <w:tcW w:w="1547" w:type="dxa"/>
            <w:tcBorders>
              <w:left w:val="single" w:color="000000" w:sz="4" w:space="0"/>
              <w:bottom w:val="single" w:color="000000" w:sz="4" w:space="0"/>
              <w:right w:val="single" w:color="000000" w:sz="4" w:space="0"/>
            </w:tcBorders>
          </w:tcPr>
          <w:p>
            <w:pPr>
              <w:pStyle w:val="19"/>
              <w:spacing w:before="130"/>
              <w:ind w:left="83" w:right="63"/>
              <w:rPr>
                <w:rFonts w:ascii="Times New Roman"/>
                <w:sz w:val="21"/>
              </w:rPr>
            </w:pPr>
            <w:r>
              <w:rPr>
                <w:rFonts w:ascii="Times New Roman"/>
                <w:position w:val="2"/>
                <w:sz w:val="21"/>
              </w:rPr>
              <w:t>P</w:t>
            </w:r>
            <w:r>
              <w:rPr>
                <w:rFonts w:ascii="Times New Roman"/>
                <w:position w:val="2"/>
                <w:sz w:val="21"/>
                <w:vertAlign w:val="subscript"/>
              </w:rPr>
              <w:t>max</w:t>
            </w:r>
            <w:r>
              <w:rPr>
                <w:rFonts w:ascii="Times New Roman"/>
                <w:position w:val="2"/>
                <w:sz w:val="21"/>
                <w:vertAlign w:val="baseline"/>
              </w:rPr>
              <w:t>(%)</w:t>
            </w:r>
          </w:p>
        </w:tc>
        <w:tc>
          <w:tcPr>
            <w:tcW w:w="1547" w:type="dxa"/>
            <w:tcBorders>
              <w:left w:val="single" w:color="000000" w:sz="4" w:space="0"/>
              <w:bottom w:val="single" w:color="000000" w:sz="4" w:space="0"/>
            </w:tcBorders>
          </w:tcPr>
          <w:p>
            <w:pPr>
              <w:pStyle w:val="19"/>
              <w:spacing w:before="130"/>
              <w:ind w:left="198" w:right="173"/>
              <w:rPr>
                <w:rFonts w:ascii="Times New Roman"/>
                <w:sz w:val="21"/>
              </w:rPr>
            </w:pPr>
            <w:r>
              <w:rPr>
                <w:rFonts w:ascii="Times New Roman"/>
                <w:position w:val="2"/>
                <w:sz w:val="21"/>
              </w:rPr>
              <w:t>D</w:t>
            </w:r>
            <w:r>
              <w:rPr>
                <w:rFonts w:ascii="Times New Roman"/>
                <w:position w:val="2"/>
                <w:sz w:val="21"/>
                <w:vertAlign w:val="subscript"/>
              </w:rPr>
              <w:t>10%</w:t>
            </w:r>
            <w:r>
              <w:rPr>
                <w:rFonts w:ascii="Times New Roman"/>
                <w:position w:val="2"/>
                <w:sz w:val="21"/>
                <w:vertAlign w:val="baseline"/>
              </w:rPr>
              <w:t>(m)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1" w:hRule="atLeast"/>
        </w:trPr>
        <w:tc>
          <w:tcPr>
            <w:tcW w:w="1546" w:type="dxa"/>
            <w:vMerge w:val="restart"/>
            <w:tcBorders>
              <w:top w:val="single" w:color="000000" w:sz="4" w:space="0"/>
              <w:right w:val="single" w:color="000000" w:sz="4" w:space="0"/>
            </w:tcBorders>
          </w:tcPr>
          <w:p>
            <w:pPr>
              <w:pStyle w:val="19"/>
              <w:spacing w:before="8"/>
              <w:jc w:val="left"/>
              <w:rPr>
                <w:b/>
                <w:sz w:val="18"/>
              </w:rPr>
            </w:pPr>
          </w:p>
          <w:p>
            <w:pPr>
              <w:pStyle w:val="19"/>
              <w:ind w:left="141"/>
              <w:jc w:val="left"/>
              <w:rPr>
                <w:sz w:val="21"/>
              </w:rPr>
            </w:pPr>
            <w:r>
              <w:rPr>
                <w:sz w:val="21"/>
              </w:rPr>
              <w:t>主井暖风炉房</w:t>
            </w:r>
          </w:p>
        </w:tc>
        <w:tc>
          <w:tcPr>
            <w:tcW w:w="1546" w:type="dxa"/>
            <w:tcBorders>
              <w:top w:val="single" w:color="000000" w:sz="4" w:space="0"/>
              <w:left w:val="single" w:color="000000" w:sz="4" w:space="0"/>
              <w:bottom w:val="single" w:color="000000" w:sz="4" w:space="0"/>
              <w:right w:val="single" w:color="000000" w:sz="4" w:space="0"/>
            </w:tcBorders>
          </w:tcPr>
          <w:p>
            <w:pPr>
              <w:pStyle w:val="19"/>
              <w:spacing w:before="72"/>
              <w:ind w:left="336" w:right="314"/>
              <w:rPr>
                <w:rFonts w:ascii="Times New Roman"/>
                <w:sz w:val="21"/>
              </w:rPr>
            </w:pPr>
            <w:r>
              <w:rPr>
                <w:rFonts w:ascii="Times New Roman"/>
                <w:position w:val="2"/>
                <w:sz w:val="21"/>
              </w:rPr>
              <w:t>PM</w:t>
            </w:r>
            <w:r>
              <w:rPr>
                <w:rFonts w:ascii="Times New Roman"/>
                <w:position w:val="2"/>
                <w:sz w:val="21"/>
                <w:vertAlign w:val="subscript"/>
              </w:rPr>
              <w:t>10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5"/>
              <w:ind w:right="519"/>
              <w:jc w:val="right"/>
              <w:rPr>
                <w:rFonts w:ascii="Times New Roman"/>
                <w:sz w:val="21"/>
              </w:rPr>
            </w:pPr>
            <w:r>
              <w:rPr>
                <w:rFonts w:ascii="Times New Roman"/>
                <w:sz w:val="21"/>
              </w:rPr>
              <w:t>450.0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5"/>
              <w:ind w:left="83" w:right="63"/>
              <w:rPr>
                <w:rFonts w:ascii="Times New Roman"/>
                <w:sz w:val="21"/>
              </w:rPr>
            </w:pPr>
            <w:r>
              <w:rPr>
                <w:rFonts w:ascii="Times New Roman"/>
                <w:sz w:val="21"/>
              </w:rPr>
              <w:t>0.10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5"/>
              <w:ind w:left="83" w:right="64"/>
              <w:rPr>
                <w:rFonts w:ascii="Times New Roman"/>
                <w:sz w:val="21"/>
              </w:rPr>
            </w:pPr>
            <w:r>
              <w:rPr>
                <w:rFonts w:ascii="Times New Roman"/>
                <w:sz w:val="21"/>
              </w:rPr>
              <w:t>0.02</w:t>
            </w:r>
          </w:p>
        </w:tc>
        <w:tc>
          <w:tcPr>
            <w:tcW w:w="1547" w:type="dxa"/>
            <w:tcBorders>
              <w:top w:val="single" w:color="000000" w:sz="4" w:space="0"/>
              <w:left w:val="single" w:color="000000" w:sz="4" w:space="0"/>
              <w:bottom w:val="single" w:color="000000" w:sz="4" w:space="0"/>
            </w:tcBorders>
          </w:tcPr>
          <w:p>
            <w:pPr>
              <w:pStyle w:val="19"/>
              <w:spacing w:before="75"/>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1546" w:type="dxa"/>
            <w:vMerge w:val="continue"/>
            <w:tcBorders>
              <w:top w:val="nil"/>
              <w:right w:val="single" w:color="000000" w:sz="4" w:space="0"/>
            </w:tcBorders>
          </w:tcPr>
          <w:p>
            <w:pPr>
              <w:rPr>
                <w:sz w:val="2"/>
                <w:szCs w:val="2"/>
              </w:rPr>
            </w:pPr>
          </w:p>
        </w:tc>
        <w:tc>
          <w:tcPr>
            <w:tcW w:w="1546" w:type="dxa"/>
            <w:tcBorders>
              <w:top w:val="single" w:color="000000" w:sz="4" w:space="0"/>
              <w:left w:val="single" w:color="000000" w:sz="4" w:space="0"/>
              <w:right w:val="single" w:color="000000" w:sz="4" w:space="0"/>
            </w:tcBorders>
          </w:tcPr>
          <w:p>
            <w:pPr>
              <w:pStyle w:val="19"/>
              <w:spacing w:before="68"/>
              <w:ind w:left="336" w:right="316"/>
              <w:rPr>
                <w:rFonts w:ascii="Times New Roman"/>
                <w:sz w:val="21"/>
              </w:rPr>
            </w:pPr>
            <w:r>
              <w:rPr>
                <w:rFonts w:ascii="Times New Roman"/>
                <w:position w:val="2"/>
                <w:sz w:val="21"/>
              </w:rPr>
              <w:t>SO</w:t>
            </w:r>
            <w:r>
              <w:rPr>
                <w:rFonts w:ascii="Times New Roman"/>
                <w:position w:val="2"/>
                <w:sz w:val="21"/>
                <w:vertAlign w:val="subscript"/>
              </w:rPr>
              <w:t>2</w:t>
            </w:r>
          </w:p>
        </w:tc>
        <w:tc>
          <w:tcPr>
            <w:tcW w:w="1547" w:type="dxa"/>
            <w:tcBorders>
              <w:top w:val="single" w:color="000000" w:sz="4" w:space="0"/>
              <w:left w:val="single" w:color="000000" w:sz="4" w:space="0"/>
              <w:right w:val="single" w:color="000000" w:sz="4" w:space="0"/>
            </w:tcBorders>
          </w:tcPr>
          <w:p>
            <w:pPr>
              <w:pStyle w:val="19"/>
              <w:spacing w:before="71"/>
              <w:ind w:right="519"/>
              <w:jc w:val="right"/>
              <w:rPr>
                <w:rFonts w:ascii="Times New Roman"/>
                <w:sz w:val="21"/>
              </w:rPr>
            </w:pPr>
            <w:r>
              <w:rPr>
                <w:rFonts w:ascii="Times New Roman"/>
                <w:sz w:val="21"/>
              </w:rPr>
              <w:t>500.0</w:t>
            </w:r>
          </w:p>
        </w:tc>
        <w:tc>
          <w:tcPr>
            <w:tcW w:w="1547" w:type="dxa"/>
            <w:tcBorders>
              <w:top w:val="single" w:color="000000" w:sz="4" w:space="0"/>
              <w:left w:val="single" w:color="000000" w:sz="4" w:space="0"/>
              <w:right w:val="single" w:color="000000" w:sz="4" w:space="0"/>
            </w:tcBorders>
          </w:tcPr>
          <w:p>
            <w:pPr>
              <w:pStyle w:val="19"/>
              <w:spacing w:before="71"/>
              <w:ind w:left="83" w:right="63"/>
              <w:rPr>
                <w:rFonts w:ascii="Times New Roman"/>
                <w:sz w:val="21"/>
              </w:rPr>
            </w:pPr>
            <w:r>
              <w:rPr>
                <w:rFonts w:ascii="Times New Roman"/>
                <w:sz w:val="21"/>
              </w:rPr>
              <w:t>0.19</w:t>
            </w:r>
          </w:p>
        </w:tc>
        <w:tc>
          <w:tcPr>
            <w:tcW w:w="1547" w:type="dxa"/>
            <w:tcBorders>
              <w:top w:val="single" w:color="000000" w:sz="4" w:space="0"/>
              <w:left w:val="single" w:color="000000" w:sz="4" w:space="0"/>
              <w:right w:val="single" w:color="000000" w:sz="4" w:space="0"/>
            </w:tcBorders>
          </w:tcPr>
          <w:p>
            <w:pPr>
              <w:pStyle w:val="19"/>
              <w:spacing w:before="71"/>
              <w:ind w:left="83" w:right="64"/>
              <w:rPr>
                <w:rFonts w:ascii="Times New Roman"/>
                <w:sz w:val="21"/>
              </w:rPr>
            </w:pPr>
            <w:r>
              <w:rPr>
                <w:rFonts w:ascii="Times New Roman"/>
                <w:sz w:val="21"/>
              </w:rPr>
              <w:t>0.04</w:t>
            </w:r>
          </w:p>
        </w:tc>
        <w:tc>
          <w:tcPr>
            <w:tcW w:w="1547" w:type="dxa"/>
            <w:tcBorders>
              <w:top w:val="single" w:color="000000" w:sz="4" w:space="0"/>
              <w:left w:val="single" w:color="000000" w:sz="4" w:space="0"/>
            </w:tcBorders>
          </w:tcPr>
          <w:p>
            <w:pPr>
              <w:pStyle w:val="19"/>
              <w:spacing w:before="71"/>
              <w:ind w:left="23"/>
              <w:rPr>
                <w:rFonts w:ascii="Times New Roman"/>
                <w:sz w:val="21"/>
              </w:rPr>
            </w:pPr>
            <w:r>
              <w:rPr>
                <w:rFonts w:ascii="Times New Roman"/>
                <w:w w:val="99"/>
                <w:sz w:val="21"/>
              </w:rPr>
              <w:t>/</w:t>
            </w:r>
          </w:p>
        </w:tc>
      </w:tr>
    </w:tbl>
    <w:p>
      <w:pPr>
        <w:spacing w:after="0"/>
        <w:rPr>
          <w:rFonts w:ascii="Times New Roman"/>
          <w:sz w:val="21"/>
        </w:rPr>
        <w:sectPr>
          <w:pgSz w:w="11910" w:h="16840"/>
          <w:pgMar w:top="1400" w:right="0" w:bottom="880" w:left="0" w:header="0" w:footer="681" w:gutter="0"/>
        </w:sectPr>
      </w:pP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46"/>
        <w:gridCol w:w="1546"/>
        <w:gridCol w:w="1547"/>
        <w:gridCol w:w="1547"/>
        <w:gridCol w:w="1547"/>
        <w:gridCol w:w="15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tcBorders>
              <w:bottom w:val="single" w:color="000000" w:sz="4" w:space="0"/>
              <w:right w:val="single" w:color="000000" w:sz="4" w:space="0"/>
            </w:tcBorders>
          </w:tcPr>
          <w:p>
            <w:pPr>
              <w:pStyle w:val="19"/>
              <w:jc w:val="left"/>
              <w:rPr>
                <w:rFonts w:ascii="Times New Roman"/>
                <w:sz w:val="20"/>
              </w:rPr>
            </w:pPr>
          </w:p>
        </w:tc>
        <w:tc>
          <w:tcPr>
            <w:tcW w:w="1546" w:type="dxa"/>
            <w:tcBorders>
              <w:left w:val="single" w:color="000000" w:sz="4" w:space="0"/>
              <w:bottom w:val="single" w:color="000000" w:sz="4" w:space="0"/>
              <w:right w:val="single" w:color="000000" w:sz="4" w:space="0"/>
            </w:tcBorders>
          </w:tcPr>
          <w:p>
            <w:pPr>
              <w:pStyle w:val="19"/>
              <w:spacing w:before="75"/>
              <w:ind w:left="336" w:right="316"/>
              <w:rPr>
                <w:rFonts w:ascii="Times New Roman"/>
                <w:sz w:val="21"/>
              </w:rPr>
            </w:pPr>
            <w:r>
              <w:rPr>
                <w:rFonts w:ascii="Times New Roman"/>
                <w:color w:val="FF0000"/>
                <w:position w:val="2"/>
                <w:sz w:val="21"/>
              </w:rPr>
              <w:t>NO</w:t>
            </w:r>
            <w:r>
              <w:rPr>
                <w:rFonts w:ascii="Times New Roman"/>
                <w:color w:val="FF0000"/>
                <w:position w:val="2"/>
                <w:sz w:val="21"/>
                <w:vertAlign w:val="subscript"/>
              </w:rPr>
              <w:t>2</w:t>
            </w:r>
          </w:p>
        </w:tc>
        <w:tc>
          <w:tcPr>
            <w:tcW w:w="1547" w:type="dxa"/>
            <w:tcBorders>
              <w:left w:val="single" w:color="000000" w:sz="4" w:space="0"/>
              <w:bottom w:val="single" w:color="000000" w:sz="4" w:space="0"/>
              <w:right w:val="single" w:color="000000" w:sz="4" w:space="0"/>
            </w:tcBorders>
          </w:tcPr>
          <w:p>
            <w:pPr>
              <w:pStyle w:val="19"/>
              <w:spacing w:before="76"/>
              <w:ind w:right="521"/>
              <w:jc w:val="right"/>
              <w:rPr>
                <w:rFonts w:ascii="Times New Roman"/>
                <w:sz w:val="21"/>
              </w:rPr>
            </w:pPr>
            <w:r>
              <w:rPr>
                <w:rFonts w:ascii="Times New Roman"/>
                <w:color w:val="FF0000"/>
                <w:w w:val="95"/>
                <w:sz w:val="21"/>
              </w:rPr>
              <w:t>200.0</w:t>
            </w:r>
          </w:p>
        </w:tc>
        <w:tc>
          <w:tcPr>
            <w:tcW w:w="1547" w:type="dxa"/>
            <w:tcBorders>
              <w:left w:val="single" w:color="000000" w:sz="4" w:space="0"/>
              <w:bottom w:val="single" w:color="000000" w:sz="4" w:space="0"/>
              <w:right w:val="single" w:color="000000" w:sz="4" w:space="0"/>
            </w:tcBorders>
          </w:tcPr>
          <w:p>
            <w:pPr>
              <w:pStyle w:val="19"/>
              <w:spacing w:before="76"/>
              <w:ind w:left="595"/>
              <w:jc w:val="left"/>
              <w:rPr>
                <w:rFonts w:ascii="Times New Roman"/>
                <w:sz w:val="21"/>
              </w:rPr>
            </w:pPr>
            <w:r>
              <w:rPr>
                <w:rFonts w:ascii="Times New Roman"/>
                <w:color w:val="FF0000"/>
                <w:sz w:val="21"/>
              </w:rPr>
              <w:t>1.53</w:t>
            </w:r>
          </w:p>
        </w:tc>
        <w:tc>
          <w:tcPr>
            <w:tcW w:w="1547" w:type="dxa"/>
            <w:tcBorders>
              <w:left w:val="single" w:color="000000" w:sz="4" w:space="0"/>
              <w:bottom w:val="single" w:color="000000" w:sz="4" w:space="0"/>
              <w:right w:val="single" w:color="000000" w:sz="4" w:space="0"/>
            </w:tcBorders>
          </w:tcPr>
          <w:p>
            <w:pPr>
              <w:pStyle w:val="19"/>
              <w:spacing w:before="76"/>
              <w:ind w:left="83" w:right="64"/>
              <w:rPr>
                <w:rFonts w:ascii="Times New Roman"/>
                <w:sz w:val="21"/>
              </w:rPr>
            </w:pPr>
            <w:r>
              <w:rPr>
                <w:rFonts w:ascii="Times New Roman"/>
                <w:color w:val="FF0000"/>
                <w:sz w:val="21"/>
              </w:rPr>
              <w:t>0.77</w:t>
            </w:r>
          </w:p>
        </w:tc>
        <w:tc>
          <w:tcPr>
            <w:tcW w:w="1547" w:type="dxa"/>
            <w:tcBorders>
              <w:left w:val="single" w:color="000000" w:sz="4" w:space="0"/>
              <w:bottom w:val="single" w:color="000000" w:sz="4" w:space="0"/>
            </w:tcBorders>
          </w:tcPr>
          <w:p>
            <w:pPr>
              <w:pStyle w:val="19"/>
              <w:spacing w:before="76"/>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restart"/>
            <w:tcBorders>
              <w:top w:val="single" w:color="000000" w:sz="4" w:space="0"/>
              <w:bottom w:val="single" w:color="000000" w:sz="4" w:space="0"/>
              <w:right w:val="single" w:color="000000" w:sz="4" w:space="0"/>
            </w:tcBorders>
          </w:tcPr>
          <w:p>
            <w:pPr>
              <w:pStyle w:val="19"/>
              <w:jc w:val="left"/>
              <w:rPr>
                <w:b/>
                <w:sz w:val="20"/>
              </w:rPr>
            </w:pPr>
          </w:p>
          <w:p>
            <w:pPr>
              <w:pStyle w:val="19"/>
              <w:spacing w:before="6"/>
              <w:jc w:val="left"/>
              <w:rPr>
                <w:b/>
                <w:sz w:val="14"/>
              </w:rPr>
            </w:pPr>
          </w:p>
          <w:p>
            <w:pPr>
              <w:pStyle w:val="19"/>
              <w:ind w:left="141"/>
              <w:jc w:val="left"/>
              <w:rPr>
                <w:sz w:val="21"/>
              </w:rPr>
            </w:pPr>
            <w:r>
              <w:rPr>
                <w:sz w:val="21"/>
              </w:rPr>
              <w:t>副井暖风炉房</w:t>
            </w:r>
          </w:p>
        </w:tc>
        <w:tc>
          <w:tcPr>
            <w:tcW w:w="1546" w:type="dxa"/>
            <w:tcBorders>
              <w:top w:val="single" w:color="000000" w:sz="4" w:space="0"/>
              <w:left w:val="single" w:color="000000" w:sz="4" w:space="0"/>
              <w:bottom w:val="single" w:color="000000" w:sz="4" w:space="0"/>
              <w:right w:val="single" w:color="000000" w:sz="4" w:space="0"/>
            </w:tcBorders>
          </w:tcPr>
          <w:p>
            <w:pPr>
              <w:pStyle w:val="19"/>
              <w:spacing w:before="73"/>
              <w:ind w:left="336" w:right="314"/>
              <w:rPr>
                <w:rFonts w:ascii="Times New Roman"/>
                <w:sz w:val="21"/>
              </w:rPr>
            </w:pPr>
            <w:r>
              <w:rPr>
                <w:rFonts w:ascii="Times New Roman"/>
                <w:position w:val="2"/>
                <w:sz w:val="21"/>
              </w:rPr>
              <w:t>PM</w:t>
            </w:r>
            <w:r>
              <w:rPr>
                <w:rFonts w:ascii="Times New Roman"/>
                <w:position w:val="2"/>
                <w:sz w:val="21"/>
                <w:vertAlign w:val="subscript"/>
              </w:rPr>
              <w:t>10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right="519"/>
              <w:jc w:val="right"/>
              <w:rPr>
                <w:rFonts w:ascii="Times New Roman"/>
                <w:sz w:val="21"/>
              </w:rPr>
            </w:pPr>
            <w:r>
              <w:rPr>
                <w:rFonts w:ascii="Times New Roman"/>
                <w:sz w:val="21"/>
              </w:rPr>
              <w:t>450.0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left="595"/>
              <w:jc w:val="left"/>
              <w:rPr>
                <w:rFonts w:ascii="Times New Roman"/>
                <w:sz w:val="21"/>
              </w:rPr>
            </w:pPr>
            <w:r>
              <w:rPr>
                <w:rFonts w:ascii="Times New Roman"/>
                <w:sz w:val="21"/>
              </w:rPr>
              <w:t>0.94</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left="83" w:right="64"/>
              <w:rPr>
                <w:rFonts w:ascii="Times New Roman"/>
                <w:sz w:val="21"/>
              </w:rPr>
            </w:pPr>
            <w:r>
              <w:rPr>
                <w:rFonts w:ascii="Times New Roman"/>
                <w:sz w:val="21"/>
              </w:rPr>
              <w:t>0.21</w:t>
            </w:r>
          </w:p>
        </w:tc>
        <w:tc>
          <w:tcPr>
            <w:tcW w:w="1547" w:type="dxa"/>
            <w:tcBorders>
              <w:top w:val="single" w:color="000000" w:sz="4" w:space="0"/>
              <w:left w:val="single" w:color="000000" w:sz="4" w:space="0"/>
              <w:bottom w:val="single" w:color="000000" w:sz="4" w:space="0"/>
            </w:tcBorders>
          </w:tcPr>
          <w:p>
            <w:pPr>
              <w:pStyle w:val="19"/>
              <w:spacing w:before="77"/>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9"/>
              <w:spacing w:before="74"/>
              <w:ind w:left="336" w:right="316"/>
              <w:rPr>
                <w:rFonts w:ascii="Times New Roman"/>
                <w:sz w:val="21"/>
              </w:rPr>
            </w:pPr>
            <w:r>
              <w:rPr>
                <w:rFonts w:ascii="Times New Roman"/>
                <w:position w:val="2"/>
                <w:sz w:val="21"/>
              </w:rPr>
              <w:t>SO</w:t>
            </w:r>
            <w:r>
              <w:rPr>
                <w:rFonts w:ascii="Times New Roman"/>
                <w:position w:val="2"/>
                <w:sz w:val="21"/>
                <w:vertAlign w:val="subscript"/>
              </w:rPr>
              <w:t>2</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8"/>
              <w:ind w:right="519"/>
              <w:jc w:val="right"/>
              <w:rPr>
                <w:rFonts w:ascii="Times New Roman"/>
                <w:sz w:val="21"/>
              </w:rPr>
            </w:pPr>
            <w:r>
              <w:rPr>
                <w:rFonts w:ascii="Times New Roman"/>
                <w:sz w:val="21"/>
              </w:rPr>
              <w:t>500.0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8"/>
              <w:ind w:left="595"/>
              <w:jc w:val="left"/>
              <w:rPr>
                <w:rFonts w:ascii="Times New Roman"/>
                <w:sz w:val="21"/>
              </w:rPr>
            </w:pPr>
            <w:r>
              <w:rPr>
                <w:rFonts w:ascii="Times New Roman"/>
                <w:sz w:val="21"/>
              </w:rPr>
              <w:t>1.88</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8"/>
              <w:ind w:left="83" w:right="64"/>
              <w:rPr>
                <w:rFonts w:ascii="Times New Roman"/>
                <w:sz w:val="21"/>
              </w:rPr>
            </w:pPr>
            <w:r>
              <w:rPr>
                <w:rFonts w:ascii="Times New Roman"/>
                <w:sz w:val="21"/>
              </w:rPr>
              <w:t>0.38</w:t>
            </w:r>
          </w:p>
        </w:tc>
        <w:tc>
          <w:tcPr>
            <w:tcW w:w="1547" w:type="dxa"/>
            <w:tcBorders>
              <w:top w:val="single" w:color="000000" w:sz="4" w:space="0"/>
              <w:left w:val="single" w:color="000000" w:sz="4" w:space="0"/>
              <w:bottom w:val="single" w:color="000000" w:sz="4" w:space="0"/>
            </w:tcBorders>
          </w:tcPr>
          <w:p>
            <w:pPr>
              <w:pStyle w:val="19"/>
              <w:spacing w:before="78"/>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9"/>
              <w:spacing w:before="73"/>
              <w:ind w:left="336" w:right="316"/>
              <w:rPr>
                <w:rFonts w:ascii="Times New Roman"/>
                <w:sz w:val="21"/>
              </w:rPr>
            </w:pPr>
            <w:r>
              <w:rPr>
                <w:rFonts w:ascii="Times New Roman"/>
                <w:color w:val="FF0000"/>
                <w:position w:val="2"/>
                <w:sz w:val="21"/>
              </w:rPr>
              <w:t>NO</w:t>
            </w:r>
            <w:r>
              <w:rPr>
                <w:rFonts w:ascii="Times New Roman"/>
                <w:color w:val="FF0000"/>
                <w:position w:val="2"/>
                <w:sz w:val="21"/>
                <w:vertAlign w:val="subscript"/>
              </w:rPr>
              <w:t>2</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6"/>
              <w:ind w:right="521"/>
              <w:jc w:val="right"/>
              <w:rPr>
                <w:rFonts w:ascii="Times New Roman"/>
                <w:sz w:val="21"/>
              </w:rPr>
            </w:pPr>
            <w:r>
              <w:rPr>
                <w:rFonts w:ascii="Times New Roman"/>
                <w:color w:val="FF0000"/>
                <w:w w:val="95"/>
                <w:sz w:val="21"/>
              </w:rPr>
              <w:t>200.0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6"/>
              <w:ind w:left="540"/>
              <w:jc w:val="left"/>
              <w:rPr>
                <w:rFonts w:ascii="Times New Roman"/>
                <w:sz w:val="21"/>
              </w:rPr>
            </w:pPr>
            <w:r>
              <w:rPr>
                <w:rFonts w:ascii="Times New Roman"/>
                <w:color w:val="FF0000"/>
                <w:sz w:val="21"/>
              </w:rPr>
              <w:t>16.41</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6"/>
              <w:ind w:left="83" w:right="64"/>
              <w:rPr>
                <w:rFonts w:ascii="Times New Roman"/>
                <w:sz w:val="21"/>
              </w:rPr>
            </w:pPr>
            <w:r>
              <w:rPr>
                <w:rFonts w:ascii="Times New Roman"/>
                <w:color w:val="FF0000"/>
                <w:sz w:val="21"/>
              </w:rPr>
              <w:t>8.20</w:t>
            </w:r>
          </w:p>
        </w:tc>
        <w:tc>
          <w:tcPr>
            <w:tcW w:w="1547" w:type="dxa"/>
            <w:tcBorders>
              <w:top w:val="single" w:color="000000" w:sz="4" w:space="0"/>
              <w:left w:val="single" w:color="000000" w:sz="4" w:space="0"/>
              <w:bottom w:val="single" w:color="000000" w:sz="4" w:space="0"/>
            </w:tcBorders>
          </w:tcPr>
          <w:p>
            <w:pPr>
              <w:pStyle w:val="19"/>
              <w:spacing w:before="76"/>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restart"/>
            <w:tcBorders>
              <w:top w:val="single" w:color="000000" w:sz="4" w:space="0"/>
              <w:bottom w:val="single" w:color="000000" w:sz="4" w:space="0"/>
              <w:right w:val="single" w:color="000000" w:sz="4" w:space="0"/>
            </w:tcBorders>
          </w:tcPr>
          <w:p>
            <w:pPr>
              <w:pStyle w:val="19"/>
              <w:jc w:val="left"/>
              <w:rPr>
                <w:b/>
                <w:sz w:val="20"/>
              </w:rPr>
            </w:pPr>
          </w:p>
          <w:p>
            <w:pPr>
              <w:pStyle w:val="19"/>
              <w:spacing w:before="7"/>
              <w:jc w:val="left"/>
              <w:rPr>
                <w:b/>
                <w:sz w:val="14"/>
              </w:rPr>
            </w:pPr>
          </w:p>
          <w:p>
            <w:pPr>
              <w:pStyle w:val="19"/>
              <w:ind w:left="247"/>
              <w:jc w:val="left"/>
              <w:rPr>
                <w:sz w:val="21"/>
              </w:rPr>
            </w:pPr>
            <w:r>
              <w:rPr>
                <w:sz w:val="21"/>
              </w:rPr>
              <w:t>副井锅炉房</w:t>
            </w:r>
          </w:p>
        </w:tc>
        <w:tc>
          <w:tcPr>
            <w:tcW w:w="1546" w:type="dxa"/>
            <w:tcBorders>
              <w:top w:val="single" w:color="000000" w:sz="4" w:space="0"/>
              <w:left w:val="single" w:color="000000" w:sz="4" w:space="0"/>
              <w:bottom w:val="single" w:color="000000" w:sz="4" w:space="0"/>
              <w:right w:val="single" w:color="000000" w:sz="4" w:space="0"/>
            </w:tcBorders>
          </w:tcPr>
          <w:p>
            <w:pPr>
              <w:pStyle w:val="19"/>
              <w:spacing w:before="74"/>
              <w:ind w:left="336" w:right="314"/>
              <w:rPr>
                <w:rFonts w:ascii="Times New Roman"/>
                <w:sz w:val="21"/>
              </w:rPr>
            </w:pPr>
            <w:r>
              <w:rPr>
                <w:rFonts w:ascii="Times New Roman"/>
                <w:position w:val="2"/>
                <w:sz w:val="21"/>
              </w:rPr>
              <w:t>PM</w:t>
            </w:r>
            <w:r>
              <w:rPr>
                <w:rFonts w:ascii="Times New Roman"/>
                <w:position w:val="2"/>
                <w:sz w:val="21"/>
                <w:vertAlign w:val="subscript"/>
              </w:rPr>
              <w:t>10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right="519"/>
              <w:jc w:val="right"/>
              <w:rPr>
                <w:rFonts w:ascii="Times New Roman"/>
                <w:sz w:val="21"/>
              </w:rPr>
            </w:pPr>
            <w:r>
              <w:rPr>
                <w:rFonts w:ascii="Times New Roman"/>
                <w:sz w:val="21"/>
              </w:rPr>
              <w:t>450.0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left="595"/>
              <w:jc w:val="left"/>
              <w:rPr>
                <w:rFonts w:ascii="Times New Roman"/>
                <w:sz w:val="21"/>
              </w:rPr>
            </w:pPr>
            <w:r>
              <w:rPr>
                <w:rFonts w:ascii="Times New Roman"/>
                <w:sz w:val="21"/>
              </w:rPr>
              <w:t>0.83</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left="83" w:right="64"/>
              <w:rPr>
                <w:rFonts w:ascii="Times New Roman"/>
                <w:sz w:val="21"/>
              </w:rPr>
            </w:pPr>
            <w:r>
              <w:rPr>
                <w:rFonts w:ascii="Times New Roman"/>
                <w:sz w:val="21"/>
              </w:rPr>
              <w:t>0.19</w:t>
            </w:r>
          </w:p>
        </w:tc>
        <w:tc>
          <w:tcPr>
            <w:tcW w:w="1547" w:type="dxa"/>
            <w:tcBorders>
              <w:top w:val="single" w:color="000000" w:sz="4" w:space="0"/>
              <w:left w:val="single" w:color="000000" w:sz="4" w:space="0"/>
              <w:bottom w:val="single" w:color="000000" w:sz="4" w:space="0"/>
            </w:tcBorders>
          </w:tcPr>
          <w:p>
            <w:pPr>
              <w:pStyle w:val="19"/>
              <w:spacing w:before="77"/>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9"/>
              <w:spacing w:before="73"/>
              <w:ind w:left="336" w:right="316"/>
              <w:rPr>
                <w:rFonts w:ascii="Times New Roman"/>
                <w:sz w:val="21"/>
              </w:rPr>
            </w:pPr>
            <w:r>
              <w:rPr>
                <w:rFonts w:ascii="Times New Roman"/>
                <w:position w:val="2"/>
                <w:sz w:val="21"/>
              </w:rPr>
              <w:t>SO</w:t>
            </w:r>
            <w:r>
              <w:rPr>
                <w:rFonts w:ascii="Times New Roman"/>
                <w:position w:val="2"/>
                <w:sz w:val="21"/>
                <w:vertAlign w:val="subscript"/>
              </w:rPr>
              <w:t>2</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6"/>
              <w:ind w:right="519"/>
              <w:jc w:val="right"/>
              <w:rPr>
                <w:rFonts w:ascii="Times New Roman"/>
                <w:sz w:val="21"/>
              </w:rPr>
            </w:pPr>
            <w:r>
              <w:rPr>
                <w:rFonts w:ascii="Times New Roman"/>
                <w:sz w:val="21"/>
              </w:rPr>
              <w:t>500.0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6"/>
              <w:ind w:left="595"/>
              <w:jc w:val="left"/>
              <w:rPr>
                <w:rFonts w:ascii="Times New Roman"/>
                <w:sz w:val="21"/>
              </w:rPr>
            </w:pPr>
            <w:r>
              <w:rPr>
                <w:rFonts w:ascii="Times New Roman"/>
                <w:sz w:val="21"/>
              </w:rPr>
              <w:t>1.39</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6"/>
              <w:ind w:left="83" w:right="64"/>
              <w:rPr>
                <w:rFonts w:ascii="Times New Roman"/>
                <w:sz w:val="21"/>
              </w:rPr>
            </w:pPr>
            <w:r>
              <w:rPr>
                <w:rFonts w:ascii="Times New Roman"/>
                <w:sz w:val="21"/>
              </w:rPr>
              <w:t>0.28</w:t>
            </w:r>
          </w:p>
        </w:tc>
        <w:tc>
          <w:tcPr>
            <w:tcW w:w="1547" w:type="dxa"/>
            <w:tcBorders>
              <w:top w:val="single" w:color="000000" w:sz="4" w:space="0"/>
              <w:left w:val="single" w:color="000000" w:sz="4" w:space="0"/>
              <w:bottom w:val="single" w:color="000000" w:sz="4" w:space="0"/>
            </w:tcBorders>
          </w:tcPr>
          <w:p>
            <w:pPr>
              <w:pStyle w:val="19"/>
              <w:spacing w:before="76"/>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9"/>
              <w:spacing w:before="74"/>
              <w:ind w:left="336" w:right="316"/>
              <w:rPr>
                <w:rFonts w:ascii="Times New Roman"/>
                <w:sz w:val="21"/>
              </w:rPr>
            </w:pPr>
            <w:r>
              <w:rPr>
                <w:rFonts w:ascii="Times New Roman"/>
                <w:color w:val="FF0000"/>
                <w:position w:val="2"/>
                <w:sz w:val="21"/>
              </w:rPr>
              <w:t>NO</w:t>
            </w:r>
            <w:r>
              <w:rPr>
                <w:rFonts w:ascii="Times New Roman"/>
                <w:color w:val="FF0000"/>
                <w:position w:val="2"/>
                <w:sz w:val="21"/>
                <w:vertAlign w:val="subscript"/>
              </w:rPr>
              <w:t>2</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right="521"/>
              <w:jc w:val="right"/>
              <w:rPr>
                <w:rFonts w:ascii="Times New Roman"/>
                <w:sz w:val="21"/>
              </w:rPr>
            </w:pPr>
            <w:r>
              <w:rPr>
                <w:rFonts w:ascii="Times New Roman"/>
                <w:color w:val="FF0000"/>
                <w:w w:val="95"/>
                <w:sz w:val="21"/>
              </w:rPr>
              <w:t>200.0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left="545"/>
              <w:jc w:val="left"/>
              <w:rPr>
                <w:rFonts w:ascii="Times New Roman"/>
                <w:sz w:val="21"/>
              </w:rPr>
            </w:pPr>
            <w:r>
              <w:rPr>
                <w:rFonts w:ascii="Times New Roman"/>
                <w:color w:val="FF0000"/>
                <w:sz w:val="21"/>
              </w:rPr>
              <w:t>12.11</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left="83" w:right="64"/>
              <w:rPr>
                <w:rFonts w:ascii="Times New Roman"/>
                <w:sz w:val="21"/>
              </w:rPr>
            </w:pPr>
            <w:r>
              <w:rPr>
                <w:rFonts w:ascii="Times New Roman"/>
                <w:color w:val="FF0000"/>
                <w:sz w:val="21"/>
              </w:rPr>
              <w:t>6.06</w:t>
            </w:r>
          </w:p>
        </w:tc>
        <w:tc>
          <w:tcPr>
            <w:tcW w:w="1547" w:type="dxa"/>
            <w:tcBorders>
              <w:top w:val="single" w:color="000000" w:sz="4" w:space="0"/>
              <w:left w:val="single" w:color="000000" w:sz="4" w:space="0"/>
              <w:bottom w:val="single" w:color="000000" w:sz="4" w:space="0"/>
            </w:tcBorders>
          </w:tcPr>
          <w:p>
            <w:pPr>
              <w:pStyle w:val="19"/>
              <w:spacing w:before="77"/>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546" w:type="dxa"/>
            <w:tcBorders>
              <w:top w:val="single" w:color="000000" w:sz="4" w:space="0"/>
              <w:bottom w:val="single" w:color="000000" w:sz="4" w:space="0"/>
              <w:right w:val="single" w:color="000000" w:sz="4" w:space="0"/>
            </w:tcBorders>
          </w:tcPr>
          <w:p>
            <w:pPr>
              <w:pStyle w:val="19"/>
              <w:spacing w:before="64"/>
              <w:ind w:left="120" w:right="108"/>
              <w:rPr>
                <w:sz w:val="21"/>
              </w:rPr>
            </w:pPr>
            <w:r>
              <w:rPr>
                <w:sz w:val="21"/>
              </w:rPr>
              <w:t>筛分车间</w:t>
            </w:r>
          </w:p>
        </w:tc>
        <w:tc>
          <w:tcPr>
            <w:tcW w:w="1546" w:type="dxa"/>
            <w:tcBorders>
              <w:top w:val="single" w:color="000000" w:sz="4" w:space="0"/>
              <w:left w:val="single" w:color="000000" w:sz="4" w:space="0"/>
              <w:bottom w:val="single" w:color="000000" w:sz="4" w:space="0"/>
              <w:right w:val="single" w:color="000000" w:sz="4" w:space="0"/>
            </w:tcBorders>
          </w:tcPr>
          <w:p>
            <w:pPr>
              <w:pStyle w:val="19"/>
              <w:spacing w:before="75"/>
              <w:ind w:left="336" w:right="314"/>
              <w:rPr>
                <w:rFonts w:ascii="Times New Roman"/>
                <w:sz w:val="21"/>
              </w:rPr>
            </w:pPr>
            <w:r>
              <w:rPr>
                <w:rFonts w:ascii="Times New Roman"/>
                <w:position w:val="2"/>
                <w:sz w:val="21"/>
              </w:rPr>
              <w:t>PM</w:t>
            </w:r>
            <w:r>
              <w:rPr>
                <w:rFonts w:ascii="Times New Roman"/>
                <w:position w:val="2"/>
                <w:sz w:val="21"/>
                <w:vertAlign w:val="subscript"/>
              </w:rPr>
              <w:t>10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8"/>
              <w:ind w:right="519"/>
              <w:jc w:val="right"/>
              <w:rPr>
                <w:rFonts w:ascii="Times New Roman"/>
                <w:sz w:val="21"/>
              </w:rPr>
            </w:pPr>
            <w:r>
              <w:rPr>
                <w:rFonts w:ascii="Times New Roman"/>
                <w:sz w:val="21"/>
              </w:rPr>
              <w:t>450.0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8"/>
              <w:ind w:left="595"/>
              <w:jc w:val="left"/>
              <w:rPr>
                <w:rFonts w:ascii="Times New Roman"/>
                <w:sz w:val="21"/>
              </w:rPr>
            </w:pPr>
            <w:r>
              <w:rPr>
                <w:rFonts w:ascii="Times New Roman"/>
                <w:sz w:val="21"/>
              </w:rPr>
              <w:t>2.73</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8"/>
              <w:ind w:left="83" w:right="64"/>
              <w:rPr>
                <w:rFonts w:ascii="Times New Roman"/>
                <w:sz w:val="21"/>
              </w:rPr>
            </w:pPr>
            <w:r>
              <w:rPr>
                <w:rFonts w:ascii="Times New Roman"/>
                <w:sz w:val="21"/>
              </w:rPr>
              <w:t>0.61</w:t>
            </w:r>
          </w:p>
        </w:tc>
        <w:tc>
          <w:tcPr>
            <w:tcW w:w="1547" w:type="dxa"/>
            <w:tcBorders>
              <w:top w:val="single" w:color="000000" w:sz="4" w:space="0"/>
              <w:left w:val="single" w:color="000000" w:sz="4" w:space="0"/>
              <w:bottom w:val="single" w:color="000000" w:sz="4" w:space="0"/>
            </w:tcBorders>
          </w:tcPr>
          <w:p>
            <w:pPr>
              <w:pStyle w:val="19"/>
              <w:spacing w:before="78"/>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tcBorders>
              <w:top w:val="single" w:color="000000" w:sz="4" w:space="0"/>
              <w:bottom w:val="single" w:color="000000" w:sz="4" w:space="0"/>
              <w:right w:val="single" w:color="000000" w:sz="4" w:space="0"/>
            </w:tcBorders>
          </w:tcPr>
          <w:p>
            <w:pPr>
              <w:pStyle w:val="19"/>
              <w:spacing w:before="36"/>
              <w:ind w:left="120" w:right="111"/>
              <w:rPr>
                <w:sz w:val="21"/>
              </w:rPr>
            </w:pPr>
            <w:r>
              <w:rPr>
                <w:sz w:val="21"/>
              </w:rPr>
              <w:t>煤矸石暂存场</w:t>
            </w:r>
          </w:p>
        </w:tc>
        <w:tc>
          <w:tcPr>
            <w:tcW w:w="1546" w:type="dxa"/>
            <w:tcBorders>
              <w:top w:val="single" w:color="000000" w:sz="4" w:space="0"/>
              <w:left w:val="single" w:color="000000" w:sz="4" w:space="0"/>
              <w:bottom w:val="single" w:color="000000" w:sz="4" w:space="0"/>
              <w:right w:val="single" w:color="000000" w:sz="4" w:space="0"/>
            </w:tcBorders>
          </w:tcPr>
          <w:p>
            <w:pPr>
              <w:pStyle w:val="19"/>
              <w:spacing w:before="76"/>
              <w:ind w:left="336" w:right="317"/>
              <w:rPr>
                <w:rFonts w:ascii="Times New Roman"/>
                <w:sz w:val="21"/>
              </w:rPr>
            </w:pPr>
            <w:r>
              <w:rPr>
                <w:rFonts w:ascii="Times New Roman"/>
                <w:sz w:val="21"/>
              </w:rPr>
              <w:t>TSP</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6"/>
              <w:ind w:right="519"/>
              <w:jc w:val="right"/>
              <w:rPr>
                <w:rFonts w:ascii="Times New Roman"/>
                <w:sz w:val="21"/>
              </w:rPr>
            </w:pPr>
            <w:r>
              <w:rPr>
                <w:rFonts w:ascii="Times New Roman"/>
                <w:sz w:val="21"/>
              </w:rPr>
              <w:t>900.0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52"/>
              <w:ind w:left="595"/>
              <w:jc w:val="left"/>
              <w:rPr>
                <w:rFonts w:ascii="Times New Roman"/>
                <w:sz w:val="21"/>
              </w:rPr>
            </w:pPr>
            <w:r>
              <w:rPr>
                <w:rFonts w:ascii="Times New Roman"/>
                <w:sz w:val="21"/>
              </w:rPr>
              <w:t>0.40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52"/>
              <w:ind w:left="83" w:right="64"/>
              <w:rPr>
                <w:rFonts w:ascii="Times New Roman"/>
                <w:sz w:val="21"/>
              </w:rPr>
            </w:pPr>
            <w:r>
              <w:rPr>
                <w:rFonts w:ascii="Times New Roman"/>
                <w:sz w:val="21"/>
              </w:rPr>
              <w:t>0.04</w:t>
            </w:r>
          </w:p>
        </w:tc>
        <w:tc>
          <w:tcPr>
            <w:tcW w:w="1547" w:type="dxa"/>
            <w:tcBorders>
              <w:top w:val="single" w:color="000000" w:sz="4" w:space="0"/>
              <w:left w:val="single" w:color="000000" w:sz="4" w:space="0"/>
              <w:bottom w:val="single" w:color="000000" w:sz="4" w:space="0"/>
            </w:tcBorders>
          </w:tcPr>
          <w:p>
            <w:pPr>
              <w:pStyle w:val="19"/>
              <w:spacing w:before="76"/>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tcBorders>
              <w:top w:val="single" w:color="000000" w:sz="4" w:space="0"/>
              <w:bottom w:val="single" w:color="000000" w:sz="4" w:space="0"/>
              <w:right w:val="single" w:color="000000" w:sz="4" w:space="0"/>
            </w:tcBorders>
          </w:tcPr>
          <w:p>
            <w:pPr>
              <w:pStyle w:val="19"/>
              <w:spacing w:before="35"/>
              <w:ind w:left="120" w:right="106"/>
              <w:rPr>
                <w:sz w:val="21"/>
              </w:rPr>
            </w:pPr>
            <w:r>
              <w:rPr>
                <w:sz w:val="21"/>
              </w:rPr>
              <w:t>储煤场</w:t>
            </w:r>
          </w:p>
        </w:tc>
        <w:tc>
          <w:tcPr>
            <w:tcW w:w="1546" w:type="dxa"/>
            <w:tcBorders>
              <w:top w:val="single" w:color="000000" w:sz="4" w:space="0"/>
              <w:left w:val="single" w:color="000000" w:sz="4" w:space="0"/>
              <w:bottom w:val="single" w:color="000000" w:sz="4" w:space="0"/>
              <w:right w:val="single" w:color="000000" w:sz="4" w:space="0"/>
            </w:tcBorders>
          </w:tcPr>
          <w:p>
            <w:pPr>
              <w:pStyle w:val="19"/>
              <w:spacing w:before="77"/>
              <w:ind w:left="336" w:right="317"/>
              <w:rPr>
                <w:rFonts w:ascii="Times New Roman"/>
                <w:sz w:val="21"/>
              </w:rPr>
            </w:pPr>
            <w:r>
              <w:rPr>
                <w:rFonts w:ascii="Times New Roman"/>
                <w:sz w:val="21"/>
              </w:rPr>
              <w:t>TSP</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77"/>
              <w:ind w:right="519"/>
              <w:jc w:val="right"/>
              <w:rPr>
                <w:rFonts w:ascii="Times New Roman"/>
                <w:sz w:val="21"/>
              </w:rPr>
            </w:pPr>
            <w:r>
              <w:rPr>
                <w:rFonts w:ascii="Times New Roman"/>
                <w:sz w:val="21"/>
              </w:rPr>
              <w:t>900.0</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53"/>
              <w:ind w:left="595"/>
              <w:jc w:val="left"/>
              <w:rPr>
                <w:rFonts w:ascii="Times New Roman"/>
                <w:sz w:val="21"/>
              </w:rPr>
            </w:pPr>
            <w:r>
              <w:rPr>
                <w:rFonts w:ascii="Times New Roman"/>
                <w:sz w:val="21"/>
              </w:rPr>
              <w:t>2.22</w:t>
            </w:r>
          </w:p>
        </w:tc>
        <w:tc>
          <w:tcPr>
            <w:tcW w:w="1547" w:type="dxa"/>
            <w:tcBorders>
              <w:top w:val="single" w:color="000000" w:sz="4" w:space="0"/>
              <w:left w:val="single" w:color="000000" w:sz="4" w:space="0"/>
              <w:bottom w:val="single" w:color="000000" w:sz="4" w:space="0"/>
              <w:right w:val="single" w:color="000000" w:sz="4" w:space="0"/>
            </w:tcBorders>
          </w:tcPr>
          <w:p>
            <w:pPr>
              <w:pStyle w:val="19"/>
              <w:spacing w:before="53"/>
              <w:ind w:left="83" w:right="64"/>
              <w:rPr>
                <w:rFonts w:ascii="Times New Roman"/>
                <w:sz w:val="21"/>
              </w:rPr>
            </w:pPr>
            <w:r>
              <w:rPr>
                <w:rFonts w:ascii="Times New Roman"/>
                <w:sz w:val="21"/>
              </w:rPr>
              <w:t>0.25</w:t>
            </w:r>
          </w:p>
        </w:tc>
        <w:tc>
          <w:tcPr>
            <w:tcW w:w="1547" w:type="dxa"/>
            <w:tcBorders>
              <w:top w:val="single" w:color="000000" w:sz="4" w:space="0"/>
              <w:left w:val="single" w:color="000000" w:sz="4" w:space="0"/>
              <w:bottom w:val="single" w:color="000000" w:sz="4" w:space="0"/>
            </w:tcBorders>
          </w:tcPr>
          <w:p>
            <w:pPr>
              <w:pStyle w:val="19"/>
              <w:spacing w:before="77"/>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546" w:type="dxa"/>
            <w:tcBorders>
              <w:top w:val="single" w:color="000000" w:sz="4" w:space="0"/>
              <w:right w:val="single" w:color="000000" w:sz="4" w:space="0"/>
            </w:tcBorders>
          </w:tcPr>
          <w:p>
            <w:pPr>
              <w:pStyle w:val="19"/>
              <w:ind w:left="120" w:right="111"/>
              <w:rPr>
                <w:sz w:val="21"/>
              </w:rPr>
            </w:pPr>
            <w:r>
              <w:rPr>
                <w:color w:val="FF0000"/>
                <w:sz w:val="21"/>
              </w:rPr>
              <w:t>筛分车间无组</w:t>
            </w:r>
          </w:p>
          <w:p>
            <w:pPr>
              <w:pStyle w:val="19"/>
              <w:spacing w:before="57"/>
              <w:ind w:left="120" w:right="106"/>
              <w:rPr>
                <w:sz w:val="21"/>
              </w:rPr>
            </w:pPr>
            <w:r>
              <w:rPr>
                <w:color w:val="FF0000"/>
                <w:sz w:val="21"/>
              </w:rPr>
              <w:t>织排放</w:t>
            </w:r>
          </w:p>
        </w:tc>
        <w:tc>
          <w:tcPr>
            <w:tcW w:w="1546" w:type="dxa"/>
            <w:tcBorders>
              <w:top w:val="single" w:color="000000" w:sz="4" w:space="0"/>
              <w:left w:val="single" w:color="000000" w:sz="4" w:space="0"/>
              <w:right w:val="single" w:color="000000" w:sz="4" w:space="0"/>
            </w:tcBorders>
          </w:tcPr>
          <w:p>
            <w:pPr>
              <w:pStyle w:val="19"/>
              <w:jc w:val="left"/>
              <w:rPr>
                <w:b/>
                <w:sz w:val="16"/>
              </w:rPr>
            </w:pPr>
          </w:p>
          <w:p>
            <w:pPr>
              <w:pStyle w:val="19"/>
              <w:spacing w:before="1"/>
              <w:ind w:left="336" w:right="317"/>
              <w:rPr>
                <w:rFonts w:ascii="Times New Roman"/>
                <w:sz w:val="21"/>
              </w:rPr>
            </w:pPr>
            <w:r>
              <w:rPr>
                <w:rFonts w:ascii="Times New Roman"/>
                <w:sz w:val="21"/>
              </w:rPr>
              <w:t>TSP</w:t>
            </w:r>
          </w:p>
        </w:tc>
        <w:tc>
          <w:tcPr>
            <w:tcW w:w="1547" w:type="dxa"/>
            <w:tcBorders>
              <w:top w:val="single" w:color="000000" w:sz="4" w:space="0"/>
              <w:left w:val="single" w:color="000000" w:sz="4" w:space="0"/>
              <w:right w:val="single" w:color="000000" w:sz="4" w:space="0"/>
            </w:tcBorders>
          </w:tcPr>
          <w:p>
            <w:pPr>
              <w:pStyle w:val="19"/>
              <w:jc w:val="left"/>
              <w:rPr>
                <w:b/>
                <w:sz w:val="16"/>
              </w:rPr>
            </w:pPr>
          </w:p>
          <w:p>
            <w:pPr>
              <w:pStyle w:val="19"/>
              <w:spacing w:before="1"/>
              <w:ind w:right="519"/>
              <w:jc w:val="right"/>
              <w:rPr>
                <w:rFonts w:ascii="Times New Roman"/>
                <w:sz w:val="21"/>
              </w:rPr>
            </w:pPr>
            <w:r>
              <w:rPr>
                <w:rFonts w:ascii="Times New Roman"/>
                <w:sz w:val="21"/>
              </w:rPr>
              <w:t>900.0</w:t>
            </w:r>
          </w:p>
        </w:tc>
        <w:tc>
          <w:tcPr>
            <w:tcW w:w="1547" w:type="dxa"/>
            <w:tcBorders>
              <w:top w:val="single" w:color="000000" w:sz="4" w:space="0"/>
              <w:left w:val="single" w:color="000000" w:sz="4" w:space="0"/>
              <w:right w:val="single" w:color="000000" w:sz="4" w:space="0"/>
            </w:tcBorders>
          </w:tcPr>
          <w:p>
            <w:pPr>
              <w:pStyle w:val="19"/>
              <w:spacing w:before="182"/>
              <w:ind w:left="595"/>
              <w:jc w:val="left"/>
              <w:rPr>
                <w:rFonts w:ascii="Times New Roman"/>
                <w:sz w:val="21"/>
              </w:rPr>
            </w:pPr>
            <w:r>
              <w:rPr>
                <w:rFonts w:ascii="Times New Roman"/>
                <w:color w:val="FF0000"/>
                <w:sz w:val="21"/>
              </w:rPr>
              <w:t>1.85</w:t>
            </w:r>
          </w:p>
        </w:tc>
        <w:tc>
          <w:tcPr>
            <w:tcW w:w="1547" w:type="dxa"/>
            <w:tcBorders>
              <w:top w:val="single" w:color="000000" w:sz="4" w:space="0"/>
              <w:left w:val="single" w:color="000000" w:sz="4" w:space="0"/>
              <w:right w:val="single" w:color="000000" w:sz="4" w:space="0"/>
            </w:tcBorders>
          </w:tcPr>
          <w:p>
            <w:pPr>
              <w:pStyle w:val="19"/>
              <w:spacing w:before="182"/>
              <w:ind w:left="83" w:right="64"/>
              <w:rPr>
                <w:rFonts w:ascii="Times New Roman"/>
                <w:sz w:val="21"/>
              </w:rPr>
            </w:pPr>
            <w:r>
              <w:rPr>
                <w:rFonts w:ascii="Times New Roman"/>
                <w:color w:val="FF0000"/>
                <w:sz w:val="21"/>
              </w:rPr>
              <w:t>1.53</w:t>
            </w:r>
          </w:p>
        </w:tc>
        <w:tc>
          <w:tcPr>
            <w:tcW w:w="1547" w:type="dxa"/>
            <w:tcBorders>
              <w:top w:val="single" w:color="000000" w:sz="4" w:space="0"/>
              <w:left w:val="single" w:color="000000" w:sz="4" w:space="0"/>
            </w:tcBorders>
          </w:tcPr>
          <w:p>
            <w:pPr>
              <w:pStyle w:val="19"/>
              <w:jc w:val="left"/>
              <w:rPr>
                <w:b/>
                <w:sz w:val="16"/>
              </w:rPr>
            </w:pPr>
          </w:p>
          <w:p>
            <w:pPr>
              <w:pStyle w:val="19"/>
              <w:spacing w:before="1"/>
              <w:ind w:left="23"/>
              <w:rPr>
                <w:rFonts w:ascii="Times New Roman"/>
                <w:sz w:val="21"/>
              </w:rPr>
            </w:pPr>
            <w:r>
              <w:rPr>
                <w:rFonts w:ascii="Times New Roman"/>
                <w:w w:val="99"/>
                <w:sz w:val="21"/>
              </w:rPr>
              <w:t>/</w:t>
            </w:r>
          </w:p>
        </w:tc>
      </w:tr>
    </w:tbl>
    <w:p>
      <w:pPr>
        <w:pStyle w:val="9"/>
        <w:spacing w:line="311" w:lineRule="exact"/>
        <w:ind w:left="1898"/>
      </w:pPr>
      <w:r>
        <w:rPr>
          <w:position w:val="2"/>
        </w:rPr>
        <w:t xml:space="preserve">本项目 </w:t>
      </w:r>
      <w:r>
        <w:rPr>
          <w:rFonts w:ascii="Times New Roman" w:hAnsi="Times New Roman" w:eastAsia="Times New Roman"/>
          <w:position w:val="2"/>
        </w:rPr>
        <w:t>P</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xml:space="preserve"> </w:t>
      </w:r>
      <w:r>
        <w:rPr>
          <w:position w:val="2"/>
          <w:vertAlign w:val="baseline"/>
        </w:rPr>
        <w:t xml:space="preserve">最大值出现为点源排放的 </w:t>
      </w:r>
      <w:r>
        <w:rPr>
          <w:rFonts w:ascii="Times New Roman" w:hAnsi="Times New Roman" w:eastAsia="Times New Roman"/>
          <w:position w:val="2"/>
          <w:vertAlign w:val="baseline"/>
        </w:rPr>
        <w:t>NO</w:t>
      </w:r>
      <w:r>
        <w:rPr>
          <w:rFonts w:ascii="Times New Roman" w:hAnsi="Times New Roman" w:eastAsia="Times New Roman"/>
          <w:position w:val="2"/>
          <w:vertAlign w:val="subscript"/>
        </w:rPr>
        <w:t>x</w:t>
      </w:r>
      <w:r>
        <w:rPr>
          <w:rFonts w:ascii="Times New Roman" w:hAnsi="Times New Roman" w:eastAsia="Times New Roman"/>
          <w:position w:val="2"/>
          <w:vertAlign w:val="baseline"/>
        </w:rPr>
        <w:t>,P</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xml:space="preserve"> </w:t>
      </w:r>
      <w:r>
        <w:rPr>
          <w:position w:val="2"/>
          <w:vertAlign w:val="baseline"/>
        </w:rPr>
        <w:t xml:space="preserve">值为 </w:t>
      </w:r>
      <w:r>
        <w:rPr>
          <w:rFonts w:ascii="Times New Roman" w:hAnsi="Times New Roman" w:eastAsia="Times New Roman"/>
          <w:position w:val="2"/>
          <w:vertAlign w:val="baseline"/>
        </w:rPr>
        <w:t>8.20%,C</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xml:space="preserve"> </w:t>
      </w:r>
      <w:r>
        <w:rPr>
          <w:position w:val="2"/>
          <w:vertAlign w:val="baseline"/>
        </w:rPr>
        <w:t xml:space="preserve">为 </w:t>
      </w:r>
      <w:r>
        <w:rPr>
          <w:rFonts w:ascii="Times New Roman" w:hAnsi="Times New Roman" w:eastAsia="Times New Roman"/>
          <w:position w:val="2"/>
          <w:vertAlign w:val="baseline"/>
        </w:rPr>
        <w:t>16.41μg/m³,</w:t>
      </w:r>
      <w:r>
        <w:rPr>
          <w:position w:val="2"/>
          <w:vertAlign w:val="baseline"/>
        </w:rPr>
        <w:t>根据</w:t>
      </w:r>
    </w:p>
    <w:p>
      <w:pPr>
        <w:pStyle w:val="9"/>
        <w:spacing w:before="157" w:line="364" w:lineRule="auto"/>
        <w:ind w:left="1418" w:right="1413"/>
        <w:jc w:val="both"/>
      </w:pPr>
      <w:r>
        <w:t>《环境影响评价技术导则大气环境》（</w:t>
      </w:r>
      <w:r>
        <w:rPr>
          <w:rFonts w:ascii="Times New Roman" w:eastAsia="Times New Roman"/>
        </w:rPr>
        <w:t>HJ2.2-2018</w:t>
      </w:r>
      <w:r>
        <w:t>）</w:t>
      </w:r>
      <w:r>
        <w:rPr>
          <w:spacing w:val="-1"/>
        </w:rPr>
        <w:t>分级判据，确定本项目大气环境影</w:t>
      </w:r>
      <w:r>
        <w:rPr>
          <w:spacing w:val="-5"/>
        </w:rPr>
        <w:t>响评价工作等级为二级，总体上对环境空气影响不大，在可控制范围内，不会改变现有</w:t>
      </w:r>
      <w:r>
        <w:t>空气质量类别。根据《环境影响评价技术导则大气环境》</w:t>
      </w:r>
      <w:r>
        <w:rPr>
          <w:rFonts w:ascii="Times New Roman" w:eastAsia="Times New Roman"/>
        </w:rPr>
        <w:t>(HJ2.2-2018)</w:t>
      </w:r>
      <w:r>
        <w:t>规定，二级评价不需要进行进一步预测和评价，只需要对污染物进行总量核算。</w:t>
      </w:r>
    </w:p>
    <w:p>
      <w:pPr>
        <w:pStyle w:val="9"/>
        <w:ind w:left="1898"/>
      </w:pPr>
      <w:r>
        <w:t>（</w:t>
      </w:r>
      <w:r>
        <w:rPr>
          <w:rFonts w:ascii="Times New Roman" w:eastAsia="Times New Roman"/>
        </w:rPr>
        <w:t>7</w:t>
      </w:r>
      <w:r>
        <w:t>）污染源结果</w:t>
      </w:r>
    </w:p>
    <w:p>
      <w:pPr>
        <w:spacing w:before="157"/>
        <w:ind w:left="12" w:right="0" w:firstLine="0"/>
        <w:jc w:val="center"/>
        <w:rPr>
          <w:rFonts w:ascii="Times New Roman" w:eastAsia="Times New Roman"/>
          <w:b/>
          <w:sz w:val="21"/>
        </w:rPr>
      </w:pPr>
      <w:r>
        <w:rPr>
          <w:b/>
          <w:spacing w:val="-27"/>
          <w:sz w:val="21"/>
        </w:rPr>
        <w:t xml:space="preserve">表 </w:t>
      </w:r>
      <w:r>
        <w:rPr>
          <w:rFonts w:ascii="Times New Roman" w:eastAsia="Times New Roman"/>
          <w:b/>
          <w:sz w:val="21"/>
        </w:rPr>
        <w:t>7.3-7</w:t>
      </w:r>
      <w:r>
        <w:rPr>
          <w:rFonts w:ascii="Times New Roman" w:eastAsia="Times New Roman"/>
          <w:b/>
          <w:spacing w:val="47"/>
          <w:sz w:val="21"/>
        </w:rPr>
        <w:t xml:space="preserve"> </w:t>
      </w:r>
      <w:r>
        <w:rPr>
          <w:b/>
          <w:sz w:val="21"/>
        </w:rPr>
        <w:t>主要污染源估算模型计算结果</w:t>
      </w:r>
      <w:r>
        <w:rPr>
          <w:rFonts w:ascii="Times New Roman" w:eastAsia="Times New Roman"/>
          <w:b/>
          <w:sz w:val="21"/>
        </w:rPr>
        <w:t>(1)</w:t>
      </w:r>
    </w:p>
    <w:p>
      <w:pPr>
        <w:pStyle w:val="9"/>
        <w:rPr>
          <w:rFonts w:ascii="Times New Roman"/>
          <w:b/>
          <w:sz w:val="12"/>
        </w:rPr>
      </w:pP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74"/>
        <w:gridCol w:w="2506"/>
        <w:gridCol w:w="25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4" w:type="dxa"/>
            <w:vMerge w:val="restart"/>
            <w:tcBorders>
              <w:bottom w:val="single" w:color="000000" w:sz="4" w:space="0"/>
              <w:right w:val="single" w:color="000000" w:sz="4" w:space="0"/>
            </w:tcBorders>
          </w:tcPr>
          <w:p>
            <w:pPr>
              <w:pStyle w:val="19"/>
              <w:spacing w:before="9"/>
              <w:jc w:val="left"/>
              <w:rPr>
                <w:rFonts w:ascii="Times New Roman"/>
                <w:b/>
                <w:sz w:val="20"/>
              </w:rPr>
            </w:pPr>
          </w:p>
          <w:p>
            <w:pPr>
              <w:pStyle w:val="19"/>
              <w:ind w:left="854" w:right="844"/>
              <w:rPr>
                <w:sz w:val="21"/>
              </w:rPr>
            </w:pPr>
            <w:r>
              <w:rPr>
                <w:sz w:val="21"/>
              </w:rPr>
              <w:t>下风向距离</w:t>
            </w:r>
          </w:p>
        </w:tc>
        <w:tc>
          <w:tcPr>
            <w:tcW w:w="5011" w:type="dxa"/>
            <w:gridSpan w:val="2"/>
            <w:tcBorders>
              <w:left w:val="single" w:color="000000" w:sz="4" w:space="0"/>
              <w:bottom w:val="single" w:color="000000" w:sz="4" w:space="0"/>
            </w:tcBorders>
          </w:tcPr>
          <w:p>
            <w:pPr>
              <w:pStyle w:val="19"/>
              <w:spacing w:before="35"/>
              <w:ind w:left="1964" w:right="1941"/>
              <w:rPr>
                <w:sz w:val="21"/>
              </w:rPr>
            </w:pPr>
            <w:r>
              <w:rPr>
                <w:sz w:val="21"/>
              </w:rPr>
              <w:t>矸石暂存场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4" w:type="dxa"/>
            <w:vMerge w:val="continue"/>
            <w:tcBorders>
              <w:top w:val="nil"/>
              <w:bottom w:val="single" w:color="000000" w:sz="4" w:space="0"/>
              <w:right w:val="single" w:color="000000" w:sz="4" w:space="0"/>
            </w:tcBorders>
          </w:tcPr>
          <w:p>
            <w:pPr>
              <w:rPr>
                <w:sz w:val="2"/>
                <w:szCs w:val="2"/>
              </w:rPr>
            </w:pPr>
          </w:p>
        </w:tc>
        <w:tc>
          <w:tcPr>
            <w:tcW w:w="2506" w:type="dxa"/>
            <w:tcBorders>
              <w:top w:val="single" w:color="000000" w:sz="4" w:space="0"/>
              <w:left w:val="single" w:color="000000" w:sz="4" w:space="0"/>
              <w:bottom w:val="single" w:color="000000" w:sz="4" w:space="0"/>
              <w:right w:val="single" w:color="000000" w:sz="4" w:space="0"/>
            </w:tcBorders>
          </w:tcPr>
          <w:p>
            <w:pPr>
              <w:pStyle w:val="19"/>
              <w:spacing w:before="36"/>
              <w:ind w:left="500" w:right="478"/>
              <w:rPr>
                <w:rFonts w:ascii="Times New Roman" w:hAnsi="Times New Roman" w:eastAsia="Times New Roman"/>
                <w:sz w:val="21"/>
              </w:rPr>
            </w:pPr>
            <w:r>
              <w:rPr>
                <w:rFonts w:ascii="Times New Roman" w:hAnsi="Times New Roman" w:eastAsia="Times New Roman"/>
                <w:sz w:val="21"/>
              </w:rPr>
              <w:t xml:space="preserve">TSP </w:t>
            </w:r>
            <w:r>
              <w:rPr>
                <w:sz w:val="21"/>
              </w:rPr>
              <w:t>浓度</w:t>
            </w:r>
            <w:r>
              <w:rPr>
                <w:rFonts w:ascii="Times New Roman" w:hAnsi="Times New Roman" w:eastAsia="Times New Roman"/>
                <w:sz w:val="21"/>
              </w:rPr>
              <w:t>(μg/m³)</w:t>
            </w:r>
          </w:p>
        </w:tc>
        <w:tc>
          <w:tcPr>
            <w:tcW w:w="2505" w:type="dxa"/>
            <w:tcBorders>
              <w:top w:val="single" w:color="000000" w:sz="4" w:space="0"/>
              <w:left w:val="single" w:color="000000" w:sz="4" w:space="0"/>
              <w:bottom w:val="single" w:color="000000" w:sz="4" w:space="0"/>
            </w:tcBorders>
          </w:tcPr>
          <w:p>
            <w:pPr>
              <w:pStyle w:val="19"/>
              <w:spacing w:before="36"/>
              <w:ind w:left="557" w:right="532"/>
              <w:rPr>
                <w:rFonts w:ascii="Times New Roman" w:eastAsia="Times New Roman"/>
                <w:sz w:val="21"/>
              </w:rPr>
            </w:pPr>
            <w:r>
              <w:rPr>
                <w:rFonts w:ascii="Times New Roman" w:eastAsia="Times New Roman"/>
                <w:sz w:val="21"/>
              </w:rPr>
              <w:t xml:space="preserve">TSP </w:t>
            </w:r>
            <w:r>
              <w:rPr>
                <w:sz w:val="21"/>
              </w:rPr>
              <w:t>占标率</w:t>
            </w:r>
            <w:r>
              <w:rPr>
                <w:rFonts w:ascii="Times New Roman" w:eastAsia="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4" w:type="dxa"/>
            <w:tcBorders>
              <w:top w:val="single" w:color="000000" w:sz="4" w:space="0"/>
              <w:bottom w:val="single" w:color="000000" w:sz="4" w:space="0"/>
              <w:right w:val="single" w:color="000000" w:sz="4" w:space="0"/>
            </w:tcBorders>
          </w:tcPr>
          <w:p>
            <w:pPr>
              <w:pStyle w:val="19"/>
              <w:spacing w:before="53"/>
              <w:ind w:left="854" w:right="840"/>
              <w:rPr>
                <w:rFonts w:ascii="Times New Roman"/>
                <w:sz w:val="21"/>
              </w:rPr>
            </w:pPr>
            <w:r>
              <w:rPr>
                <w:rFonts w:ascii="Times New Roman"/>
                <w:sz w:val="21"/>
              </w:rPr>
              <w:t>10.0</w:t>
            </w:r>
          </w:p>
        </w:tc>
        <w:tc>
          <w:tcPr>
            <w:tcW w:w="2506" w:type="dxa"/>
            <w:tcBorders>
              <w:top w:val="single" w:color="000000" w:sz="4" w:space="0"/>
              <w:left w:val="single" w:color="000000" w:sz="4" w:space="0"/>
              <w:bottom w:val="single" w:color="000000" w:sz="4" w:space="0"/>
              <w:right w:val="single" w:color="000000" w:sz="4" w:space="0"/>
            </w:tcBorders>
          </w:tcPr>
          <w:p>
            <w:pPr>
              <w:pStyle w:val="19"/>
              <w:spacing w:before="53"/>
              <w:ind w:left="497" w:right="478"/>
              <w:rPr>
                <w:rFonts w:ascii="Times New Roman"/>
                <w:sz w:val="21"/>
              </w:rPr>
            </w:pPr>
            <w:r>
              <w:rPr>
                <w:rFonts w:ascii="Times New Roman"/>
                <w:sz w:val="21"/>
              </w:rPr>
              <w:t>0.28</w:t>
            </w:r>
          </w:p>
        </w:tc>
        <w:tc>
          <w:tcPr>
            <w:tcW w:w="2505" w:type="dxa"/>
            <w:tcBorders>
              <w:top w:val="single" w:color="000000" w:sz="4" w:space="0"/>
              <w:left w:val="single" w:color="000000" w:sz="4" w:space="0"/>
              <w:bottom w:val="single" w:color="000000" w:sz="4" w:space="0"/>
            </w:tcBorders>
          </w:tcPr>
          <w:p>
            <w:pPr>
              <w:pStyle w:val="19"/>
              <w:spacing w:before="53"/>
              <w:ind w:left="556" w:right="532"/>
              <w:rPr>
                <w:rFonts w:ascii="Times New Roman"/>
                <w:sz w:val="21"/>
              </w:rPr>
            </w:pPr>
            <w:r>
              <w:rPr>
                <w:rFonts w:ascii="Times New Roman"/>
                <w:sz w:val="21"/>
              </w:rPr>
              <w:t>0.03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4" w:type="dxa"/>
            <w:tcBorders>
              <w:top w:val="single" w:color="000000" w:sz="4" w:space="0"/>
              <w:bottom w:val="single" w:color="000000" w:sz="4" w:space="0"/>
              <w:right w:val="single" w:color="000000" w:sz="4" w:space="0"/>
            </w:tcBorders>
          </w:tcPr>
          <w:p>
            <w:pPr>
              <w:pStyle w:val="19"/>
              <w:spacing w:before="52"/>
              <w:ind w:left="854" w:right="840"/>
              <w:rPr>
                <w:rFonts w:ascii="Times New Roman"/>
                <w:sz w:val="21"/>
              </w:rPr>
            </w:pPr>
            <w:r>
              <w:rPr>
                <w:rFonts w:ascii="Times New Roman"/>
                <w:sz w:val="21"/>
              </w:rPr>
              <w:t>23.0</w:t>
            </w:r>
          </w:p>
        </w:tc>
        <w:tc>
          <w:tcPr>
            <w:tcW w:w="2506" w:type="dxa"/>
            <w:tcBorders>
              <w:top w:val="single" w:color="000000" w:sz="4" w:space="0"/>
              <w:left w:val="single" w:color="000000" w:sz="4" w:space="0"/>
              <w:bottom w:val="single" w:color="000000" w:sz="4" w:space="0"/>
              <w:right w:val="single" w:color="000000" w:sz="4" w:space="0"/>
            </w:tcBorders>
          </w:tcPr>
          <w:p>
            <w:pPr>
              <w:pStyle w:val="19"/>
              <w:spacing w:before="52"/>
              <w:ind w:left="497" w:right="478"/>
              <w:rPr>
                <w:rFonts w:ascii="Times New Roman"/>
                <w:sz w:val="21"/>
              </w:rPr>
            </w:pPr>
            <w:r>
              <w:rPr>
                <w:rFonts w:ascii="Times New Roman"/>
                <w:sz w:val="21"/>
              </w:rPr>
              <w:t>0.40</w:t>
            </w:r>
          </w:p>
        </w:tc>
        <w:tc>
          <w:tcPr>
            <w:tcW w:w="2505" w:type="dxa"/>
            <w:tcBorders>
              <w:top w:val="single" w:color="000000" w:sz="4" w:space="0"/>
              <w:left w:val="single" w:color="000000" w:sz="4" w:space="0"/>
              <w:bottom w:val="single" w:color="000000" w:sz="4" w:space="0"/>
            </w:tcBorders>
          </w:tcPr>
          <w:p>
            <w:pPr>
              <w:pStyle w:val="19"/>
              <w:spacing w:before="52"/>
              <w:ind w:left="556" w:right="532"/>
              <w:rPr>
                <w:rFonts w:ascii="Times New Roman"/>
                <w:sz w:val="21"/>
              </w:rPr>
            </w:pPr>
            <w:r>
              <w:rPr>
                <w:rFonts w:ascii="Times New Roman"/>
                <w:sz w:val="21"/>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274" w:type="dxa"/>
            <w:tcBorders>
              <w:top w:val="single" w:color="000000" w:sz="4" w:space="0"/>
              <w:bottom w:val="single" w:color="000000" w:sz="4" w:space="0"/>
              <w:right w:val="single" w:color="000000" w:sz="4" w:space="0"/>
            </w:tcBorders>
          </w:tcPr>
          <w:p>
            <w:pPr>
              <w:pStyle w:val="19"/>
              <w:spacing w:before="53"/>
              <w:ind w:left="854" w:right="840"/>
              <w:rPr>
                <w:rFonts w:ascii="Times New Roman"/>
                <w:sz w:val="21"/>
              </w:rPr>
            </w:pPr>
            <w:r>
              <w:rPr>
                <w:rFonts w:ascii="Times New Roman"/>
                <w:sz w:val="21"/>
              </w:rPr>
              <w:t>25.0</w:t>
            </w:r>
          </w:p>
        </w:tc>
        <w:tc>
          <w:tcPr>
            <w:tcW w:w="2506" w:type="dxa"/>
            <w:tcBorders>
              <w:top w:val="single" w:color="000000" w:sz="4" w:space="0"/>
              <w:left w:val="single" w:color="000000" w:sz="4" w:space="0"/>
              <w:bottom w:val="single" w:color="000000" w:sz="4" w:space="0"/>
              <w:right w:val="single" w:color="000000" w:sz="4" w:space="0"/>
            </w:tcBorders>
          </w:tcPr>
          <w:p>
            <w:pPr>
              <w:pStyle w:val="19"/>
              <w:spacing w:before="53"/>
              <w:ind w:left="497" w:right="478"/>
              <w:rPr>
                <w:rFonts w:ascii="Times New Roman"/>
                <w:sz w:val="21"/>
              </w:rPr>
            </w:pPr>
            <w:r>
              <w:rPr>
                <w:rFonts w:ascii="Times New Roman"/>
                <w:sz w:val="21"/>
              </w:rPr>
              <w:t>0.40</w:t>
            </w:r>
          </w:p>
        </w:tc>
        <w:tc>
          <w:tcPr>
            <w:tcW w:w="2505" w:type="dxa"/>
            <w:tcBorders>
              <w:top w:val="single" w:color="000000" w:sz="4" w:space="0"/>
              <w:left w:val="single" w:color="000000" w:sz="4" w:space="0"/>
              <w:bottom w:val="single" w:color="000000" w:sz="4" w:space="0"/>
            </w:tcBorders>
          </w:tcPr>
          <w:p>
            <w:pPr>
              <w:pStyle w:val="19"/>
              <w:spacing w:before="53"/>
              <w:ind w:left="556" w:right="532"/>
              <w:rPr>
                <w:rFonts w:ascii="Times New Roman"/>
                <w:sz w:val="21"/>
              </w:rPr>
            </w:pPr>
            <w:r>
              <w:rPr>
                <w:rFonts w:ascii="Times New Roman"/>
                <w:sz w:val="21"/>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4" w:type="dxa"/>
            <w:tcBorders>
              <w:top w:val="single" w:color="000000" w:sz="4" w:space="0"/>
              <w:bottom w:val="single" w:color="000000" w:sz="4" w:space="0"/>
              <w:right w:val="single" w:color="000000" w:sz="4" w:space="0"/>
            </w:tcBorders>
          </w:tcPr>
          <w:p>
            <w:pPr>
              <w:pStyle w:val="19"/>
              <w:spacing w:before="52"/>
              <w:ind w:left="854" w:right="840"/>
              <w:rPr>
                <w:rFonts w:ascii="Times New Roman"/>
                <w:sz w:val="21"/>
              </w:rPr>
            </w:pPr>
            <w:r>
              <w:rPr>
                <w:rFonts w:ascii="Times New Roman"/>
                <w:sz w:val="21"/>
              </w:rPr>
              <w:t>50.0</w:t>
            </w:r>
          </w:p>
        </w:tc>
        <w:tc>
          <w:tcPr>
            <w:tcW w:w="2506" w:type="dxa"/>
            <w:tcBorders>
              <w:top w:val="single" w:color="000000" w:sz="4" w:space="0"/>
              <w:left w:val="single" w:color="000000" w:sz="4" w:space="0"/>
              <w:bottom w:val="single" w:color="000000" w:sz="4" w:space="0"/>
              <w:right w:val="single" w:color="000000" w:sz="4" w:space="0"/>
            </w:tcBorders>
          </w:tcPr>
          <w:p>
            <w:pPr>
              <w:pStyle w:val="19"/>
              <w:spacing w:before="52"/>
              <w:ind w:left="497" w:right="478"/>
              <w:rPr>
                <w:rFonts w:ascii="Times New Roman"/>
                <w:sz w:val="21"/>
              </w:rPr>
            </w:pPr>
            <w:r>
              <w:rPr>
                <w:rFonts w:ascii="Times New Roman"/>
                <w:sz w:val="21"/>
              </w:rPr>
              <w:t>0.30</w:t>
            </w:r>
          </w:p>
        </w:tc>
        <w:tc>
          <w:tcPr>
            <w:tcW w:w="2505" w:type="dxa"/>
            <w:tcBorders>
              <w:top w:val="single" w:color="000000" w:sz="4" w:space="0"/>
              <w:left w:val="single" w:color="000000" w:sz="4" w:space="0"/>
              <w:bottom w:val="single" w:color="000000" w:sz="4" w:space="0"/>
            </w:tcBorders>
          </w:tcPr>
          <w:p>
            <w:pPr>
              <w:pStyle w:val="19"/>
              <w:spacing w:before="52"/>
              <w:ind w:left="556" w:right="532"/>
              <w:rPr>
                <w:rFonts w:ascii="Times New Roman"/>
                <w:sz w:val="21"/>
              </w:rPr>
            </w:pPr>
            <w:r>
              <w:rPr>
                <w:rFonts w:ascii="Times New Roman"/>
                <w:sz w:val="21"/>
              </w:rPr>
              <w:t>0.03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4" w:type="dxa"/>
            <w:tcBorders>
              <w:top w:val="single" w:color="000000" w:sz="4" w:space="0"/>
              <w:bottom w:val="single" w:color="000000" w:sz="4" w:space="0"/>
              <w:right w:val="single" w:color="000000" w:sz="4" w:space="0"/>
            </w:tcBorders>
          </w:tcPr>
          <w:p>
            <w:pPr>
              <w:pStyle w:val="19"/>
              <w:spacing w:before="53"/>
              <w:ind w:left="854" w:right="840"/>
              <w:rPr>
                <w:rFonts w:ascii="Times New Roman"/>
                <w:sz w:val="21"/>
              </w:rPr>
            </w:pPr>
            <w:r>
              <w:rPr>
                <w:rFonts w:ascii="Times New Roman"/>
                <w:sz w:val="21"/>
              </w:rPr>
              <w:t>75.0</w:t>
            </w:r>
          </w:p>
        </w:tc>
        <w:tc>
          <w:tcPr>
            <w:tcW w:w="2506" w:type="dxa"/>
            <w:tcBorders>
              <w:top w:val="single" w:color="000000" w:sz="4" w:space="0"/>
              <w:left w:val="single" w:color="000000" w:sz="4" w:space="0"/>
              <w:bottom w:val="single" w:color="000000" w:sz="4" w:space="0"/>
              <w:right w:val="single" w:color="000000" w:sz="4" w:space="0"/>
            </w:tcBorders>
          </w:tcPr>
          <w:p>
            <w:pPr>
              <w:pStyle w:val="19"/>
              <w:spacing w:before="53"/>
              <w:ind w:left="497" w:right="478"/>
              <w:rPr>
                <w:rFonts w:ascii="Times New Roman"/>
                <w:sz w:val="21"/>
              </w:rPr>
            </w:pPr>
            <w:r>
              <w:rPr>
                <w:rFonts w:ascii="Times New Roman"/>
                <w:sz w:val="21"/>
              </w:rPr>
              <w:t>0.22</w:t>
            </w:r>
          </w:p>
        </w:tc>
        <w:tc>
          <w:tcPr>
            <w:tcW w:w="2505" w:type="dxa"/>
            <w:tcBorders>
              <w:top w:val="single" w:color="000000" w:sz="4" w:space="0"/>
              <w:left w:val="single" w:color="000000" w:sz="4" w:space="0"/>
              <w:bottom w:val="single" w:color="000000" w:sz="4" w:space="0"/>
            </w:tcBorders>
          </w:tcPr>
          <w:p>
            <w:pPr>
              <w:pStyle w:val="19"/>
              <w:spacing w:before="53"/>
              <w:ind w:left="556" w:right="532"/>
              <w:rPr>
                <w:rFonts w:ascii="Times New Roman"/>
                <w:sz w:val="21"/>
              </w:rPr>
            </w:pPr>
            <w:r>
              <w:rPr>
                <w:rFonts w:ascii="Times New Roman"/>
                <w:sz w:val="21"/>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4" w:type="dxa"/>
            <w:tcBorders>
              <w:top w:val="single" w:color="000000" w:sz="4" w:space="0"/>
              <w:bottom w:val="single" w:color="000000" w:sz="4" w:space="0"/>
              <w:right w:val="single" w:color="000000" w:sz="4" w:space="0"/>
            </w:tcBorders>
          </w:tcPr>
          <w:p>
            <w:pPr>
              <w:pStyle w:val="19"/>
              <w:spacing w:before="54"/>
              <w:ind w:left="854" w:right="838"/>
              <w:rPr>
                <w:rFonts w:ascii="Times New Roman"/>
                <w:sz w:val="21"/>
              </w:rPr>
            </w:pPr>
            <w:r>
              <w:rPr>
                <w:rFonts w:ascii="Times New Roman"/>
                <w:sz w:val="21"/>
              </w:rPr>
              <w:t>100.0</w:t>
            </w:r>
          </w:p>
        </w:tc>
        <w:tc>
          <w:tcPr>
            <w:tcW w:w="2506" w:type="dxa"/>
            <w:tcBorders>
              <w:top w:val="single" w:color="000000" w:sz="4" w:space="0"/>
              <w:left w:val="single" w:color="000000" w:sz="4" w:space="0"/>
              <w:bottom w:val="single" w:color="000000" w:sz="4" w:space="0"/>
              <w:right w:val="single" w:color="000000" w:sz="4" w:space="0"/>
            </w:tcBorders>
          </w:tcPr>
          <w:p>
            <w:pPr>
              <w:pStyle w:val="19"/>
              <w:spacing w:before="54"/>
              <w:ind w:left="497" w:right="478"/>
              <w:rPr>
                <w:rFonts w:ascii="Times New Roman"/>
                <w:sz w:val="21"/>
              </w:rPr>
            </w:pPr>
            <w:r>
              <w:rPr>
                <w:rFonts w:ascii="Times New Roman"/>
                <w:sz w:val="21"/>
              </w:rPr>
              <w:t>0.16</w:t>
            </w:r>
          </w:p>
        </w:tc>
        <w:tc>
          <w:tcPr>
            <w:tcW w:w="2505" w:type="dxa"/>
            <w:tcBorders>
              <w:top w:val="single" w:color="000000" w:sz="4" w:space="0"/>
              <w:left w:val="single" w:color="000000" w:sz="4" w:space="0"/>
              <w:bottom w:val="single" w:color="000000" w:sz="4" w:space="0"/>
            </w:tcBorders>
          </w:tcPr>
          <w:p>
            <w:pPr>
              <w:pStyle w:val="19"/>
              <w:spacing w:before="54"/>
              <w:ind w:left="556" w:right="532"/>
              <w:rPr>
                <w:rFonts w:ascii="Times New Roman"/>
                <w:sz w:val="21"/>
              </w:rPr>
            </w:pPr>
            <w:r>
              <w:rPr>
                <w:rFonts w:ascii="Times New Roman"/>
                <w:sz w:val="21"/>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4" w:type="dxa"/>
            <w:tcBorders>
              <w:top w:val="single" w:color="000000" w:sz="4" w:space="0"/>
              <w:bottom w:val="single" w:color="000000" w:sz="4" w:space="0"/>
              <w:right w:val="single" w:color="000000" w:sz="4" w:space="0"/>
            </w:tcBorders>
          </w:tcPr>
          <w:p>
            <w:pPr>
              <w:pStyle w:val="19"/>
              <w:spacing w:before="52"/>
              <w:ind w:left="854" w:right="837"/>
              <w:rPr>
                <w:rFonts w:ascii="Times New Roman"/>
                <w:sz w:val="21"/>
              </w:rPr>
            </w:pPr>
            <w:r>
              <w:rPr>
                <w:rFonts w:ascii="Times New Roman"/>
                <w:sz w:val="21"/>
              </w:rPr>
              <w:t>...</w:t>
            </w:r>
          </w:p>
        </w:tc>
        <w:tc>
          <w:tcPr>
            <w:tcW w:w="2506" w:type="dxa"/>
            <w:tcBorders>
              <w:top w:val="single" w:color="000000" w:sz="4" w:space="0"/>
              <w:left w:val="single" w:color="000000" w:sz="4" w:space="0"/>
              <w:bottom w:val="single" w:color="000000" w:sz="4" w:space="0"/>
              <w:right w:val="single" w:color="000000" w:sz="4" w:space="0"/>
            </w:tcBorders>
          </w:tcPr>
          <w:p>
            <w:pPr>
              <w:pStyle w:val="19"/>
              <w:spacing w:before="52"/>
              <w:ind w:left="497" w:right="478"/>
              <w:rPr>
                <w:rFonts w:ascii="Times New Roman"/>
                <w:sz w:val="21"/>
              </w:rPr>
            </w:pPr>
            <w:r>
              <w:rPr>
                <w:rFonts w:ascii="Times New Roman"/>
                <w:sz w:val="21"/>
              </w:rPr>
              <w:t>...</w:t>
            </w:r>
          </w:p>
        </w:tc>
        <w:tc>
          <w:tcPr>
            <w:tcW w:w="2505" w:type="dxa"/>
            <w:tcBorders>
              <w:top w:val="single" w:color="000000" w:sz="4" w:space="0"/>
              <w:left w:val="single" w:color="000000" w:sz="4" w:space="0"/>
              <w:bottom w:val="single" w:color="000000" w:sz="4" w:space="0"/>
            </w:tcBorders>
          </w:tcPr>
          <w:p>
            <w:pPr>
              <w:pStyle w:val="19"/>
              <w:spacing w:before="52"/>
              <w:ind w:left="557" w:right="532"/>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274" w:type="dxa"/>
            <w:tcBorders>
              <w:top w:val="single" w:color="000000" w:sz="4" w:space="0"/>
              <w:bottom w:val="single" w:color="000000" w:sz="4" w:space="0"/>
              <w:right w:val="single" w:color="000000" w:sz="4" w:space="0"/>
            </w:tcBorders>
          </w:tcPr>
          <w:p>
            <w:pPr>
              <w:pStyle w:val="19"/>
              <w:spacing w:before="53"/>
              <w:ind w:left="854" w:right="840"/>
              <w:rPr>
                <w:rFonts w:ascii="Times New Roman"/>
                <w:sz w:val="21"/>
              </w:rPr>
            </w:pPr>
            <w:r>
              <w:rPr>
                <w:rFonts w:ascii="Times New Roman"/>
                <w:sz w:val="21"/>
              </w:rPr>
              <w:t>24800.0</w:t>
            </w:r>
          </w:p>
        </w:tc>
        <w:tc>
          <w:tcPr>
            <w:tcW w:w="2506" w:type="dxa"/>
            <w:tcBorders>
              <w:top w:val="single" w:color="000000" w:sz="4" w:space="0"/>
              <w:left w:val="single" w:color="000000" w:sz="4" w:space="0"/>
              <w:bottom w:val="single" w:color="000000" w:sz="4" w:space="0"/>
              <w:right w:val="single" w:color="000000" w:sz="4" w:space="0"/>
            </w:tcBorders>
          </w:tcPr>
          <w:p>
            <w:pPr>
              <w:pStyle w:val="19"/>
              <w:spacing w:before="53"/>
              <w:ind w:left="19"/>
              <w:rPr>
                <w:rFonts w:ascii="Times New Roman"/>
                <w:sz w:val="21"/>
              </w:rPr>
            </w:pPr>
            <w:r>
              <w:rPr>
                <w:rFonts w:ascii="Times New Roman"/>
                <w:w w:val="99"/>
                <w:sz w:val="21"/>
              </w:rPr>
              <w:t>0</w:t>
            </w:r>
          </w:p>
        </w:tc>
        <w:tc>
          <w:tcPr>
            <w:tcW w:w="2505" w:type="dxa"/>
            <w:tcBorders>
              <w:top w:val="single" w:color="000000" w:sz="4" w:space="0"/>
              <w:left w:val="single" w:color="000000" w:sz="4" w:space="0"/>
              <w:bottom w:val="single" w:color="000000" w:sz="4" w:space="0"/>
            </w:tcBorders>
          </w:tcPr>
          <w:p>
            <w:pPr>
              <w:pStyle w:val="19"/>
              <w:spacing w:before="53"/>
              <w:ind w:left="24"/>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4" w:type="dxa"/>
            <w:tcBorders>
              <w:top w:val="single" w:color="000000" w:sz="4" w:space="0"/>
              <w:bottom w:val="single" w:color="000000" w:sz="4" w:space="0"/>
              <w:right w:val="single" w:color="000000" w:sz="4" w:space="0"/>
            </w:tcBorders>
          </w:tcPr>
          <w:p>
            <w:pPr>
              <w:pStyle w:val="19"/>
              <w:spacing w:before="52"/>
              <w:ind w:left="854" w:right="840"/>
              <w:rPr>
                <w:rFonts w:ascii="Times New Roman"/>
                <w:sz w:val="21"/>
              </w:rPr>
            </w:pPr>
            <w:r>
              <w:rPr>
                <w:rFonts w:ascii="Times New Roman"/>
                <w:sz w:val="21"/>
              </w:rPr>
              <w:t>25000.0</w:t>
            </w:r>
          </w:p>
        </w:tc>
        <w:tc>
          <w:tcPr>
            <w:tcW w:w="2506" w:type="dxa"/>
            <w:tcBorders>
              <w:top w:val="single" w:color="000000" w:sz="4" w:space="0"/>
              <w:left w:val="single" w:color="000000" w:sz="4" w:space="0"/>
              <w:bottom w:val="single" w:color="000000" w:sz="4" w:space="0"/>
              <w:right w:val="single" w:color="000000" w:sz="4" w:space="0"/>
            </w:tcBorders>
          </w:tcPr>
          <w:p>
            <w:pPr>
              <w:pStyle w:val="19"/>
              <w:spacing w:before="52"/>
              <w:ind w:left="19"/>
              <w:rPr>
                <w:rFonts w:ascii="Times New Roman"/>
                <w:sz w:val="21"/>
              </w:rPr>
            </w:pPr>
            <w:r>
              <w:rPr>
                <w:rFonts w:ascii="Times New Roman"/>
                <w:w w:val="99"/>
                <w:sz w:val="21"/>
              </w:rPr>
              <w:t>0</w:t>
            </w:r>
          </w:p>
        </w:tc>
        <w:tc>
          <w:tcPr>
            <w:tcW w:w="2505" w:type="dxa"/>
            <w:tcBorders>
              <w:top w:val="single" w:color="000000" w:sz="4" w:space="0"/>
              <w:left w:val="single" w:color="000000" w:sz="4" w:space="0"/>
              <w:bottom w:val="single" w:color="000000" w:sz="4" w:space="0"/>
            </w:tcBorders>
          </w:tcPr>
          <w:p>
            <w:pPr>
              <w:pStyle w:val="19"/>
              <w:spacing w:before="52"/>
              <w:ind w:left="24"/>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4" w:type="dxa"/>
            <w:tcBorders>
              <w:top w:val="single" w:color="000000" w:sz="4" w:space="0"/>
              <w:bottom w:val="single" w:color="000000" w:sz="4" w:space="0"/>
              <w:right w:val="single" w:color="000000" w:sz="4" w:space="0"/>
            </w:tcBorders>
          </w:tcPr>
          <w:p>
            <w:pPr>
              <w:pStyle w:val="19"/>
              <w:spacing w:before="37"/>
              <w:ind w:left="854" w:right="844"/>
              <w:rPr>
                <w:sz w:val="21"/>
              </w:rPr>
            </w:pPr>
            <w:r>
              <w:rPr>
                <w:sz w:val="21"/>
              </w:rPr>
              <w:t>下风向最大浓度及其占标率</w:t>
            </w:r>
          </w:p>
        </w:tc>
        <w:tc>
          <w:tcPr>
            <w:tcW w:w="2506" w:type="dxa"/>
            <w:tcBorders>
              <w:top w:val="single" w:color="000000" w:sz="4" w:space="0"/>
              <w:left w:val="single" w:color="000000" w:sz="4" w:space="0"/>
              <w:bottom w:val="single" w:color="000000" w:sz="4" w:space="0"/>
              <w:right w:val="single" w:color="000000" w:sz="4" w:space="0"/>
            </w:tcBorders>
          </w:tcPr>
          <w:p>
            <w:pPr>
              <w:pStyle w:val="19"/>
              <w:spacing w:before="53"/>
              <w:ind w:left="497" w:right="478"/>
              <w:rPr>
                <w:rFonts w:ascii="Times New Roman"/>
                <w:sz w:val="21"/>
              </w:rPr>
            </w:pPr>
            <w:r>
              <w:rPr>
                <w:rFonts w:ascii="Times New Roman"/>
                <w:sz w:val="21"/>
              </w:rPr>
              <w:t>0.40</w:t>
            </w:r>
          </w:p>
        </w:tc>
        <w:tc>
          <w:tcPr>
            <w:tcW w:w="2505" w:type="dxa"/>
            <w:tcBorders>
              <w:top w:val="single" w:color="000000" w:sz="4" w:space="0"/>
              <w:left w:val="single" w:color="000000" w:sz="4" w:space="0"/>
              <w:bottom w:val="single" w:color="000000" w:sz="4" w:space="0"/>
            </w:tcBorders>
          </w:tcPr>
          <w:p>
            <w:pPr>
              <w:pStyle w:val="19"/>
              <w:spacing w:before="53"/>
              <w:ind w:left="556" w:right="532"/>
              <w:rPr>
                <w:rFonts w:ascii="Times New Roman"/>
                <w:sz w:val="21"/>
              </w:rPr>
            </w:pPr>
            <w:r>
              <w:rPr>
                <w:rFonts w:ascii="Times New Roman"/>
                <w:sz w:val="21"/>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4" w:type="dxa"/>
            <w:tcBorders>
              <w:top w:val="single" w:color="000000" w:sz="4" w:space="0"/>
              <w:bottom w:val="single" w:color="000000" w:sz="4" w:space="0"/>
              <w:right w:val="single" w:color="000000" w:sz="4" w:space="0"/>
            </w:tcBorders>
          </w:tcPr>
          <w:p>
            <w:pPr>
              <w:pStyle w:val="19"/>
              <w:spacing w:before="35"/>
              <w:ind w:left="854" w:right="841"/>
              <w:rPr>
                <w:sz w:val="21"/>
              </w:rPr>
            </w:pPr>
            <w:r>
              <w:rPr>
                <w:sz w:val="21"/>
              </w:rPr>
              <w:t>下风向最大浓度出现距离</w:t>
            </w:r>
          </w:p>
        </w:tc>
        <w:tc>
          <w:tcPr>
            <w:tcW w:w="2506" w:type="dxa"/>
            <w:tcBorders>
              <w:top w:val="single" w:color="000000" w:sz="4" w:space="0"/>
              <w:left w:val="single" w:color="000000" w:sz="4" w:space="0"/>
              <w:bottom w:val="single" w:color="000000" w:sz="4" w:space="0"/>
              <w:right w:val="single" w:color="000000" w:sz="4" w:space="0"/>
            </w:tcBorders>
          </w:tcPr>
          <w:p>
            <w:pPr>
              <w:pStyle w:val="19"/>
              <w:spacing w:before="54"/>
              <w:ind w:left="497" w:right="478"/>
              <w:rPr>
                <w:rFonts w:ascii="Times New Roman"/>
                <w:sz w:val="21"/>
              </w:rPr>
            </w:pPr>
            <w:r>
              <w:rPr>
                <w:rFonts w:ascii="Times New Roman"/>
                <w:sz w:val="21"/>
              </w:rPr>
              <w:t>23</w:t>
            </w:r>
          </w:p>
        </w:tc>
        <w:tc>
          <w:tcPr>
            <w:tcW w:w="2505" w:type="dxa"/>
            <w:tcBorders>
              <w:top w:val="single" w:color="000000" w:sz="4" w:space="0"/>
              <w:left w:val="single" w:color="000000" w:sz="4" w:space="0"/>
              <w:bottom w:val="single" w:color="000000" w:sz="4" w:space="0"/>
            </w:tcBorders>
          </w:tcPr>
          <w:p>
            <w:pPr>
              <w:pStyle w:val="19"/>
              <w:spacing w:before="54"/>
              <w:ind w:left="556" w:right="532"/>
              <w:rPr>
                <w:rFonts w:ascii="Times New Roman"/>
                <w:sz w:val="21"/>
              </w:rPr>
            </w:pPr>
            <w:r>
              <w:rPr>
                <w:rFonts w:ascii="Times New Roman"/>
                <w:sz w:val="21"/>
              </w:rPr>
              <w:t>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274" w:type="dxa"/>
            <w:tcBorders>
              <w:top w:val="single" w:color="000000" w:sz="4" w:space="0"/>
              <w:right w:val="single" w:color="000000" w:sz="4" w:space="0"/>
            </w:tcBorders>
          </w:tcPr>
          <w:p>
            <w:pPr>
              <w:pStyle w:val="19"/>
              <w:spacing w:before="36"/>
              <w:ind w:left="854" w:right="841"/>
              <w:rPr>
                <w:sz w:val="21"/>
              </w:rPr>
            </w:pPr>
            <w:r>
              <w:rPr>
                <w:rFonts w:ascii="Times New Roman" w:eastAsia="Times New Roman"/>
                <w:sz w:val="21"/>
              </w:rPr>
              <w:t>D10%</w:t>
            </w:r>
            <w:r>
              <w:rPr>
                <w:sz w:val="21"/>
              </w:rPr>
              <w:t>最远距离</w:t>
            </w:r>
          </w:p>
        </w:tc>
        <w:tc>
          <w:tcPr>
            <w:tcW w:w="2506" w:type="dxa"/>
            <w:tcBorders>
              <w:top w:val="single" w:color="000000" w:sz="4" w:space="0"/>
              <w:left w:val="single" w:color="000000" w:sz="4" w:space="0"/>
              <w:right w:val="single" w:color="000000" w:sz="4" w:space="0"/>
            </w:tcBorders>
          </w:tcPr>
          <w:p>
            <w:pPr>
              <w:pStyle w:val="19"/>
              <w:spacing w:before="52"/>
              <w:ind w:left="20"/>
              <w:rPr>
                <w:rFonts w:ascii="Times New Roman"/>
                <w:sz w:val="21"/>
              </w:rPr>
            </w:pPr>
            <w:r>
              <w:rPr>
                <w:rFonts w:ascii="Times New Roman"/>
                <w:w w:val="99"/>
                <w:sz w:val="21"/>
              </w:rPr>
              <w:t>/</w:t>
            </w:r>
          </w:p>
        </w:tc>
        <w:tc>
          <w:tcPr>
            <w:tcW w:w="2505" w:type="dxa"/>
            <w:tcBorders>
              <w:top w:val="single" w:color="000000" w:sz="4" w:space="0"/>
              <w:left w:val="single" w:color="000000" w:sz="4" w:space="0"/>
            </w:tcBorders>
          </w:tcPr>
          <w:p>
            <w:pPr>
              <w:pStyle w:val="19"/>
              <w:spacing w:before="52"/>
              <w:ind w:left="21"/>
              <w:rPr>
                <w:rFonts w:ascii="Times New Roman"/>
                <w:sz w:val="21"/>
              </w:rPr>
            </w:pPr>
            <w:r>
              <w:rPr>
                <w:rFonts w:ascii="Times New Roman"/>
                <w:w w:val="99"/>
                <w:sz w:val="21"/>
              </w:rPr>
              <w:t>/</w:t>
            </w:r>
          </w:p>
        </w:tc>
      </w:tr>
    </w:tbl>
    <w:p>
      <w:pPr>
        <w:spacing w:before="1"/>
        <w:ind w:left="12" w:right="0" w:firstLine="0"/>
        <w:jc w:val="center"/>
        <w:rPr>
          <w:rFonts w:ascii="Times New Roman" w:eastAsia="Times New Roman"/>
          <w:b/>
          <w:sz w:val="21"/>
        </w:rPr>
      </w:pPr>
      <w:r>
        <w:rPr>
          <w:b/>
          <w:spacing w:val="-27"/>
          <w:sz w:val="21"/>
        </w:rPr>
        <w:t xml:space="preserve">表 </w:t>
      </w:r>
      <w:r>
        <w:rPr>
          <w:rFonts w:ascii="Times New Roman" w:eastAsia="Times New Roman"/>
          <w:b/>
          <w:sz w:val="21"/>
        </w:rPr>
        <w:t>7.3-8</w:t>
      </w:r>
      <w:r>
        <w:rPr>
          <w:rFonts w:ascii="Times New Roman" w:eastAsia="Times New Roman"/>
          <w:b/>
          <w:spacing w:val="47"/>
          <w:sz w:val="21"/>
        </w:rPr>
        <w:t xml:space="preserve"> </w:t>
      </w:r>
      <w:r>
        <w:rPr>
          <w:b/>
          <w:sz w:val="21"/>
        </w:rPr>
        <w:t>主要污染源估算模型计算结果</w:t>
      </w:r>
      <w:r>
        <w:rPr>
          <w:rFonts w:ascii="Times New Roman" w:eastAsia="Times New Roman"/>
          <w:b/>
          <w:sz w:val="21"/>
        </w:rPr>
        <w:t>(2)</w:t>
      </w:r>
    </w:p>
    <w:p>
      <w:pPr>
        <w:spacing w:after="0"/>
        <w:jc w:val="center"/>
        <w:rPr>
          <w:rFonts w:ascii="Times New Roman" w:eastAsia="Times New Roman"/>
          <w:sz w:val="21"/>
        </w:rPr>
        <w:sectPr>
          <w:footerReference r:id="rId21" w:type="default"/>
          <w:pgSz w:w="11910" w:h="16840"/>
          <w:pgMar w:top="1400" w:right="0" w:bottom="880" w:left="0" w:header="0" w:footer="681" w:gutter="0"/>
          <w:pgNumType w:start="140"/>
        </w:sectPr>
      </w:pP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73"/>
        <w:gridCol w:w="2505"/>
        <w:gridCol w:w="250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3" w:type="dxa"/>
            <w:vMerge w:val="restart"/>
            <w:tcBorders>
              <w:bottom w:val="single" w:color="000000" w:sz="4" w:space="0"/>
              <w:right w:val="single" w:color="000000" w:sz="4" w:space="0"/>
            </w:tcBorders>
          </w:tcPr>
          <w:p>
            <w:pPr>
              <w:pStyle w:val="19"/>
              <w:spacing w:before="9"/>
              <w:jc w:val="left"/>
              <w:rPr>
                <w:rFonts w:ascii="Times New Roman"/>
                <w:b/>
                <w:sz w:val="20"/>
              </w:rPr>
            </w:pPr>
          </w:p>
          <w:p>
            <w:pPr>
              <w:pStyle w:val="19"/>
              <w:spacing w:before="1"/>
              <w:ind w:left="854" w:right="843"/>
              <w:rPr>
                <w:sz w:val="21"/>
              </w:rPr>
            </w:pPr>
            <w:r>
              <w:rPr>
                <w:sz w:val="21"/>
              </w:rPr>
              <w:t>下风向距离</w:t>
            </w:r>
          </w:p>
        </w:tc>
        <w:tc>
          <w:tcPr>
            <w:tcW w:w="5012" w:type="dxa"/>
            <w:gridSpan w:val="2"/>
            <w:tcBorders>
              <w:left w:val="single" w:color="000000" w:sz="4" w:space="0"/>
              <w:bottom w:val="single" w:color="000000" w:sz="4" w:space="0"/>
            </w:tcBorders>
          </w:tcPr>
          <w:p>
            <w:pPr>
              <w:pStyle w:val="19"/>
              <w:spacing w:before="36"/>
              <w:ind w:left="2174" w:right="2152"/>
              <w:rPr>
                <w:sz w:val="21"/>
              </w:rPr>
            </w:pPr>
            <w:r>
              <w:rPr>
                <w:sz w:val="21"/>
              </w:rPr>
              <w:t>储煤场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3" w:type="dxa"/>
            <w:vMerge w:val="continue"/>
            <w:tcBorders>
              <w:top w:val="nil"/>
              <w:bottom w:val="single" w:color="000000" w:sz="4" w:space="0"/>
              <w:right w:val="single" w:color="000000" w:sz="4" w:space="0"/>
            </w:tcBorders>
          </w:tcPr>
          <w:p>
            <w:pPr>
              <w:rPr>
                <w:sz w:val="2"/>
                <w:szCs w:val="2"/>
              </w:rPr>
            </w:pPr>
          </w:p>
        </w:tc>
        <w:tc>
          <w:tcPr>
            <w:tcW w:w="2505" w:type="dxa"/>
            <w:tcBorders>
              <w:top w:val="single" w:color="000000" w:sz="4" w:space="0"/>
              <w:left w:val="single" w:color="000000" w:sz="4" w:space="0"/>
              <w:bottom w:val="single" w:color="000000" w:sz="4" w:space="0"/>
              <w:right w:val="single" w:color="000000" w:sz="4" w:space="0"/>
            </w:tcBorders>
          </w:tcPr>
          <w:p>
            <w:pPr>
              <w:pStyle w:val="19"/>
              <w:spacing w:before="36"/>
              <w:ind w:left="500" w:right="477"/>
              <w:rPr>
                <w:rFonts w:ascii="Times New Roman" w:hAnsi="Times New Roman" w:eastAsia="Times New Roman"/>
                <w:sz w:val="21"/>
              </w:rPr>
            </w:pPr>
            <w:r>
              <w:rPr>
                <w:rFonts w:ascii="Times New Roman" w:hAnsi="Times New Roman" w:eastAsia="Times New Roman"/>
                <w:sz w:val="21"/>
              </w:rPr>
              <w:t xml:space="preserve">TSP </w:t>
            </w:r>
            <w:r>
              <w:rPr>
                <w:sz w:val="21"/>
              </w:rPr>
              <w:t>浓度</w:t>
            </w:r>
            <w:r>
              <w:rPr>
                <w:rFonts w:ascii="Times New Roman" w:hAnsi="Times New Roman" w:eastAsia="Times New Roman"/>
                <w:sz w:val="21"/>
              </w:rPr>
              <w:t>(μg/m³)</w:t>
            </w:r>
          </w:p>
        </w:tc>
        <w:tc>
          <w:tcPr>
            <w:tcW w:w="2507" w:type="dxa"/>
            <w:tcBorders>
              <w:top w:val="single" w:color="000000" w:sz="4" w:space="0"/>
              <w:left w:val="single" w:color="000000" w:sz="4" w:space="0"/>
              <w:bottom w:val="single" w:color="000000" w:sz="4" w:space="0"/>
            </w:tcBorders>
          </w:tcPr>
          <w:p>
            <w:pPr>
              <w:pStyle w:val="19"/>
              <w:spacing w:before="36"/>
              <w:ind w:left="559" w:right="532"/>
              <w:rPr>
                <w:rFonts w:ascii="Times New Roman" w:eastAsia="Times New Roman"/>
                <w:sz w:val="21"/>
              </w:rPr>
            </w:pPr>
            <w:r>
              <w:rPr>
                <w:rFonts w:ascii="Times New Roman" w:eastAsia="Times New Roman"/>
                <w:sz w:val="21"/>
              </w:rPr>
              <w:t xml:space="preserve">TSP </w:t>
            </w:r>
            <w:r>
              <w:rPr>
                <w:sz w:val="21"/>
              </w:rPr>
              <w:t>占标率</w:t>
            </w:r>
            <w:r>
              <w:rPr>
                <w:rFonts w:ascii="Times New Roman" w:eastAsia="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273" w:type="dxa"/>
            <w:tcBorders>
              <w:top w:val="single" w:color="000000" w:sz="4" w:space="0"/>
              <w:bottom w:val="single" w:color="000000" w:sz="4" w:space="0"/>
              <w:right w:val="single" w:color="000000" w:sz="4" w:space="0"/>
            </w:tcBorders>
          </w:tcPr>
          <w:p>
            <w:pPr>
              <w:pStyle w:val="19"/>
              <w:spacing w:before="54"/>
              <w:ind w:left="854" w:right="839"/>
              <w:rPr>
                <w:rFonts w:ascii="Times New Roman"/>
                <w:sz w:val="21"/>
              </w:rPr>
            </w:pPr>
            <w:r>
              <w:rPr>
                <w:rFonts w:ascii="Times New Roman"/>
                <w:sz w:val="21"/>
              </w:rPr>
              <w:t>10.0</w:t>
            </w:r>
          </w:p>
        </w:tc>
        <w:tc>
          <w:tcPr>
            <w:tcW w:w="2505" w:type="dxa"/>
            <w:tcBorders>
              <w:top w:val="single" w:color="000000" w:sz="4" w:space="0"/>
              <w:left w:val="single" w:color="000000" w:sz="4" w:space="0"/>
              <w:bottom w:val="single" w:color="000000" w:sz="4" w:space="0"/>
              <w:right w:val="single" w:color="000000" w:sz="4" w:space="0"/>
            </w:tcBorders>
          </w:tcPr>
          <w:p>
            <w:pPr>
              <w:pStyle w:val="19"/>
              <w:spacing w:before="54"/>
              <w:ind w:left="499" w:right="477"/>
              <w:rPr>
                <w:rFonts w:ascii="Times New Roman"/>
                <w:sz w:val="21"/>
              </w:rPr>
            </w:pPr>
            <w:r>
              <w:rPr>
                <w:rFonts w:ascii="Times New Roman"/>
                <w:sz w:val="21"/>
              </w:rPr>
              <w:t>1.49</w:t>
            </w:r>
          </w:p>
        </w:tc>
        <w:tc>
          <w:tcPr>
            <w:tcW w:w="2507" w:type="dxa"/>
            <w:tcBorders>
              <w:top w:val="single" w:color="000000" w:sz="4" w:space="0"/>
              <w:left w:val="single" w:color="000000" w:sz="4" w:space="0"/>
              <w:bottom w:val="single" w:color="000000" w:sz="4" w:space="0"/>
            </w:tcBorders>
          </w:tcPr>
          <w:p>
            <w:pPr>
              <w:pStyle w:val="19"/>
              <w:spacing w:before="54"/>
              <w:ind w:left="558" w:right="532"/>
              <w:rPr>
                <w:rFonts w:ascii="Times New Roman"/>
                <w:sz w:val="21"/>
              </w:rPr>
            </w:pPr>
            <w:r>
              <w:rPr>
                <w:rFonts w:ascii="Times New Roman"/>
                <w:sz w:val="21"/>
              </w:rPr>
              <w:t>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3" w:type="dxa"/>
            <w:tcBorders>
              <w:top w:val="single" w:color="000000" w:sz="4" w:space="0"/>
              <w:bottom w:val="single" w:color="000000" w:sz="4" w:space="0"/>
              <w:right w:val="single" w:color="000000" w:sz="4" w:space="0"/>
            </w:tcBorders>
          </w:tcPr>
          <w:p>
            <w:pPr>
              <w:pStyle w:val="19"/>
              <w:spacing w:before="52"/>
              <w:ind w:left="854" w:right="839"/>
              <w:rPr>
                <w:rFonts w:ascii="Times New Roman"/>
                <w:sz w:val="21"/>
              </w:rPr>
            </w:pPr>
            <w:r>
              <w:rPr>
                <w:rFonts w:ascii="Times New Roman"/>
                <w:sz w:val="21"/>
              </w:rPr>
              <w:t>25.0</w:t>
            </w:r>
          </w:p>
        </w:tc>
        <w:tc>
          <w:tcPr>
            <w:tcW w:w="2505" w:type="dxa"/>
            <w:tcBorders>
              <w:top w:val="single" w:color="000000" w:sz="4" w:space="0"/>
              <w:left w:val="single" w:color="000000" w:sz="4" w:space="0"/>
              <w:bottom w:val="single" w:color="000000" w:sz="4" w:space="0"/>
              <w:right w:val="single" w:color="000000" w:sz="4" w:space="0"/>
            </w:tcBorders>
          </w:tcPr>
          <w:p>
            <w:pPr>
              <w:pStyle w:val="19"/>
              <w:spacing w:before="52"/>
              <w:ind w:left="499" w:right="477"/>
              <w:rPr>
                <w:rFonts w:ascii="Times New Roman"/>
                <w:sz w:val="21"/>
              </w:rPr>
            </w:pPr>
            <w:r>
              <w:rPr>
                <w:rFonts w:ascii="Times New Roman"/>
                <w:sz w:val="21"/>
              </w:rPr>
              <w:t>1.75</w:t>
            </w:r>
          </w:p>
        </w:tc>
        <w:tc>
          <w:tcPr>
            <w:tcW w:w="2507" w:type="dxa"/>
            <w:tcBorders>
              <w:top w:val="single" w:color="000000" w:sz="4" w:space="0"/>
              <w:left w:val="single" w:color="000000" w:sz="4" w:space="0"/>
              <w:bottom w:val="single" w:color="000000" w:sz="4" w:space="0"/>
            </w:tcBorders>
          </w:tcPr>
          <w:p>
            <w:pPr>
              <w:pStyle w:val="19"/>
              <w:spacing w:before="52"/>
              <w:ind w:left="558" w:right="532"/>
              <w:rPr>
                <w:rFonts w:ascii="Times New Roman"/>
                <w:sz w:val="21"/>
              </w:rPr>
            </w:pPr>
            <w:r>
              <w:rPr>
                <w:rFonts w:ascii="Times New Roman"/>
                <w:sz w:val="21"/>
              </w:rPr>
              <w:t>0.19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3" w:type="dxa"/>
            <w:tcBorders>
              <w:top w:val="single" w:color="000000" w:sz="4" w:space="0"/>
              <w:bottom w:val="single" w:color="000000" w:sz="4" w:space="0"/>
              <w:right w:val="single" w:color="000000" w:sz="4" w:space="0"/>
            </w:tcBorders>
          </w:tcPr>
          <w:p>
            <w:pPr>
              <w:pStyle w:val="19"/>
              <w:spacing w:before="53"/>
              <w:ind w:left="854" w:right="839"/>
              <w:rPr>
                <w:rFonts w:ascii="Times New Roman"/>
                <w:sz w:val="21"/>
              </w:rPr>
            </w:pPr>
            <w:r>
              <w:rPr>
                <w:rFonts w:ascii="Times New Roman"/>
                <w:sz w:val="21"/>
              </w:rPr>
              <w:t>50.0</w:t>
            </w:r>
          </w:p>
        </w:tc>
        <w:tc>
          <w:tcPr>
            <w:tcW w:w="2505" w:type="dxa"/>
            <w:tcBorders>
              <w:top w:val="single" w:color="000000" w:sz="4" w:space="0"/>
              <w:left w:val="single" w:color="000000" w:sz="4" w:space="0"/>
              <w:bottom w:val="single" w:color="000000" w:sz="4" w:space="0"/>
              <w:right w:val="single" w:color="000000" w:sz="4" w:space="0"/>
            </w:tcBorders>
          </w:tcPr>
          <w:p>
            <w:pPr>
              <w:pStyle w:val="19"/>
              <w:spacing w:before="53"/>
              <w:ind w:left="499" w:right="477"/>
              <w:rPr>
                <w:rFonts w:ascii="Times New Roman"/>
                <w:sz w:val="21"/>
              </w:rPr>
            </w:pPr>
            <w:r>
              <w:rPr>
                <w:rFonts w:ascii="Times New Roman"/>
                <w:sz w:val="21"/>
              </w:rPr>
              <w:t>2.10</w:t>
            </w:r>
          </w:p>
        </w:tc>
        <w:tc>
          <w:tcPr>
            <w:tcW w:w="2507" w:type="dxa"/>
            <w:tcBorders>
              <w:top w:val="single" w:color="000000" w:sz="4" w:space="0"/>
              <w:left w:val="single" w:color="000000" w:sz="4" w:space="0"/>
              <w:bottom w:val="single" w:color="000000" w:sz="4" w:space="0"/>
            </w:tcBorders>
          </w:tcPr>
          <w:p>
            <w:pPr>
              <w:pStyle w:val="19"/>
              <w:spacing w:before="53"/>
              <w:ind w:left="558" w:right="532"/>
              <w:rPr>
                <w:rFonts w:ascii="Times New Roman"/>
                <w:sz w:val="21"/>
              </w:rPr>
            </w:pPr>
            <w:r>
              <w:rPr>
                <w:rFonts w:ascii="Times New Roman"/>
                <w:sz w:val="21"/>
              </w:rPr>
              <w:t>0.23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3" w:type="dxa"/>
            <w:tcBorders>
              <w:top w:val="single" w:color="000000" w:sz="4" w:space="0"/>
              <w:bottom w:val="single" w:color="000000" w:sz="4" w:space="0"/>
              <w:right w:val="single" w:color="000000" w:sz="4" w:space="0"/>
            </w:tcBorders>
          </w:tcPr>
          <w:p>
            <w:pPr>
              <w:pStyle w:val="19"/>
              <w:spacing w:before="52"/>
              <w:ind w:left="854" w:right="839"/>
              <w:rPr>
                <w:rFonts w:ascii="Times New Roman"/>
                <w:sz w:val="21"/>
              </w:rPr>
            </w:pPr>
            <w:r>
              <w:rPr>
                <w:rFonts w:ascii="Times New Roman"/>
                <w:sz w:val="21"/>
              </w:rPr>
              <w:t>61.0</w:t>
            </w:r>
          </w:p>
        </w:tc>
        <w:tc>
          <w:tcPr>
            <w:tcW w:w="2505" w:type="dxa"/>
            <w:tcBorders>
              <w:top w:val="single" w:color="000000" w:sz="4" w:space="0"/>
              <w:left w:val="single" w:color="000000" w:sz="4" w:space="0"/>
              <w:bottom w:val="single" w:color="000000" w:sz="4" w:space="0"/>
              <w:right w:val="single" w:color="000000" w:sz="4" w:space="0"/>
            </w:tcBorders>
          </w:tcPr>
          <w:p>
            <w:pPr>
              <w:pStyle w:val="19"/>
              <w:spacing w:before="52"/>
              <w:ind w:left="499" w:right="477"/>
              <w:rPr>
                <w:rFonts w:ascii="Times New Roman"/>
                <w:sz w:val="21"/>
              </w:rPr>
            </w:pPr>
            <w:r>
              <w:rPr>
                <w:rFonts w:ascii="Times New Roman"/>
                <w:sz w:val="21"/>
              </w:rPr>
              <w:t>2.22</w:t>
            </w:r>
          </w:p>
        </w:tc>
        <w:tc>
          <w:tcPr>
            <w:tcW w:w="2507" w:type="dxa"/>
            <w:tcBorders>
              <w:top w:val="single" w:color="000000" w:sz="4" w:space="0"/>
              <w:left w:val="single" w:color="000000" w:sz="4" w:space="0"/>
              <w:bottom w:val="single" w:color="000000" w:sz="4" w:space="0"/>
            </w:tcBorders>
          </w:tcPr>
          <w:p>
            <w:pPr>
              <w:pStyle w:val="19"/>
              <w:spacing w:before="52"/>
              <w:ind w:left="558" w:right="532"/>
              <w:rPr>
                <w:rFonts w:ascii="Times New Roman"/>
                <w:sz w:val="21"/>
              </w:rPr>
            </w:pPr>
            <w:r>
              <w:rPr>
                <w:rFonts w:ascii="Times New Roman"/>
                <w:sz w:val="21"/>
              </w:rPr>
              <w:t>0.25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3" w:type="dxa"/>
            <w:tcBorders>
              <w:top w:val="single" w:color="000000" w:sz="4" w:space="0"/>
              <w:bottom w:val="single" w:color="000000" w:sz="4" w:space="0"/>
              <w:right w:val="single" w:color="000000" w:sz="4" w:space="0"/>
            </w:tcBorders>
          </w:tcPr>
          <w:p>
            <w:pPr>
              <w:pStyle w:val="19"/>
              <w:spacing w:before="53"/>
              <w:ind w:left="854" w:right="839"/>
              <w:rPr>
                <w:rFonts w:ascii="Times New Roman"/>
                <w:sz w:val="21"/>
              </w:rPr>
            </w:pPr>
            <w:r>
              <w:rPr>
                <w:rFonts w:ascii="Times New Roman"/>
                <w:sz w:val="21"/>
              </w:rPr>
              <w:t>75.0</w:t>
            </w:r>
          </w:p>
        </w:tc>
        <w:tc>
          <w:tcPr>
            <w:tcW w:w="2505" w:type="dxa"/>
            <w:tcBorders>
              <w:top w:val="single" w:color="000000" w:sz="4" w:space="0"/>
              <w:left w:val="single" w:color="000000" w:sz="4" w:space="0"/>
              <w:bottom w:val="single" w:color="000000" w:sz="4" w:space="0"/>
              <w:right w:val="single" w:color="000000" w:sz="4" w:space="0"/>
            </w:tcBorders>
          </w:tcPr>
          <w:p>
            <w:pPr>
              <w:pStyle w:val="19"/>
              <w:spacing w:before="53"/>
              <w:ind w:left="499" w:right="477"/>
              <w:rPr>
                <w:rFonts w:ascii="Times New Roman"/>
                <w:sz w:val="21"/>
              </w:rPr>
            </w:pPr>
            <w:r>
              <w:rPr>
                <w:rFonts w:ascii="Times New Roman"/>
                <w:sz w:val="21"/>
              </w:rPr>
              <w:t>2.17</w:t>
            </w:r>
          </w:p>
        </w:tc>
        <w:tc>
          <w:tcPr>
            <w:tcW w:w="2507" w:type="dxa"/>
            <w:tcBorders>
              <w:top w:val="single" w:color="000000" w:sz="4" w:space="0"/>
              <w:left w:val="single" w:color="000000" w:sz="4" w:space="0"/>
              <w:bottom w:val="single" w:color="000000" w:sz="4" w:space="0"/>
            </w:tcBorders>
          </w:tcPr>
          <w:p>
            <w:pPr>
              <w:pStyle w:val="19"/>
              <w:spacing w:before="53"/>
              <w:ind w:left="558" w:right="532"/>
              <w:rPr>
                <w:rFonts w:ascii="Times New Roman"/>
                <w:sz w:val="21"/>
              </w:rPr>
            </w:pPr>
            <w:r>
              <w:rPr>
                <w:rFonts w:ascii="Times New Roman"/>
                <w:sz w:val="21"/>
              </w:rPr>
              <w:t>0.24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273" w:type="dxa"/>
            <w:tcBorders>
              <w:top w:val="single" w:color="000000" w:sz="4" w:space="0"/>
              <w:bottom w:val="single" w:color="000000" w:sz="4" w:space="0"/>
              <w:right w:val="single" w:color="000000" w:sz="4" w:space="0"/>
            </w:tcBorders>
          </w:tcPr>
          <w:p>
            <w:pPr>
              <w:pStyle w:val="19"/>
              <w:spacing w:before="54"/>
              <w:ind w:left="854" w:right="842"/>
              <w:rPr>
                <w:rFonts w:ascii="Times New Roman"/>
                <w:sz w:val="21"/>
              </w:rPr>
            </w:pPr>
            <w:r>
              <w:rPr>
                <w:rFonts w:ascii="Times New Roman"/>
                <w:sz w:val="21"/>
              </w:rPr>
              <w:t>100.0</w:t>
            </w:r>
          </w:p>
        </w:tc>
        <w:tc>
          <w:tcPr>
            <w:tcW w:w="2505" w:type="dxa"/>
            <w:tcBorders>
              <w:top w:val="single" w:color="000000" w:sz="4" w:space="0"/>
              <w:left w:val="single" w:color="000000" w:sz="4" w:space="0"/>
              <w:bottom w:val="single" w:color="000000" w:sz="4" w:space="0"/>
              <w:right w:val="single" w:color="000000" w:sz="4" w:space="0"/>
            </w:tcBorders>
          </w:tcPr>
          <w:p>
            <w:pPr>
              <w:pStyle w:val="19"/>
              <w:spacing w:before="54"/>
              <w:ind w:left="499" w:right="477"/>
              <w:rPr>
                <w:rFonts w:ascii="Times New Roman"/>
                <w:sz w:val="21"/>
              </w:rPr>
            </w:pPr>
            <w:r>
              <w:rPr>
                <w:rFonts w:ascii="Times New Roman"/>
                <w:sz w:val="21"/>
              </w:rPr>
              <w:t>1.81</w:t>
            </w:r>
          </w:p>
        </w:tc>
        <w:tc>
          <w:tcPr>
            <w:tcW w:w="2507" w:type="dxa"/>
            <w:tcBorders>
              <w:top w:val="single" w:color="000000" w:sz="4" w:space="0"/>
              <w:left w:val="single" w:color="000000" w:sz="4" w:space="0"/>
              <w:bottom w:val="single" w:color="000000" w:sz="4" w:space="0"/>
            </w:tcBorders>
          </w:tcPr>
          <w:p>
            <w:pPr>
              <w:pStyle w:val="19"/>
              <w:spacing w:before="54"/>
              <w:ind w:left="558" w:right="532"/>
              <w:rPr>
                <w:rFonts w:ascii="Times New Roman"/>
                <w:sz w:val="21"/>
              </w:rPr>
            </w:pPr>
            <w:r>
              <w:rPr>
                <w:rFonts w:ascii="Times New Roman"/>
                <w:sz w:val="21"/>
              </w:rPr>
              <w:t>0.20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3" w:type="dxa"/>
            <w:tcBorders>
              <w:top w:val="single" w:color="000000" w:sz="4" w:space="0"/>
              <w:bottom w:val="single" w:color="000000" w:sz="4" w:space="0"/>
              <w:right w:val="single" w:color="000000" w:sz="4" w:space="0"/>
            </w:tcBorders>
          </w:tcPr>
          <w:p>
            <w:pPr>
              <w:pStyle w:val="19"/>
              <w:spacing w:before="52"/>
              <w:ind w:left="854" w:right="841"/>
              <w:rPr>
                <w:rFonts w:ascii="Times New Roman"/>
                <w:sz w:val="21"/>
              </w:rPr>
            </w:pPr>
            <w:r>
              <w:rPr>
                <w:rFonts w:ascii="Times New Roman"/>
                <w:sz w:val="21"/>
              </w:rPr>
              <w:t>...</w:t>
            </w:r>
          </w:p>
        </w:tc>
        <w:tc>
          <w:tcPr>
            <w:tcW w:w="2505" w:type="dxa"/>
            <w:tcBorders>
              <w:top w:val="single" w:color="000000" w:sz="4" w:space="0"/>
              <w:left w:val="single" w:color="000000" w:sz="4" w:space="0"/>
              <w:bottom w:val="single" w:color="000000" w:sz="4" w:space="0"/>
              <w:right w:val="single" w:color="000000" w:sz="4" w:space="0"/>
            </w:tcBorders>
          </w:tcPr>
          <w:p>
            <w:pPr>
              <w:pStyle w:val="19"/>
              <w:spacing w:before="52"/>
              <w:ind w:left="495" w:right="477"/>
              <w:rPr>
                <w:rFonts w:ascii="Times New Roman"/>
                <w:sz w:val="21"/>
              </w:rPr>
            </w:pPr>
            <w:r>
              <w:rPr>
                <w:rFonts w:ascii="Times New Roman"/>
                <w:sz w:val="21"/>
              </w:rPr>
              <w:t>...</w:t>
            </w:r>
          </w:p>
        </w:tc>
        <w:tc>
          <w:tcPr>
            <w:tcW w:w="2507" w:type="dxa"/>
            <w:tcBorders>
              <w:top w:val="single" w:color="000000" w:sz="4" w:space="0"/>
              <w:left w:val="single" w:color="000000" w:sz="4" w:space="0"/>
              <w:bottom w:val="single" w:color="000000" w:sz="4" w:space="0"/>
            </w:tcBorders>
          </w:tcPr>
          <w:p>
            <w:pPr>
              <w:pStyle w:val="19"/>
              <w:spacing w:before="52"/>
              <w:ind w:left="559" w:right="532"/>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3" w:type="dxa"/>
            <w:tcBorders>
              <w:top w:val="single" w:color="000000" w:sz="4" w:space="0"/>
              <w:bottom w:val="single" w:color="000000" w:sz="4" w:space="0"/>
              <w:right w:val="single" w:color="000000" w:sz="4" w:space="0"/>
            </w:tcBorders>
          </w:tcPr>
          <w:p>
            <w:pPr>
              <w:pStyle w:val="19"/>
              <w:spacing w:before="53"/>
              <w:ind w:left="854" w:right="839"/>
              <w:rPr>
                <w:rFonts w:ascii="Times New Roman"/>
                <w:sz w:val="21"/>
              </w:rPr>
            </w:pPr>
            <w:r>
              <w:rPr>
                <w:rFonts w:ascii="Times New Roman"/>
                <w:sz w:val="21"/>
              </w:rPr>
              <w:t>24800.0</w:t>
            </w:r>
          </w:p>
        </w:tc>
        <w:tc>
          <w:tcPr>
            <w:tcW w:w="2505" w:type="dxa"/>
            <w:tcBorders>
              <w:top w:val="single" w:color="000000" w:sz="4" w:space="0"/>
              <w:left w:val="single" w:color="000000" w:sz="4" w:space="0"/>
              <w:bottom w:val="single" w:color="000000" w:sz="4" w:space="0"/>
              <w:right w:val="single" w:color="000000" w:sz="4" w:space="0"/>
            </w:tcBorders>
          </w:tcPr>
          <w:p>
            <w:pPr>
              <w:pStyle w:val="19"/>
              <w:spacing w:before="53"/>
              <w:ind w:left="17"/>
              <w:rPr>
                <w:rFonts w:ascii="Times New Roman"/>
                <w:sz w:val="21"/>
              </w:rPr>
            </w:pPr>
            <w:r>
              <w:rPr>
                <w:rFonts w:ascii="Times New Roman"/>
                <w:w w:val="99"/>
                <w:sz w:val="21"/>
              </w:rPr>
              <w:t>0</w:t>
            </w:r>
          </w:p>
        </w:tc>
        <w:tc>
          <w:tcPr>
            <w:tcW w:w="2507" w:type="dxa"/>
            <w:tcBorders>
              <w:top w:val="single" w:color="000000" w:sz="4" w:space="0"/>
              <w:left w:val="single" w:color="000000" w:sz="4" w:space="0"/>
              <w:bottom w:val="single" w:color="000000" w:sz="4" w:space="0"/>
            </w:tcBorders>
          </w:tcPr>
          <w:p>
            <w:pPr>
              <w:pStyle w:val="19"/>
              <w:spacing w:before="53"/>
              <w:ind w:left="21"/>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3" w:type="dxa"/>
            <w:tcBorders>
              <w:top w:val="single" w:color="000000" w:sz="4" w:space="0"/>
              <w:bottom w:val="single" w:color="000000" w:sz="4" w:space="0"/>
              <w:right w:val="single" w:color="000000" w:sz="4" w:space="0"/>
            </w:tcBorders>
          </w:tcPr>
          <w:p>
            <w:pPr>
              <w:pStyle w:val="19"/>
              <w:spacing w:before="52"/>
              <w:ind w:left="854" w:right="839"/>
              <w:rPr>
                <w:rFonts w:ascii="Times New Roman"/>
                <w:sz w:val="21"/>
              </w:rPr>
            </w:pPr>
            <w:r>
              <w:rPr>
                <w:rFonts w:ascii="Times New Roman"/>
                <w:sz w:val="21"/>
              </w:rPr>
              <w:t>25000.0</w:t>
            </w:r>
          </w:p>
        </w:tc>
        <w:tc>
          <w:tcPr>
            <w:tcW w:w="2505" w:type="dxa"/>
            <w:tcBorders>
              <w:top w:val="single" w:color="000000" w:sz="4" w:space="0"/>
              <w:left w:val="single" w:color="000000" w:sz="4" w:space="0"/>
              <w:bottom w:val="single" w:color="000000" w:sz="4" w:space="0"/>
              <w:right w:val="single" w:color="000000" w:sz="4" w:space="0"/>
            </w:tcBorders>
          </w:tcPr>
          <w:p>
            <w:pPr>
              <w:pStyle w:val="19"/>
              <w:spacing w:before="52"/>
              <w:ind w:left="17"/>
              <w:rPr>
                <w:rFonts w:ascii="Times New Roman"/>
                <w:sz w:val="21"/>
              </w:rPr>
            </w:pPr>
            <w:r>
              <w:rPr>
                <w:rFonts w:ascii="Times New Roman"/>
                <w:w w:val="99"/>
                <w:sz w:val="21"/>
              </w:rPr>
              <w:t>0</w:t>
            </w:r>
          </w:p>
        </w:tc>
        <w:tc>
          <w:tcPr>
            <w:tcW w:w="2507" w:type="dxa"/>
            <w:tcBorders>
              <w:top w:val="single" w:color="000000" w:sz="4" w:space="0"/>
              <w:left w:val="single" w:color="000000" w:sz="4" w:space="0"/>
              <w:bottom w:val="single" w:color="000000" w:sz="4" w:space="0"/>
            </w:tcBorders>
          </w:tcPr>
          <w:p>
            <w:pPr>
              <w:pStyle w:val="19"/>
              <w:spacing w:before="52"/>
              <w:ind w:left="21"/>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3" w:type="dxa"/>
            <w:tcBorders>
              <w:top w:val="single" w:color="000000" w:sz="4" w:space="0"/>
              <w:bottom w:val="single" w:color="000000" w:sz="4" w:space="0"/>
              <w:right w:val="single" w:color="000000" w:sz="4" w:space="0"/>
            </w:tcBorders>
          </w:tcPr>
          <w:p>
            <w:pPr>
              <w:pStyle w:val="19"/>
              <w:spacing w:before="37"/>
              <w:ind w:left="854" w:right="843"/>
              <w:rPr>
                <w:sz w:val="21"/>
              </w:rPr>
            </w:pPr>
            <w:r>
              <w:rPr>
                <w:sz w:val="21"/>
              </w:rPr>
              <w:t>下风向最大浓度及其占标率</w:t>
            </w:r>
          </w:p>
        </w:tc>
        <w:tc>
          <w:tcPr>
            <w:tcW w:w="2505" w:type="dxa"/>
            <w:tcBorders>
              <w:top w:val="single" w:color="000000" w:sz="4" w:space="0"/>
              <w:left w:val="single" w:color="000000" w:sz="4" w:space="0"/>
              <w:bottom w:val="single" w:color="000000" w:sz="4" w:space="0"/>
              <w:right w:val="single" w:color="000000" w:sz="4" w:space="0"/>
            </w:tcBorders>
          </w:tcPr>
          <w:p>
            <w:pPr>
              <w:pStyle w:val="19"/>
              <w:spacing w:before="53"/>
              <w:ind w:left="499" w:right="477"/>
              <w:rPr>
                <w:rFonts w:ascii="Times New Roman"/>
                <w:sz w:val="21"/>
              </w:rPr>
            </w:pPr>
            <w:r>
              <w:rPr>
                <w:rFonts w:ascii="Times New Roman"/>
                <w:sz w:val="21"/>
              </w:rPr>
              <w:t>2.22</w:t>
            </w:r>
          </w:p>
        </w:tc>
        <w:tc>
          <w:tcPr>
            <w:tcW w:w="2507" w:type="dxa"/>
            <w:tcBorders>
              <w:top w:val="single" w:color="000000" w:sz="4" w:space="0"/>
              <w:left w:val="single" w:color="000000" w:sz="4" w:space="0"/>
              <w:bottom w:val="single" w:color="000000" w:sz="4" w:space="0"/>
            </w:tcBorders>
          </w:tcPr>
          <w:p>
            <w:pPr>
              <w:pStyle w:val="19"/>
              <w:spacing w:before="53"/>
              <w:ind w:left="558" w:right="532"/>
              <w:rPr>
                <w:rFonts w:ascii="Times New Roman"/>
                <w:sz w:val="21"/>
              </w:rPr>
            </w:pPr>
            <w:r>
              <w:rPr>
                <w:rFonts w:ascii="Times New Roman"/>
                <w:sz w:val="21"/>
              </w:rPr>
              <w:t>0.25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273" w:type="dxa"/>
            <w:tcBorders>
              <w:top w:val="single" w:color="000000" w:sz="4" w:space="0"/>
              <w:bottom w:val="single" w:color="000000" w:sz="4" w:space="0"/>
              <w:right w:val="single" w:color="000000" w:sz="4" w:space="0"/>
            </w:tcBorders>
          </w:tcPr>
          <w:p>
            <w:pPr>
              <w:pStyle w:val="19"/>
              <w:spacing w:before="35"/>
              <w:ind w:left="854" w:right="840"/>
              <w:rPr>
                <w:sz w:val="21"/>
              </w:rPr>
            </w:pPr>
            <w:r>
              <w:rPr>
                <w:sz w:val="21"/>
              </w:rPr>
              <w:t>下风向最大浓度出现距离</w:t>
            </w:r>
          </w:p>
        </w:tc>
        <w:tc>
          <w:tcPr>
            <w:tcW w:w="2505" w:type="dxa"/>
            <w:tcBorders>
              <w:top w:val="single" w:color="000000" w:sz="4" w:space="0"/>
              <w:left w:val="single" w:color="000000" w:sz="4" w:space="0"/>
              <w:bottom w:val="single" w:color="000000" w:sz="4" w:space="0"/>
              <w:right w:val="single" w:color="000000" w:sz="4" w:space="0"/>
            </w:tcBorders>
          </w:tcPr>
          <w:p>
            <w:pPr>
              <w:pStyle w:val="19"/>
              <w:spacing w:before="52"/>
              <w:ind w:left="494" w:right="477"/>
              <w:rPr>
                <w:rFonts w:ascii="Times New Roman"/>
                <w:sz w:val="21"/>
              </w:rPr>
            </w:pPr>
            <w:r>
              <w:rPr>
                <w:rFonts w:ascii="Times New Roman"/>
                <w:sz w:val="21"/>
              </w:rPr>
              <w:t>61</w:t>
            </w:r>
          </w:p>
        </w:tc>
        <w:tc>
          <w:tcPr>
            <w:tcW w:w="2507" w:type="dxa"/>
            <w:tcBorders>
              <w:top w:val="single" w:color="000000" w:sz="4" w:space="0"/>
              <w:left w:val="single" w:color="000000" w:sz="4" w:space="0"/>
              <w:bottom w:val="single" w:color="000000" w:sz="4" w:space="0"/>
            </w:tcBorders>
          </w:tcPr>
          <w:p>
            <w:pPr>
              <w:pStyle w:val="19"/>
              <w:spacing w:before="52"/>
              <w:ind w:left="553" w:right="532"/>
              <w:rPr>
                <w:rFonts w:ascii="Times New Roman"/>
                <w:sz w:val="21"/>
              </w:rPr>
            </w:pPr>
            <w:r>
              <w:rPr>
                <w:rFonts w:ascii="Times New Roman"/>
                <w:sz w:val="21"/>
              </w:rPr>
              <w:t>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273" w:type="dxa"/>
            <w:tcBorders>
              <w:top w:val="single" w:color="000000" w:sz="4" w:space="0"/>
              <w:right w:val="single" w:color="000000" w:sz="4" w:space="0"/>
            </w:tcBorders>
          </w:tcPr>
          <w:p>
            <w:pPr>
              <w:pStyle w:val="19"/>
              <w:spacing w:before="36"/>
              <w:ind w:left="854" w:right="840"/>
              <w:rPr>
                <w:sz w:val="21"/>
              </w:rPr>
            </w:pPr>
            <w:r>
              <w:rPr>
                <w:rFonts w:ascii="Times New Roman" w:eastAsia="Times New Roman"/>
                <w:sz w:val="21"/>
              </w:rPr>
              <w:t>D10%</w:t>
            </w:r>
            <w:r>
              <w:rPr>
                <w:sz w:val="21"/>
              </w:rPr>
              <w:t>最远距离</w:t>
            </w:r>
          </w:p>
        </w:tc>
        <w:tc>
          <w:tcPr>
            <w:tcW w:w="2505" w:type="dxa"/>
            <w:tcBorders>
              <w:top w:val="single" w:color="000000" w:sz="4" w:space="0"/>
              <w:left w:val="single" w:color="000000" w:sz="4" w:space="0"/>
              <w:right w:val="single" w:color="000000" w:sz="4" w:space="0"/>
            </w:tcBorders>
          </w:tcPr>
          <w:p>
            <w:pPr>
              <w:pStyle w:val="19"/>
              <w:spacing w:before="53"/>
              <w:ind w:left="19"/>
              <w:rPr>
                <w:rFonts w:ascii="Times New Roman"/>
                <w:sz w:val="21"/>
              </w:rPr>
            </w:pPr>
            <w:r>
              <w:rPr>
                <w:rFonts w:ascii="Times New Roman"/>
                <w:w w:val="99"/>
                <w:sz w:val="21"/>
              </w:rPr>
              <w:t>/</w:t>
            </w:r>
          </w:p>
        </w:tc>
        <w:tc>
          <w:tcPr>
            <w:tcW w:w="2507" w:type="dxa"/>
            <w:tcBorders>
              <w:top w:val="single" w:color="000000" w:sz="4" w:space="0"/>
              <w:left w:val="single" w:color="000000" w:sz="4" w:space="0"/>
            </w:tcBorders>
          </w:tcPr>
          <w:p>
            <w:pPr>
              <w:pStyle w:val="19"/>
              <w:spacing w:before="53"/>
              <w:ind w:left="23"/>
              <w:rPr>
                <w:rFonts w:ascii="Times New Roman"/>
                <w:sz w:val="21"/>
              </w:rPr>
            </w:pPr>
            <w:r>
              <w:rPr>
                <w:rFonts w:ascii="Times New Roman"/>
                <w:w w:val="99"/>
                <w:sz w:val="21"/>
              </w:rPr>
              <w:t>/</w:t>
            </w:r>
          </w:p>
        </w:tc>
      </w:tr>
    </w:tbl>
    <w:p>
      <w:pPr>
        <w:spacing w:before="2"/>
        <w:ind w:left="12" w:right="0" w:firstLine="0"/>
        <w:jc w:val="center"/>
        <w:rPr>
          <w:rFonts w:ascii="Times New Roman" w:eastAsia="Times New Roman"/>
          <w:b/>
          <w:sz w:val="21"/>
        </w:rPr>
      </w:pPr>
      <w:r>
        <w:rPr>
          <w:b/>
          <w:sz w:val="21"/>
        </w:rPr>
        <w:t xml:space="preserve">表 </w:t>
      </w:r>
      <w:r>
        <w:rPr>
          <w:rFonts w:ascii="Times New Roman" w:eastAsia="Times New Roman"/>
          <w:b/>
          <w:sz w:val="21"/>
        </w:rPr>
        <w:t xml:space="preserve">7.3-9  </w:t>
      </w:r>
      <w:r>
        <w:rPr>
          <w:b/>
          <w:sz w:val="21"/>
        </w:rPr>
        <w:t>主要污染源估算模型计算结果</w:t>
      </w:r>
      <w:r>
        <w:rPr>
          <w:rFonts w:ascii="Times New Roman" w:eastAsia="Times New Roman"/>
          <w:b/>
          <w:sz w:val="21"/>
        </w:rPr>
        <w:t>(3)</w:t>
      </w:r>
    </w:p>
    <w:p>
      <w:pPr>
        <w:pStyle w:val="9"/>
        <w:rPr>
          <w:rFonts w:ascii="Times New Roman"/>
          <w:b/>
          <w:sz w:val="12"/>
        </w:rPr>
      </w:pP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26"/>
        <w:gridCol w:w="1326"/>
        <w:gridCol w:w="1326"/>
        <w:gridCol w:w="1326"/>
        <w:gridCol w:w="1326"/>
        <w:gridCol w:w="1326"/>
        <w:gridCol w:w="132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vMerge w:val="restart"/>
            <w:tcBorders>
              <w:bottom w:val="single" w:color="000000" w:sz="4" w:space="0"/>
              <w:right w:val="single" w:color="000000" w:sz="4" w:space="0"/>
            </w:tcBorders>
          </w:tcPr>
          <w:p>
            <w:pPr>
              <w:pStyle w:val="19"/>
              <w:spacing w:before="1"/>
              <w:jc w:val="left"/>
              <w:rPr>
                <w:rFonts w:ascii="Times New Roman"/>
                <w:b/>
                <w:sz w:val="28"/>
              </w:rPr>
            </w:pPr>
          </w:p>
          <w:p>
            <w:pPr>
              <w:pStyle w:val="19"/>
              <w:ind w:left="136"/>
              <w:jc w:val="left"/>
              <w:rPr>
                <w:sz w:val="21"/>
              </w:rPr>
            </w:pPr>
            <w:r>
              <w:rPr>
                <w:sz w:val="21"/>
              </w:rPr>
              <w:t>下风向距离</w:t>
            </w:r>
          </w:p>
        </w:tc>
        <w:tc>
          <w:tcPr>
            <w:tcW w:w="7958" w:type="dxa"/>
            <w:gridSpan w:val="6"/>
            <w:tcBorders>
              <w:left w:val="single" w:color="000000" w:sz="4" w:space="0"/>
              <w:bottom w:val="single" w:color="000000" w:sz="4" w:space="0"/>
            </w:tcBorders>
          </w:tcPr>
          <w:p>
            <w:pPr>
              <w:pStyle w:val="19"/>
              <w:spacing w:before="62"/>
              <w:ind w:left="2913" w:right="2890"/>
              <w:rPr>
                <w:sz w:val="21"/>
              </w:rPr>
            </w:pPr>
            <w:r>
              <w:rPr>
                <w:sz w:val="21"/>
              </w:rPr>
              <w:t>主井工业广场暖风炉房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326" w:type="dxa"/>
            <w:vMerge w:val="continue"/>
            <w:tcBorders>
              <w:top w:val="nil"/>
              <w:bottom w:val="single" w:color="000000" w:sz="4" w:space="0"/>
              <w:right w:val="single" w:color="000000" w:sz="4" w:space="0"/>
            </w:tcBorders>
          </w:tcPr>
          <w:p>
            <w:pPr>
              <w:rPr>
                <w:sz w:val="2"/>
                <w:szCs w:val="2"/>
              </w:rPr>
            </w:pPr>
          </w:p>
        </w:tc>
        <w:tc>
          <w:tcPr>
            <w:tcW w:w="1326" w:type="dxa"/>
            <w:tcBorders>
              <w:top w:val="single" w:color="000000" w:sz="4" w:space="0"/>
              <w:left w:val="single" w:color="000000" w:sz="4" w:space="0"/>
              <w:bottom w:val="single" w:color="000000" w:sz="4" w:space="0"/>
              <w:right w:val="single" w:color="000000" w:sz="4" w:space="0"/>
            </w:tcBorders>
          </w:tcPr>
          <w:p>
            <w:pPr>
              <w:pStyle w:val="19"/>
              <w:spacing w:line="272" w:lineRule="exact"/>
              <w:ind w:left="85" w:right="67"/>
              <w:rPr>
                <w:sz w:val="21"/>
              </w:rPr>
            </w:pPr>
            <w:r>
              <w:rPr>
                <w:rFonts w:ascii="Times New Roman" w:eastAsia="Times New Roman"/>
                <w:position w:val="2"/>
                <w:sz w:val="21"/>
              </w:rPr>
              <w:t>PM</w:t>
            </w:r>
            <w:r>
              <w:rPr>
                <w:rFonts w:ascii="Times New Roman" w:eastAsia="Times New Roman"/>
                <w:position w:val="2"/>
                <w:sz w:val="21"/>
                <w:vertAlign w:val="subscript"/>
              </w:rPr>
              <w:t>10</w:t>
            </w:r>
            <w:r>
              <w:rPr>
                <w:rFonts w:ascii="Times New Roman" w:eastAsia="Times New Roman"/>
                <w:position w:val="2"/>
                <w:sz w:val="21"/>
                <w:vertAlign w:val="baseline"/>
              </w:rPr>
              <w:t xml:space="preserve"> </w:t>
            </w:r>
            <w:r>
              <w:rPr>
                <w:position w:val="2"/>
                <w:sz w:val="21"/>
                <w:vertAlign w:val="baseline"/>
              </w:rPr>
              <w:t>浓度</w:t>
            </w:r>
          </w:p>
          <w:p>
            <w:pPr>
              <w:pStyle w:val="19"/>
              <w:spacing w:line="221" w:lineRule="exact"/>
              <w:ind w:left="85" w:right="62"/>
              <w:rPr>
                <w:rFonts w:ascii="Times New Roman" w:hAnsi="Times New Roman"/>
                <w:sz w:val="21"/>
              </w:rPr>
            </w:pPr>
            <w:r>
              <w:rPr>
                <w:rFonts w:ascii="Times New Roman" w:hAnsi="Times New Roman"/>
                <w:sz w:val="21"/>
              </w:rPr>
              <w:t>(μg/m³)</w:t>
            </w:r>
          </w:p>
        </w:tc>
        <w:tc>
          <w:tcPr>
            <w:tcW w:w="1326" w:type="dxa"/>
            <w:tcBorders>
              <w:top w:val="single" w:color="000000" w:sz="4" w:space="0"/>
              <w:left w:val="single" w:color="000000" w:sz="4" w:space="0"/>
              <w:bottom w:val="single" w:color="000000" w:sz="4" w:space="0"/>
              <w:right w:val="single" w:color="000000" w:sz="4" w:space="0"/>
            </w:tcBorders>
          </w:tcPr>
          <w:p>
            <w:pPr>
              <w:pStyle w:val="19"/>
              <w:spacing w:line="272" w:lineRule="exact"/>
              <w:ind w:left="85" w:right="67"/>
              <w:rPr>
                <w:sz w:val="21"/>
              </w:rPr>
            </w:pPr>
            <w:r>
              <w:rPr>
                <w:rFonts w:ascii="Times New Roman" w:eastAsia="Times New Roman"/>
                <w:position w:val="2"/>
                <w:sz w:val="21"/>
              </w:rPr>
              <w:t>PM</w:t>
            </w:r>
            <w:r>
              <w:rPr>
                <w:rFonts w:ascii="Times New Roman" w:eastAsia="Times New Roman"/>
                <w:position w:val="2"/>
                <w:sz w:val="21"/>
                <w:vertAlign w:val="subscript"/>
              </w:rPr>
              <w:t>10</w:t>
            </w:r>
            <w:r>
              <w:rPr>
                <w:rFonts w:ascii="Times New Roman" w:eastAsia="Times New Roman"/>
                <w:position w:val="2"/>
                <w:sz w:val="21"/>
                <w:vertAlign w:val="baseline"/>
              </w:rPr>
              <w:t xml:space="preserve"> </w:t>
            </w:r>
            <w:r>
              <w:rPr>
                <w:position w:val="2"/>
                <w:sz w:val="21"/>
                <w:vertAlign w:val="baseline"/>
              </w:rPr>
              <w:t>占标率</w:t>
            </w:r>
          </w:p>
          <w:p>
            <w:pPr>
              <w:pStyle w:val="19"/>
              <w:spacing w:line="221" w:lineRule="exact"/>
              <w:ind w:left="85" w:right="64"/>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9"/>
              <w:spacing w:line="272" w:lineRule="exact"/>
              <w:ind w:left="272"/>
              <w:jc w:val="left"/>
              <w:rPr>
                <w:sz w:val="21"/>
              </w:rPr>
            </w:pPr>
            <w:r>
              <w:rPr>
                <w:rFonts w:ascii="Times New Roman" w:eastAsia="Times New Roman"/>
                <w:position w:val="2"/>
                <w:sz w:val="21"/>
              </w:rPr>
              <w:t>SO</w:t>
            </w:r>
            <w:r>
              <w:rPr>
                <w:rFonts w:ascii="Times New Roman" w:eastAsia="Times New Roman"/>
                <w:position w:val="2"/>
                <w:sz w:val="21"/>
                <w:vertAlign w:val="subscript"/>
              </w:rPr>
              <w:t>2</w:t>
            </w:r>
            <w:r>
              <w:rPr>
                <w:rFonts w:ascii="Times New Roman" w:eastAsia="Times New Roman"/>
                <w:position w:val="2"/>
                <w:sz w:val="21"/>
                <w:vertAlign w:val="baseline"/>
              </w:rPr>
              <w:t xml:space="preserve"> </w:t>
            </w:r>
            <w:r>
              <w:rPr>
                <w:position w:val="2"/>
                <w:sz w:val="21"/>
                <w:vertAlign w:val="baseline"/>
              </w:rPr>
              <w:t>浓度</w:t>
            </w:r>
          </w:p>
          <w:p>
            <w:pPr>
              <w:pStyle w:val="19"/>
              <w:spacing w:line="221" w:lineRule="exact"/>
              <w:ind w:left="349"/>
              <w:jc w:val="left"/>
              <w:rPr>
                <w:rFonts w:ascii="Times New Roman" w:hAnsi="Times New Roman"/>
                <w:sz w:val="21"/>
              </w:rPr>
            </w:pPr>
            <w:r>
              <w:rPr>
                <w:rFonts w:ascii="Times New Roman" w:hAnsi="Times New Roman"/>
                <w:sz w:val="21"/>
              </w:rPr>
              <w:t>(μg/m³)</w:t>
            </w:r>
          </w:p>
        </w:tc>
        <w:tc>
          <w:tcPr>
            <w:tcW w:w="1326" w:type="dxa"/>
            <w:tcBorders>
              <w:top w:val="single" w:color="000000" w:sz="4" w:space="0"/>
              <w:left w:val="single" w:color="000000" w:sz="4" w:space="0"/>
              <w:bottom w:val="single" w:color="000000" w:sz="4" w:space="0"/>
              <w:right w:val="single" w:color="000000" w:sz="4" w:space="0"/>
            </w:tcBorders>
          </w:tcPr>
          <w:p>
            <w:pPr>
              <w:pStyle w:val="19"/>
              <w:spacing w:line="272" w:lineRule="exact"/>
              <w:ind w:left="85" w:right="67"/>
              <w:rPr>
                <w:sz w:val="21"/>
              </w:rPr>
            </w:pPr>
            <w:r>
              <w:rPr>
                <w:rFonts w:ascii="Times New Roman" w:eastAsia="Times New Roman"/>
                <w:position w:val="2"/>
                <w:sz w:val="21"/>
              </w:rPr>
              <w:t>SO</w:t>
            </w:r>
            <w:r>
              <w:rPr>
                <w:rFonts w:ascii="Times New Roman" w:eastAsia="Times New Roman"/>
                <w:position w:val="2"/>
                <w:sz w:val="21"/>
                <w:vertAlign w:val="subscript"/>
              </w:rPr>
              <w:t>2</w:t>
            </w:r>
            <w:r>
              <w:rPr>
                <w:rFonts w:ascii="Times New Roman" w:eastAsia="Times New Roman"/>
                <w:position w:val="2"/>
                <w:sz w:val="21"/>
                <w:vertAlign w:val="baseline"/>
              </w:rPr>
              <w:t xml:space="preserve"> </w:t>
            </w:r>
            <w:r>
              <w:rPr>
                <w:position w:val="2"/>
                <w:sz w:val="21"/>
                <w:vertAlign w:val="baseline"/>
              </w:rPr>
              <w:t>占标率</w:t>
            </w:r>
          </w:p>
          <w:p>
            <w:pPr>
              <w:pStyle w:val="19"/>
              <w:spacing w:line="221" w:lineRule="exact"/>
              <w:ind w:left="85" w:right="64"/>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9"/>
              <w:spacing w:line="272" w:lineRule="exact"/>
              <w:ind w:left="255"/>
              <w:jc w:val="left"/>
              <w:rPr>
                <w:sz w:val="21"/>
              </w:rPr>
            </w:pPr>
            <w:r>
              <w:rPr>
                <w:rFonts w:ascii="Times New Roman" w:eastAsia="Times New Roman"/>
                <w:color w:val="FF0000"/>
                <w:position w:val="2"/>
                <w:sz w:val="21"/>
              </w:rPr>
              <w:t>NO</w:t>
            </w:r>
            <w:r>
              <w:rPr>
                <w:rFonts w:ascii="Times New Roman" w:eastAsia="Times New Roman"/>
                <w:color w:val="FF0000"/>
                <w:position w:val="2"/>
                <w:sz w:val="21"/>
                <w:vertAlign w:val="subscript"/>
              </w:rPr>
              <w:t>2</w:t>
            </w:r>
            <w:r>
              <w:rPr>
                <w:rFonts w:ascii="Times New Roman" w:eastAsia="Times New Roman"/>
                <w:color w:val="FF0000"/>
                <w:position w:val="2"/>
                <w:sz w:val="21"/>
                <w:vertAlign w:val="baseline"/>
              </w:rPr>
              <w:t xml:space="preserve"> </w:t>
            </w:r>
            <w:r>
              <w:rPr>
                <w:color w:val="FF0000"/>
                <w:position w:val="2"/>
                <w:sz w:val="21"/>
                <w:vertAlign w:val="baseline"/>
              </w:rPr>
              <w:t>浓度</w:t>
            </w:r>
          </w:p>
          <w:p>
            <w:pPr>
              <w:pStyle w:val="19"/>
              <w:spacing w:line="221" w:lineRule="exact"/>
              <w:ind w:left="349"/>
              <w:jc w:val="left"/>
              <w:rPr>
                <w:rFonts w:ascii="Times New Roman" w:hAnsi="Times New Roman"/>
                <w:sz w:val="21"/>
              </w:rPr>
            </w:pPr>
            <w:r>
              <w:rPr>
                <w:rFonts w:ascii="Times New Roman" w:hAnsi="Times New Roman"/>
                <w:color w:val="FF0000"/>
                <w:sz w:val="21"/>
              </w:rPr>
              <w:t>(μg/m³)</w:t>
            </w:r>
          </w:p>
        </w:tc>
        <w:tc>
          <w:tcPr>
            <w:tcW w:w="1328" w:type="dxa"/>
            <w:tcBorders>
              <w:top w:val="single" w:color="000000" w:sz="4" w:space="0"/>
              <w:left w:val="single" w:color="000000" w:sz="4" w:space="0"/>
              <w:bottom w:val="single" w:color="000000" w:sz="4" w:space="0"/>
            </w:tcBorders>
          </w:tcPr>
          <w:p>
            <w:pPr>
              <w:pStyle w:val="19"/>
              <w:spacing w:line="272" w:lineRule="exact"/>
              <w:ind w:left="121" w:right="97"/>
              <w:rPr>
                <w:sz w:val="21"/>
              </w:rPr>
            </w:pPr>
            <w:r>
              <w:rPr>
                <w:rFonts w:ascii="Times New Roman" w:eastAsia="Times New Roman"/>
                <w:color w:val="FF0000"/>
                <w:position w:val="2"/>
                <w:sz w:val="21"/>
              </w:rPr>
              <w:t>NO</w:t>
            </w:r>
            <w:r>
              <w:rPr>
                <w:rFonts w:ascii="Times New Roman" w:eastAsia="Times New Roman"/>
                <w:color w:val="FF0000"/>
                <w:position w:val="2"/>
                <w:sz w:val="21"/>
                <w:vertAlign w:val="subscript"/>
              </w:rPr>
              <w:t>2</w:t>
            </w:r>
            <w:r>
              <w:rPr>
                <w:rFonts w:ascii="Times New Roman" w:eastAsia="Times New Roman"/>
                <w:color w:val="FF0000"/>
                <w:position w:val="2"/>
                <w:sz w:val="21"/>
                <w:vertAlign w:val="baseline"/>
              </w:rPr>
              <w:t xml:space="preserve"> </w:t>
            </w:r>
            <w:r>
              <w:rPr>
                <w:color w:val="FF0000"/>
                <w:position w:val="2"/>
                <w:sz w:val="21"/>
                <w:vertAlign w:val="baseline"/>
              </w:rPr>
              <w:t>占标率</w:t>
            </w:r>
          </w:p>
          <w:p>
            <w:pPr>
              <w:pStyle w:val="19"/>
              <w:spacing w:line="221" w:lineRule="exact"/>
              <w:ind w:left="121" w:right="97"/>
              <w:rPr>
                <w:rFonts w:ascii="Times New Roman"/>
                <w:sz w:val="21"/>
              </w:rPr>
            </w:pPr>
            <w:r>
              <w:rPr>
                <w:rFonts w:ascii="Times New Roman"/>
                <w:color w:val="FF0000"/>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326" w:type="dxa"/>
            <w:tcBorders>
              <w:top w:val="single" w:color="000000" w:sz="4" w:space="0"/>
              <w:bottom w:val="single" w:color="000000" w:sz="4" w:space="0"/>
              <w:right w:val="single" w:color="000000" w:sz="4" w:space="0"/>
            </w:tcBorders>
          </w:tcPr>
          <w:p>
            <w:pPr>
              <w:pStyle w:val="19"/>
              <w:spacing w:before="77"/>
              <w:ind w:left="135" w:right="123"/>
              <w:rPr>
                <w:rFonts w:ascii="Times New Roman"/>
                <w:sz w:val="21"/>
              </w:rPr>
            </w:pPr>
            <w:r>
              <w:rPr>
                <w:rFonts w:ascii="Times New Roman"/>
                <w:sz w:val="21"/>
              </w:rPr>
              <w:t>10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7"/>
              <w:ind w:left="15"/>
              <w:rPr>
                <w:rFonts w:ascii="Times New Roman"/>
                <w:sz w:val="21"/>
              </w:rPr>
            </w:pPr>
            <w:r>
              <w:rPr>
                <w:rFonts w:ascii="Times New Roman"/>
                <w:w w:val="99"/>
                <w:sz w:val="21"/>
              </w:rPr>
              <w:t>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7"/>
              <w:ind w:left="17"/>
              <w:rPr>
                <w:rFonts w:ascii="Times New Roman"/>
                <w:sz w:val="21"/>
              </w:rPr>
            </w:pPr>
            <w:r>
              <w:rPr>
                <w:rFonts w:ascii="Times New Roman"/>
                <w:w w:val="99"/>
                <w:sz w:val="21"/>
              </w:rPr>
              <w:t>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7"/>
              <w:ind w:left="15"/>
              <w:rPr>
                <w:rFonts w:ascii="Times New Roman"/>
                <w:sz w:val="21"/>
              </w:rPr>
            </w:pPr>
            <w:r>
              <w:rPr>
                <w:rFonts w:ascii="Times New Roman"/>
                <w:w w:val="99"/>
                <w:sz w:val="21"/>
              </w:rPr>
              <w:t>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7"/>
              <w:ind w:left="17"/>
              <w:rPr>
                <w:rFonts w:ascii="Times New Roman"/>
                <w:sz w:val="21"/>
              </w:rPr>
            </w:pPr>
            <w:r>
              <w:rPr>
                <w:rFonts w:ascii="Times New Roman"/>
                <w:w w:val="99"/>
                <w:sz w:val="21"/>
              </w:rPr>
              <w:t>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7"/>
              <w:ind w:left="15"/>
              <w:rPr>
                <w:rFonts w:ascii="Times New Roman"/>
                <w:sz w:val="21"/>
              </w:rPr>
            </w:pPr>
            <w:r>
              <w:rPr>
                <w:rFonts w:ascii="Times New Roman"/>
                <w:color w:val="FF0000"/>
                <w:w w:val="99"/>
                <w:sz w:val="21"/>
              </w:rPr>
              <w:t>0</w:t>
            </w:r>
          </w:p>
        </w:tc>
        <w:tc>
          <w:tcPr>
            <w:tcW w:w="1328" w:type="dxa"/>
            <w:tcBorders>
              <w:top w:val="single" w:color="000000" w:sz="4" w:space="0"/>
              <w:left w:val="single" w:color="000000" w:sz="4" w:space="0"/>
              <w:bottom w:val="single" w:color="000000" w:sz="4" w:space="0"/>
            </w:tcBorders>
          </w:tcPr>
          <w:p>
            <w:pPr>
              <w:pStyle w:val="19"/>
              <w:spacing w:before="77"/>
              <w:ind w:left="20"/>
              <w:rPr>
                <w:rFonts w:ascii="Times New Roman"/>
                <w:sz w:val="21"/>
              </w:rPr>
            </w:pPr>
            <w:r>
              <w:rPr>
                <w:rFonts w:ascii="Times New Roman"/>
                <w:color w:val="FF0000"/>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tcBorders>
              <w:top w:val="single" w:color="000000" w:sz="4" w:space="0"/>
              <w:bottom w:val="single" w:color="000000" w:sz="4" w:space="0"/>
              <w:right w:val="single" w:color="000000" w:sz="4" w:space="0"/>
            </w:tcBorders>
          </w:tcPr>
          <w:p>
            <w:pPr>
              <w:pStyle w:val="19"/>
              <w:spacing w:before="78"/>
              <w:ind w:left="135" w:right="123"/>
              <w:rPr>
                <w:rFonts w:ascii="Times New Roman"/>
                <w:sz w:val="21"/>
              </w:rPr>
            </w:pPr>
            <w:r>
              <w:rPr>
                <w:rFonts w:ascii="Times New Roman"/>
                <w:sz w:val="21"/>
              </w:rPr>
              <w:t>25</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8"/>
              <w:ind w:right="461"/>
              <w:jc w:val="right"/>
              <w:rPr>
                <w:rFonts w:ascii="Times New Roman"/>
                <w:sz w:val="21"/>
              </w:rPr>
            </w:pPr>
            <w:r>
              <w:rPr>
                <w:rFonts w:ascii="Times New Roman"/>
                <w:sz w:val="21"/>
              </w:rPr>
              <w:t>0.06</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8"/>
              <w:ind w:left="84" w:right="67"/>
              <w:rPr>
                <w:rFonts w:ascii="Times New Roman"/>
                <w:sz w:val="21"/>
              </w:rPr>
            </w:pPr>
            <w:r>
              <w:rPr>
                <w:rFonts w:ascii="Times New Roman"/>
                <w:sz w:val="21"/>
              </w:rPr>
              <w:t>0.01</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8"/>
              <w:ind w:left="85" w:right="65"/>
              <w:rPr>
                <w:rFonts w:ascii="Times New Roman"/>
                <w:sz w:val="21"/>
              </w:rPr>
            </w:pPr>
            <w:r>
              <w:rPr>
                <w:rFonts w:ascii="Times New Roman"/>
                <w:sz w:val="21"/>
              </w:rPr>
              <w:t>0.12</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8"/>
              <w:ind w:left="84" w:right="67"/>
              <w:rPr>
                <w:rFonts w:ascii="Times New Roman"/>
                <w:sz w:val="21"/>
              </w:rPr>
            </w:pPr>
            <w:r>
              <w:rPr>
                <w:rFonts w:ascii="Times New Roman"/>
                <w:sz w:val="21"/>
              </w:rPr>
              <w:t>0.02</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8"/>
              <w:ind w:left="85" w:right="65"/>
              <w:rPr>
                <w:rFonts w:ascii="Times New Roman"/>
                <w:sz w:val="21"/>
              </w:rPr>
            </w:pPr>
            <w:r>
              <w:rPr>
                <w:rFonts w:ascii="Times New Roman"/>
                <w:color w:val="FF0000"/>
                <w:sz w:val="21"/>
              </w:rPr>
              <w:t>0.96</w:t>
            </w:r>
          </w:p>
        </w:tc>
        <w:tc>
          <w:tcPr>
            <w:tcW w:w="1328" w:type="dxa"/>
            <w:tcBorders>
              <w:top w:val="single" w:color="000000" w:sz="4" w:space="0"/>
              <w:left w:val="single" w:color="000000" w:sz="4" w:space="0"/>
              <w:bottom w:val="single" w:color="000000" w:sz="4" w:space="0"/>
            </w:tcBorders>
          </w:tcPr>
          <w:p>
            <w:pPr>
              <w:pStyle w:val="19"/>
              <w:spacing w:before="78"/>
              <w:ind w:left="121" w:right="96"/>
              <w:rPr>
                <w:rFonts w:ascii="Times New Roman"/>
                <w:sz w:val="21"/>
              </w:rPr>
            </w:pPr>
            <w:r>
              <w:rPr>
                <w:rFonts w:ascii="Times New Roman"/>
                <w:color w:val="FF0000"/>
                <w:sz w:val="21"/>
              </w:rPr>
              <w:t>0.48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tcBorders>
              <w:top w:val="single" w:color="000000" w:sz="4" w:space="0"/>
              <w:bottom w:val="single" w:color="000000" w:sz="4" w:space="0"/>
              <w:right w:val="single" w:color="000000" w:sz="4" w:space="0"/>
            </w:tcBorders>
          </w:tcPr>
          <w:p>
            <w:pPr>
              <w:pStyle w:val="19"/>
              <w:spacing w:before="76"/>
              <w:ind w:left="135" w:right="123"/>
              <w:rPr>
                <w:rFonts w:ascii="Times New Roman"/>
                <w:sz w:val="21"/>
              </w:rPr>
            </w:pPr>
            <w:r>
              <w:rPr>
                <w:rFonts w:ascii="Times New Roman"/>
                <w:sz w:val="21"/>
              </w:rPr>
              <w:t>50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6"/>
              <w:ind w:right="461"/>
              <w:jc w:val="right"/>
              <w:rPr>
                <w:rFonts w:ascii="Times New Roman"/>
                <w:sz w:val="21"/>
              </w:rPr>
            </w:pPr>
            <w:r>
              <w:rPr>
                <w:rFonts w:ascii="Times New Roman"/>
                <w:sz w:val="21"/>
              </w:rPr>
              <w:t>0.08</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6"/>
              <w:ind w:left="84" w:right="67"/>
              <w:rPr>
                <w:rFonts w:ascii="Times New Roman"/>
                <w:sz w:val="21"/>
              </w:rPr>
            </w:pPr>
            <w:r>
              <w:rPr>
                <w:rFonts w:ascii="Times New Roman"/>
                <w:sz w:val="21"/>
              </w:rPr>
              <w:t>0.02</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6"/>
              <w:ind w:left="85" w:right="65"/>
              <w:rPr>
                <w:rFonts w:ascii="Times New Roman"/>
                <w:sz w:val="21"/>
              </w:rPr>
            </w:pPr>
            <w:r>
              <w:rPr>
                <w:rFonts w:ascii="Times New Roman"/>
                <w:sz w:val="21"/>
              </w:rPr>
              <w:t>0.17</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6"/>
              <w:ind w:left="84" w:right="67"/>
              <w:rPr>
                <w:rFonts w:ascii="Times New Roman"/>
                <w:sz w:val="21"/>
              </w:rPr>
            </w:pPr>
            <w:r>
              <w:rPr>
                <w:rFonts w:ascii="Times New Roman"/>
                <w:sz w:val="21"/>
              </w:rPr>
              <w:t>0.03</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6"/>
              <w:ind w:left="85" w:right="65"/>
              <w:rPr>
                <w:rFonts w:ascii="Times New Roman"/>
                <w:sz w:val="21"/>
              </w:rPr>
            </w:pPr>
            <w:r>
              <w:rPr>
                <w:rFonts w:ascii="Times New Roman"/>
                <w:color w:val="FF0000"/>
                <w:sz w:val="21"/>
              </w:rPr>
              <w:t>1.32</w:t>
            </w:r>
          </w:p>
        </w:tc>
        <w:tc>
          <w:tcPr>
            <w:tcW w:w="1328" w:type="dxa"/>
            <w:tcBorders>
              <w:top w:val="single" w:color="000000" w:sz="4" w:space="0"/>
              <w:left w:val="single" w:color="000000" w:sz="4" w:space="0"/>
              <w:bottom w:val="single" w:color="000000" w:sz="4" w:space="0"/>
            </w:tcBorders>
          </w:tcPr>
          <w:p>
            <w:pPr>
              <w:pStyle w:val="19"/>
              <w:spacing w:before="76"/>
              <w:ind w:left="121" w:right="96"/>
              <w:rPr>
                <w:rFonts w:ascii="Times New Roman"/>
                <w:sz w:val="21"/>
              </w:rPr>
            </w:pPr>
            <w:r>
              <w:rPr>
                <w:rFonts w:ascii="Times New Roman"/>
                <w:color w:val="FF0000"/>
                <w:sz w:val="21"/>
              </w:rPr>
              <w:t>0.66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326" w:type="dxa"/>
            <w:tcBorders>
              <w:top w:val="single" w:color="000000" w:sz="4" w:space="0"/>
              <w:bottom w:val="single" w:color="000000" w:sz="4" w:space="0"/>
              <w:right w:val="single" w:color="000000" w:sz="4" w:space="0"/>
            </w:tcBorders>
          </w:tcPr>
          <w:p>
            <w:pPr>
              <w:pStyle w:val="19"/>
              <w:spacing w:before="77"/>
              <w:ind w:left="135" w:right="123"/>
              <w:rPr>
                <w:rFonts w:ascii="Times New Roman"/>
                <w:sz w:val="21"/>
              </w:rPr>
            </w:pPr>
            <w:r>
              <w:rPr>
                <w:rFonts w:ascii="Times New Roman"/>
                <w:sz w:val="21"/>
              </w:rPr>
              <w:t>75</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7"/>
              <w:ind w:right="461"/>
              <w:jc w:val="right"/>
              <w:rPr>
                <w:rFonts w:ascii="Times New Roman"/>
                <w:sz w:val="21"/>
              </w:rPr>
            </w:pPr>
            <w:r>
              <w:rPr>
                <w:rFonts w:ascii="Times New Roman"/>
                <w:sz w:val="21"/>
              </w:rPr>
              <w:t>0.08</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7"/>
              <w:ind w:left="84" w:right="67"/>
              <w:rPr>
                <w:rFonts w:ascii="Times New Roman"/>
                <w:sz w:val="21"/>
              </w:rPr>
            </w:pPr>
            <w:r>
              <w:rPr>
                <w:rFonts w:ascii="Times New Roman"/>
                <w:sz w:val="21"/>
              </w:rPr>
              <w:t>0.02</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7"/>
              <w:ind w:left="85" w:right="65"/>
              <w:rPr>
                <w:rFonts w:ascii="Times New Roman"/>
                <w:sz w:val="21"/>
              </w:rPr>
            </w:pPr>
            <w:r>
              <w:rPr>
                <w:rFonts w:ascii="Times New Roman"/>
                <w:sz w:val="21"/>
              </w:rPr>
              <w:t>0.17</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7"/>
              <w:ind w:left="84" w:right="67"/>
              <w:rPr>
                <w:rFonts w:ascii="Times New Roman"/>
                <w:sz w:val="21"/>
              </w:rPr>
            </w:pPr>
            <w:r>
              <w:rPr>
                <w:rFonts w:ascii="Times New Roman"/>
                <w:sz w:val="21"/>
              </w:rPr>
              <w:t>0.03</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7"/>
              <w:ind w:left="85" w:right="65"/>
              <w:rPr>
                <w:rFonts w:ascii="Times New Roman"/>
                <w:sz w:val="21"/>
              </w:rPr>
            </w:pPr>
            <w:r>
              <w:rPr>
                <w:rFonts w:ascii="Times New Roman"/>
                <w:color w:val="FF0000"/>
                <w:sz w:val="21"/>
              </w:rPr>
              <w:t>1.36</w:t>
            </w:r>
          </w:p>
        </w:tc>
        <w:tc>
          <w:tcPr>
            <w:tcW w:w="1328" w:type="dxa"/>
            <w:tcBorders>
              <w:top w:val="single" w:color="000000" w:sz="4" w:space="0"/>
              <w:left w:val="single" w:color="000000" w:sz="4" w:space="0"/>
              <w:bottom w:val="single" w:color="000000" w:sz="4" w:space="0"/>
            </w:tcBorders>
          </w:tcPr>
          <w:p>
            <w:pPr>
              <w:pStyle w:val="19"/>
              <w:spacing w:before="77"/>
              <w:ind w:left="121" w:right="96"/>
              <w:rPr>
                <w:rFonts w:ascii="Times New Roman"/>
                <w:sz w:val="21"/>
              </w:rPr>
            </w:pPr>
            <w:r>
              <w:rPr>
                <w:rFonts w:ascii="Times New Roman"/>
                <w:color w:val="FF0000"/>
                <w:sz w:val="21"/>
              </w:rPr>
              <w:t>0.68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tcBorders>
              <w:top w:val="single" w:color="000000" w:sz="4" w:space="0"/>
              <w:bottom w:val="single" w:color="000000" w:sz="4" w:space="0"/>
              <w:right w:val="single" w:color="000000" w:sz="4" w:space="0"/>
            </w:tcBorders>
          </w:tcPr>
          <w:p>
            <w:pPr>
              <w:pStyle w:val="19"/>
              <w:spacing w:before="76"/>
              <w:ind w:left="135" w:right="123"/>
              <w:rPr>
                <w:rFonts w:ascii="Times New Roman"/>
                <w:sz w:val="21"/>
              </w:rPr>
            </w:pPr>
            <w:r>
              <w:rPr>
                <w:rFonts w:ascii="Times New Roman"/>
                <w:sz w:val="21"/>
              </w:rPr>
              <w:t>100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6"/>
              <w:ind w:right="514"/>
              <w:jc w:val="right"/>
              <w:rPr>
                <w:rFonts w:ascii="Times New Roman"/>
                <w:sz w:val="21"/>
              </w:rPr>
            </w:pPr>
            <w:r>
              <w:rPr>
                <w:rFonts w:ascii="Times New Roman"/>
                <w:w w:val="95"/>
                <w:sz w:val="21"/>
              </w:rPr>
              <w:t>0.1</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6"/>
              <w:ind w:left="84" w:right="67"/>
              <w:rPr>
                <w:rFonts w:ascii="Times New Roman"/>
                <w:sz w:val="21"/>
              </w:rPr>
            </w:pPr>
            <w:r>
              <w:rPr>
                <w:rFonts w:ascii="Times New Roman"/>
                <w:sz w:val="21"/>
              </w:rPr>
              <w:t>0.02</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6"/>
              <w:ind w:left="85" w:right="65"/>
              <w:rPr>
                <w:rFonts w:ascii="Times New Roman"/>
                <w:sz w:val="21"/>
              </w:rPr>
            </w:pPr>
            <w:r>
              <w:rPr>
                <w:rFonts w:ascii="Times New Roman"/>
                <w:sz w:val="21"/>
              </w:rPr>
              <w:t>0.19</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6"/>
              <w:ind w:left="84" w:right="67"/>
              <w:rPr>
                <w:rFonts w:ascii="Times New Roman"/>
                <w:sz w:val="21"/>
              </w:rPr>
            </w:pPr>
            <w:r>
              <w:rPr>
                <w:rFonts w:ascii="Times New Roman"/>
                <w:sz w:val="21"/>
              </w:rPr>
              <w:t>0.04</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6"/>
              <w:ind w:left="85" w:right="65"/>
              <w:rPr>
                <w:rFonts w:ascii="Times New Roman"/>
                <w:sz w:val="21"/>
              </w:rPr>
            </w:pPr>
            <w:r>
              <w:rPr>
                <w:rFonts w:ascii="Times New Roman"/>
                <w:color w:val="FF0000"/>
                <w:sz w:val="21"/>
              </w:rPr>
              <w:t>1.53</w:t>
            </w:r>
          </w:p>
        </w:tc>
        <w:tc>
          <w:tcPr>
            <w:tcW w:w="1328" w:type="dxa"/>
            <w:tcBorders>
              <w:top w:val="single" w:color="000000" w:sz="4" w:space="0"/>
              <w:left w:val="single" w:color="000000" w:sz="4" w:space="0"/>
              <w:bottom w:val="single" w:color="000000" w:sz="4" w:space="0"/>
            </w:tcBorders>
          </w:tcPr>
          <w:p>
            <w:pPr>
              <w:pStyle w:val="19"/>
              <w:spacing w:before="76"/>
              <w:ind w:left="121" w:right="96"/>
              <w:rPr>
                <w:rFonts w:ascii="Times New Roman"/>
                <w:sz w:val="21"/>
              </w:rPr>
            </w:pPr>
            <w:r>
              <w:rPr>
                <w:rFonts w:ascii="Times New Roman"/>
                <w:color w:val="FF0000"/>
                <w:sz w:val="21"/>
              </w:rPr>
              <w:t>0.76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tcBorders>
              <w:top w:val="single" w:color="000000" w:sz="4" w:space="0"/>
              <w:bottom w:val="single" w:color="000000" w:sz="4" w:space="0"/>
              <w:right w:val="single" w:color="000000" w:sz="4" w:space="0"/>
            </w:tcBorders>
          </w:tcPr>
          <w:p>
            <w:pPr>
              <w:pStyle w:val="19"/>
              <w:spacing w:before="77"/>
              <w:ind w:left="135" w:right="123"/>
              <w:rPr>
                <w:rFonts w:ascii="Times New Roman"/>
                <w:sz w:val="21"/>
              </w:rPr>
            </w:pPr>
            <w:r>
              <w:rPr>
                <w:rFonts w:ascii="Times New Roman"/>
                <w:sz w:val="21"/>
              </w:rPr>
              <w:t>103</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7"/>
              <w:ind w:right="514"/>
              <w:jc w:val="right"/>
              <w:rPr>
                <w:rFonts w:ascii="Times New Roman"/>
                <w:sz w:val="21"/>
              </w:rPr>
            </w:pPr>
            <w:r>
              <w:rPr>
                <w:rFonts w:ascii="Times New Roman"/>
                <w:w w:val="95"/>
                <w:sz w:val="21"/>
              </w:rPr>
              <w:t>0.1</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7"/>
              <w:ind w:left="84" w:right="67"/>
              <w:rPr>
                <w:rFonts w:ascii="Times New Roman"/>
                <w:sz w:val="21"/>
              </w:rPr>
            </w:pPr>
            <w:r>
              <w:rPr>
                <w:rFonts w:ascii="Times New Roman"/>
                <w:sz w:val="21"/>
              </w:rPr>
              <w:t>0.02</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7"/>
              <w:ind w:left="85" w:right="65"/>
              <w:rPr>
                <w:rFonts w:ascii="Times New Roman"/>
                <w:sz w:val="21"/>
              </w:rPr>
            </w:pPr>
            <w:r>
              <w:rPr>
                <w:rFonts w:ascii="Times New Roman"/>
                <w:sz w:val="21"/>
              </w:rPr>
              <w:t>0.19</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7"/>
              <w:ind w:left="84" w:right="67"/>
              <w:rPr>
                <w:rFonts w:ascii="Times New Roman"/>
                <w:sz w:val="21"/>
              </w:rPr>
            </w:pPr>
            <w:r>
              <w:rPr>
                <w:rFonts w:ascii="Times New Roman"/>
                <w:sz w:val="21"/>
              </w:rPr>
              <w:t>0.04</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7"/>
              <w:ind w:left="85" w:right="65"/>
              <w:rPr>
                <w:rFonts w:ascii="Times New Roman"/>
                <w:sz w:val="21"/>
              </w:rPr>
            </w:pPr>
            <w:r>
              <w:rPr>
                <w:rFonts w:ascii="Times New Roman"/>
                <w:color w:val="FF0000"/>
                <w:sz w:val="21"/>
              </w:rPr>
              <w:t>1.53</w:t>
            </w:r>
          </w:p>
        </w:tc>
        <w:tc>
          <w:tcPr>
            <w:tcW w:w="1328" w:type="dxa"/>
            <w:tcBorders>
              <w:top w:val="single" w:color="000000" w:sz="4" w:space="0"/>
              <w:left w:val="single" w:color="000000" w:sz="4" w:space="0"/>
              <w:bottom w:val="single" w:color="000000" w:sz="4" w:space="0"/>
            </w:tcBorders>
          </w:tcPr>
          <w:p>
            <w:pPr>
              <w:pStyle w:val="19"/>
              <w:spacing w:before="77"/>
              <w:ind w:left="121" w:right="96"/>
              <w:rPr>
                <w:rFonts w:ascii="Times New Roman"/>
                <w:sz w:val="21"/>
              </w:rPr>
            </w:pPr>
            <w:r>
              <w:rPr>
                <w:rFonts w:ascii="Times New Roman"/>
                <w:color w:val="FF0000"/>
                <w:sz w:val="21"/>
              </w:rPr>
              <w:t>0.77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tcBorders>
              <w:top w:val="single" w:color="000000" w:sz="4" w:space="0"/>
              <w:bottom w:val="single" w:color="000000" w:sz="4" w:space="0"/>
              <w:right w:val="single" w:color="000000" w:sz="4" w:space="0"/>
            </w:tcBorders>
          </w:tcPr>
          <w:p>
            <w:pPr>
              <w:pStyle w:val="19"/>
              <w:spacing w:before="78"/>
              <w:ind w:left="136" w:right="118"/>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8"/>
              <w:ind w:left="85" w:right="65"/>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8"/>
              <w:ind w:left="85" w:right="62"/>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8"/>
              <w:ind w:left="85" w:right="65"/>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8"/>
              <w:ind w:left="85" w:right="62"/>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8"/>
              <w:ind w:left="85" w:right="65"/>
              <w:rPr>
                <w:rFonts w:ascii="Times New Roman"/>
                <w:sz w:val="21"/>
              </w:rPr>
            </w:pPr>
            <w:r>
              <w:rPr>
                <w:rFonts w:ascii="Times New Roman"/>
                <w:color w:val="FF0000"/>
                <w:sz w:val="21"/>
              </w:rPr>
              <w:t>...</w:t>
            </w:r>
          </w:p>
        </w:tc>
        <w:tc>
          <w:tcPr>
            <w:tcW w:w="1328" w:type="dxa"/>
            <w:tcBorders>
              <w:top w:val="single" w:color="000000" w:sz="4" w:space="0"/>
              <w:left w:val="single" w:color="000000" w:sz="4" w:space="0"/>
              <w:bottom w:val="single" w:color="000000" w:sz="4" w:space="0"/>
            </w:tcBorders>
          </w:tcPr>
          <w:p>
            <w:pPr>
              <w:pStyle w:val="19"/>
              <w:spacing w:before="78"/>
              <w:ind w:left="121" w:right="95"/>
              <w:rPr>
                <w:rFonts w:ascii="Times New Roman"/>
                <w:sz w:val="21"/>
              </w:rPr>
            </w:pPr>
            <w:r>
              <w:rPr>
                <w:rFonts w:ascii="Times New Roman"/>
                <w:color w:val="FF0000"/>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326" w:type="dxa"/>
            <w:tcBorders>
              <w:top w:val="single" w:color="000000" w:sz="4" w:space="0"/>
              <w:bottom w:val="single" w:color="000000" w:sz="4" w:space="0"/>
              <w:right w:val="single" w:color="000000" w:sz="4" w:space="0"/>
            </w:tcBorders>
          </w:tcPr>
          <w:p>
            <w:pPr>
              <w:pStyle w:val="19"/>
              <w:spacing w:before="76"/>
              <w:ind w:left="136" w:right="121"/>
              <w:rPr>
                <w:rFonts w:ascii="Times New Roman"/>
                <w:sz w:val="21"/>
              </w:rPr>
            </w:pPr>
            <w:r>
              <w:rPr>
                <w:rFonts w:ascii="Times New Roman"/>
                <w:sz w:val="21"/>
              </w:rPr>
              <w:t>24800.0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6"/>
              <w:ind w:left="15"/>
              <w:rPr>
                <w:rFonts w:ascii="Times New Roman"/>
                <w:sz w:val="21"/>
              </w:rPr>
            </w:pPr>
            <w:r>
              <w:rPr>
                <w:rFonts w:ascii="Times New Roman"/>
                <w:w w:val="99"/>
                <w:sz w:val="21"/>
              </w:rPr>
              <w:t>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6"/>
              <w:ind w:left="17"/>
              <w:rPr>
                <w:rFonts w:ascii="Times New Roman"/>
                <w:sz w:val="21"/>
              </w:rPr>
            </w:pPr>
            <w:r>
              <w:rPr>
                <w:rFonts w:ascii="Times New Roman"/>
                <w:w w:val="99"/>
                <w:sz w:val="21"/>
              </w:rPr>
              <w:t>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6"/>
              <w:ind w:left="84" w:right="67"/>
              <w:rPr>
                <w:rFonts w:ascii="Times New Roman"/>
                <w:sz w:val="21"/>
              </w:rPr>
            </w:pPr>
            <w:r>
              <w:rPr>
                <w:rFonts w:ascii="Times New Roman"/>
                <w:sz w:val="21"/>
              </w:rPr>
              <w:t>0.01</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6"/>
              <w:ind w:left="17"/>
              <w:rPr>
                <w:rFonts w:ascii="Times New Roman"/>
                <w:sz w:val="21"/>
              </w:rPr>
            </w:pPr>
            <w:r>
              <w:rPr>
                <w:rFonts w:ascii="Times New Roman"/>
                <w:w w:val="99"/>
                <w:sz w:val="21"/>
              </w:rPr>
              <w:t>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6"/>
              <w:ind w:left="85" w:right="65"/>
              <w:rPr>
                <w:rFonts w:ascii="Times New Roman"/>
                <w:sz w:val="21"/>
              </w:rPr>
            </w:pPr>
            <w:r>
              <w:rPr>
                <w:rFonts w:ascii="Times New Roman"/>
                <w:color w:val="FF0000"/>
                <w:sz w:val="21"/>
              </w:rPr>
              <w:t>0.07</w:t>
            </w:r>
          </w:p>
        </w:tc>
        <w:tc>
          <w:tcPr>
            <w:tcW w:w="1328" w:type="dxa"/>
            <w:tcBorders>
              <w:top w:val="single" w:color="000000" w:sz="4" w:space="0"/>
              <w:left w:val="single" w:color="000000" w:sz="4" w:space="0"/>
              <w:bottom w:val="single" w:color="000000" w:sz="4" w:space="0"/>
            </w:tcBorders>
          </w:tcPr>
          <w:p>
            <w:pPr>
              <w:pStyle w:val="19"/>
              <w:spacing w:before="76"/>
              <w:ind w:left="121" w:right="96"/>
              <w:rPr>
                <w:rFonts w:ascii="Times New Roman"/>
                <w:sz w:val="21"/>
              </w:rPr>
            </w:pPr>
            <w:r>
              <w:rPr>
                <w:rFonts w:ascii="Times New Roman"/>
                <w:color w:val="FF0000"/>
                <w:sz w:val="21"/>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tcBorders>
              <w:top w:val="single" w:color="000000" w:sz="4" w:space="0"/>
              <w:bottom w:val="single" w:color="000000" w:sz="4" w:space="0"/>
              <w:right w:val="single" w:color="000000" w:sz="4" w:space="0"/>
            </w:tcBorders>
          </w:tcPr>
          <w:p>
            <w:pPr>
              <w:pStyle w:val="19"/>
              <w:spacing w:before="77"/>
              <w:ind w:left="136" w:right="121"/>
              <w:rPr>
                <w:rFonts w:ascii="Times New Roman"/>
                <w:sz w:val="21"/>
              </w:rPr>
            </w:pPr>
            <w:r>
              <w:rPr>
                <w:rFonts w:ascii="Times New Roman"/>
                <w:sz w:val="21"/>
              </w:rPr>
              <w:t>25000.0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7"/>
              <w:ind w:left="15"/>
              <w:rPr>
                <w:rFonts w:ascii="Times New Roman"/>
                <w:sz w:val="21"/>
              </w:rPr>
            </w:pPr>
            <w:r>
              <w:rPr>
                <w:rFonts w:ascii="Times New Roman"/>
                <w:w w:val="99"/>
                <w:sz w:val="21"/>
              </w:rPr>
              <w:t>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7"/>
              <w:ind w:left="17"/>
              <w:rPr>
                <w:rFonts w:ascii="Times New Roman"/>
                <w:sz w:val="21"/>
              </w:rPr>
            </w:pPr>
            <w:r>
              <w:rPr>
                <w:rFonts w:ascii="Times New Roman"/>
                <w:w w:val="99"/>
                <w:sz w:val="21"/>
              </w:rPr>
              <w:t>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7"/>
              <w:ind w:left="85" w:right="65"/>
              <w:rPr>
                <w:rFonts w:ascii="Times New Roman"/>
                <w:sz w:val="21"/>
              </w:rPr>
            </w:pPr>
            <w:r>
              <w:rPr>
                <w:rFonts w:ascii="Times New Roman"/>
                <w:sz w:val="21"/>
              </w:rPr>
              <w:t>0.01</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7"/>
              <w:ind w:left="17"/>
              <w:rPr>
                <w:rFonts w:ascii="Times New Roman"/>
                <w:sz w:val="21"/>
              </w:rPr>
            </w:pPr>
            <w:r>
              <w:rPr>
                <w:rFonts w:ascii="Times New Roman"/>
                <w:w w:val="99"/>
                <w:sz w:val="21"/>
              </w:rPr>
              <w:t>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77"/>
              <w:ind w:left="85" w:right="65"/>
              <w:rPr>
                <w:rFonts w:ascii="Times New Roman"/>
                <w:sz w:val="21"/>
              </w:rPr>
            </w:pPr>
            <w:r>
              <w:rPr>
                <w:rFonts w:ascii="Times New Roman"/>
                <w:color w:val="FF0000"/>
                <w:sz w:val="21"/>
              </w:rPr>
              <w:t>0.07</w:t>
            </w:r>
          </w:p>
        </w:tc>
        <w:tc>
          <w:tcPr>
            <w:tcW w:w="1328" w:type="dxa"/>
            <w:tcBorders>
              <w:top w:val="single" w:color="000000" w:sz="4" w:space="0"/>
              <w:left w:val="single" w:color="000000" w:sz="4" w:space="0"/>
              <w:bottom w:val="single" w:color="000000" w:sz="4" w:space="0"/>
            </w:tcBorders>
          </w:tcPr>
          <w:p>
            <w:pPr>
              <w:pStyle w:val="19"/>
              <w:spacing w:before="77"/>
              <w:ind w:left="121" w:right="96"/>
              <w:rPr>
                <w:rFonts w:ascii="Times New Roman"/>
                <w:sz w:val="21"/>
              </w:rPr>
            </w:pPr>
            <w:r>
              <w:rPr>
                <w:rFonts w:ascii="Times New Roman"/>
                <w:color w:val="FF0000"/>
                <w:sz w:val="21"/>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1326" w:type="dxa"/>
            <w:tcBorders>
              <w:top w:val="single" w:color="000000" w:sz="4" w:space="0"/>
              <w:bottom w:val="single" w:color="000000" w:sz="4" w:space="0"/>
              <w:right w:val="single" w:color="000000" w:sz="4" w:space="0"/>
            </w:tcBorders>
          </w:tcPr>
          <w:p>
            <w:pPr>
              <w:pStyle w:val="19"/>
              <w:ind w:left="136"/>
              <w:jc w:val="left"/>
              <w:rPr>
                <w:sz w:val="21"/>
              </w:rPr>
            </w:pPr>
            <w:r>
              <w:rPr>
                <w:sz w:val="21"/>
              </w:rPr>
              <w:t>下风向最大</w:t>
            </w:r>
          </w:p>
          <w:p>
            <w:pPr>
              <w:pStyle w:val="19"/>
              <w:spacing w:before="3" w:line="270" w:lineRule="atLeast"/>
              <w:ind w:left="453" w:right="123" w:hanging="317"/>
              <w:jc w:val="left"/>
              <w:rPr>
                <w:sz w:val="21"/>
              </w:rPr>
            </w:pPr>
            <w:r>
              <w:rPr>
                <w:sz w:val="21"/>
              </w:rPr>
              <w:t>浓度及其占标率</w:t>
            </w:r>
          </w:p>
        </w:tc>
        <w:tc>
          <w:tcPr>
            <w:tcW w:w="1326"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b/>
                <w:sz w:val="25"/>
              </w:rPr>
            </w:pPr>
          </w:p>
          <w:p>
            <w:pPr>
              <w:pStyle w:val="19"/>
              <w:ind w:right="514"/>
              <w:jc w:val="right"/>
              <w:rPr>
                <w:rFonts w:ascii="Times New Roman"/>
                <w:sz w:val="21"/>
              </w:rPr>
            </w:pPr>
            <w:r>
              <w:rPr>
                <w:rFonts w:ascii="Times New Roman"/>
                <w:w w:val="95"/>
                <w:sz w:val="21"/>
              </w:rPr>
              <w:t>0.1</w:t>
            </w:r>
          </w:p>
        </w:tc>
        <w:tc>
          <w:tcPr>
            <w:tcW w:w="1326"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b/>
                <w:sz w:val="25"/>
              </w:rPr>
            </w:pPr>
          </w:p>
          <w:p>
            <w:pPr>
              <w:pStyle w:val="19"/>
              <w:ind w:left="84" w:right="67"/>
              <w:rPr>
                <w:rFonts w:ascii="Times New Roman"/>
                <w:sz w:val="21"/>
              </w:rPr>
            </w:pPr>
            <w:r>
              <w:rPr>
                <w:rFonts w:ascii="Times New Roman"/>
                <w:sz w:val="21"/>
              </w:rPr>
              <w:t>0.02</w:t>
            </w:r>
          </w:p>
        </w:tc>
        <w:tc>
          <w:tcPr>
            <w:tcW w:w="1326"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b/>
                <w:sz w:val="25"/>
              </w:rPr>
            </w:pPr>
          </w:p>
          <w:p>
            <w:pPr>
              <w:pStyle w:val="19"/>
              <w:ind w:left="85" w:right="65"/>
              <w:rPr>
                <w:rFonts w:ascii="Times New Roman"/>
                <w:sz w:val="21"/>
              </w:rPr>
            </w:pPr>
            <w:r>
              <w:rPr>
                <w:rFonts w:ascii="Times New Roman"/>
                <w:sz w:val="21"/>
              </w:rPr>
              <w:t>0.19</w:t>
            </w:r>
          </w:p>
        </w:tc>
        <w:tc>
          <w:tcPr>
            <w:tcW w:w="1326"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b/>
                <w:sz w:val="25"/>
              </w:rPr>
            </w:pPr>
          </w:p>
          <w:p>
            <w:pPr>
              <w:pStyle w:val="19"/>
              <w:ind w:left="84" w:right="67"/>
              <w:rPr>
                <w:rFonts w:ascii="Times New Roman"/>
                <w:sz w:val="21"/>
              </w:rPr>
            </w:pPr>
            <w:r>
              <w:rPr>
                <w:rFonts w:ascii="Times New Roman"/>
                <w:sz w:val="21"/>
              </w:rPr>
              <w:t>0.04</w:t>
            </w:r>
          </w:p>
        </w:tc>
        <w:tc>
          <w:tcPr>
            <w:tcW w:w="1326"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b/>
                <w:sz w:val="25"/>
              </w:rPr>
            </w:pPr>
          </w:p>
          <w:p>
            <w:pPr>
              <w:pStyle w:val="19"/>
              <w:ind w:left="85" w:right="65"/>
              <w:rPr>
                <w:rFonts w:ascii="Times New Roman"/>
                <w:sz w:val="21"/>
              </w:rPr>
            </w:pPr>
            <w:r>
              <w:rPr>
                <w:rFonts w:ascii="Times New Roman"/>
                <w:color w:val="FF0000"/>
                <w:sz w:val="21"/>
              </w:rPr>
              <w:t>1.53</w:t>
            </w:r>
          </w:p>
        </w:tc>
        <w:tc>
          <w:tcPr>
            <w:tcW w:w="1328" w:type="dxa"/>
            <w:tcBorders>
              <w:top w:val="single" w:color="000000" w:sz="4" w:space="0"/>
              <w:left w:val="single" w:color="000000" w:sz="4" w:space="0"/>
              <w:bottom w:val="single" w:color="000000" w:sz="4" w:space="0"/>
            </w:tcBorders>
          </w:tcPr>
          <w:p>
            <w:pPr>
              <w:pStyle w:val="19"/>
              <w:jc w:val="left"/>
              <w:rPr>
                <w:rFonts w:ascii="Times New Roman"/>
                <w:b/>
                <w:sz w:val="25"/>
              </w:rPr>
            </w:pPr>
          </w:p>
          <w:p>
            <w:pPr>
              <w:pStyle w:val="19"/>
              <w:ind w:left="121" w:right="96"/>
              <w:rPr>
                <w:rFonts w:ascii="Times New Roman"/>
                <w:sz w:val="21"/>
              </w:rPr>
            </w:pPr>
            <w:r>
              <w:rPr>
                <w:rFonts w:ascii="Times New Roman"/>
                <w:color w:val="FF0000"/>
                <w:sz w:val="21"/>
              </w:rPr>
              <w:t>0.77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1326" w:type="dxa"/>
            <w:tcBorders>
              <w:top w:val="single" w:color="000000" w:sz="4" w:space="0"/>
              <w:bottom w:val="single" w:color="000000" w:sz="4" w:space="0"/>
              <w:right w:val="single" w:color="000000" w:sz="4" w:space="0"/>
            </w:tcBorders>
          </w:tcPr>
          <w:p>
            <w:pPr>
              <w:pStyle w:val="19"/>
              <w:spacing w:before="1" w:line="242" w:lineRule="auto"/>
              <w:ind w:left="136" w:right="123"/>
              <w:rPr>
                <w:sz w:val="21"/>
              </w:rPr>
            </w:pPr>
            <w:r>
              <w:rPr>
                <w:sz w:val="21"/>
              </w:rPr>
              <w:t>下风向最大浓度出现距</w:t>
            </w:r>
          </w:p>
          <w:p>
            <w:pPr>
              <w:pStyle w:val="19"/>
              <w:spacing w:before="1" w:line="251" w:lineRule="exact"/>
              <w:ind w:left="11"/>
              <w:rPr>
                <w:sz w:val="21"/>
              </w:rPr>
            </w:pPr>
            <w:r>
              <w:rPr>
                <w:w w:val="99"/>
                <w:sz w:val="21"/>
              </w:rPr>
              <w:t>离</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0"/>
              <w:jc w:val="left"/>
              <w:rPr>
                <w:rFonts w:ascii="Times New Roman"/>
                <w:b/>
                <w:sz w:val="24"/>
              </w:rPr>
            </w:pPr>
          </w:p>
          <w:p>
            <w:pPr>
              <w:pStyle w:val="19"/>
              <w:ind w:right="488"/>
              <w:jc w:val="right"/>
              <w:rPr>
                <w:rFonts w:ascii="Times New Roman"/>
                <w:sz w:val="21"/>
              </w:rPr>
            </w:pPr>
            <w:r>
              <w:rPr>
                <w:rFonts w:ascii="Times New Roman"/>
                <w:sz w:val="21"/>
              </w:rPr>
              <w:t>103</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0"/>
              <w:jc w:val="left"/>
              <w:rPr>
                <w:rFonts w:ascii="Times New Roman"/>
                <w:b/>
                <w:sz w:val="24"/>
              </w:rPr>
            </w:pPr>
          </w:p>
          <w:p>
            <w:pPr>
              <w:pStyle w:val="19"/>
              <w:ind w:left="84" w:right="67"/>
              <w:rPr>
                <w:rFonts w:ascii="Times New Roman"/>
                <w:sz w:val="21"/>
              </w:rPr>
            </w:pPr>
            <w:r>
              <w:rPr>
                <w:rFonts w:ascii="Times New Roman"/>
                <w:sz w:val="21"/>
              </w:rPr>
              <w:t>103</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0"/>
              <w:jc w:val="left"/>
              <w:rPr>
                <w:rFonts w:ascii="Times New Roman"/>
                <w:b/>
                <w:sz w:val="24"/>
              </w:rPr>
            </w:pPr>
          </w:p>
          <w:p>
            <w:pPr>
              <w:pStyle w:val="19"/>
              <w:ind w:left="85" w:right="65"/>
              <w:rPr>
                <w:rFonts w:ascii="Times New Roman"/>
                <w:sz w:val="21"/>
              </w:rPr>
            </w:pPr>
            <w:r>
              <w:rPr>
                <w:rFonts w:ascii="Times New Roman"/>
                <w:sz w:val="21"/>
              </w:rPr>
              <w:t>103</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0"/>
              <w:jc w:val="left"/>
              <w:rPr>
                <w:rFonts w:ascii="Times New Roman"/>
                <w:b/>
                <w:sz w:val="24"/>
              </w:rPr>
            </w:pPr>
          </w:p>
          <w:p>
            <w:pPr>
              <w:pStyle w:val="19"/>
              <w:ind w:left="84" w:right="67"/>
              <w:rPr>
                <w:rFonts w:ascii="Times New Roman"/>
                <w:sz w:val="21"/>
              </w:rPr>
            </w:pPr>
            <w:r>
              <w:rPr>
                <w:rFonts w:ascii="Times New Roman"/>
                <w:sz w:val="21"/>
              </w:rPr>
              <w:t>103</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0"/>
              <w:jc w:val="left"/>
              <w:rPr>
                <w:rFonts w:ascii="Times New Roman"/>
                <w:b/>
                <w:sz w:val="24"/>
              </w:rPr>
            </w:pPr>
          </w:p>
          <w:p>
            <w:pPr>
              <w:pStyle w:val="19"/>
              <w:ind w:left="85" w:right="65"/>
              <w:rPr>
                <w:rFonts w:ascii="Times New Roman"/>
                <w:sz w:val="21"/>
              </w:rPr>
            </w:pPr>
            <w:r>
              <w:rPr>
                <w:rFonts w:ascii="Times New Roman"/>
                <w:sz w:val="21"/>
              </w:rPr>
              <w:t>103</w:t>
            </w:r>
          </w:p>
        </w:tc>
        <w:tc>
          <w:tcPr>
            <w:tcW w:w="1328" w:type="dxa"/>
            <w:tcBorders>
              <w:top w:val="single" w:color="000000" w:sz="4" w:space="0"/>
              <w:left w:val="single" w:color="000000" w:sz="4" w:space="0"/>
              <w:bottom w:val="single" w:color="000000" w:sz="4" w:space="0"/>
            </w:tcBorders>
          </w:tcPr>
          <w:p>
            <w:pPr>
              <w:pStyle w:val="19"/>
              <w:spacing w:before="10"/>
              <w:jc w:val="left"/>
              <w:rPr>
                <w:rFonts w:ascii="Times New Roman"/>
                <w:b/>
                <w:sz w:val="24"/>
              </w:rPr>
            </w:pPr>
          </w:p>
          <w:p>
            <w:pPr>
              <w:pStyle w:val="19"/>
              <w:ind w:left="121" w:right="96"/>
              <w:rPr>
                <w:rFonts w:ascii="Times New Roman"/>
                <w:sz w:val="21"/>
              </w:rPr>
            </w:pPr>
            <w:r>
              <w:rPr>
                <w:rFonts w:ascii="Times New Roman"/>
                <w:sz w:val="21"/>
              </w:rPr>
              <w:t>103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1326" w:type="dxa"/>
            <w:tcBorders>
              <w:top w:val="single" w:color="000000" w:sz="4" w:space="0"/>
              <w:right w:val="single" w:color="000000" w:sz="4" w:space="0"/>
            </w:tcBorders>
          </w:tcPr>
          <w:p>
            <w:pPr>
              <w:pStyle w:val="19"/>
              <w:spacing w:before="1" w:line="270" w:lineRule="atLeast"/>
              <w:ind w:left="453" w:right="130" w:hanging="269"/>
              <w:jc w:val="left"/>
              <w:rPr>
                <w:sz w:val="21"/>
              </w:rPr>
            </w:pPr>
            <w:r>
              <w:rPr>
                <w:rFonts w:ascii="Times New Roman" w:eastAsia="Times New Roman"/>
                <w:sz w:val="21"/>
              </w:rPr>
              <w:t>D10%</w:t>
            </w:r>
            <w:r>
              <w:rPr>
                <w:sz w:val="21"/>
              </w:rPr>
              <w:t>最远距离</w:t>
            </w:r>
          </w:p>
        </w:tc>
        <w:tc>
          <w:tcPr>
            <w:tcW w:w="1326" w:type="dxa"/>
            <w:tcBorders>
              <w:top w:val="single" w:color="000000" w:sz="4" w:space="0"/>
              <w:left w:val="single" w:color="000000" w:sz="4" w:space="0"/>
              <w:right w:val="single" w:color="000000" w:sz="4" w:space="0"/>
            </w:tcBorders>
          </w:tcPr>
          <w:p>
            <w:pPr>
              <w:pStyle w:val="19"/>
              <w:spacing w:before="150"/>
              <w:ind w:left="16"/>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9"/>
              <w:spacing w:before="150"/>
              <w:ind w:left="19"/>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9"/>
              <w:spacing w:before="150"/>
              <w:ind w:left="16"/>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9"/>
              <w:spacing w:before="150"/>
              <w:ind w:left="19"/>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9"/>
              <w:spacing w:before="150"/>
              <w:ind w:left="16"/>
              <w:rPr>
                <w:rFonts w:ascii="Times New Roman"/>
                <w:sz w:val="21"/>
              </w:rPr>
            </w:pPr>
            <w:r>
              <w:rPr>
                <w:rFonts w:ascii="Times New Roman"/>
                <w:w w:val="99"/>
                <w:sz w:val="21"/>
              </w:rPr>
              <w:t>/</w:t>
            </w:r>
          </w:p>
        </w:tc>
        <w:tc>
          <w:tcPr>
            <w:tcW w:w="1328" w:type="dxa"/>
            <w:tcBorders>
              <w:top w:val="single" w:color="000000" w:sz="4" w:space="0"/>
              <w:left w:val="single" w:color="000000" w:sz="4" w:space="0"/>
            </w:tcBorders>
          </w:tcPr>
          <w:p>
            <w:pPr>
              <w:pStyle w:val="19"/>
              <w:spacing w:before="150"/>
              <w:ind w:left="22"/>
              <w:rPr>
                <w:rFonts w:ascii="Times New Roman"/>
                <w:sz w:val="21"/>
              </w:rPr>
            </w:pPr>
            <w:r>
              <w:rPr>
                <w:rFonts w:ascii="Times New Roman"/>
                <w:w w:val="99"/>
                <w:sz w:val="21"/>
              </w:rPr>
              <w:t>/</w:t>
            </w:r>
          </w:p>
        </w:tc>
      </w:tr>
    </w:tbl>
    <w:p>
      <w:pPr>
        <w:spacing w:before="1"/>
        <w:ind w:left="14" w:right="0" w:firstLine="0"/>
        <w:jc w:val="center"/>
        <w:rPr>
          <w:rFonts w:ascii="Times New Roman" w:eastAsia="Times New Roman"/>
          <w:b/>
          <w:sz w:val="21"/>
        </w:rPr>
      </w:pPr>
      <w:r>
        <mc:AlternateContent>
          <mc:Choice Requires="wps">
            <w:drawing>
              <wp:anchor distT="0" distB="0" distL="114300" distR="114300" simplePos="0" relativeHeight="251729920" behindDoc="0" locked="0" layoutInCell="1" allowOverlap="1">
                <wp:simplePos x="0" y="0"/>
                <wp:positionH relativeFrom="page">
                  <wp:posOffset>831850</wp:posOffset>
                </wp:positionH>
                <wp:positionV relativeFrom="paragraph">
                  <wp:posOffset>259715</wp:posOffset>
                </wp:positionV>
                <wp:extent cx="0" cy="293370"/>
                <wp:effectExtent l="6350" t="0" r="12700" b="11430"/>
                <wp:wrapNone/>
                <wp:docPr id="152" name="直线 58"/>
                <wp:cNvGraphicFramePr/>
                <a:graphic xmlns:a="http://schemas.openxmlformats.org/drawingml/2006/main">
                  <a:graphicData uri="http://schemas.microsoft.com/office/word/2010/wordprocessingShape">
                    <wps:wsp>
                      <wps:cNvSpPr/>
                      <wps:spPr>
                        <a:xfrm>
                          <a:off x="0" y="0"/>
                          <a:ext cx="0" cy="293370"/>
                        </a:xfrm>
                        <a:prstGeom prst="line">
                          <a:avLst/>
                        </a:prstGeom>
                        <a:ln w="12192" cap="flat" cmpd="sng">
                          <a:solidFill>
                            <a:srgbClr val="000000"/>
                          </a:solidFill>
                          <a:prstDash val="solid"/>
                          <a:headEnd type="none" w="med" len="med"/>
                          <a:tailEnd type="none" w="med" len="med"/>
                        </a:ln>
                      </wps:spPr>
                      <wps:bodyPr upright="1"/>
                    </wps:wsp>
                  </a:graphicData>
                </a:graphic>
              </wp:anchor>
            </w:drawing>
          </mc:Choice>
          <mc:Fallback>
            <w:pict>
              <v:line id="直线 58" o:spid="_x0000_s1026" o:spt="20" style="position:absolute;left:0pt;margin-left:65.5pt;margin-top:20.45pt;height:23.1pt;width:0pt;mso-position-horizontal-relative:page;z-index:251729920;mso-width-relative:page;mso-height-relative:page;" filled="f" stroked="t" coordsize="21600,21600" o:gfxdata="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WutLU1gAAAAkBAAAPAAAAAAAAAAEAIAAAACIAAABk&#10;cnMvZG93bnJldi54bWxQSwECFAAUAAAACACHTuJAKrjzks8BAACQAwAADgAAAAAAAAABACAAAAAl&#10;AQAAZHJzL2Uyb0RvYy54bWxQSwUGAAAAAAYABgBZAQAAZgUAAAAA&#10;">
                <v:fill on="f" focussize="0,0"/>
                <v:stroke weight="0.96pt" color="#000000" joinstyle="round"/>
                <v:imagedata o:title=""/>
                <o:lock v:ext="edit" aspectratio="f"/>
              </v:line>
            </w:pict>
          </mc:Fallback>
        </mc:AlternateContent>
      </w:r>
      <w:r>
        <mc:AlternateContent>
          <mc:Choice Requires="wps">
            <w:drawing>
              <wp:anchor distT="0" distB="0" distL="114300" distR="114300" simplePos="0" relativeHeight="251730944" behindDoc="0" locked="0" layoutInCell="1" allowOverlap="1">
                <wp:simplePos x="0" y="0"/>
                <wp:positionH relativeFrom="page">
                  <wp:posOffset>6727190</wp:posOffset>
                </wp:positionH>
                <wp:positionV relativeFrom="paragraph">
                  <wp:posOffset>271780</wp:posOffset>
                </wp:positionV>
                <wp:extent cx="0" cy="281305"/>
                <wp:effectExtent l="6350" t="0" r="12700" b="4445"/>
                <wp:wrapNone/>
                <wp:docPr id="153" name="直线 59"/>
                <wp:cNvGraphicFramePr/>
                <a:graphic xmlns:a="http://schemas.openxmlformats.org/drawingml/2006/main">
                  <a:graphicData uri="http://schemas.microsoft.com/office/word/2010/wordprocessingShape">
                    <wps:wsp>
                      <wps:cNvSpPr/>
                      <wps:spPr>
                        <a:xfrm>
                          <a:off x="0" y="0"/>
                          <a:ext cx="0" cy="281305"/>
                        </a:xfrm>
                        <a:prstGeom prst="line">
                          <a:avLst/>
                        </a:prstGeom>
                        <a:ln w="12192" cap="flat" cmpd="sng">
                          <a:solidFill>
                            <a:srgbClr val="000000"/>
                          </a:solidFill>
                          <a:prstDash val="solid"/>
                          <a:headEnd type="none" w="med" len="med"/>
                          <a:tailEnd type="none" w="med" len="med"/>
                        </a:ln>
                      </wps:spPr>
                      <wps:bodyPr upright="1"/>
                    </wps:wsp>
                  </a:graphicData>
                </a:graphic>
              </wp:anchor>
            </w:drawing>
          </mc:Choice>
          <mc:Fallback>
            <w:pict>
              <v:line id="直线 59" o:spid="_x0000_s1026" o:spt="20" style="position:absolute;left:0pt;margin-left:529.7pt;margin-top:21.4pt;height:22.15pt;width:0pt;mso-position-horizontal-relative:page;z-index:251730944;mso-width-relative:page;mso-height-relative:page;" filled="f" stroked="t" coordsize="21600,21600" o:gfxdata="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&#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woeEvXAAAACwEAAA8AAAAAAAAAAQAgAAAAIgAAAGRy&#10;cy9kb3ducmV2LnhtbFBLAQIUABQAAAAIAIdO4kAKvLBrzQEAAJADAAAOAAAAAAAAAAEAIAAAACYB&#10;AABkcnMvZTJvRG9jLnhtbFBLBQYAAAAABgAGAFkBAABlBQAAAAA=&#10;">
                <v:fill on="f" focussize="0,0"/>
                <v:stroke weight="0.96pt" color="#000000" joinstyle="round"/>
                <v:imagedata o:title=""/>
                <o:lock v:ext="edit" aspectratio="f"/>
              </v:line>
            </w:pict>
          </mc:Fallback>
        </mc:AlternateContent>
      </w:r>
      <w:r>
        <mc:AlternateContent>
          <mc:Choice Requires="wps">
            <w:drawing>
              <wp:anchor distT="0" distB="0" distL="114300" distR="114300" simplePos="0" relativeHeight="251731968" behindDoc="0" locked="0" layoutInCell="1" allowOverlap="1">
                <wp:simplePos x="0" y="0"/>
                <wp:positionH relativeFrom="page">
                  <wp:posOffset>1673860</wp:posOffset>
                </wp:positionH>
                <wp:positionV relativeFrom="paragraph">
                  <wp:posOffset>271780</wp:posOffset>
                </wp:positionV>
                <wp:extent cx="0" cy="268605"/>
                <wp:effectExtent l="5080" t="0" r="13970" b="17145"/>
                <wp:wrapNone/>
                <wp:docPr id="154" name="直线 60"/>
                <wp:cNvGraphicFramePr/>
                <a:graphic xmlns:a="http://schemas.openxmlformats.org/drawingml/2006/main">
                  <a:graphicData uri="http://schemas.microsoft.com/office/word/2010/wordprocessingShape">
                    <wps:wsp>
                      <wps:cNvSpPr/>
                      <wps:spPr>
                        <a:xfrm>
                          <a:off x="0" y="0"/>
                          <a:ext cx="0" cy="268605"/>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60" o:spid="_x0000_s1026" o:spt="20" style="position:absolute;left:0pt;margin-left:131.8pt;margin-top:21.4pt;height:21.15pt;width:0pt;mso-position-horizontal-relative:page;z-index:251731968;mso-width-relative:page;mso-height-relative:page;" filled="f" stroked="t" coordsize="21600,21600" o:gfxdata="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e1NVi1wAAAAkBAAAPAAAAAAAAAAEAIAAAACIAAABkcnMv&#10;ZG93bnJldi54bWxQSwECFAAUAAAACACHTuJAQCheBssBAACPAwAADgAAAAAAAAABACAAAAAmAQAA&#10;ZHJzL2Uyb0RvYy54bWxQSwUGAAAAAAYABgBZAQAAYwUAAAAA&#10;">
                <v:fill on="f" focussize="0,0"/>
                <v:stroke weight="0.48pt" color="#000000" joinstyle="round"/>
                <v:imagedata o:title=""/>
                <o:lock v:ext="edit" aspectratio="f"/>
              </v:line>
            </w:pict>
          </mc:Fallback>
        </mc:AlternateContent>
      </w:r>
      <w:r>
        <w:rPr>
          <w:b/>
          <w:sz w:val="21"/>
        </w:rPr>
        <w:t xml:space="preserve">表 </w:t>
      </w:r>
      <w:r>
        <w:rPr>
          <w:rFonts w:ascii="Times New Roman" w:eastAsia="Times New Roman"/>
          <w:b/>
          <w:sz w:val="21"/>
        </w:rPr>
        <w:t xml:space="preserve">7.3-10  </w:t>
      </w:r>
      <w:r>
        <w:rPr>
          <w:b/>
          <w:sz w:val="21"/>
        </w:rPr>
        <w:t>主要污染源估算模型计算结果</w:t>
      </w:r>
      <w:r>
        <w:rPr>
          <w:rFonts w:ascii="Times New Roman" w:eastAsia="Times New Roman"/>
          <w:b/>
          <w:sz w:val="21"/>
        </w:rPr>
        <w:t>(4)</w:t>
      </w:r>
    </w:p>
    <w:p>
      <w:pPr>
        <w:pStyle w:val="9"/>
        <w:spacing w:before="8"/>
        <w:rPr>
          <w:rFonts w:ascii="Times New Roman"/>
          <w:b/>
          <w:sz w:val="11"/>
        </w:rPr>
      </w:pPr>
      <w:r>
        <mc:AlternateContent>
          <mc:Choice Requires="wps">
            <w:drawing>
              <wp:anchor distT="0" distB="0" distL="0" distR="0" simplePos="0" relativeHeight="251727872" behindDoc="1" locked="0" layoutInCell="1" allowOverlap="1">
                <wp:simplePos x="0" y="0"/>
                <wp:positionH relativeFrom="page">
                  <wp:posOffset>837565</wp:posOffset>
                </wp:positionH>
                <wp:positionV relativeFrom="paragraph">
                  <wp:posOffset>100330</wp:posOffset>
                </wp:positionV>
                <wp:extent cx="833120" cy="269240"/>
                <wp:effectExtent l="0" t="0" r="0" b="0"/>
                <wp:wrapTopAndBottom/>
                <wp:docPr id="150" name="文本框 61"/>
                <wp:cNvGraphicFramePr/>
                <a:graphic xmlns:a="http://schemas.openxmlformats.org/drawingml/2006/main">
                  <a:graphicData uri="http://schemas.microsoft.com/office/word/2010/wordprocessingShape">
                    <wps:wsp>
                      <wps:cNvSpPr txBox="1"/>
                      <wps:spPr>
                        <a:xfrm>
                          <a:off x="0" y="0"/>
                          <a:ext cx="833120" cy="269240"/>
                        </a:xfrm>
                        <a:prstGeom prst="rect">
                          <a:avLst/>
                        </a:prstGeom>
                        <a:noFill/>
                        <a:ln>
                          <a:noFill/>
                        </a:ln>
                      </wps:spPr>
                      <wps:txbx>
                        <w:txbxContent>
                          <w:p>
                            <w:pPr>
                              <w:spacing w:before="76"/>
                              <w:ind w:left="127" w:right="0" w:firstLine="0"/>
                              <w:jc w:val="left"/>
                              <w:rPr>
                                <w:sz w:val="21"/>
                              </w:rPr>
                            </w:pPr>
                            <w:r>
                              <w:rPr>
                                <w:sz w:val="21"/>
                              </w:rPr>
                              <w:t>下风向距离</w:t>
                            </w:r>
                          </w:p>
                        </w:txbxContent>
                      </wps:txbx>
                      <wps:bodyPr lIns="0" tIns="0" rIns="0" bIns="0" upright="1"/>
                    </wps:wsp>
                  </a:graphicData>
                </a:graphic>
              </wp:anchor>
            </w:drawing>
          </mc:Choice>
          <mc:Fallback>
            <w:pict>
              <v:shape id="文本框 61" o:spid="_x0000_s1026" o:spt="202" type="#_x0000_t202" style="position:absolute;left:0pt;margin-left:65.95pt;margin-top:7.9pt;height:21.2pt;width:65.6pt;mso-position-horizontal-relative:page;mso-wrap-distance-bottom:0pt;mso-wrap-distance-top:0pt;z-index:-251588608;mso-width-relative:page;mso-height-relative:page;" filled="f" stroked="f" coordsize="21600,21600" o:gfxdata="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U70jXAAAACQEAAA8AAAAAAAAA&#10;AQAgAAAAIgAAAGRycy9kb3ducmV2LnhtbFBLAQIUABQAAAAIAIdO4kDOXb9woAEAACYDAAAOAAAA&#10;AAAAAAEAIAAAACYBAABkcnMvZTJvRG9jLnhtbFBLBQYAAAAABgAGAFkBAAA4BQAAAAA=&#10;">
                <v:fill on="f" focussize="0,0"/>
                <v:stroke on="f"/>
                <v:imagedata o:title=""/>
                <o:lock v:ext="edit" aspectratio="f"/>
                <v:textbox inset="0mm,0mm,0mm,0mm">
                  <w:txbxContent>
                    <w:p>
                      <w:pPr>
                        <w:spacing w:before="76"/>
                        <w:ind w:left="127" w:right="0" w:firstLine="0"/>
                        <w:jc w:val="left"/>
                        <w:rPr>
                          <w:sz w:val="21"/>
                        </w:rPr>
                      </w:pPr>
                      <w:r>
                        <w:rPr>
                          <w:sz w:val="21"/>
                        </w:rPr>
                        <w:t>下风向距离</w:t>
                      </w:r>
                    </w:p>
                  </w:txbxContent>
                </v:textbox>
                <w10:wrap type="topAndBottom"/>
              </v:shape>
            </w:pict>
          </mc:Fallback>
        </mc:AlternateContent>
      </w:r>
      <w:r>
        <mc:AlternateContent>
          <mc:Choice Requires="wps">
            <w:drawing>
              <wp:anchor distT="0" distB="0" distL="0" distR="0" simplePos="0" relativeHeight="251728896" behindDoc="1" locked="0" layoutInCell="1" allowOverlap="1">
                <wp:simplePos x="0" y="0"/>
                <wp:positionH relativeFrom="page">
                  <wp:posOffset>1676400</wp:posOffset>
                </wp:positionH>
                <wp:positionV relativeFrom="paragraph">
                  <wp:posOffset>100330</wp:posOffset>
                </wp:positionV>
                <wp:extent cx="5044440" cy="269240"/>
                <wp:effectExtent l="0" t="0" r="0" b="0"/>
                <wp:wrapTopAndBottom/>
                <wp:docPr id="151" name="文本框 62"/>
                <wp:cNvGraphicFramePr/>
                <a:graphic xmlns:a="http://schemas.openxmlformats.org/drawingml/2006/main">
                  <a:graphicData uri="http://schemas.microsoft.com/office/word/2010/wordprocessingShape">
                    <wps:wsp>
                      <wps:cNvSpPr txBox="1"/>
                      <wps:spPr>
                        <a:xfrm>
                          <a:off x="0" y="0"/>
                          <a:ext cx="5044440" cy="269240"/>
                        </a:xfrm>
                        <a:prstGeom prst="rect">
                          <a:avLst/>
                        </a:prstGeom>
                        <a:noFill/>
                        <a:ln>
                          <a:noFill/>
                        </a:ln>
                      </wps:spPr>
                      <wps:txbx>
                        <w:txbxContent>
                          <w:p>
                            <w:pPr>
                              <w:spacing w:before="76"/>
                              <w:ind w:left="2903" w:right="2900" w:firstLine="0"/>
                              <w:jc w:val="center"/>
                              <w:rPr>
                                <w:sz w:val="21"/>
                              </w:rPr>
                            </w:pPr>
                            <w:r>
                              <w:rPr>
                                <w:sz w:val="21"/>
                              </w:rPr>
                              <w:t>副井工业广场暖风炉房</w:t>
                            </w:r>
                          </w:p>
                        </w:txbxContent>
                      </wps:txbx>
                      <wps:bodyPr lIns="0" tIns="0" rIns="0" bIns="0" upright="1"/>
                    </wps:wsp>
                  </a:graphicData>
                </a:graphic>
              </wp:anchor>
            </w:drawing>
          </mc:Choice>
          <mc:Fallback>
            <w:pict>
              <v:shape id="文本框 62" o:spid="_x0000_s1026" o:spt="202" type="#_x0000_t202" style="position:absolute;left:0pt;margin-left:132pt;margin-top:7.9pt;height:21.2pt;width:397.2pt;mso-position-horizontal-relative:page;mso-wrap-distance-bottom:0pt;mso-wrap-distance-top:0pt;z-index:-251587584;mso-width-relative:page;mso-height-relative:page;" filled="f" stroked="f" coordsize="21600,21600" o:gfxdata="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QVqqfYAAAACgEAAA8AAAAAAAAA&#10;AQAgAAAAIgAAAGRycy9kb3ducmV2LnhtbFBLAQIUABQAAAAIAIdO4kDKUcdHnwEAACcDAAAOAAAA&#10;AAAAAAEAIAAAACcBAABkcnMvZTJvRG9jLnhtbFBLBQYAAAAABgAGAFkBAAA4BQAAAAA=&#10;">
                <v:fill on="f" focussize="0,0"/>
                <v:stroke on="f"/>
                <v:imagedata o:title=""/>
                <o:lock v:ext="edit" aspectratio="f"/>
                <v:textbox inset="0mm,0mm,0mm,0mm">
                  <w:txbxContent>
                    <w:p>
                      <w:pPr>
                        <w:spacing w:before="76"/>
                        <w:ind w:left="2903" w:right="2900" w:firstLine="0"/>
                        <w:jc w:val="center"/>
                        <w:rPr>
                          <w:sz w:val="21"/>
                        </w:rPr>
                      </w:pPr>
                      <w:r>
                        <w:rPr>
                          <w:sz w:val="21"/>
                        </w:rPr>
                        <w:t>副井工业广场暖风炉房</w:t>
                      </w:r>
                    </w:p>
                  </w:txbxContent>
                </v:textbox>
                <w10:wrap type="topAndBottom"/>
              </v:shape>
            </w:pict>
          </mc:Fallback>
        </mc:AlternateContent>
      </w:r>
    </w:p>
    <w:p>
      <w:pPr>
        <w:spacing w:after="0"/>
        <w:rPr>
          <w:rFonts w:ascii="Times New Roman"/>
          <w:sz w:val="11"/>
        </w:rPr>
        <w:sectPr>
          <w:pgSz w:w="11910" w:h="16840"/>
          <w:pgMar w:top="1400" w:right="0" w:bottom="880" w:left="0" w:header="0" w:footer="681" w:gutter="0"/>
        </w:sectPr>
      </w:pP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26"/>
        <w:gridCol w:w="1326"/>
        <w:gridCol w:w="1326"/>
        <w:gridCol w:w="1326"/>
        <w:gridCol w:w="1326"/>
        <w:gridCol w:w="1326"/>
        <w:gridCol w:w="132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4" w:hRule="atLeast"/>
        </w:trPr>
        <w:tc>
          <w:tcPr>
            <w:tcW w:w="1326" w:type="dxa"/>
            <w:tcBorders>
              <w:bottom w:val="single" w:color="000000" w:sz="4" w:space="0"/>
              <w:right w:val="single" w:color="000000" w:sz="4" w:space="0"/>
            </w:tcBorders>
          </w:tcPr>
          <w:p>
            <w:pPr>
              <w:pStyle w:val="19"/>
              <w:jc w:val="left"/>
              <w:rPr>
                <w:rFonts w:ascii="Times New Roman"/>
                <w:sz w:val="20"/>
              </w:rPr>
            </w:pPr>
          </w:p>
        </w:tc>
        <w:tc>
          <w:tcPr>
            <w:tcW w:w="1326" w:type="dxa"/>
            <w:tcBorders>
              <w:left w:val="single" w:color="000000" w:sz="4" w:space="0"/>
              <w:bottom w:val="single" w:color="000000" w:sz="4" w:space="0"/>
              <w:right w:val="single" w:color="000000" w:sz="4" w:space="0"/>
            </w:tcBorders>
          </w:tcPr>
          <w:p>
            <w:pPr>
              <w:pStyle w:val="19"/>
              <w:spacing w:line="274" w:lineRule="exact"/>
              <w:ind w:left="85" w:right="67"/>
              <w:rPr>
                <w:sz w:val="21"/>
              </w:rPr>
            </w:pPr>
            <w:r>
              <w:rPr>
                <w:rFonts w:ascii="Times New Roman" w:eastAsia="Times New Roman"/>
                <w:position w:val="2"/>
                <w:sz w:val="21"/>
              </w:rPr>
              <w:t>PM</w:t>
            </w:r>
            <w:r>
              <w:rPr>
                <w:rFonts w:ascii="Times New Roman" w:eastAsia="Times New Roman"/>
                <w:position w:val="2"/>
                <w:sz w:val="21"/>
                <w:vertAlign w:val="subscript"/>
              </w:rPr>
              <w:t>10</w:t>
            </w:r>
            <w:r>
              <w:rPr>
                <w:rFonts w:ascii="Times New Roman" w:eastAsia="Times New Roman"/>
                <w:position w:val="2"/>
                <w:sz w:val="21"/>
                <w:vertAlign w:val="baseline"/>
              </w:rPr>
              <w:t xml:space="preserve"> </w:t>
            </w:r>
            <w:r>
              <w:rPr>
                <w:position w:val="2"/>
                <w:sz w:val="21"/>
                <w:vertAlign w:val="baseline"/>
              </w:rPr>
              <w:t>浓度</w:t>
            </w:r>
          </w:p>
          <w:p>
            <w:pPr>
              <w:pStyle w:val="19"/>
              <w:spacing w:line="221" w:lineRule="exact"/>
              <w:ind w:left="85" w:right="62"/>
              <w:rPr>
                <w:rFonts w:ascii="Times New Roman" w:hAnsi="Times New Roman"/>
                <w:sz w:val="21"/>
              </w:rPr>
            </w:pPr>
            <w:r>
              <w:rPr>
                <w:rFonts w:ascii="Times New Roman" w:hAnsi="Times New Roman"/>
                <w:sz w:val="21"/>
              </w:rPr>
              <w:t>(μg/m³)</w:t>
            </w:r>
          </w:p>
        </w:tc>
        <w:tc>
          <w:tcPr>
            <w:tcW w:w="1326" w:type="dxa"/>
            <w:tcBorders>
              <w:left w:val="single" w:color="000000" w:sz="4" w:space="0"/>
              <w:bottom w:val="single" w:color="000000" w:sz="4" w:space="0"/>
              <w:right w:val="single" w:color="000000" w:sz="4" w:space="0"/>
            </w:tcBorders>
          </w:tcPr>
          <w:p>
            <w:pPr>
              <w:pStyle w:val="19"/>
              <w:spacing w:line="274" w:lineRule="exact"/>
              <w:ind w:left="85" w:right="67"/>
              <w:rPr>
                <w:sz w:val="21"/>
              </w:rPr>
            </w:pPr>
            <w:r>
              <w:rPr>
                <w:rFonts w:ascii="Times New Roman" w:eastAsia="Times New Roman"/>
                <w:position w:val="2"/>
                <w:sz w:val="21"/>
              </w:rPr>
              <w:t>PM</w:t>
            </w:r>
            <w:r>
              <w:rPr>
                <w:rFonts w:ascii="Times New Roman" w:eastAsia="Times New Roman"/>
                <w:position w:val="2"/>
                <w:sz w:val="21"/>
                <w:vertAlign w:val="subscript"/>
              </w:rPr>
              <w:t>10</w:t>
            </w:r>
            <w:r>
              <w:rPr>
                <w:rFonts w:ascii="Times New Roman" w:eastAsia="Times New Roman"/>
                <w:position w:val="2"/>
                <w:sz w:val="21"/>
                <w:vertAlign w:val="baseline"/>
              </w:rPr>
              <w:t xml:space="preserve"> </w:t>
            </w:r>
            <w:r>
              <w:rPr>
                <w:position w:val="2"/>
                <w:sz w:val="21"/>
                <w:vertAlign w:val="baseline"/>
              </w:rPr>
              <w:t>占标率</w:t>
            </w:r>
          </w:p>
          <w:p>
            <w:pPr>
              <w:pStyle w:val="19"/>
              <w:spacing w:line="221" w:lineRule="exact"/>
              <w:ind w:left="85" w:right="64"/>
              <w:rPr>
                <w:rFonts w:ascii="Times New Roman"/>
                <w:sz w:val="21"/>
              </w:rPr>
            </w:pPr>
            <w:r>
              <w:rPr>
                <w:rFonts w:ascii="Times New Roman"/>
                <w:sz w:val="21"/>
              </w:rPr>
              <w:t>(%)</w:t>
            </w:r>
          </w:p>
        </w:tc>
        <w:tc>
          <w:tcPr>
            <w:tcW w:w="1326" w:type="dxa"/>
            <w:tcBorders>
              <w:left w:val="single" w:color="000000" w:sz="4" w:space="0"/>
              <w:bottom w:val="single" w:color="000000" w:sz="4" w:space="0"/>
              <w:right w:val="single" w:color="000000" w:sz="4" w:space="0"/>
            </w:tcBorders>
          </w:tcPr>
          <w:p>
            <w:pPr>
              <w:pStyle w:val="19"/>
              <w:spacing w:line="274" w:lineRule="exact"/>
              <w:ind w:left="272"/>
              <w:jc w:val="left"/>
              <w:rPr>
                <w:sz w:val="21"/>
              </w:rPr>
            </w:pPr>
            <w:r>
              <w:rPr>
                <w:rFonts w:ascii="Times New Roman" w:eastAsia="Times New Roman"/>
                <w:position w:val="2"/>
                <w:sz w:val="21"/>
              </w:rPr>
              <w:t>SO</w:t>
            </w:r>
            <w:r>
              <w:rPr>
                <w:rFonts w:ascii="Times New Roman" w:eastAsia="Times New Roman"/>
                <w:position w:val="2"/>
                <w:sz w:val="21"/>
                <w:vertAlign w:val="subscript"/>
              </w:rPr>
              <w:t>2</w:t>
            </w:r>
            <w:r>
              <w:rPr>
                <w:rFonts w:ascii="Times New Roman" w:eastAsia="Times New Roman"/>
                <w:position w:val="2"/>
                <w:sz w:val="21"/>
                <w:vertAlign w:val="baseline"/>
              </w:rPr>
              <w:t xml:space="preserve"> </w:t>
            </w:r>
            <w:r>
              <w:rPr>
                <w:position w:val="2"/>
                <w:sz w:val="21"/>
                <w:vertAlign w:val="baseline"/>
              </w:rPr>
              <w:t>浓度</w:t>
            </w:r>
          </w:p>
          <w:p>
            <w:pPr>
              <w:pStyle w:val="19"/>
              <w:spacing w:line="221" w:lineRule="exact"/>
              <w:ind w:left="349"/>
              <w:jc w:val="left"/>
              <w:rPr>
                <w:rFonts w:ascii="Times New Roman" w:hAnsi="Times New Roman"/>
                <w:sz w:val="21"/>
              </w:rPr>
            </w:pPr>
            <w:r>
              <w:rPr>
                <w:rFonts w:ascii="Times New Roman" w:hAnsi="Times New Roman"/>
                <w:sz w:val="21"/>
              </w:rPr>
              <w:t>(μg/m³)</w:t>
            </w:r>
          </w:p>
        </w:tc>
        <w:tc>
          <w:tcPr>
            <w:tcW w:w="1326" w:type="dxa"/>
            <w:tcBorders>
              <w:left w:val="single" w:color="000000" w:sz="4" w:space="0"/>
              <w:bottom w:val="single" w:color="000000" w:sz="4" w:space="0"/>
              <w:right w:val="single" w:color="000000" w:sz="4" w:space="0"/>
            </w:tcBorders>
          </w:tcPr>
          <w:p>
            <w:pPr>
              <w:pStyle w:val="19"/>
              <w:spacing w:line="274" w:lineRule="exact"/>
              <w:ind w:left="85" w:right="67"/>
              <w:rPr>
                <w:sz w:val="21"/>
              </w:rPr>
            </w:pPr>
            <w:r>
              <w:rPr>
                <w:rFonts w:ascii="Times New Roman" w:eastAsia="Times New Roman"/>
                <w:position w:val="2"/>
                <w:sz w:val="21"/>
              </w:rPr>
              <w:t>SO</w:t>
            </w:r>
            <w:r>
              <w:rPr>
                <w:rFonts w:ascii="Times New Roman" w:eastAsia="Times New Roman"/>
                <w:position w:val="2"/>
                <w:sz w:val="21"/>
                <w:vertAlign w:val="subscript"/>
              </w:rPr>
              <w:t>2</w:t>
            </w:r>
            <w:r>
              <w:rPr>
                <w:rFonts w:ascii="Times New Roman" w:eastAsia="Times New Roman"/>
                <w:position w:val="2"/>
                <w:sz w:val="21"/>
                <w:vertAlign w:val="baseline"/>
              </w:rPr>
              <w:t xml:space="preserve"> </w:t>
            </w:r>
            <w:r>
              <w:rPr>
                <w:position w:val="2"/>
                <w:sz w:val="21"/>
                <w:vertAlign w:val="baseline"/>
              </w:rPr>
              <w:t>占标率</w:t>
            </w:r>
          </w:p>
          <w:p>
            <w:pPr>
              <w:pStyle w:val="19"/>
              <w:spacing w:line="221" w:lineRule="exact"/>
              <w:ind w:left="85" w:right="64"/>
              <w:rPr>
                <w:rFonts w:ascii="Times New Roman"/>
                <w:sz w:val="21"/>
              </w:rPr>
            </w:pPr>
            <w:r>
              <w:rPr>
                <w:rFonts w:ascii="Times New Roman"/>
                <w:sz w:val="21"/>
              </w:rPr>
              <w:t>(%)</w:t>
            </w:r>
          </w:p>
        </w:tc>
        <w:tc>
          <w:tcPr>
            <w:tcW w:w="1326" w:type="dxa"/>
            <w:tcBorders>
              <w:left w:val="single" w:color="000000" w:sz="4" w:space="0"/>
              <w:bottom w:val="single" w:color="000000" w:sz="4" w:space="0"/>
              <w:right w:val="single" w:color="000000" w:sz="4" w:space="0"/>
            </w:tcBorders>
          </w:tcPr>
          <w:p>
            <w:pPr>
              <w:pStyle w:val="19"/>
              <w:spacing w:line="274" w:lineRule="exact"/>
              <w:ind w:left="255"/>
              <w:jc w:val="left"/>
              <w:rPr>
                <w:sz w:val="21"/>
              </w:rPr>
            </w:pPr>
            <w:r>
              <w:rPr>
                <w:rFonts w:ascii="Times New Roman" w:eastAsia="Times New Roman"/>
                <w:color w:val="FF0000"/>
                <w:position w:val="2"/>
                <w:sz w:val="21"/>
              </w:rPr>
              <w:t>NO</w:t>
            </w:r>
            <w:r>
              <w:rPr>
                <w:rFonts w:ascii="Times New Roman" w:eastAsia="Times New Roman"/>
                <w:color w:val="FF0000"/>
                <w:position w:val="2"/>
                <w:sz w:val="21"/>
                <w:vertAlign w:val="subscript"/>
              </w:rPr>
              <w:t>x</w:t>
            </w:r>
            <w:r>
              <w:rPr>
                <w:rFonts w:ascii="Times New Roman" w:eastAsia="Times New Roman"/>
                <w:color w:val="FF0000"/>
                <w:position w:val="2"/>
                <w:sz w:val="21"/>
                <w:vertAlign w:val="baseline"/>
              </w:rPr>
              <w:t xml:space="preserve"> </w:t>
            </w:r>
            <w:r>
              <w:rPr>
                <w:color w:val="FF0000"/>
                <w:position w:val="2"/>
                <w:sz w:val="21"/>
                <w:vertAlign w:val="baseline"/>
              </w:rPr>
              <w:t>浓度</w:t>
            </w:r>
          </w:p>
          <w:p>
            <w:pPr>
              <w:pStyle w:val="19"/>
              <w:spacing w:line="221" w:lineRule="exact"/>
              <w:ind w:left="349"/>
              <w:jc w:val="left"/>
              <w:rPr>
                <w:rFonts w:ascii="Times New Roman" w:hAnsi="Times New Roman"/>
                <w:sz w:val="21"/>
              </w:rPr>
            </w:pPr>
            <w:r>
              <w:rPr>
                <w:rFonts w:ascii="Times New Roman" w:hAnsi="Times New Roman"/>
                <w:color w:val="FF0000"/>
                <w:sz w:val="21"/>
              </w:rPr>
              <w:t>(μg/m³)</w:t>
            </w:r>
          </w:p>
        </w:tc>
        <w:tc>
          <w:tcPr>
            <w:tcW w:w="1328" w:type="dxa"/>
            <w:tcBorders>
              <w:left w:val="single" w:color="000000" w:sz="4" w:space="0"/>
              <w:bottom w:val="single" w:color="000000" w:sz="4" w:space="0"/>
            </w:tcBorders>
          </w:tcPr>
          <w:p>
            <w:pPr>
              <w:pStyle w:val="19"/>
              <w:spacing w:line="274" w:lineRule="exact"/>
              <w:ind w:left="121" w:right="97"/>
              <w:rPr>
                <w:sz w:val="21"/>
              </w:rPr>
            </w:pPr>
            <w:r>
              <w:rPr>
                <w:rFonts w:ascii="Times New Roman" w:eastAsia="Times New Roman"/>
                <w:color w:val="FF0000"/>
                <w:position w:val="2"/>
                <w:sz w:val="21"/>
              </w:rPr>
              <w:t>NO</w:t>
            </w:r>
            <w:r>
              <w:rPr>
                <w:rFonts w:ascii="Times New Roman" w:eastAsia="Times New Roman"/>
                <w:color w:val="FF0000"/>
                <w:position w:val="2"/>
                <w:sz w:val="21"/>
                <w:vertAlign w:val="subscript"/>
              </w:rPr>
              <w:t>x</w:t>
            </w:r>
            <w:r>
              <w:rPr>
                <w:rFonts w:ascii="Times New Roman" w:eastAsia="Times New Roman"/>
                <w:color w:val="FF0000"/>
                <w:position w:val="2"/>
                <w:sz w:val="21"/>
                <w:vertAlign w:val="baseline"/>
              </w:rPr>
              <w:t xml:space="preserve"> </w:t>
            </w:r>
            <w:r>
              <w:rPr>
                <w:color w:val="FF0000"/>
                <w:position w:val="2"/>
                <w:sz w:val="21"/>
                <w:vertAlign w:val="baseline"/>
              </w:rPr>
              <w:t>占标率</w:t>
            </w:r>
          </w:p>
          <w:p>
            <w:pPr>
              <w:pStyle w:val="19"/>
              <w:spacing w:line="221" w:lineRule="exact"/>
              <w:ind w:left="121" w:right="97"/>
              <w:rPr>
                <w:rFonts w:ascii="Times New Roman"/>
                <w:sz w:val="21"/>
              </w:rPr>
            </w:pPr>
            <w:r>
              <w:rPr>
                <w:rFonts w:ascii="Times New Roman"/>
                <w:color w:val="FF0000"/>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9"/>
              <w:spacing w:before="89"/>
              <w:ind w:left="135" w:right="123"/>
              <w:rPr>
                <w:rFonts w:ascii="Times New Roman"/>
                <w:sz w:val="21"/>
              </w:rPr>
            </w:pPr>
            <w:r>
              <w:rPr>
                <w:rFonts w:ascii="Times New Roman"/>
                <w:sz w:val="21"/>
              </w:rPr>
              <w:t>10.0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5" w:right="65"/>
              <w:rPr>
                <w:rFonts w:ascii="Times New Roman"/>
                <w:sz w:val="21"/>
              </w:rPr>
            </w:pPr>
            <w:r>
              <w:rPr>
                <w:rFonts w:ascii="Times New Roman"/>
                <w:sz w:val="21"/>
              </w:rPr>
              <w:t>0.05</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4" w:right="67"/>
              <w:rPr>
                <w:rFonts w:ascii="Times New Roman"/>
                <w:sz w:val="21"/>
              </w:rPr>
            </w:pPr>
            <w:r>
              <w:rPr>
                <w:rFonts w:ascii="Times New Roman"/>
                <w:sz w:val="21"/>
              </w:rPr>
              <w:t>0.01</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5" w:right="65"/>
              <w:rPr>
                <w:rFonts w:ascii="Times New Roman"/>
                <w:sz w:val="21"/>
              </w:rPr>
            </w:pPr>
            <w:r>
              <w:rPr>
                <w:rFonts w:ascii="Times New Roman"/>
                <w:sz w:val="21"/>
              </w:rPr>
              <w:t>0.09</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4" w:right="67"/>
              <w:rPr>
                <w:rFonts w:ascii="Times New Roman"/>
                <w:sz w:val="21"/>
              </w:rPr>
            </w:pPr>
            <w:r>
              <w:rPr>
                <w:rFonts w:ascii="Times New Roman"/>
                <w:sz w:val="21"/>
              </w:rPr>
              <w:t>0.02</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483"/>
              <w:jc w:val="left"/>
              <w:rPr>
                <w:rFonts w:ascii="Times New Roman"/>
                <w:sz w:val="21"/>
              </w:rPr>
            </w:pPr>
            <w:r>
              <w:rPr>
                <w:rFonts w:ascii="Times New Roman"/>
                <w:color w:val="FF0000"/>
                <w:sz w:val="21"/>
              </w:rPr>
              <w:t>0.83</w:t>
            </w:r>
          </w:p>
        </w:tc>
        <w:tc>
          <w:tcPr>
            <w:tcW w:w="1328" w:type="dxa"/>
            <w:tcBorders>
              <w:top w:val="single" w:color="000000" w:sz="4" w:space="0"/>
              <w:left w:val="single" w:color="000000" w:sz="4" w:space="0"/>
              <w:bottom w:val="single" w:color="000000" w:sz="4" w:space="0"/>
            </w:tcBorders>
          </w:tcPr>
          <w:p>
            <w:pPr>
              <w:pStyle w:val="19"/>
              <w:spacing w:before="89"/>
              <w:ind w:left="121" w:right="96"/>
              <w:rPr>
                <w:rFonts w:ascii="Times New Roman"/>
                <w:sz w:val="21"/>
              </w:rPr>
            </w:pPr>
            <w:r>
              <w:rPr>
                <w:rFonts w:ascii="Times New Roman"/>
                <w:color w:val="FF0000"/>
                <w:sz w:val="21"/>
              </w:rPr>
              <w:t>0.41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9"/>
              <w:spacing w:before="89"/>
              <w:ind w:left="135" w:right="123"/>
              <w:rPr>
                <w:rFonts w:ascii="Times New Roman"/>
                <w:sz w:val="21"/>
              </w:rPr>
            </w:pPr>
            <w:r>
              <w:rPr>
                <w:rFonts w:ascii="Times New Roman"/>
                <w:sz w:val="21"/>
              </w:rPr>
              <w:t>25.0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5" w:right="65"/>
              <w:rPr>
                <w:rFonts w:ascii="Times New Roman"/>
                <w:sz w:val="21"/>
              </w:rPr>
            </w:pPr>
            <w:r>
              <w:rPr>
                <w:rFonts w:ascii="Times New Roman"/>
                <w:sz w:val="21"/>
              </w:rPr>
              <w:t>0.42</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4" w:right="67"/>
              <w:rPr>
                <w:rFonts w:ascii="Times New Roman"/>
                <w:sz w:val="21"/>
              </w:rPr>
            </w:pPr>
            <w:r>
              <w:rPr>
                <w:rFonts w:ascii="Times New Roman"/>
                <w:sz w:val="21"/>
              </w:rPr>
              <w:t>0.09</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5" w:right="65"/>
              <w:rPr>
                <w:rFonts w:ascii="Times New Roman"/>
                <w:sz w:val="21"/>
              </w:rPr>
            </w:pPr>
            <w:r>
              <w:rPr>
                <w:rFonts w:ascii="Times New Roman"/>
                <w:sz w:val="21"/>
              </w:rPr>
              <w:t>0.84</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4" w:right="67"/>
              <w:rPr>
                <w:rFonts w:ascii="Times New Roman"/>
                <w:sz w:val="21"/>
              </w:rPr>
            </w:pPr>
            <w:r>
              <w:rPr>
                <w:rFonts w:ascii="Times New Roman"/>
                <w:sz w:val="21"/>
              </w:rPr>
              <w:t>0.17</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483"/>
              <w:jc w:val="left"/>
              <w:rPr>
                <w:rFonts w:ascii="Times New Roman"/>
                <w:sz w:val="21"/>
              </w:rPr>
            </w:pPr>
            <w:r>
              <w:rPr>
                <w:rFonts w:ascii="Times New Roman"/>
                <w:color w:val="FF0000"/>
                <w:sz w:val="21"/>
              </w:rPr>
              <w:t>7.32</w:t>
            </w:r>
          </w:p>
        </w:tc>
        <w:tc>
          <w:tcPr>
            <w:tcW w:w="1328" w:type="dxa"/>
            <w:tcBorders>
              <w:top w:val="single" w:color="000000" w:sz="4" w:space="0"/>
              <w:left w:val="single" w:color="000000" w:sz="4" w:space="0"/>
              <w:bottom w:val="single" w:color="000000" w:sz="4" w:space="0"/>
            </w:tcBorders>
          </w:tcPr>
          <w:p>
            <w:pPr>
              <w:pStyle w:val="19"/>
              <w:spacing w:before="89"/>
              <w:ind w:left="121" w:right="96"/>
              <w:rPr>
                <w:rFonts w:ascii="Times New Roman"/>
                <w:sz w:val="21"/>
              </w:rPr>
            </w:pPr>
            <w:r>
              <w:rPr>
                <w:rFonts w:ascii="Times New Roman"/>
                <w:color w:val="FF0000"/>
                <w:sz w:val="21"/>
              </w:rPr>
              <w:t>3.66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9"/>
              <w:spacing w:before="90"/>
              <w:ind w:left="135" w:right="123"/>
              <w:rPr>
                <w:rFonts w:ascii="Times New Roman"/>
                <w:sz w:val="21"/>
              </w:rPr>
            </w:pPr>
            <w:r>
              <w:rPr>
                <w:rFonts w:ascii="Times New Roman"/>
                <w:sz w:val="21"/>
              </w:rPr>
              <w:t>40.0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5" w:right="65"/>
              <w:rPr>
                <w:rFonts w:ascii="Times New Roman"/>
                <w:sz w:val="21"/>
              </w:rPr>
            </w:pPr>
            <w:r>
              <w:rPr>
                <w:rFonts w:ascii="Times New Roman"/>
                <w:sz w:val="21"/>
              </w:rPr>
              <w:t>0.94</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4" w:right="67"/>
              <w:rPr>
                <w:rFonts w:ascii="Times New Roman"/>
                <w:sz w:val="21"/>
              </w:rPr>
            </w:pPr>
            <w:r>
              <w:rPr>
                <w:rFonts w:ascii="Times New Roman"/>
                <w:sz w:val="21"/>
              </w:rPr>
              <w:t>0.21</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5" w:right="65"/>
              <w:rPr>
                <w:rFonts w:ascii="Times New Roman"/>
                <w:sz w:val="21"/>
              </w:rPr>
            </w:pPr>
            <w:r>
              <w:rPr>
                <w:rFonts w:ascii="Times New Roman"/>
                <w:sz w:val="21"/>
              </w:rPr>
              <w:t>1.88</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4" w:right="67"/>
              <w:rPr>
                <w:rFonts w:ascii="Times New Roman"/>
                <w:sz w:val="21"/>
              </w:rPr>
            </w:pPr>
            <w:r>
              <w:rPr>
                <w:rFonts w:ascii="Times New Roman"/>
                <w:sz w:val="21"/>
              </w:rPr>
              <w:t>0.38</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430"/>
              <w:jc w:val="left"/>
              <w:rPr>
                <w:rFonts w:ascii="Times New Roman"/>
                <w:sz w:val="21"/>
              </w:rPr>
            </w:pPr>
            <w:r>
              <w:rPr>
                <w:rFonts w:ascii="Times New Roman"/>
                <w:color w:val="FF0000"/>
                <w:sz w:val="21"/>
              </w:rPr>
              <w:t>16.41</w:t>
            </w:r>
          </w:p>
        </w:tc>
        <w:tc>
          <w:tcPr>
            <w:tcW w:w="1328" w:type="dxa"/>
            <w:tcBorders>
              <w:top w:val="single" w:color="000000" w:sz="4" w:space="0"/>
              <w:left w:val="single" w:color="000000" w:sz="4" w:space="0"/>
              <w:bottom w:val="single" w:color="000000" w:sz="4" w:space="0"/>
            </w:tcBorders>
          </w:tcPr>
          <w:p>
            <w:pPr>
              <w:pStyle w:val="19"/>
              <w:spacing w:before="90"/>
              <w:ind w:left="121" w:right="96"/>
              <w:rPr>
                <w:rFonts w:ascii="Times New Roman"/>
                <w:sz w:val="21"/>
              </w:rPr>
            </w:pPr>
            <w:r>
              <w:rPr>
                <w:rFonts w:ascii="Times New Roman"/>
                <w:color w:val="FF0000"/>
                <w:sz w:val="21"/>
              </w:rPr>
              <w:t>8.20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9"/>
              <w:spacing w:before="90"/>
              <w:ind w:left="135" w:right="123"/>
              <w:rPr>
                <w:rFonts w:ascii="Times New Roman"/>
                <w:sz w:val="21"/>
              </w:rPr>
            </w:pPr>
            <w:r>
              <w:rPr>
                <w:rFonts w:ascii="Times New Roman"/>
                <w:sz w:val="21"/>
              </w:rPr>
              <w:t>50.0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5" w:right="65"/>
              <w:rPr>
                <w:rFonts w:ascii="Times New Roman"/>
                <w:sz w:val="21"/>
              </w:rPr>
            </w:pPr>
            <w:r>
              <w:rPr>
                <w:rFonts w:ascii="Times New Roman"/>
                <w:sz w:val="21"/>
              </w:rPr>
              <w:t>0.86</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4" w:right="67"/>
              <w:rPr>
                <w:rFonts w:ascii="Times New Roman"/>
                <w:sz w:val="21"/>
              </w:rPr>
            </w:pPr>
            <w:r>
              <w:rPr>
                <w:rFonts w:ascii="Times New Roman"/>
                <w:sz w:val="21"/>
              </w:rPr>
              <w:t>0.19</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5" w:right="65"/>
              <w:rPr>
                <w:rFonts w:ascii="Times New Roman"/>
                <w:sz w:val="21"/>
              </w:rPr>
            </w:pPr>
            <w:r>
              <w:rPr>
                <w:rFonts w:ascii="Times New Roman"/>
                <w:sz w:val="21"/>
              </w:rPr>
              <w:t>1.71</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4" w:right="67"/>
              <w:rPr>
                <w:rFonts w:ascii="Times New Roman"/>
                <w:sz w:val="21"/>
              </w:rPr>
            </w:pPr>
            <w:r>
              <w:rPr>
                <w:rFonts w:ascii="Times New Roman"/>
                <w:sz w:val="21"/>
              </w:rPr>
              <w:t>0.34</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430"/>
              <w:jc w:val="left"/>
              <w:rPr>
                <w:rFonts w:ascii="Times New Roman"/>
                <w:sz w:val="21"/>
              </w:rPr>
            </w:pPr>
            <w:r>
              <w:rPr>
                <w:rFonts w:ascii="Times New Roman"/>
                <w:color w:val="FF0000"/>
                <w:sz w:val="21"/>
              </w:rPr>
              <w:t>14.99</w:t>
            </w:r>
          </w:p>
        </w:tc>
        <w:tc>
          <w:tcPr>
            <w:tcW w:w="1328" w:type="dxa"/>
            <w:tcBorders>
              <w:top w:val="single" w:color="000000" w:sz="4" w:space="0"/>
              <w:left w:val="single" w:color="000000" w:sz="4" w:space="0"/>
              <w:bottom w:val="single" w:color="000000" w:sz="4" w:space="0"/>
            </w:tcBorders>
          </w:tcPr>
          <w:p>
            <w:pPr>
              <w:pStyle w:val="19"/>
              <w:spacing w:before="90"/>
              <w:ind w:left="121" w:right="96"/>
              <w:rPr>
                <w:rFonts w:ascii="Times New Roman"/>
                <w:sz w:val="21"/>
              </w:rPr>
            </w:pPr>
            <w:r>
              <w:rPr>
                <w:rFonts w:ascii="Times New Roman"/>
                <w:color w:val="FF0000"/>
                <w:sz w:val="21"/>
              </w:rPr>
              <w:t>7.49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9"/>
              <w:spacing w:before="89"/>
              <w:ind w:left="135" w:right="123"/>
              <w:rPr>
                <w:rFonts w:ascii="Times New Roman"/>
                <w:sz w:val="21"/>
              </w:rPr>
            </w:pPr>
            <w:r>
              <w:rPr>
                <w:rFonts w:ascii="Times New Roman"/>
                <w:sz w:val="21"/>
              </w:rPr>
              <w:t>75.0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5" w:right="65"/>
              <w:rPr>
                <w:rFonts w:ascii="Times New Roman"/>
                <w:sz w:val="21"/>
              </w:rPr>
            </w:pPr>
            <w:r>
              <w:rPr>
                <w:rFonts w:ascii="Times New Roman"/>
                <w:sz w:val="21"/>
              </w:rPr>
              <w:t>0.86</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4" w:right="67"/>
              <w:rPr>
                <w:rFonts w:ascii="Times New Roman"/>
                <w:sz w:val="21"/>
              </w:rPr>
            </w:pPr>
            <w:r>
              <w:rPr>
                <w:rFonts w:ascii="Times New Roman"/>
                <w:sz w:val="21"/>
              </w:rPr>
              <w:t>0.19</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5" w:right="65"/>
              <w:rPr>
                <w:rFonts w:ascii="Times New Roman"/>
                <w:sz w:val="21"/>
              </w:rPr>
            </w:pPr>
            <w:r>
              <w:rPr>
                <w:rFonts w:ascii="Times New Roman"/>
                <w:sz w:val="21"/>
              </w:rPr>
              <w:t>1.72</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4" w:right="67"/>
              <w:rPr>
                <w:rFonts w:ascii="Times New Roman"/>
                <w:sz w:val="21"/>
              </w:rPr>
            </w:pPr>
            <w:r>
              <w:rPr>
                <w:rFonts w:ascii="Times New Roman"/>
                <w:sz w:val="21"/>
              </w:rPr>
              <w:t>0.34</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430"/>
              <w:jc w:val="left"/>
              <w:rPr>
                <w:rFonts w:ascii="Times New Roman"/>
                <w:sz w:val="21"/>
              </w:rPr>
            </w:pPr>
            <w:r>
              <w:rPr>
                <w:rFonts w:ascii="Times New Roman"/>
                <w:color w:val="FF0000"/>
                <w:sz w:val="21"/>
              </w:rPr>
              <w:t>15.01</w:t>
            </w:r>
          </w:p>
        </w:tc>
        <w:tc>
          <w:tcPr>
            <w:tcW w:w="1328" w:type="dxa"/>
            <w:tcBorders>
              <w:top w:val="single" w:color="000000" w:sz="4" w:space="0"/>
              <w:left w:val="single" w:color="000000" w:sz="4" w:space="0"/>
              <w:bottom w:val="single" w:color="000000" w:sz="4" w:space="0"/>
            </w:tcBorders>
          </w:tcPr>
          <w:p>
            <w:pPr>
              <w:pStyle w:val="19"/>
              <w:spacing w:before="89"/>
              <w:ind w:left="121" w:right="96"/>
              <w:rPr>
                <w:rFonts w:ascii="Times New Roman"/>
                <w:sz w:val="21"/>
              </w:rPr>
            </w:pPr>
            <w:r>
              <w:rPr>
                <w:rFonts w:ascii="Times New Roman"/>
                <w:color w:val="FF0000"/>
                <w:sz w:val="21"/>
              </w:rPr>
              <w:t>7.50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9"/>
              <w:spacing w:before="89"/>
              <w:ind w:left="136" w:right="121"/>
              <w:rPr>
                <w:rFonts w:ascii="Times New Roman"/>
                <w:sz w:val="21"/>
              </w:rPr>
            </w:pPr>
            <w:r>
              <w:rPr>
                <w:rFonts w:ascii="Times New Roman"/>
                <w:sz w:val="21"/>
              </w:rPr>
              <w:t>100.0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5" w:right="65"/>
              <w:rPr>
                <w:rFonts w:ascii="Times New Roman"/>
                <w:sz w:val="21"/>
              </w:rPr>
            </w:pPr>
            <w:r>
              <w:rPr>
                <w:rFonts w:ascii="Times New Roman"/>
                <w:sz w:val="21"/>
              </w:rPr>
              <w:t>0.84</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4" w:right="67"/>
              <w:rPr>
                <w:rFonts w:ascii="Times New Roman"/>
                <w:sz w:val="21"/>
              </w:rPr>
            </w:pPr>
            <w:r>
              <w:rPr>
                <w:rFonts w:ascii="Times New Roman"/>
                <w:sz w:val="21"/>
              </w:rPr>
              <w:t>0.19</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5" w:right="65"/>
              <w:rPr>
                <w:rFonts w:ascii="Times New Roman"/>
                <w:sz w:val="21"/>
              </w:rPr>
            </w:pPr>
            <w:r>
              <w:rPr>
                <w:rFonts w:ascii="Times New Roman"/>
                <w:sz w:val="21"/>
              </w:rPr>
              <w:t>1.68</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4" w:right="67"/>
              <w:rPr>
                <w:rFonts w:ascii="Times New Roman"/>
                <w:sz w:val="21"/>
              </w:rPr>
            </w:pPr>
            <w:r>
              <w:rPr>
                <w:rFonts w:ascii="Times New Roman"/>
                <w:sz w:val="21"/>
              </w:rPr>
              <w:t>0.34</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430"/>
              <w:jc w:val="left"/>
              <w:rPr>
                <w:rFonts w:ascii="Times New Roman"/>
                <w:sz w:val="21"/>
              </w:rPr>
            </w:pPr>
            <w:r>
              <w:rPr>
                <w:rFonts w:ascii="Times New Roman"/>
                <w:color w:val="FF0000"/>
                <w:sz w:val="21"/>
              </w:rPr>
              <w:t>14.71</w:t>
            </w:r>
          </w:p>
        </w:tc>
        <w:tc>
          <w:tcPr>
            <w:tcW w:w="1328" w:type="dxa"/>
            <w:tcBorders>
              <w:top w:val="single" w:color="000000" w:sz="4" w:space="0"/>
              <w:left w:val="single" w:color="000000" w:sz="4" w:space="0"/>
              <w:bottom w:val="single" w:color="000000" w:sz="4" w:space="0"/>
            </w:tcBorders>
          </w:tcPr>
          <w:p>
            <w:pPr>
              <w:pStyle w:val="19"/>
              <w:spacing w:before="89"/>
              <w:ind w:left="121" w:right="96"/>
              <w:rPr>
                <w:rFonts w:ascii="Times New Roman"/>
                <w:sz w:val="21"/>
              </w:rPr>
            </w:pPr>
            <w:r>
              <w:rPr>
                <w:rFonts w:ascii="Times New Roman"/>
                <w:color w:val="FF0000"/>
                <w:sz w:val="21"/>
              </w:rPr>
              <w:t>7.36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9"/>
              <w:spacing w:before="90"/>
              <w:ind w:left="136" w:right="118"/>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5" w:right="65"/>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5" w:right="62"/>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5" w:right="65"/>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5" w:right="62"/>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5" w:right="65"/>
              <w:rPr>
                <w:rFonts w:ascii="Times New Roman"/>
                <w:sz w:val="21"/>
              </w:rPr>
            </w:pPr>
            <w:r>
              <w:rPr>
                <w:rFonts w:ascii="Times New Roman"/>
                <w:color w:val="FF0000"/>
                <w:sz w:val="21"/>
              </w:rPr>
              <w:t>...</w:t>
            </w:r>
          </w:p>
        </w:tc>
        <w:tc>
          <w:tcPr>
            <w:tcW w:w="1328" w:type="dxa"/>
            <w:tcBorders>
              <w:top w:val="single" w:color="000000" w:sz="4" w:space="0"/>
              <w:left w:val="single" w:color="000000" w:sz="4" w:space="0"/>
              <w:bottom w:val="single" w:color="000000" w:sz="4" w:space="0"/>
            </w:tcBorders>
          </w:tcPr>
          <w:p>
            <w:pPr>
              <w:pStyle w:val="19"/>
              <w:spacing w:before="90"/>
              <w:ind w:left="121" w:right="95"/>
              <w:rPr>
                <w:rFonts w:ascii="Times New Roman"/>
                <w:sz w:val="21"/>
              </w:rPr>
            </w:pPr>
            <w:r>
              <w:rPr>
                <w:rFonts w:ascii="Times New Roman"/>
                <w:color w:val="FF0000"/>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9"/>
              <w:spacing w:before="90"/>
              <w:ind w:left="133" w:right="123"/>
              <w:rPr>
                <w:rFonts w:ascii="Times New Roman"/>
                <w:sz w:val="21"/>
              </w:rPr>
            </w:pPr>
            <w:r>
              <w:rPr>
                <w:rFonts w:ascii="Times New Roman"/>
                <w:sz w:val="21"/>
              </w:rPr>
              <w:t>24800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4" w:right="67"/>
              <w:rPr>
                <w:rFonts w:ascii="Times New Roman"/>
                <w:sz w:val="21"/>
              </w:rPr>
            </w:pPr>
            <w:r>
              <w:rPr>
                <w:rFonts w:ascii="Times New Roman"/>
                <w:sz w:val="21"/>
              </w:rPr>
              <w:t>0.06</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4" w:right="67"/>
              <w:rPr>
                <w:rFonts w:ascii="Times New Roman"/>
                <w:sz w:val="21"/>
              </w:rPr>
            </w:pPr>
            <w:r>
              <w:rPr>
                <w:rFonts w:ascii="Times New Roman"/>
                <w:sz w:val="21"/>
              </w:rPr>
              <w:t>0.01</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5" w:right="63"/>
              <w:rPr>
                <w:rFonts w:ascii="Times New Roman"/>
                <w:sz w:val="21"/>
              </w:rPr>
            </w:pPr>
            <w:r>
              <w:rPr>
                <w:rFonts w:ascii="Times New Roman"/>
                <w:sz w:val="21"/>
              </w:rPr>
              <w:t>0.11</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4" w:right="67"/>
              <w:rPr>
                <w:rFonts w:ascii="Times New Roman"/>
                <w:sz w:val="21"/>
              </w:rPr>
            </w:pPr>
            <w:r>
              <w:rPr>
                <w:rFonts w:ascii="Times New Roman"/>
                <w:sz w:val="21"/>
              </w:rPr>
              <w:t>0.02</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483"/>
              <w:jc w:val="left"/>
              <w:rPr>
                <w:rFonts w:ascii="Times New Roman"/>
                <w:sz w:val="21"/>
              </w:rPr>
            </w:pPr>
            <w:r>
              <w:rPr>
                <w:rFonts w:ascii="Times New Roman"/>
                <w:color w:val="FF0000"/>
                <w:sz w:val="21"/>
              </w:rPr>
              <w:t>0.98</w:t>
            </w:r>
          </w:p>
        </w:tc>
        <w:tc>
          <w:tcPr>
            <w:tcW w:w="1328" w:type="dxa"/>
            <w:tcBorders>
              <w:top w:val="single" w:color="000000" w:sz="4" w:space="0"/>
              <w:left w:val="single" w:color="000000" w:sz="4" w:space="0"/>
              <w:bottom w:val="single" w:color="000000" w:sz="4" w:space="0"/>
            </w:tcBorders>
          </w:tcPr>
          <w:p>
            <w:pPr>
              <w:pStyle w:val="19"/>
              <w:spacing w:before="90"/>
              <w:ind w:left="121" w:right="96"/>
              <w:rPr>
                <w:rFonts w:ascii="Times New Roman"/>
                <w:sz w:val="21"/>
              </w:rPr>
            </w:pPr>
            <w:r>
              <w:rPr>
                <w:rFonts w:ascii="Times New Roman"/>
                <w:color w:val="FF0000"/>
                <w:sz w:val="21"/>
              </w:rPr>
              <w:t>0.49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9"/>
              <w:spacing w:before="89"/>
              <w:ind w:left="133" w:right="123"/>
              <w:rPr>
                <w:rFonts w:ascii="Times New Roman"/>
                <w:sz w:val="21"/>
              </w:rPr>
            </w:pPr>
            <w:r>
              <w:rPr>
                <w:rFonts w:ascii="Times New Roman"/>
                <w:sz w:val="21"/>
              </w:rPr>
              <w:t>25000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4" w:right="67"/>
              <w:rPr>
                <w:rFonts w:ascii="Times New Roman"/>
                <w:sz w:val="21"/>
              </w:rPr>
            </w:pPr>
            <w:r>
              <w:rPr>
                <w:rFonts w:ascii="Times New Roman"/>
                <w:sz w:val="21"/>
              </w:rPr>
              <w:t>0.06</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4" w:right="67"/>
              <w:rPr>
                <w:rFonts w:ascii="Times New Roman"/>
                <w:sz w:val="21"/>
              </w:rPr>
            </w:pPr>
            <w:r>
              <w:rPr>
                <w:rFonts w:ascii="Times New Roman"/>
                <w:sz w:val="21"/>
              </w:rPr>
              <w:t>0.01</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5" w:right="63"/>
              <w:rPr>
                <w:rFonts w:ascii="Times New Roman"/>
                <w:sz w:val="21"/>
              </w:rPr>
            </w:pPr>
            <w:r>
              <w:rPr>
                <w:rFonts w:ascii="Times New Roman"/>
                <w:sz w:val="21"/>
              </w:rPr>
              <w:t>0.11</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4" w:right="67"/>
              <w:rPr>
                <w:rFonts w:ascii="Times New Roman"/>
                <w:sz w:val="21"/>
              </w:rPr>
            </w:pPr>
            <w:r>
              <w:rPr>
                <w:rFonts w:ascii="Times New Roman"/>
                <w:sz w:val="21"/>
              </w:rPr>
              <w:t>0.02</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483"/>
              <w:jc w:val="left"/>
              <w:rPr>
                <w:rFonts w:ascii="Times New Roman"/>
                <w:sz w:val="21"/>
              </w:rPr>
            </w:pPr>
            <w:r>
              <w:rPr>
                <w:rFonts w:ascii="Times New Roman"/>
                <w:color w:val="FF0000"/>
                <w:sz w:val="21"/>
              </w:rPr>
              <w:t>0.98</w:t>
            </w:r>
          </w:p>
        </w:tc>
        <w:tc>
          <w:tcPr>
            <w:tcW w:w="1328" w:type="dxa"/>
            <w:tcBorders>
              <w:top w:val="single" w:color="000000" w:sz="4" w:space="0"/>
              <w:left w:val="single" w:color="000000" w:sz="4" w:space="0"/>
              <w:bottom w:val="single" w:color="000000" w:sz="4" w:space="0"/>
            </w:tcBorders>
          </w:tcPr>
          <w:p>
            <w:pPr>
              <w:pStyle w:val="19"/>
              <w:spacing w:before="89"/>
              <w:ind w:left="121" w:right="96"/>
              <w:rPr>
                <w:rFonts w:ascii="Times New Roman"/>
                <w:sz w:val="21"/>
              </w:rPr>
            </w:pPr>
            <w:r>
              <w:rPr>
                <w:rFonts w:ascii="Times New Roman"/>
                <w:color w:val="FF0000"/>
                <w:sz w:val="21"/>
              </w:rPr>
              <w:t>0.49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trPr>
        <w:tc>
          <w:tcPr>
            <w:tcW w:w="1326" w:type="dxa"/>
            <w:tcBorders>
              <w:top w:val="single" w:color="000000" w:sz="4" w:space="0"/>
              <w:bottom w:val="single" w:color="000000" w:sz="4" w:space="0"/>
              <w:right w:val="single" w:color="000000" w:sz="4" w:space="0"/>
            </w:tcBorders>
          </w:tcPr>
          <w:p>
            <w:pPr>
              <w:pStyle w:val="19"/>
              <w:spacing w:line="242" w:lineRule="auto"/>
              <w:ind w:left="107" w:right="90" w:hanging="5"/>
              <w:rPr>
                <w:sz w:val="23"/>
              </w:rPr>
            </w:pPr>
            <w:r>
              <w:rPr>
                <w:sz w:val="21"/>
              </w:rPr>
              <w:t>下风向最大浓度</w:t>
            </w:r>
            <w:r>
              <w:rPr>
                <w:sz w:val="23"/>
              </w:rPr>
              <w:t>及其占</w:t>
            </w:r>
          </w:p>
          <w:p>
            <w:pPr>
              <w:pStyle w:val="19"/>
              <w:spacing w:before="1" w:line="278" w:lineRule="exact"/>
              <w:ind w:left="136" w:right="123"/>
              <w:rPr>
                <w:sz w:val="23"/>
              </w:rPr>
            </w:pPr>
            <w:r>
              <w:rPr>
                <w:sz w:val="23"/>
              </w:rPr>
              <w:t>标率</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
              <w:jc w:val="left"/>
              <w:rPr>
                <w:rFonts w:ascii="Times New Roman"/>
                <w:b/>
                <w:sz w:val="27"/>
              </w:rPr>
            </w:pPr>
          </w:p>
          <w:p>
            <w:pPr>
              <w:pStyle w:val="19"/>
              <w:ind w:left="85" w:right="65"/>
              <w:rPr>
                <w:rFonts w:ascii="Times New Roman"/>
                <w:sz w:val="21"/>
              </w:rPr>
            </w:pPr>
            <w:r>
              <w:rPr>
                <w:rFonts w:ascii="Times New Roman"/>
                <w:sz w:val="21"/>
              </w:rPr>
              <w:t>0.94</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
              <w:jc w:val="left"/>
              <w:rPr>
                <w:rFonts w:ascii="Times New Roman"/>
                <w:b/>
                <w:sz w:val="27"/>
              </w:rPr>
            </w:pPr>
          </w:p>
          <w:p>
            <w:pPr>
              <w:pStyle w:val="19"/>
              <w:ind w:left="84" w:right="67"/>
              <w:rPr>
                <w:rFonts w:ascii="Times New Roman"/>
                <w:sz w:val="21"/>
              </w:rPr>
            </w:pPr>
            <w:r>
              <w:rPr>
                <w:rFonts w:ascii="Times New Roman"/>
                <w:sz w:val="21"/>
              </w:rPr>
              <w:t>0.21</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
              <w:jc w:val="left"/>
              <w:rPr>
                <w:rFonts w:ascii="Times New Roman"/>
                <w:b/>
                <w:sz w:val="27"/>
              </w:rPr>
            </w:pPr>
          </w:p>
          <w:p>
            <w:pPr>
              <w:pStyle w:val="19"/>
              <w:ind w:left="85" w:right="65"/>
              <w:rPr>
                <w:rFonts w:ascii="Times New Roman"/>
                <w:sz w:val="21"/>
              </w:rPr>
            </w:pPr>
            <w:r>
              <w:rPr>
                <w:rFonts w:ascii="Times New Roman"/>
                <w:sz w:val="21"/>
              </w:rPr>
              <w:t>1.88</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
              <w:jc w:val="left"/>
              <w:rPr>
                <w:rFonts w:ascii="Times New Roman"/>
                <w:b/>
                <w:sz w:val="27"/>
              </w:rPr>
            </w:pPr>
          </w:p>
          <w:p>
            <w:pPr>
              <w:pStyle w:val="19"/>
              <w:ind w:left="84" w:right="67"/>
              <w:rPr>
                <w:rFonts w:ascii="Times New Roman"/>
                <w:sz w:val="21"/>
              </w:rPr>
            </w:pPr>
            <w:r>
              <w:rPr>
                <w:rFonts w:ascii="Times New Roman"/>
                <w:sz w:val="21"/>
              </w:rPr>
              <w:t>0.38</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1"/>
              <w:jc w:val="left"/>
              <w:rPr>
                <w:rFonts w:ascii="Times New Roman"/>
                <w:b/>
                <w:sz w:val="27"/>
              </w:rPr>
            </w:pPr>
          </w:p>
          <w:p>
            <w:pPr>
              <w:pStyle w:val="19"/>
              <w:ind w:left="430"/>
              <w:jc w:val="left"/>
              <w:rPr>
                <w:rFonts w:ascii="Times New Roman"/>
                <w:sz w:val="21"/>
              </w:rPr>
            </w:pPr>
            <w:r>
              <w:rPr>
                <w:rFonts w:ascii="Times New Roman"/>
                <w:color w:val="FF0000"/>
                <w:sz w:val="21"/>
              </w:rPr>
              <w:t>16.41</w:t>
            </w:r>
          </w:p>
        </w:tc>
        <w:tc>
          <w:tcPr>
            <w:tcW w:w="1328" w:type="dxa"/>
            <w:tcBorders>
              <w:top w:val="single" w:color="000000" w:sz="4" w:space="0"/>
              <w:left w:val="single" w:color="000000" w:sz="4" w:space="0"/>
              <w:bottom w:val="single" w:color="000000" w:sz="4" w:space="0"/>
            </w:tcBorders>
          </w:tcPr>
          <w:p>
            <w:pPr>
              <w:pStyle w:val="19"/>
              <w:spacing w:before="1"/>
              <w:jc w:val="left"/>
              <w:rPr>
                <w:rFonts w:ascii="Times New Roman"/>
                <w:b/>
                <w:sz w:val="27"/>
              </w:rPr>
            </w:pPr>
          </w:p>
          <w:p>
            <w:pPr>
              <w:pStyle w:val="19"/>
              <w:ind w:left="121" w:right="96"/>
              <w:rPr>
                <w:rFonts w:ascii="Times New Roman"/>
                <w:sz w:val="21"/>
              </w:rPr>
            </w:pPr>
            <w:r>
              <w:rPr>
                <w:rFonts w:ascii="Times New Roman"/>
                <w:color w:val="FF0000"/>
                <w:sz w:val="21"/>
              </w:rPr>
              <w:t>8.20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1326" w:type="dxa"/>
            <w:tcBorders>
              <w:top w:val="single" w:color="000000" w:sz="4" w:space="0"/>
              <w:bottom w:val="single" w:color="000000" w:sz="4" w:space="0"/>
              <w:right w:val="single" w:color="000000" w:sz="4" w:space="0"/>
            </w:tcBorders>
          </w:tcPr>
          <w:p>
            <w:pPr>
              <w:pStyle w:val="19"/>
              <w:spacing w:line="242" w:lineRule="auto"/>
              <w:ind w:left="136" w:right="123"/>
              <w:rPr>
                <w:sz w:val="21"/>
              </w:rPr>
            </w:pPr>
            <w:r>
              <w:rPr>
                <w:sz w:val="21"/>
              </w:rPr>
              <w:t>下风向最大浓度出现距</w:t>
            </w:r>
          </w:p>
          <w:p>
            <w:pPr>
              <w:pStyle w:val="19"/>
              <w:spacing w:before="1" w:line="252" w:lineRule="exact"/>
              <w:ind w:left="11"/>
              <w:rPr>
                <w:sz w:val="21"/>
              </w:rPr>
            </w:pPr>
            <w:r>
              <w:rPr>
                <w:w w:val="99"/>
                <w:sz w:val="21"/>
              </w:rPr>
              <w:t>离</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
              <w:jc w:val="left"/>
              <w:rPr>
                <w:rFonts w:ascii="Times New Roman"/>
                <w:b/>
                <w:sz w:val="24"/>
              </w:rPr>
            </w:pPr>
          </w:p>
          <w:p>
            <w:pPr>
              <w:pStyle w:val="19"/>
              <w:ind w:left="85" w:right="65"/>
              <w:rPr>
                <w:rFonts w:ascii="Times New Roman"/>
                <w:sz w:val="21"/>
              </w:rPr>
            </w:pPr>
            <w:r>
              <w:rPr>
                <w:rFonts w:ascii="Times New Roman"/>
                <w:sz w:val="21"/>
              </w:rPr>
              <w:t>40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
              <w:jc w:val="left"/>
              <w:rPr>
                <w:rFonts w:ascii="Times New Roman"/>
                <w:b/>
                <w:sz w:val="24"/>
              </w:rPr>
            </w:pPr>
          </w:p>
          <w:p>
            <w:pPr>
              <w:pStyle w:val="19"/>
              <w:ind w:left="84" w:right="67"/>
              <w:rPr>
                <w:rFonts w:ascii="Times New Roman"/>
                <w:sz w:val="21"/>
              </w:rPr>
            </w:pPr>
            <w:r>
              <w:rPr>
                <w:rFonts w:ascii="Times New Roman"/>
                <w:sz w:val="21"/>
              </w:rPr>
              <w:t>40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
              <w:jc w:val="left"/>
              <w:rPr>
                <w:rFonts w:ascii="Times New Roman"/>
                <w:b/>
                <w:sz w:val="24"/>
              </w:rPr>
            </w:pPr>
          </w:p>
          <w:p>
            <w:pPr>
              <w:pStyle w:val="19"/>
              <w:ind w:left="85" w:right="65"/>
              <w:rPr>
                <w:rFonts w:ascii="Times New Roman"/>
                <w:sz w:val="21"/>
              </w:rPr>
            </w:pPr>
            <w:r>
              <w:rPr>
                <w:rFonts w:ascii="Times New Roman"/>
                <w:sz w:val="21"/>
              </w:rPr>
              <w:t>40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
              <w:jc w:val="left"/>
              <w:rPr>
                <w:rFonts w:ascii="Times New Roman"/>
                <w:b/>
                <w:sz w:val="24"/>
              </w:rPr>
            </w:pPr>
          </w:p>
          <w:p>
            <w:pPr>
              <w:pStyle w:val="19"/>
              <w:ind w:left="84" w:right="67"/>
              <w:rPr>
                <w:rFonts w:ascii="Times New Roman"/>
                <w:sz w:val="21"/>
              </w:rPr>
            </w:pPr>
            <w:r>
              <w:rPr>
                <w:rFonts w:ascii="Times New Roman"/>
                <w:sz w:val="21"/>
              </w:rPr>
              <w:t>40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
              <w:jc w:val="left"/>
              <w:rPr>
                <w:rFonts w:ascii="Times New Roman"/>
                <w:b/>
                <w:sz w:val="24"/>
              </w:rPr>
            </w:pPr>
          </w:p>
          <w:p>
            <w:pPr>
              <w:pStyle w:val="19"/>
              <w:ind w:left="85" w:right="65"/>
              <w:rPr>
                <w:rFonts w:ascii="Times New Roman"/>
                <w:sz w:val="21"/>
              </w:rPr>
            </w:pPr>
            <w:r>
              <w:rPr>
                <w:rFonts w:ascii="Times New Roman"/>
                <w:sz w:val="21"/>
              </w:rPr>
              <w:t>40</w:t>
            </w:r>
          </w:p>
        </w:tc>
        <w:tc>
          <w:tcPr>
            <w:tcW w:w="1328" w:type="dxa"/>
            <w:tcBorders>
              <w:top w:val="single" w:color="000000" w:sz="4" w:space="0"/>
              <w:left w:val="single" w:color="000000" w:sz="4" w:space="0"/>
              <w:bottom w:val="single" w:color="000000" w:sz="4" w:space="0"/>
            </w:tcBorders>
          </w:tcPr>
          <w:p>
            <w:pPr>
              <w:pStyle w:val="19"/>
              <w:spacing w:before="9"/>
              <w:jc w:val="left"/>
              <w:rPr>
                <w:rFonts w:ascii="Times New Roman"/>
                <w:b/>
                <w:sz w:val="24"/>
              </w:rPr>
            </w:pPr>
          </w:p>
          <w:p>
            <w:pPr>
              <w:pStyle w:val="19"/>
              <w:ind w:left="120" w:right="97"/>
              <w:rPr>
                <w:rFonts w:ascii="Times New Roman"/>
                <w:sz w:val="21"/>
              </w:rPr>
            </w:pPr>
            <w:r>
              <w:rPr>
                <w:rFonts w:ascii="Times New Roman"/>
                <w:sz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1326" w:type="dxa"/>
            <w:tcBorders>
              <w:top w:val="single" w:color="000000" w:sz="4" w:space="0"/>
              <w:right w:val="single" w:color="000000" w:sz="4" w:space="0"/>
            </w:tcBorders>
          </w:tcPr>
          <w:p>
            <w:pPr>
              <w:pStyle w:val="19"/>
              <w:spacing w:before="1"/>
              <w:ind w:left="134" w:right="123"/>
              <w:rPr>
                <w:sz w:val="21"/>
              </w:rPr>
            </w:pPr>
            <w:r>
              <w:rPr>
                <w:rFonts w:ascii="Times New Roman" w:eastAsia="Times New Roman"/>
                <w:sz w:val="21"/>
              </w:rPr>
              <w:t>D10%</w:t>
            </w:r>
            <w:r>
              <w:rPr>
                <w:sz w:val="21"/>
              </w:rPr>
              <w:t>最远</w:t>
            </w:r>
          </w:p>
          <w:p>
            <w:pPr>
              <w:pStyle w:val="19"/>
              <w:spacing w:before="2" w:line="252" w:lineRule="exact"/>
              <w:ind w:left="136" w:right="123"/>
              <w:rPr>
                <w:sz w:val="21"/>
              </w:rPr>
            </w:pPr>
            <w:r>
              <w:rPr>
                <w:sz w:val="21"/>
              </w:rPr>
              <w:t>距离</w:t>
            </w:r>
          </w:p>
        </w:tc>
        <w:tc>
          <w:tcPr>
            <w:tcW w:w="1326" w:type="dxa"/>
            <w:tcBorders>
              <w:top w:val="single" w:color="000000" w:sz="4" w:space="0"/>
              <w:left w:val="single" w:color="000000" w:sz="4" w:space="0"/>
              <w:right w:val="single" w:color="000000" w:sz="4" w:space="0"/>
            </w:tcBorders>
          </w:tcPr>
          <w:p>
            <w:pPr>
              <w:pStyle w:val="19"/>
              <w:spacing w:before="149"/>
              <w:ind w:left="16"/>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9"/>
              <w:spacing w:before="149"/>
              <w:ind w:left="19"/>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9"/>
              <w:spacing w:before="149"/>
              <w:ind w:left="16"/>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9"/>
              <w:spacing w:before="149"/>
              <w:ind w:left="19"/>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9"/>
              <w:spacing w:before="149"/>
              <w:ind w:left="16"/>
              <w:rPr>
                <w:rFonts w:ascii="Times New Roman"/>
                <w:sz w:val="21"/>
              </w:rPr>
            </w:pPr>
            <w:r>
              <w:rPr>
                <w:rFonts w:ascii="Times New Roman"/>
                <w:w w:val="99"/>
                <w:sz w:val="21"/>
              </w:rPr>
              <w:t>/</w:t>
            </w:r>
          </w:p>
        </w:tc>
        <w:tc>
          <w:tcPr>
            <w:tcW w:w="1328" w:type="dxa"/>
            <w:tcBorders>
              <w:top w:val="single" w:color="000000" w:sz="4" w:space="0"/>
              <w:left w:val="single" w:color="000000" w:sz="4" w:space="0"/>
            </w:tcBorders>
          </w:tcPr>
          <w:p>
            <w:pPr>
              <w:pStyle w:val="19"/>
              <w:spacing w:before="149"/>
              <w:ind w:left="22"/>
              <w:rPr>
                <w:rFonts w:ascii="Times New Roman"/>
                <w:sz w:val="21"/>
              </w:rPr>
            </w:pPr>
            <w:r>
              <w:rPr>
                <w:rFonts w:ascii="Times New Roman"/>
                <w:w w:val="99"/>
                <w:sz w:val="21"/>
              </w:rPr>
              <w:t>/</w:t>
            </w:r>
          </w:p>
        </w:tc>
      </w:tr>
    </w:tbl>
    <w:p>
      <w:pPr>
        <w:spacing w:before="1"/>
        <w:ind w:left="12" w:right="0" w:firstLine="0"/>
        <w:jc w:val="center"/>
        <w:rPr>
          <w:rFonts w:ascii="Times New Roman" w:eastAsia="Times New Roman"/>
          <w:b/>
          <w:sz w:val="21"/>
        </w:rPr>
      </w:pPr>
      <w:r>
        <w:rPr>
          <w:b/>
          <w:spacing w:val="-26"/>
          <w:sz w:val="21"/>
        </w:rPr>
        <w:t xml:space="preserve">表 </w:t>
      </w:r>
      <w:r>
        <w:rPr>
          <w:rFonts w:ascii="Times New Roman" w:eastAsia="Times New Roman"/>
          <w:b/>
          <w:sz w:val="21"/>
        </w:rPr>
        <w:t>7.3-11</w:t>
      </w:r>
      <w:r>
        <w:rPr>
          <w:rFonts w:ascii="Times New Roman" w:eastAsia="Times New Roman"/>
          <w:b/>
          <w:spacing w:val="51"/>
          <w:sz w:val="21"/>
        </w:rPr>
        <w:t xml:space="preserve"> </w:t>
      </w:r>
      <w:r>
        <w:rPr>
          <w:b/>
          <w:sz w:val="21"/>
        </w:rPr>
        <w:t>主要污染源估算模型计算结果</w:t>
      </w:r>
      <w:r>
        <w:rPr>
          <w:rFonts w:ascii="Times New Roman" w:eastAsia="Times New Roman"/>
          <w:b/>
          <w:sz w:val="21"/>
        </w:rPr>
        <w:t>(5)</w:t>
      </w:r>
    </w:p>
    <w:p>
      <w:pPr>
        <w:pStyle w:val="9"/>
        <w:spacing w:before="1"/>
        <w:rPr>
          <w:rFonts w:ascii="Times New Roman"/>
          <w:b/>
          <w:sz w:val="12"/>
        </w:rPr>
      </w:pP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26"/>
        <w:gridCol w:w="1326"/>
        <w:gridCol w:w="1326"/>
        <w:gridCol w:w="1326"/>
        <w:gridCol w:w="1326"/>
        <w:gridCol w:w="1326"/>
        <w:gridCol w:w="132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vMerge w:val="restart"/>
            <w:tcBorders>
              <w:bottom w:val="single" w:color="000000" w:sz="4" w:space="0"/>
              <w:right w:val="single" w:color="000000" w:sz="4" w:space="0"/>
            </w:tcBorders>
          </w:tcPr>
          <w:p>
            <w:pPr>
              <w:pStyle w:val="19"/>
              <w:spacing w:before="4"/>
              <w:jc w:val="left"/>
              <w:rPr>
                <w:rFonts w:ascii="Times New Roman"/>
                <w:b/>
                <w:sz w:val="29"/>
              </w:rPr>
            </w:pPr>
          </w:p>
          <w:p>
            <w:pPr>
              <w:pStyle w:val="19"/>
              <w:ind w:left="136"/>
              <w:jc w:val="left"/>
              <w:rPr>
                <w:sz w:val="21"/>
              </w:rPr>
            </w:pPr>
            <w:r>
              <w:rPr>
                <w:sz w:val="21"/>
              </w:rPr>
              <w:t>下风向距离</w:t>
            </w:r>
          </w:p>
        </w:tc>
        <w:tc>
          <w:tcPr>
            <w:tcW w:w="7958" w:type="dxa"/>
            <w:gridSpan w:val="6"/>
            <w:tcBorders>
              <w:left w:val="single" w:color="000000" w:sz="4" w:space="0"/>
              <w:bottom w:val="single" w:color="000000" w:sz="4" w:space="0"/>
            </w:tcBorders>
          </w:tcPr>
          <w:p>
            <w:pPr>
              <w:pStyle w:val="19"/>
              <w:spacing w:before="76"/>
              <w:ind w:left="2910" w:right="2890"/>
              <w:rPr>
                <w:sz w:val="21"/>
              </w:rPr>
            </w:pPr>
            <w:r>
              <w:rPr>
                <w:sz w:val="21"/>
              </w:rPr>
              <w:t>副井工业广场锅炉房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326" w:type="dxa"/>
            <w:vMerge w:val="continue"/>
            <w:tcBorders>
              <w:top w:val="nil"/>
              <w:bottom w:val="single" w:color="000000" w:sz="4" w:space="0"/>
              <w:right w:val="single" w:color="000000" w:sz="4" w:space="0"/>
            </w:tcBorders>
          </w:tcPr>
          <w:p>
            <w:pPr>
              <w:rPr>
                <w:sz w:val="2"/>
                <w:szCs w:val="2"/>
              </w:rPr>
            </w:pPr>
          </w:p>
        </w:tc>
        <w:tc>
          <w:tcPr>
            <w:tcW w:w="1326" w:type="dxa"/>
            <w:tcBorders>
              <w:top w:val="single" w:color="000000" w:sz="4" w:space="0"/>
              <w:left w:val="single" w:color="000000" w:sz="4" w:space="0"/>
              <w:bottom w:val="single" w:color="000000" w:sz="4" w:space="0"/>
              <w:right w:val="single" w:color="000000" w:sz="4" w:space="0"/>
            </w:tcBorders>
          </w:tcPr>
          <w:p>
            <w:pPr>
              <w:pStyle w:val="19"/>
              <w:spacing w:line="272" w:lineRule="exact"/>
              <w:ind w:left="85" w:right="67"/>
              <w:rPr>
                <w:sz w:val="21"/>
              </w:rPr>
            </w:pPr>
            <w:r>
              <w:rPr>
                <w:rFonts w:ascii="Times New Roman" w:eastAsia="Times New Roman"/>
                <w:position w:val="2"/>
                <w:sz w:val="21"/>
              </w:rPr>
              <w:t>PM</w:t>
            </w:r>
            <w:r>
              <w:rPr>
                <w:rFonts w:ascii="Times New Roman" w:eastAsia="Times New Roman"/>
                <w:position w:val="2"/>
                <w:sz w:val="21"/>
                <w:vertAlign w:val="subscript"/>
              </w:rPr>
              <w:t>10</w:t>
            </w:r>
            <w:r>
              <w:rPr>
                <w:rFonts w:ascii="Times New Roman" w:eastAsia="Times New Roman"/>
                <w:position w:val="2"/>
                <w:sz w:val="21"/>
                <w:vertAlign w:val="baseline"/>
              </w:rPr>
              <w:t xml:space="preserve"> </w:t>
            </w:r>
            <w:r>
              <w:rPr>
                <w:position w:val="2"/>
                <w:sz w:val="21"/>
                <w:vertAlign w:val="baseline"/>
              </w:rPr>
              <w:t>浓度</w:t>
            </w:r>
          </w:p>
          <w:p>
            <w:pPr>
              <w:pStyle w:val="19"/>
              <w:spacing w:line="222" w:lineRule="exact"/>
              <w:ind w:left="85" w:right="62"/>
              <w:rPr>
                <w:rFonts w:ascii="Times New Roman" w:hAnsi="Times New Roman"/>
                <w:sz w:val="21"/>
              </w:rPr>
            </w:pPr>
            <w:r>
              <w:rPr>
                <w:rFonts w:ascii="Times New Roman" w:hAnsi="Times New Roman"/>
                <w:sz w:val="21"/>
              </w:rPr>
              <w:t>(μg/m³)</w:t>
            </w:r>
          </w:p>
        </w:tc>
        <w:tc>
          <w:tcPr>
            <w:tcW w:w="1326" w:type="dxa"/>
            <w:tcBorders>
              <w:top w:val="single" w:color="000000" w:sz="4" w:space="0"/>
              <w:left w:val="single" w:color="000000" w:sz="4" w:space="0"/>
              <w:bottom w:val="single" w:color="000000" w:sz="4" w:space="0"/>
              <w:right w:val="single" w:color="000000" w:sz="4" w:space="0"/>
            </w:tcBorders>
          </w:tcPr>
          <w:p>
            <w:pPr>
              <w:pStyle w:val="19"/>
              <w:spacing w:line="272" w:lineRule="exact"/>
              <w:ind w:left="85" w:right="67"/>
              <w:rPr>
                <w:sz w:val="21"/>
              </w:rPr>
            </w:pPr>
            <w:r>
              <w:rPr>
                <w:rFonts w:ascii="Times New Roman" w:eastAsia="Times New Roman"/>
                <w:position w:val="2"/>
                <w:sz w:val="21"/>
              </w:rPr>
              <w:t>PM</w:t>
            </w:r>
            <w:r>
              <w:rPr>
                <w:rFonts w:ascii="Times New Roman" w:eastAsia="Times New Roman"/>
                <w:position w:val="2"/>
                <w:sz w:val="21"/>
                <w:vertAlign w:val="subscript"/>
              </w:rPr>
              <w:t>10</w:t>
            </w:r>
            <w:r>
              <w:rPr>
                <w:rFonts w:ascii="Times New Roman" w:eastAsia="Times New Roman"/>
                <w:position w:val="2"/>
                <w:sz w:val="21"/>
                <w:vertAlign w:val="baseline"/>
              </w:rPr>
              <w:t xml:space="preserve"> </w:t>
            </w:r>
            <w:r>
              <w:rPr>
                <w:position w:val="2"/>
                <w:sz w:val="21"/>
                <w:vertAlign w:val="baseline"/>
              </w:rPr>
              <w:t>占标率</w:t>
            </w:r>
          </w:p>
          <w:p>
            <w:pPr>
              <w:pStyle w:val="19"/>
              <w:spacing w:line="222" w:lineRule="exact"/>
              <w:ind w:left="85" w:right="64"/>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9"/>
              <w:spacing w:line="272" w:lineRule="exact"/>
              <w:ind w:left="272"/>
              <w:jc w:val="left"/>
              <w:rPr>
                <w:sz w:val="21"/>
              </w:rPr>
            </w:pPr>
            <w:r>
              <w:rPr>
                <w:rFonts w:ascii="Times New Roman" w:eastAsia="Times New Roman"/>
                <w:position w:val="2"/>
                <w:sz w:val="21"/>
              </w:rPr>
              <w:t>SO</w:t>
            </w:r>
            <w:r>
              <w:rPr>
                <w:rFonts w:ascii="Times New Roman" w:eastAsia="Times New Roman"/>
                <w:position w:val="2"/>
                <w:sz w:val="21"/>
                <w:vertAlign w:val="subscript"/>
              </w:rPr>
              <w:t>2</w:t>
            </w:r>
            <w:r>
              <w:rPr>
                <w:rFonts w:ascii="Times New Roman" w:eastAsia="Times New Roman"/>
                <w:position w:val="2"/>
                <w:sz w:val="21"/>
                <w:vertAlign w:val="baseline"/>
              </w:rPr>
              <w:t xml:space="preserve"> </w:t>
            </w:r>
            <w:r>
              <w:rPr>
                <w:position w:val="2"/>
                <w:sz w:val="21"/>
                <w:vertAlign w:val="baseline"/>
              </w:rPr>
              <w:t>浓度</w:t>
            </w:r>
          </w:p>
          <w:p>
            <w:pPr>
              <w:pStyle w:val="19"/>
              <w:spacing w:line="222" w:lineRule="exact"/>
              <w:ind w:left="349"/>
              <w:jc w:val="left"/>
              <w:rPr>
                <w:rFonts w:ascii="Times New Roman" w:hAnsi="Times New Roman"/>
                <w:sz w:val="21"/>
              </w:rPr>
            </w:pPr>
            <w:r>
              <w:rPr>
                <w:rFonts w:ascii="Times New Roman" w:hAnsi="Times New Roman"/>
                <w:sz w:val="21"/>
              </w:rPr>
              <w:t>(μg/m³)</w:t>
            </w:r>
          </w:p>
        </w:tc>
        <w:tc>
          <w:tcPr>
            <w:tcW w:w="1326" w:type="dxa"/>
            <w:tcBorders>
              <w:top w:val="single" w:color="000000" w:sz="4" w:space="0"/>
              <w:left w:val="single" w:color="000000" w:sz="4" w:space="0"/>
              <w:bottom w:val="single" w:color="000000" w:sz="4" w:space="0"/>
              <w:right w:val="single" w:color="000000" w:sz="4" w:space="0"/>
            </w:tcBorders>
          </w:tcPr>
          <w:p>
            <w:pPr>
              <w:pStyle w:val="19"/>
              <w:spacing w:line="272" w:lineRule="exact"/>
              <w:ind w:left="85" w:right="67"/>
              <w:rPr>
                <w:sz w:val="21"/>
              </w:rPr>
            </w:pPr>
            <w:r>
              <w:rPr>
                <w:rFonts w:ascii="Times New Roman" w:eastAsia="Times New Roman"/>
                <w:position w:val="2"/>
                <w:sz w:val="21"/>
              </w:rPr>
              <w:t>SO</w:t>
            </w:r>
            <w:r>
              <w:rPr>
                <w:rFonts w:ascii="Times New Roman" w:eastAsia="Times New Roman"/>
                <w:position w:val="2"/>
                <w:sz w:val="21"/>
                <w:vertAlign w:val="subscript"/>
              </w:rPr>
              <w:t>2</w:t>
            </w:r>
            <w:r>
              <w:rPr>
                <w:rFonts w:ascii="Times New Roman" w:eastAsia="Times New Roman"/>
                <w:position w:val="2"/>
                <w:sz w:val="21"/>
                <w:vertAlign w:val="baseline"/>
              </w:rPr>
              <w:t xml:space="preserve"> </w:t>
            </w:r>
            <w:r>
              <w:rPr>
                <w:position w:val="2"/>
                <w:sz w:val="21"/>
                <w:vertAlign w:val="baseline"/>
              </w:rPr>
              <w:t>占标率</w:t>
            </w:r>
          </w:p>
          <w:p>
            <w:pPr>
              <w:pStyle w:val="19"/>
              <w:spacing w:line="222" w:lineRule="exact"/>
              <w:ind w:left="85" w:right="64"/>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9"/>
              <w:spacing w:line="272" w:lineRule="exact"/>
              <w:ind w:left="255"/>
              <w:jc w:val="left"/>
              <w:rPr>
                <w:sz w:val="21"/>
              </w:rPr>
            </w:pPr>
            <w:r>
              <w:rPr>
                <w:rFonts w:ascii="Times New Roman" w:eastAsia="Times New Roman"/>
                <w:position w:val="2"/>
                <w:sz w:val="21"/>
              </w:rPr>
              <w:t>NO</w:t>
            </w:r>
            <w:r>
              <w:rPr>
                <w:rFonts w:ascii="Times New Roman" w:eastAsia="Times New Roman"/>
                <w:position w:val="2"/>
                <w:sz w:val="21"/>
                <w:vertAlign w:val="subscript"/>
              </w:rPr>
              <w:t>x</w:t>
            </w:r>
            <w:r>
              <w:rPr>
                <w:rFonts w:ascii="Times New Roman" w:eastAsia="Times New Roman"/>
                <w:position w:val="2"/>
                <w:sz w:val="21"/>
                <w:vertAlign w:val="baseline"/>
              </w:rPr>
              <w:t xml:space="preserve"> </w:t>
            </w:r>
            <w:r>
              <w:rPr>
                <w:position w:val="2"/>
                <w:sz w:val="21"/>
                <w:vertAlign w:val="baseline"/>
              </w:rPr>
              <w:t>浓度</w:t>
            </w:r>
          </w:p>
          <w:p>
            <w:pPr>
              <w:pStyle w:val="19"/>
              <w:spacing w:line="222" w:lineRule="exact"/>
              <w:ind w:left="349"/>
              <w:jc w:val="left"/>
              <w:rPr>
                <w:rFonts w:ascii="Times New Roman" w:hAnsi="Times New Roman"/>
                <w:sz w:val="21"/>
              </w:rPr>
            </w:pPr>
            <w:r>
              <w:rPr>
                <w:rFonts w:ascii="Times New Roman" w:hAnsi="Times New Roman"/>
                <w:sz w:val="21"/>
              </w:rPr>
              <w:t>(μg/m³)</w:t>
            </w:r>
          </w:p>
        </w:tc>
        <w:tc>
          <w:tcPr>
            <w:tcW w:w="1328" w:type="dxa"/>
            <w:tcBorders>
              <w:top w:val="single" w:color="000000" w:sz="4" w:space="0"/>
              <w:left w:val="single" w:color="000000" w:sz="4" w:space="0"/>
              <w:bottom w:val="single" w:color="000000" w:sz="4" w:space="0"/>
            </w:tcBorders>
          </w:tcPr>
          <w:p>
            <w:pPr>
              <w:pStyle w:val="19"/>
              <w:spacing w:line="272" w:lineRule="exact"/>
              <w:ind w:left="121" w:right="97"/>
              <w:rPr>
                <w:sz w:val="21"/>
              </w:rPr>
            </w:pPr>
            <w:r>
              <w:rPr>
                <w:rFonts w:ascii="Times New Roman" w:eastAsia="Times New Roman"/>
                <w:position w:val="2"/>
                <w:sz w:val="21"/>
              </w:rPr>
              <w:t>NO</w:t>
            </w:r>
            <w:r>
              <w:rPr>
                <w:rFonts w:ascii="Times New Roman" w:eastAsia="Times New Roman"/>
                <w:position w:val="2"/>
                <w:sz w:val="21"/>
                <w:vertAlign w:val="subscript"/>
              </w:rPr>
              <w:t>x</w:t>
            </w:r>
            <w:r>
              <w:rPr>
                <w:rFonts w:ascii="Times New Roman" w:eastAsia="Times New Roman"/>
                <w:position w:val="2"/>
                <w:sz w:val="21"/>
                <w:vertAlign w:val="baseline"/>
              </w:rPr>
              <w:t xml:space="preserve"> </w:t>
            </w:r>
            <w:r>
              <w:rPr>
                <w:position w:val="2"/>
                <w:sz w:val="21"/>
                <w:vertAlign w:val="baseline"/>
              </w:rPr>
              <w:t>占标率</w:t>
            </w:r>
          </w:p>
          <w:p>
            <w:pPr>
              <w:pStyle w:val="19"/>
              <w:spacing w:line="222" w:lineRule="exact"/>
              <w:ind w:left="121" w:right="97"/>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9"/>
              <w:spacing w:before="91"/>
              <w:ind w:left="135" w:right="123"/>
              <w:rPr>
                <w:rFonts w:ascii="Times New Roman"/>
                <w:sz w:val="21"/>
              </w:rPr>
            </w:pPr>
            <w:r>
              <w:rPr>
                <w:rFonts w:ascii="Times New Roman"/>
                <w:sz w:val="21"/>
              </w:rPr>
              <w:t>10.0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1"/>
              <w:ind w:left="85" w:right="65"/>
              <w:rPr>
                <w:rFonts w:ascii="Times New Roman"/>
                <w:sz w:val="21"/>
              </w:rPr>
            </w:pPr>
            <w:r>
              <w:rPr>
                <w:rFonts w:ascii="Times New Roman"/>
                <w:sz w:val="21"/>
              </w:rPr>
              <w:t>0.02</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1"/>
              <w:ind w:left="84" w:right="67"/>
              <w:rPr>
                <w:rFonts w:ascii="Times New Roman"/>
                <w:sz w:val="21"/>
              </w:rPr>
            </w:pPr>
            <w:r>
              <w:rPr>
                <w:rFonts w:ascii="Times New Roman"/>
                <w:sz w:val="21"/>
              </w:rPr>
              <w:t>0.00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1"/>
              <w:ind w:left="85" w:right="65"/>
              <w:rPr>
                <w:rFonts w:ascii="Times New Roman"/>
                <w:sz w:val="21"/>
              </w:rPr>
            </w:pPr>
            <w:r>
              <w:rPr>
                <w:rFonts w:ascii="Times New Roman"/>
                <w:sz w:val="21"/>
              </w:rPr>
              <w:t>0.04</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1"/>
              <w:ind w:left="84" w:right="67"/>
              <w:rPr>
                <w:rFonts w:ascii="Times New Roman"/>
                <w:sz w:val="21"/>
              </w:rPr>
            </w:pPr>
            <w:r>
              <w:rPr>
                <w:rFonts w:ascii="Times New Roman"/>
                <w:sz w:val="21"/>
              </w:rPr>
              <w:t>0.01</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1"/>
              <w:ind w:left="85" w:right="65"/>
              <w:rPr>
                <w:rFonts w:ascii="Times New Roman"/>
                <w:sz w:val="21"/>
              </w:rPr>
            </w:pPr>
            <w:r>
              <w:rPr>
                <w:rFonts w:ascii="Times New Roman"/>
                <w:color w:val="FF0000"/>
                <w:sz w:val="21"/>
              </w:rPr>
              <w:t>0.31</w:t>
            </w:r>
          </w:p>
        </w:tc>
        <w:tc>
          <w:tcPr>
            <w:tcW w:w="1328" w:type="dxa"/>
            <w:tcBorders>
              <w:top w:val="single" w:color="000000" w:sz="4" w:space="0"/>
              <w:left w:val="single" w:color="000000" w:sz="4" w:space="0"/>
              <w:bottom w:val="single" w:color="000000" w:sz="4" w:space="0"/>
            </w:tcBorders>
          </w:tcPr>
          <w:p>
            <w:pPr>
              <w:pStyle w:val="19"/>
              <w:spacing w:before="91"/>
              <w:ind w:left="121" w:right="96"/>
              <w:rPr>
                <w:rFonts w:ascii="Times New Roman"/>
                <w:sz w:val="21"/>
              </w:rPr>
            </w:pPr>
            <w:r>
              <w:rPr>
                <w:rFonts w:ascii="Times New Roman"/>
                <w:color w:val="FF0000"/>
                <w:sz w:val="21"/>
              </w:rPr>
              <w:t>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9"/>
              <w:spacing w:before="90"/>
              <w:ind w:left="135" w:right="123"/>
              <w:rPr>
                <w:rFonts w:ascii="Times New Roman"/>
                <w:sz w:val="21"/>
              </w:rPr>
            </w:pPr>
            <w:r>
              <w:rPr>
                <w:rFonts w:ascii="Times New Roman"/>
                <w:sz w:val="21"/>
              </w:rPr>
              <w:t>25.0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5" w:right="65"/>
              <w:rPr>
                <w:rFonts w:ascii="Times New Roman"/>
                <w:sz w:val="21"/>
              </w:rPr>
            </w:pPr>
            <w:r>
              <w:rPr>
                <w:rFonts w:ascii="Times New Roman"/>
                <w:sz w:val="21"/>
              </w:rPr>
              <w:t>0.40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4" w:right="67"/>
              <w:rPr>
                <w:rFonts w:ascii="Times New Roman"/>
                <w:sz w:val="21"/>
              </w:rPr>
            </w:pPr>
            <w:r>
              <w:rPr>
                <w:rFonts w:ascii="Times New Roman"/>
                <w:sz w:val="21"/>
              </w:rPr>
              <w:t>0.09</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5" w:right="65"/>
              <w:rPr>
                <w:rFonts w:ascii="Times New Roman"/>
                <w:sz w:val="21"/>
              </w:rPr>
            </w:pPr>
            <w:r>
              <w:rPr>
                <w:rFonts w:ascii="Times New Roman"/>
                <w:sz w:val="21"/>
              </w:rPr>
              <w:t>0.67</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4" w:right="67"/>
              <w:rPr>
                <w:rFonts w:ascii="Times New Roman"/>
                <w:sz w:val="21"/>
              </w:rPr>
            </w:pPr>
            <w:r>
              <w:rPr>
                <w:rFonts w:ascii="Times New Roman"/>
                <w:sz w:val="21"/>
              </w:rPr>
              <w:t>0.13</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5" w:right="65"/>
              <w:rPr>
                <w:rFonts w:ascii="Times New Roman"/>
                <w:sz w:val="21"/>
              </w:rPr>
            </w:pPr>
            <w:r>
              <w:rPr>
                <w:rFonts w:ascii="Times New Roman"/>
                <w:color w:val="FF0000"/>
                <w:sz w:val="21"/>
              </w:rPr>
              <w:t>5.85</w:t>
            </w:r>
          </w:p>
        </w:tc>
        <w:tc>
          <w:tcPr>
            <w:tcW w:w="1328" w:type="dxa"/>
            <w:tcBorders>
              <w:top w:val="single" w:color="000000" w:sz="4" w:space="0"/>
              <w:left w:val="single" w:color="000000" w:sz="4" w:space="0"/>
              <w:bottom w:val="single" w:color="000000" w:sz="4" w:space="0"/>
            </w:tcBorders>
          </w:tcPr>
          <w:p>
            <w:pPr>
              <w:pStyle w:val="19"/>
              <w:spacing w:before="90"/>
              <w:ind w:left="121" w:right="96"/>
              <w:rPr>
                <w:rFonts w:ascii="Times New Roman"/>
                <w:sz w:val="21"/>
              </w:rPr>
            </w:pPr>
            <w:r>
              <w:rPr>
                <w:rFonts w:ascii="Times New Roman"/>
                <w:color w:val="FF0000"/>
                <w:sz w:val="21"/>
              </w:rPr>
              <w:t>2.92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9"/>
              <w:spacing w:before="89"/>
              <w:ind w:left="135" w:right="123"/>
              <w:rPr>
                <w:rFonts w:ascii="Times New Roman"/>
                <w:sz w:val="21"/>
              </w:rPr>
            </w:pPr>
            <w:r>
              <w:rPr>
                <w:rFonts w:ascii="Times New Roman"/>
                <w:sz w:val="21"/>
              </w:rPr>
              <w:t>39.0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5" w:right="65"/>
              <w:rPr>
                <w:rFonts w:ascii="Times New Roman"/>
                <w:sz w:val="21"/>
              </w:rPr>
            </w:pPr>
            <w:r>
              <w:rPr>
                <w:rFonts w:ascii="Times New Roman"/>
                <w:sz w:val="21"/>
              </w:rPr>
              <w:t>0.83</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4" w:right="67"/>
              <w:rPr>
                <w:rFonts w:ascii="Times New Roman"/>
                <w:sz w:val="21"/>
              </w:rPr>
            </w:pPr>
            <w:r>
              <w:rPr>
                <w:rFonts w:ascii="Times New Roman"/>
                <w:sz w:val="21"/>
              </w:rPr>
              <w:t>0.19</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5" w:right="65"/>
              <w:rPr>
                <w:rFonts w:ascii="Times New Roman"/>
                <w:sz w:val="21"/>
              </w:rPr>
            </w:pPr>
            <w:r>
              <w:rPr>
                <w:rFonts w:ascii="Times New Roman"/>
                <w:sz w:val="21"/>
              </w:rPr>
              <w:t>1.39</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4" w:right="67"/>
              <w:rPr>
                <w:rFonts w:ascii="Times New Roman"/>
                <w:sz w:val="21"/>
              </w:rPr>
            </w:pPr>
            <w:r>
              <w:rPr>
                <w:rFonts w:ascii="Times New Roman"/>
                <w:sz w:val="21"/>
              </w:rPr>
              <w:t>0.28</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5" w:right="63"/>
              <w:rPr>
                <w:rFonts w:ascii="Times New Roman"/>
                <w:sz w:val="21"/>
              </w:rPr>
            </w:pPr>
            <w:r>
              <w:rPr>
                <w:rFonts w:ascii="Times New Roman"/>
                <w:color w:val="FF0000"/>
                <w:sz w:val="21"/>
              </w:rPr>
              <w:t>12.11</w:t>
            </w:r>
          </w:p>
        </w:tc>
        <w:tc>
          <w:tcPr>
            <w:tcW w:w="1328" w:type="dxa"/>
            <w:tcBorders>
              <w:top w:val="single" w:color="000000" w:sz="4" w:space="0"/>
              <w:left w:val="single" w:color="000000" w:sz="4" w:space="0"/>
              <w:bottom w:val="single" w:color="000000" w:sz="4" w:space="0"/>
            </w:tcBorders>
          </w:tcPr>
          <w:p>
            <w:pPr>
              <w:pStyle w:val="19"/>
              <w:spacing w:before="89"/>
              <w:ind w:left="121" w:right="96"/>
              <w:rPr>
                <w:rFonts w:ascii="Times New Roman"/>
                <w:sz w:val="21"/>
              </w:rPr>
            </w:pPr>
            <w:r>
              <w:rPr>
                <w:rFonts w:ascii="Times New Roman"/>
                <w:color w:val="FF0000"/>
                <w:sz w:val="21"/>
              </w:rPr>
              <w:t>6.06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9"/>
              <w:spacing w:before="89"/>
              <w:ind w:left="135" w:right="123"/>
              <w:rPr>
                <w:rFonts w:ascii="Times New Roman"/>
                <w:sz w:val="21"/>
              </w:rPr>
            </w:pPr>
            <w:r>
              <w:rPr>
                <w:rFonts w:ascii="Times New Roman"/>
                <w:sz w:val="21"/>
              </w:rPr>
              <w:t>50.0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5" w:right="65"/>
              <w:rPr>
                <w:rFonts w:ascii="Times New Roman"/>
                <w:sz w:val="21"/>
              </w:rPr>
            </w:pPr>
            <w:r>
              <w:rPr>
                <w:rFonts w:ascii="Times New Roman"/>
                <w:sz w:val="21"/>
              </w:rPr>
              <w:t>0.73</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4" w:right="67"/>
              <w:rPr>
                <w:rFonts w:ascii="Times New Roman"/>
                <w:sz w:val="21"/>
              </w:rPr>
            </w:pPr>
            <w:r>
              <w:rPr>
                <w:rFonts w:ascii="Times New Roman"/>
                <w:sz w:val="21"/>
              </w:rPr>
              <w:t>0.16</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5" w:right="65"/>
              <w:rPr>
                <w:rFonts w:ascii="Times New Roman"/>
                <w:sz w:val="21"/>
              </w:rPr>
            </w:pPr>
            <w:r>
              <w:rPr>
                <w:rFonts w:ascii="Times New Roman"/>
                <w:sz w:val="21"/>
              </w:rPr>
              <w:t>1.22</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4" w:right="67"/>
              <w:rPr>
                <w:rFonts w:ascii="Times New Roman"/>
                <w:sz w:val="21"/>
              </w:rPr>
            </w:pPr>
            <w:r>
              <w:rPr>
                <w:rFonts w:ascii="Times New Roman"/>
                <w:sz w:val="21"/>
              </w:rPr>
              <w:t>0.24</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5" w:right="65"/>
              <w:rPr>
                <w:rFonts w:ascii="Times New Roman"/>
                <w:sz w:val="21"/>
              </w:rPr>
            </w:pPr>
            <w:r>
              <w:rPr>
                <w:rFonts w:ascii="Times New Roman"/>
                <w:color w:val="FF0000"/>
                <w:sz w:val="21"/>
              </w:rPr>
              <w:t>10.61</w:t>
            </w:r>
          </w:p>
        </w:tc>
        <w:tc>
          <w:tcPr>
            <w:tcW w:w="1328" w:type="dxa"/>
            <w:tcBorders>
              <w:top w:val="single" w:color="000000" w:sz="4" w:space="0"/>
              <w:left w:val="single" w:color="000000" w:sz="4" w:space="0"/>
              <w:bottom w:val="single" w:color="000000" w:sz="4" w:space="0"/>
            </w:tcBorders>
          </w:tcPr>
          <w:p>
            <w:pPr>
              <w:pStyle w:val="19"/>
              <w:spacing w:before="89"/>
              <w:ind w:left="121" w:right="96"/>
              <w:rPr>
                <w:rFonts w:ascii="Times New Roman"/>
                <w:sz w:val="21"/>
              </w:rPr>
            </w:pPr>
            <w:r>
              <w:rPr>
                <w:rFonts w:ascii="Times New Roman"/>
                <w:color w:val="FF0000"/>
                <w:sz w:val="21"/>
              </w:rPr>
              <w:t>5.31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9"/>
              <w:spacing w:before="91"/>
              <w:ind w:left="135" w:right="123"/>
              <w:rPr>
                <w:rFonts w:ascii="Times New Roman"/>
                <w:sz w:val="21"/>
              </w:rPr>
            </w:pPr>
            <w:r>
              <w:rPr>
                <w:rFonts w:ascii="Times New Roman"/>
                <w:sz w:val="21"/>
              </w:rPr>
              <w:t>75.0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1"/>
              <w:ind w:left="85" w:right="65"/>
              <w:rPr>
                <w:rFonts w:ascii="Times New Roman"/>
                <w:sz w:val="21"/>
              </w:rPr>
            </w:pPr>
            <w:r>
              <w:rPr>
                <w:rFonts w:ascii="Times New Roman"/>
                <w:sz w:val="21"/>
              </w:rPr>
              <w:t>0.77</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1"/>
              <w:ind w:left="84" w:right="67"/>
              <w:rPr>
                <w:rFonts w:ascii="Times New Roman"/>
                <w:sz w:val="21"/>
              </w:rPr>
            </w:pPr>
            <w:r>
              <w:rPr>
                <w:rFonts w:ascii="Times New Roman"/>
                <w:sz w:val="21"/>
              </w:rPr>
              <w:t>0.17</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1"/>
              <w:ind w:left="85" w:right="65"/>
              <w:rPr>
                <w:rFonts w:ascii="Times New Roman"/>
                <w:sz w:val="21"/>
              </w:rPr>
            </w:pPr>
            <w:r>
              <w:rPr>
                <w:rFonts w:ascii="Times New Roman"/>
                <w:sz w:val="21"/>
              </w:rPr>
              <w:t>1.28</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1"/>
              <w:ind w:left="84" w:right="67"/>
              <w:rPr>
                <w:rFonts w:ascii="Times New Roman"/>
                <w:sz w:val="21"/>
              </w:rPr>
            </w:pPr>
            <w:r>
              <w:rPr>
                <w:rFonts w:ascii="Times New Roman"/>
                <w:sz w:val="21"/>
              </w:rPr>
              <w:t>0.26</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1"/>
              <w:ind w:left="85" w:right="65"/>
              <w:rPr>
                <w:rFonts w:ascii="Times New Roman"/>
                <w:sz w:val="21"/>
              </w:rPr>
            </w:pPr>
            <w:r>
              <w:rPr>
                <w:rFonts w:ascii="Times New Roman"/>
                <w:color w:val="FF0000"/>
                <w:sz w:val="21"/>
              </w:rPr>
              <w:t>11.12</w:t>
            </w:r>
          </w:p>
        </w:tc>
        <w:tc>
          <w:tcPr>
            <w:tcW w:w="1328" w:type="dxa"/>
            <w:tcBorders>
              <w:top w:val="single" w:color="000000" w:sz="4" w:space="0"/>
              <w:left w:val="single" w:color="000000" w:sz="4" w:space="0"/>
              <w:bottom w:val="single" w:color="000000" w:sz="4" w:space="0"/>
            </w:tcBorders>
          </w:tcPr>
          <w:p>
            <w:pPr>
              <w:pStyle w:val="19"/>
              <w:spacing w:before="91"/>
              <w:ind w:left="121" w:right="96"/>
              <w:rPr>
                <w:rFonts w:ascii="Times New Roman"/>
                <w:sz w:val="21"/>
              </w:rPr>
            </w:pPr>
            <w:r>
              <w:rPr>
                <w:rFonts w:ascii="Times New Roman"/>
                <w:color w:val="FF0000"/>
                <w:sz w:val="21"/>
              </w:rPr>
              <w:t>5.56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9"/>
              <w:spacing w:before="90"/>
              <w:ind w:left="136" w:right="121"/>
              <w:rPr>
                <w:rFonts w:ascii="Times New Roman"/>
                <w:sz w:val="21"/>
              </w:rPr>
            </w:pPr>
            <w:r>
              <w:rPr>
                <w:rFonts w:ascii="Times New Roman"/>
                <w:sz w:val="21"/>
              </w:rPr>
              <w:t>100.0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5" w:right="65"/>
              <w:rPr>
                <w:rFonts w:ascii="Times New Roman"/>
                <w:sz w:val="21"/>
              </w:rPr>
            </w:pPr>
            <w:r>
              <w:rPr>
                <w:rFonts w:ascii="Times New Roman"/>
                <w:sz w:val="21"/>
              </w:rPr>
              <w:t>0.73</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4" w:right="67"/>
              <w:rPr>
                <w:rFonts w:ascii="Times New Roman"/>
                <w:sz w:val="21"/>
              </w:rPr>
            </w:pPr>
            <w:r>
              <w:rPr>
                <w:rFonts w:ascii="Times New Roman"/>
                <w:sz w:val="21"/>
              </w:rPr>
              <w:t>0.16</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5" w:right="65"/>
              <w:rPr>
                <w:rFonts w:ascii="Times New Roman"/>
                <w:sz w:val="21"/>
              </w:rPr>
            </w:pPr>
            <w:r>
              <w:rPr>
                <w:rFonts w:ascii="Times New Roman"/>
                <w:sz w:val="21"/>
              </w:rPr>
              <w:t>1.21</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4" w:right="67"/>
              <w:rPr>
                <w:rFonts w:ascii="Times New Roman"/>
                <w:sz w:val="21"/>
              </w:rPr>
            </w:pPr>
            <w:r>
              <w:rPr>
                <w:rFonts w:ascii="Times New Roman"/>
                <w:sz w:val="21"/>
              </w:rPr>
              <w:t>0.24</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0"/>
              <w:ind w:left="85" w:right="65"/>
              <w:rPr>
                <w:rFonts w:ascii="Times New Roman"/>
                <w:sz w:val="21"/>
              </w:rPr>
            </w:pPr>
            <w:r>
              <w:rPr>
                <w:rFonts w:ascii="Times New Roman"/>
                <w:color w:val="FF0000"/>
                <w:sz w:val="21"/>
              </w:rPr>
              <w:t>10.51</w:t>
            </w:r>
          </w:p>
        </w:tc>
        <w:tc>
          <w:tcPr>
            <w:tcW w:w="1328" w:type="dxa"/>
            <w:tcBorders>
              <w:top w:val="single" w:color="000000" w:sz="4" w:space="0"/>
              <w:left w:val="single" w:color="000000" w:sz="4" w:space="0"/>
              <w:bottom w:val="single" w:color="000000" w:sz="4" w:space="0"/>
            </w:tcBorders>
          </w:tcPr>
          <w:p>
            <w:pPr>
              <w:pStyle w:val="19"/>
              <w:spacing w:before="90"/>
              <w:ind w:left="121" w:right="96"/>
              <w:rPr>
                <w:rFonts w:ascii="Times New Roman"/>
                <w:sz w:val="21"/>
              </w:rPr>
            </w:pPr>
            <w:r>
              <w:rPr>
                <w:rFonts w:ascii="Times New Roman"/>
                <w:color w:val="FF0000"/>
                <w:sz w:val="21"/>
              </w:rPr>
              <w:t>5.25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9"/>
              <w:spacing w:before="89"/>
              <w:ind w:left="136" w:right="118"/>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5" w:right="65"/>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5" w:right="62"/>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5" w:right="65"/>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5" w:right="62"/>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5" w:right="65"/>
              <w:rPr>
                <w:rFonts w:ascii="Times New Roman"/>
                <w:sz w:val="21"/>
              </w:rPr>
            </w:pPr>
            <w:r>
              <w:rPr>
                <w:rFonts w:ascii="Times New Roman"/>
                <w:color w:val="FF0000"/>
                <w:sz w:val="21"/>
              </w:rPr>
              <w:t>...</w:t>
            </w:r>
          </w:p>
        </w:tc>
        <w:tc>
          <w:tcPr>
            <w:tcW w:w="1328" w:type="dxa"/>
            <w:tcBorders>
              <w:top w:val="single" w:color="000000" w:sz="4" w:space="0"/>
              <w:left w:val="single" w:color="000000" w:sz="4" w:space="0"/>
              <w:bottom w:val="single" w:color="000000" w:sz="4" w:space="0"/>
            </w:tcBorders>
          </w:tcPr>
          <w:p>
            <w:pPr>
              <w:pStyle w:val="19"/>
              <w:spacing w:before="89"/>
              <w:ind w:left="121" w:right="95"/>
              <w:rPr>
                <w:rFonts w:ascii="Times New Roman"/>
                <w:sz w:val="21"/>
              </w:rPr>
            </w:pPr>
            <w:r>
              <w:rPr>
                <w:rFonts w:ascii="Times New Roman"/>
                <w:color w:val="FF0000"/>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9"/>
              <w:spacing w:before="89"/>
              <w:ind w:left="133" w:right="123"/>
              <w:rPr>
                <w:rFonts w:ascii="Times New Roman"/>
                <w:sz w:val="21"/>
              </w:rPr>
            </w:pPr>
            <w:r>
              <w:rPr>
                <w:rFonts w:ascii="Times New Roman"/>
                <w:sz w:val="21"/>
              </w:rPr>
              <w:t>24800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5" w:right="65"/>
              <w:rPr>
                <w:rFonts w:ascii="Times New Roman"/>
                <w:sz w:val="21"/>
              </w:rPr>
            </w:pPr>
            <w:r>
              <w:rPr>
                <w:rFonts w:ascii="Times New Roman"/>
                <w:sz w:val="21"/>
              </w:rPr>
              <w:t>0.05</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4" w:right="67"/>
              <w:rPr>
                <w:rFonts w:ascii="Times New Roman"/>
                <w:sz w:val="21"/>
              </w:rPr>
            </w:pPr>
            <w:r>
              <w:rPr>
                <w:rFonts w:ascii="Times New Roman"/>
                <w:sz w:val="21"/>
              </w:rPr>
              <w:t>0.01</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5" w:right="65"/>
              <w:rPr>
                <w:rFonts w:ascii="Times New Roman"/>
                <w:sz w:val="21"/>
              </w:rPr>
            </w:pPr>
            <w:r>
              <w:rPr>
                <w:rFonts w:ascii="Times New Roman"/>
                <w:sz w:val="21"/>
              </w:rPr>
              <w:t>0.08</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4" w:right="67"/>
              <w:rPr>
                <w:rFonts w:ascii="Times New Roman"/>
                <w:sz w:val="21"/>
              </w:rPr>
            </w:pPr>
            <w:r>
              <w:rPr>
                <w:rFonts w:ascii="Times New Roman"/>
                <w:sz w:val="21"/>
              </w:rPr>
              <w:t>0.02</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89"/>
              <w:ind w:left="85" w:right="65"/>
              <w:rPr>
                <w:rFonts w:ascii="Times New Roman"/>
                <w:sz w:val="21"/>
              </w:rPr>
            </w:pPr>
            <w:r>
              <w:rPr>
                <w:rFonts w:ascii="Times New Roman"/>
                <w:color w:val="FF0000"/>
                <w:sz w:val="21"/>
              </w:rPr>
              <w:t>0.65</w:t>
            </w:r>
          </w:p>
        </w:tc>
        <w:tc>
          <w:tcPr>
            <w:tcW w:w="1328" w:type="dxa"/>
            <w:tcBorders>
              <w:top w:val="single" w:color="000000" w:sz="4" w:space="0"/>
              <w:left w:val="single" w:color="000000" w:sz="4" w:space="0"/>
              <w:bottom w:val="single" w:color="000000" w:sz="4" w:space="0"/>
            </w:tcBorders>
          </w:tcPr>
          <w:p>
            <w:pPr>
              <w:pStyle w:val="19"/>
              <w:spacing w:before="89"/>
              <w:ind w:left="121" w:right="96"/>
              <w:rPr>
                <w:rFonts w:ascii="Times New Roman"/>
                <w:sz w:val="21"/>
              </w:rPr>
            </w:pPr>
            <w:r>
              <w:rPr>
                <w:rFonts w:ascii="Times New Roman"/>
                <w:color w:val="FF0000"/>
                <w:sz w:val="21"/>
              </w:rPr>
              <w:t>0.33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9"/>
              <w:spacing w:before="91"/>
              <w:ind w:left="133" w:right="123"/>
              <w:rPr>
                <w:rFonts w:ascii="Times New Roman"/>
                <w:sz w:val="21"/>
              </w:rPr>
            </w:pPr>
            <w:r>
              <w:rPr>
                <w:rFonts w:ascii="Times New Roman"/>
                <w:sz w:val="21"/>
              </w:rPr>
              <w:t>25000</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1"/>
              <w:ind w:left="85" w:right="65"/>
              <w:rPr>
                <w:rFonts w:ascii="Times New Roman"/>
                <w:sz w:val="21"/>
              </w:rPr>
            </w:pPr>
            <w:r>
              <w:rPr>
                <w:rFonts w:ascii="Times New Roman"/>
                <w:sz w:val="21"/>
              </w:rPr>
              <w:t>0.04</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1"/>
              <w:ind w:left="84" w:right="67"/>
              <w:rPr>
                <w:rFonts w:ascii="Times New Roman"/>
                <w:sz w:val="21"/>
              </w:rPr>
            </w:pPr>
            <w:r>
              <w:rPr>
                <w:rFonts w:ascii="Times New Roman"/>
                <w:sz w:val="21"/>
              </w:rPr>
              <w:t>0.01</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1"/>
              <w:ind w:left="85" w:right="65"/>
              <w:rPr>
                <w:rFonts w:ascii="Times New Roman"/>
                <w:sz w:val="21"/>
              </w:rPr>
            </w:pPr>
            <w:r>
              <w:rPr>
                <w:rFonts w:ascii="Times New Roman"/>
                <w:sz w:val="21"/>
              </w:rPr>
              <w:t>0.07</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1"/>
              <w:ind w:left="84" w:right="67"/>
              <w:rPr>
                <w:rFonts w:ascii="Times New Roman"/>
                <w:sz w:val="21"/>
              </w:rPr>
            </w:pPr>
            <w:r>
              <w:rPr>
                <w:rFonts w:ascii="Times New Roman"/>
                <w:sz w:val="21"/>
              </w:rPr>
              <w:t>0.01</w:t>
            </w:r>
          </w:p>
        </w:tc>
        <w:tc>
          <w:tcPr>
            <w:tcW w:w="1326" w:type="dxa"/>
            <w:tcBorders>
              <w:top w:val="single" w:color="000000" w:sz="4" w:space="0"/>
              <w:left w:val="single" w:color="000000" w:sz="4" w:space="0"/>
              <w:bottom w:val="single" w:color="000000" w:sz="4" w:space="0"/>
              <w:right w:val="single" w:color="000000" w:sz="4" w:space="0"/>
            </w:tcBorders>
          </w:tcPr>
          <w:p>
            <w:pPr>
              <w:pStyle w:val="19"/>
              <w:spacing w:before="91"/>
              <w:ind w:left="85" w:right="65"/>
              <w:rPr>
                <w:rFonts w:ascii="Times New Roman"/>
                <w:sz w:val="21"/>
              </w:rPr>
            </w:pPr>
            <w:r>
              <w:rPr>
                <w:rFonts w:ascii="Times New Roman"/>
                <w:color w:val="FF0000"/>
                <w:sz w:val="21"/>
              </w:rPr>
              <w:t>0.64</w:t>
            </w:r>
          </w:p>
        </w:tc>
        <w:tc>
          <w:tcPr>
            <w:tcW w:w="1328" w:type="dxa"/>
            <w:tcBorders>
              <w:top w:val="single" w:color="000000" w:sz="4" w:space="0"/>
              <w:left w:val="single" w:color="000000" w:sz="4" w:space="0"/>
              <w:bottom w:val="single" w:color="000000" w:sz="4" w:space="0"/>
            </w:tcBorders>
          </w:tcPr>
          <w:p>
            <w:pPr>
              <w:pStyle w:val="19"/>
              <w:spacing w:before="91"/>
              <w:ind w:left="121" w:right="96"/>
              <w:rPr>
                <w:rFonts w:ascii="Times New Roman"/>
                <w:sz w:val="21"/>
              </w:rPr>
            </w:pPr>
            <w:r>
              <w:rPr>
                <w:rFonts w:ascii="Times New Roman"/>
                <w:color w:val="FF0000"/>
                <w:sz w:val="21"/>
              </w:rPr>
              <w:t>0.32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9" w:hRule="atLeast"/>
        </w:trPr>
        <w:tc>
          <w:tcPr>
            <w:tcW w:w="1326" w:type="dxa"/>
            <w:tcBorders>
              <w:top w:val="single" w:color="000000" w:sz="4" w:space="0"/>
              <w:bottom w:val="single" w:color="000000" w:sz="4" w:space="0"/>
              <w:right w:val="single" w:color="000000" w:sz="4" w:space="0"/>
            </w:tcBorders>
          </w:tcPr>
          <w:p>
            <w:pPr>
              <w:pStyle w:val="19"/>
              <w:spacing w:line="242" w:lineRule="auto"/>
              <w:ind w:left="107" w:right="90" w:hanging="5"/>
              <w:rPr>
                <w:sz w:val="23"/>
              </w:rPr>
            </w:pPr>
            <w:r>
              <w:rPr>
                <w:sz w:val="21"/>
              </w:rPr>
              <w:t>下风向最大浓度</w:t>
            </w:r>
            <w:r>
              <w:rPr>
                <w:sz w:val="23"/>
              </w:rPr>
              <w:t>及其占</w:t>
            </w:r>
          </w:p>
          <w:p>
            <w:pPr>
              <w:pStyle w:val="19"/>
              <w:spacing w:line="279" w:lineRule="exact"/>
              <w:ind w:left="136" w:right="123"/>
              <w:rPr>
                <w:sz w:val="23"/>
              </w:rPr>
            </w:pPr>
            <w:r>
              <w:rPr>
                <w:sz w:val="23"/>
              </w:rPr>
              <w:t>标率</w:t>
            </w:r>
          </w:p>
        </w:tc>
        <w:tc>
          <w:tcPr>
            <w:tcW w:w="1326"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b/>
                <w:sz w:val="27"/>
              </w:rPr>
            </w:pPr>
          </w:p>
          <w:p>
            <w:pPr>
              <w:pStyle w:val="19"/>
              <w:ind w:left="85" w:right="65"/>
              <w:rPr>
                <w:rFonts w:ascii="Times New Roman"/>
                <w:sz w:val="21"/>
              </w:rPr>
            </w:pPr>
            <w:r>
              <w:rPr>
                <w:rFonts w:ascii="Times New Roman"/>
                <w:sz w:val="21"/>
              </w:rPr>
              <w:t>0.83</w:t>
            </w:r>
          </w:p>
        </w:tc>
        <w:tc>
          <w:tcPr>
            <w:tcW w:w="1326"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b/>
                <w:sz w:val="27"/>
              </w:rPr>
            </w:pPr>
          </w:p>
          <w:p>
            <w:pPr>
              <w:pStyle w:val="19"/>
              <w:ind w:left="84" w:right="67"/>
              <w:rPr>
                <w:rFonts w:ascii="Times New Roman"/>
                <w:sz w:val="21"/>
              </w:rPr>
            </w:pPr>
            <w:r>
              <w:rPr>
                <w:rFonts w:ascii="Times New Roman"/>
                <w:sz w:val="21"/>
              </w:rPr>
              <w:t>0.19</w:t>
            </w:r>
          </w:p>
        </w:tc>
        <w:tc>
          <w:tcPr>
            <w:tcW w:w="1326"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b/>
                <w:sz w:val="27"/>
              </w:rPr>
            </w:pPr>
          </w:p>
          <w:p>
            <w:pPr>
              <w:pStyle w:val="19"/>
              <w:ind w:left="85" w:right="65"/>
              <w:rPr>
                <w:rFonts w:ascii="Times New Roman"/>
                <w:sz w:val="21"/>
              </w:rPr>
            </w:pPr>
            <w:r>
              <w:rPr>
                <w:rFonts w:ascii="Times New Roman"/>
                <w:sz w:val="21"/>
              </w:rPr>
              <w:t>1.39</w:t>
            </w:r>
          </w:p>
        </w:tc>
        <w:tc>
          <w:tcPr>
            <w:tcW w:w="1326"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b/>
                <w:sz w:val="27"/>
              </w:rPr>
            </w:pPr>
          </w:p>
          <w:p>
            <w:pPr>
              <w:pStyle w:val="19"/>
              <w:ind w:left="84" w:right="67"/>
              <w:rPr>
                <w:rFonts w:ascii="Times New Roman"/>
                <w:sz w:val="21"/>
              </w:rPr>
            </w:pPr>
            <w:r>
              <w:rPr>
                <w:rFonts w:ascii="Times New Roman"/>
                <w:sz w:val="21"/>
              </w:rPr>
              <w:t>0.28</w:t>
            </w:r>
          </w:p>
        </w:tc>
        <w:tc>
          <w:tcPr>
            <w:tcW w:w="1326"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b/>
                <w:sz w:val="27"/>
              </w:rPr>
            </w:pPr>
          </w:p>
          <w:p>
            <w:pPr>
              <w:pStyle w:val="19"/>
              <w:ind w:left="85" w:right="63"/>
              <w:rPr>
                <w:rFonts w:ascii="Times New Roman"/>
                <w:sz w:val="21"/>
              </w:rPr>
            </w:pPr>
            <w:r>
              <w:rPr>
                <w:rFonts w:ascii="Times New Roman"/>
                <w:color w:val="FF0000"/>
                <w:sz w:val="21"/>
              </w:rPr>
              <w:t>12.11</w:t>
            </w:r>
          </w:p>
        </w:tc>
        <w:tc>
          <w:tcPr>
            <w:tcW w:w="1328" w:type="dxa"/>
            <w:tcBorders>
              <w:top w:val="single" w:color="000000" w:sz="4" w:space="0"/>
              <w:left w:val="single" w:color="000000" w:sz="4" w:space="0"/>
              <w:bottom w:val="single" w:color="000000" w:sz="4" w:space="0"/>
            </w:tcBorders>
          </w:tcPr>
          <w:p>
            <w:pPr>
              <w:pStyle w:val="19"/>
              <w:jc w:val="left"/>
              <w:rPr>
                <w:rFonts w:ascii="Times New Roman"/>
                <w:b/>
                <w:sz w:val="27"/>
              </w:rPr>
            </w:pPr>
          </w:p>
          <w:p>
            <w:pPr>
              <w:pStyle w:val="19"/>
              <w:ind w:left="121" w:right="96"/>
              <w:rPr>
                <w:rFonts w:ascii="Times New Roman"/>
                <w:sz w:val="21"/>
              </w:rPr>
            </w:pPr>
            <w:r>
              <w:rPr>
                <w:rFonts w:ascii="Times New Roman"/>
                <w:color w:val="FF0000"/>
                <w:sz w:val="21"/>
              </w:rPr>
              <w:t>6.06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4" w:hRule="atLeast"/>
        </w:trPr>
        <w:tc>
          <w:tcPr>
            <w:tcW w:w="1326" w:type="dxa"/>
            <w:tcBorders>
              <w:top w:val="single" w:color="000000" w:sz="4" w:space="0"/>
              <w:right w:val="single" w:color="000000" w:sz="4" w:space="0"/>
            </w:tcBorders>
          </w:tcPr>
          <w:p>
            <w:pPr>
              <w:pStyle w:val="19"/>
              <w:spacing w:line="268" w:lineRule="exact"/>
              <w:ind w:left="136"/>
              <w:jc w:val="left"/>
              <w:rPr>
                <w:sz w:val="21"/>
              </w:rPr>
            </w:pPr>
            <w:r>
              <w:rPr>
                <w:sz w:val="21"/>
              </w:rPr>
              <w:t>下风向最大</w:t>
            </w:r>
          </w:p>
          <w:p>
            <w:pPr>
              <w:pStyle w:val="19"/>
              <w:spacing w:before="3" w:line="270" w:lineRule="atLeast"/>
              <w:ind w:left="556" w:right="123" w:hanging="420"/>
              <w:jc w:val="left"/>
              <w:rPr>
                <w:sz w:val="21"/>
              </w:rPr>
            </w:pPr>
            <w:r>
              <w:rPr>
                <w:sz w:val="21"/>
              </w:rPr>
              <w:t>浓度出现距离</w:t>
            </w:r>
          </w:p>
        </w:tc>
        <w:tc>
          <w:tcPr>
            <w:tcW w:w="1326" w:type="dxa"/>
            <w:tcBorders>
              <w:top w:val="single" w:color="000000" w:sz="4" w:space="0"/>
              <w:left w:val="single" w:color="000000" w:sz="4" w:space="0"/>
              <w:right w:val="single" w:color="000000" w:sz="4" w:space="0"/>
            </w:tcBorders>
          </w:tcPr>
          <w:p>
            <w:pPr>
              <w:pStyle w:val="19"/>
              <w:spacing w:before="10"/>
              <w:jc w:val="left"/>
              <w:rPr>
                <w:rFonts w:ascii="Times New Roman"/>
                <w:b/>
                <w:sz w:val="24"/>
              </w:rPr>
            </w:pPr>
          </w:p>
          <w:p>
            <w:pPr>
              <w:pStyle w:val="19"/>
              <w:ind w:left="85" w:right="65"/>
              <w:rPr>
                <w:rFonts w:ascii="Times New Roman"/>
                <w:sz w:val="21"/>
              </w:rPr>
            </w:pPr>
            <w:r>
              <w:rPr>
                <w:rFonts w:ascii="Times New Roman"/>
                <w:sz w:val="21"/>
              </w:rPr>
              <w:t>39</w:t>
            </w:r>
          </w:p>
        </w:tc>
        <w:tc>
          <w:tcPr>
            <w:tcW w:w="1326" w:type="dxa"/>
            <w:tcBorders>
              <w:top w:val="single" w:color="000000" w:sz="4" w:space="0"/>
              <w:left w:val="single" w:color="000000" w:sz="4" w:space="0"/>
              <w:right w:val="single" w:color="000000" w:sz="4" w:space="0"/>
            </w:tcBorders>
          </w:tcPr>
          <w:p>
            <w:pPr>
              <w:pStyle w:val="19"/>
              <w:spacing w:before="10"/>
              <w:jc w:val="left"/>
              <w:rPr>
                <w:rFonts w:ascii="Times New Roman"/>
                <w:b/>
                <w:sz w:val="24"/>
              </w:rPr>
            </w:pPr>
          </w:p>
          <w:p>
            <w:pPr>
              <w:pStyle w:val="19"/>
              <w:ind w:left="84" w:right="67"/>
              <w:rPr>
                <w:rFonts w:ascii="Times New Roman"/>
                <w:sz w:val="21"/>
              </w:rPr>
            </w:pPr>
            <w:r>
              <w:rPr>
                <w:rFonts w:ascii="Times New Roman"/>
                <w:sz w:val="21"/>
              </w:rPr>
              <w:t>39</w:t>
            </w:r>
          </w:p>
        </w:tc>
        <w:tc>
          <w:tcPr>
            <w:tcW w:w="1326" w:type="dxa"/>
            <w:tcBorders>
              <w:top w:val="single" w:color="000000" w:sz="4" w:space="0"/>
              <w:left w:val="single" w:color="000000" w:sz="4" w:space="0"/>
              <w:right w:val="single" w:color="000000" w:sz="4" w:space="0"/>
            </w:tcBorders>
          </w:tcPr>
          <w:p>
            <w:pPr>
              <w:pStyle w:val="19"/>
              <w:spacing w:before="10"/>
              <w:jc w:val="left"/>
              <w:rPr>
                <w:rFonts w:ascii="Times New Roman"/>
                <w:b/>
                <w:sz w:val="24"/>
              </w:rPr>
            </w:pPr>
          </w:p>
          <w:p>
            <w:pPr>
              <w:pStyle w:val="19"/>
              <w:ind w:left="85" w:right="65"/>
              <w:rPr>
                <w:rFonts w:ascii="Times New Roman"/>
                <w:sz w:val="21"/>
              </w:rPr>
            </w:pPr>
            <w:r>
              <w:rPr>
                <w:rFonts w:ascii="Times New Roman"/>
                <w:sz w:val="21"/>
              </w:rPr>
              <w:t>39</w:t>
            </w:r>
          </w:p>
        </w:tc>
        <w:tc>
          <w:tcPr>
            <w:tcW w:w="1326" w:type="dxa"/>
            <w:tcBorders>
              <w:top w:val="single" w:color="000000" w:sz="4" w:space="0"/>
              <w:left w:val="single" w:color="000000" w:sz="4" w:space="0"/>
              <w:right w:val="single" w:color="000000" w:sz="4" w:space="0"/>
            </w:tcBorders>
          </w:tcPr>
          <w:p>
            <w:pPr>
              <w:pStyle w:val="19"/>
              <w:spacing w:before="10"/>
              <w:jc w:val="left"/>
              <w:rPr>
                <w:rFonts w:ascii="Times New Roman"/>
                <w:b/>
                <w:sz w:val="24"/>
              </w:rPr>
            </w:pPr>
          </w:p>
          <w:p>
            <w:pPr>
              <w:pStyle w:val="19"/>
              <w:ind w:left="84" w:right="67"/>
              <w:rPr>
                <w:rFonts w:ascii="Times New Roman"/>
                <w:sz w:val="21"/>
              </w:rPr>
            </w:pPr>
            <w:r>
              <w:rPr>
                <w:rFonts w:ascii="Times New Roman"/>
                <w:sz w:val="21"/>
              </w:rPr>
              <w:t>39</w:t>
            </w:r>
          </w:p>
        </w:tc>
        <w:tc>
          <w:tcPr>
            <w:tcW w:w="1326" w:type="dxa"/>
            <w:tcBorders>
              <w:top w:val="single" w:color="000000" w:sz="4" w:space="0"/>
              <w:left w:val="single" w:color="000000" w:sz="4" w:space="0"/>
              <w:right w:val="single" w:color="000000" w:sz="4" w:space="0"/>
            </w:tcBorders>
          </w:tcPr>
          <w:p>
            <w:pPr>
              <w:pStyle w:val="19"/>
              <w:spacing w:before="10"/>
              <w:jc w:val="left"/>
              <w:rPr>
                <w:rFonts w:ascii="Times New Roman"/>
                <w:b/>
                <w:sz w:val="24"/>
              </w:rPr>
            </w:pPr>
          </w:p>
          <w:p>
            <w:pPr>
              <w:pStyle w:val="19"/>
              <w:ind w:left="85" w:right="65"/>
              <w:rPr>
                <w:rFonts w:ascii="Times New Roman"/>
                <w:sz w:val="21"/>
              </w:rPr>
            </w:pPr>
            <w:r>
              <w:rPr>
                <w:rFonts w:ascii="Times New Roman"/>
                <w:color w:val="FF0000"/>
                <w:sz w:val="21"/>
              </w:rPr>
              <w:t>39</w:t>
            </w:r>
          </w:p>
        </w:tc>
        <w:tc>
          <w:tcPr>
            <w:tcW w:w="1328" w:type="dxa"/>
            <w:tcBorders>
              <w:top w:val="single" w:color="000000" w:sz="4" w:space="0"/>
              <w:left w:val="single" w:color="000000" w:sz="4" w:space="0"/>
            </w:tcBorders>
          </w:tcPr>
          <w:p>
            <w:pPr>
              <w:pStyle w:val="19"/>
              <w:spacing w:before="10"/>
              <w:jc w:val="left"/>
              <w:rPr>
                <w:rFonts w:ascii="Times New Roman"/>
                <w:b/>
                <w:sz w:val="24"/>
              </w:rPr>
            </w:pPr>
          </w:p>
          <w:p>
            <w:pPr>
              <w:pStyle w:val="19"/>
              <w:ind w:left="121" w:right="96"/>
              <w:rPr>
                <w:rFonts w:ascii="Times New Roman"/>
                <w:sz w:val="21"/>
              </w:rPr>
            </w:pPr>
            <w:r>
              <w:rPr>
                <w:rFonts w:ascii="Times New Roman"/>
                <w:color w:val="FF0000"/>
                <w:sz w:val="21"/>
              </w:rPr>
              <w:t>39</w:t>
            </w:r>
          </w:p>
        </w:tc>
      </w:tr>
    </w:tbl>
    <w:p>
      <w:pPr>
        <w:spacing w:after="0"/>
        <w:rPr>
          <w:rFonts w:ascii="Times New Roman"/>
          <w:sz w:val="21"/>
        </w:rPr>
        <w:sectPr>
          <w:pgSz w:w="11910" w:h="16840"/>
          <w:pgMar w:top="1400" w:right="0" w:bottom="880" w:left="0" w:header="0" w:footer="681" w:gutter="0"/>
        </w:sectPr>
      </w:pP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26"/>
        <w:gridCol w:w="1326"/>
        <w:gridCol w:w="1326"/>
        <w:gridCol w:w="1326"/>
        <w:gridCol w:w="1326"/>
        <w:gridCol w:w="1326"/>
        <w:gridCol w:w="132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1326" w:type="dxa"/>
            <w:tcBorders>
              <w:right w:val="single" w:color="000000" w:sz="4" w:space="0"/>
            </w:tcBorders>
          </w:tcPr>
          <w:p>
            <w:pPr>
              <w:pStyle w:val="19"/>
              <w:spacing w:before="1" w:line="270" w:lineRule="atLeast"/>
              <w:ind w:left="453" w:right="130" w:hanging="269"/>
              <w:jc w:val="left"/>
              <w:rPr>
                <w:sz w:val="21"/>
              </w:rPr>
            </w:pPr>
            <w:r>
              <w:rPr>
                <w:rFonts w:ascii="Times New Roman" w:eastAsia="Times New Roman"/>
                <w:sz w:val="21"/>
              </w:rPr>
              <w:t>D10%</w:t>
            </w:r>
            <w:r>
              <w:rPr>
                <w:sz w:val="21"/>
              </w:rPr>
              <w:t>最远距离</w:t>
            </w:r>
          </w:p>
        </w:tc>
        <w:tc>
          <w:tcPr>
            <w:tcW w:w="1326" w:type="dxa"/>
            <w:tcBorders>
              <w:left w:val="single" w:color="000000" w:sz="4" w:space="0"/>
              <w:right w:val="single" w:color="000000" w:sz="4" w:space="0"/>
            </w:tcBorders>
          </w:tcPr>
          <w:p>
            <w:pPr>
              <w:pStyle w:val="19"/>
              <w:spacing w:before="150"/>
              <w:ind w:left="16"/>
              <w:rPr>
                <w:rFonts w:ascii="Times New Roman"/>
                <w:sz w:val="21"/>
              </w:rPr>
            </w:pPr>
            <w:r>
              <w:rPr>
                <w:rFonts w:ascii="Times New Roman"/>
                <w:w w:val="99"/>
                <w:sz w:val="21"/>
              </w:rPr>
              <w:t>/</w:t>
            </w:r>
          </w:p>
        </w:tc>
        <w:tc>
          <w:tcPr>
            <w:tcW w:w="1326" w:type="dxa"/>
            <w:tcBorders>
              <w:left w:val="single" w:color="000000" w:sz="4" w:space="0"/>
              <w:right w:val="single" w:color="000000" w:sz="4" w:space="0"/>
            </w:tcBorders>
          </w:tcPr>
          <w:p>
            <w:pPr>
              <w:pStyle w:val="19"/>
              <w:spacing w:before="150"/>
              <w:ind w:left="19"/>
              <w:rPr>
                <w:rFonts w:ascii="Times New Roman"/>
                <w:sz w:val="21"/>
              </w:rPr>
            </w:pPr>
            <w:r>
              <w:rPr>
                <w:rFonts w:ascii="Times New Roman"/>
                <w:w w:val="99"/>
                <w:sz w:val="21"/>
              </w:rPr>
              <w:t>/</w:t>
            </w:r>
          </w:p>
        </w:tc>
        <w:tc>
          <w:tcPr>
            <w:tcW w:w="1326" w:type="dxa"/>
            <w:tcBorders>
              <w:left w:val="single" w:color="000000" w:sz="4" w:space="0"/>
              <w:right w:val="single" w:color="000000" w:sz="4" w:space="0"/>
            </w:tcBorders>
          </w:tcPr>
          <w:p>
            <w:pPr>
              <w:pStyle w:val="19"/>
              <w:spacing w:before="150"/>
              <w:ind w:left="16"/>
              <w:rPr>
                <w:rFonts w:ascii="Times New Roman"/>
                <w:sz w:val="21"/>
              </w:rPr>
            </w:pPr>
            <w:r>
              <w:rPr>
                <w:rFonts w:ascii="Times New Roman"/>
                <w:w w:val="99"/>
                <w:sz w:val="21"/>
              </w:rPr>
              <w:t>/</w:t>
            </w:r>
          </w:p>
        </w:tc>
        <w:tc>
          <w:tcPr>
            <w:tcW w:w="1326" w:type="dxa"/>
            <w:tcBorders>
              <w:left w:val="single" w:color="000000" w:sz="4" w:space="0"/>
              <w:right w:val="single" w:color="000000" w:sz="4" w:space="0"/>
            </w:tcBorders>
          </w:tcPr>
          <w:p>
            <w:pPr>
              <w:pStyle w:val="19"/>
              <w:spacing w:before="150"/>
              <w:ind w:left="19"/>
              <w:rPr>
                <w:rFonts w:ascii="Times New Roman"/>
                <w:sz w:val="21"/>
              </w:rPr>
            </w:pPr>
            <w:r>
              <w:rPr>
                <w:rFonts w:ascii="Times New Roman"/>
                <w:w w:val="99"/>
                <w:sz w:val="21"/>
              </w:rPr>
              <w:t>/</w:t>
            </w:r>
          </w:p>
        </w:tc>
        <w:tc>
          <w:tcPr>
            <w:tcW w:w="1326" w:type="dxa"/>
            <w:tcBorders>
              <w:left w:val="single" w:color="000000" w:sz="4" w:space="0"/>
              <w:right w:val="single" w:color="000000" w:sz="4" w:space="0"/>
            </w:tcBorders>
          </w:tcPr>
          <w:p>
            <w:pPr>
              <w:pStyle w:val="19"/>
              <w:spacing w:before="150"/>
              <w:ind w:left="16"/>
              <w:rPr>
                <w:rFonts w:ascii="Times New Roman"/>
                <w:sz w:val="21"/>
              </w:rPr>
            </w:pPr>
            <w:r>
              <w:rPr>
                <w:rFonts w:ascii="Times New Roman"/>
                <w:w w:val="99"/>
                <w:sz w:val="21"/>
              </w:rPr>
              <w:t>/</w:t>
            </w:r>
          </w:p>
        </w:tc>
        <w:tc>
          <w:tcPr>
            <w:tcW w:w="1328" w:type="dxa"/>
            <w:tcBorders>
              <w:left w:val="single" w:color="000000" w:sz="4" w:space="0"/>
            </w:tcBorders>
          </w:tcPr>
          <w:p>
            <w:pPr>
              <w:pStyle w:val="19"/>
              <w:spacing w:before="150"/>
              <w:ind w:left="22"/>
              <w:rPr>
                <w:rFonts w:ascii="Times New Roman"/>
                <w:sz w:val="21"/>
              </w:rPr>
            </w:pPr>
            <w:r>
              <w:rPr>
                <w:rFonts w:ascii="Times New Roman"/>
                <w:w w:val="99"/>
                <w:sz w:val="21"/>
              </w:rPr>
              <w:t>/</w:t>
            </w:r>
          </w:p>
        </w:tc>
      </w:tr>
    </w:tbl>
    <w:p>
      <w:pPr>
        <w:spacing w:before="1"/>
        <w:ind w:left="14" w:right="0" w:firstLine="0"/>
        <w:jc w:val="center"/>
        <w:rPr>
          <w:rFonts w:ascii="Times New Roman" w:eastAsia="Times New Roman"/>
          <w:b/>
          <w:sz w:val="21"/>
        </w:rPr>
      </w:pPr>
      <w:r>
        <w:rPr>
          <w:b/>
          <w:spacing w:val="-28"/>
          <w:sz w:val="21"/>
        </w:rPr>
        <w:t xml:space="preserve">表 </w:t>
      </w:r>
      <w:r>
        <w:rPr>
          <w:rFonts w:ascii="Times New Roman" w:eastAsia="Times New Roman"/>
          <w:b/>
          <w:sz w:val="21"/>
        </w:rPr>
        <w:t>7.3-12</w:t>
      </w:r>
      <w:r>
        <w:rPr>
          <w:rFonts w:ascii="Times New Roman" w:eastAsia="Times New Roman"/>
          <w:b/>
          <w:spacing w:val="48"/>
          <w:sz w:val="21"/>
        </w:rPr>
        <w:t xml:space="preserve"> </w:t>
      </w:r>
      <w:r>
        <w:rPr>
          <w:b/>
          <w:sz w:val="21"/>
        </w:rPr>
        <w:t>主要污染源估算模型计算结果</w:t>
      </w:r>
      <w:r>
        <w:rPr>
          <w:rFonts w:ascii="Times New Roman" w:eastAsia="Times New Roman"/>
          <w:b/>
          <w:sz w:val="21"/>
        </w:rPr>
        <w:t>(6)</w:t>
      </w:r>
    </w:p>
    <w:p>
      <w:pPr>
        <w:pStyle w:val="9"/>
        <w:rPr>
          <w:rFonts w:ascii="Times New Roman"/>
          <w:b/>
          <w:sz w:val="12"/>
        </w:rPr>
      </w:pP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095"/>
        <w:gridCol w:w="3095"/>
        <w:gridCol w:w="309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vMerge w:val="restart"/>
            <w:tcBorders>
              <w:bottom w:val="single" w:color="000000" w:sz="4" w:space="0"/>
              <w:right w:val="single" w:color="000000" w:sz="4" w:space="0"/>
            </w:tcBorders>
          </w:tcPr>
          <w:p>
            <w:pPr>
              <w:pStyle w:val="19"/>
              <w:spacing w:before="5"/>
              <w:jc w:val="left"/>
              <w:rPr>
                <w:rFonts w:ascii="Times New Roman"/>
                <w:b/>
                <w:sz w:val="25"/>
              </w:rPr>
            </w:pPr>
          </w:p>
          <w:p>
            <w:pPr>
              <w:pStyle w:val="19"/>
              <w:ind w:left="1022"/>
              <w:jc w:val="left"/>
              <w:rPr>
                <w:sz w:val="21"/>
              </w:rPr>
            </w:pPr>
            <w:r>
              <w:rPr>
                <w:sz w:val="21"/>
              </w:rPr>
              <w:t>下风向距离</w:t>
            </w:r>
          </w:p>
        </w:tc>
        <w:tc>
          <w:tcPr>
            <w:tcW w:w="6191" w:type="dxa"/>
            <w:gridSpan w:val="2"/>
            <w:tcBorders>
              <w:left w:val="single" w:color="000000" w:sz="4" w:space="0"/>
              <w:bottom w:val="single" w:color="000000" w:sz="4" w:space="0"/>
            </w:tcBorders>
          </w:tcPr>
          <w:p>
            <w:pPr>
              <w:pStyle w:val="19"/>
              <w:spacing w:before="77"/>
              <w:ind w:left="2238" w:right="2218"/>
              <w:rPr>
                <w:sz w:val="21"/>
              </w:rPr>
            </w:pPr>
            <w:r>
              <w:rPr>
                <w:sz w:val="21"/>
              </w:rPr>
              <w:t>筛分车间烟囱点源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vMerge w:val="continue"/>
            <w:tcBorders>
              <w:top w:val="nil"/>
              <w:bottom w:val="single" w:color="000000" w:sz="4" w:space="0"/>
              <w:right w:val="single" w:color="000000" w:sz="4" w:space="0"/>
            </w:tcBorders>
          </w:tcPr>
          <w:p>
            <w:pPr>
              <w:rPr>
                <w:sz w:val="2"/>
                <w:szCs w:val="2"/>
              </w:rPr>
            </w:pPr>
          </w:p>
        </w:tc>
        <w:tc>
          <w:tcPr>
            <w:tcW w:w="3095" w:type="dxa"/>
            <w:tcBorders>
              <w:top w:val="single" w:color="000000" w:sz="4" w:space="0"/>
              <w:left w:val="single" w:color="000000" w:sz="4" w:space="0"/>
              <w:bottom w:val="single" w:color="000000" w:sz="4" w:space="0"/>
              <w:right w:val="single" w:color="000000" w:sz="4" w:space="0"/>
            </w:tcBorders>
          </w:tcPr>
          <w:p>
            <w:pPr>
              <w:pStyle w:val="19"/>
              <w:spacing w:before="73"/>
              <w:ind w:left="756" w:right="734"/>
              <w:rPr>
                <w:rFonts w:ascii="Times New Roman" w:hAnsi="Times New Roman" w:eastAsia="Times New Roman"/>
                <w:sz w:val="21"/>
              </w:rPr>
            </w:pPr>
            <w:r>
              <w:rPr>
                <w:rFonts w:ascii="Times New Roman" w:hAnsi="Times New Roman" w:eastAsia="Times New Roman"/>
                <w:position w:val="2"/>
                <w:sz w:val="21"/>
              </w:rPr>
              <w:t>PM</w:t>
            </w:r>
            <w:r>
              <w:rPr>
                <w:rFonts w:ascii="Times New Roman" w:hAnsi="Times New Roman" w:eastAsia="Times New Roman"/>
                <w:position w:val="2"/>
                <w:sz w:val="21"/>
                <w:vertAlign w:val="subscript"/>
              </w:rPr>
              <w:t>10</w:t>
            </w:r>
            <w:r>
              <w:rPr>
                <w:rFonts w:ascii="Times New Roman" w:hAnsi="Times New Roman" w:eastAsia="Times New Roman"/>
                <w:position w:val="2"/>
                <w:sz w:val="21"/>
                <w:vertAlign w:val="baseline"/>
              </w:rPr>
              <w:t xml:space="preserve"> </w:t>
            </w:r>
            <w:r>
              <w:rPr>
                <w:position w:val="2"/>
                <w:sz w:val="21"/>
                <w:vertAlign w:val="baseline"/>
              </w:rPr>
              <w:t>浓度</w:t>
            </w:r>
            <w:r>
              <w:rPr>
                <w:rFonts w:ascii="Times New Roman" w:hAnsi="Times New Roman" w:eastAsia="Times New Roman"/>
                <w:position w:val="2"/>
                <w:sz w:val="21"/>
                <w:vertAlign w:val="baseline"/>
              </w:rPr>
              <w:t>(μg/m³)</w:t>
            </w:r>
          </w:p>
        </w:tc>
        <w:tc>
          <w:tcPr>
            <w:tcW w:w="3096" w:type="dxa"/>
            <w:tcBorders>
              <w:top w:val="single" w:color="000000" w:sz="4" w:space="0"/>
              <w:left w:val="single" w:color="000000" w:sz="4" w:space="0"/>
              <w:bottom w:val="single" w:color="000000" w:sz="4" w:space="0"/>
            </w:tcBorders>
          </w:tcPr>
          <w:p>
            <w:pPr>
              <w:pStyle w:val="19"/>
              <w:spacing w:before="73"/>
              <w:ind w:left="814" w:right="788"/>
              <w:rPr>
                <w:rFonts w:ascii="Times New Roman" w:eastAsia="Times New Roman"/>
                <w:sz w:val="21"/>
              </w:rPr>
            </w:pPr>
            <w:r>
              <w:rPr>
                <w:rFonts w:ascii="Times New Roman" w:eastAsia="Times New Roman"/>
                <w:position w:val="2"/>
                <w:sz w:val="21"/>
              </w:rPr>
              <w:t>PM</w:t>
            </w:r>
            <w:r>
              <w:rPr>
                <w:rFonts w:ascii="Times New Roman" w:eastAsia="Times New Roman"/>
                <w:position w:val="2"/>
                <w:sz w:val="21"/>
                <w:vertAlign w:val="subscript"/>
              </w:rPr>
              <w:t>10</w:t>
            </w:r>
            <w:r>
              <w:rPr>
                <w:rFonts w:ascii="Times New Roman" w:eastAsia="Times New Roman"/>
                <w:position w:val="2"/>
                <w:sz w:val="21"/>
                <w:vertAlign w:val="baseline"/>
              </w:rPr>
              <w:t xml:space="preserve"> </w:t>
            </w:r>
            <w:r>
              <w:rPr>
                <w:position w:val="2"/>
                <w:sz w:val="21"/>
                <w:vertAlign w:val="baseline"/>
              </w:rPr>
              <w:t>占标率</w:t>
            </w:r>
            <w:r>
              <w:rPr>
                <w:rFonts w:ascii="Times New Roman" w:eastAsia="Times New Roman"/>
                <w:position w:val="2"/>
                <w:sz w:val="21"/>
                <w:vertAlign w:val="baseline"/>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9"/>
              <w:spacing w:before="92"/>
              <w:ind w:left="216" w:right="202"/>
              <w:rPr>
                <w:rFonts w:ascii="Times New Roman"/>
                <w:sz w:val="21"/>
              </w:rPr>
            </w:pPr>
            <w:r>
              <w:rPr>
                <w:rFonts w:ascii="Times New Roman"/>
                <w:sz w:val="21"/>
              </w:rPr>
              <w:t>10.0</w:t>
            </w:r>
          </w:p>
        </w:tc>
        <w:tc>
          <w:tcPr>
            <w:tcW w:w="3095" w:type="dxa"/>
            <w:tcBorders>
              <w:top w:val="single" w:color="000000" w:sz="4" w:space="0"/>
              <w:left w:val="single" w:color="000000" w:sz="4" w:space="0"/>
              <w:bottom w:val="single" w:color="000000" w:sz="4" w:space="0"/>
              <w:right w:val="single" w:color="000000" w:sz="4" w:space="0"/>
            </w:tcBorders>
          </w:tcPr>
          <w:p>
            <w:pPr>
              <w:pStyle w:val="19"/>
              <w:spacing w:before="92"/>
              <w:ind w:left="755" w:right="734"/>
              <w:rPr>
                <w:rFonts w:ascii="Times New Roman"/>
                <w:sz w:val="21"/>
              </w:rPr>
            </w:pPr>
            <w:r>
              <w:rPr>
                <w:rFonts w:ascii="Times New Roman"/>
                <w:sz w:val="21"/>
              </w:rPr>
              <w:t>0.03</w:t>
            </w:r>
          </w:p>
        </w:tc>
        <w:tc>
          <w:tcPr>
            <w:tcW w:w="3096" w:type="dxa"/>
            <w:tcBorders>
              <w:top w:val="single" w:color="000000" w:sz="4" w:space="0"/>
              <w:left w:val="single" w:color="000000" w:sz="4" w:space="0"/>
              <w:bottom w:val="single" w:color="000000" w:sz="4" w:space="0"/>
            </w:tcBorders>
          </w:tcPr>
          <w:p>
            <w:pPr>
              <w:pStyle w:val="19"/>
              <w:spacing w:before="92"/>
              <w:ind w:left="811" w:right="788"/>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9"/>
              <w:spacing w:before="91"/>
              <w:ind w:left="216" w:right="202"/>
              <w:rPr>
                <w:rFonts w:ascii="Times New Roman"/>
                <w:sz w:val="21"/>
              </w:rPr>
            </w:pPr>
            <w:r>
              <w:rPr>
                <w:rFonts w:ascii="Times New Roman"/>
                <w:sz w:val="21"/>
              </w:rPr>
              <w:t>25.0</w:t>
            </w:r>
          </w:p>
        </w:tc>
        <w:tc>
          <w:tcPr>
            <w:tcW w:w="3095" w:type="dxa"/>
            <w:tcBorders>
              <w:top w:val="single" w:color="000000" w:sz="4" w:space="0"/>
              <w:left w:val="single" w:color="000000" w:sz="4" w:space="0"/>
              <w:bottom w:val="single" w:color="000000" w:sz="4" w:space="0"/>
              <w:right w:val="single" w:color="000000" w:sz="4" w:space="0"/>
            </w:tcBorders>
          </w:tcPr>
          <w:p>
            <w:pPr>
              <w:pStyle w:val="19"/>
              <w:spacing w:before="91"/>
              <w:ind w:left="755" w:right="734"/>
              <w:rPr>
                <w:rFonts w:ascii="Times New Roman"/>
                <w:sz w:val="21"/>
              </w:rPr>
            </w:pPr>
            <w:r>
              <w:rPr>
                <w:rFonts w:ascii="Times New Roman"/>
                <w:sz w:val="21"/>
              </w:rPr>
              <w:t>1.55</w:t>
            </w:r>
          </w:p>
        </w:tc>
        <w:tc>
          <w:tcPr>
            <w:tcW w:w="3096" w:type="dxa"/>
            <w:tcBorders>
              <w:top w:val="single" w:color="000000" w:sz="4" w:space="0"/>
              <w:left w:val="single" w:color="000000" w:sz="4" w:space="0"/>
              <w:bottom w:val="single" w:color="000000" w:sz="4" w:space="0"/>
            </w:tcBorders>
          </w:tcPr>
          <w:p>
            <w:pPr>
              <w:pStyle w:val="19"/>
              <w:spacing w:before="91"/>
              <w:ind w:left="811" w:right="788"/>
              <w:rPr>
                <w:rFonts w:ascii="Times New Roman"/>
                <w:sz w:val="21"/>
              </w:rPr>
            </w:pPr>
            <w:r>
              <w:rPr>
                <w:rFonts w:ascii="Times New Roman"/>
                <w:sz w:val="21"/>
              </w:rPr>
              <w:t>0.35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9"/>
              <w:spacing w:before="91"/>
              <w:ind w:left="216" w:right="202"/>
              <w:rPr>
                <w:rFonts w:ascii="Times New Roman"/>
                <w:sz w:val="21"/>
              </w:rPr>
            </w:pPr>
            <w:r>
              <w:rPr>
                <w:rFonts w:ascii="Times New Roman"/>
                <w:sz w:val="21"/>
              </w:rPr>
              <w:t>50.0</w:t>
            </w:r>
          </w:p>
        </w:tc>
        <w:tc>
          <w:tcPr>
            <w:tcW w:w="3095" w:type="dxa"/>
            <w:tcBorders>
              <w:top w:val="single" w:color="000000" w:sz="4" w:space="0"/>
              <w:left w:val="single" w:color="000000" w:sz="4" w:space="0"/>
              <w:bottom w:val="single" w:color="000000" w:sz="4" w:space="0"/>
              <w:right w:val="single" w:color="000000" w:sz="4" w:space="0"/>
            </w:tcBorders>
          </w:tcPr>
          <w:p>
            <w:pPr>
              <w:pStyle w:val="19"/>
              <w:spacing w:before="91"/>
              <w:ind w:left="755" w:right="734"/>
              <w:rPr>
                <w:rFonts w:ascii="Times New Roman"/>
                <w:sz w:val="21"/>
              </w:rPr>
            </w:pPr>
            <w:r>
              <w:rPr>
                <w:rFonts w:ascii="Times New Roman"/>
                <w:sz w:val="21"/>
              </w:rPr>
              <w:t>2.42</w:t>
            </w:r>
          </w:p>
        </w:tc>
        <w:tc>
          <w:tcPr>
            <w:tcW w:w="3096" w:type="dxa"/>
            <w:tcBorders>
              <w:top w:val="single" w:color="000000" w:sz="4" w:space="0"/>
              <w:left w:val="single" w:color="000000" w:sz="4" w:space="0"/>
              <w:bottom w:val="single" w:color="000000" w:sz="4" w:space="0"/>
            </w:tcBorders>
          </w:tcPr>
          <w:p>
            <w:pPr>
              <w:pStyle w:val="19"/>
              <w:spacing w:before="91"/>
              <w:ind w:left="811" w:right="788"/>
              <w:rPr>
                <w:rFonts w:ascii="Times New Roman"/>
                <w:sz w:val="21"/>
              </w:rPr>
            </w:pPr>
            <w:r>
              <w:rPr>
                <w:rFonts w:ascii="Times New Roman"/>
                <w:sz w:val="21"/>
              </w:rPr>
              <w:t>0.54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9"/>
              <w:spacing w:before="90"/>
              <w:ind w:left="216" w:right="202"/>
              <w:rPr>
                <w:rFonts w:ascii="Times New Roman"/>
                <w:sz w:val="21"/>
              </w:rPr>
            </w:pPr>
            <w:r>
              <w:rPr>
                <w:rFonts w:ascii="Times New Roman"/>
                <w:sz w:val="21"/>
              </w:rPr>
              <w:t>66.0</w:t>
            </w:r>
          </w:p>
        </w:tc>
        <w:tc>
          <w:tcPr>
            <w:tcW w:w="3095" w:type="dxa"/>
            <w:tcBorders>
              <w:top w:val="single" w:color="000000" w:sz="4" w:space="0"/>
              <w:left w:val="single" w:color="000000" w:sz="4" w:space="0"/>
              <w:bottom w:val="single" w:color="000000" w:sz="4" w:space="0"/>
              <w:right w:val="single" w:color="000000" w:sz="4" w:space="0"/>
            </w:tcBorders>
          </w:tcPr>
          <w:p>
            <w:pPr>
              <w:pStyle w:val="19"/>
              <w:spacing w:before="90"/>
              <w:ind w:left="755" w:right="734"/>
              <w:rPr>
                <w:rFonts w:ascii="Times New Roman"/>
                <w:sz w:val="21"/>
              </w:rPr>
            </w:pPr>
            <w:r>
              <w:rPr>
                <w:rFonts w:ascii="Times New Roman"/>
                <w:sz w:val="21"/>
              </w:rPr>
              <w:t>2.73</w:t>
            </w:r>
          </w:p>
        </w:tc>
        <w:tc>
          <w:tcPr>
            <w:tcW w:w="3096" w:type="dxa"/>
            <w:tcBorders>
              <w:top w:val="single" w:color="000000" w:sz="4" w:space="0"/>
              <w:left w:val="single" w:color="000000" w:sz="4" w:space="0"/>
              <w:bottom w:val="single" w:color="000000" w:sz="4" w:space="0"/>
            </w:tcBorders>
          </w:tcPr>
          <w:p>
            <w:pPr>
              <w:pStyle w:val="19"/>
              <w:spacing w:before="90"/>
              <w:ind w:left="811" w:right="788"/>
              <w:rPr>
                <w:rFonts w:ascii="Times New Roman"/>
                <w:sz w:val="21"/>
              </w:rPr>
            </w:pPr>
            <w:r>
              <w:rPr>
                <w:rFonts w:ascii="Times New Roman"/>
                <w:sz w:val="21"/>
              </w:rPr>
              <w:t>0.61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9"/>
              <w:spacing w:before="92"/>
              <w:ind w:left="216" w:right="202"/>
              <w:rPr>
                <w:rFonts w:ascii="Times New Roman"/>
                <w:sz w:val="21"/>
              </w:rPr>
            </w:pPr>
            <w:r>
              <w:rPr>
                <w:rFonts w:ascii="Times New Roman"/>
                <w:sz w:val="21"/>
              </w:rPr>
              <w:t>75.0</w:t>
            </w:r>
          </w:p>
        </w:tc>
        <w:tc>
          <w:tcPr>
            <w:tcW w:w="3095" w:type="dxa"/>
            <w:tcBorders>
              <w:top w:val="single" w:color="000000" w:sz="4" w:space="0"/>
              <w:left w:val="single" w:color="000000" w:sz="4" w:space="0"/>
              <w:bottom w:val="single" w:color="000000" w:sz="4" w:space="0"/>
              <w:right w:val="single" w:color="000000" w:sz="4" w:space="0"/>
            </w:tcBorders>
          </w:tcPr>
          <w:p>
            <w:pPr>
              <w:pStyle w:val="19"/>
              <w:spacing w:before="92"/>
              <w:ind w:left="755" w:right="734"/>
              <w:rPr>
                <w:rFonts w:ascii="Times New Roman"/>
                <w:sz w:val="21"/>
              </w:rPr>
            </w:pPr>
            <w:r>
              <w:rPr>
                <w:rFonts w:ascii="Times New Roman"/>
                <w:sz w:val="21"/>
              </w:rPr>
              <w:t>2.69</w:t>
            </w:r>
          </w:p>
        </w:tc>
        <w:tc>
          <w:tcPr>
            <w:tcW w:w="3096" w:type="dxa"/>
            <w:tcBorders>
              <w:top w:val="single" w:color="000000" w:sz="4" w:space="0"/>
              <w:left w:val="single" w:color="000000" w:sz="4" w:space="0"/>
              <w:bottom w:val="single" w:color="000000" w:sz="4" w:space="0"/>
            </w:tcBorders>
          </w:tcPr>
          <w:p>
            <w:pPr>
              <w:pStyle w:val="19"/>
              <w:spacing w:before="92"/>
              <w:ind w:left="811" w:right="788"/>
              <w:rPr>
                <w:rFonts w:ascii="Times New Roman"/>
                <w:sz w:val="21"/>
              </w:rPr>
            </w:pPr>
            <w:r>
              <w:rPr>
                <w:rFonts w:ascii="Times New Roman"/>
                <w:sz w:val="21"/>
              </w:rPr>
              <w:t>0.60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9"/>
              <w:spacing w:before="91"/>
              <w:ind w:left="216" w:right="202"/>
              <w:rPr>
                <w:rFonts w:ascii="Times New Roman"/>
                <w:sz w:val="21"/>
              </w:rPr>
            </w:pPr>
            <w:r>
              <w:rPr>
                <w:rFonts w:ascii="Times New Roman"/>
                <w:sz w:val="21"/>
              </w:rPr>
              <w:t>100.0</w:t>
            </w:r>
          </w:p>
        </w:tc>
        <w:tc>
          <w:tcPr>
            <w:tcW w:w="3095" w:type="dxa"/>
            <w:tcBorders>
              <w:top w:val="single" w:color="000000" w:sz="4" w:space="0"/>
              <w:left w:val="single" w:color="000000" w:sz="4" w:space="0"/>
              <w:bottom w:val="single" w:color="000000" w:sz="4" w:space="0"/>
              <w:right w:val="single" w:color="000000" w:sz="4" w:space="0"/>
            </w:tcBorders>
          </w:tcPr>
          <w:p>
            <w:pPr>
              <w:pStyle w:val="19"/>
              <w:spacing w:before="91"/>
              <w:ind w:left="755" w:right="734"/>
              <w:rPr>
                <w:rFonts w:ascii="Times New Roman"/>
                <w:sz w:val="21"/>
              </w:rPr>
            </w:pPr>
            <w:r>
              <w:rPr>
                <w:rFonts w:ascii="Times New Roman"/>
                <w:sz w:val="21"/>
              </w:rPr>
              <w:t>2.29</w:t>
            </w:r>
          </w:p>
        </w:tc>
        <w:tc>
          <w:tcPr>
            <w:tcW w:w="3096" w:type="dxa"/>
            <w:tcBorders>
              <w:top w:val="single" w:color="000000" w:sz="4" w:space="0"/>
              <w:left w:val="single" w:color="000000" w:sz="4" w:space="0"/>
              <w:bottom w:val="single" w:color="000000" w:sz="4" w:space="0"/>
            </w:tcBorders>
          </w:tcPr>
          <w:p>
            <w:pPr>
              <w:pStyle w:val="19"/>
              <w:spacing w:before="91"/>
              <w:ind w:left="811" w:right="788"/>
              <w:rPr>
                <w:rFonts w:ascii="Times New Roman"/>
                <w:sz w:val="21"/>
              </w:rPr>
            </w:pPr>
            <w:r>
              <w:rPr>
                <w:rFonts w:ascii="Times New Roman"/>
                <w:sz w:val="21"/>
              </w:rPr>
              <w:t>0.51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9"/>
              <w:spacing w:before="91"/>
              <w:ind w:left="216" w:right="201"/>
              <w:rPr>
                <w:rFonts w:ascii="Times New Roman"/>
                <w:sz w:val="21"/>
              </w:rPr>
            </w:pPr>
            <w:r>
              <w:rPr>
                <w:rFonts w:ascii="Times New Roman"/>
                <w:sz w:val="21"/>
              </w:rPr>
              <w:t>...</w:t>
            </w:r>
          </w:p>
        </w:tc>
        <w:tc>
          <w:tcPr>
            <w:tcW w:w="3095" w:type="dxa"/>
            <w:tcBorders>
              <w:top w:val="single" w:color="000000" w:sz="4" w:space="0"/>
              <w:left w:val="single" w:color="000000" w:sz="4" w:space="0"/>
              <w:bottom w:val="single" w:color="000000" w:sz="4" w:space="0"/>
              <w:right w:val="single" w:color="000000" w:sz="4" w:space="0"/>
            </w:tcBorders>
          </w:tcPr>
          <w:p>
            <w:pPr>
              <w:pStyle w:val="19"/>
              <w:spacing w:before="91"/>
              <w:ind w:left="751" w:right="734"/>
              <w:rPr>
                <w:rFonts w:ascii="Times New Roman"/>
                <w:sz w:val="21"/>
              </w:rPr>
            </w:pPr>
            <w:r>
              <w:rPr>
                <w:rFonts w:ascii="Times New Roman"/>
                <w:sz w:val="21"/>
              </w:rPr>
              <w:t>...</w:t>
            </w:r>
          </w:p>
        </w:tc>
        <w:tc>
          <w:tcPr>
            <w:tcW w:w="3096" w:type="dxa"/>
            <w:tcBorders>
              <w:top w:val="single" w:color="000000" w:sz="4" w:space="0"/>
              <w:left w:val="single" w:color="000000" w:sz="4" w:space="0"/>
              <w:bottom w:val="single" w:color="000000" w:sz="4" w:space="0"/>
            </w:tcBorders>
          </w:tcPr>
          <w:p>
            <w:pPr>
              <w:pStyle w:val="19"/>
              <w:spacing w:before="91"/>
              <w:ind w:left="811" w:right="788"/>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3095" w:type="dxa"/>
            <w:tcBorders>
              <w:top w:val="single" w:color="000000" w:sz="4" w:space="0"/>
              <w:bottom w:val="single" w:color="000000" w:sz="4" w:space="0"/>
              <w:right w:val="single" w:color="000000" w:sz="4" w:space="0"/>
            </w:tcBorders>
          </w:tcPr>
          <w:p>
            <w:pPr>
              <w:pStyle w:val="19"/>
              <w:spacing w:before="90"/>
              <w:ind w:left="215" w:right="203"/>
              <w:rPr>
                <w:rFonts w:ascii="Times New Roman"/>
                <w:sz w:val="21"/>
              </w:rPr>
            </w:pPr>
            <w:r>
              <w:rPr>
                <w:rFonts w:ascii="Times New Roman"/>
                <w:sz w:val="21"/>
              </w:rPr>
              <w:t>24800</w:t>
            </w:r>
          </w:p>
        </w:tc>
        <w:tc>
          <w:tcPr>
            <w:tcW w:w="3095" w:type="dxa"/>
            <w:tcBorders>
              <w:top w:val="single" w:color="000000" w:sz="4" w:space="0"/>
              <w:left w:val="single" w:color="000000" w:sz="4" w:space="0"/>
              <w:bottom w:val="single" w:color="000000" w:sz="4" w:space="0"/>
              <w:right w:val="single" w:color="000000" w:sz="4" w:space="0"/>
            </w:tcBorders>
          </w:tcPr>
          <w:p>
            <w:pPr>
              <w:pStyle w:val="19"/>
              <w:spacing w:before="90"/>
              <w:ind w:left="753" w:right="734"/>
              <w:rPr>
                <w:rFonts w:ascii="Times New Roman"/>
                <w:sz w:val="21"/>
              </w:rPr>
            </w:pPr>
            <w:r>
              <w:rPr>
                <w:rFonts w:ascii="Times New Roman"/>
                <w:sz w:val="21"/>
              </w:rPr>
              <w:t>0.03</w:t>
            </w:r>
          </w:p>
        </w:tc>
        <w:tc>
          <w:tcPr>
            <w:tcW w:w="3096" w:type="dxa"/>
            <w:tcBorders>
              <w:top w:val="single" w:color="000000" w:sz="4" w:space="0"/>
              <w:left w:val="single" w:color="000000" w:sz="4" w:space="0"/>
              <w:bottom w:val="single" w:color="000000" w:sz="4" w:space="0"/>
            </w:tcBorders>
          </w:tcPr>
          <w:p>
            <w:pPr>
              <w:pStyle w:val="19"/>
              <w:spacing w:before="90"/>
              <w:ind w:left="808" w:right="788"/>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9"/>
              <w:spacing w:before="92"/>
              <w:ind w:left="215" w:right="203"/>
              <w:rPr>
                <w:rFonts w:ascii="Times New Roman"/>
                <w:sz w:val="21"/>
              </w:rPr>
            </w:pPr>
            <w:r>
              <w:rPr>
                <w:rFonts w:ascii="Times New Roman"/>
                <w:sz w:val="21"/>
              </w:rPr>
              <w:t>25000</w:t>
            </w:r>
          </w:p>
        </w:tc>
        <w:tc>
          <w:tcPr>
            <w:tcW w:w="3095" w:type="dxa"/>
            <w:tcBorders>
              <w:top w:val="single" w:color="000000" w:sz="4" w:space="0"/>
              <w:left w:val="single" w:color="000000" w:sz="4" w:space="0"/>
              <w:bottom w:val="single" w:color="000000" w:sz="4" w:space="0"/>
              <w:right w:val="single" w:color="000000" w:sz="4" w:space="0"/>
            </w:tcBorders>
          </w:tcPr>
          <w:p>
            <w:pPr>
              <w:pStyle w:val="19"/>
              <w:spacing w:before="92"/>
              <w:ind w:left="755" w:right="734"/>
              <w:rPr>
                <w:rFonts w:ascii="Times New Roman"/>
                <w:sz w:val="21"/>
              </w:rPr>
            </w:pPr>
            <w:r>
              <w:rPr>
                <w:rFonts w:ascii="Times New Roman"/>
                <w:sz w:val="21"/>
              </w:rPr>
              <w:t>0.03</w:t>
            </w:r>
          </w:p>
        </w:tc>
        <w:tc>
          <w:tcPr>
            <w:tcW w:w="3096" w:type="dxa"/>
            <w:tcBorders>
              <w:top w:val="single" w:color="000000" w:sz="4" w:space="0"/>
              <w:left w:val="single" w:color="000000" w:sz="4" w:space="0"/>
              <w:bottom w:val="single" w:color="000000" w:sz="4" w:space="0"/>
            </w:tcBorders>
          </w:tcPr>
          <w:p>
            <w:pPr>
              <w:pStyle w:val="19"/>
              <w:spacing w:before="92"/>
              <w:ind w:left="811" w:right="788"/>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9"/>
              <w:spacing w:before="65"/>
              <w:ind w:left="216" w:right="203"/>
              <w:rPr>
                <w:sz w:val="23"/>
              </w:rPr>
            </w:pPr>
            <w:r>
              <w:rPr>
                <w:sz w:val="21"/>
              </w:rPr>
              <w:t>下风向最大浓度</w:t>
            </w:r>
            <w:r>
              <w:rPr>
                <w:sz w:val="23"/>
              </w:rPr>
              <w:t>及其占标率</w:t>
            </w:r>
          </w:p>
        </w:tc>
        <w:tc>
          <w:tcPr>
            <w:tcW w:w="3095" w:type="dxa"/>
            <w:tcBorders>
              <w:top w:val="single" w:color="000000" w:sz="4" w:space="0"/>
              <w:left w:val="single" w:color="000000" w:sz="4" w:space="0"/>
              <w:bottom w:val="single" w:color="000000" w:sz="4" w:space="0"/>
              <w:right w:val="single" w:color="000000" w:sz="4" w:space="0"/>
            </w:tcBorders>
          </w:tcPr>
          <w:p>
            <w:pPr>
              <w:pStyle w:val="19"/>
              <w:spacing w:before="91"/>
              <w:ind w:left="755" w:right="734"/>
              <w:rPr>
                <w:rFonts w:ascii="Times New Roman"/>
                <w:sz w:val="21"/>
              </w:rPr>
            </w:pPr>
            <w:r>
              <w:rPr>
                <w:rFonts w:ascii="Times New Roman"/>
                <w:sz w:val="21"/>
              </w:rPr>
              <w:t>2.73</w:t>
            </w:r>
          </w:p>
        </w:tc>
        <w:tc>
          <w:tcPr>
            <w:tcW w:w="3096" w:type="dxa"/>
            <w:tcBorders>
              <w:top w:val="single" w:color="000000" w:sz="4" w:space="0"/>
              <w:left w:val="single" w:color="000000" w:sz="4" w:space="0"/>
              <w:bottom w:val="single" w:color="000000" w:sz="4" w:space="0"/>
            </w:tcBorders>
          </w:tcPr>
          <w:p>
            <w:pPr>
              <w:pStyle w:val="19"/>
              <w:spacing w:before="91"/>
              <w:ind w:left="811" w:right="788"/>
              <w:rPr>
                <w:rFonts w:ascii="Times New Roman"/>
                <w:sz w:val="21"/>
              </w:rPr>
            </w:pPr>
            <w:r>
              <w:rPr>
                <w:rFonts w:ascii="Times New Roman"/>
                <w:sz w:val="21"/>
              </w:rPr>
              <w:t>0.61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9"/>
              <w:spacing w:before="77"/>
              <w:ind w:left="214" w:right="203"/>
              <w:rPr>
                <w:sz w:val="21"/>
              </w:rPr>
            </w:pPr>
            <w:r>
              <w:rPr>
                <w:sz w:val="21"/>
              </w:rPr>
              <w:t>下风向最大浓度出现距离</w:t>
            </w:r>
          </w:p>
        </w:tc>
        <w:tc>
          <w:tcPr>
            <w:tcW w:w="3095" w:type="dxa"/>
            <w:tcBorders>
              <w:top w:val="single" w:color="000000" w:sz="4" w:space="0"/>
              <w:left w:val="single" w:color="000000" w:sz="4" w:space="0"/>
              <w:bottom w:val="single" w:color="000000" w:sz="4" w:space="0"/>
              <w:right w:val="single" w:color="000000" w:sz="4" w:space="0"/>
            </w:tcBorders>
          </w:tcPr>
          <w:p>
            <w:pPr>
              <w:pStyle w:val="19"/>
              <w:spacing w:before="91"/>
              <w:ind w:left="751" w:right="734"/>
              <w:rPr>
                <w:rFonts w:ascii="Times New Roman"/>
                <w:sz w:val="21"/>
              </w:rPr>
            </w:pPr>
            <w:r>
              <w:rPr>
                <w:rFonts w:ascii="Times New Roman"/>
                <w:sz w:val="21"/>
              </w:rPr>
              <w:t>66</w:t>
            </w:r>
          </w:p>
        </w:tc>
        <w:tc>
          <w:tcPr>
            <w:tcW w:w="3096" w:type="dxa"/>
            <w:tcBorders>
              <w:top w:val="single" w:color="000000" w:sz="4" w:space="0"/>
              <w:left w:val="single" w:color="000000" w:sz="4" w:space="0"/>
              <w:bottom w:val="single" w:color="000000" w:sz="4" w:space="0"/>
            </w:tcBorders>
          </w:tcPr>
          <w:p>
            <w:pPr>
              <w:pStyle w:val="19"/>
              <w:spacing w:before="91"/>
              <w:ind w:left="811" w:right="788"/>
              <w:rPr>
                <w:rFonts w:ascii="Times New Roman"/>
                <w:sz w:val="21"/>
              </w:rPr>
            </w:pPr>
            <w:r>
              <w:rPr>
                <w:rFonts w:ascii="Times New Roman"/>
                <w:sz w:val="21"/>
              </w:rPr>
              <w:t>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3095" w:type="dxa"/>
            <w:tcBorders>
              <w:top w:val="single" w:color="000000" w:sz="4" w:space="0"/>
              <w:right w:val="single" w:color="000000" w:sz="4" w:space="0"/>
            </w:tcBorders>
          </w:tcPr>
          <w:p>
            <w:pPr>
              <w:pStyle w:val="19"/>
              <w:spacing w:before="76"/>
              <w:ind w:left="214" w:right="203"/>
              <w:rPr>
                <w:sz w:val="21"/>
              </w:rPr>
            </w:pPr>
            <w:r>
              <w:rPr>
                <w:rFonts w:ascii="Times New Roman" w:eastAsia="Times New Roman"/>
                <w:sz w:val="21"/>
              </w:rPr>
              <w:t>D10%</w:t>
            </w:r>
            <w:r>
              <w:rPr>
                <w:sz w:val="21"/>
              </w:rPr>
              <w:t>最远距离</w:t>
            </w:r>
          </w:p>
        </w:tc>
        <w:tc>
          <w:tcPr>
            <w:tcW w:w="3095" w:type="dxa"/>
            <w:tcBorders>
              <w:top w:val="single" w:color="000000" w:sz="4" w:space="0"/>
              <w:left w:val="single" w:color="000000" w:sz="4" w:space="0"/>
              <w:right w:val="single" w:color="000000" w:sz="4" w:space="0"/>
            </w:tcBorders>
          </w:tcPr>
          <w:p>
            <w:pPr>
              <w:pStyle w:val="19"/>
              <w:spacing w:before="90"/>
              <w:ind w:left="18"/>
              <w:rPr>
                <w:rFonts w:ascii="Times New Roman"/>
                <w:sz w:val="21"/>
              </w:rPr>
            </w:pPr>
            <w:r>
              <w:rPr>
                <w:rFonts w:ascii="Times New Roman"/>
                <w:w w:val="99"/>
                <w:sz w:val="21"/>
              </w:rPr>
              <w:t>/</w:t>
            </w:r>
          </w:p>
        </w:tc>
        <w:tc>
          <w:tcPr>
            <w:tcW w:w="3096" w:type="dxa"/>
            <w:tcBorders>
              <w:top w:val="single" w:color="000000" w:sz="4" w:space="0"/>
              <w:left w:val="single" w:color="000000" w:sz="4" w:space="0"/>
            </w:tcBorders>
          </w:tcPr>
          <w:p>
            <w:pPr>
              <w:pStyle w:val="19"/>
              <w:spacing w:before="90"/>
              <w:ind w:left="24"/>
              <w:rPr>
                <w:rFonts w:ascii="Times New Roman"/>
                <w:sz w:val="21"/>
              </w:rPr>
            </w:pPr>
            <w:r>
              <w:rPr>
                <w:rFonts w:ascii="Times New Roman"/>
                <w:w w:val="99"/>
                <w:sz w:val="21"/>
              </w:rPr>
              <w:t>/</w:t>
            </w:r>
          </w:p>
        </w:tc>
      </w:tr>
    </w:tbl>
    <w:p>
      <w:pPr>
        <w:spacing w:before="1"/>
        <w:ind w:left="14" w:right="0" w:firstLine="0"/>
        <w:jc w:val="center"/>
        <w:rPr>
          <w:rFonts w:ascii="Times New Roman" w:eastAsia="Times New Roman"/>
          <w:b/>
          <w:sz w:val="21"/>
        </w:rPr>
      </w:pPr>
      <w:r>
        <w:rPr>
          <w:b/>
          <w:color w:val="FF0000"/>
          <w:spacing w:val="-28"/>
          <w:sz w:val="21"/>
        </w:rPr>
        <w:t xml:space="preserve">表 </w:t>
      </w:r>
      <w:r>
        <w:rPr>
          <w:rFonts w:ascii="Times New Roman" w:eastAsia="Times New Roman"/>
          <w:b/>
          <w:color w:val="FF0000"/>
          <w:sz w:val="21"/>
        </w:rPr>
        <w:t>7.3-13</w:t>
      </w:r>
      <w:r>
        <w:rPr>
          <w:rFonts w:ascii="Times New Roman" w:eastAsia="Times New Roman"/>
          <w:b/>
          <w:color w:val="FF0000"/>
          <w:spacing w:val="48"/>
          <w:sz w:val="21"/>
        </w:rPr>
        <w:t xml:space="preserve"> </w:t>
      </w:r>
      <w:r>
        <w:rPr>
          <w:b/>
          <w:color w:val="FF0000"/>
          <w:sz w:val="21"/>
        </w:rPr>
        <w:t>主要污染源估算模型计算结果</w:t>
      </w:r>
      <w:r>
        <w:rPr>
          <w:rFonts w:ascii="Times New Roman" w:eastAsia="Times New Roman"/>
          <w:b/>
          <w:color w:val="FF0000"/>
          <w:sz w:val="21"/>
        </w:rPr>
        <w:t>(7)</w:t>
      </w:r>
    </w:p>
    <w:p>
      <w:pPr>
        <w:pStyle w:val="9"/>
        <w:spacing w:before="1"/>
        <w:rPr>
          <w:rFonts w:ascii="Times New Roman"/>
          <w:b/>
          <w:sz w:val="12"/>
        </w:rPr>
      </w:pP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095"/>
        <w:gridCol w:w="3095"/>
        <w:gridCol w:w="309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vMerge w:val="restart"/>
            <w:tcBorders>
              <w:bottom w:val="single" w:color="000000" w:sz="4" w:space="0"/>
              <w:right w:val="single" w:color="000000" w:sz="4" w:space="0"/>
            </w:tcBorders>
          </w:tcPr>
          <w:p>
            <w:pPr>
              <w:pStyle w:val="19"/>
              <w:spacing w:before="4"/>
              <w:jc w:val="left"/>
              <w:rPr>
                <w:rFonts w:ascii="Times New Roman"/>
                <w:b/>
                <w:sz w:val="25"/>
              </w:rPr>
            </w:pPr>
          </w:p>
          <w:p>
            <w:pPr>
              <w:pStyle w:val="19"/>
              <w:ind w:left="1022"/>
              <w:jc w:val="left"/>
              <w:rPr>
                <w:sz w:val="21"/>
              </w:rPr>
            </w:pPr>
            <w:r>
              <w:rPr>
                <w:color w:val="FF0000"/>
                <w:sz w:val="21"/>
              </w:rPr>
              <w:t>下风向距离</w:t>
            </w:r>
          </w:p>
        </w:tc>
        <w:tc>
          <w:tcPr>
            <w:tcW w:w="6191" w:type="dxa"/>
            <w:gridSpan w:val="2"/>
            <w:tcBorders>
              <w:left w:val="single" w:color="000000" w:sz="4" w:space="0"/>
              <w:bottom w:val="single" w:color="000000" w:sz="4" w:space="0"/>
            </w:tcBorders>
          </w:tcPr>
          <w:p>
            <w:pPr>
              <w:pStyle w:val="19"/>
              <w:spacing w:before="76"/>
              <w:ind w:left="2236" w:right="2218"/>
              <w:rPr>
                <w:sz w:val="21"/>
              </w:rPr>
            </w:pPr>
            <w:r>
              <w:rPr>
                <w:color w:val="FF0000"/>
                <w:sz w:val="21"/>
              </w:rPr>
              <w:t>筛分车间面源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vMerge w:val="continue"/>
            <w:tcBorders>
              <w:top w:val="nil"/>
              <w:bottom w:val="single" w:color="000000" w:sz="4" w:space="0"/>
              <w:right w:val="single" w:color="000000" w:sz="4" w:space="0"/>
            </w:tcBorders>
          </w:tcPr>
          <w:p>
            <w:pPr>
              <w:rPr>
                <w:sz w:val="2"/>
                <w:szCs w:val="2"/>
              </w:rPr>
            </w:pPr>
          </w:p>
        </w:tc>
        <w:tc>
          <w:tcPr>
            <w:tcW w:w="3095" w:type="dxa"/>
            <w:tcBorders>
              <w:top w:val="single" w:color="000000" w:sz="4" w:space="0"/>
              <w:left w:val="single" w:color="000000" w:sz="4" w:space="0"/>
              <w:bottom w:val="single" w:color="000000" w:sz="4" w:space="0"/>
              <w:right w:val="single" w:color="000000" w:sz="4" w:space="0"/>
            </w:tcBorders>
          </w:tcPr>
          <w:p>
            <w:pPr>
              <w:pStyle w:val="19"/>
              <w:spacing w:before="49"/>
              <w:ind w:left="756" w:right="731"/>
              <w:rPr>
                <w:rFonts w:ascii="Times New Roman" w:hAnsi="Times New Roman" w:eastAsia="Times New Roman"/>
                <w:sz w:val="21"/>
              </w:rPr>
            </w:pPr>
            <w:r>
              <w:rPr>
                <w:rFonts w:ascii="Times New Roman" w:hAnsi="Times New Roman" w:eastAsia="Times New Roman"/>
                <w:color w:val="FF0000"/>
                <w:sz w:val="21"/>
              </w:rPr>
              <w:t xml:space="preserve">TSP </w:t>
            </w:r>
            <w:r>
              <w:rPr>
                <w:color w:val="FF0000"/>
                <w:sz w:val="21"/>
              </w:rPr>
              <w:t>浓度</w:t>
            </w:r>
            <w:r>
              <w:rPr>
                <w:rFonts w:ascii="Times New Roman" w:hAnsi="Times New Roman" w:eastAsia="Times New Roman"/>
                <w:color w:val="FF0000"/>
                <w:sz w:val="21"/>
              </w:rPr>
              <w:t>(μg/m³)</w:t>
            </w:r>
          </w:p>
        </w:tc>
        <w:tc>
          <w:tcPr>
            <w:tcW w:w="3096" w:type="dxa"/>
            <w:tcBorders>
              <w:top w:val="single" w:color="000000" w:sz="4" w:space="0"/>
              <w:left w:val="single" w:color="000000" w:sz="4" w:space="0"/>
              <w:bottom w:val="single" w:color="000000" w:sz="4" w:space="0"/>
            </w:tcBorders>
          </w:tcPr>
          <w:p>
            <w:pPr>
              <w:pStyle w:val="19"/>
              <w:spacing w:before="49"/>
              <w:ind w:left="812" w:right="788"/>
              <w:rPr>
                <w:rFonts w:ascii="Times New Roman" w:eastAsia="Times New Roman"/>
                <w:sz w:val="21"/>
              </w:rPr>
            </w:pPr>
            <w:r>
              <w:rPr>
                <w:rFonts w:ascii="Times New Roman" w:eastAsia="Times New Roman"/>
                <w:color w:val="FF0000"/>
                <w:sz w:val="21"/>
              </w:rPr>
              <w:t xml:space="preserve">TSP </w:t>
            </w:r>
            <w:r>
              <w:rPr>
                <w:color w:val="FF0000"/>
                <w:sz w:val="21"/>
              </w:rPr>
              <w:t>占标率</w:t>
            </w:r>
            <w:r>
              <w:rPr>
                <w:rFonts w:ascii="Times New Roman" w:eastAsia="Times New Roman"/>
                <w:color w:val="FF0000"/>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9"/>
              <w:spacing w:before="91"/>
              <w:ind w:left="216" w:right="202"/>
              <w:rPr>
                <w:rFonts w:ascii="Times New Roman"/>
                <w:sz w:val="21"/>
              </w:rPr>
            </w:pPr>
            <w:r>
              <w:rPr>
                <w:rFonts w:ascii="Times New Roman"/>
                <w:color w:val="FF0000"/>
                <w:sz w:val="21"/>
              </w:rPr>
              <w:t>10.0</w:t>
            </w:r>
          </w:p>
        </w:tc>
        <w:tc>
          <w:tcPr>
            <w:tcW w:w="3095" w:type="dxa"/>
            <w:tcBorders>
              <w:top w:val="single" w:color="000000" w:sz="4" w:space="0"/>
              <w:left w:val="single" w:color="000000" w:sz="4" w:space="0"/>
              <w:bottom w:val="single" w:color="000000" w:sz="4" w:space="0"/>
              <w:right w:val="single" w:color="000000" w:sz="4" w:space="0"/>
            </w:tcBorders>
          </w:tcPr>
          <w:p>
            <w:pPr>
              <w:pStyle w:val="19"/>
              <w:spacing w:before="91"/>
              <w:ind w:left="753" w:right="734"/>
              <w:rPr>
                <w:rFonts w:ascii="Times New Roman"/>
                <w:sz w:val="21"/>
              </w:rPr>
            </w:pPr>
            <w:r>
              <w:rPr>
                <w:rFonts w:ascii="Times New Roman"/>
                <w:color w:val="FF0000"/>
                <w:sz w:val="21"/>
              </w:rPr>
              <w:t>16.69</w:t>
            </w:r>
          </w:p>
        </w:tc>
        <w:tc>
          <w:tcPr>
            <w:tcW w:w="3096" w:type="dxa"/>
            <w:tcBorders>
              <w:top w:val="single" w:color="000000" w:sz="4" w:space="0"/>
              <w:left w:val="single" w:color="000000" w:sz="4" w:space="0"/>
              <w:bottom w:val="single" w:color="000000" w:sz="4" w:space="0"/>
            </w:tcBorders>
          </w:tcPr>
          <w:p>
            <w:pPr>
              <w:pStyle w:val="19"/>
              <w:spacing w:before="91"/>
              <w:ind w:left="811" w:right="788"/>
              <w:rPr>
                <w:rFonts w:ascii="Times New Roman"/>
                <w:sz w:val="21"/>
              </w:rPr>
            </w:pPr>
            <w:r>
              <w:rPr>
                <w:rFonts w:ascii="Times New Roman"/>
                <w:color w:val="FF0000"/>
                <w:sz w:val="21"/>
              </w:rPr>
              <w:t>1.85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9"/>
              <w:spacing w:before="90"/>
              <w:ind w:left="216" w:right="202"/>
              <w:rPr>
                <w:rFonts w:ascii="Times New Roman"/>
                <w:sz w:val="21"/>
              </w:rPr>
            </w:pPr>
            <w:r>
              <w:rPr>
                <w:rFonts w:ascii="Times New Roman"/>
                <w:color w:val="FF0000"/>
                <w:sz w:val="21"/>
              </w:rPr>
              <w:t>25.0</w:t>
            </w:r>
          </w:p>
        </w:tc>
        <w:tc>
          <w:tcPr>
            <w:tcW w:w="3095" w:type="dxa"/>
            <w:tcBorders>
              <w:top w:val="single" w:color="000000" w:sz="4" w:space="0"/>
              <w:left w:val="single" w:color="000000" w:sz="4" w:space="0"/>
              <w:bottom w:val="single" w:color="000000" w:sz="4" w:space="0"/>
              <w:right w:val="single" w:color="000000" w:sz="4" w:space="0"/>
            </w:tcBorders>
          </w:tcPr>
          <w:p>
            <w:pPr>
              <w:pStyle w:val="19"/>
              <w:spacing w:before="90"/>
              <w:ind w:left="753" w:right="734"/>
              <w:rPr>
                <w:rFonts w:ascii="Times New Roman"/>
                <w:sz w:val="21"/>
              </w:rPr>
            </w:pPr>
            <w:r>
              <w:rPr>
                <w:rFonts w:ascii="Times New Roman"/>
                <w:color w:val="FF0000"/>
                <w:sz w:val="21"/>
              </w:rPr>
              <w:t>12.29</w:t>
            </w:r>
          </w:p>
        </w:tc>
        <w:tc>
          <w:tcPr>
            <w:tcW w:w="3096" w:type="dxa"/>
            <w:tcBorders>
              <w:top w:val="single" w:color="000000" w:sz="4" w:space="0"/>
              <w:left w:val="single" w:color="000000" w:sz="4" w:space="0"/>
              <w:bottom w:val="single" w:color="000000" w:sz="4" w:space="0"/>
            </w:tcBorders>
          </w:tcPr>
          <w:p>
            <w:pPr>
              <w:pStyle w:val="19"/>
              <w:spacing w:before="90"/>
              <w:ind w:left="811" w:right="788"/>
              <w:rPr>
                <w:rFonts w:ascii="Times New Roman"/>
                <w:sz w:val="21"/>
              </w:rPr>
            </w:pPr>
            <w:r>
              <w:rPr>
                <w:rFonts w:ascii="Times New Roman"/>
                <w:color w:val="FF0000"/>
                <w:sz w:val="21"/>
              </w:rPr>
              <w:t>1.37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9"/>
              <w:spacing w:before="90"/>
              <w:ind w:left="216" w:right="202"/>
              <w:rPr>
                <w:rFonts w:ascii="Times New Roman"/>
                <w:sz w:val="21"/>
              </w:rPr>
            </w:pPr>
            <w:r>
              <w:rPr>
                <w:rFonts w:ascii="Times New Roman"/>
                <w:color w:val="FF0000"/>
                <w:sz w:val="21"/>
              </w:rPr>
              <w:t>50.0</w:t>
            </w:r>
          </w:p>
        </w:tc>
        <w:tc>
          <w:tcPr>
            <w:tcW w:w="3095" w:type="dxa"/>
            <w:tcBorders>
              <w:top w:val="single" w:color="000000" w:sz="4" w:space="0"/>
              <w:left w:val="single" w:color="000000" w:sz="4" w:space="0"/>
              <w:bottom w:val="single" w:color="000000" w:sz="4" w:space="0"/>
              <w:right w:val="single" w:color="000000" w:sz="4" w:space="0"/>
            </w:tcBorders>
          </w:tcPr>
          <w:p>
            <w:pPr>
              <w:pStyle w:val="19"/>
              <w:spacing w:before="90"/>
              <w:ind w:left="755" w:right="734"/>
              <w:rPr>
                <w:rFonts w:ascii="Times New Roman"/>
                <w:sz w:val="21"/>
              </w:rPr>
            </w:pPr>
            <w:r>
              <w:rPr>
                <w:rFonts w:ascii="Times New Roman"/>
                <w:color w:val="FF0000"/>
                <w:sz w:val="21"/>
              </w:rPr>
              <w:t>7.73</w:t>
            </w:r>
          </w:p>
        </w:tc>
        <w:tc>
          <w:tcPr>
            <w:tcW w:w="3096" w:type="dxa"/>
            <w:tcBorders>
              <w:top w:val="single" w:color="000000" w:sz="4" w:space="0"/>
              <w:left w:val="single" w:color="000000" w:sz="4" w:space="0"/>
              <w:bottom w:val="single" w:color="000000" w:sz="4" w:space="0"/>
            </w:tcBorders>
          </w:tcPr>
          <w:p>
            <w:pPr>
              <w:pStyle w:val="19"/>
              <w:spacing w:before="90"/>
              <w:ind w:left="811" w:right="788"/>
              <w:rPr>
                <w:rFonts w:ascii="Times New Roman"/>
                <w:sz w:val="21"/>
              </w:rPr>
            </w:pPr>
            <w:r>
              <w:rPr>
                <w:rFonts w:ascii="Times New Roman"/>
                <w:color w:val="FF0000"/>
                <w:sz w:val="21"/>
              </w:rPr>
              <w:t>0.86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9"/>
              <w:spacing w:before="89"/>
              <w:ind w:left="216" w:right="202"/>
              <w:rPr>
                <w:rFonts w:ascii="Times New Roman"/>
                <w:sz w:val="21"/>
              </w:rPr>
            </w:pPr>
            <w:r>
              <w:rPr>
                <w:rFonts w:ascii="Times New Roman"/>
                <w:color w:val="FF0000"/>
                <w:sz w:val="21"/>
              </w:rPr>
              <w:t>75.0</w:t>
            </w:r>
          </w:p>
        </w:tc>
        <w:tc>
          <w:tcPr>
            <w:tcW w:w="3095" w:type="dxa"/>
            <w:tcBorders>
              <w:top w:val="single" w:color="000000" w:sz="4" w:space="0"/>
              <w:left w:val="single" w:color="000000" w:sz="4" w:space="0"/>
              <w:bottom w:val="single" w:color="000000" w:sz="4" w:space="0"/>
              <w:right w:val="single" w:color="000000" w:sz="4" w:space="0"/>
            </w:tcBorders>
          </w:tcPr>
          <w:p>
            <w:pPr>
              <w:pStyle w:val="19"/>
              <w:spacing w:before="89"/>
              <w:ind w:left="755" w:right="734"/>
              <w:rPr>
                <w:rFonts w:ascii="Times New Roman"/>
                <w:sz w:val="21"/>
              </w:rPr>
            </w:pPr>
            <w:r>
              <w:rPr>
                <w:rFonts w:ascii="Times New Roman"/>
                <w:color w:val="FF0000"/>
                <w:sz w:val="21"/>
              </w:rPr>
              <w:t>5.25</w:t>
            </w:r>
          </w:p>
        </w:tc>
        <w:tc>
          <w:tcPr>
            <w:tcW w:w="3096" w:type="dxa"/>
            <w:tcBorders>
              <w:top w:val="single" w:color="000000" w:sz="4" w:space="0"/>
              <w:left w:val="single" w:color="000000" w:sz="4" w:space="0"/>
              <w:bottom w:val="single" w:color="000000" w:sz="4" w:space="0"/>
            </w:tcBorders>
          </w:tcPr>
          <w:p>
            <w:pPr>
              <w:pStyle w:val="19"/>
              <w:spacing w:before="89"/>
              <w:ind w:left="811" w:right="788"/>
              <w:rPr>
                <w:rFonts w:ascii="Times New Roman"/>
                <w:sz w:val="21"/>
              </w:rPr>
            </w:pPr>
            <w:r>
              <w:rPr>
                <w:rFonts w:ascii="Times New Roman"/>
                <w:color w:val="FF0000"/>
                <w:sz w:val="21"/>
              </w:rPr>
              <w:t>0.58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9"/>
              <w:spacing w:before="91"/>
              <w:ind w:left="216" w:right="202"/>
              <w:rPr>
                <w:rFonts w:ascii="Times New Roman"/>
                <w:sz w:val="21"/>
              </w:rPr>
            </w:pPr>
            <w:r>
              <w:rPr>
                <w:rFonts w:ascii="Times New Roman"/>
                <w:color w:val="FF0000"/>
                <w:sz w:val="21"/>
              </w:rPr>
              <w:t>100.0</w:t>
            </w:r>
          </w:p>
        </w:tc>
        <w:tc>
          <w:tcPr>
            <w:tcW w:w="3095" w:type="dxa"/>
            <w:tcBorders>
              <w:top w:val="single" w:color="000000" w:sz="4" w:space="0"/>
              <w:left w:val="single" w:color="000000" w:sz="4" w:space="0"/>
              <w:bottom w:val="single" w:color="000000" w:sz="4" w:space="0"/>
              <w:right w:val="single" w:color="000000" w:sz="4" w:space="0"/>
            </w:tcBorders>
          </w:tcPr>
          <w:p>
            <w:pPr>
              <w:pStyle w:val="19"/>
              <w:spacing w:before="91"/>
              <w:ind w:left="755" w:right="734"/>
              <w:rPr>
                <w:rFonts w:ascii="Times New Roman"/>
                <w:sz w:val="21"/>
              </w:rPr>
            </w:pPr>
            <w:r>
              <w:rPr>
                <w:rFonts w:ascii="Times New Roman"/>
                <w:color w:val="FF0000"/>
                <w:sz w:val="21"/>
              </w:rPr>
              <w:t>3.83</w:t>
            </w:r>
          </w:p>
        </w:tc>
        <w:tc>
          <w:tcPr>
            <w:tcW w:w="3096" w:type="dxa"/>
            <w:tcBorders>
              <w:top w:val="single" w:color="000000" w:sz="4" w:space="0"/>
              <w:left w:val="single" w:color="000000" w:sz="4" w:space="0"/>
              <w:bottom w:val="single" w:color="000000" w:sz="4" w:space="0"/>
            </w:tcBorders>
          </w:tcPr>
          <w:p>
            <w:pPr>
              <w:pStyle w:val="19"/>
              <w:spacing w:before="91"/>
              <w:ind w:left="811" w:right="788"/>
              <w:rPr>
                <w:rFonts w:ascii="Times New Roman"/>
                <w:sz w:val="21"/>
              </w:rPr>
            </w:pPr>
            <w:r>
              <w:rPr>
                <w:rFonts w:ascii="Times New Roman"/>
                <w:color w:val="FF0000"/>
                <w:sz w:val="21"/>
              </w:rPr>
              <w:t>0.43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9"/>
              <w:spacing w:before="90"/>
              <w:ind w:left="216" w:right="201"/>
              <w:rPr>
                <w:rFonts w:ascii="Times New Roman"/>
                <w:sz w:val="21"/>
              </w:rPr>
            </w:pPr>
            <w:r>
              <w:rPr>
                <w:rFonts w:ascii="Times New Roman"/>
                <w:color w:val="FF0000"/>
                <w:sz w:val="21"/>
              </w:rPr>
              <w:t>...</w:t>
            </w:r>
          </w:p>
        </w:tc>
        <w:tc>
          <w:tcPr>
            <w:tcW w:w="3095" w:type="dxa"/>
            <w:tcBorders>
              <w:top w:val="single" w:color="000000" w:sz="4" w:space="0"/>
              <w:left w:val="single" w:color="000000" w:sz="4" w:space="0"/>
              <w:bottom w:val="single" w:color="000000" w:sz="4" w:space="0"/>
              <w:right w:val="single" w:color="000000" w:sz="4" w:space="0"/>
            </w:tcBorders>
          </w:tcPr>
          <w:p>
            <w:pPr>
              <w:pStyle w:val="19"/>
              <w:spacing w:before="90"/>
              <w:ind w:left="751" w:right="734"/>
              <w:rPr>
                <w:rFonts w:ascii="Times New Roman"/>
                <w:sz w:val="21"/>
              </w:rPr>
            </w:pPr>
            <w:r>
              <w:rPr>
                <w:rFonts w:ascii="Times New Roman"/>
                <w:color w:val="FF0000"/>
                <w:sz w:val="21"/>
              </w:rPr>
              <w:t>...</w:t>
            </w:r>
          </w:p>
        </w:tc>
        <w:tc>
          <w:tcPr>
            <w:tcW w:w="3096" w:type="dxa"/>
            <w:tcBorders>
              <w:top w:val="single" w:color="000000" w:sz="4" w:space="0"/>
              <w:left w:val="single" w:color="000000" w:sz="4" w:space="0"/>
              <w:bottom w:val="single" w:color="000000" w:sz="4" w:space="0"/>
            </w:tcBorders>
          </w:tcPr>
          <w:p>
            <w:pPr>
              <w:pStyle w:val="19"/>
              <w:spacing w:before="90"/>
              <w:ind w:left="811" w:right="788"/>
              <w:rPr>
                <w:rFonts w:ascii="Times New Roman"/>
                <w:sz w:val="21"/>
              </w:rPr>
            </w:pPr>
            <w:r>
              <w:rPr>
                <w:rFonts w:ascii="Times New Roman"/>
                <w:color w:val="FF0000"/>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9"/>
              <w:spacing w:before="63"/>
              <w:ind w:left="216" w:right="203"/>
              <w:rPr>
                <w:sz w:val="23"/>
              </w:rPr>
            </w:pPr>
            <w:r>
              <w:rPr>
                <w:color w:val="FF0000"/>
                <w:sz w:val="21"/>
              </w:rPr>
              <w:t>下风向最大浓度</w:t>
            </w:r>
            <w:r>
              <w:rPr>
                <w:color w:val="FF0000"/>
                <w:sz w:val="23"/>
              </w:rPr>
              <w:t>及其占标率</w:t>
            </w:r>
          </w:p>
        </w:tc>
        <w:tc>
          <w:tcPr>
            <w:tcW w:w="3095" w:type="dxa"/>
            <w:tcBorders>
              <w:top w:val="single" w:color="000000" w:sz="4" w:space="0"/>
              <w:left w:val="single" w:color="000000" w:sz="4" w:space="0"/>
              <w:bottom w:val="single" w:color="000000" w:sz="4" w:space="0"/>
              <w:right w:val="single" w:color="000000" w:sz="4" w:space="0"/>
            </w:tcBorders>
          </w:tcPr>
          <w:p>
            <w:pPr>
              <w:pStyle w:val="19"/>
              <w:spacing w:before="90"/>
              <w:ind w:left="753" w:right="734"/>
              <w:rPr>
                <w:rFonts w:ascii="Times New Roman"/>
                <w:sz w:val="21"/>
              </w:rPr>
            </w:pPr>
            <w:r>
              <w:rPr>
                <w:rFonts w:ascii="Times New Roman"/>
                <w:color w:val="FF0000"/>
                <w:sz w:val="21"/>
              </w:rPr>
              <w:t>16.69</w:t>
            </w:r>
          </w:p>
        </w:tc>
        <w:tc>
          <w:tcPr>
            <w:tcW w:w="3096" w:type="dxa"/>
            <w:tcBorders>
              <w:top w:val="single" w:color="000000" w:sz="4" w:space="0"/>
              <w:left w:val="single" w:color="000000" w:sz="4" w:space="0"/>
              <w:bottom w:val="single" w:color="000000" w:sz="4" w:space="0"/>
            </w:tcBorders>
          </w:tcPr>
          <w:p>
            <w:pPr>
              <w:pStyle w:val="19"/>
              <w:spacing w:before="90"/>
              <w:ind w:left="811" w:right="788"/>
              <w:rPr>
                <w:rFonts w:ascii="Times New Roman"/>
                <w:sz w:val="21"/>
              </w:rPr>
            </w:pPr>
            <w:r>
              <w:rPr>
                <w:rFonts w:ascii="Times New Roman"/>
                <w:color w:val="FF0000"/>
                <w:sz w:val="21"/>
              </w:rPr>
              <w:t>1.85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9"/>
              <w:spacing w:before="75"/>
              <w:ind w:left="214" w:right="203"/>
              <w:rPr>
                <w:sz w:val="21"/>
              </w:rPr>
            </w:pPr>
            <w:r>
              <w:rPr>
                <w:color w:val="FF0000"/>
                <w:sz w:val="21"/>
              </w:rPr>
              <w:t>下风向最大浓度出现距离</w:t>
            </w:r>
          </w:p>
        </w:tc>
        <w:tc>
          <w:tcPr>
            <w:tcW w:w="3095" w:type="dxa"/>
            <w:tcBorders>
              <w:top w:val="single" w:color="000000" w:sz="4" w:space="0"/>
              <w:left w:val="single" w:color="000000" w:sz="4" w:space="0"/>
              <w:bottom w:val="single" w:color="000000" w:sz="4" w:space="0"/>
              <w:right w:val="single" w:color="000000" w:sz="4" w:space="0"/>
            </w:tcBorders>
          </w:tcPr>
          <w:p>
            <w:pPr>
              <w:pStyle w:val="19"/>
              <w:spacing w:before="89"/>
              <w:ind w:left="751" w:right="734"/>
              <w:rPr>
                <w:rFonts w:ascii="Times New Roman"/>
                <w:sz w:val="21"/>
              </w:rPr>
            </w:pPr>
            <w:r>
              <w:rPr>
                <w:rFonts w:ascii="Times New Roman"/>
                <w:color w:val="FF0000"/>
                <w:sz w:val="21"/>
              </w:rPr>
              <w:t>10</w:t>
            </w:r>
          </w:p>
        </w:tc>
        <w:tc>
          <w:tcPr>
            <w:tcW w:w="3096" w:type="dxa"/>
            <w:tcBorders>
              <w:top w:val="single" w:color="000000" w:sz="4" w:space="0"/>
              <w:left w:val="single" w:color="000000" w:sz="4" w:space="0"/>
              <w:bottom w:val="single" w:color="000000" w:sz="4" w:space="0"/>
            </w:tcBorders>
          </w:tcPr>
          <w:p>
            <w:pPr>
              <w:pStyle w:val="19"/>
              <w:spacing w:before="89"/>
              <w:ind w:left="811" w:right="788"/>
              <w:rPr>
                <w:rFonts w:ascii="Times New Roman"/>
                <w:sz w:val="21"/>
              </w:rPr>
            </w:pPr>
            <w:r>
              <w:rPr>
                <w:rFonts w:ascii="Times New Roman"/>
                <w:color w:val="FF0000"/>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3095" w:type="dxa"/>
            <w:tcBorders>
              <w:top w:val="single" w:color="000000" w:sz="4" w:space="0"/>
              <w:right w:val="single" w:color="000000" w:sz="4" w:space="0"/>
            </w:tcBorders>
          </w:tcPr>
          <w:p>
            <w:pPr>
              <w:pStyle w:val="19"/>
              <w:spacing w:before="77"/>
              <w:ind w:left="214" w:right="203"/>
              <w:rPr>
                <w:sz w:val="21"/>
              </w:rPr>
            </w:pPr>
            <w:r>
              <w:rPr>
                <w:rFonts w:ascii="Times New Roman" w:eastAsia="Times New Roman"/>
                <w:color w:val="FF0000"/>
                <w:sz w:val="21"/>
              </w:rPr>
              <w:t>D10%</w:t>
            </w:r>
            <w:r>
              <w:rPr>
                <w:color w:val="FF0000"/>
                <w:sz w:val="21"/>
              </w:rPr>
              <w:t>最远距离</w:t>
            </w:r>
          </w:p>
        </w:tc>
        <w:tc>
          <w:tcPr>
            <w:tcW w:w="3095" w:type="dxa"/>
            <w:tcBorders>
              <w:top w:val="single" w:color="000000" w:sz="4" w:space="0"/>
              <w:left w:val="single" w:color="000000" w:sz="4" w:space="0"/>
              <w:right w:val="single" w:color="000000" w:sz="4" w:space="0"/>
            </w:tcBorders>
          </w:tcPr>
          <w:p>
            <w:pPr>
              <w:pStyle w:val="19"/>
              <w:spacing w:before="91"/>
              <w:ind w:left="18"/>
              <w:rPr>
                <w:rFonts w:ascii="Times New Roman"/>
                <w:sz w:val="21"/>
              </w:rPr>
            </w:pPr>
            <w:r>
              <w:rPr>
                <w:rFonts w:ascii="Times New Roman"/>
                <w:color w:val="FF0000"/>
                <w:w w:val="99"/>
                <w:sz w:val="21"/>
              </w:rPr>
              <w:t>/</w:t>
            </w:r>
          </w:p>
        </w:tc>
        <w:tc>
          <w:tcPr>
            <w:tcW w:w="3096" w:type="dxa"/>
            <w:tcBorders>
              <w:top w:val="single" w:color="000000" w:sz="4" w:space="0"/>
              <w:left w:val="single" w:color="000000" w:sz="4" w:space="0"/>
            </w:tcBorders>
          </w:tcPr>
          <w:p>
            <w:pPr>
              <w:pStyle w:val="19"/>
              <w:spacing w:before="91"/>
              <w:ind w:left="24"/>
              <w:rPr>
                <w:rFonts w:ascii="Times New Roman"/>
                <w:sz w:val="21"/>
              </w:rPr>
            </w:pPr>
            <w:r>
              <w:rPr>
                <w:rFonts w:ascii="Times New Roman"/>
                <w:color w:val="FF0000"/>
                <w:w w:val="99"/>
                <w:sz w:val="21"/>
              </w:rPr>
              <w:t>/</w:t>
            </w:r>
          </w:p>
        </w:tc>
      </w:tr>
    </w:tbl>
    <w:p>
      <w:pPr>
        <w:pStyle w:val="6"/>
        <w:numPr>
          <w:ilvl w:val="2"/>
          <w:numId w:val="69"/>
        </w:numPr>
        <w:tabs>
          <w:tab w:val="left" w:pos="2117"/>
        </w:tabs>
        <w:spacing w:before="2" w:after="0" w:line="240" w:lineRule="auto"/>
        <w:ind w:left="2116" w:right="0" w:hanging="699"/>
        <w:jc w:val="left"/>
      </w:pPr>
      <w:bookmarkStart w:id="417" w:name="7.3.2 锅炉及暖风炉环境影响分析"/>
      <w:bookmarkEnd w:id="417"/>
      <w:bookmarkStart w:id="418" w:name="7.3.2 锅炉及暖风炉环境影响分析"/>
      <w:bookmarkEnd w:id="418"/>
      <w:r>
        <w:t>锅炉及暖风炉环境影响分析</w:t>
      </w:r>
    </w:p>
    <w:p>
      <w:pPr>
        <w:pStyle w:val="9"/>
        <w:spacing w:before="185" w:line="364" w:lineRule="auto"/>
        <w:ind w:left="1418" w:right="1293" w:firstLine="480"/>
      </w:pPr>
      <w:r>
        <w:rPr>
          <w:spacing w:val="-3"/>
        </w:rPr>
        <w:t>锅炉房及暖风炉房主要大气污染物是烟尘、二氧化硫和氮氧化物，锅炉及热风炉均</w:t>
      </w:r>
      <w:r>
        <w:rPr>
          <w:spacing w:val="-11"/>
        </w:rPr>
        <w:t xml:space="preserve">燃用生物质，锅炉及热风炉配套布袋除尘器，除尘效率为 </w:t>
      </w:r>
      <w:r>
        <w:rPr>
          <w:rFonts w:ascii="Times New Roman" w:eastAsia="Times New Roman"/>
          <w:spacing w:val="-6"/>
        </w:rPr>
        <w:t>99.9%</w:t>
      </w:r>
      <w:r>
        <w:rPr>
          <w:spacing w:val="-7"/>
        </w:rPr>
        <w:t>，经计算，锅炉房烟尘、</w:t>
      </w:r>
    </w:p>
    <w:p>
      <w:pPr>
        <w:spacing w:after="0" w:line="364" w:lineRule="auto"/>
        <w:sectPr>
          <w:pgSz w:w="11910" w:h="16840"/>
          <w:pgMar w:top="1400" w:right="0" w:bottom="880" w:left="0" w:header="0" w:footer="681" w:gutter="0"/>
        </w:sectPr>
      </w:pPr>
    </w:p>
    <w:p>
      <w:pPr>
        <w:pStyle w:val="9"/>
        <w:spacing w:before="58" w:line="362" w:lineRule="auto"/>
        <w:ind w:left="1418" w:right="1288"/>
      </w:pPr>
      <w:r>
        <w:rPr>
          <w:rFonts w:ascii="Times New Roman" w:eastAsia="Times New Roman"/>
          <w:position w:val="2"/>
        </w:rPr>
        <w:t>SO</w:t>
      </w:r>
      <w:r>
        <w:rPr>
          <w:rFonts w:ascii="Times New Roman" w:eastAsia="Times New Roman"/>
          <w:position w:val="2"/>
          <w:vertAlign w:val="subscript"/>
        </w:rPr>
        <w:t>2</w:t>
      </w:r>
      <w:r>
        <w:rPr>
          <w:spacing w:val="-32"/>
          <w:position w:val="2"/>
          <w:vertAlign w:val="baseline"/>
        </w:rPr>
        <w:t>、</w:t>
      </w:r>
      <w:r>
        <w:rPr>
          <w:rFonts w:ascii="Times New Roman" w:eastAsia="Times New Roman"/>
          <w:position w:val="2"/>
          <w:vertAlign w:val="baseline"/>
        </w:rPr>
        <w:t xml:space="preserve">NOx </w:t>
      </w:r>
      <w:r>
        <w:rPr>
          <w:spacing w:val="-9"/>
          <w:position w:val="2"/>
          <w:vertAlign w:val="baseline"/>
        </w:rPr>
        <w:t>排放浓度满足《锅炉大气污染物排放标准》</w:t>
      </w:r>
      <w:r>
        <w:rPr>
          <w:spacing w:val="-3"/>
          <w:position w:val="2"/>
          <w:vertAlign w:val="baseline"/>
        </w:rPr>
        <w:t>（</w:t>
      </w:r>
      <w:r>
        <w:rPr>
          <w:rFonts w:ascii="Times New Roman" w:eastAsia="Times New Roman"/>
          <w:spacing w:val="-3"/>
          <w:position w:val="2"/>
          <w:vertAlign w:val="baseline"/>
        </w:rPr>
        <w:t>GB13271-2014</w:t>
      </w:r>
      <w:r>
        <w:rPr>
          <w:spacing w:val="-3"/>
          <w:position w:val="2"/>
          <w:vertAlign w:val="baseline"/>
        </w:rPr>
        <w:t>）</w:t>
      </w:r>
      <w:r>
        <w:rPr>
          <w:spacing w:val="-18"/>
          <w:position w:val="2"/>
          <w:vertAlign w:val="baseline"/>
        </w:rPr>
        <w:t xml:space="preserve">烟尘 </w:t>
      </w:r>
      <w:r>
        <w:rPr>
          <w:rFonts w:ascii="Times New Roman" w:eastAsia="Times New Roman"/>
          <w:position w:val="2"/>
          <w:vertAlign w:val="baseline"/>
        </w:rPr>
        <w:t>50mg/m</w:t>
      </w:r>
      <w:r>
        <w:rPr>
          <w:rFonts w:ascii="Times New Roman" w:eastAsia="Times New Roman"/>
          <w:position w:val="2"/>
          <w:vertAlign w:val="superscript"/>
        </w:rPr>
        <w:t>3</w:t>
      </w:r>
      <w:r>
        <w:rPr>
          <w:spacing w:val="-12"/>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300mg/m</w:t>
      </w:r>
      <w:r>
        <w:rPr>
          <w:rFonts w:ascii="Times New Roman" w:eastAsia="Times New Roman"/>
          <w:position w:val="2"/>
          <w:vertAlign w:val="superscript"/>
        </w:rPr>
        <w:t>3</w:t>
      </w:r>
      <w:r>
        <w:rPr>
          <w:spacing w:val="-3"/>
          <w:position w:val="2"/>
          <w:vertAlign w:val="baseline"/>
        </w:rPr>
        <w:t>、</w:t>
      </w:r>
      <w:r>
        <w:rPr>
          <w:rFonts w:ascii="Times New Roman" w:eastAsia="Times New Roman"/>
          <w:position w:val="2"/>
          <w:vertAlign w:val="baseline"/>
        </w:rPr>
        <w:t>NOx300mg/m</w:t>
      </w:r>
      <w:r>
        <w:rPr>
          <w:rFonts w:ascii="Times New Roman" w:eastAsia="Times New Roman"/>
          <w:position w:val="2"/>
          <w:vertAlign w:val="superscript"/>
        </w:rPr>
        <w:t>3</w:t>
      </w:r>
      <w:r>
        <w:rPr>
          <w:rFonts w:ascii="Times New Roman" w:eastAsia="Times New Roman"/>
          <w:position w:val="2"/>
          <w:vertAlign w:val="baseline"/>
        </w:rPr>
        <w:t xml:space="preserve"> </w:t>
      </w:r>
      <w:r>
        <w:rPr>
          <w:spacing w:val="-2"/>
          <w:position w:val="2"/>
          <w:vertAlign w:val="baseline"/>
        </w:rPr>
        <w:t>的标准限值要求。暖风炉房烟尘、</w:t>
      </w:r>
      <w:r>
        <w:rPr>
          <w:rFonts w:ascii="Times New Roman" w:eastAsia="Times New Roman"/>
          <w:position w:val="2"/>
          <w:vertAlign w:val="baseline"/>
        </w:rPr>
        <w:t>SO</w:t>
      </w:r>
      <w:r>
        <w:rPr>
          <w:rFonts w:ascii="Times New Roman" w:eastAsia="Times New Roman"/>
          <w:position w:val="2"/>
          <w:vertAlign w:val="subscript"/>
        </w:rPr>
        <w:t>2</w:t>
      </w:r>
      <w:r>
        <w:rPr>
          <w:spacing w:val="-3"/>
          <w:position w:val="2"/>
          <w:vertAlign w:val="baseline"/>
        </w:rPr>
        <w:t>、</w:t>
      </w:r>
      <w:r>
        <w:rPr>
          <w:rFonts w:ascii="Times New Roman" w:eastAsia="Times New Roman"/>
          <w:position w:val="2"/>
          <w:vertAlign w:val="baseline"/>
        </w:rPr>
        <w:t xml:space="preserve">NOx </w:t>
      </w:r>
      <w:r>
        <w:rPr>
          <w:position w:val="2"/>
          <w:vertAlign w:val="baseline"/>
        </w:rPr>
        <w:t>排放浓度满</w:t>
      </w:r>
      <w:r>
        <w:rPr>
          <w:vertAlign w:val="baseline"/>
        </w:rPr>
        <w:t>足《工业炉窑大气污染物排放标准》（</w:t>
      </w:r>
      <w:r>
        <w:rPr>
          <w:rFonts w:ascii="Times New Roman" w:eastAsia="Times New Roman"/>
          <w:vertAlign w:val="baseline"/>
        </w:rPr>
        <w:t>GB9078-1996</w:t>
      </w:r>
      <w:r>
        <w:rPr>
          <w:vertAlign w:val="baseline"/>
        </w:rPr>
        <w:t>）</w:t>
      </w:r>
      <w:r>
        <w:rPr>
          <w:spacing w:val="-21"/>
          <w:vertAlign w:val="baseline"/>
        </w:rPr>
        <w:t xml:space="preserve">中表 </w:t>
      </w:r>
      <w:r>
        <w:rPr>
          <w:rFonts w:ascii="Times New Roman" w:eastAsia="Times New Roman"/>
          <w:vertAlign w:val="baseline"/>
        </w:rPr>
        <w:t xml:space="preserve">2 </w:t>
      </w:r>
      <w:r>
        <w:rPr>
          <w:spacing w:val="-20"/>
          <w:vertAlign w:val="baseline"/>
        </w:rPr>
        <w:t xml:space="preserve">及表 </w:t>
      </w:r>
      <w:r>
        <w:rPr>
          <w:rFonts w:ascii="Times New Roman" w:eastAsia="Times New Roman"/>
          <w:vertAlign w:val="baseline"/>
        </w:rPr>
        <w:t xml:space="preserve">4 </w:t>
      </w:r>
      <w:r>
        <w:rPr>
          <w:spacing w:val="-15"/>
          <w:vertAlign w:val="baseline"/>
        </w:rPr>
        <w:t xml:space="preserve">中烟尘 </w:t>
      </w:r>
      <w:r>
        <w:rPr>
          <w:rFonts w:ascii="Times New Roman" w:eastAsia="Times New Roman"/>
          <w:vertAlign w:val="baseline"/>
        </w:rPr>
        <w:t>200mg/m</w:t>
      </w:r>
      <w:r>
        <w:rPr>
          <w:rFonts w:ascii="Times New Roman" w:eastAsia="Times New Roman"/>
          <w:position w:val="8"/>
          <w:sz w:val="15"/>
          <w:vertAlign w:val="baseline"/>
        </w:rPr>
        <w:t>3</w:t>
      </w:r>
      <w:r>
        <w:rPr>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850mg/m</w:t>
      </w:r>
      <w:r>
        <w:rPr>
          <w:rFonts w:ascii="Times New Roman" w:eastAsia="Times New Roman"/>
          <w:position w:val="2"/>
          <w:vertAlign w:val="superscript"/>
        </w:rPr>
        <w:t>3</w:t>
      </w:r>
      <w:r>
        <w:rPr>
          <w:rFonts w:ascii="Times New Roman" w:eastAsia="Times New Roman"/>
          <w:position w:val="2"/>
          <w:vertAlign w:val="baseline"/>
        </w:rPr>
        <w:t xml:space="preserve"> </w:t>
      </w:r>
      <w:r>
        <w:rPr>
          <w:position w:val="2"/>
          <w:vertAlign w:val="baseline"/>
        </w:rPr>
        <w:t>的标准限值要求。</w:t>
      </w:r>
    </w:p>
    <w:p>
      <w:pPr>
        <w:pStyle w:val="9"/>
        <w:ind w:left="1898"/>
      </w:pPr>
      <w:r>
        <w:t>本项目建设后，所排烟气对当地环境空气质量贡献值较小。</w:t>
      </w:r>
    </w:p>
    <w:p>
      <w:pPr>
        <w:pStyle w:val="6"/>
        <w:numPr>
          <w:ilvl w:val="2"/>
          <w:numId w:val="69"/>
        </w:numPr>
        <w:tabs>
          <w:tab w:val="left" w:pos="2048"/>
        </w:tabs>
        <w:spacing w:before="161" w:after="0" w:line="240" w:lineRule="auto"/>
        <w:ind w:left="2047" w:right="0" w:hanging="630"/>
        <w:jc w:val="left"/>
      </w:pPr>
      <w:bookmarkStart w:id="419" w:name="7.3.3粉尘对环境空气的影响分析"/>
      <w:bookmarkEnd w:id="419"/>
      <w:bookmarkStart w:id="420" w:name="7.3.3粉尘对环境空气的影响分析"/>
      <w:bookmarkEnd w:id="420"/>
      <w:r>
        <w:t>粉尘对环境空气的影响分析</w:t>
      </w:r>
    </w:p>
    <w:p>
      <w:pPr>
        <w:pStyle w:val="9"/>
        <w:spacing w:before="185" w:line="364" w:lineRule="auto"/>
        <w:ind w:left="1418" w:right="1297" w:firstLine="480"/>
      </w:pPr>
      <w:r>
        <w:rPr>
          <w:spacing w:val="3"/>
        </w:rPr>
        <w:t>对于煤炭场内储存和输送，本项目选择了合理的储存和输送方式及必要的治理措</w:t>
      </w:r>
      <w:r>
        <w:rPr>
          <w:spacing w:val="-14"/>
        </w:rPr>
        <w:t>施，其扬尘对环境空气的影响可有效控制，一般情况下影响较小。本工程煤炭场内储存、</w:t>
      </w:r>
      <w:r>
        <w:t>输送扬尘对环境空气的影响分析结果见下表。</w:t>
      </w:r>
    </w:p>
    <w:p>
      <w:pPr>
        <w:spacing w:before="0" w:line="265" w:lineRule="exact"/>
        <w:ind w:left="3607" w:right="0" w:firstLine="0"/>
        <w:jc w:val="left"/>
        <w:rPr>
          <w:b/>
          <w:sz w:val="21"/>
        </w:rPr>
      </w:pPr>
      <w:r>
        <w:rPr>
          <w:b/>
          <w:spacing w:val="-26"/>
          <w:sz w:val="21"/>
        </w:rPr>
        <w:t xml:space="preserve">表 </w:t>
      </w:r>
      <w:r>
        <w:rPr>
          <w:rFonts w:ascii="Times New Roman" w:eastAsia="Times New Roman"/>
          <w:b/>
          <w:sz w:val="21"/>
        </w:rPr>
        <w:t>7.3-13</w:t>
      </w:r>
      <w:r>
        <w:rPr>
          <w:rFonts w:ascii="Times New Roman" w:eastAsia="Times New Roman"/>
          <w:b/>
          <w:spacing w:val="51"/>
          <w:sz w:val="21"/>
        </w:rPr>
        <w:t xml:space="preserve"> </w:t>
      </w:r>
      <w:r>
        <w:rPr>
          <w:b/>
          <w:sz w:val="21"/>
        </w:rPr>
        <w:t>煤炭场内转储运过程扬尘环境影响分析表</w:t>
      </w:r>
    </w:p>
    <w:p>
      <w:pPr>
        <w:pStyle w:val="9"/>
        <w:spacing w:before="8"/>
        <w:rPr>
          <w:b/>
          <w:sz w:val="5"/>
        </w:rPr>
      </w:pP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09"/>
        <w:gridCol w:w="2201"/>
        <w:gridCol w:w="587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2" w:hRule="atLeast"/>
        </w:trPr>
        <w:tc>
          <w:tcPr>
            <w:tcW w:w="1209" w:type="dxa"/>
            <w:tcBorders>
              <w:bottom w:val="single" w:color="000000" w:sz="4" w:space="0"/>
              <w:right w:val="single" w:color="000000" w:sz="4" w:space="0"/>
            </w:tcBorders>
          </w:tcPr>
          <w:p>
            <w:pPr>
              <w:pStyle w:val="19"/>
              <w:spacing w:before="45"/>
              <w:ind w:left="161" w:right="151"/>
              <w:rPr>
                <w:sz w:val="21"/>
              </w:rPr>
            </w:pPr>
            <w:r>
              <w:rPr>
                <w:sz w:val="21"/>
              </w:rPr>
              <w:t>项目</w:t>
            </w:r>
          </w:p>
        </w:tc>
        <w:tc>
          <w:tcPr>
            <w:tcW w:w="2201" w:type="dxa"/>
            <w:tcBorders>
              <w:left w:val="single" w:color="000000" w:sz="4" w:space="0"/>
              <w:bottom w:val="single" w:color="000000" w:sz="4" w:space="0"/>
              <w:right w:val="single" w:color="000000" w:sz="4" w:space="0"/>
            </w:tcBorders>
          </w:tcPr>
          <w:p>
            <w:pPr>
              <w:pStyle w:val="19"/>
              <w:spacing w:before="45"/>
              <w:ind w:left="138" w:right="122"/>
              <w:rPr>
                <w:sz w:val="21"/>
              </w:rPr>
            </w:pPr>
            <w:r>
              <w:rPr>
                <w:sz w:val="21"/>
              </w:rPr>
              <w:t>治理措施</w:t>
            </w:r>
          </w:p>
        </w:tc>
        <w:tc>
          <w:tcPr>
            <w:tcW w:w="5872" w:type="dxa"/>
            <w:tcBorders>
              <w:left w:val="single" w:color="000000" w:sz="4" w:space="0"/>
              <w:bottom w:val="single" w:color="000000" w:sz="4" w:space="0"/>
            </w:tcBorders>
          </w:tcPr>
          <w:p>
            <w:pPr>
              <w:pStyle w:val="19"/>
              <w:spacing w:before="45"/>
              <w:ind w:left="502" w:right="481"/>
              <w:rPr>
                <w:sz w:val="21"/>
              </w:rPr>
            </w:pPr>
            <w:r>
              <w:rPr>
                <w:sz w:val="21"/>
              </w:rPr>
              <w:t>影响分析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2" w:hRule="atLeast"/>
        </w:trPr>
        <w:tc>
          <w:tcPr>
            <w:tcW w:w="1209" w:type="dxa"/>
            <w:tcBorders>
              <w:top w:val="single" w:color="000000" w:sz="4" w:space="0"/>
              <w:bottom w:val="single" w:color="000000" w:sz="4" w:space="0"/>
              <w:right w:val="single" w:color="000000" w:sz="4" w:space="0"/>
            </w:tcBorders>
          </w:tcPr>
          <w:p>
            <w:pPr>
              <w:pStyle w:val="19"/>
              <w:spacing w:before="45"/>
              <w:ind w:left="161" w:right="151"/>
              <w:rPr>
                <w:sz w:val="21"/>
              </w:rPr>
            </w:pPr>
            <w:r>
              <w:rPr>
                <w:sz w:val="21"/>
              </w:rPr>
              <w:t>煤仓</w:t>
            </w:r>
          </w:p>
        </w:tc>
        <w:tc>
          <w:tcPr>
            <w:tcW w:w="2201" w:type="dxa"/>
            <w:tcBorders>
              <w:top w:val="single" w:color="000000" w:sz="4" w:space="0"/>
              <w:left w:val="single" w:color="000000" w:sz="4" w:space="0"/>
              <w:bottom w:val="single" w:color="000000" w:sz="4" w:space="0"/>
              <w:right w:val="single" w:color="000000" w:sz="4" w:space="0"/>
            </w:tcBorders>
          </w:tcPr>
          <w:p>
            <w:pPr>
              <w:pStyle w:val="19"/>
              <w:spacing w:before="45"/>
              <w:ind w:left="138" w:right="120"/>
              <w:rPr>
                <w:sz w:val="21"/>
              </w:rPr>
            </w:pPr>
            <w:r>
              <w:rPr>
                <w:sz w:val="21"/>
              </w:rPr>
              <w:t>洒水抑尘，围挡</w:t>
            </w:r>
          </w:p>
        </w:tc>
        <w:tc>
          <w:tcPr>
            <w:tcW w:w="5872" w:type="dxa"/>
            <w:tcBorders>
              <w:top w:val="single" w:color="000000" w:sz="4" w:space="0"/>
              <w:left w:val="single" w:color="000000" w:sz="4" w:space="0"/>
              <w:bottom w:val="single" w:color="000000" w:sz="4" w:space="0"/>
            </w:tcBorders>
          </w:tcPr>
          <w:p>
            <w:pPr>
              <w:pStyle w:val="19"/>
              <w:spacing w:before="45"/>
              <w:ind w:left="502" w:right="481"/>
              <w:rPr>
                <w:sz w:val="21"/>
              </w:rPr>
            </w:pPr>
            <w:r>
              <w:rPr>
                <w:sz w:val="21"/>
              </w:rPr>
              <w:t>煤尘对环境空气质量影响较小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1209" w:type="dxa"/>
            <w:tcBorders>
              <w:top w:val="single" w:color="000000" w:sz="4" w:space="0"/>
              <w:bottom w:val="single" w:color="000000" w:sz="4" w:space="0"/>
              <w:right w:val="single" w:color="000000" w:sz="4" w:space="0"/>
            </w:tcBorders>
          </w:tcPr>
          <w:p>
            <w:pPr>
              <w:pStyle w:val="19"/>
              <w:spacing w:before="1"/>
              <w:ind w:left="161" w:right="153"/>
              <w:rPr>
                <w:sz w:val="21"/>
              </w:rPr>
            </w:pPr>
            <w:r>
              <w:rPr>
                <w:sz w:val="21"/>
              </w:rPr>
              <w:t>煤炭厂内</w:t>
            </w:r>
          </w:p>
          <w:p>
            <w:pPr>
              <w:pStyle w:val="19"/>
              <w:spacing w:before="2" w:line="253" w:lineRule="exact"/>
              <w:ind w:left="161" w:right="151"/>
              <w:rPr>
                <w:sz w:val="21"/>
              </w:rPr>
            </w:pPr>
            <w:r>
              <w:rPr>
                <w:sz w:val="21"/>
              </w:rPr>
              <w:t>输送</w:t>
            </w:r>
          </w:p>
        </w:tc>
        <w:tc>
          <w:tcPr>
            <w:tcW w:w="2201" w:type="dxa"/>
            <w:tcBorders>
              <w:top w:val="single" w:color="000000" w:sz="4" w:space="0"/>
              <w:left w:val="single" w:color="000000" w:sz="4" w:space="0"/>
              <w:bottom w:val="single" w:color="000000" w:sz="4" w:space="0"/>
              <w:right w:val="single" w:color="000000" w:sz="4" w:space="0"/>
            </w:tcBorders>
          </w:tcPr>
          <w:p>
            <w:pPr>
              <w:pStyle w:val="19"/>
              <w:spacing w:before="135"/>
              <w:ind w:left="138" w:right="120"/>
              <w:rPr>
                <w:sz w:val="21"/>
              </w:rPr>
            </w:pPr>
            <w:r>
              <w:rPr>
                <w:sz w:val="21"/>
              </w:rPr>
              <w:t>封闭的输煤栈桥</w:t>
            </w:r>
          </w:p>
        </w:tc>
        <w:tc>
          <w:tcPr>
            <w:tcW w:w="5872" w:type="dxa"/>
            <w:tcBorders>
              <w:top w:val="single" w:color="000000" w:sz="4" w:space="0"/>
              <w:left w:val="single" w:color="000000" w:sz="4" w:space="0"/>
              <w:bottom w:val="single" w:color="000000" w:sz="4" w:space="0"/>
            </w:tcBorders>
          </w:tcPr>
          <w:p>
            <w:pPr>
              <w:pStyle w:val="19"/>
              <w:spacing w:before="135"/>
              <w:ind w:left="505" w:right="481"/>
              <w:rPr>
                <w:sz w:val="21"/>
              </w:rPr>
            </w:pPr>
            <w:r>
              <w:rPr>
                <w:sz w:val="21"/>
              </w:rPr>
              <w:t>采用封闭式结构输送，煤尘对环境空气质量影响较小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1209" w:type="dxa"/>
            <w:tcBorders>
              <w:top w:val="single" w:color="000000" w:sz="4" w:space="0"/>
              <w:bottom w:val="single" w:color="000000" w:sz="4" w:space="0"/>
              <w:right w:val="single" w:color="000000" w:sz="4" w:space="0"/>
            </w:tcBorders>
          </w:tcPr>
          <w:p>
            <w:pPr>
              <w:pStyle w:val="19"/>
              <w:ind w:left="182"/>
              <w:jc w:val="left"/>
              <w:rPr>
                <w:sz w:val="21"/>
              </w:rPr>
            </w:pPr>
            <w:r>
              <w:rPr>
                <w:w w:val="95"/>
                <w:sz w:val="21"/>
              </w:rPr>
              <w:t>矸石临时</w:t>
            </w:r>
          </w:p>
          <w:p>
            <w:pPr>
              <w:pStyle w:val="19"/>
              <w:spacing w:before="2" w:line="252" w:lineRule="exact"/>
              <w:ind w:left="182"/>
              <w:jc w:val="left"/>
              <w:rPr>
                <w:sz w:val="21"/>
              </w:rPr>
            </w:pPr>
            <w:r>
              <w:rPr>
                <w:w w:val="95"/>
                <w:sz w:val="21"/>
              </w:rPr>
              <w:t>堆放场地</w:t>
            </w:r>
          </w:p>
        </w:tc>
        <w:tc>
          <w:tcPr>
            <w:tcW w:w="2201" w:type="dxa"/>
            <w:tcBorders>
              <w:top w:val="single" w:color="000000" w:sz="4" w:space="0"/>
              <w:left w:val="single" w:color="000000" w:sz="4" w:space="0"/>
              <w:bottom w:val="single" w:color="000000" w:sz="4" w:space="0"/>
              <w:right w:val="single" w:color="000000" w:sz="4" w:space="0"/>
            </w:tcBorders>
          </w:tcPr>
          <w:p>
            <w:pPr>
              <w:pStyle w:val="19"/>
              <w:spacing w:before="135"/>
              <w:ind w:left="138" w:right="120"/>
              <w:rPr>
                <w:sz w:val="21"/>
              </w:rPr>
            </w:pPr>
            <w:r>
              <w:rPr>
                <w:sz w:val="21"/>
              </w:rPr>
              <w:t>拦矸坝和截流沟</w:t>
            </w:r>
          </w:p>
        </w:tc>
        <w:tc>
          <w:tcPr>
            <w:tcW w:w="5872" w:type="dxa"/>
            <w:tcBorders>
              <w:top w:val="single" w:color="000000" w:sz="4" w:space="0"/>
              <w:left w:val="single" w:color="000000" w:sz="4" w:space="0"/>
              <w:bottom w:val="single" w:color="000000" w:sz="4" w:space="0"/>
            </w:tcBorders>
          </w:tcPr>
          <w:p>
            <w:pPr>
              <w:pStyle w:val="19"/>
              <w:spacing w:before="135"/>
              <w:ind w:left="502" w:right="481"/>
              <w:rPr>
                <w:sz w:val="21"/>
              </w:rPr>
            </w:pPr>
            <w:r>
              <w:rPr>
                <w:sz w:val="21"/>
              </w:rPr>
              <w:t>矸石临时堆放场地周围设置拦矸坝和截流沟。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1209" w:type="dxa"/>
            <w:tcBorders>
              <w:top w:val="single" w:color="000000" w:sz="4" w:space="0"/>
              <w:right w:val="single" w:color="000000" w:sz="4" w:space="0"/>
            </w:tcBorders>
          </w:tcPr>
          <w:p>
            <w:pPr>
              <w:pStyle w:val="19"/>
              <w:spacing w:before="135"/>
              <w:ind w:left="161" w:right="153"/>
              <w:rPr>
                <w:sz w:val="21"/>
              </w:rPr>
            </w:pPr>
            <w:r>
              <w:rPr>
                <w:sz w:val="21"/>
              </w:rPr>
              <w:t>筛分车间</w:t>
            </w:r>
          </w:p>
        </w:tc>
        <w:tc>
          <w:tcPr>
            <w:tcW w:w="2201" w:type="dxa"/>
            <w:tcBorders>
              <w:top w:val="single" w:color="000000" w:sz="4" w:space="0"/>
              <w:left w:val="single" w:color="000000" w:sz="4" w:space="0"/>
              <w:right w:val="single" w:color="000000" w:sz="4" w:space="0"/>
            </w:tcBorders>
          </w:tcPr>
          <w:p>
            <w:pPr>
              <w:pStyle w:val="19"/>
              <w:spacing w:before="1"/>
              <w:ind w:left="138" w:right="122"/>
              <w:rPr>
                <w:sz w:val="21"/>
              </w:rPr>
            </w:pPr>
            <w:r>
              <w:rPr>
                <w:sz w:val="21"/>
              </w:rPr>
              <w:t>布袋除尘器处理后经</w:t>
            </w:r>
          </w:p>
          <w:p>
            <w:pPr>
              <w:pStyle w:val="19"/>
              <w:spacing w:before="2" w:line="253" w:lineRule="exact"/>
              <w:ind w:left="138" w:right="120"/>
              <w:rPr>
                <w:sz w:val="21"/>
              </w:rPr>
            </w:pPr>
            <w:r>
              <w:rPr>
                <w:rFonts w:ascii="Times New Roman" w:eastAsia="Times New Roman"/>
                <w:sz w:val="21"/>
              </w:rPr>
              <w:t xml:space="preserve">15m </w:t>
            </w:r>
            <w:r>
              <w:rPr>
                <w:sz w:val="21"/>
              </w:rPr>
              <w:t>高烟囱排放</w:t>
            </w:r>
          </w:p>
        </w:tc>
        <w:tc>
          <w:tcPr>
            <w:tcW w:w="5872" w:type="dxa"/>
            <w:tcBorders>
              <w:top w:val="single" w:color="000000" w:sz="4" w:space="0"/>
              <w:left w:val="single" w:color="000000" w:sz="4" w:space="0"/>
            </w:tcBorders>
          </w:tcPr>
          <w:p>
            <w:pPr>
              <w:pStyle w:val="19"/>
              <w:spacing w:before="135"/>
              <w:ind w:left="502" w:right="481"/>
              <w:rPr>
                <w:sz w:val="21"/>
              </w:rPr>
            </w:pPr>
            <w:r>
              <w:rPr>
                <w:sz w:val="21"/>
              </w:rPr>
              <w:t>煤尘对环境空气质量影响较小</w:t>
            </w:r>
          </w:p>
        </w:tc>
      </w:tr>
    </w:tbl>
    <w:p>
      <w:pPr>
        <w:pStyle w:val="6"/>
        <w:numPr>
          <w:ilvl w:val="2"/>
          <w:numId w:val="69"/>
        </w:numPr>
        <w:tabs>
          <w:tab w:val="left" w:pos="2048"/>
        </w:tabs>
        <w:spacing w:before="5" w:after="0" w:line="240" w:lineRule="auto"/>
        <w:ind w:left="2047" w:right="0" w:hanging="630"/>
        <w:jc w:val="left"/>
      </w:pPr>
      <w:bookmarkStart w:id="421" w:name="7.3.4油烟对环境空气的影响分析"/>
      <w:bookmarkEnd w:id="421"/>
      <w:bookmarkStart w:id="422" w:name="7.3.4油烟对环境空气的影响分析"/>
      <w:bookmarkEnd w:id="422"/>
      <w:r>
        <w:t>油烟对环境空气的影响分析</w:t>
      </w:r>
    </w:p>
    <w:p>
      <w:pPr>
        <w:pStyle w:val="9"/>
        <w:spacing w:before="182" w:line="364" w:lineRule="auto"/>
        <w:ind w:left="1418" w:right="1297" w:firstLine="480"/>
      </w:pPr>
      <w:r>
        <w:rPr>
          <w:spacing w:val="-12"/>
        </w:rPr>
        <w:t xml:space="preserve">项目运行期间食堂会产生油烟，油烟废气中含油质、有机质及加热分解或裂解产物， </w:t>
      </w:r>
      <w:r>
        <w:rPr>
          <w:spacing w:val="-8"/>
        </w:rPr>
        <w:t xml:space="preserve">本项目食堂设有 </w:t>
      </w:r>
      <w:r>
        <w:rPr>
          <w:rFonts w:ascii="Times New Roman" w:hAnsi="Times New Roman" w:eastAsia="Times New Roman"/>
        </w:rPr>
        <w:t xml:space="preserve">5 </w:t>
      </w:r>
      <w:r>
        <w:t>个灶头，根据《饮食业油烟排放标准（试行）》（</w:t>
      </w:r>
      <w:r>
        <w:rPr>
          <w:rFonts w:ascii="Times New Roman" w:hAnsi="Times New Roman" w:eastAsia="Times New Roman"/>
        </w:rPr>
        <w:t>GB18483-2001</w:t>
      </w:r>
      <w:r>
        <w:t xml:space="preserve">）， </w:t>
      </w:r>
      <w:r>
        <w:rPr>
          <w:spacing w:val="-4"/>
        </w:rPr>
        <w:t>属于中型饮食业单位。根据对居民用油情况的类比调查，目前居民人均日食用油用量约</w:t>
      </w:r>
      <w:r>
        <w:rPr>
          <w:rFonts w:ascii="Times New Roman" w:hAnsi="Times New Roman" w:eastAsia="Times New Roman"/>
          <w:spacing w:val="-4"/>
        </w:rPr>
        <w:t>20g/</w:t>
      </w:r>
      <w:r>
        <w:rPr>
          <w:spacing w:val="-4"/>
        </w:rPr>
        <w:t>人</w:t>
      </w:r>
      <w:r>
        <w:rPr>
          <w:rFonts w:ascii="Times New Roman" w:hAnsi="Times New Roman" w:eastAsia="Times New Roman"/>
          <w:spacing w:val="-4"/>
        </w:rPr>
        <w:t>·d</w:t>
      </w:r>
      <w:r>
        <w:rPr>
          <w:spacing w:val="-10"/>
        </w:rPr>
        <w:t xml:space="preserve">，本项目共有员工 </w:t>
      </w:r>
      <w:r>
        <w:rPr>
          <w:rFonts w:ascii="Times New Roman" w:hAnsi="Times New Roman" w:eastAsia="Times New Roman"/>
        </w:rPr>
        <w:t>405</w:t>
      </w:r>
      <w:r>
        <w:rPr>
          <w:rFonts w:ascii="Times New Roman" w:hAnsi="Times New Roman" w:eastAsia="Times New Roman"/>
          <w:spacing w:val="8"/>
        </w:rPr>
        <w:t xml:space="preserve"> </w:t>
      </w:r>
      <w:r>
        <w:rPr>
          <w:spacing w:val="-6"/>
        </w:rPr>
        <w:t xml:space="preserve">人，则食用油用量约 </w:t>
      </w:r>
      <w:r>
        <w:rPr>
          <w:rFonts w:ascii="Times New Roman" w:hAnsi="Times New Roman" w:eastAsia="Times New Roman"/>
        </w:rPr>
        <w:t>2.96t/a</w:t>
      </w:r>
      <w:r>
        <w:t>。一般油烟挥发量占耗油量</w:t>
      </w:r>
      <w:r>
        <w:rPr>
          <w:spacing w:val="-30"/>
        </w:rPr>
        <w:t xml:space="preserve">的 </w:t>
      </w:r>
      <w:r>
        <w:rPr>
          <w:rFonts w:ascii="Times New Roman" w:hAnsi="Times New Roman" w:eastAsia="Times New Roman"/>
        </w:rPr>
        <w:t>2</w:t>
      </w:r>
      <w:r>
        <w:t>～</w:t>
      </w:r>
      <w:r>
        <w:rPr>
          <w:rFonts w:ascii="Times New Roman" w:hAnsi="Times New Roman" w:eastAsia="Times New Roman"/>
        </w:rPr>
        <w:t>4%</w:t>
      </w:r>
      <w:r>
        <w:rPr>
          <w:spacing w:val="-20"/>
        </w:rPr>
        <w:t xml:space="preserve">，按 </w:t>
      </w:r>
      <w:r>
        <w:rPr>
          <w:rFonts w:ascii="Times New Roman" w:hAnsi="Times New Roman" w:eastAsia="Times New Roman"/>
        </w:rPr>
        <w:t>2.83%</w:t>
      </w:r>
      <w:r>
        <w:rPr>
          <w:spacing w:val="-8"/>
        </w:rPr>
        <w:t xml:space="preserve">计，油烟产生量 </w:t>
      </w:r>
      <w:r>
        <w:rPr>
          <w:rFonts w:ascii="Times New Roman" w:hAnsi="Times New Roman" w:eastAsia="Times New Roman"/>
        </w:rPr>
        <w:t>83.67kg/a</w:t>
      </w:r>
      <w:r>
        <w:rPr>
          <w:spacing w:val="-9"/>
        </w:rPr>
        <w:t xml:space="preserve">，风机风量为 </w:t>
      </w:r>
      <w:r>
        <w:rPr>
          <w:rFonts w:ascii="Times New Roman" w:hAnsi="Times New Roman" w:eastAsia="Times New Roman"/>
        </w:rPr>
        <w:t>15000m</w:t>
      </w:r>
      <w:r>
        <w:rPr>
          <w:rFonts w:ascii="Times New Roman" w:hAnsi="Times New Roman" w:eastAsia="Times New Roman"/>
          <w:position w:val="8"/>
          <w:sz w:val="15"/>
        </w:rPr>
        <w:t>3</w:t>
      </w:r>
      <w:r>
        <w:rPr>
          <w:rFonts w:ascii="Times New Roman" w:hAnsi="Times New Roman" w:eastAsia="Times New Roman"/>
        </w:rPr>
        <w:t>/h</w:t>
      </w:r>
      <w:r>
        <w:t xml:space="preserve">，按每日三餐， </w:t>
      </w:r>
      <w:r>
        <w:rPr>
          <w:spacing w:val="-21"/>
        </w:rPr>
        <w:t xml:space="preserve">每餐 </w:t>
      </w:r>
      <w:r>
        <w:rPr>
          <w:rFonts w:ascii="Times New Roman" w:hAnsi="Times New Roman" w:eastAsia="Times New Roman"/>
        </w:rPr>
        <w:t>2</w:t>
      </w:r>
      <w:r>
        <w:rPr>
          <w:rFonts w:ascii="Times New Roman" w:hAnsi="Times New Roman" w:eastAsia="Times New Roman"/>
          <w:spacing w:val="-1"/>
        </w:rPr>
        <w:t xml:space="preserve"> </w:t>
      </w:r>
      <w:r>
        <w:rPr>
          <w:spacing w:val="-11"/>
        </w:rPr>
        <w:t xml:space="preserve">小时计，则油烟产生量为 </w:t>
      </w:r>
      <w:r>
        <w:rPr>
          <w:rFonts w:ascii="Times New Roman" w:hAnsi="Times New Roman" w:eastAsia="Times New Roman"/>
        </w:rPr>
        <w:t>0.0573kg/h,</w:t>
      </w:r>
      <w:r>
        <w:rPr>
          <w:spacing w:val="-20"/>
        </w:rPr>
        <w:t xml:space="preserve">浓度 </w:t>
      </w:r>
      <w:r>
        <w:rPr>
          <w:rFonts w:ascii="Times New Roman" w:hAnsi="Times New Roman" w:eastAsia="Times New Roman"/>
        </w:rPr>
        <w:t>3.82mg/m</w:t>
      </w:r>
      <w:r>
        <w:rPr>
          <w:rFonts w:ascii="Times New Roman" w:hAnsi="Times New Roman" w:eastAsia="Times New Roman"/>
          <w:position w:val="8"/>
          <w:sz w:val="15"/>
        </w:rPr>
        <w:t>3</w:t>
      </w:r>
      <w:r>
        <w:rPr>
          <w:rFonts w:ascii="Times New Roman" w:hAnsi="Times New Roman" w:eastAsia="Times New Roman"/>
          <w:spacing w:val="-1"/>
          <w:position w:val="8"/>
          <w:sz w:val="15"/>
        </w:rPr>
        <w:t xml:space="preserve"> </w:t>
      </w:r>
      <w:r>
        <w:rPr>
          <w:spacing w:val="-10"/>
        </w:rPr>
        <w:t xml:space="preserve">安装去除率 </w:t>
      </w:r>
      <w:r>
        <w:rPr>
          <w:rFonts w:ascii="Times New Roman" w:hAnsi="Times New Roman" w:eastAsia="Times New Roman"/>
        </w:rPr>
        <w:t>75%</w:t>
      </w:r>
      <w:r>
        <w:t>以上的油烟</w:t>
      </w:r>
      <w:r>
        <w:rPr>
          <w:spacing w:val="4"/>
        </w:rPr>
        <w:t xml:space="preserve">净化装置，油烟经专用烟道引至屋顶排放，净化后排放浓度为 </w:t>
      </w:r>
      <w:r>
        <w:rPr>
          <w:rFonts w:ascii="Times New Roman" w:hAnsi="Times New Roman" w:eastAsia="Times New Roman"/>
        </w:rPr>
        <w:t>0.96mg/m</w:t>
      </w:r>
      <w:r>
        <w:rPr>
          <w:rFonts w:ascii="Times New Roman" w:hAnsi="Times New Roman" w:eastAsia="Times New Roman"/>
          <w:position w:val="8"/>
          <w:sz w:val="15"/>
        </w:rPr>
        <w:t>3</w:t>
      </w:r>
      <w:r>
        <w:rPr>
          <w:spacing w:val="4"/>
        </w:rPr>
        <w:t>，排放量为</w:t>
      </w:r>
      <w:r>
        <w:rPr>
          <w:rFonts w:ascii="Times New Roman" w:hAnsi="Times New Roman" w:eastAsia="Times New Roman"/>
          <w:spacing w:val="4"/>
        </w:rPr>
        <w:t>20.91kg/a</w:t>
      </w:r>
      <w:r>
        <w:rPr>
          <w:spacing w:val="-1"/>
        </w:rPr>
        <w:t>，可满足《饮食业油烟排放标准</w:t>
      </w:r>
      <w:r>
        <w:t>（试行</w:t>
      </w:r>
      <w:r>
        <w:rPr>
          <w:spacing w:val="-15"/>
        </w:rPr>
        <w:t>）</w:t>
      </w:r>
      <w:r>
        <w:rPr>
          <w:spacing w:val="-27"/>
        </w:rPr>
        <w:t>》</w:t>
      </w:r>
      <w:r>
        <w:t>（</w:t>
      </w:r>
      <w:r>
        <w:rPr>
          <w:rFonts w:ascii="Times New Roman" w:hAnsi="Times New Roman" w:eastAsia="Times New Roman"/>
        </w:rPr>
        <w:t>GB18483-2001</w:t>
      </w:r>
      <w:r>
        <w:t>）中型饮食业单位</w:t>
      </w:r>
      <w:r>
        <w:rPr>
          <w:spacing w:val="-9"/>
        </w:rPr>
        <w:t xml:space="preserve">的排放浓度 </w:t>
      </w:r>
      <w:r>
        <w:rPr>
          <w:rFonts w:ascii="Times New Roman" w:hAnsi="Times New Roman" w:eastAsia="Times New Roman"/>
        </w:rPr>
        <w:t>2.0mg/m</w:t>
      </w:r>
      <w:r>
        <w:rPr>
          <w:rFonts w:ascii="Times New Roman" w:hAnsi="Times New Roman" w:eastAsia="Times New Roman"/>
          <w:position w:val="8"/>
          <w:sz w:val="15"/>
        </w:rPr>
        <w:t>3</w:t>
      </w:r>
      <w:r>
        <w:rPr>
          <w:rFonts w:ascii="Times New Roman" w:hAnsi="Times New Roman" w:eastAsia="Times New Roman"/>
          <w:spacing w:val="9"/>
          <w:position w:val="8"/>
          <w:sz w:val="15"/>
        </w:rPr>
        <w:t xml:space="preserve"> </w:t>
      </w:r>
      <w:r>
        <w:t>的标准要求，处理后的油烟废气经专用烟道通过高于所在建筑物顶部的排气筒排放。</w:t>
      </w:r>
    </w:p>
    <w:p>
      <w:pPr>
        <w:pStyle w:val="9"/>
        <w:spacing w:line="362" w:lineRule="auto"/>
        <w:ind w:left="1418" w:right="1411" w:firstLine="480"/>
      </w:pPr>
      <w:r>
        <w:rPr>
          <w:spacing w:val="-3"/>
        </w:rPr>
        <w:t>食堂油烟经净化后满足《饮食业油烟排放标准</w:t>
      </w:r>
      <w:r>
        <w:t>（试行</w:t>
      </w:r>
      <w:r>
        <w:rPr>
          <w:spacing w:val="-17"/>
        </w:rPr>
        <w:t>）</w:t>
      </w:r>
      <w:r>
        <w:rPr>
          <w:spacing w:val="-34"/>
        </w:rPr>
        <w:t>》</w:t>
      </w:r>
      <w:r>
        <w:t>（</w:t>
      </w:r>
      <w:r>
        <w:rPr>
          <w:rFonts w:ascii="Times New Roman" w:eastAsia="Times New Roman"/>
        </w:rPr>
        <w:t>GB18483-2001</w:t>
      </w:r>
      <w:r>
        <w:t>）</w:t>
      </w:r>
      <w:r>
        <w:rPr>
          <w:spacing w:val="-5"/>
        </w:rPr>
        <w:t>中标准</w:t>
      </w:r>
      <w:r>
        <w:t>限值。</w:t>
      </w:r>
    </w:p>
    <w:p>
      <w:pPr>
        <w:spacing w:after="0" w:line="362" w:lineRule="auto"/>
        <w:sectPr>
          <w:pgSz w:w="11910" w:h="16840"/>
          <w:pgMar w:top="1340" w:right="0" w:bottom="880" w:left="0" w:header="0" w:footer="681" w:gutter="0"/>
        </w:sectPr>
      </w:pPr>
    </w:p>
    <w:p>
      <w:pPr>
        <w:pStyle w:val="5"/>
        <w:numPr>
          <w:ilvl w:val="1"/>
          <w:numId w:val="69"/>
        </w:numPr>
        <w:tabs>
          <w:tab w:val="left" w:pos="1868"/>
        </w:tabs>
        <w:spacing w:before="44" w:after="0" w:line="240" w:lineRule="auto"/>
        <w:ind w:left="1867" w:right="0" w:hanging="450"/>
        <w:jc w:val="left"/>
      </w:pPr>
      <w:bookmarkStart w:id="423" w:name="7.4环境空气影响预测结论"/>
      <w:bookmarkEnd w:id="423"/>
      <w:bookmarkStart w:id="424" w:name="7.4环境空气影响预测结论"/>
      <w:bookmarkEnd w:id="424"/>
      <w:r>
        <w:t>环境空气影响预测结论</w:t>
      </w:r>
    </w:p>
    <w:p>
      <w:pPr>
        <w:pStyle w:val="9"/>
        <w:spacing w:before="193" w:line="364" w:lineRule="auto"/>
        <w:ind w:left="1418" w:right="1298" w:firstLine="480"/>
      </w:pPr>
      <w:r>
        <w:rPr>
          <w:spacing w:val="-4"/>
          <w:position w:val="2"/>
        </w:rPr>
        <w:t>本项目服务期，工业广场热风炉和锅炉房排放的烟尘、</w:t>
      </w:r>
      <w:r>
        <w:rPr>
          <w:rFonts w:ascii="Times New Roman" w:eastAsia="Times New Roman"/>
          <w:position w:val="2"/>
        </w:rPr>
        <w:t>SO</w:t>
      </w:r>
      <w:r>
        <w:rPr>
          <w:rFonts w:ascii="Times New Roman" w:eastAsia="Times New Roman"/>
          <w:position w:val="2"/>
          <w:vertAlign w:val="subscript"/>
        </w:rPr>
        <w:t>2</w:t>
      </w:r>
      <w:r>
        <w:rPr>
          <w:rFonts w:ascii="Times New Roman" w:eastAsia="Times New Roman"/>
          <w:spacing w:val="-22"/>
          <w:position w:val="2"/>
          <w:vertAlign w:val="baseline"/>
        </w:rPr>
        <w:t xml:space="preserve"> </w:t>
      </w:r>
      <w:r>
        <w:rPr>
          <w:spacing w:val="-30"/>
          <w:position w:val="2"/>
          <w:vertAlign w:val="baseline"/>
        </w:rPr>
        <w:t xml:space="preserve">和 </w:t>
      </w:r>
      <w:r>
        <w:rPr>
          <w:rFonts w:ascii="Times New Roman" w:eastAsia="Times New Roman"/>
          <w:position w:val="2"/>
          <w:vertAlign w:val="baseline"/>
        </w:rPr>
        <w:t>NO</w:t>
      </w:r>
      <w:r>
        <w:rPr>
          <w:rFonts w:ascii="Times New Roman" w:eastAsia="Times New Roman"/>
          <w:position w:val="2"/>
          <w:vertAlign w:val="subscript"/>
        </w:rPr>
        <w:t>2</w:t>
      </w:r>
      <w:r>
        <w:rPr>
          <w:rFonts w:ascii="Times New Roman" w:eastAsia="Times New Roman"/>
          <w:spacing w:val="-22"/>
          <w:position w:val="2"/>
          <w:vertAlign w:val="baseline"/>
        </w:rPr>
        <w:t xml:space="preserve"> </w:t>
      </w:r>
      <w:r>
        <w:rPr>
          <w:position w:val="2"/>
          <w:vertAlign w:val="baseline"/>
        </w:rPr>
        <w:t>最大落地浓度均</w:t>
      </w:r>
      <w:r>
        <w:rPr>
          <w:spacing w:val="-8"/>
          <w:vertAlign w:val="baseline"/>
        </w:rPr>
        <w:t>低于《锅炉大气污染物排放标准》</w:t>
      </w:r>
      <w:r>
        <w:rPr>
          <w:vertAlign w:val="baseline"/>
        </w:rPr>
        <w:t>（</w:t>
      </w:r>
      <w:r>
        <w:rPr>
          <w:rFonts w:ascii="Times New Roman" w:eastAsia="Times New Roman"/>
          <w:vertAlign w:val="baseline"/>
        </w:rPr>
        <w:t>GB13271-2014</w:t>
      </w:r>
      <w:r>
        <w:rPr>
          <w:vertAlign w:val="baseline"/>
        </w:rPr>
        <w:t>）</w:t>
      </w:r>
      <w:r>
        <w:rPr>
          <w:spacing w:val="-3"/>
          <w:vertAlign w:val="baseline"/>
        </w:rPr>
        <w:t>标准限值要求，对所在区域的环境</w:t>
      </w:r>
      <w:r>
        <w:rPr>
          <w:spacing w:val="-7"/>
          <w:vertAlign w:val="baseline"/>
        </w:rPr>
        <w:t>空气质量影响较小。在采取本评价提出的严格抑尘措施后，本项目扬尘较小。油烟排放</w:t>
      </w:r>
      <w:r>
        <w:rPr>
          <w:vertAlign w:val="baseline"/>
        </w:rPr>
        <w:t>浓度满足《饮食业油烟排放标准》（</w:t>
      </w:r>
      <w:r>
        <w:rPr>
          <w:rFonts w:ascii="Times New Roman" w:eastAsia="Times New Roman"/>
          <w:vertAlign w:val="baseline"/>
        </w:rPr>
        <w:t>GB18483-2001</w:t>
      </w:r>
      <w:r>
        <w:rPr>
          <w:vertAlign w:val="baseline"/>
        </w:rPr>
        <w:t>）</w:t>
      </w:r>
      <w:r>
        <w:rPr>
          <w:spacing w:val="-6"/>
          <w:vertAlign w:val="baseline"/>
        </w:rPr>
        <w:t xml:space="preserve">最高允许排放浓度 </w:t>
      </w:r>
      <w:r>
        <w:rPr>
          <w:rFonts w:ascii="Times New Roman" w:eastAsia="Times New Roman"/>
          <w:vertAlign w:val="baseline"/>
        </w:rPr>
        <w:t>2.0mg/m</w:t>
      </w:r>
      <w:r>
        <w:rPr>
          <w:rFonts w:ascii="Times New Roman" w:eastAsia="Times New Roman"/>
          <w:position w:val="8"/>
          <w:sz w:val="15"/>
          <w:vertAlign w:val="baseline"/>
        </w:rPr>
        <w:t>3</w:t>
      </w:r>
      <w:r>
        <w:rPr>
          <w:vertAlign w:val="baseline"/>
        </w:rPr>
        <w:t>，该</w:t>
      </w:r>
      <w:r>
        <w:rPr>
          <w:spacing w:val="-9"/>
          <w:vertAlign w:val="baseline"/>
        </w:rPr>
        <w:t xml:space="preserve">废气净化后经 </w:t>
      </w:r>
      <w:r>
        <w:rPr>
          <w:rFonts w:ascii="Times New Roman" w:eastAsia="Times New Roman"/>
          <w:vertAlign w:val="baseline"/>
        </w:rPr>
        <w:t>15m</w:t>
      </w:r>
      <w:r>
        <w:rPr>
          <w:rFonts w:ascii="Times New Roman" w:eastAsia="Times New Roman"/>
          <w:spacing w:val="-1"/>
          <w:vertAlign w:val="baseline"/>
        </w:rPr>
        <w:t xml:space="preserve"> </w:t>
      </w:r>
      <w:r>
        <w:rPr>
          <w:spacing w:val="-1"/>
          <w:vertAlign w:val="baseline"/>
        </w:rPr>
        <w:t xml:space="preserve">高排气筒可以达标排放，减少了对周围环境空气的影响。总体来说， </w:t>
      </w:r>
      <w:r>
        <w:rPr>
          <w:vertAlign w:val="baseline"/>
        </w:rPr>
        <w:t>本项目对评价区域环境空气质量影响很小，排放的大气污染物可被现有环境所接受。</w:t>
      </w:r>
    </w:p>
    <w:p>
      <w:pPr>
        <w:pStyle w:val="5"/>
        <w:numPr>
          <w:ilvl w:val="1"/>
          <w:numId w:val="69"/>
        </w:numPr>
        <w:tabs>
          <w:tab w:val="left" w:pos="1868"/>
        </w:tabs>
        <w:spacing w:before="0" w:after="0" w:line="382" w:lineRule="exact"/>
        <w:ind w:left="1867" w:right="0" w:hanging="450"/>
        <w:jc w:val="left"/>
      </w:pPr>
      <w:bookmarkStart w:id="425" w:name="7.5大气污染防治措施"/>
      <w:bookmarkEnd w:id="425"/>
      <w:bookmarkStart w:id="426" w:name="7.5大气污染防治措施"/>
      <w:bookmarkEnd w:id="426"/>
      <w:r>
        <w:t>大气污染防治措施</w:t>
      </w:r>
    </w:p>
    <w:p>
      <w:pPr>
        <w:pStyle w:val="9"/>
        <w:spacing w:before="199"/>
        <w:ind w:left="1898"/>
      </w:pPr>
      <w:r>
        <w:rPr>
          <w:rFonts w:ascii="Times New Roman" w:eastAsia="Times New Roman"/>
        </w:rPr>
        <w:t>1</w:t>
      </w:r>
      <w:r>
        <w:t>、建设期</w:t>
      </w:r>
    </w:p>
    <w:p>
      <w:pPr>
        <w:pStyle w:val="9"/>
        <w:spacing w:before="158" w:line="364" w:lineRule="auto"/>
        <w:ind w:left="1418" w:right="1417" w:firstLine="480"/>
      </w:pPr>
      <w:r>
        <w:rPr>
          <w:spacing w:val="-4"/>
        </w:rPr>
        <w:t>施工废气严格按照工程建设及施工操作规范实施，杜绝随意性，并要加强对施工人</w:t>
      </w:r>
      <w:r>
        <w:t>员的行为管理。</w:t>
      </w:r>
    </w:p>
    <w:p>
      <w:pPr>
        <w:pStyle w:val="9"/>
        <w:spacing w:line="306" w:lineRule="exact"/>
        <w:ind w:left="1898"/>
      </w:pPr>
      <w:r>
        <w:rPr>
          <w:rFonts w:ascii="Times New Roman" w:eastAsia="Times New Roman"/>
        </w:rPr>
        <w:t>2</w:t>
      </w:r>
      <w:r>
        <w:t>、运营期</w:t>
      </w:r>
    </w:p>
    <w:p>
      <w:pPr>
        <w:pStyle w:val="18"/>
        <w:numPr>
          <w:ilvl w:val="0"/>
          <w:numId w:val="71"/>
        </w:numPr>
        <w:tabs>
          <w:tab w:val="left" w:pos="2500"/>
        </w:tabs>
        <w:spacing w:before="158" w:after="0" w:line="240" w:lineRule="auto"/>
        <w:ind w:left="2499" w:right="0" w:hanging="602"/>
        <w:jc w:val="left"/>
        <w:rPr>
          <w:sz w:val="24"/>
        </w:rPr>
      </w:pPr>
      <w:r>
        <w:rPr>
          <w:sz w:val="24"/>
        </w:rPr>
        <w:t>锅炉及热风炉</w:t>
      </w:r>
    </w:p>
    <w:p>
      <w:pPr>
        <w:pStyle w:val="9"/>
        <w:spacing w:before="160" w:line="362" w:lineRule="auto"/>
        <w:ind w:left="1418" w:right="1288" w:firstLine="480"/>
      </w:pPr>
      <w:r>
        <w:rPr>
          <w:spacing w:val="-3"/>
        </w:rPr>
        <w:t>锅炉房及暖风炉房主要大气污染物是烟尘、二氧化硫和氮氧化物，锅炉及热风炉均</w:t>
      </w:r>
      <w:r>
        <w:rPr>
          <w:spacing w:val="-11"/>
        </w:rPr>
        <w:t xml:space="preserve">燃用生物质，锅炉及热风炉配套布袋除尘器，除尘效率为 </w:t>
      </w:r>
      <w:r>
        <w:rPr>
          <w:rFonts w:ascii="Times New Roman" w:eastAsia="Times New Roman"/>
          <w:spacing w:val="-6"/>
        </w:rPr>
        <w:t>99.9%</w:t>
      </w:r>
      <w:r>
        <w:rPr>
          <w:spacing w:val="-6"/>
        </w:rPr>
        <w:t>，经计算，锅炉房烟尘、</w:t>
      </w:r>
      <w:r>
        <w:rPr>
          <w:rFonts w:ascii="Times New Roman" w:eastAsia="Times New Roman"/>
          <w:spacing w:val="-6"/>
          <w:position w:val="2"/>
        </w:rPr>
        <w:t>SO</w:t>
      </w:r>
      <w:r>
        <w:rPr>
          <w:rFonts w:ascii="Times New Roman" w:eastAsia="Times New Roman"/>
          <w:spacing w:val="-6"/>
          <w:position w:val="2"/>
          <w:vertAlign w:val="subscript"/>
        </w:rPr>
        <w:t>2</w:t>
      </w:r>
      <w:r>
        <w:rPr>
          <w:spacing w:val="-32"/>
          <w:position w:val="2"/>
          <w:vertAlign w:val="baseline"/>
        </w:rPr>
        <w:t>、</w:t>
      </w:r>
      <w:r>
        <w:rPr>
          <w:rFonts w:ascii="Times New Roman" w:eastAsia="Times New Roman"/>
          <w:position w:val="2"/>
          <w:vertAlign w:val="baseline"/>
        </w:rPr>
        <w:t xml:space="preserve">NOx </w:t>
      </w:r>
      <w:r>
        <w:rPr>
          <w:spacing w:val="-9"/>
          <w:position w:val="2"/>
          <w:vertAlign w:val="baseline"/>
        </w:rPr>
        <w:t>排放浓度满足《锅炉大气污染物排放标准》</w:t>
      </w:r>
      <w:r>
        <w:rPr>
          <w:spacing w:val="-3"/>
          <w:position w:val="2"/>
          <w:vertAlign w:val="baseline"/>
        </w:rPr>
        <w:t>（</w:t>
      </w:r>
      <w:r>
        <w:rPr>
          <w:rFonts w:ascii="Times New Roman" w:eastAsia="Times New Roman"/>
          <w:spacing w:val="-3"/>
          <w:position w:val="2"/>
          <w:vertAlign w:val="baseline"/>
        </w:rPr>
        <w:t>GB13271-2014</w:t>
      </w:r>
      <w:r>
        <w:rPr>
          <w:spacing w:val="-3"/>
          <w:position w:val="2"/>
          <w:vertAlign w:val="baseline"/>
        </w:rPr>
        <w:t>）</w:t>
      </w:r>
      <w:r>
        <w:rPr>
          <w:spacing w:val="-18"/>
          <w:position w:val="2"/>
          <w:vertAlign w:val="baseline"/>
        </w:rPr>
        <w:t xml:space="preserve">烟尘 </w:t>
      </w:r>
      <w:r>
        <w:rPr>
          <w:rFonts w:ascii="Times New Roman" w:eastAsia="Times New Roman"/>
          <w:position w:val="2"/>
          <w:vertAlign w:val="baseline"/>
        </w:rPr>
        <w:t>50mg/m</w:t>
      </w:r>
      <w:r>
        <w:rPr>
          <w:rFonts w:ascii="Times New Roman" w:eastAsia="Times New Roman"/>
          <w:position w:val="2"/>
          <w:vertAlign w:val="superscript"/>
        </w:rPr>
        <w:t>3</w:t>
      </w:r>
      <w:r>
        <w:rPr>
          <w:spacing w:val="-12"/>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300mg/m</w:t>
      </w:r>
      <w:r>
        <w:rPr>
          <w:rFonts w:ascii="Times New Roman" w:eastAsia="Times New Roman"/>
          <w:position w:val="2"/>
          <w:vertAlign w:val="superscript"/>
        </w:rPr>
        <w:t>3</w:t>
      </w:r>
      <w:r>
        <w:rPr>
          <w:spacing w:val="-3"/>
          <w:position w:val="2"/>
          <w:vertAlign w:val="baseline"/>
        </w:rPr>
        <w:t>、</w:t>
      </w:r>
      <w:r>
        <w:rPr>
          <w:rFonts w:ascii="Times New Roman" w:eastAsia="Times New Roman"/>
          <w:position w:val="2"/>
          <w:vertAlign w:val="baseline"/>
        </w:rPr>
        <w:t>NOx300mg/m</w:t>
      </w:r>
      <w:r>
        <w:rPr>
          <w:rFonts w:ascii="Times New Roman" w:eastAsia="Times New Roman"/>
          <w:position w:val="2"/>
          <w:vertAlign w:val="superscript"/>
        </w:rPr>
        <w:t>3</w:t>
      </w:r>
      <w:r>
        <w:rPr>
          <w:rFonts w:ascii="Times New Roman" w:eastAsia="Times New Roman"/>
          <w:position w:val="2"/>
          <w:vertAlign w:val="baseline"/>
        </w:rPr>
        <w:t xml:space="preserve"> </w:t>
      </w:r>
      <w:r>
        <w:rPr>
          <w:spacing w:val="-2"/>
          <w:position w:val="2"/>
          <w:vertAlign w:val="baseline"/>
        </w:rPr>
        <w:t>的标准限值要求。暖风炉房烟尘、</w:t>
      </w:r>
      <w:r>
        <w:rPr>
          <w:rFonts w:ascii="Times New Roman" w:eastAsia="Times New Roman"/>
          <w:position w:val="2"/>
          <w:vertAlign w:val="baseline"/>
        </w:rPr>
        <w:t>SO</w:t>
      </w:r>
      <w:r>
        <w:rPr>
          <w:rFonts w:ascii="Times New Roman" w:eastAsia="Times New Roman"/>
          <w:position w:val="2"/>
          <w:vertAlign w:val="subscript"/>
        </w:rPr>
        <w:t>2</w:t>
      </w:r>
      <w:r>
        <w:rPr>
          <w:spacing w:val="-3"/>
          <w:position w:val="2"/>
          <w:vertAlign w:val="baseline"/>
        </w:rPr>
        <w:t>、</w:t>
      </w:r>
      <w:r>
        <w:rPr>
          <w:rFonts w:ascii="Times New Roman" w:eastAsia="Times New Roman"/>
          <w:position w:val="2"/>
          <w:vertAlign w:val="baseline"/>
        </w:rPr>
        <w:t xml:space="preserve">NOx </w:t>
      </w:r>
      <w:r>
        <w:rPr>
          <w:position w:val="2"/>
          <w:vertAlign w:val="baseline"/>
        </w:rPr>
        <w:t>排放浓度满</w:t>
      </w:r>
      <w:r>
        <w:rPr>
          <w:vertAlign w:val="baseline"/>
        </w:rPr>
        <w:t>足《工业炉窑大气污染物排放标准》（</w:t>
      </w:r>
      <w:r>
        <w:rPr>
          <w:rFonts w:ascii="Times New Roman" w:eastAsia="Times New Roman"/>
          <w:vertAlign w:val="baseline"/>
        </w:rPr>
        <w:t>GB9078-1996</w:t>
      </w:r>
      <w:r>
        <w:rPr>
          <w:vertAlign w:val="baseline"/>
        </w:rPr>
        <w:t>）</w:t>
      </w:r>
      <w:r>
        <w:rPr>
          <w:spacing w:val="-21"/>
          <w:vertAlign w:val="baseline"/>
        </w:rPr>
        <w:t xml:space="preserve">中表 </w:t>
      </w:r>
      <w:r>
        <w:rPr>
          <w:rFonts w:ascii="Times New Roman" w:eastAsia="Times New Roman"/>
          <w:vertAlign w:val="baseline"/>
        </w:rPr>
        <w:t xml:space="preserve">2 </w:t>
      </w:r>
      <w:r>
        <w:rPr>
          <w:spacing w:val="-20"/>
          <w:vertAlign w:val="baseline"/>
        </w:rPr>
        <w:t xml:space="preserve">及表 </w:t>
      </w:r>
      <w:r>
        <w:rPr>
          <w:rFonts w:ascii="Times New Roman" w:eastAsia="Times New Roman"/>
          <w:vertAlign w:val="baseline"/>
        </w:rPr>
        <w:t xml:space="preserve">4 </w:t>
      </w:r>
      <w:r>
        <w:rPr>
          <w:spacing w:val="-15"/>
          <w:vertAlign w:val="baseline"/>
        </w:rPr>
        <w:t xml:space="preserve">中烟尘 </w:t>
      </w:r>
      <w:r>
        <w:rPr>
          <w:rFonts w:ascii="Times New Roman" w:eastAsia="Times New Roman"/>
          <w:vertAlign w:val="baseline"/>
        </w:rPr>
        <w:t>200mg/m</w:t>
      </w:r>
      <w:r>
        <w:rPr>
          <w:rFonts w:ascii="Times New Roman" w:eastAsia="Times New Roman"/>
          <w:position w:val="8"/>
          <w:sz w:val="15"/>
          <w:vertAlign w:val="baseline"/>
        </w:rPr>
        <w:t>3</w:t>
      </w:r>
      <w:r>
        <w:rPr>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850mg/m</w:t>
      </w:r>
      <w:r>
        <w:rPr>
          <w:rFonts w:ascii="Times New Roman" w:eastAsia="Times New Roman"/>
          <w:position w:val="2"/>
          <w:vertAlign w:val="superscript"/>
        </w:rPr>
        <w:t>3</w:t>
      </w:r>
      <w:r>
        <w:rPr>
          <w:rFonts w:ascii="Times New Roman" w:eastAsia="Times New Roman"/>
          <w:position w:val="2"/>
          <w:vertAlign w:val="baseline"/>
        </w:rPr>
        <w:t xml:space="preserve"> </w:t>
      </w:r>
      <w:r>
        <w:rPr>
          <w:position w:val="2"/>
          <w:vertAlign w:val="baseline"/>
        </w:rPr>
        <w:t>的标准限值要求。</w:t>
      </w:r>
    </w:p>
    <w:p>
      <w:pPr>
        <w:pStyle w:val="9"/>
        <w:spacing w:before="4"/>
        <w:ind w:left="1898"/>
      </w:pPr>
      <w:r>
        <w:t>本项目建设后，所排烟气对当地环境空气质量贡献值较小。</w:t>
      </w:r>
    </w:p>
    <w:p>
      <w:pPr>
        <w:pStyle w:val="18"/>
        <w:numPr>
          <w:ilvl w:val="0"/>
          <w:numId w:val="71"/>
        </w:numPr>
        <w:tabs>
          <w:tab w:val="left" w:pos="2500"/>
        </w:tabs>
        <w:spacing w:before="158" w:after="0" w:line="240" w:lineRule="auto"/>
        <w:ind w:left="2499" w:right="0" w:hanging="602"/>
        <w:jc w:val="left"/>
        <w:rPr>
          <w:sz w:val="24"/>
        </w:rPr>
      </w:pPr>
      <w:r>
        <w:rPr>
          <w:sz w:val="24"/>
        </w:rPr>
        <w:t>扬尘</w:t>
      </w:r>
    </w:p>
    <w:p>
      <w:pPr>
        <w:pStyle w:val="9"/>
        <w:spacing w:before="158" w:line="364" w:lineRule="auto"/>
        <w:ind w:left="1418" w:right="1354" w:firstLine="480"/>
      </w:pPr>
      <w:r>
        <w:t xml:space="preserve">矸石临时堆放场及煤炭场内设有喷洒设施，洒水抑尘；筛分车间设布袋除尘器，烟尘经布袋除尘器处理后 </w:t>
      </w:r>
      <w:r>
        <w:rPr>
          <w:rFonts w:ascii="Times New Roman" w:eastAsia="Times New Roman"/>
        </w:rPr>
        <w:t xml:space="preserve">15m </w:t>
      </w:r>
      <w:r>
        <w:t>高烟囱排放。</w:t>
      </w:r>
    </w:p>
    <w:p>
      <w:pPr>
        <w:pStyle w:val="18"/>
        <w:numPr>
          <w:ilvl w:val="0"/>
          <w:numId w:val="71"/>
        </w:numPr>
        <w:tabs>
          <w:tab w:val="left" w:pos="2500"/>
        </w:tabs>
        <w:spacing w:before="0" w:after="0" w:line="364" w:lineRule="auto"/>
        <w:ind w:left="1418" w:right="1413" w:firstLine="480"/>
        <w:jc w:val="left"/>
        <w:rPr>
          <w:sz w:val="24"/>
        </w:rPr>
      </w:pPr>
      <w:r>
        <w:rPr>
          <w:spacing w:val="-1"/>
          <w:sz w:val="24"/>
        </w:rPr>
        <w:t>食堂安装油烟净化设施，油烟去除效率</w:t>
      </w:r>
      <w:r>
        <w:rPr>
          <w:rFonts w:ascii="Times New Roman" w:hAnsi="Times New Roman" w:eastAsia="Times New Roman"/>
          <w:sz w:val="24"/>
        </w:rPr>
        <w:t>≥75%</w:t>
      </w:r>
      <w:r>
        <w:rPr>
          <w:spacing w:val="-2"/>
          <w:sz w:val="24"/>
        </w:rPr>
        <w:t>，油烟排放浓度满足《饮食业油</w:t>
      </w:r>
      <w:r>
        <w:rPr>
          <w:sz w:val="24"/>
        </w:rPr>
        <w:t>烟排放标准》（</w:t>
      </w:r>
      <w:r>
        <w:rPr>
          <w:rFonts w:ascii="Times New Roman" w:hAnsi="Times New Roman" w:eastAsia="Times New Roman"/>
          <w:sz w:val="24"/>
        </w:rPr>
        <w:t>GB18483-2001</w:t>
      </w:r>
      <w:r>
        <w:rPr>
          <w:sz w:val="24"/>
        </w:rPr>
        <w:t>）</w:t>
      </w:r>
      <w:r>
        <w:rPr>
          <w:spacing w:val="-7"/>
          <w:sz w:val="24"/>
        </w:rPr>
        <w:t xml:space="preserve">最高允许排放浓度 </w:t>
      </w:r>
      <w:r>
        <w:rPr>
          <w:rFonts w:ascii="Times New Roman" w:hAnsi="Times New Roman" w:eastAsia="Times New Roman"/>
          <w:sz w:val="24"/>
        </w:rPr>
        <w:t>2.0mg/m</w:t>
      </w:r>
      <w:r>
        <w:rPr>
          <w:rFonts w:ascii="Times New Roman" w:hAnsi="Times New Roman" w:eastAsia="Times New Roman"/>
          <w:position w:val="8"/>
          <w:sz w:val="15"/>
        </w:rPr>
        <w:t>3</w:t>
      </w:r>
      <w:r>
        <w:rPr>
          <w:sz w:val="24"/>
        </w:rPr>
        <w:t>。</w:t>
      </w:r>
    </w:p>
    <w:p>
      <w:pPr>
        <w:pStyle w:val="18"/>
        <w:numPr>
          <w:ilvl w:val="0"/>
          <w:numId w:val="71"/>
        </w:numPr>
        <w:tabs>
          <w:tab w:val="left" w:pos="2504"/>
        </w:tabs>
        <w:spacing w:before="0" w:after="0" w:line="362" w:lineRule="auto"/>
        <w:ind w:left="1418" w:right="1297" w:firstLine="480"/>
        <w:jc w:val="left"/>
        <w:rPr>
          <w:sz w:val="24"/>
        </w:rPr>
      </w:pPr>
      <w:r>
        <w:rPr>
          <w:sz w:val="24"/>
        </w:rPr>
        <w:t>提高路面等级，改善路况，并加强道路两侧及工业场地的绿化，减少裸露地</w:t>
      </w:r>
      <w:r>
        <w:rPr>
          <w:spacing w:val="-14"/>
          <w:sz w:val="24"/>
        </w:rPr>
        <w:t>面，严格管理车辆，防止散装物料的撒落，对矿前区公路进行适当洒水，以进一步抑尘。</w:t>
      </w:r>
    </w:p>
    <w:p>
      <w:pPr>
        <w:pStyle w:val="18"/>
        <w:numPr>
          <w:ilvl w:val="0"/>
          <w:numId w:val="71"/>
        </w:numPr>
        <w:tabs>
          <w:tab w:val="left" w:pos="2500"/>
        </w:tabs>
        <w:spacing w:before="5" w:after="0" w:line="240" w:lineRule="auto"/>
        <w:ind w:left="2499" w:right="0" w:hanging="602"/>
        <w:jc w:val="left"/>
        <w:rPr>
          <w:sz w:val="24"/>
        </w:rPr>
      </w:pPr>
      <w:r>
        <w:rPr>
          <w:sz w:val="24"/>
        </w:rPr>
        <w:t>运煤车辆的防尘要求</w:t>
      </w:r>
    </w:p>
    <w:p>
      <w:pPr>
        <w:pStyle w:val="9"/>
        <w:spacing w:before="159"/>
        <w:ind w:left="1898"/>
      </w:pPr>
      <w:r>
        <w:t>对进出运煤车辆定期进行清洗，清除车辆表面粘附的煤粒、泥土等；车辆表面要覆</w:t>
      </w:r>
    </w:p>
    <w:p>
      <w:pPr>
        <w:spacing w:after="0"/>
        <w:sectPr>
          <w:pgSz w:w="11910" w:h="16840"/>
          <w:pgMar w:top="1360" w:right="0" w:bottom="880" w:left="0" w:header="0" w:footer="681" w:gutter="0"/>
        </w:sectPr>
      </w:pPr>
    </w:p>
    <w:p>
      <w:pPr>
        <w:pStyle w:val="9"/>
        <w:spacing w:before="41" w:line="362" w:lineRule="auto"/>
        <w:ind w:left="1418" w:right="1417"/>
      </w:pPr>
      <w:r>
        <w:rPr>
          <w:spacing w:val="-7"/>
        </w:rPr>
        <w:t>盖苫布，经运输线路敏感点时要减速慢行，防止散装煤炭的撒落对敏感点环境空气的影</w:t>
      </w:r>
      <w:r>
        <w:t>响。</w:t>
      </w:r>
    </w:p>
    <w:p>
      <w:pPr>
        <w:pStyle w:val="5"/>
        <w:numPr>
          <w:ilvl w:val="1"/>
          <w:numId w:val="69"/>
        </w:numPr>
        <w:tabs>
          <w:tab w:val="left" w:pos="1868"/>
        </w:tabs>
        <w:spacing w:before="5" w:after="0" w:line="240" w:lineRule="auto"/>
        <w:ind w:left="1867" w:right="0" w:hanging="450"/>
        <w:jc w:val="left"/>
      </w:pPr>
      <w:bookmarkStart w:id="427" w:name="_bookmark43"/>
      <w:bookmarkEnd w:id="427"/>
      <w:bookmarkStart w:id="428" w:name="_bookmark43"/>
      <w:bookmarkEnd w:id="428"/>
      <w:bookmarkStart w:id="429" w:name="7.6排放量核算"/>
      <w:bookmarkEnd w:id="429"/>
      <w:r>
        <w:t>排放量核算</w:t>
      </w:r>
    </w:p>
    <w:p>
      <w:pPr>
        <w:pStyle w:val="9"/>
        <w:spacing w:before="199"/>
        <w:ind w:left="1898"/>
      </w:pPr>
      <w:r>
        <w:t>本项目污染物排放量核算见下表。</w:t>
      </w:r>
    </w:p>
    <w:p>
      <w:pPr>
        <w:spacing w:before="159" w:after="3"/>
        <w:ind w:left="4291" w:right="0" w:firstLine="0"/>
        <w:jc w:val="left"/>
        <w:rPr>
          <w:b/>
          <w:sz w:val="21"/>
        </w:rPr>
      </w:pPr>
      <w:r>
        <w:rPr>
          <w:b/>
          <w:spacing w:val="-28"/>
          <w:sz w:val="21"/>
        </w:rPr>
        <w:t xml:space="preserve">表 </w:t>
      </w:r>
      <w:r>
        <w:rPr>
          <w:rFonts w:ascii="Times New Roman" w:eastAsia="Times New Roman"/>
          <w:b/>
          <w:sz w:val="21"/>
        </w:rPr>
        <w:t>7.6-1</w:t>
      </w:r>
      <w:r>
        <w:rPr>
          <w:rFonts w:ascii="Times New Roman" w:eastAsia="Times New Roman"/>
          <w:b/>
          <w:spacing w:val="52"/>
          <w:sz w:val="21"/>
        </w:rPr>
        <w:t xml:space="preserve"> </w:t>
      </w:r>
      <w:r>
        <w:rPr>
          <w:b/>
          <w:sz w:val="21"/>
        </w:rPr>
        <w:t>大气污染物有组织排放量核算表</w:t>
      </w:r>
    </w:p>
    <w:tbl>
      <w:tblPr>
        <w:tblStyle w:val="15"/>
        <w:tblW w:w="0" w:type="auto"/>
        <w:tblInd w:w="13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39"/>
        <w:gridCol w:w="1428"/>
        <w:gridCol w:w="1752"/>
        <w:gridCol w:w="1752"/>
        <w:gridCol w:w="1754"/>
        <w:gridCol w:w="17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839" w:type="dxa"/>
            <w:tcBorders>
              <w:bottom w:val="single" w:color="000000" w:sz="4" w:space="0"/>
              <w:right w:val="single" w:color="000000" w:sz="4" w:space="0"/>
            </w:tcBorders>
          </w:tcPr>
          <w:p>
            <w:pPr>
              <w:pStyle w:val="19"/>
              <w:spacing w:before="164"/>
              <w:ind w:left="188" w:right="176"/>
              <w:rPr>
                <w:sz w:val="21"/>
              </w:rPr>
            </w:pPr>
            <w:r>
              <w:rPr>
                <w:sz w:val="21"/>
              </w:rPr>
              <w:t>序号</w:t>
            </w:r>
          </w:p>
        </w:tc>
        <w:tc>
          <w:tcPr>
            <w:tcW w:w="1428" w:type="dxa"/>
            <w:tcBorders>
              <w:left w:val="single" w:color="000000" w:sz="4" w:space="0"/>
              <w:bottom w:val="single" w:color="000000" w:sz="4" w:space="0"/>
              <w:right w:val="single" w:color="000000" w:sz="4" w:space="0"/>
            </w:tcBorders>
          </w:tcPr>
          <w:p>
            <w:pPr>
              <w:pStyle w:val="19"/>
              <w:spacing w:before="164"/>
              <w:ind w:left="173" w:right="155"/>
              <w:rPr>
                <w:sz w:val="21"/>
              </w:rPr>
            </w:pPr>
            <w:r>
              <w:rPr>
                <w:sz w:val="21"/>
              </w:rPr>
              <w:t>排放口编号</w:t>
            </w:r>
          </w:p>
        </w:tc>
        <w:tc>
          <w:tcPr>
            <w:tcW w:w="1752" w:type="dxa"/>
            <w:tcBorders>
              <w:left w:val="single" w:color="000000" w:sz="4" w:space="0"/>
              <w:bottom w:val="single" w:color="000000" w:sz="4" w:space="0"/>
              <w:right w:val="single" w:color="000000" w:sz="4" w:space="0"/>
            </w:tcBorders>
          </w:tcPr>
          <w:p>
            <w:pPr>
              <w:pStyle w:val="19"/>
              <w:spacing w:before="164"/>
              <w:ind w:left="230" w:right="212"/>
              <w:rPr>
                <w:sz w:val="21"/>
              </w:rPr>
            </w:pPr>
            <w:r>
              <w:rPr>
                <w:sz w:val="21"/>
              </w:rPr>
              <w:t>污染物</w:t>
            </w:r>
          </w:p>
        </w:tc>
        <w:tc>
          <w:tcPr>
            <w:tcW w:w="1752" w:type="dxa"/>
            <w:tcBorders>
              <w:left w:val="single" w:color="000000" w:sz="4" w:space="0"/>
              <w:bottom w:val="single" w:color="000000" w:sz="4" w:space="0"/>
              <w:right w:val="single" w:color="000000" w:sz="4" w:space="0"/>
            </w:tcBorders>
          </w:tcPr>
          <w:p>
            <w:pPr>
              <w:pStyle w:val="19"/>
              <w:spacing w:before="1"/>
              <w:ind w:left="230" w:right="212"/>
              <w:rPr>
                <w:sz w:val="21"/>
              </w:rPr>
            </w:pPr>
            <w:r>
              <w:rPr>
                <w:sz w:val="21"/>
              </w:rPr>
              <w:t>核算排放浓度</w:t>
            </w:r>
          </w:p>
          <w:p>
            <w:pPr>
              <w:pStyle w:val="19"/>
              <w:spacing w:before="55"/>
              <w:ind w:left="227" w:right="212"/>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1754" w:type="dxa"/>
            <w:tcBorders>
              <w:left w:val="single" w:color="000000" w:sz="4" w:space="0"/>
              <w:bottom w:val="single" w:color="000000" w:sz="4" w:space="0"/>
              <w:right w:val="single" w:color="000000" w:sz="4" w:space="0"/>
            </w:tcBorders>
          </w:tcPr>
          <w:p>
            <w:pPr>
              <w:pStyle w:val="19"/>
              <w:spacing w:before="1"/>
              <w:ind w:left="230" w:right="214"/>
              <w:rPr>
                <w:sz w:val="21"/>
              </w:rPr>
            </w:pPr>
            <w:r>
              <w:rPr>
                <w:sz w:val="21"/>
              </w:rPr>
              <w:t>核算排放速率</w:t>
            </w:r>
          </w:p>
          <w:p>
            <w:pPr>
              <w:pStyle w:val="19"/>
              <w:spacing w:before="55"/>
              <w:ind w:left="230" w:right="214"/>
              <w:rPr>
                <w:sz w:val="21"/>
              </w:rPr>
            </w:pPr>
            <w:r>
              <w:rPr>
                <w:sz w:val="21"/>
              </w:rPr>
              <w:t>（</w:t>
            </w:r>
            <w:r>
              <w:rPr>
                <w:rFonts w:ascii="Times New Roman" w:eastAsia="Times New Roman"/>
                <w:sz w:val="21"/>
              </w:rPr>
              <w:t>kg/h</w:t>
            </w:r>
            <w:r>
              <w:rPr>
                <w:sz w:val="21"/>
              </w:rPr>
              <w:t>）</w:t>
            </w:r>
          </w:p>
        </w:tc>
        <w:tc>
          <w:tcPr>
            <w:tcW w:w="1757" w:type="dxa"/>
            <w:tcBorders>
              <w:left w:val="single" w:color="000000" w:sz="4" w:space="0"/>
              <w:bottom w:val="single" w:color="000000" w:sz="4" w:space="0"/>
            </w:tcBorders>
          </w:tcPr>
          <w:p>
            <w:pPr>
              <w:pStyle w:val="19"/>
              <w:spacing w:before="1"/>
              <w:ind w:left="230" w:right="212"/>
              <w:rPr>
                <w:sz w:val="21"/>
              </w:rPr>
            </w:pPr>
            <w:r>
              <w:rPr>
                <w:sz w:val="21"/>
              </w:rPr>
              <w:t>核算年排放量</w:t>
            </w:r>
          </w:p>
          <w:p>
            <w:pPr>
              <w:pStyle w:val="19"/>
              <w:spacing w:before="55"/>
              <w:ind w:left="230" w:right="207"/>
              <w:rPr>
                <w:sz w:val="21"/>
              </w:rPr>
            </w:pPr>
            <w:r>
              <w:rPr>
                <w:sz w:val="21"/>
              </w:rPr>
              <w:t>（</w:t>
            </w:r>
            <w:r>
              <w:rPr>
                <w:rFonts w:ascii="Times New Roman" w:eastAsia="Times New Roman"/>
                <w:sz w:val="21"/>
              </w:rPr>
              <w:t>t/a</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9282" w:type="dxa"/>
            <w:gridSpan w:val="6"/>
            <w:tcBorders>
              <w:top w:val="single" w:color="000000" w:sz="4" w:space="0"/>
              <w:bottom w:val="single" w:color="000000" w:sz="4" w:space="0"/>
            </w:tcBorders>
          </w:tcPr>
          <w:p>
            <w:pPr>
              <w:pStyle w:val="19"/>
              <w:ind w:left="3884" w:right="3865"/>
              <w:rPr>
                <w:sz w:val="21"/>
              </w:rPr>
            </w:pPr>
            <w:r>
              <w:rPr>
                <w:sz w:val="21"/>
              </w:rPr>
              <w:t>主要排放口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9" w:type="dxa"/>
            <w:tcBorders>
              <w:top w:val="single" w:color="000000" w:sz="4" w:space="0"/>
              <w:bottom w:val="single" w:color="000000" w:sz="4" w:space="0"/>
              <w:right w:val="single" w:color="000000" w:sz="4" w:space="0"/>
            </w:tcBorders>
          </w:tcPr>
          <w:p>
            <w:pPr>
              <w:pStyle w:val="19"/>
              <w:spacing w:line="240" w:lineRule="exact"/>
              <w:ind w:left="15"/>
              <w:rPr>
                <w:rFonts w:ascii="Times New Roman"/>
                <w:sz w:val="21"/>
              </w:rPr>
            </w:pPr>
            <w:r>
              <w:rPr>
                <w:rFonts w:ascii="Times New Roman"/>
                <w:w w:val="99"/>
                <w:sz w:val="21"/>
              </w:rPr>
              <w:t>1</w:t>
            </w:r>
          </w:p>
        </w:tc>
        <w:tc>
          <w:tcPr>
            <w:tcW w:w="1428" w:type="dxa"/>
            <w:tcBorders>
              <w:top w:val="single" w:color="000000" w:sz="4" w:space="0"/>
              <w:left w:val="single" w:color="000000" w:sz="4" w:space="0"/>
              <w:bottom w:val="single" w:color="000000" w:sz="4" w:space="0"/>
              <w:right w:val="single" w:color="000000" w:sz="4" w:space="0"/>
            </w:tcBorders>
          </w:tcPr>
          <w:p>
            <w:pPr>
              <w:pStyle w:val="19"/>
              <w:spacing w:line="240" w:lineRule="exact"/>
              <w:ind w:left="20"/>
              <w:rPr>
                <w:rFonts w:ascii="Times New Roman"/>
                <w:sz w:val="21"/>
              </w:rPr>
            </w:pPr>
            <w:r>
              <w:rPr>
                <w:rFonts w:ascii="Times New Roman"/>
                <w:w w:val="99"/>
                <w:sz w:val="21"/>
              </w:rPr>
              <w:t>/</w:t>
            </w:r>
          </w:p>
        </w:tc>
        <w:tc>
          <w:tcPr>
            <w:tcW w:w="1752" w:type="dxa"/>
            <w:tcBorders>
              <w:top w:val="single" w:color="000000" w:sz="4" w:space="0"/>
              <w:left w:val="single" w:color="000000" w:sz="4" w:space="0"/>
              <w:bottom w:val="single" w:color="000000" w:sz="4" w:space="0"/>
              <w:right w:val="single" w:color="000000" w:sz="4" w:space="0"/>
            </w:tcBorders>
          </w:tcPr>
          <w:p>
            <w:pPr>
              <w:pStyle w:val="19"/>
              <w:spacing w:line="240" w:lineRule="exact"/>
              <w:ind w:left="18"/>
              <w:rPr>
                <w:rFonts w:ascii="Times New Roman"/>
                <w:sz w:val="21"/>
              </w:rPr>
            </w:pPr>
            <w:r>
              <w:rPr>
                <w:rFonts w:ascii="Times New Roman"/>
                <w:w w:val="99"/>
                <w:sz w:val="21"/>
              </w:rPr>
              <w:t>/</w:t>
            </w:r>
          </w:p>
        </w:tc>
        <w:tc>
          <w:tcPr>
            <w:tcW w:w="1752" w:type="dxa"/>
            <w:tcBorders>
              <w:top w:val="single" w:color="000000" w:sz="4" w:space="0"/>
              <w:left w:val="single" w:color="000000" w:sz="4" w:space="0"/>
              <w:bottom w:val="single" w:color="000000" w:sz="4" w:space="0"/>
              <w:right w:val="single" w:color="000000" w:sz="4" w:space="0"/>
            </w:tcBorders>
          </w:tcPr>
          <w:p>
            <w:pPr>
              <w:pStyle w:val="19"/>
              <w:spacing w:line="240" w:lineRule="exact"/>
              <w:ind w:left="18"/>
              <w:rPr>
                <w:rFonts w:ascii="Times New Roman"/>
                <w:sz w:val="21"/>
              </w:rPr>
            </w:pPr>
            <w:r>
              <w:rPr>
                <w:rFonts w:ascii="Times New Roman"/>
                <w:w w:val="99"/>
                <w:sz w:val="21"/>
              </w:rPr>
              <w:t>/</w:t>
            </w:r>
          </w:p>
        </w:tc>
        <w:tc>
          <w:tcPr>
            <w:tcW w:w="1754" w:type="dxa"/>
            <w:tcBorders>
              <w:top w:val="single" w:color="000000" w:sz="4" w:space="0"/>
              <w:left w:val="single" w:color="000000" w:sz="4" w:space="0"/>
              <w:bottom w:val="single" w:color="000000" w:sz="4" w:space="0"/>
              <w:right w:val="single" w:color="000000" w:sz="4" w:space="0"/>
            </w:tcBorders>
          </w:tcPr>
          <w:p>
            <w:pPr>
              <w:pStyle w:val="19"/>
              <w:spacing w:line="240" w:lineRule="exact"/>
              <w:ind w:left="21"/>
              <w:rPr>
                <w:rFonts w:ascii="Times New Roman"/>
                <w:sz w:val="21"/>
              </w:rPr>
            </w:pPr>
            <w:r>
              <w:rPr>
                <w:rFonts w:ascii="Times New Roman"/>
                <w:w w:val="99"/>
                <w:sz w:val="21"/>
              </w:rPr>
              <w:t>/</w:t>
            </w:r>
          </w:p>
        </w:tc>
        <w:tc>
          <w:tcPr>
            <w:tcW w:w="1757" w:type="dxa"/>
            <w:tcBorders>
              <w:top w:val="single" w:color="000000" w:sz="4" w:space="0"/>
              <w:left w:val="single" w:color="000000" w:sz="4" w:space="0"/>
              <w:bottom w:val="single" w:color="000000" w:sz="4" w:space="0"/>
            </w:tcBorders>
          </w:tcPr>
          <w:p>
            <w:pPr>
              <w:pStyle w:val="19"/>
              <w:spacing w:line="240"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267" w:type="dxa"/>
            <w:gridSpan w:val="2"/>
            <w:tcBorders>
              <w:top w:val="single" w:color="000000" w:sz="4" w:space="0"/>
              <w:bottom w:val="single" w:color="000000" w:sz="4" w:space="0"/>
              <w:right w:val="single" w:color="000000" w:sz="4" w:space="0"/>
            </w:tcBorders>
          </w:tcPr>
          <w:p>
            <w:pPr>
              <w:pStyle w:val="19"/>
              <w:spacing w:line="268" w:lineRule="exact"/>
              <w:ind w:left="396"/>
              <w:jc w:val="left"/>
              <w:rPr>
                <w:sz w:val="21"/>
              </w:rPr>
            </w:pPr>
            <w:r>
              <w:rPr>
                <w:sz w:val="21"/>
              </w:rPr>
              <w:t>主要排放口合计</w:t>
            </w:r>
          </w:p>
        </w:tc>
        <w:tc>
          <w:tcPr>
            <w:tcW w:w="5258" w:type="dxa"/>
            <w:gridSpan w:val="3"/>
            <w:tcBorders>
              <w:top w:val="single" w:color="000000" w:sz="4" w:space="0"/>
              <w:left w:val="single" w:color="000000" w:sz="4" w:space="0"/>
              <w:bottom w:val="single" w:color="000000" w:sz="4" w:space="0"/>
              <w:right w:val="single" w:color="000000" w:sz="4" w:space="0"/>
            </w:tcBorders>
          </w:tcPr>
          <w:p>
            <w:pPr>
              <w:pStyle w:val="19"/>
              <w:spacing w:before="18"/>
              <w:ind w:left="21"/>
              <w:rPr>
                <w:rFonts w:ascii="Times New Roman"/>
                <w:sz w:val="21"/>
              </w:rPr>
            </w:pPr>
            <w:r>
              <w:rPr>
                <w:rFonts w:ascii="Times New Roman"/>
                <w:w w:val="99"/>
                <w:sz w:val="21"/>
              </w:rPr>
              <w:t>/</w:t>
            </w:r>
          </w:p>
        </w:tc>
        <w:tc>
          <w:tcPr>
            <w:tcW w:w="1757" w:type="dxa"/>
            <w:tcBorders>
              <w:top w:val="single" w:color="000000" w:sz="4" w:space="0"/>
              <w:left w:val="single" w:color="000000" w:sz="4" w:space="0"/>
              <w:bottom w:val="single" w:color="000000" w:sz="4" w:space="0"/>
            </w:tcBorders>
          </w:tcPr>
          <w:p>
            <w:pPr>
              <w:pStyle w:val="19"/>
              <w:spacing w:before="18"/>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9282" w:type="dxa"/>
            <w:gridSpan w:val="6"/>
            <w:tcBorders>
              <w:top w:val="single" w:color="000000" w:sz="4" w:space="0"/>
              <w:bottom w:val="single" w:color="000000" w:sz="4" w:space="0"/>
            </w:tcBorders>
          </w:tcPr>
          <w:p>
            <w:pPr>
              <w:pStyle w:val="19"/>
              <w:ind w:left="3884" w:right="3865"/>
              <w:rPr>
                <w:sz w:val="21"/>
              </w:rPr>
            </w:pPr>
            <w:r>
              <w:rPr>
                <w:sz w:val="21"/>
              </w:rPr>
              <w:t>一般排放口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267" w:type="dxa"/>
            <w:gridSpan w:val="2"/>
            <w:vMerge w:val="restart"/>
            <w:tcBorders>
              <w:top w:val="single" w:color="000000" w:sz="4" w:space="0"/>
              <w:bottom w:val="single" w:color="000000" w:sz="4" w:space="0"/>
              <w:right w:val="single" w:color="000000" w:sz="4" w:space="0"/>
            </w:tcBorders>
          </w:tcPr>
          <w:p>
            <w:pPr>
              <w:pStyle w:val="19"/>
              <w:spacing w:before="6"/>
              <w:jc w:val="left"/>
              <w:rPr>
                <w:b/>
                <w:sz w:val="23"/>
              </w:rPr>
            </w:pPr>
          </w:p>
          <w:p>
            <w:pPr>
              <w:pStyle w:val="19"/>
              <w:ind w:left="396"/>
              <w:jc w:val="left"/>
              <w:rPr>
                <w:sz w:val="21"/>
              </w:rPr>
            </w:pPr>
            <w:r>
              <w:rPr>
                <w:sz w:val="21"/>
              </w:rPr>
              <w:t>副井锅炉房烟囱</w:t>
            </w:r>
          </w:p>
        </w:tc>
        <w:tc>
          <w:tcPr>
            <w:tcW w:w="1752" w:type="dxa"/>
            <w:tcBorders>
              <w:top w:val="single" w:color="000000" w:sz="4" w:space="0"/>
              <w:left w:val="single" w:color="000000" w:sz="4" w:space="0"/>
              <w:bottom w:val="single" w:color="000000" w:sz="4" w:space="0"/>
              <w:right w:val="single" w:color="000000" w:sz="4" w:space="0"/>
            </w:tcBorders>
          </w:tcPr>
          <w:p>
            <w:pPr>
              <w:pStyle w:val="19"/>
              <w:spacing w:before="1"/>
              <w:ind w:left="230" w:right="212"/>
              <w:rPr>
                <w:sz w:val="21"/>
              </w:rPr>
            </w:pPr>
            <w:r>
              <w:rPr>
                <w:sz w:val="21"/>
              </w:rPr>
              <w:t>烟尘</w:t>
            </w:r>
          </w:p>
        </w:tc>
        <w:tc>
          <w:tcPr>
            <w:tcW w:w="1752" w:type="dxa"/>
            <w:tcBorders>
              <w:top w:val="single" w:color="000000" w:sz="4" w:space="0"/>
              <w:left w:val="single" w:color="000000" w:sz="4" w:space="0"/>
              <w:bottom w:val="single" w:color="000000" w:sz="4" w:space="0"/>
              <w:right w:val="single" w:color="000000" w:sz="4" w:space="0"/>
            </w:tcBorders>
          </w:tcPr>
          <w:p>
            <w:pPr>
              <w:pStyle w:val="19"/>
              <w:spacing w:before="17"/>
              <w:ind w:left="230" w:right="209"/>
              <w:rPr>
                <w:rFonts w:ascii="Times New Roman"/>
                <w:sz w:val="21"/>
              </w:rPr>
            </w:pPr>
            <w:r>
              <w:rPr>
                <w:rFonts w:ascii="Times New Roman"/>
                <w:sz w:val="21"/>
              </w:rPr>
              <w:t>24.09</w:t>
            </w:r>
          </w:p>
        </w:tc>
        <w:tc>
          <w:tcPr>
            <w:tcW w:w="1754" w:type="dxa"/>
            <w:tcBorders>
              <w:top w:val="single" w:color="000000" w:sz="4" w:space="0"/>
              <w:left w:val="single" w:color="000000" w:sz="4" w:space="0"/>
              <w:bottom w:val="single" w:color="000000" w:sz="4" w:space="0"/>
              <w:right w:val="single" w:color="000000" w:sz="4" w:space="0"/>
            </w:tcBorders>
          </w:tcPr>
          <w:p>
            <w:pPr>
              <w:pStyle w:val="19"/>
              <w:spacing w:before="17"/>
              <w:ind w:left="230" w:right="211"/>
              <w:rPr>
                <w:rFonts w:ascii="Times New Roman"/>
                <w:sz w:val="21"/>
              </w:rPr>
            </w:pPr>
            <w:r>
              <w:rPr>
                <w:rFonts w:ascii="Times New Roman"/>
                <w:sz w:val="21"/>
              </w:rPr>
              <w:t>0.01</w:t>
            </w:r>
          </w:p>
        </w:tc>
        <w:tc>
          <w:tcPr>
            <w:tcW w:w="1757" w:type="dxa"/>
            <w:tcBorders>
              <w:top w:val="single" w:color="000000" w:sz="4" w:space="0"/>
              <w:left w:val="single" w:color="000000" w:sz="4" w:space="0"/>
              <w:bottom w:val="single" w:color="000000" w:sz="4" w:space="0"/>
            </w:tcBorders>
          </w:tcPr>
          <w:p>
            <w:pPr>
              <w:pStyle w:val="19"/>
              <w:spacing w:before="17"/>
              <w:ind w:left="230" w:right="206"/>
              <w:rPr>
                <w:rFonts w:ascii="Times New Roman"/>
                <w:sz w:val="21"/>
              </w:rPr>
            </w:pPr>
            <w:r>
              <w:rPr>
                <w:rFonts w:ascii="Times New Roman"/>
                <w:sz w:val="21"/>
              </w:rPr>
              <w:t>0.034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2267" w:type="dxa"/>
            <w:gridSpan w:val="2"/>
            <w:vMerge w:val="continue"/>
            <w:tcBorders>
              <w:top w:val="nil"/>
              <w:bottom w:val="single" w:color="000000" w:sz="4" w:space="0"/>
              <w:right w:val="single" w:color="000000" w:sz="4" w:space="0"/>
            </w:tcBorders>
          </w:tcPr>
          <w:p>
            <w:pPr>
              <w:rPr>
                <w:sz w:val="2"/>
                <w:szCs w:val="2"/>
              </w:rPr>
            </w:pPr>
          </w:p>
        </w:tc>
        <w:tc>
          <w:tcPr>
            <w:tcW w:w="1752" w:type="dxa"/>
            <w:tcBorders>
              <w:top w:val="single" w:color="000000" w:sz="4" w:space="0"/>
              <w:left w:val="single" w:color="000000" w:sz="4" w:space="0"/>
              <w:bottom w:val="single" w:color="000000" w:sz="4" w:space="0"/>
              <w:right w:val="single" w:color="000000" w:sz="4" w:space="0"/>
            </w:tcBorders>
          </w:tcPr>
          <w:p>
            <w:pPr>
              <w:pStyle w:val="19"/>
              <w:spacing w:line="241" w:lineRule="exact"/>
              <w:ind w:left="228" w:right="212"/>
              <w:rPr>
                <w:rFonts w:ascii="Times New Roman"/>
                <w:sz w:val="21"/>
              </w:rPr>
            </w:pPr>
            <w:r>
              <w:rPr>
                <w:rFonts w:ascii="Times New Roman"/>
                <w:sz w:val="21"/>
              </w:rPr>
              <w:t>NOx</w:t>
            </w:r>
          </w:p>
        </w:tc>
        <w:tc>
          <w:tcPr>
            <w:tcW w:w="1752" w:type="dxa"/>
            <w:tcBorders>
              <w:top w:val="single" w:color="000000" w:sz="4" w:space="0"/>
              <w:left w:val="single" w:color="000000" w:sz="4" w:space="0"/>
              <w:bottom w:val="single" w:color="000000" w:sz="4" w:space="0"/>
              <w:right w:val="single" w:color="000000" w:sz="4" w:space="0"/>
            </w:tcBorders>
          </w:tcPr>
          <w:p>
            <w:pPr>
              <w:pStyle w:val="19"/>
              <w:spacing w:line="241" w:lineRule="exact"/>
              <w:ind w:left="228" w:right="212"/>
              <w:rPr>
                <w:rFonts w:ascii="Times New Roman"/>
                <w:sz w:val="21"/>
              </w:rPr>
            </w:pPr>
            <w:r>
              <w:rPr>
                <w:rFonts w:ascii="Times New Roman"/>
                <w:sz w:val="21"/>
              </w:rPr>
              <w:t>200</w:t>
            </w:r>
          </w:p>
        </w:tc>
        <w:tc>
          <w:tcPr>
            <w:tcW w:w="1754" w:type="dxa"/>
            <w:tcBorders>
              <w:top w:val="single" w:color="000000" w:sz="4" w:space="0"/>
              <w:left w:val="single" w:color="000000" w:sz="4" w:space="0"/>
              <w:bottom w:val="single" w:color="000000" w:sz="4" w:space="0"/>
              <w:right w:val="single" w:color="000000" w:sz="4" w:space="0"/>
            </w:tcBorders>
          </w:tcPr>
          <w:p>
            <w:pPr>
              <w:pStyle w:val="19"/>
              <w:spacing w:line="241" w:lineRule="exact"/>
              <w:ind w:left="230" w:right="211"/>
              <w:rPr>
                <w:rFonts w:ascii="Times New Roman"/>
                <w:sz w:val="21"/>
              </w:rPr>
            </w:pPr>
            <w:r>
              <w:rPr>
                <w:rFonts w:ascii="Times New Roman"/>
                <w:color w:val="FF0000"/>
                <w:sz w:val="21"/>
              </w:rPr>
              <w:t>0.13</w:t>
            </w:r>
          </w:p>
        </w:tc>
        <w:tc>
          <w:tcPr>
            <w:tcW w:w="1757" w:type="dxa"/>
            <w:tcBorders>
              <w:top w:val="single" w:color="000000" w:sz="4" w:space="0"/>
              <w:left w:val="single" w:color="000000" w:sz="4" w:space="0"/>
              <w:bottom w:val="single" w:color="000000" w:sz="4" w:space="0"/>
            </w:tcBorders>
          </w:tcPr>
          <w:p>
            <w:pPr>
              <w:pStyle w:val="19"/>
              <w:spacing w:line="241" w:lineRule="exact"/>
              <w:ind w:left="230" w:right="206"/>
              <w:rPr>
                <w:rFonts w:ascii="Times New Roman"/>
                <w:sz w:val="21"/>
              </w:rPr>
            </w:pPr>
            <w:r>
              <w:rPr>
                <w:rFonts w:ascii="Times New Roman"/>
                <w:color w:val="FF0000"/>
                <w:sz w:val="21"/>
              </w:rPr>
              <w:t>0.43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2267" w:type="dxa"/>
            <w:gridSpan w:val="2"/>
            <w:vMerge w:val="continue"/>
            <w:tcBorders>
              <w:top w:val="nil"/>
              <w:bottom w:val="single" w:color="000000" w:sz="4" w:space="0"/>
              <w:right w:val="single" w:color="000000" w:sz="4" w:space="0"/>
            </w:tcBorders>
          </w:tcPr>
          <w:p>
            <w:pPr>
              <w:rPr>
                <w:sz w:val="2"/>
                <w:szCs w:val="2"/>
              </w:rPr>
            </w:pPr>
          </w:p>
        </w:tc>
        <w:tc>
          <w:tcPr>
            <w:tcW w:w="1752" w:type="dxa"/>
            <w:tcBorders>
              <w:top w:val="single" w:color="000000" w:sz="4" w:space="0"/>
              <w:left w:val="single" w:color="000000" w:sz="4" w:space="0"/>
              <w:bottom w:val="single" w:color="000000" w:sz="4" w:space="0"/>
              <w:right w:val="single" w:color="000000" w:sz="4" w:space="0"/>
            </w:tcBorders>
          </w:tcPr>
          <w:p>
            <w:pPr>
              <w:pStyle w:val="19"/>
              <w:spacing w:line="258" w:lineRule="exact"/>
              <w:ind w:left="230" w:right="211"/>
              <w:rPr>
                <w:rFonts w:ascii="Times New Roman"/>
                <w:sz w:val="21"/>
              </w:rPr>
            </w:pPr>
            <w:r>
              <w:rPr>
                <w:rFonts w:ascii="Times New Roman"/>
                <w:position w:val="2"/>
                <w:sz w:val="21"/>
              </w:rPr>
              <w:t>SO</w:t>
            </w:r>
            <w:r>
              <w:rPr>
                <w:rFonts w:ascii="Times New Roman"/>
                <w:position w:val="2"/>
                <w:sz w:val="21"/>
                <w:vertAlign w:val="subscript"/>
              </w:rPr>
              <w:t>2</w:t>
            </w:r>
          </w:p>
        </w:tc>
        <w:tc>
          <w:tcPr>
            <w:tcW w:w="1752" w:type="dxa"/>
            <w:tcBorders>
              <w:top w:val="single" w:color="000000" w:sz="4" w:space="0"/>
              <w:left w:val="single" w:color="000000" w:sz="4" w:space="0"/>
              <w:bottom w:val="single" w:color="000000" w:sz="4" w:space="0"/>
              <w:right w:val="single" w:color="000000" w:sz="4" w:space="0"/>
            </w:tcBorders>
          </w:tcPr>
          <w:p>
            <w:pPr>
              <w:pStyle w:val="19"/>
              <w:spacing w:line="241" w:lineRule="exact"/>
              <w:ind w:left="230" w:right="209"/>
              <w:rPr>
                <w:rFonts w:ascii="Times New Roman"/>
                <w:sz w:val="21"/>
              </w:rPr>
            </w:pPr>
            <w:r>
              <w:rPr>
                <w:rFonts w:ascii="Times New Roman"/>
                <w:sz w:val="21"/>
              </w:rPr>
              <w:t>43.43</w:t>
            </w:r>
          </w:p>
        </w:tc>
        <w:tc>
          <w:tcPr>
            <w:tcW w:w="1754" w:type="dxa"/>
            <w:tcBorders>
              <w:top w:val="single" w:color="000000" w:sz="4" w:space="0"/>
              <w:left w:val="single" w:color="000000" w:sz="4" w:space="0"/>
              <w:bottom w:val="single" w:color="000000" w:sz="4" w:space="0"/>
              <w:right w:val="single" w:color="000000" w:sz="4" w:space="0"/>
            </w:tcBorders>
          </w:tcPr>
          <w:p>
            <w:pPr>
              <w:pStyle w:val="19"/>
              <w:spacing w:line="241" w:lineRule="exact"/>
              <w:ind w:left="230" w:right="213"/>
              <w:rPr>
                <w:rFonts w:ascii="Times New Roman"/>
                <w:sz w:val="21"/>
              </w:rPr>
            </w:pPr>
            <w:r>
              <w:rPr>
                <w:rFonts w:ascii="Times New Roman"/>
                <w:sz w:val="21"/>
              </w:rPr>
              <w:t>0.02</w:t>
            </w:r>
          </w:p>
        </w:tc>
        <w:tc>
          <w:tcPr>
            <w:tcW w:w="1757" w:type="dxa"/>
            <w:tcBorders>
              <w:top w:val="single" w:color="000000" w:sz="4" w:space="0"/>
              <w:left w:val="single" w:color="000000" w:sz="4" w:space="0"/>
              <w:bottom w:val="single" w:color="000000" w:sz="4" w:space="0"/>
            </w:tcBorders>
          </w:tcPr>
          <w:p>
            <w:pPr>
              <w:pStyle w:val="19"/>
              <w:spacing w:line="241" w:lineRule="exact"/>
              <w:ind w:left="230" w:right="203"/>
              <w:rPr>
                <w:rFonts w:ascii="Times New Roman"/>
                <w:sz w:val="21"/>
              </w:rPr>
            </w:pPr>
            <w:r>
              <w:rPr>
                <w:rFonts w:ascii="Times New Roman"/>
                <w:sz w:val="21"/>
              </w:rPr>
              <w:t>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267" w:type="dxa"/>
            <w:gridSpan w:val="2"/>
            <w:vMerge w:val="restart"/>
            <w:tcBorders>
              <w:top w:val="single" w:color="000000" w:sz="4" w:space="0"/>
              <w:bottom w:val="single" w:color="000000" w:sz="4" w:space="0"/>
              <w:right w:val="single" w:color="000000" w:sz="4" w:space="0"/>
            </w:tcBorders>
          </w:tcPr>
          <w:p>
            <w:pPr>
              <w:pStyle w:val="19"/>
              <w:spacing w:before="5"/>
              <w:jc w:val="left"/>
              <w:rPr>
                <w:b/>
                <w:sz w:val="23"/>
              </w:rPr>
            </w:pPr>
          </w:p>
          <w:p>
            <w:pPr>
              <w:pStyle w:val="19"/>
              <w:ind w:left="293"/>
              <w:jc w:val="left"/>
              <w:rPr>
                <w:sz w:val="21"/>
              </w:rPr>
            </w:pPr>
            <w:r>
              <w:rPr>
                <w:sz w:val="21"/>
              </w:rPr>
              <w:t>副井暖风炉房烟囱</w:t>
            </w:r>
          </w:p>
        </w:tc>
        <w:tc>
          <w:tcPr>
            <w:tcW w:w="1752" w:type="dxa"/>
            <w:tcBorders>
              <w:top w:val="single" w:color="000000" w:sz="4" w:space="0"/>
              <w:left w:val="single" w:color="000000" w:sz="4" w:space="0"/>
              <w:bottom w:val="single" w:color="000000" w:sz="4" w:space="0"/>
              <w:right w:val="single" w:color="000000" w:sz="4" w:space="0"/>
            </w:tcBorders>
          </w:tcPr>
          <w:p>
            <w:pPr>
              <w:pStyle w:val="19"/>
              <w:spacing w:line="269" w:lineRule="exact"/>
              <w:ind w:left="230" w:right="212"/>
              <w:rPr>
                <w:sz w:val="21"/>
              </w:rPr>
            </w:pPr>
            <w:r>
              <w:rPr>
                <w:sz w:val="21"/>
              </w:rPr>
              <w:t>烟尘</w:t>
            </w:r>
          </w:p>
        </w:tc>
        <w:tc>
          <w:tcPr>
            <w:tcW w:w="1752" w:type="dxa"/>
            <w:tcBorders>
              <w:top w:val="single" w:color="000000" w:sz="4" w:space="0"/>
              <w:left w:val="single" w:color="000000" w:sz="4" w:space="0"/>
              <w:bottom w:val="single" w:color="000000" w:sz="4" w:space="0"/>
              <w:right w:val="single" w:color="000000" w:sz="4" w:space="0"/>
            </w:tcBorders>
          </w:tcPr>
          <w:p>
            <w:pPr>
              <w:pStyle w:val="19"/>
              <w:spacing w:before="16"/>
              <w:ind w:left="230" w:right="209"/>
              <w:rPr>
                <w:rFonts w:ascii="Times New Roman"/>
                <w:sz w:val="21"/>
              </w:rPr>
            </w:pPr>
            <w:r>
              <w:rPr>
                <w:rFonts w:ascii="Times New Roman"/>
                <w:sz w:val="21"/>
              </w:rPr>
              <w:t>17.46</w:t>
            </w:r>
          </w:p>
        </w:tc>
        <w:tc>
          <w:tcPr>
            <w:tcW w:w="1754" w:type="dxa"/>
            <w:tcBorders>
              <w:top w:val="single" w:color="000000" w:sz="4" w:space="0"/>
              <w:left w:val="single" w:color="000000" w:sz="4" w:space="0"/>
              <w:bottom w:val="single" w:color="000000" w:sz="4" w:space="0"/>
              <w:right w:val="single" w:color="000000" w:sz="4" w:space="0"/>
            </w:tcBorders>
          </w:tcPr>
          <w:p>
            <w:pPr>
              <w:pStyle w:val="19"/>
              <w:spacing w:before="16"/>
              <w:ind w:left="230" w:right="211"/>
              <w:rPr>
                <w:rFonts w:ascii="Times New Roman"/>
                <w:sz w:val="21"/>
              </w:rPr>
            </w:pPr>
            <w:r>
              <w:rPr>
                <w:rFonts w:ascii="Times New Roman"/>
                <w:sz w:val="21"/>
              </w:rPr>
              <w:t>0.04</w:t>
            </w:r>
          </w:p>
        </w:tc>
        <w:tc>
          <w:tcPr>
            <w:tcW w:w="1757" w:type="dxa"/>
            <w:tcBorders>
              <w:top w:val="single" w:color="000000" w:sz="4" w:space="0"/>
              <w:left w:val="single" w:color="000000" w:sz="4" w:space="0"/>
              <w:bottom w:val="single" w:color="000000" w:sz="4" w:space="0"/>
            </w:tcBorders>
          </w:tcPr>
          <w:p>
            <w:pPr>
              <w:pStyle w:val="19"/>
              <w:spacing w:before="16"/>
              <w:ind w:left="230" w:right="206"/>
              <w:rPr>
                <w:rFonts w:ascii="Times New Roman"/>
                <w:sz w:val="21"/>
              </w:rPr>
            </w:pPr>
            <w:r>
              <w:rPr>
                <w:rFonts w:ascii="Times New Roman"/>
                <w:sz w:val="21"/>
              </w:rPr>
              <w:t>0.144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9" w:hRule="atLeast"/>
        </w:trPr>
        <w:tc>
          <w:tcPr>
            <w:tcW w:w="2267" w:type="dxa"/>
            <w:gridSpan w:val="2"/>
            <w:vMerge w:val="continue"/>
            <w:tcBorders>
              <w:top w:val="nil"/>
              <w:bottom w:val="single" w:color="000000" w:sz="4" w:space="0"/>
              <w:right w:val="single" w:color="000000" w:sz="4" w:space="0"/>
            </w:tcBorders>
          </w:tcPr>
          <w:p>
            <w:pPr>
              <w:rPr>
                <w:sz w:val="2"/>
                <w:szCs w:val="2"/>
              </w:rPr>
            </w:pPr>
          </w:p>
        </w:tc>
        <w:tc>
          <w:tcPr>
            <w:tcW w:w="1752" w:type="dxa"/>
            <w:tcBorders>
              <w:top w:val="single" w:color="000000" w:sz="4" w:space="0"/>
              <w:left w:val="single" w:color="000000" w:sz="4" w:space="0"/>
              <w:bottom w:val="single" w:color="000000" w:sz="4" w:space="0"/>
              <w:right w:val="single" w:color="000000" w:sz="4" w:space="0"/>
            </w:tcBorders>
          </w:tcPr>
          <w:p>
            <w:pPr>
              <w:pStyle w:val="19"/>
              <w:spacing w:line="240" w:lineRule="exact"/>
              <w:ind w:left="228" w:right="212"/>
              <w:rPr>
                <w:rFonts w:ascii="Times New Roman"/>
                <w:sz w:val="21"/>
              </w:rPr>
            </w:pPr>
            <w:r>
              <w:rPr>
                <w:rFonts w:ascii="Times New Roman"/>
                <w:sz w:val="21"/>
              </w:rPr>
              <w:t>NOx</w:t>
            </w:r>
          </w:p>
        </w:tc>
        <w:tc>
          <w:tcPr>
            <w:tcW w:w="1752" w:type="dxa"/>
            <w:tcBorders>
              <w:top w:val="single" w:color="000000" w:sz="4" w:space="0"/>
              <w:left w:val="single" w:color="000000" w:sz="4" w:space="0"/>
              <w:bottom w:val="single" w:color="000000" w:sz="4" w:space="0"/>
              <w:right w:val="single" w:color="000000" w:sz="4" w:space="0"/>
            </w:tcBorders>
          </w:tcPr>
          <w:p>
            <w:pPr>
              <w:pStyle w:val="19"/>
              <w:spacing w:line="240" w:lineRule="exact"/>
              <w:ind w:left="228" w:right="212"/>
              <w:rPr>
                <w:rFonts w:ascii="Times New Roman"/>
                <w:sz w:val="21"/>
              </w:rPr>
            </w:pPr>
            <w:r>
              <w:rPr>
                <w:rFonts w:ascii="Times New Roman"/>
                <w:sz w:val="21"/>
              </w:rPr>
              <w:t>200</w:t>
            </w:r>
          </w:p>
        </w:tc>
        <w:tc>
          <w:tcPr>
            <w:tcW w:w="1754" w:type="dxa"/>
            <w:tcBorders>
              <w:top w:val="single" w:color="000000" w:sz="4" w:space="0"/>
              <w:left w:val="single" w:color="000000" w:sz="4" w:space="0"/>
              <w:bottom w:val="single" w:color="000000" w:sz="4" w:space="0"/>
              <w:right w:val="single" w:color="000000" w:sz="4" w:space="0"/>
            </w:tcBorders>
          </w:tcPr>
          <w:p>
            <w:pPr>
              <w:pStyle w:val="19"/>
              <w:spacing w:line="240" w:lineRule="exact"/>
              <w:ind w:left="230" w:right="213"/>
              <w:rPr>
                <w:rFonts w:ascii="Times New Roman"/>
                <w:sz w:val="21"/>
              </w:rPr>
            </w:pPr>
            <w:r>
              <w:rPr>
                <w:rFonts w:ascii="Times New Roman"/>
                <w:color w:val="FF0000"/>
                <w:sz w:val="21"/>
              </w:rPr>
              <w:t>0.57</w:t>
            </w:r>
          </w:p>
        </w:tc>
        <w:tc>
          <w:tcPr>
            <w:tcW w:w="1757" w:type="dxa"/>
            <w:tcBorders>
              <w:top w:val="single" w:color="000000" w:sz="4" w:space="0"/>
              <w:left w:val="single" w:color="000000" w:sz="4" w:space="0"/>
              <w:bottom w:val="single" w:color="000000" w:sz="4" w:space="0"/>
            </w:tcBorders>
          </w:tcPr>
          <w:p>
            <w:pPr>
              <w:pStyle w:val="19"/>
              <w:spacing w:line="240" w:lineRule="exact"/>
              <w:ind w:left="230" w:right="203"/>
              <w:rPr>
                <w:rFonts w:ascii="Times New Roman"/>
                <w:sz w:val="21"/>
              </w:rPr>
            </w:pPr>
            <w:r>
              <w:rPr>
                <w:rFonts w:ascii="Times New Roman"/>
                <w:color w:val="FF0000"/>
                <w:sz w:val="21"/>
              </w:rPr>
              <w:t>1.84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2267" w:type="dxa"/>
            <w:gridSpan w:val="2"/>
            <w:vMerge w:val="continue"/>
            <w:tcBorders>
              <w:top w:val="nil"/>
              <w:bottom w:val="single" w:color="000000" w:sz="4" w:space="0"/>
              <w:right w:val="single" w:color="000000" w:sz="4" w:space="0"/>
            </w:tcBorders>
          </w:tcPr>
          <w:p>
            <w:pPr>
              <w:rPr>
                <w:sz w:val="2"/>
                <w:szCs w:val="2"/>
              </w:rPr>
            </w:pPr>
          </w:p>
        </w:tc>
        <w:tc>
          <w:tcPr>
            <w:tcW w:w="1752" w:type="dxa"/>
            <w:tcBorders>
              <w:top w:val="single" w:color="000000" w:sz="4" w:space="0"/>
              <w:left w:val="single" w:color="000000" w:sz="4" w:space="0"/>
              <w:bottom w:val="single" w:color="000000" w:sz="4" w:space="0"/>
              <w:right w:val="single" w:color="000000" w:sz="4" w:space="0"/>
            </w:tcBorders>
          </w:tcPr>
          <w:p>
            <w:pPr>
              <w:pStyle w:val="19"/>
              <w:spacing w:line="258" w:lineRule="exact"/>
              <w:ind w:left="230" w:right="211"/>
              <w:rPr>
                <w:rFonts w:ascii="Times New Roman"/>
                <w:sz w:val="21"/>
              </w:rPr>
            </w:pPr>
            <w:r>
              <w:rPr>
                <w:rFonts w:ascii="Times New Roman"/>
                <w:position w:val="2"/>
                <w:sz w:val="21"/>
              </w:rPr>
              <w:t>SO</w:t>
            </w:r>
            <w:r>
              <w:rPr>
                <w:rFonts w:ascii="Times New Roman"/>
                <w:position w:val="2"/>
                <w:sz w:val="21"/>
                <w:vertAlign w:val="subscript"/>
              </w:rPr>
              <w:t>2</w:t>
            </w:r>
          </w:p>
        </w:tc>
        <w:tc>
          <w:tcPr>
            <w:tcW w:w="1752" w:type="dxa"/>
            <w:tcBorders>
              <w:top w:val="single" w:color="000000" w:sz="4" w:space="0"/>
              <w:left w:val="single" w:color="000000" w:sz="4" w:space="0"/>
              <w:bottom w:val="single" w:color="000000" w:sz="4" w:space="0"/>
              <w:right w:val="single" w:color="000000" w:sz="4" w:space="0"/>
            </w:tcBorders>
          </w:tcPr>
          <w:p>
            <w:pPr>
              <w:pStyle w:val="19"/>
              <w:spacing w:line="241" w:lineRule="exact"/>
              <w:ind w:left="230" w:right="209"/>
              <w:rPr>
                <w:rFonts w:ascii="Times New Roman"/>
                <w:sz w:val="21"/>
              </w:rPr>
            </w:pPr>
            <w:r>
              <w:rPr>
                <w:rFonts w:ascii="Times New Roman"/>
                <w:sz w:val="21"/>
              </w:rPr>
              <w:t>31.49</w:t>
            </w:r>
          </w:p>
        </w:tc>
        <w:tc>
          <w:tcPr>
            <w:tcW w:w="1754" w:type="dxa"/>
            <w:tcBorders>
              <w:top w:val="single" w:color="000000" w:sz="4" w:space="0"/>
              <w:left w:val="single" w:color="000000" w:sz="4" w:space="0"/>
              <w:bottom w:val="single" w:color="000000" w:sz="4" w:space="0"/>
              <w:right w:val="single" w:color="000000" w:sz="4" w:space="0"/>
            </w:tcBorders>
          </w:tcPr>
          <w:p>
            <w:pPr>
              <w:pStyle w:val="19"/>
              <w:spacing w:line="241" w:lineRule="exact"/>
              <w:ind w:left="230" w:right="213"/>
              <w:rPr>
                <w:rFonts w:ascii="Times New Roman"/>
                <w:sz w:val="21"/>
              </w:rPr>
            </w:pPr>
            <w:r>
              <w:rPr>
                <w:rFonts w:ascii="Times New Roman"/>
                <w:sz w:val="21"/>
              </w:rPr>
              <w:t>0.08</w:t>
            </w:r>
          </w:p>
        </w:tc>
        <w:tc>
          <w:tcPr>
            <w:tcW w:w="1757" w:type="dxa"/>
            <w:tcBorders>
              <w:top w:val="single" w:color="000000" w:sz="4" w:space="0"/>
              <w:left w:val="single" w:color="000000" w:sz="4" w:space="0"/>
              <w:bottom w:val="single" w:color="000000" w:sz="4" w:space="0"/>
            </w:tcBorders>
          </w:tcPr>
          <w:p>
            <w:pPr>
              <w:pStyle w:val="19"/>
              <w:spacing w:line="241" w:lineRule="exact"/>
              <w:ind w:left="230" w:right="203"/>
              <w:rPr>
                <w:rFonts w:ascii="Times New Roman"/>
                <w:sz w:val="21"/>
              </w:rPr>
            </w:pPr>
            <w:r>
              <w:rPr>
                <w:rFonts w:ascii="Times New Roman"/>
                <w:sz w:val="21"/>
              </w:rPr>
              <w:t>0.26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267" w:type="dxa"/>
            <w:gridSpan w:val="2"/>
            <w:vMerge w:val="restart"/>
            <w:tcBorders>
              <w:top w:val="single" w:color="000000" w:sz="4" w:space="0"/>
              <w:bottom w:val="single" w:color="000000" w:sz="4" w:space="0"/>
              <w:right w:val="single" w:color="000000" w:sz="4" w:space="0"/>
            </w:tcBorders>
          </w:tcPr>
          <w:p>
            <w:pPr>
              <w:pStyle w:val="19"/>
              <w:spacing w:before="5"/>
              <w:jc w:val="left"/>
              <w:rPr>
                <w:b/>
                <w:sz w:val="23"/>
              </w:rPr>
            </w:pPr>
          </w:p>
          <w:p>
            <w:pPr>
              <w:pStyle w:val="19"/>
              <w:ind w:left="293"/>
              <w:jc w:val="left"/>
              <w:rPr>
                <w:sz w:val="21"/>
              </w:rPr>
            </w:pPr>
            <w:r>
              <w:rPr>
                <w:sz w:val="21"/>
              </w:rPr>
              <w:t>主井暖风炉房烟囱</w:t>
            </w:r>
          </w:p>
        </w:tc>
        <w:tc>
          <w:tcPr>
            <w:tcW w:w="1752" w:type="dxa"/>
            <w:tcBorders>
              <w:top w:val="single" w:color="000000" w:sz="4" w:space="0"/>
              <w:left w:val="single" w:color="000000" w:sz="4" w:space="0"/>
              <w:bottom w:val="single" w:color="000000" w:sz="4" w:space="0"/>
              <w:right w:val="single" w:color="000000" w:sz="4" w:space="0"/>
            </w:tcBorders>
          </w:tcPr>
          <w:p>
            <w:pPr>
              <w:pStyle w:val="19"/>
              <w:spacing w:before="2"/>
              <w:ind w:left="230" w:right="212"/>
              <w:rPr>
                <w:sz w:val="21"/>
              </w:rPr>
            </w:pPr>
            <w:r>
              <w:rPr>
                <w:sz w:val="21"/>
              </w:rPr>
              <w:t>烟尘</w:t>
            </w:r>
          </w:p>
        </w:tc>
        <w:tc>
          <w:tcPr>
            <w:tcW w:w="1752" w:type="dxa"/>
            <w:tcBorders>
              <w:top w:val="single" w:color="000000" w:sz="4" w:space="0"/>
              <w:left w:val="single" w:color="000000" w:sz="4" w:space="0"/>
              <w:bottom w:val="single" w:color="000000" w:sz="4" w:space="0"/>
              <w:right w:val="single" w:color="000000" w:sz="4" w:space="0"/>
            </w:tcBorders>
          </w:tcPr>
          <w:p>
            <w:pPr>
              <w:pStyle w:val="19"/>
              <w:spacing w:before="18"/>
              <w:ind w:left="230" w:right="211"/>
              <w:rPr>
                <w:rFonts w:ascii="Times New Roman"/>
                <w:sz w:val="21"/>
              </w:rPr>
            </w:pPr>
            <w:r>
              <w:rPr>
                <w:rFonts w:ascii="Times New Roman"/>
                <w:sz w:val="21"/>
              </w:rPr>
              <w:t>8.45</w:t>
            </w:r>
          </w:p>
        </w:tc>
        <w:tc>
          <w:tcPr>
            <w:tcW w:w="1754" w:type="dxa"/>
            <w:tcBorders>
              <w:top w:val="single" w:color="000000" w:sz="4" w:space="0"/>
              <w:left w:val="single" w:color="000000" w:sz="4" w:space="0"/>
              <w:bottom w:val="single" w:color="000000" w:sz="4" w:space="0"/>
              <w:right w:val="single" w:color="000000" w:sz="4" w:space="0"/>
            </w:tcBorders>
          </w:tcPr>
          <w:p>
            <w:pPr>
              <w:pStyle w:val="19"/>
              <w:spacing w:before="18"/>
              <w:ind w:left="230" w:right="211"/>
              <w:rPr>
                <w:rFonts w:ascii="Times New Roman"/>
                <w:sz w:val="21"/>
              </w:rPr>
            </w:pPr>
            <w:r>
              <w:rPr>
                <w:rFonts w:ascii="Times New Roman"/>
                <w:sz w:val="21"/>
              </w:rPr>
              <w:t>0.03</w:t>
            </w:r>
          </w:p>
        </w:tc>
        <w:tc>
          <w:tcPr>
            <w:tcW w:w="1757" w:type="dxa"/>
            <w:tcBorders>
              <w:top w:val="single" w:color="000000" w:sz="4" w:space="0"/>
              <w:left w:val="single" w:color="000000" w:sz="4" w:space="0"/>
              <w:bottom w:val="single" w:color="000000" w:sz="4" w:space="0"/>
            </w:tcBorders>
          </w:tcPr>
          <w:p>
            <w:pPr>
              <w:pStyle w:val="19"/>
              <w:spacing w:before="18"/>
              <w:ind w:left="230" w:right="206"/>
              <w:rPr>
                <w:rFonts w:ascii="Times New Roman"/>
                <w:sz w:val="21"/>
              </w:rPr>
            </w:pPr>
            <w:r>
              <w:rPr>
                <w:rFonts w:ascii="Times New Roman"/>
                <w:sz w:val="21"/>
              </w:rPr>
              <w:t>0.148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2267" w:type="dxa"/>
            <w:gridSpan w:val="2"/>
            <w:vMerge w:val="continue"/>
            <w:tcBorders>
              <w:top w:val="nil"/>
              <w:bottom w:val="single" w:color="000000" w:sz="4" w:space="0"/>
              <w:right w:val="single" w:color="000000" w:sz="4" w:space="0"/>
            </w:tcBorders>
          </w:tcPr>
          <w:p>
            <w:pPr>
              <w:rPr>
                <w:sz w:val="2"/>
                <w:szCs w:val="2"/>
              </w:rPr>
            </w:pPr>
          </w:p>
        </w:tc>
        <w:tc>
          <w:tcPr>
            <w:tcW w:w="1752" w:type="dxa"/>
            <w:tcBorders>
              <w:top w:val="single" w:color="000000" w:sz="4" w:space="0"/>
              <w:left w:val="single" w:color="000000" w:sz="4" w:space="0"/>
              <w:bottom w:val="single" w:color="000000" w:sz="4" w:space="0"/>
              <w:right w:val="single" w:color="000000" w:sz="4" w:space="0"/>
            </w:tcBorders>
          </w:tcPr>
          <w:p>
            <w:pPr>
              <w:pStyle w:val="19"/>
              <w:spacing w:line="240" w:lineRule="exact"/>
              <w:ind w:left="228" w:right="212"/>
              <w:rPr>
                <w:rFonts w:ascii="Times New Roman"/>
                <w:sz w:val="21"/>
              </w:rPr>
            </w:pPr>
            <w:r>
              <w:rPr>
                <w:rFonts w:ascii="Times New Roman"/>
                <w:sz w:val="21"/>
              </w:rPr>
              <w:t>NOx</w:t>
            </w:r>
          </w:p>
        </w:tc>
        <w:tc>
          <w:tcPr>
            <w:tcW w:w="1752" w:type="dxa"/>
            <w:tcBorders>
              <w:top w:val="single" w:color="000000" w:sz="4" w:space="0"/>
              <w:left w:val="single" w:color="000000" w:sz="4" w:space="0"/>
              <w:bottom w:val="single" w:color="000000" w:sz="4" w:space="0"/>
              <w:right w:val="single" w:color="000000" w:sz="4" w:space="0"/>
            </w:tcBorders>
          </w:tcPr>
          <w:p>
            <w:pPr>
              <w:pStyle w:val="19"/>
              <w:spacing w:line="240" w:lineRule="exact"/>
              <w:ind w:left="228" w:right="212"/>
              <w:rPr>
                <w:rFonts w:ascii="Times New Roman"/>
                <w:sz w:val="21"/>
              </w:rPr>
            </w:pPr>
            <w:r>
              <w:rPr>
                <w:rFonts w:ascii="Times New Roman"/>
                <w:sz w:val="21"/>
              </w:rPr>
              <w:t>200</w:t>
            </w:r>
          </w:p>
        </w:tc>
        <w:tc>
          <w:tcPr>
            <w:tcW w:w="1754" w:type="dxa"/>
            <w:tcBorders>
              <w:top w:val="single" w:color="000000" w:sz="4" w:space="0"/>
              <w:left w:val="single" w:color="000000" w:sz="4" w:space="0"/>
              <w:bottom w:val="single" w:color="000000" w:sz="4" w:space="0"/>
              <w:right w:val="single" w:color="000000" w:sz="4" w:space="0"/>
            </w:tcBorders>
          </w:tcPr>
          <w:p>
            <w:pPr>
              <w:pStyle w:val="19"/>
              <w:spacing w:line="240" w:lineRule="exact"/>
              <w:ind w:left="230" w:right="213"/>
              <w:rPr>
                <w:rFonts w:ascii="Times New Roman"/>
                <w:sz w:val="21"/>
              </w:rPr>
            </w:pPr>
            <w:r>
              <w:rPr>
                <w:rFonts w:ascii="Times New Roman"/>
                <w:color w:val="FF0000"/>
                <w:sz w:val="21"/>
              </w:rPr>
              <w:t>0.35</w:t>
            </w:r>
          </w:p>
        </w:tc>
        <w:tc>
          <w:tcPr>
            <w:tcW w:w="1757" w:type="dxa"/>
            <w:tcBorders>
              <w:top w:val="single" w:color="000000" w:sz="4" w:space="0"/>
              <w:left w:val="single" w:color="000000" w:sz="4" w:space="0"/>
              <w:bottom w:val="single" w:color="000000" w:sz="4" w:space="0"/>
            </w:tcBorders>
          </w:tcPr>
          <w:p>
            <w:pPr>
              <w:pStyle w:val="19"/>
              <w:spacing w:line="240" w:lineRule="exact"/>
              <w:ind w:left="230" w:right="203"/>
              <w:rPr>
                <w:rFonts w:ascii="Times New Roman"/>
                <w:sz w:val="21"/>
              </w:rPr>
            </w:pPr>
            <w:r>
              <w:rPr>
                <w:rFonts w:ascii="Times New Roman"/>
                <w:color w:val="FF0000"/>
                <w:sz w:val="21"/>
              </w:rPr>
              <w:t>1.89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8" w:hRule="atLeast"/>
        </w:trPr>
        <w:tc>
          <w:tcPr>
            <w:tcW w:w="2267" w:type="dxa"/>
            <w:gridSpan w:val="2"/>
            <w:vMerge w:val="continue"/>
            <w:tcBorders>
              <w:top w:val="nil"/>
              <w:bottom w:val="single" w:color="000000" w:sz="4" w:space="0"/>
              <w:right w:val="single" w:color="000000" w:sz="4" w:space="0"/>
            </w:tcBorders>
          </w:tcPr>
          <w:p>
            <w:pPr>
              <w:rPr>
                <w:sz w:val="2"/>
                <w:szCs w:val="2"/>
              </w:rPr>
            </w:pPr>
          </w:p>
        </w:tc>
        <w:tc>
          <w:tcPr>
            <w:tcW w:w="1752" w:type="dxa"/>
            <w:tcBorders>
              <w:top w:val="single" w:color="000000" w:sz="4" w:space="0"/>
              <w:left w:val="single" w:color="000000" w:sz="4" w:space="0"/>
              <w:bottom w:val="single" w:color="000000" w:sz="4" w:space="0"/>
              <w:right w:val="single" w:color="000000" w:sz="4" w:space="0"/>
            </w:tcBorders>
          </w:tcPr>
          <w:p>
            <w:pPr>
              <w:pStyle w:val="19"/>
              <w:spacing w:line="257" w:lineRule="exact"/>
              <w:ind w:left="230" w:right="211"/>
              <w:rPr>
                <w:rFonts w:ascii="Times New Roman"/>
                <w:sz w:val="21"/>
              </w:rPr>
            </w:pPr>
            <w:r>
              <w:rPr>
                <w:rFonts w:ascii="Times New Roman"/>
                <w:position w:val="2"/>
                <w:sz w:val="21"/>
              </w:rPr>
              <w:t>SO</w:t>
            </w:r>
            <w:r>
              <w:rPr>
                <w:rFonts w:ascii="Times New Roman"/>
                <w:position w:val="2"/>
                <w:sz w:val="21"/>
                <w:vertAlign w:val="subscript"/>
              </w:rPr>
              <w:t>2</w:t>
            </w:r>
          </w:p>
        </w:tc>
        <w:tc>
          <w:tcPr>
            <w:tcW w:w="1752" w:type="dxa"/>
            <w:tcBorders>
              <w:top w:val="single" w:color="000000" w:sz="4" w:space="0"/>
              <w:left w:val="single" w:color="000000" w:sz="4" w:space="0"/>
              <w:bottom w:val="single" w:color="000000" w:sz="4" w:space="0"/>
              <w:right w:val="single" w:color="000000" w:sz="4" w:space="0"/>
            </w:tcBorders>
          </w:tcPr>
          <w:p>
            <w:pPr>
              <w:pStyle w:val="19"/>
              <w:spacing w:line="240" w:lineRule="exact"/>
              <w:ind w:left="230" w:right="209"/>
              <w:rPr>
                <w:rFonts w:ascii="Times New Roman"/>
                <w:sz w:val="21"/>
              </w:rPr>
            </w:pPr>
            <w:r>
              <w:rPr>
                <w:rFonts w:ascii="Times New Roman"/>
                <w:sz w:val="21"/>
              </w:rPr>
              <w:t>15.23</w:t>
            </w:r>
          </w:p>
        </w:tc>
        <w:tc>
          <w:tcPr>
            <w:tcW w:w="1754" w:type="dxa"/>
            <w:tcBorders>
              <w:top w:val="single" w:color="000000" w:sz="4" w:space="0"/>
              <w:left w:val="single" w:color="000000" w:sz="4" w:space="0"/>
              <w:bottom w:val="single" w:color="000000" w:sz="4" w:space="0"/>
              <w:right w:val="single" w:color="000000" w:sz="4" w:space="0"/>
            </w:tcBorders>
          </w:tcPr>
          <w:p>
            <w:pPr>
              <w:pStyle w:val="19"/>
              <w:spacing w:line="240" w:lineRule="exact"/>
              <w:ind w:left="230" w:right="213"/>
              <w:rPr>
                <w:rFonts w:ascii="Times New Roman"/>
                <w:sz w:val="21"/>
              </w:rPr>
            </w:pPr>
            <w:r>
              <w:rPr>
                <w:rFonts w:ascii="Times New Roman"/>
                <w:sz w:val="21"/>
              </w:rPr>
              <w:t>0.05</w:t>
            </w:r>
          </w:p>
        </w:tc>
        <w:tc>
          <w:tcPr>
            <w:tcW w:w="1757" w:type="dxa"/>
            <w:tcBorders>
              <w:top w:val="single" w:color="000000" w:sz="4" w:space="0"/>
              <w:left w:val="single" w:color="000000" w:sz="4" w:space="0"/>
              <w:bottom w:val="single" w:color="000000" w:sz="4" w:space="0"/>
            </w:tcBorders>
          </w:tcPr>
          <w:p>
            <w:pPr>
              <w:pStyle w:val="19"/>
              <w:spacing w:line="240" w:lineRule="exact"/>
              <w:ind w:left="230" w:right="203"/>
              <w:rPr>
                <w:rFonts w:ascii="Times New Roman"/>
                <w:sz w:val="21"/>
              </w:rPr>
            </w:pPr>
            <w:r>
              <w:rPr>
                <w:rFonts w:ascii="Times New Roman"/>
                <w:sz w:val="21"/>
              </w:rPr>
              <w:t>0.27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267" w:type="dxa"/>
            <w:gridSpan w:val="2"/>
            <w:tcBorders>
              <w:top w:val="single" w:color="000000" w:sz="4" w:space="0"/>
              <w:bottom w:val="single" w:color="000000" w:sz="4" w:space="0"/>
              <w:right w:val="single" w:color="000000" w:sz="4" w:space="0"/>
            </w:tcBorders>
          </w:tcPr>
          <w:p>
            <w:pPr>
              <w:pStyle w:val="19"/>
              <w:spacing w:before="2"/>
              <w:ind w:left="713"/>
              <w:jc w:val="left"/>
              <w:rPr>
                <w:sz w:val="21"/>
              </w:rPr>
            </w:pPr>
            <w:r>
              <w:rPr>
                <w:sz w:val="21"/>
              </w:rPr>
              <w:t>筛分车间</w:t>
            </w:r>
          </w:p>
        </w:tc>
        <w:tc>
          <w:tcPr>
            <w:tcW w:w="1752" w:type="dxa"/>
            <w:tcBorders>
              <w:top w:val="single" w:color="000000" w:sz="4" w:space="0"/>
              <w:left w:val="single" w:color="000000" w:sz="4" w:space="0"/>
              <w:bottom w:val="single" w:color="000000" w:sz="4" w:space="0"/>
              <w:right w:val="single" w:color="000000" w:sz="4" w:space="0"/>
            </w:tcBorders>
          </w:tcPr>
          <w:p>
            <w:pPr>
              <w:pStyle w:val="19"/>
              <w:spacing w:before="2"/>
              <w:ind w:left="230" w:right="212"/>
              <w:rPr>
                <w:sz w:val="21"/>
              </w:rPr>
            </w:pPr>
            <w:r>
              <w:rPr>
                <w:sz w:val="21"/>
              </w:rPr>
              <w:t>粉尘</w:t>
            </w:r>
          </w:p>
        </w:tc>
        <w:tc>
          <w:tcPr>
            <w:tcW w:w="1752" w:type="dxa"/>
            <w:tcBorders>
              <w:top w:val="single" w:color="000000" w:sz="4" w:space="0"/>
              <w:left w:val="single" w:color="000000" w:sz="4" w:space="0"/>
              <w:bottom w:val="single" w:color="000000" w:sz="4" w:space="0"/>
              <w:right w:val="single" w:color="000000" w:sz="4" w:space="0"/>
            </w:tcBorders>
          </w:tcPr>
          <w:p>
            <w:pPr>
              <w:pStyle w:val="19"/>
              <w:spacing w:before="18"/>
              <w:ind w:left="230" w:right="209"/>
              <w:rPr>
                <w:rFonts w:ascii="Times New Roman"/>
                <w:sz w:val="21"/>
              </w:rPr>
            </w:pPr>
            <w:r>
              <w:rPr>
                <w:rFonts w:ascii="Times New Roman"/>
                <w:sz w:val="21"/>
              </w:rPr>
              <w:t>25.68</w:t>
            </w:r>
          </w:p>
        </w:tc>
        <w:tc>
          <w:tcPr>
            <w:tcW w:w="1754" w:type="dxa"/>
            <w:tcBorders>
              <w:top w:val="single" w:color="000000" w:sz="4" w:space="0"/>
              <w:left w:val="single" w:color="000000" w:sz="4" w:space="0"/>
              <w:bottom w:val="single" w:color="000000" w:sz="4" w:space="0"/>
              <w:right w:val="single" w:color="000000" w:sz="4" w:space="0"/>
            </w:tcBorders>
          </w:tcPr>
          <w:p>
            <w:pPr>
              <w:pStyle w:val="19"/>
              <w:spacing w:before="18"/>
              <w:ind w:left="230" w:right="213"/>
              <w:rPr>
                <w:rFonts w:ascii="Times New Roman"/>
                <w:sz w:val="21"/>
              </w:rPr>
            </w:pPr>
            <w:r>
              <w:rPr>
                <w:rFonts w:ascii="Times New Roman"/>
                <w:sz w:val="21"/>
              </w:rPr>
              <w:t>0.08</w:t>
            </w:r>
          </w:p>
        </w:tc>
        <w:tc>
          <w:tcPr>
            <w:tcW w:w="1757" w:type="dxa"/>
            <w:tcBorders>
              <w:top w:val="single" w:color="000000" w:sz="4" w:space="0"/>
              <w:left w:val="single" w:color="000000" w:sz="4" w:space="0"/>
              <w:bottom w:val="single" w:color="000000" w:sz="4" w:space="0"/>
            </w:tcBorders>
          </w:tcPr>
          <w:p>
            <w:pPr>
              <w:pStyle w:val="19"/>
              <w:spacing w:before="18"/>
              <w:ind w:left="230" w:right="206"/>
              <w:rPr>
                <w:rFonts w:ascii="Times New Roman"/>
                <w:sz w:val="21"/>
              </w:rPr>
            </w:pPr>
            <w:r>
              <w:rPr>
                <w:rFonts w:ascii="Times New Roman"/>
                <w:sz w:val="21"/>
              </w:rPr>
              <w:t>0.47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9282" w:type="dxa"/>
            <w:gridSpan w:val="6"/>
            <w:tcBorders>
              <w:top w:val="single" w:color="000000" w:sz="4" w:space="0"/>
              <w:bottom w:val="single" w:color="000000" w:sz="4" w:space="0"/>
            </w:tcBorders>
          </w:tcPr>
          <w:p>
            <w:pPr>
              <w:pStyle w:val="19"/>
              <w:spacing w:before="1"/>
              <w:ind w:left="3884" w:right="3867"/>
              <w:rPr>
                <w:sz w:val="21"/>
              </w:rPr>
            </w:pPr>
            <w:r>
              <w:rPr>
                <w:sz w:val="21"/>
              </w:rPr>
              <w:t>有组织排放总计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trPr>
        <w:tc>
          <w:tcPr>
            <w:tcW w:w="2267" w:type="dxa"/>
            <w:gridSpan w:val="2"/>
            <w:vMerge w:val="restart"/>
            <w:tcBorders>
              <w:top w:val="single" w:color="000000" w:sz="4" w:space="0"/>
              <w:right w:val="single" w:color="000000" w:sz="4" w:space="0"/>
            </w:tcBorders>
          </w:tcPr>
          <w:p>
            <w:pPr>
              <w:pStyle w:val="19"/>
              <w:spacing w:before="5"/>
              <w:jc w:val="left"/>
              <w:rPr>
                <w:b/>
                <w:sz w:val="23"/>
              </w:rPr>
            </w:pPr>
          </w:p>
          <w:p>
            <w:pPr>
              <w:pStyle w:val="19"/>
              <w:ind w:left="396"/>
              <w:jc w:val="left"/>
              <w:rPr>
                <w:sz w:val="21"/>
              </w:rPr>
            </w:pPr>
            <w:r>
              <w:rPr>
                <w:sz w:val="21"/>
              </w:rPr>
              <w:t>有组织排放总计</w:t>
            </w:r>
          </w:p>
        </w:tc>
        <w:tc>
          <w:tcPr>
            <w:tcW w:w="5258" w:type="dxa"/>
            <w:gridSpan w:val="3"/>
            <w:tcBorders>
              <w:top w:val="single" w:color="000000" w:sz="4" w:space="0"/>
              <w:left w:val="single" w:color="000000" w:sz="4" w:space="0"/>
              <w:bottom w:val="single" w:color="000000" w:sz="4" w:space="0"/>
              <w:right w:val="single" w:color="000000" w:sz="4" w:space="0"/>
            </w:tcBorders>
          </w:tcPr>
          <w:p>
            <w:pPr>
              <w:pStyle w:val="19"/>
              <w:ind w:left="2402" w:right="2386"/>
              <w:rPr>
                <w:sz w:val="21"/>
              </w:rPr>
            </w:pPr>
            <w:r>
              <w:rPr>
                <w:sz w:val="21"/>
              </w:rPr>
              <w:t>烟尘</w:t>
            </w:r>
          </w:p>
        </w:tc>
        <w:tc>
          <w:tcPr>
            <w:tcW w:w="1757" w:type="dxa"/>
            <w:tcBorders>
              <w:top w:val="single" w:color="000000" w:sz="4" w:space="0"/>
              <w:left w:val="single" w:color="000000" w:sz="4" w:space="0"/>
              <w:bottom w:val="single" w:color="000000" w:sz="4" w:space="0"/>
            </w:tcBorders>
          </w:tcPr>
          <w:p>
            <w:pPr>
              <w:pStyle w:val="19"/>
              <w:spacing w:before="19"/>
              <w:ind w:left="230" w:right="206"/>
              <w:rPr>
                <w:rFonts w:ascii="Times New Roman"/>
                <w:sz w:val="21"/>
              </w:rPr>
            </w:pPr>
            <w:r>
              <w:rPr>
                <w:rFonts w:ascii="Times New Roman"/>
                <w:color w:val="FF0000"/>
                <w:sz w:val="21"/>
              </w:rPr>
              <w:t>0.796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2267" w:type="dxa"/>
            <w:gridSpan w:val="2"/>
            <w:vMerge w:val="continue"/>
            <w:tcBorders>
              <w:top w:val="nil"/>
              <w:right w:val="single" w:color="000000" w:sz="4" w:space="0"/>
            </w:tcBorders>
          </w:tcPr>
          <w:p>
            <w:pPr>
              <w:rPr>
                <w:sz w:val="2"/>
                <w:szCs w:val="2"/>
              </w:rPr>
            </w:pPr>
          </w:p>
        </w:tc>
        <w:tc>
          <w:tcPr>
            <w:tcW w:w="5258" w:type="dxa"/>
            <w:gridSpan w:val="3"/>
            <w:tcBorders>
              <w:top w:val="single" w:color="000000" w:sz="4" w:space="0"/>
              <w:left w:val="single" w:color="000000" w:sz="4" w:space="0"/>
              <w:bottom w:val="single" w:color="000000" w:sz="4" w:space="0"/>
              <w:right w:val="single" w:color="000000" w:sz="4" w:space="0"/>
            </w:tcBorders>
          </w:tcPr>
          <w:p>
            <w:pPr>
              <w:pStyle w:val="19"/>
              <w:spacing w:line="235" w:lineRule="exact"/>
              <w:ind w:left="2402" w:right="2383"/>
              <w:rPr>
                <w:rFonts w:ascii="Times New Roman"/>
                <w:sz w:val="21"/>
              </w:rPr>
            </w:pPr>
            <w:r>
              <w:rPr>
                <w:rFonts w:ascii="Times New Roman"/>
                <w:sz w:val="21"/>
              </w:rPr>
              <w:t>NOx</w:t>
            </w:r>
          </w:p>
        </w:tc>
        <w:tc>
          <w:tcPr>
            <w:tcW w:w="1757" w:type="dxa"/>
            <w:tcBorders>
              <w:top w:val="single" w:color="000000" w:sz="4" w:space="0"/>
              <w:left w:val="single" w:color="000000" w:sz="4" w:space="0"/>
              <w:bottom w:val="single" w:color="000000" w:sz="4" w:space="0"/>
            </w:tcBorders>
          </w:tcPr>
          <w:p>
            <w:pPr>
              <w:pStyle w:val="19"/>
              <w:spacing w:line="235" w:lineRule="exact"/>
              <w:ind w:left="230" w:right="203"/>
              <w:rPr>
                <w:rFonts w:ascii="Times New Roman"/>
                <w:sz w:val="21"/>
              </w:rPr>
            </w:pPr>
            <w:r>
              <w:rPr>
                <w:rFonts w:ascii="Times New Roman"/>
                <w:color w:val="FF0000"/>
                <w:sz w:val="21"/>
              </w:rPr>
              <w:t>4.16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trPr>
        <w:tc>
          <w:tcPr>
            <w:tcW w:w="2267" w:type="dxa"/>
            <w:gridSpan w:val="2"/>
            <w:vMerge w:val="continue"/>
            <w:tcBorders>
              <w:top w:val="nil"/>
              <w:right w:val="single" w:color="000000" w:sz="4" w:space="0"/>
            </w:tcBorders>
          </w:tcPr>
          <w:p>
            <w:pPr>
              <w:rPr>
                <w:sz w:val="2"/>
                <w:szCs w:val="2"/>
              </w:rPr>
            </w:pPr>
          </w:p>
        </w:tc>
        <w:tc>
          <w:tcPr>
            <w:tcW w:w="5258" w:type="dxa"/>
            <w:gridSpan w:val="3"/>
            <w:tcBorders>
              <w:top w:val="single" w:color="000000" w:sz="4" w:space="0"/>
              <w:left w:val="single" w:color="000000" w:sz="4" w:space="0"/>
              <w:right w:val="single" w:color="000000" w:sz="4" w:space="0"/>
            </w:tcBorders>
          </w:tcPr>
          <w:p>
            <w:pPr>
              <w:pStyle w:val="19"/>
              <w:spacing w:line="252" w:lineRule="exact"/>
              <w:ind w:left="2402" w:right="2383"/>
              <w:rPr>
                <w:rFonts w:ascii="Times New Roman"/>
                <w:sz w:val="21"/>
              </w:rPr>
            </w:pPr>
            <w:r>
              <w:rPr>
                <w:rFonts w:ascii="Times New Roman"/>
                <w:position w:val="2"/>
                <w:sz w:val="21"/>
              </w:rPr>
              <w:t>SO</w:t>
            </w:r>
            <w:r>
              <w:rPr>
                <w:rFonts w:ascii="Times New Roman"/>
                <w:position w:val="2"/>
                <w:sz w:val="21"/>
                <w:vertAlign w:val="subscript"/>
              </w:rPr>
              <w:t>2</w:t>
            </w:r>
          </w:p>
        </w:tc>
        <w:tc>
          <w:tcPr>
            <w:tcW w:w="1757" w:type="dxa"/>
            <w:tcBorders>
              <w:top w:val="single" w:color="000000" w:sz="4" w:space="0"/>
              <w:left w:val="single" w:color="000000" w:sz="4" w:space="0"/>
            </w:tcBorders>
          </w:tcPr>
          <w:p>
            <w:pPr>
              <w:pStyle w:val="19"/>
              <w:spacing w:line="235" w:lineRule="exact"/>
              <w:ind w:left="230" w:right="203"/>
              <w:rPr>
                <w:rFonts w:ascii="Times New Roman"/>
                <w:sz w:val="21"/>
              </w:rPr>
            </w:pPr>
            <w:r>
              <w:rPr>
                <w:rFonts w:ascii="Times New Roman"/>
                <w:color w:val="FF0000"/>
                <w:sz w:val="21"/>
              </w:rPr>
              <w:t>0.59</w:t>
            </w:r>
          </w:p>
        </w:tc>
      </w:tr>
    </w:tbl>
    <w:p>
      <w:pPr>
        <w:spacing w:before="2"/>
        <w:ind w:left="4396" w:right="0" w:firstLine="0"/>
        <w:jc w:val="left"/>
        <w:rPr>
          <w:b/>
          <w:sz w:val="21"/>
        </w:rPr>
      </w:pPr>
      <w:r>
        <w:rPr>
          <w:b/>
          <w:spacing w:val="-28"/>
          <w:sz w:val="21"/>
        </w:rPr>
        <w:t xml:space="preserve">表 </w:t>
      </w:r>
      <w:r>
        <w:rPr>
          <w:rFonts w:ascii="Times New Roman" w:eastAsia="Times New Roman"/>
          <w:b/>
          <w:sz w:val="21"/>
        </w:rPr>
        <w:t>7.6-2</w:t>
      </w:r>
      <w:r>
        <w:rPr>
          <w:rFonts w:ascii="Times New Roman" w:eastAsia="Times New Roman"/>
          <w:b/>
          <w:spacing w:val="52"/>
          <w:sz w:val="21"/>
        </w:rPr>
        <w:t xml:space="preserve"> </w:t>
      </w:r>
      <w:r>
        <w:rPr>
          <w:b/>
          <w:sz w:val="21"/>
        </w:rPr>
        <w:t>污染源非正常排放核算表</w:t>
      </w:r>
    </w:p>
    <w:p>
      <w:pPr>
        <w:pStyle w:val="9"/>
        <w:spacing w:before="10"/>
        <w:rPr>
          <w:b/>
          <w:sz w:val="10"/>
        </w:rPr>
      </w:pPr>
    </w:p>
    <w:tbl>
      <w:tblPr>
        <w:tblStyle w:val="15"/>
        <w:tblW w:w="0" w:type="auto"/>
        <w:tblInd w:w="13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6"/>
        <w:gridCol w:w="1101"/>
        <w:gridCol w:w="1150"/>
        <w:gridCol w:w="851"/>
        <w:gridCol w:w="1302"/>
        <w:gridCol w:w="1335"/>
        <w:gridCol w:w="858"/>
        <w:gridCol w:w="953"/>
        <w:gridCol w:w="102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6" w:hRule="atLeast"/>
        </w:trPr>
        <w:tc>
          <w:tcPr>
            <w:tcW w:w="706" w:type="dxa"/>
            <w:tcBorders>
              <w:bottom w:val="single" w:color="000000" w:sz="4" w:space="0"/>
              <w:right w:val="single" w:color="000000" w:sz="4" w:space="0"/>
            </w:tcBorders>
          </w:tcPr>
          <w:p>
            <w:pPr>
              <w:pStyle w:val="19"/>
              <w:spacing w:before="1"/>
              <w:jc w:val="left"/>
              <w:rPr>
                <w:b/>
                <w:sz w:val="20"/>
              </w:rPr>
            </w:pPr>
          </w:p>
          <w:p>
            <w:pPr>
              <w:pStyle w:val="19"/>
              <w:ind w:left="122" w:right="109"/>
              <w:rPr>
                <w:sz w:val="21"/>
              </w:rPr>
            </w:pPr>
            <w:r>
              <w:rPr>
                <w:sz w:val="21"/>
              </w:rPr>
              <w:t>序号</w:t>
            </w:r>
          </w:p>
        </w:tc>
        <w:tc>
          <w:tcPr>
            <w:tcW w:w="1101" w:type="dxa"/>
            <w:tcBorders>
              <w:left w:val="single" w:color="000000" w:sz="4" w:space="0"/>
              <w:bottom w:val="single" w:color="000000" w:sz="4" w:space="0"/>
              <w:right w:val="single" w:color="000000" w:sz="4" w:space="0"/>
            </w:tcBorders>
          </w:tcPr>
          <w:p>
            <w:pPr>
              <w:pStyle w:val="19"/>
              <w:spacing w:before="1"/>
              <w:jc w:val="left"/>
              <w:rPr>
                <w:b/>
                <w:sz w:val="20"/>
              </w:rPr>
            </w:pPr>
          </w:p>
          <w:p>
            <w:pPr>
              <w:pStyle w:val="19"/>
              <w:ind w:left="239"/>
              <w:jc w:val="left"/>
              <w:rPr>
                <w:sz w:val="21"/>
              </w:rPr>
            </w:pPr>
            <w:r>
              <w:rPr>
                <w:sz w:val="21"/>
              </w:rPr>
              <w:t>污染源</w:t>
            </w:r>
          </w:p>
        </w:tc>
        <w:tc>
          <w:tcPr>
            <w:tcW w:w="1150" w:type="dxa"/>
            <w:tcBorders>
              <w:left w:val="single" w:color="000000" w:sz="4" w:space="0"/>
              <w:bottom w:val="single" w:color="000000" w:sz="4" w:space="0"/>
              <w:right w:val="single" w:color="000000" w:sz="4" w:space="0"/>
            </w:tcBorders>
          </w:tcPr>
          <w:p>
            <w:pPr>
              <w:pStyle w:val="19"/>
              <w:spacing w:before="120" w:line="242" w:lineRule="auto"/>
              <w:ind w:left="263" w:right="139" w:hanging="104"/>
              <w:jc w:val="left"/>
              <w:rPr>
                <w:sz w:val="21"/>
              </w:rPr>
            </w:pPr>
            <w:r>
              <w:rPr>
                <w:sz w:val="21"/>
              </w:rPr>
              <w:t>非正常排放原因</w:t>
            </w:r>
          </w:p>
        </w:tc>
        <w:tc>
          <w:tcPr>
            <w:tcW w:w="851" w:type="dxa"/>
            <w:tcBorders>
              <w:left w:val="single" w:color="000000" w:sz="4" w:space="0"/>
              <w:bottom w:val="single" w:color="000000" w:sz="4" w:space="0"/>
              <w:right w:val="single" w:color="000000" w:sz="4" w:space="0"/>
            </w:tcBorders>
          </w:tcPr>
          <w:p>
            <w:pPr>
              <w:pStyle w:val="19"/>
              <w:spacing w:before="1"/>
              <w:jc w:val="left"/>
              <w:rPr>
                <w:b/>
                <w:sz w:val="20"/>
              </w:rPr>
            </w:pPr>
          </w:p>
          <w:p>
            <w:pPr>
              <w:pStyle w:val="19"/>
              <w:ind w:left="114"/>
              <w:jc w:val="left"/>
              <w:rPr>
                <w:sz w:val="21"/>
              </w:rPr>
            </w:pPr>
            <w:r>
              <w:rPr>
                <w:sz w:val="21"/>
              </w:rPr>
              <w:t>污染物</w:t>
            </w:r>
          </w:p>
        </w:tc>
        <w:tc>
          <w:tcPr>
            <w:tcW w:w="1302" w:type="dxa"/>
            <w:tcBorders>
              <w:left w:val="single" w:color="000000" w:sz="4" w:space="0"/>
              <w:bottom w:val="single" w:color="000000" w:sz="4" w:space="0"/>
              <w:right w:val="single" w:color="000000" w:sz="4" w:space="0"/>
            </w:tcBorders>
          </w:tcPr>
          <w:p>
            <w:pPr>
              <w:pStyle w:val="19"/>
              <w:spacing w:before="120" w:line="242" w:lineRule="auto"/>
              <w:ind w:left="137" w:right="111" w:hanging="8"/>
              <w:jc w:val="left"/>
              <w:rPr>
                <w:rFonts w:ascii="Times New Roman" w:eastAsia="Times New Roman"/>
                <w:sz w:val="13"/>
              </w:rPr>
            </w:pPr>
            <w:r>
              <w:rPr>
                <w:sz w:val="21"/>
              </w:rPr>
              <w:t>非正常排放浓度</w:t>
            </w:r>
            <w:r>
              <w:rPr>
                <w:rFonts w:ascii="Times New Roman" w:eastAsia="Times New Roman"/>
                <w:sz w:val="21"/>
              </w:rPr>
              <w:t>/mg/m</w:t>
            </w:r>
            <w:r>
              <w:rPr>
                <w:rFonts w:ascii="Times New Roman" w:eastAsia="Times New Roman"/>
                <w:position w:val="7"/>
                <w:sz w:val="13"/>
              </w:rPr>
              <w:t>3</w:t>
            </w:r>
          </w:p>
        </w:tc>
        <w:tc>
          <w:tcPr>
            <w:tcW w:w="1335" w:type="dxa"/>
            <w:tcBorders>
              <w:left w:val="single" w:color="000000" w:sz="4" w:space="0"/>
              <w:bottom w:val="single" w:color="000000" w:sz="4" w:space="0"/>
              <w:right w:val="single" w:color="000000" w:sz="4" w:space="0"/>
            </w:tcBorders>
          </w:tcPr>
          <w:p>
            <w:pPr>
              <w:pStyle w:val="19"/>
              <w:spacing w:before="120" w:line="242" w:lineRule="auto"/>
              <w:ind w:left="246" w:right="128" w:hanging="101"/>
              <w:jc w:val="left"/>
              <w:rPr>
                <w:rFonts w:ascii="Times New Roman" w:eastAsia="Times New Roman"/>
                <w:sz w:val="21"/>
              </w:rPr>
            </w:pPr>
            <w:r>
              <w:rPr>
                <w:sz w:val="21"/>
              </w:rPr>
              <w:t>非正常排放速率</w:t>
            </w:r>
            <w:r>
              <w:rPr>
                <w:rFonts w:ascii="Times New Roman" w:eastAsia="Times New Roman"/>
                <w:sz w:val="21"/>
              </w:rPr>
              <w:t>/kg/h</w:t>
            </w:r>
          </w:p>
        </w:tc>
        <w:tc>
          <w:tcPr>
            <w:tcW w:w="858" w:type="dxa"/>
            <w:tcBorders>
              <w:left w:val="single" w:color="000000" w:sz="4" w:space="0"/>
              <w:bottom w:val="single" w:color="000000" w:sz="4" w:space="0"/>
              <w:right w:val="single" w:color="000000" w:sz="4" w:space="0"/>
            </w:tcBorders>
          </w:tcPr>
          <w:p>
            <w:pPr>
              <w:pStyle w:val="19"/>
              <w:spacing w:line="242" w:lineRule="auto"/>
              <w:ind w:left="118" w:right="98"/>
              <w:rPr>
                <w:sz w:val="21"/>
              </w:rPr>
            </w:pPr>
            <w:r>
              <w:rPr>
                <w:sz w:val="21"/>
              </w:rPr>
              <w:t>单次持续时间</w:t>
            </w:r>
          </w:p>
          <w:p>
            <w:pPr>
              <w:pStyle w:val="19"/>
              <w:spacing w:line="222" w:lineRule="exact"/>
              <w:ind w:left="114" w:right="98"/>
              <w:rPr>
                <w:rFonts w:ascii="Times New Roman"/>
                <w:sz w:val="21"/>
              </w:rPr>
            </w:pPr>
            <w:r>
              <w:rPr>
                <w:rFonts w:ascii="Times New Roman"/>
                <w:sz w:val="21"/>
              </w:rPr>
              <w:t>/h</w:t>
            </w:r>
          </w:p>
        </w:tc>
        <w:tc>
          <w:tcPr>
            <w:tcW w:w="953" w:type="dxa"/>
            <w:tcBorders>
              <w:left w:val="single" w:color="000000" w:sz="4" w:space="0"/>
              <w:bottom w:val="single" w:color="000000" w:sz="4" w:space="0"/>
              <w:right w:val="single" w:color="000000" w:sz="4" w:space="0"/>
            </w:tcBorders>
          </w:tcPr>
          <w:p>
            <w:pPr>
              <w:pStyle w:val="19"/>
              <w:spacing w:before="120" w:line="242" w:lineRule="auto"/>
              <w:ind w:left="136" w:right="117" w:firstLine="28"/>
              <w:jc w:val="left"/>
              <w:rPr>
                <w:sz w:val="21"/>
              </w:rPr>
            </w:pPr>
            <w:r>
              <w:rPr>
                <w:sz w:val="21"/>
              </w:rPr>
              <w:t>年发生频次</w:t>
            </w:r>
            <w:r>
              <w:rPr>
                <w:rFonts w:ascii="Times New Roman" w:eastAsia="Times New Roman"/>
                <w:sz w:val="21"/>
              </w:rPr>
              <w:t>/</w:t>
            </w:r>
            <w:r>
              <w:rPr>
                <w:sz w:val="21"/>
              </w:rPr>
              <w:t>次</w:t>
            </w:r>
          </w:p>
        </w:tc>
        <w:tc>
          <w:tcPr>
            <w:tcW w:w="1024" w:type="dxa"/>
            <w:tcBorders>
              <w:left w:val="single" w:color="000000" w:sz="4" w:space="0"/>
              <w:bottom w:val="single" w:color="000000" w:sz="4" w:space="0"/>
            </w:tcBorders>
          </w:tcPr>
          <w:p>
            <w:pPr>
              <w:pStyle w:val="19"/>
              <w:spacing w:before="120" w:line="242" w:lineRule="auto"/>
              <w:ind w:left="412" w:right="176" w:hanging="212"/>
              <w:jc w:val="left"/>
              <w:rPr>
                <w:sz w:val="21"/>
              </w:rPr>
            </w:pPr>
            <w:r>
              <w:rPr>
                <w:sz w:val="21"/>
              </w:rPr>
              <w:t>应对措施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0" w:hRule="atLeast"/>
        </w:trPr>
        <w:tc>
          <w:tcPr>
            <w:tcW w:w="706" w:type="dxa"/>
            <w:tcBorders>
              <w:top w:val="single" w:color="000000" w:sz="4" w:space="0"/>
              <w:bottom w:val="single" w:color="000000" w:sz="4" w:space="0"/>
              <w:right w:val="single" w:color="000000" w:sz="4" w:space="0"/>
            </w:tcBorders>
          </w:tcPr>
          <w:p>
            <w:pPr>
              <w:pStyle w:val="19"/>
              <w:spacing w:before="152"/>
              <w:ind w:left="12"/>
              <w:rPr>
                <w:rFonts w:ascii="Times New Roman"/>
                <w:sz w:val="21"/>
              </w:rPr>
            </w:pPr>
            <w:r>
              <w:rPr>
                <w:rFonts w:ascii="Times New Roman"/>
                <w:w w:val="99"/>
                <w:sz w:val="21"/>
              </w:rPr>
              <w:t>1</w:t>
            </w:r>
          </w:p>
        </w:tc>
        <w:tc>
          <w:tcPr>
            <w:tcW w:w="1101" w:type="dxa"/>
            <w:tcBorders>
              <w:top w:val="single" w:color="000000" w:sz="4" w:space="0"/>
              <w:left w:val="single" w:color="000000" w:sz="4" w:space="0"/>
              <w:bottom w:val="single" w:color="000000" w:sz="4" w:space="0"/>
              <w:right w:val="single" w:color="000000" w:sz="4" w:space="0"/>
            </w:tcBorders>
          </w:tcPr>
          <w:p>
            <w:pPr>
              <w:pStyle w:val="19"/>
              <w:spacing w:before="1"/>
              <w:ind w:left="133"/>
              <w:jc w:val="left"/>
              <w:rPr>
                <w:sz w:val="21"/>
              </w:rPr>
            </w:pPr>
            <w:r>
              <w:rPr>
                <w:w w:val="95"/>
                <w:sz w:val="21"/>
              </w:rPr>
              <w:t>主井暖风</w:t>
            </w:r>
          </w:p>
          <w:p>
            <w:pPr>
              <w:pStyle w:val="19"/>
              <w:spacing w:before="2" w:line="248" w:lineRule="exact"/>
              <w:ind w:left="133"/>
              <w:jc w:val="left"/>
              <w:rPr>
                <w:sz w:val="21"/>
              </w:rPr>
            </w:pPr>
            <w:r>
              <w:rPr>
                <w:w w:val="95"/>
                <w:sz w:val="21"/>
              </w:rPr>
              <w:t>炉房烟囱</w:t>
            </w:r>
          </w:p>
        </w:tc>
        <w:tc>
          <w:tcPr>
            <w:tcW w:w="1150" w:type="dxa"/>
            <w:vMerge w:val="restart"/>
            <w:tcBorders>
              <w:top w:val="single" w:color="000000" w:sz="4" w:space="0"/>
              <w:left w:val="single" w:color="000000" w:sz="4" w:space="0"/>
              <w:right w:val="single" w:color="000000" w:sz="4" w:space="0"/>
            </w:tcBorders>
          </w:tcPr>
          <w:p>
            <w:pPr>
              <w:pStyle w:val="19"/>
              <w:jc w:val="left"/>
              <w:rPr>
                <w:b/>
                <w:sz w:val="20"/>
              </w:rPr>
            </w:pPr>
          </w:p>
          <w:p>
            <w:pPr>
              <w:pStyle w:val="19"/>
              <w:spacing w:before="162" w:line="242" w:lineRule="auto"/>
              <w:ind w:left="160" w:right="139"/>
              <w:rPr>
                <w:sz w:val="21"/>
              </w:rPr>
            </w:pPr>
            <w:r>
              <w:rPr>
                <w:sz w:val="21"/>
              </w:rPr>
              <w:t>布袋除尘器部分故障</w:t>
            </w:r>
          </w:p>
        </w:tc>
        <w:tc>
          <w:tcPr>
            <w:tcW w:w="851" w:type="dxa"/>
            <w:vMerge w:val="restart"/>
            <w:tcBorders>
              <w:top w:val="single" w:color="000000" w:sz="4" w:space="0"/>
              <w:left w:val="single" w:color="000000" w:sz="4" w:space="0"/>
              <w:right w:val="single" w:color="000000" w:sz="4" w:space="0"/>
            </w:tcBorders>
          </w:tcPr>
          <w:p>
            <w:pPr>
              <w:pStyle w:val="19"/>
              <w:jc w:val="left"/>
              <w:rPr>
                <w:b/>
                <w:sz w:val="20"/>
              </w:rPr>
            </w:pPr>
          </w:p>
          <w:p>
            <w:pPr>
              <w:pStyle w:val="19"/>
              <w:jc w:val="left"/>
              <w:rPr>
                <w:b/>
                <w:sz w:val="20"/>
              </w:rPr>
            </w:pPr>
          </w:p>
          <w:p>
            <w:pPr>
              <w:pStyle w:val="19"/>
              <w:spacing w:before="177"/>
              <w:ind w:left="114"/>
              <w:jc w:val="left"/>
              <w:rPr>
                <w:sz w:val="21"/>
              </w:rPr>
            </w:pPr>
            <w:r>
              <w:rPr>
                <w:sz w:val="21"/>
              </w:rPr>
              <w:t>颗粒物</w:t>
            </w:r>
          </w:p>
        </w:tc>
        <w:tc>
          <w:tcPr>
            <w:tcW w:w="1302" w:type="dxa"/>
            <w:tcBorders>
              <w:top w:val="single" w:color="000000" w:sz="4" w:space="0"/>
              <w:left w:val="single" w:color="000000" w:sz="4" w:space="0"/>
              <w:bottom w:val="single" w:color="000000" w:sz="4" w:space="0"/>
              <w:right w:val="single" w:color="000000" w:sz="4" w:space="0"/>
            </w:tcBorders>
          </w:tcPr>
          <w:p>
            <w:pPr>
              <w:pStyle w:val="19"/>
              <w:spacing w:before="152"/>
              <w:ind w:left="425" w:right="407"/>
              <w:rPr>
                <w:rFonts w:ascii="Times New Roman"/>
                <w:sz w:val="21"/>
              </w:rPr>
            </w:pPr>
            <w:r>
              <w:rPr>
                <w:rFonts w:ascii="Times New Roman"/>
                <w:sz w:val="21"/>
              </w:rPr>
              <w:t>845</w:t>
            </w:r>
          </w:p>
        </w:tc>
        <w:tc>
          <w:tcPr>
            <w:tcW w:w="1335" w:type="dxa"/>
            <w:tcBorders>
              <w:top w:val="single" w:color="000000" w:sz="4" w:space="0"/>
              <w:left w:val="single" w:color="000000" w:sz="4" w:space="0"/>
              <w:bottom w:val="single" w:color="000000" w:sz="4" w:space="0"/>
              <w:right w:val="single" w:color="000000" w:sz="4" w:space="0"/>
            </w:tcBorders>
          </w:tcPr>
          <w:p>
            <w:pPr>
              <w:pStyle w:val="19"/>
              <w:spacing w:before="152"/>
              <w:ind w:left="359" w:right="338"/>
              <w:rPr>
                <w:rFonts w:ascii="Times New Roman"/>
                <w:sz w:val="21"/>
              </w:rPr>
            </w:pPr>
            <w:r>
              <w:rPr>
                <w:rFonts w:ascii="Times New Roman"/>
                <w:sz w:val="21"/>
              </w:rPr>
              <w:t>1.04</w:t>
            </w:r>
          </w:p>
        </w:tc>
        <w:tc>
          <w:tcPr>
            <w:tcW w:w="858" w:type="dxa"/>
            <w:tcBorders>
              <w:top w:val="single" w:color="000000" w:sz="4" w:space="0"/>
              <w:left w:val="single" w:color="000000" w:sz="4" w:space="0"/>
              <w:bottom w:val="single" w:color="000000" w:sz="4" w:space="0"/>
              <w:right w:val="single" w:color="000000" w:sz="4" w:space="0"/>
            </w:tcBorders>
          </w:tcPr>
          <w:p>
            <w:pPr>
              <w:pStyle w:val="19"/>
              <w:spacing w:before="152"/>
              <w:ind w:left="117" w:right="98"/>
              <w:rPr>
                <w:rFonts w:ascii="Times New Roman"/>
                <w:sz w:val="21"/>
              </w:rPr>
            </w:pPr>
            <w:r>
              <w:rPr>
                <w:rFonts w:ascii="Times New Roman"/>
                <w:sz w:val="21"/>
              </w:rPr>
              <w:t>&lt;1</w:t>
            </w:r>
          </w:p>
        </w:tc>
        <w:tc>
          <w:tcPr>
            <w:tcW w:w="953" w:type="dxa"/>
            <w:tcBorders>
              <w:top w:val="single" w:color="000000" w:sz="4" w:space="0"/>
              <w:left w:val="single" w:color="000000" w:sz="4" w:space="0"/>
              <w:bottom w:val="single" w:color="000000" w:sz="4" w:space="0"/>
              <w:right w:val="single" w:color="000000" w:sz="4" w:space="0"/>
            </w:tcBorders>
          </w:tcPr>
          <w:p>
            <w:pPr>
              <w:pStyle w:val="19"/>
              <w:spacing w:before="152"/>
              <w:ind w:left="429"/>
              <w:jc w:val="left"/>
              <w:rPr>
                <w:rFonts w:ascii="Times New Roman"/>
                <w:sz w:val="21"/>
              </w:rPr>
            </w:pPr>
            <w:r>
              <w:rPr>
                <w:rFonts w:ascii="Times New Roman"/>
                <w:w w:val="99"/>
                <w:sz w:val="21"/>
              </w:rPr>
              <w:t>1</w:t>
            </w:r>
          </w:p>
        </w:tc>
        <w:tc>
          <w:tcPr>
            <w:tcW w:w="1024" w:type="dxa"/>
            <w:vMerge w:val="restart"/>
            <w:tcBorders>
              <w:top w:val="single" w:color="000000" w:sz="4" w:space="0"/>
              <w:left w:val="single" w:color="000000" w:sz="4" w:space="0"/>
            </w:tcBorders>
          </w:tcPr>
          <w:p>
            <w:pPr>
              <w:pStyle w:val="19"/>
              <w:jc w:val="left"/>
              <w:rPr>
                <w:b/>
                <w:sz w:val="20"/>
              </w:rPr>
            </w:pPr>
          </w:p>
          <w:p>
            <w:pPr>
              <w:pStyle w:val="19"/>
              <w:spacing w:before="162" w:line="242" w:lineRule="auto"/>
              <w:ind w:left="112" w:right="88" w:hanging="1"/>
              <w:rPr>
                <w:sz w:val="21"/>
              </w:rPr>
            </w:pPr>
            <w:r>
              <w:rPr>
                <w:sz w:val="21"/>
              </w:rPr>
              <w:t>及时检</w:t>
            </w:r>
            <w:r>
              <w:rPr>
                <w:spacing w:val="-13"/>
                <w:sz w:val="21"/>
              </w:rPr>
              <w:t>修，加强</w:t>
            </w:r>
            <w:r>
              <w:rPr>
                <w:sz w:val="21"/>
              </w:rPr>
              <w:t>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5" w:hRule="atLeast"/>
        </w:trPr>
        <w:tc>
          <w:tcPr>
            <w:tcW w:w="706" w:type="dxa"/>
            <w:tcBorders>
              <w:top w:val="single" w:color="000000" w:sz="4" w:space="0"/>
              <w:bottom w:val="single" w:color="000000" w:sz="4" w:space="0"/>
              <w:right w:val="single" w:color="000000" w:sz="4" w:space="0"/>
            </w:tcBorders>
          </w:tcPr>
          <w:p>
            <w:pPr>
              <w:pStyle w:val="19"/>
              <w:spacing w:before="144"/>
              <w:ind w:left="12"/>
              <w:rPr>
                <w:rFonts w:ascii="Times New Roman"/>
                <w:sz w:val="21"/>
              </w:rPr>
            </w:pPr>
            <w:r>
              <w:rPr>
                <w:rFonts w:ascii="Times New Roman"/>
                <w:w w:val="99"/>
                <w:sz w:val="21"/>
              </w:rPr>
              <w:t>2</w:t>
            </w:r>
          </w:p>
        </w:tc>
        <w:tc>
          <w:tcPr>
            <w:tcW w:w="1101" w:type="dxa"/>
            <w:tcBorders>
              <w:top w:val="single" w:color="000000" w:sz="4" w:space="0"/>
              <w:left w:val="single" w:color="000000" w:sz="4" w:space="0"/>
              <w:bottom w:val="single" w:color="000000" w:sz="4" w:space="0"/>
              <w:right w:val="single" w:color="000000" w:sz="4" w:space="0"/>
            </w:tcBorders>
          </w:tcPr>
          <w:p>
            <w:pPr>
              <w:pStyle w:val="19"/>
              <w:spacing w:line="265" w:lineRule="exact"/>
              <w:ind w:left="133"/>
              <w:jc w:val="left"/>
              <w:rPr>
                <w:sz w:val="21"/>
              </w:rPr>
            </w:pPr>
            <w:r>
              <w:rPr>
                <w:w w:val="95"/>
                <w:sz w:val="21"/>
              </w:rPr>
              <w:t>副井暖风</w:t>
            </w:r>
          </w:p>
          <w:p>
            <w:pPr>
              <w:pStyle w:val="19"/>
              <w:spacing w:before="2" w:line="248" w:lineRule="exact"/>
              <w:ind w:left="133"/>
              <w:jc w:val="left"/>
              <w:rPr>
                <w:sz w:val="21"/>
              </w:rPr>
            </w:pPr>
            <w:r>
              <w:rPr>
                <w:w w:val="95"/>
                <w:sz w:val="21"/>
              </w:rPr>
              <w:t>炉房烟囱</w:t>
            </w:r>
          </w:p>
        </w:tc>
        <w:tc>
          <w:tcPr>
            <w:tcW w:w="1150" w:type="dxa"/>
            <w:vMerge w:val="continue"/>
            <w:tcBorders>
              <w:top w:val="nil"/>
              <w:left w:val="single" w:color="000000" w:sz="4" w:space="0"/>
              <w:right w:val="single" w:color="000000" w:sz="4" w:space="0"/>
            </w:tcBorders>
          </w:tcPr>
          <w:p>
            <w:pPr>
              <w:rPr>
                <w:sz w:val="2"/>
                <w:szCs w:val="2"/>
              </w:rPr>
            </w:pPr>
          </w:p>
        </w:tc>
        <w:tc>
          <w:tcPr>
            <w:tcW w:w="851" w:type="dxa"/>
            <w:vMerge w:val="continue"/>
            <w:tcBorders>
              <w:top w:val="nil"/>
              <w:left w:val="single" w:color="000000" w:sz="4" w:space="0"/>
              <w:right w:val="single" w:color="000000" w:sz="4" w:space="0"/>
            </w:tcBorders>
          </w:tcPr>
          <w:p>
            <w:pPr>
              <w:rPr>
                <w:sz w:val="2"/>
                <w:szCs w:val="2"/>
              </w:rPr>
            </w:pPr>
          </w:p>
        </w:tc>
        <w:tc>
          <w:tcPr>
            <w:tcW w:w="1302" w:type="dxa"/>
            <w:tcBorders>
              <w:top w:val="single" w:color="000000" w:sz="4" w:space="0"/>
              <w:left w:val="single" w:color="000000" w:sz="4" w:space="0"/>
              <w:bottom w:val="single" w:color="000000" w:sz="4" w:space="0"/>
              <w:right w:val="single" w:color="000000" w:sz="4" w:space="0"/>
            </w:tcBorders>
          </w:tcPr>
          <w:p>
            <w:pPr>
              <w:pStyle w:val="19"/>
              <w:spacing w:before="144"/>
              <w:ind w:left="425" w:right="407"/>
              <w:rPr>
                <w:rFonts w:ascii="Times New Roman"/>
                <w:sz w:val="21"/>
              </w:rPr>
            </w:pPr>
            <w:r>
              <w:rPr>
                <w:rFonts w:ascii="Times New Roman"/>
                <w:sz w:val="21"/>
              </w:rPr>
              <w:t>1746</w:t>
            </w:r>
          </w:p>
        </w:tc>
        <w:tc>
          <w:tcPr>
            <w:tcW w:w="1335" w:type="dxa"/>
            <w:tcBorders>
              <w:top w:val="single" w:color="000000" w:sz="4" w:space="0"/>
              <w:left w:val="single" w:color="000000" w:sz="4" w:space="0"/>
              <w:bottom w:val="single" w:color="000000" w:sz="4" w:space="0"/>
              <w:right w:val="single" w:color="000000" w:sz="4" w:space="0"/>
            </w:tcBorders>
          </w:tcPr>
          <w:p>
            <w:pPr>
              <w:pStyle w:val="19"/>
              <w:spacing w:before="144"/>
              <w:ind w:left="359" w:right="338"/>
              <w:rPr>
                <w:rFonts w:ascii="Times New Roman"/>
                <w:sz w:val="21"/>
              </w:rPr>
            </w:pPr>
            <w:r>
              <w:rPr>
                <w:rFonts w:ascii="Times New Roman"/>
                <w:sz w:val="21"/>
              </w:rPr>
              <w:t>4.44</w:t>
            </w:r>
          </w:p>
        </w:tc>
        <w:tc>
          <w:tcPr>
            <w:tcW w:w="858" w:type="dxa"/>
            <w:tcBorders>
              <w:top w:val="single" w:color="000000" w:sz="4" w:space="0"/>
              <w:left w:val="single" w:color="000000" w:sz="4" w:space="0"/>
              <w:bottom w:val="single" w:color="000000" w:sz="4" w:space="0"/>
              <w:right w:val="single" w:color="000000" w:sz="4" w:space="0"/>
            </w:tcBorders>
          </w:tcPr>
          <w:p>
            <w:pPr>
              <w:pStyle w:val="19"/>
              <w:spacing w:before="144"/>
              <w:ind w:left="117" w:right="98"/>
              <w:rPr>
                <w:rFonts w:ascii="Times New Roman"/>
                <w:sz w:val="21"/>
              </w:rPr>
            </w:pPr>
            <w:r>
              <w:rPr>
                <w:rFonts w:ascii="Times New Roman"/>
                <w:sz w:val="21"/>
              </w:rPr>
              <w:t>&lt;1</w:t>
            </w:r>
          </w:p>
        </w:tc>
        <w:tc>
          <w:tcPr>
            <w:tcW w:w="953" w:type="dxa"/>
            <w:tcBorders>
              <w:top w:val="single" w:color="000000" w:sz="4" w:space="0"/>
              <w:left w:val="single" w:color="000000" w:sz="4" w:space="0"/>
              <w:bottom w:val="single" w:color="000000" w:sz="4" w:space="0"/>
              <w:right w:val="single" w:color="000000" w:sz="4" w:space="0"/>
            </w:tcBorders>
          </w:tcPr>
          <w:p>
            <w:pPr>
              <w:pStyle w:val="19"/>
              <w:spacing w:before="144"/>
              <w:ind w:left="429"/>
              <w:jc w:val="left"/>
              <w:rPr>
                <w:rFonts w:ascii="Times New Roman"/>
                <w:sz w:val="21"/>
              </w:rPr>
            </w:pPr>
            <w:r>
              <w:rPr>
                <w:rFonts w:ascii="Times New Roman"/>
                <w:w w:val="99"/>
                <w:sz w:val="21"/>
              </w:rPr>
              <w:t>1</w:t>
            </w:r>
          </w:p>
        </w:tc>
        <w:tc>
          <w:tcPr>
            <w:tcW w:w="1024"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8" w:hRule="atLeast"/>
        </w:trPr>
        <w:tc>
          <w:tcPr>
            <w:tcW w:w="706" w:type="dxa"/>
            <w:tcBorders>
              <w:top w:val="single" w:color="000000" w:sz="4" w:space="0"/>
              <w:right w:val="single" w:color="000000" w:sz="4" w:space="0"/>
            </w:tcBorders>
          </w:tcPr>
          <w:p>
            <w:pPr>
              <w:pStyle w:val="19"/>
              <w:spacing w:before="145"/>
              <w:ind w:left="12"/>
              <w:rPr>
                <w:rFonts w:ascii="Times New Roman"/>
                <w:sz w:val="21"/>
              </w:rPr>
            </w:pPr>
            <w:r>
              <w:rPr>
                <w:rFonts w:ascii="Times New Roman"/>
                <w:w w:val="99"/>
                <w:sz w:val="21"/>
              </w:rPr>
              <w:t>3</w:t>
            </w:r>
          </w:p>
        </w:tc>
        <w:tc>
          <w:tcPr>
            <w:tcW w:w="1101" w:type="dxa"/>
            <w:tcBorders>
              <w:top w:val="single" w:color="000000" w:sz="4" w:space="0"/>
              <w:left w:val="single" w:color="000000" w:sz="4" w:space="0"/>
              <w:right w:val="single" w:color="000000" w:sz="4" w:space="0"/>
            </w:tcBorders>
          </w:tcPr>
          <w:p>
            <w:pPr>
              <w:pStyle w:val="19"/>
              <w:spacing w:line="264" w:lineRule="exact"/>
              <w:ind w:left="112" w:right="99"/>
              <w:rPr>
                <w:sz w:val="21"/>
              </w:rPr>
            </w:pPr>
            <w:r>
              <w:rPr>
                <w:sz w:val="21"/>
              </w:rPr>
              <w:t>副井锅炉</w:t>
            </w:r>
          </w:p>
          <w:p>
            <w:pPr>
              <w:pStyle w:val="19"/>
              <w:spacing w:before="2" w:line="253" w:lineRule="exact"/>
              <w:ind w:left="112" w:right="96"/>
              <w:rPr>
                <w:sz w:val="21"/>
              </w:rPr>
            </w:pPr>
            <w:r>
              <w:rPr>
                <w:sz w:val="21"/>
              </w:rPr>
              <w:t>房烟囱</w:t>
            </w:r>
          </w:p>
        </w:tc>
        <w:tc>
          <w:tcPr>
            <w:tcW w:w="1150" w:type="dxa"/>
            <w:vMerge w:val="continue"/>
            <w:tcBorders>
              <w:top w:val="nil"/>
              <w:left w:val="single" w:color="000000" w:sz="4" w:space="0"/>
              <w:right w:val="single" w:color="000000" w:sz="4" w:space="0"/>
            </w:tcBorders>
          </w:tcPr>
          <w:p>
            <w:pPr>
              <w:rPr>
                <w:sz w:val="2"/>
                <w:szCs w:val="2"/>
              </w:rPr>
            </w:pPr>
          </w:p>
        </w:tc>
        <w:tc>
          <w:tcPr>
            <w:tcW w:w="851" w:type="dxa"/>
            <w:vMerge w:val="continue"/>
            <w:tcBorders>
              <w:top w:val="nil"/>
              <w:left w:val="single" w:color="000000" w:sz="4" w:space="0"/>
              <w:right w:val="single" w:color="000000" w:sz="4" w:space="0"/>
            </w:tcBorders>
          </w:tcPr>
          <w:p>
            <w:pPr>
              <w:rPr>
                <w:sz w:val="2"/>
                <w:szCs w:val="2"/>
              </w:rPr>
            </w:pPr>
          </w:p>
        </w:tc>
        <w:tc>
          <w:tcPr>
            <w:tcW w:w="1302" w:type="dxa"/>
            <w:tcBorders>
              <w:top w:val="single" w:color="000000" w:sz="4" w:space="0"/>
              <w:left w:val="single" w:color="000000" w:sz="4" w:space="0"/>
              <w:right w:val="single" w:color="000000" w:sz="4" w:space="0"/>
            </w:tcBorders>
          </w:tcPr>
          <w:p>
            <w:pPr>
              <w:pStyle w:val="19"/>
              <w:spacing w:before="145"/>
              <w:ind w:left="425" w:right="407"/>
              <w:rPr>
                <w:rFonts w:ascii="Times New Roman"/>
                <w:sz w:val="21"/>
              </w:rPr>
            </w:pPr>
            <w:r>
              <w:rPr>
                <w:rFonts w:ascii="Times New Roman"/>
                <w:sz w:val="21"/>
              </w:rPr>
              <w:t>2409</w:t>
            </w:r>
          </w:p>
        </w:tc>
        <w:tc>
          <w:tcPr>
            <w:tcW w:w="1335" w:type="dxa"/>
            <w:tcBorders>
              <w:top w:val="single" w:color="000000" w:sz="4" w:space="0"/>
              <w:left w:val="single" w:color="000000" w:sz="4" w:space="0"/>
              <w:right w:val="single" w:color="000000" w:sz="4" w:space="0"/>
            </w:tcBorders>
          </w:tcPr>
          <w:p>
            <w:pPr>
              <w:pStyle w:val="19"/>
              <w:spacing w:before="145"/>
              <w:ind w:left="359" w:right="338"/>
              <w:rPr>
                <w:rFonts w:ascii="Times New Roman"/>
                <w:sz w:val="21"/>
              </w:rPr>
            </w:pPr>
            <w:r>
              <w:rPr>
                <w:rFonts w:ascii="Times New Roman"/>
                <w:sz w:val="21"/>
              </w:rPr>
              <w:t>2.74</w:t>
            </w:r>
          </w:p>
        </w:tc>
        <w:tc>
          <w:tcPr>
            <w:tcW w:w="858" w:type="dxa"/>
            <w:tcBorders>
              <w:top w:val="single" w:color="000000" w:sz="4" w:space="0"/>
              <w:left w:val="single" w:color="000000" w:sz="4" w:space="0"/>
              <w:right w:val="single" w:color="000000" w:sz="4" w:space="0"/>
            </w:tcBorders>
          </w:tcPr>
          <w:p>
            <w:pPr>
              <w:pStyle w:val="19"/>
              <w:spacing w:before="145"/>
              <w:ind w:left="117" w:right="98"/>
              <w:rPr>
                <w:rFonts w:ascii="Times New Roman"/>
                <w:sz w:val="21"/>
              </w:rPr>
            </w:pPr>
            <w:r>
              <w:rPr>
                <w:rFonts w:ascii="Times New Roman"/>
                <w:sz w:val="21"/>
              </w:rPr>
              <w:t>&lt;1</w:t>
            </w:r>
          </w:p>
        </w:tc>
        <w:tc>
          <w:tcPr>
            <w:tcW w:w="953" w:type="dxa"/>
            <w:tcBorders>
              <w:top w:val="single" w:color="000000" w:sz="4" w:space="0"/>
              <w:left w:val="single" w:color="000000" w:sz="4" w:space="0"/>
              <w:right w:val="single" w:color="000000" w:sz="4" w:space="0"/>
            </w:tcBorders>
          </w:tcPr>
          <w:p>
            <w:pPr>
              <w:pStyle w:val="19"/>
              <w:spacing w:before="145"/>
              <w:ind w:left="429"/>
              <w:jc w:val="left"/>
              <w:rPr>
                <w:rFonts w:ascii="Times New Roman"/>
                <w:sz w:val="21"/>
              </w:rPr>
            </w:pPr>
            <w:r>
              <w:rPr>
                <w:rFonts w:ascii="Times New Roman"/>
                <w:w w:val="99"/>
                <w:sz w:val="21"/>
              </w:rPr>
              <w:t>1</w:t>
            </w:r>
          </w:p>
        </w:tc>
        <w:tc>
          <w:tcPr>
            <w:tcW w:w="1024" w:type="dxa"/>
            <w:vMerge w:val="continue"/>
            <w:tcBorders>
              <w:top w:val="nil"/>
              <w:left w:val="single" w:color="000000" w:sz="4" w:space="0"/>
            </w:tcBorders>
          </w:tcPr>
          <w:p>
            <w:pPr>
              <w:rPr>
                <w:sz w:val="2"/>
                <w:szCs w:val="2"/>
              </w:rPr>
            </w:pPr>
          </w:p>
        </w:tc>
      </w:tr>
    </w:tbl>
    <w:p>
      <w:pPr>
        <w:spacing w:before="0"/>
        <w:ind w:left="4291" w:right="0" w:firstLine="0"/>
        <w:jc w:val="left"/>
        <w:rPr>
          <w:b/>
          <w:sz w:val="21"/>
        </w:rPr>
      </w:pPr>
      <w:r>
        <w:rPr>
          <w:b/>
          <w:spacing w:val="-28"/>
          <w:sz w:val="21"/>
        </w:rPr>
        <w:t xml:space="preserve">表 </w:t>
      </w:r>
      <w:r>
        <w:rPr>
          <w:rFonts w:ascii="Times New Roman" w:eastAsia="Times New Roman"/>
          <w:b/>
          <w:sz w:val="21"/>
        </w:rPr>
        <w:t>7.6-3</w:t>
      </w:r>
      <w:r>
        <w:rPr>
          <w:rFonts w:ascii="Times New Roman" w:eastAsia="Times New Roman"/>
          <w:b/>
          <w:spacing w:val="52"/>
          <w:sz w:val="21"/>
        </w:rPr>
        <w:t xml:space="preserve"> </w:t>
      </w:r>
      <w:r>
        <w:rPr>
          <w:b/>
          <w:sz w:val="21"/>
        </w:rPr>
        <w:t>大气污染物年排放量核算表</w:t>
      </w:r>
    </w:p>
    <w:p>
      <w:pPr>
        <w:pStyle w:val="9"/>
        <w:spacing w:before="12"/>
        <w:rPr>
          <w:b/>
          <w:sz w:val="10"/>
        </w:rPr>
      </w:pPr>
    </w:p>
    <w:tbl>
      <w:tblPr>
        <w:tblStyle w:val="15"/>
        <w:tblW w:w="0" w:type="auto"/>
        <w:tblInd w:w="13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64"/>
        <w:gridCol w:w="3771"/>
        <w:gridCol w:w="334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64" w:type="dxa"/>
            <w:tcBorders>
              <w:bottom w:val="single" w:color="000000" w:sz="4" w:space="0"/>
              <w:right w:val="single" w:color="000000" w:sz="4" w:space="0"/>
            </w:tcBorders>
          </w:tcPr>
          <w:p>
            <w:pPr>
              <w:pStyle w:val="19"/>
              <w:ind w:left="47" w:right="34"/>
              <w:rPr>
                <w:sz w:val="21"/>
              </w:rPr>
            </w:pPr>
            <w:r>
              <w:rPr>
                <w:sz w:val="21"/>
              </w:rPr>
              <w:t>序号</w:t>
            </w:r>
          </w:p>
        </w:tc>
        <w:tc>
          <w:tcPr>
            <w:tcW w:w="3771" w:type="dxa"/>
            <w:tcBorders>
              <w:left w:val="single" w:color="000000" w:sz="4" w:space="0"/>
              <w:bottom w:val="single" w:color="000000" w:sz="4" w:space="0"/>
              <w:right w:val="single" w:color="000000" w:sz="4" w:space="0"/>
            </w:tcBorders>
          </w:tcPr>
          <w:p>
            <w:pPr>
              <w:pStyle w:val="19"/>
              <w:ind w:left="1553" w:right="1537"/>
              <w:rPr>
                <w:sz w:val="21"/>
              </w:rPr>
            </w:pPr>
            <w:r>
              <w:rPr>
                <w:sz w:val="21"/>
              </w:rPr>
              <w:t>污染物</w:t>
            </w:r>
          </w:p>
        </w:tc>
        <w:tc>
          <w:tcPr>
            <w:tcW w:w="3349" w:type="dxa"/>
            <w:tcBorders>
              <w:left w:val="single" w:color="000000" w:sz="4" w:space="0"/>
              <w:bottom w:val="single" w:color="000000" w:sz="4" w:space="0"/>
            </w:tcBorders>
          </w:tcPr>
          <w:p>
            <w:pPr>
              <w:pStyle w:val="19"/>
              <w:ind w:left="923" w:right="901"/>
              <w:rPr>
                <w:sz w:val="21"/>
              </w:rPr>
            </w:pPr>
            <w:r>
              <w:rPr>
                <w:sz w:val="21"/>
              </w:rPr>
              <w:t>年排放量（</w:t>
            </w:r>
            <w:r>
              <w:rPr>
                <w:rFonts w:ascii="Times New Roman" w:eastAsia="Times New Roman"/>
                <w:sz w:val="21"/>
              </w:rPr>
              <w:t>t/a</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2164" w:type="dxa"/>
            <w:tcBorders>
              <w:top w:val="single" w:color="000000" w:sz="4" w:space="0"/>
              <w:bottom w:val="single" w:color="000000" w:sz="4" w:space="0"/>
              <w:right w:val="single" w:color="000000" w:sz="4" w:space="0"/>
            </w:tcBorders>
          </w:tcPr>
          <w:p>
            <w:pPr>
              <w:pStyle w:val="19"/>
              <w:spacing w:before="16"/>
              <w:ind w:left="12"/>
              <w:rPr>
                <w:rFonts w:ascii="Times New Roman"/>
                <w:sz w:val="21"/>
              </w:rPr>
            </w:pPr>
            <w:r>
              <w:rPr>
                <w:rFonts w:ascii="Times New Roman"/>
                <w:w w:val="99"/>
                <w:sz w:val="21"/>
              </w:rPr>
              <w:t>1</w:t>
            </w:r>
          </w:p>
        </w:tc>
        <w:tc>
          <w:tcPr>
            <w:tcW w:w="3771" w:type="dxa"/>
            <w:tcBorders>
              <w:top w:val="single" w:color="000000" w:sz="4" w:space="0"/>
              <w:left w:val="single" w:color="000000" w:sz="4" w:space="0"/>
              <w:bottom w:val="single" w:color="000000" w:sz="4" w:space="0"/>
              <w:right w:val="single" w:color="000000" w:sz="4" w:space="0"/>
            </w:tcBorders>
          </w:tcPr>
          <w:p>
            <w:pPr>
              <w:pStyle w:val="19"/>
              <w:spacing w:line="269" w:lineRule="exact"/>
              <w:ind w:left="1553" w:right="1537"/>
              <w:rPr>
                <w:sz w:val="21"/>
              </w:rPr>
            </w:pPr>
            <w:r>
              <w:rPr>
                <w:sz w:val="21"/>
              </w:rPr>
              <w:t>烟尘</w:t>
            </w:r>
          </w:p>
        </w:tc>
        <w:tc>
          <w:tcPr>
            <w:tcW w:w="3349" w:type="dxa"/>
            <w:tcBorders>
              <w:top w:val="single" w:color="000000" w:sz="4" w:space="0"/>
              <w:left w:val="single" w:color="000000" w:sz="4" w:space="0"/>
              <w:bottom w:val="single" w:color="000000" w:sz="4" w:space="0"/>
            </w:tcBorders>
          </w:tcPr>
          <w:p>
            <w:pPr>
              <w:pStyle w:val="19"/>
              <w:spacing w:before="16"/>
              <w:ind w:left="923" w:right="900"/>
              <w:rPr>
                <w:rFonts w:ascii="Times New Roman"/>
                <w:sz w:val="21"/>
              </w:rPr>
            </w:pPr>
            <w:r>
              <w:rPr>
                <w:rFonts w:ascii="Times New Roman"/>
                <w:color w:val="FF0000"/>
                <w:sz w:val="21"/>
              </w:rPr>
              <w:t>0.796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2164" w:type="dxa"/>
            <w:tcBorders>
              <w:top w:val="single" w:color="000000" w:sz="4" w:space="0"/>
              <w:bottom w:val="single" w:color="000000" w:sz="4" w:space="0"/>
              <w:right w:val="single" w:color="000000" w:sz="4" w:space="0"/>
            </w:tcBorders>
          </w:tcPr>
          <w:p>
            <w:pPr>
              <w:pStyle w:val="19"/>
              <w:spacing w:line="241" w:lineRule="exact"/>
              <w:ind w:left="12"/>
              <w:rPr>
                <w:rFonts w:ascii="Times New Roman"/>
                <w:sz w:val="21"/>
              </w:rPr>
            </w:pPr>
            <w:r>
              <w:rPr>
                <w:rFonts w:ascii="Times New Roman"/>
                <w:w w:val="99"/>
                <w:sz w:val="21"/>
              </w:rPr>
              <w:t>2</w:t>
            </w:r>
          </w:p>
        </w:tc>
        <w:tc>
          <w:tcPr>
            <w:tcW w:w="3771" w:type="dxa"/>
            <w:tcBorders>
              <w:top w:val="single" w:color="000000" w:sz="4" w:space="0"/>
              <w:left w:val="single" w:color="000000" w:sz="4" w:space="0"/>
              <w:bottom w:val="single" w:color="000000" w:sz="4" w:space="0"/>
              <w:right w:val="single" w:color="000000" w:sz="4" w:space="0"/>
            </w:tcBorders>
          </w:tcPr>
          <w:p>
            <w:pPr>
              <w:pStyle w:val="19"/>
              <w:spacing w:line="241" w:lineRule="exact"/>
              <w:ind w:left="1553" w:right="1533"/>
              <w:rPr>
                <w:rFonts w:ascii="Times New Roman"/>
                <w:sz w:val="21"/>
              </w:rPr>
            </w:pPr>
            <w:r>
              <w:rPr>
                <w:rFonts w:ascii="Times New Roman"/>
                <w:sz w:val="21"/>
              </w:rPr>
              <w:t>NOx</w:t>
            </w:r>
          </w:p>
        </w:tc>
        <w:tc>
          <w:tcPr>
            <w:tcW w:w="3349" w:type="dxa"/>
            <w:tcBorders>
              <w:top w:val="single" w:color="000000" w:sz="4" w:space="0"/>
              <w:left w:val="single" w:color="000000" w:sz="4" w:space="0"/>
              <w:bottom w:val="single" w:color="000000" w:sz="4" w:space="0"/>
            </w:tcBorders>
          </w:tcPr>
          <w:p>
            <w:pPr>
              <w:pStyle w:val="19"/>
              <w:spacing w:line="241" w:lineRule="exact"/>
              <w:ind w:left="923" w:right="900"/>
              <w:rPr>
                <w:rFonts w:ascii="Times New Roman"/>
                <w:sz w:val="21"/>
              </w:rPr>
            </w:pPr>
            <w:r>
              <w:rPr>
                <w:rFonts w:ascii="Times New Roman"/>
                <w:color w:val="FF0000"/>
                <w:sz w:val="21"/>
              </w:rPr>
              <w:t>4.16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9" w:hRule="atLeast"/>
        </w:trPr>
        <w:tc>
          <w:tcPr>
            <w:tcW w:w="2164" w:type="dxa"/>
            <w:tcBorders>
              <w:top w:val="single" w:color="000000" w:sz="4" w:space="0"/>
              <w:right w:val="single" w:color="000000" w:sz="4" w:space="0"/>
            </w:tcBorders>
          </w:tcPr>
          <w:p>
            <w:pPr>
              <w:pStyle w:val="19"/>
              <w:spacing w:line="241" w:lineRule="exact"/>
              <w:ind w:left="12"/>
              <w:rPr>
                <w:rFonts w:ascii="Times New Roman"/>
                <w:sz w:val="21"/>
              </w:rPr>
            </w:pPr>
            <w:r>
              <w:rPr>
                <w:rFonts w:ascii="Times New Roman"/>
                <w:w w:val="99"/>
                <w:sz w:val="21"/>
              </w:rPr>
              <w:t>3</w:t>
            </w:r>
          </w:p>
        </w:tc>
        <w:tc>
          <w:tcPr>
            <w:tcW w:w="3771" w:type="dxa"/>
            <w:tcBorders>
              <w:top w:val="single" w:color="000000" w:sz="4" w:space="0"/>
              <w:left w:val="single" w:color="000000" w:sz="4" w:space="0"/>
              <w:right w:val="single" w:color="000000" w:sz="4" w:space="0"/>
            </w:tcBorders>
          </w:tcPr>
          <w:p>
            <w:pPr>
              <w:pStyle w:val="19"/>
              <w:spacing w:line="257" w:lineRule="exact"/>
              <w:ind w:left="1553" w:right="1533"/>
              <w:rPr>
                <w:rFonts w:ascii="Times New Roman"/>
                <w:sz w:val="21"/>
              </w:rPr>
            </w:pPr>
            <w:r>
              <w:rPr>
                <w:rFonts w:ascii="Times New Roman"/>
                <w:position w:val="2"/>
                <w:sz w:val="21"/>
              </w:rPr>
              <w:t>SO</w:t>
            </w:r>
            <w:r>
              <w:rPr>
                <w:rFonts w:ascii="Times New Roman"/>
                <w:position w:val="2"/>
                <w:sz w:val="21"/>
                <w:vertAlign w:val="subscript"/>
              </w:rPr>
              <w:t>2</w:t>
            </w:r>
          </w:p>
        </w:tc>
        <w:tc>
          <w:tcPr>
            <w:tcW w:w="3349" w:type="dxa"/>
            <w:tcBorders>
              <w:top w:val="single" w:color="000000" w:sz="4" w:space="0"/>
              <w:left w:val="single" w:color="000000" w:sz="4" w:space="0"/>
            </w:tcBorders>
          </w:tcPr>
          <w:p>
            <w:pPr>
              <w:pStyle w:val="19"/>
              <w:spacing w:line="241" w:lineRule="exact"/>
              <w:ind w:left="923" w:right="900"/>
              <w:rPr>
                <w:rFonts w:ascii="Times New Roman"/>
                <w:sz w:val="21"/>
              </w:rPr>
            </w:pPr>
            <w:r>
              <w:rPr>
                <w:rFonts w:ascii="Times New Roman"/>
                <w:color w:val="FF0000"/>
                <w:sz w:val="21"/>
              </w:rPr>
              <w:t>0.59</w:t>
            </w:r>
          </w:p>
        </w:tc>
      </w:tr>
    </w:tbl>
    <w:p>
      <w:pPr>
        <w:spacing w:after="0" w:line="241" w:lineRule="exact"/>
        <w:rPr>
          <w:rFonts w:ascii="Times New Roman"/>
          <w:sz w:val="21"/>
        </w:rPr>
        <w:sectPr>
          <w:pgSz w:w="11910" w:h="16840"/>
          <w:pgMar w:top="1360" w:right="0" w:bottom="880" w:left="0" w:header="0" w:footer="681" w:gutter="0"/>
        </w:sect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spacing w:before="2"/>
        <w:rPr>
          <w:b/>
          <w:sz w:val="15"/>
        </w:rPr>
      </w:pPr>
    </w:p>
    <w:p>
      <w:pPr>
        <w:pStyle w:val="3"/>
        <w:numPr>
          <w:ilvl w:val="2"/>
          <w:numId w:val="14"/>
        </w:numPr>
        <w:tabs>
          <w:tab w:val="left" w:pos="4824"/>
        </w:tabs>
        <w:spacing w:before="61" w:after="0" w:line="240" w:lineRule="auto"/>
        <w:ind w:left="4824" w:right="0" w:hanging="4824"/>
        <w:jc w:val="left"/>
        <w:rPr>
          <w:rFonts w:ascii="Times New Roman" w:eastAsia="Times New Roman"/>
          <w:sz w:val="34"/>
        </w:rPr>
      </w:pPr>
      <w:bookmarkStart w:id="430" w:name="_bookmark44"/>
      <w:bookmarkEnd w:id="430"/>
      <w:bookmarkStart w:id="431" w:name="_bookmark44"/>
      <w:bookmarkEnd w:id="431"/>
      <w:bookmarkStart w:id="432" w:name="8.声环境影响分析"/>
      <w:bookmarkEnd w:id="432"/>
      <w:r>
        <w:t>声环境影响分析</w:t>
      </w:r>
    </w:p>
    <w:p>
      <w:pPr>
        <w:pStyle w:val="5"/>
        <w:numPr>
          <w:ilvl w:val="1"/>
          <w:numId w:val="72"/>
        </w:numPr>
        <w:tabs>
          <w:tab w:val="left" w:pos="1868"/>
        </w:tabs>
        <w:spacing w:before="240" w:after="0" w:line="240" w:lineRule="auto"/>
        <w:ind w:left="1867" w:right="0" w:hanging="450"/>
        <w:jc w:val="left"/>
      </w:pPr>
      <w:bookmarkStart w:id="433" w:name="8.1声环境现状监测与评价"/>
      <w:bookmarkEnd w:id="433"/>
      <w:bookmarkStart w:id="434" w:name="_bookmark45"/>
      <w:bookmarkEnd w:id="434"/>
      <w:bookmarkStart w:id="435" w:name="_bookmark45"/>
      <w:bookmarkEnd w:id="435"/>
      <w:r>
        <w:t>声环境现状监测与评价</w:t>
      </w:r>
    </w:p>
    <w:p>
      <w:pPr>
        <w:pStyle w:val="6"/>
        <w:numPr>
          <w:ilvl w:val="2"/>
          <w:numId w:val="72"/>
        </w:numPr>
        <w:tabs>
          <w:tab w:val="left" w:pos="2048"/>
        </w:tabs>
        <w:spacing w:before="200" w:after="0" w:line="240" w:lineRule="auto"/>
        <w:ind w:left="2047" w:right="0" w:hanging="630"/>
        <w:jc w:val="left"/>
      </w:pPr>
      <w:bookmarkStart w:id="436" w:name="8.1.1声环境现状调查"/>
      <w:bookmarkEnd w:id="436"/>
      <w:bookmarkStart w:id="437" w:name="8.1.1声环境现状调查"/>
      <w:bookmarkEnd w:id="437"/>
      <w:r>
        <w:t>声环境现状调查</w:t>
      </w:r>
    </w:p>
    <w:p>
      <w:pPr>
        <w:pStyle w:val="8"/>
        <w:numPr>
          <w:ilvl w:val="3"/>
          <w:numId w:val="72"/>
        </w:numPr>
        <w:tabs>
          <w:tab w:val="left" w:pos="2139"/>
        </w:tabs>
        <w:spacing w:before="185" w:after="0" w:line="240" w:lineRule="auto"/>
        <w:ind w:left="2138" w:right="0" w:hanging="721"/>
        <w:jc w:val="left"/>
      </w:pPr>
      <w:bookmarkStart w:id="438" w:name="8.1.1.1拟建工业场地周围声环境概况"/>
      <w:bookmarkEnd w:id="438"/>
      <w:bookmarkStart w:id="439" w:name="8.1.1.1拟建工业场地周围声环境概况"/>
      <w:bookmarkEnd w:id="439"/>
      <w:r>
        <w:t>拟建工业场地周围声环境概况</w:t>
      </w:r>
    </w:p>
    <w:p>
      <w:pPr>
        <w:pStyle w:val="9"/>
        <w:spacing w:before="158"/>
        <w:ind w:left="1898"/>
      </w:pPr>
      <w:r>
        <w:t>本评价区执行《声环境质量标准》（</w:t>
      </w:r>
      <w:r>
        <w:rPr>
          <w:rFonts w:ascii="Times New Roman" w:eastAsia="Times New Roman"/>
        </w:rPr>
        <w:t>GB3096-2008</w:t>
      </w:r>
      <w:r>
        <w:t xml:space="preserve">）中规定的 </w:t>
      </w:r>
      <w:r>
        <w:rPr>
          <w:rFonts w:ascii="Times New Roman" w:eastAsia="Times New Roman"/>
        </w:rPr>
        <w:t xml:space="preserve">2 </w:t>
      </w:r>
      <w:r>
        <w:t>类地区标准。厂界</w:t>
      </w:r>
    </w:p>
    <w:p>
      <w:pPr>
        <w:pStyle w:val="9"/>
        <w:spacing w:before="160" w:line="362" w:lineRule="auto"/>
        <w:ind w:left="1418" w:right="1297"/>
      </w:pPr>
      <w:r>
        <w:rPr>
          <w:spacing w:val="-12"/>
        </w:rPr>
        <w:t>噪声现状评价执行《工业企业厂界环境噪声排放标准》</w:t>
      </w:r>
      <w:r>
        <w:rPr>
          <w:spacing w:val="-5"/>
        </w:rPr>
        <w:t>（</w:t>
      </w:r>
      <w:r>
        <w:rPr>
          <w:rFonts w:ascii="Times New Roman" w:eastAsia="Times New Roman"/>
          <w:spacing w:val="-5"/>
        </w:rPr>
        <w:t>GB12348-2008</w:t>
      </w:r>
      <w:r>
        <w:rPr>
          <w:spacing w:val="-5"/>
        </w:rPr>
        <w:t>）</w:t>
      </w:r>
      <w:r>
        <w:rPr>
          <w:spacing w:val="-19"/>
        </w:rPr>
        <w:t xml:space="preserve">中的 </w:t>
      </w:r>
      <w:r>
        <w:rPr>
          <w:rFonts w:ascii="Times New Roman" w:eastAsia="Times New Roman"/>
        </w:rPr>
        <w:t xml:space="preserve">2 </w:t>
      </w:r>
      <w:r>
        <w:rPr>
          <w:spacing w:val="-4"/>
        </w:rPr>
        <w:t xml:space="preserve">类标准， </w:t>
      </w:r>
      <w:r>
        <w:rPr>
          <w:spacing w:val="-16"/>
        </w:rPr>
        <w:t xml:space="preserve">即昼间 </w:t>
      </w:r>
      <w:r>
        <w:rPr>
          <w:rFonts w:ascii="Times New Roman" w:eastAsia="Times New Roman"/>
        </w:rPr>
        <w:t>60dB</w:t>
      </w:r>
      <w:r>
        <w:t>（</w:t>
      </w:r>
      <w:r>
        <w:rPr>
          <w:rFonts w:ascii="Times New Roman" w:eastAsia="Times New Roman"/>
        </w:rPr>
        <w:t>A</w:t>
      </w:r>
      <w:r>
        <w:t>），</w:t>
      </w:r>
      <w:r>
        <w:rPr>
          <w:spacing w:val="-20"/>
        </w:rPr>
        <w:t xml:space="preserve">夜间 </w:t>
      </w:r>
      <w:r>
        <w:rPr>
          <w:rFonts w:ascii="Times New Roman" w:eastAsia="Times New Roman"/>
        </w:rPr>
        <w:t>50dB</w:t>
      </w:r>
      <w:r>
        <w:t>（</w:t>
      </w:r>
      <w:r>
        <w:rPr>
          <w:rFonts w:ascii="Times New Roman" w:eastAsia="Times New Roman"/>
        </w:rPr>
        <w:t>A</w:t>
      </w:r>
      <w:r>
        <w:t>）。</w:t>
      </w:r>
    </w:p>
    <w:p>
      <w:pPr>
        <w:pStyle w:val="9"/>
        <w:spacing w:before="5"/>
        <w:ind w:left="1898"/>
      </w:pPr>
      <w:r>
        <w:t>工业广场厂界外周边主要为林地，声环境状况良好。</w:t>
      </w:r>
    </w:p>
    <w:p>
      <w:pPr>
        <w:pStyle w:val="8"/>
        <w:numPr>
          <w:ilvl w:val="3"/>
          <w:numId w:val="72"/>
        </w:numPr>
        <w:tabs>
          <w:tab w:val="left" w:pos="2139"/>
        </w:tabs>
        <w:spacing w:before="158" w:after="0" w:line="240" w:lineRule="auto"/>
        <w:ind w:left="2138" w:right="0" w:hanging="721"/>
        <w:jc w:val="left"/>
      </w:pPr>
      <w:bookmarkStart w:id="440" w:name="8.1.1.2声环境现状监测点及测量方法"/>
      <w:bookmarkEnd w:id="440"/>
      <w:bookmarkStart w:id="441" w:name="8.1.1.2声环境现状监测点及测量方法"/>
      <w:bookmarkEnd w:id="441"/>
      <w:r>
        <w:rPr>
          <w:w w:val="95"/>
        </w:rPr>
        <w:t>声环境现状监测点及测量方法</w:t>
      </w:r>
    </w:p>
    <w:p>
      <w:pPr>
        <w:pStyle w:val="9"/>
        <w:spacing w:before="161" w:line="364" w:lineRule="auto"/>
        <w:ind w:left="1418" w:right="1417" w:firstLine="480"/>
      </w:pPr>
      <w:r>
        <w:rPr>
          <w:spacing w:val="-3"/>
        </w:rPr>
        <w:t xml:space="preserve">本项目委托黑龙江康和检测有限公司于 </w:t>
      </w:r>
      <w:r>
        <w:rPr>
          <w:rFonts w:ascii="Times New Roman" w:eastAsia="Times New Roman"/>
        </w:rPr>
        <w:t xml:space="preserve">2020 </w:t>
      </w:r>
      <w:r>
        <w:rPr>
          <w:spacing w:val="-26"/>
        </w:rPr>
        <w:t xml:space="preserve">年 </w:t>
      </w:r>
      <w:r>
        <w:rPr>
          <w:rFonts w:ascii="Times New Roman" w:eastAsia="Times New Roman"/>
        </w:rPr>
        <w:t xml:space="preserve">4 </w:t>
      </w:r>
      <w:r>
        <w:rPr>
          <w:spacing w:val="-26"/>
        </w:rPr>
        <w:t xml:space="preserve">月 </w:t>
      </w:r>
      <w:r>
        <w:rPr>
          <w:rFonts w:ascii="Times New Roman" w:eastAsia="Times New Roman"/>
        </w:rPr>
        <w:t xml:space="preserve">15~16 </w:t>
      </w:r>
      <w:r>
        <w:t>日对本项目主井工业广</w:t>
      </w:r>
      <w:r>
        <w:rPr>
          <w:spacing w:val="-4"/>
        </w:rPr>
        <w:t xml:space="preserve">场厂界及副井工业广场厂界进行检测，各布设 </w:t>
      </w:r>
      <w:r>
        <w:rPr>
          <w:rFonts w:ascii="Times New Roman" w:eastAsia="Times New Roman"/>
        </w:rPr>
        <w:t xml:space="preserve">4 </w:t>
      </w:r>
      <w:r>
        <w:rPr>
          <w:spacing w:val="-11"/>
        </w:rPr>
        <w:t xml:space="preserve">个监测点，共布设 </w:t>
      </w:r>
      <w:r>
        <w:rPr>
          <w:rFonts w:ascii="Times New Roman" w:eastAsia="Times New Roman"/>
        </w:rPr>
        <w:t xml:space="preserve">8 </w:t>
      </w:r>
      <w:r>
        <w:rPr>
          <w:spacing w:val="-6"/>
        </w:rPr>
        <w:t>个监测点，连续监</w:t>
      </w:r>
    </w:p>
    <w:p>
      <w:pPr>
        <w:pStyle w:val="9"/>
        <w:spacing w:line="362" w:lineRule="auto"/>
        <w:ind w:left="1418" w:right="1417"/>
      </w:pPr>
      <w:r>
        <w:rPr>
          <w:spacing w:val="-30"/>
        </w:rPr>
        <w:t xml:space="preserve">测 </w:t>
      </w:r>
      <w:r>
        <w:rPr>
          <w:rFonts w:ascii="Times New Roman" w:eastAsia="Times New Roman"/>
        </w:rPr>
        <w:t xml:space="preserve">2 </w:t>
      </w:r>
      <w:r>
        <w:rPr>
          <w:spacing w:val="-8"/>
        </w:rPr>
        <w:t>天，采用多功能声级计，分昼、夜两个时段进行监测，检测按《工业企业厂界环境</w:t>
      </w:r>
      <w:r>
        <w:t>噪声排放标准》（</w:t>
      </w:r>
      <w:r>
        <w:rPr>
          <w:rFonts w:ascii="Times New Roman" w:eastAsia="Times New Roman"/>
        </w:rPr>
        <w:t>GB12348-2008</w:t>
      </w:r>
      <w:r>
        <w:t>）进行。现状监测结果见下表。</w:t>
      </w:r>
    </w:p>
    <w:p>
      <w:pPr>
        <w:spacing w:before="3"/>
        <w:ind w:left="9" w:right="0" w:firstLine="0"/>
        <w:jc w:val="center"/>
        <w:rPr>
          <w:rFonts w:ascii="Times New Roman" w:eastAsia="Times New Roman"/>
          <w:b/>
          <w:sz w:val="21"/>
        </w:rPr>
      </w:pPr>
      <w:r>
        <w:rPr>
          <w:b/>
          <w:spacing w:val="-26"/>
          <w:sz w:val="21"/>
        </w:rPr>
        <w:t xml:space="preserve">表 </w:t>
      </w:r>
      <w:r>
        <w:rPr>
          <w:rFonts w:ascii="Times New Roman" w:eastAsia="Times New Roman"/>
          <w:b/>
          <w:sz w:val="21"/>
        </w:rPr>
        <w:t>8.1-1</w:t>
      </w:r>
      <w:r>
        <w:rPr>
          <w:rFonts w:ascii="Times New Roman" w:eastAsia="Times New Roman"/>
          <w:b/>
          <w:spacing w:val="52"/>
          <w:sz w:val="21"/>
        </w:rPr>
        <w:t xml:space="preserve"> </w:t>
      </w:r>
      <w:r>
        <w:rPr>
          <w:b/>
          <w:sz w:val="21"/>
        </w:rPr>
        <w:t>噪声监测结果单位：</w:t>
      </w:r>
      <w:r>
        <w:rPr>
          <w:rFonts w:ascii="Times New Roman" w:eastAsia="Times New Roman"/>
          <w:b/>
          <w:sz w:val="21"/>
        </w:rPr>
        <w:t>dB(A)</w:t>
      </w:r>
    </w:p>
    <w:p>
      <w:pPr>
        <w:pStyle w:val="9"/>
        <w:rPr>
          <w:rFonts w:ascii="Times New Roman"/>
          <w:b/>
          <w:sz w:val="12"/>
        </w:rPr>
      </w:pPr>
    </w:p>
    <w:tbl>
      <w:tblPr>
        <w:tblStyle w:val="15"/>
        <w:tblW w:w="0" w:type="auto"/>
        <w:tblInd w:w="13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557"/>
        <w:gridCol w:w="1350"/>
        <w:gridCol w:w="1804"/>
        <w:gridCol w:w="1804"/>
        <w:gridCol w:w="18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trPr>
        <w:tc>
          <w:tcPr>
            <w:tcW w:w="2557" w:type="dxa"/>
            <w:vMerge w:val="restart"/>
            <w:tcBorders>
              <w:right w:val="single" w:color="000000" w:sz="4" w:space="0"/>
            </w:tcBorders>
          </w:tcPr>
          <w:p>
            <w:pPr>
              <w:pStyle w:val="19"/>
              <w:spacing w:before="5"/>
              <w:jc w:val="left"/>
              <w:rPr>
                <w:rFonts w:ascii="Times New Roman"/>
                <w:b/>
                <w:sz w:val="17"/>
              </w:rPr>
            </w:pPr>
          </w:p>
          <w:p>
            <w:pPr>
              <w:pStyle w:val="19"/>
              <w:ind w:left="859"/>
              <w:jc w:val="left"/>
              <w:rPr>
                <w:sz w:val="21"/>
              </w:rPr>
            </w:pPr>
            <w:r>
              <w:rPr>
                <w:sz w:val="21"/>
              </w:rPr>
              <w:t>检测地点</w:t>
            </w:r>
          </w:p>
        </w:tc>
        <w:tc>
          <w:tcPr>
            <w:tcW w:w="3154" w:type="dxa"/>
            <w:gridSpan w:val="2"/>
            <w:tcBorders>
              <w:left w:val="single" w:color="000000" w:sz="4" w:space="0"/>
              <w:bottom w:val="single" w:color="000000" w:sz="4" w:space="0"/>
              <w:right w:val="single" w:color="000000" w:sz="4" w:space="0"/>
            </w:tcBorders>
          </w:tcPr>
          <w:p>
            <w:pPr>
              <w:pStyle w:val="19"/>
              <w:spacing w:before="28"/>
              <w:ind w:left="767"/>
              <w:jc w:val="left"/>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4 </w:t>
            </w:r>
            <w:r>
              <w:rPr>
                <w:sz w:val="21"/>
              </w:rPr>
              <w:t xml:space="preserve">月 </w:t>
            </w:r>
            <w:r>
              <w:rPr>
                <w:rFonts w:ascii="Times New Roman" w:eastAsia="Times New Roman"/>
                <w:sz w:val="21"/>
              </w:rPr>
              <w:t xml:space="preserve">15 </w:t>
            </w:r>
            <w:r>
              <w:rPr>
                <w:sz w:val="21"/>
              </w:rPr>
              <w:t>日</w:t>
            </w:r>
          </w:p>
        </w:tc>
        <w:tc>
          <w:tcPr>
            <w:tcW w:w="3609" w:type="dxa"/>
            <w:gridSpan w:val="2"/>
            <w:tcBorders>
              <w:left w:val="single" w:color="000000" w:sz="4" w:space="0"/>
              <w:bottom w:val="single" w:color="000000" w:sz="4" w:space="0"/>
            </w:tcBorders>
          </w:tcPr>
          <w:p>
            <w:pPr>
              <w:pStyle w:val="19"/>
              <w:spacing w:before="28"/>
              <w:ind w:left="992"/>
              <w:jc w:val="left"/>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4 </w:t>
            </w:r>
            <w:r>
              <w:rPr>
                <w:sz w:val="21"/>
              </w:rPr>
              <w:t xml:space="preserve">月 </w:t>
            </w:r>
            <w:r>
              <w:rPr>
                <w:rFonts w:ascii="Times New Roman" w:eastAsia="Times New Roman"/>
                <w:sz w:val="21"/>
              </w:rPr>
              <w:t xml:space="preserve">16 </w:t>
            </w:r>
            <w:r>
              <w:rPr>
                <w:sz w:val="21"/>
              </w:rPr>
              <w:t>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2557" w:type="dxa"/>
            <w:vMerge w:val="continue"/>
            <w:tcBorders>
              <w:top w:val="nil"/>
              <w:right w:val="single" w:color="000000" w:sz="4" w:space="0"/>
            </w:tcBorders>
          </w:tcPr>
          <w:p>
            <w:pPr>
              <w:rPr>
                <w:sz w:val="2"/>
                <w:szCs w:val="2"/>
              </w:rPr>
            </w:pPr>
          </w:p>
        </w:tc>
        <w:tc>
          <w:tcPr>
            <w:tcW w:w="1350" w:type="dxa"/>
            <w:tcBorders>
              <w:top w:val="single" w:color="000000" w:sz="4" w:space="0"/>
              <w:left w:val="single" w:color="000000" w:sz="4" w:space="0"/>
              <w:right w:val="single" w:color="000000" w:sz="4" w:space="0"/>
            </w:tcBorders>
          </w:tcPr>
          <w:p>
            <w:pPr>
              <w:pStyle w:val="19"/>
              <w:spacing w:line="266" w:lineRule="exact"/>
              <w:ind w:left="448" w:right="431"/>
              <w:rPr>
                <w:sz w:val="21"/>
              </w:rPr>
            </w:pPr>
            <w:r>
              <w:rPr>
                <w:sz w:val="21"/>
              </w:rPr>
              <w:t>昼间</w:t>
            </w:r>
          </w:p>
        </w:tc>
        <w:tc>
          <w:tcPr>
            <w:tcW w:w="1804" w:type="dxa"/>
            <w:tcBorders>
              <w:top w:val="single" w:color="000000" w:sz="4" w:space="0"/>
              <w:left w:val="single" w:color="000000" w:sz="4" w:space="0"/>
              <w:right w:val="single" w:color="000000" w:sz="4" w:space="0"/>
            </w:tcBorders>
          </w:tcPr>
          <w:p>
            <w:pPr>
              <w:pStyle w:val="19"/>
              <w:spacing w:before="28"/>
              <w:ind w:left="674" w:right="658"/>
              <w:rPr>
                <w:sz w:val="21"/>
              </w:rPr>
            </w:pPr>
            <w:r>
              <w:rPr>
                <w:sz w:val="21"/>
              </w:rPr>
              <w:t>夜间</w:t>
            </w:r>
          </w:p>
        </w:tc>
        <w:tc>
          <w:tcPr>
            <w:tcW w:w="1804" w:type="dxa"/>
            <w:tcBorders>
              <w:top w:val="single" w:color="000000" w:sz="4" w:space="0"/>
              <w:left w:val="single" w:color="000000" w:sz="4" w:space="0"/>
              <w:right w:val="single" w:color="000000" w:sz="4" w:space="0"/>
            </w:tcBorders>
          </w:tcPr>
          <w:p>
            <w:pPr>
              <w:pStyle w:val="19"/>
              <w:spacing w:before="28"/>
              <w:ind w:left="675" w:right="657"/>
              <w:rPr>
                <w:sz w:val="21"/>
              </w:rPr>
            </w:pPr>
            <w:r>
              <w:rPr>
                <w:sz w:val="21"/>
              </w:rPr>
              <w:t>昼间</w:t>
            </w:r>
          </w:p>
        </w:tc>
        <w:tc>
          <w:tcPr>
            <w:tcW w:w="1805" w:type="dxa"/>
            <w:tcBorders>
              <w:top w:val="single" w:color="000000" w:sz="4" w:space="0"/>
              <w:left w:val="single" w:color="000000" w:sz="4" w:space="0"/>
            </w:tcBorders>
          </w:tcPr>
          <w:p>
            <w:pPr>
              <w:pStyle w:val="19"/>
              <w:spacing w:before="28"/>
              <w:ind w:left="303" w:right="289"/>
              <w:rPr>
                <w:sz w:val="21"/>
              </w:rPr>
            </w:pPr>
            <w:r>
              <w:rPr>
                <w:sz w:val="21"/>
              </w:rPr>
              <w:t>夜间</w:t>
            </w:r>
          </w:p>
        </w:tc>
      </w:tr>
    </w:tbl>
    <w:p>
      <w:pPr>
        <w:spacing w:after="0"/>
        <w:rPr>
          <w:sz w:val="21"/>
        </w:rPr>
        <w:sectPr>
          <w:pgSz w:w="11910" w:h="16840"/>
          <w:pgMar w:top="1580" w:right="0" w:bottom="880" w:left="0" w:header="0" w:footer="681" w:gutter="0"/>
        </w:sectPr>
      </w:pPr>
    </w:p>
    <w:tbl>
      <w:tblPr>
        <w:tblStyle w:val="15"/>
        <w:tblW w:w="0" w:type="auto"/>
        <w:tblInd w:w="13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1"/>
        <w:gridCol w:w="1276"/>
        <w:gridCol w:w="1350"/>
        <w:gridCol w:w="1804"/>
        <w:gridCol w:w="1804"/>
        <w:gridCol w:w="18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4" w:hRule="atLeast"/>
        </w:trPr>
        <w:tc>
          <w:tcPr>
            <w:tcW w:w="1281" w:type="dxa"/>
            <w:vMerge w:val="restart"/>
            <w:tcBorders>
              <w:bottom w:val="single" w:color="000000" w:sz="4" w:space="0"/>
              <w:right w:val="single" w:color="000000" w:sz="4" w:space="0"/>
            </w:tcBorders>
          </w:tcPr>
          <w:p>
            <w:pPr>
              <w:pStyle w:val="19"/>
              <w:jc w:val="left"/>
              <w:rPr>
                <w:rFonts w:ascii="Times New Roman"/>
                <w:b/>
                <w:sz w:val="20"/>
              </w:rPr>
            </w:pPr>
          </w:p>
          <w:p>
            <w:pPr>
              <w:pStyle w:val="19"/>
              <w:jc w:val="left"/>
              <w:rPr>
                <w:rFonts w:ascii="Times New Roman"/>
                <w:b/>
                <w:sz w:val="20"/>
              </w:rPr>
            </w:pPr>
          </w:p>
          <w:p>
            <w:pPr>
              <w:pStyle w:val="19"/>
              <w:spacing w:before="9"/>
              <w:jc w:val="left"/>
              <w:rPr>
                <w:rFonts w:ascii="Times New Roman"/>
                <w:b/>
                <w:sz w:val="27"/>
              </w:rPr>
            </w:pPr>
          </w:p>
          <w:p>
            <w:pPr>
              <w:pStyle w:val="19"/>
              <w:ind w:left="43" w:right="-44"/>
              <w:jc w:val="left"/>
              <w:rPr>
                <w:sz w:val="21"/>
              </w:rPr>
            </w:pPr>
            <w:r>
              <w:rPr>
                <w:sz w:val="21"/>
              </w:rPr>
              <w:t>主井工业广场</w:t>
            </w:r>
          </w:p>
        </w:tc>
        <w:tc>
          <w:tcPr>
            <w:tcW w:w="1276" w:type="dxa"/>
            <w:tcBorders>
              <w:left w:val="single" w:color="000000" w:sz="4" w:space="0"/>
              <w:bottom w:val="single" w:color="000000" w:sz="4" w:space="0"/>
              <w:right w:val="single" w:color="000000" w:sz="4" w:space="0"/>
            </w:tcBorders>
          </w:tcPr>
          <w:p>
            <w:pPr>
              <w:pStyle w:val="19"/>
              <w:spacing w:before="111"/>
              <w:ind w:left="104" w:right="85"/>
              <w:rPr>
                <w:sz w:val="18"/>
              </w:rPr>
            </w:pPr>
            <w:r>
              <w:rPr>
                <w:rFonts w:ascii="Times New Roman" w:hAnsi="Times New Roman" w:eastAsia="Times New Roman"/>
                <w:sz w:val="18"/>
              </w:rPr>
              <w:t xml:space="preserve">▲1 </w:t>
            </w:r>
            <w:r>
              <w:rPr>
                <w:sz w:val="18"/>
              </w:rPr>
              <w:t>厂界东侧</w:t>
            </w:r>
          </w:p>
        </w:tc>
        <w:tc>
          <w:tcPr>
            <w:tcW w:w="1350" w:type="dxa"/>
            <w:tcBorders>
              <w:left w:val="single" w:color="000000" w:sz="4" w:space="0"/>
              <w:bottom w:val="single" w:color="000000" w:sz="4" w:space="0"/>
              <w:right w:val="single" w:color="000000" w:sz="4" w:space="0"/>
            </w:tcBorders>
          </w:tcPr>
          <w:p>
            <w:pPr>
              <w:pStyle w:val="19"/>
              <w:spacing w:before="100"/>
              <w:ind w:left="448" w:right="428"/>
              <w:rPr>
                <w:rFonts w:ascii="Times New Roman"/>
                <w:sz w:val="21"/>
              </w:rPr>
            </w:pPr>
            <w:r>
              <w:rPr>
                <w:rFonts w:ascii="Times New Roman"/>
                <w:sz w:val="21"/>
              </w:rPr>
              <w:t>49.0</w:t>
            </w:r>
          </w:p>
        </w:tc>
        <w:tc>
          <w:tcPr>
            <w:tcW w:w="1804" w:type="dxa"/>
            <w:tcBorders>
              <w:left w:val="single" w:color="000000" w:sz="4" w:space="0"/>
              <w:bottom w:val="single" w:color="000000" w:sz="4" w:space="0"/>
              <w:right w:val="single" w:color="000000" w:sz="4" w:space="0"/>
            </w:tcBorders>
          </w:tcPr>
          <w:p>
            <w:pPr>
              <w:pStyle w:val="19"/>
              <w:spacing w:before="100"/>
              <w:ind w:left="675" w:right="655"/>
              <w:rPr>
                <w:rFonts w:ascii="Times New Roman"/>
                <w:sz w:val="21"/>
              </w:rPr>
            </w:pPr>
            <w:r>
              <w:rPr>
                <w:rFonts w:ascii="Times New Roman"/>
                <w:sz w:val="21"/>
              </w:rPr>
              <w:t>37.5</w:t>
            </w:r>
          </w:p>
        </w:tc>
        <w:tc>
          <w:tcPr>
            <w:tcW w:w="1804" w:type="dxa"/>
            <w:tcBorders>
              <w:left w:val="single" w:color="000000" w:sz="4" w:space="0"/>
              <w:bottom w:val="single" w:color="000000" w:sz="4" w:space="0"/>
              <w:right w:val="single" w:color="000000" w:sz="4" w:space="0"/>
            </w:tcBorders>
          </w:tcPr>
          <w:p>
            <w:pPr>
              <w:pStyle w:val="19"/>
              <w:spacing w:before="100"/>
              <w:ind w:left="675" w:right="658"/>
              <w:rPr>
                <w:rFonts w:ascii="Times New Roman"/>
                <w:sz w:val="21"/>
              </w:rPr>
            </w:pPr>
            <w:r>
              <w:rPr>
                <w:rFonts w:ascii="Times New Roman"/>
                <w:sz w:val="21"/>
              </w:rPr>
              <w:t>48.9</w:t>
            </w:r>
          </w:p>
        </w:tc>
        <w:tc>
          <w:tcPr>
            <w:tcW w:w="1805" w:type="dxa"/>
            <w:tcBorders>
              <w:left w:val="single" w:color="000000" w:sz="4" w:space="0"/>
              <w:bottom w:val="single" w:color="000000" w:sz="4" w:space="0"/>
            </w:tcBorders>
          </w:tcPr>
          <w:p>
            <w:pPr>
              <w:pStyle w:val="19"/>
              <w:spacing w:before="100"/>
              <w:ind w:left="305" w:right="287"/>
              <w:rPr>
                <w:rFonts w:ascii="Times New Roman"/>
                <w:sz w:val="21"/>
              </w:rPr>
            </w:pPr>
            <w:r>
              <w:rPr>
                <w:rFonts w:ascii="Times New Roman"/>
                <w:sz w:val="21"/>
              </w:rPr>
              <w:t>38.1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281" w:type="dxa"/>
            <w:vMerge w:val="continue"/>
            <w:tcBorders>
              <w:top w:val="nil"/>
              <w:bottom w:val="single" w:color="000000" w:sz="4" w:space="0"/>
              <w:right w:val="single" w:color="000000" w:sz="4" w:space="0"/>
            </w:tcBorders>
          </w:tcPr>
          <w:p>
            <w:pPr>
              <w:rPr>
                <w:sz w:val="2"/>
                <w:szCs w:val="2"/>
              </w:rPr>
            </w:pPr>
          </w:p>
        </w:tc>
        <w:tc>
          <w:tcPr>
            <w:tcW w:w="1276" w:type="dxa"/>
            <w:tcBorders>
              <w:top w:val="single" w:color="000000" w:sz="4" w:space="0"/>
              <w:left w:val="single" w:color="000000" w:sz="4" w:space="0"/>
              <w:bottom w:val="single" w:color="000000" w:sz="4" w:space="0"/>
              <w:right w:val="single" w:color="000000" w:sz="4" w:space="0"/>
            </w:tcBorders>
          </w:tcPr>
          <w:p>
            <w:pPr>
              <w:pStyle w:val="19"/>
              <w:spacing w:before="115"/>
              <w:ind w:left="103" w:right="86"/>
              <w:rPr>
                <w:sz w:val="18"/>
              </w:rPr>
            </w:pPr>
            <w:r>
              <w:rPr>
                <w:rFonts w:ascii="Times New Roman" w:hAnsi="Times New Roman" w:eastAsia="Times New Roman"/>
                <w:sz w:val="18"/>
              </w:rPr>
              <w:t xml:space="preserve">▲2 </w:t>
            </w:r>
            <w:r>
              <w:rPr>
                <w:sz w:val="18"/>
              </w:rPr>
              <w:t>厂界南侧</w:t>
            </w:r>
          </w:p>
        </w:tc>
        <w:tc>
          <w:tcPr>
            <w:tcW w:w="1350" w:type="dxa"/>
            <w:tcBorders>
              <w:top w:val="single" w:color="000000" w:sz="4" w:space="0"/>
              <w:left w:val="single" w:color="000000" w:sz="4" w:space="0"/>
              <w:bottom w:val="single" w:color="000000" w:sz="4" w:space="0"/>
              <w:right w:val="single" w:color="000000" w:sz="4" w:space="0"/>
            </w:tcBorders>
          </w:tcPr>
          <w:p>
            <w:pPr>
              <w:pStyle w:val="19"/>
              <w:spacing w:before="106"/>
              <w:ind w:left="448" w:right="428"/>
              <w:rPr>
                <w:rFonts w:ascii="Times New Roman"/>
                <w:sz w:val="21"/>
              </w:rPr>
            </w:pPr>
            <w:r>
              <w:rPr>
                <w:rFonts w:ascii="Times New Roman"/>
                <w:sz w:val="21"/>
              </w:rPr>
              <w:t>48.5</w:t>
            </w:r>
          </w:p>
        </w:tc>
        <w:tc>
          <w:tcPr>
            <w:tcW w:w="1804" w:type="dxa"/>
            <w:tcBorders>
              <w:top w:val="single" w:color="000000" w:sz="4" w:space="0"/>
              <w:left w:val="single" w:color="000000" w:sz="4" w:space="0"/>
              <w:bottom w:val="single" w:color="000000" w:sz="4" w:space="0"/>
              <w:right w:val="single" w:color="000000" w:sz="4" w:space="0"/>
            </w:tcBorders>
          </w:tcPr>
          <w:p>
            <w:pPr>
              <w:pStyle w:val="19"/>
              <w:spacing w:before="106"/>
              <w:ind w:left="675" w:right="655"/>
              <w:rPr>
                <w:rFonts w:ascii="Times New Roman"/>
                <w:sz w:val="21"/>
              </w:rPr>
            </w:pPr>
            <w:r>
              <w:rPr>
                <w:rFonts w:ascii="Times New Roman"/>
                <w:sz w:val="21"/>
              </w:rPr>
              <w:t>37.5</w:t>
            </w:r>
          </w:p>
        </w:tc>
        <w:tc>
          <w:tcPr>
            <w:tcW w:w="1804" w:type="dxa"/>
            <w:tcBorders>
              <w:top w:val="single" w:color="000000" w:sz="4" w:space="0"/>
              <w:left w:val="single" w:color="000000" w:sz="4" w:space="0"/>
              <w:bottom w:val="single" w:color="000000" w:sz="4" w:space="0"/>
              <w:right w:val="single" w:color="000000" w:sz="4" w:space="0"/>
            </w:tcBorders>
          </w:tcPr>
          <w:p>
            <w:pPr>
              <w:pStyle w:val="19"/>
              <w:spacing w:before="106"/>
              <w:ind w:left="675" w:right="658"/>
              <w:rPr>
                <w:rFonts w:ascii="Times New Roman"/>
                <w:sz w:val="21"/>
              </w:rPr>
            </w:pPr>
            <w:r>
              <w:rPr>
                <w:rFonts w:ascii="Times New Roman"/>
                <w:sz w:val="21"/>
              </w:rPr>
              <w:t>48.7</w:t>
            </w:r>
          </w:p>
        </w:tc>
        <w:tc>
          <w:tcPr>
            <w:tcW w:w="1805" w:type="dxa"/>
            <w:tcBorders>
              <w:top w:val="single" w:color="000000" w:sz="4" w:space="0"/>
              <w:left w:val="single" w:color="000000" w:sz="4" w:space="0"/>
              <w:bottom w:val="single" w:color="000000" w:sz="4" w:space="0"/>
            </w:tcBorders>
          </w:tcPr>
          <w:p>
            <w:pPr>
              <w:pStyle w:val="19"/>
              <w:spacing w:before="106"/>
              <w:ind w:left="305" w:right="287"/>
              <w:rPr>
                <w:rFonts w:ascii="Times New Roman"/>
                <w:sz w:val="21"/>
              </w:rPr>
            </w:pPr>
            <w:r>
              <w:rPr>
                <w:rFonts w:ascii="Times New Roman"/>
                <w:sz w:val="21"/>
              </w:rPr>
              <w:t>37.6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281" w:type="dxa"/>
            <w:vMerge w:val="continue"/>
            <w:tcBorders>
              <w:top w:val="nil"/>
              <w:bottom w:val="single" w:color="000000" w:sz="4" w:space="0"/>
              <w:right w:val="single" w:color="000000" w:sz="4" w:space="0"/>
            </w:tcBorders>
          </w:tcPr>
          <w:p>
            <w:pPr>
              <w:rPr>
                <w:sz w:val="2"/>
                <w:szCs w:val="2"/>
              </w:rPr>
            </w:pPr>
          </w:p>
        </w:tc>
        <w:tc>
          <w:tcPr>
            <w:tcW w:w="1276" w:type="dxa"/>
            <w:tcBorders>
              <w:top w:val="single" w:color="000000" w:sz="4" w:space="0"/>
              <w:left w:val="single" w:color="000000" w:sz="4" w:space="0"/>
              <w:bottom w:val="single" w:color="000000" w:sz="4" w:space="0"/>
              <w:right w:val="single" w:color="000000" w:sz="4" w:space="0"/>
            </w:tcBorders>
          </w:tcPr>
          <w:p>
            <w:pPr>
              <w:pStyle w:val="19"/>
              <w:spacing w:before="115"/>
              <w:ind w:left="103" w:right="86"/>
              <w:rPr>
                <w:sz w:val="18"/>
              </w:rPr>
            </w:pPr>
            <w:r>
              <w:rPr>
                <w:rFonts w:ascii="Times New Roman" w:hAnsi="Times New Roman" w:eastAsia="Times New Roman"/>
                <w:sz w:val="18"/>
              </w:rPr>
              <w:t xml:space="preserve">▲3 </w:t>
            </w:r>
            <w:r>
              <w:rPr>
                <w:sz w:val="18"/>
              </w:rPr>
              <w:t>厂界西侧</w:t>
            </w:r>
          </w:p>
        </w:tc>
        <w:tc>
          <w:tcPr>
            <w:tcW w:w="1350" w:type="dxa"/>
            <w:tcBorders>
              <w:top w:val="single" w:color="000000" w:sz="4" w:space="0"/>
              <w:left w:val="single" w:color="000000" w:sz="4" w:space="0"/>
              <w:bottom w:val="single" w:color="000000" w:sz="4" w:space="0"/>
              <w:right w:val="single" w:color="000000" w:sz="4" w:space="0"/>
            </w:tcBorders>
          </w:tcPr>
          <w:p>
            <w:pPr>
              <w:pStyle w:val="19"/>
              <w:spacing w:before="106"/>
              <w:ind w:left="448" w:right="428"/>
              <w:rPr>
                <w:rFonts w:ascii="Times New Roman"/>
                <w:sz w:val="21"/>
              </w:rPr>
            </w:pPr>
            <w:r>
              <w:rPr>
                <w:rFonts w:ascii="Times New Roman"/>
                <w:sz w:val="21"/>
              </w:rPr>
              <w:t>49.3</w:t>
            </w:r>
          </w:p>
        </w:tc>
        <w:tc>
          <w:tcPr>
            <w:tcW w:w="1804" w:type="dxa"/>
            <w:tcBorders>
              <w:top w:val="single" w:color="000000" w:sz="4" w:space="0"/>
              <w:left w:val="single" w:color="000000" w:sz="4" w:space="0"/>
              <w:bottom w:val="single" w:color="000000" w:sz="4" w:space="0"/>
              <w:right w:val="single" w:color="000000" w:sz="4" w:space="0"/>
            </w:tcBorders>
          </w:tcPr>
          <w:p>
            <w:pPr>
              <w:pStyle w:val="19"/>
              <w:spacing w:before="106"/>
              <w:ind w:left="675" w:right="655"/>
              <w:rPr>
                <w:rFonts w:ascii="Times New Roman"/>
                <w:sz w:val="21"/>
              </w:rPr>
            </w:pPr>
            <w:r>
              <w:rPr>
                <w:rFonts w:ascii="Times New Roman"/>
                <w:sz w:val="21"/>
              </w:rPr>
              <w:t>38.3</w:t>
            </w:r>
          </w:p>
        </w:tc>
        <w:tc>
          <w:tcPr>
            <w:tcW w:w="1804" w:type="dxa"/>
            <w:tcBorders>
              <w:top w:val="single" w:color="000000" w:sz="4" w:space="0"/>
              <w:left w:val="single" w:color="000000" w:sz="4" w:space="0"/>
              <w:bottom w:val="single" w:color="000000" w:sz="4" w:space="0"/>
              <w:right w:val="single" w:color="000000" w:sz="4" w:space="0"/>
            </w:tcBorders>
          </w:tcPr>
          <w:p>
            <w:pPr>
              <w:pStyle w:val="19"/>
              <w:spacing w:before="106"/>
              <w:ind w:left="675" w:right="658"/>
              <w:rPr>
                <w:rFonts w:ascii="Times New Roman"/>
                <w:sz w:val="21"/>
              </w:rPr>
            </w:pPr>
            <w:r>
              <w:rPr>
                <w:rFonts w:ascii="Times New Roman"/>
                <w:sz w:val="21"/>
              </w:rPr>
              <w:t>47.7</w:t>
            </w:r>
          </w:p>
        </w:tc>
        <w:tc>
          <w:tcPr>
            <w:tcW w:w="1805" w:type="dxa"/>
            <w:tcBorders>
              <w:top w:val="single" w:color="000000" w:sz="4" w:space="0"/>
              <w:left w:val="single" w:color="000000" w:sz="4" w:space="0"/>
              <w:bottom w:val="single" w:color="000000" w:sz="4" w:space="0"/>
            </w:tcBorders>
          </w:tcPr>
          <w:p>
            <w:pPr>
              <w:pStyle w:val="19"/>
              <w:spacing w:before="106"/>
              <w:ind w:left="305" w:right="287"/>
              <w:rPr>
                <w:rFonts w:ascii="Times New Roman"/>
                <w:sz w:val="21"/>
              </w:rPr>
            </w:pPr>
            <w:r>
              <w:rPr>
                <w:rFonts w:ascii="Times New Roman"/>
                <w:sz w:val="21"/>
              </w:rPr>
              <w:t>39.2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281" w:type="dxa"/>
            <w:vMerge w:val="continue"/>
            <w:tcBorders>
              <w:top w:val="nil"/>
              <w:bottom w:val="single" w:color="000000" w:sz="4" w:space="0"/>
              <w:right w:val="single" w:color="000000" w:sz="4" w:space="0"/>
            </w:tcBorders>
          </w:tcPr>
          <w:p>
            <w:pPr>
              <w:rPr>
                <w:sz w:val="2"/>
                <w:szCs w:val="2"/>
              </w:rPr>
            </w:pPr>
          </w:p>
        </w:tc>
        <w:tc>
          <w:tcPr>
            <w:tcW w:w="1276" w:type="dxa"/>
            <w:tcBorders>
              <w:top w:val="single" w:color="000000" w:sz="4" w:space="0"/>
              <w:left w:val="single" w:color="000000" w:sz="4" w:space="0"/>
              <w:bottom w:val="single" w:color="000000" w:sz="4" w:space="0"/>
              <w:right w:val="single" w:color="000000" w:sz="4" w:space="0"/>
            </w:tcBorders>
          </w:tcPr>
          <w:p>
            <w:pPr>
              <w:pStyle w:val="19"/>
              <w:spacing w:before="114"/>
              <w:ind w:left="103" w:right="86"/>
              <w:rPr>
                <w:sz w:val="18"/>
              </w:rPr>
            </w:pPr>
            <w:r>
              <w:rPr>
                <w:rFonts w:ascii="Times New Roman" w:hAnsi="Times New Roman" w:eastAsia="Times New Roman"/>
                <w:sz w:val="18"/>
              </w:rPr>
              <w:t xml:space="preserve">▲4 </w:t>
            </w:r>
            <w:r>
              <w:rPr>
                <w:sz w:val="18"/>
              </w:rPr>
              <w:t>厂界北侧</w:t>
            </w:r>
          </w:p>
        </w:tc>
        <w:tc>
          <w:tcPr>
            <w:tcW w:w="1350" w:type="dxa"/>
            <w:tcBorders>
              <w:top w:val="single" w:color="000000" w:sz="4" w:space="0"/>
              <w:left w:val="single" w:color="000000" w:sz="4" w:space="0"/>
              <w:bottom w:val="single" w:color="000000" w:sz="4" w:space="0"/>
              <w:right w:val="single" w:color="000000" w:sz="4" w:space="0"/>
            </w:tcBorders>
          </w:tcPr>
          <w:p>
            <w:pPr>
              <w:pStyle w:val="19"/>
              <w:spacing w:before="105"/>
              <w:ind w:left="448" w:right="428"/>
              <w:rPr>
                <w:rFonts w:ascii="Times New Roman"/>
                <w:sz w:val="21"/>
              </w:rPr>
            </w:pPr>
            <w:r>
              <w:rPr>
                <w:rFonts w:ascii="Times New Roman"/>
                <w:sz w:val="21"/>
              </w:rPr>
              <w:t>47.5</w:t>
            </w:r>
          </w:p>
        </w:tc>
        <w:tc>
          <w:tcPr>
            <w:tcW w:w="1804" w:type="dxa"/>
            <w:tcBorders>
              <w:top w:val="single" w:color="000000" w:sz="4" w:space="0"/>
              <w:left w:val="single" w:color="000000" w:sz="4" w:space="0"/>
              <w:bottom w:val="single" w:color="000000" w:sz="4" w:space="0"/>
              <w:right w:val="single" w:color="000000" w:sz="4" w:space="0"/>
            </w:tcBorders>
          </w:tcPr>
          <w:p>
            <w:pPr>
              <w:pStyle w:val="19"/>
              <w:spacing w:before="105"/>
              <w:ind w:left="675" w:right="655"/>
              <w:rPr>
                <w:rFonts w:ascii="Times New Roman"/>
                <w:sz w:val="21"/>
              </w:rPr>
            </w:pPr>
            <w:r>
              <w:rPr>
                <w:rFonts w:ascii="Times New Roman"/>
                <w:sz w:val="21"/>
              </w:rPr>
              <w:t>37.7</w:t>
            </w:r>
          </w:p>
        </w:tc>
        <w:tc>
          <w:tcPr>
            <w:tcW w:w="1804" w:type="dxa"/>
            <w:tcBorders>
              <w:top w:val="single" w:color="000000" w:sz="4" w:space="0"/>
              <w:left w:val="single" w:color="000000" w:sz="4" w:space="0"/>
              <w:bottom w:val="single" w:color="000000" w:sz="4" w:space="0"/>
              <w:right w:val="single" w:color="000000" w:sz="4" w:space="0"/>
            </w:tcBorders>
          </w:tcPr>
          <w:p>
            <w:pPr>
              <w:pStyle w:val="19"/>
              <w:spacing w:before="105"/>
              <w:ind w:left="675" w:right="658"/>
              <w:rPr>
                <w:rFonts w:ascii="Times New Roman"/>
                <w:sz w:val="21"/>
              </w:rPr>
            </w:pPr>
            <w:r>
              <w:rPr>
                <w:rFonts w:ascii="Times New Roman"/>
                <w:sz w:val="21"/>
              </w:rPr>
              <w:t>47.8</w:t>
            </w:r>
          </w:p>
        </w:tc>
        <w:tc>
          <w:tcPr>
            <w:tcW w:w="1805" w:type="dxa"/>
            <w:tcBorders>
              <w:top w:val="single" w:color="000000" w:sz="4" w:space="0"/>
              <w:left w:val="single" w:color="000000" w:sz="4" w:space="0"/>
              <w:bottom w:val="single" w:color="000000" w:sz="4" w:space="0"/>
            </w:tcBorders>
          </w:tcPr>
          <w:p>
            <w:pPr>
              <w:pStyle w:val="19"/>
              <w:spacing w:before="105"/>
              <w:ind w:left="305" w:right="287"/>
              <w:rPr>
                <w:rFonts w:ascii="Times New Roman"/>
                <w:sz w:val="21"/>
              </w:rPr>
            </w:pPr>
            <w:r>
              <w:rPr>
                <w:rFonts w:ascii="Times New Roman"/>
                <w:sz w:val="21"/>
              </w:rPr>
              <w:t>38.5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9" w:hRule="atLeast"/>
        </w:trPr>
        <w:tc>
          <w:tcPr>
            <w:tcW w:w="1281" w:type="dxa"/>
            <w:vMerge w:val="restart"/>
            <w:tcBorders>
              <w:top w:val="single" w:color="000000" w:sz="4" w:space="0"/>
              <w:right w:val="single" w:color="000000" w:sz="4" w:space="0"/>
            </w:tcBorders>
          </w:tcPr>
          <w:p>
            <w:pPr>
              <w:pStyle w:val="19"/>
              <w:jc w:val="left"/>
              <w:rPr>
                <w:rFonts w:ascii="Times New Roman"/>
                <w:b/>
                <w:sz w:val="20"/>
              </w:rPr>
            </w:pPr>
          </w:p>
          <w:p>
            <w:pPr>
              <w:pStyle w:val="19"/>
              <w:jc w:val="left"/>
              <w:rPr>
                <w:rFonts w:ascii="Times New Roman"/>
                <w:b/>
                <w:sz w:val="20"/>
              </w:rPr>
            </w:pPr>
          </w:p>
          <w:p>
            <w:pPr>
              <w:pStyle w:val="19"/>
              <w:spacing w:before="2"/>
              <w:jc w:val="left"/>
              <w:rPr>
                <w:rFonts w:ascii="Times New Roman"/>
                <w:b/>
                <w:sz w:val="28"/>
              </w:rPr>
            </w:pPr>
          </w:p>
          <w:p>
            <w:pPr>
              <w:pStyle w:val="19"/>
              <w:ind w:left="43" w:right="-44"/>
              <w:jc w:val="left"/>
              <w:rPr>
                <w:sz w:val="21"/>
              </w:rPr>
            </w:pPr>
            <w:r>
              <w:rPr>
                <w:sz w:val="21"/>
              </w:rPr>
              <w:t>副井工业广场</w:t>
            </w:r>
          </w:p>
        </w:tc>
        <w:tc>
          <w:tcPr>
            <w:tcW w:w="1276" w:type="dxa"/>
            <w:tcBorders>
              <w:top w:val="single" w:color="000000" w:sz="4" w:space="0"/>
              <w:left w:val="single" w:color="000000" w:sz="4" w:space="0"/>
              <w:bottom w:val="single" w:color="000000" w:sz="4" w:space="0"/>
              <w:right w:val="single" w:color="000000" w:sz="4" w:space="0"/>
            </w:tcBorders>
          </w:tcPr>
          <w:p>
            <w:pPr>
              <w:pStyle w:val="19"/>
              <w:spacing w:before="115"/>
              <w:ind w:left="104" w:right="85"/>
              <w:rPr>
                <w:sz w:val="18"/>
              </w:rPr>
            </w:pPr>
            <w:r>
              <w:rPr>
                <w:rFonts w:ascii="Times New Roman" w:hAnsi="Times New Roman" w:eastAsia="Times New Roman"/>
                <w:sz w:val="18"/>
              </w:rPr>
              <w:t xml:space="preserve">▲5 </w:t>
            </w:r>
            <w:r>
              <w:rPr>
                <w:sz w:val="18"/>
              </w:rPr>
              <w:t>厂界东侧</w:t>
            </w:r>
          </w:p>
        </w:tc>
        <w:tc>
          <w:tcPr>
            <w:tcW w:w="1350" w:type="dxa"/>
            <w:tcBorders>
              <w:top w:val="single" w:color="000000" w:sz="4" w:space="0"/>
              <w:left w:val="single" w:color="000000" w:sz="4" w:space="0"/>
              <w:bottom w:val="single" w:color="000000" w:sz="4" w:space="0"/>
              <w:right w:val="single" w:color="000000" w:sz="4" w:space="0"/>
            </w:tcBorders>
          </w:tcPr>
          <w:p>
            <w:pPr>
              <w:pStyle w:val="19"/>
              <w:spacing w:before="106"/>
              <w:ind w:left="448" w:right="428"/>
              <w:rPr>
                <w:rFonts w:ascii="Times New Roman"/>
                <w:sz w:val="21"/>
              </w:rPr>
            </w:pPr>
            <w:r>
              <w:rPr>
                <w:rFonts w:ascii="Times New Roman"/>
                <w:sz w:val="21"/>
              </w:rPr>
              <w:t>47.5</w:t>
            </w:r>
          </w:p>
        </w:tc>
        <w:tc>
          <w:tcPr>
            <w:tcW w:w="1804" w:type="dxa"/>
            <w:tcBorders>
              <w:top w:val="single" w:color="000000" w:sz="4" w:space="0"/>
              <w:left w:val="single" w:color="000000" w:sz="4" w:space="0"/>
              <w:bottom w:val="single" w:color="000000" w:sz="4" w:space="0"/>
              <w:right w:val="single" w:color="000000" w:sz="4" w:space="0"/>
            </w:tcBorders>
          </w:tcPr>
          <w:p>
            <w:pPr>
              <w:pStyle w:val="19"/>
              <w:spacing w:before="106"/>
              <w:ind w:left="675" w:right="655"/>
              <w:rPr>
                <w:rFonts w:ascii="Times New Roman"/>
                <w:sz w:val="21"/>
              </w:rPr>
            </w:pPr>
            <w:r>
              <w:rPr>
                <w:rFonts w:ascii="Times New Roman"/>
                <w:sz w:val="21"/>
              </w:rPr>
              <w:t>38.3</w:t>
            </w:r>
          </w:p>
        </w:tc>
        <w:tc>
          <w:tcPr>
            <w:tcW w:w="1804" w:type="dxa"/>
            <w:tcBorders>
              <w:top w:val="single" w:color="000000" w:sz="4" w:space="0"/>
              <w:left w:val="single" w:color="000000" w:sz="4" w:space="0"/>
              <w:bottom w:val="single" w:color="000000" w:sz="4" w:space="0"/>
              <w:right w:val="single" w:color="000000" w:sz="4" w:space="0"/>
            </w:tcBorders>
          </w:tcPr>
          <w:p>
            <w:pPr>
              <w:pStyle w:val="19"/>
              <w:spacing w:before="106"/>
              <w:ind w:left="675" w:right="658"/>
              <w:rPr>
                <w:rFonts w:ascii="Times New Roman"/>
                <w:sz w:val="21"/>
              </w:rPr>
            </w:pPr>
            <w:r>
              <w:rPr>
                <w:rFonts w:ascii="Times New Roman"/>
                <w:sz w:val="21"/>
              </w:rPr>
              <w:t>48.1</w:t>
            </w:r>
          </w:p>
        </w:tc>
        <w:tc>
          <w:tcPr>
            <w:tcW w:w="1805" w:type="dxa"/>
            <w:tcBorders>
              <w:top w:val="single" w:color="000000" w:sz="4" w:space="0"/>
              <w:left w:val="single" w:color="000000" w:sz="4" w:space="0"/>
              <w:bottom w:val="single" w:color="000000" w:sz="4" w:space="0"/>
            </w:tcBorders>
          </w:tcPr>
          <w:p>
            <w:pPr>
              <w:pStyle w:val="19"/>
              <w:spacing w:before="106"/>
              <w:ind w:left="305" w:right="287"/>
              <w:rPr>
                <w:rFonts w:ascii="Times New Roman"/>
                <w:sz w:val="21"/>
              </w:rPr>
            </w:pPr>
            <w:r>
              <w:rPr>
                <w:rFonts w:ascii="Times New Roman"/>
                <w:sz w:val="21"/>
              </w:rPr>
              <w:t>39.0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4" w:hRule="atLeast"/>
        </w:trPr>
        <w:tc>
          <w:tcPr>
            <w:tcW w:w="1281" w:type="dxa"/>
            <w:vMerge w:val="continue"/>
            <w:tcBorders>
              <w:top w:val="nil"/>
              <w:right w:val="single" w:color="000000" w:sz="4" w:space="0"/>
            </w:tcBorders>
          </w:tcPr>
          <w:p>
            <w:pPr>
              <w:rPr>
                <w:sz w:val="2"/>
                <w:szCs w:val="2"/>
              </w:rPr>
            </w:pPr>
          </w:p>
        </w:tc>
        <w:tc>
          <w:tcPr>
            <w:tcW w:w="1276" w:type="dxa"/>
            <w:tcBorders>
              <w:top w:val="single" w:color="000000" w:sz="4" w:space="0"/>
              <w:left w:val="single" w:color="000000" w:sz="4" w:space="0"/>
              <w:bottom w:val="single" w:color="000000" w:sz="4" w:space="0"/>
              <w:right w:val="single" w:color="000000" w:sz="4" w:space="0"/>
            </w:tcBorders>
          </w:tcPr>
          <w:p>
            <w:pPr>
              <w:pStyle w:val="19"/>
              <w:spacing w:before="109"/>
              <w:ind w:left="103" w:right="86"/>
              <w:rPr>
                <w:sz w:val="18"/>
              </w:rPr>
            </w:pPr>
            <w:r>
              <w:rPr>
                <w:rFonts w:ascii="Times New Roman" w:hAnsi="Times New Roman" w:eastAsia="Times New Roman"/>
                <w:sz w:val="18"/>
              </w:rPr>
              <w:t xml:space="preserve">▲6 </w:t>
            </w:r>
            <w:r>
              <w:rPr>
                <w:sz w:val="18"/>
              </w:rPr>
              <w:t>厂界南侧</w:t>
            </w:r>
          </w:p>
        </w:tc>
        <w:tc>
          <w:tcPr>
            <w:tcW w:w="1350" w:type="dxa"/>
            <w:tcBorders>
              <w:top w:val="single" w:color="000000" w:sz="4" w:space="0"/>
              <w:left w:val="single" w:color="000000" w:sz="4" w:space="0"/>
              <w:bottom w:val="single" w:color="000000" w:sz="4" w:space="0"/>
              <w:right w:val="single" w:color="000000" w:sz="4" w:space="0"/>
            </w:tcBorders>
          </w:tcPr>
          <w:p>
            <w:pPr>
              <w:pStyle w:val="19"/>
              <w:spacing w:before="101"/>
              <w:ind w:left="448" w:right="428"/>
              <w:rPr>
                <w:rFonts w:ascii="Times New Roman"/>
                <w:sz w:val="21"/>
              </w:rPr>
            </w:pPr>
            <w:r>
              <w:rPr>
                <w:rFonts w:ascii="Times New Roman"/>
                <w:sz w:val="21"/>
              </w:rPr>
              <w:t>47.7</w:t>
            </w:r>
          </w:p>
        </w:tc>
        <w:tc>
          <w:tcPr>
            <w:tcW w:w="1804" w:type="dxa"/>
            <w:tcBorders>
              <w:top w:val="single" w:color="000000" w:sz="4" w:space="0"/>
              <w:left w:val="single" w:color="000000" w:sz="4" w:space="0"/>
              <w:bottom w:val="single" w:color="000000" w:sz="4" w:space="0"/>
              <w:right w:val="single" w:color="000000" w:sz="4" w:space="0"/>
            </w:tcBorders>
          </w:tcPr>
          <w:p>
            <w:pPr>
              <w:pStyle w:val="19"/>
              <w:spacing w:before="101"/>
              <w:ind w:left="675" w:right="655"/>
              <w:rPr>
                <w:rFonts w:ascii="Times New Roman"/>
                <w:sz w:val="21"/>
              </w:rPr>
            </w:pPr>
            <w:r>
              <w:rPr>
                <w:rFonts w:ascii="Times New Roman"/>
                <w:sz w:val="21"/>
              </w:rPr>
              <w:t>38.4</w:t>
            </w:r>
          </w:p>
        </w:tc>
        <w:tc>
          <w:tcPr>
            <w:tcW w:w="1804" w:type="dxa"/>
            <w:tcBorders>
              <w:top w:val="single" w:color="000000" w:sz="4" w:space="0"/>
              <w:left w:val="single" w:color="000000" w:sz="4" w:space="0"/>
              <w:bottom w:val="single" w:color="000000" w:sz="4" w:space="0"/>
              <w:right w:val="single" w:color="000000" w:sz="4" w:space="0"/>
            </w:tcBorders>
          </w:tcPr>
          <w:p>
            <w:pPr>
              <w:pStyle w:val="19"/>
              <w:spacing w:before="101"/>
              <w:ind w:left="675" w:right="658"/>
              <w:rPr>
                <w:rFonts w:ascii="Times New Roman"/>
                <w:sz w:val="21"/>
              </w:rPr>
            </w:pPr>
            <w:r>
              <w:rPr>
                <w:rFonts w:ascii="Times New Roman"/>
                <w:sz w:val="21"/>
              </w:rPr>
              <w:t>47.7</w:t>
            </w:r>
          </w:p>
        </w:tc>
        <w:tc>
          <w:tcPr>
            <w:tcW w:w="1805" w:type="dxa"/>
            <w:tcBorders>
              <w:top w:val="single" w:color="000000" w:sz="4" w:space="0"/>
              <w:left w:val="single" w:color="000000" w:sz="4" w:space="0"/>
              <w:bottom w:val="single" w:color="000000" w:sz="4" w:space="0"/>
            </w:tcBorders>
          </w:tcPr>
          <w:p>
            <w:pPr>
              <w:pStyle w:val="19"/>
              <w:spacing w:before="101"/>
              <w:ind w:left="305" w:right="287"/>
              <w:rPr>
                <w:rFonts w:ascii="Times New Roman"/>
                <w:sz w:val="21"/>
              </w:rPr>
            </w:pPr>
            <w:r>
              <w:rPr>
                <w:rFonts w:ascii="Times New Roman"/>
                <w:sz w:val="21"/>
              </w:rPr>
              <w:t>38.2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rPr>
        <w:tc>
          <w:tcPr>
            <w:tcW w:w="1281" w:type="dxa"/>
            <w:vMerge w:val="continue"/>
            <w:tcBorders>
              <w:top w:val="nil"/>
              <w:right w:val="single" w:color="000000" w:sz="4" w:space="0"/>
            </w:tcBorders>
          </w:tcPr>
          <w:p>
            <w:pPr>
              <w:rPr>
                <w:sz w:val="2"/>
                <w:szCs w:val="2"/>
              </w:rPr>
            </w:pPr>
          </w:p>
        </w:tc>
        <w:tc>
          <w:tcPr>
            <w:tcW w:w="1276" w:type="dxa"/>
            <w:tcBorders>
              <w:top w:val="single" w:color="000000" w:sz="4" w:space="0"/>
              <w:left w:val="single" w:color="000000" w:sz="4" w:space="0"/>
              <w:bottom w:val="single" w:color="000000" w:sz="4" w:space="0"/>
              <w:right w:val="single" w:color="000000" w:sz="4" w:space="0"/>
            </w:tcBorders>
          </w:tcPr>
          <w:p>
            <w:pPr>
              <w:pStyle w:val="19"/>
              <w:spacing w:before="109"/>
              <w:ind w:left="103" w:right="86"/>
              <w:rPr>
                <w:sz w:val="18"/>
              </w:rPr>
            </w:pPr>
            <w:r>
              <w:rPr>
                <w:rFonts w:ascii="Times New Roman" w:hAnsi="Times New Roman" w:eastAsia="Times New Roman"/>
                <w:sz w:val="18"/>
              </w:rPr>
              <w:t xml:space="preserve">▲7 </w:t>
            </w:r>
            <w:r>
              <w:rPr>
                <w:sz w:val="18"/>
              </w:rPr>
              <w:t>厂界西侧</w:t>
            </w:r>
          </w:p>
        </w:tc>
        <w:tc>
          <w:tcPr>
            <w:tcW w:w="1350" w:type="dxa"/>
            <w:tcBorders>
              <w:top w:val="single" w:color="000000" w:sz="4" w:space="0"/>
              <w:left w:val="single" w:color="000000" w:sz="4" w:space="0"/>
              <w:bottom w:val="single" w:color="000000" w:sz="4" w:space="0"/>
              <w:right w:val="single" w:color="000000" w:sz="4" w:space="0"/>
            </w:tcBorders>
          </w:tcPr>
          <w:p>
            <w:pPr>
              <w:pStyle w:val="19"/>
              <w:spacing w:before="100"/>
              <w:ind w:left="448" w:right="428"/>
              <w:rPr>
                <w:rFonts w:ascii="Times New Roman"/>
                <w:sz w:val="21"/>
              </w:rPr>
            </w:pPr>
            <w:r>
              <w:rPr>
                <w:rFonts w:ascii="Times New Roman"/>
                <w:sz w:val="21"/>
              </w:rPr>
              <w:t>47.9</w:t>
            </w:r>
          </w:p>
        </w:tc>
        <w:tc>
          <w:tcPr>
            <w:tcW w:w="1804" w:type="dxa"/>
            <w:tcBorders>
              <w:top w:val="single" w:color="000000" w:sz="4" w:space="0"/>
              <w:left w:val="single" w:color="000000" w:sz="4" w:space="0"/>
              <w:bottom w:val="single" w:color="000000" w:sz="4" w:space="0"/>
              <w:right w:val="single" w:color="000000" w:sz="4" w:space="0"/>
            </w:tcBorders>
          </w:tcPr>
          <w:p>
            <w:pPr>
              <w:pStyle w:val="19"/>
              <w:spacing w:before="100"/>
              <w:ind w:left="675" w:right="655"/>
              <w:rPr>
                <w:rFonts w:ascii="Times New Roman"/>
                <w:sz w:val="21"/>
              </w:rPr>
            </w:pPr>
            <w:r>
              <w:rPr>
                <w:rFonts w:ascii="Times New Roman"/>
                <w:sz w:val="21"/>
              </w:rPr>
              <w:t>37.6</w:t>
            </w:r>
          </w:p>
        </w:tc>
        <w:tc>
          <w:tcPr>
            <w:tcW w:w="1804" w:type="dxa"/>
            <w:tcBorders>
              <w:top w:val="single" w:color="000000" w:sz="4" w:space="0"/>
              <w:left w:val="single" w:color="000000" w:sz="4" w:space="0"/>
              <w:bottom w:val="single" w:color="000000" w:sz="4" w:space="0"/>
              <w:right w:val="single" w:color="000000" w:sz="4" w:space="0"/>
            </w:tcBorders>
          </w:tcPr>
          <w:p>
            <w:pPr>
              <w:pStyle w:val="19"/>
              <w:spacing w:before="100"/>
              <w:ind w:left="675" w:right="658"/>
              <w:rPr>
                <w:rFonts w:ascii="Times New Roman"/>
                <w:sz w:val="21"/>
              </w:rPr>
            </w:pPr>
            <w:r>
              <w:rPr>
                <w:rFonts w:ascii="Times New Roman"/>
                <w:sz w:val="21"/>
              </w:rPr>
              <w:t>47.2</w:t>
            </w:r>
          </w:p>
        </w:tc>
        <w:tc>
          <w:tcPr>
            <w:tcW w:w="1805" w:type="dxa"/>
            <w:tcBorders>
              <w:top w:val="single" w:color="000000" w:sz="4" w:space="0"/>
              <w:left w:val="single" w:color="000000" w:sz="4" w:space="0"/>
              <w:bottom w:val="single" w:color="000000" w:sz="4" w:space="0"/>
            </w:tcBorders>
          </w:tcPr>
          <w:p>
            <w:pPr>
              <w:pStyle w:val="19"/>
              <w:spacing w:before="100"/>
              <w:ind w:left="305" w:right="287"/>
              <w:rPr>
                <w:rFonts w:ascii="Times New Roman"/>
                <w:sz w:val="21"/>
              </w:rPr>
            </w:pPr>
            <w:r>
              <w:rPr>
                <w:rFonts w:ascii="Times New Roman"/>
                <w:sz w:val="21"/>
              </w:rPr>
              <w:t>38.1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281" w:type="dxa"/>
            <w:vMerge w:val="continue"/>
            <w:tcBorders>
              <w:top w:val="nil"/>
              <w:right w:val="single" w:color="000000" w:sz="4" w:space="0"/>
            </w:tcBorders>
          </w:tcPr>
          <w:p>
            <w:pPr>
              <w:rPr>
                <w:sz w:val="2"/>
                <w:szCs w:val="2"/>
              </w:rPr>
            </w:pPr>
          </w:p>
        </w:tc>
        <w:tc>
          <w:tcPr>
            <w:tcW w:w="1276" w:type="dxa"/>
            <w:tcBorders>
              <w:top w:val="single" w:color="000000" w:sz="4" w:space="0"/>
              <w:left w:val="single" w:color="000000" w:sz="4" w:space="0"/>
              <w:right w:val="single" w:color="000000" w:sz="4" w:space="0"/>
            </w:tcBorders>
          </w:tcPr>
          <w:p>
            <w:pPr>
              <w:pStyle w:val="19"/>
              <w:spacing w:before="110"/>
              <w:ind w:left="103" w:right="86"/>
              <w:rPr>
                <w:sz w:val="18"/>
              </w:rPr>
            </w:pPr>
            <w:r>
              <w:rPr>
                <w:rFonts w:ascii="Times New Roman" w:hAnsi="Times New Roman" w:eastAsia="Times New Roman"/>
                <w:sz w:val="18"/>
              </w:rPr>
              <w:t xml:space="preserve">▲8 </w:t>
            </w:r>
            <w:r>
              <w:rPr>
                <w:sz w:val="18"/>
              </w:rPr>
              <w:t>厂界北侧</w:t>
            </w:r>
          </w:p>
        </w:tc>
        <w:tc>
          <w:tcPr>
            <w:tcW w:w="1350" w:type="dxa"/>
            <w:tcBorders>
              <w:top w:val="single" w:color="000000" w:sz="4" w:space="0"/>
              <w:left w:val="single" w:color="000000" w:sz="4" w:space="0"/>
              <w:right w:val="single" w:color="000000" w:sz="4" w:space="0"/>
            </w:tcBorders>
          </w:tcPr>
          <w:p>
            <w:pPr>
              <w:pStyle w:val="19"/>
              <w:spacing w:before="101"/>
              <w:ind w:left="448" w:right="428"/>
              <w:rPr>
                <w:rFonts w:ascii="Times New Roman"/>
                <w:sz w:val="21"/>
              </w:rPr>
            </w:pPr>
            <w:r>
              <w:rPr>
                <w:rFonts w:ascii="Times New Roman"/>
                <w:sz w:val="21"/>
              </w:rPr>
              <w:t>47.7</w:t>
            </w:r>
          </w:p>
        </w:tc>
        <w:tc>
          <w:tcPr>
            <w:tcW w:w="1804" w:type="dxa"/>
            <w:tcBorders>
              <w:top w:val="single" w:color="000000" w:sz="4" w:space="0"/>
              <w:left w:val="single" w:color="000000" w:sz="4" w:space="0"/>
              <w:right w:val="single" w:color="000000" w:sz="4" w:space="0"/>
            </w:tcBorders>
          </w:tcPr>
          <w:p>
            <w:pPr>
              <w:pStyle w:val="19"/>
              <w:spacing w:before="101"/>
              <w:ind w:left="675" w:right="655"/>
              <w:rPr>
                <w:rFonts w:ascii="Times New Roman"/>
                <w:sz w:val="21"/>
              </w:rPr>
            </w:pPr>
            <w:r>
              <w:rPr>
                <w:rFonts w:ascii="Times New Roman"/>
                <w:sz w:val="21"/>
              </w:rPr>
              <w:t>37.6</w:t>
            </w:r>
          </w:p>
        </w:tc>
        <w:tc>
          <w:tcPr>
            <w:tcW w:w="1804" w:type="dxa"/>
            <w:tcBorders>
              <w:top w:val="single" w:color="000000" w:sz="4" w:space="0"/>
              <w:left w:val="single" w:color="000000" w:sz="4" w:space="0"/>
              <w:right w:val="single" w:color="000000" w:sz="4" w:space="0"/>
            </w:tcBorders>
          </w:tcPr>
          <w:p>
            <w:pPr>
              <w:pStyle w:val="19"/>
              <w:spacing w:before="101"/>
              <w:ind w:left="675" w:right="658"/>
              <w:rPr>
                <w:rFonts w:ascii="Times New Roman"/>
                <w:sz w:val="21"/>
              </w:rPr>
            </w:pPr>
            <w:r>
              <w:rPr>
                <w:rFonts w:ascii="Times New Roman"/>
                <w:sz w:val="21"/>
              </w:rPr>
              <w:t>47.6</w:t>
            </w:r>
          </w:p>
        </w:tc>
        <w:tc>
          <w:tcPr>
            <w:tcW w:w="1805" w:type="dxa"/>
            <w:tcBorders>
              <w:top w:val="single" w:color="000000" w:sz="4" w:space="0"/>
              <w:left w:val="single" w:color="000000" w:sz="4" w:space="0"/>
            </w:tcBorders>
          </w:tcPr>
          <w:p>
            <w:pPr>
              <w:pStyle w:val="19"/>
              <w:spacing w:before="101"/>
              <w:ind w:left="305" w:right="287"/>
              <w:rPr>
                <w:rFonts w:ascii="Times New Roman"/>
                <w:sz w:val="21"/>
              </w:rPr>
            </w:pPr>
            <w:r>
              <w:rPr>
                <w:rFonts w:ascii="Times New Roman"/>
                <w:sz w:val="21"/>
              </w:rPr>
              <w:t>39.4</w:t>
            </w:r>
          </w:p>
        </w:tc>
      </w:tr>
    </w:tbl>
    <w:p>
      <w:pPr>
        <w:pStyle w:val="6"/>
        <w:numPr>
          <w:ilvl w:val="2"/>
          <w:numId w:val="72"/>
        </w:numPr>
        <w:tabs>
          <w:tab w:val="left" w:pos="2048"/>
        </w:tabs>
        <w:spacing w:before="3" w:after="0" w:line="240" w:lineRule="auto"/>
        <w:ind w:left="2047" w:right="0" w:hanging="630"/>
        <w:jc w:val="left"/>
      </w:pPr>
      <w:bookmarkStart w:id="442" w:name="8.1.2声环境现状评价"/>
      <w:bookmarkEnd w:id="442"/>
      <w:bookmarkStart w:id="443" w:name="8.1.2声环境现状评价"/>
      <w:bookmarkEnd w:id="443"/>
      <w:r>
        <w:t>声环境现状评价</w:t>
      </w:r>
    </w:p>
    <w:p>
      <w:pPr>
        <w:pStyle w:val="8"/>
        <w:numPr>
          <w:ilvl w:val="3"/>
          <w:numId w:val="72"/>
        </w:numPr>
        <w:tabs>
          <w:tab w:val="left" w:pos="2139"/>
        </w:tabs>
        <w:spacing w:before="185" w:after="0" w:line="240" w:lineRule="auto"/>
        <w:ind w:left="2138" w:right="0" w:hanging="721"/>
        <w:jc w:val="left"/>
      </w:pPr>
      <w:bookmarkStart w:id="444" w:name="8.1.2.1评价量"/>
      <w:bookmarkEnd w:id="444"/>
      <w:bookmarkStart w:id="445" w:name="8.1.2.1评价量"/>
      <w:bookmarkEnd w:id="445"/>
      <w:r>
        <w:t>评价量</w:t>
      </w:r>
    </w:p>
    <w:p>
      <w:pPr>
        <w:pStyle w:val="9"/>
        <w:spacing w:before="158"/>
        <w:ind w:left="1898"/>
      </w:pPr>
      <w:r>
        <w:t xml:space="preserve">以等效连续 </w:t>
      </w:r>
      <w:r>
        <w:rPr>
          <w:rFonts w:ascii="Times New Roman" w:eastAsia="Times New Roman"/>
        </w:rPr>
        <w:t xml:space="preserve">A </w:t>
      </w:r>
      <w:r>
        <w:t xml:space="preserve">声级 </w:t>
      </w:r>
      <w:r>
        <w:rPr>
          <w:rFonts w:ascii="Times New Roman" w:eastAsia="Times New Roman"/>
        </w:rPr>
        <w:t xml:space="preserve">Leq </w:t>
      </w:r>
      <w:r>
        <w:t>为评价量。</w:t>
      </w:r>
    </w:p>
    <w:p>
      <w:pPr>
        <w:pStyle w:val="8"/>
        <w:numPr>
          <w:ilvl w:val="3"/>
          <w:numId w:val="72"/>
        </w:numPr>
        <w:tabs>
          <w:tab w:val="left" w:pos="2139"/>
        </w:tabs>
        <w:spacing w:before="161" w:after="0" w:line="240" w:lineRule="auto"/>
        <w:ind w:left="2138" w:right="0" w:hanging="721"/>
        <w:jc w:val="left"/>
      </w:pPr>
      <w:bookmarkStart w:id="446" w:name="8.1.2.2评价方法"/>
      <w:bookmarkEnd w:id="446"/>
      <w:bookmarkStart w:id="447" w:name="8.1.2.2评价方法"/>
      <w:bookmarkEnd w:id="447"/>
      <w:r>
        <w:t>评价方法</w:t>
      </w:r>
    </w:p>
    <w:p>
      <w:pPr>
        <w:pStyle w:val="9"/>
        <w:spacing w:before="160"/>
        <w:ind w:left="1898"/>
      </w:pPr>
      <w:r>
        <w:t>监测值直接与标准值对比的方法。</w:t>
      </w:r>
    </w:p>
    <w:p>
      <w:pPr>
        <w:pStyle w:val="8"/>
        <w:numPr>
          <w:ilvl w:val="3"/>
          <w:numId w:val="72"/>
        </w:numPr>
        <w:tabs>
          <w:tab w:val="left" w:pos="2139"/>
        </w:tabs>
        <w:spacing w:before="158" w:after="0" w:line="240" w:lineRule="auto"/>
        <w:ind w:left="2138" w:right="0" w:hanging="721"/>
        <w:jc w:val="left"/>
      </w:pPr>
      <w:bookmarkStart w:id="448" w:name="8.1.2.3评价标准"/>
      <w:bookmarkEnd w:id="448"/>
      <w:bookmarkStart w:id="449" w:name="8.1.2.3评价标准"/>
      <w:bookmarkEnd w:id="449"/>
      <w:r>
        <w:t>评价标准</w:t>
      </w:r>
    </w:p>
    <w:p>
      <w:pPr>
        <w:pStyle w:val="9"/>
        <w:spacing w:before="161"/>
        <w:ind w:left="1898"/>
      </w:pPr>
      <w:r>
        <w:t>本项目主井及副井工业广场周围区域环境噪声执行《声环境质量标准》</w:t>
      </w:r>
    </w:p>
    <w:p>
      <w:pPr>
        <w:pStyle w:val="9"/>
        <w:spacing w:before="158"/>
        <w:ind w:left="1418"/>
      </w:pPr>
      <w:r>
        <w:t>（</w:t>
      </w:r>
      <w:r>
        <w:rPr>
          <w:rFonts w:ascii="Times New Roman" w:eastAsia="Times New Roman"/>
        </w:rPr>
        <w:t>GB3096-2008</w:t>
      </w:r>
      <w:r>
        <w:t xml:space="preserve">）中 </w:t>
      </w:r>
      <w:r>
        <w:rPr>
          <w:rFonts w:ascii="Times New Roman" w:eastAsia="Times New Roman"/>
        </w:rPr>
        <w:t xml:space="preserve">2 </w:t>
      </w:r>
      <w:r>
        <w:t xml:space="preserve">类标准。即昼间 </w:t>
      </w:r>
      <w:r>
        <w:rPr>
          <w:rFonts w:ascii="Times New Roman" w:eastAsia="Times New Roman"/>
        </w:rPr>
        <w:t>60dB</w:t>
      </w:r>
      <w:r>
        <w:t>（</w:t>
      </w:r>
      <w:r>
        <w:rPr>
          <w:rFonts w:ascii="Times New Roman" w:eastAsia="Times New Roman"/>
        </w:rPr>
        <w:t>A</w:t>
      </w:r>
      <w:r>
        <w:t xml:space="preserve">），夜间 </w:t>
      </w:r>
      <w:r>
        <w:rPr>
          <w:rFonts w:ascii="Times New Roman" w:eastAsia="Times New Roman"/>
        </w:rPr>
        <w:t>50dB</w:t>
      </w:r>
      <w:r>
        <w:t>（</w:t>
      </w:r>
      <w:r>
        <w:rPr>
          <w:rFonts w:ascii="Times New Roman" w:eastAsia="Times New Roman"/>
        </w:rPr>
        <w:t>A</w:t>
      </w:r>
      <w:r>
        <w:t>）。</w:t>
      </w:r>
    </w:p>
    <w:p>
      <w:pPr>
        <w:pStyle w:val="8"/>
        <w:numPr>
          <w:ilvl w:val="3"/>
          <w:numId w:val="72"/>
        </w:numPr>
        <w:tabs>
          <w:tab w:val="left" w:pos="2139"/>
        </w:tabs>
        <w:spacing w:before="160" w:after="0" w:line="240" w:lineRule="auto"/>
        <w:ind w:left="2138" w:right="0" w:hanging="721"/>
        <w:jc w:val="left"/>
      </w:pPr>
      <w:bookmarkStart w:id="450" w:name="8.1.2.4现状评价"/>
      <w:bookmarkEnd w:id="450"/>
      <w:bookmarkStart w:id="451" w:name="8.1.2.4现状评价"/>
      <w:bookmarkEnd w:id="451"/>
      <w:r>
        <w:t>现状评价</w:t>
      </w:r>
    </w:p>
    <w:p>
      <w:pPr>
        <w:pStyle w:val="9"/>
        <w:spacing w:before="158" w:line="364" w:lineRule="auto"/>
        <w:ind w:left="1418" w:right="1291" w:firstLine="480"/>
      </w:pPr>
      <w:r>
        <w:rPr>
          <w:spacing w:val="-6"/>
        </w:rPr>
        <w:t xml:space="preserve">根据现状监测结果，主井工业广场昼间厂界噪声值在 </w:t>
      </w:r>
      <w:r>
        <w:rPr>
          <w:rFonts w:ascii="Times New Roman" w:eastAsia="Times New Roman"/>
          <w:spacing w:val="-4"/>
        </w:rPr>
        <w:t>47.5~49.3dB</w:t>
      </w:r>
      <w:r>
        <w:rPr>
          <w:spacing w:val="-4"/>
        </w:rPr>
        <w:t>（</w:t>
      </w:r>
      <w:r>
        <w:rPr>
          <w:rFonts w:ascii="Times New Roman" w:eastAsia="Times New Roman"/>
          <w:spacing w:val="-4"/>
        </w:rPr>
        <w:t>A</w:t>
      </w:r>
      <w:r>
        <w:rPr>
          <w:spacing w:val="-4"/>
        </w:rPr>
        <w:t>）</w:t>
      </w:r>
      <w:r>
        <w:rPr>
          <w:spacing w:val="-5"/>
        </w:rPr>
        <w:t>之间，夜间</w:t>
      </w:r>
      <w:r>
        <w:rPr>
          <w:spacing w:val="-12"/>
        </w:rPr>
        <w:t xml:space="preserve">厂界噪声值在 </w:t>
      </w:r>
      <w:r>
        <w:rPr>
          <w:rFonts w:ascii="Times New Roman" w:eastAsia="Times New Roman"/>
          <w:spacing w:val="-10"/>
        </w:rPr>
        <w:t>37.5~38.4dB</w:t>
      </w:r>
      <w:r>
        <w:rPr>
          <w:spacing w:val="-10"/>
        </w:rPr>
        <w:t>（</w:t>
      </w:r>
      <w:r>
        <w:rPr>
          <w:rFonts w:ascii="Times New Roman" w:eastAsia="Times New Roman"/>
          <w:spacing w:val="-10"/>
        </w:rPr>
        <w:t>A</w:t>
      </w:r>
      <w:r>
        <w:rPr>
          <w:spacing w:val="-10"/>
        </w:rPr>
        <w:t>）</w:t>
      </w:r>
      <w:r>
        <w:rPr>
          <w:spacing w:val="-11"/>
        </w:rPr>
        <w:t xml:space="preserve">之间；副井工业广场昼间厂界噪声值在 </w:t>
      </w:r>
      <w:r>
        <w:rPr>
          <w:rFonts w:ascii="Times New Roman" w:eastAsia="Times New Roman"/>
          <w:spacing w:val="-6"/>
        </w:rPr>
        <w:t>47.2~48.9dB</w:t>
      </w:r>
      <w:r>
        <w:rPr>
          <w:spacing w:val="-6"/>
        </w:rPr>
        <w:t>（</w:t>
      </w:r>
      <w:r>
        <w:rPr>
          <w:rFonts w:ascii="Times New Roman" w:eastAsia="Times New Roman"/>
          <w:spacing w:val="-6"/>
        </w:rPr>
        <w:t>A</w:t>
      </w:r>
      <w:r>
        <w:rPr>
          <w:spacing w:val="-6"/>
        </w:rPr>
        <w:t xml:space="preserve">） </w:t>
      </w:r>
      <w:r>
        <w:rPr>
          <w:spacing w:val="-5"/>
        </w:rPr>
        <w:t xml:space="preserve">之间，夜间厂界噪声值在 </w:t>
      </w:r>
      <w:r>
        <w:rPr>
          <w:rFonts w:ascii="Times New Roman" w:eastAsia="Times New Roman"/>
        </w:rPr>
        <w:t>37.6~39.4dB</w:t>
      </w:r>
      <w:r>
        <w:t>（</w:t>
      </w:r>
      <w:r>
        <w:rPr>
          <w:rFonts w:ascii="Times New Roman" w:eastAsia="Times New Roman"/>
        </w:rPr>
        <w:t>A</w:t>
      </w:r>
      <w:r>
        <w:t>）之间，监测点能够满足《声环境质量标准》</w:t>
      </w:r>
    </w:p>
    <w:p>
      <w:pPr>
        <w:pStyle w:val="9"/>
        <w:spacing w:line="307" w:lineRule="exact"/>
        <w:ind w:left="1418"/>
      </w:pPr>
      <w:r>
        <w:t>（</w:t>
      </w:r>
      <w:r>
        <w:rPr>
          <w:rFonts w:ascii="Times New Roman" w:eastAsia="Times New Roman"/>
        </w:rPr>
        <w:t>GB3096-2008</w:t>
      </w:r>
      <w:r>
        <w:t xml:space="preserve">）中 </w:t>
      </w:r>
      <w:r>
        <w:rPr>
          <w:rFonts w:ascii="Times New Roman" w:eastAsia="Times New Roman"/>
        </w:rPr>
        <w:t xml:space="preserve">2 </w:t>
      </w:r>
      <w:r>
        <w:t>类标准限值要求。</w:t>
      </w:r>
    </w:p>
    <w:p>
      <w:pPr>
        <w:pStyle w:val="8"/>
        <w:numPr>
          <w:ilvl w:val="3"/>
          <w:numId w:val="72"/>
        </w:numPr>
        <w:tabs>
          <w:tab w:val="left" w:pos="2139"/>
        </w:tabs>
        <w:spacing w:before="158" w:after="0" w:line="240" w:lineRule="auto"/>
        <w:ind w:left="2138" w:right="0" w:hanging="721"/>
        <w:jc w:val="left"/>
      </w:pPr>
      <w:bookmarkStart w:id="452" w:name="8.1.2.5现状评价结论"/>
      <w:bookmarkEnd w:id="452"/>
      <w:bookmarkStart w:id="453" w:name="8.1.2.5现状评价结论"/>
      <w:bookmarkEnd w:id="453"/>
      <w:r>
        <w:t>现状评价结论</w:t>
      </w:r>
    </w:p>
    <w:p>
      <w:pPr>
        <w:pStyle w:val="9"/>
        <w:spacing w:before="161" w:line="364" w:lineRule="auto"/>
        <w:ind w:left="1418" w:right="1413" w:firstLine="480"/>
        <w:jc w:val="both"/>
      </w:pPr>
      <w:r>
        <w:rPr>
          <w:spacing w:val="-5"/>
        </w:rPr>
        <w:t>厂址噪声现状评价结果表明，本项目主井工业广场及副井工业广场，昼间及夜间均</w:t>
      </w:r>
      <w:r>
        <w:t>能达到《声环境质量标准》（</w:t>
      </w:r>
      <w:r>
        <w:rPr>
          <w:rFonts w:ascii="Times New Roman" w:eastAsia="Times New Roman"/>
        </w:rPr>
        <w:t>GB3096-2008</w:t>
      </w:r>
      <w:r>
        <w:t>）</w:t>
      </w:r>
      <w:r>
        <w:rPr>
          <w:spacing w:val="-27"/>
        </w:rPr>
        <w:t xml:space="preserve">中 </w:t>
      </w:r>
      <w:r>
        <w:rPr>
          <w:rFonts w:ascii="Times New Roman" w:eastAsia="Times New Roman"/>
        </w:rPr>
        <w:t xml:space="preserve">2 </w:t>
      </w:r>
      <w:r>
        <w:rPr>
          <w:spacing w:val="-1"/>
        </w:rPr>
        <w:t>类标准限值要求，无超标现象，声环</w:t>
      </w:r>
      <w:r>
        <w:t>境质量较好。</w:t>
      </w:r>
    </w:p>
    <w:p>
      <w:pPr>
        <w:pStyle w:val="6"/>
        <w:numPr>
          <w:ilvl w:val="1"/>
          <w:numId w:val="73"/>
        </w:numPr>
        <w:tabs>
          <w:tab w:val="left" w:pos="1839"/>
        </w:tabs>
        <w:spacing w:before="0" w:after="0" w:line="357" w:lineRule="exact"/>
        <w:ind w:left="1838" w:right="0" w:hanging="421"/>
        <w:jc w:val="left"/>
        <w:rPr>
          <w:rFonts w:ascii="Times New Roman" w:eastAsia="Times New Roman"/>
        </w:rPr>
      </w:pPr>
      <w:bookmarkStart w:id="454" w:name="8.2建设期声环境影响及防治措施"/>
      <w:bookmarkEnd w:id="454"/>
      <w:bookmarkStart w:id="455" w:name="_bookmark46"/>
      <w:bookmarkEnd w:id="455"/>
      <w:bookmarkStart w:id="456" w:name="_bookmark46"/>
      <w:bookmarkEnd w:id="456"/>
      <w:r>
        <w:t>建设期声环境影响及防治措施</w:t>
      </w:r>
    </w:p>
    <w:p>
      <w:pPr>
        <w:pStyle w:val="18"/>
        <w:numPr>
          <w:ilvl w:val="2"/>
          <w:numId w:val="73"/>
        </w:numPr>
        <w:tabs>
          <w:tab w:val="left" w:pos="2048"/>
        </w:tabs>
        <w:spacing w:before="188" w:after="0" w:line="240" w:lineRule="auto"/>
        <w:ind w:left="2047" w:right="0" w:hanging="630"/>
        <w:jc w:val="left"/>
        <w:rPr>
          <w:b/>
          <w:sz w:val="28"/>
        </w:rPr>
      </w:pPr>
      <w:bookmarkStart w:id="457" w:name="8.2.1主要噪声源"/>
      <w:bookmarkEnd w:id="457"/>
      <w:bookmarkStart w:id="458" w:name="8.2.1主要噪声源"/>
      <w:bookmarkEnd w:id="458"/>
      <w:r>
        <w:rPr>
          <w:b/>
          <w:sz w:val="28"/>
        </w:rPr>
        <w:t>主要噪声源</w:t>
      </w:r>
    </w:p>
    <w:p>
      <w:pPr>
        <w:pStyle w:val="9"/>
        <w:spacing w:before="186"/>
        <w:ind w:left="1898"/>
      </w:pPr>
      <w:r>
        <w:t>本项目施工期噪声对环境的影响是短暂的，将随施工的完成而消失。</w:t>
      </w:r>
    </w:p>
    <w:p>
      <w:pPr>
        <w:pStyle w:val="9"/>
        <w:spacing w:before="158"/>
        <w:ind w:left="1898"/>
      </w:pPr>
      <w:r>
        <w:t>施工噪声主要来自各类施工机械及大型运输车辆，这些施工机械和运输车辆大部分</w:t>
      </w:r>
    </w:p>
    <w:p>
      <w:pPr>
        <w:spacing w:after="0"/>
        <w:sectPr>
          <w:pgSz w:w="11910" w:h="16840"/>
          <w:pgMar w:top="1400" w:right="0" w:bottom="880" w:left="0" w:header="0" w:footer="681" w:gutter="0"/>
        </w:sectPr>
      </w:pPr>
    </w:p>
    <w:p>
      <w:pPr>
        <w:pStyle w:val="9"/>
        <w:spacing w:before="41"/>
        <w:ind w:left="1418"/>
      </w:pPr>
      <w:r>
        <w:t>在露天状态下作业，其噪声在空间传播较远。本工程其主要声源及源强见下表。</w:t>
      </w:r>
    </w:p>
    <w:p>
      <w:pPr>
        <w:spacing w:before="157"/>
        <w:ind w:left="374" w:right="0" w:firstLine="0"/>
        <w:jc w:val="center"/>
        <w:rPr>
          <w:b/>
          <w:sz w:val="21"/>
        </w:rPr>
      </w:pPr>
      <w:r>
        <w:rPr>
          <w:b/>
          <w:sz w:val="21"/>
        </w:rPr>
        <w:t xml:space="preserve">表 </w:t>
      </w:r>
      <w:r>
        <w:rPr>
          <w:rFonts w:ascii="Times New Roman" w:eastAsia="Times New Roman"/>
          <w:b/>
          <w:sz w:val="21"/>
        </w:rPr>
        <w:t xml:space="preserve">8.2-1 </w:t>
      </w:r>
      <w:r>
        <w:rPr>
          <w:b/>
          <w:sz w:val="21"/>
        </w:rPr>
        <w:t>施工期主要噪声源源强</w:t>
      </w:r>
    </w:p>
    <w:p>
      <w:pPr>
        <w:pStyle w:val="9"/>
        <w:spacing w:before="12"/>
        <w:rPr>
          <w:b/>
          <w:sz w:val="10"/>
        </w:rPr>
      </w:pPr>
    </w:p>
    <w:tbl>
      <w:tblPr>
        <w:tblStyle w:val="15"/>
        <w:tblW w:w="0" w:type="auto"/>
        <w:tblInd w:w="129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27"/>
        <w:gridCol w:w="2382"/>
        <w:gridCol w:w="1424"/>
        <w:gridCol w:w="2194"/>
        <w:gridCol w:w="231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027" w:type="dxa"/>
            <w:tcBorders>
              <w:bottom w:val="single" w:color="000000" w:sz="4" w:space="0"/>
              <w:right w:val="single" w:color="000000" w:sz="4" w:space="0"/>
            </w:tcBorders>
          </w:tcPr>
          <w:p>
            <w:pPr>
              <w:pStyle w:val="19"/>
              <w:spacing w:before="101"/>
              <w:ind w:left="281" w:right="271"/>
              <w:rPr>
                <w:sz w:val="21"/>
              </w:rPr>
            </w:pPr>
            <w:r>
              <w:rPr>
                <w:sz w:val="21"/>
              </w:rPr>
              <w:t>序号</w:t>
            </w:r>
          </w:p>
        </w:tc>
        <w:tc>
          <w:tcPr>
            <w:tcW w:w="2382" w:type="dxa"/>
            <w:tcBorders>
              <w:left w:val="single" w:color="000000" w:sz="4" w:space="0"/>
              <w:bottom w:val="single" w:color="000000" w:sz="4" w:space="0"/>
              <w:right w:val="single" w:color="000000" w:sz="4" w:space="0"/>
            </w:tcBorders>
          </w:tcPr>
          <w:p>
            <w:pPr>
              <w:pStyle w:val="19"/>
              <w:spacing w:before="101"/>
              <w:ind w:left="543" w:right="526"/>
              <w:rPr>
                <w:sz w:val="21"/>
              </w:rPr>
            </w:pPr>
            <w:r>
              <w:rPr>
                <w:sz w:val="21"/>
              </w:rPr>
              <w:t>设备名称</w:t>
            </w:r>
          </w:p>
        </w:tc>
        <w:tc>
          <w:tcPr>
            <w:tcW w:w="1424" w:type="dxa"/>
            <w:tcBorders>
              <w:left w:val="single" w:color="000000" w:sz="4" w:space="0"/>
              <w:bottom w:val="single" w:color="000000" w:sz="4" w:space="0"/>
              <w:right w:val="single" w:color="000000" w:sz="4" w:space="0"/>
            </w:tcBorders>
          </w:tcPr>
          <w:p>
            <w:pPr>
              <w:pStyle w:val="19"/>
              <w:spacing w:before="101"/>
              <w:ind w:left="361" w:right="346"/>
              <w:rPr>
                <w:sz w:val="21"/>
              </w:rPr>
            </w:pPr>
            <w:r>
              <w:rPr>
                <w:sz w:val="21"/>
              </w:rPr>
              <w:t>型号</w:t>
            </w:r>
          </w:p>
        </w:tc>
        <w:tc>
          <w:tcPr>
            <w:tcW w:w="2194" w:type="dxa"/>
            <w:tcBorders>
              <w:left w:val="single" w:color="000000" w:sz="4" w:space="0"/>
              <w:bottom w:val="single" w:color="000000" w:sz="4" w:space="0"/>
              <w:right w:val="single" w:color="000000" w:sz="4" w:space="0"/>
            </w:tcBorders>
          </w:tcPr>
          <w:p>
            <w:pPr>
              <w:pStyle w:val="19"/>
              <w:spacing w:before="101"/>
              <w:ind w:left="509" w:right="491"/>
              <w:rPr>
                <w:rFonts w:ascii="Times New Roman" w:eastAsia="Times New Roman"/>
                <w:sz w:val="21"/>
              </w:rPr>
            </w:pPr>
            <w:r>
              <w:rPr>
                <w:sz w:val="21"/>
              </w:rPr>
              <w:t>测点距离</w:t>
            </w:r>
            <w:r>
              <w:rPr>
                <w:rFonts w:ascii="Times New Roman" w:eastAsia="Times New Roman"/>
                <w:sz w:val="21"/>
              </w:rPr>
              <w:t>(m)</w:t>
            </w:r>
          </w:p>
        </w:tc>
        <w:tc>
          <w:tcPr>
            <w:tcW w:w="2317" w:type="dxa"/>
            <w:tcBorders>
              <w:left w:val="single" w:color="000000" w:sz="4" w:space="0"/>
              <w:bottom w:val="single" w:color="000000" w:sz="4" w:space="0"/>
            </w:tcBorders>
          </w:tcPr>
          <w:p>
            <w:pPr>
              <w:pStyle w:val="19"/>
              <w:spacing w:before="101"/>
              <w:ind w:left="507" w:right="483"/>
              <w:rPr>
                <w:rFonts w:ascii="Times New Roman" w:eastAsia="Times New Roman"/>
                <w:sz w:val="21"/>
              </w:rPr>
            </w:pPr>
            <w:r>
              <w:rPr>
                <w:sz w:val="21"/>
              </w:rPr>
              <w:t xml:space="preserve">声级值 </w:t>
            </w:r>
            <w:r>
              <w:rPr>
                <w:rFonts w:ascii="Times New Roman" w:eastAsia="Times New Roman"/>
                <w:sz w:val="21"/>
              </w:rPr>
              <w:t>dB(A)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027" w:type="dxa"/>
            <w:tcBorders>
              <w:top w:val="single" w:color="000000" w:sz="4" w:space="0"/>
              <w:bottom w:val="single" w:color="000000" w:sz="4" w:space="0"/>
              <w:right w:val="single" w:color="000000" w:sz="4" w:space="0"/>
            </w:tcBorders>
          </w:tcPr>
          <w:p>
            <w:pPr>
              <w:pStyle w:val="19"/>
              <w:spacing w:before="109"/>
              <w:ind w:left="14"/>
              <w:rPr>
                <w:rFonts w:ascii="Times New Roman"/>
                <w:sz w:val="21"/>
              </w:rPr>
            </w:pPr>
            <w:r>
              <w:rPr>
                <w:rFonts w:ascii="Times New Roman"/>
                <w:w w:val="99"/>
                <w:sz w:val="21"/>
              </w:rPr>
              <w:t>1</w:t>
            </w:r>
          </w:p>
        </w:tc>
        <w:tc>
          <w:tcPr>
            <w:tcW w:w="2382" w:type="dxa"/>
            <w:tcBorders>
              <w:top w:val="single" w:color="000000" w:sz="4" w:space="0"/>
              <w:left w:val="single" w:color="000000" w:sz="4" w:space="0"/>
              <w:bottom w:val="single" w:color="000000" w:sz="4" w:space="0"/>
              <w:right w:val="single" w:color="000000" w:sz="4" w:space="0"/>
            </w:tcBorders>
          </w:tcPr>
          <w:p>
            <w:pPr>
              <w:pStyle w:val="19"/>
              <w:spacing w:before="95" w:line="265" w:lineRule="exact"/>
              <w:ind w:left="543" w:right="529"/>
              <w:rPr>
                <w:sz w:val="21"/>
              </w:rPr>
            </w:pPr>
            <w:r>
              <w:rPr>
                <w:sz w:val="21"/>
              </w:rPr>
              <w:t>混凝土搅拌机</w:t>
            </w:r>
          </w:p>
        </w:tc>
        <w:tc>
          <w:tcPr>
            <w:tcW w:w="1424" w:type="dxa"/>
            <w:tcBorders>
              <w:top w:val="single" w:color="000000" w:sz="4" w:space="0"/>
              <w:left w:val="single" w:color="000000" w:sz="4" w:space="0"/>
              <w:bottom w:val="single" w:color="000000" w:sz="4" w:space="0"/>
              <w:right w:val="single" w:color="000000" w:sz="4" w:space="0"/>
            </w:tcBorders>
          </w:tcPr>
          <w:p>
            <w:pPr>
              <w:pStyle w:val="19"/>
              <w:spacing w:before="109"/>
              <w:ind w:left="362" w:right="346"/>
              <w:rPr>
                <w:rFonts w:ascii="Times New Roman"/>
                <w:sz w:val="21"/>
              </w:rPr>
            </w:pPr>
            <w:r>
              <w:rPr>
                <w:rFonts w:ascii="Times New Roman"/>
                <w:sz w:val="21"/>
              </w:rPr>
              <w:t>JZC350</w:t>
            </w:r>
          </w:p>
        </w:tc>
        <w:tc>
          <w:tcPr>
            <w:tcW w:w="2194" w:type="dxa"/>
            <w:tcBorders>
              <w:top w:val="single" w:color="000000" w:sz="4" w:space="0"/>
              <w:left w:val="single" w:color="000000" w:sz="4" w:space="0"/>
              <w:bottom w:val="single" w:color="000000" w:sz="4" w:space="0"/>
              <w:right w:val="single" w:color="000000" w:sz="4" w:space="0"/>
            </w:tcBorders>
          </w:tcPr>
          <w:p>
            <w:pPr>
              <w:pStyle w:val="19"/>
              <w:spacing w:before="109"/>
              <w:ind w:left="15"/>
              <w:rPr>
                <w:rFonts w:ascii="Times New Roman"/>
                <w:sz w:val="21"/>
              </w:rPr>
            </w:pPr>
            <w:r>
              <w:rPr>
                <w:rFonts w:ascii="Times New Roman"/>
                <w:w w:val="99"/>
                <w:sz w:val="21"/>
              </w:rPr>
              <w:t>5</w:t>
            </w:r>
          </w:p>
        </w:tc>
        <w:tc>
          <w:tcPr>
            <w:tcW w:w="2317" w:type="dxa"/>
            <w:tcBorders>
              <w:top w:val="single" w:color="000000" w:sz="4" w:space="0"/>
              <w:left w:val="single" w:color="000000" w:sz="4" w:space="0"/>
              <w:bottom w:val="single" w:color="000000" w:sz="4" w:space="0"/>
            </w:tcBorders>
          </w:tcPr>
          <w:p>
            <w:pPr>
              <w:pStyle w:val="19"/>
              <w:spacing w:before="109"/>
              <w:ind w:left="504" w:right="483"/>
              <w:rPr>
                <w:rFonts w:ascii="Times New Roman"/>
                <w:sz w:val="21"/>
              </w:rPr>
            </w:pPr>
            <w:r>
              <w:rPr>
                <w:rFonts w:ascii="Times New Roman"/>
                <w:sz w:val="21"/>
              </w:rPr>
              <w:t>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027" w:type="dxa"/>
            <w:tcBorders>
              <w:top w:val="single" w:color="000000" w:sz="4" w:space="0"/>
              <w:bottom w:val="single" w:color="000000" w:sz="4" w:space="0"/>
              <w:right w:val="single" w:color="000000" w:sz="4" w:space="0"/>
            </w:tcBorders>
          </w:tcPr>
          <w:p>
            <w:pPr>
              <w:pStyle w:val="19"/>
              <w:spacing w:before="108"/>
              <w:ind w:left="14"/>
              <w:rPr>
                <w:rFonts w:ascii="Times New Roman"/>
                <w:sz w:val="21"/>
              </w:rPr>
            </w:pPr>
            <w:r>
              <w:rPr>
                <w:rFonts w:ascii="Times New Roman"/>
                <w:w w:val="99"/>
                <w:sz w:val="21"/>
              </w:rPr>
              <w:t>2</w:t>
            </w:r>
          </w:p>
        </w:tc>
        <w:tc>
          <w:tcPr>
            <w:tcW w:w="2382" w:type="dxa"/>
            <w:tcBorders>
              <w:top w:val="single" w:color="000000" w:sz="4" w:space="0"/>
              <w:left w:val="single" w:color="000000" w:sz="4" w:space="0"/>
              <w:bottom w:val="single" w:color="000000" w:sz="4" w:space="0"/>
              <w:right w:val="single" w:color="000000" w:sz="4" w:space="0"/>
            </w:tcBorders>
          </w:tcPr>
          <w:p>
            <w:pPr>
              <w:pStyle w:val="19"/>
              <w:spacing w:before="94" w:line="266" w:lineRule="exact"/>
              <w:ind w:left="543" w:right="524"/>
              <w:rPr>
                <w:sz w:val="21"/>
              </w:rPr>
            </w:pPr>
            <w:r>
              <w:rPr>
                <w:sz w:val="21"/>
              </w:rPr>
              <w:t>打桩机</w:t>
            </w:r>
          </w:p>
        </w:tc>
        <w:tc>
          <w:tcPr>
            <w:tcW w:w="142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2"/>
              </w:rPr>
            </w:pPr>
          </w:p>
        </w:tc>
        <w:tc>
          <w:tcPr>
            <w:tcW w:w="2194" w:type="dxa"/>
            <w:tcBorders>
              <w:top w:val="single" w:color="000000" w:sz="4" w:space="0"/>
              <w:left w:val="single" w:color="000000" w:sz="4" w:space="0"/>
              <w:bottom w:val="single" w:color="000000" w:sz="4" w:space="0"/>
              <w:right w:val="single" w:color="000000" w:sz="4" w:space="0"/>
            </w:tcBorders>
          </w:tcPr>
          <w:p>
            <w:pPr>
              <w:pStyle w:val="19"/>
              <w:spacing w:before="108"/>
              <w:ind w:left="15"/>
              <w:rPr>
                <w:rFonts w:ascii="Times New Roman"/>
                <w:sz w:val="21"/>
              </w:rPr>
            </w:pPr>
            <w:r>
              <w:rPr>
                <w:rFonts w:ascii="Times New Roman"/>
                <w:w w:val="99"/>
                <w:sz w:val="21"/>
              </w:rPr>
              <w:t>5</w:t>
            </w:r>
          </w:p>
        </w:tc>
        <w:tc>
          <w:tcPr>
            <w:tcW w:w="2317" w:type="dxa"/>
            <w:tcBorders>
              <w:top w:val="single" w:color="000000" w:sz="4" w:space="0"/>
              <w:left w:val="single" w:color="000000" w:sz="4" w:space="0"/>
              <w:bottom w:val="single" w:color="000000" w:sz="4" w:space="0"/>
            </w:tcBorders>
          </w:tcPr>
          <w:p>
            <w:pPr>
              <w:pStyle w:val="19"/>
              <w:spacing w:before="108"/>
              <w:ind w:left="504" w:right="483"/>
              <w:rPr>
                <w:rFonts w:ascii="Times New Roman"/>
                <w:sz w:val="21"/>
              </w:rPr>
            </w:pPr>
            <w:r>
              <w:rPr>
                <w:rFonts w:ascii="Times New Roman"/>
                <w:sz w:val="21"/>
              </w:rPr>
              <w:t>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027" w:type="dxa"/>
            <w:tcBorders>
              <w:top w:val="single" w:color="000000" w:sz="4" w:space="0"/>
              <w:bottom w:val="single" w:color="000000" w:sz="4" w:space="0"/>
              <w:right w:val="single" w:color="000000" w:sz="4" w:space="0"/>
            </w:tcBorders>
          </w:tcPr>
          <w:p>
            <w:pPr>
              <w:pStyle w:val="19"/>
              <w:spacing w:before="109"/>
              <w:ind w:left="14"/>
              <w:rPr>
                <w:rFonts w:ascii="Times New Roman"/>
                <w:sz w:val="21"/>
              </w:rPr>
            </w:pPr>
            <w:r>
              <w:rPr>
                <w:rFonts w:ascii="Times New Roman"/>
                <w:w w:val="99"/>
                <w:sz w:val="21"/>
              </w:rPr>
              <w:t>3</w:t>
            </w:r>
          </w:p>
        </w:tc>
        <w:tc>
          <w:tcPr>
            <w:tcW w:w="2382" w:type="dxa"/>
            <w:tcBorders>
              <w:top w:val="single" w:color="000000" w:sz="4" w:space="0"/>
              <w:left w:val="single" w:color="000000" w:sz="4" w:space="0"/>
              <w:bottom w:val="single" w:color="000000" w:sz="4" w:space="0"/>
              <w:right w:val="single" w:color="000000" w:sz="4" w:space="0"/>
            </w:tcBorders>
          </w:tcPr>
          <w:p>
            <w:pPr>
              <w:pStyle w:val="19"/>
              <w:spacing w:before="95" w:line="265" w:lineRule="exact"/>
              <w:ind w:left="543" w:right="524"/>
              <w:rPr>
                <w:sz w:val="21"/>
              </w:rPr>
            </w:pPr>
            <w:r>
              <w:rPr>
                <w:sz w:val="21"/>
              </w:rPr>
              <w:t>挖掘机</w:t>
            </w:r>
          </w:p>
        </w:tc>
        <w:tc>
          <w:tcPr>
            <w:tcW w:w="1424" w:type="dxa"/>
            <w:tcBorders>
              <w:top w:val="single" w:color="000000" w:sz="4" w:space="0"/>
              <w:left w:val="single" w:color="000000" w:sz="4" w:space="0"/>
              <w:bottom w:val="single" w:color="000000" w:sz="4" w:space="0"/>
              <w:right w:val="single" w:color="000000" w:sz="4" w:space="0"/>
            </w:tcBorders>
          </w:tcPr>
          <w:p>
            <w:pPr>
              <w:pStyle w:val="19"/>
              <w:spacing w:before="109"/>
              <w:ind w:left="362" w:right="346"/>
              <w:rPr>
                <w:rFonts w:ascii="Times New Roman"/>
                <w:sz w:val="21"/>
              </w:rPr>
            </w:pPr>
            <w:r>
              <w:rPr>
                <w:rFonts w:ascii="Times New Roman"/>
                <w:sz w:val="21"/>
              </w:rPr>
              <w:t>JZC350</w:t>
            </w:r>
          </w:p>
        </w:tc>
        <w:tc>
          <w:tcPr>
            <w:tcW w:w="2194" w:type="dxa"/>
            <w:tcBorders>
              <w:top w:val="single" w:color="000000" w:sz="4" w:space="0"/>
              <w:left w:val="single" w:color="000000" w:sz="4" w:space="0"/>
              <w:bottom w:val="single" w:color="000000" w:sz="4" w:space="0"/>
              <w:right w:val="single" w:color="000000" w:sz="4" w:space="0"/>
            </w:tcBorders>
          </w:tcPr>
          <w:p>
            <w:pPr>
              <w:pStyle w:val="19"/>
              <w:spacing w:before="109"/>
              <w:ind w:left="15"/>
              <w:rPr>
                <w:rFonts w:ascii="Times New Roman"/>
                <w:sz w:val="21"/>
              </w:rPr>
            </w:pPr>
            <w:r>
              <w:rPr>
                <w:rFonts w:ascii="Times New Roman"/>
                <w:w w:val="99"/>
                <w:sz w:val="21"/>
              </w:rPr>
              <w:t>5</w:t>
            </w:r>
          </w:p>
        </w:tc>
        <w:tc>
          <w:tcPr>
            <w:tcW w:w="2317" w:type="dxa"/>
            <w:tcBorders>
              <w:top w:val="single" w:color="000000" w:sz="4" w:space="0"/>
              <w:left w:val="single" w:color="000000" w:sz="4" w:space="0"/>
              <w:bottom w:val="single" w:color="000000" w:sz="4" w:space="0"/>
            </w:tcBorders>
          </w:tcPr>
          <w:p>
            <w:pPr>
              <w:pStyle w:val="19"/>
              <w:spacing w:before="109"/>
              <w:ind w:left="504" w:right="483"/>
              <w:rPr>
                <w:rFonts w:ascii="Times New Roman"/>
                <w:sz w:val="21"/>
              </w:rPr>
            </w:pPr>
            <w:r>
              <w:rPr>
                <w:rFonts w:ascii="Times New Roman"/>
                <w:sz w:val="21"/>
              </w:rPr>
              <w:t>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027" w:type="dxa"/>
            <w:tcBorders>
              <w:top w:val="single" w:color="000000" w:sz="4" w:space="0"/>
              <w:bottom w:val="single" w:color="000000" w:sz="4" w:space="0"/>
              <w:right w:val="single" w:color="000000" w:sz="4" w:space="0"/>
            </w:tcBorders>
          </w:tcPr>
          <w:p>
            <w:pPr>
              <w:pStyle w:val="19"/>
              <w:spacing w:before="108"/>
              <w:ind w:left="14"/>
              <w:rPr>
                <w:rFonts w:ascii="Times New Roman"/>
                <w:sz w:val="21"/>
              </w:rPr>
            </w:pPr>
            <w:r>
              <w:rPr>
                <w:rFonts w:ascii="Times New Roman"/>
                <w:w w:val="99"/>
                <w:sz w:val="21"/>
              </w:rPr>
              <w:t>4</w:t>
            </w:r>
          </w:p>
        </w:tc>
        <w:tc>
          <w:tcPr>
            <w:tcW w:w="2382" w:type="dxa"/>
            <w:tcBorders>
              <w:top w:val="single" w:color="000000" w:sz="4" w:space="0"/>
              <w:left w:val="single" w:color="000000" w:sz="4" w:space="0"/>
              <w:bottom w:val="single" w:color="000000" w:sz="4" w:space="0"/>
              <w:right w:val="single" w:color="000000" w:sz="4" w:space="0"/>
            </w:tcBorders>
          </w:tcPr>
          <w:p>
            <w:pPr>
              <w:pStyle w:val="19"/>
              <w:spacing w:before="94" w:line="266" w:lineRule="exact"/>
              <w:ind w:left="543" w:right="524"/>
              <w:rPr>
                <w:sz w:val="21"/>
              </w:rPr>
            </w:pPr>
            <w:r>
              <w:rPr>
                <w:sz w:val="21"/>
              </w:rPr>
              <w:t>推土机</w:t>
            </w:r>
          </w:p>
        </w:tc>
        <w:tc>
          <w:tcPr>
            <w:tcW w:w="1424" w:type="dxa"/>
            <w:tcBorders>
              <w:top w:val="single" w:color="000000" w:sz="4" w:space="0"/>
              <w:left w:val="single" w:color="000000" w:sz="4" w:space="0"/>
              <w:bottom w:val="single" w:color="000000" w:sz="4" w:space="0"/>
              <w:right w:val="single" w:color="000000" w:sz="4" w:space="0"/>
            </w:tcBorders>
          </w:tcPr>
          <w:p>
            <w:pPr>
              <w:pStyle w:val="19"/>
              <w:spacing w:before="108"/>
              <w:ind w:left="362" w:right="346"/>
              <w:rPr>
                <w:rFonts w:ascii="Times New Roman"/>
                <w:sz w:val="21"/>
              </w:rPr>
            </w:pPr>
            <w:r>
              <w:rPr>
                <w:rFonts w:ascii="Times New Roman"/>
                <w:sz w:val="21"/>
              </w:rPr>
              <w:t>T140</w:t>
            </w:r>
          </w:p>
        </w:tc>
        <w:tc>
          <w:tcPr>
            <w:tcW w:w="2194" w:type="dxa"/>
            <w:tcBorders>
              <w:top w:val="single" w:color="000000" w:sz="4" w:space="0"/>
              <w:left w:val="single" w:color="000000" w:sz="4" w:space="0"/>
              <w:bottom w:val="single" w:color="000000" w:sz="4" w:space="0"/>
              <w:right w:val="single" w:color="000000" w:sz="4" w:space="0"/>
            </w:tcBorders>
          </w:tcPr>
          <w:p>
            <w:pPr>
              <w:pStyle w:val="19"/>
              <w:spacing w:before="108"/>
              <w:ind w:left="15"/>
              <w:rPr>
                <w:rFonts w:ascii="Times New Roman"/>
                <w:sz w:val="21"/>
              </w:rPr>
            </w:pPr>
            <w:r>
              <w:rPr>
                <w:rFonts w:ascii="Times New Roman"/>
                <w:w w:val="99"/>
                <w:sz w:val="21"/>
              </w:rPr>
              <w:t>5</w:t>
            </w:r>
          </w:p>
        </w:tc>
        <w:tc>
          <w:tcPr>
            <w:tcW w:w="2317" w:type="dxa"/>
            <w:tcBorders>
              <w:top w:val="single" w:color="000000" w:sz="4" w:space="0"/>
              <w:left w:val="single" w:color="000000" w:sz="4" w:space="0"/>
              <w:bottom w:val="single" w:color="000000" w:sz="4" w:space="0"/>
            </w:tcBorders>
          </w:tcPr>
          <w:p>
            <w:pPr>
              <w:pStyle w:val="19"/>
              <w:spacing w:before="108"/>
              <w:ind w:left="504" w:right="483"/>
              <w:rPr>
                <w:rFonts w:ascii="Times New Roman"/>
                <w:sz w:val="21"/>
              </w:rPr>
            </w:pPr>
            <w:r>
              <w:rPr>
                <w:rFonts w:ascii="Times New Roman"/>
                <w:sz w:val="21"/>
              </w:rPr>
              <w:t>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027" w:type="dxa"/>
            <w:tcBorders>
              <w:top w:val="single" w:color="000000" w:sz="4" w:space="0"/>
              <w:bottom w:val="single" w:color="000000" w:sz="4" w:space="0"/>
              <w:right w:val="single" w:color="000000" w:sz="4" w:space="0"/>
            </w:tcBorders>
          </w:tcPr>
          <w:p>
            <w:pPr>
              <w:pStyle w:val="19"/>
              <w:spacing w:before="109"/>
              <w:ind w:left="14"/>
              <w:rPr>
                <w:rFonts w:ascii="Times New Roman"/>
                <w:sz w:val="21"/>
              </w:rPr>
            </w:pPr>
            <w:r>
              <w:rPr>
                <w:rFonts w:ascii="Times New Roman"/>
                <w:w w:val="99"/>
                <w:sz w:val="21"/>
              </w:rPr>
              <w:t>5</w:t>
            </w:r>
          </w:p>
        </w:tc>
        <w:tc>
          <w:tcPr>
            <w:tcW w:w="2382" w:type="dxa"/>
            <w:tcBorders>
              <w:top w:val="single" w:color="000000" w:sz="4" w:space="0"/>
              <w:left w:val="single" w:color="000000" w:sz="4" w:space="0"/>
              <w:bottom w:val="single" w:color="000000" w:sz="4" w:space="0"/>
              <w:right w:val="single" w:color="000000" w:sz="4" w:space="0"/>
            </w:tcBorders>
          </w:tcPr>
          <w:p>
            <w:pPr>
              <w:pStyle w:val="19"/>
              <w:spacing w:before="95" w:line="265" w:lineRule="exact"/>
              <w:ind w:left="543" w:right="524"/>
              <w:rPr>
                <w:sz w:val="21"/>
              </w:rPr>
            </w:pPr>
            <w:r>
              <w:rPr>
                <w:sz w:val="21"/>
              </w:rPr>
              <w:t>震动机</w:t>
            </w:r>
          </w:p>
        </w:tc>
        <w:tc>
          <w:tcPr>
            <w:tcW w:w="142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2"/>
              </w:rPr>
            </w:pPr>
          </w:p>
        </w:tc>
        <w:tc>
          <w:tcPr>
            <w:tcW w:w="2194" w:type="dxa"/>
            <w:tcBorders>
              <w:top w:val="single" w:color="000000" w:sz="4" w:space="0"/>
              <w:left w:val="single" w:color="000000" w:sz="4" w:space="0"/>
              <w:bottom w:val="single" w:color="000000" w:sz="4" w:space="0"/>
              <w:right w:val="single" w:color="000000" w:sz="4" w:space="0"/>
            </w:tcBorders>
          </w:tcPr>
          <w:p>
            <w:pPr>
              <w:pStyle w:val="19"/>
              <w:spacing w:before="109"/>
              <w:ind w:left="15"/>
              <w:rPr>
                <w:rFonts w:ascii="Times New Roman"/>
                <w:sz w:val="21"/>
              </w:rPr>
            </w:pPr>
            <w:r>
              <w:rPr>
                <w:rFonts w:ascii="Times New Roman"/>
                <w:w w:val="99"/>
                <w:sz w:val="21"/>
              </w:rPr>
              <w:t>5</w:t>
            </w:r>
          </w:p>
        </w:tc>
        <w:tc>
          <w:tcPr>
            <w:tcW w:w="2317" w:type="dxa"/>
            <w:tcBorders>
              <w:top w:val="single" w:color="000000" w:sz="4" w:space="0"/>
              <w:left w:val="single" w:color="000000" w:sz="4" w:space="0"/>
              <w:bottom w:val="single" w:color="000000" w:sz="4" w:space="0"/>
            </w:tcBorders>
          </w:tcPr>
          <w:p>
            <w:pPr>
              <w:pStyle w:val="19"/>
              <w:spacing w:before="109"/>
              <w:ind w:left="504" w:right="483"/>
              <w:rPr>
                <w:rFonts w:ascii="Times New Roman"/>
                <w:sz w:val="21"/>
              </w:rPr>
            </w:pPr>
            <w:r>
              <w:rPr>
                <w:rFonts w:ascii="Times New Roman"/>
                <w:sz w:val="21"/>
              </w:rPr>
              <w:t>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027" w:type="dxa"/>
            <w:tcBorders>
              <w:top w:val="single" w:color="000000" w:sz="4" w:space="0"/>
              <w:bottom w:val="single" w:color="000000" w:sz="4" w:space="0"/>
              <w:right w:val="single" w:color="000000" w:sz="4" w:space="0"/>
            </w:tcBorders>
          </w:tcPr>
          <w:p>
            <w:pPr>
              <w:pStyle w:val="19"/>
              <w:spacing w:before="108"/>
              <w:ind w:left="14"/>
              <w:rPr>
                <w:rFonts w:ascii="Times New Roman"/>
                <w:sz w:val="21"/>
              </w:rPr>
            </w:pPr>
            <w:r>
              <w:rPr>
                <w:rFonts w:ascii="Times New Roman"/>
                <w:w w:val="99"/>
                <w:sz w:val="21"/>
              </w:rPr>
              <w:t>6</w:t>
            </w:r>
          </w:p>
        </w:tc>
        <w:tc>
          <w:tcPr>
            <w:tcW w:w="2382" w:type="dxa"/>
            <w:tcBorders>
              <w:top w:val="single" w:color="000000" w:sz="4" w:space="0"/>
              <w:left w:val="single" w:color="000000" w:sz="4" w:space="0"/>
              <w:bottom w:val="single" w:color="000000" w:sz="4" w:space="0"/>
              <w:right w:val="single" w:color="000000" w:sz="4" w:space="0"/>
            </w:tcBorders>
          </w:tcPr>
          <w:p>
            <w:pPr>
              <w:pStyle w:val="19"/>
              <w:spacing w:before="94" w:line="266" w:lineRule="exact"/>
              <w:ind w:left="543" w:right="529"/>
              <w:rPr>
                <w:sz w:val="21"/>
              </w:rPr>
            </w:pPr>
            <w:r>
              <w:rPr>
                <w:sz w:val="21"/>
              </w:rPr>
              <w:t>汽车</w:t>
            </w:r>
          </w:p>
        </w:tc>
        <w:tc>
          <w:tcPr>
            <w:tcW w:w="1424"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2"/>
              </w:rPr>
            </w:pPr>
          </w:p>
        </w:tc>
        <w:tc>
          <w:tcPr>
            <w:tcW w:w="2194" w:type="dxa"/>
            <w:tcBorders>
              <w:top w:val="single" w:color="000000" w:sz="4" w:space="0"/>
              <w:left w:val="single" w:color="000000" w:sz="4" w:space="0"/>
              <w:bottom w:val="single" w:color="000000" w:sz="4" w:space="0"/>
              <w:right w:val="single" w:color="000000" w:sz="4" w:space="0"/>
            </w:tcBorders>
          </w:tcPr>
          <w:p>
            <w:pPr>
              <w:pStyle w:val="19"/>
              <w:spacing w:before="108"/>
              <w:ind w:left="15"/>
              <w:rPr>
                <w:rFonts w:ascii="Times New Roman"/>
                <w:sz w:val="21"/>
              </w:rPr>
            </w:pPr>
            <w:r>
              <w:rPr>
                <w:rFonts w:ascii="Times New Roman"/>
                <w:w w:val="99"/>
                <w:sz w:val="21"/>
              </w:rPr>
              <w:t>5</w:t>
            </w:r>
          </w:p>
        </w:tc>
        <w:tc>
          <w:tcPr>
            <w:tcW w:w="2317" w:type="dxa"/>
            <w:tcBorders>
              <w:top w:val="single" w:color="000000" w:sz="4" w:space="0"/>
              <w:left w:val="single" w:color="000000" w:sz="4" w:space="0"/>
              <w:bottom w:val="single" w:color="000000" w:sz="4" w:space="0"/>
            </w:tcBorders>
          </w:tcPr>
          <w:p>
            <w:pPr>
              <w:pStyle w:val="19"/>
              <w:spacing w:before="108"/>
              <w:ind w:left="504" w:right="483"/>
              <w:rPr>
                <w:rFonts w:ascii="Times New Roman"/>
                <w:sz w:val="21"/>
              </w:rPr>
            </w:pPr>
            <w:r>
              <w:rPr>
                <w:rFonts w:ascii="Times New Roman"/>
                <w:sz w:val="21"/>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027" w:type="dxa"/>
            <w:tcBorders>
              <w:top w:val="single" w:color="000000" w:sz="4" w:space="0"/>
              <w:bottom w:val="single" w:color="000000" w:sz="4" w:space="0"/>
              <w:right w:val="single" w:color="000000" w:sz="4" w:space="0"/>
            </w:tcBorders>
          </w:tcPr>
          <w:p>
            <w:pPr>
              <w:pStyle w:val="19"/>
              <w:spacing w:before="109"/>
              <w:ind w:left="14"/>
              <w:rPr>
                <w:rFonts w:ascii="Times New Roman"/>
                <w:sz w:val="21"/>
              </w:rPr>
            </w:pPr>
            <w:r>
              <w:rPr>
                <w:rFonts w:ascii="Times New Roman"/>
                <w:w w:val="99"/>
                <w:sz w:val="21"/>
              </w:rPr>
              <w:t>7</w:t>
            </w:r>
          </w:p>
        </w:tc>
        <w:tc>
          <w:tcPr>
            <w:tcW w:w="2382" w:type="dxa"/>
            <w:tcBorders>
              <w:top w:val="single" w:color="000000" w:sz="4" w:space="0"/>
              <w:left w:val="single" w:color="000000" w:sz="4" w:space="0"/>
              <w:bottom w:val="single" w:color="000000" w:sz="4" w:space="0"/>
              <w:right w:val="single" w:color="000000" w:sz="4" w:space="0"/>
            </w:tcBorders>
          </w:tcPr>
          <w:p>
            <w:pPr>
              <w:pStyle w:val="19"/>
              <w:spacing w:before="95" w:line="265" w:lineRule="exact"/>
              <w:ind w:left="543" w:right="529"/>
              <w:rPr>
                <w:sz w:val="21"/>
              </w:rPr>
            </w:pPr>
            <w:r>
              <w:rPr>
                <w:sz w:val="21"/>
              </w:rPr>
              <w:t>电锯</w:t>
            </w:r>
          </w:p>
        </w:tc>
        <w:tc>
          <w:tcPr>
            <w:tcW w:w="1424" w:type="dxa"/>
            <w:tcBorders>
              <w:top w:val="single" w:color="000000" w:sz="4" w:space="0"/>
              <w:left w:val="single" w:color="000000" w:sz="4" w:space="0"/>
              <w:bottom w:val="single" w:color="000000" w:sz="4" w:space="0"/>
              <w:right w:val="single" w:color="000000" w:sz="4" w:space="0"/>
            </w:tcBorders>
          </w:tcPr>
          <w:p>
            <w:pPr>
              <w:pStyle w:val="19"/>
              <w:spacing w:before="109"/>
              <w:ind w:left="362" w:right="344"/>
              <w:rPr>
                <w:rFonts w:ascii="Times New Roman" w:hAnsi="Times New Roman"/>
                <w:sz w:val="21"/>
              </w:rPr>
            </w:pPr>
            <w:r>
              <w:rPr>
                <w:rFonts w:ascii="Times New Roman" w:hAnsi="Times New Roman"/>
                <w:sz w:val="21"/>
              </w:rPr>
              <w:t>φ500</w:t>
            </w:r>
          </w:p>
        </w:tc>
        <w:tc>
          <w:tcPr>
            <w:tcW w:w="2194" w:type="dxa"/>
            <w:tcBorders>
              <w:top w:val="single" w:color="000000" w:sz="4" w:space="0"/>
              <w:left w:val="single" w:color="000000" w:sz="4" w:space="0"/>
              <w:bottom w:val="single" w:color="000000" w:sz="4" w:space="0"/>
              <w:right w:val="single" w:color="000000" w:sz="4" w:space="0"/>
            </w:tcBorders>
          </w:tcPr>
          <w:p>
            <w:pPr>
              <w:pStyle w:val="19"/>
              <w:spacing w:before="109"/>
              <w:ind w:left="15"/>
              <w:rPr>
                <w:rFonts w:ascii="Times New Roman"/>
                <w:sz w:val="21"/>
              </w:rPr>
            </w:pPr>
            <w:r>
              <w:rPr>
                <w:rFonts w:ascii="Times New Roman"/>
                <w:w w:val="99"/>
                <w:sz w:val="21"/>
              </w:rPr>
              <w:t>5</w:t>
            </w:r>
          </w:p>
        </w:tc>
        <w:tc>
          <w:tcPr>
            <w:tcW w:w="2317" w:type="dxa"/>
            <w:tcBorders>
              <w:top w:val="single" w:color="000000" w:sz="4" w:space="0"/>
              <w:left w:val="single" w:color="000000" w:sz="4" w:space="0"/>
              <w:bottom w:val="single" w:color="000000" w:sz="4" w:space="0"/>
            </w:tcBorders>
          </w:tcPr>
          <w:p>
            <w:pPr>
              <w:pStyle w:val="19"/>
              <w:spacing w:before="109"/>
              <w:ind w:left="507" w:right="481"/>
              <w:rPr>
                <w:rFonts w:ascii="Times New Roman"/>
                <w:sz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027" w:type="dxa"/>
            <w:tcBorders>
              <w:top w:val="single" w:color="000000" w:sz="4" w:space="0"/>
              <w:bottom w:val="single" w:color="000000" w:sz="4" w:space="0"/>
              <w:right w:val="single" w:color="000000" w:sz="4" w:space="0"/>
            </w:tcBorders>
          </w:tcPr>
          <w:p>
            <w:pPr>
              <w:pStyle w:val="19"/>
              <w:spacing w:before="108"/>
              <w:ind w:left="14"/>
              <w:rPr>
                <w:rFonts w:ascii="Times New Roman"/>
                <w:sz w:val="21"/>
              </w:rPr>
            </w:pPr>
            <w:r>
              <w:rPr>
                <w:rFonts w:ascii="Times New Roman"/>
                <w:w w:val="99"/>
                <w:sz w:val="21"/>
              </w:rPr>
              <w:t>8</w:t>
            </w:r>
          </w:p>
        </w:tc>
        <w:tc>
          <w:tcPr>
            <w:tcW w:w="2382" w:type="dxa"/>
            <w:tcBorders>
              <w:top w:val="single" w:color="000000" w:sz="4" w:space="0"/>
              <w:left w:val="single" w:color="000000" w:sz="4" w:space="0"/>
              <w:bottom w:val="single" w:color="000000" w:sz="4" w:space="0"/>
              <w:right w:val="single" w:color="000000" w:sz="4" w:space="0"/>
            </w:tcBorders>
          </w:tcPr>
          <w:p>
            <w:pPr>
              <w:pStyle w:val="19"/>
              <w:spacing w:before="94" w:line="266" w:lineRule="exact"/>
              <w:ind w:left="543" w:right="524"/>
              <w:rPr>
                <w:sz w:val="21"/>
              </w:rPr>
            </w:pPr>
            <w:r>
              <w:rPr>
                <w:sz w:val="21"/>
              </w:rPr>
              <w:t>卷扬机</w:t>
            </w:r>
          </w:p>
        </w:tc>
        <w:tc>
          <w:tcPr>
            <w:tcW w:w="1424" w:type="dxa"/>
            <w:tcBorders>
              <w:top w:val="single" w:color="000000" w:sz="4" w:space="0"/>
              <w:left w:val="single" w:color="000000" w:sz="4" w:space="0"/>
              <w:bottom w:val="single" w:color="000000" w:sz="4" w:space="0"/>
              <w:right w:val="single" w:color="000000" w:sz="4" w:space="0"/>
            </w:tcBorders>
          </w:tcPr>
          <w:p>
            <w:pPr>
              <w:pStyle w:val="19"/>
              <w:spacing w:before="108"/>
              <w:ind w:left="362" w:right="344"/>
              <w:rPr>
                <w:rFonts w:ascii="Times New Roman"/>
                <w:sz w:val="21"/>
              </w:rPr>
            </w:pPr>
            <w:r>
              <w:rPr>
                <w:rFonts w:ascii="Times New Roman"/>
                <w:sz w:val="21"/>
              </w:rPr>
              <w:t>QT40</w:t>
            </w:r>
          </w:p>
        </w:tc>
        <w:tc>
          <w:tcPr>
            <w:tcW w:w="2194" w:type="dxa"/>
            <w:tcBorders>
              <w:top w:val="single" w:color="000000" w:sz="4" w:space="0"/>
              <w:left w:val="single" w:color="000000" w:sz="4" w:space="0"/>
              <w:bottom w:val="single" w:color="000000" w:sz="4" w:space="0"/>
              <w:right w:val="single" w:color="000000" w:sz="4" w:space="0"/>
            </w:tcBorders>
          </w:tcPr>
          <w:p>
            <w:pPr>
              <w:pStyle w:val="19"/>
              <w:spacing w:before="108"/>
              <w:ind w:left="15"/>
              <w:rPr>
                <w:rFonts w:ascii="Times New Roman"/>
                <w:sz w:val="21"/>
              </w:rPr>
            </w:pPr>
            <w:r>
              <w:rPr>
                <w:rFonts w:ascii="Times New Roman"/>
                <w:w w:val="99"/>
                <w:sz w:val="21"/>
              </w:rPr>
              <w:t>5</w:t>
            </w:r>
          </w:p>
        </w:tc>
        <w:tc>
          <w:tcPr>
            <w:tcW w:w="2317" w:type="dxa"/>
            <w:tcBorders>
              <w:top w:val="single" w:color="000000" w:sz="4" w:space="0"/>
              <w:left w:val="single" w:color="000000" w:sz="4" w:space="0"/>
              <w:bottom w:val="single" w:color="000000" w:sz="4" w:space="0"/>
            </w:tcBorders>
          </w:tcPr>
          <w:p>
            <w:pPr>
              <w:pStyle w:val="19"/>
              <w:spacing w:before="108"/>
              <w:ind w:left="504" w:right="483"/>
              <w:rPr>
                <w:rFonts w:ascii="Times New Roman"/>
                <w:sz w:val="21"/>
              </w:rPr>
            </w:pPr>
            <w:r>
              <w:rPr>
                <w:rFonts w:ascii="Times New Roman"/>
                <w:sz w:val="21"/>
              </w:rPr>
              <w:t>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9" w:hRule="atLeast"/>
        </w:trPr>
        <w:tc>
          <w:tcPr>
            <w:tcW w:w="1027" w:type="dxa"/>
            <w:tcBorders>
              <w:top w:val="single" w:color="000000" w:sz="4" w:space="0"/>
              <w:right w:val="single" w:color="000000" w:sz="4" w:space="0"/>
            </w:tcBorders>
          </w:tcPr>
          <w:p>
            <w:pPr>
              <w:pStyle w:val="19"/>
              <w:spacing w:before="109"/>
              <w:ind w:left="14"/>
              <w:rPr>
                <w:rFonts w:ascii="Times New Roman"/>
                <w:sz w:val="21"/>
              </w:rPr>
            </w:pPr>
            <w:r>
              <w:rPr>
                <w:rFonts w:ascii="Times New Roman"/>
                <w:w w:val="99"/>
                <w:sz w:val="21"/>
              </w:rPr>
              <w:t>9</w:t>
            </w:r>
          </w:p>
        </w:tc>
        <w:tc>
          <w:tcPr>
            <w:tcW w:w="2382" w:type="dxa"/>
            <w:tcBorders>
              <w:top w:val="single" w:color="000000" w:sz="4" w:space="0"/>
              <w:left w:val="single" w:color="000000" w:sz="4" w:space="0"/>
              <w:right w:val="single" w:color="000000" w:sz="4" w:space="0"/>
            </w:tcBorders>
          </w:tcPr>
          <w:p>
            <w:pPr>
              <w:pStyle w:val="19"/>
              <w:spacing w:before="95" w:line="265" w:lineRule="exact"/>
              <w:ind w:left="543" w:right="524"/>
              <w:rPr>
                <w:sz w:val="21"/>
              </w:rPr>
            </w:pPr>
            <w:r>
              <w:rPr>
                <w:sz w:val="21"/>
              </w:rPr>
              <w:t>装载机</w:t>
            </w:r>
          </w:p>
        </w:tc>
        <w:tc>
          <w:tcPr>
            <w:tcW w:w="1424" w:type="dxa"/>
            <w:tcBorders>
              <w:top w:val="single" w:color="000000" w:sz="4" w:space="0"/>
              <w:left w:val="single" w:color="000000" w:sz="4" w:space="0"/>
              <w:right w:val="single" w:color="000000" w:sz="4" w:space="0"/>
            </w:tcBorders>
          </w:tcPr>
          <w:p>
            <w:pPr>
              <w:pStyle w:val="19"/>
              <w:spacing w:before="109"/>
              <w:ind w:left="362" w:right="344"/>
              <w:rPr>
                <w:rFonts w:ascii="Times New Roman"/>
                <w:sz w:val="21"/>
              </w:rPr>
            </w:pPr>
            <w:r>
              <w:rPr>
                <w:rFonts w:ascii="Times New Roman"/>
                <w:sz w:val="21"/>
              </w:rPr>
              <w:t>ZL40</w:t>
            </w:r>
          </w:p>
        </w:tc>
        <w:tc>
          <w:tcPr>
            <w:tcW w:w="2194" w:type="dxa"/>
            <w:tcBorders>
              <w:top w:val="single" w:color="000000" w:sz="4" w:space="0"/>
              <w:left w:val="single" w:color="000000" w:sz="4" w:space="0"/>
              <w:right w:val="single" w:color="000000" w:sz="4" w:space="0"/>
            </w:tcBorders>
          </w:tcPr>
          <w:p>
            <w:pPr>
              <w:pStyle w:val="19"/>
              <w:spacing w:before="109"/>
              <w:ind w:left="15"/>
              <w:rPr>
                <w:rFonts w:ascii="Times New Roman"/>
                <w:sz w:val="21"/>
              </w:rPr>
            </w:pPr>
            <w:r>
              <w:rPr>
                <w:rFonts w:ascii="Times New Roman"/>
                <w:w w:val="99"/>
                <w:sz w:val="21"/>
              </w:rPr>
              <w:t>5</w:t>
            </w:r>
          </w:p>
        </w:tc>
        <w:tc>
          <w:tcPr>
            <w:tcW w:w="2317" w:type="dxa"/>
            <w:tcBorders>
              <w:top w:val="single" w:color="000000" w:sz="4" w:space="0"/>
              <w:left w:val="single" w:color="000000" w:sz="4" w:space="0"/>
            </w:tcBorders>
          </w:tcPr>
          <w:p>
            <w:pPr>
              <w:pStyle w:val="19"/>
              <w:spacing w:before="109"/>
              <w:ind w:left="504" w:right="483"/>
              <w:rPr>
                <w:rFonts w:ascii="Times New Roman"/>
                <w:sz w:val="21"/>
              </w:rPr>
            </w:pPr>
            <w:r>
              <w:rPr>
                <w:rFonts w:ascii="Times New Roman"/>
                <w:sz w:val="21"/>
              </w:rPr>
              <w:t>89</w:t>
            </w:r>
          </w:p>
        </w:tc>
      </w:tr>
    </w:tbl>
    <w:p>
      <w:pPr>
        <w:pStyle w:val="6"/>
        <w:numPr>
          <w:ilvl w:val="2"/>
          <w:numId w:val="73"/>
        </w:numPr>
        <w:tabs>
          <w:tab w:val="left" w:pos="2048"/>
        </w:tabs>
        <w:spacing w:before="2" w:after="0" w:line="240" w:lineRule="auto"/>
        <w:ind w:left="2047" w:right="0" w:hanging="630"/>
        <w:jc w:val="left"/>
      </w:pPr>
      <w:bookmarkStart w:id="459" w:name="8.2.2施工期噪声影响分析"/>
      <w:bookmarkEnd w:id="459"/>
      <w:bookmarkStart w:id="460" w:name="8.2.2施工期噪声影响分析"/>
      <w:bookmarkEnd w:id="460"/>
      <w:r>
        <w:t>施工期噪声影响分析</w:t>
      </w:r>
    </w:p>
    <w:p>
      <w:pPr>
        <w:pStyle w:val="9"/>
        <w:spacing w:before="186"/>
        <w:ind w:left="1838"/>
      </w:pPr>
      <w:r>
        <w:rPr>
          <w:rFonts w:ascii="Times New Roman" w:eastAsia="Times New Roman"/>
        </w:rPr>
        <w:t>1</w:t>
      </w:r>
      <w:r>
        <w:t>、施工对场界噪声影响：</w:t>
      </w:r>
    </w:p>
    <w:p>
      <w:pPr>
        <w:pStyle w:val="9"/>
        <w:spacing w:before="160"/>
        <w:ind w:left="290"/>
        <w:jc w:val="center"/>
      </w:pPr>
      <w:r>
        <w:t>施工期对场界噪声影响，主要是指厂区施工及车辆运输对周围环境的影响。</w:t>
      </w:r>
    </w:p>
    <w:p>
      <w:pPr>
        <w:pStyle w:val="9"/>
        <w:spacing w:before="158"/>
        <w:ind w:left="2018"/>
      </w:pPr>
      <w:r>
        <w:t>（</w:t>
      </w:r>
      <w:r>
        <w:rPr>
          <w:rFonts w:ascii="Times New Roman" w:eastAsia="Times New Roman"/>
        </w:rPr>
        <w:t>1</w:t>
      </w:r>
      <w:r>
        <w:t>）评价标准</w:t>
      </w:r>
    </w:p>
    <w:p>
      <w:pPr>
        <w:pStyle w:val="9"/>
        <w:spacing w:before="161" w:line="362" w:lineRule="auto"/>
        <w:ind w:left="1418" w:right="1310" w:firstLine="720"/>
      </w:pPr>
      <w:r>
        <w:t>施工场界噪声限值采用《建筑施工场界环境噪声排放标准》（</w:t>
      </w:r>
      <w:r>
        <w:rPr>
          <w:rFonts w:ascii="Times New Roman" w:eastAsia="Times New Roman"/>
        </w:rPr>
        <w:t>GB12523-2011</w:t>
      </w:r>
      <w:r>
        <w:t>）， 详见下表。</w:t>
      </w:r>
    </w:p>
    <w:p>
      <w:pPr>
        <w:spacing w:before="3"/>
        <w:ind w:left="379" w:right="0" w:firstLine="0"/>
        <w:jc w:val="center"/>
        <w:rPr>
          <w:rFonts w:ascii="Times New Roman" w:eastAsia="Times New Roman"/>
          <w:b/>
          <w:sz w:val="21"/>
        </w:rPr>
      </w:pPr>
      <w:r>
        <w:rPr>
          <w:b/>
          <w:spacing w:val="-26"/>
          <w:sz w:val="21"/>
        </w:rPr>
        <w:t xml:space="preserve">表 </w:t>
      </w:r>
      <w:r>
        <w:rPr>
          <w:rFonts w:ascii="Times New Roman" w:eastAsia="Times New Roman"/>
          <w:b/>
          <w:sz w:val="21"/>
        </w:rPr>
        <w:t>8.2-2</w:t>
      </w:r>
      <w:r>
        <w:rPr>
          <w:rFonts w:ascii="Times New Roman" w:eastAsia="Times New Roman"/>
          <w:b/>
          <w:spacing w:val="51"/>
          <w:sz w:val="21"/>
        </w:rPr>
        <w:t xml:space="preserve"> </w:t>
      </w:r>
      <w:r>
        <w:rPr>
          <w:b/>
          <w:spacing w:val="-4"/>
          <w:sz w:val="21"/>
        </w:rPr>
        <w:t xml:space="preserve">建筑施工场界环境噪声排放限值 </w:t>
      </w:r>
      <w:r>
        <w:rPr>
          <w:rFonts w:ascii="Times New Roman" w:eastAsia="Times New Roman"/>
          <w:b/>
          <w:sz w:val="21"/>
        </w:rPr>
        <w:t>dB(A)</w:t>
      </w:r>
    </w:p>
    <w:p>
      <w:pPr>
        <w:pStyle w:val="9"/>
        <w:spacing w:before="1" w:after="1"/>
        <w:rPr>
          <w:rFonts w:ascii="Times New Roman"/>
          <w:b/>
          <w:sz w:val="12"/>
        </w:rPr>
      </w:pP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083"/>
        <w:gridCol w:w="42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5083" w:type="dxa"/>
            <w:tcBorders>
              <w:bottom w:val="single" w:color="000000" w:sz="4" w:space="0"/>
              <w:right w:val="single" w:color="000000" w:sz="4" w:space="0"/>
            </w:tcBorders>
          </w:tcPr>
          <w:p>
            <w:pPr>
              <w:pStyle w:val="19"/>
              <w:spacing w:before="6"/>
              <w:ind w:left="2309" w:right="2299"/>
              <w:rPr>
                <w:sz w:val="21"/>
              </w:rPr>
            </w:pPr>
            <w:r>
              <w:rPr>
                <w:sz w:val="21"/>
              </w:rPr>
              <w:t>昼间</w:t>
            </w:r>
          </w:p>
        </w:tc>
        <w:tc>
          <w:tcPr>
            <w:tcW w:w="4201" w:type="dxa"/>
            <w:tcBorders>
              <w:left w:val="single" w:color="000000" w:sz="4" w:space="0"/>
              <w:bottom w:val="single" w:color="000000" w:sz="4" w:space="0"/>
            </w:tcBorders>
          </w:tcPr>
          <w:p>
            <w:pPr>
              <w:pStyle w:val="19"/>
              <w:spacing w:before="6"/>
              <w:ind w:left="1450" w:right="1431"/>
              <w:rPr>
                <w:sz w:val="21"/>
              </w:rPr>
            </w:pPr>
            <w:r>
              <w:rPr>
                <w:sz w:val="21"/>
              </w:rPr>
              <w:t>夜间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6" w:hRule="atLeast"/>
        </w:trPr>
        <w:tc>
          <w:tcPr>
            <w:tcW w:w="5083" w:type="dxa"/>
            <w:tcBorders>
              <w:top w:val="single" w:color="000000" w:sz="4" w:space="0"/>
              <w:right w:val="single" w:color="000000" w:sz="4" w:space="0"/>
            </w:tcBorders>
          </w:tcPr>
          <w:p>
            <w:pPr>
              <w:pStyle w:val="19"/>
              <w:spacing w:before="1"/>
              <w:ind w:left="2309" w:right="2295"/>
              <w:rPr>
                <w:rFonts w:ascii="Times New Roman"/>
                <w:sz w:val="21"/>
              </w:rPr>
            </w:pPr>
            <w:r>
              <w:rPr>
                <w:rFonts w:ascii="Times New Roman"/>
                <w:sz w:val="21"/>
              </w:rPr>
              <w:t>70</w:t>
            </w:r>
          </w:p>
        </w:tc>
        <w:tc>
          <w:tcPr>
            <w:tcW w:w="4201" w:type="dxa"/>
            <w:tcBorders>
              <w:top w:val="single" w:color="000000" w:sz="4" w:space="0"/>
              <w:left w:val="single" w:color="000000" w:sz="4" w:space="0"/>
            </w:tcBorders>
          </w:tcPr>
          <w:p>
            <w:pPr>
              <w:pStyle w:val="19"/>
              <w:spacing w:before="1"/>
              <w:ind w:left="1454" w:right="1431"/>
              <w:rPr>
                <w:rFonts w:ascii="Times New Roman"/>
                <w:sz w:val="21"/>
              </w:rPr>
            </w:pPr>
            <w:r>
              <w:rPr>
                <w:rFonts w:ascii="Times New Roman"/>
                <w:sz w:val="21"/>
              </w:rPr>
              <w:t>55</w:t>
            </w:r>
          </w:p>
        </w:tc>
      </w:tr>
    </w:tbl>
    <w:p>
      <w:pPr>
        <w:pStyle w:val="9"/>
        <w:spacing w:before="2"/>
        <w:ind w:left="1898"/>
      </w:pPr>
      <w:r>
        <w:t>（</w:t>
      </w:r>
      <w:r>
        <w:rPr>
          <w:rFonts w:ascii="Times New Roman" w:eastAsia="Times New Roman"/>
        </w:rPr>
        <w:t>2</w:t>
      </w:r>
      <w:r>
        <w:t>）影响分析</w:t>
      </w:r>
    </w:p>
    <w:p>
      <w:pPr>
        <w:pStyle w:val="9"/>
        <w:spacing w:before="159"/>
        <w:ind w:left="1898"/>
      </w:pPr>
      <w:r>
        <w:t>施工机械单台设备噪声影响值见下表。</w:t>
      </w:r>
    </w:p>
    <w:p>
      <w:pPr>
        <w:spacing w:before="159"/>
        <w:ind w:left="379" w:right="0" w:firstLine="0"/>
        <w:jc w:val="center"/>
        <w:rPr>
          <w:rFonts w:ascii="Times New Roman" w:eastAsia="Times New Roman"/>
          <w:b/>
          <w:sz w:val="21"/>
        </w:rPr>
      </w:pPr>
      <w:r>
        <w:rPr>
          <w:b/>
          <w:spacing w:val="-26"/>
          <w:sz w:val="21"/>
        </w:rPr>
        <w:t xml:space="preserve">表 </w:t>
      </w:r>
      <w:r>
        <w:rPr>
          <w:rFonts w:ascii="Times New Roman" w:eastAsia="Times New Roman"/>
          <w:b/>
          <w:sz w:val="21"/>
        </w:rPr>
        <w:t>8.2-3</w:t>
      </w:r>
      <w:r>
        <w:rPr>
          <w:rFonts w:ascii="Times New Roman" w:eastAsia="Times New Roman"/>
          <w:b/>
          <w:spacing w:val="51"/>
          <w:sz w:val="21"/>
        </w:rPr>
        <w:t xml:space="preserve"> </w:t>
      </w:r>
      <w:r>
        <w:rPr>
          <w:b/>
          <w:spacing w:val="-4"/>
          <w:sz w:val="21"/>
        </w:rPr>
        <w:t xml:space="preserve">施工机械噪声对环境的影响值 </w:t>
      </w:r>
      <w:r>
        <w:rPr>
          <w:rFonts w:ascii="Times New Roman" w:eastAsia="Times New Roman"/>
          <w:b/>
          <w:sz w:val="21"/>
        </w:rPr>
        <w:t>LeqdB(A)</w:t>
      </w:r>
    </w:p>
    <w:p>
      <w:pPr>
        <w:pStyle w:val="9"/>
        <w:rPr>
          <w:rFonts w:ascii="Times New Roman"/>
          <w:b/>
          <w:sz w:val="12"/>
        </w:rPr>
      </w:pPr>
    </w:p>
    <w:tbl>
      <w:tblPr>
        <w:tblStyle w:val="15"/>
        <w:tblW w:w="0" w:type="auto"/>
        <w:tblInd w:w="13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29"/>
        <w:gridCol w:w="695"/>
        <w:gridCol w:w="929"/>
        <w:gridCol w:w="974"/>
        <w:gridCol w:w="1083"/>
        <w:gridCol w:w="1083"/>
        <w:gridCol w:w="1041"/>
        <w:gridCol w:w="951"/>
        <w:gridCol w:w="99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529" w:type="dxa"/>
            <w:tcBorders>
              <w:bottom w:val="single" w:color="000000" w:sz="4" w:space="0"/>
              <w:right w:val="single" w:color="000000" w:sz="4" w:space="0"/>
            </w:tcBorders>
          </w:tcPr>
          <w:p>
            <w:pPr>
              <w:pStyle w:val="19"/>
              <w:spacing w:before="79" w:line="261" w:lineRule="exact"/>
              <w:ind w:left="109" w:right="101"/>
              <w:rPr>
                <w:sz w:val="21"/>
              </w:rPr>
            </w:pPr>
            <w:r>
              <w:rPr>
                <w:sz w:val="21"/>
              </w:rPr>
              <w:t>设备名称</w:t>
            </w:r>
          </w:p>
        </w:tc>
        <w:tc>
          <w:tcPr>
            <w:tcW w:w="695" w:type="dxa"/>
            <w:tcBorders>
              <w:left w:val="single" w:color="000000" w:sz="4" w:space="0"/>
              <w:bottom w:val="single" w:color="000000" w:sz="4" w:space="0"/>
              <w:right w:val="single" w:color="000000" w:sz="4" w:space="0"/>
            </w:tcBorders>
          </w:tcPr>
          <w:p>
            <w:pPr>
              <w:pStyle w:val="19"/>
              <w:spacing w:before="93"/>
              <w:ind w:right="201"/>
              <w:jc w:val="right"/>
              <w:rPr>
                <w:rFonts w:ascii="Times New Roman"/>
                <w:sz w:val="21"/>
              </w:rPr>
            </w:pPr>
            <w:r>
              <w:rPr>
                <w:rFonts w:ascii="Times New Roman"/>
                <w:w w:val="95"/>
                <w:sz w:val="21"/>
              </w:rPr>
              <w:t>5m</w:t>
            </w:r>
          </w:p>
        </w:tc>
        <w:tc>
          <w:tcPr>
            <w:tcW w:w="929" w:type="dxa"/>
            <w:tcBorders>
              <w:left w:val="single" w:color="000000" w:sz="4" w:space="0"/>
              <w:bottom w:val="single" w:color="000000" w:sz="4" w:space="0"/>
              <w:right w:val="single" w:color="000000" w:sz="4" w:space="0"/>
            </w:tcBorders>
          </w:tcPr>
          <w:p>
            <w:pPr>
              <w:pStyle w:val="19"/>
              <w:spacing w:before="93"/>
              <w:ind w:left="222" w:right="222"/>
              <w:rPr>
                <w:rFonts w:ascii="Times New Roman"/>
                <w:sz w:val="21"/>
              </w:rPr>
            </w:pPr>
            <w:r>
              <w:rPr>
                <w:rFonts w:ascii="Times New Roman"/>
                <w:sz w:val="21"/>
              </w:rPr>
              <w:t>10m</w:t>
            </w:r>
          </w:p>
        </w:tc>
        <w:tc>
          <w:tcPr>
            <w:tcW w:w="974" w:type="dxa"/>
            <w:tcBorders>
              <w:left w:val="single" w:color="000000" w:sz="4" w:space="0"/>
              <w:bottom w:val="single" w:color="000000" w:sz="4" w:space="0"/>
              <w:right w:val="single" w:color="000000" w:sz="4" w:space="0"/>
            </w:tcBorders>
          </w:tcPr>
          <w:p>
            <w:pPr>
              <w:pStyle w:val="19"/>
              <w:spacing w:before="93"/>
              <w:ind w:left="274" w:right="275"/>
              <w:rPr>
                <w:rFonts w:ascii="Times New Roman"/>
                <w:sz w:val="21"/>
              </w:rPr>
            </w:pPr>
            <w:r>
              <w:rPr>
                <w:rFonts w:ascii="Times New Roman"/>
                <w:sz w:val="21"/>
              </w:rPr>
              <w:t>20m</w:t>
            </w:r>
          </w:p>
        </w:tc>
        <w:tc>
          <w:tcPr>
            <w:tcW w:w="1083" w:type="dxa"/>
            <w:tcBorders>
              <w:left w:val="single" w:color="000000" w:sz="4" w:space="0"/>
              <w:bottom w:val="single" w:color="000000" w:sz="4" w:space="0"/>
              <w:right w:val="single" w:color="000000" w:sz="4" w:space="0"/>
            </w:tcBorders>
          </w:tcPr>
          <w:p>
            <w:pPr>
              <w:pStyle w:val="19"/>
              <w:spacing w:before="93"/>
              <w:ind w:left="329" w:right="329"/>
              <w:rPr>
                <w:rFonts w:ascii="Times New Roman"/>
                <w:sz w:val="21"/>
              </w:rPr>
            </w:pPr>
            <w:r>
              <w:rPr>
                <w:rFonts w:ascii="Times New Roman"/>
                <w:sz w:val="21"/>
              </w:rPr>
              <w:t>30m</w:t>
            </w:r>
          </w:p>
        </w:tc>
        <w:tc>
          <w:tcPr>
            <w:tcW w:w="1083" w:type="dxa"/>
            <w:tcBorders>
              <w:left w:val="single" w:color="000000" w:sz="4" w:space="0"/>
              <w:bottom w:val="single" w:color="000000" w:sz="4" w:space="0"/>
              <w:right w:val="single" w:color="000000" w:sz="4" w:space="0"/>
            </w:tcBorders>
          </w:tcPr>
          <w:p>
            <w:pPr>
              <w:pStyle w:val="19"/>
              <w:spacing w:before="93"/>
              <w:ind w:left="329" w:right="329"/>
              <w:rPr>
                <w:rFonts w:ascii="Times New Roman"/>
                <w:sz w:val="21"/>
              </w:rPr>
            </w:pPr>
            <w:r>
              <w:rPr>
                <w:rFonts w:ascii="Times New Roman"/>
                <w:sz w:val="21"/>
              </w:rPr>
              <w:t>40m</w:t>
            </w:r>
          </w:p>
        </w:tc>
        <w:tc>
          <w:tcPr>
            <w:tcW w:w="1041" w:type="dxa"/>
            <w:tcBorders>
              <w:left w:val="single" w:color="000000" w:sz="4" w:space="0"/>
              <w:bottom w:val="single" w:color="000000" w:sz="4" w:space="0"/>
              <w:right w:val="single" w:color="000000" w:sz="4" w:space="0"/>
            </w:tcBorders>
          </w:tcPr>
          <w:p>
            <w:pPr>
              <w:pStyle w:val="19"/>
              <w:spacing w:before="93"/>
              <w:ind w:left="308" w:right="309"/>
              <w:rPr>
                <w:rFonts w:ascii="Times New Roman"/>
                <w:sz w:val="21"/>
              </w:rPr>
            </w:pPr>
            <w:r>
              <w:rPr>
                <w:rFonts w:ascii="Times New Roman"/>
                <w:sz w:val="21"/>
              </w:rPr>
              <w:t>80m</w:t>
            </w:r>
          </w:p>
        </w:tc>
        <w:tc>
          <w:tcPr>
            <w:tcW w:w="951" w:type="dxa"/>
            <w:tcBorders>
              <w:left w:val="single" w:color="000000" w:sz="4" w:space="0"/>
              <w:bottom w:val="single" w:color="000000" w:sz="4" w:space="0"/>
              <w:right w:val="single" w:color="000000" w:sz="4" w:space="0"/>
            </w:tcBorders>
          </w:tcPr>
          <w:p>
            <w:pPr>
              <w:pStyle w:val="19"/>
              <w:spacing w:before="93"/>
              <w:ind w:left="211" w:right="211"/>
              <w:rPr>
                <w:rFonts w:ascii="Times New Roman"/>
                <w:sz w:val="21"/>
              </w:rPr>
            </w:pPr>
            <w:r>
              <w:rPr>
                <w:rFonts w:ascii="Times New Roman"/>
                <w:sz w:val="21"/>
              </w:rPr>
              <w:t>150m</w:t>
            </w:r>
          </w:p>
        </w:tc>
        <w:tc>
          <w:tcPr>
            <w:tcW w:w="995" w:type="dxa"/>
            <w:tcBorders>
              <w:left w:val="single" w:color="000000" w:sz="4" w:space="0"/>
              <w:bottom w:val="single" w:color="000000" w:sz="4" w:space="0"/>
            </w:tcBorders>
          </w:tcPr>
          <w:p>
            <w:pPr>
              <w:pStyle w:val="19"/>
              <w:spacing w:before="93"/>
              <w:ind w:left="231" w:right="229"/>
              <w:rPr>
                <w:rFonts w:ascii="Times New Roman"/>
                <w:sz w:val="21"/>
              </w:rPr>
            </w:pPr>
            <w:r>
              <w:rPr>
                <w:rFonts w:ascii="Times New Roman"/>
                <w:sz w:val="21"/>
              </w:rPr>
              <w:t>200m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1529" w:type="dxa"/>
            <w:tcBorders>
              <w:top w:val="single" w:color="000000" w:sz="4" w:space="0"/>
              <w:bottom w:val="single" w:color="000000" w:sz="4" w:space="0"/>
              <w:right w:val="single" w:color="000000" w:sz="4" w:space="0"/>
            </w:tcBorders>
          </w:tcPr>
          <w:p>
            <w:pPr>
              <w:pStyle w:val="19"/>
              <w:spacing w:before="100"/>
              <w:ind w:left="112" w:right="101"/>
              <w:rPr>
                <w:sz w:val="21"/>
              </w:rPr>
            </w:pPr>
            <w:r>
              <w:rPr>
                <w:sz w:val="21"/>
              </w:rPr>
              <w:t>混凝土搅拌机</w:t>
            </w:r>
          </w:p>
        </w:tc>
        <w:tc>
          <w:tcPr>
            <w:tcW w:w="695" w:type="dxa"/>
            <w:tcBorders>
              <w:top w:val="single" w:color="000000" w:sz="4" w:space="0"/>
              <w:left w:val="single" w:color="000000" w:sz="4" w:space="0"/>
              <w:bottom w:val="single" w:color="000000" w:sz="4" w:space="0"/>
              <w:right w:val="single" w:color="000000" w:sz="4" w:space="0"/>
            </w:tcBorders>
          </w:tcPr>
          <w:p>
            <w:pPr>
              <w:pStyle w:val="19"/>
              <w:spacing w:before="114"/>
              <w:ind w:right="226"/>
              <w:jc w:val="right"/>
              <w:rPr>
                <w:rFonts w:ascii="Times New Roman"/>
                <w:sz w:val="21"/>
              </w:rPr>
            </w:pPr>
            <w:r>
              <w:rPr>
                <w:rFonts w:ascii="Times New Roman"/>
                <w:sz w:val="21"/>
              </w:rPr>
              <w:t>81</w:t>
            </w:r>
          </w:p>
        </w:tc>
        <w:tc>
          <w:tcPr>
            <w:tcW w:w="929" w:type="dxa"/>
            <w:tcBorders>
              <w:top w:val="single" w:color="000000" w:sz="4" w:space="0"/>
              <w:left w:val="single" w:color="000000" w:sz="4" w:space="0"/>
              <w:bottom w:val="single" w:color="000000" w:sz="4" w:space="0"/>
              <w:right w:val="single" w:color="000000" w:sz="4" w:space="0"/>
            </w:tcBorders>
          </w:tcPr>
          <w:p>
            <w:pPr>
              <w:pStyle w:val="19"/>
              <w:spacing w:before="107"/>
              <w:ind w:left="222" w:right="222"/>
              <w:rPr>
                <w:rFonts w:ascii="Times New Roman"/>
                <w:sz w:val="21"/>
              </w:rPr>
            </w:pPr>
            <w:r>
              <w:rPr>
                <w:rFonts w:ascii="Times New Roman"/>
                <w:sz w:val="21"/>
              </w:rPr>
              <w:t>61</w:t>
            </w:r>
          </w:p>
        </w:tc>
        <w:tc>
          <w:tcPr>
            <w:tcW w:w="974" w:type="dxa"/>
            <w:tcBorders>
              <w:top w:val="single" w:color="000000" w:sz="4" w:space="0"/>
              <w:left w:val="single" w:color="000000" w:sz="4" w:space="0"/>
              <w:bottom w:val="single" w:color="000000" w:sz="4" w:space="0"/>
              <w:right w:val="single" w:color="000000" w:sz="4" w:space="0"/>
            </w:tcBorders>
          </w:tcPr>
          <w:p>
            <w:pPr>
              <w:pStyle w:val="19"/>
              <w:spacing w:before="107"/>
              <w:ind w:left="274" w:right="274"/>
              <w:rPr>
                <w:rFonts w:ascii="Times New Roman"/>
                <w:sz w:val="21"/>
              </w:rPr>
            </w:pPr>
            <w:r>
              <w:rPr>
                <w:rFonts w:ascii="Times New Roman"/>
                <w:sz w:val="21"/>
              </w:rPr>
              <w:t>55</w:t>
            </w:r>
          </w:p>
        </w:tc>
        <w:tc>
          <w:tcPr>
            <w:tcW w:w="1083" w:type="dxa"/>
            <w:tcBorders>
              <w:top w:val="single" w:color="000000" w:sz="4" w:space="0"/>
              <w:left w:val="single" w:color="000000" w:sz="4" w:space="0"/>
              <w:bottom w:val="single" w:color="000000" w:sz="4" w:space="0"/>
              <w:right w:val="single" w:color="000000" w:sz="4" w:space="0"/>
            </w:tcBorders>
          </w:tcPr>
          <w:p>
            <w:pPr>
              <w:pStyle w:val="19"/>
              <w:spacing w:before="107"/>
              <w:ind w:left="329" w:right="329"/>
              <w:rPr>
                <w:rFonts w:ascii="Times New Roman"/>
                <w:sz w:val="21"/>
              </w:rPr>
            </w:pPr>
            <w:r>
              <w:rPr>
                <w:rFonts w:ascii="Times New Roman"/>
                <w:sz w:val="21"/>
              </w:rPr>
              <w:t>52</w:t>
            </w:r>
          </w:p>
        </w:tc>
        <w:tc>
          <w:tcPr>
            <w:tcW w:w="1083" w:type="dxa"/>
            <w:tcBorders>
              <w:top w:val="single" w:color="000000" w:sz="4" w:space="0"/>
              <w:left w:val="single" w:color="000000" w:sz="4" w:space="0"/>
              <w:bottom w:val="single" w:color="000000" w:sz="4" w:space="0"/>
              <w:right w:val="single" w:color="000000" w:sz="4" w:space="0"/>
            </w:tcBorders>
          </w:tcPr>
          <w:p>
            <w:pPr>
              <w:pStyle w:val="19"/>
              <w:spacing w:before="107"/>
              <w:ind w:left="328" w:right="329"/>
              <w:rPr>
                <w:rFonts w:ascii="Times New Roman"/>
                <w:sz w:val="21"/>
              </w:rPr>
            </w:pPr>
            <w:r>
              <w:rPr>
                <w:rFonts w:ascii="Times New Roman"/>
                <w:sz w:val="21"/>
              </w:rPr>
              <w:t>49</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07"/>
              <w:ind w:left="308" w:right="309"/>
              <w:rPr>
                <w:rFonts w:ascii="Times New Roman"/>
                <w:sz w:val="21"/>
              </w:rPr>
            </w:pPr>
            <w:r>
              <w:rPr>
                <w:rFonts w:ascii="Times New Roman"/>
                <w:sz w:val="21"/>
              </w:rPr>
              <w:t>43</w:t>
            </w:r>
          </w:p>
        </w:tc>
        <w:tc>
          <w:tcPr>
            <w:tcW w:w="951" w:type="dxa"/>
            <w:tcBorders>
              <w:top w:val="single" w:color="000000" w:sz="4" w:space="0"/>
              <w:left w:val="single" w:color="000000" w:sz="4" w:space="0"/>
              <w:bottom w:val="single" w:color="000000" w:sz="4" w:space="0"/>
              <w:right w:val="single" w:color="000000" w:sz="4" w:space="0"/>
            </w:tcBorders>
          </w:tcPr>
          <w:p>
            <w:pPr>
              <w:pStyle w:val="19"/>
              <w:spacing w:before="107"/>
              <w:ind w:left="210" w:right="211"/>
              <w:rPr>
                <w:rFonts w:ascii="Times New Roman"/>
                <w:sz w:val="21"/>
              </w:rPr>
            </w:pPr>
            <w:r>
              <w:rPr>
                <w:rFonts w:ascii="Times New Roman"/>
                <w:sz w:val="21"/>
              </w:rPr>
              <w:t>37</w:t>
            </w:r>
          </w:p>
        </w:tc>
        <w:tc>
          <w:tcPr>
            <w:tcW w:w="995" w:type="dxa"/>
            <w:tcBorders>
              <w:top w:val="single" w:color="000000" w:sz="4" w:space="0"/>
              <w:left w:val="single" w:color="000000" w:sz="4" w:space="0"/>
              <w:bottom w:val="single" w:color="000000" w:sz="4" w:space="0"/>
            </w:tcBorders>
          </w:tcPr>
          <w:p>
            <w:pPr>
              <w:pStyle w:val="19"/>
              <w:spacing w:before="107"/>
              <w:ind w:left="231" w:right="227"/>
              <w:rPr>
                <w:rFonts w:ascii="Times New Roman"/>
                <w:sz w:val="21"/>
              </w:rPr>
            </w:pPr>
            <w:r>
              <w:rPr>
                <w:rFonts w:ascii="Times New Roman"/>
                <w:sz w:val="21"/>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9" w:hRule="atLeast"/>
        </w:trPr>
        <w:tc>
          <w:tcPr>
            <w:tcW w:w="1529" w:type="dxa"/>
            <w:tcBorders>
              <w:top w:val="single" w:color="000000" w:sz="4" w:space="0"/>
              <w:bottom w:val="single" w:color="000000" w:sz="4" w:space="0"/>
              <w:right w:val="single" w:color="000000" w:sz="4" w:space="0"/>
            </w:tcBorders>
          </w:tcPr>
          <w:p>
            <w:pPr>
              <w:pStyle w:val="19"/>
              <w:spacing w:before="128"/>
              <w:ind w:left="112" w:right="101"/>
              <w:rPr>
                <w:sz w:val="21"/>
              </w:rPr>
            </w:pPr>
            <w:r>
              <w:rPr>
                <w:sz w:val="21"/>
              </w:rPr>
              <w:t>打桩机</w:t>
            </w:r>
          </w:p>
        </w:tc>
        <w:tc>
          <w:tcPr>
            <w:tcW w:w="695" w:type="dxa"/>
            <w:tcBorders>
              <w:top w:val="single" w:color="000000" w:sz="4" w:space="0"/>
              <w:left w:val="single" w:color="000000" w:sz="4" w:space="0"/>
              <w:bottom w:val="single" w:color="000000" w:sz="4" w:space="0"/>
              <w:right w:val="single" w:color="000000" w:sz="4" w:space="0"/>
            </w:tcBorders>
          </w:tcPr>
          <w:p>
            <w:pPr>
              <w:pStyle w:val="19"/>
              <w:spacing w:before="142"/>
              <w:ind w:right="226"/>
              <w:jc w:val="right"/>
              <w:rPr>
                <w:rFonts w:ascii="Times New Roman"/>
                <w:sz w:val="21"/>
              </w:rPr>
            </w:pPr>
            <w:r>
              <w:rPr>
                <w:rFonts w:ascii="Times New Roman"/>
                <w:sz w:val="21"/>
              </w:rPr>
              <w:t>94</w:t>
            </w:r>
          </w:p>
        </w:tc>
        <w:tc>
          <w:tcPr>
            <w:tcW w:w="929" w:type="dxa"/>
            <w:tcBorders>
              <w:top w:val="single" w:color="000000" w:sz="4" w:space="0"/>
              <w:left w:val="single" w:color="000000" w:sz="4" w:space="0"/>
              <w:bottom w:val="single" w:color="000000" w:sz="4" w:space="0"/>
              <w:right w:val="single" w:color="000000" w:sz="4" w:space="0"/>
            </w:tcBorders>
          </w:tcPr>
          <w:p>
            <w:pPr>
              <w:pStyle w:val="19"/>
              <w:spacing w:before="135"/>
              <w:ind w:left="222" w:right="222"/>
              <w:rPr>
                <w:rFonts w:ascii="Times New Roman"/>
                <w:sz w:val="21"/>
              </w:rPr>
            </w:pPr>
            <w:r>
              <w:rPr>
                <w:rFonts w:ascii="Times New Roman"/>
                <w:sz w:val="21"/>
              </w:rPr>
              <w:t>74</w:t>
            </w:r>
          </w:p>
        </w:tc>
        <w:tc>
          <w:tcPr>
            <w:tcW w:w="974" w:type="dxa"/>
            <w:tcBorders>
              <w:top w:val="single" w:color="000000" w:sz="4" w:space="0"/>
              <w:left w:val="single" w:color="000000" w:sz="4" w:space="0"/>
              <w:bottom w:val="single" w:color="000000" w:sz="4" w:space="0"/>
              <w:right w:val="single" w:color="000000" w:sz="4" w:space="0"/>
            </w:tcBorders>
          </w:tcPr>
          <w:p>
            <w:pPr>
              <w:pStyle w:val="19"/>
              <w:spacing w:before="135"/>
              <w:ind w:left="274" w:right="274"/>
              <w:rPr>
                <w:rFonts w:ascii="Times New Roman"/>
                <w:sz w:val="21"/>
              </w:rPr>
            </w:pPr>
            <w:r>
              <w:rPr>
                <w:rFonts w:ascii="Times New Roman"/>
                <w:sz w:val="21"/>
              </w:rPr>
              <w:t>68</w:t>
            </w:r>
          </w:p>
        </w:tc>
        <w:tc>
          <w:tcPr>
            <w:tcW w:w="1083" w:type="dxa"/>
            <w:tcBorders>
              <w:top w:val="single" w:color="000000" w:sz="4" w:space="0"/>
              <w:left w:val="single" w:color="000000" w:sz="4" w:space="0"/>
              <w:bottom w:val="single" w:color="000000" w:sz="4" w:space="0"/>
              <w:right w:val="single" w:color="000000" w:sz="4" w:space="0"/>
            </w:tcBorders>
          </w:tcPr>
          <w:p>
            <w:pPr>
              <w:pStyle w:val="19"/>
              <w:spacing w:before="135"/>
              <w:ind w:left="329" w:right="329"/>
              <w:rPr>
                <w:rFonts w:ascii="Times New Roman"/>
                <w:sz w:val="21"/>
              </w:rPr>
            </w:pPr>
            <w:r>
              <w:rPr>
                <w:rFonts w:ascii="Times New Roman"/>
                <w:sz w:val="21"/>
              </w:rPr>
              <w:t>65</w:t>
            </w:r>
          </w:p>
        </w:tc>
        <w:tc>
          <w:tcPr>
            <w:tcW w:w="1083" w:type="dxa"/>
            <w:tcBorders>
              <w:top w:val="single" w:color="000000" w:sz="4" w:space="0"/>
              <w:left w:val="single" w:color="000000" w:sz="4" w:space="0"/>
              <w:bottom w:val="single" w:color="000000" w:sz="4" w:space="0"/>
              <w:right w:val="single" w:color="000000" w:sz="4" w:space="0"/>
            </w:tcBorders>
          </w:tcPr>
          <w:p>
            <w:pPr>
              <w:pStyle w:val="19"/>
              <w:spacing w:before="135"/>
              <w:ind w:left="328" w:right="329"/>
              <w:rPr>
                <w:rFonts w:ascii="Times New Roman"/>
                <w:sz w:val="21"/>
              </w:rPr>
            </w:pPr>
            <w:r>
              <w:rPr>
                <w:rFonts w:ascii="Times New Roman"/>
                <w:sz w:val="21"/>
              </w:rPr>
              <w:t>62</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35"/>
              <w:ind w:left="308" w:right="309"/>
              <w:rPr>
                <w:rFonts w:ascii="Times New Roman"/>
                <w:sz w:val="21"/>
              </w:rPr>
            </w:pPr>
            <w:r>
              <w:rPr>
                <w:rFonts w:ascii="Times New Roman"/>
                <w:sz w:val="21"/>
              </w:rPr>
              <w:t>56</w:t>
            </w:r>
          </w:p>
        </w:tc>
        <w:tc>
          <w:tcPr>
            <w:tcW w:w="951" w:type="dxa"/>
            <w:tcBorders>
              <w:top w:val="single" w:color="000000" w:sz="4" w:space="0"/>
              <w:left w:val="single" w:color="000000" w:sz="4" w:space="0"/>
              <w:bottom w:val="single" w:color="000000" w:sz="4" w:space="0"/>
              <w:right w:val="single" w:color="000000" w:sz="4" w:space="0"/>
            </w:tcBorders>
          </w:tcPr>
          <w:p>
            <w:pPr>
              <w:pStyle w:val="19"/>
              <w:spacing w:before="135"/>
              <w:ind w:left="210" w:right="211"/>
              <w:rPr>
                <w:rFonts w:ascii="Times New Roman"/>
                <w:sz w:val="21"/>
              </w:rPr>
            </w:pPr>
            <w:r>
              <w:rPr>
                <w:rFonts w:ascii="Times New Roman"/>
                <w:sz w:val="21"/>
              </w:rPr>
              <w:t>51</w:t>
            </w:r>
          </w:p>
        </w:tc>
        <w:tc>
          <w:tcPr>
            <w:tcW w:w="995" w:type="dxa"/>
            <w:tcBorders>
              <w:top w:val="single" w:color="000000" w:sz="4" w:space="0"/>
              <w:left w:val="single" w:color="000000" w:sz="4" w:space="0"/>
              <w:bottom w:val="single" w:color="000000" w:sz="4" w:space="0"/>
            </w:tcBorders>
          </w:tcPr>
          <w:p>
            <w:pPr>
              <w:pStyle w:val="19"/>
              <w:spacing w:before="135"/>
              <w:ind w:left="231" w:right="227"/>
              <w:rPr>
                <w:rFonts w:ascii="Times New Roman"/>
                <w:sz w:val="21"/>
              </w:rPr>
            </w:pPr>
            <w:r>
              <w:rPr>
                <w:rFonts w:ascii="Times New Roman"/>
                <w:sz w:val="21"/>
              </w:rPr>
              <w:t>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529" w:type="dxa"/>
            <w:tcBorders>
              <w:top w:val="single" w:color="000000" w:sz="4" w:space="0"/>
              <w:bottom w:val="single" w:color="000000" w:sz="4" w:space="0"/>
              <w:right w:val="single" w:color="000000" w:sz="4" w:space="0"/>
            </w:tcBorders>
          </w:tcPr>
          <w:p>
            <w:pPr>
              <w:pStyle w:val="19"/>
              <w:spacing w:before="128"/>
              <w:ind w:left="112" w:right="101"/>
              <w:rPr>
                <w:sz w:val="21"/>
              </w:rPr>
            </w:pPr>
            <w:r>
              <w:rPr>
                <w:sz w:val="21"/>
              </w:rPr>
              <w:t>挖掘机</w:t>
            </w:r>
          </w:p>
        </w:tc>
        <w:tc>
          <w:tcPr>
            <w:tcW w:w="695" w:type="dxa"/>
            <w:tcBorders>
              <w:top w:val="single" w:color="000000" w:sz="4" w:space="0"/>
              <w:left w:val="single" w:color="000000" w:sz="4" w:space="0"/>
              <w:bottom w:val="single" w:color="000000" w:sz="4" w:space="0"/>
              <w:right w:val="single" w:color="000000" w:sz="4" w:space="0"/>
            </w:tcBorders>
          </w:tcPr>
          <w:p>
            <w:pPr>
              <w:pStyle w:val="19"/>
              <w:spacing w:before="142"/>
              <w:ind w:right="226"/>
              <w:jc w:val="right"/>
              <w:rPr>
                <w:rFonts w:ascii="Times New Roman"/>
                <w:sz w:val="21"/>
              </w:rPr>
            </w:pPr>
            <w:r>
              <w:rPr>
                <w:rFonts w:ascii="Times New Roman"/>
                <w:sz w:val="21"/>
              </w:rPr>
              <w:t>84</w:t>
            </w:r>
          </w:p>
        </w:tc>
        <w:tc>
          <w:tcPr>
            <w:tcW w:w="929" w:type="dxa"/>
            <w:tcBorders>
              <w:top w:val="single" w:color="000000" w:sz="4" w:space="0"/>
              <w:left w:val="single" w:color="000000" w:sz="4" w:space="0"/>
              <w:bottom w:val="single" w:color="000000" w:sz="4" w:space="0"/>
              <w:right w:val="single" w:color="000000" w:sz="4" w:space="0"/>
            </w:tcBorders>
          </w:tcPr>
          <w:p>
            <w:pPr>
              <w:pStyle w:val="19"/>
              <w:spacing w:before="135"/>
              <w:ind w:left="222" w:right="222"/>
              <w:rPr>
                <w:rFonts w:ascii="Times New Roman"/>
                <w:sz w:val="21"/>
              </w:rPr>
            </w:pPr>
            <w:r>
              <w:rPr>
                <w:rFonts w:ascii="Times New Roman"/>
                <w:sz w:val="21"/>
              </w:rPr>
              <w:t>64</w:t>
            </w:r>
          </w:p>
        </w:tc>
        <w:tc>
          <w:tcPr>
            <w:tcW w:w="974" w:type="dxa"/>
            <w:tcBorders>
              <w:top w:val="single" w:color="000000" w:sz="4" w:space="0"/>
              <w:left w:val="single" w:color="000000" w:sz="4" w:space="0"/>
              <w:bottom w:val="single" w:color="000000" w:sz="4" w:space="0"/>
              <w:right w:val="single" w:color="000000" w:sz="4" w:space="0"/>
            </w:tcBorders>
          </w:tcPr>
          <w:p>
            <w:pPr>
              <w:pStyle w:val="19"/>
              <w:spacing w:before="135"/>
              <w:ind w:left="274" w:right="274"/>
              <w:rPr>
                <w:rFonts w:ascii="Times New Roman"/>
                <w:sz w:val="21"/>
              </w:rPr>
            </w:pPr>
            <w:r>
              <w:rPr>
                <w:rFonts w:ascii="Times New Roman"/>
                <w:sz w:val="21"/>
              </w:rPr>
              <w:t>58</w:t>
            </w:r>
          </w:p>
        </w:tc>
        <w:tc>
          <w:tcPr>
            <w:tcW w:w="1083" w:type="dxa"/>
            <w:tcBorders>
              <w:top w:val="single" w:color="000000" w:sz="4" w:space="0"/>
              <w:left w:val="single" w:color="000000" w:sz="4" w:space="0"/>
              <w:bottom w:val="single" w:color="000000" w:sz="4" w:space="0"/>
              <w:right w:val="single" w:color="000000" w:sz="4" w:space="0"/>
            </w:tcBorders>
          </w:tcPr>
          <w:p>
            <w:pPr>
              <w:pStyle w:val="19"/>
              <w:spacing w:before="135"/>
              <w:ind w:left="329" w:right="329"/>
              <w:rPr>
                <w:rFonts w:ascii="Times New Roman"/>
                <w:sz w:val="21"/>
              </w:rPr>
            </w:pPr>
            <w:r>
              <w:rPr>
                <w:rFonts w:ascii="Times New Roman"/>
                <w:sz w:val="21"/>
              </w:rPr>
              <w:t>55</w:t>
            </w:r>
          </w:p>
        </w:tc>
        <w:tc>
          <w:tcPr>
            <w:tcW w:w="1083" w:type="dxa"/>
            <w:tcBorders>
              <w:top w:val="single" w:color="000000" w:sz="4" w:space="0"/>
              <w:left w:val="single" w:color="000000" w:sz="4" w:space="0"/>
              <w:bottom w:val="single" w:color="000000" w:sz="4" w:space="0"/>
              <w:right w:val="single" w:color="000000" w:sz="4" w:space="0"/>
            </w:tcBorders>
          </w:tcPr>
          <w:p>
            <w:pPr>
              <w:pStyle w:val="19"/>
              <w:spacing w:before="135"/>
              <w:ind w:left="328" w:right="329"/>
              <w:rPr>
                <w:rFonts w:ascii="Times New Roman"/>
                <w:sz w:val="21"/>
              </w:rPr>
            </w:pPr>
            <w:r>
              <w:rPr>
                <w:rFonts w:ascii="Times New Roman"/>
                <w:sz w:val="21"/>
              </w:rPr>
              <w:t>52</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35"/>
              <w:ind w:left="308" w:right="309"/>
              <w:rPr>
                <w:rFonts w:ascii="Times New Roman"/>
                <w:sz w:val="21"/>
              </w:rPr>
            </w:pPr>
            <w:r>
              <w:rPr>
                <w:rFonts w:ascii="Times New Roman"/>
                <w:sz w:val="21"/>
              </w:rPr>
              <w:t>46</w:t>
            </w:r>
          </w:p>
        </w:tc>
        <w:tc>
          <w:tcPr>
            <w:tcW w:w="951" w:type="dxa"/>
            <w:tcBorders>
              <w:top w:val="single" w:color="000000" w:sz="4" w:space="0"/>
              <w:left w:val="single" w:color="000000" w:sz="4" w:space="0"/>
              <w:bottom w:val="single" w:color="000000" w:sz="4" w:space="0"/>
              <w:right w:val="single" w:color="000000" w:sz="4" w:space="0"/>
            </w:tcBorders>
          </w:tcPr>
          <w:p>
            <w:pPr>
              <w:pStyle w:val="19"/>
              <w:spacing w:before="135"/>
              <w:ind w:left="210" w:right="211"/>
              <w:rPr>
                <w:rFonts w:ascii="Times New Roman"/>
                <w:sz w:val="21"/>
              </w:rPr>
            </w:pPr>
            <w:r>
              <w:rPr>
                <w:rFonts w:ascii="Times New Roman"/>
                <w:sz w:val="21"/>
              </w:rPr>
              <w:t>40</w:t>
            </w:r>
          </w:p>
        </w:tc>
        <w:tc>
          <w:tcPr>
            <w:tcW w:w="995" w:type="dxa"/>
            <w:tcBorders>
              <w:top w:val="single" w:color="000000" w:sz="4" w:space="0"/>
              <w:left w:val="single" w:color="000000" w:sz="4" w:space="0"/>
              <w:bottom w:val="single" w:color="000000" w:sz="4" w:space="0"/>
            </w:tcBorders>
          </w:tcPr>
          <w:p>
            <w:pPr>
              <w:pStyle w:val="19"/>
              <w:spacing w:before="135"/>
              <w:ind w:left="231" w:right="227"/>
              <w:rPr>
                <w:rFonts w:ascii="Times New Roman"/>
                <w:sz w:val="21"/>
              </w:rPr>
            </w:pPr>
            <w:r>
              <w:rPr>
                <w:rFonts w:ascii="Times New Roman"/>
                <w:sz w:val="21"/>
              </w:rPr>
              <w:t>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9" w:hRule="atLeast"/>
        </w:trPr>
        <w:tc>
          <w:tcPr>
            <w:tcW w:w="1529" w:type="dxa"/>
            <w:tcBorders>
              <w:top w:val="single" w:color="000000" w:sz="4" w:space="0"/>
              <w:bottom w:val="single" w:color="000000" w:sz="4" w:space="0"/>
              <w:right w:val="single" w:color="000000" w:sz="4" w:space="0"/>
            </w:tcBorders>
          </w:tcPr>
          <w:p>
            <w:pPr>
              <w:pStyle w:val="19"/>
              <w:spacing w:before="127"/>
              <w:ind w:left="112" w:right="101"/>
              <w:rPr>
                <w:sz w:val="21"/>
              </w:rPr>
            </w:pPr>
            <w:r>
              <w:rPr>
                <w:sz w:val="21"/>
              </w:rPr>
              <w:t>推土机</w:t>
            </w:r>
          </w:p>
        </w:tc>
        <w:tc>
          <w:tcPr>
            <w:tcW w:w="695" w:type="dxa"/>
            <w:tcBorders>
              <w:top w:val="single" w:color="000000" w:sz="4" w:space="0"/>
              <w:left w:val="single" w:color="000000" w:sz="4" w:space="0"/>
              <w:bottom w:val="single" w:color="000000" w:sz="4" w:space="0"/>
              <w:right w:val="single" w:color="000000" w:sz="4" w:space="0"/>
            </w:tcBorders>
          </w:tcPr>
          <w:p>
            <w:pPr>
              <w:pStyle w:val="19"/>
              <w:spacing w:before="141"/>
              <w:ind w:right="226"/>
              <w:jc w:val="right"/>
              <w:rPr>
                <w:rFonts w:ascii="Times New Roman"/>
                <w:sz w:val="21"/>
              </w:rPr>
            </w:pPr>
            <w:r>
              <w:rPr>
                <w:rFonts w:ascii="Times New Roman"/>
                <w:sz w:val="21"/>
              </w:rPr>
              <w:t>77</w:t>
            </w:r>
          </w:p>
        </w:tc>
        <w:tc>
          <w:tcPr>
            <w:tcW w:w="929" w:type="dxa"/>
            <w:tcBorders>
              <w:top w:val="single" w:color="000000" w:sz="4" w:space="0"/>
              <w:left w:val="single" w:color="000000" w:sz="4" w:space="0"/>
              <w:bottom w:val="single" w:color="000000" w:sz="4" w:space="0"/>
              <w:right w:val="single" w:color="000000" w:sz="4" w:space="0"/>
            </w:tcBorders>
          </w:tcPr>
          <w:p>
            <w:pPr>
              <w:pStyle w:val="19"/>
              <w:spacing w:before="136"/>
              <w:ind w:left="222" w:right="222"/>
              <w:rPr>
                <w:rFonts w:ascii="Times New Roman"/>
                <w:sz w:val="21"/>
              </w:rPr>
            </w:pPr>
            <w:r>
              <w:rPr>
                <w:rFonts w:ascii="Times New Roman"/>
                <w:sz w:val="21"/>
              </w:rPr>
              <w:t>57</w:t>
            </w:r>
          </w:p>
        </w:tc>
        <w:tc>
          <w:tcPr>
            <w:tcW w:w="974" w:type="dxa"/>
            <w:tcBorders>
              <w:top w:val="single" w:color="000000" w:sz="4" w:space="0"/>
              <w:left w:val="single" w:color="000000" w:sz="4" w:space="0"/>
              <w:bottom w:val="single" w:color="000000" w:sz="4" w:space="0"/>
              <w:right w:val="single" w:color="000000" w:sz="4" w:space="0"/>
            </w:tcBorders>
          </w:tcPr>
          <w:p>
            <w:pPr>
              <w:pStyle w:val="19"/>
              <w:spacing w:before="136"/>
              <w:ind w:left="274" w:right="274"/>
              <w:rPr>
                <w:rFonts w:ascii="Times New Roman"/>
                <w:sz w:val="21"/>
              </w:rPr>
            </w:pPr>
            <w:r>
              <w:rPr>
                <w:rFonts w:ascii="Times New Roman"/>
                <w:sz w:val="21"/>
              </w:rPr>
              <w:t>51</w:t>
            </w:r>
          </w:p>
        </w:tc>
        <w:tc>
          <w:tcPr>
            <w:tcW w:w="1083" w:type="dxa"/>
            <w:tcBorders>
              <w:top w:val="single" w:color="000000" w:sz="4" w:space="0"/>
              <w:left w:val="single" w:color="000000" w:sz="4" w:space="0"/>
              <w:bottom w:val="single" w:color="000000" w:sz="4" w:space="0"/>
              <w:right w:val="single" w:color="000000" w:sz="4" w:space="0"/>
            </w:tcBorders>
          </w:tcPr>
          <w:p>
            <w:pPr>
              <w:pStyle w:val="19"/>
              <w:spacing w:before="136"/>
              <w:ind w:left="329" w:right="329"/>
              <w:rPr>
                <w:rFonts w:ascii="Times New Roman"/>
                <w:sz w:val="21"/>
              </w:rPr>
            </w:pPr>
            <w:r>
              <w:rPr>
                <w:rFonts w:ascii="Times New Roman"/>
                <w:sz w:val="21"/>
              </w:rPr>
              <w:t>48</w:t>
            </w:r>
          </w:p>
        </w:tc>
        <w:tc>
          <w:tcPr>
            <w:tcW w:w="1083" w:type="dxa"/>
            <w:tcBorders>
              <w:top w:val="single" w:color="000000" w:sz="4" w:space="0"/>
              <w:left w:val="single" w:color="000000" w:sz="4" w:space="0"/>
              <w:bottom w:val="single" w:color="000000" w:sz="4" w:space="0"/>
              <w:right w:val="single" w:color="000000" w:sz="4" w:space="0"/>
            </w:tcBorders>
          </w:tcPr>
          <w:p>
            <w:pPr>
              <w:pStyle w:val="19"/>
              <w:spacing w:before="136"/>
              <w:ind w:left="328" w:right="329"/>
              <w:rPr>
                <w:rFonts w:ascii="Times New Roman"/>
                <w:sz w:val="21"/>
              </w:rPr>
            </w:pPr>
            <w:r>
              <w:rPr>
                <w:rFonts w:ascii="Times New Roman"/>
                <w:sz w:val="21"/>
              </w:rPr>
              <w:t>45</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36"/>
              <w:ind w:left="308" w:right="309"/>
              <w:rPr>
                <w:rFonts w:ascii="Times New Roman"/>
                <w:sz w:val="21"/>
              </w:rPr>
            </w:pPr>
            <w:r>
              <w:rPr>
                <w:rFonts w:ascii="Times New Roman"/>
                <w:sz w:val="21"/>
              </w:rPr>
              <w:t>39</w:t>
            </w:r>
          </w:p>
        </w:tc>
        <w:tc>
          <w:tcPr>
            <w:tcW w:w="951" w:type="dxa"/>
            <w:tcBorders>
              <w:top w:val="single" w:color="000000" w:sz="4" w:space="0"/>
              <w:left w:val="single" w:color="000000" w:sz="4" w:space="0"/>
              <w:bottom w:val="single" w:color="000000" w:sz="4" w:space="0"/>
              <w:right w:val="single" w:color="000000" w:sz="4" w:space="0"/>
            </w:tcBorders>
          </w:tcPr>
          <w:p>
            <w:pPr>
              <w:pStyle w:val="19"/>
              <w:spacing w:before="136"/>
              <w:ind w:left="210" w:right="211"/>
              <w:rPr>
                <w:rFonts w:ascii="Times New Roman"/>
                <w:sz w:val="21"/>
              </w:rPr>
            </w:pPr>
            <w:r>
              <w:rPr>
                <w:rFonts w:ascii="Times New Roman"/>
                <w:sz w:val="21"/>
              </w:rPr>
              <w:t>33</w:t>
            </w:r>
          </w:p>
        </w:tc>
        <w:tc>
          <w:tcPr>
            <w:tcW w:w="995" w:type="dxa"/>
            <w:tcBorders>
              <w:top w:val="single" w:color="000000" w:sz="4" w:space="0"/>
              <w:left w:val="single" w:color="000000" w:sz="4" w:space="0"/>
              <w:bottom w:val="single" w:color="000000" w:sz="4" w:space="0"/>
            </w:tcBorders>
          </w:tcPr>
          <w:p>
            <w:pPr>
              <w:pStyle w:val="19"/>
              <w:spacing w:before="136"/>
              <w:ind w:left="231" w:right="227"/>
              <w:rPr>
                <w:rFonts w:ascii="Times New Roman"/>
                <w:sz w:val="21"/>
              </w:rPr>
            </w:pPr>
            <w:r>
              <w:rPr>
                <w:rFonts w:ascii="Times New Roman"/>
                <w:sz w:val="21"/>
              </w:rPr>
              <w:t>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529" w:type="dxa"/>
            <w:tcBorders>
              <w:top w:val="single" w:color="000000" w:sz="4" w:space="0"/>
              <w:bottom w:val="single" w:color="000000" w:sz="4" w:space="0"/>
              <w:right w:val="single" w:color="000000" w:sz="4" w:space="0"/>
            </w:tcBorders>
          </w:tcPr>
          <w:p>
            <w:pPr>
              <w:pStyle w:val="19"/>
              <w:spacing w:before="127"/>
              <w:ind w:left="112" w:right="101"/>
              <w:rPr>
                <w:sz w:val="21"/>
              </w:rPr>
            </w:pPr>
            <w:r>
              <w:rPr>
                <w:sz w:val="21"/>
              </w:rPr>
              <w:t>震动机</w:t>
            </w:r>
          </w:p>
        </w:tc>
        <w:tc>
          <w:tcPr>
            <w:tcW w:w="695" w:type="dxa"/>
            <w:tcBorders>
              <w:top w:val="single" w:color="000000" w:sz="4" w:space="0"/>
              <w:left w:val="single" w:color="000000" w:sz="4" w:space="0"/>
              <w:bottom w:val="single" w:color="000000" w:sz="4" w:space="0"/>
              <w:right w:val="single" w:color="000000" w:sz="4" w:space="0"/>
            </w:tcBorders>
          </w:tcPr>
          <w:p>
            <w:pPr>
              <w:pStyle w:val="19"/>
              <w:spacing w:before="141"/>
              <w:ind w:right="226"/>
              <w:jc w:val="right"/>
              <w:rPr>
                <w:rFonts w:ascii="Times New Roman"/>
                <w:sz w:val="21"/>
              </w:rPr>
            </w:pPr>
            <w:r>
              <w:rPr>
                <w:rFonts w:ascii="Times New Roman"/>
                <w:sz w:val="21"/>
              </w:rPr>
              <w:t>86</w:t>
            </w:r>
          </w:p>
        </w:tc>
        <w:tc>
          <w:tcPr>
            <w:tcW w:w="929" w:type="dxa"/>
            <w:tcBorders>
              <w:top w:val="single" w:color="000000" w:sz="4" w:space="0"/>
              <w:left w:val="single" w:color="000000" w:sz="4" w:space="0"/>
              <w:bottom w:val="single" w:color="000000" w:sz="4" w:space="0"/>
              <w:right w:val="single" w:color="000000" w:sz="4" w:space="0"/>
            </w:tcBorders>
          </w:tcPr>
          <w:p>
            <w:pPr>
              <w:pStyle w:val="19"/>
              <w:spacing w:before="136"/>
              <w:ind w:left="222" w:right="222"/>
              <w:rPr>
                <w:rFonts w:ascii="Times New Roman"/>
                <w:sz w:val="21"/>
              </w:rPr>
            </w:pPr>
            <w:r>
              <w:rPr>
                <w:rFonts w:ascii="Times New Roman"/>
                <w:sz w:val="21"/>
              </w:rPr>
              <w:t>66</w:t>
            </w:r>
          </w:p>
        </w:tc>
        <w:tc>
          <w:tcPr>
            <w:tcW w:w="974" w:type="dxa"/>
            <w:tcBorders>
              <w:top w:val="single" w:color="000000" w:sz="4" w:space="0"/>
              <w:left w:val="single" w:color="000000" w:sz="4" w:space="0"/>
              <w:bottom w:val="single" w:color="000000" w:sz="4" w:space="0"/>
              <w:right w:val="single" w:color="000000" w:sz="4" w:space="0"/>
            </w:tcBorders>
          </w:tcPr>
          <w:p>
            <w:pPr>
              <w:pStyle w:val="19"/>
              <w:spacing w:before="136"/>
              <w:ind w:left="274" w:right="274"/>
              <w:rPr>
                <w:rFonts w:ascii="Times New Roman"/>
                <w:sz w:val="21"/>
              </w:rPr>
            </w:pPr>
            <w:r>
              <w:rPr>
                <w:rFonts w:ascii="Times New Roman"/>
                <w:sz w:val="21"/>
              </w:rPr>
              <w:t>60</w:t>
            </w:r>
          </w:p>
        </w:tc>
        <w:tc>
          <w:tcPr>
            <w:tcW w:w="1083" w:type="dxa"/>
            <w:tcBorders>
              <w:top w:val="single" w:color="000000" w:sz="4" w:space="0"/>
              <w:left w:val="single" w:color="000000" w:sz="4" w:space="0"/>
              <w:bottom w:val="single" w:color="000000" w:sz="4" w:space="0"/>
              <w:right w:val="single" w:color="000000" w:sz="4" w:space="0"/>
            </w:tcBorders>
          </w:tcPr>
          <w:p>
            <w:pPr>
              <w:pStyle w:val="19"/>
              <w:spacing w:before="136"/>
              <w:ind w:left="329" w:right="329"/>
              <w:rPr>
                <w:rFonts w:ascii="Times New Roman"/>
                <w:sz w:val="21"/>
              </w:rPr>
            </w:pPr>
            <w:r>
              <w:rPr>
                <w:rFonts w:ascii="Times New Roman"/>
                <w:sz w:val="21"/>
              </w:rPr>
              <w:t>57</w:t>
            </w:r>
          </w:p>
        </w:tc>
        <w:tc>
          <w:tcPr>
            <w:tcW w:w="1083" w:type="dxa"/>
            <w:tcBorders>
              <w:top w:val="single" w:color="000000" w:sz="4" w:space="0"/>
              <w:left w:val="single" w:color="000000" w:sz="4" w:space="0"/>
              <w:bottom w:val="single" w:color="000000" w:sz="4" w:space="0"/>
              <w:right w:val="single" w:color="000000" w:sz="4" w:space="0"/>
            </w:tcBorders>
          </w:tcPr>
          <w:p>
            <w:pPr>
              <w:pStyle w:val="19"/>
              <w:spacing w:before="136"/>
              <w:ind w:left="328" w:right="329"/>
              <w:rPr>
                <w:rFonts w:ascii="Times New Roman"/>
                <w:sz w:val="21"/>
              </w:rPr>
            </w:pPr>
            <w:r>
              <w:rPr>
                <w:rFonts w:ascii="Times New Roman"/>
                <w:sz w:val="21"/>
              </w:rPr>
              <w:t>54</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36"/>
              <w:ind w:left="308" w:right="309"/>
              <w:rPr>
                <w:rFonts w:ascii="Times New Roman"/>
                <w:sz w:val="21"/>
              </w:rPr>
            </w:pPr>
            <w:r>
              <w:rPr>
                <w:rFonts w:ascii="Times New Roman"/>
                <w:sz w:val="21"/>
              </w:rPr>
              <w:t>48</w:t>
            </w:r>
          </w:p>
        </w:tc>
        <w:tc>
          <w:tcPr>
            <w:tcW w:w="951" w:type="dxa"/>
            <w:tcBorders>
              <w:top w:val="single" w:color="000000" w:sz="4" w:space="0"/>
              <w:left w:val="single" w:color="000000" w:sz="4" w:space="0"/>
              <w:bottom w:val="single" w:color="000000" w:sz="4" w:space="0"/>
              <w:right w:val="single" w:color="000000" w:sz="4" w:space="0"/>
            </w:tcBorders>
          </w:tcPr>
          <w:p>
            <w:pPr>
              <w:pStyle w:val="19"/>
              <w:spacing w:before="136"/>
              <w:ind w:left="210" w:right="211"/>
              <w:rPr>
                <w:rFonts w:ascii="Times New Roman"/>
                <w:sz w:val="21"/>
              </w:rPr>
            </w:pPr>
            <w:r>
              <w:rPr>
                <w:rFonts w:ascii="Times New Roman"/>
                <w:sz w:val="21"/>
              </w:rPr>
              <w:t>43</w:t>
            </w:r>
          </w:p>
        </w:tc>
        <w:tc>
          <w:tcPr>
            <w:tcW w:w="995" w:type="dxa"/>
            <w:tcBorders>
              <w:top w:val="single" w:color="000000" w:sz="4" w:space="0"/>
              <w:left w:val="single" w:color="000000" w:sz="4" w:space="0"/>
              <w:bottom w:val="single" w:color="000000" w:sz="4" w:space="0"/>
            </w:tcBorders>
          </w:tcPr>
          <w:p>
            <w:pPr>
              <w:pStyle w:val="19"/>
              <w:spacing w:before="136"/>
              <w:ind w:left="231" w:right="227"/>
              <w:rPr>
                <w:rFonts w:ascii="Times New Roman"/>
                <w:sz w:val="21"/>
              </w:rPr>
            </w:pPr>
            <w:r>
              <w:rPr>
                <w:rFonts w:ascii="Times New Roman"/>
                <w:sz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9" w:hRule="atLeast"/>
        </w:trPr>
        <w:tc>
          <w:tcPr>
            <w:tcW w:w="1529" w:type="dxa"/>
            <w:tcBorders>
              <w:top w:val="single" w:color="000000" w:sz="4" w:space="0"/>
              <w:bottom w:val="single" w:color="000000" w:sz="4" w:space="0"/>
              <w:right w:val="single" w:color="000000" w:sz="4" w:space="0"/>
            </w:tcBorders>
          </w:tcPr>
          <w:p>
            <w:pPr>
              <w:pStyle w:val="19"/>
              <w:spacing w:before="129"/>
              <w:ind w:left="112" w:right="101"/>
              <w:rPr>
                <w:sz w:val="21"/>
              </w:rPr>
            </w:pPr>
            <w:r>
              <w:rPr>
                <w:sz w:val="21"/>
              </w:rPr>
              <w:t>汽车</w:t>
            </w:r>
          </w:p>
        </w:tc>
        <w:tc>
          <w:tcPr>
            <w:tcW w:w="695" w:type="dxa"/>
            <w:tcBorders>
              <w:top w:val="single" w:color="000000" w:sz="4" w:space="0"/>
              <w:left w:val="single" w:color="000000" w:sz="4" w:space="0"/>
              <w:bottom w:val="single" w:color="000000" w:sz="4" w:space="0"/>
              <w:right w:val="single" w:color="000000" w:sz="4" w:space="0"/>
            </w:tcBorders>
          </w:tcPr>
          <w:p>
            <w:pPr>
              <w:pStyle w:val="19"/>
              <w:spacing w:before="142"/>
              <w:ind w:right="226"/>
              <w:jc w:val="right"/>
              <w:rPr>
                <w:rFonts w:ascii="Times New Roman"/>
                <w:sz w:val="21"/>
              </w:rPr>
            </w:pPr>
            <w:r>
              <w:rPr>
                <w:rFonts w:ascii="Times New Roman"/>
                <w:sz w:val="21"/>
              </w:rPr>
              <w:t>90</w:t>
            </w:r>
          </w:p>
        </w:tc>
        <w:tc>
          <w:tcPr>
            <w:tcW w:w="929" w:type="dxa"/>
            <w:tcBorders>
              <w:top w:val="single" w:color="000000" w:sz="4" w:space="0"/>
              <w:left w:val="single" w:color="000000" w:sz="4" w:space="0"/>
              <w:bottom w:val="single" w:color="000000" w:sz="4" w:space="0"/>
              <w:right w:val="single" w:color="000000" w:sz="4" w:space="0"/>
            </w:tcBorders>
          </w:tcPr>
          <w:p>
            <w:pPr>
              <w:pStyle w:val="19"/>
              <w:spacing w:before="135"/>
              <w:ind w:left="222" w:right="222"/>
              <w:rPr>
                <w:rFonts w:ascii="Times New Roman"/>
                <w:sz w:val="21"/>
              </w:rPr>
            </w:pPr>
            <w:r>
              <w:rPr>
                <w:rFonts w:ascii="Times New Roman"/>
                <w:sz w:val="21"/>
              </w:rPr>
              <w:t>70</w:t>
            </w:r>
          </w:p>
        </w:tc>
        <w:tc>
          <w:tcPr>
            <w:tcW w:w="974" w:type="dxa"/>
            <w:tcBorders>
              <w:top w:val="single" w:color="000000" w:sz="4" w:space="0"/>
              <w:left w:val="single" w:color="000000" w:sz="4" w:space="0"/>
              <w:bottom w:val="single" w:color="000000" w:sz="4" w:space="0"/>
              <w:right w:val="single" w:color="000000" w:sz="4" w:space="0"/>
            </w:tcBorders>
          </w:tcPr>
          <w:p>
            <w:pPr>
              <w:pStyle w:val="19"/>
              <w:spacing w:before="135"/>
              <w:ind w:left="274" w:right="274"/>
              <w:rPr>
                <w:rFonts w:ascii="Times New Roman"/>
                <w:sz w:val="21"/>
              </w:rPr>
            </w:pPr>
            <w:r>
              <w:rPr>
                <w:rFonts w:ascii="Times New Roman"/>
                <w:sz w:val="21"/>
              </w:rPr>
              <w:t>64</w:t>
            </w:r>
          </w:p>
        </w:tc>
        <w:tc>
          <w:tcPr>
            <w:tcW w:w="1083" w:type="dxa"/>
            <w:tcBorders>
              <w:top w:val="single" w:color="000000" w:sz="4" w:space="0"/>
              <w:left w:val="single" w:color="000000" w:sz="4" w:space="0"/>
              <w:bottom w:val="single" w:color="000000" w:sz="4" w:space="0"/>
              <w:right w:val="single" w:color="000000" w:sz="4" w:space="0"/>
            </w:tcBorders>
          </w:tcPr>
          <w:p>
            <w:pPr>
              <w:pStyle w:val="19"/>
              <w:spacing w:before="135"/>
              <w:ind w:left="329" w:right="329"/>
              <w:rPr>
                <w:rFonts w:ascii="Times New Roman"/>
                <w:sz w:val="21"/>
              </w:rPr>
            </w:pPr>
            <w:r>
              <w:rPr>
                <w:rFonts w:ascii="Times New Roman"/>
                <w:sz w:val="21"/>
              </w:rPr>
              <w:t>61</w:t>
            </w:r>
          </w:p>
        </w:tc>
        <w:tc>
          <w:tcPr>
            <w:tcW w:w="1083" w:type="dxa"/>
            <w:tcBorders>
              <w:top w:val="single" w:color="000000" w:sz="4" w:space="0"/>
              <w:left w:val="single" w:color="000000" w:sz="4" w:space="0"/>
              <w:bottom w:val="single" w:color="000000" w:sz="4" w:space="0"/>
              <w:right w:val="single" w:color="000000" w:sz="4" w:space="0"/>
            </w:tcBorders>
          </w:tcPr>
          <w:p>
            <w:pPr>
              <w:pStyle w:val="19"/>
              <w:spacing w:before="135"/>
              <w:ind w:left="328" w:right="329"/>
              <w:rPr>
                <w:rFonts w:ascii="Times New Roman"/>
                <w:sz w:val="21"/>
              </w:rPr>
            </w:pPr>
            <w:r>
              <w:rPr>
                <w:rFonts w:ascii="Times New Roman"/>
                <w:sz w:val="21"/>
              </w:rPr>
              <w:t>58</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35"/>
              <w:ind w:left="308" w:right="309"/>
              <w:rPr>
                <w:rFonts w:ascii="Times New Roman"/>
                <w:sz w:val="21"/>
              </w:rPr>
            </w:pPr>
            <w:r>
              <w:rPr>
                <w:rFonts w:ascii="Times New Roman"/>
                <w:sz w:val="21"/>
              </w:rPr>
              <w:t>52</w:t>
            </w:r>
          </w:p>
        </w:tc>
        <w:tc>
          <w:tcPr>
            <w:tcW w:w="951" w:type="dxa"/>
            <w:tcBorders>
              <w:top w:val="single" w:color="000000" w:sz="4" w:space="0"/>
              <w:left w:val="single" w:color="000000" w:sz="4" w:space="0"/>
              <w:bottom w:val="single" w:color="000000" w:sz="4" w:space="0"/>
              <w:right w:val="single" w:color="000000" w:sz="4" w:space="0"/>
            </w:tcBorders>
          </w:tcPr>
          <w:p>
            <w:pPr>
              <w:pStyle w:val="19"/>
              <w:spacing w:before="135"/>
              <w:ind w:left="210" w:right="211"/>
              <w:rPr>
                <w:rFonts w:ascii="Times New Roman"/>
                <w:sz w:val="21"/>
              </w:rPr>
            </w:pPr>
            <w:r>
              <w:rPr>
                <w:rFonts w:ascii="Times New Roman"/>
                <w:sz w:val="21"/>
              </w:rPr>
              <w:t>47</w:t>
            </w:r>
          </w:p>
        </w:tc>
        <w:tc>
          <w:tcPr>
            <w:tcW w:w="995" w:type="dxa"/>
            <w:tcBorders>
              <w:top w:val="single" w:color="000000" w:sz="4" w:space="0"/>
              <w:left w:val="single" w:color="000000" w:sz="4" w:space="0"/>
              <w:bottom w:val="single" w:color="000000" w:sz="4" w:space="0"/>
            </w:tcBorders>
          </w:tcPr>
          <w:p>
            <w:pPr>
              <w:pStyle w:val="19"/>
              <w:spacing w:before="135"/>
              <w:ind w:left="231" w:right="227"/>
              <w:rPr>
                <w:rFonts w:ascii="Times New Roman"/>
                <w:sz w:val="21"/>
              </w:rPr>
            </w:pPr>
            <w:r>
              <w:rPr>
                <w:rFonts w:ascii="Times New Roman"/>
                <w:sz w:val="21"/>
              </w:rPr>
              <w:t>44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6" w:hRule="atLeast"/>
        </w:trPr>
        <w:tc>
          <w:tcPr>
            <w:tcW w:w="1529" w:type="dxa"/>
            <w:tcBorders>
              <w:top w:val="single" w:color="000000" w:sz="4" w:space="0"/>
              <w:right w:val="single" w:color="000000" w:sz="4" w:space="0"/>
            </w:tcBorders>
          </w:tcPr>
          <w:p>
            <w:pPr>
              <w:pStyle w:val="19"/>
              <w:spacing w:before="128"/>
              <w:ind w:left="112" w:right="101"/>
              <w:rPr>
                <w:sz w:val="21"/>
              </w:rPr>
            </w:pPr>
            <w:r>
              <w:rPr>
                <w:sz w:val="21"/>
              </w:rPr>
              <w:t>电锯</w:t>
            </w:r>
          </w:p>
        </w:tc>
        <w:tc>
          <w:tcPr>
            <w:tcW w:w="695" w:type="dxa"/>
            <w:tcBorders>
              <w:top w:val="single" w:color="000000" w:sz="4" w:space="0"/>
              <w:left w:val="single" w:color="000000" w:sz="4" w:space="0"/>
              <w:right w:val="single" w:color="000000" w:sz="4" w:space="0"/>
            </w:tcBorders>
          </w:tcPr>
          <w:p>
            <w:pPr>
              <w:pStyle w:val="19"/>
              <w:spacing w:before="142"/>
              <w:ind w:right="173"/>
              <w:jc w:val="right"/>
              <w:rPr>
                <w:rFonts w:ascii="Times New Roman"/>
                <w:sz w:val="21"/>
              </w:rPr>
            </w:pPr>
            <w:r>
              <w:rPr>
                <w:rFonts w:ascii="Times New Roman"/>
                <w:sz w:val="21"/>
              </w:rPr>
              <w:t>100</w:t>
            </w:r>
          </w:p>
        </w:tc>
        <w:tc>
          <w:tcPr>
            <w:tcW w:w="929" w:type="dxa"/>
            <w:tcBorders>
              <w:top w:val="single" w:color="000000" w:sz="4" w:space="0"/>
              <w:left w:val="single" w:color="000000" w:sz="4" w:space="0"/>
              <w:right w:val="single" w:color="000000" w:sz="4" w:space="0"/>
            </w:tcBorders>
          </w:tcPr>
          <w:p>
            <w:pPr>
              <w:pStyle w:val="19"/>
              <w:spacing w:before="135"/>
              <w:ind w:left="222" w:right="222"/>
              <w:rPr>
                <w:rFonts w:ascii="Times New Roman"/>
                <w:sz w:val="21"/>
              </w:rPr>
            </w:pPr>
            <w:r>
              <w:rPr>
                <w:rFonts w:ascii="Times New Roman"/>
                <w:sz w:val="21"/>
              </w:rPr>
              <w:t>80</w:t>
            </w:r>
          </w:p>
        </w:tc>
        <w:tc>
          <w:tcPr>
            <w:tcW w:w="974" w:type="dxa"/>
            <w:tcBorders>
              <w:top w:val="single" w:color="000000" w:sz="4" w:space="0"/>
              <w:left w:val="single" w:color="000000" w:sz="4" w:space="0"/>
              <w:right w:val="single" w:color="000000" w:sz="4" w:space="0"/>
            </w:tcBorders>
          </w:tcPr>
          <w:p>
            <w:pPr>
              <w:pStyle w:val="19"/>
              <w:spacing w:before="135"/>
              <w:ind w:left="274" w:right="274"/>
              <w:rPr>
                <w:rFonts w:ascii="Times New Roman"/>
                <w:sz w:val="21"/>
              </w:rPr>
            </w:pPr>
            <w:r>
              <w:rPr>
                <w:rFonts w:ascii="Times New Roman"/>
                <w:sz w:val="21"/>
              </w:rPr>
              <w:t>74</w:t>
            </w:r>
          </w:p>
        </w:tc>
        <w:tc>
          <w:tcPr>
            <w:tcW w:w="1083" w:type="dxa"/>
            <w:tcBorders>
              <w:top w:val="single" w:color="000000" w:sz="4" w:space="0"/>
              <w:left w:val="single" w:color="000000" w:sz="4" w:space="0"/>
              <w:right w:val="single" w:color="000000" w:sz="4" w:space="0"/>
            </w:tcBorders>
          </w:tcPr>
          <w:p>
            <w:pPr>
              <w:pStyle w:val="19"/>
              <w:spacing w:before="135"/>
              <w:ind w:left="329" w:right="329"/>
              <w:rPr>
                <w:rFonts w:ascii="Times New Roman"/>
                <w:sz w:val="21"/>
              </w:rPr>
            </w:pPr>
            <w:r>
              <w:rPr>
                <w:rFonts w:ascii="Times New Roman"/>
                <w:sz w:val="21"/>
              </w:rPr>
              <w:t>71</w:t>
            </w:r>
          </w:p>
        </w:tc>
        <w:tc>
          <w:tcPr>
            <w:tcW w:w="1083" w:type="dxa"/>
            <w:tcBorders>
              <w:top w:val="single" w:color="000000" w:sz="4" w:space="0"/>
              <w:left w:val="single" w:color="000000" w:sz="4" w:space="0"/>
              <w:right w:val="single" w:color="000000" w:sz="4" w:space="0"/>
            </w:tcBorders>
          </w:tcPr>
          <w:p>
            <w:pPr>
              <w:pStyle w:val="19"/>
              <w:spacing w:before="135"/>
              <w:ind w:left="328" w:right="329"/>
              <w:rPr>
                <w:rFonts w:ascii="Times New Roman"/>
                <w:sz w:val="21"/>
              </w:rPr>
            </w:pPr>
            <w:r>
              <w:rPr>
                <w:rFonts w:ascii="Times New Roman"/>
                <w:sz w:val="21"/>
              </w:rPr>
              <w:t>68</w:t>
            </w:r>
          </w:p>
        </w:tc>
        <w:tc>
          <w:tcPr>
            <w:tcW w:w="1041" w:type="dxa"/>
            <w:tcBorders>
              <w:top w:val="single" w:color="000000" w:sz="4" w:space="0"/>
              <w:left w:val="single" w:color="000000" w:sz="4" w:space="0"/>
              <w:right w:val="single" w:color="000000" w:sz="4" w:space="0"/>
            </w:tcBorders>
          </w:tcPr>
          <w:p>
            <w:pPr>
              <w:pStyle w:val="19"/>
              <w:spacing w:before="135"/>
              <w:ind w:left="308" w:right="309"/>
              <w:rPr>
                <w:rFonts w:ascii="Times New Roman"/>
                <w:sz w:val="21"/>
              </w:rPr>
            </w:pPr>
            <w:r>
              <w:rPr>
                <w:rFonts w:ascii="Times New Roman"/>
                <w:sz w:val="21"/>
              </w:rPr>
              <w:t>62</w:t>
            </w:r>
          </w:p>
        </w:tc>
        <w:tc>
          <w:tcPr>
            <w:tcW w:w="951" w:type="dxa"/>
            <w:tcBorders>
              <w:top w:val="single" w:color="000000" w:sz="4" w:space="0"/>
              <w:left w:val="single" w:color="000000" w:sz="4" w:space="0"/>
              <w:right w:val="single" w:color="000000" w:sz="4" w:space="0"/>
            </w:tcBorders>
          </w:tcPr>
          <w:p>
            <w:pPr>
              <w:pStyle w:val="19"/>
              <w:spacing w:before="135"/>
              <w:ind w:left="210" w:right="211"/>
              <w:rPr>
                <w:rFonts w:ascii="Times New Roman"/>
                <w:sz w:val="21"/>
              </w:rPr>
            </w:pPr>
            <w:r>
              <w:rPr>
                <w:rFonts w:ascii="Times New Roman"/>
                <w:sz w:val="21"/>
              </w:rPr>
              <w:t>57</w:t>
            </w:r>
          </w:p>
        </w:tc>
        <w:tc>
          <w:tcPr>
            <w:tcW w:w="995" w:type="dxa"/>
            <w:tcBorders>
              <w:top w:val="single" w:color="000000" w:sz="4" w:space="0"/>
              <w:left w:val="single" w:color="000000" w:sz="4" w:space="0"/>
            </w:tcBorders>
          </w:tcPr>
          <w:p>
            <w:pPr>
              <w:pStyle w:val="19"/>
              <w:spacing w:before="135"/>
              <w:ind w:left="231" w:right="227"/>
              <w:rPr>
                <w:rFonts w:ascii="Times New Roman"/>
                <w:sz w:val="21"/>
              </w:rPr>
            </w:pPr>
            <w:r>
              <w:rPr>
                <w:rFonts w:ascii="Times New Roman"/>
                <w:sz w:val="21"/>
              </w:rPr>
              <w:t>54</w:t>
            </w:r>
          </w:p>
        </w:tc>
      </w:tr>
    </w:tbl>
    <w:p>
      <w:pPr>
        <w:spacing w:after="0"/>
        <w:rPr>
          <w:rFonts w:ascii="Times New Roman"/>
          <w:sz w:val="21"/>
        </w:rPr>
        <w:sectPr>
          <w:pgSz w:w="11910" w:h="16840"/>
          <w:pgMar w:top="1360" w:right="0" w:bottom="880" w:left="0" w:header="0" w:footer="681" w:gutter="0"/>
        </w:sectPr>
      </w:pPr>
    </w:p>
    <w:tbl>
      <w:tblPr>
        <w:tblStyle w:val="15"/>
        <w:tblW w:w="0" w:type="auto"/>
        <w:tblInd w:w="13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29"/>
        <w:gridCol w:w="695"/>
        <w:gridCol w:w="929"/>
        <w:gridCol w:w="974"/>
        <w:gridCol w:w="1083"/>
        <w:gridCol w:w="1083"/>
        <w:gridCol w:w="1041"/>
        <w:gridCol w:w="951"/>
        <w:gridCol w:w="99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9" w:hRule="atLeast"/>
        </w:trPr>
        <w:tc>
          <w:tcPr>
            <w:tcW w:w="1529" w:type="dxa"/>
            <w:tcBorders>
              <w:bottom w:val="single" w:color="000000" w:sz="4" w:space="0"/>
              <w:right w:val="single" w:color="000000" w:sz="4" w:space="0"/>
            </w:tcBorders>
          </w:tcPr>
          <w:p>
            <w:pPr>
              <w:pStyle w:val="19"/>
              <w:spacing w:before="129"/>
              <w:ind w:left="112" w:right="101"/>
              <w:rPr>
                <w:sz w:val="21"/>
              </w:rPr>
            </w:pPr>
            <w:r>
              <w:rPr>
                <w:sz w:val="21"/>
              </w:rPr>
              <w:t>卷扬机</w:t>
            </w:r>
          </w:p>
        </w:tc>
        <w:tc>
          <w:tcPr>
            <w:tcW w:w="695" w:type="dxa"/>
            <w:tcBorders>
              <w:left w:val="single" w:color="000000" w:sz="4" w:space="0"/>
              <w:bottom w:val="single" w:color="000000" w:sz="4" w:space="0"/>
              <w:right w:val="single" w:color="000000" w:sz="4" w:space="0"/>
            </w:tcBorders>
          </w:tcPr>
          <w:p>
            <w:pPr>
              <w:pStyle w:val="19"/>
              <w:spacing w:before="143"/>
              <w:ind w:left="145" w:right="127"/>
              <w:rPr>
                <w:rFonts w:ascii="Times New Roman"/>
                <w:sz w:val="21"/>
              </w:rPr>
            </w:pPr>
            <w:r>
              <w:rPr>
                <w:rFonts w:ascii="Times New Roman"/>
                <w:sz w:val="21"/>
              </w:rPr>
              <w:t>75</w:t>
            </w:r>
          </w:p>
        </w:tc>
        <w:tc>
          <w:tcPr>
            <w:tcW w:w="929" w:type="dxa"/>
            <w:tcBorders>
              <w:left w:val="single" w:color="000000" w:sz="4" w:space="0"/>
              <w:bottom w:val="single" w:color="000000" w:sz="4" w:space="0"/>
              <w:right w:val="single" w:color="000000" w:sz="4" w:space="0"/>
            </w:tcBorders>
          </w:tcPr>
          <w:p>
            <w:pPr>
              <w:pStyle w:val="19"/>
              <w:spacing w:before="136"/>
              <w:ind w:left="222" w:right="222"/>
              <w:rPr>
                <w:rFonts w:ascii="Times New Roman"/>
                <w:sz w:val="21"/>
              </w:rPr>
            </w:pPr>
            <w:r>
              <w:rPr>
                <w:rFonts w:ascii="Times New Roman"/>
                <w:sz w:val="21"/>
              </w:rPr>
              <w:t>55</w:t>
            </w:r>
          </w:p>
        </w:tc>
        <w:tc>
          <w:tcPr>
            <w:tcW w:w="974" w:type="dxa"/>
            <w:tcBorders>
              <w:left w:val="single" w:color="000000" w:sz="4" w:space="0"/>
              <w:bottom w:val="single" w:color="000000" w:sz="4" w:space="0"/>
              <w:right w:val="single" w:color="000000" w:sz="4" w:space="0"/>
            </w:tcBorders>
          </w:tcPr>
          <w:p>
            <w:pPr>
              <w:pStyle w:val="19"/>
              <w:spacing w:before="136"/>
              <w:ind w:left="369"/>
              <w:jc w:val="left"/>
              <w:rPr>
                <w:rFonts w:ascii="Times New Roman"/>
                <w:sz w:val="21"/>
              </w:rPr>
            </w:pPr>
            <w:r>
              <w:rPr>
                <w:rFonts w:ascii="Times New Roman"/>
                <w:sz w:val="21"/>
              </w:rPr>
              <w:t>49</w:t>
            </w:r>
          </w:p>
        </w:tc>
        <w:tc>
          <w:tcPr>
            <w:tcW w:w="1083" w:type="dxa"/>
            <w:tcBorders>
              <w:left w:val="single" w:color="000000" w:sz="4" w:space="0"/>
              <w:bottom w:val="single" w:color="000000" w:sz="4" w:space="0"/>
              <w:right w:val="single" w:color="000000" w:sz="4" w:space="0"/>
            </w:tcBorders>
          </w:tcPr>
          <w:p>
            <w:pPr>
              <w:pStyle w:val="19"/>
              <w:spacing w:before="136"/>
              <w:ind w:left="425"/>
              <w:jc w:val="left"/>
              <w:rPr>
                <w:rFonts w:ascii="Times New Roman"/>
                <w:sz w:val="21"/>
              </w:rPr>
            </w:pPr>
            <w:r>
              <w:rPr>
                <w:rFonts w:ascii="Times New Roman"/>
                <w:sz w:val="21"/>
              </w:rPr>
              <w:t>46</w:t>
            </w:r>
          </w:p>
        </w:tc>
        <w:tc>
          <w:tcPr>
            <w:tcW w:w="1083" w:type="dxa"/>
            <w:tcBorders>
              <w:left w:val="single" w:color="000000" w:sz="4" w:space="0"/>
              <w:bottom w:val="single" w:color="000000" w:sz="4" w:space="0"/>
              <w:right w:val="single" w:color="000000" w:sz="4" w:space="0"/>
            </w:tcBorders>
          </w:tcPr>
          <w:p>
            <w:pPr>
              <w:pStyle w:val="19"/>
              <w:spacing w:before="136"/>
              <w:ind w:left="328" w:right="329"/>
              <w:rPr>
                <w:rFonts w:ascii="Times New Roman"/>
                <w:sz w:val="21"/>
              </w:rPr>
            </w:pPr>
            <w:r>
              <w:rPr>
                <w:rFonts w:ascii="Times New Roman"/>
                <w:sz w:val="21"/>
              </w:rPr>
              <w:t>43</w:t>
            </w:r>
          </w:p>
        </w:tc>
        <w:tc>
          <w:tcPr>
            <w:tcW w:w="1041" w:type="dxa"/>
            <w:tcBorders>
              <w:left w:val="single" w:color="000000" w:sz="4" w:space="0"/>
              <w:bottom w:val="single" w:color="000000" w:sz="4" w:space="0"/>
              <w:right w:val="single" w:color="000000" w:sz="4" w:space="0"/>
            </w:tcBorders>
          </w:tcPr>
          <w:p>
            <w:pPr>
              <w:pStyle w:val="19"/>
              <w:spacing w:before="136"/>
              <w:ind w:left="308" w:right="309"/>
              <w:rPr>
                <w:rFonts w:ascii="Times New Roman"/>
                <w:sz w:val="21"/>
              </w:rPr>
            </w:pPr>
            <w:r>
              <w:rPr>
                <w:rFonts w:ascii="Times New Roman"/>
                <w:sz w:val="21"/>
              </w:rPr>
              <w:t>37</w:t>
            </w:r>
          </w:p>
        </w:tc>
        <w:tc>
          <w:tcPr>
            <w:tcW w:w="951" w:type="dxa"/>
            <w:tcBorders>
              <w:left w:val="single" w:color="000000" w:sz="4" w:space="0"/>
              <w:bottom w:val="single" w:color="000000" w:sz="4" w:space="0"/>
              <w:right w:val="single" w:color="000000" w:sz="4" w:space="0"/>
            </w:tcBorders>
          </w:tcPr>
          <w:p>
            <w:pPr>
              <w:pStyle w:val="19"/>
              <w:spacing w:before="136"/>
              <w:ind w:left="210" w:right="211"/>
              <w:rPr>
                <w:rFonts w:ascii="Times New Roman"/>
                <w:sz w:val="21"/>
              </w:rPr>
            </w:pPr>
            <w:r>
              <w:rPr>
                <w:rFonts w:ascii="Times New Roman"/>
                <w:sz w:val="21"/>
              </w:rPr>
              <w:t>32</w:t>
            </w:r>
          </w:p>
        </w:tc>
        <w:tc>
          <w:tcPr>
            <w:tcW w:w="995" w:type="dxa"/>
            <w:tcBorders>
              <w:left w:val="single" w:color="000000" w:sz="4" w:space="0"/>
              <w:bottom w:val="single" w:color="000000" w:sz="4" w:space="0"/>
            </w:tcBorders>
          </w:tcPr>
          <w:p>
            <w:pPr>
              <w:pStyle w:val="19"/>
              <w:spacing w:before="136"/>
              <w:ind w:left="231" w:right="227"/>
              <w:rPr>
                <w:rFonts w:ascii="Times New Roman"/>
                <w:sz w:val="21"/>
              </w:rPr>
            </w:pPr>
            <w:r>
              <w:rPr>
                <w:rFonts w:ascii="Times New Roman"/>
                <w:sz w:val="21"/>
              </w:rPr>
              <w:t>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529" w:type="dxa"/>
            <w:tcBorders>
              <w:top w:val="single" w:color="000000" w:sz="4" w:space="0"/>
              <w:right w:val="single" w:color="000000" w:sz="4" w:space="0"/>
            </w:tcBorders>
          </w:tcPr>
          <w:p>
            <w:pPr>
              <w:pStyle w:val="19"/>
              <w:spacing w:before="128"/>
              <w:ind w:left="112" w:right="101"/>
              <w:rPr>
                <w:sz w:val="21"/>
              </w:rPr>
            </w:pPr>
            <w:r>
              <w:rPr>
                <w:sz w:val="21"/>
              </w:rPr>
              <w:t>装载机</w:t>
            </w:r>
          </w:p>
        </w:tc>
        <w:tc>
          <w:tcPr>
            <w:tcW w:w="695" w:type="dxa"/>
            <w:tcBorders>
              <w:top w:val="single" w:color="000000" w:sz="4" w:space="0"/>
              <w:left w:val="single" w:color="000000" w:sz="4" w:space="0"/>
              <w:right w:val="single" w:color="000000" w:sz="4" w:space="0"/>
            </w:tcBorders>
          </w:tcPr>
          <w:p>
            <w:pPr>
              <w:pStyle w:val="19"/>
              <w:spacing w:before="142"/>
              <w:ind w:left="145" w:right="127"/>
              <w:rPr>
                <w:rFonts w:ascii="Times New Roman"/>
                <w:sz w:val="21"/>
              </w:rPr>
            </w:pPr>
            <w:r>
              <w:rPr>
                <w:rFonts w:ascii="Times New Roman"/>
                <w:sz w:val="21"/>
              </w:rPr>
              <w:t>89</w:t>
            </w:r>
          </w:p>
        </w:tc>
        <w:tc>
          <w:tcPr>
            <w:tcW w:w="929" w:type="dxa"/>
            <w:tcBorders>
              <w:top w:val="single" w:color="000000" w:sz="4" w:space="0"/>
              <w:left w:val="single" w:color="000000" w:sz="4" w:space="0"/>
              <w:right w:val="single" w:color="000000" w:sz="4" w:space="0"/>
            </w:tcBorders>
          </w:tcPr>
          <w:p>
            <w:pPr>
              <w:pStyle w:val="19"/>
              <w:spacing w:before="135"/>
              <w:ind w:left="222" w:right="222"/>
              <w:rPr>
                <w:rFonts w:ascii="Times New Roman"/>
                <w:sz w:val="21"/>
              </w:rPr>
            </w:pPr>
            <w:r>
              <w:rPr>
                <w:rFonts w:ascii="Times New Roman"/>
                <w:sz w:val="21"/>
              </w:rPr>
              <w:t>69</w:t>
            </w:r>
          </w:p>
        </w:tc>
        <w:tc>
          <w:tcPr>
            <w:tcW w:w="974" w:type="dxa"/>
            <w:tcBorders>
              <w:top w:val="single" w:color="000000" w:sz="4" w:space="0"/>
              <w:left w:val="single" w:color="000000" w:sz="4" w:space="0"/>
              <w:right w:val="single" w:color="000000" w:sz="4" w:space="0"/>
            </w:tcBorders>
          </w:tcPr>
          <w:p>
            <w:pPr>
              <w:pStyle w:val="19"/>
              <w:spacing w:before="135"/>
              <w:ind w:left="369"/>
              <w:jc w:val="left"/>
              <w:rPr>
                <w:rFonts w:ascii="Times New Roman"/>
                <w:sz w:val="21"/>
              </w:rPr>
            </w:pPr>
            <w:r>
              <w:rPr>
                <w:rFonts w:ascii="Times New Roman"/>
                <w:sz w:val="21"/>
              </w:rPr>
              <w:t>63</w:t>
            </w:r>
          </w:p>
        </w:tc>
        <w:tc>
          <w:tcPr>
            <w:tcW w:w="1083" w:type="dxa"/>
            <w:tcBorders>
              <w:top w:val="single" w:color="000000" w:sz="4" w:space="0"/>
              <w:left w:val="single" w:color="000000" w:sz="4" w:space="0"/>
              <w:right w:val="single" w:color="000000" w:sz="4" w:space="0"/>
            </w:tcBorders>
          </w:tcPr>
          <w:p>
            <w:pPr>
              <w:pStyle w:val="19"/>
              <w:spacing w:before="135"/>
              <w:ind w:left="425"/>
              <w:jc w:val="left"/>
              <w:rPr>
                <w:rFonts w:ascii="Times New Roman"/>
                <w:sz w:val="21"/>
              </w:rPr>
            </w:pPr>
            <w:r>
              <w:rPr>
                <w:rFonts w:ascii="Times New Roman"/>
                <w:sz w:val="21"/>
              </w:rPr>
              <w:t>60</w:t>
            </w:r>
          </w:p>
        </w:tc>
        <w:tc>
          <w:tcPr>
            <w:tcW w:w="1083" w:type="dxa"/>
            <w:tcBorders>
              <w:top w:val="single" w:color="000000" w:sz="4" w:space="0"/>
              <w:left w:val="single" w:color="000000" w:sz="4" w:space="0"/>
              <w:right w:val="single" w:color="000000" w:sz="4" w:space="0"/>
            </w:tcBorders>
          </w:tcPr>
          <w:p>
            <w:pPr>
              <w:pStyle w:val="19"/>
              <w:spacing w:before="135"/>
              <w:ind w:left="328" w:right="329"/>
              <w:rPr>
                <w:rFonts w:ascii="Times New Roman"/>
                <w:sz w:val="21"/>
              </w:rPr>
            </w:pPr>
            <w:r>
              <w:rPr>
                <w:rFonts w:ascii="Times New Roman"/>
                <w:sz w:val="21"/>
              </w:rPr>
              <w:t>57</w:t>
            </w:r>
          </w:p>
        </w:tc>
        <w:tc>
          <w:tcPr>
            <w:tcW w:w="1041" w:type="dxa"/>
            <w:tcBorders>
              <w:top w:val="single" w:color="000000" w:sz="4" w:space="0"/>
              <w:left w:val="single" w:color="000000" w:sz="4" w:space="0"/>
              <w:right w:val="single" w:color="000000" w:sz="4" w:space="0"/>
            </w:tcBorders>
          </w:tcPr>
          <w:p>
            <w:pPr>
              <w:pStyle w:val="19"/>
              <w:spacing w:before="135"/>
              <w:ind w:left="308" w:right="309"/>
              <w:rPr>
                <w:rFonts w:ascii="Times New Roman"/>
                <w:sz w:val="21"/>
              </w:rPr>
            </w:pPr>
            <w:r>
              <w:rPr>
                <w:rFonts w:ascii="Times New Roman"/>
                <w:sz w:val="21"/>
              </w:rPr>
              <w:t>51</w:t>
            </w:r>
          </w:p>
        </w:tc>
        <w:tc>
          <w:tcPr>
            <w:tcW w:w="951" w:type="dxa"/>
            <w:tcBorders>
              <w:top w:val="single" w:color="000000" w:sz="4" w:space="0"/>
              <w:left w:val="single" w:color="000000" w:sz="4" w:space="0"/>
              <w:right w:val="single" w:color="000000" w:sz="4" w:space="0"/>
            </w:tcBorders>
          </w:tcPr>
          <w:p>
            <w:pPr>
              <w:pStyle w:val="19"/>
              <w:spacing w:before="135"/>
              <w:ind w:left="210" w:right="211"/>
              <w:rPr>
                <w:rFonts w:ascii="Times New Roman"/>
                <w:sz w:val="21"/>
              </w:rPr>
            </w:pPr>
            <w:r>
              <w:rPr>
                <w:rFonts w:ascii="Times New Roman"/>
                <w:sz w:val="21"/>
              </w:rPr>
              <w:t>48</w:t>
            </w:r>
          </w:p>
        </w:tc>
        <w:tc>
          <w:tcPr>
            <w:tcW w:w="995" w:type="dxa"/>
            <w:tcBorders>
              <w:top w:val="single" w:color="000000" w:sz="4" w:space="0"/>
              <w:left w:val="single" w:color="000000" w:sz="4" w:space="0"/>
            </w:tcBorders>
          </w:tcPr>
          <w:p>
            <w:pPr>
              <w:pStyle w:val="19"/>
              <w:spacing w:before="135"/>
              <w:ind w:left="231" w:right="227"/>
              <w:rPr>
                <w:rFonts w:ascii="Times New Roman"/>
                <w:sz w:val="21"/>
              </w:rPr>
            </w:pPr>
            <w:r>
              <w:rPr>
                <w:rFonts w:ascii="Times New Roman"/>
                <w:sz w:val="21"/>
              </w:rPr>
              <w:t>45</w:t>
            </w:r>
          </w:p>
        </w:tc>
      </w:tr>
    </w:tbl>
    <w:p>
      <w:pPr>
        <w:pStyle w:val="9"/>
        <w:spacing w:before="112" w:line="345" w:lineRule="auto"/>
        <w:ind w:left="1418" w:right="1435" w:firstLine="518"/>
        <w:jc w:val="both"/>
      </w:pPr>
      <w:r>
        <w:t xml:space="preserve">根据单台设备在场界处噪声值预测不同施工阶段场界噪声，预测时按施工机械距场界平均距离 </w:t>
      </w:r>
      <w:r>
        <w:rPr>
          <w:rFonts w:ascii="Times New Roman" w:eastAsia="Times New Roman"/>
        </w:rPr>
        <w:t xml:space="preserve">100m </w:t>
      </w:r>
      <w:r>
        <w:t>计算。计算结果见下表。</w:t>
      </w:r>
    </w:p>
    <w:p>
      <w:pPr>
        <w:spacing w:before="40" w:after="34"/>
        <w:ind w:left="4396" w:right="0" w:firstLine="0"/>
        <w:jc w:val="left"/>
        <w:rPr>
          <w:b/>
          <w:sz w:val="21"/>
        </w:rPr>
      </w:pPr>
      <w:r>
        <w:rPr>
          <w:b/>
          <w:spacing w:val="-28"/>
          <w:sz w:val="21"/>
        </w:rPr>
        <w:t xml:space="preserve">表 </w:t>
      </w:r>
      <w:r>
        <w:rPr>
          <w:rFonts w:ascii="Times New Roman" w:eastAsia="Times New Roman"/>
          <w:b/>
          <w:sz w:val="21"/>
        </w:rPr>
        <w:t>8.2-4</w:t>
      </w:r>
      <w:r>
        <w:rPr>
          <w:rFonts w:ascii="Times New Roman" w:eastAsia="Times New Roman"/>
          <w:b/>
          <w:spacing w:val="52"/>
          <w:sz w:val="21"/>
        </w:rPr>
        <w:t xml:space="preserve"> </w:t>
      </w:r>
      <w:r>
        <w:rPr>
          <w:b/>
          <w:sz w:val="21"/>
        </w:rPr>
        <w:t>施工现场场界噪声贡献值</w:t>
      </w:r>
    </w:p>
    <w:tbl>
      <w:tblPr>
        <w:tblStyle w:val="15"/>
        <w:tblW w:w="0" w:type="auto"/>
        <w:tblInd w:w="129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616"/>
        <w:gridCol w:w="3737"/>
        <w:gridCol w:w="299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616" w:type="dxa"/>
            <w:tcBorders>
              <w:bottom w:val="single" w:color="000000" w:sz="4" w:space="0"/>
              <w:right w:val="single" w:color="000000" w:sz="4" w:space="0"/>
            </w:tcBorders>
          </w:tcPr>
          <w:p>
            <w:pPr>
              <w:pStyle w:val="19"/>
              <w:spacing w:before="1"/>
              <w:ind w:left="867" w:right="854"/>
              <w:rPr>
                <w:sz w:val="21"/>
              </w:rPr>
            </w:pPr>
            <w:r>
              <w:rPr>
                <w:sz w:val="21"/>
              </w:rPr>
              <w:t>预测时段</w:t>
            </w:r>
          </w:p>
        </w:tc>
        <w:tc>
          <w:tcPr>
            <w:tcW w:w="3737" w:type="dxa"/>
            <w:tcBorders>
              <w:left w:val="single" w:color="000000" w:sz="4" w:space="0"/>
              <w:bottom w:val="single" w:color="000000" w:sz="4" w:space="0"/>
              <w:right w:val="single" w:color="000000" w:sz="4" w:space="0"/>
            </w:tcBorders>
          </w:tcPr>
          <w:p>
            <w:pPr>
              <w:pStyle w:val="19"/>
              <w:spacing w:before="1"/>
              <w:ind w:left="866" w:right="848"/>
              <w:rPr>
                <w:sz w:val="21"/>
              </w:rPr>
            </w:pPr>
            <w:r>
              <w:rPr>
                <w:sz w:val="21"/>
              </w:rPr>
              <w:t xml:space="preserve">厂界贡献值 </w:t>
            </w:r>
            <w:r>
              <w:rPr>
                <w:rFonts w:ascii="Times New Roman" w:eastAsia="Times New Roman"/>
                <w:sz w:val="21"/>
              </w:rPr>
              <w:t>dB</w:t>
            </w:r>
            <w:r>
              <w:rPr>
                <w:sz w:val="21"/>
              </w:rPr>
              <w:t>（</w:t>
            </w:r>
            <w:r>
              <w:rPr>
                <w:rFonts w:ascii="Times New Roman" w:eastAsia="Times New Roman"/>
                <w:sz w:val="21"/>
              </w:rPr>
              <w:t>A</w:t>
            </w:r>
            <w:r>
              <w:rPr>
                <w:sz w:val="21"/>
              </w:rPr>
              <w:t>）</w:t>
            </w:r>
          </w:p>
        </w:tc>
        <w:tc>
          <w:tcPr>
            <w:tcW w:w="2991" w:type="dxa"/>
            <w:tcBorders>
              <w:left w:val="single" w:color="000000" w:sz="4" w:space="0"/>
              <w:bottom w:val="single" w:color="000000" w:sz="4" w:space="0"/>
            </w:tcBorders>
          </w:tcPr>
          <w:p>
            <w:pPr>
              <w:pStyle w:val="19"/>
              <w:spacing w:before="1"/>
              <w:ind w:left="603" w:right="579"/>
              <w:rPr>
                <w:sz w:val="21"/>
              </w:rPr>
            </w:pPr>
            <w:r>
              <w:rPr>
                <w:sz w:val="21"/>
              </w:rPr>
              <w:t xml:space="preserve">标准值 </w:t>
            </w:r>
            <w:r>
              <w:rPr>
                <w:rFonts w:ascii="Times New Roman" w:eastAsia="Times New Roman"/>
                <w:sz w:val="21"/>
              </w:rPr>
              <w:t>dB</w:t>
            </w:r>
            <w:r>
              <w:rPr>
                <w:sz w:val="21"/>
              </w:rPr>
              <w:t>（</w:t>
            </w:r>
            <w:r>
              <w:rPr>
                <w:rFonts w:ascii="Times New Roman" w:eastAsia="Times New Roman"/>
                <w:sz w:val="21"/>
              </w:rPr>
              <w:t>A</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616" w:type="dxa"/>
            <w:tcBorders>
              <w:top w:val="single" w:color="000000" w:sz="4" w:space="0"/>
              <w:right w:val="single" w:color="000000" w:sz="4" w:space="0"/>
            </w:tcBorders>
          </w:tcPr>
          <w:p>
            <w:pPr>
              <w:pStyle w:val="19"/>
              <w:ind w:left="836" w:right="854"/>
              <w:rPr>
                <w:sz w:val="21"/>
              </w:rPr>
            </w:pPr>
            <w:r>
              <w:rPr>
                <w:sz w:val="21"/>
              </w:rPr>
              <w:t>昼、夜</w:t>
            </w:r>
          </w:p>
        </w:tc>
        <w:tc>
          <w:tcPr>
            <w:tcW w:w="3737" w:type="dxa"/>
            <w:tcBorders>
              <w:top w:val="single" w:color="000000" w:sz="4" w:space="0"/>
              <w:left w:val="single" w:color="000000" w:sz="4" w:space="0"/>
              <w:right w:val="single" w:color="000000" w:sz="4" w:space="0"/>
            </w:tcBorders>
          </w:tcPr>
          <w:p>
            <w:pPr>
              <w:pStyle w:val="19"/>
              <w:ind w:left="866" w:right="699"/>
              <w:rPr>
                <w:rFonts w:ascii="Times New Roman" w:eastAsia="Times New Roman"/>
                <w:sz w:val="21"/>
              </w:rPr>
            </w:pPr>
            <w:r>
              <w:rPr>
                <w:sz w:val="21"/>
              </w:rPr>
              <w:t xml:space="preserve">最大值 </w:t>
            </w:r>
            <w:r>
              <w:rPr>
                <w:rFonts w:ascii="Times New Roman" w:eastAsia="Times New Roman"/>
                <w:sz w:val="21"/>
              </w:rPr>
              <w:t>58</w:t>
            </w:r>
          </w:p>
        </w:tc>
        <w:tc>
          <w:tcPr>
            <w:tcW w:w="2991" w:type="dxa"/>
            <w:tcBorders>
              <w:top w:val="single" w:color="000000" w:sz="4" w:space="0"/>
              <w:left w:val="single" w:color="000000" w:sz="4" w:space="0"/>
            </w:tcBorders>
          </w:tcPr>
          <w:p>
            <w:pPr>
              <w:pStyle w:val="19"/>
              <w:ind w:left="603" w:right="599"/>
              <w:rPr>
                <w:rFonts w:ascii="Times New Roman" w:eastAsia="Times New Roman"/>
                <w:sz w:val="21"/>
              </w:rPr>
            </w:pPr>
            <w:r>
              <w:rPr>
                <w:sz w:val="21"/>
              </w:rPr>
              <w:t xml:space="preserve">昼间 </w:t>
            </w:r>
            <w:r>
              <w:rPr>
                <w:rFonts w:ascii="Times New Roman" w:eastAsia="Times New Roman"/>
                <w:sz w:val="21"/>
              </w:rPr>
              <w:t xml:space="preserve">70 </w:t>
            </w:r>
            <w:r>
              <w:rPr>
                <w:sz w:val="21"/>
              </w:rPr>
              <w:t xml:space="preserve">、夜间 </w:t>
            </w:r>
            <w:r>
              <w:rPr>
                <w:rFonts w:ascii="Times New Roman" w:eastAsia="Times New Roman"/>
                <w:sz w:val="21"/>
              </w:rPr>
              <w:t>55</w:t>
            </w:r>
          </w:p>
        </w:tc>
      </w:tr>
    </w:tbl>
    <w:p>
      <w:pPr>
        <w:pStyle w:val="9"/>
        <w:spacing w:line="364" w:lineRule="auto"/>
        <w:ind w:left="1418" w:right="1435" w:firstLine="518"/>
        <w:jc w:val="both"/>
      </w:pPr>
      <w:r>
        <w:rPr>
          <w:spacing w:val="15"/>
        </w:rPr>
        <w:t>由噪声影响预测结果可知，施工噪声昼间厂界满足《建筑施工场界环境噪声</w:t>
      </w:r>
      <w:r>
        <w:rPr>
          <w:spacing w:val="19"/>
        </w:rPr>
        <w:t>排放标准》</w:t>
      </w:r>
      <w:r>
        <w:rPr>
          <w:spacing w:val="11"/>
        </w:rPr>
        <w:t>（</w:t>
      </w:r>
      <w:r>
        <w:rPr>
          <w:rFonts w:ascii="Times New Roman" w:eastAsia="Times New Roman"/>
          <w:spacing w:val="11"/>
        </w:rPr>
        <w:t>GB12523-2011</w:t>
      </w:r>
      <w:r>
        <w:rPr>
          <w:spacing w:val="11"/>
        </w:rPr>
        <w:t xml:space="preserve">），夜间超过其标准值约 </w:t>
      </w:r>
      <w:r>
        <w:rPr>
          <w:rFonts w:ascii="Times New Roman" w:eastAsia="Times New Roman"/>
          <w:spacing w:val="7"/>
        </w:rPr>
        <w:t>3dB</w:t>
      </w:r>
      <w:r>
        <w:rPr>
          <w:spacing w:val="7"/>
        </w:rPr>
        <w:t>（</w:t>
      </w:r>
      <w:r>
        <w:rPr>
          <w:spacing w:val="-97"/>
        </w:rPr>
        <w:t xml:space="preserve"> </w:t>
      </w:r>
      <w:r>
        <w:rPr>
          <w:rFonts w:ascii="Times New Roman" w:eastAsia="Times New Roman"/>
          <w:spacing w:val="17"/>
        </w:rPr>
        <w:t>A</w:t>
      </w:r>
      <w:r>
        <w:rPr>
          <w:spacing w:val="17"/>
        </w:rPr>
        <w:t>）</w:t>
      </w:r>
      <w:r>
        <w:rPr>
          <w:spacing w:val="16"/>
        </w:rPr>
        <w:t>，本项目夜间不</w:t>
      </w:r>
      <w:r>
        <w:rPr>
          <w:spacing w:val="18"/>
        </w:rPr>
        <w:t>施工，所以本项目施工期对声环境影响较小。</w:t>
      </w:r>
    </w:p>
    <w:p>
      <w:pPr>
        <w:pStyle w:val="9"/>
        <w:spacing w:line="307" w:lineRule="exact"/>
        <w:ind w:left="1898"/>
      </w:pPr>
      <w:r>
        <w:rPr>
          <w:rFonts w:ascii="Times New Roman" w:eastAsia="Times New Roman"/>
        </w:rPr>
        <w:t>2</w:t>
      </w:r>
      <w:r>
        <w:t>、施工期交通噪声影响</w:t>
      </w:r>
    </w:p>
    <w:p>
      <w:pPr>
        <w:pStyle w:val="9"/>
        <w:spacing w:before="161" w:line="364" w:lineRule="auto"/>
        <w:ind w:left="1418" w:right="1291" w:firstLine="480"/>
      </w:pPr>
      <w:r>
        <w:rPr>
          <w:spacing w:val="-3"/>
        </w:rPr>
        <w:t>施工期土石方的运出及建筑材料的运入，将使该区域道路车流量增大，且均系高吨</w:t>
      </w:r>
      <w:r>
        <w:rPr>
          <w:spacing w:val="-9"/>
        </w:rPr>
        <w:t xml:space="preserve">位货车，其声级值在 </w:t>
      </w:r>
      <w:r>
        <w:rPr>
          <w:rFonts w:ascii="Times New Roman" w:eastAsia="Times New Roman"/>
        </w:rPr>
        <w:t>85dB(A)</w:t>
      </w:r>
      <w:r>
        <w:t>以上，由于是间断运输，对交通噪声贡献值较小，根据计</w:t>
      </w:r>
      <w:r>
        <w:rPr>
          <w:spacing w:val="-11"/>
        </w:rPr>
        <w:t>算，当运输车辆正常行驶</w:t>
      </w:r>
      <w:r>
        <w:rPr>
          <w:spacing w:val="-6"/>
        </w:rPr>
        <w:t>（</w:t>
      </w:r>
      <w:r>
        <w:rPr>
          <w:rFonts w:ascii="Times New Roman" w:eastAsia="Times New Roman"/>
          <w:spacing w:val="-6"/>
        </w:rPr>
        <w:t>70km/h</w:t>
      </w:r>
      <w:r>
        <w:rPr>
          <w:spacing w:val="-6"/>
        </w:rPr>
        <w:t>）</w:t>
      </w:r>
      <w:r>
        <w:rPr>
          <w:spacing w:val="-15"/>
        </w:rPr>
        <w:t xml:space="preserve">时，沿路两侧 </w:t>
      </w:r>
      <w:r>
        <w:rPr>
          <w:rFonts w:ascii="Times New Roman" w:eastAsia="Times New Roman"/>
        </w:rPr>
        <w:t xml:space="preserve">30m </w:t>
      </w:r>
      <w:r>
        <w:rPr>
          <w:spacing w:val="-12"/>
        </w:rPr>
        <w:t xml:space="preserve">处，最大交通噪声值为 </w:t>
      </w:r>
      <w:r>
        <w:rPr>
          <w:rFonts w:ascii="Times New Roman" w:eastAsia="Times New Roman"/>
          <w:spacing w:val="-3"/>
        </w:rPr>
        <w:t>66dB(A)</w:t>
      </w:r>
      <w:r>
        <w:rPr>
          <w:spacing w:val="-3"/>
        </w:rPr>
        <w:t xml:space="preserve">， </w:t>
      </w:r>
      <w:r>
        <w:rPr>
          <w:spacing w:val="-7"/>
        </w:rPr>
        <w:t>满足《声环境质量标准》</w:t>
      </w:r>
      <w:r>
        <w:t>（</w:t>
      </w:r>
      <w:r>
        <w:rPr>
          <w:rFonts w:ascii="Times New Roman" w:eastAsia="Times New Roman"/>
        </w:rPr>
        <w:t>GB3096-2008</w:t>
      </w:r>
      <w:r>
        <w:t>）</w:t>
      </w:r>
      <w:r>
        <w:rPr>
          <w:spacing w:val="-32"/>
        </w:rPr>
        <w:t xml:space="preserve">中 </w:t>
      </w:r>
      <w:r>
        <w:rPr>
          <w:rFonts w:ascii="Times New Roman" w:eastAsia="Times New Roman"/>
        </w:rPr>
        <w:t xml:space="preserve">4a </w:t>
      </w:r>
      <w:r>
        <w:rPr>
          <w:spacing w:val="-5"/>
        </w:rPr>
        <w:t>类标准要求。但车辆通过时，沿线居民</w:t>
      </w:r>
      <w:r>
        <w:rPr>
          <w:spacing w:val="-9"/>
        </w:rPr>
        <w:t>会受到较大的交通噪声影响，因此，车辆经过敏感路段应采取禁止鸣笛、限制车速，使噪声影响减到最小。</w:t>
      </w:r>
    </w:p>
    <w:p>
      <w:pPr>
        <w:pStyle w:val="6"/>
        <w:numPr>
          <w:ilvl w:val="2"/>
          <w:numId w:val="73"/>
        </w:numPr>
        <w:tabs>
          <w:tab w:val="left" w:pos="2048"/>
        </w:tabs>
        <w:spacing w:before="0" w:after="0" w:line="356" w:lineRule="exact"/>
        <w:ind w:left="2047" w:right="0" w:hanging="630"/>
        <w:jc w:val="left"/>
      </w:pPr>
      <w:bookmarkStart w:id="461" w:name="8.2.3建设期噪声防治措施"/>
      <w:bookmarkEnd w:id="461"/>
      <w:bookmarkStart w:id="462" w:name="8.2.3建设期噪声防治措施"/>
      <w:bookmarkEnd w:id="462"/>
      <w:r>
        <w:t>建设期噪声防治措施</w:t>
      </w:r>
    </w:p>
    <w:p>
      <w:pPr>
        <w:pStyle w:val="9"/>
        <w:spacing w:before="185"/>
        <w:ind w:left="1898"/>
      </w:pPr>
      <w:r>
        <w:t>为降低施工期噪声对外环境产生影响，本评价要求该项目建设期应采取如下措施：</w:t>
      </w:r>
    </w:p>
    <w:p>
      <w:pPr>
        <w:pStyle w:val="18"/>
        <w:numPr>
          <w:ilvl w:val="3"/>
          <w:numId w:val="73"/>
        </w:numPr>
        <w:tabs>
          <w:tab w:val="left" w:pos="2504"/>
        </w:tabs>
        <w:spacing w:before="158" w:after="0" w:line="364" w:lineRule="auto"/>
        <w:ind w:left="1418" w:right="1417" w:firstLine="480"/>
        <w:jc w:val="both"/>
        <w:rPr>
          <w:sz w:val="24"/>
        </w:rPr>
      </w:pPr>
      <w:r>
        <w:rPr>
          <w:sz w:val="24"/>
        </w:rPr>
        <w:t>在施工设备选型上，应选用正规厂家、噪声较低的环保型设备。保证现场设</w:t>
      </w:r>
      <w:r>
        <w:rPr>
          <w:spacing w:val="-7"/>
          <w:sz w:val="24"/>
        </w:rPr>
        <w:t>备安装质量，加强施工机械及运输车辆的维修与管理，确保施工设备和车辆均能正常运</w:t>
      </w:r>
      <w:r>
        <w:rPr>
          <w:sz w:val="24"/>
        </w:rPr>
        <w:t>行。</w:t>
      </w:r>
    </w:p>
    <w:p>
      <w:pPr>
        <w:pStyle w:val="18"/>
        <w:numPr>
          <w:ilvl w:val="3"/>
          <w:numId w:val="73"/>
        </w:numPr>
        <w:tabs>
          <w:tab w:val="left" w:pos="2500"/>
        </w:tabs>
        <w:spacing w:before="0" w:after="0" w:line="307" w:lineRule="exact"/>
        <w:ind w:left="2499" w:right="0" w:hanging="602"/>
        <w:jc w:val="left"/>
        <w:rPr>
          <w:sz w:val="24"/>
        </w:rPr>
      </w:pPr>
      <w:r>
        <w:rPr>
          <w:sz w:val="24"/>
        </w:rPr>
        <w:t>加强施工现场管理，封闭施工现场。</w:t>
      </w:r>
    </w:p>
    <w:p>
      <w:pPr>
        <w:pStyle w:val="18"/>
        <w:numPr>
          <w:ilvl w:val="3"/>
          <w:numId w:val="73"/>
        </w:numPr>
        <w:tabs>
          <w:tab w:val="left" w:pos="2500"/>
        </w:tabs>
        <w:spacing w:before="158" w:after="0" w:line="240" w:lineRule="auto"/>
        <w:ind w:left="2499" w:right="0" w:hanging="602"/>
        <w:jc w:val="left"/>
        <w:rPr>
          <w:sz w:val="24"/>
        </w:rPr>
      </w:pPr>
      <w:r>
        <w:rPr>
          <w:sz w:val="24"/>
        </w:rPr>
        <w:t>高噪声设备采取减震等措施降低其使用时产生的噪声对周围环境的影响。</w:t>
      </w:r>
    </w:p>
    <w:p>
      <w:pPr>
        <w:pStyle w:val="18"/>
        <w:numPr>
          <w:ilvl w:val="3"/>
          <w:numId w:val="73"/>
        </w:numPr>
        <w:tabs>
          <w:tab w:val="left" w:pos="2500"/>
        </w:tabs>
        <w:spacing w:before="161" w:after="0" w:line="240" w:lineRule="auto"/>
        <w:ind w:left="2499" w:right="0" w:hanging="602"/>
        <w:jc w:val="left"/>
        <w:rPr>
          <w:rFonts w:ascii="Times New Roman" w:eastAsia="Times New Roman"/>
          <w:sz w:val="24"/>
        </w:rPr>
      </w:pPr>
      <w:r>
        <w:rPr>
          <w:spacing w:val="-3"/>
          <w:sz w:val="24"/>
        </w:rPr>
        <w:t xml:space="preserve">中型运输车在人口密集区内行驶时禁止鸣笛，并限速行驶，严禁 </w:t>
      </w:r>
      <w:r>
        <w:rPr>
          <w:rFonts w:ascii="Times New Roman" w:eastAsia="Times New Roman"/>
          <w:sz w:val="24"/>
        </w:rPr>
        <w:t>22:00</w:t>
      </w:r>
      <w:r>
        <w:rPr>
          <w:sz w:val="24"/>
        </w:rPr>
        <w:t>～</w:t>
      </w:r>
      <w:r>
        <w:rPr>
          <w:rFonts w:ascii="Times New Roman" w:eastAsia="Times New Roman"/>
          <w:sz w:val="24"/>
        </w:rPr>
        <w:t>6:00</w:t>
      </w:r>
    </w:p>
    <w:p>
      <w:pPr>
        <w:pStyle w:val="9"/>
        <w:spacing w:before="160"/>
        <w:ind w:left="1418"/>
      </w:pPr>
      <w:r>
        <w:t>时间段内施工及运输。</w:t>
      </w:r>
    </w:p>
    <w:p>
      <w:pPr>
        <w:pStyle w:val="5"/>
        <w:numPr>
          <w:ilvl w:val="1"/>
          <w:numId w:val="73"/>
        </w:numPr>
        <w:tabs>
          <w:tab w:val="left" w:pos="1868"/>
        </w:tabs>
        <w:spacing w:before="161" w:after="0" w:line="240" w:lineRule="auto"/>
        <w:ind w:left="1867" w:right="0" w:hanging="450"/>
        <w:jc w:val="left"/>
        <w:rPr>
          <w:rFonts w:ascii="Times New Roman" w:eastAsia="Times New Roman"/>
        </w:rPr>
      </w:pPr>
      <w:bookmarkStart w:id="463" w:name="8.3运营期声环境影响预测与评价"/>
      <w:bookmarkEnd w:id="463"/>
      <w:bookmarkStart w:id="464" w:name="_bookmark47"/>
      <w:bookmarkEnd w:id="464"/>
      <w:bookmarkStart w:id="465" w:name="_bookmark47"/>
      <w:bookmarkEnd w:id="465"/>
      <w:r>
        <w:t>运营期声环境影响预测与评价</w:t>
      </w:r>
    </w:p>
    <w:p>
      <w:pPr>
        <w:pStyle w:val="6"/>
        <w:numPr>
          <w:ilvl w:val="2"/>
          <w:numId w:val="73"/>
        </w:numPr>
        <w:tabs>
          <w:tab w:val="left" w:pos="2048"/>
        </w:tabs>
        <w:spacing w:before="197" w:after="0" w:line="240" w:lineRule="auto"/>
        <w:ind w:left="2047" w:right="0" w:hanging="630"/>
        <w:jc w:val="left"/>
      </w:pPr>
      <w:bookmarkStart w:id="466" w:name="8.3.1主要噪声源"/>
      <w:bookmarkEnd w:id="466"/>
      <w:bookmarkStart w:id="467" w:name="8.3.1主要噪声源"/>
      <w:bookmarkEnd w:id="467"/>
      <w:r>
        <w:t>主要噪声源</w:t>
      </w:r>
    </w:p>
    <w:p>
      <w:pPr>
        <w:pStyle w:val="9"/>
        <w:spacing w:before="185" w:line="364" w:lineRule="auto"/>
        <w:ind w:left="1418" w:right="1417" w:firstLine="480"/>
      </w:pPr>
      <w:r>
        <w:rPr>
          <w:spacing w:val="-7"/>
        </w:rPr>
        <w:t>矿井投产后，工业场地的主要噪声源有：主井皮带机、空压机房、通风机房、锅炉房等，这些设备噪声源大部分是宽频带的，而且都是固定噪声源。另外还有运输车辆产</w:t>
      </w:r>
    </w:p>
    <w:p>
      <w:pPr>
        <w:spacing w:after="0" w:line="364" w:lineRule="auto"/>
        <w:sectPr>
          <w:footerReference r:id="rId22" w:type="default"/>
          <w:pgSz w:w="11910" w:h="16840"/>
          <w:pgMar w:top="1400" w:right="0" w:bottom="880" w:left="0" w:header="0" w:footer="681" w:gutter="0"/>
          <w:pgNumType w:start="150"/>
        </w:sectPr>
      </w:pPr>
    </w:p>
    <w:p>
      <w:pPr>
        <w:pStyle w:val="9"/>
        <w:spacing w:before="41" w:line="364" w:lineRule="auto"/>
        <w:ind w:left="1418" w:right="1417"/>
        <w:jc w:val="both"/>
      </w:pPr>
      <w:r>
        <w:rPr>
          <w:spacing w:val="-6"/>
        </w:rPr>
        <w:t>生的运输噪声，为随机性噪声源。这些噪声不仅危害车间作业人员的身心健康，而且对</w:t>
      </w:r>
      <w:r>
        <w:rPr>
          <w:spacing w:val="-5"/>
        </w:rPr>
        <w:t>周围的环境产生一定程度的影响。本项目设备噪声源强依据同类厂家的类比数据及本项</w:t>
      </w:r>
      <w:r>
        <w:t>目选用的设备型号进行预测。具体见下表。</w:t>
      </w:r>
    </w:p>
    <w:p>
      <w:pPr>
        <w:spacing w:before="0" w:line="267" w:lineRule="exact"/>
        <w:ind w:left="4080" w:right="0" w:firstLine="0"/>
        <w:jc w:val="both"/>
        <w:rPr>
          <w:b/>
          <w:sz w:val="21"/>
        </w:rPr>
      </w:pPr>
      <w:r>
        <w:rPr>
          <w:b/>
          <w:spacing w:val="-27"/>
          <w:sz w:val="21"/>
        </w:rPr>
        <w:t xml:space="preserve">表 </w:t>
      </w:r>
      <w:r>
        <w:rPr>
          <w:rFonts w:ascii="Times New Roman" w:eastAsia="Times New Roman"/>
          <w:b/>
          <w:sz w:val="21"/>
        </w:rPr>
        <w:t>8.3-1</w:t>
      </w:r>
      <w:r>
        <w:rPr>
          <w:rFonts w:ascii="Times New Roman" w:eastAsia="Times New Roman"/>
          <w:b/>
          <w:spacing w:val="47"/>
          <w:sz w:val="21"/>
        </w:rPr>
        <w:t xml:space="preserve"> </w:t>
      </w:r>
      <w:r>
        <w:rPr>
          <w:b/>
          <w:sz w:val="21"/>
        </w:rPr>
        <w:t>主井工业广场主要噪声设备情况</w:t>
      </w:r>
    </w:p>
    <w:p>
      <w:pPr>
        <w:pStyle w:val="9"/>
        <w:spacing w:before="10"/>
        <w:rPr>
          <w:b/>
          <w:sz w:val="10"/>
        </w:rPr>
      </w:pPr>
    </w:p>
    <w:tbl>
      <w:tblPr>
        <w:tblStyle w:val="15"/>
        <w:tblW w:w="0" w:type="auto"/>
        <w:tblInd w:w="137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916"/>
        <w:gridCol w:w="1015"/>
        <w:gridCol w:w="828"/>
        <w:gridCol w:w="698"/>
        <w:gridCol w:w="2530"/>
        <w:gridCol w:w="738"/>
        <w:gridCol w:w="946"/>
        <w:gridCol w:w="9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4" w:hRule="atLeast"/>
        </w:trPr>
        <w:tc>
          <w:tcPr>
            <w:tcW w:w="538" w:type="dxa"/>
            <w:tcBorders>
              <w:bottom w:val="single" w:color="000000" w:sz="4" w:space="0"/>
              <w:right w:val="single" w:color="000000" w:sz="4" w:space="0"/>
            </w:tcBorders>
          </w:tcPr>
          <w:p>
            <w:pPr>
              <w:pStyle w:val="19"/>
              <w:spacing w:before="2"/>
              <w:jc w:val="left"/>
              <w:rPr>
                <w:b/>
                <w:sz w:val="24"/>
              </w:rPr>
            </w:pPr>
          </w:p>
          <w:p>
            <w:pPr>
              <w:pStyle w:val="19"/>
              <w:ind w:left="37" w:right="25"/>
              <w:rPr>
                <w:sz w:val="21"/>
              </w:rPr>
            </w:pPr>
            <w:r>
              <w:rPr>
                <w:sz w:val="21"/>
              </w:rPr>
              <w:t>序号</w:t>
            </w:r>
          </w:p>
        </w:tc>
        <w:tc>
          <w:tcPr>
            <w:tcW w:w="916" w:type="dxa"/>
            <w:tcBorders>
              <w:left w:val="single" w:color="000000" w:sz="4" w:space="0"/>
              <w:bottom w:val="single" w:color="000000" w:sz="4" w:space="0"/>
              <w:right w:val="single" w:color="000000" w:sz="4" w:space="0"/>
            </w:tcBorders>
          </w:tcPr>
          <w:p>
            <w:pPr>
              <w:pStyle w:val="19"/>
              <w:spacing w:before="2"/>
              <w:jc w:val="left"/>
              <w:rPr>
                <w:b/>
                <w:sz w:val="24"/>
              </w:rPr>
            </w:pPr>
          </w:p>
          <w:p>
            <w:pPr>
              <w:pStyle w:val="19"/>
              <w:ind w:left="126" w:right="109"/>
              <w:rPr>
                <w:sz w:val="21"/>
              </w:rPr>
            </w:pPr>
            <w:r>
              <w:rPr>
                <w:sz w:val="21"/>
              </w:rPr>
              <w:t>噪声源</w:t>
            </w:r>
          </w:p>
        </w:tc>
        <w:tc>
          <w:tcPr>
            <w:tcW w:w="1015" w:type="dxa"/>
            <w:tcBorders>
              <w:left w:val="single" w:color="000000" w:sz="4" w:space="0"/>
              <w:bottom w:val="single" w:color="000000" w:sz="4" w:space="0"/>
              <w:right w:val="single" w:color="000000" w:sz="4" w:space="0"/>
            </w:tcBorders>
          </w:tcPr>
          <w:p>
            <w:pPr>
              <w:pStyle w:val="19"/>
              <w:spacing w:before="2"/>
              <w:jc w:val="left"/>
              <w:rPr>
                <w:b/>
                <w:sz w:val="24"/>
              </w:rPr>
            </w:pPr>
          </w:p>
          <w:p>
            <w:pPr>
              <w:pStyle w:val="19"/>
              <w:ind w:left="69" w:right="56"/>
              <w:rPr>
                <w:sz w:val="21"/>
              </w:rPr>
            </w:pPr>
            <w:r>
              <w:rPr>
                <w:sz w:val="21"/>
              </w:rPr>
              <w:t>发声建筑</w:t>
            </w:r>
          </w:p>
        </w:tc>
        <w:tc>
          <w:tcPr>
            <w:tcW w:w="828" w:type="dxa"/>
            <w:tcBorders>
              <w:left w:val="single" w:color="000000" w:sz="4" w:space="0"/>
              <w:bottom w:val="single" w:color="000000" w:sz="4" w:space="0"/>
              <w:right w:val="single" w:color="000000" w:sz="4" w:space="0"/>
            </w:tcBorders>
          </w:tcPr>
          <w:p>
            <w:pPr>
              <w:pStyle w:val="19"/>
              <w:spacing w:before="144" w:line="290" w:lineRule="auto"/>
              <w:ind w:left="102" w:right="84"/>
              <w:jc w:val="left"/>
              <w:rPr>
                <w:sz w:val="21"/>
              </w:rPr>
            </w:pPr>
            <w:r>
              <w:rPr>
                <w:sz w:val="21"/>
              </w:rPr>
              <w:t>同时启用台数</w:t>
            </w:r>
          </w:p>
        </w:tc>
        <w:tc>
          <w:tcPr>
            <w:tcW w:w="698" w:type="dxa"/>
            <w:tcBorders>
              <w:left w:val="single" w:color="000000" w:sz="4" w:space="0"/>
              <w:bottom w:val="single" w:color="000000" w:sz="4" w:space="0"/>
              <w:right w:val="single" w:color="000000" w:sz="4" w:space="0"/>
            </w:tcBorders>
          </w:tcPr>
          <w:p>
            <w:pPr>
              <w:pStyle w:val="19"/>
              <w:spacing w:before="163"/>
              <w:ind w:left="143"/>
              <w:jc w:val="left"/>
              <w:rPr>
                <w:sz w:val="21"/>
              </w:rPr>
            </w:pPr>
            <w:r>
              <w:rPr>
                <w:sz w:val="21"/>
              </w:rPr>
              <w:t>源强</w:t>
            </w:r>
          </w:p>
          <w:p>
            <w:pPr>
              <w:pStyle w:val="19"/>
              <w:spacing w:before="57"/>
              <w:ind w:left="85"/>
              <w:jc w:val="left"/>
              <w:rPr>
                <w:rFonts w:ascii="Times New Roman"/>
                <w:sz w:val="21"/>
              </w:rPr>
            </w:pPr>
            <w:r>
              <w:rPr>
                <w:rFonts w:ascii="Times New Roman"/>
                <w:sz w:val="21"/>
              </w:rPr>
              <w:t>dB(A)</w:t>
            </w:r>
          </w:p>
        </w:tc>
        <w:tc>
          <w:tcPr>
            <w:tcW w:w="2530" w:type="dxa"/>
            <w:tcBorders>
              <w:left w:val="single" w:color="000000" w:sz="4" w:space="0"/>
              <w:bottom w:val="single" w:color="000000" w:sz="4" w:space="0"/>
              <w:right w:val="single" w:color="000000" w:sz="4" w:space="0"/>
            </w:tcBorders>
          </w:tcPr>
          <w:p>
            <w:pPr>
              <w:pStyle w:val="19"/>
              <w:spacing w:before="2"/>
              <w:jc w:val="left"/>
              <w:rPr>
                <w:b/>
                <w:sz w:val="24"/>
              </w:rPr>
            </w:pPr>
          </w:p>
          <w:p>
            <w:pPr>
              <w:pStyle w:val="19"/>
              <w:ind w:left="46" w:right="30"/>
              <w:rPr>
                <w:sz w:val="21"/>
              </w:rPr>
            </w:pPr>
            <w:r>
              <w:rPr>
                <w:sz w:val="21"/>
              </w:rPr>
              <w:t>治理措施</w:t>
            </w:r>
          </w:p>
        </w:tc>
        <w:tc>
          <w:tcPr>
            <w:tcW w:w="738" w:type="dxa"/>
            <w:tcBorders>
              <w:left w:val="single" w:color="000000" w:sz="4" w:space="0"/>
              <w:bottom w:val="single" w:color="000000" w:sz="4" w:space="0"/>
              <w:right w:val="single" w:color="000000" w:sz="4" w:space="0"/>
            </w:tcBorders>
          </w:tcPr>
          <w:p>
            <w:pPr>
              <w:pStyle w:val="19"/>
              <w:spacing w:line="290" w:lineRule="auto"/>
              <w:ind w:left="162" w:right="143"/>
              <w:jc w:val="left"/>
              <w:rPr>
                <w:sz w:val="21"/>
              </w:rPr>
            </w:pPr>
            <w:r>
              <w:rPr>
                <w:spacing w:val="-7"/>
                <w:sz w:val="21"/>
              </w:rPr>
              <w:t>降噪</w:t>
            </w:r>
            <w:r>
              <w:rPr>
                <w:spacing w:val="-9"/>
                <w:sz w:val="21"/>
              </w:rPr>
              <w:t>效果</w:t>
            </w:r>
          </w:p>
          <w:p>
            <w:pPr>
              <w:pStyle w:val="19"/>
              <w:spacing w:before="1"/>
              <w:ind w:left="107"/>
              <w:jc w:val="left"/>
              <w:rPr>
                <w:rFonts w:ascii="Times New Roman"/>
                <w:sz w:val="21"/>
              </w:rPr>
            </w:pPr>
            <w:r>
              <w:rPr>
                <w:rFonts w:ascii="Times New Roman"/>
                <w:sz w:val="21"/>
              </w:rPr>
              <w:t>dB(A)</w:t>
            </w:r>
          </w:p>
        </w:tc>
        <w:tc>
          <w:tcPr>
            <w:tcW w:w="946" w:type="dxa"/>
            <w:tcBorders>
              <w:left w:val="single" w:color="000000" w:sz="4" w:space="0"/>
              <w:bottom w:val="single" w:color="000000" w:sz="4" w:space="0"/>
              <w:right w:val="single" w:color="000000" w:sz="4" w:space="0"/>
            </w:tcBorders>
          </w:tcPr>
          <w:p>
            <w:pPr>
              <w:pStyle w:val="19"/>
              <w:spacing w:line="290" w:lineRule="auto"/>
              <w:ind w:left="267" w:right="143" w:hanging="106"/>
              <w:jc w:val="left"/>
              <w:rPr>
                <w:sz w:val="21"/>
              </w:rPr>
            </w:pPr>
            <w:r>
              <w:rPr>
                <w:sz w:val="21"/>
              </w:rPr>
              <w:t>噪声排放量</w:t>
            </w:r>
          </w:p>
          <w:p>
            <w:pPr>
              <w:pStyle w:val="19"/>
              <w:spacing w:before="1"/>
              <w:ind w:left="209"/>
              <w:jc w:val="left"/>
              <w:rPr>
                <w:rFonts w:ascii="Times New Roman"/>
                <w:sz w:val="21"/>
              </w:rPr>
            </w:pPr>
            <w:r>
              <w:rPr>
                <w:rFonts w:ascii="Times New Roman"/>
                <w:sz w:val="21"/>
              </w:rPr>
              <w:t>dB(A)</w:t>
            </w:r>
          </w:p>
        </w:tc>
        <w:tc>
          <w:tcPr>
            <w:tcW w:w="968" w:type="dxa"/>
            <w:tcBorders>
              <w:left w:val="single" w:color="000000" w:sz="4" w:space="0"/>
              <w:bottom w:val="single" w:color="000000" w:sz="4" w:space="0"/>
            </w:tcBorders>
          </w:tcPr>
          <w:p>
            <w:pPr>
              <w:pStyle w:val="19"/>
              <w:spacing w:before="144" w:line="290" w:lineRule="auto"/>
              <w:ind w:left="278" w:right="254"/>
              <w:jc w:val="left"/>
              <w:rPr>
                <w:sz w:val="21"/>
              </w:rPr>
            </w:pPr>
            <w:r>
              <w:rPr>
                <w:sz w:val="21"/>
              </w:rPr>
              <w:t>预期效果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538" w:type="dxa"/>
            <w:tcBorders>
              <w:top w:val="single" w:color="000000" w:sz="4" w:space="0"/>
              <w:bottom w:val="single" w:color="000000" w:sz="4" w:space="0"/>
              <w:right w:val="single" w:color="000000" w:sz="4" w:space="0"/>
            </w:tcBorders>
          </w:tcPr>
          <w:p>
            <w:pPr>
              <w:pStyle w:val="19"/>
              <w:spacing w:before="11"/>
              <w:jc w:val="left"/>
              <w:rPr>
                <w:b/>
                <w:sz w:val="26"/>
              </w:rPr>
            </w:pPr>
          </w:p>
          <w:p>
            <w:pPr>
              <w:pStyle w:val="19"/>
              <w:ind w:left="11"/>
              <w:rPr>
                <w:rFonts w:ascii="Times New Roman"/>
                <w:sz w:val="21"/>
              </w:rPr>
            </w:pPr>
            <w:r>
              <w:rPr>
                <w:rFonts w:ascii="Times New Roman"/>
                <w:w w:val="99"/>
                <w:sz w:val="21"/>
              </w:rPr>
              <w:t>1</w:t>
            </w:r>
          </w:p>
        </w:tc>
        <w:tc>
          <w:tcPr>
            <w:tcW w:w="916" w:type="dxa"/>
            <w:tcBorders>
              <w:top w:val="single" w:color="000000" w:sz="4" w:space="0"/>
              <w:left w:val="single" w:color="000000" w:sz="4" w:space="0"/>
              <w:bottom w:val="single" w:color="000000" w:sz="4" w:space="0"/>
              <w:right w:val="single" w:color="000000" w:sz="4" w:space="0"/>
            </w:tcBorders>
          </w:tcPr>
          <w:p>
            <w:pPr>
              <w:pStyle w:val="19"/>
              <w:spacing w:before="162" w:line="290" w:lineRule="auto"/>
              <w:ind w:left="252" w:right="127" w:hanging="106"/>
              <w:jc w:val="left"/>
              <w:rPr>
                <w:sz w:val="21"/>
              </w:rPr>
            </w:pPr>
            <w:r>
              <w:rPr>
                <w:sz w:val="21"/>
              </w:rPr>
              <w:t>皮带运输机</w:t>
            </w:r>
          </w:p>
        </w:tc>
        <w:tc>
          <w:tcPr>
            <w:tcW w:w="1015" w:type="dxa"/>
            <w:tcBorders>
              <w:top w:val="single" w:color="000000" w:sz="4" w:space="0"/>
              <w:left w:val="single" w:color="000000" w:sz="4" w:space="0"/>
              <w:bottom w:val="single" w:color="000000" w:sz="4" w:space="0"/>
              <w:right w:val="single" w:color="000000" w:sz="4" w:space="0"/>
            </w:tcBorders>
          </w:tcPr>
          <w:p>
            <w:pPr>
              <w:pStyle w:val="19"/>
              <w:spacing w:line="290" w:lineRule="auto"/>
              <w:ind w:left="90" w:right="74"/>
              <w:rPr>
                <w:sz w:val="21"/>
              </w:rPr>
            </w:pPr>
            <w:r>
              <w:rPr>
                <w:sz w:val="21"/>
              </w:rPr>
              <w:t>主井带式输送机栈</w:t>
            </w:r>
          </w:p>
          <w:p>
            <w:pPr>
              <w:pStyle w:val="19"/>
              <w:spacing w:before="3"/>
              <w:ind w:left="18"/>
              <w:rPr>
                <w:sz w:val="21"/>
              </w:rPr>
            </w:pPr>
            <w:r>
              <w:rPr>
                <w:w w:val="99"/>
                <w:sz w:val="21"/>
              </w:rPr>
              <w:t>桥</w:t>
            </w:r>
          </w:p>
        </w:tc>
        <w:tc>
          <w:tcPr>
            <w:tcW w:w="828" w:type="dxa"/>
            <w:tcBorders>
              <w:top w:val="single" w:color="000000" w:sz="4" w:space="0"/>
              <w:left w:val="single" w:color="000000" w:sz="4" w:space="0"/>
              <w:bottom w:val="single" w:color="000000" w:sz="4" w:space="0"/>
              <w:right w:val="single" w:color="000000" w:sz="4" w:space="0"/>
            </w:tcBorders>
          </w:tcPr>
          <w:p>
            <w:pPr>
              <w:pStyle w:val="19"/>
              <w:spacing w:before="11"/>
              <w:jc w:val="left"/>
              <w:rPr>
                <w:b/>
                <w:sz w:val="26"/>
              </w:rPr>
            </w:pPr>
          </w:p>
          <w:p>
            <w:pPr>
              <w:pStyle w:val="19"/>
              <w:ind w:left="15"/>
              <w:rPr>
                <w:rFonts w:ascii="Times New Roman"/>
                <w:sz w:val="21"/>
              </w:rPr>
            </w:pPr>
            <w:r>
              <w:rPr>
                <w:rFonts w:ascii="Times New Roman"/>
                <w:w w:val="99"/>
                <w:sz w:val="21"/>
              </w:rPr>
              <w:t>1</w:t>
            </w:r>
          </w:p>
        </w:tc>
        <w:tc>
          <w:tcPr>
            <w:tcW w:w="698" w:type="dxa"/>
            <w:tcBorders>
              <w:top w:val="single" w:color="000000" w:sz="4" w:space="0"/>
              <w:left w:val="single" w:color="000000" w:sz="4" w:space="0"/>
              <w:bottom w:val="single" w:color="000000" w:sz="4" w:space="0"/>
              <w:right w:val="single" w:color="000000" w:sz="4" w:space="0"/>
            </w:tcBorders>
          </w:tcPr>
          <w:p>
            <w:pPr>
              <w:pStyle w:val="19"/>
              <w:spacing w:before="11"/>
              <w:jc w:val="left"/>
              <w:rPr>
                <w:b/>
                <w:sz w:val="26"/>
              </w:rPr>
            </w:pPr>
          </w:p>
          <w:p>
            <w:pPr>
              <w:pStyle w:val="19"/>
              <w:ind w:left="229" w:right="209"/>
              <w:rPr>
                <w:rFonts w:ascii="Times New Roman"/>
                <w:sz w:val="21"/>
              </w:rPr>
            </w:pPr>
            <w:r>
              <w:rPr>
                <w:rFonts w:ascii="Times New Roman"/>
                <w:sz w:val="21"/>
              </w:rPr>
              <w:t>92</w:t>
            </w:r>
          </w:p>
        </w:tc>
        <w:tc>
          <w:tcPr>
            <w:tcW w:w="2530" w:type="dxa"/>
            <w:tcBorders>
              <w:top w:val="single" w:color="000000" w:sz="4" w:space="0"/>
              <w:left w:val="single" w:color="000000" w:sz="4" w:space="0"/>
              <w:bottom w:val="single" w:color="000000" w:sz="4" w:space="0"/>
              <w:right w:val="single" w:color="000000" w:sz="4" w:space="0"/>
            </w:tcBorders>
          </w:tcPr>
          <w:p>
            <w:pPr>
              <w:pStyle w:val="19"/>
              <w:spacing w:before="162" w:line="290" w:lineRule="auto"/>
              <w:ind w:left="638" w:right="41" w:hanging="576"/>
              <w:jc w:val="left"/>
              <w:rPr>
                <w:sz w:val="21"/>
              </w:rPr>
            </w:pPr>
            <w:r>
              <w:rPr>
                <w:spacing w:val="-12"/>
                <w:sz w:val="21"/>
              </w:rPr>
              <w:t>封闭栈桥；电机设减震基础</w:t>
            </w:r>
            <w:r>
              <w:rPr>
                <w:sz w:val="21"/>
              </w:rPr>
              <w:t>并加装隔声罩</w:t>
            </w:r>
          </w:p>
        </w:tc>
        <w:tc>
          <w:tcPr>
            <w:tcW w:w="738" w:type="dxa"/>
            <w:tcBorders>
              <w:top w:val="single" w:color="000000" w:sz="4" w:space="0"/>
              <w:left w:val="single" w:color="000000" w:sz="4" w:space="0"/>
              <w:bottom w:val="single" w:color="000000" w:sz="4" w:space="0"/>
              <w:right w:val="single" w:color="000000" w:sz="4" w:space="0"/>
            </w:tcBorders>
          </w:tcPr>
          <w:p>
            <w:pPr>
              <w:pStyle w:val="19"/>
              <w:spacing w:before="11"/>
              <w:jc w:val="left"/>
              <w:rPr>
                <w:b/>
                <w:sz w:val="26"/>
              </w:rPr>
            </w:pPr>
          </w:p>
          <w:p>
            <w:pPr>
              <w:pStyle w:val="19"/>
              <w:ind w:right="247"/>
              <w:jc w:val="right"/>
              <w:rPr>
                <w:rFonts w:ascii="Times New Roman"/>
                <w:sz w:val="21"/>
              </w:rPr>
            </w:pPr>
            <w:r>
              <w:rPr>
                <w:rFonts w:ascii="Times New Roman"/>
                <w:sz w:val="21"/>
              </w:rPr>
              <w:t>20</w:t>
            </w:r>
          </w:p>
        </w:tc>
        <w:tc>
          <w:tcPr>
            <w:tcW w:w="946" w:type="dxa"/>
            <w:tcBorders>
              <w:top w:val="single" w:color="000000" w:sz="4" w:space="0"/>
              <w:left w:val="single" w:color="000000" w:sz="4" w:space="0"/>
              <w:bottom w:val="single" w:color="000000" w:sz="4" w:space="0"/>
              <w:right w:val="single" w:color="000000" w:sz="4" w:space="0"/>
            </w:tcBorders>
          </w:tcPr>
          <w:p>
            <w:pPr>
              <w:pStyle w:val="19"/>
              <w:spacing w:before="11"/>
              <w:jc w:val="left"/>
              <w:rPr>
                <w:b/>
                <w:sz w:val="26"/>
              </w:rPr>
            </w:pPr>
          </w:p>
          <w:p>
            <w:pPr>
              <w:pStyle w:val="19"/>
              <w:ind w:left="372"/>
              <w:jc w:val="left"/>
              <w:rPr>
                <w:rFonts w:ascii="Times New Roman"/>
                <w:sz w:val="21"/>
              </w:rPr>
            </w:pPr>
            <w:r>
              <w:rPr>
                <w:rFonts w:ascii="Times New Roman"/>
                <w:sz w:val="21"/>
              </w:rPr>
              <w:t>72</w:t>
            </w:r>
          </w:p>
        </w:tc>
        <w:tc>
          <w:tcPr>
            <w:tcW w:w="968" w:type="dxa"/>
            <w:tcBorders>
              <w:top w:val="single" w:color="000000" w:sz="4" w:space="0"/>
              <w:left w:val="single" w:color="000000" w:sz="4" w:space="0"/>
              <w:bottom w:val="nil"/>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538" w:type="dxa"/>
            <w:tcBorders>
              <w:top w:val="single" w:color="000000" w:sz="4" w:space="0"/>
              <w:bottom w:val="single" w:color="000000" w:sz="4" w:space="0"/>
              <w:right w:val="single" w:color="000000" w:sz="4" w:space="0"/>
            </w:tcBorders>
          </w:tcPr>
          <w:p>
            <w:pPr>
              <w:pStyle w:val="19"/>
              <w:spacing w:before="16"/>
              <w:ind w:left="11"/>
              <w:rPr>
                <w:rFonts w:ascii="Times New Roman"/>
                <w:sz w:val="21"/>
              </w:rPr>
            </w:pPr>
            <w:r>
              <w:rPr>
                <w:rFonts w:ascii="Times New Roman"/>
                <w:w w:val="99"/>
                <w:sz w:val="21"/>
              </w:rPr>
              <w:t>2</w:t>
            </w:r>
          </w:p>
        </w:tc>
        <w:tc>
          <w:tcPr>
            <w:tcW w:w="916" w:type="dxa"/>
            <w:tcBorders>
              <w:top w:val="single" w:color="000000" w:sz="4" w:space="0"/>
              <w:left w:val="single" w:color="000000" w:sz="4" w:space="0"/>
              <w:bottom w:val="single" w:color="000000" w:sz="4" w:space="0"/>
              <w:right w:val="single" w:color="000000" w:sz="4" w:space="0"/>
            </w:tcBorders>
          </w:tcPr>
          <w:p>
            <w:pPr>
              <w:pStyle w:val="19"/>
              <w:ind w:left="126" w:right="109"/>
              <w:rPr>
                <w:sz w:val="21"/>
              </w:rPr>
            </w:pPr>
            <w:r>
              <w:rPr>
                <w:sz w:val="21"/>
              </w:rPr>
              <w:t>通风机</w:t>
            </w:r>
          </w:p>
        </w:tc>
        <w:tc>
          <w:tcPr>
            <w:tcW w:w="1015" w:type="dxa"/>
            <w:tcBorders>
              <w:top w:val="single" w:color="000000" w:sz="4" w:space="0"/>
              <w:left w:val="single" w:color="000000" w:sz="4" w:space="0"/>
              <w:bottom w:val="single" w:color="000000" w:sz="4" w:space="0"/>
              <w:right w:val="single" w:color="000000" w:sz="4" w:space="0"/>
            </w:tcBorders>
          </w:tcPr>
          <w:p>
            <w:pPr>
              <w:pStyle w:val="19"/>
              <w:ind w:left="69" w:right="56"/>
              <w:rPr>
                <w:sz w:val="21"/>
              </w:rPr>
            </w:pPr>
            <w:r>
              <w:rPr>
                <w:sz w:val="21"/>
              </w:rPr>
              <w:t>通风机房</w:t>
            </w:r>
          </w:p>
        </w:tc>
        <w:tc>
          <w:tcPr>
            <w:tcW w:w="828" w:type="dxa"/>
            <w:tcBorders>
              <w:top w:val="single" w:color="000000" w:sz="4" w:space="0"/>
              <w:left w:val="single" w:color="000000" w:sz="4" w:space="0"/>
              <w:bottom w:val="single" w:color="000000" w:sz="4" w:space="0"/>
              <w:right w:val="single" w:color="000000" w:sz="4" w:space="0"/>
            </w:tcBorders>
          </w:tcPr>
          <w:p>
            <w:pPr>
              <w:pStyle w:val="19"/>
              <w:spacing w:before="16"/>
              <w:ind w:left="15"/>
              <w:rPr>
                <w:rFonts w:ascii="Times New Roman"/>
                <w:sz w:val="21"/>
              </w:rPr>
            </w:pPr>
            <w:r>
              <w:rPr>
                <w:rFonts w:ascii="Times New Roman"/>
                <w:w w:val="99"/>
                <w:sz w:val="21"/>
              </w:rPr>
              <w:t>2</w:t>
            </w:r>
          </w:p>
        </w:tc>
        <w:tc>
          <w:tcPr>
            <w:tcW w:w="698" w:type="dxa"/>
            <w:tcBorders>
              <w:top w:val="single" w:color="000000" w:sz="4" w:space="0"/>
              <w:left w:val="single" w:color="000000" w:sz="4" w:space="0"/>
              <w:bottom w:val="single" w:color="000000" w:sz="4" w:space="0"/>
              <w:right w:val="single" w:color="000000" w:sz="4" w:space="0"/>
            </w:tcBorders>
          </w:tcPr>
          <w:p>
            <w:pPr>
              <w:pStyle w:val="19"/>
              <w:spacing w:before="16"/>
              <w:ind w:left="229" w:right="209"/>
              <w:rPr>
                <w:rFonts w:ascii="Times New Roman"/>
                <w:sz w:val="21"/>
              </w:rPr>
            </w:pPr>
            <w:r>
              <w:rPr>
                <w:rFonts w:ascii="Times New Roman"/>
                <w:sz w:val="21"/>
              </w:rPr>
              <w:t>88</w:t>
            </w:r>
          </w:p>
        </w:tc>
        <w:tc>
          <w:tcPr>
            <w:tcW w:w="2530" w:type="dxa"/>
            <w:tcBorders>
              <w:top w:val="single" w:color="000000" w:sz="4" w:space="0"/>
              <w:left w:val="single" w:color="000000" w:sz="4" w:space="0"/>
              <w:bottom w:val="single" w:color="000000" w:sz="4" w:space="0"/>
              <w:right w:val="single" w:color="000000" w:sz="4" w:space="0"/>
            </w:tcBorders>
          </w:tcPr>
          <w:p>
            <w:pPr>
              <w:pStyle w:val="19"/>
              <w:ind w:left="46" w:right="30"/>
              <w:rPr>
                <w:sz w:val="21"/>
              </w:rPr>
            </w:pPr>
            <w:r>
              <w:rPr>
                <w:sz w:val="21"/>
              </w:rPr>
              <w:t>隔声减振</w:t>
            </w:r>
          </w:p>
        </w:tc>
        <w:tc>
          <w:tcPr>
            <w:tcW w:w="738" w:type="dxa"/>
            <w:tcBorders>
              <w:top w:val="single" w:color="000000" w:sz="4" w:space="0"/>
              <w:left w:val="single" w:color="000000" w:sz="4" w:space="0"/>
              <w:bottom w:val="single" w:color="000000" w:sz="4" w:space="0"/>
              <w:right w:val="single" w:color="000000" w:sz="4" w:space="0"/>
            </w:tcBorders>
          </w:tcPr>
          <w:p>
            <w:pPr>
              <w:pStyle w:val="19"/>
              <w:spacing w:before="16"/>
              <w:ind w:right="247"/>
              <w:jc w:val="right"/>
              <w:rPr>
                <w:rFonts w:ascii="Times New Roman"/>
                <w:sz w:val="21"/>
              </w:rPr>
            </w:pPr>
            <w:r>
              <w:rPr>
                <w:rFonts w:ascii="Times New Roman"/>
                <w:sz w:val="21"/>
              </w:rPr>
              <w:t>20</w:t>
            </w:r>
          </w:p>
        </w:tc>
        <w:tc>
          <w:tcPr>
            <w:tcW w:w="946" w:type="dxa"/>
            <w:tcBorders>
              <w:top w:val="single" w:color="000000" w:sz="4" w:space="0"/>
              <w:left w:val="single" w:color="000000" w:sz="4" w:space="0"/>
              <w:bottom w:val="single" w:color="000000" w:sz="4" w:space="0"/>
              <w:right w:val="single" w:color="000000" w:sz="4" w:space="0"/>
            </w:tcBorders>
          </w:tcPr>
          <w:p>
            <w:pPr>
              <w:pStyle w:val="19"/>
              <w:spacing w:before="16"/>
              <w:ind w:left="372"/>
              <w:jc w:val="left"/>
              <w:rPr>
                <w:rFonts w:ascii="Times New Roman"/>
                <w:sz w:val="21"/>
              </w:rPr>
            </w:pPr>
            <w:r>
              <w:rPr>
                <w:rFonts w:ascii="Times New Roman"/>
                <w:sz w:val="21"/>
              </w:rPr>
              <w:t>68</w:t>
            </w:r>
          </w:p>
        </w:tc>
        <w:tc>
          <w:tcPr>
            <w:tcW w:w="968" w:type="dxa"/>
            <w:tcBorders>
              <w:top w:val="nil"/>
              <w:left w:val="single" w:color="000000" w:sz="4" w:space="0"/>
              <w:bottom w:val="nil"/>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0" w:hRule="atLeast"/>
        </w:trPr>
        <w:tc>
          <w:tcPr>
            <w:tcW w:w="538" w:type="dxa"/>
            <w:vMerge w:val="restart"/>
            <w:tcBorders>
              <w:top w:val="single" w:color="000000" w:sz="4" w:space="0"/>
              <w:bottom w:val="single" w:color="000000" w:sz="4" w:space="0"/>
              <w:right w:val="single" w:color="000000" w:sz="4" w:space="0"/>
            </w:tcBorders>
          </w:tcPr>
          <w:p>
            <w:pPr>
              <w:pStyle w:val="19"/>
              <w:spacing w:before="11"/>
              <w:jc w:val="left"/>
              <w:rPr>
                <w:b/>
                <w:sz w:val="17"/>
              </w:rPr>
            </w:pPr>
          </w:p>
          <w:p>
            <w:pPr>
              <w:pStyle w:val="19"/>
              <w:ind w:left="11"/>
              <w:rPr>
                <w:rFonts w:ascii="Times New Roman"/>
                <w:sz w:val="21"/>
              </w:rPr>
            </w:pPr>
            <w:r>
              <w:rPr>
                <w:rFonts w:ascii="Times New Roman"/>
                <w:w w:val="99"/>
                <w:sz w:val="21"/>
              </w:rPr>
              <w:t>3</w:t>
            </w:r>
          </w:p>
        </w:tc>
        <w:tc>
          <w:tcPr>
            <w:tcW w:w="916" w:type="dxa"/>
            <w:tcBorders>
              <w:top w:val="single" w:color="000000" w:sz="4" w:space="0"/>
              <w:left w:val="single" w:color="000000" w:sz="4" w:space="0"/>
              <w:bottom w:val="single" w:color="000000" w:sz="4" w:space="0"/>
              <w:right w:val="single" w:color="000000" w:sz="4" w:space="0"/>
            </w:tcBorders>
          </w:tcPr>
          <w:p>
            <w:pPr>
              <w:pStyle w:val="19"/>
              <w:spacing w:before="23"/>
              <w:ind w:left="126" w:right="109"/>
              <w:rPr>
                <w:sz w:val="21"/>
              </w:rPr>
            </w:pPr>
            <w:r>
              <w:rPr>
                <w:sz w:val="21"/>
              </w:rPr>
              <w:t>鼓风机</w:t>
            </w:r>
          </w:p>
        </w:tc>
        <w:tc>
          <w:tcPr>
            <w:tcW w:w="1015" w:type="dxa"/>
            <w:vMerge w:val="restart"/>
            <w:tcBorders>
              <w:top w:val="single" w:color="000000" w:sz="4" w:space="0"/>
              <w:left w:val="single" w:color="000000" w:sz="4" w:space="0"/>
              <w:bottom w:val="single" w:color="000000" w:sz="4" w:space="0"/>
              <w:right w:val="single" w:color="000000" w:sz="4" w:space="0"/>
            </w:tcBorders>
          </w:tcPr>
          <w:p>
            <w:pPr>
              <w:pStyle w:val="19"/>
              <w:spacing w:before="7"/>
              <w:jc w:val="left"/>
              <w:rPr>
                <w:b/>
                <w:sz w:val="16"/>
              </w:rPr>
            </w:pPr>
          </w:p>
          <w:p>
            <w:pPr>
              <w:pStyle w:val="19"/>
              <w:spacing w:before="1"/>
              <w:ind w:left="90"/>
              <w:jc w:val="left"/>
              <w:rPr>
                <w:sz w:val="21"/>
              </w:rPr>
            </w:pPr>
            <w:r>
              <w:rPr>
                <w:sz w:val="21"/>
              </w:rPr>
              <w:t>暖风炉房</w:t>
            </w:r>
          </w:p>
        </w:tc>
        <w:tc>
          <w:tcPr>
            <w:tcW w:w="828" w:type="dxa"/>
            <w:tcBorders>
              <w:top w:val="single" w:color="000000" w:sz="4" w:space="0"/>
              <w:left w:val="single" w:color="000000" w:sz="4" w:space="0"/>
              <w:bottom w:val="single" w:color="000000" w:sz="4" w:space="0"/>
              <w:right w:val="single" w:color="000000" w:sz="4" w:space="0"/>
            </w:tcBorders>
          </w:tcPr>
          <w:p>
            <w:pPr>
              <w:pStyle w:val="19"/>
              <w:spacing w:before="39"/>
              <w:ind w:left="15"/>
              <w:rPr>
                <w:rFonts w:ascii="Times New Roman"/>
                <w:sz w:val="21"/>
              </w:rPr>
            </w:pPr>
            <w:r>
              <w:rPr>
                <w:rFonts w:ascii="Times New Roman"/>
                <w:w w:val="99"/>
                <w:sz w:val="21"/>
              </w:rPr>
              <w:t>1</w:t>
            </w:r>
          </w:p>
        </w:tc>
        <w:tc>
          <w:tcPr>
            <w:tcW w:w="698" w:type="dxa"/>
            <w:tcBorders>
              <w:top w:val="single" w:color="000000" w:sz="4" w:space="0"/>
              <w:left w:val="single" w:color="000000" w:sz="4" w:space="0"/>
              <w:bottom w:val="single" w:color="000000" w:sz="4" w:space="0"/>
              <w:right w:val="single" w:color="000000" w:sz="4" w:space="0"/>
            </w:tcBorders>
          </w:tcPr>
          <w:p>
            <w:pPr>
              <w:pStyle w:val="19"/>
              <w:spacing w:before="39"/>
              <w:ind w:left="229" w:right="209"/>
              <w:rPr>
                <w:rFonts w:ascii="Times New Roman"/>
                <w:sz w:val="21"/>
              </w:rPr>
            </w:pPr>
            <w:r>
              <w:rPr>
                <w:rFonts w:ascii="Times New Roman"/>
                <w:sz w:val="21"/>
              </w:rPr>
              <w:t>85</w:t>
            </w:r>
          </w:p>
        </w:tc>
        <w:tc>
          <w:tcPr>
            <w:tcW w:w="2530" w:type="dxa"/>
            <w:vMerge w:val="restart"/>
            <w:tcBorders>
              <w:top w:val="single" w:color="000000" w:sz="4" w:space="0"/>
              <w:left w:val="single" w:color="000000" w:sz="4" w:space="0"/>
              <w:bottom w:val="single" w:color="000000" w:sz="4" w:space="0"/>
              <w:right w:val="single" w:color="000000" w:sz="4" w:space="0"/>
            </w:tcBorders>
          </w:tcPr>
          <w:p>
            <w:pPr>
              <w:pStyle w:val="19"/>
              <w:spacing w:before="49" w:line="290" w:lineRule="auto"/>
              <w:ind w:left="955" w:right="43" w:hanging="893"/>
              <w:jc w:val="left"/>
              <w:rPr>
                <w:sz w:val="21"/>
              </w:rPr>
            </w:pPr>
            <w:r>
              <w:rPr>
                <w:spacing w:val="-11"/>
                <w:sz w:val="21"/>
              </w:rPr>
              <w:t>设置单独隔声间，并设置减</w:t>
            </w:r>
            <w:r>
              <w:rPr>
                <w:sz w:val="21"/>
              </w:rPr>
              <w:t>振基础</w:t>
            </w:r>
          </w:p>
        </w:tc>
        <w:tc>
          <w:tcPr>
            <w:tcW w:w="738" w:type="dxa"/>
            <w:tcBorders>
              <w:top w:val="single" w:color="000000" w:sz="4" w:space="0"/>
              <w:left w:val="single" w:color="000000" w:sz="4" w:space="0"/>
              <w:bottom w:val="single" w:color="000000" w:sz="4" w:space="0"/>
              <w:right w:val="single" w:color="000000" w:sz="4" w:space="0"/>
            </w:tcBorders>
          </w:tcPr>
          <w:p>
            <w:pPr>
              <w:pStyle w:val="19"/>
              <w:spacing w:before="39"/>
              <w:ind w:right="247"/>
              <w:jc w:val="right"/>
              <w:rPr>
                <w:rFonts w:ascii="Times New Roman"/>
                <w:sz w:val="21"/>
              </w:rPr>
            </w:pPr>
            <w:r>
              <w:rPr>
                <w:rFonts w:ascii="Times New Roman"/>
                <w:sz w:val="21"/>
              </w:rPr>
              <w:t>20</w:t>
            </w:r>
          </w:p>
        </w:tc>
        <w:tc>
          <w:tcPr>
            <w:tcW w:w="946" w:type="dxa"/>
            <w:tcBorders>
              <w:top w:val="single" w:color="000000" w:sz="4" w:space="0"/>
              <w:left w:val="single" w:color="000000" w:sz="4" w:space="0"/>
              <w:bottom w:val="single" w:color="000000" w:sz="4" w:space="0"/>
              <w:right w:val="single" w:color="000000" w:sz="4" w:space="0"/>
            </w:tcBorders>
          </w:tcPr>
          <w:p>
            <w:pPr>
              <w:pStyle w:val="19"/>
              <w:spacing w:before="39"/>
              <w:ind w:left="372"/>
              <w:jc w:val="left"/>
              <w:rPr>
                <w:rFonts w:ascii="Times New Roman"/>
                <w:sz w:val="21"/>
              </w:rPr>
            </w:pPr>
            <w:r>
              <w:rPr>
                <w:rFonts w:ascii="Times New Roman"/>
                <w:sz w:val="21"/>
              </w:rPr>
              <w:t>60</w:t>
            </w:r>
          </w:p>
        </w:tc>
        <w:tc>
          <w:tcPr>
            <w:tcW w:w="968" w:type="dxa"/>
            <w:vMerge w:val="restart"/>
            <w:tcBorders>
              <w:top w:val="nil"/>
              <w:left w:val="single" w:color="000000" w:sz="4" w:space="0"/>
              <w:bottom w:val="nil"/>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1" w:hRule="atLeast"/>
        </w:trPr>
        <w:tc>
          <w:tcPr>
            <w:tcW w:w="538" w:type="dxa"/>
            <w:vMerge w:val="continue"/>
            <w:tcBorders>
              <w:top w:val="nil"/>
              <w:bottom w:val="single" w:color="000000" w:sz="4" w:space="0"/>
              <w:right w:val="single" w:color="000000" w:sz="4" w:space="0"/>
            </w:tcBorders>
          </w:tcPr>
          <w:p>
            <w:pPr>
              <w:rPr>
                <w:sz w:val="2"/>
                <w:szCs w:val="2"/>
              </w:rPr>
            </w:pPr>
          </w:p>
        </w:tc>
        <w:tc>
          <w:tcPr>
            <w:tcW w:w="916" w:type="dxa"/>
            <w:tcBorders>
              <w:top w:val="single" w:color="000000" w:sz="4" w:space="0"/>
              <w:left w:val="single" w:color="000000" w:sz="4" w:space="0"/>
              <w:bottom w:val="single" w:color="000000" w:sz="4" w:space="0"/>
              <w:right w:val="single" w:color="000000" w:sz="4" w:space="0"/>
            </w:tcBorders>
          </w:tcPr>
          <w:p>
            <w:pPr>
              <w:pStyle w:val="19"/>
              <w:spacing w:before="21"/>
              <w:ind w:left="126" w:right="109"/>
              <w:rPr>
                <w:sz w:val="21"/>
              </w:rPr>
            </w:pPr>
            <w:r>
              <w:rPr>
                <w:sz w:val="21"/>
              </w:rPr>
              <w:t>引风机</w:t>
            </w:r>
          </w:p>
        </w:tc>
        <w:tc>
          <w:tcPr>
            <w:tcW w:w="1015" w:type="dxa"/>
            <w:vMerge w:val="continue"/>
            <w:tcBorders>
              <w:top w:val="nil"/>
              <w:left w:val="single" w:color="000000" w:sz="4" w:space="0"/>
              <w:bottom w:val="single" w:color="000000" w:sz="4" w:space="0"/>
              <w:right w:val="single" w:color="000000" w:sz="4" w:space="0"/>
            </w:tcBorders>
          </w:tcPr>
          <w:p>
            <w:pPr>
              <w:rPr>
                <w:sz w:val="2"/>
                <w:szCs w:val="2"/>
              </w:rPr>
            </w:pPr>
          </w:p>
        </w:tc>
        <w:tc>
          <w:tcPr>
            <w:tcW w:w="828" w:type="dxa"/>
            <w:tcBorders>
              <w:top w:val="single" w:color="000000" w:sz="4" w:space="0"/>
              <w:left w:val="single" w:color="000000" w:sz="4" w:space="0"/>
              <w:bottom w:val="single" w:color="000000" w:sz="4" w:space="0"/>
              <w:right w:val="single" w:color="000000" w:sz="4" w:space="0"/>
            </w:tcBorders>
          </w:tcPr>
          <w:p>
            <w:pPr>
              <w:pStyle w:val="19"/>
              <w:spacing w:before="40"/>
              <w:ind w:left="15"/>
              <w:rPr>
                <w:rFonts w:ascii="Times New Roman"/>
                <w:sz w:val="21"/>
              </w:rPr>
            </w:pPr>
            <w:r>
              <w:rPr>
                <w:rFonts w:ascii="Times New Roman"/>
                <w:w w:val="99"/>
                <w:sz w:val="21"/>
              </w:rPr>
              <w:t>1</w:t>
            </w:r>
          </w:p>
        </w:tc>
        <w:tc>
          <w:tcPr>
            <w:tcW w:w="698" w:type="dxa"/>
            <w:tcBorders>
              <w:top w:val="single" w:color="000000" w:sz="4" w:space="0"/>
              <w:left w:val="single" w:color="000000" w:sz="4" w:space="0"/>
              <w:bottom w:val="single" w:color="000000" w:sz="4" w:space="0"/>
              <w:right w:val="single" w:color="000000" w:sz="4" w:space="0"/>
            </w:tcBorders>
          </w:tcPr>
          <w:p>
            <w:pPr>
              <w:pStyle w:val="19"/>
              <w:spacing w:before="40"/>
              <w:ind w:left="229" w:right="209"/>
              <w:rPr>
                <w:rFonts w:ascii="Times New Roman"/>
                <w:sz w:val="21"/>
              </w:rPr>
            </w:pPr>
            <w:r>
              <w:rPr>
                <w:rFonts w:ascii="Times New Roman"/>
                <w:sz w:val="21"/>
              </w:rPr>
              <w:t>85</w:t>
            </w:r>
          </w:p>
        </w:tc>
        <w:tc>
          <w:tcPr>
            <w:tcW w:w="2530" w:type="dxa"/>
            <w:vMerge w:val="continue"/>
            <w:tcBorders>
              <w:top w:val="nil"/>
              <w:left w:val="single" w:color="000000" w:sz="4" w:space="0"/>
              <w:bottom w:val="single" w:color="000000" w:sz="4" w:space="0"/>
              <w:right w:val="single" w:color="000000" w:sz="4" w:space="0"/>
            </w:tcBorders>
          </w:tcPr>
          <w:p>
            <w:pPr>
              <w:rPr>
                <w:sz w:val="2"/>
                <w:szCs w:val="2"/>
              </w:rPr>
            </w:pPr>
          </w:p>
        </w:tc>
        <w:tc>
          <w:tcPr>
            <w:tcW w:w="738" w:type="dxa"/>
            <w:tcBorders>
              <w:top w:val="single" w:color="000000" w:sz="4" w:space="0"/>
              <w:left w:val="single" w:color="000000" w:sz="4" w:space="0"/>
              <w:bottom w:val="single" w:color="000000" w:sz="4" w:space="0"/>
              <w:right w:val="single" w:color="000000" w:sz="4" w:space="0"/>
            </w:tcBorders>
          </w:tcPr>
          <w:p>
            <w:pPr>
              <w:pStyle w:val="19"/>
              <w:spacing w:before="40"/>
              <w:ind w:right="247"/>
              <w:jc w:val="right"/>
              <w:rPr>
                <w:rFonts w:ascii="Times New Roman"/>
                <w:sz w:val="21"/>
              </w:rPr>
            </w:pPr>
            <w:r>
              <w:rPr>
                <w:rFonts w:ascii="Times New Roman"/>
                <w:sz w:val="21"/>
              </w:rPr>
              <w:t>20</w:t>
            </w:r>
          </w:p>
        </w:tc>
        <w:tc>
          <w:tcPr>
            <w:tcW w:w="946" w:type="dxa"/>
            <w:tcBorders>
              <w:top w:val="single" w:color="000000" w:sz="4" w:space="0"/>
              <w:left w:val="single" w:color="000000" w:sz="4" w:space="0"/>
              <w:bottom w:val="single" w:color="000000" w:sz="4" w:space="0"/>
              <w:right w:val="single" w:color="000000" w:sz="4" w:space="0"/>
            </w:tcBorders>
          </w:tcPr>
          <w:p>
            <w:pPr>
              <w:pStyle w:val="19"/>
              <w:spacing w:before="40"/>
              <w:ind w:left="372"/>
              <w:jc w:val="left"/>
              <w:rPr>
                <w:rFonts w:ascii="Times New Roman"/>
                <w:sz w:val="21"/>
              </w:rPr>
            </w:pPr>
            <w:r>
              <w:rPr>
                <w:rFonts w:ascii="Times New Roman"/>
                <w:sz w:val="21"/>
              </w:rPr>
              <w:t>60</w:t>
            </w:r>
          </w:p>
        </w:tc>
        <w:tc>
          <w:tcPr>
            <w:tcW w:w="968"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8" w:hRule="atLeast"/>
        </w:trPr>
        <w:tc>
          <w:tcPr>
            <w:tcW w:w="538" w:type="dxa"/>
            <w:tcBorders>
              <w:top w:val="single" w:color="000000" w:sz="4" w:space="0"/>
              <w:bottom w:val="nil"/>
              <w:right w:val="single" w:color="000000" w:sz="4" w:space="0"/>
            </w:tcBorders>
          </w:tcPr>
          <w:p>
            <w:pPr>
              <w:pStyle w:val="19"/>
              <w:jc w:val="left"/>
              <w:rPr>
                <w:rFonts w:ascii="Times New Roman"/>
                <w:sz w:val="20"/>
              </w:rPr>
            </w:pPr>
          </w:p>
        </w:tc>
        <w:tc>
          <w:tcPr>
            <w:tcW w:w="916"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1015"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828"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698"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2530" w:type="dxa"/>
            <w:tcBorders>
              <w:top w:val="single" w:color="000000" w:sz="4" w:space="0"/>
              <w:left w:val="single" w:color="000000" w:sz="4" w:space="0"/>
              <w:bottom w:val="nil"/>
              <w:right w:val="single" w:color="000000" w:sz="4" w:space="0"/>
            </w:tcBorders>
          </w:tcPr>
          <w:p>
            <w:pPr>
              <w:pStyle w:val="19"/>
              <w:ind w:left="48" w:right="29"/>
              <w:rPr>
                <w:sz w:val="21"/>
              </w:rPr>
            </w:pPr>
            <w:r>
              <w:rPr>
                <w:spacing w:val="-10"/>
                <w:sz w:val="21"/>
              </w:rPr>
              <w:t>车间内各设备基座减振；减</w:t>
            </w:r>
          </w:p>
        </w:tc>
        <w:tc>
          <w:tcPr>
            <w:tcW w:w="738"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946"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968" w:type="dxa"/>
            <w:tcBorders>
              <w:top w:val="nil"/>
              <w:left w:val="single" w:color="000000" w:sz="4" w:space="0"/>
              <w:bottom w:val="nil"/>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538" w:type="dxa"/>
            <w:tcBorders>
              <w:top w:val="nil"/>
              <w:bottom w:val="nil"/>
              <w:right w:val="single" w:color="000000" w:sz="4" w:space="0"/>
            </w:tcBorders>
          </w:tcPr>
          <w:p>
            <w:pPr>
              <w:pStyle w:val="19"/>
              <w:jc w:val="left"/>
              <w:rPr>
                <w:rFonts w:ascii="Times New Roman"/>
                <w:sz w:val="20"/>
              </w:rPr>
            </w:pPr>
          </w:p>
        </w:tc>
        <w:tc>
          <w:tcPr>
            <w:tcW w:w="916" w:type="dxa"/>
            <w:tcBorders>
              <w:top w:val="nil"/>
              <w:left w:val="single" w:color="000000" w:sz="4" w:space="0"/>
              <w:bottom w:val="nil"/>
              <w:right w:val="single" w:color="000000" w:sz="4" w:space="0"/>
            </w:tcBorders>
          </w:tcPr>
          <w:p>
            <w:pPr>
              <w:pStyle w:val="19"/>
              <w:jc w:val="left"/>
              <w:rPr>
                <w:rFonts w:ascii="Times New Roman"/>
                <w:sz w:val="20"/>
              </w:rPr>
            </w:pPr>
          </w:p>
        </w:tc>
        <w:tc>
          <w:tcPr>
            <w:tcW w:w="1015" w:type="dxa"/>
            <w:tcBorders>
              <w:top w:val="nil"/>
              <w:left w:val="single" w:color="000000" w:sz="4" w:space="0"/>
              <w:bottom w:val="nil"/>
              <w:right w:val="single" w:color="000000" w:sz="4" w:space="0"/>
            </w:tcBorders>
          </w:tcPr>
          <w:p>
            <w:pPr>
              <w:pStyle w:val="19"/>
              <w:jc w:val="left"/>
              <w:rPr>
                <w:rFonts w:ascii="Times New Roman"/>
                <w:sz w:val="20"/>
              </w:rPr>
            </w:pPr>
          </w:p>
        </w:tc>
        <w:tc>
          <w:tcPr>
            <w:tcW w:w="828" w:type="dxa"/>
            <w:tcBorders>
              <w:top w:val="nil"/>
              <w:left w:val="single" w:color="000000" w:sz="4" w:space="0"/>
              <w:bottom w:val="nil"/>
              <w:right w:val="single" w:color="000000" w:sz="4" w:space="0"/>
            </w:tcBorders>
          </w:tcPr>
          <w:p>
            <w:pPr>
              <w:pStyle w:val="19"/>
              <w:jc w:val="left"/>
              <w:rPr>
                <w:rFonts w:ascii="Times New Roman"/>
                <w:sz w:val="20"/>
              </w:rPr>
            </w:pPr>
          </w:p>
        </w:tc>
        <w:tc>
          <w:tcPr>
            <w:tcW w:w="698" w:type="dxa"/>
            <w:tcBorders>
              <w:top w:val="nil"/>
              <w:left w:val="single" w:color="000000" w:sz="4" w:space="0"/>
              <w:bottom w:val="nil"/>
              <w:right w:val="single" w:color="000000" w:sz="4" w:space="0"/>
            </w:tcBorders>
          </w:tcPr>
          <w:p>
            <w:pPr>
              <w:pStyle w:val="19"/>
              <w:jc w:val="left"/>
              <w:rPr>
                <w:rFonts w:ascii="Times New Roman"/>
                <w:sz w:val="20"/>
              </w:rPr>
            </w:pPr>
          </w:p>
        </w:tc>
        <w:tc>
          <w:tcPr>
            <w:tcW w:w="2530" w:type="dxa"/>
            <w:tcBorders>
              <w:top w:val="nil"/>
              <w:left w:val="single" w:color="000000" w:sz="4" w:space="0"/>
              <w:bottom w:val="nil"/>
              <w:right w:val="single" w:color="000000" w:sz="4" w:space="0"/>
            </w:tcBorders>
          </w:tcPr>
          <w:p>
            <w:pPr>
              <w:pStyle w:val="19"/>
              <w:spacing w:before="28"/>
              <w:ind w:left="48" w:right="29"/>
              <w:rPr>
                <w:sz w:val="21"/>
              </w:rPr>
            </w:pPr>
            <w:r>
              <w:rPr>
                <w:spacing w:val="-10"/>
                <w:sz w:val="21"/>
              </w:rPr>
              <w:t>小各种溜槽的落差，并在溜</w:t>
            </w:r>
          </w:p>
        </w:tc>
        <w:tc>
          <w:tcPr>
            <w:tcW w:w="738" w:type="dxa"/>
            <w:tcBorders>
              <w:top w:val="nil"/>
              <w:left w:val="single" w:color="000000" w:sz="4" w:space="0"/>
              <w:bottom w:val="nil"/>
              <w:right w:val="single" w:color="000000" w:sz="4" w:space="0"/>
            </w:tcBorders>
          </w:tcPr>
          <w:p>
            <w:pPr>
              <w:pStyle w:val="19"/>
              <w:jc w:val="left"/>
              <w:rPr>
                <w:rFonts w:ascii="Times New Roman"/>
                <w:sz w:val="20"/>
              </w:rPr>
            </w:pPr>
          </w:p>
        </w:tc>
        <w:tc>
          <w:tcPr>
            <w:tcW w:w="946" w:type="dxa"/>
            <w:tcBorders>
              <w:top w:val="nil"/>
              <w:left w:val="single" w:color="000000" w:sz="4" w:space="0"/>
              <w:bottom w:val="nil"/>
              <w:right w:val="single" w:color="000000" w:sz="4" w:space="0"/>
            </w:tcBorders>
          </w:tcPr>
          <w:p>
            <w:pPr>
              <w:pStyle w:val="19"/>
              <w:jc w:val="left"/>
              <w:rPr>
                <w:rFonts w:ascii="Times New Roman"/>
                <w:sz w:val="20"/>
              </w:rPr>
            </w:pPr>
          </w:p>
        </w:tc>
        <w:tc>
          <w:tcPr>
            <w:tcW w:w="968" w:type="dxa"/>
            <w:tcBorders>
              <w:top w:val="nil"/>
              <w:left w:val="single" w:color="000000" w:sz="4" w:space="0"/>
              <w:bottom w:val="nil"/>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5" w:hRule="atLeast"/>
        </w:trPr>
        <w:tc>
          <w:tcPr>
            <w:tcW w:w="538" w:type="dxa"/>
            <w:tcBorders>
              <w:top w:val="nil"/>
              <w:bottom w:val="nil"/>
              <w:right w:val="single" w:color="000000" w:sz="4" w:space="0"/>
            </w:tcBorders>
          </w:tcPr>
          <w:p>
            <w:pPr>
              <w:pStyle w:val="19"/>
              <w:spacing w:before="5"/>
              <w:jc w:val="left"/>
              <w:rPr>
                <w:b/>
                <w:sz w:val="16"/>
              </w:rPr>
            </w:pPr>
          </w:p>
          <w:p>
            <w:pPr>
              <w:pStyle w:val="19"/>
              <w:ind w:left="11"/>
              <w:rPr>
                <w:rFonts w:ascii="Times New Roman"/>
                <w:sz w:val="21"/>
              </w:rPr>
            </w:pPr>
            <w:r>
              <w:rPr>
                <w:rFonts w:ascii="Times New Roman"/>
                <w:w w:val="99"/>
                <w:sz w:val="21"/>
              </w:rPr>
              <w:t>4</w:t>
            </w:r>
          </w:p>
        </w:tc>
        <w:tc>
          <w:tcPr>
            <w:tcW w:w="916" w:type="dxa"/>
            <w:tcBorders>
              <w:top w:val="nil"/>
              <w:left w:val="single" w:color="000000" w:sz="4" w:space="0"/>
              <w:bottom w:val="nil"/>
              <w:right w:val="single" w:color="000000" w:sz="4" w:space="0"/>
            </w:tcBorders>
          </w:tcPr>
          <w:p>
            <w:pPr>
              <w:pStyle w:val="19"/>
              <w:spacing w:before="12"/>
              <w:jc w:val="left"/>
              <w:rPr>
                <w:b/>
                <w:sz w:val="14"/>
              </w:rPr>
            </w:pPr>
          </w:p>
          <w:p>
            <w:pPr>
              <w:pStyle w:val="19"/>
              <w:ind w:left="126" w:right="109"/>
              <w:rPr>
                <w:sz w:val="21"/>
              </w:rPr>
            </w:pPr>
            <w:r>
              <w:rPr>
                <w:sz w:val="21"/>
              </w:rPr>
              <w:t>振动筛</w:t>
            </w:r>
          </w:p>
        </w:tc>
        <w:tc>
          <w:tcPr>
            <w:tcW w:w="1015" w:type="dxa"/>
            <w:tcBorders>
              <w:top w:val="nil"/>
              <w:left w:val="single" w:color="000000" w:sz="4" w:space="0"/>
              <w:bottom w:val="nil"/>
              <w:right w:val="single" w:color="000000" w:sz="4" w:space="0"/>
            </w:tcBorders>
          </w:tcPr>
          <w:p>
            <w:pPr>
              <w:pStyle w:val="19"/>
              <w:spacing w:before="12"/>
              <w:jc w:val="left"/>
              <w:rPr>
                <w:b/>
                <w:sz w:val="14"/>
              </w:rPr>
            </w:pPr>
          </w:p>
          <w:p>
            <w:pPr>
              <w:pStyle w:val="19"/>
              <w:ind w:left="69" w:right="53"/>
              <w:rPr>
                <w:sz w:val="21"/>
              </w:rPr>
            </w:pPr>
            <w:r>
              <w:rPr>
                <w:sz w:val="21"/>
              </w:rPr>
              <w:t>筛分间</w:t>
            </w:r>
          </w:p>
        </w:tc>
        <w:tc>
          <w:tcPr>
            <w:tcW w:w="828" w:type="dxa"/>
            <w:tcBorders>
              <w:top w:val="nil"/>
              <w:left w:val="single" w:color="000000" w:sz="4" w:space="0"/>
              <w:bottom w:val="nil"/>
              <w:right w:val="single" w:color="000000" w:sz="4" w:space="0"/>
            </w:tcBorders>
          </w:tcPr>
          <w:p>
            <w:pPr>
              <w:pStyle w:val="19"/>
              <w:spacing w:before="5"/>
              <w:jc w:val="left"/>
              <w:rPr>
                <w:b/>
                <w:sz w:val="16"/>
              </w:rPr>
            </w:pPr>
          </w:p>
          <w:p>
            <w:pPr>
              <w:pStyle w:val="19"/>
              <w:ind w:left="15"/>
              <w:rPr>
                <w:rFonts w:ascii="Times New Roman"/>
                <w:sz w:val="21"/>
              </w:rPr>
            </w:pPr>
            <w:r>
              <w:rPr>
                <w:rFonts w:ascii="Times New Roman"/>
                <w:w w:val="99"/>
                <w:sz w:val="21"/>
              </w:rPr>
              <w:t>1</w:t>
            </w:r>
          </w:p>
        </w:tc>
        <w:tc>
          <w:tcPr>
            <w:tcW w:w="698" w:type="dxa"/>
            <w:tcBorders>
              <w:top w:val="nil"/>
              <w:left w:val="single" w:color="000000" w:sz="4" w:space="0"/>
              <w:bottom w:val="nil"/>
              <w:right w:val="single" w:color="000000" w:sz="4" w:space="0"/>
            </w:tcBorders>
          </w:tcPr>
          <w:p>
            <w:pPr>
              <w:pStyle w:val="19"/>
              <w:spacing w:before="5"/>
              <w:jc w:val="left"/>
              <w:rPr>
                <w:b/>
                <w:sz w:val="16"/>
              </w:rPr>
            </w:pPr>
          </w:p>
          <w:p>
            <w:pPr>
              <w:pStyle w:val="19"/>
              <w:ind w:left="229" w:right="209"/>
              <w:rPr>
                <w:rFonts w:ascii="Times New Roman"/>
                <w:sz w:val="21"/>
              </w:rPr>
            </w:pPr>
            <w:r>
              <w:rPr>
                <w:rFonts w:ascii="Times New Roman"/>
                <w:sz w:val="21"/>
              </w:rPr>
              <w:t>93</w:t>
            </w:r>
          </w:p>
        </w:tc>
        <w:tc>
          <w:tcPr>
            <w:tcW w:w="2530" w:type="dxa"/>
            <w:tcBorders>
              <w:top w:val="nil"/>
              <w:left w:val="single" w:color="000000" w:sz="4" w:space="0"/>
              <w:bottom w:val="nil"/>
              <w:right w:val="single" w:color="000000" w:sz="4" w:space="0"/>
            </w:tcBorders>
          </w:tcPr>
          <w:p>
            <w:pPr>
              <w:pStyle w:val="19"/>
              <w:spacing w:before="28" w:line="290" w:lineRule="auto"/>
              <w:ind w:left="62" w:right="43" w:firstLine="52"/>
              <w:jc w:val="both"/>
              <w:rPr>
                <w:sz w:val="21"/>
              </w:rPr>
            </w:pPr>
            <w:r>
              <w:rPr>
                <w:sz w:val="21"/>
              </w:rPr>
              <w:t>槽底部铺设耐磨、降噪衬</w:t>
            </w:r>
            <w:r>
              <w:rPr>
                <w:spacing w:val="-12"/>
                <w:sz w:val="21"/>
              </w:rPr>
              <w:t>板，以降低物料在运输过程</w:t>
            </w:r>
            <w:r>
              <w:rPr>
                <w:sz w:val="21"/>
              </w:rPr>
              <w:t>中的噪声；对建筑物的外</w:t>
            </w:r>
          </w:p>
        </w:tc>
        <w:tc>
          <w:tcPr>
            <w:tcW w:w="738" w:type="dxa"/>
            <w:tcBorders>
              <w:top w:val="nil"/>
              <w:left w:val="single" w:color="000000" w:sz="4" w:space="0"/>
              <w:bottom w:val="nil"/>
              <w:right w:val="single" w:color="000000" w:sz="4" w:space="0"/>
            </w:tcBorders>
          </w:tcPr>
          <w:p>
            <w:pPr>
              <w:pStyle w:val="19"/>
              <w:spacing w:before="5"/>
              <w:jc w:val="left"/>
              <w:rPr>
                <w:b/>
                <w:sz w:val="16"/>
              </w:rPr>
            </w:pPr>
          </w:p>
          <w:p>
            <w:pPr>
              <w:pStyle w:val="19"/>
              <w:ind w:right="247"/>
              <w:jc w:val="right"/>
              <w:rPr>
                <w:rFonts w:ascii="Times New Roman"/>
                <w:sz w:val="21"/>
              </w:rPr>
            </w:pPr>
            <w:r>
              <w:rPr>
                <w:rFonts w:ascii="Times New Roman"/>
                <w:sz w:val="21"/>
              </w:rPr>
              <w:t>15</w:t>
            </w:r>
          </w:p>
        </w:tc>
        <w:tc>
          <w:tcPr>
            <w:tcW w:w="946" w:type="dxa"/>
            <w:tcBorders>
              <w:top w:val="nil"/>
              <w:left w:val="single" w:color="000000" w:sz="4" w:space="0"/>
              <w:bottom w:val="nil"/>
              <w:right w:val="single" w:color="000000" w:sz="4" w:space="0"/>
            </w:tcBorders>
          </w:tcPr>
          <w:p>
            <w:pPr>
              <w:pStyle w:val="19"/>
              <w:spacing w:before="5"/>
              <w:jc w:val="left"/>
              <w:rPr>
                <w:b/>
                <w:sz w:val="16"/>
              </w:rPr>
            </w:pPr>
          </w:p>
          <w:p>
            <w:pPr>
              <w:pStyle w:val="19"/>
              <w:ind w:left="372"/>
              <w:jc w:val="left"/>
              <w:rPr>
                <w:rFonts w:ascii="Times New Roman"/>
                <w:sz w:val="21"/>
              </w:rPr>
            </w:pPr>
            <w:r>
              <w:rPr>
                <w:rFonts w:ascii="Times New Roman"/>
                <w:sz w:val="21"/>
              </w:rPr>
              <w:t>78</w:t>
            </w:r>
          </w:p>
        </w:tc>
        <w:tc>
          <w:tcPr>
            <w:tcW w:w="968" w:type="dxa"/>
            <w:tcBorders>
              <w:top w:val="nil"/>
              <w:left w:val="single" w:color="000000" w:sz="4" w:space="0"/>
              <w:bottom w:val="nil"/>
            </w:tcBorders>
          </w:tcPr>
          <w:p>
            <w:pPr>
              <w:pStyle w:val="19"/>
              <w:spacing w:before="179"/>
              <w:ind w:left="278"/>
              <w:jc w:val="left"/>
              <w:rPr>
                <w:sz w:val="21"/>
              </w:rPr>
            </w:pPr>
            <w:r>
              <w:rPr>
                <w:sz w:val="21"/>
              </w:rPr>
              <w:t>昼间</w:t>
            </w:r>
          </w:p>
          <w:p>
            <w:pPr>
              <w:pStyle w:val="19"/>
              <w:spacing w:before="57"/>
              <w:ind w:left="204"/>
              <w:jc w:val="left"/>
              <w:rPr>
                <w:rFonts w:ascii="Times New Roman" w:hAnsi="Times New Roman"/>
                <w:sz w:val="21"/>
              </w:rPr>
            </w:pPr>
            <w:r>
              <w:rPr>
                <w:rFonts w:ascii="Times New Roman" w:hAnsi="Times New Roman"/>
                <w:sz w:val="21"/>
              </w:rPr>
              <w:t>≤60dB</w:t>
            </w:r>
          </w:p>
          <w:p>
            <w:pPr>
              <w:pStyle w:val="19"/>
              <w:spacing w:before="49" w:line="230" w:lineRule="exact"/>
              <w:ind w:left="201"/>
              <w:jc w:val="left"/>
              <w:rPr>
                <w:sz w:val="21"/>
              </w:rPr>
            </w:pPr>
            <w:r>
              <w:rPr>
                <w:sz w:val="21"/>
              </w:rPr>
              <w:t>（</w:t>
            </w:r>
            <w:r>
              <w:rPr>
                <w:rFonts w:ascii="Times New Roman" w:eastAsia="Times New Roman"/>
                <w:sz w:val="21"/>
              </w:rPr>
              <w:t>A</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538" w:type="dxa"/>
            <w:tcBorders>
              <w:top w:val="nil"/>
              <w:bottom w:val="single" w:color="000000" w:sz="4" w:space="0"/>
              <w:right w:val="single" w:color="000000" w:sz="4" w:space="0"/>
            </w:tcBorders>
          </w:tcPr>
          <w:p>
            <w:pPr>
              <w:pStyle w:val="19"/>
              <w:jc w:val="left"/>
              <w:rPr>
                <w:rFonts w:ascii="Times New Roman"/>
                <w:sz w:val="20"/>
              </w:rPr>
            </w:pPr>
          </w:p>
        </w:tc>
        <w:tc>
          <w:tcPr>
            <w:tcW w:w="916"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1015"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828"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698"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2530" w:type="dxa"/>
            <w:tcBorders>
              <w:top w:val="nil"/>
              <w:left w:val="single" w:color="000000" w:sz="4" w:space="0"/>
              <w:bottom w:val="single" w:color="000000" w:sz="4" w:space="0"/>
              <w:right w:val="single" w:color="000000" w:sz="4" w:space="0"/>
            </w:tcBorders>
          </w:tcPr>
          <w:p>
            <w:pPr>
              <w:pStyle w:val="19"/>
              <w:spacing w:line="233" w:lineRule="exact"/>
              <w:ind w:left="46" w:right="30"/>
              <w:rPr>
                <w:sz w:val="21"/>
              </w:rPr>
            </w:pPr>
            <w:r>
              <w:rPr>
                <w:spacing w:val="-11"/>
                <w:sz w:val="21"/>
              </w:rPr>
              <w:t>门、外窗要求采用隔声门窗</w:t>
            </w:r>
          </w:p>
        </w:tc>
        <w:tc>
          <w:tcPr>
            <w:tcW w:w="738"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946"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968" w:type="dxa"/>
            <w:vMerge w:val="restart"/>
            <w:tcBorders>
              <w:top w:val="nil"/>
              <w:left w:val="single" w:color="000000" w:sz="4" w:space="0"/>
              <w:bottom w:val="nil"/>
            </w:tcBorders>
          </w:tcPr>
          <w:p>
            <w:pPr>
              <w:pStyle w:val="19"/>
              <w:spacing w:before="77" w:line="221" w:lineRule="exact"/>
              <w:ind w:left="173"/>
              <w:jc w:val="left"/>
              <w:rPr>
                <w:sz w:val="21"/>
              </w:rPr>
            </w:pPr>
            <w:r>
              <w:rPr>
                <w:sz w:val="21"/>
              </w:rPr>
              <w:t>；夜间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 w:hRule="atLeast"/>
        </w:trPr>
        <w:tc>
          <w:tcPr>
            <w:tcW w:w="538" w:type="dxa"/>
            <w:tcBorders>
              <w:top w:val="single" w:color="000000" w:sz="4" w:space="0"/>
              <w:bottom w:val="nil"/>
              <w:right w:val="single" w:color="000000" w:sz="4" w:space="0"/>
            </w:tcBorders>
          </w:tcPr>
          <w:p>
            <w:pPr>
              <w:pStyle w:val="19"/>
              <w:jc w:val="left"/>
              <w:rPr>
                <w:rFonts w:ascii="Times New Roman"/>
                <w:sz w:val="2"/>
              </w:rPr>
            </w:pPr>
          </w:p>
        </w:tc>
        <w:tc>
          <w:tcPr>
            <w:tcW w:w="916" w:type="dxa"/>
            <w:tcBorders>
              <w:top w:val="single" w:color="000000" w:sz="4" w:space="0"/>
              <w:left w:val="single" w:color="000000" w:sz="4" w:space="0"/>
              <w:bottom w:val="nil"/>
              <w:right w:val="single" w:color="000000" w:sz="4" w:space="0"/>
            </w:tcBorders>
          </w:tcPr>
          <w:p>
            <w:pPr>
              <w:pStyle w:val="19"/>
              <w:jc w:val="left"/>
              <w:rPr>
                <w:rFonts w:ascii="Times New Roman"/>
                <w:sz w:val="2"/>
              </w:rPr>
            </w:pPr>
          </w:p>
        </w:tc>
        <w:tc>
          <w:tcPr>
            <w:tcW w:w="1015" w:type="dxa"/>
            <w:tcBorders>
              <w:top w:val="single" w:color="000000" w:sz="4" w:space="0"/>
              <w:left w:val="single" w:color="000000" w:sz="4" w:space="0"/>
              <w:bottom w:val="nil"/>
              <w:right w:val="single" w:color="000000" w:sz="4" w:space="0"/>
            </w:tcBorders>
          </w:tcPr>
          <w:p>
            <w:pPr>
              <w:pStyle w:val="19"/>
              <w:jc w:val="left"/>
              <w:rPr>
                <w:rFonts w:ascii="Times New Roman"/>
                <w:sz w:val="2"/>
              </w:rPr>
            </w:pPr>
          </w:p>
        </w:tc>
        <w:tc>
          <w:tcPr>
            <w:tcW w:w="828" w:type="dxa"/>
            <w:tcBorders>
              <w:top w:val="single" w:color="000000" w:sz="4" w:space="0"/>
              <w:left w:val="single" w:color="000000" w:sz="4" w:space="0"/>
              <w:bottom w:val="nil"/>
              <w:right w:val="single" w:color="000000" w:sz="4" w:space="0"/>
            </w:tcBorders>
          </w:tcPr>
          <w:p>
            <w:pPr>
              <w:pStyle w:val="19"/>
              <w:jc w:val="left"/>
              <w:rPr>
                <w:rFonts w:ascii="Times New Roman"/>
                <w:sz w:val="2"/>
              </w:rPr>
            </w:pPr>
          </w:p>
        </w:tc>
        <w:tc>
          <w:tcPr>
            <w:tcW w:w="698" w:type="dxa"/>
            <w:tcBorders>
              <w:top w:val="single" w:color="000000" w:sz="4" w:space="0"/>
              <w:left w:val="single" w:color="000000" w:sz="4" w:space="0"/>
              <w:bottom w:val="nil"/>
              <w:right w:val="single" w:color="000000" w:sz="4" w:space="0"/>
            </w:tcBorders>
          </w:tcPr>
          <w:p>
            <w:pPr>
              <w:pStyle w:val="19"/>
              <w:jc w:val="left"/>
              <w:rPr>
                <w:rFonts w:ascii="Times New Roman"/>
                <w:sz w:val="2"/>
              </w:rPr>
            </w:pPr>
          </w:p>
        </w:tc>
        <w:tc>
          <w:tcPr>
            <w:tcW w:w="2530" w:type="dxa"/>
            <w:vMerge w:val="restart"/>
            <w:tcBorders>
              <w:top w:val="single" w:color="000000" w:sz="4" w:space="0"/>
              <w:left w:val="single" w:color="000000" w:sz="4" w:space="0"/>
              <w:bottom w:val="single" w:color="000000" w:sz="4" w:space="0"/>
              <w:right w:val="single" w:color="000000" w:sz="4" w:space="0"/>
            </w:tcBorders>
          </w:tcPr>
          <w:p>
            <w:pPr>
              <w:pStyle w:val="19"/>
              <w:spacing w:line="290" w:lineRule="auto"/>
              <w:ind w:left="62" w:right="41" w:hanging="106"/>
              <w:rPr>
                <w:sz w:val="21"/>
              </w:rPr>
            </w:pPr>
            <w:r>
              <w:rPr>
                <w:sz w:val="21"/>
              </w:rPr>
              <w:t xml:space="preserve">机房内电机设置减振基础 </w:t>
            </w:r>
            <w:r>
              <w:rPr>
                <w:spacing w:val="-10"/>
                <w:w w:val="95"/>
                <w:sz w:val="21"/>
              </w:rPr>
              <w:t xml:space="preserve">机房内进行吸声处理，并加 </w:t>
            </w:r>
            <w:r>
              <w:rPr>
                <w:spacing w:val="-16"/>
                <w:w w:val="95"/>
                <w:sz w:val="21"/>
              </w:rPr>
              <w:t>装隔声罩，机房门窗设置为</w:t>
            </w:r>
          </w:p>
          <w:p>
            <w:pPr>
              <w:pStyle w:val="19"/>
              <w:spacing w:before="2"/>
              <w:ind w:left="46" w:right="30"/>
              <w:rPr>
                <w:sz w:val="21"/>
              </w:rPr>
            </w:pPr>
            <w:r>
              <w:rPr>
                <w:sz w:val="21"/>
              </w:rPr>
              <w:t>隔声门窗</w:t>
            </w:r>
          </w:p>
        </w:tc>
        <w:tc>
          <w:tcPr>
            <w:tcW w:w="738" w:type="dxa"/>
            <w:tcBorders>
              <w:top w:val="single" w:color="000000" w:sz="4" w:space="0"/>
              <w:left w:val="single" w:color="000000" w:sz="4" w:space="0"/>
              <w:bottom w:val="nil"/>
              <w:right w:val="single" w:color="000000" w:sz="4" w:space="0"/>
            </w:tcBorders>
          </w:tcPr>
          <w:p>
            <w:pPr>
              <w:pStyle w:val="19"/>
              <w:jc w:val="left"/>
              <w:rPr>
                <w:rFonts w:ascii="Times New Roman"/>
                <w:sz w:val="2"/>
              </w:rPr>
            </w:pPr>
          </w:p>
        </w:tc>
        <w:tc>
          <w:tcPr>
            <w:tcW w:w="946" w:type="dxa"/>
            <w:tcBorders>
              <w:top w:val="single" w:color="000000" w:sz="4" w:space="0"/>
              <w:left w:val="single" w:color="000000" w:sz="4" w:space="0"/>
              <w:bottom w:val="nil"/>
              <w:right w:val="single" w:color="000000" w:sz="4" w:space="0"/>
            </w:tcBorders>
          </w:tcPr>
          <w:p>
            <w:pPr>
              <w:pStyle w:val="19"/>
              <w:jc w:val="left"/>
              <w:rPr>
                <w:rFonts w:ascii="Times New Roman"/>
                <w:sz w:val="2"/>
              </w:rPr>
            </w:pPr>
          </w:p>
        </w:tc>
        <w:tc>
          <w:tcPr>
            <w:tcW w:w="968"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538" w:type="dxa"/>
            <w:tcBorders>
              <w:top w:val="nil"/>
              <w:bottom w:val="nil"/>
              <w:right w:val="single" w:color="000000" w:sz="4" w:space="0"/>
            </w:tcBorders>
          </w:tcPr>
          <w:p>
            <w:pPr>
              <w:pStyle w:val="19"/>
              <w:jc w:val="left"/>
              <w:rPr>
                <w:rFonts w:ascii="Times New Roman"/>
                <w:sz w:val="20"/>
              </w:rPr>
            </w:pPr>
          </w:p>
        </w:tc>
        <w:tc>
          <w:tcPr>
            <w:tcW w:w="916" w:type="dxa"/>
            <w:tcBorders>
              <w:top w:val="nil"/>
              <w:left w:val="single" w:color="000000" w:sz="4" w:space="0"/>
              <w:bottom w:val="nil"/>
              <w:right w:val="single" w:color="000000" w:sz="4" w:space="0"/>
            </w:tcBorders>
          </w:tcPr>
          <w:p>
            <w:pPr>
              <w:pStyle w:val="19"/>
              <w:jc w:val="left"/>
              <w:rPr>
                <w:rFonts w:ascii="Times New Roman"/>
                <w:sz w:val="20"/>
              </w:rPr>
            </w:pPr>
          </w:p>
        </w:tc>
        <w:tc>
          <w:tcPr>
            <w:tcW w:w="1015" w:type="dxa"/>
            <w:tcBorders>
              <w:top w:val="nil"/>
              <w:left w:val="single" w:color="000000" w:sz="4" w:space="0"/>
              <w:bottom w:val="nil"/>
              <w:right w:val="single" w:color="000000" w:sz="4" w:space="0"/>
            </w:tcBorders>
          </w:tcPr>
          <w:p>
            <w:pPr>
              <w:pStyle w:val="19"/>
              <w:jc w:val="left"/>
              <w:rPr>
                <w:rFonts w:ascii="Times New Roman"/>
                <w:sz w:val="20"/>
              </w:rPr>
            </w:pPr>
          </w:p>
        </w:tc>
        <w:tc>
          <w:tcPr>
            <w:tcW w:w="828" w:type="dxa"/>
            <w:tcBorders>
              <w:top w:val="nil"/>
              <w:left w:val="single" w:color="000000" w:sz="4" w:space="0"/>
              <w:bottom w:val="nil"/>
              <w:right w:val="single" w:color="000000" w:sz="4" w:space="0"/>
            </w:tcBorders>
          </w:tcPr>
          <w:p>
            <w:pPr>
              <w:pStyle w:val="19"/>
              <w:jc w:val="left"/>
              <w:rPr>
                <w:rFonts w:ascii="Times New Roman"/>
                <w:sz w:val="20"/>
              </w:rPr>
            </w:pPr>
          </w:p>
        </w:tc>
        <w:tc>
          <w:tcPr>
            <w:tcW w:w="698" w:type="dxa"/>
            <w:tcBorders>
              <w:top w:val="nil"/>
              <w:left w:val="single" w:color="000000" w:sz="4" w:space="0"/>
              <w:bottom w:val="nil"/>
              <w:right w:val="single" w:color="000000" w:sz="4" w:space="0"/>
            </w:tcBorders>
          </w:tcPr>
          <w:p>
            <w:pPr>
              <w:pStyle w:val="19"/>
              <w:jc w:val="left"/>
              <w:rPr>
                <w:rFonts w:ascii="Times New Roman"/>
                <w:sz w:val="20"/>
              </w:rPr>
            </w:pPr>
          </w:p>
        </w:tc>
        <w:tc>
          <w:tcPr>
            <w:tcW w:w="2530" w:type="dxa"/>
            <w:vMerge w:val="continue"/>
            <w:tcBorders>
              <w:top w:val="nil"/>
              <w:left w:val="single" w:color="000000" w:sz="4" w:space="0"/>
              <w:bottom w:val="single" w:color="000000" w:sz="4" w:space="0"/>
              <w:right w:val="single" w:color="000000" w:sz="4" w:space="0"/>
            </w:tcBorders>
          </w:tcPr>
          <w:p>
            <w:pPr>
              <w:rPr>
                <w:sz w:val="2"/>
                <w:szCs w:val="2"/>
              </w:rPr>
            </w:pPr>
          </w:p>
        </w:tc>
        <w:tc>
          <w:tcPr>
            <w:tcW w:w="738" w:type="dxa"/>
            <w:tcBorders>
              <w:top w:val="nil"/>
              <w:left w:val="single" w:color="000000" w:sz="4" w:space="0"/>
              <w:bottom w:val="nil"/>
              <w:right w:val="single" w:color="000000" w:sz="4" w:space="0"/>
            </w:tcBorders>
          </w:tcPr>
          <w:p>
            <w:pPr>
              <w:pStyle w:val="19"/>
              <w:spacing w:line="236" w:lineRule="exact"/>
              <w:ind w:left="-159"/>
              <w:jc w:val="left"/>
              <w:rPr>
                <w:sz w:val="21"/>
              </w:rPr>
            </w:pPr>
            <w:r>
              <w:rPr>
                <w:w w:val="99"/>
                <w:sz w:val="21"/>
              </w:rPr>
              <w:t>，</w:t>
            </w:r>
          </w:p>
        </w:tc>
        <w:tc>
          <w:tcPr>
            <w:tcW w:w="946" w:type="dxa"/>
            <w:tcBorders>
              <w:top w:val="nil"/>
              <w:left w:val="single" w:color="000000" w:sz="4" w:space="0"/>
              <w:bottom w:val="nil"/>
              <w:right w:val="single" w:color="000000" w:sz="4" w:space="0"/>
            </w:tcBorders>
          </w:tcPr>
          <w:p>
            <w:pPr>
              <w:pStyle w:val="19"/>
              <w:jc w:val="left"/>
              <w:rPr>
                <w:rFonts w:ascii="Times New Roman"/>
                <w:sz w:val="20"/>
              </w:rPr>
            </w:pPr>
          </w:p>
        </w:tc>
        <w:tc>
          <w:tcPr>
            <w:tcW w:w="968" w:type="dxa"/>
            <w:tcBorders>
              <w:top w:val="nil"/>
              <w:left w:val="single" w:color="000000" w:sz="4" w:space="0"/>
              <w:bottom w:val="nil"/>
            </w:tcBorders>
          </w:tcPr>
          <w:p>
            <w:pPr>
              <w:pStyle w:val="19"/>
              <w:spacing w:before="69" w:line="223" w:lineRule="exact"/>
              <w:ind w:left="204"/>
              <w:jc w:val="left"/>
              <w:rPr>
                <w:rFonts w:ascii="Times New Roman" w:hAnsi="Times New Roman"/>
                <w:sz w:val="21"/>
              </w:rPr>
            </w:pPr>
            <w:r>
              <w:rPr>
                <w:rFonts w:ascii="Times New Roman" w:hAnsi="Times New Roman"/>
                <w:sz w:val="21"/>
              </w:rPr>
              <w:t>≤50dB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1" w:hRule="atLeast"/>
        </w:trPr>
        <w:tc>
          <w:tcPr>
            <w:tcW w:w="538" w:type="dxa"/>
            <w:tcBorders>
              <w:top w:val="nil"/>
              <w:bottom w:val="single" w:color="000000" w:sz="4" w:space="0"/>
              <w:right w:val="single" w:color="000000" w:sz="4" w:space="0"/>
            </w:tcBorders>
          </w:tcPr>
          <w:p>
            <w:pPr>
              <w:pStyle w:val="19"/>
              <w:spacing w:before="153"/>
              <w:ind w:left="11"/>
              <w:rPr>
                <w:rFonts w:ascii="Times New Roman"/>
                <w:sz w:val="21"/>
              </w:rPr>
            </w:pPr>
            <w:r>
              <w:rPr>
                <w:rFonts w:ascii="Times New Roman"/>
                <w:w w:val="99"/>
                <w:sz w:val="21"/>
              </w:rPr>
              <w:t>5</w:t>
            </w:r>
          </w:p>
        </w:tc>
        <w:tc>
          <w:tcPr>
            <w:tcW w:w="916" w:type="dxa"/>
            <w:tcBorders>
              <w:top w:val="nil"/>
              <w:left w:val="single" w:color="000000" w:sz="4" w:space="0"/>
              <w:bottom w:val="single" w:color="000000" w:sz="4" w:space="0"/>
              <w:right w:val="single" w:color="000000" w:sz="4" w:space="0"/>
            </w:tcBorders>
          </w:tcPr>
          <w:p>
            <w:pPr>
              <w:pStyle w:val="19"/>
              <w:spacing w:line="240" w:lineRule="exact"/>
              <w:ind w:left="126" w:right="109"/>
              <w:rPr>
                <w:sz w:val="21"/>
              </w:rPr>
            </w:pPr>
            <w:r>
              <w:rPr>
                <w:sz w:val="21"/>
              </w:rPr>
              <w:t>提升绞</w:t>
            </w:r>
          </w:p>
          <w:p>
            <w:pPr>
              <w:pStyle w:val="19"/>
              <w:spacing w:before="57"/>
              <w:ind w:left="20"/>
              <w:rPr>
                <w:sz w:val="21"/>
              </w:rPr>
            </w:pPr>
            <w:r>
              <w:rPr>
                <w:w w:val="99"/>
                <w:sz w:val="21"/>
              </w:rPr>
              <w:t>车</w:t>
            </w:r>
          </w:p>
        </w:tc>
        <w:tc>
          <w:tcPr>
            <w:tcW w:w="1015" w:type="dxa"/>
            <w:tcBorders>
              <w:top w:val="nil"/>
              <w:left w:val="single" w:color="000000" w:sz="4" w:space="0"/>
              <w:bottom w:val="single" w:color="000000" w:sz="4" w:space="0"/>
              <w:right w:val="single" w:color="000000" w:sz="4" w:space="0"/>
            </w:tcBorders>
          </w:tcPr>
          <w:p>
            <w:pPr>
              <w:pStyle w:val="19"/>
              <w:spacing w:before="134"/>
              <w:ind w:left="69" w:right="53"/>
              <w:rPr>
                <w:sz w:val="21"/>
              </w:rPr>
            </w:pPr>
            <w:r>
              <w:rPr>
                <w:sz w:val="21"/>
              </w:rPr>
              <w:t>绞车房</w:t>
            </w:r>
          </w:p>
        </w:tc>
        <w:tc>
          <w:tcPr>
            <w:tcW w:w="828" w:type="dxa"/>
            <w:tcBorders>
              <w:top w:val="nil"/>
              <w:left w:val="single" w:color="000000" w:sz="4" w:space="0"/>
              <w:bottom w:val="single" w:color="000000" w:sz="4" w:space="0"/>
              <w:right w:val="single" w:color="000000" w:sz="4" w:space="0"/>
            </w:tcBorders>
          </w:tcPr>
          <w:p>
            <w:pPr>
              <w:pStyle w:val="19"/>
              <w:spacing w:before="153"/>
              <w:ind w:left="15"/>
              <w:rPr>
                <w:rFonts w:ascii="Times New Roman"/>
                <w:sz w:val="21"/>
              </w:rPr>
            </w:pPr>
            <w:r>
              <w:rPr>
                <w:rFonts w:ascii="Times New Roman"/>
                <w:w w:val="99"/>
                <w:sz w:val="21"/>
              </w:rPr>
              <w:t>1</w:t>
            </w:r>
          </w:p>
        </w:tc>
        <w:tc>
          <w:tcPr>
            <w:tcW w:w="698" w:type="dxa"/>
            <w:tcBorders>
              <w:top w:val="nil"/>
              <w:left w:val="single" w:color="000000" w:sz="4" w:space="0"/>
              <w:bottom w:val="single" w:color="000000" w:sz="4" w:space="0"/>
              <w:right w:val="single" w:color="000000" w:sz="4" w:space="0"/>
            </w:tcBorders>
          </w:tcPr>
          <w:p>
            <w:pPr>
              <w:pStyle w:val="19"/>
              <w:spacing w:before="153"/>
              <w:ind w:left="229" w:right="209"/>
              <w:rPr>
                <w:rFonts w:ascii="Times New Roman"/>
                <w:sz w:val="21"/>
              </w:rPr>
            </w:pPr>
            <w:r>
              <w:rPr>
                <w:rFonts w:ascii="Times New Roman"/>
                <w:sz w:val="21"/>
              </w:rPr>
              <w:t>90</w:t>
            </w:r>
          </w:p>
        </w:tc>
        <w:tc>
          <w:tcPr>
            <w:tcW w:w="2530" w:type="dxa"/>
            <w:vMerge w:val="continue"/>
            <w:tcBorders>
              <w:top w:val="nil"/>
              <w:left w:val="single" w:color="000000" w:sz="4" w:space="0"/>
              <w:bottom w:val="single" w:color="000000" w:sz="4" w:space="0"/>
              <w:right w:val="single" w:color="000000" w:sz="4" w:space="0"/>
            </w:tcBorders>
          </w:tcPr>
          <w:p>
            <w:pPr>
              <w:rPr>
                <w:sz w:val="2"/>
                <w:szCs w:val="2"/>
              </w:rPr>
            </w:pPr>
          </w:p>
        </w:tc>
        <w:tc>
          <w:tcPr>
            <w:tcW w:w="738" w:type="dxa"/>
            <w:tcBorders>
              <w:top w:val="nil"/>
              <w:left w:val="single" w:color="000000" w:sz="4" w:space="0"/>
              <w:bottom w:val="single" w:color="000000" w:sz="4" w:space="0"/>
              <w:right w:val="single" w:color="000000" w:sz="4" w:space="0"/>
            </w:tcBorders>
          </w:tcPr>
          <w:p>
            <w:pPr>
              <w:pStyle w:val="19"/>
              <w:spacing w:before="153"/>
              <w:ind w:right="247"/>
              <w:jc w:val="right"/>
              <w:rPr>
                <w:rFonts w:ascii="Times New Roman"/>
                <w:sz w:val="21"/>
              </w:rPr>
            </w:pPr>
            <w:r>
              <w:rPr>
                <w:rFonts w:ascii="Times New Roman"/>
                <w:sz w:val="21"/>
              </w:rPr>
              <w:t>25</w:t>
            </w:r>
          </w:p>
        </w:tc>
        <w:tc>
          <w:tcPr>
            <w:tcW w:w="946" w:type="dxa"/>
            <w:tcBorders>
              <w:top w:val="nil"/>
              <w:left w:val="single" w:color="000000" w:sz="4" w:space="0"/>
              <w:bottom w:val="single" w:color="000000" w:sz="4" w:space="0"/>
              <w:right w:val="single" w:color="000000" w:sz="4" w:space="0"/>
            </w:tcBorders>
          </w:tcPr>
          <w:p>
            <w:pPr>
              <w:pStyle w:val="19"/>
              <w:spacing w:before="153"/>
              <w:ind w:left="372"/>
              <w:jc w:val="left"/>
              <w:rPr>
                <w:rFonts w:ascii="Times New Roman"/>
                <w:sz w:val="21"/>
              </w:rPr>
            </w:pPr>
            <w:r>
              <w:rPr>
                <w:rFonts w:ascii="Times New Roman"/>
                <w:sz w:val="21"/>
              </w:rPr>
              <w:t>65</w:t>
            </w:r>
          </w:p>
        </w:tc>
        <w:tc>
          <w:tcPr>
            <w:tcW w:w="968" w:type="dxa"/>
            <w:tcBorders>
              <w:top w:val="nil"/>
              <w:left w:val="single" w:color="000000" w:sz="4" w:space="0"/>
              <w:bottom w:val="nil"/>
            </w:tcBorders>
          </w:tcPr>
          <w:p>
            <w:pPr>
              <w:pStyle w:val="19"/>
              <w:spacing w:before="38"/>
              <w:ind w:left="201"/>
              <w:jc w:val="left"/>
              <w:rPr>
                <w:sz w:val="21"/>
              </w:rPr>
            </w:pPr>
            <w:r>
              <w:rPr>
                <w:sz w:val="21"/>
              </w:rPr>
              <w:t>（</w:t>
            </w:r>
            <w:r>
              <w:rPr>
                <w:rFonts w:ascii="Times New Roman" w:eastAsia="Times New Roman"/>
                <w:sz w:val="21"/>
              </w:rPr>
              <w:t>A</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8" w:hRule="atLeast"/>
        </w:trPr>
        <w:tc>
          <w:tcPr>
            <w:tcW w:w="538" w:type="dxa"/>
            <w:tcBorders>
              <w:top w:val="single" w:color="000000" w:sz="4" w:space="0"/>
              <w:bottom w:val="nil"/>
              <w:right w:val="single" w:color="000000" w:sz="4" w:space="0"/>
            </w:tcBorders>
          </w:tcPr>
          <w:p>
            <w:pPr>
              <w:pStyle w:val="19"/>
              <w:jc w:val="left"/>
              <w:rPr>
                <w:rFonts w:ascii="Times New Roman"/>
                <w:sz w:val="20"/>
              </w:rPr>
            </w:pPr>
          </w:p>
        </w:tc>
        <w:tc>
          <w:tcPr>
            <w:tcW w:w="916"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1015"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828"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698"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2530" w:type="dxa"/>
            <w:tcBorders>
              <w:top w:val="single" w:color="000000" w:sz="4" w:space="0"/>
              <w:left w:val="single" w:color="000000" w:sz="4" w:space="0"/>
              <w:bottom w:val="nil"/>
              <w:right w:val="single" w:color="000000" w:sz="4" w:space="0"/>
            </w:tcBorders>
          </w:tcPr>
          <w:p>
            <w:pPr>
              <w:pStyle w:val="19"/>
              <w:ind w:left="48" w:right="29"/>
              <w:rPr>
                <w:sz w:val="21"/>
              </w:rPr>
            </w:pPr>
            <w:r>
              <w:rPr>
                <w:sz w:val="21"/>
              </w:rPr>
              <w:t>水泵与进出口管道间安装</w:t>
            </w:r>
          </w:p>
        </w:tc>
        <w:tc>
          <w:tcPr>
            <w:tcW w:w="738"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946"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968" w:type="dxa"/>
            <w:tcBorders>
              <w:top w:val="nil"/>
              <w:left w:val="single" w:color="000000" w:sz="4" w:space="0"/>
              <w:bottom w:val="nil"/>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538" w:type="dxa"/>
            <w:tcBorders>
              <w:top w:val="nil"/>
              <w:bottom w:val="nil"/>
              <w:right w:val="single" w:color="000000" w:sz="4" w:space="0"/>
            </w:tcBorders>
          </w:tcPr>
          <w:p>
            <w:pPr>
              <w:pStyle w:val="19"/>
              <w:jc w:val="left"/>
              <w:rPr>
                <w:rFonts w:ascii="Times New Roman"/>
                <w:sz w:val="20"/>
              </w:rPr>
            </w:pPr>
          </w:p>
        </w:tc>
        <w:tc>
          <w:tcPr>
            <w:tcW w:w="916" w:type="dxa"/>
            <w:tcBorders>
              <w:top w:val="nil"/>
              <w:left w:val="single" w:color="000000" w:sz="4" w:space="0"/>
              <w:bottom w:val="nil"/>
              <w:right w:val="single" w:color="000000" w:sz="4" w:space="0"/>
            </w:tcBorders>
          </w:tcPr>
          <w:p>
            <w:pPr>
              <w:pStyle w:val="19"/>
              <w:jc w:val="left"/>
              <w:rPr>
                <w:rFonts w:ascii="Times New Roman"/>
                <w:sz w:val="20"/>
              </w:rPr>
            </w:pPr>
          </w:p>
        </w:tc>
        <w:tc>
          <w:tcPr>
            <w:tcW w:w="1015" w:type="dxa"/>
            <w:tcBorders>
              <w:top w:val="nil"/>
              <w:left w:val="single" w:color="000000" w:sz="4" w:space="0"/>
              <w:bottom w:val="nil"/>
              <w:right w:val="single" w:color="000000" w:sz="4" w:space="0"/>
            </w:tcBorders>
          </w:tcPr>
          <w:p>
            <w:pPr>
              <w:pStyle w:val="19"/>
              <w:jc w:val="left"/>
              <w:rPr>
                <w:rFonts w:ascii="Times New Roman"/>
                <w:sz w:val="20"/>
              </w:rPr>
            </w:pPr>
          </w:p>
        </w:tc>
        <w:tc>
          <w:tcPr>
            <w:tcW w:w="828" w:type="dxa"/>
            <w:tcBorders>
              <w:top w:val="nil"/>
              <w:left w:val="single" w:color="000000" w:sz="4" w:space="0"/>
              <w:bottom w:val="nil"/>
              <w:right w:val="single" w:color="000000" w:sz="4" w:space="0"/>
            </w:tcBorders>
          </w:tcPr>
          <w:p>
            <w:pPr>
              <w:pStyle w:val="19"/>
              <w:jc w:val="left"/>
              <w:rPr>
                <w:rFonts w:ascii="Times New Roman"/>
                <w:sz w:val="20"/>
              </w:rPr>
            </w:pPr>
          </w:p>
        </w:tc>
        <w:tc>
          <w:tcPr>
            <w:tcW w:w="698" w:type="dxa"/>
            <w:tcBorders>
              <w:top w:val="nil"/>
              <w:left w:val="single" w:color="000000" w:sz="4" w:space="0"/>
              <w:bottom w:val="nil"/>
              <w:right w:val="single" w:color="000000" w:sz="4" w:space="0"/>
            </w:tcBorders>
          </w:tcPr>
          <w:p>
            <w:pPr>
              <w:pStyle w:val="19"/>
              <w:jc w:val="left"/>
              <w:rPr>
                <w:rFonts w:ascii="Times New Roman"/>
                <w:sz w:val="20"/>
              </w:rPr>
            </w:pPr>
          </w:p>
        </w:tc>
        <w:tc>
          <w:tcPr>
            <w:tcW w:w="2530" w:type="dxa"/>
            <w:tcBorders>
              <w:top w:val="nil"/>
              <w:left w:val="single" w:color="000000" w:sz="4" w:space="0"/>
              <w:bottom w:val="nil"/>
              <w:right w:val="single" w:color="000000" w:sz="4" w:space="0"/>
            </w:tcBorders>
          </w:tcPr>
          <w:p>
            <w:pPr>
              <w:pStyle w:val="19"/>
              <w:spacing w:before="28"/>
              <w:ind w:left="46" w:right="30"/>
              <w:rPr>
                <w:sz w:val="21"/>
              </w:rPr>
            </w:pPr>
            <w:r>
              <w:rPr>
                <w:spacing w:val="-11"/>
                <w:sz w:val="21"/>
              </w:rPr>
              <w:t>软橡胶接头，泵体基础设橡</w:t>
            </w:r>
          </w:p>
        </w:tc>
        <w:tc>
          <w:tcPr>
            <w:tcW w:w="738" w:type="dxa"/>
            <w:tcBorders>
              <w:top w:val="nil"/>
              <w:left w:val="single" w:color="000000" w:sz="4" w:space="0"/>
              <w:bottom w:val="nil"/>
              <w:right w:val="single" w:color="000000" w:sz="4" w:space="0"/>
            </w:tcBorders>
          </w:tcPr>
          <w:p>
            <w:pPr>
              <w:pStyle w:val="19"/>
              <w:jc w:val="left"/>
              <w:rPr>
                <w:rFonts w:ascii="Times New Roman"/>
                <w:sz w:val="20"/>
              </w:rPr>
            </w:pPr>
          </w:p>
        </w:tc>
        <w:tc>
          <w:tcPr>
            <w:tcW w:w="946" w:type="dxa"/>
            <w:tcBorders>
              <w:top w:val="nil"/>
              <w:left w:val="single" w:color="000000" w:sz="4" w:space="0"/>
              <w:bottom w:val="nil"/>
              <w:right w:val="single" w:color="000000" w:sz="4" w:space="0"/>
            </w:tcBorders>
          </w:tcPr>
          <w:p>
            <w:pPr>
              <w:pStyle w:val="19"/>
              <w:jc w:val="left"/>
              <w:rPr>
                <w:rFonts w:ascii="Times New Roman"/>
                <w:sz w:val="20"/>
              </w:rPr>
            </w:pPr>
          </w:p>
        </w:tc>
        <w:tc>
          <w:tcPr>
            <w:tcW w:w="968" w:type="dxa"/>
            <w:tcBorders>
              <w:top w:val="nil"/>
              <w:left w:val="single" w:color="000000" w:sz="4" w:space="0"/>
              <w:bottom w:val="nil"/>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7" w:hRule="atLeast"/>
        </w:trPr>
        <w:tc>
          <w:tcPr>
            <w:tcW w:w="538" w:type="dxa"/>
            <w:tcBorders>
              <w:top w:val="nil"/>
              <w:bottom w:val="nil"/>
              <w:right w:val="single" w:color="000000" w:sz="4" w:space="0"/>
            </w:tcBorders>
          </w:tcPr>
          <w:p>
            <w:pPr>
              <w:pStyle w:val="19"/>
              <w:spacing w:before="48"/>
              <w:ind w:left="11"/>
              <w:rPr>
                <w:rFonts w:ascii="Times New Roman"/>
                <w:sz w:val="21"/>
              </w:rPr>
            </w:pPr>
            <w:r>
              <w:rPr>
                <w:rFonts w:ascii="Times New Roman"/>
                <w:w w:val="99"/>
                <w:sz w:val="21"/>
              </w:rPr>
              <w:t>6</w:t>
            </w:r>
          </w:p>
        </w:tc>
        <w:tc>
          <w:tcPr>
            <w:tcW w:w="916" w:type="dxa"/>
            <w:tcBorders>
              <w:top w:val="nil"/>
              <w:left w:val="single" w:color="000000" w:sz="4" w:space="0"/>
              <w:bottom w:val="nil"/>
              <w:right w:val="single" w:color="000000" w:sz="4" w:space="0"/>
            </w:tcBorders>
          </w:tcPr>
          <w:p>
            <w:pPr>
              <w:pStyle w:val="19"/>
              <w:spacing w:before="29"/>
              <w:ind w:left="126" w:right="109"/>
              <w:rPr>
                <w:sz w:val="21"/>
              </w:rPr>
            </w:pPr>
            <w:r>
              <w:rPr>
                <w:sz w:val="21"/>
              </w:rPr>
              <w:t>水泵</w:t>
            </w:r>
          </w:p>
        </w:tc>
        <w:tc>
          <w:tcPr>
            <w:tcW w:w="1015" w:type="dxa"/>
            <w:tcBorders>
              <w:top w:val="nil"/>
              <w:left w:val="single" w:color="000000" w:sz="4" w:space="0"/>
              <w:bottom w:val="nil"/>
              <w:right w:val="single" w:color="000000" w:sz="4" w:space="0"/>
            </w:tcBorders>
          </w:tcPr>
          <w:p>
            <w:pPr>
              <w:pStyle w:val="19"/>
              <w:spacing w:before="29"/>
              <w:ind w:left="69" w:right="56"/>
              <w:rPr>
                <w:sz w:val="21"/>
              </w:rPr>
            </w:pPr>
            <w:r>
              <w:rPr>
                <w:sz w:val="21"/>
              </w:rPr>
              <w:t>消防泵房</w:t>
            </w:r>
          </w:p>
        </w:tc>
        <w:tc>
          <w:tcPr>
            <w:tcW w:w="828" w:type="dxa"/>
            <w:tcBorders>
              <w:top w:val="nil"/>
              <w:left w:val="single" w:color="000000" w:sz="4" w:space="0"/>
              <w:bottom w:val="nil"/>
              <w:right w:val="single" w:color="000000" w:sz="4" w:space="0"/>
            </w:tcBorders>
          </w:tcPr>
          <w:p>
            <w:pPr>
              <w:pStyle w:val="19"/>
              <w:spacing w:before="48"/>
              <w:ind w:left="15"/>
              <w:rPr>
                <w:rFonts w:ascii="Times New Roman"/>
                <w:sz w:val="21"/>
              </w:rPr>
            </w:pPr>
            <w:r>
              <w:rPr>
                <w:rFonts w:ascii="Times New Roman"/>
                <w:w w:val="99"/>
                <w:sz w:val="21"/>
              </w:rPr>
              <w:t>1</w:t>
            </w:r>
          </w:p>
        </w:tc>
        <w:tc>
          <w:tcPr>
            <w:tcW w:w="698" w:type="dxa"/>
            <w:tcBorders>
              <w:top w:val="nil"/>
              <w:left w:val="single" w:color="000000" w:sz="4" w:space="0"/>
              <w:bottom w:val="nil"/>
              <w:right w:val="single" w:color="000000" w:sz="4" w:space="0"/>
            </w:tcBorders>
          </w:tcPr>
          <w:p>
            <w:pPr>
              <w:pStyle w:val="19"/>
              <w:spacing w:before="48"/>
              <w:ind w:left="229" w:right="209"/>
              <w:rPr>
                <w:rFonts w:ascii="Times New Roman"/>
                <w:sz w:val="21"/>
              </w:rPr>
            </w:pPr>
            <w:r>
              <w:rPr>
                <w:rFonts w:ascii="Times New Roman"/>
                <w:sz w:val="21"/>
              </w:rPr>
              <w:t>85</w:t>
            </w:r>
          </w:p>
        </w:tc>
        <w:tc>
          <w:tcPr>
            <w:tcW w:w="2530" w:type="dxa"/>
            <w:tcBorders>
              <w:top w:val="nil"/>
              <w:left w:val="single" w:color="000000" w:sz="4" w:space="0"/>
              <w:bottom w:val="nil"/>
              <w:right w:val="single" w:color="000000" w:sz="4" w:space="0"/>
            </w:tcBorders>
          </w:tcPr>
          <w:p>
            <w:pPr>
              <w:pStyle w:val="19"/>
              <w:spacing w:before="29"/>
              <w:ind w:left="46" w:right="30"/>
              <w:rPr>
                <w:sz w:val="21"/>
              </w:rPr>
            </w:pPr>
            <w:r>
              <w:rPr>
                <w:spacing w:val="-10"/>
                <w:sz w:val="21"/>
              </w:rPr>
              <w:t>胶垫或弹簧减震动器，并在</w:t>
            </w:r>
          </w:p>
        </w:tc>
        <w:tc>
          <w:tcPr>
            <w:tcW w:w="738" w:type="dxa"/>
            <w:tcBorders>
              <w:top w:val="nil"/>
              <w:left w:val="single" w:color="000000" w:sz="4" w:space="0"/>
              <w:bottom w:val="nil"/>
              <w:right w:val="single" w:color="000000" w:sz="4" w:space="0"/>
            </w:tcBorders>
          </w:tcPr>
          <w:p>
            <w:pPr>
              <w:pStyle w:val="19"/>
              <w:spacing w:before="48"/>
              <w:ind w:right="247"/>
              <w:jc w:val="right"/>
              <w:rPr>
                <w:rFonts w:ascii="Times New Roman"/>
                <w:sz w:val="21"/>
              </w:rPr>
            </w:pPr>
            <w:r>
              <w:rPr>
                <w:rFonts w:ascii="Times New Roman"/>
                <w:sz w:val="21"/>
              </w:rPr>
              <w:t>20</w:t>
            </w:r>
          </w:p>
        </w:tc>
        <w:tc>
          <w:tcPr>
            <w:tcW w:w="946" w:type="dxa"/>
            <w:tcBorders>
              <w:top w:val="nil"/>
              <w:left w:val="single" w:color="000000" w:sz="4" w:space="0"/>
              <w:bottom w:val="nil"/>
              <w:right w:val="single" w:color="000000" w:sz="4" w:space="0"/>
            </w:tcBorders>
          </w:tcPr>
          <w:p>
            <w:pPr>
              <w:pStyle w:val="19"/>
              <w:spacing w:before="48"/>
              <w:ind w:left="372"/>
              <w:jc w:val="left"/>
              <w:rPr>
                <w:rFonts w:ascii="Times New Roman"/>
                <w:sz w:val="21"/>
              </w:rPr>
            </w:pPr>
            <w:r>
              <w:rPr>
                <w:rFonts w:ascii="Times New Roman"/>
                <w:sz w:val="21"/>
              </w:rPr>
              <w:t>65</w:t>
            </w:r>
          </w:p>
        </w:tc>
        <w:tc>
          <w:tcPr>
            <w:tcW w:w="968" w:type="dxa"/>
            <w:tcBorders>
              <w:top w:val="nil"/>
              <w:left w:val="single" w:color="000000" w:sz="4" w:space="0"/>
              <w:bottom w:val="nil"/>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538" w:type="dxa"/>
            <w:tcBorders>
              <w:top w:val="nil"/>
              <w:bottom w:val="nil"/>
              <w:right w:val="single" w:color="000000" w:sz="4" w:space="0"/>
            </w:tcBorders>
          </w:tcPr>
          <w:p>
            <w:pPr>
              <w:pStyle w:val="19"/>
              <w:jc w:val="left"/>
              <w:rPr>
                <w:rFonts w:ascii="Times New Roman"/>
                <w:sz w:val="20"/>
              </w:rPr>
            </w:pPr>
          </w:p>
        </w:tc>
        <w:tc>
          <w:tcPr>
            <w:tcW w:w="916" w:type="dxa"/>
            <w:tcBorders>
              <w:top w:val="nil"/>
              <w:left w:val="single" w:color="000000" w:sz="4" w:space="0"/>
              <w:bottom w:val="nil"/>
              <w:right w:val="single" w:color="000000" w:sz="4" w:space="0"/>
            </w:tcBorders>
          </w:tcPr>
          <w:p>
            <w:pPr>
              <w:pStyle w:val="19"/>
              <w:jc w:val="left"/>
              <w:rPr>
                <w:rFonts w:ascii="Times New Roman"/>
                <w:sz w:val="20"/>
              </w:rPr>
            </w:pPr>
          </w:p>
        </w:tc>
        <w:tc>
          <w:tcPr>
            <w:tcW w:w="1015" w:type="dxa"/>
            <w:tcBorders>
              <w:top w:val="nil"/>
              <w:left w:val="single" w:color="000000" w:sz="4" w:space="0"/>
              <w:bottom w:val="nil"/>
              <w:right w:val="single" w:color="000000" w:sz="4" w:space="0"/>
            </w:tcBorders>
          </w:tcPr>
          <w:p>
            <w:pPr>
              <w:pStyle w:val="19"/>
              <w:jc w:val="left"/>
              <w:rPr>
                <w:rFonts w:ascii="Times New Roman"/>
                <w:sz w:val="20"/>
              </w:rPr>
            </w:pPr>
          </w:p>
        </w:tc>
        <w:tc>
          <w:tcPr>
            <w:tcW w:w="828" w:type="dxa"/>
            <w:tcBorders>
              <w:top w:val="nil"/>
              <w:left w:val="single" w:color="000000" w:sz="4" w:space="0"/>
              <w:bottom w:val="nil"/>
              <w:right w:val="single" w:color="000000" w:sz="4" w:space="0"/>
            </w:tcBorders>
          </w:tcPr>
          <w:p>
            <w:pPr>
              <w:pStyle w:val="19"/>
              <w:jc w:val="left"/>
              <w:rPr>
                <w:rFonts w:ascii="Times New Roman"/>
                <w:sz w:val="20"/>
              </w:rPr>
            </w:pPr>
          </w:p>
        </w:tc>
        <w:tc>
          <w:tcPr>
            <w:tcW w:w="698" w:type="dxa"/>
            <w:tcBorders>
              <w:top w:val="nil"/>
              <w:left w:val="single" w:color="000000" w:sz="4" w:space="0"/>
              <w:bottom w:val="nil"/>
              <w:right w:val="single" w:color="000000" w:sz="4" w:space="0"/>
            </w:tcBorders>
          </w:tcPr>
          <w:p>
            <w:pPr>
              <w:pStyle w:val="19"/>
              <w:jc w:val="left"/>
              <w:rPr>
                <w:rFonts w:ascii="Times New Roman"/>
                <w:sz w:val="20"/>
              </w:rPr>
            </w:pPr>
          </w:p>
        </w:tc>
        <w:tc>
          <w:tcPr>
            <w:tcW w:w="2530" w:type="dxa"/>
            <w:tcBorders>
              <w:top w:val="nil"/>
              <w:left w:val="single" w:color="000000" w:sz="4" w:space="0"/>
              <w:bottom w:val="nil"/>
              <w:right w:val="single" w:color="000000" w:sz="4" w:space="0"/>
            </w:tcBorders>
          </w:tcPr>
          <w:p>
            <w:pPr>
              <w:pStyle w:val="19"/>
              <w:spacing w:before="18"/>
              <w:ind w:left="46" w:right="30"/>
              <w:rPr>
                <w:sz w:val="21"/>
              </w:rPr>
            </w:pPr>
            <w:r>
              <w:rPr>
                <w:spacing w:val="-10"/>
                <w:sz w:val="21"/>
              </w:rPr>
              <w:t>泵房内设隔声控制室；泵房</w:t>
            </w:r>
          </w:p>
        </w:tc>
        <w:tc>
          <w:tcPr>
            <w:tcW w:w="738" w:type="dxa"/>
            <w:tcBorders>
              <w:top w:val="nil"/>
              <w:left w:val="single" w:color="000000" w:sz="4" w:space="0"/>
              <w:bottom w:val="nil"/>
              <w:right w:val="single" w:color="000000" w:sz="4" w:space="0"/>
            </w:tcBorders>
          </w:tcPr>
          <w:p>
            <w:pPr>
              <w:pStyle w:val="19"/>
              <w:jc w:val="left"/>
              <w:rPr>
                <w:rFonts w:ascii="Times New Roman"/>
                <w:sz w:val="20"/>
              </w:rPr>
            </w:pPr>
          </w:p>
        </w:tc>
        <w:tc>
          <w:tcPr>
            <w:tcW w:w="946" w:type="dxa"/>
            <w:tcBorders>
              <w:top w:val="nil"/>
              <w:left w:val="single" w:color="000000" w:sz="4" w:space="0"/>
              <w:bottom w:val="nil"/>
              <w:right w:val="single" w:color="000000" w:sz="4" w:space="0"/>
            </w:tcBorders>
          </w:tcPr>
          <w:p>
            <w:pPr>
              <w:pStyle w:val="19"/>
              <w:jc w:val="left"/>
              <w:rPr>
                <w:rFonts w:ascii="Times New Roman"/>
                <w:sz w:val="20"/>
              </w:rPr>
            </w:pPr>
          </w:p>
        </w:tc>
        <w:tc>
          <w:tcPr>
            <w:tcW w:w="968" w:type="dxa"/>
            <w:tcBorders>
              <w:top w:val="nil"/>
              <w:left w:val="single" w:color="000000" w:sz="4" w:space="0"/>
              <w:bottom w:val="nil"/>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6" w:hRule="atLeast"/>
        </w:trPr>
        <w:tc>
          <w:tcPr>
            <w:tcW w:w="538" w:type="dxa"/>
            <w:tcBorders>
              <w:top w:val="nil"/>
              <w:bottom w:val="single" w:color="000000" w:sz="4" w:space="0"/>
              <w:right w:val="single" w:color="000000" w:sz="4" w:space="0"/>
            </w:tcBorders>
          </w:tcPr>
          <w:p>
            <w:pPr>
              <w:pStyle w:val="19"/>
              <w:jc w:val="left"/>
              <w:rPr>
                <w:rFonts w:ascii="Times New Roman"/>
                <w:sz w:val="20"/>
              </w:rPr>
            </w:pPr>
          </w:p>
        </w:tc>
        <w:tc>
          <w:tcPr>
            <w:tcW w:w="916"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1015"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828"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698"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2530" w:type="dxa"/>
            <w:tcBorders>
              <w:top w:val="nil"/>
              <w:left w:val="single" w:color="000000" w:sz="4" w:space="0"/>
              <w:bottom w:val="single" w:color="000000" w:sz="4" w:space="0"/>
              <w:right w:val="single" w:color="000000" w:sz="4" w:space="0"/>
            </w:tcBorders>
          </w:tcPr>
          <w:p>
            <w:pPr>
              <w:pStyle w:val="19"/>
              <w:spacing w:before="28"/>
              <w:ind w:left="46" w:right="30"/>
              <w:rPr>
                <w:sz w:val="21"/>
              </w:rPr>
            </w:pPr>
            <w:r>
              <w:rPr>
                <w:sz w:val="21"/>
              </w:rPr>
              <w:t>做隔声处理</w:t>
            </w:r>
          </w:p>
        </w:tc>
        <w:tc>
          <w:tcPr>
            <w:tcW w:w="738"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946"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968" w:type="dxa"/>
            <w:tcBorders>
              <w:top w:val="nil"/>
              <w:left w:val="single" w:color="000000" w:sz="4" w:space="0"/>
              <w:bottom w:val="nil"/>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538" w:type="dxa"/>
            <w:tcBorders>
              <w:top w:val="single" w:color="000000" w:sz="4" w:space="0"/>
              <w:right w:val="single" w:color="000000" w:sz="4" w:space="0"/>
            </w:tcBorders>
          </w:tcPr>
          <w:p>
            <w:pPr>
              <w:pStyle w:val="19"/>
              <w:spacing w:before="180"/>
              <w:ind w:left="11"/>
              <w:rPr>
                <w:rFonts w:ascii="Times New Roman"/>
                <w:sz w:val="21"/>
              </w:rPr>
            </w:pPr>
            <w:r>
              <w:rPr>
                <w:rFonts w:ascii="Times New Roman"/>
                <w:w w:val="99"/>
                <w:sz w:val="21"/>
              </w:rPr>
              <w:t>7</w:t>
            </w:r>
          </w:p>
        </w:tc>
        <w:tc>
          <w:tcPr>
            <w:tcW w:w="916" w:type="dxa"/>
            <w:tcBorders>
              <w:top w:val="single" w:color="000000" w:sz="4" w:space="0"/>
              <w:left w:val="single" w:color="000000" w:sz="4" w:space="0"/>
              <w:right w:val="single" w:color="000000" w:sz="4" w:space="0"/>
            </w:tcBorders>
          </w:tcPr>
          <w:p>
            <w:pPr>
              <w:pStyle w:val="19"/>
              <w:spacing w:before="163"/>
              <w:ind w:left="126" w:right="109"/>
              <w:rPr>
                <w:sz w:val="21"/>
              </w:rPr>
            </w:pPr>
            <w:r>
              <w:rPr>
                <w:sz w:val="21"/>
              </w:rPr>
              <w:t>车间</w:t>
            </w:r>
          </w:p>
        </w:tc>
        <w:tc>
          <w:tcPr>
            <w:tcW w:w="1015" w:type="dxa"/>
            <w:tcBorders>
              <w:top w:val="single" w:color="000000" w:sz="4" w:space="0"/>
              <w:left w:val="single" w:color="000000" w:sz="4" w:space="0"/>
              <w:right w:val="single" w:color="000000" w:sz="4" w:space="0"/>
            </w:tcBorders>
          </w:tcPr>
          <w:p>
            <w:pPr>
              <w:pStyle w:val="19"/>
              <w:spacing w:before="163"/>
              <w:ind w:left="69" w:right="53"/>
              <w:rPr>
                <w:sz w:val="21"/>
              </w:rPr>
            </w:pPr>
            <w:r>
              <w:rPr>
                <w:sz w:val="21"/>
              </w:rPr>
              <w:t>加工床</w:t>
            </w:r>
          </w:p>
        </w:tc>
        <w:tc>
          <w:tcPr>
            <w:tcW w:w="828" w:type="dxa"/>
            <w:tcBorders>
              <w:top w:val="single" w:color="000000" w:sz="4" w:space="0"/>
              <w:left w:val="single" w:color="000000" w:sz="4" w:space="0"/>
              <w:right w:val="single" w:color="000000" w:sz="4" w:space="0"/>
            </w:tcBorders>
          </w:tcPr>
          <w:p>
            <w:pPr>
              <w:pStyle w:val="19"/>
              <w:spacing w:before="180"/>
              <w:ind w:left="15"/>
              <w:rPr>
                <w:rFonts w:ascii="Times New Roman"/>
                <w:sz w:val="21"/>
              </w:rPr>
            </w:pPr>
            <w:r>
              <w:rPr>
                <w:rFonts w:ascii="Times New Roman"/>
                <w:w w:val="99"/>
                <w:sz w:val="21"/>
              </w:rPr>
              <w:t>1</w:t>
            </w:r>
          </w:p>
        </w:tc>
        <w:tc>
          <w:tcPr>
            <w:tcW w:w="698" w:type="dxa"/>
            <w:tcBorders>
              <w:top w:val="single" w:color="000000" w:sz="4" w:space="0"/>
              <w:left w:val="single" w:color="000000" w:sz="4" w:space="0"/>
              <w:right w:val="single" w:color="000000" w:sz="4" w:space="0"/>
            </w:tcBorders>
          </w:tcPr>
          <w:p>
            <w:pPr>
              <w:pStyle w:val="19"/>
              <w:spacing w:before="180"/>
              <w:ind w:left="229" w:right="209"/>
              <w:rPr>
                <w:rFonts w:ascii="Times New Roman"/>
                <w:sz w:val="21"/>
              </w:rPr>
            </w:pPr>
            <w:r>
              <w:rPr>
                <w:rFonts w:ascii="Times New Roman"/>
                <w:sz w:val="21"/>
              </w:rPr>
              <w:t>80</w:t>
            </w:r>
          </w:p>
        </w:tc>
        <w:tc>
          <w:tcPr>
            <w:tcW w:w="2530" w:type="dxa"/>
            <w:tcBorders>
              <w:top w:val="single" w:color="000000" w:sz="4" w:space="0"/>
              <w:left w:val="single" w:color="000000" w:sz="4" w:space="0"/>
              <w:right w:val="single" w:color="000000" w:sz="4" w:space="0"/>
            </w:tcBorders>
          </w:tcPr>
          <w:p>
            <w:pPr>
              <w:pStyle w:val="19"/>
              <w:ind w:left="48" w:right="29"/>
              <w:rPr>
                <w:sz w:val="21"/>
              </w:rPr>
            </w:pPr>
            <w:r>
              <w:rPr>
                <w:sz w:val="21"/>
              </w:rPr>
              <w:t>四周墙体和顶部设计为混</w:t>
            </w:r>
          </w:p>
          <w:p>
            <w:pPr>
              <w:pStyle w:val="19"/>
              <w:spacing w:before="57"/>
              <w:ind w:left="46" w:right="30"/>
              <w:rPr>
                <w:sz w:val="21"/>
              </w:rPr>
            </w:pPr>
            <w:r>
              <w:rPr>
                <w:sz w:val="21"/>
              </w:rPr>
              <w:t>凝土墙体，隔声门窗</w:t>
            </w:r>
          </w:p>
        </w:tc>
        <w:tc>
          <w:tcPr>
            <w:tcW w:w="738" w:type="dxa"/>
            <w:tcBorders>
              <w:top w:val="single" w:color="000000" w:sz="4" w:space="0"/>
              <w:left w:val="single" w:color="000000" w:sz="4" w:space="0"/>
              <w:right w:val="single" w:color="000000" w:sz="4" w:space="0"/>
            </w:tcBorders>
          </w:tcPr>
          <w:p>
            <w:pPr>
              <w:pStyle w:val="19"/>
              <w:spacing w:before="180"/>
              <w:ind w:right="247"/>
              <w:jc w:val="right"/>
              <w:rPr>
                <w:rFonts w:ascii="Times New Roman"/>
                <w:sz w:val="21"/>
              </w:rPr>
            </w:pPr>
            <w:r>
              <w:rPr>
                <w:rFonts w:ascii="Times New Roman"/>
                <w:sz w:val="21"/>
              </w:rPr>
              <w:t>20</w:t>
            </w:r>
          </w:p>
        </w:tc>
        <w:tc>
          <w:tcPr>
            <w:tcW w:w="946" w:type="dxa"/>
            <w:tcBorders>
              <w:top w:val="single" w:color="000000" w:sz="4" w:space="0"/>
              <w:left w:val="single" w:color="000000" w:sz="4" w:space="0"/>
              <w:right w:val="single" w:color="000000" w:sz="4" w:space="0"/>
            </w:tcBorders>
          </w:tcPr>
          <w:p>
            <w:pPr>
              <w:pStyle w:val="19"/>
              <w:spacing w:before="180"/>
              <w:ind w:left="372"/>
              <w:jc w:val="left"/>
              <w:rPr>
                <w:rFonts w:ascii="Times New Roman"/>
                <w:sz w:val="21"/>
              </w:rPr>
            </w:pPr>
            <w:r>
              <w:rPr>
                <w:rFonts w:ascii="Times New Roman"/>
                <w:sz w:val="21"/>
              </w:rPr>
              <w:t>60</w:t>
            </w:r>
          </w:p>
        </w:tc>
        <w:tc>
          <w:tcPr>
            <w:tcW w:w="968" w:type="dxa"/>
            <w:tcBorders>
              <w:top w:val="nil"/>
              <w:left w:val="single" w:color="000000" w:sz="4" w:space="0"/>
            </w:tcBorders>
          </w:tcPr>
          <w:p>
            <w:pPr>
              <w:pStyle w:val="19"/>
              <w:jc w:val="left"/>
              <w:rPr>
                <w:rFonts w:ascii="Times New Roman"/>
                <w:sz w:val="20"/>
              </w:rPr>
            </w:pPr>
          </w:p>
        </w:tc>
      </w:tr>
    </w:tbl>
    <w:p>
      <w:pPr>
        <w:spacing w:before="1"/>
        <w:ind w:left="4080" w:right="0" w:firstLine="0"/>
        <w:jc w:val="both"/>
        <w:rPr>
          <w:b/>
          <w:sz w:val="21"/>
        </w:rPr>
      </w:pPr>
      <w:r>
        <w:rPr>
          <w:b/>
          <w:spacing w:val="-28"/>
          <w:sz w:val="21"/>
        </w:rPr>
        <w:t xml:space="preserve">表 </w:t>
      </w:r>
      <w:r>
        <w:rPr>
          <w:rFonts w:ascii="Times New Roman" w:eastAsia="Times New Roman"/>
          <w:b/>
          <w:sz w:val="21"/>
        </w:rPr>
        <w:t>8.3-2</w:t>
      </w:r>
      <w:r>
        <w:rPr>
          <w:rFonts w:ascii="Times New Roman" w:eastAsia="Times New Roman"/>
          <w:b/>
          <w:spacing w:val="47"/>
          <w:sz w:val="21"/>
        </w:rPr>
        <w:t xml:space="preserve"> </w:t>
      </w:r>
      <w:r>
        <w:rPr>
          <w:b/>
          <w:sz w:val="21"/>
        </w:rPr>
        <w:t>副井工业广场主要噪声设备情况</w:t>
      </w:r>
    </w:p>
    <w:p>
      <w:pPr>
        <w:pStyle w:val="9"/>
        <w:spacing w:before="10"/>
        <w:rPr>
          <w:b/>
          <w:sz w:val="10"/>
        </w:rPr>
      </w:pPr>
    </w:p>
    <w:tbl>
      <w:tblPr>
        <w:tblStyle w:val="15"/>
        <w:tblW w:w="0" w:type="auto"/>
        <w:tblInd w:w="137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916"/>
        <w:gridCol w:w="1015"/>
        <w:gridCol w:w="828"/>
        <w:gridCol w:w="698"/>
        <w:gridCol w:w="2530"/>
        <w:gridCol w:w="738"/>
        <w:gridCol w:w="946"/>
        <w:gridCol w:w="9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4" w:hRule="atLeast"/>
        </w:trPr>
        <w:tc>
          <w:tcPr>
            <w:tcW w:w="538" w:type="dxa"/>
            <w:tcBorders>
              <w:bottom w:val="single" w:color="000000" w:sz="4" w:space="0"/>
              <w:right w:val="single" w:color="000000" w:sz="4" w:space="0"/>
            </w:tcBorders>
          </w:tcPr>
          <w:p>
            <w:pPr>
              <w:pStyle w:val="19"/>
              <w:spacing w:before="2"/>
              <w:jc w:val="left"/>
              <w:rPr>
                <w:b/>
                <w:sz w:val="24"/>
              </w:rPr>
            </w:pPr>
          </w:p>
          <w:p>
            <w:pPr>
              <w:pStyle w:val="19"/>
              <w:ind w:left="37" w:right="25"/>
              <w:rPr>
                <w:sz w:val="21"/>
              </w:rPr>
            </w:pPr>
            <w:r>
              <w:rPr>
                <w:sz w:val="21"/>
              </w:rPr>
              <w:t>序号</w:t>
            </w:r>
          </w:p>
        </w:tc>
        <w:tc>
          <w:tcPr>
            <w:tcW w:w="916" w:type="dxa"/>
            <w:tcBorders>
              <w:left w:val="single" w:color="000000" w:sz="4" w:space="0"/>
              <w:bottom w:val="single" w:color="000000" w:sz="4" w:space="0"/>
              <w:right w:val="single" w:color="000000" w:sz="4" w:space="0"/>
            </w:tcBorders>
          </w:tcPr>
          <w:p>
            <w:pPr>
              <w:pStyle w:val="19"/>
              <w:spacing w:before="2"/>
              <w:jc w:val="left"/>
              <w:rPr>
                <w:b/>
                <w:sz w:val="24"/>
              </w:rPr>
            </w:pPr>
          </w:p>
          <w:p>
            <w:pPr>
              <w:pStyle w:val="19"/>
              <w:ind w:left="126" w:right="109"/>
              <w:rPr>
                <w:sz w:val="21"/>
              </w:rPr>
            </w:pPr>
            <w:r>
              <w:rPr>
                <w:sz w:val="21"/>
              </w:rPr>
              <w:t>噪声源</w:t>
            </w:r>
          </w:p>
        </w:tc>
        <w:tc>
          <w:tcPr>
            <w:tcW w:w="1015" w:type="dxa"/>
            <w:tcBorders>
              <w:left w:val="single" w:color="000000" w:sz="4" w:space="0"/>
              <w:bottom w:val="single" w:color="000000" w:sz="4" w:space="0"/>
              <w:right w:val="single" w:color="000000" w:sz="4" w:space="0"/>
            </w:tcBorders>
          </w:tcPr>
          <w:p>
            <w:pPr>
              <w:pStyle w:val="19"/>
              <w:spacing w:before="2"/>
              <w:jc w:val="left"/>
              <w:rPr>
                <w:b/>
                <w:sz w:val="24"/>
              </w:rPr>
            </w:pPr>
          </w:p>
          <w:p>
            <w:pPr>
              <w:pStyle w:val="19"/>
              <w:ind w:left="69" w:right="56"/>
              <w:rPr>
                <w:sz w:val="21"/>
              </w:rPr>
            </w:pPr>
            <w:r>
              <w:rPr>
                <w:sz w:val="21"/>
              </w:rPr>
              <w:t>发声建筑</w:t>
            </w:r>
          </w:p>
        </w:tc>
        <w:tc>
          <w:tcPr>
            <w:tcW w:w="828" w:type="dxa"/>
            <w:tcBorders>
              <w:left w:val="single" w:color="000000" w:sz="4" w:space="0"/>
              <w:bottom w:val="single" w:color="000000" w:sz="4" w:space="0"/>
              <w:right w:val="single" w:color="000000" w:sz="4" w:space="0"/>
            </w:tcBorders>
          </w:tcPr>
          <w:p>
            <w:pPr>
              <w:pStyle w:val="19"/>
              <w:spacing w:before="144" w:line="290" w:lineRule="auto"/>
              <w:ind w:left="102" w:right="84"/>
              <w:jc w:val="left"/>
              <w:rPr>
                <w:sz w:val="21"/>
              </w:rPr>
            </w:pPr>
            <w:r>
              <w:rPr>
                <w:sz w:val="21"/>
              </w:rPr>
              <w:t>同时启用台数</w:t>
            </w:r>
          </w:p>
        </w:tc>
        <w:tc>
          <w:tcPr>
            <w:tcW w:w="698" w:type="dxa"/>
            <w:tcBorders>
              <w:left w:val="single" w:color="000000" w:sz="4" w:space="0"/>
              <w:bottom w:val="single" w:color="000000" w:sz="4" w:space="0"/>
              <w:right w:val="single" w:color="000000" w:sz="4" w:space="0"/>
            </w:tcBorders>
          </w:tcPr>
          <w:p>
            <w:pPr>
              <w:pStyle w:val="19"/>
              <w:spacing w:before="163"/>
              <w:ind w:left="143"/>
              <w:jc w:val="left"/>
              <w:rPr>
                <w:sz w:val="21"/>
              </w:rPr>
            </w:pPr>
            <w:r>
              <w:rPr>
                <w:sz w:val="21"/>
              </w:rPr>
              <w:t>源强</w:t>
            </w:r>
          </w:p>
          <w:p>
            <w:pPr>
              <w:pStyle w:val="19"/>
              <w:spacing w:before="57"/>
              <w:ind w:left="85"/>
              <w:jc w:val="left"/>
              <w:rPr>
                <w:rFonts w:ascii="Times New Roman"/>
                <w:sz w:val="21"/>
              </w:rPr>
            </w:pPr>
            <w:r>
              <w:rPr>
                <w:rFonts w:ascii="Times New Roman"/>
                <w:sz w:val="21"/>
              </w:rPr>
              <w:t>dB(A)</w:t>
            </w:r>
          </w:p>
        </w:tc>
        <w:tc>
          <w:tcPr>
            <w:tcW w:w="2530" w:type="dxa"/>
            <w:tcBorders>
              <w:left w:val="single" w:color="000000" w:sz="4" w:space="0"/>
              <w:bottom w:val="single" w:color="000000" w:sz="4" w:space="0"/>
              <w:right w:val="single" w:color="000000" w:sz="4" w:space="0"/>
            </w:tcBorders>
          </w:tcPr>
          <w:p>
            <w:pPr>
              <w:pStyle w:val="19"/>
              <w:spacing w:before="2"/>
              <w:jc w:val="left"/>
              <w:rPr>
                <w:b/>
                <w:sz w:val="24"/>
              </w:rPr>
            </w:pPr>
          </w:p>
          <w:p>
            <w:pPr>
              <w:pStyle w:val="19"/>
              <w:ind w:left="46" w:right="30"/>
              <w:rPr>
                <w:sz w:val="21"/>
              </w:rPr>
            </w:pPr>
            <w:r>
              <w:rPr>
                <w:sz w:val="21"/>
              </w:rPr>
              <w:t>治理措施</w:t>
            </w:r>
          </w:p>
        </w:tc>
        <w:tc>
          <w:tcPr>
            <w:tcW w:w="738" w:type="dxa"/>
            <w:tcBorders>
              <w:left w:val="single" w:color="000000" w:sz="4" w:space="0"/>
              <w:bottom w:val="single" w:color="000000" w:sz="4" w:space="0"/>
              <w:right w:val="single" w:color="000000" w:sz="4" w:space="0"/>
            </w:tcBorders>
          </w:tcPr>
          <w:p>
            <w:pPr>
              <w:pStyle w:val="19"/>
              <w:spacing w:line="290" w:lineRule="auto"/>
              <w:ind w:left="162" w:right="143"/>
              <w:jc w:val="left"/>
              <w:rPr>
                <w:sz w:val="21"/>
              </w:rPr>
            </w:pPr>
            <w:r>
              <w:rPr>
                <w:spacing w:val="-7"/>
                <w:sz w:val="21"/>
              </w:rPr>
              <w:t>降噪</w:t>
            </w:r>
            <w:r>
              <w:rPr>
                <w:spacing w:val="-9"/>
                <w:sz w:val="21"/>
              </w:rPr>
              <w:t>效果</w:t>
            </w:r>
          </w:p>
          <w:p>
            <w:pPr>
              <w:pStyle w:val="19"/>
              <w:spacing w:before="1"/>
              <w:ind w:left="107"/>
              <w:jc w:val="left"/>
              <w:rPr>
                <w:rFonts w:ascii="Times New Roman"/>
                <w:sz w:val="21"/>
              </w:rPr>
            </w:pPr>
            <w:r>
              <w:rPr>
                <w:rFonts w:ascii="Times New Roman"/>
                <w:sz w:val="21"/>
              </w:rPr>
              <w:t>dB(A)</w:t>
            </w:r>
          </w:p>
        </w:tc>
        <w:tc>
          <w:tcPr>
            <w:tcW w:w="946" w:type="dxa"/>
            <w:tcBorders>
              <w:left w:val="single" w:color="000000" w:sz="4" w:space="0"/>
              <w:bottom w:val="single" w:color="000000" w:sz="4" w:space="0"/>
              <w:right w:val="single" w:color="000000" w:sz="4" w:space="0"/>
            </w:tcBorders>
          </w:tcPr>
          <w:p>
            <w:pPr>
              <w:pStyle w:val="19"/>
              <w:spacing w:line="290" w:lineRule="auto"/>
              <w:ind w:left="267" w:right="143" w:hanging="106"/>
              <w:jc w:val="left"/>
              <w:rPr>
                <w:sz w:val="21"/>
              </w:rPr>
            </w:pPr>
            <w:r>
              <w:rPr>
                <w:sz w:val="21"/>
              </w:rPr>
              <w:t>噪声排放量</w:t>
            </w:r>
          </w:p>
          <w:p>
            <w:pPr>
              <w:pStyle w:val="19"/>
              <w:spacing w:before="1"/>
              <w:ind w:left="209"/>
              <w:jc w:val="left"/>
              <w:rPr>
                <w:rFonts w:ascii="Times New Roman"/>
                <w:sz w:val="21"/>
              </w:rPr>
            </w:pPr>
            <w:r>
              <w:rPr>
                <w:rFonts w:ascii="Times New Roman"/>
                <w:sz w:val="21"/>
              </w:rPr>
              <w:t>dB(A)</w:t>
            </w:r>
          </w:p>
        </w:tc>
        <w:tc>
          <w:tcPr>
            <w:tcW w:w="968" w:type="dxa"/>
            <w:tcBorders>
              <w:left w:val="single" w:color="000000" w:sz="4" w:space="0"/>
              <w:bottom w:val="single" w:color="000000" w:sz="4" w:space="0"/>
            </w:tcBorders>
          </w:tcPr>
          <w:p>
            <w:pPr>
              <w:pStyle w:val="19"/>
              <w:spacing w:before="144" w:line="290" w:lineRule="auto"/>
              <w:ind w:left="278" w:right="254"/>
              <w:jc w:val="left"/>
              <w:rPr>
                <w:sz w:val="21"/>
              </w:rPr>
            </w:pPr>
            <w:r>
              <w:rPr>
                <w:sz w:val="21"/>
              </w:rPr>
              <w:t>预期效果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538" w:type="dxa"/>
            <w:tcBorders>
              <w:top w:val="single" w:color="000000" w:sz="4" w:space="0"/>
              <w:bottom w:val="single" w:color="000000" w:sz="4" w:space="0"/>
              <w:right w:val="single" w:color="000000" w:sz="4" w:space="0"/>
            </w:tcBorders>
          </w:tcPr>
          <w:p>
            <w:pPr>
              <w:pStyle w:val="19"/>
              <w:spacing w:before="17"/>
              <w:ind w:left="11"/>
              <w:rPr>
                <w:rFonts w:ascii="Times New Roman"/>
                <w:sz w:val="21"/>
              </w:rPr>
            </w:pPr>
            <w:r>
              <w:rPr>
                <w:rFonts w:ascii="Times New Roman"/>
                <w:w w:val="99"/>
                <w:sz w:val="21"/>
              </w:rPr>
              <w:t>1</w:t>
            </w:r>
          </w:p>
        </w:tc>
        <w:tc>
          <w:tcPr>
            <w:tcW w:w="916" w:type="dxa"/>
            <w:tcBorders>
              <w:top w:val="single" w:color="000000" w:sz="4" w:space="0"/>
              <w:left w:val="single" w:color="000000" w:sz="4" w:space="0"/>
              <w:bottom w:val="single" w:color="000000" w:sz="4" w:space="0"/>
              <w:right w:val="single" w:color="000000" w:sz="4" w:space="0"/>
            </w:tcBorders>
          </w:tcPr>
          <w:p>
            <w:pPr>
              <w:pStyle w:val="19"/>
              <w:spacing w:before="1"/>
              <w:ind w:left="126" w:right="109"/>
              <w:rPr>
                <w:sz w:val="21"/>
              </w:rPr>
            </w:pPr>
            <w:r>
              <w:rPr>
                <w:sz w:val="21"/>
              </w:rPr>
              <w:t>通风机</w:t>
            </w:r>
          </w:p>
        </w:tc>
        <w:tc>
          <w:tcPr>
            <w:tcW w:w="1015" w:type="dxa"/>
            <w:tcBorders>
              <w:top w:val="single" w:color="000000" w:sz="4" w:space="0"/>
              <w:left w:val="single" w:color="000000" w:sz="4" w:space="0"/>
              <w:bottom w:val="single" w:color="000000" w:sz="4" w:space="0"/>
              <w:right w:val="single" w:color="000000" w:sz="4" w:space="0"/>
            </w:tcBorders>
          </w:tcPr>
          <w:p>
            <w:pPr>
              <w:pStyle w:val="19"/>
              <w:spacing w:before="1"/>
              <w:ind w:left="69" w:right="56"/>
              <w:rPr>
                <w:sz w:val="21"/>
              </w:rPr>
            </w:pPr>
            <w:r>
              <w:rPr>
                <w:sz w:val="21"/>
              </w:rPr>
              <w:t>通风机房</w:t>
            </w:r>
          </w:p>
        </w:tc>
        <w:tc>
          <w:tcPr>
            <w:tcW w:w="828" w:type="dxa"/>
            <w:tcBorders>
              <w:top w:val="single" w:color="000000" w:sz="4" w:space="0"/>
              <w:left w:val="single" w:color="000000" w:sz="4" w:space="0"/>
              <w:bottom w:val="single" w:color="000000" w:sz="4" w:space="0"/>
              <w:right w:val="single" w:color="000000" w:sz="4" w:space="0"/>
            </w:tcBorders>
          </w:tcPr>
          <w:p>
            <w:pPr>
              <w:pStyle w:val="19"/>
              <w:spacing w:before="17"/>
              <w:ind w:left="15"/>
              <w:rPr>
                <w:rFonts w:ascii="Times New Roman"/>
                <w:sz w:val="21"/>
              </w:rPr>
            </w:pPr>
            <w:r>
              <w:rPr>
                <w:rFonts w:ascii="Times New Roman"/>
                <w:w w:val="99"/>
                <w:sz w:val="21"/>
              </w:rPr>
              <w:t>1</w:t>
            </w:r>
          </w:p>
        </w:tc>
        <w:tc>
          <w:tcPr>
            <w:tcW w:w="698" w:type="dxa"/>
            <w:tcBorders>
              <w:top w:val="single" w:color="000000" w:sz="4" w:space="0"/>
              <w:left w:val="single" w:color="000000" w:sz="4" w:space="0"/>
              <w:bottom w:val="single" w:color="000000" w:sz="4" w:space="0"/>
              <w:right w:val="single" w:color="000000" w:sz="4" w:space="0"/>
            </w:tcBorders>
          </w:tcPr>
          <w:p>
            <w:pPr>
              <w:pStyle w:val="19"/>
              <w:spacing w:before="17"/>
              <w:ind w:left="229" w:right="209"/>
              <w:rPr>
                <w:rFonts w:ascii="Times New Roman"/>
                <w:sz w:val="21"/>
              </w:rPr>
            </w:pPr>
            <w:r>
              <w:rPr>
                <w:rFonts w:ascii="Times New Roman"/>
                <w:sz w:val="21"/>
              </w:rPr>
              <w:t>88</w:t>
            </w:r>
          </w:p>
        </w:tc>
        <w:tc>
          <w:tcPr>
            <w:tcW w:w="2530" w:type="dxa"/>
            <w:tcBorders>
              <w:top w:val="single" w:color="000000" w:sz="4" w:space="0"/>
              <w:left w:val="single" w:color="000000" w:sz="4" w:space="0"/>
              <w:bottom w:val="single" w:color="000000" w:sz="4" w:space="0"/>
              <w:right w:val="single" w:color="000000" w:sz="4" w:space="0"/>
            </w:tcBorders>
          </w:tcPr>
          <w:p>
            <w:pPr>
              <w:pStyle w:val="19"/>
              <w:spacing w:before="1"/>
              <w:ind w:left="46" w:right="30"/>
              <w:rPr>
                <w:sz w:val="21"/>
              </w:rPr>
            </w:pPr>
            <w:r>
              <w:rPr>
                <w:sz w:val="21"/>
              </w:rPr>
              <w:t>隔声减振</w:t>
            </w:r>
          </w:p>
        </w:tc>
        <w:tc>
          <w:tcPr>
            <w:tcW w:w="738" w:type="dxa"/>
            <w:tcBorders>
              <w:top w:val="single" w:color="000000" w:sz="4" w:space="0"/>
              <w:left w:val="single" w:color="000000" w:sz="4" w:space="0"/>
              <w:bottom w:val="single" w:color="000000" w:sz="4" w:space="0"/>
              <w:right w:val="single" w:color="000000" w:sz="4" w:space="0"/>
            </w:tcBorders>
          </w:tcPr>
          <w:p>
            <w:pPr>
              <w:pStyle w:val="19"/>
              <w:spacing w:before="17"/>
              <w:ind w:left="141" w:right="123"/>
              <w:rPr>
                <w:rFonts w:ascii="Times New Roman"/>
                <w:sz w:val="21"/>
              </w:rPr>
            </w:pPr>
            <w:r>
              <w:rPr>
                <w:rFonts w:ascii="Times New Roman"/>
                <w:sz w:val="21"/>
              </w:rPr>
              <w:t>20</w:t>
            </w:r>
          </w:p>
        </w:tc>
        <w:tc>
          <w:tcPr>
            <w:tcW w:w="946" w:type="dxa"/>
            <w:tcBorders>
              <w:top w:val="single" w:color="000000" w:sz="4" w:space="0"/>
              <w:left w:val="single" w:color="000000" w:sz="4" w:space="0"/>
              <w:bottom w:val="single" w:color="000000" w:sz="4" w:space="0"/>
              <w:right w:val="single" w:color="000000" w:sz="4" w:space="0"/>
            </w:tcBorders>
          </w:tcPr>
          <w:p>
            <w:pPr>
              <w:pStyle w:val="19"/>
              <w:spacing w:before="17"/>
              <w:ind w:left="372"/>
              <w:jc w:val="left"/>
              <w:rPr>
                <w:rFonts w:ascii="Times New Roman"/>
                <w:sz w:val="21"/>
              </w:rPr>
            </w:pPr>
            <w:r>
              <w:rPr>
                <w:rFonts w:ascii="Times New Roman"/>
                <w:sz w:val="21"/>
              </w:rPr>
              <w:t>68</w:t>
            </w:r>
          </w:p>
        </w:tc>
        <w:tc>
          <w:tcPr>
            <w:tcW w:w="968" w:type="dxa"/>
            <w:tcBorders>
              <w:top w:val="single" w:color="000000" w:sz="4" w:space="0"/>
              <w:left w:val="single" w:color="000000" w:sz="4" w:space="0"/>
              <w:bottom w:val="nil"/>
            </w:tcBorders>
          </w:tcPr>
          <w:p>
            <w:pPr>
              <w:pStyle w:val="19"/>
              <w:spacing w:before="68" w:line="238" w:lineRule="exact"/>
              <w:ind w:left="171" w:right="149"/>
              <w:rPr>
                <w:sz w:val="21"/>
              </w:rPr>
            </w:pPr>
            <w:r>
              <w:rPr>
                <w:sz w:val="21"/>
              </w:rPr>
              <w:t>昼间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atLeast"/>
        </w:trPr>
        <w:tc>
          <w:tcPr>
            <w:tcW w:w="538" w:type="dxa"/>
            <w:tcBorders>
              <w:top w:val="single" w:color="000000" w:sz="4" w:space="0"/>
              <w:bottom w:val="nil"/>
              <w:right w:val="single" w:color="000000" w:sz="4" w:space="0"/>
            </w:tcBorders>
          </w:tcPr>
          <w:p>
            <w:pPr>
              <w:pStyle w:val="19"/>
              <w:jc w:val="left"/>
              <w:rPr>
                <w:rFonts w:ascii="Times New Roman"/>
                <w:sz w:val="20"/>
              </w:rPr>
            </w:pPr>
          </w:p>
        </w:tc>
        <w:tc>
          <w:tcPr>
            <w:tcW w:w="916"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1015"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828"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698"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2530" w:type="dxa"/>
            <w:vMerge w:val="restart"/>
            <w:tcBorders>
              <w:top w:val="single" w:color="000000" w:sz="4" w:space="0"/>
              <w:left w:val="single" w:color="000000" w:sz="4" w:space="0"/>
              <w:bottom w:val="single" w:color="000000" w:sz="4" w:space="0"/>
              <w:right w:val="single" w:color="000000" w:sz="4" w:space="0"/>
            </w:tcBorders>
          </w:tcPr>
          <w:p>
            <w:pPr>
              <w:pStyle w:val="19"/>
              <w:spacing w:before="1" w:line="290" w:lineRule="auto"/>
              <w:ind w:left="62" w:right="42"/>
              <w:jc w:val="both"/>
              <w:rPr>
                <w:sz w:val="21"/>
              </w:rPr>
            </w:pPr>
            <w:r>
              <w:rPr>
                <w:spacing w:val="-11"/>
                <w:sz w:val="21"/>
              </w:rPr>
              <w:t>对空压机采用隔振机座，进排气口安装消声器，对机房</w:t>
            </w:r>
            <w:r>
              <w:rPr>
                <w:sz w:val="21"/>
              </w:rPr>
              <w:t>墙壁、顶棚进行吸声处理</w:t>
            </w:r>
          </w:p>
          <w:p>
            <w:pPr>
              <w:pStyle w:val="19"/>
              <w:spacing w:before="2"/>
              <w:ind w:left="429"/>
              <w:jc w:val="left"/>
              <w:rPr>
                <w:sz w:val="21"/>
              </w:rPr>
            </w:pPr>
            <w:r>
              <w:rPr>
                <w:sz w:val="21"/>
              </w:rPr>
              <w:t>门窗采用隔声门窗</w:t>
            </w:r>
          </w:p>
        </w:tc>
        <w:tc>
          <w:tcPr>
            <w:tcW w:w="738"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946"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968" w:type="dxa"/>
            <w:tcBorders>
              <w:top w:val="nil"/>
              <w:left w:val="single" w:color="000000" w:sz="4" w:space="0"/>
              <w:bottom w:val="nil"/>
            </w:tcBorders>
          </w:tcPr>
          <w:p>
            <w:pPr>
              <w:pStyle w:val="19"/>
              <w:spacing w:before="58"/>
              <w:ind w:left="171" w:right="147"/>
              <w:rPr>
                <w:rFonts w:ascii="Times New Roman" w:hAnsi="Times New Roman"/>
                <w:sz w:val="21"/>
              </w:rPr>
            </w:pPr>
            <w:r>
              <w:rPr>
                <w:rFonts w:ascii="Times New Roman" w:hAnsi="Times New Roman"/>
                <w:sz w:val="21"/>
              </w:rPr>
              <w:t>≤60dB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538" w:type="dxa"/>
            <w:tcBorders>
              <w:top w:val="nil"/>
              <w:bottom w:val="nil"/>
              <w:right w:val="single" w:color="000000" w:sz="4" w:space="0"/>
            </w:tcBorders>
          </w:tcPr>
          <w:p>
            <w:pPr>
              <w:pStyle w:val="19"/>
              <w:spacing w:before="173"/>
              <w:ind w:left="11"/>
              <w:rPr>
                <w:rFonts w:ascii="Times New Roman"/>
                <w:sz w:val="21"/>
              </w:rPr>
            </w:pPr>
            <w:r>
              <w:rPr>
                <w:rFonts w:ascii="Times New Roman"/>
                <w:w w:val="99"/>
                <w:sz w:val="21"/>
              </w:rPr>
              <w:t>2</w:t>
            </w:r>
          </w:p>
        </w:tc>
        <w:tc>
          <w:tcPr>
            <w:tcW w:w="916" w:type="dxa"/>
            <w:tcBorders>
              <w:top w:val="nil"/>
              <w:left w:val="single" w:color="000000" w:sz="4" w:space="0"/>
              <w:bottom w:val="nil"/>
              <w:right w:val="single" w:color="000000" w:sz="4" w:space="0"/>
            </w:tcBorders>
          </w:tcPr>
          <w:p>
            <w:pPr>
              <w:pStyle w:val="19"/>
              <w:spacing w:line="263" w:lineRule="exact"/>
              <w:ind w:left="126" w:right="109"/>
              <w:rPr>
                <w:sz w:val="21"/>
              </w:rPr>
            </w:pPr>
            <w:r>
              <w:rPr>
                <w:sz w:val="21"/>
              </w:rPr>
              <w:t>空气压</w:t>
            </w:r>
          </w:p>
          <w:p>
            <w:pPr>
              <w:pStyle w:val="19"/>
              <w:spacing w:before="57"/>
              <w:ind w:left="126" w:right="109"/>
              <w:rPr>
                <w:sz w:val="21"/>
              </w:rPr>
            </w:pPr>
            <w:r>
              <w:rPr>
                <w:sz w:val="21"/>
              </w:rPr>
              <w:t>缩机</w:t>
            </w:r>
          </w:p>
        </w:tc>
        <w:tc>
          <w:tcPr>
            <w:tcW w:w="1015" w:type="dxa"/>
            <w:tcBorders>
              <w:top w:val="nil"/>
              <w:left w:val="single" w:color="000000" w:sz="4" w:space="0"/>
              <w:bottom w:val="nil"/>
              <w:right w:val="single" w:color="000000" w:sz="4" w:space="0"/>
            </w:tcBorders>
          </w:tcPr>
          <w:p>
            <w:pPr>
              <w:pStyle w:val="19"/>
              <w:spacing w:before="157"/>
              <w:ind w:left="69" w:right="56"/>
              <w:rPr>
                <w:sz w:val="21"/>
              </w:rPr>
            </w:pPr>
            <w:r>
              <w:rPr>
                <w:sz w:val="21"/>
              </w:rPr>
              <w:t>压风机站</w:t>
            </w:r>
          </w:p>
        </w:tc>
        <w:tc>
          <w:tcPr>
            <w:tcW w:w="828" w:type="dxa"/>
            <w:tcBorders>
              <w:top w:val="nil"/>
              <w:left w:val="single" w:color="000000" w:sz="4" w:space="0"/>
              <w:bottom w:val="nil"/>
              <w:right w:val="single" w:color="000000" w:sz="4" w:space="0"/>
            </w:tcBorders>
          </w:tcPr>
          <w:p>
            <w:pPr>
              <w:pStyle w:val="19"/>
              <w:spacing w:before="173"/>
              <w:ind w:left="15"/>
              <w:rPr>
                <w:rFonts w:ascii="Times New Roman"/>
                <w:sz w:val="21"/>
              </w:rPr>
            </w:pPr>
            <w:r>
              <w:rPr>
                <w:rFonts w:ascii="Times New Roman"/>
                <w:w w:val="99"/>
                <w:sz w:val="21"/>
              </w:rPr>
              <w:t>2</w:t>
            </w:r>
          </w:p>
        </w:tc>
        <w:tc>
          <w:tcPr>
            <w:tcW w:w="698" w:type="dxa"/>
            <w:tcBorders>
              <w:top w:val="nil"/>
              <w:left w:val="single" w:color="000000" w:sz="4" w:space="0"/>
              <w:bottom w:val="nil"/>
              <w:right w:val="single" w:color="000000" w:sz="4" w:space="0"/>
            </w:tcBorders>
          </w:tcPr>
          <w:p>
            <w:pPr>
              <w:pStyle w:val="19"/>
              <w:spacing w:before="173"/>
              <w:ind w:left="229" w:right="209"/>
              <w:rPr>
                <w:rFonts w:ascii="Times New Roman"/>
                <w:sz w:val="21"/>
              </w:rPr>
            </w:pPr>
            <w:r>
              <w:rPr>
                <w:rFonts w:ascii="Times New Roman"/>
                <w:sz w:val="21"/>
              </w:rPr>
              <w:t>95</w:t>
            </w:r>
          </w:p>
        </w:tc>
        <w:tc>
          <w:tcPr>
            <w:tcW w:w="2530" w:type="dxa"/>
            <w:vMerge w:val="continue"/>
            <w:tcBorders>
              <w:top w:val="nil"/>
              <w:left w:val="single" w:color="000000" w:sz="4" w:space="0"/>
              <w:bottom w:val="single" w:color="000000" w:sz="4" w:space="0"/>
              <w:right w:val="single" w:color="000000" w:sz="4" w:space="0"/>
            </w:tcBorders>
          </w:tcPr>
          <w:p>
            <w:pPr>
              <w:rPr>
                <w:sz w:val="2"/>
                <w:szCs w:val="2"/>
              </w:rPr>
            </w:pPr>
          </w:p>
        </w:tc>
        <w:tc>
          <w:tcPr>
            <w:tcW w:w="738" w:type="dxa"/>
            <w:tcBorders>
              <w:top w:val="nil"/>
              <w:left w:val="single" w:color="000000" w:sz="4" w:space="0"/>
              <w:bottom w:val="nil"/>
              <w:right w:val="single" w:color="000000" w:sz="4" w:space="0"/>
            </w:tcBorders>
          </w:tcPr>
          <w:p>
            <w:pPr>
              <w:pStyle w:val="19"/>
              <w:spacing w:before="173" w:line="194" w:lineRule="exact"/>
              <w:ind w:left="141" w:right="123"/>
              <w:rPr>
                <w:rFonts w:ascii="Times New Roman"/>
                <w:sz w:val="21"/>
              </w:rPr>
            </w:pPr>
            <w:r>
              <w:rPr>
                <w:rFonts w:ascii="Times New Roman"/>
                <w:sz w:val="21"/>
              </w:rPr>
              <w:t>25</w:t>
            </w:r>
          </w:p>
          <w:p>
            <w:pPr>
              <w:pStyle w:val="19"/>
              <w:spacing w:line="222" w:lineRule="exact"/>
              <w:ind w:left="-159"/>
              <w:jc w:val="left"/>
              <w:rPr>
                <w:sz w:val="21"/>
              </w:rPr>
            </w:pPr>
            <w:r>
              <w:rPr>
                <w:w w:val="99"/>
                <w:sz w:val="21"/>
              </w:rPr>
              <w:t>，</w:t>
            </w:r>
          </w:p>
        </w:tc>
        <w:tc>
          <w:tcPr>
            <w:tcW w:w="946" w:type="dxa"/>
            <w:tcBorders>
              <w:top w:val="nil"/>
              <w:left w:val="single" w:color="000000" w:sz="4" w:space="0"/>
              <w:bottom w:val="nil"/>
              <w:right w:val="single" w:color="000000" w:sz="4" w:space="0"/>
            </w:tcBorders>
          </w:tcPr>
          <w:p>
            <w:pPr>
              <w:pStyle w:val="19"/>
              <w:spacing w:before="173"/>
              <w:ind w:left="372"/>
              <w:jc w:val="left"/>
              <w:rPr>
                <w:rFonts w:ascii="Times New Roman"/>
                <w:sz w:val="21"/>
              </w:rPr>
            </w:pPr>
            <w:r>
              <w:rPr>
                <w:rFonts w:ascii="Times New Roman"/>
                <w:sz w:val="21"/>
              </w:rPr>
              <w:t>70</w:t>
            </w:r>
          </w:p>
        </w:tc>
        <w:tc>
          <w:tcPr>
            <w:tcW w:w="968" w:type="dxa"/>
            <w:tcBorders>
              <w:top w:val="nil"/>
              <w:left w:val="single" w:color="000000" w:sz="4" w:space="0"/>
              <w:bottom w:val="nil"/>
            </w:tcBorders>
          </w:tcPr>
          <w:p>
            <w:pPr>
              <w:pStyle w:val="19"/>
              <w:spacing w:before="15"/>
              <w:ind w:left="201"/>
              <w:jc w:val="left"/>
              <w:rPr>
                <w:sz w:val="21"/>
              </w:rPr>
            </w:pPr>
            <w:r>
              <w:rPr>
                <w:sz w:val="21"/>
              </w:rPr>
              <w:t>（</w:t>
            </w:r>
            <w:r>
              <w:rPr>
                <w:rFonts w:ascii="Times New Roman" w:eastAsia="Times New Roman"/>
                <w:sz w:val="21"/>
              </w:rPr>
              <w:t>A</w:t>
            </w:r>
            <w:r>
              <w:rPr>
                <w:sz w:val="21"/>
              </w:rPr>
              <w:t>）</w:t>
            </w:r>
          </w:p>
          <w:p>
            <w:pPr>
              <w:pStyle w:val="19"/>
              <w:spacing w:before="57" w:line="263" w:lineRule="exact"/>
              <w:ind w:left="173"/>
              <w:jc w:val="left"/>
              <w:rPr>
                <w:sz w:val="21"/>
              </w:rPr>
            </w:pPr>
            <w:r>
              <w:rPr>
                <w:w w:val="95"/>
                <w:sz w:val="21"/>
              </w:rPr>
              <w:t>；夜间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trPr>
        <w:tc>
          <w:tcPr>
            <w:tcW w:w="538" w:type="dxa"/>
            <w:tcBorders>
              <w:top w:val="nil"/>
              <w:bottom w:val="single" w:color="000000" w:sz="4" w:space="0"/>
              <w:right w:val="single" w:color="000000" w:sz="4" w:space="0"/>
            </w:tcBorders>
          </w:tcPr>
          <w:p>
            <w:pPr>
              <w:pStyle w:val="19"/>
              <w:jc w:val="left"/>
              <w:rPr>
                <w:rFonts w:ascii="Times New Roman"/>
                <w:sz w:val="20"/>
              </w:rPr>
            </w:pPr>
          </w:p>
        </w:tc>
        <w:tc>
          <w:tcPr>
            <w:tcW w:w="916"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1015"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828"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698"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2530" w:type="dxa"/>
            <w:vMerge w:val="continue"/>
            <w:tcBorders>
              <w:top w:val="nil"/>
              <w:left w:val="single" w:color="000000" w:sz="4" w:space="0"/>
              <w:bottom w:val="single" w:color="000000" w:sz="4" w:space="0"/>
              <w:right w:val="single" w:color="000000" w:sz="4" w:space="0"/>
            </w:tcBorders>
          </w:tcPr>
          <w:p>
            <w:pPr>
              <w:rPr>
                <w:sz w:val="2"/>
                <w:szCs w:val="2"/>
              </w:rPr>
            </w:pPr>
          </w:p>
        </w:tc>
        <w:tc>
          <w:tcPr>
            <w:tcW w:w="738"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946"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968" w:type="dxa"/>
            <w:tcBorders>
              <w:top w:val="nil"/>
              <w:left w:val="single" w:color="000000" w:sz="4" w:space="0"/>
              <w:bottom w:val="nil"/>
            </w:tcBorders>
          </w:tcPr>
          <w:p>
            <w:pPr>
              <w:pStyle w:val="19"/>
              <w:spacing w:before="33"/>
              <w:ind w:left="171" w:right="147"/>
              <w:rPr>
                <w:rFonts w:ascii="Times New Roman" w:hAnsi="Times New Roman"/>
                <w:sz w:val="21"/>
              </w:rPr>
            </w:pPr>
            <w:r>
              <w:rPr>
                <w:rFonts w:ascii="Times New Roman" w:hAnsi="Times New Roman"/>
                <w:sz w:val="21"/>
              </w:rPr>
              <w:t>≤50dB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538" w:type="dxa"/>
            <w:tcBorders>
              <w:top w:val="single" w:color="000000" w:sz="4" w:space="0"/>
              <w:right w:val="single" w:color="000000" w:sz="4" w:space="0"/>
            </w:tcBorders>
          </w:tcPr>
          <w:p>
            <w:pPr>
              <w:pStyle w:val="19"/>
              <w:spacing w:before="38"/>
              <w:ind w:left="11"/>
              <w:rPr>
                <w:rFonts w:ascii="Times New Roman"/>
                <w:sz w:val="21"/>
              </w:rPr>
            </w:pPr>
            <w:r>
              <w:rPr>
                <w:rFonts w:ascii="Times New Roman"/>
                <w:w w:val="99"/>
                <w:sz w:val="21"/>
              </w:rPr>
              <w:t>3</w:t>
            </w:r>
          </w:p>
        </w:tc>
        <w:tc>
          <w:tcPr>
            <w:tcW w:w="916" w:type="dxa"/>
            <w:tcBorders>
              <w:top w:val="single" w:color="000000" w:sz="4" w:space="0"/>
              <w:left w:val="single" w:color="000000" w:sz="4" w:space="0"/>
              <w:right w:val="single" w:color="000000" w:sz="4" w:space="0"/>
            </w:tcBorders>
          </w:tcPr>
          <w:p>
            <w:pPr>
              <w:pStyle w:val="19"/>
              <w:spacing w:before="22"/>
              <w:ind w:left="126" w:right="109"/>
              <w:rPr>
                <w:sz w:val="21"/>
              </w:rPr>
            </w:pPr>
            <w:r>
              <w:rPr>
                <w:sz w:val="21"/>
              </w:rPr>
              <w:t>鼓风机</w:t>
            </w:r>
          </w:p>
        </w:tc>
        <w:tc>
          <w:tcPr>
            <w:tcW w:w="1015" w:type="dxa"/>
            <w:tcBorders>
              <w:top w:val="single" w:color="000000" w:sz="4" w:space="0"/>
              <w:left w:val="single" w:color="000000" w:sz="4" w:space="0"/>
              <w:right w:val="single" w:color="000000" w:sz="4" w:space="0"/>
            </w:tcBorders>
          </w:tcPr>
          <w:p>
            <w:pPr>
              <w:pStyle w:val="19"/>
              <w:spacing w:before="22"/>
              <w:ind w:left="69" w:right="53"/>
              <w:rPr>
                <w:sz w:val="21"/>
              </w:rPr>
            </w:pPr>
            <w:r>
              <w:rPr>
                <w:sz w:val="21"/>
              </w:rPr>
              <w:t>锅炉房</w:t>
            </w:r>
          </w:p>
        </w:tc>
        <w:tc>
          <w:tcPr>
            <w:tcW w:w="828" w:type="dxa"/>
            <w:tcBorders>
              <w:top w:val="single" w:color="000000" w:sz="4" w:space="0"/>
              <w:left w:val="single" w:color="000000" w:sz="4" w:space="0"/>
              <w:right w:val="single" w:color="000000" w:sz="4" w:space="0"/>
            </w:tcBorders>
          </w:tcPr>
          <w:p>
            <w:pPr>
              <w:pStyle w:val="19"/>
              <w:spacing w:before="38"/>
              <w:ind w:left="15"/>
              <w:rPr>
                <w:rFonts w:ascii="Times New Roman"/>
                <w:sz w:val="21"/>
              </w:rPr>
            </w:pPr>
            <w:r>
              <w:rPr>
                <w:rFonts w:ascii="Times New Roman"/>
                <w:w w:val="99"/>
                <w:sz w:val="21"/>
              </w:rPr>
              <w:t>1</w:t>
            </w:r>
          </w:p>
        </w:tc>
        <w:tc>
          <w:tcPr>
            <w:tcW w:w="698" w:type="dxa"/>
            <w:tcBorders>
              <w:top w:val="single" w:color="000000" w:sz="4" w:space="0"/>
              <w:left w:val="single" w:color="000000" w:sz="4" w:space="0"/>
              <w:right w:val="single" w:color="000000" w:sz="4" w:space="0"/>
            </w:tcBorders>
          </w:tcPr>
          <w:p>
            <w:pPr>
              <w:pStyle w:val="19"/>
              <w:spacing w:before="38"/>
              <w:ind w:left="229" w:right="209"/>
              <w:rPr>
                <w:rFonts w:ascii="Times New Roman"/>
                <w:sz w:val="21"/>
              </w:rPr>
            </w:pPr>
            <w:r>
              <w:rPr>
                <w:rFonts w:ascii="Times New Roman"/>
                <w:sz w:val="21"/>
              </w:rPr>
              <w:t>85</w:t>
            </w:r>
          </w:p>
        </w:tc>
        <w:tc>
          <w:tcPr>
            <w:tcW w:w="2530" w:type="dxa"/>
            <w:tcBorders>
              <w:top w:val="single" w:color="000000" w:sz="4" w:space="0"/>
              <w:left w:val="single" w:color="000000" w:sz="4" w:space="0"/>
              <w:right w:val="single" w:color="000000" w:sz="4" w:space="0"/>
            </w:tcBorders>
          </w:tcPr>
          <w:p>
            <w:pPr>
              <w:pStyle w:val="19"/>
              <w:spacing w:before="22"/>
              <w:ind w:left="46" w:right="30"/>
              <w:rPr>
                <w:sz w:val="21"/>
              </w:rPr>
            </w:pPr>
            <w:r>
              <w:rPr>
                <w:spacing w:val="-10"/>
                <w:sz w:val="21"/>
              </w:rPr>
              <w:t>设置单独隔声间，并设置减</w:t>
            </w:r>
          </w:p>
        </w:tc>
        <w:tc>
          <w:tcPr>
            <w:tcW w:w="738" w:type="dxa"/>
            <w:tcBorders>
              <w:top w:val="single" w:color="000000" w:sz="4" w:space="0"/>
              <w:left w:val="single" w:color="000000" w:sz="4" w:space="0"/>
              <w:right w:val="single" w:color="000000" w:sz="4" w:space="0"/>
            </w:tcBorders>
          </w:tcPr>
          <w:p>
            <w:pPr>
              <w:pStyle w:val="19"/>
              <w:spacing w:before="38"/>
              <w:ind w:left="141" w:right="123"/>
              <w:rPr>
                <w:rFonts w:ascii="Times New Roman"/>
                <w:sz w:val="21"/>
              </w:rPr>
            </w:pPr>
            <w:r>
              <w:rPr>
                <w:rFonts w:ascii="Times New Roman"/>
                <w:sz w:val="21"/>
              </w:rPr>
              <w:t>20</w:t>
            </w:r>
          </w:p>
        </w:tc>
        <w:tc>
          <w:tcPr>
            <w:tcW w:w="946" w:type="dxa"/>
            <w:tcBorders>
              <w:top w:val="single" w:color="000000" w:sz="4" w:space="0"/>
              <w:left w:val="single" w:color="000000" w:sz="4" w:space="0"/>
              <w:right w:val="single" w:color="000000" w:sz="4" w:space="0"/>
            </w:tcBorders>
          </w:tcPr>
          <w:p>
            <w:pPr>
              <w:pStyle w:val="19"/>
              <w:spacing w:before="38"/>
              <w:ind w:left="372"/>
              <w:jc w:val="left"/>
              <w:rPr>
                <w:rFonts w:ascii="Times New Roman"/>
                <w:sz w:val="21"/>
              </w:rPr>
            </w:pPr>
            <w:r>
              <w:rPr>
                <w:rFonts w:ascii="Times New Roman"/>
                <w:sz w:val="21"/>
              </w:rPr>
              <w:t>60</w:t>
            </w:r>
          </w:p>
        </w:tc>
        <w:tc>
          <w:tcPr>
            <w:tcW w:w="968" w:type="dxa"/>
            <w:tcBorders>
              <w:top w:val="nil"/>
              <w:left w:val="single" w:color="000000" w:sz="4" w:space="0"/>
            </w:tcBorders>
          </w:tcPr>
          <w:p>
            <w:pPr>
              <w:pStyle w:val="19"/>
              <w:spacing w:line="243" w:lineRule="exact"/>
              <w:ind w:left="171" w:right="149"/>
              <w:rPr>
                <w:sz w:val="21"/>
              </w:rPr>
            </w:pPr>
            <w:r>
              <w:rPr>
                <w:sz w:val="21"/>
              </w:rPr>
              <w:t>（</w:t>
            </w:r>
            <w:r>
              <w:rPr>
                <w:rFonts w:ascii="Times New Roman" w:eastAsia="Times New Roman"/>
                <w:sz w:val="21"/>
              </w:rPr>
              <w:t>A</w:t>
            </w:r>
            <w:r>
              <w:rPr>
                <w:sz w:val="21"/>
              </w:rPr>
              <w:t>）</w:t>
            </w:r>
          </w:p>
        </w:tc>
      </w:tr>
    </w:tbl>
    <w:p>
      <w:pPr>
        <w:spacing w:after="0" w:line="243" w:lineRule="exact"/>
        <w:rPr>
          <w:sz w:val="21"/>
        </w:rPr>
        <w:sectPr>
          <w:pgSz w:w="11910" w:h="16840"/>
          <w:pgMar w:top="1360" w:right="0" w:bottom="880" w:left="0" w:header="0" w:footer="681" w:gutter="0"/>
        </w:sectPr>
      </w:pPr>
    </w:p>
    <w:tbl>
      <w:tblPr>
        <w:tblStyle w:val="15"/>
        <w:tblW w:w="0" w:type="auto"/>
        <w:tblInd w:w="137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916"/>
        <w:gridCol w:w="1015"/>
        <w:gridCol w:w="828"/>
        <w:gridCol w:w="698"/>
        <w:gridCol w:w="2530"/>
        <w:gridCol w:w="738"/>
        <w:gridCol w:w="946"/>
        <w:gridCol w:w="9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1" w:hRule="atLeast"/>
        </w:trPr>
        <w:tc>
          <w:tcPr>
            <w:tcW w:w="538" w:type="dxa"/>
            <w:tcBorders>
              <w:bottom w:val="single" w:color="000000" w:sz="4" w:space="0"/>
              <w:right w:val="single" w:color="000000" w:sz="4" w:space="0"/>
            </w:tcBorders>
          </w:tcPr>
          <w:p>
            <w:pPr>
              <w:pStyle w:val="19"/>
              <w:jc w:val="left"/>
              <w:rPr>
                <w:rFonts w:ascii="Times New Roman"/>
                <w:sz w:val="22"/>
              </w:rPr>
            </w:pPr>
          </w:p>
        </w:tc>
        <w:tc>
          <w:tcPr>
            <w:tcW w:w="916" w:type="dxa"/>
            <w:tcBorders>
              <w:left w:val="single" w:color="000000" w:sz="4" w:space="0"/>
              <w:bottom w:val="single" w:color="000000" w:sz="4" w:space="0"/>
              <w:right w:val="single" w:color="000000" w:sz="4" w:space="0"/>
            </w:tcBorders>
          </w:tcPr>
          <w:p>
            <w:pPr>
              <w:pStyle w:val="19"/>
              <w:spacing w:before="14"/>
              <w:ind w:left="126" w:right="109"/>
              <w:rPr>
                <w:sz w:val="21"/>
              </w:rPr>
            </w:pPr>
            <w:r>
              <w:rPr>
                <w:sz w:val="21"/>
              </w:rPr>
              <w:t>引风机</w:t>
            </w:r>
          </w:p>
        </w:tc>
        <w:tc>
          <w:tcPr>
            <w:tcW w:w="1015" w:type="dxa"/>
            <w:tcBorders>
              <w:left w:val="single" w:color="000000" w:sz="4" w:space="0"/>
              <w:bottom w:val="single" w:color="000000" w:sz="4" w:space="0"/>
              <w:right w:val="single" w:color="000000" w:sz="4" w:space="0"/>
            </w:tcBorders>
          </w:tcPr>
          <w:p>
            <w:pPr>
              <w:pStyle w:val="19"/>
              <w:jc w:val="left"/>
              <w:rPr>
                <w:rFonts w:ascii="Times New Roman"/>
                <w:sz w:val="22"/>
              </w:rPr>
            </w:pPr>
          </w:p>
        </w:tc>
        <w:tc>
          <w:tcPr>
            <w:tcW w:w="828" w:type="dxa"/>
            <w:tcBorders>
              <w:left w:val="single" w:color="000000" w:sz="4" w:space="0"/>
              <w:bottom w:val="single" w:color="000000" w:sz="4" w:space="0"/>
              <w:right w:val="single" w:color="000000" w:sz="4" w:space="0"/>
            </w:tcBorders>
          </w:tcPr>
          <w:p>
            <w:pPr>
              <w:pStyle w:val="19"/>
              <w:spacing w:before="30"/>
              <w:ind w:left="15"/>
              <w:rPr>
                <w:rFonts w:ascii="Times New Roman"/>
                <w:sz w:val="21"/>
              </w:rPr>
            </w:pPr>
            <w:r>
              <w:rPr>
                <w:rFonts w:ascii="Times New Roman"/>
                <w:w w:val="99"/>
                <w:sz w:val="21"/>
              </w:rPr>
              <w:t>1</w:t>
            </w:r>
          </w:p>
        </w:tc>
        <w:tc>
          <w:tcPr>
            <w:tcW w:w="698" w:type="dxa"/>
            <w:tcBorders>
              <w:left w:val="single" w:color="000000" w:sz="4" w:space="0"/>
              <w:bottom w:val="single" w:color="000000" w:sz="4" w:space="0"/>
              <w:right w:val="single" w:color="000000" w:sz="4" w:space="0"/>
            </w:tcBorders>
          </w:tcPr>
          <w:p>
            <w:pPr>
              <w:pStyle w:val="19"/>
              <w:spacing w:before="30"/>
              <w:ind w:left="229" w:right="209"/>
              <w:rPr>
                <w:rFonts w:ascii="Times New Roman"/>
                <w:sz w:val="21"/>
              </w:rPr>
            </w:pPr>
            <w:r>
              <w:rPr>
                <w:rFonts w:ascii="Times New Roman"/>
                <w:sz w:val="21"/>
              </w:rPr>
              <w:t>85</w:t>
            </w:r>
          </w:p>
        </w:tc>
        <w:tc>
          <w:tcPr>
            <w:tcW w:w="2530" w:type="dxa"/>
            <w:vMerge w:val="restart"/>
            <w:tcBorders>
              <w:left w:val="single" w:color="000000" w:sz="4" w:space="0"/>
              <w:bottom w:val="single" w:color="000000" w:sz="4" w:space="0"/>
              <w:right w:val="single" w:color="000000" w:sz="4" w:space="0"/>
            </w:tcBorders>
          </w:tcPr>
          <w:p>
            <w:pPr>
              <w:pStyle w:val="19"/>
              <w:spacing w:line="259" w:lineRule="exact"/>
              <w:ind w:left="48" w:right="29"/>
              <w:rPr>
                <w:sz w:val="21"/>
              </w:rPr>
            </w:pPr>
            <w:r>
              <w:rPr>
                <w:sz w:val="21"/>
              </w:rPr>
              <w:t>振基础</w:t>
            </w:r>
          </w:p>
        </w:tc>
        <w:tc>
          <w:tcPr>
            <w:tcW w:w="738" w:type="dxa"/>
            <w:tcBorders>
              <w:left w:val="single" w:color="000000" w:sz="4" w:space="0"/>
              <w:bottom w:val="single" w:color="000000" w:sz="4" w:space="0"/>
              <w:right w:val="single" w:color="000000" w:sz="4" w:space="0"/>
            </w:tcBorders>
          </w:tcPr>
          <w:p>
            <w:pPr>
              <w:pStyle w:val="19"/>
              <w:spacing w:before="30"/>
              <w:ind w:left="141" w:right="123"/>
              <w:rPr>
                <w:rFonts w:ascii="Times New Roman"/>
                <w:sz w:val="21"/>
              </w:rPr>
            </w:pPr>
            <w:r>
              <w:rPr>
                <w:rFonts w:ascii="Times New Roman"/>
                <w:sz w:val="21"/>
              </w:rPr>
              <w:t>20</w:t>
            </w:r>
          </w:p>
        </w:tc>
        <w:tc>
          <w:tcPr>
            <w:tcW w:w="946" w:type="dxa"/>
            <w:tcBorders>
              <w:left w:val="single" w:color="000000" w:sz="4" w:space="0"/>
              <w:bottom w:val="single" w:color="000000" w:sz="4" w:space="0"/>
              <w:right w:val="single" w:color="000000" w:sz="4" w:space="0"/>
            </w:tcBorders>
          </w:tcPr>
          <w:p>
            <w:pPr>
              <w:pStyle w:val="19"/>
              <w:spacing w:before="30"/>
              <w:ind w:left="372"/>
              <w:jc w:val="left"/>
              <w:rPr>
                <w:rFonts w:ascii="Times New Roman"/>
                <w:sz w:val="21"/>
              </w:rPr>
            </w:pPr>
            <w:r>
              <w:rPr>
                <w:rFonts w:ascii="Times New Roman"/>
                <w:sz w:val="21"/>
              </w:rPr>
              <w:t>60</w:t>
            </w:r>
          </w:p>
        </w:tc>
        <w:tc>
          <w:tcPr>
            <w:tcW w:w="968" w:type="dxa"/>
            <w:vMerge w:val="restart"/>
            <w:tcBorders>
              <w:left w:val="single" w:color="000000" w:sz="4" w:space="0"/>
              <w:bottom w:val="single" w:color="000000" w:sz="4" w:space="0"/>
            </w:tcBorders>
          </w:tcPr>
          <w:p>
            <w:pPr>
              <w:pStyle w:val="19"/>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6" w:hRule="atLeast"/>
        </w:trPr>
        <w:tc>
          <w:tcPr>
            <w:tcW w:w="538" w:type="dxa"/>
            <w:vMerge w:val="restart"/>
            <w:tcBorders>
              <w:top w:val="single" w:color="000000" w:sz="4" w:space="0"/>
              <w:bottom w:val="single" w:color="000000" w:sz="4" w:space="0"/>
              <w:right w:val="single" w:color="000000" w:sz="4" w:space="0"/>
            </w:tcBorders>
          </w:tcPr>
          <w:p>
            <w:pPr>
              <w:pStyle w:val="19"/>
              <w:spacing w:before="5"/>
              <w:jc w:val="left"/>
              <w:rPr>
                <w:b/>
                <w:sz w:val="32"/>
              </w:rPr>
            </w:pPr>
          </w:p>
          <w:p>
            <w:pPr>
              <w:pStyle w:val="19"/>
              <w:ind w:left="11"/>
              <w:rPr>
                <w:rFonts w:ascii="Times New Roman"/>
                <w:sz w:val="21"/>
              </w:rPr>
            </w:pPr>
            <w:r>
              <w:rPr>
                <w:rFonts w:ascii="Times New Roman"/>
                <w:w w:val="99"/>
                <w:sz w:val="21"/>
              </w:rPr>
              <w:t>4</w:t>
            </w:r>
          </w:p>
        </w:tc>
        <w:tc>
          <w:tcPr>
            <w:tcW w:w="916" w:type="dxa"/>
            <w:tcBorders>
              <w:top w:val="single" w:color="000000" w:sz="4" w:space="0"/>
              <w:left w:val="single" w:color="000000" w:sz="4" w:space="0"/>
              <w:bottom w:val="single" w:color="000000" w:sz="4" w:space="0"/>
              <w:right w:val="single" w:color="000000" w:sz="4" w:space="0"/>
            </w:tcBorders>
          </w:tcPr>
          <w:p>
            <w:pPr>
              <w:pStyle w:val="19"/>
              <w:spacing w:before="116"/>
              <w:ind w:left="126" w:right="109"/>
              <w:rPr>
                <w:sz w:val="21"/>
              </w:rPr>
            </w:pPr>
            <w:r>
              <w:rPr>
                <w:sz w:val="21"/>
              </w:rPr>
              <w:t>鼓风机</w:t>
            </w:r>
          </w:p>
        </w:tc>
        <w:tc>
          <w:tcPr>
            <w:tcW w:w="1015"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142"/>
              <w:ind w:left="90"/>
              <w:jc w:val="left"/>
              <w:rPr>
                <w:sz w:val="21"/>
              </w:rPr>
            </w:pPr>
            <w:r>
              <w:rPr>
                <w:sz w:val="21"/>
              </w:rPr>
              <w:t>暖风炉房</w:t>
            </w:r>
          </w:p>
        </w:tc>
        <w:tc>
          <w:tcPr>
            <w:tcW w:w="828" w:type="dxa"/>
            <w:tcBorders>
              <w:top w:val="single" w:color="000000" w:sz="4" w:space="0"/>
              <w:left w:val="single" w:color="000000" w:sz="4" w:space="0"/>
              <w:bottom w:val="single" w:color="000000" w:sz="4" w:space="0"/>
              <w:right w:val="single" w:color="000000" w:sz="4" w:space="0"/>
            </w:tcBorders>
          </w:tcPr>
          <w:p>
            <w:pPr>
              <w:pStyle w:val="19"/>
              <w:spacing w:before="132"/>
              <w:ind w:left="15"/>
              <w:rPr>
                <w:rFonts w:ascii="Times New Roman"/>
                <w:sz w:val="21"/>
              </w:rPr>
            </w:pPr>
            <w:r>
              <w:rPr>
                <w:rFonts w:ascii="Times New Roman"/>
                <w:w w:val="99"/>
                <w:sz w:val="21"/>
              </w:rPr>
              <w:t>1</w:t>
            </w:r>
          </w:p>
        </w:tc>
        <w:tc>
          <w:tcPr>
            <w:tcW w:w="698" w:type="dxa"/>
            <w:tcBorders>
              <w:top w:val="single" w:color="000000" w:sz="4" w:space="0"/>
              <w:left w:val="single" w:color="000000" w:sz="4" w:space="0"/>
              <w:bottom w:val="single" w:color="000000" w:sz="4" w:space="0"/>
              <w:right w:val="single" w:color="000000" w:sz="4" w:space="0"/>
            </w:tcBorders>
          </w:tcPr>
          <w:p>
            <w:pPr>
              <w:pStyle w:val="19"/>
              <w:spacing w:before="132"/>
              <w:ind w:left="229" w:right="209"/>
              <w:rPr>
                <w:rFonts w:ascii="Times New Roman"/>
                <w:sz w:val="21"/>
              </w:rPr>
            </w:pPr>
            <w:r>
              <w:rPr>
                <w:rFonts w:ascii="Times New Roman"/>
                <w:sz w:val="21"/>
              </w:rPr>
              <w:t>85</w:t>
            </w:r>
          </w:p>
        </w:tc>
        <w:tc>
          <w:tcPr>
            <w:tcW w:w="2530" w:type="dxa"/>
            <w:vMerge w:val="continue"/>
            <w:tcBorders>
              <w:top w:val="nil"/>
              <w:left w:val="single" w:color="000000" w:sz="4" w:space="0"/>
              <w:bottom w:val="single" w:color="000000" w:sz="4" w:space="0"/>
              <w:right w:val="single" w:color="000000" w:sz="4" w:space="0"/>
            </w:tcBorders>
          </w:tcPr>
          <w:p>
            <w:pPr>
              <w:rPr>
                <w:sz w:val="2"/>
                <w:szCs w:val="2"/>
              </w:rPr>
            </w:pPr>
          </w:p>
        </w:tc>
        <w:tc>
          <w:tcPr>
            <w:tcW w:w="738" w:type="dxa"/>
            <w:tcBorders>
              <w:top w:val="single" w:color="000000" w:sz="4" w:space="0"/>
              <w:left w:val="single" w:color="000000" w:sz="4" w:space="0"/>
              <w:bottom w:val="single" w:color="000000" w:sz="4" w:space="0"/>
              <w:right w:val="single" w:color="000000" w:sz="4" w:space="0"/>
            </w:tcBorders>
          </w:tcPr>
          <w:p>
            <w:pPr>
              <w:pStyle w:val="19"/>
              <w:spacing w:before="132"/>
              <w:ind w:left="141" w:right="123"/>
              <w:rPr>
                <w:rFonts w:ascii="Times New Roman"/>
                <w:sz w:val="21"/>
              </w:rPr>
            </w:pPr>
            <w:r>
              <w:rPr>
                <w:rFonts w:ascii="Times New Roman"/>
                <w:sz w:val="21"/>
              </w:rPr>
              <w:t>20</w:t>
            </w:r>
          </w:p>
        </w:tc>
        <w:tc>
          <w:tcPr>
            <w:tcW w:w="946" w:type="dxa"/>
            <w:tcBorders>
              <w:top w:val="single" w:color="000000" w:sz="4" w:space="0"/>
              <w:left w:val="single" w:color="000000" w:sz="4" w:space="0"/>
              <w:bottom w:val="single" w:color="000000" w:sz="4" w:space="0"/>
              <w:right w:val="single" w:color="000000" w:sz="4" w:space="0"/>
            </w:tcBorders>
          </w:tcPr>
          <w:p>
            <w:pPr>
              <w:pStyle w:val="19"/>
              <w:spacing w:before="132"/>
              <w:ind w:left="372"/>
              <w:jc w:val="left"/>
              <w:rPr>
                <w:rFonts w:ascii="Times New Roman"/>
                <w:sz w:val="21"/>
              </w:rPr>
            </w:pPr>
            <w:r>
              <w:rPr>
                <w:rFonts w:ascii="Times New Roman"/>
                <w:sz w:val="21"/>
              </w:rPr>
              <w:t>60</w:t>
            </w:r>
          </w:p>
        </w:tc>
        <w:tc>
          <w:tcPr>
            <w:tcW w:w="96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5" w:hRule="atLeast"/>
        </w:trPr>
        <w:tc>
          <w:tcPr>
            <w:tcW w:w="538" w:type="dxa"/>
            <w:vMerge w:val="continue"/>
            <w:tcBorders>
              <w:top w:val="nil"/>
              <w:bottom w:val="single" w:color="000000" w:sz="4" w:space="0"/>
              <w:right w:val="single" w:color="000000" w:sz="4" w:space="0"/>
            </w:tcBorders>
          </w:tcPr>
          <w:p>
            <w:pPr>
              <w:rPr>
                <w:sz w:val="2"/>
                <w:szCs w:val="2"/>
              </w:rPr>
            </w:pPr>
          </w:p>
        </w:tc>
        <w:tc>
          <w:tcPr>
            <w:tcW w:w="916" w:type="dxa"/>
            <w:tcBorders>
              <w:top w:val="single" w:color="000000" w:sz="4" w:space="0"/>
              <w:left w:val="single" w:color="000000" w:sz="4" w:space="0"/>
              <w:bottom w:val="single" w:color="000000" w:sz="4" w:space="0"/>
              <w:right w:val="single" w:color="000000" w:sz="4" w:space="0"/>
            </w:tcBorders>
          </w:tcPr>
          <w:p>
            <w:pPr>
              <w:pStyle w:val="19"/>
              <w:spacing w:before="116"/>
              <w:ind w:left="126" w:right="109"/>
              <w:rPr>
                <w:sz w:val="21"/>
              </w:rPr>
            </w:pPr>
            <w:r>
              <w:rPr>
                <w:sz w:val="21"/>
              </w:rPr>
              <w:t>引风机</w:t>
            </w:r>
          </w:p>
        </w:tc>
        <w:tc>
          <w:tcPr>
            <w:tcW w:w="1015" w:type="dxa"/>
            <w:vMerge w:val="continue"/>
            <w:tcBorders>
              <w:top w:val="nil"/>
              <w:left w:val="single" w:color="000000" w:sz="4" w:space="0"/>
              <w:bottom w:val="single" w:color="000000" w:sz="4" w:space="0"/>
              <w:right w:val="single" w:color="000000" w:sz="4" w:space="0"/>
            </w:tcBorders>
          </w:tcPr>
          <w:p>
            <w:pPr>
              <w:rPr>
                <w:sz w:val="2"/>
                <w:szCs w:val="2"/>
              </w:rPr>
            </w:pPr>
          </w:p>
        </w:tc>
        <w:tc>
          <w:tcPr>
            <w:tcW w:w="828" w:type="dxa"/>
            <w:tcBorders>
              <w:top w:val="single" w:color="000000" w:sz="4" w:space="0"/>
              <w:left w:val="single" w:color="000000" w:sz="4" w:space="0"/>
              <w:bottom w:val="single" w:color="000000" w:sz="4" w:space="0"/>
              <w:right w:val="single" w:color="000000" w:sz="4" w:space="0"/>
            </w:tcBorders>
          </w:tcPr>
          <w:p>
            <w:pPr>
              <w:pStyle w:val="19"/>
              <w:spacing w:before="132"/>
              <w:ind w:left="15"/>
              <w:rPr>
                <w:rFonts w:ascii="Times New Roman"/>
                <w:sz w:val="21"/>
              </w:rPr>
            </w:pPr>
            <w:r>
              <w:rPr>
                <w:rFonts w:ascii="Times New Roman"/>
                <w:w w:val="99"/>
                <w:sz w:val="21"/>
              </w:rPr>
              <w:t>1</w:t>
            </w:r>
          </w:p>
        </w:tc>
        <w:tc>
          <w:tcPr>
            <w:tcW w:w="698" w:type="dxa"/>
            <w:tcBorders>
              <w:top w:val="single" w:color="000000" w:sz="4" w:space="0"/>
              <w:left w:val="single" w:color="000000" w:sz="4" w:space="0"/>
              <w:bottom w:val="single" w:color="000000" w:sz="4" w:space="0"/>
              <w:right w:val="single" w:color="000000" w:sz="4" w:space="0"/>
            </w:tcBorders>
          </w:tcPr>
          <w:p>
            <w:pPr>
              <w:pStyle w:val="19"/>
              <w:spacing w:before="132"/>
              <w:ind w:left="229" w:right="209"/>
              <w:rPr>
                <w:rFonts w:ascii="Times New Roman"/>
                <w:sz w:val="21"/>
              </w:rPr>
            </w:pPr>
            <w:r>
              <w:rPr>
                <w:rFonts w:ascii="Times New Roman"/>
                <w:sz w:val="21"/>
              </w:rPr>
              <w:t>85</w:t>
            </w:r>
          </w:p>
        </w:tc>
        <w:tc>
          <w:tcPr>
            <w:tcW w:w="2530" w:type="dxa"/>
            <w:vMerge w:val="continue"/>
            <w:tcBorders>
              <w:top w:val="nil"/>
              <w:left w:val="single" w:color="000000" w:sz="4" w:space="0"/>
              <w:bottom w:val="single" w:color="000000" w:sz="4" w:space="0"/>
              <w:right w:val="single" w:color="000000" w:sz="4" w:space="0"/>
            </w:tcBorders>
          </w:tcPr>
          <w:p>
            <w:pPr>
              <w:rPr>
                <w:sz w:val="2"/>
                <w:szCs w:val="2"/>
              </w:rPr>
            </w:pPr>
          </w:p>
        </w:tc>
        <w:tc>
          <w:tcPr>
            <w:tcW w:w="738" w:type="dxa"/>
            <w:tcBorders>
              <w:top w:val="single" w:color="000000" w:sz="4" w:space="0"/>
              <w:left w:val="single" w:color="000000" w:sz="4" w:space="0"/>
              <w:bottom w:val="single" w:color="000000" w:sz="4" w:space="0"/>
              <w:right w:val="single" w:color="000000" w:sz="4" w:space="0"/>
            </w:tcBorders>
          </w:tcPr>
          <w:p>
            <w:pPr>
              <w:pStyle w:val="19"/>
              <w:spacing w:before="132"/>
              <w:ind w:left="141" w:right="123"/>
              <w:rPr>
                <w:rFonts w:ascii="Times New Roman"/>
                <w:sz w:val="21"/>
              </w:rPr>
            </w:pPr>
            <w:r>
              <w:rPr>
                <w:rFonts w:ascii="Times New Roman"/>
                <w:sz w:val="21"/>
              </w:rPr>
              <w:t>20</w:t>
            </w:r>
          </w:p>
        </w:tc>
        <w:tc>
          <w:tcPr>
            <w:tcW w:w="946" w:type="dxa"/>
            <w:tcBorders>
              <w:top w:val="single" w:color="000000" w:sz="4" w:space="0"/>
              <w:left w:val="single" w:color="000000" w:sz="4" w:space="0"/>
              <w:bottom w:val="single" w:color="000000" w:sz="4" w:space="0"/>
              <w:right w:val="single" w:color="000000" w:sz="4" w:space="0"/>
            </w:tcBorders>
          </w:tcPr>
          <w:p>
            <w:pPr>
              <w:pStyle w:val="19"/>
              <w:spacing w:before="132"/>
              <w:ind w:left="372"/>
              <w:jc w:val="left"/>
              <w:rPr>
                <w:rFonts w:ascii="Times New Roman"/>
                <w:sz w:val="21"/>
              </w:rPr>
            </w:pPr>
            <w:r>
              <w:rPr>
                <w:rFonts w:ascii="Times New Roman"/>
                <w:sz w:val="21"/>
              </w:rPr>
              <w:t>60</w:t>
            </w:r>
          </w:p>
        </w:tc>
        <w:tc>
          <w:tcPr>
            <w:tcW w:w="96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7" w:hRule="atLeast"/>
        </w:trPr>
        <w:tc>
          <w:tcPr>
            <w:tcW w:w="538" w:type="dxa"/>
            <w:tcBorders>
              <w:top w:val="single" w:color="000000" w:sz="4" w:space="0"/>
              <w:bottom w:val="single" w:color="000000" w:sz="4" w:space="0"/>
              <w:right w:val="single" w:color="000000" w:sz="4" w:space="0"/>
            </w:tcBorders>
          </w:tcPr>
          <w:p>
            <w:pPr>
              <w:pStyle w:val="19"/>
              <w:jc w:val="left"/>
              <w:rPr>
                <w:b/>
                <w:sz w:val="22"/>
              </w:rPr>
            </w:pPr>
          </w:p>
          <w:p>
            <w:pPr>
              <w:pStyle w:val="19"/>
              <w:spacing w:before="7"/>
              <w:jc w:val="left"/>
              <w:rPr>
                <w:b/>
                <w:sz w:val="17"/>
              </w:rPr>
            </w:pPr>
          </w:p>
          <w:p>
            <w:pPr>
              <w:pStyle w:val="19"/>
              <w:ind w:left="11"/>
              <w:rPr>
                <w:rFonts w:ascii="Times New Roman"/>
                <w:sz w:val="21"/>
              </w:rPr>
            </w:pPr>
            <w:r>
              <w:rPr>
                <w:rFonts w:ascii="Times New Roman"/>
                <w:w w:val="99"/>
                <w:sz w:val="21"/>
              </w:rPr>
              <w:t>5</w:t>
            </w:r>
          </w:p>
        </w:tc>
        <w:tc>
          <w:tcPr>
            <w:tcW w:w="916" w:type="dxa"/>
            <w:tcBorders>
              <w:top w:val="single" w:color="000000" w:sz="4" w:space="0"/>
              <w:left w:val="single" w:color="000000" w:sz="4" w:space="0"/>
              <w:bottom w:val="single" w:color="000000" w:sz="4" w:space="0"/>
              <w:right w:val="single" w:color="000000" w:sz="4" w:space="0"/>
            </w:tcBorders>
          </w:tcPr>
          <w:p>
            <w:pPr>
              <w:pStyle w:val="19"/>
              <w:spacing w:before="7"/>
              <w:jc w:val="left"/>
              <w:rPr>
                <w:b/>
                <w:sz w:val="25"/>
              </w:rPr>
            </w:pPr>
          </w:p>
          <w:p>
            <w:pPr>
              <w:pStyle w:val="19"/>
              <w:spacing w:line="290" w:lineRule="auto"/>
              <w:ind w:left="358" w:right="127" w:hanging="212"/>
              <w:jc w:val="left"/>
              <w:rPr>
                <w:sz w:val="21"/>
              </w:rPr>
            </w:pPr>
            <w:r>
              <w:rPr>
                <w:sz w:val="21"/>
              </w:rPr>
              <w:t>提升绞车</w:t>
            </w:r>
          </w:p>
        </w:tc>
        <w:tc>
          <w:tcPr>
            <w:tcW w:w="1015" w:type="dxa"/>
            <w:tcBorders>
              <w:top w:val="single" w:color="000000" w:sz="4" w:space="0"/>
              <w:left w:val="single" w:color="000000" w:sz="4" w:space="0"/>
              <w:bottom w:val="single" w:color="000000" w:sz="4" w:space="0"/>
              <w:right w:val="single" w:color="000000" w:sz="4" w:space="0"/>
            </w:tcBorders>
          </w:tcPr>
          <w:p>
            <w:pPr>
              <w:pStyle w:val="19"/>
              <w:spacing w:before="7"/>
              <w:jc w:val="left"/>
              <w:rPr>
                <w:b/>
                <w:sz w:val="25"/>
              </w:rPr>
            </w:pPr>
          </w:p>
          <w:p>
            <w:pPr>
              <w:pStyle w:val="19"/>
              <w:spacing w:line="290" w:lineRule="auto"/>
              <w:ind w:left="407" w:right="74" w:hanging="317"/>
              <w:jc w:val="left"/>
              <w:rPr>
                <w:sz w:val="21"/>
              </w:rPr>
            </w:pPr>
            <w:r>
              <w:rPr>
                <w:sz w:val="21"/>
              </w:rPr>
              <w:t>矸石绞车房</w:t>
            </w:r>
          </w:p>
        </w:tc>
        <w:tc>
          <w:tcPr>
            <w:tcW w:w="828" w:type="dxa"/>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spacing w:before="7"/>
              <w:jc w:val="left"/>
              <w:rPr>
                <w:b/>
                <w:sz w:val="17"/>
              </w:rPr>
            </w:pPr>
          </w:p>
          <w:p>
            <w:pPr>
              <w:pStyle w:val="19"/>
              <w:ind w:left="15"/>
              <w:rPr>
                <w:rFonts w:ascii="Times New Roman"/>
                <w:sz w:val="21"/>
              </w:rPr>
            </w:pPr>
            <w:r>
              <w:rPr>
                <w:rFonts w:ascii="Times New Roman"/>
                <w:w w:val="99"/>
                <w:sz w:val="21"/>
              </w:rPr>
              <w:t>1</w:t>
            </w:r>
          </w:p>
        </w:tc>
        <w:tc>
          <w:tcPr>
            <w:tcW w:w="698" w:type="dxa"/>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spacing w:before="7"/>
              <w:jc w:val="left"/>
              <w:rPr>
                <w:b/>
                <w:sz w:val="17"/>
              </w:rPr>
            </w:pPr>
          </w:p>
          <w:p>
            <w:pPr>
              <w:pStyle w:val="19"/>
              <w:ind w:left="229" w:right="209"/>
              <w:rPr>
                <w:rFonts w:ascii="Times New Roman"/>
                <w:sz w:val="21"/>
              </w:rPr>
            </w:pPr>
            <w:r>
              <w:rPr>
                <w:rFonts w:ascii="Times New Roman"/>
                <w:sz w:val="21"/>
              </w:rPr>
              <w:t>90</w:t>
            </w:r>
          </w:p>
        </w:tc>
        <w:tc>
          <w:tcPr>
            <w:tcW w:w="2530" w:type="dxa"/>
            <w:tcBorders>
              <w:top w:val="single" w:color="000000" w:sz="4" w:space="0"/>
              <w:left w:val="single" w:color="000000" w:sz="4" w:space="0"/>
              <w:bottom w:val="single" w:color="000000" w:sz="4" w:space="0"/>
              <w:right w:val="single" w:color="000000" w:sz="4" w:space="0"/>
            </w:tcBorders>
          </w:tcPr>
          <w:p>
            <w:pPr>
              <w:pStyle w:val="19"/>
              <w:spacing w:before="1" w:line="290" w:lineRule="auto"/>
              <w:ind w:left="62" w:right="42"/>
              <w:jc w:val="both"/>
              <w:rPr>
                <w:sz w:val="21"/>
              </w:rPr>
            </w:pPr>
            <w:r>
              <w:rPr>
                <w:spacing w:val="-11"/>
                <w:sz w:val="21"/>
              </w:rPr>
              <w:t>房内电机设置减振基础，机房内进行吸声处理，并加装隔声罩，机房门窗设置为隔</w:t>
            </w:r>
          </w:p>
          <w:p>
            <w:pPr>
              <w:pStyle w:val="19"/>
              <w:spacing w:before="3"/>
              <w:ind w:left="48" w:right="29"/>
              <w:rPr>
                <w:sz w:val="21"/>
              </w:rPr>
            </w:pPr>
            <w:r>
              <w:rPr>
                <w:sz w:val="21"/>
              </w:rPr>
              <w:t>声门窗</w:t>
            </w:r>
          </w:p>
        </w:tc>
        <w:tc>
          <w:tcPr>
            <w:tcW w:w="738" w:type="dxa"/>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spacing w:before="7"/>
              <w:jc w:val="left"/>
              <w:rPr>
                <w:b/>
                <w:sz w:val="17"/>
              </w:rPr>
            </w:pPr>
          </w:p>
          <w:p>
            <w:pPr>
              <w:pStyle w:val="19"/>
              <w:ind w:left="141" w:right="123"/>
              <w:rPr>
                <w:rFonts w:ascii="Times New Roman"/>
                <w:sz w:val="21"/>
              </w:rPr>
            </w:pPr>
            <w:r>
              <w:rPr>
                <w:rFonts w:ascii="Times New Roman"/>
                <w:sz w:val="21"/>
              </w:rPr>
              <w:t>25</w:t>
            </w:r>
          </w:p>
        </w:tc>
        <w:tc>
          <w:tcPr>
            <w:tcW w:w="946" w:type="dxa"/>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spacing w:before="7"/>
              <w:jc w:val="left"/>
              <w:rPr>
                <w:b/>
                <w:sz w:val="17"/>
              </w:rPr>
            </w:pPr>
          </w:p>
          <w:p>
            <w:pPr>
              <w:pStyle w:val="19"/>
              <w:ind w:left="372"/>
              <w:jc w:val="left"/>
              <w:rPr>
                <w:rFonts w:ascii="Times New Roman"/>
                <w:sz w:val="21"/>
              </w:rPr>
            </w:pPr>
            <w:r>
              <w:rPr>
                <w:rFonts w:ascii="Times New Roman"/>
                <w:sz w:val="21"/>
              </w:rPr>
              <w:t>65</w:t>
            </w:r>
          </w:p>
        </w:tc>
        <w:tc>
          <w:tcPr>
            <w:tcW w:w="96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4" w:hRule="atLeast"/>
        </w:trPr>
        <w:tc>
          <w:tcPr>
            <w:tcW w:w="538" w:type="dxa"/>
            <w:tcBorders>
              <w:top w:val="single" w:color="000000" w:sz="4" w:space="0"/>
              <w:bottom w:val="single" w:color="000000" w:sz="4" w:space="0"/>
              <w:right w:val="single" w:color="000000" w:sz="4" w:space="0"/>
            </w:tcBorders>
          </w:tcPr>
          <w:p>
            <w:pPr>
              <w:pStyle w:val="19"/>
              <w:jc w:val="left"/>
              <w:rPr>
                <w:b/>
                <w:sz w:val="22"/>
              </w:rPr>
            </w:pPr>
          </w:p>
          <w:p>
            <w:pPr>
              <w:pStyle w:val="19"/>
              <w:spacing w:before="4"/>
              <w:jc w:val="left"/>
              <w:rPr>
                <w:b/>
                <w:sz w:val="30"/>
              </w:rPr>
            </w:pPr>
          </w:p>
          <w:p>
            <w:pPr>
              <w:pStyle w:val="19"/>
              <w:spacing w:before="1"/>
              <w:ind w:left="11"/>
              <w:rPr>
                <w:rFonts w:ascii="Times New Roman"/>
                <w:sz w:val="21"/>
              </w:rPr>
            </w:pPr>
            <w:r>
              <w:rPr>
                <w:rFonts w:ascii="Times New Roman"/>
                <w:w w:val="99"/>
                <w:sz w:val="21"/>
              </w:rPr>
              <w:t>6</w:t>
            </w:r>
          </w:p>
        </w:tc>
        <w:tc>
          <w:tcPr>
            <w:tcW w:w="916"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spacing w:before="142"/>
              <w:ind w:left="126" w:right="109"/>
              <w:rPr>
                <w:sz w:val="21"/>
              </w:rPr>
            </w:pPr>
            <w:r>
              <w:rPr>
                <w:sz w:val="21"/>
              </w:rPr>
              <w:t>水泵</w:t>
            </w:r>
          </w:p>
        </w:tc>
        <w:tc>
          <w:tcPr>
            <w:tcW w:w="1015"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spacing w:before="142"/>
              <w:ind w:left="69" w:right="56"/>
              <w:rPr>
                <w:sz w:val="21"/>
              </w:rPr>
            </w:pPr>
            <w:r>
              <w:rPr>
                <w:sz w:val="21"/>
              </w:rPr>
              <w:t>消防泵房</w:t>
            </w:r>
          </w:p>
        </w:tc>
        <w:tc>
          <w:tcPr>
            <w:tcW w:w="828" w:type="dxa"/>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spacing w:before="4"/>
              <w:jc w:val="left"/>
              <w:rPr>
                <w:b/>
                <w:sz w:val="30"/>
              </w:rPr>
            </w:pPr>
          </w:p>
          <w:p>
            <w:pPr>
              <w:pStyle w:val="19"/>
              <w:spacing w:before="1"/>
              <w:ind w:left="15"/>
              <w:rPr>
                <w:rFonts w:ascii="Times New Roman"/>
                <w:sz w:val="21"/>
              </w:rPr>
            </w:pPr>
            <w:r>
              <w:rPr>
                <w:rFonts w:ascii="Times New Roman"/>
                <w:w w:val="99"/>
                <w:sz w:val="21"/>
              </w:rPr>
              <w:t>1</w:t>
            </w:r>
          </w:p>
        </w:tc>
        <w:tc>
          <w:tcPr>
            <w:tcW w:w="698" w:type="dxa"/>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spacing w:before="4"/>
              <w:jc w:val="left"/>
              <w:rPr>
                <w:b/>
                <w:sz w:val="30"/>
              </w:rPr>
            </w:pPr>
          </w:p>
          <w:p>
            <w:pPr>
              <w:pStyle w:val="19"/>
              <w:spacing w:before="1"/>
              <w:ind w:left="229" w:right="209"/>
              <w:rPr>
                <w:rFonts w:ascii="Times New Roman"/>
                <w:sz w:val="21"/>
              </w:rPr>
            </w:pPr>
            <w:r>
              <w:rPr>
                <w:rFonts w:ascii="Times New Roman"/>
                <w:sz w:val="21"/>
              </w:rPr>
              <w:t>85</w:t>
            </w:r>
          </w:p>
        </w:tc>
        <w:tc>
          <w:tcPr>
            <w:tcW w:w="2530" w:type="dxa"/>
            <w:tcBorders>
              <w:top w:val="single" w:color="000000" w:sz="4" w:space="0"/>
              <w:left w:val="single" w:color="000000" w:sz="4" w:space="0"/>
              <w:bottom w:val="single" w:color="000000" w:sz="4" w:space="0"/>
              <w:right w:val="single" w:color="000000" w:sz="4" w:space="0"/>
            </w:tcBorders>
          </w:tcPr>
          <w:p>
            <w:pPr>
              <w:pStyle w:val="19"/>
              <w:spacing w:before="2" w:line="290" w:lineRule="auto"/>
              <w:ind w:left="62" w:right="43" w:firstLine="52"/>
              <w:jc w:val="both"/>
              <w:rPr>
                <w:sz w:val="21"/>
              </w:rPr>
            </w:pPr>
            <w:r>
              <w:rPr>
                <w:sz w:val="21"/>
              </w:rPr>
              <w:t>水泵与进出口管道间安装</w:t>
            </w:r>
            <w:r>
              <w:rPr>
                <w:spacing w:val="-11"/>
                <w:sz w:val="21"/>
              </w:rPr>
              <w:t>软橡胶接头，泵体基础设橡胶垫或弹簧减震动器，并在泵房内设隔声控制室；泵房</w:t>
            </w:r>
          </w:p>
          <w:p>
            <w:pPr>
              <w:pStyle w:val="19"/>
              <w:spacing w:before="3"/>
              <w:ind w:left="743"/>
              <w:jc w:val="left"/>
              <w:rPr>
                <w:sz w:val="21"/>
              </w:rPr>
            </w:pPr>
            <w:r>
              <w:rPr>
                <w:sz w:val="21"/>
              </w:rPr>
              <w:t>做隔声处理</w:t>
            </w:r>
          </w:p>
        </w:tc>
        <w:tc>
          <w:tcPr>
            <w:tcW w:w="738" w:type="dxa"/>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spacing w:before="4"/>
              <w:jc w:val="left"/>
              <w:rPr>
                <w:b/>
                <w:sz w:val="30"/>
              </w:rPr>
            </w:pPr>
          </w:p>
          <w:p>
            <w:pPr>
              <w:pStyle w:val="19"/>
              <w:spacing w:before="1"/>
              <w:ind w:left="141" w:right="123"/>
              <w:rPr>
                <w:rFonts w:ascii="Times New Roman"/>
                <w:sz w:val="21"/>
              </w:rPr>
            </w:pPr>
            <w:r>
              <w:rPr>
                <w:rFonts w:ascii="Times New Roman"/>
                <w:sz w:val="21"/>
              </w:rPr>
              <w:t>20</w:t>
            </w:r>
          </w:p>
        </w:tc>
        <w:tc>
          <w:tcPr>
            <w:tcW w:w="946" w:type="dxa"/>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spacing w:before="4"/>
              <w:jc w:val="left"/>
              <w:rPr>
                <w:b/>
                <w:sz w:val="30"/>
              </w:rPr>
            </w:pPr>
          </w:p>
          <w:p>
            <w:pPr>
              <w:pStyle w:val="19"/>
              <w:spacing w:before="1"/>
              <w:ind w:left="372"/>
              <w:jc w:val="left"/>
              <w:rPr>
                <w:rFonts w:ascii="Times New Roman"/>
                <w:sz w:val="21"/>
              </w:rPr>
            </w:pPr>
            <w:r>
              <w:rPr>
                <w:rFonts w:ascii="Times New Roman"/>
                <w:sz w:val="21"/>
              </w:rPr>
              <w:t>65</w:t>
            </w:r>
          </w:p>
        </w:tc>
        <w:tc>
          <w:tcPr>
            <w:tcW w:w="96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7" w:hRule="atLeast"/>
        </w:trPr>
        <w:tc>
          <w:tcPr>
            <w:tcW w:w="538" w:type="dxa"/>
            <w:tcBorders>
              <w:top w:val="single" w:color="000000" w:sz="4" w:space="0"/>
              <w:right w:val="single" w:color="000000" w:sz="4" w:space="0"/>
            </w:tcBorders>
          </w:tcPr>
          <w:p>
            <w:pPr>
              <w:pStyle w:val="19"/>
              <w:jc w:val="left"/>
              <w:rPr>
                <w:b/>
                <w:sz w:val="22"/>
              </w:rPr>
            </w:pPr>
          </w:p>
          <w:p>
            <w:pPr>
              <w:pStyle w:val="19"/>
              <w:spacing w:before="8"/>
              <w:jc w:val="left"/>
              <w:rPr>
                <w:b/>
                <w:sz w:val="17"/>
              </w:rPr>
            </w:pPr>
          </w:p>
          <w:p>
            <w:pPr>
              <w:pStyle w:val="19"/>
              <w:ind w:left="11"/>
              <w:rPr>
                <w:rFonts w:ascii="Times New Roman"/>
                <w:sz w:val="21"/>
              </w:rPr>
            </w:pPr>
            <w:r>
              <w:rPr>
                <w:rFonts w:ascii="Times New Roman"/>
                <w:w w:val="99"/>
                <w:sz w:val="21"/>
              </w:rPr>
              <w:t>7</w:t>
            </w:r>
          </w:p>
        </w:tc>
        <w:tc>
          <w:tcPr>
            <w:tcW w:w="916" w:type="dxa"/>
            <w:tcBorders>
              <w:top w:val="single" w:color="000000" w:sz="4" w:space="0"/>
              <w:left w:val="single" w:color="000000" w:sz="4" w:space="0"/>
              <w:right w:val="single" w:color="000000" w:sz="4" w:space="0"/>
            </w:tcBorders>
          </w:tcPr>
          <w:p>
            <w:pPr>
              <w:pStyle w:val="19"/>
              <w:spacing w:before="5"/>
              <w:jc w:val="left"/>
              <w:rPr>
                <w:b/>
                <w:sz w:val="25"/>
              </w:rPr>
            </w:pPr>
          </w:p>
          <w:p>
            <w:pPr>
              <w:pStyle w:val="19"/>
              <w:spacing w:line="290" w:lineRule="auto"/>
              <w:ind w:left="358" w:right="127" w:hanging="212"/>
              <w:jc w:val="left"/>
              <w:rPr>
                <w:sz w:val="21"/>
              </w:rPr>
            </w:pPr>
            <w:r>
              <w:rPr>
                <w:sz w:val="21"/>
              </w:rPr>
              <w:t>提升绞车</w:t>
            </w:r>
          </w:p>
        </w:tc>
        <w:tc>
          <w:tcPr>
            <w:tcW w:w="1015" w:type="dxa"/>
            <w:tcBorders>
              <w:top w:val="single" w:color="000000" w:sz="4" w:space="0"/>
              <w:left w:val="single" w:color="000000" w:sz="4" w:space="0"/>
              <w:right w:val="single" w:color="000000" w:sz="4" w:space="0"/>
            </w:tcBorders>
          </w:tcPr>
          <w:p>
            <w:pPr>
              <w:pStyle w:val="19"/>
              <w:jc w:val="left"/>
              <w:rPr>
                <w:b/>
                <w:sz w:val="20"/>
              </w:rPr>
            </w:pPr>
          </w:p>
          <w:p>
            <w:pPr>
              <w:pStyle w:val="19"/>
              <w:spacing w:before="4"/>
              <w:jc w:val="left"/>
              <w:rPr>
                <w:b/>
                <w:sz w:val="18"/>
              </w:rPr>
            </w:pPr>
          </w:p>
          <w:p>
            <w:pPr>
              <w:pStyle w:val="19"/>
              <w:ind w:left="69" w:right="53"/>
              <w:rPr>
                <w:sz w:val="21"/>
              </w:rPr>
            </w:pPr>
            <w:r>
              <w:rPr>
                <w:sz w:val="21"/>
              </w:rPr>
              <w:t>绞车房</w:t>
            </w:r>
          </w:p>
        </w:tc>
        <w:tc>
          <w:tcPr>
            <w:tcW w:w="828" w:type="dxa"/>
            <w:tcBorders>
              <w:top w:val="single" w:color="000000" w:sz="4" w:space="0"/>
              <w:left w:val="single" w:color="000000" w:sz="4" w:space="0"/>
              <w:right w:val="single" w:color="000000" w:sz="4" w:space="0"/>
            </w:tcBorders>
          </w:tcPr>
          <w:p>
            <w:pPr>
              <w:pStyle w:val="19"/>
              <w:jc w:val="left"/>
              <w:rPr>
                <w:b/>
                <w:sz w:val="22"/>
              </w:rPr>
            </w:pPr>
          </w:p>
          <w:p>
            <w:pPr>
              <w:pStyle w:val="19"/>
              <w:spacing w:before="8"/>
              <w:jc w:val="left"/>
              <w:rPr>
                <w:b/>
                <w:sz w:val="17"/>
              </w:rPr>
            </w:pPr>
          </w:p>
          <w:p>
            <w:pPr>
              <w:pStyle w:val="19"/>
              <w:ind w:left="15"/>
              <w:rPr>
                <w:rFonts w:ascii="Times New Roman"/>
                <w:sz w:val="21"/>
              </w:rPr>
            </w:pPr>
            <w:r>
              <w:rPr>
                <w:rFonts w:ascii="Times New Roman"/>
                <w:w w:val="99"/>
                <w:sz w:val="21"/>
              </w:rPr>
              <w:t>1</w:t>
            </w:r>
          </w:p>
        </w:tc>
        <w:tc>
          <w:tcPr>
            <w:tcW w:w="698" w:type="dxa"/>
            <w:tcBorders>
              <w:top w:val="single" w:color="000000" w:sz="4" w:space="0"/>
              <w:left w:val="single" w:color="000000" w:sz="4" w:space="0"/>
              <w:right w:val="single" w:color="000000" w:sz="4" w:space="0"/>
            </w:tcBorders>
          </w:tcPr>
          <w:p>
            <w:pPr>
              <w:pStyle w:val="19"/>
              <w:jc w:val="left"/>
              <w:rPr>
                <w:b/>
                <w:sz w:val="22"/>
              </w:rPr>
            </w:pPr>
          </w:p>
          <w:p>
            <w:pPr>
              <w:pStyle w:val="19"/>
              <w:spacing w:before="8"/>
              <w:jc w:val="left"/>
              <w:rPr>
                <w:b/>
                <w:sz w:val="17"/>
              </w:rPr>
            </w:pPr>
          </w:p>
          <w:p>
            <w:pPr>
              <w:pStyle w:val="19"/>
              <w:ind w:left="229" w:right="209"/>
              <w:rPr>
                <w:rFonts w:ascii="Times New Roman"/>
                <w:sz w:val="21"/>
              </w:rPr>
            </w:pPr>
            <w:r>
              <w:rPr>
                <w:rFonts w:ascii="Times New Roman"/>
                <w:sz w:val="21"/>
              </w:rPr>
              <w:t>90</w:t>
            </w:r>
          </w:p>
        </w:tc>
        <w:tc>
          <w:tcPr>
            <w:tcW w:w="2530" w:type="dxa"/>
            <w:tcBorders>
              <w:top w:val="single" w:color="000000" w:sz="4" w:space="0"/>
              <w:left w:val="single" w:color="000000" w:sz="4" w:space="0"/>
              <w:right w:val="single" w:color="000000" w:sz="4" w:space="0"/>
            </w:tcBorders>
          </w:tcPr>
          <w:p>
            <w:pPr>
              <w:pStyle w:val="19"/>
              <w:spacing w:before="2" w:line="290" w:lineRule="auto"/>
              <w:ind w:left="62" w:right="41" w:hanging="106"/>
              <w:rPr>
                <w:sz w:val="21"/>
              </w:rPr>
            </w:pPr>
            <w:r>
              <w:rPr>
                <w:sz w:val="21"/>
              </w:rPr>
              <w:t xml:space="preserve">机房内电机设置减振基础 </w:t>
            </w:r>
            <w:r>
              <w:rPr>
                <w:spacing w:val="-10"/>
                <w:w w:val="95"/>
                <w:sz w:val="21"/>
              </w:rPr>
              <w:t xml:space="preserve">机房内进行吸声处理，并加 </w:t>
            </w:r>
            <w:r>
              <w:rPr>
                <w:spacing w:val="-16"/>
                <w:w w:val="95"/>
                <w:sz w:val="21"/>
              </w:rPr>
              <w:t>装隔声罩，机房门窗设置为</w:t>
            </w:r>
          </w:p>
          <w:p>
            <w:pPr>
              <w:pStyle w:val="19"/>
              <w:spacing w:before="2"/>
              <w:ind w:left="46" w:right="30"/>
              <w:rPr>
                <w:sz w:val="21"/>
              </w:rPr>
            </w:pPr>
            <w:r>
              <w:rPr>
                <w:sz w:val="21"/>
              </w:rPr>
              <w:t>隔声门窗</w:t>
            </w:r>
          </w:p>
        </w:tc>
        <w:tc>
          <w:tcPr>
            <w:tcW w:w="738" w:type="dxa"/>
            <w:tcBorders>
              <w:top w:val="single" w:color="000000" w:sz="4" w:space="0"/>
              <w:left w:val="single" w:color="000000" w:sz="4" w:space="0"/>
              <w:right w:val="single" w:color="000000" w:sz="4" w:space="0"/>
            </w:tcBorders>
          </w:tcPr>
          <w:p>
            <w:pPr>
              <w:pStyle w:val="19"/>
              <w:spacing w:before="2"/>
              <w:ind w:left="-159"/>
              <w:jc w:val="left"/>
              <w:rPr>
                <w:sz w:val="21"/>
              </w:rPr>
            </w:pPr>
            <w:r>
              <w:rPr>
                <w:w w:val="99"/>
                <w:sz w:val="21"/>
              </w:rPr>
              <w:t>，</w:t>
            </w:r>
          </w:p>
          <w:p>
            <w:pPr>
              <w:pStyle w:val="19"/>
              <w:spacing w:before="6"/>
              <w:jc w:val="left"/>
              <w:rPr>
                <w:b/>
                <w:sz w:val="18"/>
              </w:rPr>
            </w:pPr>
          </w:p>
          <w:p>
            <w:pPr>
              <w:pStyle w:val="19"/>
              <w:ind w:left="141" w:right="123"/>
              <w:rPr>
                <w:rFonts w:ascii="Times New Roman"/>
                <w:sz w:val="21"/>
              </w:rPr>
            </w:pPr>
            <w:r>
              <w:rPr>
                <w:rFonts w:ascii="Times New Roman"/>
                <w:sz w:val="21"/>
              </w:rPr>
              <w:t>25</w:t>
            </w:r>
          </w:p>
        </w:tc>
        <w:tc>
          <w:tcPr>
            <w:tcW w:w="946" w:type="dxa"/>
            <w:tcBorders>
              <w:top w:val="single" w:color="000000" w:sz="4" w:space="0"/>
              <w:left w:val="single" w:color="000000" w:sz="4" w:space="0"/>
              <w:right w:val="single" w:color="000000" w:sz="4" w:space="0"/>
            </w:tcBorders>
          </w:tcPr>
          <w:p>
            <w:pPr>
              <w:pStyle w:val="19"/>
              <w:jc w:val="left"/>
              <w:rPr>
                <w:b/>
                <w:sz w:val="22"/>
              </w:rPr>
            </w:pPr>
          </w:p>
          <w:p>
            <w:pPr>
              <w:pStyle w:val="19"/>
              <w:spacing w:before="8"/>
              <w:jc w:val="left"/>
              <w:rPr>
                <w:b/>
                <w:sz w:val="17"/>
              </w:rPr>
            </w:pPr>
          </w:p>
          <w:p>
            <w:pPr>
              <w:pStyle w:val="19"/>
              <w:ind w:left="372"/>
              <w:jc w:val="left"/>
              <w:rPr>
                <w:rFonts w:ascii="Times New Roman"/>
                <w:sz w:val="21"/>
              </w:rPr>
            </w:pPr>
            <w:r>
              <w:rPr>
                <w:rFonts w:ascii="Times New Roman"/>
                <w:sz w:val="21"/>
              </w:rPr>
              <w:t>65</w:t>
            </w:r>
          </w:p>
        </w:tc>
        <w:tc>
          <w:tcPr>
            <w:tcW w:w="968" w:type="dxa"/>
            <w:tcBorders>
              <w:top w:val="single" w:color="000000" w:sz="4" w:space="0"/>
              <w:left w:val="single" w:color="000000" w:sz="4" w:space="0"/>
            </w:tcBorders>
          </w:tcPr>
          <w:p>
            <w:pPr>
              <w:pStyle w:val="19"/>
              <w:jc w:val="left"/>
              <w:rPr>
                <w:rFonts w:ascii="Times New Roman"/>
                <w:sz w:val="22"/>
              </w:rPr>
            </w:pPr>
          </w:p>
        </w:tc>
      </w:tr>
    </w:tbl>
    <w:p>
      <w:pPr>
        <w:pStyle w:val="6"/>
        <w:numPr>
          <w:ilvl w:val="2"/>
          <w:numId w:val="73"/>
        </w:numPr>
        <w:tabs>
          <w:tab w:val="left" w:pos="2048"/>
        </w:tabs>
        <w:spacing w:before="3" w:after="0" w:line="240" w:lineRule="auto"/>
        <w:ind w:left="2047" w:right="0" w:hanging="630"/>
        <w:jc w:val="left"/>
      </w:pPr>
      <w:bookmarkStart w:id="468" w:name="8.3.2预测方法"/>
      <w:bookmarkEnd w:id="468"/>
      <w:bookmarkStart w:id="469" w:name="8.3.2预测方法"/>
      <w:bookmarkEnd w:id="469"/>
      <w:r>
        <w:t>预测方法</w:t>
      </w:r>
    </w:p>
    <w:p>
      <w:pPr>
        <w:pStyle w:val="9"/>
        <w:spacing w:before="186" w:line="362" w:lineRule="auto"/>
        <w:ind w:left="1418" w:right="1354" w:firstLine="480"/>
      </w:pPr>
      <w:r>
        <w:t>噪声从室内向室外传播的声级差主要考虑对相似车间的类比调查结果而确定。噪声在室外的传播衰减只考虑噪声随距离的衰减。</w:t>
      </w:r>
    </w:p>
    <w:p>
      <w:pPr>
        <w:pStyle w:val="6"/>
        <w:numPr>
          <w:ilvl w:val="2"/>
          <w:numId w:val="73"/>
        </w:numPr>
        <w:tabs>
          <w:tab w:val="left" w:pos="2048"/>
        </w:tabs>
        <w:spacing w:before="5" w:after="0" w:line="240" w:lineRule="auto"/>
        <w:ind w:left="2047" w:right="0" w:hanging="630"/>
        <w:jc w:val="left"/>
      </w:pPr>
      <w:bookmarkStart w:id="470" w:name="8.3.3预测模式"/>
      <w:bookmarkEnd w:id="470"/>
      <w:bookmarkStart w:id="471" w:name="8.3.3预测模式"/>
      <w:bookmarkEnd w:id="471"/>
      <w:r>
        <w:t>预测模式</w:t>
      </w:r>
    </w:p>
    <w:p>
      <w:pPr>
        <w:pStyle w:val="9"/>
        <w:spacing w:before="183"/>
        <w:ind w:left="1898"/>
      </w:pPr>
      <w:r>
        <w:t>噪声随距离衰减计算模式为：</w:t>
      </w:r>
    </w:p>
    <w:p>
      <w:pPr>
        <w:spacing w:before="156"/>
        <w:ind w:left="2901" w:right="0" w:firstLine="0"/>
        <w:jc w:val="left"/>
        <w:rPr>
          <w:rFonts w:ascii="Times New Roman" w:hAnsi="Times New Roman"/>
          <w:sz w:val="24"/>
        </w:rPr>
      </w:pPr>
      <w:r>
        <w:rPr>
          <w:rFonts w:ascii="Times New Roman" w:hAnsi="Times New Roman"/>
          <w:i/>
          <w:spacing w:val="7"/>
          <w:w w:val="101"/>
          <w:position w:val="11"/>
          <w:sz w:val="33"/>
        </w:rPr>
        <w:t>L</w:t>
      </w:r>
      <w:r>
        <w:rPr>
          <w:rFonts w:ascii="Times New Roman" w:hAnsi="Times New Roman"/>
          <w:position w:val="10"/>
          <w:sz w:val="13"/>
        </w:rPr>
        <w:t>(</w:t>
      </w:r>
      <w:r>
        <w:rPr>
          <w:rFonts w:ascii="Times New Roman" w:hAnsi="Times New Roman"/>
          <w:spacing w:val="-21"/>
          <w:position w:val="10"/>
          <w:sz w:val="13"/>
        </w:rPr>
        <w:t xml:space="preserve"> </w:t>
      </w:r>
      <w:r>
        <w:rPr>
          <w:rFonts w:ascii="Times New Roman" w:hAnsi="Times New Roman"/>
          <w:i/>
          <w:position w:val="10"/>
          <w:sz w:val="13"/>
        </w:rPr>
        <w:t>r</w:t>
      </w:r>
      <w:r>
        <w:rPr>
          <w:rFonts w:ascii="Times New Roman" w:hAnsi="Times New Roman"/>
          <w:i/>
          <w:spacing w:val="-15"/>
          <w:position w:val="10"/>
          <w:sz w:val="13"/>
        </w:rPr>
        <w:t xml:space="preserve"> </w:t>
      </w:r>
      <w:r>
        <w:rPr>
          <w:rFonts w:ascii="Times New Roman" w:hAnsi="Times New Roman"/>
          <w:position w:val="10"/>
          <w:sz w:val="13"/>
        </w:rPr>
        <w:t xml:space="preserve">) </w:t>
      </w:r>
      <w:r>
        <w:rPr>
          <w:rFonts w:ascii="Times New Roman" w:hAnsi="Times New Roman"/>
          <w:spacing w:val="-1"/>
          <w:position w:val="10"/>
          <w:sz w:val="13"/>
        </w:rPr>
        <w:t xml:space="preserve"> </w:t>
      </w:r>
      <w:r>
        <w:rPr>
          <w:rFonts w:ascii="Symbol" w:hAnsi="Symbol"/>
          <w:w w:val="101"/>
          <w:position w:val="19"/>
          <w:sz w:val="22"/>
        </w:rPr>
        <w:t></w:t>
      </w:r>
      <w:r>
        <w:rPr>
          <w:rFonts w:ascii="Times New Roman" w:hAnsi="Times New Roman"/>
          <w:spacing w:val="18"/>
          <w:position w:val="19"/>
          <w:sz w:val="22"/>
        </w:rPr>
        <w:t xml:space="preserve"> </w:t>
      </w:r>
      <w:r>
        <w:rPr>
          <w:rFonts w:ascii="Times New Roman" w:hAnsi="Times New Roman"/>
          <w:i/>
          <w:spacing w:val="7"/>
          <w:w w:val="101"/>
          <w:position w:val="11"/>
          <w:sz w:val="33"/>
        </w:rPr>
        <w:t>L</w:t>
      </w:r>
      <w:r>
        <w:rPr>
          <w:rFonts w:ascii="Times New Roman" w:hAnsi="Times New Roman"/>
          <w:spacing w:val="10"/>
          <w:position w:val="10"/>
          <w:sz w:val="13"/>
        </w:rPr>
        <w:t>(</w:t>
      </w:r>
      <w:r>
        <w:rPr>
          <w:rFonts w:ascii="Times New Roman" w:hAnsi="Times New Roman"/>
          <w:i/>
          <w:spacing w:val="18"/>
          <w:w w:val="101"/>
          <w:position w:val="5"/>
          <w:sz w:val="22"/>
        </w:rPr>
        <w:t>r</w:t>
      </w:r>
      <w:r>
        <w:rPr>
          <w:rFonts w:ascii="Times New Roman" w:hAnsi="Times New Roman"/>
          <w:w w:val="103"/>
          <w:position w:val="4"/>
          <w:sz w:val="9"/>
        </w:rPr>
        <w:t>0</w:t>
      </w:r>
      <w:r>
        <w:rPr>
          <w:rFonts w:ascii="Times New Roman" w:hAnsi="Times New Roman"/>
          <w:spacing w:val="-12"/>
          <w:position w:val="4"/>
          <w:sz w:val="9"/>
        </w:rPr>
        <w:t xml:space="preserve"> </w:t>
      </w:r>
      <w:r>
        <w:rPr>
          <w:rFonts w:ascii="Times New Roman" w:hAnsi="Times New Roman"/>
          <w:position w:val="10"/>
          <w:sz w:val="13"/>
        </w:rPr>
        <w:t>)</w:t>
      </w:r>
      <w:r>
        <w:rPr>
          <w:rFonts w:ascii="Times New Roman" w:hAnsi="Times New Roman"/>
          <w:spacing w:val="10"/>
          <w:position w:val="10"/>
          <w:sz w:val="13"/>
        </w:rPr>
        <w:t xml:space="preserve"> </w:t>
      </w:r>
      <w:r>
        <w:rPr>
          <w:rFonts w:ascii="Times New Roman" w:hAnsi="Times New Roman"/>
          <w:w w:val="101"/>
          <w:position w:val="19"/>
          <w:sz w:val="22"/>
        </w:rPr>
        <w:t>_</w:t>
      </w:r>
      <w:r>
        <w:rPr>
          <w:rFonts w:ascii="Times New Roman" w:hAnsi="Times New Roman"/>
          <w:spacing w:val="-9"/>
          <w:position w:val="19"/>
          <w:sz w:val="22"/>
        </w:rPr>
        <w:t xml:space="preserve"> </w:t>
      </w:r>
      <w:r>
        <w:rPr>
          <w:rFonts w:ascii="Times New Roman" w:hAnsi="Times New Roman"/>
          <w:w w:val="101"/>
          <w:position w:val="19"/>
          <w:sz w:val="22"/>
        </w:rPr>
        <w:t>20</w:t>
      </w:r>
      <w:r>
        <w:rPr>
          <w:rFonts w:ascii="Times New Roman" w:hAnsi="Times New Roman"/>
          <w:spacing w:val="-8"/>
          <w:position w:val="19"/>
          <w:sz w:val="22"/>
        </w:rPr>
        <w:t xml:space="preserve"> </w:t>
      </w:r>
      <w:r>
        <w:rPr>
          <w:rFonts w:ascii="Times New Roman" w:hAnsi="Times New Roman"/>
          <w:sz w:val="24"/>
        </w:rPr>
        <w:t>log</w:t>
      </w:r>
      <w:r>
        <w:rPr>
          <w:sz w:val="24"/>
        </w:rPr>
        <w:t>（</w:t>
      </w:r>
      <w:r>
        <w:rPr>
          <w:rFonts w:ascii="Times New Roman" w:hAnsi="Times New Roman"/>
          <w:spacing w:val="-1"/>
          <w:sz w:val="24"/>
        </w:rPr>
        <w:t>r</w:t>
      </w:r>
      <w:r>
        <w:rPr>
          <w:rFonts w:ascii="Times New Roman" w:hAnsi="Times New Roman"/>
          <w:sz w:val="24"/>
        </w:rPr>
        <w:t>/</w:t>
      </w:r>
      <w:r>
        <w:rPr>
          <w:rFonts w:ascii="Times New Roman" w:hAnsi="Times New Roman"/>
          <w:spacing w:val="-25"/>
          <w:sz w:val="24"/>
        </w:rPr>
        <w:t xml:space="preserve"> </w:t>
      </w:r>
      <w:r>
        <w:rPr>
          <w:rFonts w:ascii="Times New Roman" w:hAnsi="Times New Roman"/>
          <w:i/>
          <w:spacing w:val="17"/>
          <w:w w:val="102"/>
          <w:position w:val="6"/>
          <w:sz w:val="35"/>
        </w:rPr>
        <w:t>r</w:t>
      </w:r>
      <w:r>
        <w:rPr>
          <w:rFonts w:ascii="Times New Roman" w:hAnsi="Times New Roman"/>
          <w:w w:val="99"/>
          <w:position w:val="5"/>
          <w:sz w:val="14"/>
        </w:rPr>
        <w:t>0</w:t>
      </w:r>
      <w:r>
        <w:rPr>
          <w:rFonts w:ascii="Times New Roman" w:hAnsi="Times New Roman"/>
          <w:spacing w:val="4"/>
          <w:position w:val="5"/>
          <w:sz w:val="14"/>
        </w:rPr>
        <w:t xml:space="preserve"> </w:t>
      </w:r>
      <w:r>
        <w:rPr>
          <w:sz w:val="24"/>
        </w:rPr>
        <w:t>）</w:t>
      </w:r>
      <w:r>
        <w:rPr>
          <w:rFonts w:ascii="Times New Roman" w:hAnsi="Times New Roman"/>
          <w:sz w:val="24"/>
        </w:rPr>
        <w:t>—</w:t>
      </w:r>
      <w:r>
        <w:rPr>
          <w:rFonts w:ascii="Times New Roman" w:hAnsi="Times New Roman"/>
          <w:spacing w:val="-23"/>
          <w:sz w:val="24"/>
        </w:rPr>
        <w:t xml:space="preserve"> </w:t>
      </w:r>
      <w:r>
        <w:rPr>
          <w:rFonts w:ascii="Symbol" w:hAnsi="Symbol"/>
          <w:w w:val="96"/>
          <w:position w:val="4"/>
          <w:sz w:val="24"/>
        </w:rPr>
        <w:t></w:t>
      </w:r>
      <w:r>
        <w:rPr>
          <w:rFonts w:ascii="Times New Roman" w:hAnsi="Times New Roman"/>
          <w:spacing w:val="-13"/>
          <w:position w:val="4"/>
          <w:sz w:val="24"/>
        </w:rPr>
        <w:t xml:space="preserve"> </w:t>
      </w:r>
      <w:r>
        <w:rPr>
          <w:rFonts w:ascii="Times New Roman" w:hAnsi="Times New Roman"/>
          <w:sz w:val="24"/>
        </w:rPr>
        <w:t>L</w:t>
      </w:r>
    </w:p>
    <w:p>
      <w:pPr>
        <w:pStyle w:val="9"/>
        <w:spacing w:before="4"/>
        <w:rPr>
          <w:rFonts w:ascii="Times New Roman"/>
          <w:sz w:val="14"/>
        </w:rPr>
      </w:pPr>
      <w:r>
        <mc:AlternateContent>
          <mc:Choice Requires="wps">
            <w:drawing>
              <wp:anchor distT="0" distB="0" distL="0" distR="0" simplePos="0" relativeHeight="251732992" behindDoc="1" locked="0" layoutInCell="1" allowOverlap="1">
                <wp:simplePos x="0" y="0"/>
                <wp:positionH relativeFrom="page">
                  <wp:posOffset>2952750</wp:posOffset>
                </wp:positionH>
                <wp:positionV relativeFrom="paragraph">
                  <wp:posOffset>120015</wp:posOffset>
                </wp:positionV>
                <wp:extent cx="44450" cy="97790"/>
                <wp:effectExtent l="0" t="0" r="0" b="0"/>
                <wp:wrapTopAndBottom/>
                <wp:docPr id="155" name="文本框 63"/>
                <wp:cNvGraphicFramePr/>
                <a:graphic xmlns:a="http://schemas.openxmlformats.org/drawingml/2006/main">
                  <a:graphicData uri="http://schemas.microsoft.com/office/word/2010/wordprocessingShape">
                    <wps:wsp>
                      <wps:cNvSpPr txBox="1"/>
                      <wps:spPr>
                        <a:xfrm>
                          <a:off x="0" y="0"/>
                          <a:ext cx="44450" cy="97790"/>
                        </a:xfrm>
                        <a:prstGeom prst="rect">
                          <a:avLst/>
                        </a:prstGeom>
                        <a:noFill/>
                        <a:ln>
                          <a:noFill/>
                        </a:ln>
                      </wps:spPr>
                      <wps:txbx>
                        <w:txbxContent>
                          <w:p>
                            <w:pPr>
                              <w:spacing w:before="0" w:line="154" w:lineRule="exact"/>
                              <w:ind w:left="0" w:right="0" w:firstLine="0"/>
                              <w:jc w:val="left"/>
                              <w:rPr>
                                <w:rFonts w:ascii="Times New Roman"/>
                                <w:i/>
                                <w:sz w:val="14"/>
                              </w:rPr>
                            </w:pPr>
                            <w:r>
                              <w:rPr>
                                <w:rFonts w:ascii="Times New Roman"/>
                                <w:i/>
                                <w:w w:val="99"/>
                                <w:sz w:val="14"/>
                              </w:rPr>
                              <w:t>n</w:t>
                            </w:r>
                          </w:p>
                        </w:txbxContent>
                      </wps:txbx>
                      <wps:bodyPr lIns="0" tIns="0" rIns="0" bIns="0" upright="1"/>
                    </wps:wsp>
                  </a:graphicData>
                </a:graphic>
              </wp:anchor>
            </w:drawing>
          </mc:Choice>
          <mc:Fallback>
            <w:pict>
              <v:shape id="文本框 63" o:spid="_x0000_s1026" o:spt="202" type="#_x0000_t202" style="position:absolute;left:0pt;margin-left:232.5pt;margin-top:9.45pt;height:7.7pt;width:3.5pt;mso-position-horizontal-relative:page;mso-wrap-distance-bottom:0pt;mso-wrap-distance-top:0pt;z-index:-251583488;mso-width-relative:page;mso-height-relative:page;" filled="f" stroked="f" coordsize="21600,21600" o:gfxdata="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J+Sul9kAAAAJAQAADwAAAAAA&#10;AAABACAAAAAiAAAAZHJzL2Rvd25yZXYueG1sUEsBAhQAFAAAAAgAh07iQF/8fdWgAQAAJAMAAA4A&#10;AAAAAAAAAQAgAAAAKAEAAGRycy9lMm9Eb2MueG1sUEsFBgAAAAAGAAYAWQEAADoFAAAAAA==&#10;">
                <v:fill on="f" focussize="0,0"/>
                <v:stroke on="f"/>
                <v:imagedata o:title=""/>
                <o:lock v:ext="edit" aspectratio="f"/>
                <v:textbox inset="0mm,0mm,0mm,0mm">
                  <w:txbxContent>
                    <w:p>
                      <w:pPr>
                        <w:spacing w:before="0" w:line="154" w:lineRule="exact"/>
                        <w:ind w:left="0" w:right="0" w:firstLine="0"/>
                        <w:jc w:val="left"/>
                        <w:rPr>
                          <w:rFonts w:ascii="Times New Roman"/>
                          <w:i/>
                          <w:sz w:val="14"/>
                        </w:rPr>
                      </w:pPr>
                      <w:r>
                        <w:rPr>
                          <w:rFonts w:ascii="Times New Roman"/>
                          <w:i/>
                          <w:w w:val="99"/>
                          <w:sz w:val="14"/>
                        </w:rPr>
                        <w:t>n</w:t>
                      </w:r>
                    </w:p>
                  </w:txbxContent>
                </v:textbox>
                <w10:wrap type="topAndBottom"/>
              </v:shape>
            </w:pict>
          </mc:Fallback>
        </mc:AlternateContent>
      </w:r>
    </w:p>
    <w:p>
      <w:pPr>
        <w:spacing w:before="0" w:line="307" w:lineRule="exact"/>
        <w:ind w:left="1418" w:right="0" w:firstLine="0"/>
        <w:jc w:val="left"/>
        <w:rPr>
          <w:rFonts w:ascii="Times New Roman" w:hAnsi="Times New Roman"/>
          <w:i/>
          <w:sz w:val="24"/>
        </w:rPr>
      </w:pPr>
      <w:r>
        <w:rPr>
          <w:spacing w:val="-8"/>
          <w:sz w:val="24"/>
        </w:rPr>
        <w:t xml:space="preserve">多源噪声叠加公式： </w:t>
      </w:r>
      <w:r>
        <w:rPr>
          <w:rFonts w:ascii="Times New Roman" w:hAnsi="Times New Roman"/>
          <w:i/>
          <w:w w:val="99"/>
          <w:sz w:val="24"/>
        </w:rPr>
        <w:t>L</w:t>
      </w:r>
      <w:r>
        <w:rPr>
          <w:rFonts w:ascii="Times New Roman" w:hAnsi="Times New Roman"/>
          <w:i/>
          <w:spacing w:val="6"/>
          <w:sz w:val="24"/>
        </w:rPr>
        <w:t xml:space="preserve"> </w:t>
      </w:r>
      <w:r>
        <w:rPr>
          <w:rFonts w:ascii="Symbol" w:hAnsi="Symbol"/>
          <w:w w:val="99"/>
          <w:sz w:val="24"/>
        </w:rPr>
        <w:t></w:t>
      </w:r>
      <w:r>
        <w:rPr>
          <w:rFonts w:ascii="Times New Roman" w:hAnsi="Times New Roman"/>
          <w:spacing w:val="-23"/>
          <w:sz w:val="24"/>
        </w:rPr>
        <w:t xml:space="preserve"> </w:t>
      </w:r>
      <w:r>
        <w:rPr>
          <w:rFonts w:ascii="Times New Roman" w:hAnsi="Times New Roman"/>
          <w:spacing w:val="-1"/>
          <w:w w:val="99"/>
          <w:sz w:val="24"/>
        </w:rPr>
        <w:t>1</w:t>
      </w:r>
      <w:r>
        <w:rPr>
          <w:rFonts w:ascii="Times New Roman" w:hAnsi="Times New Roman"/>
          <w:w w:val="99"/>
          <w:sz w:val="24"/>
        </w:rPr>
        <w:t>0</w:t>
      </w:r>
      <w:r>
        <w:rPr>
          <w:rFonts w:ascii="Times New Roman" w:hAnsi="Times New Roman"/>
          <w:spacing w:val="-29"/>
          <w:sz w:val="24"/>
        </w:rPr>
        <w:t xml:space="preserve"> </w:t>
      </w:r>
      <w:r>
        <w:rPr>
          <w:rFonts w:ascii="Times New Roman" w:hAnsi="Times New Roman"/>
          <w:sz w:val="24"/>
        </w:rPr>
        <w:t>l</w:t>
      </w:r>
      <w:r>
        <w:rPr>
          <w:rFonts w:ascii="Times New Roman" w:hAnsi="Times New Roman"/>
          <w:spacing w:val="-3"/>
          <w:sz w:val="24"/>
        </w:rPr>
        <w:t>g</w:t>
      </w:r>
      <w:r>
        <w:rPr>
          <w:rFonts w:ascii="Times New Roman" w:hAnsi="Times New Roman"/>
          <w:spacing w:val="-12"/>
          <w:sz w:val="24"/>
        </w:rPr>
        <w:t xml:space="preserve">( </w:t>
      </w:r>
      <w:r>
        <w:rPr>
          <w:rFonts w:ascii="Symbol" w:hAnsi="Symbol"/>
          <w:spacing w:val="7"/>
          <w:w w:val="102"/>
          <w:position w:val="-4"/>
          <w:sz w:val="35"/>
        </w:rPr>
        <w:t></w:t>
      </w:r>
      <w:r>
        <w:rPr>
          <w:rFonts w:ascii="Times New Roman" w:hAnsi="Times New Roman"/>
          <w:w w:val="99"/>
          <w:sz w:val="24"/>
        </w:rPr>
        <w:t>1</w:t>
      </w:r>
      <w:r>
        <w:rPr>
          <w:rFonts w:ascii="Times New Roman" w:hAnsi="Times New Roman"/>
          <w:spacing w:val="16"/>
          <w:w w:val="99"/>
          <w:sz w:val="24"/>
        </w:rPr>
        <w:t>0</w:t>
      </w:r>
      <w:r>
        <w:rPr>
          <w:rFonts w:ascii="Times New Roman" w:hAnsi="Times New Roman"/>
          <w:w w:val="99"/>
          <w:position w:val="11"/>
          <w:sz w:val="14"/>
        </w:rPr>
        <w:t>0.</w:t>
      </w:r>
      <w:r>
        <w:rPr>
          <w:rFonts w:ascii="Times New Roman" w:hAnsi="Times New Roman"/>
          <w:spacing w:val="-5"/>
          <w:w w:val="99"/>
          <w:position w:val="11"/>
          <w:sz w:val="14"/>
        </w:rPr>
        <w:t>1</w:t>
      </w:r>
      <w:r>
        <w:rPr>
          <w:rFonts w:ascii="Times New Roman" w:hAnsi="Times New Roman"/>
          <w:i/>
          <w:spacing w:val="-1"/>
          <w:w w:val="99"/>
          <w:position w:val="11"/>
          <w:sz w:val="14"/>
        </w:rPr>
        <w:t>l</w:t>
      </w:r>
      <w:r>
        <w:rPr>
          <w:rFonts w:ascii="Times New Roman" w:hAnsi="Times New Roman"/>
          <w:i/>
          <w:w w:val="99"/>
          <w:position w:val="11"/>
          <w:sz w:val="14"/>
        </w:rPr>
        <w:t>i</w:t>
      </w:r>
      <w:r>
        <w:rPr>
          <w:rFonts w:ascii="Times New Roman" w:hAnsi="Times New Roman"/>
          <w:i/>
          <w:spacing w:val="5"/>
          <w:position w:val="11"/>
          <w:sz w:val="14"/>
        </w:rPr>
        <w:t xml:space="preserve"> </w:t>
      </w:r>
      <w:r>
        <w:rPr>
          <w:rFonts w:ascii="Times New Roman" w:hAnsi="Times New Roman"/>
          <w:w w:val="99"/>
          <w:sz w:val="24"/>
        </w:rPr>
        <w:t>)</w:t>
      </w:r>
      <w:r>
        <w:rPr>
          <w:rFonts w:ascii="Times New Roman" w:hAnsi="Times New Roman"/>
          <w:spacing w:val="-12"/>
          <w:sz w:val="24"/>
        </w:rPr>
        <w:t xml:space="preserve"> </w:t>
      </w:r>
      <w:r>
        <w:rPr>
          <w:rFonts w:ascii="Symbol" w:hAnsi="Symbol"/>
          <w:w w:val="99"/>
          <w:sz w:val="24"/>
        </w:rPr>
        <w:t></w:t>
      </w:r>
      <w:r>
        <w:rPr>
          <w:rFonts w:ascii="Times New Roman" w:hAnsi="Times New Roman"/>
          <w:spacing w:val="-11"/>
          <w:sz w:val="24"/>
        </w:rPr>
        <w:t xml:space="preserve"> </w:t>
      </w:r>
      <w:r>
        <w:rPr>
          <w:rFonts w:ascii="Symbol" w:hAnsi="Symbol"/>
          <w:w w:val="99"/>
          <w:sz w:val="24"/>
        </w:rPr>
        <w:t></w:t>
      </w:r>
      <w:r>
        <w:rPr>
          <w:rFonts w:ascii="Times New Roman" w:hAnsi="Times New Roman"/>
          <w:i/>
          <w:w w:val="99"/>
          <w:sz w:val="24"/>
        </w:rPr>
        <w:t>L</w:t>
      </w:r>
    </w:p>
    <w:p>
      <w:pPr>
        <w:spacing w:before="0" w:line="159" w:lineRule="exact"/>
        <w:ind w:left="520" w:right="3043" w:firstLine="0"/>
        <w:jc w:val="center"/>
        <w:rPr>
          <w:rFonts w:ascii="Times New Roman" w:eastAsia="Times New Roman"/>
          <w:sz w:val="14"/>
        </w:rPr>
      </w:pPr>
      <w:r>
        <w:rPr>
          <w:rFonts w:ascii="Times New Roman" w:eastAsia="Times New Roman"/>
          <w:i/>
          <w:sz w:val="14"/>
        </w:rPr>
        <w:t>i</w:t>
      </w:r>
      <w:r>
        <w:rPr>
          <w:sz w:val="14"/>
        </w:rPr>
        <w:t>＝</w:t>
      </w:r>
      <w:r>
        <w:rPr>
          <w:rFonts w:ascii="Times New Roman" w:eastAsia="Times New Roman"/>
          <w:sz w:val="14"/>
        </w:rPr>
        <w:t>1</w:t>
      </w:r>
    </w:p>
    <w:p>
      <w:pPr>
        <w:pStyle w:val="9"/>
        <w:spacing w:before="5"/>
        <w:rPr>
          <w:rFonts w:ascii="Times New Roman"/>
          <w:sz w:val="13"/>
        </w:rPr>
      </w:pPr>
    </w:p>
    <w:p>
      <w:pPr>
        <w:pStyle w:val="9"/>
        <w:ind w:right="4768"/>
        <w:jc w:val="right"/>
      </w:pPr>
      <w:r>
        <w:rPr>
          <w:spacing w:val="-21"/>
        </w:rPr>
        <w:t xml:space="preserve">式中： </w:t>
      </w:r>
      <w:r>
        <w:rPr>
          <w:rFonts w:ascii="Times New Roman" w:hAnsi="Times New Roman" w:eastAsia="Times New Roman"/>
          <w:i/>
          <w:spacing w:val="-2"/>
          <w:w w:val="100"/>
          <w:position w:val="7"/>
          <w:sz w:val="32"/>
        </w:rPr>
        <w:t>L</w:t>
      </w:r>
      <w:r>
        <w:rPr>
          <w:rFonts w:ascii="Times New Roman" w:hAnsi="Times New Roman" w:eastAsia="Times New Roman"/>
          <w:spacing w:val="9"/>
          <w:w w:val="104"/>
          <w:position w:val="6"/>
          <w:sz w:val="12"/>
        </w:rPr>
        <w:t>(</w:t>
      </w:r>
      <w:r>
        <w:rPr>
          <w:rFonts w:ascii="Times New Roman" w:hAnsi="Times New Roman" w:eastAsia="Times New Roman"/>
          <w:i/>
          <w:w w:val="104"/>
          <w:position w:val="6"/>
          <w:sz w:val="12"/>
        </w:rPr>
        <w:t>r</w:t>
      </w:r>
      <w:r>
        <w:rPr>
          <w:rFonts w:ascii="Times New Roman" w:hAnsi="Times New Roman" w:eastAsia="Times New Roman"/>
          <w:i/>
          <w:spacing w:val="-16"/>
          <w:position w:val="6"/>
          <w:sz w:val="12"/>
        </w:rPr>
        <w:t xml:space="preserve"> </w:t>
      </w:r>
      <w:r>
        <w:rPr>
          <w:rFonts w:ascii="Times New Roman" w:hAnsi="Times New Roman" w:eastAsia="Times New Roman"/>
          <w:w w:val="104"/>
          <w:position w:val="6"/>
          <w:sz w:val="12"/>
        </w:rPr>
        <w:t>)</w:t>
      </w:r>
      <w:r>
        <w:rPr>
          <w:rFonts w:ascii="Times New Roman" w:hAnsi="Times New Roman" w:eastAsia="Times New Roman"/>
          <w:spacing w:val="2"/>
          <w:position w:val="6"/>
          <w:sz w:val="12"/>
        </w:rPr>
        <w:t xml:space="preserve"> </w:t>
      </w:r>
      <w:r>
        <w:rPr>
          <w:rFonts w:ascii="Times New Roman" w:hAnsi="Times New Roman" w:eastAsia="Times New Roman"/>
        </w:rPr>
        <w:t>—</w:t>
      </w:r>
      <w:r>
        <w:rPr>
          <w:spacing w:val="-5"/>
        </w:rPr>
        <w:t xml:space="preserve">点声源在预测点产生的噪声级 </w:t>
      </w:r>
      <w:r>
        <w:rPr>
          <w:rFonts w:ascii="Times New Roman" w:hAnsi="Times New Roman" w:eastAsia="Times New Roman"/>
        </w:rPr>
        <w:t>d</w:t>
      </w:r>
      <w:r>
        <w:rPr>
          <w:rFonts w:ascii="Times New Roman" w:hAnsi="Times New Roman" w:eastAsia="Times New Roman"/>
          <w:spacing w:val="-2"/>
        </w:rPr>
        <w:t>B</w:t>
      </w:r>
      <w:r>
        <w:t>（</w:t>
      </w:r>
      <w:r>
        <w:rPr>
          <w:rFonts w:ascii="Times New Roman" w:hAnsi="Times New Roman" w:eastAsia="Times New Roman"/>
          <w:spacing w:val="-1"/>
        </w:rPr>
        <w:t>A</w:t>
      </w:r>
      <w:r>
        <w:t>）；</w:t>
      </w:r>
    </w:p>
    <w:p>
      <w:pPr>
        <w:spacing w:before="136"/>
        <w:ind w:left="0" w:right="4857" w:firstLine="0"/>
        <w:jc w:val="right"/>
        <w:rPr>
          <w:sz w:val="24"/>
        </w:rPr>
      </w:pPr>
      <w:r>
        <w:rPr>
          <w:rFonts w:ascii="Times New Roman" w:hAnsi="Times New Roman" w:eastAsia="Times New Roman"/>
          <w:i/>
          <w:spacing w:val="-2"/>
          <w:w w:val="100"/>
          <w:position w:val="11"/>
          <w:sz w:val="32"/>
        </w:rPr>
        <w:t>L</w:t>
      </w:r>
      <w:r>
        <w:rPr>
          <w:rFonts w:ascii="Times New Roman" w:hAnsi="Times New Roman" w:eastAsia="Times New Roman"/>
          <w:spacing w:val="7"/>
          <w:w w:val="104"/>
          <w:position w:val="10"/>
          <w:sz w:val="12"/>
        </w:rPr>
        <w:t>(</w:t>
      </w:r>
      <w:r>
        <w:rPr>
          <w:rFonts w:ascii="Times New Roman" w:hAnsi="Times New Roman" w:eastAsia="Times New Roman"/>
          <w:i/>
          <w:spacing w:val="12"/>
          <w:w w:val="102"/>
          <w:position w:val="5"/>
          <w:sz w:val="21"/>
        </w:rPr>
        <w:t>r</w:t>
      </w:r>
      <w:r>
        <w:rPr>
          <w:rFonts w:ascii="Times New Roman" w:hAnsi="Times New Roman" w:eastAsia="Times New Roman"/>
          <w:spacing w:val="7"/>
          <w:w w:val="99"/>
          <w:position w:val="4"/>
          <w:sz w:val="9"/>
        </w:rPr>
        <w:t>0</w:t>
      </w:r>
      <w:r>
        <w:rPr>
          <w:rFonts w:ascii="Times New Roman" w:hAnsi="Times New Roman" w:eastAsia="Times New Roman"/>
          <w:w w:val="104"/>
          <w:position w:val="10"/>
          <w:sz w:val="12"/>
        </w:rPr>
        <w:t>)</w:t>
      </w:r>
      <w:r>
        <w:rPr>
          <w:rFonts w:ascii="Times New Roman" w:hAnsi="Times New Roman" w:eastAsia="Times New Roman"/>
          <w:spacing w:val="6"/>
          <w:position w:val="10"/>
          <w:sz w:val="12"/>
        </w:rPr>
        <w:t xml:space="preserve"> </w:t>
      </w:r>
      <w:r>
        <w:rPr>
          <w:rFonts w:ascii="Times New Roman" w:hAnsi="Times New Roman" w:eastAsia="Times New Roman"/>
          <w:sz w:val="24"/>
        </w:rPr>
        <w:t>—</w:t>
      </w:r>
      <w:r>
        <w:rPr>
          <w:spacing w:val="8"/>
          <w:sz w:val="24"/>
        </w:rPr>
        <w:t>参考位置</w:t>
      </w:r>
      <w:r>
        <w:rPr>
          <w:rFonts w:ascii="Times New Roman" w:hAnsi="Times New Roman" w:eastAsia="Times New Roman"/>
          <w:i/>
          <w:spacing w:val="17"/>
          <w:w w:val="102"/>
          <w:position w:val="6"/>
          <w:sz w:val="35"/>
        </w:rPr>
        <w:t>r</w:t>
      </w:r>
      <w:r>
        <w:rPr>
          <w:rFonts w:ascii="Times New Roman" w:hAnsi="Times New Roman" w:eastAsia="Times New Roman"/>
          <w:w w:val="99"/>
          <w:position w:val="5"/>
          <w:sz w:val="14"/>
        </w:rPr>
        <w:t>0</w:t>
      </w:r>
      <w:r>
        <w:rPr>
          <w:rFonts w:ascii="Times New Roman" w:hAnsi="Times New Roman" w:eastAsia="Times New Roman"/>
          <w:spacing w:val="4"/>
          <w:position w:val="5"/>
          <w:sz w:val="14"/>
        </w:rPr>
        <w:t xml:space="preserve"> </w:t>
      </w:r>
      <w:r>
        <w:rPr>
          <w:spacing w:val="-8"/>
          <w:sz w:val="24"/>
        </w:rPr>
        <w:t xml:space="preserve">处的已知噪声级 </w:t>
      </w:r>
      <w:r>
        <w:rPr>
          <w:rFonts w:ascii="Times New Roman" w:hAnsi="Times New Roman" w:eastAsia="Times New Roman"/>
          <w:sz w:val="24"/>
        </w:rPr>
        <w:t>dB</w:t>
      </w:r>
      <w:r>
        <w:rPr>
          <w:sz w:val="24"/>
        </w:rPr>
        <w:t>（</w:t>
      </w:r>
      <w:r>
        <w:rPr>
          <w:rFonts w:ascii="Times New Roman" w:hAnsi="Times New Roman" w:eastAsia="Times New Roman"/>
          <w:spacing w:val="-1"/>
          <w:sz w:val="24"/>
        </w:rPr>
        <w:t>A</w:t>
      </w:r>
      <w:r>
        <w:rPr>
          <w:sz w:val="24"/>
        </w:rPr>
        <w:t>）；</w:t>
      </w:r>
    </w:p>
    <w:p>
      <w:pPr>
        <w:pStyle w:val="9"/>
        <w:spacing w:before="131" w:line="362" w:lineRule="auto"/>
        <w:ind w:left="2258" w:right="6113" w:firstLine="36"/>
      </w:pPr>
      <w:r>
        <w:rPr>
          <w:rFonts w:ascii="Symbol" w:hAnsi="Symbol" w:eastAsia="Symbol"/>
          <w:position w:val="4"/>
        </w:rPr>
        <w:t></w:t>
      </w:r>
      <w:r>
        <w:rPr>
          <w:rFonts w:ascii="Times New Roman" w:hAnsi="Times New Roman" w:eastAsia="Times New Roman"/>
          <w:position w:val="4"/>
        </w:rPr>
        <w:t xml:space="preserve"> </w:t>
      </w:r>
      <w:r>
        <w:rPr>
          <w:rFonts w:ascii="Times New Roman" w:hAnsi="Times New Roman" w:eastAsia="Times New Roman"/>
        </w:rPr>
        <w:t>L—</w:t>
      </w:r>
      <w:r>
        <w:t xml:space="preserve">各种因素引起的衰减量； </w:t>
      </w:r>
      <w:r>
        <w:rPr>
          <w:rFonts w:ascii="Times New Roman" w:hAnsi="Times New Roman" w:eastAsia="Times New Roman"/>
        </w:rPr>
        <w:t>r—</w:t>
      </w:r>
      <w:r>
        <w:t>关心点距噪声源距离；</w:t>
      </w:r>
    </w:p>
    <w:p>
      <w:pPr>
        <w:pStyle w:val="9"/>
        <w:spacing w:before="1" w:line="362" w:lineRule="auto"/>
        <w:ind w:left="2258" w:right="6605"/>
      </w:pPr>
      <w:r>
        <w:rPr>
          <w:rFonts w:ascii="Times New Roman" w:hAnsi="Times New Roman" w:eastAsia="Times New Roman"/>
          <w:position w:val="2"/>
        </w:rPr>
        <w:t>r</w:t>
      </w:r>
      <w:r>
        <w:rPr>
          <w:rFonts w:ascii="Times New Roman" w:hAnsi="Times New Roman" w:eastAsia="Times New Roman"/>
          <w:position w:val="2"/>
          <w:vertAlign w:val="subscript"/>
        </w:rPr>
        <w:t>o</w:t>
      </w:r>
      <w:r>
        <w:rPr>
          <w:rFonts w:ascii="Times New Roman" w:hAnsi="Times New Roman" w:eastAsia="Times New Roman"/>
          <w:position w:val="2"/>
          <w:vertAlign w:val="baseline"/>
        </w:rPr>
        <w:t>—</w:t>
      </w:r>
      <w:r>
        <w:rPr>
          <w:position w:val="2"/>
          <w:vertAlign w:val="baseline"/>
        </w:rPr>
        <w:t>参考位置距噪声源距离</w:t>
      </w:r>
      <w:r>
        <w:rPr>
          <w:rFonts w:ascii="Times New Roman" w:hAnsi="Times New Roman" w:eastAsia="Times New Roman"/>
          <w:vertAlign w:val="baseline"/>
        </w:rPr>
        <w:t>L—</w:t>
      </w:r>
      <w:r>
        <w:rPr>
          <w:vertAlign w:val="baseline"/>
        </w:rPr>
        <w:t xml:space="preserve">总等效 </w:t>
      </w:r>
      <w:r>
        <w:rPr>
          <w:rFonts w:ascii="Times New Roman" w:hAnsi="Times New Roman" w:eastAsia="Times New Roman"/>
          <w:vertAlign w:val="baseline"/>
        </w:rPr>
        <w:t xml:space="preserve">A </w:t>
      </w:r>
      <w:r>
        <w:rPr>
          <w:vertAlign w:val="baseline"/>
        </w:rPr>
        <w:t>声级，</w:t>
      </w:r>
      <w:r>
        <w:rPr>
          <w:rFonts w:ascii="Times New Roman" w:hAnsi="Times New Roman" w:eastAsia="Times New Roman"/>
          <w:vertAlign w:val="baseline"/>
        </w:rPr>
        <w:t>dB(A)</w:t>
      </w:r>
      <w:r>
        <w:rPr>
          <w:vertAlign w:val="baseline"/>
        </w:rPr>
        <w:t>；</w:t>
      </w:r>
    </w:p>
    <w:p>
      <w:pPr>
        <w:pStyle w:val="9"/>
        <w:spacing w:before="4"/>
        <w:ind w:left="2258"/>
      </w:pPr>
      <w:r>
        <w:rPr>
          <w:rFonts w:ascii="Times New Roman" w:hAnsi="Times New Roman" w:eastAsia="Times New Roman"/>
        </w:rPr>
        <w:t>Li—</w:t>
      </w:r>
      <w:r>
        <w:t xml:space="preserve">第 </w:t>
      </w:r>
      <w:r>
        <w:rPr>
          <w:rFonts w:ascii="Times New Roman" w:hAnsi="Times New Roman" w:eastAsia="Times New Roman"/>
        </w:rPr>
        <w:t xml:space="preserve">i </w:t>
      </w:r>
      <w:r>
        <w:t>个声源的声压级，</w:t>
      </w:r>
      <w:r>
        <w:rPr>
          <w:rFonts w:ascii="Times New Roman" w:hAnsi="Times New Roman" w:eastAsia="Times New Roman"/>
        </w:rPr>
        <w:t>dB(A)</w:t>
      </w:r>
      <w:r>
        <w:t>；</w:t>
      </w:r>
    </w:p>
    <w:p>
      <w:pPr>
        <w:pStyle w:val="9"/>
        <w:spacing w:before="158"/>
        <w:ind w:left="2258"/>
      </w:pPr>
      <w:r>
        <w:rPr>
          <w:rFonts w:ascii="Times New Roman" w:hAnsi="Times New Roman" w:eastAsia="Times New Roman"/>
        </w:rPr>
        <w:t>N—</w:t>
      </w:r>
      <w:r>
        <w:t>声源数量</w:t>
      </w:r>
    </w:p>
    <w:p>
      <w:pPr>
        <w:spacing w:after="0"/>
        <w:sectPr>
          <w:pgSz w:w="11910" w:h="16840"/>
          <w:pgMar w:top="1400" w:right="0" w:bottom="880" w:left="0" w:header="0" w:footer="681" w:gutter="0"/>
        </w:sectPr>
      </w:pPr>
    </w:p>
    <w:p>
      <w:pPr>
        <w:pStyle w:val="6"/>
        <w:numPr>
          <w:ilvl w:val="2"/>
          <w:numId w:val="73"/>
        </w:numPr>
        <w:tabs>
          <w:tab w:val="left" w:pos="2048"/>
        </w:tabs>
        <w:spacing w:before="42" w:after="0" w:line="240" w:lineRule="auto"/>
        <w:ind w:left="2047" w:right="0" w:hanging="630"/>
        <w:jc w:val="left"/>
      </w:pPr>
      <w:bookmarkStart w:id="472" w:name="8.3.4噪声预测结果"/>
      <w:bookmarkEnd w:id="472"/>
      <w:bookmarkStart w:id="473" w:name="8.3.4噪声预测结果"/>
      <w:bookmarkEnd w:id="473"/>
      <w:r>
        <w:t>噪声预测结果</w:t>
      </w:r>
    </w:p>
    <w:p>
      <w:pPr>
        <w:pStyle w:val="9"/>
        <w:spacing w:before="185" w:line="362" w:lineRule="auto"/>
        <w:ind w:left="1418" w:right="1354" w:firstLine="480"/>
      </w:pPr>
      <w:r>
        <w:t>选取本项目主要噪声设备作为点源，采用多源叠加的方法作出工程噪声预测，具体结果见下表。</w:t>
      </w:r>
    </w:p>
    <w:p>
      <w:pPr>
        <w:spacing w:before="177" w:after="38"/>
        <w:ind w:left="4161" w:right="0" w:firstLine="0"/>
        <w:jc w:val="left"/>
        <w:rPr>
          <w:b/>
          <w:sz w:val="21"/>
        </w:rPr>
      </w:pPr>
      <w:r>
        <w:rPr>
          <w:b/>
          <w:spacing w:val="-29"/>
          <w:sz w:val="21"/>
        </w:rPr>
        <w:t xml:space="preserve">表 </w:t>
      </w:r>
      <w:r>
        <w:rPr>
          <w:rFonts w:ascii="Times New Roman" w:eastAsia="Times New Roman"/>
          <w:b/>
          <w:sz w:val="21"/>
        </w:rPr>
        <w:t>8.3-3</w:t>
      </w:r>
      <w:r>
        <w:rPr>
          <w:rFonts w:ascii="Times New Roman" w:eastAsia="Times New Roman"/>
          <w:b/>
          <w:spacing w:val="47"/>
          <w:sz w:val="21"/>
        </w:rPr>
        <w:t xml:space="preserve"> </w:t>
      </w:r>
      <w:r>
        <w:rPr>
          <w:b/>
          <w:sz w:val="21"/>
        </w:rPr>
        <w:t>主井工业广场噪声源强厂界预测值</w:t>
      </w:r>
    </w:p>
    <w:tbl>
      <w:tblPr>
        <w:tblStyle w:val="15"/>
        <w:tblW w:w="0" w:type="auto"/>
        <w:tblInd w:w="13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05"/>
        <w:gridCol w:w="1205"/>
        <w:gridCol w:w="1205"/>
        <w:gridCol w:w="1209"/>
        <w:gridCol w:w="445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1205" w:type="dxa"/>
            <w:vMerge w:val="restart"/>
            <w:tcBorders>
              <w:bottom w:val="single" w:color="000000" w:sz="4" w:space="0"/>
              <w:right w:val="single" w:color="000000" w:sz="4" w:space="0"/>
            </w:tcBorders>
          </w:tcPr>
          <w:p>
            <w:pPr>
              <w:pStyle w:val="19"/>
              <w:spacing w:before="141"/>
              <w:ind w:left="180"/>
              <w:jc w:val="left"/>
              <w:rPr>
                <w:sz w:val="21"/>
              </w:rPr>
            </w:pPr>
            <w:r>
              <w:rPr>
                <w:sz w:val="21"/>
              </w:rPr>
              <w:t>预测点位</w:t>
            </w:r>
          </w:p>
        </w:tc>
        <w:tc>
          <w:tcPr>
            <w:tcW w:w="1205" w:type="dxa"/>
            <w:vMerge w:val="restart"/>
            <w:tcBorders>
              <w:left w:val="single" w:color="000000" w:sz="4" w:space="0"/>
              <w:bottom w:val="single" w:color="000000" w:sz="4" w:space="0"/>
              <w:right w:val="single" w:color="000000" w:sz="4" w:space="0"/>
            </w:tcBorders>
          </w:tcPr>
          <w:p>
            <w:pPr>
              <w:pStyle w:val="19"/>
              <w:spacing w:before="141"/>
              <w:ind w:left="290"/>
              <w:jc w:val="left"/>
              <w:rPr>
                <w:sz w:val="21"/>
              </w:rPr>
            </w:pPr>
            <w:r>
              <w:rPr>
                <w:sz w:val="21"/>
              </w:rPr>
              <w:t>贡献值</w:t>
            </w:r>
          </w:p>
        </w:tc>
        <w:tc>
          <w:tcPr>
            <w:tcW w:w="2414" w:type="dxa"/>
            <w:gridSpan w:val="2"/>
            <w:tcBorders>
              <w:left w:val="single" w:color="000000" w:sz="4" w:space="0"/>
              <w:bottom w:val="single" w:color="000000" w:sz="4" w:space="0"/>
              <w:right w:val="single" w:color="000000" w:sz="4" w:space="0"/>
            </w:tcBorders>
          </w:tcPr>
          <w:p>
            <w:pPr>
              <w:pStyle w:val="19"/>
              <w:spacing w:line="253" w:lineRule="exact"/>
              <w:ind w:left="874" w:right="859"/>
              <w:rPr>
                <w:sz w:val="21"/>
              </w:rPr>
            </w:pPr>
            <w:r>
              <w:rPr>
                <w:sz w:val="21"/>
              </w:rPr>
              <w:t>预测值</w:t>
            </w:r>
          </w:p>
        </w:tc>
        <w:tc>
          <w:tcPr>
            <w:tcW w:w="4458" w:type="dxa"/>
            <w:vMerge w:val="restart"/>
            <w:tcBorders>
              <w:left w:val="single" w:color="000000" w:sz="4" w:space="0"/>
              <w:bottom w:val="single" w:color="000000" w:sz="4" w:space="0"/>
            </w:tcBorders>
          </w:tcPr>
          <w:p>
            <w:pPr>
              <w:pStyle w:val="19"/>
              <w:spacing w:before="141"/>
              <w:ind w:left="1254" w:right="1235"/>
              <w:rPr>
                <w:sz w:val="21"/>
              </w:rPr>
            </w:pPr>
            <w:r>
              <w:rPr>
                <w:sz w:val="21"/>
              </w:rPr>
              <w:t>标准限值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205" w:type="dxa"/>
            <w:vMerge w:val="continue"/>
            <w:tcBorders>
              <w:top w:val="nil"/>
              <w:bottom w:val="single" w:color="000000" w:sz="4" w:space="0"/>
              <w:right w:val="single" w:color="000000" w:sz="4" w:space="0"/>
            </w:tcBorders>
          </w:tcPr>
          <w:p>
            <w:pPr>
              <w:rPr>
                <w:sz w:val="2"/>
                <w:szCs w:val="2"/>
              </w:rPr>
            </w:pPr>
          </w:p>
        </w:tc>
        <w:tc>
          <w:tcPr>
            <w:tcW w:w="1205" w:type="dxa"/>
            <w:vMerge w:val="continue"/>
            <w:tcBorders>
              <w:top w:val="nil"/>
              <w:left w:val="single" w:color="000000" w:sz="4" w:space="0"/>
              <w:bottom w:val="single" w:color="000000" w:sz="4" w:space="0"/>
              <w:right w:val="single" w:color="000000" w:sz="4" w:space="0"/>
            </w:tcBorders>
          </w:tcPr>
          <w:p>
            <w:pPr>
              <w:rPr>
                <w:sz w:val="2"/>
                <w:szCs w:val="2"/>
              </w:rPr>
            </w:pPr>
          </w:p>
        </w:tc>
        <w:tc>
          <w:tcPr>
            <w:tcW w:w="1205" w:type="dxa"/>
            <w:tcBorders>
              <w:top w:val="single" w:color="000000" w:sz="4" w:space="0"/>
              <w:left w:val="single" w:color="000000" w:sz="4" w:space="0"/>
              <w:bottom w:val="single" w:color="000000" w:sz="4" w:space="0"/>
              <w:right w:val="single" w:color="000000" w:sz="4" w:space="0"/>
            </w:tcBorders>
          </w:tcPr>
          <w:p>
            <w:pPr>
              <w:pStyle w:val="19"/>
              <w:spacing w:line="252" w:lineRule="exact"/>
              <w:ind w:left="501"/>
              <w:jc w:val="left"/>
              <w:rPr>
                <w:sz w:val="21"/>
              </w:rPr>
            </w:pPr>
            <w:r>
              <w:rPr>
                <w:w w:val="99"/>
                <w:sz w:val="21"/>
              </w:rPr>
              <w:t>昼</w:t>
            </w:r>
          </w:p>
        </w:tc>
        <w:tc>
          <w:tcPr>
            <w:tcW w:w="1209" w:type="dxa"/>
            <w:tcBorders>
              <w:top w:val="single" w:color="000000" w:sz="4" w:space="0"/>
              <w:left w:val="single" w:color="000000" w:sz="4" w:space="0"/>
              <w:bottom w:val="single" w:color="000000" w:sz="4" w:space="0"/>
              <w:right w:val="single" w:color="000000" w:sz="4" w:space="0"/>
            </w:tcBorders>
          </w:tcPr>
          <w:p>
            <w:pPr>
              <w:pStyle w:val="19"/>
              <w:spacing w:line="252" w:lineRule="exact"/>
              <w:ind w:left="18"/>
              <w:rPr>
                <w:sz w:val="21"/>
              </w:rPr>
            </w:pPr>
            <w:r>
              <w:rPr>
                <w:w w:val="99"/>
                <w:sz w:val="21"/>
              </w:rPr>
              <w:t>夜</w:t>
            </w:r>
          </w:p>
        </w:tc>
        <w:tc>
          <w:tcPr>
            <w:tcW w:w="445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4" w:hRule="atLeast"/>
        </w:trPr>
        <w:tc>
          <w:tcPr>
            <w:tcW w:w="1205" w:type="dxa"/>
            <w:tcBorders>
              <w:top w:val="single" w:color="000000" w:sz="4" w:space="0"/>
              <w:bottom w:val="single" w:color="000000" w:sz="4" w:space="0"/>
              <w:right w:val="single" w:color="000000" w:sz="4" w:space="0"/>
            </w:tcBorders>
          </w:tcPr>
          <w:p>
            <w:pPr>
              <w:pStyle w:val="19"/>
              <w:spacing w:before="49"/>
              <w:ind w:right="481"/>
              <w:jc w:val="right"/>
              <w:rPr>
                <w:sz w:val="21"/>
              </w:rPr>
            </w:pPr>
            <w:r>
              <w:rPr>
                <w:w w:val="99"/>
                <w:sz w:val="21"/>
              </w:rPr>
              <w:t>东</w:t>
            </w:r>
          </w:p>
        </w:tc>
        <w:tc>
          <w:tcPr>
            <w:tcW w:w="1205" w:type="dxa"/>
            <w:tcBorders>
              <w:top w:val="single" w:color="000000" w:sz="4" w:space="0"/>
              <w:left w:val="single" w:color="000000" w:sz="4" w:space="0"/>
              <w:bottom w:val="single" w:color="000000" w:sz="4" w:space="0"/>
              <w:right w:val="single" w:color="000000" w:sz="4" w:space="0"/>
            </w:tcBorders>
          </w:tcPr>
          <w:p>
            <w:pPr>
              <w:pStyle w:val="19"/>
              <w:spacing w:before="63"/>
              <w:ind w:left="393" w:right="374"/>
              <w:rPr>
                <w:rFonts w:ascii="Times New Roman"/>
                <w:sz w:val="21"/>
              </w:rPr>
            </w:pPr>
            <w:r>
              <w:rPr>
                <w:rFonts w:ascii="Times New Roman"/>
                <w:sz w:val="21"/>
              </w:rPr>
              <w:t>30.0</w:t>
            </w:r>
          </w:p>
        </w:tc>
        <w:tc>
          <w:tcPr>
            <w:tcW w:w="1205" w:type="dxa"/>
            <w:tcBorders>
              <w:top w:val="single" w:color="000000" w:sz="4" w:space="0"/>
              <w:left w:val="single" w:color="000000" w:sz="4" w:space="0"/>
              <w:bottom w:val="single" w:color="000000" w:sz="4" w:space="0"/>
              <w:right w:val="single" w:color="000000" w:sz="4" w:space="0"/>
            </w:tcBorders>
          </w:tcPr>
          <w:p>
            <w:pPr>
              <w:pStyle w:val="19"/>
              <w:spacing w:before="59"/>
              <w:ind w:left="415"/>
              <w:jc w:val="left"/>
              <w:rPr>
                <w:rFonts w:ascii="Times New Roman"/>
                <w:sz w:val="22"/>
              </w:rPr>
            </w:pPr>
            <w:r>
              <w:rPr>
                <w:rFonts w:ascii="Times New Roman"/>
                <w:sz w:val="22"/>
              </w:rPr>
              <w:t>49.1</w:t>
            </w:r>
          </w:p>
        </w:tc>
        <w:tc>
          <w:tcPr>
            <w:tcW w:w="1209" w:type="dxa"/>
            <w:tcBorders>
              <w:top w:val="single" w:color="000000" w:sz="4" w:space="0"/>
              <w:left w:val="single" w:color="000000" w:sz="4" w:space="0"/>
              <w:bottom w:val="single" w:color="000000" w:sz="4" w:space="0"/>
              <w:right w:val="single" w:color="000000" w:sz="4" w:space="0"/>
            </w:tcBorders>
          </w:tcPr>
          <w:p>
            <w:pPr>
              <w:pStyle w:val="19"/>
              <w:spacing w:before="59"/>
              <w:ind w:left="398" w:right="376"/>
              <w:rPr>
                <w:rFonts w:ascii="Times New Roman"/>
                <w:sz w:val="22"/>
              </w:rPr>
            </w:pPr>
            <w:r>
              <w:rPr>
                <w:rFonts w:ascii="Times New Roman"/>
                <w:sz w:val="22"/>
              </w:rPr>
              <w:t>38.7</w:t>
            </w:r>
          </w:p>
        </w:tc>
        <w:tc>
          <w:tcPr>
            <w:tcW w:w="4458" w:type="dxa"/>
            <w:vMerge w:val="restart"/>
            <w:tcBorders>
              <w:top w:val="single" w:color="000000" w:sz="4" w:space="0"/>
              <w:left w:val="single" w:color="000000" w:sz="4" w:space="0"/>
            </w:tcBorders>
          </w:tcPr>
          <w:p>
            <w:pPr>
              <w:pStyle w:val="19"/>
              <w:spacing w:before="11"/>
              <w:jc w:val="left"/>
              <w:rPr>
                <w:b/>
                <w:sz w:val="26"/>
              </w:rPr>
            </w:pPr>
          </w:p>
          <w:p>
            <w:pPr>
              <w:pStyle w:val="19"/>
              <w:spacing w:line="244" w:lineRule="auto"/>
              <w:ind w:left="115" w:right="86" w:hanging="8"/>
              <w:rPr>
                <w:sz w:val="21"/>
              </w:rPr>
            </w:pPr>
            <w:r>
              <w:rPr>
                <w:sz w:val="21"/>
              </w:rPr>
              <w:t>厂界噪声执行《工业企业厂界环境噪声排放标准》（</w:t>
            </w:r>
            <w:r>
              <w:rPr>
                <w:rFonts w:ascii="Times New Roman" w:eastAsia="Times New Roman"/>
                <w:sz w:val="21"/>
              </w:rPr>
              <w:t>GB12348-2008</w:t>
            </w:r>
            <w:r>
              <w:rPr>
                <w:sz w:val="21"/>
              </w:rPr>
              <w:t>）</w:t>
            </w:r>
            <w:r>
              <w:rPr>
                <w:spacing w:val="-32"/>
                <w:sz w:val="21"/>
              </w:rPr>
              <w:t xml:space="preserve">中 </w:t>
            </w:r>
            <w:r>
              <w:rPr>
                <w:rFonts w:ascii="Times New Roman" w:eastAsia="Times New Roman"/>
                <w:sz w:val="21"/>
              </w:rPr>
              <w:t xml:space="preserve">2 </w:t>
            </w:r>
            <w:r>
              <w:rPr>
                <w:sz w:val="21"/>
              </w:rPr>
              <w:t>类标准（昼间噪声</w:t>
            </w:r>
          </w:p>
          <w:p>
            <w:pPr>
              <w:pStyle w:val="19"/>
              <w:spacing w:line="265" w:lineRule="exact"/>
              <w:ind w:left="1257" w:right="1235"/>
              <w:rPr>
                <w:sz w:val="21"/>
              </w:rPr>
            </w:pPr>
            <w:r>
              <w:rPr>
                <w:rFonts w:ascii="Times New Roman" w:hAnsi="Times New Roman" w:eastAsia="Times New Roman"/>
                <w:sz w:val="21"/>
              </w:rPr>
              <w:t>≤60</w:t>
            </w:r>
            <w:r>
              <w:rPr>
                <w:sz w:val="21"/>
              </w:rPr>
              <w:t>，夜间噪声</w:t>
            </w:r>
            <w:r>
              <w:rPr>
                <w:rFonts w:ascii="Times New Roman" w:hAnsi="Times New Roman" w:eastAsia="Times New Roman"/>
                <w:sz w:val="21"/>
              </w:rPr>
              <w:t>≤50</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trPr>
        <w:tc>
          <w:tcPr>
            <w:tcW w:w="1205" w:type="dxa"/>
            <w:tcBorders>
              <w:top w:val="single" w:color="000000" w:sz="4" w:space="0"/>
              <w:bottom w:val="single" w:color="000000" w:sz="4" w:space="0"/>
              <w:right w:val="single" w:color="000000" w:sz="4" w:space="0"/>
            </w:tcBorders>
          </w:tcPr>
          <w:p>
            <w:pPr>
              <w:pStyle w:val="19"/>
              <w:spacing w:before="44"/>
              <w:ind w:right="481"/>
              <w:jc w:val="right"/>
              <w:rPr>
                <w:sz w:val="21"/>
              </w:rPr>
            </w:pPr>
            <w:r>
              <w:rPr>
                <w:w w:val="99"/>
                <w:sz w:val="21"/>
              </w:rPr>
              <w:t>南</w:t>
            </w:r>
          </w:p>
        </w:tc>
        <w:tc>
          <w:tcPr>
            <w:tcW w:w="1205" w:type="dxa"/>
            <w:tcBorders>
              <w:top w:val="single" w:color="000000" w:sz="4" w:space="0"/>
              <w:left w:val="single" w:color="000000" w:sz="4" w:space="0"/>
              <w:bottom w:val="single" w:color="000000" w:sz="4" w:space="0"/>
              <w:right w:val="single" w:color="000000" w:sz="4" w:space="0"/>
            </w:tcBorders>
          </w:tcPr>
          <w:p>
            <w:pPr>
              <w:pStyle w:val="19"/>
              <w:spacing w:before="58"/>
              <w:ind w:left="390" w:right="374"/>
              <w:rPr>
                <w:rFonts w:ascii="Times New Roman"/>
                <w:sz w:val="21"/>
              </w:rPr>
            </w:pPr>
            <w:r>
              <w:rPr>
                <w:rFonts w:ascii="Times New Roman"/>
                <w:sz w:val="21"/>
              </w:rPr>
              <w:t>33.9</w:t>
            </w:r>
          </w:p>
        </w:tc>
        <w:tc>
          <w:tcPr>
            <w:tcW w:w="1205" w:type="dxa"/>
            <w:tcBorders>
              <w:top w:val="single" w:color="000000" w:sz="4" w:space="0"/>
              <w:left w:val="single" w:color="000000" w:sz="4" w:space="0"/>
              <w:bottom w:val="single" w:color="000000" w:sz="4" w:space="0"/>
              <w:right w:val="single" w:color="000000" w:sz="4" w:space="0"/>
            </w:tcBorders>
          </w:tcPr>
          <w:p>
            <w:pPr>
              <w:pStyle w:val="19"/>
              <w:spacing w:before="51"/>
              <w:ind w:left="415"/>
              <w:jc w:val="left"/>
              <w:rPr>
                <w:rFonts w:ascii="Times New Roman"/>
                <w:sz w:val="22"/>
              </w:rPr>
            </w:pPr>
            <w:r>
              <w:rPr>
                <w:rFonts w:ascii="Times New Roman"/>
                <w:sz w:val="22"/>
              </w:rPr>
              <w:t>48.8</w:t>
            </w:r>
          </w:p>
        </w:tc>
        <w:tc>
          <w:tcPr>
            <w:tcW w:w="1209" w:type="dxa"/>
            <w:tcBorders>
              <w:top w:val="single" w:color="000000" w:sz="4" w:space="0"/>
              <w:left w:val="single" w:color="000000" w:sz="4" w:space="0"/>
              <w:bottom w:val="single" w:color="000000" w:sz="4" w:space="0"/>
              <w:right w:val="single" w:color="000000" w:sz="4" w:space="0"/>
            </w:tcBorders>
          </w:tcPr>
          <w:p>
            <w:pPr>
              <w:pStyle w:val="19"/>
              <w:spacing w:before="51"/>
              <w:ind w:left="398" w:right="376"/>
              <w:rPr>
                <w:rFonts w:ascii="Times New Roman"/>
                <w:sz w:val="22"/>
              </w:rPr>
            </w:pPr>
            <w:r>
              <w:rPr>
                <w:rFonts w:ascii="Times New Roman"/>
                <w:sz w:val="22"/>
              </w:rPr>
              <w:t>39.1</w:t>
            </w:r>
          </w:p>
        </w:tc>
        <w:tc>
          <w:tcPr>
            <w:tcW w:w="445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1205" w:type="dxa"/>
            <w:tcBorders>
              <w:top w:val="single" w:color="000000" w:sz="4" w:space="0"/>
              <w:bottom w:val="single" w:color="000000" w:sz="4" w:space="0"/>
              <w:right w:val="single" w:color="000000" w:sz="4" w:space="0"/>
            </w:tcBorders>
          </w:tcPr>
          <w:p>
            <w:pPr>
              <w:pStyle w:val="19"/>
              <w:spacing w:before="45"/>
              <w:ind w:right="481"/>
              <w:jc w:val="right"/>
              <w:rPr>
                <w:sz w:val="21"/>
              </w:rPr>
            </w:pPr>
            <w:r>
              <w:rPr>
                <w:w w:val="99"/>
                <w:sz w:val="21"/>
              </w:rPr>
              <w:t>西</w:t>
            </w:r>
          </w:p>
        </w:tc>
        <w:tc>
          <w:tcPr>
            <w:tcW w:w="1205" w:type="dxa"/>
            <w:tcBorders>
              <w:top w:val="single" w:color="000000" w:sz="4" w:space="0"/>
              <w:left w:val="single" w:color="000000" w:sz="4" w:space="0"/>
              <w:bottom w:val="single" w:color="000000" w:sz="4" w:space="0"/>
              <w:right w:val="single" w:color="000000" w:sz="4" w:space="0"/>
            </w:tcBorders>
          </w:tcPr>
          <w:p>
            <w:pPr>
              <w:pStyle w:val="19"/>
              <w:spacing w:before="58"/>
              <w:ind w:left="393" w:right="374"/>
              <w:rPr>
                <w:rFonts w:ascii="Times New Roman"/>
                <w:sz w:val="21"/>
              </w:rPr>
            </w:pPr>
            <w:r>
              <w:rPr>
                <w:rFonts w:ascii="Times New Roman"/>
                <w:sz w:val="21"/>
              </w:rPr>
              <w:t>27.1</w:t>
            </w:r>
          </w:p>
        </w:tc>
        <w:tc>
          <w:tcPr>
            <w:tcW w:w="1205" w:type="dxa"/>
            <w:tcBorders>
              <w:top w:val="single" w:color="000000" w:sz="4" w:space="0"/>
              <w:left w:val="single" w:color="000000" w:sz="4" w:space="0"/>
              <w:bottom w:val="single" w:color="000000" w:sz="4" w:space="0"/>
              <w:right w:val="single" w:color="000000" w:sz="4" w:space="0"/>
            </w:tcBorders>
          </w:tcPr>
          <w:p>
            <w:pPr>
              <w:pStyle w:val="19"/>
              <w:spacing w:before="52"/>
              <w:ind w:left="415"/>
              <w:jc w:val="left"/>
              <w:rPr>
                <w:rFonts w:ascii="Times New Roman"/>
                <w:sz w:val="22"/>
              </w:rPr>
            </w:pPr>
            <w:r>
              <w:rPr>
                <w:rFonts w:ascii="Times New Roman"/>
                <w:sz w:val="22"/>
              </w:rPr>
              <w:t>49.3</w:t>
            </w:r>
          </w:p>
        </w:tc>
        <w:tc>
          <w:tcPr>
            <w:tcW w:w="1209" w:type="dxa"/>
            <w:tcBorders>
              <w:top w:val="single" w:color="000000" w:sz="4" w:space="0"/>
              <w:left w:val="single" w:color="000000" w:sz="4" w:space="0"/>
              <w:bottom w:val="single" w:color="000000" w:sz="4" w:space="0"/>
              <w:right w:val="single" w:color="000000" w:sz="4" w:space="0"/>
            </w:tcBorders>
          </w:tcPr>
          <w:p>
            <w:pPr>
              <w:pStyle w:val="19"/>
              <w:spacing w:before="52"/>
              <w:ind w:left="398" w:right="376"/>
              <w:rPr>
                <w:rFonts w:ascii="Times New Roman"/>
                <w:sz w:val="22"/>
              </w:rPr>
            </w:pPr>
            <w:r>
              <w:rPr>
                <w:rFonts w:ascii="Times New Roman"/>
                <w:sz w:val="22"/>
              </w:rPr>
              <w:t>39.5</w:t>
            </w:r>
          </w:p>
        </w:tc>
        <w:tc>
          <w:tcPr>
            <w:tcW w:w="445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1205" w:type="dxa"/>
            <w:tcBorders>
              <w:top w:val="single" w:color="000000" w:sz="4" w:space="0"/>
              <w:right w:val="single" w:color="000000" w:sz="4" w:space="0"/>
            </w:tcBorders>
          </w:tcPr>
          <w:p>
            <w:pPr>
              <w:pStyle w:val="19"/>
              <w:spacing w:before="45"/>
              <w:ind w:right="481"/>
              <w:jc w:val="right"/>
              <w:rPr>
                <w:sz w:val="21"/>
              </w:rPr>
            </w:pPr>
            <w:r>
              <w:rPr>
                <w:w w:val="99"/>
                <w:sz w:val="21"/>
              </w:rPr>
              <w:t>北</w:t>
            </w:r>
          </w:p>
        </w:tc>
        <w:tc>
          <w:tcPr>
            <w:tcW w:w="1205" w:type="dxa"/>
            <w:tcBorders>
              <w:top w:val="single" w:color="000000" w:sz="4" w:space="0"/>
              <w:left w:val="single" w:color="000000" w:sz="4" w:space="0"/>
              <w:right w:val="single" w:color="000000" w:sz="4" w:space="0"/>
            </w:tcBorders>
          </w:tcPr>
          <w:p>
            <w:pPr>
              <w:pStyle w:val="19"/>
              <w:spacing w:before="59"/>
              <w:ind w:left="393" w:right="374"/>
              <w:rPr>
                <w:rFonts w:ascii="Times New Roman"/>
                <w:sz w:val="21"/>
              </w:rPr>
            </w:pPr>
            <w:r>
              <w:rPr>
                <w:rFonts w:ascii="Times New Roman"/>
                <w:sz w:val="21"/>
              </w:rPr>
              <w:t>29.2</w:t>
            </w:r>
          </w:p>
        </w:tc>
        <w:tc>
          <w:tcPr>
            <w:tcW w:w="1205" w:type="dxa"/>
            <w:tcBorders>
              <w:top w:val="single" w:color="000000" w:sz="4" w:space="0"/>
              <w:left w:val="single" w:color="000000" w:sz="4" w:space="0"/>
              <w:right w:val="single" w:color="000000" w:sz="4" w:space="0"/>
            </w:tcBorders>
          </w:tcPr>
          <w:p>
            <w:pPr>
              <w:pStyle w:val="19"/>
              <w:spacing w:before="52"/>
              <w:ind w:left="470"/>
              <w:jc w:val="left"/>
              <w:rPr>
                <w:rFonts w:ascii="Times New Roman"/>
                <w:sz w:val="22"/>
              </w:rPr>
            </w:pPr>
            <w:r>
              <w:rPr>
                <w:rFonts w:ascii="Times New Roman"/>
                <w:sz w:val="22"/>
              </w:rPr>
              <w:t>47.</w:t>
            </w:r>
          </w:p>
        </w:tc>
        <w:tc>
          <w:tcPr>
            <w:tcW w:w="1209" w:type="dxa"/>
            <w:tcBorders>
              <w:top w:val="single" w:color="000000" w:sz="4" w:space="0"/>
              <w:left w:val="single" w:color="000000" w:sz="4" w:space="0"/>
              <w:right w:val="single" w:color="000000" w:sz="4" w:space="0"/>
            </w:tcBorders>
          </w:tcPr>
          <w:p>
            <w:pPr>
              <w:pStyle w:val="19"/>
              <w:spacing w:before="52"/>
              <w:ind w:left="398" w:right="376"/>
              <w:rPr>
                <w:rFonts w:ascii="Times New Roman"/>
                <w:sz w:val="22"/>
              </w:rPr>
            </w:pPr>
            <w:r>
              <w:rPr>
                <w:rFonts w:ascii="Times New Roman"/>
                <w:sz w:val="22"/>
              </w:rPr>
              <w:t>39.0</w:t>
            </w:r>
          </w:p>
        </w:tc>
        <w:tc>
          <w:tcPr>
            <w:tcW w:w="4458" w:type="dxa"/>
            <w:vMerge w:val="continue"/>
            <w:tcBorders>
              <w:top w:val="nil"/>
              <w:left w:val="single" w:color="000000" w:sz="4" w:space="0"/>
            </w:tcBorders>
          </w:tcPr>
          <w:p>
            <w:pPr>
              <w:rPr>
                <w:sz w:val="2"/>
                <w:szCs w:val="2"/>
              </w:rPr>
            </w:pPr>
          </w:p>
        </w:tc>
      </w:tr>
    </w:tbl>
    <w:p>
      <w:pPr>
        <w:spacing w:before="175" w:after="37"/>
        <w:ind w:left="4161" w:right="0" w:firstLine="0"/>
        <w:jc w:val="left"/>
        <w:rPr>
          <w:b/>
          <w:sz w:val="21"/>
        </w:rPr>
      </w:pPr>
      <w:r>
        <w:rPr>
          <w:b/>
          <w:spacing w:val="-29"/>
          <w:sz w:val="21"/>
        </w:rPr>
        <w:t xml:space="preserve">表 </w:t>
      </w:r>
      <w:r>
        <w:rPr>
          <w:rFonts w:ascii="Times New Roman" w:eastAsia="Times New Roman"/>
          <w:b/>
          <w:sz w:val="21"/>
        </w:rPr>
        <w:t>8.3-4</w:t>
      </w:r>
      <w:r>
        <w:rPr>
          <w:rFonts w:ascii="Times New Roman" w:eastAsia="Times New Roman"/>
          <w:b/>
          <w:spacing w:val="47"/>
          <w:sz w:val="21"/>
        </w:rPr>
        <w:t xml:space="preserve"> </w:t>
      </w:r>
      <w:r>
        <w:rPr>
          <w:b/>
          <w:sz w:val="21"/>
        </w:rPr>
        <w:t>副井工业广场噪声源强厂界预测值</w:t>
      </w:r>
    </w:p>
    <w:tbl>
      <w:tblPr>
        <w:tblStyle w:val="15"/>
        <w:tblW w:w="0" w:type="auto"/>
        <w:tblInd w:w="13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05"/>
        <w:gridCol w:w="1205"/>
        <w:gridCol w:w="1205"/>
        <w:gridCol w:w="1209"/>
        <w:gridCol w:w="445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205" w:type="dxa"/>
            <w:vMerge w:val="restart"/>
            <w:tcBorders>
              <w:bottom w:val="single" w:color="000000" w:sz="4" w:space="0"/>
              <w:right w:val="single" w:color="000000" w:sz="4" w:space="0"/>
            </w:tcBorders>
          </w:tcPr>
          <w:p>
            <w:pPr>
              <w:pStyle w:val="19"/>
              <w:spacing w:before="140"/>
              <w:ind w:left="180"/>
              <w:jc w:val="left"/>
              <w:rPr>
                <w:sz w:val="21"/>
              </w:rPr>
            </w:pPr>
            <w:r>
              <w:rPr>
                <w:sz w:val="21"/>
              </w:rPr>
              <w:t>预测点位</w:t>
            </w:r>
          </w:p>
        </w:tc>
        <w:tc>
          <w:tcPr>
            <w:tcW w:w="1205" w:type="dxa"/>
            <w:vMerge w:val="restart"/>
            <w:tcBorders>
              <w:left w:val="single" w:color="000000" w:sz="4" w:space="0"/>
              <w:bottom w:val="single" w:color="000000" w:sz="4" w:space="0"/>
              <w:right w:val="single" w:color="000000" w:sz="4" w:space="0"/>
            </w:tcBorders>
          </w:tcPr>
          <w:p>
            <w:pPr>
              <w:pStyle w:val="19"/>
              <w:spacing w:before="140"/>
              <w:ind w:left="290"/>
              <w:jc w:val="left"/>
              <w:rPr>
                <w:sz w:val="21"/>
              </w:rPr>
            </w:pPr>
            <w:r>
              <w:rPr>
                <w:sz w:val="21"/>
              </w:rPr>
              <w:t>贡献值</w:t>
            </w:r>
          </w:p>
        </w:tc>
        <w:tc>
          <w:tcPr>
            <w:tcW w:w="2414" w:type="dxa"/>
            <w:gridSpan w:val="2"/>
            <w:tcBorders>
              <w:left w:val="single" w:color="000000" w:sz="4" w:space="0"/>
              <w:bottom w:val="single" w:color="000000" w:sz="4" w:space="0"/>
              <w:right w:val="single" w:color="000000" w:sz="4" w:space="0"/>
            </w:tcBorders>
          </w:tcPr>
          <w:p>
            <w:pPr>
              <w:pStyle w:val="19"/>
              <w:spacing w:before="1" w:line="251" w:lineRule="exact"/>
              <w:ind w:left="874" w:right="859"/>
              <w:rPr>
                <w:sz w:val="21"/>
              </w:rPr>
            </w:pPr>
            <w:r>
              <w:rPr>
                <w:sz w:val="21"/>
              </w:rPr>
              <w:t>预测值</w:t>
            </w:r>
          </w:p>
        </w:tc>
        <w:tc>
          <w:tcPr>
            <w:tcW w:w="4458" w:type="dxa"/>
            <w:vMerge w:val="restart"/>
            <w:tcBorders>
              <w:left w:val="single" w:color="000000" w:sz="4" w:space="0"/>
              <w:bottom w:val="single" w:color="000000" w:sz="4" w:space="0"/>
            </w:tcBorders>
          </w:tcPr>
          <w:p>
            <w:pPr>
              <w:pStyle w:val="19"/>
              <w:spacing w:before="140"/>
              <w:ind w:left="1254" w:right="1235"/>
              <w:rPr>
                <w:sz w:val="21"/>
              </w:rPr>
            </w:pPr>
            <w:r>
              <w:rPr>
                <w:sz w:val="21"/>
              </w:rPr>
              <w:t>标准限值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1205" w:type="dxa"/>
            <w:vMerge w:val="continue"/>
            <w:tcBorders>
              <w:top w:val="nil"/>
              <w:bottom w:val="single" w:color="000000" w:sz="4" w:space="0"/>
              <w:right w:val="single" w:color="000000" w:sz="4" w:space="0"/>
            </w:tcBorders>
          </w:tcPr>
          <w:p>
            <w:pPr>
              <w:rPr>
                <w:sz w:val="2"/>
                <w:szCs w:val="2"/>
              </w:rPr>
            </w:pPr>
          </w:p>
        </w:tc>
        <w:tc>
          <w:tcPr>
            <w:tcW w:w="1205" w:type="dxa"/>
            <w:vMerge w:val="continue"/>
            <w:tcBorders>
              <w:top w:val="nil"/>
              <w:left w:val="single" w:color="000000" w:sz="4" w:space="0"/>
              <w:bottom w:val="single" w:color="000000" w:sz="4" w:space="0"/>
              <w:right w:val="single" w:color="000000" w:sz="4" w:space="0"/>
            </w:tcBorders>
          </w:tcPr>
          <w:p>
            <w:pPr>
              <w:rPr>
                <w:sz w:val="2"/>
                <w:szCs w:val="2"/>
              </w:rPr>
            </w:pPr>
          </w:p>
        </w:tc>
        <w:tc>
          <w:tcPr>
            <w:tcW w:w="1205" w:type="dxa"/>
            <w:tcBorders>
              <w:top w:val="single" w:color="000000" w:sz="4" w:space="0"/>
              <w:left w:val="single" w:color="000000" w:sz="4" w:space="0"/>
              <w:bottom w:val="single" w:color="000000" w:sz="4" w:space="0"/>
              <w:right w:val="single" w:color="000000" w:sz="4" w:space="0"/>
            </w:tcBorders>
          </w:tcPr>
          <w:p>
            <w:pPr>
              <w:pStyle w:val="19"/>
              <w:spacing w:before="2" w:line="251" w:lineRule="exact"/>
              <w:ind w:left="17"/>
              <w:rPr>
                <w:sz w:val="21"/>
              </w:rPr>
            </w:pPr>
            <w:r>
              <w:rPr>
                <w:w w:val="99"/>
                <w:sz w:val="21"/>
              </w:rPr>
              <w:t>昼</w:t>
            </w:r>
          </w:p>
        </w:tc>
        <w:tc>
          <w:tcPr>
            <w:tcW w:w="1209" w:type="dxa"/>
            <w:tcBorders>
              <w:top w:val="single" w:color="000000" w:sz="4" w:space="0"/>
              <w:left w:val="single" w:color="000000" w:sz="4" w:space="0"/>
              <w:bottom w:val="single" w:color="000000" w:sz="4" w:space="0"/>
              <w:right w:val="single" w:color="000000" w:sz="4" w:space="0"/>
            </w:tcBorders>
          </w:tcPr>
          <w:p>
            <w:pPr>
              <w:pStyle w:val="19"/>
              <w:spacing w:before="2" w:line="251" w:lineRule="exact"/>
              <w:ind w:left="18"/>
              <w:rPr>
                <w:sz w:val="21"/>
              </w:rPr>
            </w:pPr>
            <w:r>
              <w:rPr>
                <w:w w:val="99"/>
                <w:sz w:val="21"/>
              </w:rPr>
              <w:t>夜</w:t>
            </w:r>
          </w:p>
        </w:tc>
        <w:tc>
          <w:tcPr>
            <w:tcW w:w="445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1205" w:type="dxa"/>
            <w:tcBorders>
              <w:top w:val="single" w:color="000000" w:sz="4" w:space="0"/>
              <w:bottom w:val="single" w:color="000000" w:sz="4" w:space="0"/>
              <w:right w:val="single" w:color="000000" w:sz="4" w:space="0"/>
            </w:tcBorders>
          </w:tcPr>
          <w:p>
            <w:pPr>
              <w:pStyle w:val="19"/>
              <w:spacing w:before="48"/>
              <w:ind w:right="481"/>
              <w:jc w:val="right"/>
              <w:rPr>
                <w:sz w:val="21"/>
              </w:rPr>
            </w:pPr>
            <w:r>
              <w:rPr>
                <w:w w:val="99"/>
                <w:sz w:val="21"/>
              </w:rPr>
              <w:t>东</w:t>
            </w:r>
          </w:p>
        </w:tc>
        <w:tc>
          <w:tcPr>
            <w:tcW w:w="1205" w:type="dxa"/>
            <w:tcBorders>
              <w:top w:val="single" w:color="000000" w:sz="4" w:space="0"/>
              <w:left w:val="single" w:color="000000" w:sz="4" w:space="0"/>
              <w:bottom w:val="single" w:color="000000" w:sz="4" w:space="0"/>
              <w:right w:val="single" w:color="000000" w:sz="4" w:space="0"/>
            </w:tcBorders>
          </w:tcPr>
          <w:p>
            <w:pPr>
              <w:pStyle w:val="19"/>
              <w:spacing w:before="62"/>
              <w:ind w:left="393" w:right="374"/>
              <w:rPr>
                <w:rFonts w:ascii="Times New Roman"/>
                <w:sz w:val="21"/>
              </w:rPr>
            </w:pPr>
            <w:r>
              <w:rPr>
                <w:rFonts w:ascii="Times New Roman"/>
                <w:sz w:val="21"/>
              </w:rPr>
              <w:t>25.0</w:t>
            </w:r>
          </w:p>
        </w:tc>
        <w:tc>
          <w:tcPr>
            <w:tcW w:w="1205" w:type="dxa"/>
            <w:tcBorders>
              <w:top w:val="single" w:color="000000" w:sz="4" w:space="0"/>
              <w:left w:val="single" w:color="000000" w:sz="4" w:space="0"/>
              <w:bottom w:val="single" w:color="000000" w:sz="4" w:space="0"/>
              <w:right w:val="single" w:color="000000" w:sz="4" w:space="0"/>
            </w:tcBorders>
          </w:tcPr>
          <w:p>
            <w:pPr>
              <w:pStyle w:val="19"/>
              <w:spacing w:before="57"/>
              <w:ind w:left="396" w:right="374"/>
              <w:rPr>
                <w:rFonts w:ascii="Times New Roman"/>
                <w:sz w:val="22"/>
              </w:rPr>
            </w:pPr>
            <w:r>
              <w:rPr>
                <w:rFonts w:ascii="Times New Roman"/>
                <w:sz w:val="22"/>
              </w:rPr>
              <w:t>48.1</w:t>
            </w:r>
          </w:p>
        </w:tc>
        <w:tc>
          <w:tcPr>
            <w:tcW w:w="1209" w:type="dxa"/>
            <w:tcBorders>
              <w:top w:val="single" w:color="000000" w:sz="4" w:space="0"/>
              <w:left w:val="single" w:color="000000" w:sz="4" w:space="0"/>
              <w:bottom w:val="single" w:color="000000" w:sz="4" w:space="0"/>
              <w:right w:val="single" w:color="000000" w:sz="4" w:space="0"/>
            </w:tcBorders>
          </w:tcPr>
          <w:p>
            <w:pPr>
              <w:pStyle w:val="19"/>
              <w:spacing w:before="57"/>
              <w:ind w:left="398" w:right="376"/>
              <w:rPr>
                <w:rFonts w:ascii="Times New Roman"/>
                <w:sz w:val="22"/>
              </w:rPr>
            </w:pPr>
            <w:r>
              <w:rPr>
                <w:rFonts w:ascii="Times New Roman"/>
                <w:sz w:val="22"/>
              </w:rPr>
              <w:t>39.2</w:t>
            </w:r>
          </w:p>
        </w:tc>
        <w:tc>
          <w:tcPr>
            <w:tcW w:w="4458" w:type="dxa"/>
            <w:vMerge w:val="restart"/>
            <w:tcBorders>
              <w:top w:val="single" w:color="000000" w:sz="4" w:space="0"/>
              <w:left w:val="single" w:color="000000" w:sz="4" w:space="0"/>
            </w:tcBorders>
          </w:tcPr>
          <w:p>
            <w:pPr>
              <w:pStyle w:val="19"/>
              <w:spacing w:before="10"/>
              <w:jc w:val="left"/>
              <w:rPr>
                <w:b/>
                <w:sz w:val="26"/>
              </w:rPr>
            </w:pPr>
          </w:p>
          <w:p>
            <w:pPr>
              <w:pStyle w:val="19"/>
              <w:spacing w:line="244" w:lineRule="auto"/>
              <w:ind w:left="115" w:right="86" w:hanging="8"/>
              <w:rPr>
                <w:sz w:val="21"/>
              </w:rPr>
            </w:pPr>
            <w:r>
              <w:rPr>
                <w:sz w:val="21"/>
              </w:rPr>
              <w:t>厂界噪声执行《工业企业厂界环境噪声排放标准》（</w:t>
            </w:r>
            <w:r>
              <w:rPr>
                <w:rFonts w:ascii="Times New Roman" w:eastAsia="Times New Roman"/>
                <w:sz w:val="21"/>
              </w:rPr>
              <w:t>GB12348-2008</w:t>
            </w:r>
            <w:r>
              <w:rPr>
                <w:sz w:val="21"/>
              </w:rPr>
              <w:t>）</w:t>
            </w:r>
            <w:r>
              <w:rPr>
                <w:spacing w:val="-32"/>
                <w:sz w:val="21"/>
              </w:rPr>
              <w:t xml:space="preserve">中 </w:t>
            </w:r>
            <w:r>
              <w:rPr>
                <w:rFonts w:ascii="Times New Roman" w:eastAsia="Times New Roman"/>
                <w:sz w:val="21"/>
              </w:rPr>
              <w:t xml:space="preserve">2 </w:t>
            </w:r>
            <w:r>
              <w:rPr>
                <w:sz w:val="21"/>
              </w:rPr>
              <w:t>类标准（昼间噪声</w:t>
            </w:r>
          </w:p>
          <w:p>
            <w:pPr>
              <w:pStyle w:val="19"/>
              <w:spacing w:line="265" w:lineRule="exact"/>
              <w:ind w:left="1257" w:right="1235"/>
              <w:rPr>
                <w:sz w:val="21"/>
              </w:rPr>
            </w:pPr>
            <w:r>
              <w:rPr>
                <w:rFonts w:ascii="Times New Roman" w:hAnsi="Times New Roman" w:eastAsia="Times New Roman"/>
                <w:sz w:val="21"/>
              </w:rPr>
              <w:t>≤60</w:t>
            </w:r>
            <w:r>
              <w:rPr>
                <w:sz w:val="21"/>
              </w:rPr>
              <w:t>，夜间噪声</w:t>
            </w:r>
            <w:r>
              <w:rPr>
                <w:rFonts w:ascii="Times New Roman" w:hAnsi="Times New Roman" w:eastAsia="Times New Roman"/>
                <w:sz w:val="21"/>
              </w:rPr>
              <w:t>≤50</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trPr>
        <w:tc>
          <w:tcPr>
            <w:tcW w:w="1205" w:type="dxa"/>
            <w:tcBorders>
              <w:top w:val="single" w:color="000000" w:sz="4" w:space="0"/>
              <w:bottom w:val="single" w:color="000000" w:sz="4" w:space="0"/>
              <w:right w:val="single" w:color="000000" w:sz="4" w:space="0"/>
            </w:tcBorders>
          </w:tcPr>
          <w:p>
            <w:pPr>
              <w:pStyle w:val="19"/>
              <w:spacing w:before="43"/>
              <w:ind w:right="481"/>
              <w:jc w:val="right"/>
              <w:rPr>
                <w:sz w:val="21"/>
              </w:rPr>
            </w:pPr>
            <w:r>
              <w:rPr>
                <w:w w:val="99"/>
                <w:sz w:val="21"/>
              </w:rPr>
              <w:t>南</w:t>
            </w:r>
          </w:p>
        </w:tc>
        <w:tc>
          <w:tcPr>
            <w:tcW w:w="1205" w:type="dxa"/>
            <w:tcBorders>
              <w:top w:val="single" w:color="000000" w:sz="4" w:space="0"/>
              <w:left w:val="single" w:color="000000" w:sz="4" w:space="0"/>
              <w:bottom w:val="single" w:color="000000" w:sz="4" w:space="0"/>
              <w:right w:val="single" w:color="000000" w:sz="4" w:space="0"/>
            </w:tcBorders>
          </w:tcPr>
          <w:p>
            <w:pPr>
              <w:pStyle w:val="19"/>
              <w:spacing w:before="57"/>
              <w:ind w:left="393" w:right="374"/>
              <w:rPr>
                <w:rFonts w:ascii="Times New Roman"/>
                <w:sz w:val="21"/>
              </w:rPr>
            </w:pPr>
            <w:r>
              <w:rPr>
                <w:rFonts w:ascii="Times New Roman"/>
                <w:sz w:val="21"/>
              </w:rPr>
              <w:t>24.6</w:t>
            </w:r>
          </w:p>
        </w:tc>
        <w:tc>
          <w:tcPr>
            <w:tcW w:w="1205" w:type="dxa"/>
            <w:tcBorders>
              <w:top w:val="single" w:color="000000" w:sz="4" w:space="0"/>
              <w:left w:val="single" w:color="000000" w:sz="4" w:space="0"/>
              <w:bottom w:val="single" w:color="000000" w:sz="4" w:space="0"/>
              <w:right w:val="single" w:color="000000" w:sz="4" w:space="0"/>
            </w:tcBorders>
          </w:tcPr>
          <w:p>
            <w:pPr>
              <w:pStyle w:val="19"/>
              <w:spacing w:before="52"/>
              <w:ind w:left="396" w:right="374"/>
              <w:rPr>
                <w:rFonts w:ascii="Times New Roman"/>
                <w:sz w:val="22"/>
              </w:rPr>
            </w:pPr>
            <w:r>
              <w:rPr>
                <w:rFonts w:ascii="Times New Roman"/>
                <w:sz w:val="22"/>
              </w:rPr>
              <w:t>47.7</w:t>
            </w:r>
          </w:p>
        </w:tc>
        <w:tc>
          <w:tcPr>
            <w:tcW w:w="1209" w:type="dxa"/>
            <w:tcBorders>
              <w:top w:val="single" w:color="000000" w:sz="4" w:space="0"/>
              <w:left w:val="single" w:color="000000" w:sz="4" w:space="0"/>
              <w:bottom w:val="single" w:color="000000" w:sz="4" w:space="0"/>
              <w:right w:val="single" w:color="000000" w:sz="4" w:space="0"/>
            </w:tcBorders>
          </w:tcPr>
          <w:p>
            <w:pPr>
              <w:pStyle w:val="19"/>
              <w:spacing w:before="52"/>
              <w:ind w:left="398" w:right="376"/>
              <w:rPr>
                <w:rFonts w:ascii="Times New Roman"/>
                <w:sz w:val="22"/>
              </w:rPr>
            </w:pPr>
            <w:r>
              <w:rPr>
                <w:rFonts w:ascii="Times New Roman"/>
                <w:sz w:val="22"/>
              </w:rPr>
              <w:t>38.6</w:t>
            </w:r>
          </w:p>
        </w:tc>
        <w:tc>
          <w:tcPr>
            <w:tcW w:w="445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trPr>
        <w:tc>
          <w:tcPr>
            <w:tcW w:w="1205" w:type="dxa"/>
            <w:tcBorders>
              <w:top w:val="single" w:color="000000" w:sz="4" w:space="0"/>
              <w:bottom w:val="single" w:color="000000" w:sz="4" w:space="0"/>
              <w:right w:val="single" w:color="000000" w:sz="4" w:space="0"/>
            </w:tcBorders>
          </w:tcPr>
          <w:p>
            <w:pPr>
              <w:pStyle w:val="19"/>
              <w:spacing w:before="43"/>
              <w:ind w:right="481"/>
              <w:jc w:val="right"/>
              <w:rPr>
                <w:sz w:val="21"/>
              </w:rPr>
            </w:pPr>
            <w:r>
              <w:rPr>
                <w:w w:val="99"/>
                <w:sz w:val="21"/>
              </w:rPr>
              <w:t>西</w:t>
            </w:r>
          </w:p>
        </w:tc>
        <w:tc>
          <w:tcPr>
            <w:tcW w:w="1205" w:type="dxa"/>
            <w:tcBorders>
              <w:top w:val="single" w:color="000000" w:sz="4" w:space="0"/>
              <w:left w:val="single" w:color="000000" w:sz="4" w:space="0"/>
              <w:bottom w:val="single" w:color="000000" w:sz="4" w:space="0"/>
              <w:right w:val="single" w:color="000000" w:sz="4" w:space="0"/>
            </w:tcBorders>
          </w:tcPr>
          <w:p>
            <w:pPr>
              <w:pStyle w:val="19"/>
              <w:spacing w:before="57"/>
              <w:ind w:left="393" w:right="374"/>
              <w:rPr>
                <w:rFonts w:ascii="Times New Roman"/>
                <w:sz w:val="21"/>
              </w:rPr>
            </w:pPr>
            <w:r>
              <w:rPr>
                <w:rFonts w:ascii="Times New Roman"/>
                <w:sz w:val="21"/>
              </w:rPr>
              <w:t>27.2</w:t>
            </w:r>
          </w:p>
        </w:tc>
        <w:tc>
          <w:tcPr>
            <w:tcW w:w="1205" w:type="dxa"/>
            <w:tcBorders>
              <w:top w:val="single" w:color="000000" w:sz="4" w:space="0"/>
              <w:left w:val="single" w:color="000000" w:sz="4" w:space="0"/>
              <w:bottom w:val="single" w:color="000000" w:sz="4" w:space="0"/>
              <w:right w:val="single" w:color="000000" w:sz="4" w:space="0"/>
            </w:tcBorders>
          </w:tcPr>
          <w:p>
            <w:pPr>
              <w:pStyle w:val="19"/>
              <w:spacing w:before="53"/>
              <w:ind w:left="396" w:right="374"/>
              <w:rPr>
                <w:rFonts w:ascii="Times New Roman"/>
                <w:sz w:val="22"/>
              </w:rPr>
            </w:pPr>
            <w:r>
              <w:rPr>
                <w:rFonts w:ascii="Times New Roman"/>
                <w:sz w:val="22"/>
              </w:rPr>
              <w:t>47.9</w:t>
            </w:r>
          </w:p>
        </w:tc>
        <w:tc>
          <w:tcPr>
            <w:tcW w:w="1209" w:type="dxa"/>
            <w:tcBorders>
              <w:top w:val="single" w:color="000000" w:sz="4" w:space="0"/>
              <w:left w:val="single" w:color="000000" w:sz="4" w:space="0"/>
              <w:bottom w:val="single" w:color="000000" w:sz="4" w:space="0"/>
              <w:right w:val="single" w:color="000000" w:sz="4" w:space="0"/>
            </w:tcBorders>
          </w:tcPr>
          <w:p>
            <w:pPr>
              <w:pStyle w:val="19"/>
              <w:spacing w:before="53"/>
              <w:ind w:left="398" w:right="376"/>
              <w:rPr>
                <w:rFonts w:ascii="Times New Roman"/>
                <w:sz w:val="22"/>
              </w:rPr>
            </w:pPr>
            <w:r>
              <w:rPr>
                <w:rFonts w:ascii="Times New Roman"/>
                <w:sz w:val="22"/>
              </w:rPr>
              <w:t>38.4</w:t>
            </w:r>
          </w:p>
        </w:tc>
        <w:tc>
          <w:tcPr>
            <w:tcW w:w="445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1205" w:type="dxa"/>
            <w:tcBorders>
              <w:top w:val="single" w:color="000000" w:sz="4" w:space="0"/>
              <w:right w:val="single" w:color="000000" w:sz="4" w:space="0"/>
            </w:tcBorders>
          </w:tcPr>
          <w:p>
            <w:pPr>
              <w:pStyle w:val="19"/>
              <w:spacing w:before="43"/>
              <w:ind w:right="481"/>
              <w:jc w:val="right"/>
              <w:rPr>
                <w:sz w:val="21"/>
              </w:rPr>
            </w:pPr>
            <w:r>
              <w:rPr>
                <w:w w:val="99"/>
                <w:sz w:val="21"/>
              </w:rPr>
              <w:t>北</w:t>
            </w:r>
          </w:p>
        </w:tc>
        <w:tc>
          <w:tcPr>
            <w:tcW w:w="1205" w:type="dxa"/>
            <w:tcBorders>
              <w:top w:val="single" w:color="000000" w:sz="4" w:space="0"/>
              <w:left w:val="single" w:color="000000" w:sz="4" w:space="0"/>
              <w:right w:val="single" w:color="000000" w:sz="4" w:space="0"/>
            </w:tcBorders>
          </w:tcPr>
          <w:p>
            <w:pPr>
              <w:pStyle w:val="19"/>
              <w:spacing w:before="57"/>
              <w:ind w:left="393" w:right="374"/>
              <w:rPr>
                <w:rFonts w:ascii="Times New Roman"/>
                <w:sz w:val="21"/>
              </w:rPr>
            </w:pPr>
            <w:r>
              <w:rPr>
                <w:rFonts w:ascii="Times New Roman"/>
                <w:sz w:val="21"/>
              </w:rPr>
              <w:t>24.8</w:t>
            </w:r>
          </w:p>
        </w:tc>
        <w:tc>
          <w:tcPr>
            <w:tcW w:w="1205" w:type="dxa"/>
            <w:tcBorders>
              <w:top w:val="single" w:color="000000" w:sz="4" w:space="0"/>
              <w:left w:val="single" w:color="000000" w:sz="4" w:space="0"/>
              <w:right w:val="single" w:color="000000" w:sz="4" w:space="0"/>
            </w:tcBorders>
          </w:tcPr>
          <w:p>
            <w:pPr>
              <w:pStyle w:val="19"/>
              <w:spacing w:before="50"/>
              <w:ind w:left="396" w:right="374"/>
              <w:rPr>
                <w:rFonts w:ascii="Times New Roman"/>
                <w:sz w:val="22"/>
              </w:rPr>
            </w:pPr>
            <w:r>
              <w:rPr>
                <w:rFonts w:ascii="Times New Roman"/>
                <w:sz w:val="22"/>
              </w:rPr>
              <w:t>47.7</w:t>
            </w:r>
          </w:p>
        </w:tc>
        <w:tc>
          <w:tcPr>
            <w:tcW w:w="1209" w:type="dxa"/>
            <w:tcBorders>
              <w:top w:val="single" w:color="000000" w:sz="4" w:space="0"/>
              <w:left w:val="single" w:color="000000" w:sz="4" w:space="0"/>
              <w:right w:val="single" w:color="000000" w:sz="4" w:space="0"/>
            </w:tcBorders>
          </w:tcPr>
          <w:p>
            <w:pPr>
              <w:pStyle w:val="19"/>
              <w:spacing w:before="50"/>
              <w:ind w:left="398" w:right="376"/>
              <w:rPr>
                <w:rFonts w:ascii="Times New Roman"/>
                <w:sz w:val="22"/>
              </w:rPr>
            </w:pPr>
            <w:r>
              <w:rPr>
                <w:rFonts w:ascii="Times New Roman"/>
                <w:sz w:val="22"/>
              </w:rPr>
              <w:t>39.5</w:t>
            </w:r>
          </w:p>
        </w:tc>
        <w:tc>
          <w:tcPr>
            <w:tcW w:w="4458" w:type="dxa"/>
            <w:vMerge w:val="continue"/>
            <w:tcBorders>
              <w:top w:val="nil"/>
              <w:left w:val="single" w:color="000000" w:sz="4" w:space="0"/>
            </w:tcBorders>
          </w:tcPr>
          <w:p>
            <w:pPr>
              <w:rPr>
                <w:sz w:val="2"/>
                <w:szCs w:val="2"/>
              </w:rPr>
            </w:pPr>
          </w:p>
        </w:tc>
      </w:tr>
    </w:tbl>
    <w:p>
      <w:pPr>
        <w:spacing w:after="0"/>
        <w:rPr>
          <w:sz w:val="2"/>
          <w:szCs w:val="2"/>
        </w:rPr>
        <w:sectPr>
          <w:pgSz w:w="11910" w:h="16840"/>
          <w:pgMar w:top="1360" w:right="0" w:bottom="880" w:left="0" w:header="0" w:footer="681" w:gutter="0"/>
        </w:sectPr>
      </w:pPr>
    </w:p>
    <w:p>
      <w:pPr>
        <w:pStyle w:val="9"/>
        <w:rPr>
          <w:b/>
          <w:sz w:val="20"/>
        </w:rPr>
      </w:pPr>
      <w:r>
        <mc:AlternateContent>
          <mc:Choice Requires="wps">
            <w:drawing>
              <wp:anchor distT="0" distB="0" distL="114300" distR="114300" simplePos="0" relativeHeight="212793344" behindDoc="1" locked="0" layoutInCell="1" allowOverlap="1">
                <wp:simplePos x="0" y="0"/>
                <wp:positionH relativeFrom="page">
                  <wp:posOffset>5761355</wp:posOffset>
                </wp:positionH>
                <wp:positionV relativeFrom="page">
                  <wp:posOffset>2267585</wp:posOffset>
                </wp:positionV>
                <wp:extent cx="123825" cy="125730"/>
                <wp:effectExtent l="0" t="0" r="0" b="0"/>
                <wp:wrapNone/>
                <wp:docPr id="38" name="文本框 64"/>
                <wp:cNvGraphicFramePr/>
                <a:graphic xmlns:a="http://schemas.openxmlformats.org/drawingml/2006/main">
                  <a:graphicData uri="http://schemas.microsoft.com/office/word/2010/wordprocessingShape">
                    <wps:wsp>
                      <wps:cNvSpPr txBox="1"/>
                      <wps:spPr>
                        <a:xfrm>
                          <a:off x="0" y="0"/>
                          <a:ext cx="123825" cy="125730"/>
                        </a:xfrm>
                        <a:prstGeom prst="rect">
                          <a:avLst/>
                        </a:prstGeom>
                        <a:noFill/>
                        <a:ln>
                          <a:noFill/>
                        </a:ln>
                      </wps:spPr>
                      <wps:txbx>
                        <w:txbxContent>
                          <w:p>
                            <w:pPr>
                              <w:spacing w:before="0" w:line="91" w:lineRule="exact"/>
                              <w:ind w:left="0" w:right="0" w:firstLine="0"/>
                              <w:jc w:val="left"/>
                              <w:rPr>
                                <w:rFonts w:ascii="Arial"/>
                                <w:b/>
                                <w:sz w:val="11"/>
                              </w:rPr>
                            </w:pPr>
                            <w:r>
                              <w:rPr>
                                <w:rFonts w:ascii="Arial"/>
                                <w:b/>
                                <w:spacing w:val="-117"/>
                                <w:w w:val="101"/>
                                <w:position w:val="6"/>
                                <w:sz w:val="11"/>
                              </w:rPr>
                              <w:t>5</w:t>
                            </w:r>
                            <w:r>
                              <w:rPr>
                                <w:rFonts w:ascii="Arial"/>
                                <w:b/>
                                <w:spacing w:val="-98"/>
                                <w:w w:val="101"/>
                                <w:position w:val="2"/>
                                <w:sz w:val="11"/>
                              </w:rPr>
                              <w:t>.</w:t>
                            </w:r>
                            <w:r>
                              <w:rPr>
                                <w:rFonts w:ascii="Arial"/>
                                <w:b/>
                                <w:spacing w:val="-133"/>
                                <w:w w:val="101"/>
                                <w:sz w:val="11"/>
                              </w:rPr>
                              <w:t>0</w:t>
                            </w:r>
                            <w:r>
                              <w:rPr>
                                <w:rFonts w:ascii="Arial"/>
                                <w:b/>
                                <w:w w:val="101"/>
                                <w:position w:val="1"/>
                                <w:sz w:val="11"/>
                              </w:rPr>
                              <w:t>.</w:t>
                            </w:r>
                          </w:p>
                          <w:p>
                            <w:pPr>
                              <w:spacing w:before="0" w:line="67" w:lineRule="exact"/>
                              <w:ind w:left="58" w:right="0" w:firstLine="0"/>
                              <w:jc w:val="left"/>
                              <w:rPr>
                                <w:rFonts w:ascii="Arial"/>
                                <w:b/>
                                <w:sz w:val="11"/>
                              </w:rPr>
                            </w:pPr>
                            <w:r>
                              <w:rPr>
                                <w:rFonts w:ascii="Arial"/>
                                <w:b/>
                                <w:w w:val="101"/>
                                <w:sz w:val="11"/>
                              </w:rPr>
                              <w:t>0</w:t>
                            </w:r>
                          </w:p>
                        </w:txbxContent>
                      </wps:txbx>
                      <wps:bodyPr lIns="0" tIns="0" rIns="0" bIns="0" upright="1"/>
                    </wps:wsp>
                  </a:graphicData>
                </a:graphic>
              </wp:anchor>
            </w:drawing>
          </mc:Choice>
          <mc:Fallback>
            <w:pict>
              <v:shape id="文本框 64" o:spid="_x0000_s1026" o:spt="202" type="#_x0000_t202" style="position:absolute;left:0pt;margin-left:453.65pt;margin-top:178.55pt;height:9.9pt;width:9.75pt;mso-position-horizontal-relative:page;mso-position-vertical-relative:page;z-index:-290523136;mso-width-relative:page;mso-height-relative:page;" filled="f" stroked="f" coordsize="21600,21600" o:gfxdata="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XpLfraAAAACwEAAA8AAAAA&#10;AAAAAQAgAAAAIgAAAGRycy9kb3ducmV2LnhtbFBLAQIUABQAAAAIAIdO4kCJcGa1oAEAACUDAAAO&#10;AAAAAAAAAAEAIAAAACkBAABkcnMvZTJvRG9jLnhtbFBLBQYAAAAABgAGAFkBAAA7BQAAAAA=&#10;">
                <v:fill on="f" focussize="0,0"/>
                <v:stroke on="f"/>
                <v:imagedata o:title=""/>
                <o:lock v:ext="edit" aspectratio="f"/>
                <v:textbox inset="0mm,0mm,0mm,0mm">
                  <w:txbxContent>
                    <w:p>
                      <w:pPr>
                        <w:spacing w:before="0" w:line="91" w:lineRule="exact"/>
                        <w:ind w:left="0" w:right="0" w:firstLine="0"/>
                        <w:jc w:val="left"/>
                        <w:rPr>
                          <w:rFonts w:ascii="Arial"/>
                          <w:b/>
                          <w:sz w:val="11"/>
                        </w:rPr>
                      </w:pPr>
                      <w:r>
                        <w:rPr>
                          <w:rFonts w:ascii="Arial"/>
                          <w:b/>
                          <w:spacing w:val="-117"/>
                          <w:w w:val="101"/>
                          <w:position w:val="6"/>
                          <w:sz w:val="11"/>
                        </w:rPr>
                        <w:t>5</w:t>
                      </w:r>
                      <w:r>
                        <w:rPr>
                          <w:rFonts w:ascii="Arial"/>
                          <w:b/>
                          <w:spacing w:val="-98"/>
                          <w:w w:val="101"/>
                          <w:position w:val="2"/>
                          <w:sz w:val="11"/>
                        </w:rPr>
                        <w:t>.</w:t>
                      </w:r>
                      <w:r>
                        <w:rPr>
                          <w:rFonts w:ascii="Arial"/>
                          <w:b/>
                          <w:spacing w:val="-133"/>
                          <w:w w:val="101"/>
                          <w:sz w:val="11"/>
                        </w:rPr>
                        <w:t>0</w:t>
                      </w:r>
                      <w:r>
                        <w:rPr>
                          <w:rFonts w:ascii="Arial"/>
                          <w:b/>
                          <w:w w:val="101"/>
                          <w:position w:val="1"/>
                          <w:sz w:val="11"/>
                        </w:rPr>
                        <w:t>.</w:t>
                      </w:r>
                    </w:p>
                    <w:p>
                      <w:pPr>
                        <w:spacing w:before="0" w:line="67" w:lineRule="exact"/>
                        <w:ind w:left="58" w:right="0" w:firstLine="0"/>
                        <w:jc w:val="left"/>
                        <w:rPr>
                          <w:rFonts w:ascii="Arial"/>
                          <w:b/>
                          <w:sz w:val="11"/>
                        </w:rPr>
                      </w:pPr>
                      <w:r>
                        <w:rPr>
                          <w:rFonts w:ascii="Arial"/>
                          <w:b/>
                          <w:w w:val="101"/>
                          <w:sz w:val="11"/>
                        </w:rPr>
                        <w:t>0</w:t>
                      </w:r>
                    </w:p>
                  </w:txbxContent>
                </v:textbox>
              </v:shape>
            </w:pict>
          </mc:Fallback>
        </mc:AlternateContent>
      </w:r>
      <w:r>
        <mc:AlternateContent>
          <mc:Choice Requires="wps">
            <w:drawing>
              <wp:anchor distT="0" distB="0" distL="114300" distR="114300" simplePos="0" relativeHeight="212794368" behindDoc="1" locked="0" layoutInCell="1" allowOverlap="1">
                <wp:simplePos x="0" y="0"/>
                <wp:positionH relativeFrom="page">
                  <wp:posOffset>3693795</wp:posOffset>
                </wp:positionH>
                <wp:positionV relativeFrom="page">
                  <wp:posOffset>10132060</wp:posOffset>
                </wp:positionV>
                <wp:extent cx="171450" cy="127000"/>
                <wp:effectExtent l="0" t="0" r="0" b="0"/>
                <wp:wrapNone/>
                <wp:docPr id="40" name="文本框 65"/>
                <wp:cNvGraphicFramePr/>
                <a:graphic xmlns:a="http://schemas.openxmlformats.org/drawingml/2006/main">
                  <a:graphicData uri="http://schemas.microsoft.com/office/word/2010/wordprocessingShape">
                    <wps:wsp>
                      <wps:cNvSpPr txBox="1"/>
                      <wps:spPr>
                        <a:xfrm>
                          <a:off x="0" y="0"/>
                          <a:ext cx="171450"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154</w:t>
                            </w:r>
                          </w:p>
                        </w:txbxContent>
                      </wps:txbx>
                      <wps:bodyPr lIns="0" tIns="0" rIns="0" bIns="0" upright="1"/>
                    </wps:wsp>
                  </a:graphicData>
                </a:graphic>
              </wp:anchor>
            </w:drawing>
          </mc:Choice>
          <mc:Fallback>
            <w:pict>
              <v:shape id="文本框 65" o:spid="_x0000_s1026" o:spt="202" type="#_x0000_t202" style="position:absolute;left:0pt;margin-left:290.85pt;margin-top:797.8pt;height:10pt;width:13.5pt;mso-position-horizontal-relative:page;mso-position-vertical-relative:page;z-index:-290522112;mso-width-relative:page;mso-height-relative:page;" filled="f" stroked="f" coordsize="21600,21600" o:gfxdata="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VTg0nZAAAADQEAAA8AAAAAAAAA&#10;AQAgAAAAIgAAAGRycy9kb3ducmV2LnhtbFBLAQIUABQAAAAIAIdO4kCMo3oxngEAACUDAAAOAAAA&#10;AAAAAAEAIAAAACgBAABkcnMvZTJvRG9jLnhtbFBLBQYAAAAABgAGAFkBAAA4BQ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154</w:t>
                      </w:r>
                    </w:p>
                  </w:txbxContent>
                </v:textbox>
              </v:shape>
            </w:pict>
          </mc:Fallback>
        </mc:AlternateContent>
      </w:r>
      <w:r>
        <w:drawing>
          <wp:anchor distT="0" distB="0" distL="0" distR="0" simplePos="0" relativeHeight="251747328" behindDoc="0" locked="0" layoutInCell="1" allowOverlap="1">
            <wp:simplePos x="0" y="0"/>
            <wp:positionH relativeFrom="page">
              <wp:posOffset>814705</wp:posOffset>
            </wp:positionH>
            <wp:positionV relativeFrom="page">
              <wp:posOffset>8797925</wp:posOffset>
            </wp:positionV>
            <wp:extent cx="5759450" cy="1894205"/>
            <wp:effectExtent l="0" t="0" r="0" b="0"/>
            <wp:wrapNone/>
            <wp:docPr id="6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7.jpeg"/>
                    <pic:cNvPicPr>
                      <a:picLocks noChangeAspect="1"/>
                    </pic:cNvPicPr>
                  </pic:nvPicPr>
                  <pic:blipFill>
                    <a:blip r:embed="rId60" cstate="print"/>
                    <a:stretch>
                      <a:fillRect/>
                    </a:stretch>
                  </pic:blipFill>
                  <pic:spPr>
                    <a:xfrm>
                      <a:off x="0" y="0"/>
                      <a:ext cx="5759196" cy="1894077"/>
                    </a:xfrm>
                    <a:prstGeom prst="rect">
                      <a:avLst/>
                    </a:prstGeom>
                  </pic:spPr>
                </pic:pic>
              </a:graphicData>
            </a:graphic>
          </wp:anchor>
        </w:drawing>
      </w:r>
      <w:r>
        <w:pict>
          <v:shape id="_x0000_s1090" o:spid="_x0000_s1090" o:spt="136" type="#_x0000_t136" style="position:absolute;left:0pt;margin-left:273.5pt;margin-top:111.35pt;height:5.6pt;width:10.85pt;mso-position-horizontal-relative:page;mso-position-vertical-relative:page;rotation:655360f;z-index:251749376;mso-width-relative:page;mso-height-relative:page;" fillcolor="#000000" filled="t" stroked="f" coordsize="21600,21600">
            <v:path/>
            <v:fill on="t" focussize="0,0"/>
            <v:stroke on="f"/>
            <v:imagedata o:title=""/>
            <o:lock v:ext="edit"/>
            <v:textpath on="t" fitpath="t" trim="t" xscale="f" string="25..0" style="font-family:&amp;quot;font-size:5pt;font-weight:bold;v-text-align:center;"/>
          </v:shape>
        </w:pict>
      </w:r>
      <w:r>
        <w:pict>
          <v:shape id="_x0000_s1091" o:spid="_x0000_s1091" o:spt="136" type="#_x0000_t136" style="position:absolute;left:0pt;margin-left:358.95pt;margin-top:208.85pt;height:5.6pt;width:10.9pt;mso-position-horizontal-relative:page;mso-position-vertical-relative:page;rotation:1048576f;z-index:251750400;mso-width-relative:page;mso-height-relative:page;" fillcolor="#000000" filled="t" stroked="f" coordsize="21600,21600">
            <v:path/>
            <v:fill on="t" focussize="0,0"/>
            <v:stroke on="f"/>
            <v:imagedata o:title=""/>
            <o:lock v:ext="edit"/>
            <v:textpath on="t" fitpath="t" trim="t" xscale="f" string="30.0" style="font-family:&amp;quot;font-size:5pt;font-weight:bold;v-text-align:center;"/>
          </v:shape>
        </w:pict>
      </w:r>
      <w:r>
        <w:pict>
          <v:shape id="_x0000_s1092" o:spid="_x0000_s1092" o:spt="136" type="#_x0000_t136" style="position:absolute;left:0pt;margin-left:369.95pt;margin-top:131.9pt;height:5.65pt;width:10.95pt;mso-position-horizontal-relative:page;mso-position-vertical-relative:page;rotation:1114112f;z-index:251751424;mso-width-relative:page;mso-height-relative:page;" fillcolor="#000000" filled="t" stroked="f" coordsize="21600,21600">
            <v:path/>
            <v:fill on="t" focussize="0,0"/>
            <v:stroke on="f"/>
            <v:imagedata o:title=""/>
            <o:lock v:ext="edit"/>
            <v:textpath on="t" fitpath="t" trim="t" xscale="f" string="25..0" style="font-family:&amp;quot;font-size:5pt;font-weight:bold;v-text-align:center;"/>
          </v:shape>
        </w:pict>
      </w:r>
      <w:r>
        <w:pict>
          <v:shape id="_x0000_s1093" o:spid="_x0000_s1093" o:spt="136" type="#_x0000_t136" style="position:absolute;left:0pt;margin-left:322.95pt;margin-top:277.85pt;height:5.65pt;width:10.9pt;mso-position-horizontal-relative:page;mso-position-vertical-relative:page;rotation:1507328f;z-index:251752448;mso-width-relative:page;mso-height-relative:page;" fillcolor="#000000" filled="t" stroked="f" coordsize="21600,21600">
            <v:path/>
            <v:fill on="t" focussize="0,0"/>
            <v:stroke on="f"/>
            <v:imagedata o:title=""/>
            <o:lock v:ext="edit"/>
            <v:textpath on="t" fitpath="t" trim="t" xscale="f" string="40.0" style="font-family:&amp;quot;font-size:5pt;font-weight:bold;v-text-align:center;"/>
          </v:shape>
        </w:pict>
      </w:r>
      <w:r>
        <w:pict>
          <v:shape id="_x0000_s1094" o:spid="_x0000_s1094" o:spt="136" type="#_x0000_t136" style="position:absolute;left:0pt;margin-left:264pt;margin-top:240.95pt;height:5.65pt;width:10.85pt;mso-position-horizontal-relative:page;mso-position-vertical-relative:page;rotation:1769472f;z-index:251753472;mso-width-relative:page;mso-height-relative:page;" fillcolor="#000000" filled="t" stroked="f" coordsize="21600,21600">
            <v:path/>
            <v:fill on="t" focussize="0,0"/>
            <v:stroke on="f"/>
            <v:imagedata o:title=""/>
            <o:lock v:ext="edit"/>
            <v:textpath on="t" fitpath="t" trim="t" xscale="f" string="35.0" style="font-family:&amp;quot;font-size:5pt;font-weight:bold;v-text-align:center;"/>
          </v:shape>
        </w:pict>
      </w:r>
      <w:r>
        <w:pict>
          <v:shape id="_x0000_s1095" o:spid="_x0000_s1095" o:spt="136" type="#_x0000_t136" style="position:absolute;left:0pt;margin-left:205pt;margin-top:178.8pt;height:5.65pt;width:10.85pt;mso-position-horizontal-relative:page;mso-position-vertical-relative:page;rotation:1900544f;z-index:251754496;mso-width-relative:page;mso-height-relative:page;" fillcolor="#000000" filled="t" stroked="f" coordsize="21600,21600">
            <v:path/>
            <v:fill on="t" focussize="0,0"/>
            <v:stroke on="f"/>
            <v:imagedata o:title=""/>
            <o:lock v:ext="edit"/>
            <v:textpath on="t" fitpath="t" trim="t" xscale="f" string="30.0" style="font-family:&amp;quot;font-size:5pt;font-weight:bold;v-text-align:center;"/>
          </v:shape>
        </w:pict>
      </w:r>
      <w:r>
        <w:pict>
          <v:shape id="_x0000_s1096" o:spid="_x0000_s1096" o:spt="136" type="#_x0000_t136" style="position:absolute;left:0pt;margin-left:245pt;margin-top:293.3pt;height:5.6pt;width:10.95pt;mso-position-horizontal-relative:page;mso-position-vertical-relative:page;rotation:1966080f;z-index:251755520;mso-width-relative:page;mso-height-relative:page;" fillcolor="#000000" filled="t" stroked="f" coordsize="21600,21600">
            <v:path/>
            <v:fill on="t" focussize="0,0"/>
            <v:stroke on="f"/>
            <v:imagedata o:title=""/>
            <o:lock v:ext="edit"/>
            <v:textpath on="t" fitpath="t" trim="t" xscale="f" string="35.0" style="font-family:&amp;quot;font-size:5pt;font-weight:bold;v-text-align:center;"/>
          </v:shape>
        </w:pict>
      </w:r>
      <w:r>
        <w:pict>
          <v:shape id="_x0000_s1097" o:spid="_x0000_s1097" o:spt="136" type="#_x0000_t136" style="position:absolute;left:0pt;margin-left:452.75pt;margin-top:177.55pt;height:5.6pt;width:5.45pt;mso-position-horizontal-relative:page;mso-position-vertical-relative:page;rotation:3211264f;z-index:251756544;mso-width-relative:page;mso-height-relative:page;" fillcolor="#000000" filled="t" stroked="f" coordsize="21600,21600">
            <v:path/>
            <v:fill on="t" focussize="0,0"/>
            <v:stroke on="f"/>
            <v:imagedata o:title=""/>
            <o:lock v:ext="edit"/>
            <v:textpath on="t" fitpath="t" trim="t" xscale="f" string="25" style="font-family:&amp;quot;font-size:5pt;font-weight:bold;v-text-align:center;"/>
          </v:shape>
        </w:pict>
      </w:r>
      <w:r>
        <w:pict>
          <v:shape id="_x0000_s1098" o:spid="_x0000_s1098" o:spt="136" type="#_x0000_t136" style="position:absolute;left:0pt;margin-left:349.05pt;margin-top:252.3pt;height:5.6pt;width:10.85pt;mso-position-horizontal-relative:page;mso-position-vertical-relative:page;rotation:3801088f;z-index:251759616;mso-width-relative:page;mso-height-relative:page;" fillcolor="#000000" filled="t" stroked="f" coordsize="21600,21600">
            <v:path/>
            <v:fill on="t" focussize="0,0"/>
            <v:stroke on="f"/>
            <v:imagedata o:title=""/>
            <o:lock v:ext="edit"/>
            <v:textpath on="t" fitpath="t" trim="t" xscale="f" string="35.0" style="font-family:&amp;quot;font-size:5pt;font-weight:bold;v-text-align:center;"/>
          </v:shape>
        </w:pict>
      </w:r>
      <w:r>
        <w:pict>
          <v:shape id="_x0000_s1099" o:spid="_x0000_s1099" o:spt="136" type="#_x0000_t136" style="position:absolute;left:0pt;margin-left:128.05pt;margin-top:299.6pt;height:5.6pt;width:10.9pt;mso-position-horizontal-relative:page;mso-position-vertical-relative:page;rotation:5242880f;z-index:251760640;mso-width-relative:page;mso-height-relative:page;" fillcolor="#000000" filled="t" stroked="f" coordsize="21600,21600">
            <v:path/>
            <v:fill on="t" focussize="0,0"/>
            <v:stroke on="f"/>
            <v:imagedata o:title=""/>
            <o:lock v:ext="edit"/>
            <v:textpath on="t" fitpath="t" trim="t" xscale="f" string="25..0" style="font-family:&amp;quot;font-size:5pt;font-weight:bold;v-text-align:center;"/>
          </v:shape>
        </w:pict>
      </w:r>
      <w:r>
        <w:pict>
          <v:shape id="_x0000_s1100" o:spid="_x0000_s1100" o:spt="136" type="#_x0000_t136" style="position:absolute;left:0pt;margin-left:482.2pt;margin-top:271.6pt;height:5.6pt;width:10.85pt;mso-position-horizontal-relative:page;mso-position-vertical-relative:page;rotation:5767168f;z-index:251761664;mso-width-relative:page;mso-height-relative:page;" fillcolor="#000000" filled="t" stroked="f" coordsize="21600,21600">
            <v:path/>
            <v:fill on="t" focussize="0,0"/>
            <v:stroke on="f"/>
            <v:imagedata o:title=""/>
            <o:lock v:ext="edit"/>
            <v:textpath on="t" fitpath="t" trim="t" xscale="f" string="25..0" style="font-family:&amp;quot;font-size:5pt;font-weight:bold;v-text-align:center;"/>
          </v:shape>
        </w:pict>
      </w:r>
      <w:r>
        <mc:AlternateContent>
          <mc:Choice Requires="wps">
            <w:drawing>
              <wp:anchor distT="0" distB="0" distL="114300" distR="114300" simplePos="0" relativeHeight="251764736" behindDoc="0" locked="0" layoutInCell="1" allowOverlap="1">
                <wp:simplePos x="0" y="0"/>
                <wp:positionH relativeFrom="page">
                  <wp:posOffset>1203325</wp:posOffset>
                </wp:positionH>
                <wp:positionV relativeFrom="page">
                  <wp:posOffset>3752850</wp:posOffset>
                </wp:positionV>
                <wp:extent cx="105410" cy="105410"/>
                <wp:effectExtent l="0" t="0" r="0" b="0"/>
                <wp:wrapNone/>
                <wp:docPr id="157" name="文本框 77"/>
                <wp:cNvGraphicFramePr/>
                <a:graphic xmlns:a="http://schemas.openxmlformats.org/drawingml/2006/main">
                  <a:graphicData uri="http://schemas.microsoft.com/office/word/2010/wordprocessingShape">
                    <wps:wsp>
                      <wps:cNvSpPr txBox="1"/>
                      <wps:spPr>
                        <a:xfrm>
                          <a:off x="0" y="0"/>
                          <a:ext cx="105410" cy="105410"/>
                        </a:xfrm>
                        <a:prstGeom prst="rect">
                          <a:avLst/>
                        </a:prstGeom>
                        <a:noFill/>
                        <a:ln>
                          <a:noFill/>
                        </a:ln>
                      </wps:spPr>
                      <wps:txbx>
                        <w:txbxContent>
                          <w:p>
                            <w:pPr>
                              <w:spacing w:before="18"/>
                              <w:ind w:left="20" w:right="0" w:firstLine="0"/>
                              <w:jc w:val="left"/>
                              <w:rPr>
                                <w:rFonts w:ascii="Arial"/>
                                <w:sz w:val="11"/>
                              </w:rPr>
                            </w:pPr>
                            <w:r>
                              <w:rPr>
                                <w:rFonts w:ascii="Arial"/>
                                <w:sz w:val="11"/>
                              </w:rPr>
                              <w:t>50</w:t>
                            </w:r>
                          </w:p>
                        </w:txbxContent>
                      </wps:txbx>
                      <wps:bodyPr vert="vert270" lIns="0" tIns="0" rIns="0" bIns="0" upright="1"/>
                    </wps:wsp>
                  </a:graphicData>
                </a:graphic>
              </wp:anchor>
            </w:drawing>
          </mc:Choice>
          <mc:Fallback>
            <w:pict>
              <v:shape id="文本框 77" o:spid="_x0000_s1026" o:spt="202" type="#_x0000_t202" style="position:absolute;left:0pt;margin-left:94.75pt;margin-top:295.5pt;height:8.3pt;width:8.3pt;mso-position-horizontal-relative:page;mso-position-vertical-relative:page;z-index:251764736;mso-width-relative:page;mso-height-relative:page;" filled="f" stroked="f" coordsize="21600,21600" o:gfxdata="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IAzQR1wAAAAsBAAAPAAAA&#10;AAAAAAEAIAAAACIAAABkcnMvZG93bnJldi54bWxQSwECFAAUAAAACACHTuJAMd/hc6QBAAA1AwAA&#10;DgAAAAAAAAABACAAAAAmAQAAZHJzL2Uyb0RvYy54bWxQSwUGAAAAAAYABgBZAQAAPAUAA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11"/>
                        </w:rPr>
                      </w:pPr>
                      <w:r>
                        <w:rPr>
                          <w:rFonts w:ascii="Arial"/>
                          <w:sz w:val="11"/>
                        </w:rPr>
                        <w:t>50</w:t>
                      </w:r>
                    </w:p>
                  </w:txbxContent>
                </v:textbox>
              </v:shape>
            </w:pict>
          </mc:Fallback>
        </mc:AlternateContent>
      </w:r>
      <w:r>
        <mc:AlternateContent>
          <mc:Choice Requires="wps">
            <w:drawing>
              <wp:anchor distT="0" distB="0" distL="114300" distR="114300" simplePos="0" relativeHeight="251765760" behindDoc="0" locked="0" layoutInCell="1" allowOverlap="1">
                <wp:simplePos x="0" y="0"/>
                <wp:positionH relativeFrom="page">
                  <wp:posOffset>1203325</wp:posOffset>
                </wp:positionH>
                <wp:positionV relativeFrom="page">
                  <wp:posOffset>3024505</wp:posOffset>
                </wp:positionV>
                <wp:extent cx="105410" cy="145415"/>
                <wp:effectExtent l="0" t="0" r="0" b="0"/>
                <wp:wrapNone/>
                <wp:docPr id="158" name="文本框 78"/>
                <wp:cNvGraphicFramePr/>
                <a:graphic xmlns:a="http://schemas.openxmlformats.org/drawingml/2006/main">
                  <a:graphicData uri="http://schemas.microsoft.com/office/word/2010/wordprocessingShape">
                    <wps:wsp>
                      <wps:cNvSpPr txBox="1"/>
                      <wps:spPr>
                        <a:xfrm>
                          <a:off x="0" y="0"/>
                          <a:ext cx="105410" cy="145415"/>
                        </a:xfrm>
                        <a:prstGeom prst="rect">
                          <a:avLst/>
                        </a:prstGeom>
                        <a:noFill/>
                        <a:ln>
                          <a:noFill/>
                        </a:ln>
                      </wps:spPr>
                      <wps:txbx>
                        <w:txbxContent>
                          <w:p>
                            <w:pPr>
                              <w:spacing w:before="18"/>
                              <w:ind w:left="20" w:right="0" w:firstLine="0"/>
                              <w:jc w:val="left"/>
                              <w:rPr>
                                <w:rFonts w:ascii="Arial"/>
                                <w:sz w:val="11"/>
                              </w:rPr>
                            </w:pPr>
                            <w:r>
                              <w:rPr>
                                <w:rFonts w:ascii="Arial"/>
                                <w:sz w:val="11"/>
                              </w:rPr>
                              <w:t>100</w:t>
                            </w:r>
                          </w:p>
                        </w:txbxContent>
                      </wps:txbx>
                      <wps:bodyPr vert="vert270" lIns="0" tIns="0" rIns="0" bIns="0" upright="1"/>
                    </wps:wsp>
                  </a:graphicData>
                </a:graphic>
              </wp:anchor>
            </w:drawing>
          </mc:Choice>
          <mc:Fallback>
            <w:pict>
              <v:shape id="文本框 78" o:spid="_x0000_s1026" o:spt="202" type="#_x0000_t202" style="position:absolute;left:0pt;margin-left:94.75pt;margin-top:238.15pt;height:11.45pt;width:8.3pt;mso-position-horizontal-relative:page;mso-position-vertical-relative:page;z-index:251765760;mso-width-relative:page;mso-height-relative:page;" filled="f" stroked="f" coordsize="21600,21600" o:gfxdata="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0j4989gAAAALAQAA&#10;DwAAAAAAAAABACAAAAAiAAAAZHJzL2Rvd25yZXYueG1sUEsBAhQAFAAAAAgAh07iQJ+Uh7CnAQAA&#10;NQMAAA4AAAAAAAAAAQAgAAAAJwEAAGRycy9lMm9Eb2MueG1sUEsFBgAAAAAGAAYAWQEAAEAFAAAA&#10;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11"/>
                        </w:rPr>
                      </w:pPr>
                      <w:r>
                        <w:rPr>
                          <w:rFonts w:ascii="Arial"/>
                          <w:sz w:val="11"/>
                        </w:rPr>
                        <w:t>100</w:t>
                      </w:r>
                    </w:p>
                  </w:txbxContent>
                </v:textbox>
              </v:shape>
            </w:pict>
          </mc:Fallback>
        </mc:AlternateContent>
      </w:r>
      <w:r>
        <mc:AlternateContent>
          <mc:Choice Requires="wps">
            <w:drawing>
              <wp:anchor distT="0" distB="0" distL="114300" distR="114300" simplePos="0" relativeHeight="251766784" behindDoc="0" locked="0" layoutInCell="1" allowOverlap="1">
                <wp:simplePos x="0" y="0"/>
                <wp:positionH relativeFrom="page">
                  <wp:posOffset>1203325</wp:posOffset>
                </wp:positionH>
                <wp:positionV relativeFrom="page">
                  <wp:posOffset>2313305</wp:posOffset>
                </wp:positionV>
                <wp:extent cx="105410" cy="145415"/>
                <wp:effectExtent l="0" t="0" r="0" b="0"/>
                <wp:wrapNone/>
                <wp:docPr id="159" name="文本框 79"/>
                <wp:cNvGraphicFramePr/>
                <a:graphic xmlns:a="http://schemas.openxmlformats.org/drawingml/2006/main">
                  <a:graphicData uri="http://schemas.microsoft.com/office/word/2010/wordprocessingShape">
                    <wps:wsp>
                      <wps:cNvSpPr txBox="1"/>
                      <wps:spPr>
                        <a:xfrm>
                          <a:off x="0" y="0"/>
                          <a:ext cx="105410" cy="145415"/>
                        </a:xfrm>
                        <a:prstGeom prst="rect">
                          <a:avLst/>
                        </a:prstGeom>
                        <a:noFill/>
                        <a:ln>
                          <a:noFill/>
                        </a:ln>
                      </wps:spPr>
                      <wps:txbx>
                        <w:txbxContent>
                          <w:p>
                            <w:pPr>
                              <w:spacing w:before="18"/>
                              <w:ind w:left="20" w:right="0" w:firstLine="0"/>
                              <w:jc w:val="left"/>
                              <w:rPr>
                                <w:rFonts w:ascii="Arial"/>
                                <w:sz w:val="11"/>
                              </w:rPr>
                            </w:pPr>
                            <w:r>
                              <w:rPr>
                                <w:rFonts w:ascii="Arial"/>
                                <w:sz w:val="11"/>
                              </w:rPr>
                              <w:t>150</w:t>
                            </w:r>
                          </w:p>
                        </w:txbxContent>
                      </wps:txbx>
                      <wps:bodyPr vert="vert270" lIns="0" tIns="0" rIns="0" bIns="0" upright="1"/>
                    </wps:wsp>
                  </a:graphicData>
                </a:graphic>
              </wp:anchor>
            </w:drawing>
          </mc:Choice>
          <mc:Fallback>
            <w:pict>
              <v:shape id="文本框 79" o:spid="_x0000_s1026" o:spt="202" type="#_x0000_t202" style="position:absolute;left:0pt;margin-left:94.75pt;margin-top:182.15pt;height:11.45pt;width:8.3pt;mso-position-horizontal-relative:page;mso-position-vertical-relative:page;z-index:251766784;mso-width-relative:page;mso-height-relative:page;" filled="f" stroked="f" coordsize="21600,21600" o:gfxdata="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QzRJk1wAAAAsBAAAP&#10;AAAAAAAAAAEAIAAAACIAAABkcnMvZG93bnJldi54bWxQSwECFAAUAAAACACHTuJANyHJYKcBAAA1&#10;AwAADgAAAAAAAAABACAAAAAmAQAAZHJzL2Uyb0RvYy54bWxQSwUGAAAAAAYABgBZAQAAPwUAA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11"/>
                        </w:rPr>
                      </w:pPr>
                      <w:r>
                        <w:rPr>
                          <w:rFonts w:ascii="Arial"/>
                          <w:sz w:val="11"/>
                        </w:rPr>
                        <w:t>150</w:t>
                      </w:r>
                    </w:p>
                  </w:txbxContent>
                </v:textbox>
              </v:shape>
            </w:pict>
          </mc:Fallback>
        </mc:AlternateContent>
      </w:r>
      <w:r>
        <mc:AlternateContent>
          <mc:Choice Requires="wps">
            <w:drawing>
              <wp:anchor distT="0" distB="0" distL="114300" distR="114300" simplePos="0" relativeHeight="251767808" behindDoc="0" locked="0" layoutInCell="1" allowOverlap="1">
                <wp:simplePos x="0" y="0"/>
                <wp:positionH relativeFrom="page">
                  <wp:posOffset>1203325</wp:posOffset>
                </wp:positionH>
                <wp:positionV relativeFrom="page">
                  <wp:posOffset>1602740</wp:posOffset>
                </wp:positionV>
                <wp:extent cx="105410" cy="145415"/>
                <wp:effectExtent l="0" t="0" r="0" b="0"/>
                <wp:wrapNone/>
                <wp:docPr id="160" name="文本框 80"/>
                <wp:cNvGraphicFramePr/>
                <a:graphic xmlns:a="http://schemas.openxmlformats.org/drawingml/2006/main">
                  <a:graphicData uri="http://schemas.microsoft.com/office/word/2010/wordprocessingShape">
                    <wps:wsp>
                      <wps:cNvSpPr txBox="1"/>
                      <wps:spPr>
                        <a:xfrm>
                          <a:off x="0" y="0"/>
                          <a:ext cx="105410" cy="145415"/>
                        </a:xfrm>
                        <a:prstGeom prst="rect">
                          <a:avLst/>
                        </a:prstGeom>
                        <a:noFill/>
                        <a:ln>
                          <a:noFill/>
                        </a:ln>
                      </wps:spPr>
                      <wps:txbx>
                        <w:txbxContent>
                          <w:p>
                            <w:pPr>
                              <w:spacing w:before="18"/>
                              <w:ind w:left="20" w:right="0" w:firstLine="0"/>
                              <w:jc w:val="left"/>
                              <w:rPr>
                                <w:rFonts w:ascii="Arial"/>
                                <w:sz w:val="11"/>
                              </w:rPr>
                            </w:pPr>
                            <w:r>
                              <w:rPr>
                                <w:rFonts w:ascii="Arial"/>
                                <w:sz w:val="11"/>
                              </w:rPr>
                              <w:t>200</w:t>
                            </w:r>
                          </w:p>
                        </w:txbxContent>
                      </wps:txbx>
                      <wps:bodyPr vert="vert270" lIns="0" tIns="0" rIns="0" bIns="0" upright="1"/>
                    </wps:wsp>
                  </a:graphicData>
                </a:graphic>
              </wp:anchor>
            </w:drawing>
          </mc:Choice>
          <mc:Fallback>
            <w:pict>
              <v:shape id="文本框 80" o:spid="_x0000_s1026" o:spt="202" type="#_x0000_t202" style="position:absolute;left:0pt;margin-left:94.75pt;margin-top:126.2pt;height:11.45pt;width:8.3pt;mso-position-horizontal-relative:page;mso-position-vertical-relative:page;z-index:251767808;mso-width-relative:page;mso-height-relative:page;" filled="f" stroked="f" coordsize="21600,21600" o:gfxdata="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c3PvHYAAAACwEAAA8A&#10;AAAAAAAAAQAgAAAAIgAAAGRycy9kb3ducmV2LnhtbFBLAQIUABQAAAAIAIdO4kBoUU4OpQEAADUD&#10;AAAOAAAAAAAAAAEAIAAAACcBAABkcnMvZTJvRG9jLnhtbFBLBQYAAAAABgAGAFkBAAA+BQAA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11"/>
                        </w:rPr>
                      </w:pPr>
                      <w:r>
                        <w:rPr>
                          <w:rFonts w:ascii="Arial"/>
                          <w:sz w:val="11"/>
                        </w:rPr>
                        <w:t>200</w:t>
                      </w:r>
                    </w:p>
                  </w:txbxContent>
                </v:textbox>
              </v:shape>
            </w:pict>
          </mc:Fallback>
        </mc:AlternateContent>
      </w:r>
      <w:r>
        <mc:AlternateContent>
          <mc:Choice Requires="wps">
            <w:drawing>
              <wp:anchor distT="0" distB="0" distL="114300" distR="114300" simplePos="0" relativeHeight="251768832" behindDoc="0" locked="0" layoutInCell="1" allowOverlap="1">
                <wp:simplePos x="0" y="0"/>
                <wp:positionH relativeFrom="page">
                  <wp:posOffset>1203325</wp:posOffset>
                </wp:positionH>
                <wp:positionV relativeFrom="page">
                  <wp:posOffset>892175</wp:posOffset>
                </wp:positionV>
                <wp:extent cx="105410" cy="145415"/>
                <wp:effectExtent l="0" t="0" r="0" b="0"/>
                <wp:wrapNone/>
                <wp:docPr id="161" name="文本框 81"/>
                <wp:cNvGraphicFramePr/>
                <a:graphic xmlns:a="http://schemas.openxmlformats.org/drawingml/2006/main">
                  <a:graphicData uri="http://schemas.microsoft.com/office/word/2010/wordprocessingShape">
                    <wps:wsp>
                      <wps:cNvSpPr txBox="1"/>
                      <wps:spPr>
                        <a:xfrm>
                          <a:off x="0" y="0"/>
                          <a:ext cx="105410" cy="145415"/>
                        </a:xfrm>
                        <a:prstGeom prst="rect">
                          <a:avLst/>
                        </a:prstGeom>
                        <a:noFill/>
                        <a:ln>
                          <a:noFill/>
                        </a:ln>
                      </wps:spPr>
                      <wps:txbx>
                        <w:txbxContent>
                          <w:p>
                            <w:pPr>
                              <w:spacing w:before="18"/>
                              <w:ind w:left="20" w:right="0" w:firstLine="0"/>
                              <w:jc w:val="left"/>
                              <w:rPr>
                                <w:rFonts w:ascii="Arial"/>
                                <w:sz w:val="11"/>
                              </w:rPr>
                            </w:pPr>
                            <w:r>
                              <w:rPr>
                                <w:rFonts w:ascii="Arial"/>
                                <w:sz w:val="11"/>
                              </w:rPr>
                              <w:t>250</w:t>
                            </w:r>
                          </w:p>
                        </w:txbxContent>
                      </wps:txbx>
                      <wps:bodyPr vert="vert270" lIns="0" tIns="0" rIns="0" bIns="0" upright="1"/>
                    </wps:wsp>
                  </a:graphicData>
                </a:graphic>
              </wp:anchor>
            </w:drawing>
          </mc:Choice>
          <mc:Fallback>
            <w:pict>
              <v:shape id="文本框 81" o:spid="_x0000_s1026" o:spt="202" type="#_x0000_t202" style="position:absolute;left:0pt;margin-left:94.75pt;margin-top:70.25pt;height:11.45pt;width:8.3pt;mso-position-horizontal-relative:page;mso-position-vertical-relative:page;z-index:251768832;mso-width-relative:page;mso-height-relative:page;" filled="f" stroked="f" coordsize="21600,21600" o:gfxdata="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8XiS91wAAAAsBAAAP&#10;AAAAAAAAAAEAIAAAACIAAABkcnMvZG93bnJldi54bWxQSwECFAAUAAAACACHTuJAwOQA3qcBAAA1&#10;AwAADgAAAAAAAAABACAAAAAmAQAAZHJzL2Uyb0RvYy54bWxQSwUGAAAAAAYABgBZAQAAPwUAA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11"/>
                        </w:rPr>
                      </w:pPr>
                      <w:r>
                        <w:rPr>
                          <w:rFonts w:ascii="Arial"/>
                          <w:sz w:val="11"/>
                        </w:rPr>
                        <w:t>250</w:t>
                      </w:r>
                    </w:p>
                  </w:txbxContent>
                </v:textbox>
              </v:shape>
            </w:pict>
          </mc:Fallback>
        </mc:AlternateContent>
      </w:r>
      <w:r>
        <mc:AlternateContent>
          <mc:Choice Requires="wps">
            <w:drawing>
              <wp:anchor distT="0" distB="0" distL="114300" distR="114300" simplePos="0" relativeHeight="251769856" behindDoc="0" locked="0" layoutInCell="1" allowOverlap="1">
                <wp:simplePos x="0" y="0"/>
                <wp:positionH relativeFrom="page">
                  <wp:posOffset>5386705</wp:posOffset>
                </wp:positionH>
                <wp:positionV relativeFrom="page">
                  <wp:posOffset>2904490</wp:posOffset>
                </wp:positionV>
                <wp:extent cx="105410" cy="163195"/>
                <wp:effectExtent l="0" t="0" r="0" b="0"/>
                <wp:wrapNone/>
                <wp:docPr id="162" name="文本框 82"/>
                <wp:cNvGraphicFramePr/>
                <a:graphic xmlns:a="http://schemas.openxmlformats.org/drawingml/2006/main">
                  <a:graphicData uri="http://schemas.microsoft.com/office/word/2010/wordprocessingShape">
                    <wps:wsp>
                      <wps:cNvSpPr txBox="1"/>
                      <wps:spPr>
                        <a:xfrm>
                          <a:off x="0" y="0"/>
                          <a:ext cx="105410" cy="163195"/>
                        </a:xfrm>
                        <a:prstGeom prst="rect">
                          <a:avLst/>
                        </a:prstGeom>
                        <a:noFill/>
                        <a:ln>
                          <a:noFill/>
                        </a:ln>
                      </wps:spPr>
                      <wps:txbx>
                        <w:txbxContent>
                          <w:p>
                            <w:pPr>
                              <w:spacing w:before="18"/>
                              <w:ind w:left="20" w:right="0" w:firstLine="0"/>
                              <w:jc w:val="left"/>
                              <w:rPr>
                                <w:rFonts w:ascii="Arial"/>
                                <w:b/>
                                <w:sz w:val="11"/>
                              </w:rPr>
                            </w:pPr>
                            <w:r>
                              <w:rPr>
                                <w:rFonts w:ascii="Arial"/>
                                <w:b/>
                                <w:sz w:val="11"/>
                              </w:rPr>
                              <w:t>30.0</w:t>
                            </w:r>
                          </w:p>
                        </w:txbxContent>
                      </wps:txbx>
                      <wps:bodyPr vert="vert270" lIns="0" tIns="0" rIns="0" bIns="0" upright="1"/>
                    </wps:wsp>
                  </a:graphicData>
                </a:graphic>
              </wp:anchor>
            </w:drawing>
          </mc:Choice>
          <mc:Fallback>
            <w:pict>
              <v:shape id="文本框 82" o:spid="_x0000_s1026" o:spt="202" type="#_x0000_t202" style="position:absolute;left:0pt;margin-left:424.15pt;margin-top:228.7pt;height:12.85pt;width:8.3pt;mso-position-horizontal-relative:page;mso-position-vertical-relative:page;z-index:251769856;mso-width-relative:page;mso-height-relative:page;" filled="f" stroked="f" coordsize="21600,21600" o:gfxdata="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xaJcjYAAAACwEA&#10;AA8AAAAAAAAAAQAgAAAAIgAAAGRycy9kb3ducmV2LnhtbFBLAQIUABQAAAAIAIdO4kCop5cpqAEA&#10;ADUDAAAOAAAAAAAAAAEAIAAAACcBAABkcnMvZTJvRG9jLnhtbFBLBQYAAAAABgAGAFkBAABBBQAA&#10;AAA=&#10;">
                <v:fill on="f" focussize="0,0"/>
                <v:stroke on="f"/>
                <v:imagedata o:title=""/>
                <o:lock v:ext="edit" aspectratio="f"/>
                <v:textbox inset="0mm,0mm,0mm,0mm" style="layout-flow:vertical;mso-layout-flow-alt:bottom-to-top;">
                  <w:txbxContent>
                    <w:p>
                      <w:pPr>
                        <w:spacing w:before="18"/>
                        <w:ind w:left="20" w:right="0" w:firstLine="0"/>
                        <w:jc w:val="left"/>
                        <w:rPr>
                          <w:rFonts w:ascii="Arial"/>
                          <w:b/>
                          <w:sz w:val="11"/>
                        </w:rPr>
                      </w:pPr>
                      <w:r>
                        <w:rPr>
                          <w:rFonts w:ascii="Arial"/>
                          <w:b/>
                          <w:sz w:val="11"/>
                        </w:rPr>
                        <w:t>30.0</w:t>
                      </w:r>
                    </w:p>
                  </w:txbxContent>
                </v:textbox>
              </v:shape>
            </w:pict>
          </mc:Fallback>
        </mc:AlternateContent>
      </w:r>
      <w:r>
        <w:pict>
          <v:shape id="_x0000_s1107" o:spid="_x0000_s1107" o:spt="136" type="#_x0000_t136" style="position:absolute;left:0pt;margin-left:192.8pt;margin-top:260.55pt;height:5.6pt;width:10.85pt;mso-position-horizontal-relative:page;mso-position-vertical-relative:page;rotation:17956864f;z-index:251770880;mso-width-relative:page;mso-height-relative:page;" fillcolor="#000000" filled="t" stroked="f" coordsize="21600,21600">
            <v:path/>
            <v:fill on="t" focussize="0,0"/>
            <v:stroke on="f"/>
            <v:imagedata o:title=""/>
            <o:lock v:ext="edit"/>
            <v:textpath on="t" fitpath="t" trim="t" xscale="f" string="30.0" style="font-family:&amp;quot;font-size:5pt;font-weight:bold;v-text-align:center;"/>
          </v:shape>
        </w:pict>
      </w:r>
      <w:r>
        <w:pict>
          <v:shape id="_x0000_s1108" o:spid="_x0000_s1108" o:spt="136" type="#_x0000_t136" style="position:absolute;left:0pt;margin-left:140.05pt;margin-top:199.15pt;height:5.65pt;width:10.85pt;mso-position-horizontal-relative:page;mso-position-vertical-relative:page;rotation:18874368f;z-index:251771904;mso-width-relative:page;mso-height-relative:page;" fillcolor="#000000" filled="t" stroked="f" coordsize="21600,21600">
            <v:path/>
            <v:fill on="t" focussize="0,0"/>
            <v:stroke on="f"/>
            <v:imagedata o:title=""/>
            <o:lock v:ext="edit"/>
            <v:textpath on="t" fitpath="t" trim="t" xscale="f" string="25..0" style="font-family:&amp;quot;font-size:5pt;font-weight:bold;v-text-align:center;"/>
          </v:shape>
        </w:pict>
      </w:r>
      <w:r>
        <w:pict>
          <v:shape id="_x0000_s1109" o:spid="_x0000_s1109" o:spt="136" type="#_x0000_t136" style="position:absolute;left:0pt;margin-left:183.15pt;margin-top:116.7pt;height:5.65pt;width:10.85pt;mso-position-horizontal-relative:page;mso-position-vertical-relative:page;rotation:21299200f;z-index:251774976;mso-width-relative:page;mso-height-relative:page;" fillcolor="#000000" filled="t" stroked="f" coordsize="21600,21600">
            <v:path/>
            <v:fill on="t" focussize="0,0"/>
            <v:stroke on="f"/>
            <v:imagedata o:title=""/>
            <o:lock v:ext="edit"/>
            <v:textpath on="t" fitpath="t" trim="t" xscale="f" string="25..0" style="font-family:&amp;quot;font-size:5pt;font-weight:bold;v-text-align:center;"/>
          </v:shape>
        </w:pict>
      </w:r>
      <w:r>
        <w:pict>
          <v:shape id="_x0000_s1110" o:spid="_x0000_s1110" o:spt="136" type="#_x0000_t136" style="position:absolute;left:0pt;margin-left:258.3pt;margin-top:198.05pt;height:5.6pt;width:10.9pt;mso-position-horizontal-relative:page;mso-position-vertical-relative:page;rotation:23461888f;z-index:251777024;mso-width-relative:page;mso-height-relative:page;" fillcolor="#000000" filled="t" stroked="f" coordsize="21600,21600">
            <v:path/>
            <v:fill on="t" focussize="0,0"/>
            <v:stroke on="f"/>
            <v:imagedata o:title=""/>
            <o:lock v:ext="edit"/>
            <v:textpath on="t" fitpath="t" trim="t" xscale="f" string="30.0" style="font-family:&amp;quot;font-size:5pt;font-weight:bold;v-text-align:center;"/>
          </v:shape>
        </w:pict>
      </w: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spacing w:before="4" w:after="1"/>
        <w:rPr>
          <w:b/>
          <w:sz w:val="11"/>
        </w:rPr>
      </w:pPr>
    </w:p>
    <w:tbl>
      <w:tblPr>
        <w:tblStyle w:val="15"/>
        <w:tblW w:w="0" w:type="auto"/>
        <w:tblInd w:w="88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6"/>
        <w:gridCol w:w="455"/>
        <w:gridCol w:w="3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 w:hRule="atLeast"/>
        </w:trPr>
        <w:tc>
          <w:tcPr>
            <w:tcW w:w="266" w:type="dxa"/>
            <w:shd w:val="clear" w:color="auto" w:fill="C76363"/>
          </w:tcPr>
          <w:p>
            <w:pPr>
              <w:pStyle w:val="19"/>
              <w:spacing w:line="54" w:lineRule="exact"/>
              <w:ind w:left="47"/>
              <w:jc w:val="left"/>
              <w:rPr>
                <w:sz w:val="8"/>
              </w:rPr>
            </w:pPr>
            <w:r>
              <w:rPr>
                <w:w w:val="105"/>
                <w:sz w:val="8"/>
              </w:rPr>
              <w:t>图案</w:t>
            </w:r>
          </w:p>
        </w:tc>
        <w:tc>
          <w:tcPr>
            <w:tcW w:w="455" w:type="dxa"/>
            <w:shd w:val="clear" w:color="auto" w:fill="C76363"/>
          </w:tcPr>
          <w:p>
            <w:pPr>
              <w:pStyle w:val="19"/>
              <w:spacing w:line="54" w:lineRule="exact"/>
              <w:ind w:left="41"/>
              <w:rPr>
                <w:sz w:val="8"/>
              </w:rPr>
            </w:pPr>
            <w:r>
              <w:rPr>
                <w:w w:val="105"/>
                <w:sz w:val="8"/>
              </w:rPr>
              <w:t>声级</w:t>
            </w:r>
          </w:p>
        </w:tc>
        <w:tc>
          <w:tcPr>
            <w:tcW w:w="350" w:type="dxa"/>
            <w:shd w:val="clear" w:color="auto" w:fill="C76363"/>
          </w:tcPr>
          <w:p>
            <w:pPr>
              <w:pStyle w:val="19"/>
              <w:spacing w:line="54" w:lineRule="exact"/>
              <w:ind w:left="5"/>
              <w:rPr>
                <w:sz w:val="8"/>
              </w:rPr>
            </w:pPr>
            <w:r>
              <w:rPr>
                <w:w w:val="105"/>
                <w:sz w:val="8"/>
              </w:rPr>
              <w:t>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 w:hRule="atLeast"/>
        </w:trPr>
        <w:tc>
          <w:tcPr>
            <w:tcW w:w="266" w:type="dxa"/>
            <w:shd w:val="clear" w:color="auto" w:fill="C76363"/>
          </w:tcPr>
          <w:p>
            <w:pPr>
              <w:pStyle w:val="19"/>
              <w:jc w:val="left"/>
              <w:rPr>
                <w:rFonts w:ascii="Times New Roman"/>
                <w:sz w:val="2"/>
              </w:rPr>
            </w:pPr>
          </w:p>
        </w:tc>
        <w:tc>
          <w:tcPr>
            <w:tcW w:w="455" w:type="dxa"/>
            <w:shd w:val="clear" w:color="auto" w:fill="C76363"/>
          </w:tcPr>
          <w:p>
            <w:pPr>
              <w:pStyle w:val="19"/>
              <w:spacing w:line="54" w:lineRule="exact"/>
              <w:ind w:left="41"/>
              <w:rPr>
                <w:sz w:val="8"/>
              </w:rPr>
            </w:pPr>
            <w:r>
              <w:rPr>
                <w:w w:val="105"/>
                <w:sz w:val="8"/>
              </w:rPr>
              <w:t>25.0-30.0</w:t>
            </w:r>
          </w:p>
        </w:tc>
        <w:tc>
          <w:tcPr>
            <w:tcW w:w="350" w:type="dxa"/>
            <w:shd w:val="clear" w:color="auto" w:fill="C76363"/>
          </w:tcPr>
          <w:p>
            <w:pPr>
              <w:pStyle w:val="19"/>
              <w:spacing w:line="54" w:lineRule="exact"/>
              <w:ind w:left="5"/>
              <w:rPr>
                <w:sz w:val="8"/>
              </w:rPr>
            </w:pPr>
            <w:r>
              <w:rPr>
                <w:w w:val="105"/>
                <w:sz w:val="8"/>
              </w:rPr>
              <w:t>4.43E04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 w:hRule="atLeast"/>
        </w:trPr>
        <w:tc>
          <w:tcPr>
            <w:tcW w:w="266" w:type="dxa"/>
            <w:shd w:val="clear" w:color="auto" w:fill="C76363"/>
          </w:tcPr>
          <w:p>
            <w:pPr>
              <w:pStyle w:val="19"/>
              <w:jc w:val="left"/>
              <w:rPr>
                <w:rFonts w:ascii="Times New Roman"/>
                <w:sz w:val="2"/>
              </w:rPr>
            </w:pPr>
          </w:p>
        </w:tc>
        <w:tc>
          <w:tcPr>
            <w:tcW w:w="455" w:type="dxa"/>
            <w:shd w:val="clear" w:color="auto" w:fill="C76363"/>
          </w:tcPr>
          <w:p>
            <w:pPr>
              <w:pStyle w:val="19"/>
              <w:spacing w:line="54" w:lineRule="exact"/>
              <w:ind w:left="41"/>
              <w:rPr>
                <w:sz w:val="8"/>
              </w:rPr>
            </w:pPr>
            <w:r>
              <w:rPr>
                <w:w w:val="105"/>
                <w:sz w:val="8"/>
              </w:rPr>
              <w:t>30.0-35.0</w:t>
            </w:r>
          </w:p>
        </w:tc>
        <w:tc>
          <w:tcPr>
            <w:tcW w:w="350" w:type="dxa"/>
            <w:shd w:val="clear" w:color="auto" w:fill="C76363"/>
          </w:tcPr>
          <w:p>
            <w:pPr>
              <w:pStyle w:val="19"/>
              <w:spacing w:line="54" w:lineRule="exact"/>
              <w:ind w:left="5"/>
              <w:rPr>
                <w:sz w:val="8"/>
              </w:rPr>
            </w:pPr>
            <w:r>
              <w:rPr>
                <w:w w:val="105"/>
                <w:sz w:val="8"/>
              </w:rPr>
              <w:t>1.91E04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 w:hRule="atLeast"/>
        </w:trPr>
        <w:tc>
          <w:tcPr>
            <w:tcW w:w="266" w:type="dxa"/>
            <w:shd w:val="clear" w:color="auto" w:fill="C76363"/>
          </w:tcPr>
          <w:p>
            <w:pPr>
              <w:pStyle w:val="19"/>
              <w:jc w:val="left"/>
              <w:rPr>
                <w:rFonts w:ascii="Times New Roman"/>
                <w:sz w:val="2"/>
              </w:rPr>
            </w:pPr>
          </w:p>
        </w:tc>
        <w:tc>
          <w:tcPr>
            <w:tcW w:w="455" w:type="dxa"/>
            <w:shd w:val="clear" w:color="auto" w:fill="C76363"/>
          </w:tcPr>
          <w:p>
            <w:pPr>
              <w:pStyle w:val="19"/>
              <w:spacing w:line="54" w:lineRule="exact"/>
              <w:ind w:left="41"/>
              <w:rPr>
                <w:sz w:val="8"/>
              </w:rPr>
            </w:pPr>
            <w:r>
              <w:rPr>
                <w:w w:val="105"/>
                <w:sz w:val="8"/>
              </w:rPr>
              <w:t>35.0-40.0</w:t>
            </w:r>
          </w:p>
        </w:tc>
        <w:tc>
          <w:tcPr>
            <w:tcW w:w="350" w:type="dxa"/>
            <w:shd w:val="clear" w:color="auto" w:fill="C76363"/>
          </w:tcPr>
          <w:p>
            <w:pPr>
              <w:pStyle w:val="19"/>
              <w:spacing w:line="54" w:lineRule="exact"/>
              <w:ind w:left="5"/>
              <w:rPr>
                <w:sz w:val="8"/>
              </w:rPr>
            </w:pPr>
            <w:r>
              <w:rPr>
                <w:w w:val="105"/>
                <w:sz w:val="8"/>
              </w:rPr>
              <w:t>7.11E03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 w:hRule="atLeast"/>
        </w:trPr>
        <w:tc>
          <w:tcPr>
            <w:tcW w:w="266" w:type="dxa"/>
            <w:shd w:val="clear" w:color="auto" w:fill="C76363"/>
          </w:tcPr>
          <w:p>
            <w:pPr>
              <w:pStyle w:val="19"/>
              <w:jc w:val="left"/>
              <w:rPr>
                <w:rFonts w:ascii="Times New Roman"/>
                <w:sz w:val="2"/>
              </w:rPr>
            </w:pPr>
          </w:p>
        </w:tc>
        <w:tc>
          <w:tcPr>
            <w:tcW w:w="455" w:type="dxa"/>
            <w:shd w:val="clear" w:color="auto" w:fill="C76363"/>
          </w:tcPr>
          <w:p>
            <w:pPr>
              <w:pStyle w:val="19"/>
              <w:spacing w:line="54" w:lineRule="exact"/>
              <w:ind w:left="41"/>
              <w:rPr>
                <w:sz w:val="8"/>
              </w:rPr>
            </w:pPr>
            <w:r>
              <w:rPr>
                <w:w w:val="105"/>
                <w:sz w:val="8"/>
              </w:rPr>
              <w:t>40.0-45.0</w:t>
            </w:r>
          </w:p>
        </w:tc>
        <w:tc>
          <w:tcPr>
            <w:tcW w:w="350" w:type="dxa"/>
            <w:shd w:val="clear" w:color="auto" w:fill="C76363"/>
          </w:tcPr>
          <w:p>
            <w:pPr>
              <w:pStyle w:val="19"/>
              <w:spacing w:line="54" w:lineRule="exact"/>
              <w:ind w:left="5"/>
              <w:rPr>
                <w:sz w:val="8"/>
              </w:rPr>
            </w:pPr>
            <w:r>
              <w:rPr>
                <w:w w:val="105"/>
                <w:sz w:val="8"/>
              </w:rPr>
              <w:t>2.19E03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 w:hRule="atLeast"/>
        </w:trPr>
        <w:tc>
          <w:tcPr>
            <w:tcW w:w="266" w:type="dxa"/>
            <w:shd w:val="clear" w:color="auto" w:fill="C76363"/>
          </w:tcPr>
          <w:p>
            <w:pPr>
              <w:pStyle w:val="19"/>
              <w:jc w:val="left"/>
              <w:rPr>
                <w:rFonts w:ascii="Times New Roman"/>
                <w:sz w:val="2"/>
              </w:rPr>
            </w:pPr>
          </w:p>
        </w:tc>
        <w:tc>
          <w:tcPr>
            <w:tcW w:w="455" w:type="dxa"/>
            <w:shd w:val="clear" w:color="auto" w:fill="C76363"/>
          </w:tcPr>
          <w:p>
            <w:pPr>
              <w:pStyle w:val="19"/>
              <w:spacing w:line="54" w:lineRule="exact"/>
              <w:ind w:left="41"/>
              <w:rPr>
                <w:sz w:val="8"/>
              </w:rPr>
            </w:pPr>
            <w:r>
              <w:rPr>
                <w:w w:val="105"/>
                <w:sz w:val="8"/>
              </w:rPr>
              <w:t>45.0-50.0</w:t>
            </w:r>
          </w:p>
        </w:tc>
        <w:tc>
          <w:tcPr>
            <w:tcW w:w="350" w:type="dxa"/>
            <w:shd w:val="clear" w:color="auto" w:fill="C76363"/>
          </w:tcPr>
          <w:p>
            <w:pPr>
              <w:pStyle w:val="19"/>
              <w:spacing w:line="54" w:lineRule="exact"/>
              <w:ind w:left="5"/>
              <w:rPr>
                <w:sz w:val="8"/>
              </w:rPr>
            </w:pPr>
            <w:r>
              <w:rPr>
                <w:w w:val="105"/>
                <w:sz w:val="8"/>
              </w:rPr>
              <w:t>5.27E02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 w:hRule="atLeast"/>
        </w:trPr>
        <w:tc>
          <w:tcPr>
            <w:tcW w:w="266" w:type="dxa"/>
            <w:shd w:val="clear" w:color="auto" w:fill="C76363"/>
          </w:tcPr>
          <w:p>
            <w:pPr>
              <w:pStyle w:val="19"/>
              <w:jc w:val="left"/>
              <w:rPr>
                <w:rFonts w:ascii="Times New Roman"/>
                <w:sz w:val="2"/>
              </w:rPr>
            </w:pPr>
          </w:p>
        </w:tc>
        <w:tc>
          <w:tcPr>
            <w:tcW w:w="455" w:type="dxa"/>
            <w:shd w:val="clear" w:color="auto" w:fill="C76363"/>
          </w:tcPr>
          <w:p>
            <w:pPr>
              <w:pStyle w:val="19"/>
              <w:spacing w:line="54" w:lineRule="exact"/>
              <w:ind w:left="41"/>
              <w:rPr>
                <w:sz w:val="8"/>
              </w:rPr>
            </w:pPr>
            <w:r>
              <w:rPr>
                <w:w w:val="105"/>
                <w:sz w:val="8"/>
              </w:rPr>
              <w:t>&gt;50.0</w:t>
            </w:r>
          </w:p>
        </w:tc>
        <w:tc>
          <w:tcPr>
            <w:tcW w:w="350" w:type="dxa"/>
            <w:shd w:val="clear" w:color="auto" w:fill="C76363"/>
          </w:tcPr>
          <w:p>
            <w:pPr>
              <w:pStyle w:val="19"/>
              <w:spacing w:line="54" w:lineRule="exact"/>
              <w:ind w:left="5"/>
              <w:rPr>
                <w:sz w:val="8"/>
              </w:rPr>
            </w:pPr>
            <w:r>
              <w:rPr>
                <w:w w:val="105"/>
                <w:sz w:val="8"/>
              </w:rPr>
              <w:t>1.68E02</w:t>
            </w:r>
          </w:p>
        </w:tc>
      </w:tr>
    </w:tbl>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spacing w:before="8"/>
        <w:rPr>
          <w:b/>
          <w:sz w:val="20"/>
        </w:rPr>
      </w:pPr>
    </w:p>
    <w:p>
      <w:pPr>
        <w:tabs>
          <w:tab w:val="left" w:pos="1240"/>
          <w:tab w:val="left" w:pos="2408"/>
          <w:tab w:val="left" w:pos="3492"/>
          <w:tab w:val="left" w:pos="4583"/>
          <w:tab w:val="left" w:pos="5702"/>
          <w:tab w:val="left" w:pos="6821"/>
          <w:tab w:val="left" w:pos="7940"/>
        </w:tabs>
        <w:spacing w:before="98" w:line="119" w:lineRule="exact"/>
        <w:ind w:left="86" w:right="0" w:firstLine="0"/>
        <w:jc w:val="center"/>
        <w:rPr>
          <w:rFonts w:ascii="Arial"/>
          <w:sz w:val="11"/>
        </w:rPr>
      </w:pPr>
      <w:r>
        <mc:AlternateContent>
          <mc:Choice Requires="wpg">
            <w:drawing>
              <wp:anchor distT="0" distB="0" distL="114300" distR="114300" simplePos="0" relativeHeight="212805632" behindDoc="1" locked="0" layoutInCell="1" allowOverlap="1">
                <wp:simplePos x="0" y="0"/>
                <wp:positionH relativeFrom="page">
                  <wp:posOffset>1289050</wp:posOffset>
                </wp:positionH>
                <wp:positionV relativeFrom="paragraph">
                  <wp:posOffset>-4277995</wp:posOffset>
                </wp:positionV>
                <wp:extent cx="5045710" cy="4335780"/>
                <wp:effectExtent l="635" t="635" r="1905" b="6985"/>
                <wp:wrapNone/>
                <wp:docPr id="107" name="组合 87"/>
                <wp:cNvGraphicFramePr/>
                <a:graphic xmlns:a="http://schemas.openxmlformats.org/drawingml/2006/main">
                  <a:graphicData uri="http://schemas.microsoft.com/office/word/2010/wordprocessingGroup">
                    <wpg:wgp>
                      <wpg:cNvGrpSpPr/>
                      <wpg:grpSpPr>
                        <a:xfrm>
                          <a:off x="0" y="0"/>
                          <a:ext cx="5045710" cy="4335780"/>
                          <a:chOff x="2031" y="-6738"/>
                          <a:chExt cx="7946" cy="6828"/>
                        </a:xfrm>
                      </wpg:grpSpPr>
                      <pic:pic xmlns:pic="http://schemas.openxmlformats.org/drawingml/2006/picture">
                        <pic:nvPicPr>
                          <pic:cNvPr id="42" name="图片 88"/>
                          <pic:cNvPicPr>
                            <a:picLocks noChangeAspect="1"/>
                          </pic:cNvPicPr>
                        </pic:nvPicPr>
                        <pic:blipFill>
                          <a:blip r:embed="rId61"/>
                          <a:stretch>
                            <a:fillRect/>
                          </a:stretch>
                        </pic:blipFill>
                        <pic:spPr>
                          <a:xfrm>
                            <a:off x="2723" y="-6641"/>
                            <a:ext cx="6092" cy="6268"/>
                          </a:xfrm>
                          <a:prstGeom prst="rect">
                            <a:avLst/>
                          </a:prstGeom>
                          <a:noFill/>
                          <a:ln>
                            <a:noFill/>
                          </a:ln>
                        </pic:spPr>
                      </pic:pic>
                      <pic:pic xmlns:pic="http://schemas.openxmlformats.org/drawingml/2006/picture">
                        <pic:nvPicPr>
                          <pic:cNvPr id="44" name="图片 89"/>
                          <pic:cNvPicPr>
                            <a:picLocks noChangeAspect="1"/>
                          </pic:cNvPicPr>
                        </pic:nvPicPr>
                        <pic:blipFill>
                          <a:blip r:embed="rId62"/>
                          <a:stretch>
                            <a:fillRect/>
                          </a:stretch>
                        </pic:blipFill>
                        <pic:spPr>
                          <a:xfrm>
                            <a:off x="3527" y="-303"/>
                            <a:ext cx="322" cy="343"/>
                          </a:xfrm>
                          <a:prstGeom prst="rect">
                            <a:avLst/>
                          </a:prstGeom>
                          <a:noFill/>
                          <a:ln>
                            <a:noFill/>
                          </a:ln>
                        </pic:spPr>
                      </pic:pic>
                      <wps:wsp>
                        <wps:cNvPr id="46" name="任意多边形 90"/>
                        <wps:cNvSpPr/>
                        <wps:spPr>
                          <a:xfrm>
                            <a:off x="2632" y="408"/>
                            <a:ext cx="6638" cy="6107"/>
                          </a:xfrm>
                          <a:custGeom>
                            <a:avLst/>
                            <a:gdLst/>
                            <a:ahLst/>
                            <a:cxnLst/>
                            <a:pathLst>
                              <a:path w="6638" h="6107">
                                <a:moveTo>
                                  <a:pt x="728" y="-921"/>
                                </a:moveTo>
                                <a:lnTo>
                                  <a:pt x="721" y="-935"/>
                                </a:lnTo>
                                <a:lnTo>
                                  <a:pt x="686" y="-984"/>
                                </a:lnTo>
                                <a:lnTo>
                                  <a:pt x="644" y="-1047"/>
                                </a:lnTo>
                                <a:lnTo>
                                  <a:pt x="574" y="-1152"/>
                                </a:lnTo>
                                <a:lnTo>
                                  <a:pt x="567" y="-1159"/>
                                </a:lnTo>
                                <a:lnTo>
                                  <a:pt x="504" y="-1271"/>
                                </a:lnTo>
                                <a:lnTo>
                                  <a:pt x="462" y="-1348"/>
                                </a:lnTo>
                                <a:lnTo>
                                  <a:pt x="441" y="-1383"/>
                                </a:lnTo>
                                <a:lnTo>
                                  <a:pt x="385" y="-1495"/>
                                </a:lnTo>
                                <a:lnTo>
                                  <a:pt x="350" y="-1565"/>
                                </a:lnTo>
                                <a:lnTo>
                                  <a:pt x="329" y="-1607"/>
                                </a:lnTo>
                                <a:lnTo>
                                  <a:pt x="280" y="-1719"/>
                                </a:lnTo>
                                <a:lnTo>
                                  <a:pt x="238" y="-1831"/>
                                </a:lnTo>
                                <a:lnTo>
                                  <a:pt x="196" y="-1943"/>
                                </a:lnTo>
                                <a:lnTo>
                                  <a:pt x="161" y="-2055"/>
                                </a:lnTo>
                                <a:lnTo>
                                  <a:pt x="126" y="-2166"/>
                                </a:lnTo>
                                <a:lnTo>
                                  <a:pt x="126" y="-2180"/>
                                </a:lnTo>
                                <a:lnTo>
                                  <a:pt x="98" y="-2278"/>
                                </a:lnTo>
                                <a:lnTo>
                                  <a:pt x="77" y="-2390"/>
                                </a:lnTo>
                                <a:lnTo>
                                  <a:pt x="70" y="-2418"/>
                                </a:lnTo>
                                <a:moveTo>
                                  <a:pt x="28" y="-2698"/>
                                </a:moveTo>
                                <a:lnTo>
                                  <a:pt x="21" y="-2726"/>
                                </a:lnTo>
                                <a:lnTo>
                                  <a:pt x="14" y="-2803"/>
                                </a:lnTo>
                                <a:lnTo>
                                  <a:pt x="7" y="-2838"/>
                                </a:lnTo>
                                <a:lnTo>
                                  <a:pt x="0" y="-2950"/>
                                </a:lnTo>
                                <a:lnTo>
                                  <a:pt x="0" y="-3062"/>
                                </a:lnTo>
                                <a:lnTo>
                                  <a:pt x="0" y="-3174"/>
                                </a:lnTo>
                                <a:lnTo>
                                  <a:pt x="0" y="-3286"/>
                                </a:lnTo>
                                <a:lnTo>
                                  <a:pt x="7" y="-3398"/>
                                </a:lnTo>
                                <a:lnTo>
                                  <a:pt x="14" y="-3454"/>
                                </a:lnTo>
                                <a:lnTo>
                                  <a:pt x="21" y="-3510"/>
                                </a:lnTo>
                                <a:lnTo>
                                  <a:pt x="35" y="-3621"/>
                                </a:lnTo>
                                <a:lnTo>
                                  <a:pt x="49" y="-3733"/>
                                </a:lnTo>
                                <a:lnTo>
                                  <a:pt x="70" y="-3845"/>
                                </a:lnTo>
                                <a:lnTo>
                                  <a:pt x="91" y="-3957"/>
                                </a:lnTo>
                                <a:lnTo>
                                  <a:pt x="119" y="-4069"/>
                                </a:lnTo>
                                <a:lnTo>
                                  <a:pt x="126" y="-4097"/>
                                </a:lnTo>
                                <a:lnTo>
                                  <a:pt x="147" y="-4181"/>
                                </a:lnTo>
                                <a:lnTo>
                                  <a:pt x="182" y="-4293"/>
                                </a:lnTo>
                                <a:lnTo>
                                  <a:pt x="210" y="-4405"/>
                                </a:lnTo>
                                <a:lnTo>
                                  <a:pt x="224" y="-4440"/>
                                </a:lnTo>
                                <a:moveTo>
                                  <a:pt x="308" y="-4706"/>
                                </a:moveTo>
                                <a:lnTo>
                                  <a:pt x="315" y="-4741"/>
                                </a:lnTo>
                                <a:lnTo>
                                  <a:pt x="350" y="-4839"/>
                                </a:lnTo>
                                <a:lnTo>
                                  <a:pt x="357" y="-4853"/>
                                </a:lnTo>
                                <a:lnTo>
                                  <a:pt x="392" y="-4964"/>
                                </a:lnTo>
                                <a:lnTo>
                                  <a:pt x="427" y="-5076"/>
                                </a:lnTo>
                                <a:lnTo>
                                  <a:pt x="462" y="-5181"/>
                                </a:lnTo>
                                <a:lnTo>
                                  <a:pt x="462" y="-5188"/>
                                </a:lnTo>
                                <a:lnTo>
                                  <a:pt x="504" y="-5300"/>
                                </a:lnTo>
                                <a:lnTo>
                                  <a:pt x="546" y="-5412"/>
                                </a:lnTo>
                                <a:lnTo>
                                  <a:pt x="574" y="-5482"/>
                                </a:lnTo>
                                <a:lnTo>
                                  <a:pt x="588" y="-5524"/>
                                </a:lnTo>
                                <a:lnTo>
                                  <a:pt x="644" y="-5636"/>
                                </a:lnTo>
                                <a:lnTo>
                                  <a:pt x="686" y="-5720"/>
                                </a:lnTo>
                                <a:lnTo>
                                  <a:pt x="700" y="-5748"/>
                                </a:lnTo>
                                <a:lnTo>
                                  <a:pt x="770" y="-5860"/>
                                </a:lnTo>
                                <a:lnTo>
                                  <a:pt x="798" y="-5895"/>
                                </a:lnTo>
                                <a:lnTo>
                                  <a:pt x="854" y="-5972"/>
                                </a:lnTo>
                                <a:lnTo>
                                  <a:pt x="910" y="-6035"/>
                                </a:lnTo>
                                <a:lnTo>
                                  <a:pt x="959" y="-6084"/>
                                </a:lnTo>
                                <a:lnTo>
                                  <a:pt x="1021" y="-6147"/>
                                </a:lnTo>
                                <a:moveTo>
                                  <a:pt x="1252" y="-6308"/>
                                </a:moveTo>
                                <a:lnTo>
                                  <a:pt x="1259" y="-6308"/>
                                </a:lnTo>
                                <a:lnTo>
                                  <a:pt x="1357" y="-6357"/>
                                </a:lnTo>
                                <a:lnTo>
                                  <a:pt x="1469" y="-6405"/>
                                </a:lnTo>
                                <a:lnTo>
                                  <a:pt x="1532" y="-6419"/>
                                </a:lnTo>
                                <a:lnTo>
                                  <a:pt x="1581" y="-6433"/>
                                </a:lnTo>
                                <a:lnTo>
                                  <a:pt x="1693" y="-6461"/>
                                </a:lnTo>
                                <a:lnTo>
                                  <a:pt x="1805" y="-6475"/>
                                </a:lnTo>
                                <a:lnTo>
                                  <a:pt x="1917" y="-6482"/>
                                </a:lnTo>
                                <a:lnTo>
                                  <a:pt x="2029" y="-6482"/>
                                </a:lnTo>
                                <a:lnTo>
                                  <a:pt x="2141" y="-6475"/>
                                </a:lnTo>
                                <a:lnTo>
                                  <a:pt x="2252" y="-6461"/>
                                </a:lnTo>
                                <a:lnTo>
                                  <a:pt x="2364" y="-6440"/>
                                </a:lnTo>
                                <a:lnTo>
                                  <a:pt x="2476" y="-6426"/>
                                </a:lnTo>
                                <a:lnTo>
                                  <a:pt x="2497" y="-6419"/>
                                </a:lnTo>
                                <a:lnTo>
                                  <a:pt x="2588" y="-6405"/>
                                </a:lnTo>
                                <a:lnTo>
                                  <a:pt x="2700" y="-6378"/>
                                </a:lnTo>
                                <a:lnTo>
                                  <a:pt x="2812" y="-6357"/>
                                </a:lnTo>
                                <a:lnTo>
                                  <a:pt x="2840" y="-6350"/>
                                </a:lnTo>
                                <a:moveTo>
                                  <a:pt x="3120" y="-6301"/>
                                </a:moveTo>
                                <a:lnTo>
                                  <a:pt x="3148" y="-6294"/>
                                </a:lnTo>
                                <a:lnTo>
                                  <a:pt x="3260" y="-6280"/>
                                </a:lnTo>
                                <a:lnTo>
                                  <a:pt x="3371" y="-6259"/>
                                </a:lnTo>
                                <a:lnTo>
                                  <a:pt x="3483" y="-6245"/>
                                </a:lnTo>
                                <a:lnTo>
                                  <a:pt x="3595" y="-6224"/>
                                </a:lnTo>
                                <a:lnTo>
                                  <a:pt x="3707" y="-6210"/>
                                </a:lnTo>
                                <a:lnTo>
                                  <a:pt x="3770" y="-6196"/>
                                </a:lnTo>
                                <a:lnTo>
                                  <a:pt x="3819" y="-6189"/>
                                </a:lnTo>
                                <a:lnTo>
                                  <a:pt x="3931" y="-6168"/>
                                </a:lnTo>
                                <a:lnTo>
                                  <a:pt x="4043" y="-6147"/>
                                </a:lnTo>
                                <a:lnTo>
                                  <a:pt x="4155" y="-6126"/>
                                </a:lnTo>
                                <a:lnTo>
                                  <a:pt x="4267" y="-6098"/>
                                </a:lnTo>
                                <a:lnTo>
                                  <a:pt x="4323" y="-6084"/>
                                </a:lnTo>
                                <a:lnTo>
                                  <a:pt x="4379" y="-6070"/>
                                </a:lnTo>
                                <a:lnTo>
                                  <a:pt x="4490" y="-6042"/>
                                </a:lnTo>
                                <a:lnTo>
                                  <a:pt x="4602" y="-6014"/>
                                </a:lnTo>
                                <a:lnTo>
                                  <a:pt x="4714" y="-5979"/>
                                </a:lnTo>
                                <a:lnTo>
                                  <a:pt x="4749" y="-5965"/>
                                </a:lnTo>
                                <a:moveTo>
                                  <a:pt x="5015" y="-5881"/>
                                </a:moveTo>
                                <a:lnTo>
                                  <a:pt x="5050" y="-5867"/>
                                </a:lnTo>
                                <a:lnTo>
                                  <a:pt x="5071" y="-5860"/>
                                </a:lnTo>
                                <a:lnTo>
                                  <a:pt x="5162" y="-5825"/>
                                </a:lnTo>
                                <a:lnTo>
                                  <a:pt x="5274" y="-5783"/>
                                </a:lnTo>
                                <a:lnTo>
                                  <a:pt x="5358" y="-5748"/>
                                </a:lnTo>
                                <a:lnTo>
                                  <a:pt x="5386" y="-5734"/>
                                </a:lnTo>
                                <a:lnTo>
                                  <a:pt x="5498" y="-5685"/>
                                </a:lnTo>
                                <a:lnTo>
                                  <a:pt x="5610" y="-5636"/>
                                </a:lnTo>
                                <a:lnTo>
                                  <a:pt x="5721" y="-5580"/>
                                </a:lnTo>
                                <a:lnTo>
                                  <a:pt x="5826" y="-5524"/>
                                </a:lnTo>
                                <a:lnTo>
                                  <a:pt x="5833" y="-5517"/>
                                </a:lnTo>
                                <a:lnTo>
                                  <a:pt x="5945" y="-5454"/>
                                </a:lnTo>
                                <a:lnTo>
                                  <a:pt x="6015" y="-5412"/>
                                </a:lnTo>
                                <a:lnTo>
                                  <a:pt x="6057" y="-5384"/>
                                </a:lnTo>
                                <a:lnTo>
                                  <a:pt x="6169" y="-5300"/>
                                </a:lnTo>
                                <a:lnTo>
                                  <a:pt x="6176" y="-5300"/>
                                </a:lnTo>
                                <a:lnTo>
                                  <a:pt x="6281" y="-5216"/>
                                </a:lnTo>
                                <a:lnTo>
                                  <a:pt x="6309" y="-5188"/>
                                </a:lnTo>
                                <a:lnTo>
                                  <a:pt x="6393" y="-5111"/>
                                </a:lnTo>
                                <a:lnTo>
                                  <a:pt x="6428" y="-5076"/>
                                </a:lnTo>
                                <a:lnTo>
                                  <a:pt x="6428" y="-5069"/>
                                </a:lnTo>
                                <a:moveTo>
                                  <a:pt x="6638" y="-1089"/>
                                </a:moveTo>
                                <a:lnTo>
                                  <a:pt x="6617" y="-1047"/>
                                </a:lnTo>
                                <a:lnTo>
                                  <a:pt x="6547" y="-935"/>
                                </a:lnTo>
                                <a:lnTo>
                                  <a:pt x="6505" y="-872"/>
                                </a:lnTo>
                                <a:lnTo>
                                  <a:pt x="6470" y="-823"/>
                                </a:lnTo>
                                <a:lnTo>
                                  <a:pt x="6393" y="-718"/>
                                </a:lnTo>
                                <a:lnTo>
                                  <a:pt x="6386" y="-711"/>
                                </a:lnTo>
                                <a:lnTo>
                                  <a:pt x="6295" y="-600"/>
                                </a:lnTo>
                                <a:lnTo>
                                  <a:pt x="6281" y="-579"/>
                                </a:lnTo>
                                <a:lnTo>
                                  <a:pt x="6197" y="-488"/>
                                </a:lnTo>
                                <a:lnTo>
                                  <a:pt x="6169" y="-460"/>
                                </a:lnTo>
                                <a:lnTo>
                                  <a:pt x="6092" y="-376"/>
                                </a:lnTo>
                              </a:path>
                            </a:pathLst>
                          </a:custGeom>
                          <a:noFill/>
                          <a:ln w="8877" cap="flat" cmpd="sng">
                            <a:solidFill>
                              <a:srgbClr val="000000"/>
                            </a:solidFill>
                            <a:prstDash val="solid"/>
                            <a:headEnd type="none" w="med" len="med"/>
                            <a:tailEnd type="none" w="med" len="med"/>
                          </a:ln>
                        </wps:spPr>
                        <wps:bodyPr upright="1"/>
                      </wps:wsp>
                      <pic:pic xmlns:pic="http://schemas.openxmlformats.org/drawingml/2006/picture">
                        <pic:nvPicPr>
                          <pic:cNvPr id="48" name="图片 91"/>
                          <pic:cNvPicPr>
                            <a:picLocks noChangeAspect="1"/>
                          </pic:cNvPicPr>
                        </pic:nvPicPr>
                        <pic:blipFill>
                          <a:blip r:embed="rId63"/>
                          <a:stretch>
                            <a:fillRect/>
                          </a:stretch>
                        </pic:blipFill>
                        <pic:spPr>
                          <a:xfrm>
                            <a:off x="3513" y="-310"/>
                            <a:ext cx="336" cy="350"/>
                          </a:xfrm>
                          <a:prstGeom prst="rect">
                            <a:avLst/>
                          </a:prstGeom>
                          <a:noFill/>
                          <a:ln>
                            <a:noFill/>
                          </a:ln>
                        </pic:spPr>
                      </pic:pic>
                      <wps:wsp>
                        <wps:cNvPr id="50" name="任意多边形 92"/>
                        <wps:cNvSpPr/>
                        <wps:spPr>
                          <a:xfrm>
                            <a:off x="2632" y="408"/>
                            <a:ext cx="7134" cy="6107"/>
                          </a:xfrm>
                          <a:custGeom>
                            <a:avLst/>
                            <a:gdLst/>
                            <a:ahLst/>
                            <a:cxnLst/>
                            <a:pathLst>
                              <a:path w="7134" h="6107">
                                <a:moveTo>
                                  <a:pt x="735" y="-914"/>
                                </a:moveTo>
                                <a:lnTo>
                                  <a:pt x="721" y="-935"/>
                                </a:lnTo>
                                <a:lnTo>
                                  <a:pt x="686" y="-984"/>
                                </a:lnTo>
                                <a:lnTo>
                                  <a:pt x="644" y="-1047"/>
                                </a:lnTo>
                                <a:lnTo>
                                  <a:pt x="574" y="-1152"/>
                                </a:lnTo>
                                <a:lnTo>
                                  <a:pt x="567" y="-1159"/>
                                </a:lnTo>
                                <a:lnTo>
                                  <a:pt x="504" y="-1271"/>
                                </a:lnTo>
                                <a:lnTo>
                                  <a:pt x="462" y="-1348"/>
                                </a:lnTo>
                                <a:lnTo>
                                  <a:pt x="441" y="-1383"/>
                                </a:lnTo>
                                <a:lnTo>
                                  <a:pt x="385" y="-1495"/>
                                </a:lnTo>
                                <a:lnTo>
                                  <a:pt x="350" y="-1565"/>
                                </a:lnTo>
                                <a:lnTo>
                                  <a:pt x="329" y="-1607"/>
                                </a:lnTo>
                                <a:lnTo>
                                  <a:pt x="280" y="-1719"/>
                                </a:lnTo>
                                <a:lnTo>
                                  <a:pt x="238" y="-1831"/>
                                </a:lnTo>
                                <a:lnTo>
                                  <a:pt x="196" y="-1943"/>
                                </a:lnTo>
                                <a:lnTo>
                                  <a:pt x="161" y="-2055"/>
                                </a:lnTo>
                                <a:lnTo>
                                  <a:pt x="126" y="-2166"/>
                                </a:lnTo>
                                <a:lnTo>
                                  <a:pt x="126" y="-2180"/>
                                </a:lnTo>
                                <a:lnTo>
                                  <a:pt x="98" y="-2278"/>
                                </a:lnTo>
                                <a:lnTo>
                                  <a:pt x="77" y="-2390"/>
                                </a:lnTo>
                                <a:lnTo>
                                  <a:pt x="70" y="-2432"/>
                                </a:lnTo>
                                <a:moveTo>
                                  <a:pt x="28" y="-2684"/>
                                </a:moveTo>
                                <a:lnTo>
                                  <a:pt x="21" y="-2726"/>
                                </a:lnTo>
                                <a:lnTo>
                                  <a:pt x="14" y="-2803"/>
                                </a:lnTo>
                                <a:lnTo>
                                  <a:pt x="7" y="-2838"/>
                                </a:lnTo>
                                <a:lnTo>
                                  <a:pt x="0" y="-2950"/>
                                </a:lnTo>
                                <a:lnTo>
                                  <a:pt x="0" y="-3062"/>
                                </a:lnTo>
                                <a:lnTo>
                                  <a:pt x="0" y="-3174"/>
                                </a:lnTo>
                                <a:lnTo>
                                  <a:pt x="0" y="-3286"/>
                                </a:lnTo>
                                <a:lnTo>
                                  <a:pt x="7" y="-3398"/>
                                </a:lnTo>
                                <a:lnTo>
                                  <a:pt x="14" y="-3454"/>
                                </a:lnTo>
                                <a:lnTo>
                                  <a:pt x="21" y="-3510"/>
                                </a:lnTo>
                                <a:lnTo>
                                  <a:pt x="35" y="-3621"/>
                                </a:lnTo>
                                <a:lnTo>
                                  <a:pt x="49" y="-3733"/>
                                </a:lnTo>
                                <a:lnTo>
                                  <a:pt x="70" y="-3845"/>
                                </a:lnTo>
                                <a:lnTo>
                                  <a:pt x="91" y="-3957"/>
                                </a:lnTo>
                                <a:lnTo>
                                  <a:pt x="119" y="-4069"/>
                                </a:lnTo>
                                <a:lnTo>
                                  <a:pt x="126" y="-4097"/>
                                </a:lnTo>
                                <a:lnTo>
                                  <a:pt x="147" y="-4181"/>
                                </a:lnTo>
                                <a:lnTo>
                                  <a:pt x="182" y="-4293"/>
                                </a:lnTo>
                                <a:lnTo>
                                  <a:pt x="210" y="-4405"/>
                                </a:lnTo>
                                <a:lnTo>
                                  <a:pt x="224" y="-4454"/>
                                </a:lnTo>
                                <a:moveTo>
                                  <a:pt x="301" y="-4692"/>
                                </a:moveTo>
                                <a:lnTo>
                                  <a:pt x="315" y="-4741"/>
                                </a:lnTo>
                                <a:lnTo>
                                  <a:pt x="350" y="-4839"/>
                                </a:lnTo>
                                <a:lnTo>
                                  <a:pt x="357" y="-4853"/>
                                </a:lnTo>
                                <a:lnTo>
                                  <a:pt x="392" y="-4964"/>
                                </a:lnTo>
                                <a:lnTo>
                                  <a:pt x="427" y="-5076"/>
                                </a:lnTo>
                                <a:lnTo>
                                  <a:pt x="462" y="-5181"/>
                                </a:lnTo>
                                <a:lnTo>
                                  <a:pt x="462" y="-5188"/>
                                </a:lnTo>
                                <a:lnTo>
                                  <a:pt x="504" y="-5300"/>
                                </a:lnTo>
                                <a:lnTo>
                                  <a:pt x="546" y="-5412"/>
                                </a:lnTo>
                                <a:lnTo>
                                  <a:pt x="574" y="-5482"/>
                                </a:lnTo>
                                <a:lnTo>
                                  <a:pt x="588" y="-5524"/>
                                </a:lnTo>
                                <a:lnTo>
                                  <a:pt x="644" y="-5636"/>
                                </a:lnTo>
                                <a:lnTo>
                                  <a:pt x="686" y="-5720"/>
                                </a:lnTo>
                                <a:lnTo>
                                  <a:pt x="700" y="-5748"/>
                                </a:lnTo>
                                <a:lnTo>
                                  <a:pt x="770" y="-5860"/>
                                </a:lnTo>
                                <a:lnTo>
                                  <a:pt x="798" y="-5895"/>
                                </a:lnTo>
                                <a:lnTo>
                                  <a:pt x="854" y="-5972"/>
                                </a:lnTo>
                                <a:lnTo>
                                  <a:pt x="910" y="-6035"/>
                                </a:lnTo>
                                <a:lnTo>
                                  <a:pt x="959" y="-6084"/>
                                </a:lnTo>
                                <a:lnTo>
                                  <a:pt x="1021" y="-6147"/>
                                </a:lnTo>
                                <a:lnTo>
                                  <a:pt x="1028" y="-6154"/>
                                </a:lnTo>
                                <a:moveTo>
                                  <a:pt x="1238" y="-6294"/>
                                </a:moveTo>
                                <a:lnTo>
                                  <a:pt x="1245" y="-6301"/>
                                </a:lnTo>
                                <a:lnTo>
                                  <a:pt x="1259" y="-6308"/>
                                </a:lnTo>
                                <a:lnTo>
                                  <a:pt x="1357" y="-6357"/>
                                </a:lnTo>
                                <a:lnTo>
                                  <a:pt x="1469" y="-6405"/>
                                </a:lnTo>
                                <a:lnTo>
                                  <a:pt x="1532" y="-6419"/>
                                </a:lnTo>
                                <a:lnTo>
                                  <a:pt x="1581" y="-6433"/>
                                </a:lnTo>
                                <a:lnTo>
                                  <a:pt x="1693" y="-6461"/>
                                </a:lnTo>
                                <a:lnTo>
                                  <a:pt x="1805" y="-6475"/>
                                </a:lnTo>
                                <a:lnTo>
                                  <a:pt x="1917" y="-6482"/>
                                </a:lnTo>
                                <a:lnTo>
                                  <a:pt x="2029" y="-6482"/>
                                </a:lnTo>
                                <a:lnTo>
                                  <a:pt x="2141" y="-6475"/>
                                </a:lnTo>
                                <a:lnTo>
                                  <a:pt x="2252" y="-6461"/>
                                </a:lnTo>
                                <a:lnTo>
                                  <a:pt x="2364" y="-6440"/>
                                </a:lnTo>
                                <a:lnTo>
                                  <a:pt x="2476" y="-6426"/>
                                </a:lnTo>
                                <a:lnTo>
                                  <a:pt x="2497" y="-6419"/>
                                </a:lnTo>
                                <a:lnTo>
                                  <a:pt x="2588" y="-6405"/>
                                </a:lnTo>
                                <a:lnTo>
                                  <a:pt x="2700" y="-6378"/>
                                </a:lnTo>
                                <a:lnTo>
                                  <a:pt x="2812" y="-6357"/>
                                </a:lnTo>
                                <a:lnTo>
                                  <a:pt x="2826" y="-6357"/>
                                </a:lnTo>
                                <a:moveTo>
                                  <a:pt x="3071" y="-6308"/>
                                </a:moveTo>
                                <a:lnTo>
                                  <a:pt x="3085" y="-6308"/>
                                </a:lnTo>
                                <a:lnTo>
                                  <a:pt x="3148" y="-6294"/>
                                </a:lnTo>
                                <a:lnTo>
                                  <a:pt x="3260" y="-6280"/>
                                </a:lnTo>
                                <a:lnTo>
                                  <a:pt x="3371" y="-6259"/>
                                </a:lnTo>
                                <a:lnTo>
                                  <a:pt x="3483" y="-6245"/>
                                </a:lnTo>
                                <a:lnTo>
                                  <a:pt x="3595" y="-6224"/>
                                </a:lnTo>
                                <a:lnTo>
                                  <a:pt x="3707" y="-6210"/>
                                </a:lnTo>
                                <a:lnTo>
                                  <a:pt x="3770" y="-6196"/>
                                </a:lnTo>
                                <a:lnTo>
                                  <a:pt x="3819" y="-6189"/>
                                </a:lnTo>
                                <a:lnTo>
                                  <a:pt x="3931" y="-6168"/>
                                </a:lnTo>
                                <a:lnTo>
                                  <a:pt x="4043" y="-6147"/>
                                </a:lnTo>
                                <a:lnTo>
                                  <a:pt x="4155" y="-6126"/>
                                </a:lnTo>
                                <a:lnTo>
                                  <a:pt x="4267" y="-6098"/>
                                </a:lnTo>
                                <a:lnTo>
                                  <a:pt x="4323" y="-6084"/>
                                </a:lnTo>
                                <a:lnTo>
                                  <a:pt x="4379" y="-6070"/>
                                </a:lnTo>
                                <a:lnTo>
                                  <a:pt x="4490" y="-6042"/>
                                </a:lnTo>
                                <a:lnTo>
                                  <a:pt x="4602" y="-6014"/>
                                </a:lnTo>
                                <a:lnTo>
                                  <a:pt x="4714" y="-5979"/>
                                </a:lnTo>
                                <a:lnTo>
                                  <a:pt x="4763" y="-5965"/>
                                </a:lnTo>
                                <a:moveTo>
                                  <a:pt x="5001" y="-5881"/>
                                </a:moveTo>
                                <a:lnTo>
                                  <a:pt x="5050" y="-5867"/>
                                </a:lnTo>
                                <a:lnTo>
                                  <a:pt x="5071" y="-5860"/>
                                </a:lnTo>
                                <a:lnTo>
                                  <a:pt x="5162" y="-5825"/>
                                </a:lnTo>
                                <a:lnTo>
                                  <a:pt x="5274" y="-5783"/>
                                </a:lnTo>
                                <a:lnTo>
                                  <a:pt x="5358" y="-5748"/>
                                </a:lnTo>
                                <a:lnTo>
                                  <a:pt x="5386" y="-5734"/>
                                </a:lnTo>
                                <a:lnTo>
                                  <a:pt x="5498" y="-5685"/>
                                </a:lnTo>
                                <a:lnTo>
                                  <a:pt x="5610" y="-5636"/>
                                </a:lnTo>
                                <a:lnTo>
                                  <a:pt x="5721" y="-5580"/>
                                </a:lnTo>
                                <a:lnTo>
                                  <a:pt x="5826" y="-5524"/>
                                </a:lnTo>
                                <a:lnTo>
                                  <a:pt x="5833" y="-5517"/>
                                </a:lnTo>
                                <a:lnTo>
                                  <a:pt x="5945" y="-5454"/>
                                </a:lnTo>
                                <a:lnTo>
                                  <a:pt x="6015" y="-5412"/>
                                </a:lnTo>
                                <a:lnTo>
                                  <a:pt x="6057" y="-5384"/>
                                </a:lnTo>
                                <a:lnTo>
                                  <a:pt x="6169" y="-5300"/>
                                </a:lnTo>
                                <a:lnTo>
                                  <a:pt x="6176" y="-5300"/>
                                </a:lnTo>
                                <a:lnTo>
                                  <a:pt x="6281" y="-5216"/>
                                </a:lnTo>
                                <a:lnTo>
                                  <a:pt x="6309" y="-5188"/>
                                </a:lnTo>
                                <a:lnTo>
                                  <a:pt x="6393" y="-5111"/>
                                </a:lnTo>
                                <a:lnTo>
                                  <a:pt x="6428" y="-5076"/>
                                </a:lnTo>
                                <a:lnTo>
                                  <a:pt x="6442" y="-5062"/>
                                </a:lnTo>
                                <a:moveTo>
                                  <a:pt x="6610" y="-4860"/>
                                </a:moveTo>
                                <a:lnTo>
                                  <a:pt x="6610" y="-4853"/>
                                </a:lnTo>
                                <a:lnTo>
                                  <a:pt x="6617" y="-4846"/>
                                </a:lnTo>
                                <a:lnTo>
                                  <a:pt x="6687" y="-4741"/>
                                </a:lnTo>
                                <a:lnTo>
                                  <a:pt x="6729" y="-4671"/>
                                </a:lnTo>
                                <a:lnTo>
                                  <a:pt x="6757" y="-4629"/>
                                </a:lnTo>
                                <a:lnTo>
                                  <a:pt x="6812" y="-4517"/>
                                </a:lnTo>
                                <a:lnTo>
                                  <a:pt x="6840" y="-4454"/>
                                </a:lnTo>
                                <a:lnTo>
                                  <a:pt x="6861" y="-4405"/>
                                </a:lnTo>
                                <a:lnTo>
                                  <a:pt x="6910" y="-4293"/>
                                </a:lnTo>
                                <a:lnTo>
                                  <a:pt x="6952" y="-4181"/>
                                </a:lnTo>
                                <a:lnTo>
                                  <a:pt x="6952" y="-4174"/>
                                </a:lnTo>
                                <a:lnTo>
                                  <a:pt x="6987" y="-4069"/>
                                </a:lnTo>
                                <a:lnTo>
                                  <a:pt x="7015" y="-3957"/>
                                </a:lnTo>
                                <a:lnTo>
                                  <a:pt x="7043" y="-3845"/>
                                </a:lnTo>
                                <a:lnTo>
                                  <a:pt x="7064" y="-3740"/>
                                </a:lnTo>
                                <a:lnTo>
                                  <a:pt x="7064" y="-3733"/>
                                </a:lnTo>
                                <a:lnTo>
                                  <a:pt x="7085" y="-3621"/>
                                </a:lnTo>
                                <a:lnTo>
                                  <a:pt x="7106" y="-3510"/>
                                </a:lnTo>
                                <a:lnTo>
                                  <a:pt x="7113" y="-3398"/>
                                </a:lnTo>
                                <a:lnTo>
                                  <a:pt x="7127" y="-3286"/>
                                </a:lnTo>
                                <a:lnTo>
                                  <a:pt x="7127" y="-3258"/>
                                </a:lnTo>
                                <a:moveTo>
                                  <a:pt x="6603" y="-4867"/>
                                </a:moveTo>
                                <a:lnTo>
                                  <a:pt x="6610" y="-4853"/>
                                </a:lnTo>
                                <a:lnTo>
                                  <a:pt x="6617" y="-4846"/>
                                </a:lnTo>
                                <a:lnTo>
                                  <a:pt x="6687" y="-4741"/>
                                </a:lnTo>
                                <a:lnTo>
                                  <a:pt x="6729" y="-4671"/>
                                </a:lnTo>
                                <a:lnTo>
                                  <a:pt x="6757" y="-4629"/>
                                </a:lnTo>
                                <a:lnTo>
                                  <a:pt x="6812" y="-4517"/>
                                </a:lnTo>
                                <a:lnTo>
                                  <a:pt x="6840" y="-4454"/>
                                </a:lnTo>
                                <a:lnTo>
                                  <a:pt x="6861" y="-4405"/>
                                </a:lnTo>
                                <a:lnTo>
                                  <a:pt x="6910" y="-4293"/>
                                </a:lnTo>
                                <a:lnTo>
                                  <a:pt x="6952" y="-4181"/>
                                </a:lnTo>
                                <a:lnTo>
                                  <a:pt x="6952" y="-4174"/>
                                </a:lnTo>
                                <a:lnTo>
                                  <a:pt x="6987" y="-4069"/>
                                </a:lnTo>
                                <a:lnTo>
                                  <a:pt x="7015" y="-3957"/>
                                </a:lnTo>
                                <a:lnTo>
                                  <a:pt x="7043" y="-3845"/>
                                </a:lnTo>
                                <a:lnTo>
                                  <a:pt x="7064" y="-3740"/>
                                </a:lnTo>
                                <a:lnTo>
                                  <a:pt x="7064" y="-3733"/>
                                </a:lnTo>
                                <a:lnTo>
                                  <a:pt x="7085" y="-3621"/>
                                </a:lnTo>
                                <a:lnTo>
                                  <a:pt x="7106" y="-3510"/>
                                </a:lnTo>
                                <a:lnTo>
                                  <a:pt x="7113" y="-3398"/>
                                </a:lnTo>
                                <a:lnTo>
                                  <a:pt x="7127" y="-3286"/>
                                </a:lnTo>
                                <a:lnTo>
                                  <a:pt x="7127" y="-3244"/>
                                </a:lnTo>
                                <a:moveTo>
                                  <a:pt x="7134" y="-2978"/>
                                </a:moveTo>
                                <a:lnTo>
                                  <a:pt x="7134" y="-2950"/>
                                </a:lnTo>
                                <a:lnTo>
                                  <a:pt x="7134" y="-2838"/>
                                </a:lnTo>
                                <a:lnTo>
                                  <a:pt x="7127" y="-2726"/>
                                </a:lnTo>
                                <a:lnTo>
                                  <a:pt x="7120" y="-2614"/>
                                </a:lnTo>
                                <a:lnTo>
                                  <a:pt x="7106" y="-2502"/>
                                </a:lnTo>
                                <a:lnTo>
                                  <a:pt x="7092" y="-2390"/>
                                </a:lnTo>
                                <a:lnTo>
                                  <a:pt x="7078" y="-2278"/>
                                </a:lnTo>
                                <a:lnTo>
                                  <a:pt x="7064" y="-2222"/>
                                </a:lnTo>
                                <a:lnTo>
                                  <a:pt x="7050" y="-2166"/>
                                </a:lnTo>
                                <a:lnTo>
                                  <a:pt x="7029" y="-2055"/>
                                </a:lnTo>
                                <a:lnTo>
                                  <a:pt x="7001" y="-1943"/>
                                </a:lnTo>
                                <a:lnTo>
                                  <a:pt x="6966" y="-1831"/>
                                </a:lnTo>
                                <a:lnTo>
                                  <a:pt x="6952" y="-1789"/>
                                </a:lnTo>
                                <a:lnTo>
                                  <a:pt x="6931" y="-1719"/>
                                </a:lnTo>
                                <a:lnTo>
                                  <a:pt x="6889" y="-1607"/>
                                </a:lnTo>
                                <a:lnTo>
                                  <a:pt x="6847" y="-1495"/>
                                </a:lnTo>
                                <a:lnTo>
                                  <a:pt x="6840" y="-1488"/>
                                </a:lnTo>
                                <a:lnTo>
                                  <a:pt x="6792" y="-1383"/>
                                </a:lnTo>
                                <a:lnTo>
                                  <a:pt x="6771" y="-1341"/>
                                </a:lnTo>
                                <a:moveTo>
                                  <a:pt x="7134" y="-2992"/>
                                </a:moveTo>
                                <a:lnTo>
                                  <a:pt x="7134" y="-2950"/>
                                </a:lnTo>
                                <a:lnTo>
                                  <a:pt x="7134" y="-2838"/>
                                </a:lnTo>
                                <a:lnTo>
                                  <a:pt x="7127" y="-2726"/>
                                </a:lnTo>
                                <a:lnTo>
                                  <a:pt x="7120" y="-2614"/>
                                </a:lnTo>
                                <a:lnTo>
                                  <a:pt x="7106" y="-2502"/>
                                </a:lnTo>
                                <a:lnTo>
                                  <a:pt x="7092" y="-2390"/>
                                </a:lnTo>
                                <a:lnTo>
                                  <a:pt x="7078" y="-2278"/>
                                </a:lnTo>
                                <a:lnTo>
                                  <a:pt x="7064" y="-2222"/>
                                </a:lnTo>
                                <a:lnTo>
                                  <a:pt x="7050" y="-2166"/>
                                </a:lnTo>
                                <a:lnTo>
                                  <a:pt x="7029" y="-2055"/>
                                </a:lnTo>
                                <a:lnTo>
                                  <a:pt x="7001" y="-1943"/>
                                </a:lnTo>
                                <a:lnTo>
                                  <a:pt x="6966" y="-1831"/>
                                </a:lnTo>
                                <a:lnTo>
                                  <a:pt x="6952" y="-1789"/>
                                </a:lnTo>
                                <a:lnTo>
                                  <a:pt x="6931" y="-1719"/>
                                </a:lnTo>
                                <a:lnTo>
                                  <a:pt x="6889" y="-1607"/>
                                </a:lnTo>
                                <a:lnTo>
                                  <a:pt x="6847" y="-1495"/>
                                </a:lnTo>
                                <a:lnTo>
                                  <a:pt x="6840" y="-1488"/>
                                </a:lnTo>
                                <a:lnTo>
                                  <a:pt x="6792" y="-1383"/>
                                </a:lnTo>
                                <a:moveTo>
                                  <a:pt x="6680" y="-1159"/>
                                </a:moveTo>
                                <a:lnTo>
                                  <a:pt x="6617" y="-1047"/>
                                </a:lnTo>
                                <a:lnTo>
                                  <a:pt x="6547" y="-935"/>
                                </a:lnTo>
                                <a:lnTo>
                                  <a:pt x="6505" y="-872"/>
                                </a:lnTo>
                                <a:lnTo>
                                  <a:pt x="6470" y="-823"/>
                                </a:lnTo>
                                <a:lnTo>
                                  <a:pt x="6393" y="-718"/>
                                </a:lnTo>
                                <a:lnTo>
                                  <a:pt x="6386" y="-711"/>
                                </a:lnTo>
                                <a:lnTo>
                                  <a:pt x="6295" y="-600"/>
                                </a:lnTo>
                                <a:lnTo>
                                  <a:pt x="6281" y="-579"/>
                                </a:lnTo>
                                <a:lnTo>
                                  <a:pt x="6197" y="-488"/>
                                </a:lnTo>
                                <a:lnTo>
                                  <a:pt x="6169" y="-460"/>
                                </a:lnTo>
                                <a:lnTo>
                                  <a:pt x="6092" y="-376"/>
                                </a:lnTo>
                                <a:moveTo>
                                  <a:pt x="3910" y="-823"/>
                                </a:moveTo>
                                <a:lnTo>
                                  <a:pt x="3875" y="-823"/>
                                </a:lnTo>
                                <a:moveTo>
                                  <a:pt x="3630" y="-816"/>
                                </a:moveTo>
                                <a:lnTo>
                                  <a:pt x="3595" y="-809"/>
                                </a:lnTo>
                                <a:lnTo>
                                  <a:pt x="3483" y="-823"/>
                                </a:lnTo>
                                <a:lnTo>
                                  <a:pt x="3469" y="-823"/>
                                </a:lnTo>
                                <a:lnTo>
                                  <a:pt x="3371" y="-837"/>
                                </a:lnTo>
                                <a:lnTo>
                                  <a:pt x="3260" y="-858"/>
                                </a:lnTo>
                                <a:lnTo>
                                  <a:pt x="3148" y="-886"/>
                                </a:lnTo>
                                <a:lnTo>
                                  <a:pt x="3036" y="-921"/>
                                </a:lnTo>
                                <a:lnTo>
                                  <a:pt x="3001" y="-935"/>
                                </a:lnTo>
                                <a:lnTo>
                                  <a:pt x="2924" y="-963"/>
                                </a:lnTo>
                                <a:lnTo>
                                  <a:pt x="2812" y="-1019"/>
                                </a:lnTo>
                                <a:lnTo>
                                  <a:pt x="2756" y="-1047"/>
                                </a:lnTo>
                                <a:lnTo>
                                  <a:pt x="2700" y="-1075"/>
                                </a:lnTo>
                                <a:lnTo>
                                  <a:pt x="2588" y="-1145"/>
                                </a:lnTo>
                                <a:lnTo>
                                  <a:pt x="2574" y="-1159"/>
                                </a:lnTo>
                                <a:lnTo>
                                  <a:pt x="2476" y="-1229"/>
                                </a:lnTo>
                                <a:lnTo>
                                  <a:pt x="2420" y="-1271"/>
                                </a:lnTo>
                                <a:lnTo>
                                  <a:pt x="2364" y="-1320"/>
                                </a:lnTo>
                                <a:lnTo>
                                  <a:pt x="2294" y="-1383"/>
                                </a:lnTo>
                                <a:lnTo>
                                  <a:pt x="2252" y="-1425"/>
                                </a:lnTo>
                                <a:lnTo>
                                  <a:pt x="2182" y="-1495"/>
                                </a:lnTo>
                                <a:lnTo>
                                  <a:pt x="2168" y="-1509"/>
                                </a:lnTo>
                                <a:moveTo>
                                  <a:pt x="2001" y="-1705"/>
                                </a:moveTo>
                                <a:lnTo>
                                  <a:pt x="1987" y="-1719"/>
                                </a:lnTo>
                                <a:lnTo>
                                  <a:pt x="1917" y="-1817"/>
                                </a:lnTo>
                                <a:lnTo>
                                  <a:pt x="1903" y="-1831"/>
                                </a:lnTo>
                                <a:lnTo>
                                  <a:pt x="1826" y="-1943"/>
                                </a:lnTo>
                                <a:lnTo>
                                  <a:pt x="1805" y="-1971"/>
                                </a:lnTo>
                                <a:lnTo>
                                  <a:pt x="1749" y="-2055"/>
                                </a:lnTo>
                                <a:lnTo>
                                  <a:pt x="1693" y="-2145"/>
                                </a:lnTo>
                                <a:lnTo>
                                  <a:pt x="1679" y="-2166"/>
                                </a:lnTo>
                                <a:lnTo>
                                  <a:pt x="1616" y="-2278"/>
                                </a:lnTo>
                                <a:lnTo>
                                  <a:pt x="1581" y="-2341"/>
                                </a:lnTo>
                                <a:lnTo>
                                  <a:pt x="1553" y="-2390"/>
                                </a:lnTo>
                                <a:lnTo>
                                  <a:pt x="1497" y="-2502"/>
                                </a:lnTo>
                                <a:lnTo>
                                  <a:pt x="1469" y="-2565"/>
                                </a:lnTo>
                                <a:lnTo>
                                  <a:pt x="1448" y="-2614"/>
                                </a:lnTo>
                                <a:lnTo>
                                  <a:pt x="1406" y="-2726"/>
                                </a:lnTo>
                                <a:lnTo>
                                  <a:pt x="1371" y="-2838"/>
                                </a:lnTo>
                                <a:lnTo>
                                  <a:pt x="1357" y="-2901"/>
                                </a:lnTo>
                                <a:lnTo>
                                  <a:pt x="1343" y="-2950"/>
                                </a:lnTo>
                                <a:lnTo>
                                  <a:pt x="1322" y="-3062"/>
                                </a:lnTo>
                                <a:lnTo>
                                  <a:pt x="1315" y="-3174"/>
                                </a:lnTo>
                                <a:lnTo>
                                  <a:pt x="1315" y="-3216"/>
                                </a:lnTo>
                                <a:moveTo>
                                  <a:pt x="1336" y="-3468"/>
                                </a:moveTo>
                                <a:lnTo>
                                  <a:pt x="1343" y="-3510"/>
                                </a:lnTo>
                                <a:lnTo>
                                  <a:pt x="1357" y="-3579"/>
                                </a:lnTo>
                                <a:lnTo>
                                  <a:pt x="1371" y="-3621"/>
                                </a:lnTo>
                                <a:lnTo>
                                  <a:pt x="1406" y="-3733"/>
                                </a:lnTo>
                                <a:lnTo>
                                  <a:pt x="1455" y="-3845"/>
                                </a:lnTo>
                                <a:lnTo>
                                  <a:pt x="1469" y="-3873"/>
                                </a:lnTo>
                                <a:lnTo>
                                  <a:pt x="1518" y="-3957"/>
                                </a:lnTo>
                                <a:lnTo>
                                  <a:pt x="1581" y="-4048"/>
                                </a:lnTo>
                                <a:lnTo>
                                  <a:pt x="1595" y="-4069"/>
                                </a:lnTo>
                                <a:lnTo>
                                  <a:pt x="1686" y="-4181"/>
                                </a:lnTo>
                                <a:lnTo>
                                  <a:pt x="1693" y="-4188"/>
                                </a:lnTo>
                                <a:lnTo>
                                  <a:pt x="1805" y="-4293"/>
                                </a:lnTo>
                                <a:lnTo>
                                  <a:pt x="1917" y="-4384"/>
                                </a:lnTo>
                                <a:lnTo>
                                  <a:pt x="1945" y="-4405"/>
                                </a:lnTo>
                                <a:lnTo>
                                  <a:pt x="2029" y="-4461"/>
                                </a:lnTo>
                                <a:lnTo>
                                  <a:pt x="2141" y="-4510"/>
                                </a:lnTo>
                                <a:lnTo>
                                  <a:pt x="2168" y="-4517"/>
                                </a:lnTo>
                                <a:lnTo>
                                  <a:pt x="2252" y="-4545"/>
                                </a:lnTo>
                                <a:lnTo>
                                  <a:pt x="2364" y="-4573"/>
                                </a:lnTo>
                                <a:lnTo>
                                  <a:pt x="2476" y="-4587"/>
                                </a:lnTo>
                                <a:lnTo>
                                  <a:pt x="2518" y="-4587"/>
                                </a:lnTo>
                                <a:moveTo>
                                  <a:pt x="2770" y="-4601"/>
                                </a:moveTo>
                                <a:lnTo>
                                  <a:pt x="2812" y="-4601"/>
                                </a:lnTo>
                                <a:lnTo>
                                  <a:pt x="2924" y="-4601"/>
                                </a:lnTo>
                                <a:lnTo>
                                  <a:pt x="3036" y="-4601"/>
                                </a:lnTo>
                                <a:lnTo>
                                  <a:pt x="3148" y="-4601"/>
                                </a:lnTo>
                                <a:lnTo>
                                  <a:pt x="3260" y="-4594"/>
                                </a:lnTo>
                                <a:lnTo>
                                  <a:pt x="3371" y="-4594"/>
                                </a:lnTo>
                                <a:lnTo>
                                  <a:pt x="3483" y="-4587"/>
                                </a:lnTo>
                                <a:lnTo>
                                  <a:pt x="3595" y="-4580"/>
                                </a:lnTo>
                                <a:lnTo>
                                  <a:pt x="3707" y="-4573"/>
                                </a:lnTo>
                                <a:lnTo>
                                  <a:pt x="3819" y="-4566"/>
                                </a:lnTo>
                                <a:lnTo>
                                  <a:pt x="3931" y="-4552"/>
                                </a:lnTo>
                                <a:lnTo>
                                  <a:pt x="4043" y="-4538"/>
                                </a:lnTo>
                                <a:lnTo>
                                  <a:pt x="4148" y="-4517"/>
                                </a:lnTo>
                                <a:lnTo>
                                  <a:pt x="4155" y="-4517"/>
                                </a:lnTo>
                                <a:lnTo>
                                  <a:pt x="4267" y="-4489"/>
                                </a:lnTo>
                                <a:lnTo>
                                  <a:pt x="4379" y="-4461"/>
                                </a:lnTo>
                                <a:lnTo>
                                  <a:pt x="4490" y="-4433"/>
                                </a:lnTo>
                                <a:lnTo>
                                  <a:pt x="4539" y="-4412"/>
                                </a:lnTo>
                                <a:moveTo>
                                  <a:pt x="4777" y="-4342"/>
                                </a:moveTo>
                                <a:lnTo>
                                  <a:pt x="4826" y="-4328"/>
                                </a:lnTo>
                                <a:lnTo>
                                  <a:pt x="4938" y="-4307"/>
                                </a:lnTo>
                                <a:lnTo>
                                  <a:pt x="5050" y="-4300"/>
                                </a:lnTo>
                                <a:lnTo>
                                  <a:pt x="5162" y="-4314"/>
                                </a:lnTo>
                                <a:lnTo>
                                  <a:pt x="5274" y="-4370"/>
                                </a:lnTo>
                                <a:lnTo>
                                  <a:pt x="5302" y="-4405"/>
                                </a:lnTo>
                                <a:lnTo>
                                  <a:pt x="5386" y="-4475"/>
                                </a:lnTo>
                                <a:lnTo>
                                  <a:pt x="5421" y="-4517"/>
                                </a:lnTo>
                                <a:lnTo>
                                  <a:pt x="5498" y="-4573"/>
                                </a:lnTo>
                                <a:lnTo>
                                  <a:pt x="5610" y="-4615"/>
                                </a:lnTo>
                                <a:lnTo>
                                  <a:pt x="5721" y="-4622"/>
                                </a:lnTo>
                                <a:lnTo>
                                  <a:pt x="5833" y="-4580"/>
                                </a:lnTo>
                                <a:lnTo>
                                  <a:pt x="5910" y="-4517"/>
                                </a:lnTo>
                                <a:lnTo>
                                  <a:pt x="5945" y="-4454"/>
                                </a:lnTo>
                                <a:lnTo>
                                  <a:pt x="5973" y="-4405"/>
                                </a:lnTo>
                                <a:lnTo>
                                  <a:pt x="5994" y="-4293"/>
                                </a:lnTo>
                                <a:lnTo>
                                  <a:pt x="5973" y="-4181"/>
                                </a:lnTo>
                                <a:lnTo>
                                  <a:pt x="5945" y="-4104"/>
                                </a:lnTo>
                                <a:lnTo>
                                  <a:pt x="5931" y="-4069"/>
                                </a:lnTo>
                                <a:lnTo>
                                  <a:pt x="5931" y="-4027"/>
                                </a:lnTo>
                                <a:moveTo>
                                  <a:pt x="5931" y="-3775"/>
                                </a:moveTo>
                                <a:lnTo>
                                  <a:pt x="5931" y="-3733"/>
                                </a:lnTo>
                                <a:lnTo>
                                  <a:pt x="5924" y="-3621"/>
                                </a:lnTo>
                                <a:lnTo>
                                  <a:pt x="5910" y="-3510"/>
                                </a:lnTo>
                                <a:lnTo>
                                  <a:pt x="5875" y="-3398"/>
                                </a:lnTo>
                                <a:lnTo>
                                  <a:pt x="5833" y="-3293"/>
                                </a:lnTo>
                                <a:lnTo>
                                  <a:pt x="5826" y="-3286"/>
                                </a:lnTo>
                                <a:lnTo>
                                  <a:pt x="5784" y="-3174"/>
                                </a:lnTo>
                                <a:lnTo>
                                  <a:pt x="5749" y="-3062"/>
                                </a:lnTo>
                                <a:lnTo>
                                  <a:pt x="5728" y="-2950"/>
                                </a:lnTo>
                                <a:lnTo>
                                  <a:pt x="5721" y="-2873"/>
                                </a:lnTo>
                                <a:lnTo>
                                  <a:pt x="5714" y="-2838"/>
                                </a:lnTo>
                                <a:lnTo>
                                  <a:pt x="5707" y="-2726"/>
                                </a:lnTo>
                                <a:lnTo>
                                  <a:pt x="5693" y="-2614"/>
                                </a:lnTo>
                                <a:lnTo>
                                  <a:pt x="5679" y="-2502"/>
                                </a:lnTo>
                                <a:lnTo>
                                  <a:pt x="5658" y="-2390"/>
                                </a:lnTo>
                                <a:lnTo>
                                  <a:pt x="5631" y="-2278"/>
                                </a:lnTo>
                                <a:lnTo>
                                  <a:pt x="5610" y="-2222"/>
                                </a:lnTo>
                                <a:lnTo>
                                  <a:pt x="5596" y="-2166"/>
                                </a:lnTo>
                                <a:moveTo>
                                  <a:pt x="5498" y="-1936"/>
                                </a:moveTo>
                                <a:lnTo>
                                  <a:pt x="5442" y="-1831"/>
                                </a:lnTo>
                                <a:lnTo>
                                  <a:pt x="5386" y="-1740"/>
                                </a:lnTo>
                                <a:lnTo>
                                  <a:pt x="5372" y="-1719"/>
                                </a:lnTo>
                                <a:lnTo>
                                  <a:pt x="5295" y="-1607"/>
                                </a:lnTo>
                                <a:lnTo>
                                  <a:pt x="5274" y="-1579"/>
                                </a:lnTo>
                                <a:lnTo>
                                  <a:pt x="5204" y="-1495"/>
                                </a:lnTo>
                                <a:lnTo>
                                  <a:pt x="5162" y="-1453"/>
                                </a:lnTo>
                                <a:lnTo>
                                  <a:pt x="5092" y="-1383"/>
                                </a:lnTo>
                                <a:lnTo>
                                  <a:pt x="5050" y="-1341"/>
                                </a:lnTo>
                                <a:lnTo>
                                  <a:pt x="4966" y="-1271"/>
                                </a:lnTo>
                                <a:lnTo>
                                  <a:pt x="4938" y="-1250"/>
                                </a:lnTo>
                                <a:lnTo>
                                  <a:pt x="4826" y="-1166"/>
                                </a:lnTo>
                                <a:lnTo>
                                  <a:pt x="4812" y="-1159"/>
                                </a:lnTo>
                                <a:lnTo>
                                  <a:pt x="4714" y="-1096"/>
                                </a:lnTo>
                                <a:lnTo>
                                  <a:pt x="4630" y="-1047"/>
                                </a:lnTo>
                                <a:lnTo>
                                  <a:pt x="4602" y="-1033"/>
                                </a:lnTo>
                                <a:lnTo>
                                  <a:pt x="4490" y="-977"/>
                                </a:lnTo>
                                <a:lnTo>
                                  <a:pt x="4379" y="-935"/>
                                </a:lnTo>
                                <a:lnTo>
                                  <a:pt x="4267" y="-893"/>
                                </a:lnTo>
                                <a:lnTo>
                                  <a:pt x="4155" y="-865"/>
                                </a:lnTo>
                                <a:lnTo>
                                  <a:pt x="4043" y="-844"/>
                                </a:lnTo>
                                <a:lnTo>
                                  <a:pt x="3931" y="-823"/>
                                </a:lnTo>
                                <a:lnTo>
                                  <a:pt x="3910" y="-823"/>
                                </a:lnTo>
                                <a:moveTo>
                                  <a:pt x="1980" y="-4964"/>
                                </a:moveTo>
                                <a:lnTo>
                                  <a:pt x="1917" y="-4923"/>
                                </a:lnTo>
                                <a:lnTo>
                                  <a:pt x="1805" y="-4909"/>
                                </a:lnTo>
                                <a:lnTo>
                                  <a:pt x="1693" y="-4923"/>
                                </a:lnTo>
                                <a:moveTo>
                                  <a:pt x="1469" y="-5041"/>
                                </a:moveTo>
                                <a:lnTo>
                                  <a:pt x="1469" y="-5048"/>
                                </a:lnTo>
                                <a:lnTo>
                                  <a:pt x="1441" y="-5076"/>
                                </a:lnTo>
                                <a:lnTo>
                                  <a:pt x="1364" y="-5188"/>
                                </a:lnTo>
                                <a:lnTo>
                                  <a:pt x="1357" y="-5209"/>
                                </a:lnTo>
                                <a:lnTo>
                                  <a:pt x="1322" y="-5300"/>
                                </a:lnTo>
                                <a:lnTo>
                                  <a:pt x="1315" y="-5412"/>
                                </a:lnTo>
                                <a:lnTo>
                                  <a:pt x="1336" y="-5524"/>
                                </a:lnTo>
                                <a:lnTo>
                                  <a:pt x="1357" y="-5566"/>
                                </a:lnTo>
                                <a:lnTo>
                                  <a:pt x="1392" y="-5636"/>
                                </a:lnTo>
                                <a:lnTo>
                                  <a:pt x="1469" y="-5720"/>
                                </a:lnTo>
                                <a:lnTo>
                                  <a:pt x="1511" y="-5748"/>
                                </a:lnTo>
                                <a:lnTo>
                                  <a:pt x="1581" y="-5790"/>
                                </a:lnTo>
                                <a:lnTo>
                                  <a:pt x="1693" y="-5825"/>
                                </a:lnTo>
                                <a:lnTo>
                                  <a:pt x="1805" y="-5825"/>
                                </a:lnTo>
                                <a:lnTo>
                                  <a:pt x="1917" y="-5790"/>
                                </a:lnTo>
                                <a:lnTo>
                                  <a:pt x="1987" y="-5748"/>
                                </a:lnTo>
                                <a:lnTo>
                                  <a:pt x="2029" y="-5720"/>
                                </a:lnTo>
                                <a:lnTo>
                                  <a:pt x="2106" y="-5636"/>
                                </a:lnTo>
                                <a:lnTo>
                                  <a:pt x="2141" y="-5573"/>
                                </a:lnTo>
                                <a:lnTo>
                                  <a:pt x="2168" y="-5524"/>
                                </a:lnTo>
                                <a:lnTo>
                                  <a:pt x="2196" y="-5412"/>
                                </a:lnTo>
                                <a:lnTo>
                                  <a:pt x="2196" y="-5300"/>
                                </a:lnTo>
                                <a:lnTo>
                                  <a:pt x="2168" y="-5188"/>
                                </a:lnTo>
                                <a:lnTo>
                                  <a:pt x="2141" y="-5132"/>
                                </a:lnTo>
                                <a:lnTo>
                                  <a:pt x="2106" y="-5076"/>
                                </a:lnTo>
                                <a:lnTo>
                                  <a:pt x="2029" y="-4992"/>
                                </a:lnTo>
                                <a:lnTo>
                                  <a:pt x="1980" y="-4964"/>
                                </a:lnTo>
                                <a:moveTo>
                                  <a:pt x="4162" y="-1719"/>
                                </a:moveTo>
                                <a:lnTo>
                                  <a:pt x="4113" y="-1705"/>
                                </a:lnTo>
                                <a:moveTo>
                                  <a:pt x="3868" y="-1635"/>
                                </a:moveTo>
                                <a:lnTo>
                                  <a:pt x="3819" y="-1614"/>
                                </a:lnTo>
                                <a:lnTo>
                                  <a:pt x="3707" y="-1607"/>
                                </a:lnTo>
                                <a:lnTo>
                                  <a:pt x="3595" y="-1614"/>
                                </a:lnTo>
                                <a:lnTo>
                                  <a:pt x="3483" y="-1628"/>
                                </a:lnTo>
                                <a:lnTo>
                                  <a:pt x="3371" y="-1649"/>
                                </a:lnTo>
                                <a:lnTo>
                                  <a:pt x="3260" y="-1691"/>
                                </a:lnTo>
                                <a:lnTo>
                                  <a:pt x="3211" y="-1719"/>
                                </a:lnTo>
                                <a:lnTo>
                                  <a:pt x="3148" y="-1754"/>
                                </a:lnTo>
                                <a:lnTo>
                                  <a:pt x="3036" y="-1831"/>
                                </a:lnTo>
                                <a:lnTo>
                                  <a:pt x="2924" y="-1936"/>
                                </a:lnTo>
                                <a:lnTo>
                                  <a:pt x="2917" y="-1943"/>
                                </a:lnTo>
                                <a:lnTo>
                                  <a:pt x="2826" y="-2055"/>
                                </a:lnTo>
                                <a:lnTo>
                                  <a:pt x="2812" y="-2076"/>
                                </a:lnTo>
                                <a:lnTo>
                                  <a:pt x="2749" y="-2166"/>
                                </a:lnTo>
                                <a:lnTo>
                                  <a:pt x="2700" y="-2271"/>
                                </a:lnTo>
                                <a:lnTo>
                                  <a:pt x="2693" y="-2278"/>
                                </a:lnTo>
                                <a:lnTo>
                                  <a:pt x="2644" y="-2390"/>
                                </a:lnTo>
                                <a:lnTo>
                                  <a:pt x="2588" y="-2502"/>
                                </a:lnTo>
                                <a:lnTo>
                                  <a:pt x="2504" y="-2614"/>
                                </a:lnTo>
                                <a:lnTo>
                                  <a:pt x="2483" y="-2628"/>
                                </a:lnTo>
                                <a:moveTo>
                                  <a:pt x="2273" y="-2754"/>
                                </a:moveTo>
                                <a:lnTo>
                                  <a:pt x="2252" y="-2768"/>
                                </a:lnTo>
                                <a:lnTo>
                                  <a:pt x="2148" y="-2838"/>
                                </a:lnTo>
                                <a:lnTo>
                                  <a:pt x="2141" y="-2845"/>
                                </a:lnTo>
                                <a:lnTo>
                                  <a:pt x="2029" y="-2950"/>
                                </a:lnTo>
                                <a:lnTo>
                                  <a:pt x="1952" y="-3062"/>
                                </a:lnTo>
                                <a:lnTo>
                                  <a:pt x="1917" y="-3146"/>
                                </a:lnTo>
                                <a:lnTo>
                                  <a:pt x="1903" y="-3174"/>
                                </a:lnTo>
                                <a:lnTo>
                                  <a:pt x="1889" y="-3286"/>
                                </a:lnTo>
                                <a:lnTo>
                                  <a:pt x="1889" y="-3398"/>
                                </a:lnTo>
                                <a:lnTo>
                                  <a:pt x="1917" y="-3489"/>
                                </a:lnTo>
                                <a:lnTo>
                                  <a:pt x="1924" y="-3510"/>
                                </a:lnTo>
                                <a:lnTo>
                                  <a:pt x="1980" y="-3621"/>
                                </a:lnTo>
                                <a:lnTo>
                                  <a:pt x="2029" y="-3677"/>
                                </a:lnTo>
                                <a:lnTo>
                                  <a:pt x="2092" y="-3733"/>
                                </a:lnTo>
                                <a:lnTo>
                                  <a:pt x="2141" y="-3768"/>
                                </a:lnTo>
                                <a:lnTo>
                                  <a:pt x="2252" y="-3824"/>
                                </a:lnTo>
                                <a:lnTo>
                                  <a:pt x="2364" y="-3845"/>
                                </a:lnTo>
                                <a:lnTo>
                                  <a:pt x="2476" y="-3845"/>
                                </a:lnTo>
                                <a:lnTo>
                                  <a:pt x="2588" y="-3824"/>
                                </a:lnTo>
                                <a:lnTo>
                                  <a:pt x="2644" y="-3796"/>
                                </a:lnTo>
                                <a:moveTo>
                                  <a:pt x="2868" y="-3684"/>
                                </a:moveTo>
                                <a:lnTo>
                                  <a:pt x="2924" y="-3649"/>
                                </a:lnTo>
                                <a:lnTo>
                                  <a:pt x="2987" y="-3621"/>
                                </a:lnTo>
                                <a:lnTo>
                                  <a:pt x="3036" y="-3593"/>
                                </a:lnTo>
                                <a:lnTo>
                                  <a:pt x="3148" y="-3565"/>
                                </a:lnTo>
                                <a:lnTo>
                                  <a:pt x="3260" y="-3565"/>
                                </a:lnTo>
                                <a:lnTo>
                                  <a:pt x="3371" y="-3579"/>
                                </a:lnTo>
                                <a:lnTo>
                                  <a:pt x="3483" y="-3607"/>
                                </a:lnTo>
                                <a:lnTo>
                                  <a:pt x="3539" y="-3621"/>
                                </a:lnTo>
                                <a:lnTo>
                                  <a:pt x="3595" y="-3635"/>
                                </a:lnTo>
                                <a:lnTo>
                                  <a:pt x="3707" y="-3677"/>
                                </a:lnTo>
                                <a:lnTo>
                                  <a:pt x="3819" y="-3733"/>
                                </a:lnTo>
                                <a:lnTo>
                                  <a:pt x="3931" y="-3782"/>
                                </a:lnTo>
                                <a:lnTo>
                                  <a:pt x="4043" y="-3803"/>
                                </a:lnTo>
                                <a:lnTo>
                                  <a:pt x="4155" y="-3796"/>
                                </a:lnTo>
                                <a:lnTo>
                                  <a:pt x="4267" y="-3740"/>
                                </a:lnTo>
                                <a:lnTo>
                                  <a:pt x="4281" y="-3733"/>
                                </a:lnTo>
                                <a:lnTo>
                                  <a:pt x="4379" y="-3642"/>
                                </a:lnTo>
                                <a:lnTo>
                                  <a:pt x="4400" y="-3621"/>
                                </a:lnTo>
                                <a:lnTo>
                                  <a:pt x="4400" y="-3614"/>
                                </a:lnTo>
                                <a:moveTo>
                                  <a:pt x="4532" y="-3405"/>
                                </a:moveTo>
                                <a:lnTo>
                                  <a:pt x="4539" y="-3398"/>
                                </a:lnTo>
                                <a:lnTo>
                                  <a:pt x="4602" y="-3314"/>
                                </a:lnTo>
                                <a:lnTo>
                                  <a:pt x="4623" y="-3286"/>
                                </a:lnTo>
                                <a:lnTo>
                                  <a:pt x="4714" y="-3188"/>
                                </a:lnTo>
                                <a:lnTo>
                                  <a:pt x="4728" y="-3174"/>
                                </a:lnTo>
                                <a:lnTo>
                                  <a:pt x="4819" y="-3062"/>
                                </a:lnTo>
                                <a:lnTo>
                                  <a:pt x="4826" y="-3048"/>
                                </a:lnTo>
                                <a:lnTo>
                                  <a:pt x="4882" y="-2950"/>
                                </a:lnTo>
                                <a:lnTo>
                                  <a:pt x="4924" y="-2838"/>
                                </a:lnTo>
                                <a:lnTo>
                                  <a:pt x="4938" y="-2775"/>
                                </a:lnTo>
                                <a:lnTo>
                                  <a:pt x="4952" y="-2726"/>
                                </a:lnTo>
                                <a:lnTo>
                                  <a:pt x="4952" y="-2614"/>
                                </a:lnTo>
                                <a:lnTo>
                                  <a:pt x="4938" y="-2502"/>
                                </a:lnTo>
                                <a:lnTo>
                                  <a:pt x="4910" y="-2390"/>
                                </a:lnTo>
                                <a:lnTo>
                                  <a:pt x="4854" y="-2278"/>
                                </a:lnTo>
                                <a:lnTo>
                                  <a:pt x="4826" y="-2236"/>
                                </a:lnTo>
                                <a:lnTo>
                                  <a:pt x="4770" y="-2166"/>
                                </a:lnTo>
                                <a:lnTo>
                                  <a:pt x="4714" y="-2104"/>
                                </a:lnTo>
                                <a:lnTo>
                                  <a:pt x="4665" y="-2055"/>
                                </a:lnTo>
                                <a:lnTo>
                                  <a:pt x="4602" y="-1999"/>
                                </a:lnTo>
                                <a:lnTo>
                                  <a:pt x="4532" y="-1943"/>
                                </a:lnTo>
                                <a:lnTo>
                                  <a:pt x="4490" y="-1915"/>
                                </a:lnTo>
                                <a:lnTo>
                                  <a:pt x="4379" y="-1838"/>
                                </a:lnTo>
                                <a:lnTo>
                                  <a:pt x="4372" y="-1831"/>
                                </a:lnTo>
                                <a:lnTo>
                                  <a:pt x="4267" y="-1768"/>
                                </a:lnTo>
                                <a:lnTo>
                                  <a:pt x="4162" y="-1719"/>
                                </a:lnTo>
                                <a:moveTo>
                                  <a:pt x="5644" y="-3621"/>
                                </a:moveTo>
                                <a:lnTo>
                                  <a:pt x="5610" y="-3572"/>
                                </a:lnTo>
                                <a:lnTo>
                                  <a:pt x="5498" y="-3510"/>
                                </a:lnTo>
                                <a:lnTo>
                                  <a:pt x="5386" y="-3531"/>
                                </a:lnTo>
                                <a:lnTo>
                                  <a:pt x="5281" y="-3621"/>
                                </a:lnTo>
                                <a:lnTo>
                                  <a:pt x="5274" y="-3649"/>
                                </a:lnTo>
                                <a:lnTo>
                                  <a:pt x="5246" y="-3733"/>
                                </a:lnTo>
                                <a:lnTo>
                                  <a:pt x="5274" y="-3789"/>
                                </a:lnTo>
                                <a:lnTo>
                                  <a:pt x="5309" y="-3845"/>
                                </a:lnTo>
                                <a:lnTo>
                                  <a:pt x="5386" y="-3894"/>
                                </a:lnTo>
                                <a:lnTo>
                                  <a:pt x="5498" y="-3880"/>
                                </a:lnTo>
                                <a:lnTo>
                                  <a:pt x="5540" y="-3845"/>
                                </a:lnTo>
                                <a:lnTo>
                                  <a:pt x="5610" y="-3775"/>
                                </a:lnTo>
                                <a:lnTo>
                                  <a:pt x="5638" y="-3733"/>
                                </a:lnTo>
                                <a:lnTo>
                                  <a:pt x="5644" y="-3621"/>
                                </a:lnTo>
                              </a:path>
                            </a:pathLst>
                          </a:custGeom>
                          <a:noFill/>
                          <a:ln w="8877" cap="flat" cmpd="sng">
                            <a:solidFill>
                              <a:srgbClr val="000000"/>
                            </a:solidFill>
                            <a:prstDash val="solid"/>
                            <a:headEnd type="none" w="med" len="med"/>
                            <a:tailEnd type="none" w="med" len="med"/>
                          </a:ln>
                        </wps:spPr>
                        <wps:bodyPr upright="1"/>
                      </wps:wsp>
                      <pic:pic xmlns:pic="http://schemas.openxmlformats.org/drawingml/2006/picture">
                        <pic:nvPicPr>
                          <pic:cNvPr id="52" name="图片 93"/>
                          <pic:cNvPicPr>
                            <a:picLocks noChangeAspect="1"/>
                          </pic:cNvPicPr>
                        </pic:nvPicPr>
                        <pic:blipFill>
                          <a:blip r:embed="rId64"/>
                          <a:stretch>
                            <a:fillRect/>
                          </a:stretch>
                        </pic:blipFill>
                        <pic:spPr>
                          <a:xfrm>
                            <a:off x="8199" y="-4066"/>
                            <a:ext cx="252" cy="280"/>
                          </a:xfrm>
                          <a:prstGeom prst="rect">
                            <a:avLst/>
                          </a:prstGeom>
                          <a:noFill/>
                          <a:ln>
                            <a:noFill/>
                          </a:ln>
                        </pic:spPr>
                      </pic:pic>
                      <wps:wsp>
                        <wps:cNvPr id="54" name="任意多边形 94"/>
                        <wps:cNvSpPr/>
                        <wps:spPr>
                          <a:xfrm>
                            <a:off x="4157" y="2087"/>
                            <a:ext cx="3134" cy="3561"/>
                          </a:xfrm>
                          <a:custGeom>
                            <a:avLst/>
                            <a:gdLst/>
                            <a:ahLst/>
                            <a:cxnLst/>
                            <a:pathLst>
                              <a:path w="3134" h="3561">
                                <a:moveTo>
                                  <a:pt x="385" y="-6979"/>
                                </a:moveTo>
                                <a:lnTo>
                                  <a:pt x="280" y="-6888"/>
                                </a:lnTo>
                                <a:lnTo>
                                  <a:pt x="168" y="-6881"/>
                                </a:lnTo>
                                <a:lnTo>
                                  <a:pt x="56" y="-6958"/>
                                </a:lnTo>
                                <a:lnTo>
                                  <a:pt x="42" y="-6979"/>
                                </a:lnTo>
                                <a:lnTo>
                                  <a:pt x="0" y="-7091"/>
                                </a:lnTo>
                                <a:lnTo>
                                  <a:pt x="42" y="-7203"/>
                                </a:lnTo>
                                <a:lnTo>
                                  <a:pt x="56" y="-7224"/>
                                </a:lnTo>
                                <a:lnTo>
                                  <a:pt x="168" y="-7294"/>
                                </a:lnTo>
                                <a:lnTo>
                                  <a:pt x="280" y="-7287"/>
                                </a:lnTo>
                                <a:lnTo>
                                  <a:pt x="385" y="-7203"/>
                                </a:lnTo>
                                <a:lnTo>
                                  <a:pt x="392" y="-7182"/>
                                </a:lnTo>
                                <a:lnTo>
                                  <a:pt x="427" y="-7091"/>
                                </a:lnTo>
                                <a:lnTo>
                                  <a:pt x="392" y="-6993"/>
                                </a:lnTo>
                                <a:lnTo>
                                  <a:pt x="385" y="-6979"/>
                                </a:lnTo>
                                <a:moveTo>
                                  <a:pt x="2245" y="-3734"/>
                                </a:moveTo>
                                <a:lnTo>
                                  <a:pt x="2224" y="-3734"/>
                                </a:lnTo>
                                <a:moveTo>
                                  <a:pt x="1979" y="-3741"/>
                                </a:moveTo>
                                <a:lnTo>
                                  <a:pt x="1958" y="-3741"/>
                                </a:lnTo>
                                <a:lnTo>
                                  <a:pt x="1846" y="-3796"/>
                                </a:lnTo>
                                <a:lnTo>
                                  <a:pt x="1784" y="-3845"/>
                                </a:lnTo>
                                <a:lnTo>
                                  <a:pt x="1735" y="-3894"/>
                                </a:lnTo>
                                <a:lnTo>
                                  <a:pt x="1686" y="-3957"/>
                                </a:lnTo>
                                <a:lnTo>
                                  <a:pt x="1630" y="-4069"/>
                                </a:lnTo>
                                <a:lnTo>
                                  <a:pt x="1623" y="-4104"/>
                                </a:lnTo>
                                <a:lnTo>
                                  <a:pt x="1602" y="-4181"/>
                                </a:lnTo>
                                <a:lnTo>
                                  <a:pt x="1602" y="-4293"/>
                                </a:lnTo>
                                <a:lnTo>
                                  <a:pt x="1623" y="-4370"/>
                                </a:lnTo>
                                <a:lnTo>
                                  <a:pt x="1630" y="-4405"/>
                                </a:lnTo>
                                <a:lnTo>
                                  <a:pt x="1686" y="-4517"/>
                                </a:lnTo>
                                <a:lnTo>
                                  <a:pt x="1735" y="-4580"/>
                                </a:lnTo>
                                <a:lnTo>
                                  <a:pt x="1791" y="-4629"/>
                                </a:lnTo>
                                <a:lnTo>
                                  <a:pt x="1846" y="-4671"/>
                                </a:lnTo>
                                <a:lnTo>
                                  <a:pt x="1958" y="-4727"/>
                                </a:lnTo>
                                <a:lnTo>
                                  <a:pt x="2042" y="-4741"/>
                                </a:lnTo>
                                <a:lnTo>
                                  <a:pt x="2070" y="-4748"/>
                                </a:lnTo>
                                <a:lnTo>
                                  <a:pt x="2182" y="-4748"/>
                                </a:lnTo>
                                <a:lnTo>
                                  <a:pt x="2238" y="-4741"/>
                                </a:lnTo>
                                <a:lnTo>
                                  <a:pt x="2294" y="-4734"/>
                                </a:lnTo>
                                <a:lnTo>
                                  <a:pt x="2301" y="-4734"/>
                                </a:lnTo>
                                <a:moveTo>
                                  <a:pt x="2525" y="-4629"/>
                                </a:moveTo>
                                <a:lnTo>
                                  <a:pt x="2532" y="-4629"/>
                                </a:lnTo>
                                <a:lnTo>
                                  <a:pt x="2630" y="-4594"/>
                                </a:lnTo>
                                <a:lnTo>
                                  <a:pt x="2742" y="-4601"/>
                                </a:lnTo>
                                <a:lnTo>
                                  <a:pt x="2854" y="-4601"/>
                                </a:lnTo>
                                <a:lnTo>
                                  <a:pt x="2965" y="-4573"/>
                                </a:lnTo>
                                <a:lnTo>
                                  <a:pt x="3035" y="-4517"/>
                                </a:lnTo>
                                <a:lnTo>
                                  <a:pt x="3077" y="-4468"/>
                                </a:lnTo>
                                <a:lnTo>
                                  <a:pt x="3119" y="-4405"/>
                                </a:lnTo>
                                <a:lnTo>
                                  <a:pt x="3133" y="-4293"/>
                                </a:lnTo>
                                <a:lnTo>
                                  <a:pt x="3091" y="-4181"/>
                                </a:lnTo>
                                <a:lnTo>
                                  <a:pt x="3077" y="-4160"/>
                                </a:lnTo>
                                <a:lnTo>
                                  <a:pt x="2972" y="-4069"/>
                                </a:lnTo>
                                <a:lnTo>
                                  <a:pt x="2965" y="-4062"/>
                                </a:lnTo>
                                <a:lnTo>
                                  <a:pt x="2854" y="-4020"/>
                                </a:lnTo>
                                <a:lnTo>
                                  <a:pt x="2742" y="-4006"/>
                                </a:lnTo>
                                <a:lnTo>
                                  <a:pt x="2630" y="-3964"/>
                                </a:lnTo>
                                <a:lnTo>
                                  <a:pt x="2623" y="-3957"/>
                                </a:lnTo>
                                <a:lnTo>
                                  <a:pt x="2518" y="-3873"/>
                                </a:lnTo>
                                <a:lnTo>
                                  <a:pt x="2483" y="-3845"/>
                                </a:lnTo>
                                <a:lnTo>
                                  <a:pt x="2406" y="-3789"/>
                                </a:lnTo>
                                <a:lnTo>
                                  <a:pt x="2294" y="-3741"/>
                                </a:lnTo>
                                <a:lnTo>
                                  <a:pt x="2245" y="-3734"/>
                                </a:lnTo>
                                <a:moveTo>
                                  <a:pt x="1084" y="-4853"/>
                                </a:moveTo>
                                <a:lnTo>
                                  <a:pt x="1063" y="-4832"/>
                                </a:lnTo>
                                <a:lnTo>
                                  <a:pt x="951" y="-4755"/>
                                </a:lnTo>
                                <a:lnTo>
                                  <a:pt x="839" y="-4748"/>
                                </a:lnTo>
                                <a:lnTo>
                                  <a:pt x="727" y="-4783"/>
                                </a:lnTo>
                                <a:lnTo>
                                  <a:pt x="657" y="-4853"/>
                                </a:lnTo>
                                <a:lnTo>
                                  <a:pt x="616" y="-4944"/>
                                </a:lnTo>
                                <a:lnTo>
                                  <a:pt x="609" y="-4965"/>
                                </a:lnTo>
                                <a:lnTo>
                                  <a:pt x="616" y="-5077"/>
                                </a:lnTo>
                                <a:lnTo>
                                  <a:pt x="678" y="-5189"/>
                                </a:lnTo>
                                <a:lnTo>
                                  <a:pt x="727" y="-5230"/>
                                </a:lnTo>
                                <a:lnTo>
                                  <a:pt x="839" y="-5272"/>
                                </a:lnTo>
                                <a:lnTo>
                                  <a:pt x="951" y="-5258"/>
                                </a:lnTo>
                                <a:lnTo>
                                  <a:pt x="1056" y="-5189"/>
                                </a:lnTo>
                                <a:lnTo>
                                  <a:pt x="1063" y="-5175"/>
                                </a:lnTo>
                                <a:lnTo>
                                  <a:pt x="1126" y="-5077"/>
                                </a:lnTo>
                                <a:lnTo>
                                  <a:pt x="1133" y="-4965"/>
                                </a:lnTo>
                                <a:lnTo>
                                  <a:pt x="1084" y="-4853"/>
                                </a:lnTo>
                              </a:path>
                            </a:pathLst>
                          </a:custGeom>
                          <a:noFill/>
                          <a:ln w="8877" cap="flat" cmpd="sng">
                            <a:solidFill>
                              <a:srgbClr val="000000"/>
                            </a:solidFill>
                            <a:prstDash val="solid"/>
                            <a:headEnd type="none" w="med" len="med"/>
                            <a:tailEnd type="none" w="med" len="med"/>
                          </a:ln>
                        </wps:spPr>
                        <wps:bodyPr upright="1"/>
                      </wps:wsp>
                      <pic:pic xmlns:pic="http://schemas.openxmlformats.org/drawingml/2006/picture">
                        <pic:nvPicPr>
                          <pic:cNvPr id="56" name="图片 95"/>
                          <pic:cNvPicPr>
                            <a:picLocks noChangeAspect="1"/>
                          </pic:cNvPicPr>
                        </pic:nvPicPr>
                        <pic:blipFill>
                          <a:blip r:embed="rId65"/>
                          <a:stretch>
                            <a:fillRect/>
                          </a:stretch>
                        </pic:blipFill>
                        <pic:spPr>
                          <a:xfrm>
                            <a:off x="6576" y="-3206"/>
                            <a:ext cx="287" cy="287"/>
                          </a:xfrm>
                          <a:prstGeom prst="rect">
                            <a:avLst/>
                          </a:prstGeom>
                          <a:noFill/>
                          <a:ln>
                            <a:noFill/>
                          </a:ln>
                        </pic:spPr>
                      </pic:pic>
                      <pic:pic xmlns:pic="http://schemas.openxmlformats.org/drawingml/2006/picture">
                        <pic:nvPicPr>
                          <pic:cNvPr id="58" name="图片 96"/>
                          <pic:cNvPicPr>
                            <a:picLocks noChangeAspect="1"/>
                          </pic:cNvPicPr>
                        </pic:nvPicPr>
                        <pic:blipFill>
                          <a:blip r:embed="rId66"/>
                          <a:stretch>
                            <a:fillRect/>
                          </a:stretch>
                        </pic:blipFill>
                        <pic:spPr>
                          <a:xfrm>
                            <a:off x="7940" y="-3402"/>
                            <a:ext cx="238" cy="231"/>
                          </a:xfrm>
                          <a:prstGeom prst="rect">
                            <a:avLst/>
                          </a:prstGeom>
                          <a:noFill/>
                          <a:ln>
                            <a:noFill/>
                          </a:ln>
                        </pic:spPr>
                      </pic:pic>
                      <wps:wsp>
                        <wps:cNvPr id="60" name="任意多边形 97"/>
                        <wps:cNvSpPr/>
                        <wps:spPr>
                          <a:xfrm>
                            <a:off x="8332" y="-3926"/>
                            <a:ext cx="35" cy="56"/>
                          </a:xfrm>
                          <a:custGeom>
                            <a:avLst/>
                            <a:gdLst/>
                            <a:ahLst/>
                            <a:cxnLst/>
                            <a:pathLst>
                              <a:path w="35" h="56">
                                <a:moveTo>
                                  <a:pt x="35" y="42"/>
                                </a:moveTo>
                                <a:lnTo>
                                  <a:pt x="21" y="56"/>
                                </a:lnTo>
                                <a:lnTo>
                                  <a:pt x="0" y="42"/>
                                </a:lnTo>
                                <a:lnTo>
                                  <a:pt x="21" y="0"/>
                                </a:lnTo>
                                <a:lnTo>
                                  <a:pt x="35" y="42"/>
                                </a:lnTo>
                              </a:path>
                            </a:pathLst>
                          </a:custGeom>
                          <a:noFill/>
                          <a:ln w="8877" cap="flat" cmpd="sng">
                            <a:solidFill>
                              <a:srgbClr val="000000"/>
                            </a:solidFill>
                            <a:prstDash val="solid"/>
                            <a:headEnd type="none" w="med" len="med"/>
                            <a:tailEnd type="none" w="med" len="med"/>
                          </a:ln>
                        </wps:spPr>
                        <wps:bodyPr upright="1"/>
                      </wps:wsp>
                      <pic:pic xmlns:pic="http://schemas.openxmlformats.org/drawingml/2006/picture">
                        <pic:nvPicPr>
                          <pic:cNvPr id="62" name="图片 98"/>
                          <pic:cNvPicPr>
                            <a:picLocks noChangeAspect="1"/>
                          </pic:cNvPicPr>
                        </pic:nvPicPr>
                        <pic:blipFill>
                          <a:blip r:embed="rId67"/>
                          <a:stretch>
                            <a:fillRect/>
                          </a:stretch>
                        </pic:blipFill>
                        <pic:spPr>
                          <a:xfrm>
                            <a:off x="4240" y="-5109"/>
                            <a:ext cx="259" cy="210"/>
                          </a:xfrm>
                          <a:prstGeom prst="rect">
                            <a:avLst/>
                          </a:prstGeom>
                          <a:noFill/>
                          <a:ln>
                            <a:noFill/>
                          </a:ln>
                        </pic:spPr>
                      </pic:pic>
                      <wps:wsp>
                        <wps:cNvPr id="64" name="任意多边形 99"/>
                        <wps:cNvSpPr/>
                        <wps:spPr>
                          <a:xfrm>
                            <a:off x="4310" y="2304"/>
                            <a:ext cx="3742" cy="3162"/>
                          </a:xfrm>
                          <a:custGeom>
                            <a:avLst/>
                            <a:gdLst/>
                            <a:ahLst/>
                            <a:cxnLst/>
                            <a:pathLst>
                              <a:path w="3742" h="3162">
                                <a:moveTo>
                                  <a:pt x="2035" y="-4174"/>
                                </a:moveTo>
                                <a:lnTo>
                                  <a:pt x="2028" y="-4174"/>
                                </a:lnTo>
                                <a:lnTo>
                                  <a:pt x="1916" y="-4167"/>
                                </a:lnTo>
                                <a:lnTo>
                                  <a:pt x="1902" y="-4174"/>
                                </a:lnTo>
                                <a:lnTo>
                                  <a:pt x="1804" y="-4209"/>
                                </a:lnTo>
                                <a:lnTo>
                                  <a:pt x="1727" y="-4286"/>
                                </a:lnTo>
                                <a:lnTo>
                                  <a:pt x="1692" y="-4384"/>
                                </a:lnTo>
                                <a:lnTo>
                                  <a:pt x="1685" y="-4398"/>
                                </a:lnTo>
                                <a:lnTo>
                                  <a:pt x="1692" y="-4510"/>
                                </a:lnTo>
                                <a:lnTo>
                                  <a:pt x="1748" y="-4622"/>
                                </a:lnTo>
                                <a:lnTo>
                                  <a:pt x="1804" y="-4678"/>
                                </a:lnTo>
                                <a:lnTo>
                                  <a:pt x="1916" y="-4720"/>
                                </a:lnTo>
                                <a:lnTo>
                                  <a:pt x="2028" y="-4720"/>
                                </a:lnTo>
                                <a:lnTo>
                                  <a:pt x="2140" y="-4664"/>
                                </a:lnTo>
                                <a:lnTo>
                                  <a:pt x="2182" y="-4622"/>
                                </a:lnTo>
                                <a:lnTo>
                                  <a:pt x="2238" y="-4510"/>
                                </a:lnTo>
                                <a:lnTo>
                                  <a:pt x="2245" y="-4398"/>
                                </a:lnTo>
                                <a:lnTo>
                                  <a:pt x="2196" y="-4286"/>
                                </a:lnTo>
                                <a:lnTo>
                                  <a:pt x="2140" y="-4223"/>
                                </a:lnTo>
                                <a:lnTo>
                                  <a:pt x="2035" y="-4174"/>
                                </a:lnTo>
                                <a:moveTo>
                                  <a:pt x="2853" y="-4510"/>
                                </a:moveTo>
                                <a:lnTo>
                                  <a:pt x="2811" y="-4447"/>
                                </a:lnTo>
                                <a:lnTo>
                                  <a:pt x="2700" y="-4405"/>
                                </a:lnTo>
                                <a:lnTo>
                                  <a:pt x="2588" y="-4510"/>
                                </a:lnTo>
                                <a:lnTo>
                                  <a:pt x="2630" y="-4622"/>
                                </a:lnTo>
                                <a:lnTo>
                                  <a:pt x="2700" y="-4671"/>
                                </a:lnTo>
                                <a:lnTo>
                                  <a:pt x="2811" y="-4622"/>
                                </a:lnTo>
                                <a:lnTo>
                                  <a:pt x="2853" y="-4510"/>
                                </a:lnTo>
                                <a:moveTo>
                                  <a:pt x="846" y="-5182"/>
                                </a:moveTo>
                                <a:lnTo>
                                  <a:pt x="797" y="-5119"/>
                                </a:lnTo>
                                <a:lnTo>
                                  <a:pt x="685" y="-5084"/>
                                </a:lnTo>
                                <a:lnTo>
                                  <a:pt x="580" y="-5182"/>
                                </a:lnTo>
                                <a:lnTo>
                                  <a:pt x="587" y="-5294"/>
                                </a:lnTo>
                                <a:lnTo>
                                  <a:pt x="685" y="-5371"/>
                                </a:lnTo>
                                <a:lnTo>
                                  <a:pt x="797" y="-5336"/>
                                </a:lnTo>
                                <a:lnTo>
                                  <a:pt x="832" y="-5294"/>
                                </a:lnTo>
                                <a:lnTo>
                                  <a:pt x="846" y="-5182"/>
                                </a:lnTo>
                                <a:moveTo>
                                  <a:pt x="2406" y="-5406"/>
                                </a:moveTo>
                                <a:lnTo>
                                  <a:pt x="2364" y="-5385"/>
                                </a:lnTo>
                                <a:lnTo>
                                  <a:pt x="2350" y="-5406"/>
                                </a:lnTo>
                                <a:lnTo>
                                  <a:pt x="2364" y="-5420"/>
                                </a:lnTo>
                                <a:lnTo>
                                  <a:pt x="2406" y="-5406"/>
                                </a:lnTo>
                                <a:moveTo>
                                  <a:pt x="3742" y="-5629"/>
                                </a:moveTo>
                                <a:lnTo>
                                  <a:pt x="3707" y="-5608"/>
                                </a:lnTo>
                                <a:lnTo>
                                  <a:pt x="3693" y="-5629"/>
                                </a:lnTo>
                                <a:lnTo>
                                  <a:pt x="3707" y="-5650"/>
                                </a:lnTo>
                                <a:lnTo>
                                  <a:pt x="3742" y="-5629"/>
                                </a:lnTo>
                                <a:moveTo>
                                  <a:pt x="70" y="-7308"/>
                                </a:moveTo>
                                <a:lnTo>
                                  <a:pt x="14" y="-7287"/>
                                </a:lnTo>
                                <a:lnTo>
                                  <a:pt x="0" y="-7308"/>
                                </a:lnTo>
                                <a:lnTo>
                                  <a:pt x="14" y="-7329"/>
                                </a:lnTo>
                                <a:lnTo>
                                  <a:pt x="70" y="-7308"/>
                                </a:lnTo>
                              </a:path>
                            </a:pathLst>
                          </a:custGeom>
                          <a:noFill/>
                          <a:ln w="8877" cap="flat" cmpd="sng">
                            <a:solidFill>
                              <a:srgbClr val="000000"/>
                            </a:solidFill>
                            <a:prstDash val="solid"/>
                            <a:headEnd type="none" w="med" len="med"/>
                            <a:tailEnd type="none" w="med" len="med"/>
                          </a:ln>
                        </wps:spPr>
                        <wps:bodyPr upright="1"/>
                      </wps:wsp>
                      <pic:pic xmlns:pic="http://schemas.openxmlformats.org/drawingml/2006/picture">
                        <pic:nvPicPr>
                          <pic:cNvPr id="66" name="图片 100"/>
                          <pic:cNvPicPr>
                            <a:picLocks noChangeAspect="1"/>
                          </pic:cNvPicPr>
                        </pic:nvPicPr>
                        <pic:blipFill>
                          <a:blip r:embed="rId68"/>
                          <a:stretch>
                            <a:fillRect/>
                          </a:stretch>
                        </pic:blipFill>
                        <pic:spPr>
                          <a:xfrm>
                            <a:off x="6115" y="-2297"/>
                            <a:ext cx="315" cy="315"/>
                          </a:xfrm>
                          <a:prstGeom prst="rect">
                            <a:avLst/>
                          </a:prstGeom>
                          <a:noFill/>
                          <a:ln>
                            <a:noFill/>
                          </a:ln>
                        </pic:spPr>
                      </pic:pic>
                      <wps:wsp>
                        <wps:cNvPr id="68" name="任意多边形 101"/>
                        <wps:cNvSpPr/>
                        <wps:spPr>
                          <a:xfrm>
                            <a:off x="4961" y="2591"/>
                            <a:ext cx="2120" cy="840"/>
                          </a:xfrm>
                          <a:custGeom>
                            <a:avLst/>
                            <a:gdLst/>
                            <a:ahLst/>
                            <a:cxnLst/>
                            <a:pathLst>
                              <a:path w="2120" h="840">
                                <a:moveTo>
                                  <a:pt x="2120" y="-4796"/>
                                </a:moveTo>
                                <a:lnTo>
                                  <a:pt x="2050" y="-4740"/>
                                </a:lnTo>
                                <a:lnTo>
                                  <a:pt x="1994" y="-4796"/>
                                </a:lnTo>
                                <a:lnTo>
                                  <a:pt x="2050" y="-4866"/>
                                </a:lnTo>
                                <a:lnTo>
                                  <a:pt x="2120" y="-4796"/>
                                </a:lnTo>
                                <a:moveTo>
                                  <a:pt x="91" y="-5468"/>
                                </a:moveTo>
                                <a:lnTo>
                                  <a:pt x="35" y="-5433"/>
                                </a:lnTo>
                                <a:lnTo>
                                  <a:pt x="0" y="-5468"/>
                                </a:lnTo>
                                <a:lnTo>
                                  <a:pt x="35" y="-5580"/>
                                </a:lnTo>
                                <a:lnTo>
                                  <a:pt x="91" y="-5468"/>
                                </a:lnTo>
                              </a:path>
                            </a:pathLst>
                          </a:custGeom>
                          <a:noFill/>
                          <a:ln w="8877" cap="flat" cmpd="sng">
                            <a:solidFill>
                              <a:srgbClr val="000000"/>
                            </a:solidFill>
                            <a:prstDash val="solid"/>
                            <a:headEnd type="none" w="med" len="med"/>
                            <a:tailEnd type="none" w="med" len="med"/>
                          </a:ln>
                        </wps:spPr>
                        <wps:bodyPr upright="1"/>
                      </wps:wsp>
                      <wps:wsp>
                        <wps:cNvPr id="70" name="任意多边形 102"/>
                        <wps:cNvSpPr/>
                        <wps:spPr>
                          <a:xfrm>
                            <a:off x="2030" y="352"/>
                            <a:ext cx="7890" cy="6828"/>
                          </a:xfrm>
                          <a:custGeom>
                            <a:avLst/>
                            <a:gdLst/>
                            <a:ahLst/>
                            <a:cxnLst/>
                            <a:pathLst>
                              <a:path w="7890" h="6828">
                                <a:moveTo>
                                  <a:pt x="56" y="-7035"/>
                                </a:moveTo>
                                <a:lnTo>
                                  <a:pt x="7889" y="-7035"/>
                                </a:lnTo>
                                <a:moveTo>
                                  <a:pt x="56" y="-7091"/>
                                </a:moveTo>
                                <a:lnTo>
                                  <a:pt x="56" y="-7035"/>
                                </a:lnTo>
                                <a:moveTo>
                                  <a:pt x="1175" y="-7091"/>
                                </a:moveTo>
                                <a:lnTo>
                                  <a:pt x="1175" y="-7035"/>
                                </a:lnTo>
                                <a:moveTo>
                                  <a:pt x="2294" y="-7091"/>
                                </a:moveTo>
                                <a:lnTo>
                                  <a:pt x="2294" y="-7035"/>
                                </a:lnTo>
                                <a:moveTo>
                                  <a:pt x="3413" y="-7091"/>
                                </a:moveTo>
                                <a:lnTo>
                                  <a:pt x="3413" y="-7035"/>
                                </a:lnTo>
                                <a:moveTo>
                                  <a:pt x="4532" y="-7091"/>
                                </a:moveTo>
                                <a:lnTo>
                                  <a:pt x="4532" y="-7035"/>
                                </a:lnTo>
                                <a:moveTo>
                                  <a:pt x="5651" y="-7091"/>
                                </a:moveTo>
                                <a:lnTo>
                                  <a:pt x="5651" y="-7035"/>
                                </a:lnTo>
                                <a:moveTo>
                                  <a:pt x="6770" y="-7091"/>
                                </a:moveTo>
                                <a:lnTo>
                                  <a:pt x="6770" y="-7035"/>
                                </a:lnTo>
                                <a:moveTo>
                                  <a:pt x="7889" y="-7091"/>
                                </a:moveTo>
                                <a:lnTo>
                                  <a:pt x="7889" y="-7035"/>
                                </a:lnTo>
                                <a:moveTo>
                                  <a:pt x="56" y="-320"/>
                                </a:moveTo>
                                <a:lnTo>
                                  <a:pt x="56" y="-7035"/>
                                </a:lnTo>
                                <a:moveTo>
                                  <a:pt x="0" y="-320"/>
                                </a:moveTo>
                                <a:lnTo>
                                  <a:pt x="56" y="-320"/>
                                </a:lnTo>
                                <a:moveTo>
                                  <a:pt x="0" y="-1439"/>
                                </a:moveTo>
                                <a:lnTo>
                                  <a:pt x="56" y="-1439"/>
                                </a:lnTo>
                                <a:moveTo>
                                  <a:pt x="0" y="-2558"/>
                                </a:moveTo>
                                <a:lnTo>
                                  <a:pt x="56" y="-2558"/>
                                </a:lnTo>
                                <a:moveTo>
                                  <a:pt x="0" y="-3677"/>
                                </a:moveTo>
                                <a:lnTo>
                                  <a:pt x="56" y="-3677"/>
                                </a:lnTo>
                                <a:moveTo>
                                  <a:pt x="0" y="-4797"/>
                                </a:moveTo>
                                <a:lnTo>
                                  <a:pt x="56" y="-4797"/>
                                </a:lnTo>
                                <a:moveTo>
                                  <a:pt x="0" y="-5916"/>
                                </a:moveTo>
                                <a:lnTo>
                                  <a:pt x="56" y="-5916"/>
                                </a:lnTo>
                                <a:moveTo>
                                  <a:pt x="0" y="-7035"/>
                                </a:moveTo>
                                <a:lnTo>
                                  <a:pt x="56" y="-7035"/>
                                </a:lnTo>
                                <a:moveTo>
                                  <a:pt x="56" y="-320"/>
                                </a:moveTo>
                                <a:lnTo>
                                  <a:pt x="7889" y="-320"/>
                                </a:lnTo>
                                <a:moveTo>
                                  <a:pt x="56" y="-264"/>
                                </a:moveTo>
                                <a:lnTo>
                                  <a:pt x="56" y="-320"/>
                                </a:lnTo>
                                <a:moveTo>
                                  <a:pt x="1175" y="-264"/>
                                </a:moveTo>
                                <a:lnTo>
                                  <a:pt x="1175" y="-320"/>
                                </a:lnTo>
                                <a:moveTo>
                                  <a:pt x="2294" y="-264"/>
                                </a:moveTo>
                                <a:lnTo>
                                  <a:pt x="2294" y="-320"/>
                                </a:lnTo>
                                <a:moveTo>
                                  <a:pt x="3413" y="-264"/>
                                </a:moveTo>
                                <a:lnTo>
                                  <a:pt x="3413" y="-320"/>
                                </a:lnTo>
                                <a:moveTo>
                                  <a:pt x="4532" y="-264"/>
                                </a:moveTo>
                                <a:lnTo>
                                  <a:pt x="4532" y="-320"/>
                                </a:lnTo>
                                <a:moveTo>
                                  <a:pt x="5651" y="-264"/>
                                </a:moveTo>
                                <a:lnTo>
                                  <a:pt x="5651" y="-320"/>
                                </a:lnTo>
                                <a:moveTo>
                                  <a:pt x="6770" y="-264"/>
                                </a:moveTo>
                                <a:lnTo>
                                  <a:pt x="6770" y="-320"/>
                                </a:lnTo>
                                <a:moveTo>
                                  <a:pt x="7889" y="-264"/>
                                </a:moveTo>
                                <a:lnTo>
                                  <a:pt x="7889" y="-320"/>
                                </a:lnTo>
                              </a:path>
                            </a:pathLst>
                          </a:custGeom>
                          <a:noFill/>
                          <a:ln w="4445" cap="flat" cmpd="sng">
                            <a:solidFill>
                              <a:srgbClr val="000000"/>
                            </a:solidFill>
                            <a:prstDash val="solid"/>
                            <a:headEnd type="none" w="med" len="med"/>
                            <a:tailEnd type="none" w="med" len="med"/>
                          </a:ln>
                        </wps:spPr>
                        <wps:bodyPr upright="1"/>
                      </wps:wsp>
                      <wps:wsp>
                        <wps:cNvPr id="71" name="任意多边形 103"/>
                        <wps:cNvSpPr/>
                        <wps:spPr>
                          <a:xfrm>
                            <a:off x="9920" y="-6682"/>
                            <a:ext cx="2" cy="6716"/>
                          </a:xfrm>
                          <a:custGeom>
                            <a:avLst/>
                            <a:gdLst/>
                            <a:ahLst/>
                            <a:cxnLst/>
                            <a:pathLst>
                              <a:path h="6716">
                                <a:moveTo>
                                  <a:pt x="0" y="0"/>
                                </a:moveTo>
                                <a:lnTo>
                                  <a:pt x="0" y="21"/>
                                </a:lnTo>
                                <a:moveTo>
                                  <a:pt x="0" y="1336"/>
                                </a:moveTo>
                                <a:lnTo>
                                  <a:pt x="0" y="6715"/>
                                </a:lnTo>
                              </a:path>
                            </a:pathLst>
                          </a:custGeom>
                          <a:noFill/>
                          <a:ln w="4445" cap="flat" cmpd="sng">
                            <a:solidFill>
                              <a:srgbClr val="000000"/>
                            </a:solidFill>
                            <a:prstDash val="solid"/>
                            <a:headEnd type="none" w="med" len="med"/>
                            <a:tailEnd type="none" w="med" len="med"/>
                          </a:ln>
                        </wps:spPr>
                        <wps:bodyPr upright="1"/>
                      </wps:wsp>
                      <wps:wsp>
                        <wps:cNvPr id="72" name="任意多边形 104"/>
                        <wps:cNvSpPr/>
                        <wps:spPr>
                          <a:xfrm>
                            <a:off x="9920" y="408"/>
                            <a:ext cx="56" cy="4477"/>
                          </a:xfrm>
                          <a:custGeom>
                            <a:avLst/>
                            <a:gdLst/>
                            <a:ahLst/>
                            <a:cxnLst/>
                            <a:pathLst>
                              <a:path w="56" h="4477">
                                <a:moveTo>
                                  <a:pt x="56" y="-376"/>
                                </a:moveTo>
                                <a:lnTo>
                                  <a:pt x="0" y="-376"/>
                                </a:lnTo>
                                <a:moveTo>
                                  <a:pt x="56" y="-1495"/>
                                </a:moveTo>
                                <a:lnTo>
                                  <a:pt x="0" y="-1495"/>
                                </a:lnTo>
                                <a:moveTo>
                                  <a:pt x="56" y="-2614"/>
                                </a:moveTo>
                                <a:lnTo>
                                  <a:pt x="0" y="-2614"/>
                                </a:lnTo>
                                <a:moveTo>
                                  <a:pt x="56" y="-3733"/>
                                </a:moveTo>
                                <a:lnTo>
                                  <a:pt x="0" y="-3733"/>
                                </a:lnTo>
                                <a:moveTo>
                                  <a:pt x="56" y="-4853"/>
                                </a:moveTo>
                                <a:lnTo>
                                  <a:pt x="0" y="-4853"/>
                                </a:lnTo>
                              </a:path>
                            </a:pathLst>
                          </a:custGeom>
                          <a:noFill/>
                          <a:ln w="4445" cap="flat" cmpd="sng">
                            <a:solidFill>
                              <a:srgbClr val="000000"/>
                            </a:solidFill>
                            <a:prstDash val="solid"/>
                            <a:headEnd type="none" w="med" len="med"/>
                            <a:tailEnd type="none" w="med" len="med"/>
                          </a:ln>
                        </wps:spPr>
                        <wps:bodyPr upright="1"/>
                      </wps:wsp>
                      <wps:wsp>
                        <wps:cNvPr id="73" name="直线 105"/>
                        <wps:cNvSpPr/>
                        <wps:spPr>
                          <a:xfrm>
                            <a:off x="9934" y="-5563"/>
                            <a:ext cx="42" cy="0"/>
                          </a:xfrm>
                          <a:prstGeom prst="line">
                            <a:avLst/>
                          </a:prstGeom>
                          <a:ln w="4445" cap="flat" cmpd="sng">
                            <a:solidFill>
                              <a:srgbClr val="000000"/>
                            </a:solidFill>
                            <a:prstDash val="solid"/>
                            <a:headEnd type="none" w="med" len="med"/>
                            <a:tailEnd type="none" w="med" len="med"/>
                          </a:ln>
                        </wps:spPr>
                        <wps:bodyPr upright="1"/>
                      </wps:wsp>
                      <wps:wsp>
                        <wps:cNvPr id="74" name="直线 106"/>
                        <wps:cNvSpPr/>
                        <wps:spPr>
                          <a:xfrm flipH="1">
                            <a:off x="9920" y="-6682"/>
                            <a:ext cx="56" cy="0"/>
                          </a:xfrm>
                          <a:prstGeom prst="line">
                            <a:avLst/>
                          </a:prstGeom>
                          <a:ln w="4445" cap="flat" cmpd="sng">
                            <a:solidFill>
                              <a:srgbClr val="000000"/>
                            </a:solidFill>
                            <a:prstDash val="solid"/>
                            <a:headEnd type="none" w="med" len="med"/>
                            <a:tailEnd type="none" w="med" len="med"/>
                          </a:ln>
                        </wps:spPr>
                        <wps:bodyPr upright="1"/>
                      </wps:wsp>
                      <wps:wsp>
                        <wps:cNvPr id="75" name="矩形 107"/>
                        <wps:cNvSpPr/>
                        <wps:spPr>
                          <a:xfrm>
                            <a:off x="8752" y="-6661"/>
                            <a:ext cx="1182" cy="1316"/>
                          </a:xfrm>
                          <a:prstGeom prst="rect">
                            <a:avLst/>
                          </a:prstGeom>
                          <a:solidFill>
                            <a:srgbClr val="C76363"/>
                          </a:solidFill>
                          <a:ln>
                            <a:noFill/>
                          </a:ln>
                        </wps:spPr>
                        <wps:bodyPr upright="1"/>
                      </wps:wsp>
                      <wps:wsp>
                        <wps:cNvPr id="76" name="矩形 108"/>
                        <wps:cNvSpPr/>
                        <wps:spPr>
                          <a:xfrm>
                            <a:off x="8752" y="-6661"/>
                            <a:ext cx="1182" cy="1316"/>
                          </a:xfrm>
                          <a:prstGeom prst="rect">
                            <a:avLst/>
                          </a:prstGeom>
                          <a:noFill/>
                          <a:ln w="4445" cap="flat" cmpd="sng">
                            <a:solidFill>
                              <a:srgbClr val="000000"/>
                            </a:solidFill>
                            <a:prstDash val="solid"/>
                            <a:miter/>
                            <a:headEnd type="none" w="med" len="med"/>
                            <a:tailEnd type="none" w="med" len="med"/>
                          </a:ln>
                        </wps:spPr>
                        <wps:bodyPr upright="1"/>
                      </wps:wsp>
                      <wps:wsp>
                        <wps:cNvPr id="77" name="任意多边形 109"/>
                        <wps:cNvSpPr/>
                        <wps:spPr>
                          <a:xfrm>
                            <a:off x="4968" y="-2975"/>
                            <a:ext cx="91" cy="105"/>
                          </a:xfrm>
                          <a:custGeom>
                            <a:avLst/>
                            <a:gdLst/>
                            <a:ahLst/>
                            <a:cxnLst/>
                            <a:pathLst>
                              <a:path w="91" h="105">
                                <a:moveTo>
                                  <a:pt x="46" y="105"/>
                                </a:moveTo>
                                <a:lnTo>
                                  <a:pt x="28" y="101"/>
                                </a:lnTo>
                                <a:lnTo>
                                  <a:pt x="14" y="90"/>
                                </a:lnTo>
                                <a:lnTo>
                                  <a:pt x="4" y="73"/>
                                </a:lnTo>
                                <a:lnTo>
                                  <a:pt x="0" y="53"/>
                                </a:lnTo>
                                <a:lnTo>
                                  <a:pt x="4" y="32"/>
                                </a:lnTo>
                                <a:lnTo>
                                  <a:pt x="14" y="16"/>
                                </a:lnTo>
                                <a:lnTo>
                                  <a:pt x="28" y="5"/>
                                </a:lnTo>
                                <a:lnTo>
                                  <a:pt x="46" y="0"/>
                                </a:lnTo>
                                <a:lnTo>
                                  <a:pt x="64" y="5"/>
                                </a:lnTo>
                                <a:lnTo>
                                  <a:pt x="78" y="16"/>
                                </a:lnTo>
                                <a:lnTo>
                                  <a:pt x="88" y="32"/>
                                </a:lnTo>
                                <a:lnTo>
                                  <a:pt x="91" y="53"/>
                                </a:lnTo>
                                <a:lnTo>
                                  <a:pt x="88" y="73"/>
                                </a:lnTo>
                                <a:lnTo>
                                  <a:pt x="78" y="90"/>
                                </a:lnTo>
                                <a:lnTo>
                                  <a:pt x="64" y="101"/>
                                </a:lnTo>
                                <a:lnTo>
                                  <a:pt x="46" y="105"/>
                                </a:lnTo>
                                <a:close/>
                              </a:path>
                            </a:pathLst>
                          </a:custGeom>
                          <a:solidFill>
                            <a:srgbClr val="FF0000"/>
                          </a:solidFill>
                          <a:ln>
                            <a:noFill/>
                          </a:ln>
                        </wps:spPr>
                        <wps:bodyPr upright="1"/>
                      </wps:wsp>
                      <wps:wsp>
                        <wps:cNvPr id="78" name="任意多边形 110"/>
                        <wps:cNvSpPr/>
                        <wps:spPr>
                          <a:xfrm>
                            <a:off x="4968" y="-2975"/>
                            <a:ext cx="91" cy="105"/>
                          </a:xfrm>
                          <a:custGeom>
                            <a:avLst/>
                            <a:gdLst/>
                            <a:ahLst/>
                            <a:cxnLst/>
                            <a:pathLst>
                              <a:path w="91" h="105">
                                <a:moveTo>
                                  <a:pt x="91" y="53"/>
                                </a:moveTo>
                                <a:lnTo>
                                  <a:pt x="88" y="73"/>
                                </a:lnTo>
                                <a:lnTo>
                                  <a:pt x="78" y="90"/>
                                </a:lnTo>
                                <a:lnTo>
                                  <a:pt x="64" y="101"/>
                                </a:lnTo>
                                <a:lnTo>
                                  <a:pt x="46" y="105"/>
                                </a:lnTo>
                                <a:lnTo>
                                  <a:pt x="28" y="101"/>
                                </a:lnTo>
                                <a:lnTo>
                                  <a:pt x="14" y="90"/>
                                </a:lnTo>
                                <a:lnTo>
                                  <a:pt x="4" y="73"/>
                                </a:lnTo>
                                <a:lnTo>
                                  <a:pt x="0" y="53"/>
                                </a:lnTo>
                                <a:lnTo>
                                  <a:pt x="4" y="32"/>
                                </a:lnTo>
                                <a:lnTo>
                                  <a:pt x="14" y="16"/>
                                </a:lnTo>
                                <a:lnTo>
                                  <a:pt x="28" y="5"/>
                                </a:lnTo>
                                <a:lnTo>
                                  <a:pt x="46" y="0"/>
                                </a:lnTo>
                                <a:lnTo>
                                  <a:pt x="64" y="5"/>
                                </a:lnTo>
                                <a:lnTo>
                                  <a:pt x="78" y="16"/>
                                </a:lnTo>
                                <a:lnTo>
                                  <a:pt x="88" y="32"/>
                                </a:lnTo>
                                <a:lnTo>
                                  <a:pt x="91" y="53"/>
                                </a:lnTo>
                              </a:path>
                            </a:pathLst>
                          </a:custGeom>
                          <a:noFill/>
                          <a:ln w="4445" cap="flat" cmpd="sng">
                            <a:solidFill>
                              <a:srgbClr val="000000"/>
                            </a:solidFill>
                            <a:prstDash val="solid"/>
                            <a:headEnd type="none" w="med" len="med"/>
                            <a:tailEnd type="none" w="med" len="med"/>
                          </a:ln>
                        </wps:spPr>
                        <wps:bodyPr upright="1"/>
                      </wps:wsp>
                      <wps:wsp>
                        <wps:cNvPr id="79" name="任意多边形 111"/>
                        <wps:cNvSpPr/>
                        <wps:spPr>
                          <a:xfrm>
                            <a:off x="6982" y="-2276"/>
                            <a:ext cx="91" cy="91"/>
                          </a:xfrm>
                          <a:custGeom>
                            <a:avLst/>
                            <a:gdLst/>
                            <a:ahLst/>
                            <a:cxnLst/>
                            <a:pathLst>
                              <a:path w="91" h="91">
                                <a:moveTo>
                                  <a:pt x="45" y="91"/>
                                </a:moveTo>
                                <a:lnTo>
                                  <a:pt x="27" y="87"/>
                                </a:lnTo>
                                <a:lnTo>
                                  <a:pt x="13" y="78"/>
                                </a:lnTo>
                                <a:lnTo>
                                  <a:pt x="3" y="63"/>
                                </a:lnTo>
                                <a:lnTo>
                                  <a:pt x="0" y="45"/>
                                </a:lnTo>
                                <a:lnTo>
                                  <a:pt x="3" y="28"/>
                                </a:lnTo>
                                <a:lnTo>
                                  <a:pt x="13" y="13"/>
                                </a:lnTo>
                                <a:lnTo>
                                  <a:pt x="27" y="3"/>
                                </a:lnTo>
                                <a:lnTo>
                                  <a:pt x="45" y="0"/>
                                </a:lnTo>
                                <a:lnTo>
                                  <a:pt x="63" y="3"/>
                                </a:lnTo>
                                <a:lnTo>
                                  <a:pt x="77" y="13"/>
                                </a:lnTo>
                                <a:lnTo>
                                  <a:pt x="87" y="28"/>
                                </a:lnTo>
                                <a:lnTo>
                                  <a:pt x="91" y="45"/>
                                </a:lnTo>
                                <a:lnTo>
                                  <a:pt x="87" y="63"/>
                                </a:lnTo>
                                <a:lnTo>
                                  <a:pt x="77" y="78"/>
                                </a:lnTo>
                                <a:lnTo>
                                  <a:pt x="63" y="87"/>
                                </a:lnTo>
                                <a:lnTo>
                                  <a:pt x="45" y="91"/>
                                </a:lnTo>
                                <a:close/>
                              </a:path>
                            </a:pathLst>
                          </a:custGeom>
                          <a:solidFill>
                            <a:srgbClr val="FF0000"/>
                          </a:solidFill>
                          <a:ln>
                            <a:noFill/>
                          </a:ln>
                        </wps:spPr>
                        <wps:bodyPr upright="1"/>
                      </wps:wsp>
                      <wps:wsp>
                        <wps:cNvPr id="80" name="任意多边形 112"/>
                        <wps:cNvSpPr/>
                        <wps:spPr>
                          <a:xfrm>
                            <a:off x="6982" y="-2276"/>
                            <a:ext cx="91" cy="91"/>
                          </a:xfrm>
                          <a:custGeom>
                            <a:avLst/>
                            <a:gdLst/>
                            <a:ahLst/>
                            <a:cxnLst/>
                            <a:pathLst>
                              <a:path w="91" h="91">
                                <a:moveTo>
                                  <a:pt x="91" y="45"/>
                                </a:moveTo>
                                <a:lnTo>
                                  <a:pt x="87" y="63"/>
                                </a:lnTo>
                                <a:lnTo>
                                  <a:pt x="77" y="78"/>
                                </a:lnTo>
                                <a:lnTo>
                                  <a:pt x="63" y="87"/>
                                </a:lnTo>
                                <a:lnTo>
                                  <a:pt x="45" y="91"/>
                                </a:lnTo>
                                <a:lnTo>
                                  <a:pt x="27" y="87"/>
                                </a:lnTo>
                                <a:lnTo>
                                  <a:pt x="13" y="78"/>
                                </a:lnTo>
                                <a:lnTo>
                                  <a:pt x="3" y="63"/>
                                </a:lnTo>
                                <a:lnTo>
                                  <a:pt x="0" y="45"/>
                                </a:lnTo>
                                <a:lnTo>
                                  <a:pt x="3" y="28"/>
                                </a:lnTo>
                                <a:lnTo>
                                  <a:pt x="13" y="13"/>
                                </a:lnTo>
                                <a:lnTo>
                                  <a:pt x="27" y="3"/>
                                </a:lnTo>
                                <a:lnTo>
                                  <a:pt x="45" y="0"/>
                                </a:lnTo>
                                <a:lnTo>
                                  <a:pt x="63" y="3"/>
                                </a:lnTo>
                                <a:lnTo>
                                  <a:pt x="77" y="13"/>
                                </a:lnTo>
                                <a:lnTo>
                                  <a:pt x="87" y="28"/>
                                </a:lnTo>
                                <a:lnTo>
                                  <a:pt x="91" y="45"/>
                                </a:lnTo>
                              </a:path>
                            </a:pathLst>
                          </a:custGeom>
                          <a:noFill/>
                          <a:ln w="4445" cap="flat" cmpd="sng">
                            <a:solidFill>
                              <a:srgbClr val="000000"/>
                            </a:solidFill>
                            <a:prstDash val="solid"/>
                            <a:headEnd type="none" w="med" len="med"/>
                            <a:tailEnd type="none" w="med" len="med"/>
                          </a:ln>
                        </wps:spPr>
                        <wps:bodyPr upright="1"/>
                      </wps:wsp>
                      <wps:wsp>
                        <wps:cNvPr id="81" name="任意多边形 113"/>
                        <wps:cNvSpPr/>
                        <wps:spPr>
                          <a:xfrm>
                            <a:off x="6982" y="-2276"/>
                            <a:ext cx="91" cy="91"/>
                          </a:xfrm>
                          <a:custGeom>
                            <a:avLst/>
                            <a:gdLst/>
                            <a:ahLst/>
                            <a:cxnLst/>
                            <a:pathLst>
                              <a:path w="91" h="91">
                                <a:moveTo>
                                  <a:pt x="45" y="91"/>
                                </a:moveTo>
                                <a:lnTo>
                                  <a:pt x="27" y="87"/>
                                </a:lnTo>
                                <a:lnTo>
                                  <a:pt x="13" y="78"/>
                                </a:lnTo>
                                <a:lnTo>
                                  <a:pt x="3" y="63"/>
                                </a:lnTo>
                                <a:lnTo>
                                  <a:pt x="0" y="45"/>
                                </a:lnTo>
                                <a:lnTo>
                                  <a:pt x="3" y="28"/>
                                </a:lnTo>
                                <a:lnTo>
                                  <a:pt x="13" y="13"/>
                                </a:lnTo>
                                <a:lnTo>
                                  <a:pt x="27" y="3"/>
                                </a:lnTo>
                                <a:lnTo>
                                  <a:pt x="45" y="0"/>
                                </a:lnTo>
                                <a:lnTo>
                                  <a:pt x="63" y="3"/>
                                </a:lnTo>
                                <a:lnTo>
                                  <a:pt x="77" y="13"/>
                                </a:lnTo>
                                <a:lnTo>
                                  <a:pt x="87" y="28"/>
                                </a:lnTo>
                                <a:lnTo>
                                  <a:pt x="91" y="45"/>
                                </a:lnTo>
                                <a:lnTo>
                                  <a:pt x="87" y="63"/>
                                </a:lnTo>
                                <a:lnTo>
                                  <a:pt x="77" y="78"/>
                                </a:lnTo>
                                <a:lnTo>
                                  <a:pt x="63" y="87"/>
                                </a:lnTo>
                                <a:lnTo>
                                  <a:pt x="45" y="91"/>
                                </a:lnTo>
                                <a:close/>
                              </a:path>
                            </a:pathLst>
                          </a:custGeom>
                          <a:solidFill>
                            <a:srgbClr val="FF0000"/>
                          </a:solidFill>
                          <a:ln>
                            <a:noFill/>
                          </a:ln>
                        </wps:spPr>
                        <wps:bodyPr upright="1"/>
                      </wps:wsp>
                      <wps:wsp>
                        <wps:cNvPr id="82" name="任意多边形 114"/>
                        <wps:cNvSpPr/>
                        <wps:spPr>
                          <a:xfrm>
                            <a:off x="6982" y="-2276"/>
                            <a:ext cx="91" cy="91"/>
                          </a:xfrm>
                          <a:custGeom>
                            <a:avLst/>
                            <a:gdLst/>
                            <a:ahLst/>
                            <a:cxnLst/>
                            <a:pathLst>
                              <a:path w="91" h="91">
                                <a:moveTo>
                                  <a:pt x="91" y="45"/>
                                </a:moveTo>
                                <a:lnTo>
                                  <a:pt x="87" y="63"/>
                                </a:lnTo>
                                <a:lnTo>
                                  <a:pt x="77" y="78"/>
                                </a:lnTo>
                                <a:lnTo>
                                  <a:pt x="63" y="87"/>
                                </a:lnTo>
                                <a:lnTo>
                                  <a:pt x="45" y="91"/>
                                </a:lnTo>
                                <a:lnTo>
                                  <a:pt x="27" y="87"/>
                                </a:lnTo>
                                <a:lnTo>
                                  <a:pt x="13" y="78"/>
                                </a:lnTo>
                                <a:lnTo>
                                  <a:pt x="3" y="63"/>
                                </a:lnTo>
                                <a:lnTo>
                                  <a:pt x="0" y="45"/>
                                </a:lnTo>
                                <a:lnTo>
                                  <a:pt x="3" y="28"/>
                                </a:lnTo>
                                <a:lnTo>
                                  <a:pt x="13" y="13"/>
                                </a:lnTo>
                                <a:lnTo>
                                  <a:pt x="27" y="3"/>
                                </a:lnTo>
                                <a:lnTo>
                                  <a:pt x="45" y="0"/>
                                </a:lnTo>
                                <a:lnTo>
                                  <a:pt x="63" y="3"/>
                                </a:lnTo>
                                <a:lnTo>
                                  <a:pt x="77" y="13"/>
                                </a:lnTo>
                                <a:lnTo>
                                  <a:pt x="87" y="28"/>
                                </a:lnTo>
                                <a:lnTo>
                                  <a:pt x="91" y="45"/>
                                </a:lnTo>
                              </a:path>
                            </a:pathLst>
                          </a:custGeom>
                          <a:noFill/>
                          <a:ln w="4445" cap="flat" cmpd="sng">
                            <a:solidFill>
                              <a:srgbClr val="000000"/>
                            </a:solidFill>
                            <a:prstDash val="solid"/>
                            <a:headEnd type="none" w="med" len="med"/>
                            <a:tailEnd type="none" w="med" len="med"/>
                          </a:ln>
                        </wps:spPr>
                        <wps:bodyPr upright="1"/>
                      </wps:wsp>
                      <wps:wsp>
                        <wps:cNvPr id="83" name="任意多边形 115"/>
                        <wps:cNvSpPr/>
                        <wps:spPr>
                          <a:xfrm>
                            <a:off x="7989" y="-3381"/>
                            <a:ext cx="91" cy="105"/>
                          </a:xfrm>
                          <a:custGeom>
                            <a:avLst/>
                            <a:gdLst/>
                            <a:ahLst/>
                            <a:cxnLst/>
                            <a:pathLst>
                              <a:path w="91" h="105">
                                <a:moveTo>
                                  <a:pt x="45" y="105"/>
                                </a:moveTo>
                                <a:lnTo>
                                  <a:pt x="28" y="100"/>
                                </a:lnTo>
                                <a:lnTo>
                                  <a:pt x="13" y="89"/>
                                </a:lnTo>
                                <a:lnTo>
                                  <a:pt x="3" y="73"/>
                                </a:lnTo>
                                <a:lnTo>
                                  <a:pt x="0" y="52"/>
                                </a:lnTo>
                                <a:lnTo>
                                  <a:pt x="3" y="32"/>
                                </a:lnTo>
                                <a:lnTo>
                                  <a:pt x="13" y="15"/>
                                </a:lnTo>
                                <a:lnTo>
                                  <a:pt x="28" y="4"/>
                                </a:lnTo>
                                <a:lnTo>
                                  <a:pt x="45" y="0"/>
                                </a:lnTo>
                                <a:lnTo>
                                  <a:pt x="63" y="4"/>
                                </a:lnTo>
                                <a:lnTo>
                                  <a:pt x="77" y="15"/>
                                </a:lnTo>
                                <a:lnTo>
                                  <a:pt x="87" y="32"/>
                                </a:lnTo>
                                <a:lnTo>
                                  <a:pt x="91" y="52"/>
                                </a:lnTo>
                                <a:lnTo>
                                  <a:pt x="87" y="73"/>
                                </a:lnTo>
                                <a:lnTo>
                                  <a:pt x="77" y="89"/>
                                </a:lnTo>
                                <a:lnTo>
                                  <a:pt x="63" y="100"/>
                                </a:lnTo>
                                <a:lnTo>
                                  <a:pt x="45" y="105"/>
                                </a:lnTo>
                                <a:close/>
                              </a:path>
                            </a:pathLst>
                          </a:custGeom>
                          <a:solidFill>
                            <a:srgbClr val="FF0000"/>
                          </a:solidFill>
                          <a:ln>
                            <a:noFill/>
                          </a:ln>
                        </wps:spPr>
                        <wps:bodyPr upright="1"/>
                      </wps:wsp>
                      <wps:wsp>
                        <wps:cNvPr id="84" name="任意多边形 116"/>
                        <wps:cNvSpPr/>
                        <wps:spPr>
                          <a:xfrm>
                            <a:off x="7989" y="-3381"/>
                            <a:ext cx="91" cy="105"/>
                          </a:xfrm>
                          <a:custGeom>
                            <a:avLst/>
                            <a:gdLst/>
                            <a:ahLst/>
                            <a:cxnLst/>
                            <a:pathLst>
                              <a:path w="91" h="105">
                                <a:moveTo>
                                  <a:pt x="91" y="52"/>
                                </a:moveTo>
                                <a:lnTo>
                                  <a:pt x="87" y="73"/>
                                </a:lnTo>
                                <a:lnTo>
                                  <a:pt x="77" y="89"/>
                                </a:lnTo>
                                <a:lnTo>
                                  <a:pt x="63" y="100"/>
                                </a:lnTo>
                                <a:lnTo>
                                  <a:pt x="45" y="105"/>
                                </a:lnTo>
                                <a:lnTo>
                                  <a:pt x="28" y="100"/>
                                </a:lnTo>
                                <a:lnTo>
                                  <a:pt x="13" y="89"/>
                                </a:lnTo>
                                <a:lnTo>
                                  <a:pt x="3" y="73"/>
                                </a:lnTo>
                                <a:lnTo>
                                  <a:pt x="0" y="52"/>
                                </a:lnTo>
                                <a:lnTo>
                                  <a:pt x="3" y="32"/>
                                </a:lnTo>
                                <a:lnTo>
                                  <a:pt x="13" y="15"/>
                                </a:lnTo>
                                <a:lnTo>
                                  <a:pt x="28" y="4"/>
                                </a:lnTo>
                                <a:lnTo>
                                  <a:pt x="45" y="0"/>
                                </a:lnTo>
                                <a:lnTo>
                                  <a:pt x="63" y="4"/>
                                </a:lnTo>
                                <a:lnTo>
                                  <a:pt x="77" y="15"/>
                                </a:lnTo>
                                <a:lnTo>
                                  <a:pt x="87" y="32"/>
                                </a:lnTo>
                                <a:lnTo>
                                  <a:pt x="91" y="52"/>
                                </a:lnTo>
                              </a:path>
                            </a:pathLst>
                          </a:custGeom>
                          <a:noFill/>
                          <a:ln w="4445" cap="flat" cmpd="sng">
                            <a:solidFill>
                              <a:srgbClr val="000000"/>
                            </a:solidFill>
                            <a:prstDash val="solid"/>
                            <a:headEnd type="none" w="med" len="med"/>
                            <a:tailEnd type="none" w="med" len="med"/>
                          </a:ln>
                        </wps:spPr>
                        <wps:bodyPr upright="1"/>
                      </wps:wsp>
                      <wps:wsp>
                        <wps:cNvPr id="85" name="任意多边形 117"/>
                        <wps:cNvSpPr/>
                        <wps:spPr>
                          <a:xfrm>
                            <a:off x="8073" y="-3311"/>
                            <a:ext cx="105" cy="105"/>
                          </a:xfrm>
                          <a:custGeom>
                            <a:avLst/>
                            <a:gdLst/>
                            <a:ahLst/>
                            <a:cxnLst/>
                            <a:pathLst>
                              <a:path w="105" h="105">
                                <a:moveTo>
                                  <a:pt x="52" y="105"/>
                                </a:moveTo>
                                <a:lnTo>
                                  <a:pt x="32" y="100"/>
                                </a:lnTo>
                                <a:lnTo>
                                  <a:pt x="15" y="89"/>
                                </a:lnTo>
                                <a:lnTo>
                                  <a:pt x="4" y="73"/>
                                </a:lnTo>
                                <a:lnTo>
                                  <a:pt x="0" y="52"/>
                                </a:lnTo>
                                <a:lnTo>
                                  <a:pt x="4" y="32"/>
                                </a:lnTo>
                                <a:lnTo>
                                  <a:pt x="15" y="15"/>
                                </a:lnTo>
                                <a:lnTo>
                                  <a:pt x="32" y="4"/>
                                </a:lnTo>
                                <a:lnTo>
                                  <a:pt x="52" y="0"/>
                                </a:lnTo>
                                <a:lnTo>
                                  <a:pt x="73" y="4"/>
                                </a:lnTo>
                                <a:lnTo>
                                  <a:pt x="89" y="15"/>
                                </a:lnTo>
                                <a:lnTo>
                                  <a:pt x="100" y="32"/>
                                </a:lnTo>
                                <a:lnTo>
                                  <a:pt x="105" y="52"/>
                                </a:lnTo>
                                <a:lnTo>
                                  <a:pt x="100" y="73"/>
                                </a:lnTo>
                                <a:lnTo>
                                  <a:pt x="89" y="89"/>
                                </a:lnTo>
                                <a:lnTo>
                                  <a:pt x="73" y="100"/>
                                </a:lnTo>
                                <a:lnTo>
                                  <a:pt x="52" y="105"/>
                                </a:lnTo>
                                <a:close/>
                              </a:path>
                            </a:pathLst>
                          </a:custGeom>
                          <a:solidFill>
                            <a:srgbClr val="FF0000"/>
                          </a:solidFill>
                          <a:ln>
                            <a:noFill/>
                          </a:ln>
                        </wps:spPr>
                        <wps:bodyPr upright="1"/>
                      </wps:wsp>
                      <wps:wsp>
                        <wps:cNvPr id="86" name="任意多边形 118"/>
                        <wps:cNvSpPr/>
                        <wps:spPr>
                          <a:xfrm>
                            <a:off x="8073" y="-3311"/>
                            <a:ext cx="105" cy="105"/>
                          </a:xfrm>
                          <a:custGeom>
                            <a:avLst/>
                            <a:gdLst/>
                            <a:ahLst/>
                            <a:cxnLst/>
                            <a:pathLst>
                              <a:path w="105" h="105">
                                <a:moveTo>
                                  <a:pt x="105" y="52"/>
                                </a:moveTo>
                                <a:lnTo>
                                  <a:pt x="100" y="73"/>
                                </a:lnTo>
                                <a:lnTo>
                                  <a:pt x="89" y="89"/>
                                </a:lnTo>
                                <a:lnTo>
                                  <a:pt x="73" y="100"/>
                                </a:lnTo>
                                <a:lnTo>
                                  <a:pt x="52" y="105"/>
                                </a:lnTo>
                                <a:lnTo>
                                  <a:pt x="32" y="100"/>
                                </a:lnTo>
                                <a:lnTo>
                                  <a:pt x="15" y="89"/>
                                </a:lnTo>
                                <a:lnTo>
                                  <a:pt x="4" y="73"/>
                                </a:lnTo>
                                <a:lnTo>
                                  <a:pt x="0" y="52"/>
                                </a:lnTo>
                                <a:lnTo>
                                  <a:pt x="4" y="32"/>
                                </a:lnTo>
                                <a:lnTo>
                                  <a:pt x="15" y="15"/>
                                </a:lnTo>
                                <a:lnTo>
                                  <a:pt x="32" y="4"/>
                                </a:lnTo>
                                <a:lnTo>
                                  <a:pt x="52" y="0"/>
                                </a:lnTo>
                                <a:lnTo>
                                  <a:pt x="73" y="4"/>
                                </a:lnTo>
                                <a:lnTo>
                                  <a:pt x="89" y="15"/>
                                </a:lnTo>
                                <a:lnTo>
                                  <a:pt x="100" y="32"/>
                                </a:lnTo>
                                <a:lnTo>
                                  <a:pt x="105" y="52"/>
                                </a:lnTo>
                              </a:path>
                            </a:pathLst>
                          </a:custGeom>
                          <a:noFill/>
                          <a:ln w="4445" cap="flat" cmpd="sng">
                            <a:solidFill>
                              <a:srgbClr val="000000"/>
                            </a:solidFill>
                            <a:prstDash val="solid"/>
                            <a:headEnd type="none" w="med" len="med"/>
                            <a:tailEnd type="none" w="med" len="med"/>
                          </a:ln>
                        </wps:spPr>
                        <wps:bodyPr upright="1"/>
                      </wps:wsp>
                      <pic:pic xmlns:pic="http://schemas.openxmlformats.org/drawingml/2006/picture">
                        <pic:nvPicPr>
                          <pic:cNvPr id="87" name="图片 119"/>
                          <pic:cNvPicPr>
                            <a:picLocks noChangeAspect="1"/>
                          </pic:cNvPicPr>
                        </pic:nvPicPr>
                        <pic:blipFill>
                          <a:blip r:embed="rId69"/>
                          <a:stretch>
                            <a:fillRect/>
                          </a:stretch>
                        </pic:blipFill>
                        <pic:spPr>
                          <a:xfrm>
                            <a:off x="6209" y="-2195"/>
                            <a:ext cx="112" cy="112"/>
                          </a:xfrm>
                          <a:prstGeom prst="rect">
                            <a:avLst/>
                          </a:prstGeom>
                          <a:noFill/>
                          <a:ln>
                            <a:noFill/>
                          </a:ln>
                        </pic:spPr>
                      </pic:pic>
                      <pic:pic xmlns:pic="http://schemas.openxmlformats.org/drawingml/2006/picture">
                        <pic:nvPicPr>
                          <pic:cNvPr id="88" name="图片 120"/>
                          <pic:cNvPicPr>
                            <a:picLocks noChangeAspect="1"/>
                          </pic:cNvPicPr>
                        </pic:nvPicPr>
                        <pic:blipFill>
                          <a:blip r:embed="rId70"/>
                          <a:stretch>
                            <a:fillRect/>
                          </a:stretch>
                        </pic:blipFill>
                        <pic:spPr>
                          <a:xfrm>
                            <a:off x="4307" y="-5063"/>
                            <a:ext cx="112" cy="112"/>
                          </a:xfrm>
                          <a:prstGeom prst="rect">
                            <a:avLst/>
                          </a:prstGeom>
                          <a:noFill/>
                          <a:ln>
                            <a:noFill/>
                          </a:ln>
                        </pic:spPr>
                      </pic:pic>
                      <wps:wsp>
                        <wps:cNvPr id="89" name="任意多边形 121"/>
                        <wps:cNvSpPr/>
                        <wps:spPr>
                          <a:xfrm>
                            <a:off x="6660" y="-3129"/>
                            <a:ext cx="105" cy="91"/>
                          </a:xfrm>
                          <a:custGeom>
                            <a:avLst/>
                            <a:gdLst/>
                            <a:ahLst/>
                            <a:cxnLst/>
                            <a:pathLst>
                              <a:path w="105" h="91">
                                <a:moveTo>
                                  <a:pt x="52" y="90"/>
                                </a:moveTo>
                                <a:lnTo>
                                  <a:pt x="32" y="87"/>
                                </a:lnTo>
                                <a:lnTo>
                                  <a:pt x="15" y="77"/>
                                </a:lnTo>
                                <a:lnTo>
                                  <a:pt x="4" y="63"/>
                                </a:lnTo>
                                <a:lnTo>
                                  <a:pt x="0" y="45"/>
                                </a:lnTo>
                                <a:lnTo>
                                  <a:pt x="4" y="27"/>
                                </a:lnTo>
                                <a:lnTo>
                                  <a:pt x="15" y="13"/>
                                </a:lnTo>
                                <a:lnTo>
                                  <a:pt x="32" y="3"/>
                                </a:lnTo>
                                <a:lnTo>
                                  <a:pt x="52" y="0"/>
                                </a:lnTo>
                                <a:lnTo>
                                  <a:pt x="73" y="3"/>
                                </a:lnTo>
                                <a:lnTo>
                                  <a:pt x="89" y="13"/>
                                </a:lnTo>
                                <a:lnTo>
                                  <a:pt x="101" y="27"/>
                                </a:lnTo>
                                <a:lnTo>
                                  <a:pt x="105" y="45"/>
                                </a:lnTo>
                                <a:lnTo>
                                  <a:pt x="101" y="63"/>
                                </a:lnTo>
                                <a:lnTo>
                                  <a:pt x="89" y="77"/>
                                </a:lnTo>
                                <a:lnTo>
                                  <a:pt x="73" y="87"/>
                                </a:lnTo>
                                <a:lnTo>
                                  <a:pt x="52" y="90"/>
                                </a:lnTo>
                                <a:close/>
                              </a:path>
                            </a:pathLst>
                          </a:custGeom>
                          <a:solidFill>
                            <a:srgbClr val="FF0000"/>
                          </a:solidFill>
                          <a:ln>
                            <a:noFill/>
                          </a:ln>
                        </wps:spPr>
                        <wps:bodyPr upright="1"/>
                      </wps:wsp>
                      <wps:wsp>
                        <wps:cNvPr id="90" name="任意多边形 122"/>
                        <wps:cNvSpPr/>
                        <wps:spPr>
                          <a:xfrm>
                            <a:off x="6660" y="-3129"/>
                            <a:ext cx="105" cy="91"/>
                          </a:xfrm>
                          <a:custGeom>
                            <a:avLst/>
                            <a:gdLst/>
                            <a:ahLst/>
                            <a:cxnLst/>
                            <a:pathLst>
                              <a:path w="105" h="91">
                                <a:moveTo>
                                  <a:pt x="105" y="45"/>
                                </a:moveTo>
                                <a:lnTo>
                                  <a:pt x="101" y="63"/>
                                </a:lnTo>
                                <a:lnTo>
                                  <a:pt x="89" y="77"/>
                                </a:lnTo>
                                <a:lnTo>
                                  <a:pt x="73" y="87"/>
                                </a:lnTo>
                                <a:lnTo>
                                  <a:pt x="52" y="90"/>
                                </a:lnTo>
                                <a:lnTo>
                                  <a:pt x="32" y="87"/>
                                </a:lnTo>
                                <a:lnTo>
                                  <a:pt x="15" y="77"/>
                                </a:lnTo>
                                <a:lnTo>
                                  <a:pt x="4" y="63"/>
                                </a:lnTo>
                                <a:lnTo>
                                  <a:pt x="0" y="45"/>
                                </a:lnTo>
                                <a:lnTo>
                                  <a:pt x="4" y="27"/>
                                </a:lnTo>
                                <a:lnTo>
                                  <a:pt x="15" y="13"/>
                                </a:lnTo>
                                <a:lnTo>
                                  <a:pt x="32" y="3"/>
                                </a:lnTo>
                                <a:lnTo>
                                  <a:pt x="52" y="0"/>
                                </a:lnTo>
                                <a:lnTo>
                                  <a:pt x="73" y="3"/>
                                </a:lnTo>
                                <a:lnTo>
                                  <a:pt x="89" y="13"/>
                                </a:lnTo>
                                <a:lnTo>
                                  <a:pt x="101" y="27"/>
                                </a:lnTo>
                                <a:lnTo>
                                  <a:pt x="105" y="45"/>
                                </a:lnTo>
                              </a:path>
                            </a:pathLst>
                          </a:custGeom>
                          <a:noFill/>
                          <a:ln w="4445" cap="flat" cmpd="sng">
                            <a:solidFill>
                              <a:srgbClr val="000000"/>
                            </a:solidFill>
                            <a:prstDash val="solid"/>
                            <a:headEnd type="none" w="med" len="med"/>
                            <a:tailEnd type="none" w="med" len="med"/>
                          </a:ln>
                        </wps:spPr>
                        <wps:bodyPr upright="1"/>
                      </wps:wsp>
                      <wps:wsp>
                        <wps:cNvPr id="91" name="任意多边形 123"/>
                        <wps:cNvSpPr/>
                        <wps:spPr>
                          <a:xfrm>
                            <a:off x="8283" y="-3982"/>
                            <a:ext cx="91" cy="105"/>
                          </a:xfrm>
                          <a:custGeom>
                            <a:avLst/>
                            <a:gdLst/>
                            <a:ahLst/>
                            <a:cxnLst/>
                            <a:pathLst>
                              <a:path w="91" h="105">
                                <a:moveTo>
                                  <a:pt x="45" y="105"/>
                                </a:moveTo>
                                <a:lnTo>
                                  <a:pt x="27" y="101"/>
                                </a:lnTo>
                                <a:lnTo>
                                  <a:pt x="13" y="90"/>
                                </a:lnTo>
                                <a:lnTo>
                                  <a:pt x="3" y="73"/>
                                </a:lnTo>
                                <a:lnTo>
                                  <a:pt x="0" y="53"/>
                                </a:lnTo>
                                <a:lnTo>
                                  <a:pt x="3" y="32"/>
                                </a:lnTo>
                                <a:lnTo>
                                  <a:pt x="13" y="15"/>
                                </a:lnTo>
                                <a:lnTo>
                                  <a:pt x="27" y="4"/>
                                </a:lnTo>
                                <a:lnTo>
                                  <a:pt x="45" y="0"/>
                                </a:lnTo>
                                <a:lnTo>
                                  <a:pt x="63" y="4"/>
                                </a:lnTo>
                                <a:lnTo>
                                  <a:pt x="77" y="15"/>
                                </a:lnTo>
                                <a:lnTo>
                                  <a:pt x="87" y="32"/>
                                </a:lnTo>
                                <a:lnTo>
                                  <a:pt x="90" y="53"/>
                                </a:lnTo>
                                <a:lnTo>
                                  <a:pt x="87" y="73"/>
                                </a:lnTo>
                                <a:lnTo>
                                  <a:pt x="77" y="90"/>
                                </a:lnTo>
                                <a:lnTo>
                                  <a:pt x="63" y="101"/>
                                </a:lnTo>
                                <a:lnTo>
                                  <a:pt x="45" y="105"/>
                                </a:lnTo>
                                <a:close/>
                              </a:path>
                            </a:pathLst>
                          </a:custGeom>
                          <a:solidFill>
                            <a:srgbClr val="FF0000"/>
                          </a:solidFill>
                          <a:ln>
                            <a:noFill/>
                          </a:ln>
                        </wps:spPr>
                        <wps:bodyPr upright="1"/>
                      </wps:wsp>
                      <wps:wsp>
                        <wps:cNvPr id="92" name="任意多边形 124"/>
                        <wps:cNvSpPr/>
                        <wps:spPr>
                          <a:xfrm>
                            <a:off x="8283" y="-3982"/>
                            <a:ext cx="91" cy="105"/>
                          </a:xfrm>
                          <a:custGeom>
                            <a:avLst/>
                            <a:gdLst/>
                            <a:ahLst/>
                            <a:cxnLst/>
                            <a:pathLst>
                              <a:path w="91" h="105">
                                <a:moveTo>
                                  <a:pt x="90" y="53"/>
                                </a:moveTo>
                                <a:lnTo>
                                  <a:pt x="87" y="73"/>
                                </a:lnTo>
                                <a:lnTo>
                                  <a:pt x="77" y="90"/>
                                </a:lnTo>
                                <a:lnTo>
                                  <a:pt x="63" y="101"/>
                                </a:lnTo>
                                <a:lnTo>
                                  <a:pt x="45" y="105"/>
                                </a:lnTo>
                                <a:lnTo>
                                  <a:pt x="27" y="101"/>
                                </a:lnTo>
                                <a:lnTo>
                                  <a:pt x="13" y="90"/>
                                </a:lnTo>
                                <a:lnTo>
                                  <a:pt x="3" y="73"/>
                                </a:lnTo>
                                <a:lnTo>
                                  <a:pt x="0" y="53"/>
                                </a:lnTo>
                                <a:lnTo>
                                  <a:pt x="3" y="32"/>
                                </a:lnTo>
                                <a:lnTo>
                                  <a:pt x="13" y="15"/>
                                </a:lnTo>
                                <a:lnTo>
                                  <a:pt x="27" y="4"/>
                                </a:lnTo>
                                <a:lnTo>
                                  <a:pt x="45" y="0"/>
                                </a:lnTo>
                                <a:lnTo>
                                  <a:pt x="63" y="4"/>
                                </a:lnTo>
                                <a:lnTo>
                                  <a:pt x="77" y="15"/>
                                </a:lnTo>
                                <a:lnTo>
                                  <a:pt x="87" y="32"/>
                                </a:lnTo>
                                <a:lnTo>
                                  <a:pt x="90" y="53"/>
                                </a:lnTo>
                              </a:path>
                            </a:pathLst>
                          </a:custGeom>
                          <a:noFill/>
                          <a:ln w="4445" cap="flat" cmpd="sng">
                            <a:solidFill>
                              <a:srgbClr val="000000"/>
                            </a:solidFill>
                            <a:prstDash val="solid"/>
                            <a:headEnd type="none" w="med" len="med"/>
                            <a:tailEnd type="none" w="med" len="med"/>
                          </a:ln>
                        </wps:spPr>
                        <wps:bodyPr upright="1"/>
                      </wps:wsp>
                      <wps:wsp>
                        <wps:cNvPr id="93" name="矩形 125"/>
                        <wps:cNvSpPr/>
                        <wps:spPr>
                          <a:xfrm>
                            <a:off x="9164" y="-5332"/>
                            <a:ext cx="749" cy="1043"/>
                          </a:xfrm>
                          <a:prstGeom prst="rect">
                            <a:avLst/>
                          </a:prstGeom>
                          <a:solidFill>
                            <a:srgbClr val="63C7C7"/>
                          </a:solidFill>
                          <a:ln>
                            <a:noFill/>
                          </a:ln>
                        </wps:spPr>
                        <wps:bodyPr upright="1"/>
                      </wps:wsp>
                      <wps:wsp>
                        <wps:cNvPr id="94" name="矩形 126"/>
                        <wps:cNvSpPr/>
                        <wps:spPr>
                          <a:xfrm>
                            <a:off x="9164" y="-5332"/>
                            <a:ext cx="749" cy="1043"/>
                          </a:xfrm>
                          <a:prstGeom prst="rect">
                            <a:avLst/>
                          </a:prstGeom>
                          <a:noFill/>
                          <a:ln w="4445" cap="flat" cmpd="sng">
                            <a:solidFill>
                              <a:srgbClr val="000000"/>
                            </a:solidFill>
                            <a:prstDash val="solid"/>
                            <a:miter/>
                            <a:headEnd type="none" w="med" len="med"/>
                            <a:tailEnd type="none" w="med" len="med"/>
                          </a:ln>
                        </wps:spPr>
                        <wps:bodyPr upright="1"/>
                      </wps:wsp>
                      <wps:wsp>
                        <wps:cNvPr id="95" name="任意多边形 127"/>
                        <wps:cNvSpPr/>
                        <wps:spPr>
                          <a:xfrm>
                            <a:off x="9220" y="-5172"/>
                            <a:ext cx="35" cy="35"/>
                          </a:xfrm>
                          <a:custGeom>
                            <a:avLst/>
                            <a:gdLst/>
                            <a:ahLst/>
                            <a:cxnLst/>
                            <a:pathLst>
                              <a:path w="35" h="35">
                                <a:moveTo>
                                  <a:pt x="27" y="35"/>
                                </a:moveTo>
                                <a:lnTo>
                                  <a:pt x="8" y="35"/>
                                </a:lnTo>
                                <a:lnTo>
                                  <a:pt x="0" y="27"/>
                                </a:lnTo>
                                <a:lnTo>
                                  <a:pt x="0" y="8"/>
                                </a:lnTo>
                                <a:lnTo>
                                  <a:pt x="8" y="0"/>
                                </a:lnTo>
                                <a:lnTo>
                                  <a:pt x="27" y="0"/>
                                </a:lnTo>
                                <a:lnTo>
                                  <a:pt x="35" y="8"/>
                                </a:lnTo>
                                <a:lnTo>
                                  <a:pt x="35" y="27"/>
                                </a:lnTo>
                                <a:lnTo>
                                  <a:pt x="27" y="35"/>
                                </a:lnTo>
                                <a:close/>
                              </a:path>
                            </a:pathLst>
                          </a:custGeom>
                          <a:solidFill>
                            <a:srgbClr val="FF0000"/>
                          </a:solidFill>
                          <a:ln>
                            <a:noFill/>
                          </a:ln>
                        </wps:spPr>
                        <wps:bodyPr upright="1"/>
                      </wps:wsp>
                      <wps:wsp>
                        <wps:cNvPr id="96" name="任意多边形 128"/>
                        <wps:cNvSpPr/>
                        <wps:spPr>
                          <a:xfrm>
                            <a:off x="9220" y="-5172"/>
                            <a:ext cx="35" cy="35"/>
                          </a:xfrm>
                          <a:custGeom>
                            <a:avLst/>
                            <a:gdLst/>
                            <a:ahLst/>
                            <a:cxnLst/>
                            <a:pathLst>
                              <a:path w="35" h="35">
                                <a:moveTo>
                                  <a:pt x="35" y="17"/>
                                </a:moveTo>
                                <a:lnTo>
                                  <a:pt x="35" y="27"/>
                                </a:lnTo>
                                <a:lnTo>
                                  <a:pt x="27" y="35"/>
                                </a:lnTo>
                                <a:lnTo>
                                  <a:pt x="17" y="35"/>
                                </a:lnTo>
                                <a:lnTo>
                                  <a:pt x="8" y="35"/>
                                </a:lnTo>
                                <a:lnTo>
                                  <a:pt x="0" y="27"/>
                                </a:lnTo>
                                <a:lnTo>
                                  <a:pt x="0" y="17"/>
                                </a:lnTo>
                                <a:lnTo>
                                  <a:pt x="0" y="8"/>
                                </a:lnTo>
                                <a:lnTo>
                                  <a:pt x="8" y="0"/>
                                </a:lnTo>
                                <a:lnTo>
                                  <a:pt x="17" y="0"/>
                                </a:lnTo>
                                <a:lnTo>
                                  <a:pt x="27" y="0"/>
                                </a:lnTo>
                                <a:lnTo>
                                  <a:pt x="35" y="8"/>
                                </a:lnTo>
                                <a:lnTo>
                                  <a:pt x="35" y="17"/>
                                </a:lnTo>
                              </a:path>
                            </a:pathLst>
                          </a:custGeom>
                          <a:noFill/>
                          <a:ln w="4445" cap="flat" cmpd="sng">
                            <a:solidFill>
                              <a:srgbClr val="000000"/>
                            </a:solidFill>
                            <a:prstDash val="solid"/>
                            <a:headEnd type="none" w="med" len="med"/>
                            <a:tailEnd type="none" w="med" len="med"/>
                          </a:ln>
                        </wps:spPr>
                        <wps:bodyPr upright="1"/>
                      </wps:wsp>
                      <wps:wsp>
                        <wps:cNvPr id="97" name="文本框 129"/>
                        <wps:cNvSpPr txBox="1"/>
                        <wps:spPr>
                          <a:xfrm>
                            <a:off x="9220" y="-6573"/>
                            <a:ext cx="272" cy="84"/>
                          </a:xfrm>
                          <a:prstGeom prst="rect">
                            <a:avLst/>
                          </a:prstGeom>
                          <a:noFill/>
                          <a:ln>
                            <a:noFill/>
                          </a:ln>
                        </wps:spPr>
                        <wps:txbx>
                          <w:txbxContent>
                            <w:p>
                              <w:pPr>
                                <w:spacing w:before="0" w:line="84" w:lineRule="exact"/>
                                <w:ind w:left="0" w:right="0" w:firstLine="0"/>
                                <w:jc w:val="left"/>
                                <w:rPr>
                                  <w:sz w:val="8"/>
                                </w:rPr>
                              </w:pPr>
                              <w:r>
                                <w:rPr>
                                  <w:w w:val="105"/>
                                  <w:sz w:val="8"/>
                                </w:rPr>
                                <w:t>分布图</w:t>
                              </w:r>
                            </w:p>
                          </w:txbxContent>
                        </wps:txbx>
                        <wps:bodyPr lIns="0" tIns="0" rIns="0" bIns="0" upright="1"/>
                      </wps:wsp>
                      <wps:wsp>
                        <wps:cNvPr id="98" name="文本框 130"/>
                        <wps:cNvSpPr txBox="1"/>
                        <wps:spPr>
                          <a:xfrm>
                            <a:off x="8808" y="-5845"/>
                            <a:ext cx="1028" cy="441"/>
                          </a:xfrm>
                          <a:prstGeom prst="rect">
                            <a:avLst/>
                          </a:prstGeom>
                          <a:noFill/>
                          <a:ln>
                            <a:noFill/>
                          </a:ln>
                        </wps:spPr>
                        <wps:txbx>
                          <w:txbxContent>
                            <w:p>
                              <w:pPr>
                                <w:spacing w:before="6" w:line="196" w:lineRule="auto"/>
                                <w:ind w:left="0" w:right="228" w:firstLine="0"/>
                                <w:jc w:val="both"/>
                                <w:rPr>
                                  <w:sz w:val="8"/>
                                </w:rPr>
                              </w:pPr>
                              <w:r>
                                <w:rPr>
                                  <w:w w:val="105"/>
                                  <w:sz w:val="8"/>
                                </w:rPr>
                                <w:t>最大值: 5.6885E+01 最小值: 2.0490E+01 平均值: 2.8004E+01</w:t>
                              </w:r>
                            </w:p>
                            <w:p>
                              <w:pPr>
                                <w:spacing w:before="7" w:line="93" w:lineRule="exact"/>
                                <w:ind w:left="0" w:right="0" w:firstLine="0"/>
                                <w:jc w:val="both"/>
                                <w:rPr>
                                  <w:sz w:val="8"/>
                                </w:rPr>
                              </w:pPr>
                              <w:r>
                                <w:rPr>
                                  <w:w w:val="105"/>
                                  <w:sz w:val="8"/>
                                </w:rPr>
                                <w:t>高×宽: 25.40×29.63 cm</w:t>
                              </w:r>
                            </w:p>
                            <w:p>
                              <w:pPr>
                                <w:spacing w:before="0" w:line="83" w:lineRule="exact"/>
                                <w:ind w:left="0" w:right="0" w:firstLine="0"/>
                                <w:jc w:val="both"/>
                                <w:rPr>
                                  <w:sz w:val="8"/>
                                </w:rPr>
                              </w:pPr>
                              <w:r>
                                <w:rPr>
                                  <w:w w:val="105"/>
                                  <w:sz w:val="8"/>
                                </w:rPr>
                                <w:t>比例尺: 1: 1,180</w:t>
                              </w:r>
                            </w:p>
                          </w:txbxContent>
                        </wps:txbx>
                        <wps:bodyPr lIns="0" tIns="0" rIns="0" bIns="0" upright="1"/>
                      </wps:wsp>
                      <wps:wsp>
                        <wps:cNvPr id="99" name="文本框 131"/>
                        <wps:cNvSpPr txBox="1"/>
                        <wps:spPr>
                          <a:xfrm>
                            <a:off x="4338" y="-5182"/>
                            <a:ext cx="83" cy="126"/>
                          </a:xfrm>
                          <a:prstGeom prst="rect">
                            <a:avLst/>
                          </a:prstGeom>
                          <a:noFill/>
                          <a:ln>
                            <a:noFill/>
                          </a:ln>
                        </wps:spPr>
                        <wps:txbx>
                          <w:txbxContent>
                            <w:p>
                              <w:pPr>
                                <w:spacing w:before="0" w:line="125" w:lineRule="exact"/>
                                <w:ind w:left="0" w:right="0" w:firstLine="0"/>
                                <w:jc w:val="left"/>
                                <w:rPr>
                                  <w:rFonts w:ascii="Arial"/>
                                  <w:b/>
                                  <w:sz w:val="11"/>
                                </w:rPr>
                              </w:pPr>
                              <w:r>
                                <w:rPr>
                                  <w:rFonts w:ascii="Arial"/>
                                  <w:b/>
                                  <w:color w:val="FF0000"/>
                                  <w:w w:val="101"/>
                                  <w:sz w:val="11"/>
                                </w:rPr>
                                <w:t>7</w:t>
                              </w:r>
                            </w:p>
                          </w:txbxContent>
                        </wps:txbx>
                        <wps:bodyPr lIns="0" tIns="0" rIns="0" bIns="0" upright="1"/>
                      </wps:wsp>
                      <wps:wsp>
                        <wps:cNvPr id="100" name="文本框 132"/>
                        <wps:cNvSpPr txBox="1"/>
                        <wps:spPr>
                          <a:xfrm>
                            <a:off x="9304" y="-5272"/>
                            <a:ext cx="608" cy="924"/>
                          </a:xfrm>
                          <a:prstGeom prst="rect">
                            <a:avLst/>
                          </a:prstGeom>
                          <a:noFill/>
                          <a:ln>
                            <a:noFill/>
                          </a:ln>
                        </wps:spPr>
                        <wps:txbx>
                          <w:txbxContent>
                            <w:p>
                              <w:pPr>
                                <w:spacing w:before="6" w:line="196" w:lineRule="auto"/>
                                <w:ind w:left="0" w:right="200" w:firstLine="69"/>
                                <w:jc w:val="left"/>
                                <w:rPr>
                                  <w:sz w:val="8"/>
                                </w:rPr>
                              </w:pPr>
                              <w:r>
                                <w:rPr>
                                  <w:w w:val="105"/>
                                  <w:sz w:val="8"/>
                                </w:rPr>
                                <w:t>标志图例污染源</w:t>
                              </w:r>
                            </w:p>
                            <w:p>
                              <w:pPr>
                                <w:spacing w:before="0" w:line="79" w:lineRule="exact"/>
                                <w:ind w:left="41" w:right="0" w:firstLine="0"/>
                                <w:jc w:val="left"/>
                                <w:rPr>
                                  <w:sz w:val="8"/>
                                </w:rPr>
                              </w:pPr>
                              <w:r>
                                <w:rPr>
                                  <w:w w:val="105"/>
                                  <w:sz w:val="8"/>
                                </w:rPr>
                                <w:t>1--皮带运输机</w:t>
                              </w:r>
                            </w:p>
                            <w:p>
                              <w:pPr>
                                <w:spacing w:before="0" w:line="84" w:lineRule="exact"/>
                                <w:ind w:left="41" w:right="0" w:firstLine="0"/>
                                <w:jc w:val="left"/>
                                <w:rPr>
                                  <w:sz w:val="8"/>
                                </w:rPr>
                              </w:pPr>
                              <w:r>
                                <w:rPr>
                                  <w:w w:val="105"/>
                                  <w:sz w:val="8"/>
                                </w:rPr>
                                <w:t>2--通风机房1</w:t>
                              </w:r>
                            </w:p>
                            <w:p>
                              <w:pPr>
                                <w:spacing w:before="0" w:line="84" w:lineRule="exact"/>
                                <w:ind w:left="41" w:right="0" w:firstLine="0"/>
                                <w:jc w:val="left"/>
                                <w:rPr>
                                  <w:sz w:val="8"/>
                                </w:rPr>
                              </w:pPr>
                              <w:r>
                                <w:rPr>
                                  <w:w w:val="105"/>
                                  <w:sz w:val="8"/>
                                </w:rPr>
                                <w:t>3--通风机房2</w:t>
                              </w:r>
                            </w:p>
                            <w:p>
                              <w:pPr>
                                <w:spacing w:before="0" w:line="84" w:lineRule="exact"/>
                                <w:ind w:left="41" w:right="0" w:firstLine="0"/>
                                <w:jc w:val="left"/>
                                <w:rPr>
                                  <w:sz w:val="8"/>
                                </w:rPr>
                              </w:pPr>
                              <w:r>
                                <w:rPr>
                                  <w:w w:val="105"/>
                                  <w:sz w:val="8"/>
                                </w:rPr>
                                <w:t>4--鼓风机</w:t>
                              </w:r>
                            </w:p>
                            <w:p>
                              <w:pPr>
                                <w:spacing w:before="0" w:line="84" w:lineRule="exact"/>
                                <w:ind w:left="41" w:right="0" w:firstLine="0"/>
                                <w:jc w:val="left"/>
                                <w:rPr>
                                  <w:sz w:val="8"/>
                                </w:rPr>
                              </w:pPr>
                              <w:r>
                                <w:rPr>
                                  <w:w w:val="105"/>
                                  <w:sz w:val="8"/>
                                </w:rPr>
                                <w:t>5--引风机</w:t>
                              </w:r>
                            </w:p>
                            <w:p>
                              <w:pPr>
                                <w:spacing w:before="0" w:line="84" w:lineRule="exact"/>
                                <w:ind w:left="41" w:right="0" w:firstLine="0"/>
                                <w:jc w:val="left"/>
                                <w:rPr>
                                  <w:sz w:val="8"/>
                                </w:rPr>
                              </w:pPr>
                              <w:r>
                                <w:rPr>
                                  <w:w w:val="105"/>
                                  <w:sz w:val="8"/>
                                </w:rPr>
                                <w:t>6--振动筛</w:t>
                              </w:r>
                            </w:p>
                            <w:p>
                              <w:pPr>
                                <w:spacing w:before="0" w:line="84" w:lineRule="exact"/>
                                <w:ind w:left="41" w:right="0" w:firstLine="0"/>
                                <w:jc w:val="left"/>
                                <w:rPr>
                                  <w:sz w:val="8"/>
                                </w:rPr>
                              </w:pPr>
                              <w:r>
                                <w:rPr>
                                  <w:w w:val="105"/>
                                  <w:sz w:val="8"/>
                                </w:rPr>
                                <w:t>7--提升绞车</w:t>
                              </w:r>
                            </w:p>
                            <w:p>
                              <w:pPr>
                                <w:spacing w:before="0" w:line="84" w:lineRule="exact"/>
                                <w:ind w:left="41" w:right="0" w:firstLine="0"/>
                                <w:jc w:val="left"/>
                                <w:rPr>
                                  <w:sz w:val="8"/>
                                </w:rPr>
                              </w:pPr>
                              <w:r>
                                <w:rPr>
                                  <w:w w:val="105"/>
                                  <w:sz w:val="8"/>
                                </w:rPr>
                                <w:t>8--水泵</w:t>
                              </w:r>
                            </w:p>
                            <w:p>
                              <w:pPr>
                                <w:spacing w:before="0" w:line="83" w:lineRule="exact"/>
                                <w:ind w:left="41" w:right="0" w:firstLine="0"/>
                                <w:jc w:val="left"/>
                                <w:rPr>
                                  <w:sz w:val="8"/>
                                </w:rPr>
                              </w:pPr>
                              <w:r>
                                <w:rPr>
                                  <w:w w:val="105"/>
                                  <w:sz w:val="8"/>
                                </w:rPr>
                                <w:t>9--车间</w:t>
                              </w:r>
                            </w:p>
                          </w:txbxContent>
                        </wps:txbx>
                        <wps:bodyPr lIns="0" tIns="0" rIns="0" bIns="0" upright="1"/>
                      </wps:wsp>
                      <wps:wsp>
                        <wps:cNvPr id="101" name="文本框 133"/>
                        <wps:cNvSpPr txBox="1"/>
                        <wps:spPr>
                          <a:xfrm>
                            <a:off x="8297" y="-4105"/>
                            <a:ext cx="83" cy="126"/>
                          </a:xfrm>
                          <a:prstGeom prst="rect">
                            <a:avLst/>
                          </a:prstGeom>
                          <a:noFill/>
                          <a:ln>
                            <a:noFill/>
                          </a:ln>
                        </wps:spPr>
                        <wps:txbx>
                          <w:txbxContent>
                            <w:p>
                              <w:pPr>
                                <w:spacing w:before="0" w:line="125" w:lineRule="exact"/>
                                <w:ind w:left="0" w:right="0" w:firstLine="0"/>
                                <w:jc w:val="left"/>
                                <w:rPr>
                                  <w:rFonts w:ascii="Arial"/>
                                  <w:b/>
                                  <w:sz w:val="11"/>
                                </w:rPr>
                              </w:pPr>
                              <w:r>
                                <w:rPr>
                                  <w:rFonts w:ascii="Arial"/>
                                  <w:b/>
                                  <w:color w:val="FF0000"/>
                                  <w:w w:val="101"/>
                                  <w:sz w:val="11"/>
                                </w:rPr>
                                <w:t>9</w:t>
                              </w:r>
                            </w:p>
                          </w:txbxContent>
                        </wps:txbx>
                        <wps:bodyPr lIns="0" tIns="0" rIns="0" bIns="0" upright="1"/>
                      </wps:wsp>
                      <wps:wsp>
                        <wps:cNvPr id="102" name="文本框 134"/>
                        <wps:cNvSpPr txBox="1"/>
                        <wps:spPr>
                          <a:xfrm>
                            <a:off x="8010" y="-3503"/>
                            <a:ext cx="174" cy="196"/>
                          </a:xfrm>
                          <a:prstGeom prst="rect">
                            <a:avLst/>
                          </a:prstGeom>
                          <a:noFill/>
                          <a:ln>
                            <a:noFill/>
                          </a:ln>
                        </wps:spPr>
                        <wps:txbx>
                          <w:txbxContent>
                            <w:p>
                              <w:pPr>
                                <w:spacing w:before="0" w:line="235" w:lineRule="auto"/>
                                <w:ind w:left="0" w:right="0" w:firstLine="0"/>
                                <w:jc w:val="left"/>
                                <w:rPr>
                                  <w:rFonts w:ascii="Arial"/>
                                  <w:b/>
                                  <w:sz w:val="11"/>
                                </w:rPr>
                              </w:pPr>
                              <w:r>
                                <w:rPr>
                                  <w:rFonts w:ascii="Arial"/>
                                  <w:b/>
                                  <w:color w:val="FF0000"/>
                                  <w:sz w:val="11"/>
                                </w:rPr>
                                <w:t xml:space="preserve">4 </w:t>
                              </w:r>
                              <w:r>
                                <w:rPr>
                                  <w:rFonts w:ascii="Arial"/>
                                  <w:b/>
                                  <w:color w:val="FF0000"/>
                                  <w:position w:val="-6"/>
                                  <w:sz w:val="11"/>
                                </w:rPr>
                                <w:t>5</w:t>
                              </w:r>
                            </w:p>
                          </w:txbxContent>
                        </wps:txbx>
                        <wps:bodyPr lIns="0" tIns="0" rIns="0" bIns="0" upright="1"/>
                      </wps:wsp>
                      <wps:wsp>
                        <wps:cNvPr id="103" name="文本框 135"/>
                        <wps:cNvSpPr txBox="1"/>
                        <wps:spPr>
                          <a:xfrm>
                            <a:off x="6688" y="-3251"/>
                            <a:ext cx="83" cy="126"/>
                          </a:xfrm>
                          <a:prstGeom prst="rect">
                            <a:avLst/>
                          </a:prstGeom>
                          <a:noFill/>
                          <a:ln>
                            <a:noFill/>
                          </a:ln>
                        </wps:spPr>
                        <wps:txbx>
                          <w:txbxContent>
                            <w:p>
                              <w:pPr>
                                <w:spacing w:before="0" w:line="125" w:lineRule="exact"/>
                                <w:ind w:left="0" w:right="0" w:firstLine="0"/>
                                <w:jc w:val="left"/>
                                <w:rPr>
                                  <w:rFonts w:ascii="Arial"/>
                                  <w:b/>
                                  <w:sz w:val="11"/>
                                </w:rPr>
                              </w:pPr>
                              <w:r>
                                <w:rPr>
                                  <w:rFonts w:ascii="Arial"/>
                                  <w:b/>
                                  <w:color w:val="FF0000"/>
                                  <w:w w:val="101"/>
                                  <w:sz w:val="11"/>
                                </w:rPr>
                                <w:t>8</w:t>
                              </w:r>
                            </w:p>
                          </w:txbxContent>
                        </wps:txbx>
                        <wps:bodyPr lIns="0" tIns="0" rIns="0" bIns="0" upright="1"/>
                      </wps:wsp>
                      <wps:wsp>
                        <wps:cNvPr id="104" name="文本框 136"/>
                        <wps:cNvSpPr txBox="1"/>
                        <wps:spPr>
                          <a:xfrm>
                            <a:off x="4989" y="-3076"/>
                            <a:ext cx="83" cy="126"/>
                          </a:xfrm>
                          <a:prstGeom prst="rect">
                            <a:avLst/>
                          </a:prstGeom>
                          <a:noFill/>
                          <a:ln>
                            <a:noFill/>
                          </a:ln>
                        </wps:spPr>
                        <wps:txbx>
                          <w:txbxContent>
                            <w:p>
                              <w:pPr>
                                <w:spacing w:before="0" w:line="125" w:lineRule="exact"/>
                                <w:ind w:left="0" w:right="0" w:firstLine="0"/>
                                <w:jc w:val="left"/>
                                <w:rPr>
                                  <w:rFonts w:ascii="Arial"/>
                                  <w:b/>
                                  <w:sz w:val="11"/>
                                </w:rPr>
                              </w:pPr>
                              <w:r>
                                <w:rPr>
                                  <w:rFonts w:ascii="Arial"/>
                                  <w:b/>
                                  <w:color w:val="FF0000"/>
                                  <w:w w:val="101"/>
                                  <w:sz w:val="11"/>
                                </w:rPr>
                                <w:t>1</w:t>
                              </w:r>
                            </w:p>
                          </w:txbxContent>
                        </wps:txbx>
                        <wps:bodyPr lIns="0" tIns="0" rIns="0" bIns="0" upright="1"/>
                      </wps:wsp>
                      <wps:wsp>
                        <wps:cNvPr id="105" name="文本框 137"/>
                        <wps:cNvSpPr txBox="1"/>
                        <wps:spPr>
                          <a:xfrm>
                            <a:off x="6241" y="-2314"/>
                            <a:ext cx="83" cy="126"/>
                          </a:xfrm>
                          <a:prstGeom prst="rect">
                            <a:avLst/>
                          </a:prstGeom>
                          <a:noFill/>
                          <a:ln>
                            <a:noFill/>
                          </a:ln>
                        </wps:spPr>
                        <wps:txbx>
                          <w:txbxContent>
                            <w:p>
                              <w:pPr>
                                <w:spacing w:before="0" w:line="125" w:lineRule="exact"/>
                                <w:ind w:left="0" w:right="0" w:firstLine="0"/>
                                <w:jc w:val="left"/>
                                <w:rPr>
                                  <w:rFonts w:ascii="Arial"/>
                                  <w:b/>
                                  <w:sz w:val="11"/>
                                </w:rPr>
                              </w:pPr>
                              <w:r>
                                <w:rPr>
                                  <w:rFonts w:ascii="Arial"/>
                                  <w:b/>
                                  <w:color w:val="FF0000"/>
                                  <w:w w:val="101"/>
                                  <w:sz w:val="11"/>
                                </w:rPr>
                                <w:t>6</w:t>
                              </w:r>
                            </w:p>
                          </w:txbxContent>
                        </wps:txbx>
                        <wps:bodyPr lIns="0" tIns="0" rIns="0" bIns="0" upright="1"/>
                      </wps:wsp>
                      <wps:wsp>
                        <wps:cNvPr id="106" name="文本框 138"/>
                        <wps:cNvSpPr txBox="1"/>
                        <wps:spPr>
                          <a:xfrm>
                            <a:off x="7003" y="-2405"/>
                            <a:ext cx="83" cy="126"/>
                          </a:xfrm>
                          <a:prstGeom prst="rect">
                            <a:avLst/>
                          </a:prstGeom>
                          <a:noFill/>
                          <a:ln>
                            <a:noFill/>
                          </a:ln>
                        </wps:spPr>
                        <wps:txbx>
                          <w:txbxContent>
                            <w:p>
                              <w:pPr>
                                <w:spacing w:before="0" w:line="125" w:lineRule="exact"/>
                                <w:ind w:left="0" w:right="0" w:firstLine="0"/>
                                <w:jc w:val="left"/>
                                <w:rPr>
                                  <w:rFonts w:ascii="Arial"/>
                                  <w:b/>
                                  <w:sz w:val="11"/>
                                </w:rPr>
                              </w:pPr>
                              <w:r>
                                <w:rPr>
                                  <w:rFonts w:ascii="Arial"/>
                                  <w:b/>
                                  <w:color w:val="FF0000"/>
                                  <w:spacing w:val="-63"/>
                                  <w:w w:val="101"/>
                                  <w:sz w:val="11"/>
                                </w:rPr>
                                <w:t>3</w:t>
                              </w:r>
                              <w:r>
                                <w:rPr>
                                  <w:rFonts w:ascii="Arial"/>
                                  <w:b/>
                                  <w:color w:val="FF0000"/>
                                  <w:w w:val="101"/>
                                  <w:sz w:val="11"/>
                                </w:rPr>
                                <w:t>2</w:t>
                              </w:r>
                            </w:p>
                          </w:txbxContent>
                        </wps:txbx>
                        <wps:bodyPr lIns="0" tIns="0" rIns="0" bIns="0" upright="1"/>
                      </wps:wsp>
                    </wpg:wgp>
                  </a:graphicData>
                </a:graphic>
              </wp:anchor>
            </w:drawing>
          </mc:Choice>
          <mc:Fallback>
            <w:pict>
              <v:group id="组合 87" o:spid="_x0000_s1026" o:spt="203" style="position:absolute;left:0pt;margin-left:101.5pt;margin-top:-336.85pt;height:341.4pt;width:397.3pt;mso-position-horizontal-relative:page;z-index:-290510848;mso-width-relative:page;mso-height-relative:page;" coordorigin="2031,-6738" coordsize="7946,6828" o:gfxdata="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">
                <o:lock v:ext="edit" aspectratio="f"/>
                <v:shape id="图片 88" o:spid="_x0000_s1026" o:spt="75" alt="" type="#_x0000_t75" style="position:absolute;left:2723;top:-6641;height:6268;width:6092;" filled="f" o:preferrelative="t" stroked="f" coordsize="21600,21600" o:gfxdata="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CVHJvQAA&#10;ANsAAAAPAAAAAAAAAAEAIAAAACIAAABkcnMvZG93bnJldi54bWxQSwECFAAUAAAACACHTuJAMy8F&#10;njsAAAA5AAAAEAAAAAAAAAABACAAAAAMAQAAZHJzL3NoYXBleG1sLnhtbFBLBQYAAAAABgAGAFsB&#10;AAC2AwAAAAA=&#10;">
                  <v:fill on="f" focussize="0,0"/>
                  <v:stroke on="f"/>
                  <v:imagedata r:id="rId61" o:title=""/>
                  <o:lock v:ext="edit" aspectratio="t"/>
                </v:shape>
                <v:shape id="图片 89" o:spid="_x0000_s1026" o:spt="75" alt="" type="#_x0000_t75" style="position:absolute;left:3527;top:-303;height:343;width:322;" filled="f" o:preferrelative="t" stroked="f" coordsize="21600,21600" o:gfxdata="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cKwKvQAA&#10;ANsAAAAPAAAAAAAAAAEAIAAAACIAAABkcnMvZG93bnJldi54bWxQSwECFAAUAAAACACHTuJAMy8F&#10;njsAAAA5AAAAEAAAAAAAAAABACAAAAAMAQAAZHJzL3NoYXBleG1sLnhtbFBLBQYAAAAABgAGAFsB&#10;AAC2AwAAAAA=&#10;">
                  <v:fill on="f" focussize="0,0"/>
                  <v:stroke on="f"/>
                  <v:imagedata r:id="rId62" o:title=""/>
                  <o:lock v:ext="edit" aspectratio="t"/>
                </v:shape>
                <v:shape id="任意多边形 90" o:spid="_x0000_s1026" o:spt="100" style="position:absolute;left:2632;top:408;height:6107;width:6638;" filled="f" stroked="t" coordsize="6638,6107" o:gfxdata="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BMmavQAA&#10;ANsAAAAPAAAAAAAAAAEAIAAAACIAAABkcnMvZG93bnJldi54bWxQSwECFAAUAAAACACHTuJAMy8F&#10;njsAAAA5AAAAEAAAAAAAAAABACAAAAAMAQAAZHJzL3NoYXBleG1sLnhtbFBLBQYAAAAABgAGAFsB&#10;AAC2AwAAAAA=&#10;" path="m728,-921l721,-935,686,-984,644,-1047,574,-1152,567,-1159,504,-1271,462,-1348,441,-1383,385,-1495,350,-1565,329,-1607,280,-1719,238,-1831,196,-1943,161,-2055,126,-2166,126,-2180,98,-2278,77,-2390,70,-2418m28,-2698l21,-2726,14,-2803,7,-2838,0,-2950,0,-3062,0,-3174,0,-3286,7,-3398,14,-3454,21,-3510,35,-3621,49,-3733,70,-3845,91,-3957,119,-4069,126,-4097,147,-4181,182,-4293,210,-4405,224,-4440m308,-4706l315,-4741,350,-4839,357,-4853,392,-4964,427,-5076,462,-5181,462,-5188,504,-5300,546,-5412,574,-5482,588,-5524,644,-5636,686,-5720,700,-5748,770,-5860,798,-5895,854,-5972,910,-6035,959,-6084,1021,-6147m1252,-6308l1259,-6308,1357,-6357,1469,-6405,1532,-6419,1581,-6433,1693,-6461,1805,-6475,1917,-6482,2029,-6482,2141,-6475,2252,-6461,2364,-6440,2476,-6426,2497,-6419,2588,-6405,2700,-6378,2812,-6357,2840,-6350m3120,-6301l3148,-6294,3260,-6280,3371,-6259,3483,-6245,3595,-6224,3707,-6210,3770,-6196,3819,-6189,3931,-6168,4043,-6147,4155,-6126,4267,-6098,4323,-6084,4379,-6070,4490,-6042,4602,-6014,4714,-5979,4749,-5965m5015,-5881l5050,-5867,5071,-5860,5162,-5825,5274,-5783,5358,-5748,5386,-5734,5498,-5685,5610,-5636,5721,-5580,5826,-5524,5833,-5517,5945,-5454,6015,-5412,6057,-5384,6169,-5300,6176,-5300,6281,-5216,6309,-5188,6393,-5111,6428,-5076,6428,-5069m6638,-1089l6617,-1047,6547,-935,6505,-872,6470,-823,6393,-718,6386,-711,6295,-600,6281,-579,6197,-488,6169,-460,6092,-376e">
                  <v:fill on="f" focussize="0,0"/>
                  <v:stroke weight="0.698976377952756pt" color="#000000" joinstyle="round"/>
                  <v:imagedata o:title=""/>
                  <o:lock v:ext="edit" aspectratio="f"/>
                </v:shape>
                <v:shape id="图片 91" o:spid="_x0000_s1026" o:spt="75" alt="" type="#_x0000_t75" style="position:absolute;left:3513;top:-310;height:350;width:336;" filled="f" o:preferrelative="t" stroked="f" coordsize="21600,21600" o:gfxdata="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hTsb7gAAADbAAAA&#10;DwAAAAAAAAABACAAAAAiAAAAZHJzL2Rvd25yZXYueG1sUEsBAhQAFAAAAAgAh07iQDMvBZ47AAAA&#10;OQAAABAAAAAAAAAAAQAgAAAABwEAAGRycy9zaGFwZXhtbC54bWxQSwUGAAAAAAYABgBbAQAAsQMA&#10;AAAA&#10;">
                  <v:fill on="f" focussize="0,0"/>
                  <v:stroke on="f"/>
                  <v:imagedata r:id="rId63" o:title=""/>
                  <o:lock v:ext="edit" aspectratio="t"/>
                </v:shape>
                <v:shape id="任意多边形 92" o:spid="_x0000_s1026" o:spt="100" style="position:absolute;left:2632;top:408;height:6107;width:7134;" filled="f" stroked="t" coordsize="7134,6107" o:gfxdata="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OlH4q5AAAA2wAA&#10;AA8AAAAAAAAAAQAgAAAAIgAAAGRycy9kb3ducmV2LnhtbFBLAQIUABQAAAAIAIdO4kAzLwWeOwAA&#10;ADkAAAAQAAAAAAAAAAEAIAAAAAgBAABkcnMvc2hhcGV4bWwueG1sUEsFBgAAAAAGAAYAWwEAALID&#10;AAAAAA==&#10;" path="m735,-914l721,-935,686,-984,644,-1047,574,-1152,567,-1159,504,-1271,462,-1348,441,-1383,385,-1495,350,-1565,329,-1607,280,-1719,238,-1831,196,-1943,161,-2055,126,-2166,126,-2180,98,-2278,77,-2390,70,-2432m28,-2684l21,-2726,14,-2803,7,-2838,0,-2950,0,-3062,0,-3174,0,-3286,7,-3398,14,-3454,21,-3510,35,-3621,49,-3733,70,-3845,91,-3957,119,-4069,126,-4097,147,-4181,182,-4293,210,-4405,224,-4454m301,-4692l315,-4741,350,-4839,357,-4853,392,-4964,427,-5076,462,-5181,462,-5188,504,-5300,546,-5412,574,-5482,588,-5524,644,-5636,686,-5720,700,-5748,770,-5860,798,-5895,854,-5972,910,-6035,959,-6084,1021,-6147,1028,-6154m1238,-6294l1245,-6301,1259,-6308,1357,-6357,1469,-6405,1532,-6419,1581,-6433,1693,-6461,1805,-6475,1917,-6482,2029,-6482,2141,-6475,2252,-6461,2364,-6440,2476,-6426,2497,-6419,2588,-6405,2700,-6378,2812,-6357,2826,-6357m3071,-6308l3085,-6308,3148,-6294,3260,-6280,3371,-6259,3483,-6245,3595,-6224,3707,-6210,3770,-6196,3819,-6189,3931,-6168,4043,-6147,4155,-6126,4267,-6098,4323,-6084,4379,-6070,4490,-6042,4602,-6014,4714,-5979,4763,-5965m5001,-5881l5050,-5867,5071,-5860,5162,-5825,5274,-5783,5358,-5748,5386,-5734,5498,-5685,5610,-5636,5721,-5580,5826,-5524,5833,-5517,5945,-5454,6015,-5412,6057,-5384,6169,-5300,6176,-5300,6281,-5216,6309,-5188,6393,-5111,6428,-5076,6442,-5062m6610,-4860l6610,-4853,6617,-4846,6687,-4741,6729,-4671,6757,-4629,6812,-4517,6840,-4454,6861,-4405,6910,-4293,6952,-4181,6952,-4174,6987,-4069,7015,-3957,7043,-3845,7064,-3740,7064,-3733,7085,-3621,7106,-3510,7113,-3398,7127,-3286,7127,-3258m6603,-4867l6610,-4853,6617,-4846,6687,-4741,6729,-4671,6757,-4629,6812,-4517,6840,-4454,6861,-4405,6910,-4293,6952,-4181,6952,-4174,6987,-4069,7015,-3957,7043,-3845,7064,-3740,7064,-3733,7085,-3621,7106,-3510,7113,-3398,7127,-3286,7127,-3244m7134,-2978l7134,-2950,7134,-2838,7127,-2726,7120,-2614,7106,-2502,7092,-2390,7078,-2278,7064,-2222,7050,-2166,7029,-2055,7001,-1943,6966,-1831,6952,-1789,6931,-1719,6889,-1607,6847,-1495,6840,-1488,6792,-1383,6771,-1341m7134,-2992l7134,-2950,7134,-2838,7127,-2726,7120,-2614,7106,-2502,7092,-2390,7078,-2278,7064,-2222,7050,-2166,7029,-2055,7001,-1943,6966,-1831,6952,-1789,6931,-1719,6889,-1607,6847,-1495,6840,-1488,6792,-1383m6680,-1159l6617,-1047,6547,-935,6505,-872,6470,-823,6393,-718,6386,-711,6295,-600,6281,-579,6197,-488,6169,-460,6092,-376m3910,-823l3875,-823m3630,-816l3595,-809,3483,-823,3469,-823,3371,-837,3260,-858,3148,-886,3036,-921,3001,-935,2924,-963,2812,-1019,2756,-1047,2700,-1075,2588,-1145,2574,-1159,2476,-1229,2420,-1271,2364,-1320,2294,-1383,2252,-1425,2182,-1495,2168,-1509m2001,-1705l1987,-1719,1917,-1817,1903,-1831,1826,-1943,1805,-1971,1749,-2055,1693,-2145,1679,-2166,1616,-2278,1581,-2341,1553,-2390,1497,-2502,1469,-2565,1448,-2614,1406,-2726,1371,-2838,1357,-2901,1343,-2950,1322,-3062,1315,-3174,1315,-3216m1336,-3468l1343,-3510,1357,-3579,1371,-3621,1406,-3733,1455,-3845,1469,-3873,1518,-3957,1581,-4048,1595,-4069,1686,-4181,1693,-4188,1805,-4293,1917,-4384,1945,-4405,2029,-4461,2141,-4510,2168,-4517,2252,-4545,2364,-4573,2476,-4587,2518,-4587m2770,-4601l2812,-4601,2924,-4601,3036,-4601,3148,-4601,3260,-4594,3371,-4594,3483,-4587,3595,-4580,3707,-4573,3819,-4566,3931,-4552,4043,-4538,4148,-4517,4155,-4517,4267,-4489,4379,-4461,4490,-4433,4539,-4412m4777,-4342l4826,-4328,4938,-4307,5050,-4300,5162,-4314,5274,-4370,5302,-4405,5386,-4475,5421,-4517,5498,-4573,5610,-4615,5721,-4622,5833,-4580,5910,-4517,5945,-4454,5973,-4405,5994,-4293,5973,-4181,5945,-4104,5931,-4069,5931,-4027m5931,-3775l5931,-3733,5924,-3621,5910,-3510,5875,-3398,5833,-3293,5826,-3286,5784,-3174,5749,-3062,5728,-2950,5721,-2873,5714,-2838,5707,-2726,5693,-2614,5679,-2502,5658,-2390,5631,-2278,5610,-2222,5596,-2166m5498,-1936l5442,-1831,5386,-1740,5372,-1719,5295,-1607,5274,-1579,5204,-1495,5162,-1453,5092,-1383,5050,-1341,4966,-1271,4938,-1250,4826,-1166,4812,-1159,4714,-1096,4630,-1047,4602,-1033,4490,-977,4379,-935,4267,-893,4155,-865,4043,-844,3931,-823,3910,-823m1980,-4964l1917,-4923,1805,-4909,1693,-4923m1469,-5041l1469,-5048,1441,-5076,1364,-5188,1357,-5209,1322,-5300,1315,-5412,1336,-5524,1357,-5566,1392,-5636,1469,-5720,1511,-5748,1581,-5790,1693,-5825,1805,-5825,1917,-5790,1987,-5748,2029,-5720,2106,-5636,2141,-5573,2168,-5524,2196,-5412,2196,-5300,2168,-5188,2141,-5132,2106,-5076,2029,-4992,1980,-4964m4162,-1719l4113,-1705m3868,-1635l3819,-1614,3707,-1607,3595,-1614,3483,-1628,3371,-1649,3260,-1691,3211,-1719,3148,-1754,3036,-1831,2924,-1936,2917,-1943,2826,-2055,2812,-2076,2749,-2166,2700,-2271,2693,-2278,2644,-2390,2588,-2502,2504,-2614,2483,-2628m2273,-2754l2252,-2768,2148,-2838,2141,-2845,2029,-2950,1952,-3062,1917,-3146,1903,-3174,1889,-3286,1889,-3398,1917,-3489,1924,-3510,1980,-3621,2029,-3677,2092,-3733,2141,-3768,2252,-3824,2364,-3845,2476,-3845,2588,-3824,2644,-3796m2868,-3684l2924,-3649,2987,-3621,3036,-3593,3148,-3565,3260,-3565,3371,-3579,3483,-3607,3539,-3621,3595,-3635,3707,-3677,3819,-3733,3931,-3782,4043,-3803,4155,-3796,4267,-3740,4281,-3733,4379,-3642,4400,-3621,4400,-3614m4532,-3405l4539,-3398,4602,-3314,4623,-3286,4714,-3188,4728,-3174,4819,-3062,4826,-3048,4882,-2950,4924,-2838,4938,-2775,4952,-2726,4952,-2614,4938,-2502,4910,-2390,4854,-2278,4826,-2236,4770,-2166,4714,-2104,4665,-2055,4602,-1999,4532,-1943,4490,-1915,4379,-1838,4372,-1831,4267,-1768,4162,-1719m5644,-3621l5610,-3572,5498,-3510,5386,-3531,5281,-3621,5274,-3649,5246,-3733,5274,-3789,5309,-3845,5386,-3894,5498,-3880,5540,-3845,5610,-3775,5638,-3733,5644,-3621e">
                  <v:fill on="f" focussize="0,0"/>
                  <v:stroke weight="0.698976377952756pt" color="#000000" joinstyle="round"/>
                  <v:imagedata o:title=""/>
                  <o:lock v:ext="edit" aspectratio="f"/>
                </v:shape>
                <v:shape id="图片 93" o:spid="_x0000_s1026" o:spt="75" alt="" type="#_x0000_t75" style="position:absolute;left:8199;top:-4066;height:280;width:252;" filled="f" o:preferrelative="t" stroked="f" coordsize="21600,21600" o:gfxdata="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U/vOvQAA&#10;ANsAAAAPAAAAAAAAAAEAIAAAACIAAABkcnMvZG93bnJldi54bWxQSwECFAAUAAAACACHTuJAMy8F&#10;njsAAAA5AAAAEAAAAAAAAAABACAAAAAMAQAAZHJzL3NoYXBleG1sLnhtbFBLBQYAAAAABgAGAFsB&#10;AAC2AwAAAAA=&#10;">
                  <v:fill on="f" focussize="0,0"/>
                  <v:stroke on="f"/>
                  <v:imagedata r:id="rId64" o:title=""/>
                  <o:lock v:ext="edit" aspectratio="t"/>
                </v:shape>
                <v:shape id="任意多边形 94" o:spid="_x0000_s1026" o:spt="100" style="position:absolute;left:4157;top:2087;height:3561;width:3134;" filled="f" stroked="t" coordsize="3134,3561" o:gfxdata="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oOifvQAA&#10;ANsAAAAPAAAAAAAAAAEAIAAAACIAAABkcnMvZG93bnJldi54bWxQSwECFAAUAAAACACHTuJAMy8F&#10;njsAAAA5AAAAEAAAAAAAAAABACAAAAAMAQAAZHJzL3NoYXBleG1sLnhtbFBLBQYAAAAABgAGAFsB&#10;AAC2AwAAAAA=&#10;" path="m385,-6979l280,-6888,168,-6881,56,-6958,42,-6979,0,-7091,42,-7203,56,-7224,168,-7294,280,-7287,385,-7203,392,-7182,427,-7091,392,-6993,385,-6979m2245,-3734l2224,-3734m1979,-3741l1958,-3741,1846,-3796,1784,-3845,1735,-3894,1686,-3957,1630,-4069,1623,-4104,1602,-4181,1602,-4293,1623,-4370,1630,-4405,1686,-4517,1735,-4580,1791,-4629,1846,-4671,1958,-4727,2042,-4741,2070,-4748,2182,-4748,2238,-4741,2294,-4734,2301,-4734m2525,-4629l2532,-4629,2630,-4594,2742,-4601,2854,-4601,2965,-4573,3035,-4517,3077,-4468,3119,-4405,3133,-4293,3091,-4181,3077,-4160,2972,-4069,2965,-4062,2854,-4020,2742,-4006,2630,-3964,2623,-3957,2518,-3873,2483,-3845,2406,-3789,2294,-3741,2245,-3734m1084,-4853l1063,-4832,951,-4755,839,-4748,727,-4783,657,-4853,616,-4944,609,-4965,616,-5077,678,-5189,727,-5230,839,-5272,951,-5258,1056,-5189,1063,-5175,1126,-5077,1133,-4965,1084,-4853e">
                  <v:fill on="f" focussize="0,0"/>
                  <v:stroke weight="0.698976377952756pt" color="#000000" joinstyle="round"/>
                  <v:imagedata o:title=""/>
                  <o:lock v:ext="edit" aspectratio="f"/>
                </v:shape>
                <v:shape id="图片 95" o:spid="_x0000_s1026" o:spt="75" alt="" type="#_x0000_t75" style="position:absolute;left:6576;top:-3206;height:287;width:287;" filled="f" o:preferrelative="t" stroked="f" coordsize="21600,21600" o:gfxdata="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Nob7sAAADb&#10;AAAADwAAAAAAAAABACAAAAAiAAAAZHJzL2Rvd25yZXYueG1sUEsBAhQAFAAAAAgAh07iQDMvBZ47&#10;AAAAOQAAABAAAAAAAAAAAQAgAAAACgEAAGRycy9zaGFwZXhtbC54bWxQSwUGAAAAAAYABgBbAQAA&#10;tAMAAAAA&#10;">
                  <v:fill on="f" focussize="0,0"/>
                  <v:stroke on="f"/>
                  <v:imagedata r:id="rId65" o:title=""/>
                  <o:lock v:ext="edit" aspectratio="t"/>
                </v:shape>
                <v:shape id="图片 96" o:spid="_x0000_s1026" o:spt="75" alt="" type="#_x0000_t75" style="position:absolute;left:7940;top:-3402;height:231;width:238;" filled="f" o:preferrelative="t" stroked="f" coordsize="21600,21600" o:gfxdata="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w0BbsAAADb&#10;AAAADwAAAAAAAAABACAAAAAiAAAAZHJzL2Rvd25yZXYueG1sUEsBAhQAFAAAAAgAh07iQDMvBZ47&#10;AAAAOQAAABAAAAAAAAAAAQAgAAAACgEAAGRycy9zaGFwZXhtbC54bWxQSwUGAAAAAAYABgBbAQAA&#10;tAMAAAAA&#10;">
                  <v:fill on="f" focussize="0,0"/>
                  <v:stroke on="f"/>
                  <v:imagedata r:id="rId66" o:title=""/>
                  <o:lock v:ext="edit" aspectratio="t"/>
                </v:shape>
                <v:shape id="任意多边形 97" o:spid="_x0000_s1026" o:spt="100" style="position:absolute;left:8332;top:-3926;height:56;width:35;" filled="f" stroked="t" coordsize="35,56" o:gfxdata="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EzcULsAAADb&#10;AAAADwAAAAAAAAABACAAAAAiAAAAZHJzL2Rvd25yZXYueG1sUEsBAhQAFAAAAAgAh07iQDMvBZ47&#10;AAAAOQAAABAAAAAAAAAAAQAgAAAACgEAAGRycy9zaGFwZXhtbC54bWxQSwUGAAAAAAYABgBbAQAA&#10;tAMAAAAA&#10;" path="m35,42l21,56,0,42,21,0,35,42e">
                  <v:fill on="f" focussize="0,0"/>
                  <v:stroke weight="0.698976377952756pt" color="#000000" joinstyle="round"/>
                  <v:imagedata o:title=""/>
                  <o:lock v:ext="edit" aspectratio="f"/>
                </v:shape>
                <v:shape id="图片 98" o:spid="_x0000_s1026" o:spt="75" alt="" type="#_x0000_t75" style="position:absolute;left:4240;top:-5109;height:210;width:259;" filled="f" o:preferrelative="t" stroked="f" coordsize="21600,21600" o:gfxdata="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Fxw5vQAA&#10;ANsAAAAPAAAAAAAAAAEAIAAAACIAAABkcnMvZG93bnJldi54bWxQSwECFAAUAAAACACHTuJAMy8F&#10;njsAAAA5AAAAEAAAAAAAAAABACAAAAAMAQAAZHJzL3NoYXBleG1sLnhtbFBLBQYAAAAABgAGAFsB&#10;AAC2AwAAAAA=&#10;">
                  <v:fill on="f" focussize="0,0"/>
                  <v:stroke on="f"/>
                  <v:imagedata r:id="rId67" o:title=""/>
                  <o:lock v:ext="edit" aspectratio="t"/>
                </v:shape>
                <v:shape id="任意多边形 99" o:spid="_x0000_s1026" o:spt="100" style="position:absolute;left:4310;top:2304;height:3162;width:3742;" filled="f" stroked="t" coordsize="3742,3162" o:gfxdata="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ExRvQAA&#10;ANsAAAAPAAAAAAAAAAEAIAAAACIAAABkcnMvZG93bnJldi54bWxQSwECFAAUAAAACACHTuJAMy8F&#10;njsAAAA5AAAAEAAAAAAAAAABACAAAAAMAQAAZHJzL3NoYXBleG1sLnhtbFBLBQYAAAAABgAGAFsB&#10;AAC2AwAAAAA=&#10;" path="m2035,-4174l2028,-4174,1916,-4167,1902,-4174,1804,-4209,1727,-4286,1692,-4384,1685,-4398,1692,-4510,1748,-4622,1804,-4678,1916,-4720,2028,-4720,2140,-4664,2182,-4622,2238,-4510,2245,-4398,2196,-4286,2140,-4223,2035,-4174m2853,-4510l2811,-4447,2700,-4405,2588,-4510,2630,-4622,2700,-4671,2811,-4622,2853,-4510m846,-5182l797,-5119,685,-5084,580,-5182,587,-5294,685,-5371,797,-5336,832,-5294,846,-5182m2406,-5406l2364,-5385,2350,-5406,2364,-5420,2406,-5406m3742,-5629l3707,-5608,3693,-5629,3707,-5650,3742,-5629m70,-7308l14,-7287,0,-7308,14,-7329,70,-7308e">
                  <v:fill on="f" focussize="0,0"/>
                  <v:stroke weight="0.698976377952756pt" color="#000000" joinstyle="round"/>
                  <v:imagedata o:title=""/>
                  <o:lock v:ext="edit" aspectratio="f"/>
                </v:shape>
                <v:shape id="图片 100" o:spid="_x0000_s1026" o:spt="75" alt="" type="#_x0000_t75" style="position:absolute;left:6115;top:-2297;height:315;width:315;" filled="f" o:preferrelative="t" stroked="f" coordsize="21600,21600" o:gfxdata="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0xxi8AAAA&#10;2wAAAA8AAAAAAAAAAQAgAAAAIgAAAGRycy9kb3ducmV2LnhtbFBLAQIUABQAAAAIAIdO4kAzLwWe&#10;OwAAADkAAAAQAAAAAAAAAAEAIAAAAAsBAABkcnMvc2hhcGV4bWwueG1sUEsFBgAAAAAGAAYAWwEA&#10;ALUDAAAAAA==&#10;">
                  <v:fill on="f" focussize="0,0"/>
                  <v:stroke on="f"/>
                  <v:imagedata r:id="rId68" o:title=""/>
                  <o:lock v:ext="edit" aspectratio="t"/>
                </v:shape>
                <v:shape id="任意多边形 101" o:spid="_x0000_s1026" o:spt="100" style="position:absolute;left:4961;top:2591;height:840;width:2120;" filled="f" stroked="t" coordsize="2120,840" o:gfxdata="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yoJbsAAADb&#10;AAAADwAAAAAAAAABACAAAAAiAAAAZHJzL2Rvd25yZXYueG1sUEsBAhQAFAAAAAgAh07iQDMvBZ47&#10;AAAAOQAAABAAAAAAAAAAAQAgAAAACgEAAGRycy9zaGFwZXhtbC54bWxQSwUGAAAAAAYABgBbAQAA&#10;tAMAAAAA&#10;" path="m2120,-4796l2050,-4740,1994,-4796,2050,-4866,2120,-4796m91,-5468l35,-5433,0,-5468,35,-5580,91,-5468e">
                  <v:fill on="f" focussize="0,0"/>
                  <v:stroke weight="0.698976377952756pt" color="#000000" joinstyle="round"/>
                  <v:imagedata o:title=""/>
                  <o:lock v:ext="edit" aspectratio="f"/>
                </v:shape>
                <v:shape id="任意多边形 102" o:spid="_x0000_s1026" o:spt="100" style="position:absolute;left:2030;top:352;height:6828;width:7890;" filled="f" stroked="t" coordsize="7890,6828" o:gfxdata="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zWfDugAAANsA&#10;AAAPAAAAAAAAAAEAIAAAACIAAABkcnMvZG93bnJldi54bWxQSwECFAAUAAAACACHTuJAMy8FnjsA&#10;AAA5AAAAEAAAAAAAAAABACAAAAAJAQAAZHJzL3NoYXBleG1sLnhtbFBLBQYAAAAABgAGAFsBAACz&#10;AwAAAAA=&#10;" path="m56,-7035l7889,-7035m56,-7091l56,-7035m1175,-7091l1175,-7035m2294,-7091l2294,-7035m3413,-7091l3413,-7035m4532,-7091l4532,-7035m5651,-7091l5651,-7035m6770,-7091l6770,-7035m7889,-7091l7889,-7035m56,-320l56,-7035m0,-320l56,-320m0,-1439l56,-1439m0,-2558l56,-2558m0,-3677l56,-3677m0,-4797l56,-4797m0,-5916l56,-5916m0,-7035l56,-7035m56,-320l7889,-320m56,-264l56,-320m1175,-264l1175,-320m2294,-264l2294,-320m3413,-264l3413,-320m4532,-264l4532,-320m5651,-264l5651,-320m6770,-264l6770,-320m7889,-264l7889,-320e">
                  <v:fill on="f" focussize="0,0"/>
                  <v:stroke weight="0.35pt" color="#000000" joinstyle="round"/>
                  <v:imagedata o:title=""/>
                  <o:lock v:ext="edit" aspectratio="f"/>
                </v:shape>
                <v:shape id="任意多边形 103" o:spid="_x0000_s1026" o:spt="100" style="position:absolute;left:9920;top:-6682;height:6716;width:2;" filled="f" stroked="t" coordsize="1,6716" o:gfxdata="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wW/&#10;AAAA2wAAAA8AAAAAAAAAAQAgAAAAIgAAAGRycy9kb3ducmV2LnhtbFBLAQIUABQAAAAIAIdO4kAz&#10;LwWeOwAAADkAAAAQAAAAAAAAAAEAIAAAAA4BAABkcnMvc2hhcGV4bWwueG1sUEsFBgAAAAAGAAYA&#10;WwEAALgDAAAAAA==&#10;" path="m0,0l0,21m0,1336l0,6715e">
                  <v:fill on="f" focussize="0,0"/>
                  <v:stroke weight="0.35pt" color="#000000" joinstyle="round"/>
                  <v:imagedata o:title=""/>
                  <o:lock v:ext="edit" aspectratio="f"/>
                </v:shape>
                <v:shape id="任意多边形 104" o:spid="_x0000_s1026" o:spt="100" style="position:absolute;left:9920;top:408;height:4477;width:56;" filled="f" stroked="t" coordsize="56,4477" o:gfxdata="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U/7rsAAADb&#10;AAAADwAAAAAAAAABACAAAAAiAAAAZHJzL2Rvd25yZXYueG1sUEsBAhQAFAAAAAgAh07iQDMvBZ47&#10;AAAAOQAAABAAAAAAAAAAAQAgAAAACgEAAGRycy9zaGFwZXhtbC54bWxQSwUGAAAAAAYABgBbAQAA&#10;tAMAAAAA&#10;" path="m56,-376l0,-376m56,-1495l0,-1495m56,-2614l0,-2614m56,-3733l0,-3733m56,-4853l0,-4853e">
                  <v:fill on="f" focussize="0,0"/>
                  <v:stroke weight="0.35pt" color="#000000" joinstyle="round"/>
                  <v:imagedata o:title=""/>
                  <o:lock v:ext="edit" aspectratio="f"/>
                </v:shape>
                <v:line id="直线 105" o:spid="_x0000_s1026" o:spt="20" style="position:absolute;left:9934;top:-5563;height:0;width:42;" filled="f" stroked="t" coordsize="21600,21600" o:gfxdata="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uDCsvQAA&#10;ANsAAAAPAAAAAAAAAAEAIAAAACIAAABkcnMvZG93bnJldi54bWxQSwECFAAUAAAACACHTuJAMy8F&#10;njsAAAA5AAAAEAAAAAAAAAABACAAAAAMAQAAZHJzL3NoYXBleG1sLnhtbFBLBQYAAAAABgAGAFsB&#10;AAC2AwAAAAA=&#10;">
                  <v:fill on="f" focussize="0,0"/>
                  <v:stroke weight="0.35pt" color="#000000" joinstyle="round"/>
                  <v:imagedata o:title=""/>
                  <o:lock v:ext="edit" aspectratio="f"/>
                </v:line>
                <v:line id="直线 106" o:spid="_x0000_s1026" o:spt="20" style="position:absolute;left:9920;top:-6682;flip:x;height:0;width:56;" filled="f" stroked="t" coordsize="21600,21600" o:gfxdata="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FwUVvQAA&#10;ANsAAAAPAAAAAAAAAAEAIAAAACIAAABkcnMvZG93bnJldi54bWxQSwECFAAUAAAACACHTuJAMy8F&#10;njsAAAA5AAAAEAAAAAAAAAABACAAAAAMAQAAZHJzL3NoYXBleG1sLnhtbFBLBQYAAAAABgAGAFsB&#10;AAC2AwAAAAA=&#10;">
                  <v:fill on="f" focussize="0,0"/>
                  <v:stroke weight="0.35pt" color="#000000" joinstyle="round"/>
                  <v:imagedata o:title=""/>
                  <o:lock v:ext="edit" aspectratio="f"/>
                </v:line>
                <v:rect id="矩形 107" o:spid="_x0000_s1026" o:spt="1" style="position:absolute;left:8752;top:-6661;height:1316;width:1182;" fillcolor="#C76363" filled="t" stroked="f" coordsize="21600,21600" o:gfxdata="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kIzL4A&#10;AADbAAAADwAAAAAAAAABACAAAAAiAAAAZHJzL2Rvd25yZXYueG1sUEsBAhQAFAAAAAgAh07iQDMv&#10;BZ47AAAAOQAAABAAAAAAAAAAAQAgAAAADQEAAGRycy9zaGFwZXhtbC54bWxQSwUGAAAAAAYABgBb&#10;AQAAtwMAAAAA&#10;">
                  <v:fill on="t" focussize="0,0"/>
                  <v:stroke on="f"/>
                  <v:imagedata o:title=""/>
                  <o:lock v:ext="edit" aspectratio="f"/>
                </v:rect>
                <v:rect id="矩形 108" o:spid="_x0000_s1026" o:spt="1" style="position:absolute;left:8752;top:-6661;height:1316;width:1182;" filled="f" stroked="t" coordsize="21600,21600" o:gfxdata="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ShibsAAADb&#10;AAAADwAAAAAAAAABACAAAAAiAAAAZHJzL2Rvd25yZXYueG1sUEsBAhQAFAAAAAgAh07iQDMvBZ47&#10;AAAAOQAAABAAAAAAAAAAAQAgAAAACgEAAGRycy9zaGFwZXhtbC54bWxQSwUGAAAAAAYABgBbAQAA&#10;tAMAAAAA&#10;">
                  <v:fill on="f" focussize="0,0"/>
                  <v:stroke weight="0.35pt" color="#000000" joinstyle="miter"/>
                  <v:imagedata o:title=""/>
                  <o:lock v:ext="edit" aspectratio="f"/>
                </v:rect>
                <v:shape id="任意多边形 109" o:spid="_x0000_s1026" o:spt="100" style="position:absolute;left:4968;top:-2975;height:105;width:91;" fillcolor="#FF0000" filled="t" stroked="f" coordsize="91,105" o:gfxdata="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qY7a/&#10;AAAA2wAAAA8AAAAAAAAAAQAgAAAAIgAAAGRycy9kb3ducmV2LnhtbFBLAQIUABQAAAAIAIdO4kAz&#10;LwWeOwAAADkAAAAQAAAAAAAAAAEAIAAAAA4BAABkcnMvc2hhcGV4bWwueG1sUEsFBgAAAAAGAAYA&#10;WwEAALgDAAAAAA==&#10;" path="m46,105l28,101,14,90,4,73,0,53,4,32,14,16,28,5,46,0,64,5,78,16,88,32,91,53,88,73,78,90,64,101,46,105xe">
                  <v:fill on="t" focussize="0,0"/>
                  <v:stroke on="f"/>
                  <v:imagedata o:title=""/>
                  <o:lock v:ext="edit" aspectratio="f"/>
                </v:shape>
                <v:shape id="任意多边形 110" o:spid="_x0000_s1026" o:spt="100" style="position:absolute;left:4968;top:-2975;height:105;width:91;" filled="f" stroked="t" coordsize="91,105" o:gfxdata="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p33P22AAAA2wAAAA8A&#10;AAAAAAAAAQAgAAAAIgAAAGRycy9kb3ducmV2LnhtbFBLAQIUABQAAAAIAIdO4kAzLwWeOwAAADkA&#10;AAAQAAAAAAAAAAEAIAAAAAUBAABkcnMvc2hhcGV4bWwueG1sUEsFBgAAAAAGAAYAWwEAAK8DAAAA&#10;AA==&#10;" path="m91,53l88,73,78,90,64,101,46,105,28,101,14,90,4,73,0,53,4,32,14,16,28,5,46,0,64,5,78,16,88,32,91,53e">
                  <v:fill on="f" focussize="0,0"/>
                  <v:stroke weight="0.35pt" color="#000000" joinstyle="round"/>
                  <v:imagedata o:title=""/>
                  <o:lock v:ext="edit" aspectratio="f"/>
                </v:shape>
                <v:shape id="任意多边形 111" o:spid="_x0000_s1026" o:spt="100" style="position:absolute;left:6982;top:-2276;height:91;width:91;" fillcolor="#FF0000" filled="t" stroked="f" coordsize="91,91" o:gfxdata="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3Cqu/&#10;AAAA2wAAAA8AAAAAAAAAAQAgAAAAIgAAAGRycy9kb3ducmV2LnhtbFBLAQIUABQAAAAIAIdO4kAz&#10;LwWeOwAAADkAAAAQAAAAAAAAAAEAIAAAAA4BAABkcnMvc2hhcGV4bWwueG1sUEsFBgAAAAAGAAYA&#10;WwEAALgDAAAAAA==&#10;" path="m45,91l27,87,13,78,3,63,0,45,3,28,13,13,27,3,45,0,63,3,77,13,87,28,91,45,87,63,77,78,63,87,45,91xe">
                  <v:fill on="t" focussize="0,0"/>
                  <v:stroke on="f"/>
                  <v:imagedata o:title=""/>
                  <o:lock v:ext="edit" aspectratio="f"/>
                </v:shape>
                <v:shape id="任意多边形 112" o:spid="_x0000_s1026" o:spt="100" style="position:absolute;left:6982;top:-2276;height:91;width:91;" filled="f" stroked="t" coordsize="91,91" o:gfxdata="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icAS8AAAA&#10;2wAAAA8AAAAAAAAAAQAgAAAAIgAAAGRycy9kb3ducmV2LnhtbFBLAQIUABQAAAAIAIdO4kAzLwWe&#10;OwAAADkAAAAQAAAAAAAAAAEAIAAAAAsBAABkcnMvc2hhcGV4bWwueG1sUEsFBgAAAAAGAAYAWwEA&#10;ALUDAAAAAA==&#10;" path="m91,45l87,63,77,78,63,87,45,91,27,87,13,78,3,63,0,45,3,28,13,13,27,3,45,0,63,3,77,13,87,28,91,45e">
                  <v:fill on="f" focussize="0,0"/>
                  <v:stroke weight="0.35pt" color="#000000" joinstyle="round"/>
                  <v:imagedata o:title=""/>
                  <o:lock v:ext="edit" aspectratio="f"/>
                </v:shape>
                <v:shape id="任意多边形 113" o:spid="_x0000_s1026" o:spt="100" style="position:absolute;left:6982;top:-2276;height:91;width:91;" fillcolor="#FF0000" filled="t" stroked="f" coordsize="91,91" o:gfxdata="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doq/&#10;AAAA2wAAAA8AAAAAAAAAAQAgAAAAIgAAAGRycy9kb3ducmV2LnhtbFBLAQIUABQAAAAIAIdO4kAz&#10;LwWeOwAAADkAAAAQAAAAAAAAAAEAIAAAAA4BAABkcnMvc2hhcGV4bWwueG1sUEsFBgAAAAAGAAYA&#10;WwEAALgDAAAAAA==&#10;" path="m45,91l27,87,13,78,3,63,0,45,3,28,13,13,27,3,45,0,63,3,77,13,87,28,91,45,87,63,77,78,63,87,45,91xe">
                  <v:fill on="t" focussize="0,0"/>
                  <v:stroke on="f"/>
                  <v:imagedata o:title=""/>
                  <o:lock v:ext="edit" aspectratio="f"/>
                </v:shape>
                <v:shape id="任意多边形 114" o:spid="_x0000_s1026" o:spt="100" style="position:absolute;left:6982;top:-2276;height:91;width:91;" filled="f" stroked="t" coordsize="91,91" o:gfxdata="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8S+i/&#10;AAAA2wAAAA8AAAAAAAAAAQAgAAAAIgAAAGRycy9kb3ducmV2LnhtbFBLAQIUABQAAAAIAIdO4kAz&#10;LwWeOwAAADkAAAAQAAAAAAAAAAEAIAAAAA4BAABkcnMvc2hhcGV4bWwueG1sUEsFBgAAAAAGAAYA&#10;WwEAALgDAAAAAA==&#10;" path="m91,45l87,63,77,78,63,87,45,91,27,87,13,78,3,63,0,45,3,28,13,13,27,3,45,0,63,3,77,13,87,28,91,45e">
                  <v:fill on="f" focussize="0,0"/>
                  <v:stroke weight="0.35pt" color="#000000" joinstyle="round"/>
                  <v:imagedata o:title=""/>
                  <o:lock v:ext="edit" aspectratio="f"/>
                </v:shape>
                <v:shape id="任意多边形 115" o:spid="_x0000_s1026" o:spt="100" style="position:absolute;left:7989;top:-3381;height:105;width:91;" fillcolor="#FF0000" filled="t" stroked="f" coordsize="91,105" o:gfxdata="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FZK/&#10;AAAA2wAAAA8AAAAAAAAAAQAgAAAAIgAAAGRycy9kb3ducmV2LnhtbFBLAQIUABQAAAAIAIdO4kAz&#10;LwWeOwAAADkAAAAQAAAAAAAAAAEAIAAAAA4BAABkcnMvc2hhcGV4bWwueG1sUEsFBgAAAAAGAAYA&#10;WwEAALgDAAAAAA==&#10;" path="m45,105l28,100,13,89,3,73,0,52,3,32,13,15,28,4,45,0,63,4,77,15,87,32,91,52,87,73,77,89,63,100,45,105xe">
                  <v:fill on="t" focussize="0,0"/>
                  <v:stroke on="f"/>
                  <v:imagedata o:title=""/>
                  <o:lock v:ext="edit" aspectratio="f"/>
                </v:shape>
                <v:shape id="任意多边形 116" o:spid="_x0000_s1026" o:spt="100" style="position:absolute;left:7989;top:-3381;height:105;width:91;" filled="f" stroked="t" coordsize="91,105" o:gfxdata="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6bfvQAA&#10;ANsAAAAPAAAAAAAAAAEAIAAAACIAAABkcnMvZG93bnJldi54bWxQSwECFAAUAAAACACHTuJAMy8F&#10;njsAAAA5AAAAEAAAAAAAAAABACAAAAAMAQAAZHJzL3NoYXBleG1sLnhtbFBLBQYAAAAABgAGAFsB&#10;AAC2AwAAAAA=&#10;" path="m91,52l87,73,77,89,63,100,45,105,28,100,13,89,3,73,0,52,3,32,13,15,28,4,45,0,63,4,77,15,87,32,91,52e">
                  <v:fill on="f" focussize="0,0"/>
                  <v:stroke weight="0.35pt" color="#000000" joinstyle="round"/>
                  <v:imagedata o:title=""/>
                  <o:lock v:ext="edit" aspectratio="f"/>
                </v:shape>
                <v:shape id="任意多边形 117" o:spid="_x0000_s1026" o:spt="100" style="position:absolute;left:8073;top:-3311;height:105;width:105;" fillcolor="#FF0000" filled="t" stroked="f" coordsize="105,105" o:gfxdata="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RImr4A&#10;AADbAAAADwAAAAAAAAABACAAAAAiAAAAZHJzL2Rvd25yZXYueG1sUEsBAhQAFAAAAAgAh07iQDMv&#10;BZ47AAAAOQAAABAAAAAAAAAAAQAgAAAADQEAAGRycy9zaGFwZXhtbC54bWxQSwUGAAAAAAYABgBb&#10;AQAAtwMAAAAA&#10;" path="m52,105l32,100,15,89,4,73,0,52,4,32,15,15,32,4,52,0,73,4,89,15,100,32,105,52,100,73,89,89,73,100,52,105xe">
                  <v:fill on="t" focussize="0,0"/>
                  <v:stroke on="f"/>
                  <v:imagedata o:title=""/>
                  <o:lock v:ext="edit" aspectratio="f"/>
                </v:shape>
                <v:shape id="任意多边形 118" o:spid="_x0000_s1026" o:spt="100" style="position:absolute;left:8073;top:-3311;height:105;width:105;" filled="f" stroked="t" coordsize="105,105" o:gfxdata="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5lrN&#10;wAAAANsAAAAPAAAAAAAAAAEAIAAAACIAAABkcnMvZG93bnJldi54bWxQSwECFAAUAAAACACHTuJA&#10;My8FnjsAAAA5AAAAEAAAAAAAAAABACAAAAAPAQAAZHJzL3NoYXBleG1sLnhtbFBLBQYAAAAABgAG&#10;AFsBAAC5AwAAAAA=&#10;" path="m105,52l100,73,89,89,73,100,52,105,32,100,15,89,4,73,0,52,4,32,15,15,32,4,52,0,73,4,89,15,100,32,105,52e">
                  <v:fill on="f" focussize="0,0"/>
                  <v:stroke weight="0.35pt" color="#000000" joinstyle="round"/>
                  <v:imagedata o:title=""/>
                  <o:lock v:ext="edit" aspectratio="f"/>
                </v:shape>
                <v:shape id="图片 119" o:spid="_x0000_s1026" o:spt="75" alt="" type="#_x0000_t75" style="position:absolute;left:6209;top:-2195;height:112;width:112;" filled="f" o:preferrelative="t" stroked="f" coordsize="21600,21600" o:gfxdata="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fI3+/&#10;AAAA2wAAAA8AAAAAAAAAAQAgAAAAIgAAAGRycy9kb3ducmV2LnhtbFBLAQIUABQAAAAIAIdO4kAz&#10;LwWeOwAAADkAAAAQAAAAAAAAAAEAIAAAAA4BAABkcnMvc2hhcGV4bWwueG1sUEsFBgAAAAAGAAYA&#10;WwEAALgDAAAAAA==&#10;">
                  <v:fill on="f" focussize="0,0"/>
                  <v:stroke on="f"/>
                  <v:imagedata r:id="rId69" o:title=""/>
                  <o:lock v:ext="edit" aspectratio="t"/>
                </v:shape>
                <v:shape id="图片 120" o:spid="_x0000_s1026" o:spt="75" alt="" type="#_x0000_t75" style="position:absolute;left:4307;top:-5063;height:112;width:112;" filled="f" o:preferrelative="t" stroked="f" coordsize="21600,21600" o:gfxdata="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NJnS5AAAA2wAA&#10;AA8AAAAAAAAAAQAgAAAAIgAAAGRycy9kb3ducmV2LnhtbFBLAQIUABQAAAAIAIdO4kAzLwWeOwAA&#10;ADkAAAAQAAAAAAAAAAEAIAAAAAgBAABkcnMvc2hhcGV4bWwueG1sUEsFBgAAAAAGAAYAWwEAALID&#10;AAAAAA==&#10;">
                  <v:fill on="f" focussize="0,0"/>
                  <v:stroke on="f"/>
                  <v:imagedata r:id="rId70" o:title=""/>
                  <o:lock v:ext="edit" aspectratio="t"/>
                </v:shape>
                <v:shape id="任意多边形 121" o:spid="_x0000_s1026" o:spt="100" style="position:absolute;left:6660;top:-3129;height:91;width:105;" fillcolor="#FF0000" filled="t" stroked="f" coordsize="105,91" o:gfxdata="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hUClvQAA&#10;ANsAAAAPAAAAAAAAAAEAIAAAACIAAABkcnMvZG93bnJldi54bWxQSwECFAAUAAAACACHTuJAMy8F&#10;njsAAAA5AAAAEAAAAAAAAAABACAAAAAMAQAAZHJzL3NoYXBleG1sLnhtbFBLBQYAAAAABgAGAFsB&#10;AAC2AwAAAAA=&#10;" path="m52,90l32,87,15,77,4,63,0,45,4,27,15,13,32,3,52,0,73,3,89,13,101,27,105,45,101,63,89,77,73,87,52,90xe">
                  <v:fill on="t" focussize="0,0"/>
                  <v:stroke on="f"/>
                  <v:imagedata o:title=""/>
                  <o:lock v:ext="edit" aspectratio="f"/>
                </v:shape>
                <v:shape id="任意多边形 122" o:spid="_x0000_s1026" o:spt="100" style="position:absolute;left:6660;top:-3129;height:91;width:105;" filled="f" stroked="t" coordsize="105,91" o:gfxdata="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5T8K+2AAAA2wAAAA8A&#10;AAAAAAAAAQAgAAAAIgAAAGRycy9kb3ducmV2LnhtbFBLAQIUABQAAAAIAIdO4kAzLwWeOwAAADkA&#10;AAAQAAAAAAAAAAEAIAAAAAUBAABkcnMvc2hhcGV4bWwueG1sUEsFBgAAAAAGAAYAWwEAAK8DAAAA&#10;AA==&#10;" path="m105,45l101,63,89,77,73,87,52,90,32,87,15,77,4,63,0,45,4,27,15,13,32,3,52,0,73,3,89,13,101,27,105,45e">
                  <v:fill on="f" focussize="0,0"/>
                  <v:stroke weight="0.35pt" color="#000000" joinstyle="round"/>
                  <v:imagedata o:title=""/>
                  <o:lock v:ext="edit" aspectratio="f"/>
                </v:shape>
                <v:shape id="任意多边形 123" o:spid="_x0000_s1026" o:spt="100" style="position:absolute;left:8283;top:-3982;height:105;width:91;" fillcolor="#FF0000" filled="t" stroked="f" coordsize="91,105" o:gfxdata="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DuKO/&#10;AAAA2wAAAA8AAAAAAAAAAQAgAAAAIgAAAGRycy9kb3ducmV2LnhtbFBLAQIUABQAAAAIAIdO4kAz&#10;LwWeOwAAADkAAAAQAAAAAAAAAAEAIAAAAA4BAABkcnMvc2hhcGV4bWwueG1sUEsFBgAAAAAGAAYA&#10;WwEAALgDAAAAAA==&#10;" path="m45,105l27,101,13,90,3,73,0,53,3,32,13,15,27,4,45,0,63,4,77,15,87,32,90,53,87,73,77,90,63,101,45,105xe">
                  <v:fill on="t" focussize="0,0"/>
                  <v:stroke on="f"/>
                  <v:imagedata o:title=""/>
                  <o:lock v:ext="edit" aspectratio="f"/>
                </v:shape>
                <v:shape id="任意多边形 124" o:spid="_x0000_s1026" o:spt="100" style="position:absolute;left:8283;top:-3982;height:105;width:91;" filled="f" stroked="t" coordsize="91,105" o:gfxdata="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5MN7bsAAADb&#10;AAAADwAAAAAAAAABACAAAAAiAAAAZHJzL2Rvd25yZXYueG1sUEsBAhQAFAAAAAgAh07iQDMvBZ47&#10;AAAAOQAAABAAAAAAAAAAAQAgAAAACgEAAGRycy9zaGFwZXhtbC54bWxQSwUGAAAAAAYABgBbAQAA&#10;tAMAAAAA&#10;" path="m90,53l87,73,77,90,63,101,45,105,27,101,13,90,3,73,0,53,3,32,13,15,27,4,45,0,63,4,77,15,87,32,90,53e">
                  <v:fill on="f" focussize="0,0"/>
                  <v:stroke weight="0.35pt" color="#000000" joinstyle="round"/>
                  <v:imagedata o:title=""/>
                  <o:lock v:ext="edit" aspectratio="f"/>
                </v:shape>
                <v:rect id="矩形 125" o:spid="_x0000_s1026" o:spt="1" style="position:absolute;left:9164;top:-5332;height:1043;width:749;" fillcolor="#63C7C7" filled="t" stroked="f" coordsize="21600,21600" o:gfxdata="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MPTK/&#10;AAAA2wAAAA8AAAAAAAAAAQAgAAAAIgAAAGRycy9kb3ducmV2LnhtbFBLAQIUABQAAAAIAIdO4kAz&#10;LwWeOwAAADkAAAAQAAAAAAAAAAEAIAAAAA4BAABkcnMvc2hhcGV4bWwueG1sUEsFBgAAAAAGAAYA&#10;WwEAALgDAAAAAA==&#10;">
                  <v:fill on="t" focussize="0,0"/>
                  <v:stroke on="f"/>
                  <v:imagedata o:title=""/>
                  <o:lock v:ext="edit" aspectratio="f"/>
                </v:rect>
                <v:rect id="矩形 126" o:spid="_x0000_s1026" o:spt="1" style="position:absolute;left:9164;top:-5332;height:1043;width:749;" filled="f" stroked="t" coordsize="21600,21600" o:gfxdata="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7Z8n7sAAADb&#10;AAAADwAAAAAAAAABACAAAAAiAAAAZHJzL2Rvd25yZXYueG1sUEsBAhQAFAAAAAgAh07iQDMvBZ47&#10;AAAAOQAAABAAAAAAAAAAAQAgAAAACgEAAGRycy9zaGFwZXhtbC54bWxQSwUGAAAAAAYABgBbAQAA&#10;tAMAAAAA&#10;">
                  <v:fill on="f" focussize="0,0"/>
                  <v:stroke weight="0.35pt" color="#000000" joinstyle="miter"/>
                  <v:imagedata o:title=""/>
                  <o:lock v:ext="edit" aspectratio="f"/>
                </v:rect>
                <v:shape id="任意多边形 127" o:spid="_x0000_s1026" o:spt="100" style="position:absolute;left:9220;top:-5172;height:35;width:35;" fillcolor="#FF0000" filled="t" stroked="f" coordsize="35,35" o:gfxdata="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1S1LsAAADb&#10;AAAADwAAAAAAAAABACAAAAAiAAAAZHJzL2Rvd25yZXYueG1sUEsBAhQAFAAAAAgAh07iQDMvBZ47&#10;AAAAOQAAABAAAAAAAAAAAQAgAAAACgEAAGRycy9zaGFwZXhtbC54bWxQSwUGAAAAAAYABgBbAQAA&#10;tAMAAAAA&#10;" path="m27,35l8,35,0,27,0,8,8,0,27,0,35,8,35,27,27,35xe">
                  <v:fill on="t" focussize="0,0"/>
                  <v:stroke on="f"/>
                  <v:imagedata o:title=""/>
                  <o:lock v:ext="edit" aspectratio="f"/>
                </v:shape>
                <v:shape id="任意多边形 128" o:spid="_x0000_s1026" o:spt="100" style="position:absolute;left:9220;top:-5172;height:35;width:35;" filled="f" stroked="t" coordsize="35,35" o:gfxdata="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0uPW/&#10;AAAA2wAAAA8AAAAAAAAAAQAgAAAAIgAAAGRycy9kb3ducmV2LnhtbFBLAQIUABQAAAAIAIdO4kAz&#10;LwWeOwAAADkAAAAQAAAAAAAAAAEAIAAAAA4BAABkcnMvc2hhcGV4bWwueG1sUEsFBgAAAAAGAAYA&#10;WwEAALgDAAAAAA==&#10;" path="m35,17l35,27,27,35,17,35,8,35,0,27,0,17,0,8,8,0,17,0,27,0,35,8,35,17e">
                  <v:fill on="f" focussize="0,0"/>
                  <v:stroke weight="0.35pt" color="#000000" joinstyle="round"/>
                  <v:imagedata o:title=""/>
                  <o:lock v:ext="edit" aspectratio="f"/>
                </v:shape>
                <v:shape id="文本框 129" o:spid="_x0000_s1026" o:spt="202" type="#_x0000_t202" style="position:absolute;left:9220;top:-6573;height:84;width:272;" filled="f" stroked="f" coordsize="21600,21600" o:gfxdata="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GqW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84" w:lineRule="exact"/>
                          <w:ind w:left="0" w:right="0" w:firstLine="0"/>
                          <w:jc w:val="left"/>
                          <w:rPr>
                            <w:sz w:val="8"/>
                          </w:rPr>
                        </w:pPr>
                        <w:r>
                          <w:rPr>
                            <w:w w:val="105"/>
                            <w:sz w:val="8"/>
                          </w:rPr>
                          <w:t>分布图</w:t>
                        </w:r>
                      </w:p>
                    </w:txbxContent>
                  </v:textbox>
                </v:shape>
                <v:shape id="文本框 130" o:spid="_x0000_s1026" o:spt="202" type="#_x0000_t202" style="position:absolute;left:8808;top:-5845;height:441;width:1028;" filled="f" stroked="f" coordsize="21600,21600" o:gfxdata="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v/uS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6" w:line="196" w:lineRule="auto"/>
                          <w:ind w:left="0" w:right="228" w:firstLine="0"/>
                          <w:jc w:val="both"/>
                          <w:rPr>
                            <w:sz w:val="8"/>
                          </w:rPr>
                        </w:pPr>
                        <w:r>
                          <w:rPr>
                            <w:w w:val="105"/>
                            <w:sz w:val="8"/>
                          </w:rPr>
                          <w:t>最大值: 5.6885E+01 最小值: 2.0490E+01 平均值: 2.8004E+01</w:t>
                        </w:r>
                      </w:p>
                      <w:p>
                        <w:pPr>
                          <w:spacing w:before="7" w:line="93" w:lineRule="exact"/>
                          <w:ind w:left="0" w:right="0" w:firstLine="0"/>
                          <w:jc w:val="both"/>
                          <w:rPr>
                            <w:sz w:val="8"/>
                          </w:rPr>
                        </w:pPr>
                        <w:r>
                          <w:rPr>
                            <w:w w:val="105"/>
                            <w:sz w:val="8"/>
                          </w:rPr>
                          <w:t>高×宽: 25.40×29.63 cm</w:t>
                        </w:r>
                      </w:p>
                      <w:p>
                        <w:pPr>
                          <w:spacing w:before="0" w:line="83" w:lineRule="exact"/>
                          <w:ind w:left="0" w:right="0" w:firstLine="0"/>
                          <w:jc w:val="both"/>
                          <w:rPr>
                            <w:sz w:val="8"/>
                          </w:rPr>
                        </w:pPr>
                        <w:r>
                          <w:rPr>
                            <w:w w:val="105"/>
                            <w:sz w:val="8"/>
                          </w:rPr>
                          <w:t>比例尺: 1: 1,180</w:t>
                        </w:r>
                      </w:p>
                    </w:txbxContent>
                  </v:textbox>
                </v:shape>
                <v:shape id="文本框 131" o:spid="_x0000_s1026" o:spt="202" type="#_x0000_t202" style="position:absolute;left:4338;top:-5182;height:126;width:83;" filled="f" stroked="f" coordsize="21600,21600" o:gfxdata="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Nbf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25" w:lineRule="exact"/>
                          <w:ind w:left="0" w:right="0" w:firstLine="0"/>
                          <w:jc w:val="left"/>
                          <w:rPr>
                            <w:rFonts w:ascii="Arial"/>
                            <w:b/>
                            <w:sz w:val="11"/>
                          </w:rPr>
                        </w:pPr>
                        <w:r>
                          <w:rPr>
                            <w:rFonts w:ascii="Arial"/>
                            <w:b/>
                            <w:color w:val="FF0000"/>
                            <w:w w:val="101"/>
                            <w:sz w:val="11"/>
                          </w:rPr>
                          <w:t>7</w:t>
                        </w:r>
                      </w:p>
                    </w:txbxContent>
                  </v:textbox>
                </v:shape>
                <v:shape id="文本框 132" o:spid="_x0000_s1026" o:spt="202" type="#_x0000_t202" style="position:absolute;left:9304;top:-5272;height:924;width:608;" filled="f" stroked="f" coordsize="21600,21600" o:gfxdata="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W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6" w:line="196" w:lineRule="auto"/>
                          <w:ind w:left="0" w:right="200" w:firstLine="69"/>
                          <w:jc w:val="left"/>
                          <w:rPr>
                            <w:sz w:val="8"/>
                          </w:rPr>
                        </w:pPr>
                        <w:r>
                          <w:rPr>
                            <w:w w:val="105"/>
                            <w:sz w:val="8"/>
                          </w:rPr>
                          <w:t>标志图例污染源</w:t>
                        </w:r>
                      </w:p>
                      <w:p>
                        <w:pPr>
                          <w:spacing w:before="0" w:line="79" w:lineRule="exact"/>
                          <w:ind w:left="41" w:right="0" w:firstLine="0"/>
                          <w:jc w:val="left"/>
                          <w:rPr>
                            <w:sz w:val="8"/>
                          </w:rPr>
                        </w:pPr>
                        <w:r>
                          <w:rPr>
                            <w:w w:val="105"/>
                            <w:sz w:val="8"/>
                          </w:rPr>
                          <w:t>1--皮带运输机</w:t>
                        </w:r>
                      </w:p>
                      <w:p>
                        <w:pPr>
                          <w:spacing w:before="0" w:line="84" w:lineRule="exact"/>
                          <w:ind w:left="41" w:right="0" w:firstLine="0"/>
                          <w:jc w:val="left"/>
                          <w:rPr>
                            <w:sz w:val="8"/>
                          </w:rPr>
                        </w:pPr>
                        <w:r>
                          <w:rPr>
                            <w:w w:val="105"/>
                            <w:sz w:val="8"/>
                          </w:rPr>
                          <w:t>2--通风机房1</w:t>
                        </w:r>
                      </w:p>
                      <w:p>
                        <w:pPr>
                          <w:spacing w:before="0" w:line="84" w:lineRule="exact"/>
                          <w:ind w:left="41" w:right="0" w:firstLine="0"/>
                          <w:jc w:val="left"/>
                          <w:rPr>
                            <w:sz w:val="8"/>
                          </w:rPr>
                        </w:pPr>
                        <w:r>
                          <w:rPr>
                            <w:w w:val="105"/>
                            <w:sz w:val="8"/>
                          </w:rPr>
                          <w:t>3--通风机房2</w:t>
                        </w:r>
                      </w:p>
                      <w:p>
                        <w:pPr>
                          <w:spacing w:before="0" w:line="84" w:lineRule="exact"/>
                          <w:ind w:left="41" w:right="0" w:firstLine="0"/>
                          <w:jc w:val="left"/>
                          <w:rPr>
                            <w:sz w:val="8"/>
                          </w:rPr>
                        </w:pPr>
                        <w:r>
                          <w:rPr>
                            <w:w w:val="105"/>
                            <w:sz w:val="8"/>
                          </w:rPr>
                          <w:t>4--鼓风机</w:t>
                        </w:r>
                      </w:p>
                      <w:p>
                        <w:pPr>
                          <w:spacing w:before="0" w:line="84" w:lineRule="exact"/>
                          <w:ind w:left="41" w:right="0" w:firstLine="0"/>
                          <w:jc w:val="left"/>
                          <w:rPr>
                            <w:sz w:val="8"/>
                          </w:rPr>
                        </w:pPr>
                        <w:r>
                          <w:rPr>
                            <w:w w:val="105"/>
                            <w:sz w:val="8"/>
                          </w:rPr>
                          <w:t>5--引风机</w:t>
                        </w:r>
                      </w:p>
                      <w:p>
                        <w:pPr>
                          <w:spacing w:before="0" w:line="84" w:lineRule="exact"/>
                          <w:ind w:left="41" w:right="0" w:firstLine="0"/>
                          <w:jc w:val="left"/>
                          <w:rPr>
                            <w:sz w:val="8"/>
                          </w:rPr>
                        </w:pPr>
                        <w:r>
                          <w:rPr>
                            <w:w w:val="105"/>
                            <w:sz w:val="8"/>
                          </w:rPr>
                          <w:t>6--振动筛</w:t>
                        </w:r>
                      </w:p>
                      <w:p>
                        <w:pPr>
                          <w:spacing w:before="0" w:line="84" w:lineRule="exact"/>
                          <w:ind w:left="41" w:right="0" w:firstLine="0"/>
                          <w:jc w:val="left"/>
                          <w:rPr>
                            <w:sz w:val="8"/>
                          </w:rPr>
                        </w:pPr>
                        <w:r>
                          <w:rPr>
                            <w:w w:val="105"/>
                            <w:sz w:val="8"/>
                          </w:rPr>
                          <w:t>7--提升绞车</w:t>
                        </w:r>
                      </w:p>
                      <w:p>
                        <w:pPr>
                          <w:spacing w:before="0" w:line="84" w:lineRule="exact"/>
                          <w:ind w:left="41" w:right="0" w:firstLine="0"/>
                          <w:jc w:val="left"/>
                          <w:rPr>
                            <w:sz w:val="8"/>
                          </w:rPr>
                        </w:pPr>
                        <w:r>
                          <w:rPr>
                            <w:w w:val="105"/>
                            <w:sz w:val="8"/>
                          </w:rPr>
                          <w:t>8--水泵</w:t>
                        </w:r>
                      </w:p>
                      <w:p>
                        <w:pPr>
                          <w:spacing w:before="0" w:line="83" w:lineRule="exact"/>
                          <w:ind w:left="41" w:right="0" w:firstLine="0"/>
                          <w:jc w:val="left"/>
                          <w:rPr>
                            <w:sz w:val="8"/>
                          </w:rPr>
                        </w:pPr>
                        <w:r>
                          <w:rPr>
                            <w:w w:val="105"/>
                            <w:sz w:val="8"/>
                          </w:rPr>
                          <w:t>9--车间</w:t>
                        </w:r>
                      </w:p>
                    </w:txbxContent>
                  </v:textbox>
                </v:shape>
                <v:shape id="文本框 133" o:spid="_x0000_s1026" o:spt="202" type="#_x0000_t202" style="position:absolute;left:8297;top:-4105;height:126;width:83;"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25" w:lineRule="exact"/>
                          <w:ind w:left="0" w:right="0" w:firstLine="0"/>
                          <w:jc w:val="left"/>
                          <w:rPr>
                            <w:rFonts w:ascii="Arial"/>
                            <w:b/>
                            <w:sz w:val="11"/>
                          </w:rPr>
                        </w:pPr>
                        <w:r>
                          <w:rPr>
                            <w:rFonts w:ascii="Arial"/>
                            <w:b/>
                            <w:color w:val="FF0000"/>
                            <w:w w:val="101"/>
                            <w:sz w:val="11"/>
                          </w:rPr>
                          <w:t>9</w:t>
                        </w:r>
                      </w:p>
                    </w:txbxContent>
                  </v:textbox>
                </v:shape>
                <v:shape id="文本框 134" o:spid="_x0000_s1026" o:spt="202" type="#_x0000_t202" style="position:absolute;left:8010;top:-3503;height:196;width:174;" filled="f" stroked="f" coordsize="21600,21600" o:gfxdata="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ebY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5" w:lineRule="auto"/>
                          <w:ind w:left="0" w:right="0" w:firstLine="0"/>
                          <w:jc w:val="left"/>
                          <w:rPr>
                            <w:rFonts w:ascii="Arial"/>
                            <w:b/>
                            <w:sz w:val="11"/>
                          </w:rPr>
                        </w:pPr>
                        <w:r>
                          <w:rPr>
                            <w:rFonts w:ascii="Arial"/>
                            <w:b/>
                            <w:color w:val="FF0000"/>
                            <w:sz w:val="11"/>
                          </w:rPr>
                          <w:t xml:space="preserve">4 </w:t>
                        </w:r>
                        <w:r>
                          <w:rPr>
                            <w:rFonts w:ascii="Arial"/>
                            <w:b/>
                            <w:color w:val="FF0000"/>
                            <w:position w:val="-6"/>
                            <w:sz w:val="11"/>
                          </w:rPr>
                          <w:t>5</w:t>
                        </w:r>
                      </w:p>
                    </w:txbxContent>
                  </v:textbox>
                </v:shape>
                <v:shape id="文本框 135" o:spid="_x0000_s1026" o:spt="202" type="#_x0000_t202" style="position:absolute;left:6688;top:-3251;height:126;width:83;" filled="f" stroked="f" coordsize="21600,21600" o:gfxdata="UEsDBAoAAAAAAIdO4kAAAAAAAAAAAAAAAAAEAAAAZHJzL1BLAwQUAAAACACHTuJAV1LIFbwAAADc&#10;AAAADwAAAGRycy9kb3ducmV2LnhtbEVPS2sCMRC+C/6HMAVvmlhB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Sy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25" w:lineRule="exact"/>
                          <w:ind w:left="0" w:right="0" w:firstLine="0"/>
                          <w:jc w:val="left"/>
                          <w:rPr>
                            <w:rFonts w:ascii="Arial"/>
                            <w:b/>
                            <w:sz w:val="11"/>
                          </w:rPr>
                        </w:pPr>
                        <w:r>
                          <w:rPr>
                            <w:rFonts w:ascii="Arial"/>
                            <w:b/>
                            <w:color w:val="FF0000"/>
                            <w:w w:val="101"/>
                            <w:sz w:val="11"/>
                          </w:rPr>
                          <w:t>8</w:t>
                        </w:r>
                      </w:p>
                    </w:txbxContent>
                  </v:textbox>
                </v:shape>
                <v:shape id="文本框 136" o:spid="_x0000_s1026" o:spt="202" type="#_x0000_t202" style="position:absolute;left:4989;top:-3076;height:126;width:83;" filled="f" stroked="f" coordsize="21600,21600" o:gfxdata="UEsDBAoAAAAAAIdO4kAAAAAAAAAAAAAAAAAEAAAAZHJzL1BLAwQUAAAACACHTuJA2LtQYbwAAADc&#10;AAAADwAAAGRycy9kb3ducmV2LnhtbEVPS2sCMRC+C/6HMAVvmlhE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7UG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25" w:lineRule="exact"/>
                          <w:ind w:left="0" w:right="0" w:firstLine="0"/>
                          <w:jc w:val="left"/>
                          <w:rPr>
                            <w:rFonts w:ascii="Arial"/>
                            <w:b/>
                            <w:sz w:val="11"/>
                          </w:rPr>
                        </w:pPr>
                        <w:r>
                          <w:rPr>
                            <w:rFonts w:ascii="Arial"/>
                            <w:b/>
                            <w:color w:val="FF0000"/>
                            <w:w w:val="101"/>
                            <w:sz w:val="11"/>
                          </w:rPr>
                          <w:t>1</w:t>
                        </w:r>
                      </w:p>
                    </w:txbxContent>
                  </v:textbox>
                </v:shape>
                <v:shape id="文本框 137" o:spid="_x0000_s1026" o:spt="202" type="#_x0000_t202" style="position:absolute;left:6241;top:-2314;height:126;width:83;" filled="f" stroked="f" coordsize="21600,21600" o:gfxdata="UEsDBAoAAAAAAIdO4kAAAAAAAAAAAAAAAAAEAAAAZHJzL1BLAwQUAAAACACHTuJAt/f1+rwAAADc&#10;AAAADwAAAGRycy9kb3ducmV2LnhtbEVPS2sCMRC+C/6HMAVvmlhQ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39f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25" w:lineRule="exact"/>
                          <w:ind w:left="0" w:right="0" w:firstLine="0"/>
                          <w:jc w:val="left"/>
                          <w:rPr>
                            <w:rFonts w:ascii="Arial"/>
                            <w:b/>
                            <w:sz w:val="11"/>
                          </w:rPr>
                        </w:pPr>
                        <w:r>
                          <w:rPr>
                            <w:rFonts w:ascii="Arial"/>
                            <w:b/>
                            <w:color w:val="FF0000"/>
                            <w:w w:val="101"/>
                            <w:sz w:val="11"/>
                          </w:rPr>
                          <w:t>6</w:t>
                        </w:r>
                      </w:p>
                    </w:txbxContent>
                  </v:textbox>
                </v:shape>
                <v:shape id="文本框 138" o:spid="_x0000_s1026" o:spt="202" type="#_x0000_t202" style="position:absolute;left:7003;top:-2405;height:126;width:83;" filled="f" stroked="f" coordsize="21600,21600" o:gfxdata="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la4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25" w:lineRule="exact"/>
                          <w:ind w:left="0" w:right="0" w:firstLine="0"/>
                          <w:jc w:val="left"/>
                          <w:rPr>
                            <w:rFonts w:ascii="Arial"/>
                            <w:b/>
                            <w:sz w:val="11"/>
                          </w:rPr>
                        </w:pPr>
                        <w:r>
                          <w:rPr>
                            <w:rFonts w:ascii="Arial"/>
                            <w:b/>
                            <w:color w:val="FF0000"/>
                            <w:spacing w:val="-63"/>
                            <w:w w:val="101"/>
                            <w:sz w:val="11"/>
                          </w:rPr>
                          <w:t>3</w:t>
                        </w:r>
                        <w:r>
                          <w:rPr>
                            <w:rFonts w:ascii="Arial"/>
                            <w:b/>
                            <w:color w:val="FF0000"/>
                            <w:w w:val="101"/>
                            <w:sz w:val="11"/>
                          </w:rPr>
                          <w:t>2</w:t>
                        </w:r>
                      </w:p>
                    </w:txbxContent>
                  </v:textbox>
                </v:shape>
              </v:group>
            </w:pict>
          </mc:Fallback>
        </mc:AlternateContent>
      </w:r>
      <w:r>
        <w:pict>
          <v:shape id="_x0000_s1163" o:spid="_x0000_s1163" o:spt="136" type="#_x0000_t136" style="position:absolute;left:0pt;margin-left:307.5pt;margin-top:-85.05pt;height:5.65pt;width:10.9pt;mso-position-horizontal-relative:page;rotation:65536f;z-index:251748352;mso-width-relative:page;mso-height-relative:page;" fillcolor="#000000" filled="t" stroked="f" coordsize="21600,21600">
            <v:path/>
            <v:fill on="t" focussize="0,0"/>
            <v:stroke on="f"/>
            <v:imagedata o:title=""/>
            <o:lock v:ext="edit"/>
            <v:textpath on="t" fitpath="t" trim="t" xscale="f" string="40.0" style="font-family:&amp;quot;font-size:5pt;font-weight:bold;v-text-align:center;"/>
          </v:shape>
        </w:pict>
      </w:r>
      <w:r>
        <w:pict>
          <v:shape id="_x0000_s1164" o:spid="_x0000_s1164" o:spt="136" type="#_x0000_t136" style="position:absolute;left:0pt;margin-left:230.1pt;margin-top:-62.45pt;height:5.6pt;width:10.85pt;mso-position-horizontal-relative:page;rotation:3211264f;z-index:251757568;mso-width-relative:page;mso-height-relative:page;" fillcolor="#000000" filled="t" stroked="f" coordsize="21600,21600">
            <v:path/>
            <v:fill on="t" focussize="0,0"/>
            <v:stroke on="f"/>
            <v:imagedata o:title=""/>
            <o:lock v:ext="edit"/>
            <v:textpath on="t" fitpath="t" trim="t" xscale="f" string="30.0" style="font-family:&amp;quot;font-size:5pt;font-weight:bold;v-text-align:center;"/>
          </v:shape>
        </w:pict>
      </w:r>
      <w:r>
        <w:pict>
          <v:shape id="_x0000_s1165" o:spid="_x0000_s1165" o:spt="136" type="#_x0000_t136" style="position:absolute;left:0pt;margin-left:166.35pt;margin-top:-22.8pt;height:5.6pt;width:10.85pt;mso-position-horizontal-relative:page;rotation:3407872f;z-index:251758592;mso-width-relative:page;mso-height-relative:page;" fillcolor="#000000" filled="t" stroked="f" coordsize="21600,21600">
            <v:path/>
            <v:fill on="t" focussize="0,0"/>
            <v:stroke on="f"/>
            <v:imagedata o:title=""/>
            <o:lock v:ext="edit"/>
            <v:textpath on="t" fitpath="t" trim="t" xscale="f" string="25..0" style="font-family:&amp;quot;font-size:5pt;font-weight:bold;v-text-align:center;"/>
          </v:shape>
        </w:pict>
      </w:r>
      <w:r>
        <mc:AlternateContent>
          <mc:Choice Requires="wps">
            <w:drawing>
              <wp:anchor distT="0" distB="0" distL="114300" distR="114300" simplePos="0" relativeHeight="212822016" behindDoc="1" locked="0" layoutInCell="1" allowOverlap="1">
                <wp:simplePos x="0" y="0"/>
                <wp:positionH relativeFrom="page">
                  <wp:posOffset>1203325</wp:posOffset>
                </wp:positionH>
                <wp:positionV relativeFrom="paragraph">
                  <wp:posOffset>-40005</wp:posOffset>
                </wp:positionV>
                <wp:extent cx="105410" cy="127635"/>
                <wp:effectExtent l="0" t="0" r="0" b="0"/>
                <wp:wrapNone/>
                <wp:docPr id="108" name="文本框 142"/>
                <wp:cNvGraphicFramePr/>
                <a:graphic xmlns:a="http://schemas.openxmlformats.org/drawingml/2006/main">
                  <a:graphicData uri="http://schemas.microsoft.com/office/word/2010/wordprocessingShape">
                    <wps:wsp>
                      <wps:cNvSpPr txBox="1"/>
                      <wps:spPr>
                        <a:xfrm>
                          <a:off x="0" y="0"/>
                          <a:ext cx="105410" cy="127635"/>
                        </a:xfrm>
                        <a:prstGeom prst="rect">
                          <a:avLst/>
                        </a:prstGeom>
                        <a:noFill/>
                        <a:ln>
                          <a:noFill/>
                        </a:ln>
                      </wps:spPr>
                      <wps:txbx>
                        <w:txbxContent>
                          <w:p>
                            <w:pPr>
                              <w:spacing w:before="18"/>
                              <w:ind w:left="20" w:right="0" w:firstLine="0"/>
                              <w:jc w:val="left"/>
                              <w:rPr>
                                <w:rFonts w:ascii="Arial"/>
                                <w:sz w:val="11"/>
                              </w:rPr>
                            </w:pPr>
                            <w:r>
                              <w:rPr>
                                <w:rFonts w:ascii="Arial"/>
                                <w:sz w:val="11"/>
                              </w:rPr>
                              <w:t>-50</w:t>
                            </w:r>
                          </w:p>
                        </w:txbxContent>
                      </wps:txbx>
                      <wps:bodyPr vert="vert270" lIns="0" tIns="0" rIns="0" bIns="0" upright="1"/>
                    </wps:wsp>
                  </a:graphicData>
                </a:graphic>
              </wp:anchor>
            </w:drawing>
          </mc:Choice>
          <mc:Fallback>
            <w:pict>
              <v:shape id="文本框 142" o:spid="_x0000_s1026" o:spt="202" type="#_x0000_t202" style="position:absolute;left:0pt;margin-left:94.75pt;margin-top:-3.15pt;height:10.05pt;width:8.3pt;mso-position-horizontal-relative:page;z-index:-290494464;mso-width-relative:page;mso-height-relative:page;" filled="f" stroked="f" coordsize="21600,21600" o:gfxdata="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Ln7v7VAAAACQEAAA8A&#10;AAAAAAAAAQAgAAAAIgAAAGRycy9kb3ducmV2LnhtbFBLAQIUABQAAAAIAIdO4kCEwtClqAEAADYD&#10;AAAOAAAAAAAAAAEAIAAAACQBAABkcnMvZTJvRG9jLnhtbFBLBQYAAAAABgAGAFkBAAA+BQAA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11"/>
                        </w:rPr>
                      </w:pPr>
                      <w:r>
                        <w:rPr>
                          <w:rFonts w:ascii="Arial"/>
                          <w:sz w:val="11"/>
                        </w:rPr>
                        <w:t>-50</w:t>
                      </w:r>
                    </w:p>
                  </w:txbxContent>
                </v:textbox>
              </v:shape>
            </w:pict>
          </mc:Fallback>
        </mc:AlternateContent>
      </w:r>
      <w:r>
        <mc:AlternateContent>
          <mc:Choice Requires="wps">
            <w:drawing>
              <wp:anchor distT="0" distB="0" distL="114300" distR="114300" simplePos="0" relativeHeight="251763712" behindDoc="0" locked="0" layoutInCell="1" allowOverlap="1">
                <wp:simplePos x="0" y="0"/>
                <wp:positionH relativeFrom="page">
                  <wp:posOffset>1203325</wp:posOffset>
                </wp:positionH>
                <wp:positionV relativeFrom="paragraph">
                  <wp:posOffset>-719455</wp:posOffset>
                </wp:positionV>
                <wp:extent cx="105410" cy="65405"/>
                <wp:effectExtent l="0" t="0" r="0" b="0"/>
                <wp:wrapNone/>
                <wp:docPr id="156" name="文本框 143"/>
                <wp:cNvGraphicFramePr/>
                <a:graphic xmlns:a="http://schemas.openxmlformats.org/drawingml/2006/main">
                  <a:graphicData uri="http://schemas.microsoft.com/office/word/2010/wordprocessingShape">
                    <wps:wsp>
                      <wps:cNvSpPr txBox="1"/>
                      <wps:spPr>
                        <a:xfrm>
                          <a:off x="0" y="0"/>
                          <a:ext cx="105410" cy="65405"/>
                        </a:xfrm>
                        <a:prstGeom prst="rect">
                          <a:avLst/>
                        </a:prstGeom>
                        <a:noFill/>
                        <a:ln>
                          <a:noFill/>
                        </a:ln>
                      </wps:spPr>
                      <wps:txbx>
                        <w:txbxContent>
                          <w:p>
                            <w:pPr>
                              <w:spacing w:before="18"/>
                              <w:ind w:left="20" w:right="0" w:firstLine="0"/>
                              <w:jc w:val="left"/>
                              <w:rPr>
                                <w:rFonts w:ascii="Arial"/>
                                <w:sz w:val="11"/>
                              </w:rPr>
                            </w:pPr>
                            <w:r>
                              <w:rPr>
                                <w:rFonts w:ascii="Arial"/>
                                <w:w w:val="101"/>
                                <w:sz w:val="11"/>
                              </w:rPr>
                              <w:t>0</w:t>
                            </w:r>
                          </w:p>
                        </w:txbxContent>
                      </wps:txbx>
                      <wps:bodyPr vert="vert270" lIns="0" tIns="0" rIns="0" bIns="0" upright="1"/>
                    </wps:wsp>
                  </a:graphicData>
                </a:graphic>
              </wp:anchor>
            </w:drawing>
          </mc:Choice>
          <mc:Fallback>
            <w:pict>
              <v:shape id="文本框 143" o:spid="_x0000_s1026" o:spt="202" type="#_x0000_t202" style="position:absolute;left:0pt;margin-left:94.75pt;margin-top:-56.65pt;height:5.15pt;width:8.3pt;mso-position-horizontal-relative:page;z-index:251763712;mso-width-relative:page;mso-height-relative:page;" filled="f" stroked="f" coordsize="21600,21600" o:gfxdata="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sx5K02AAAAA0B&#10;AAAPAAAAAAAAAAEAIAAAACIAAABkcnMvZG93bnJldi54bWxQSwECFAAUAAAACACHTuJAvtDrNakB&#10;AAA1AwAADgAAAAAAAAABACAAAAAnAQAAZHJzL2Uyb0RvYy54bWxQSwUGAAAAAAYABgBZAQAAQgUA&#10;A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11"/>
                        </w:rPr>
                      </w:pPr>
                      <w:r>
                        <w:rPr>
                          <w:rFonts w:ascii="Arial"/>
                          <w:w w:val="101"/>
                          <w:sz w:val="11"/>
                        </w:rPr>
                        <w:t>0</w:t>
                      </w:r>
                    </w:p>
                  </w:txbxContent>
                </v:textbox>
              </v:shape>
            </w:pict>
          </mc:Fallback>
        </mc:AlternateContent>
      </w:r>
      <w:r>
        <w:pict>
          <v:shape id="_x0000_s1168" o:spid="_x0000_s1168" o:spt="136" type="#_x0000_t136" style="position:absolute;left:0pt;margin-left:403.6pt;margin-top:-84.8pt;height:5.6pt;width:10.95pt;mso-position-horizontal-relative:page;rotation:19202048f;z-index:251772928;mso-width-relative:page;mso-height-relative:page;" fillcolor="#000000" filled="t" stroked="f" coordsize="21600,21600">
            <v:path/>
            <v:fill on="t" focussize="0,0"/>
            <v:stroke on="f"/>
            <v:imagedata o:title=""/>
            <o:lock v:ext="edit"/>
            <v:textpath on="t" fitpath="t" trim="t" xscale="f" string="30.0" style="font-family:&amp;quot;font-size:5pt;font-weight:bold;v-text-align:center;"/>
          </v:shape>
        </w:pict>
      </w:r>
      <w:r>
        <w:pict>
          <v:shape id="_x0000_s1169" o:spid="_x0000_s1169" o:spt="136" type="#_x0000_t136" style="position:absolute;left:0pt;margin-left:460.5pt;margin-top:-43.75pt;height:5.6pt;width:14.9pt;mso-position-horizontal-relative:page;rotation:19529728f;z-index:251773952;mso-width-relative:page;mso-height-relative:page;" fillcolor="#000000" filled="t" stroked="f" coordsize="21600,21600">
            <v:path/>
            <v:fill on="t" focussize="0,0"/>
            <v:stroke on="f"/>
            <v:imagedata o:title=""/>
            <o:lock v:ext="edit"/>
            <v:textpath on="t" fitpath="t" trim="t" xscale="f" string="252.50.0" style="font-family:&amp;quot;font-size:5pt;font-weight:bold;v-text-align:center;"/>
          </v:shape>
        </w:pict>
      </w:r>
      <w:r>
        <w:pict>
          <v:shape id="_x0000_s1170" o:spid="_x0000_s1170" o:spt="136" type="#_x0000_t136" style="position:absolute;left:0pt;margin-left:325.75pt;margin-top:-65.3pt;height:5.6pt;width:10.9pt;mso-position-horizontal-relative:page;rotation:22544384f;z-index:251776000;mso-width-relative:page;mso-height-relative:page;" fillcolor="#000000" filled="t" stroked="f" coordsize="21600,21600">
            <v:path/>
            <v:fill on="t" focussize="0,0"/>
            <v:stroke on="f"/>
            <v:imagedata o:title=""/>
            <o:lock v:ext="edit"/>
            <v:textpath on="t" fitpath="t" trim="t" xscale="f" string="35.0" style="font-family:&amp;quot;font-size:5pt;font-weight:bold;v-text-align:center;"/>
          </v:shape>
        </w:pict>
      </w:r>
      <w:r>
        <w:pict>
          <v:shape id="_x0000_s1171" o:spid="_x0000_s1171" o:spt="136" type="#_x0000_t136" style="position:absolute;left:0pt;margin-left:313.7pt;margin-top:-22.85pt;height:5.65pt;width:10.9pt;mso-position-horizontal-relative:page;rotation:23527424f;z-index:251778048;mso-width-relative:page;mso-height-relative:page;" fillcolor="#000000" filled="t" stroked="f" coordsize="21600,21600">
            <v:path/>
            <v:fill on="t" focussize="0,0"/>
            <v:stroke on="f"/>
            <v:imagedata o:title=""/>
            <o:lock v:ext="edit"/>
            <v:textpath on="t" fitpath="t" trim="t" xscale="f" string="30.0" style="font-family:&amp;quot;font-size:5pt;font-weight:bold;v-text-align:center;"/>
          </v:shape>
        </w:pict>
      </w:r>
      <w:r>
        <w:rPr>
          <w:rFonts w:ascii="Arial"/>
          <w:sz w:val="11"/>
        </w:rPr>
        <w:t>-100</w:t>
      </w:r>
      <w:r>
        <w:rPr>
          <w:rFonts w:ascii="Arial"/>
          <w:sz w:val="11"/>
        </w:rPr>
        <w:tab/>
      </w:r>
      <w:r>
        <w:rPr>
          <w:rFonts w:ascii="Arial"/>
          <w:sz w:val="11"/>
        </w:rPr>
        <w:t>-50</w:t>
      </w:r>
      <w:r>
        <w:rPr>
          <w:rFonts w:ascii="Arial"/>
          <w:sz w:val="11"/>
        </w:rPr>
        <w:tab/>
      </w:r>
      <w:r>
        <w:rPr>
          <w:rFonts w:ascii="Arial"/>
          <w:sz w:val="11"/>
        </w:rPr>
        <w:t>0</w:t>
      </w:r>
      <w:r>
        <w:rPr>
          <w:rFonts w:ascii="Arial"/>
          <w:sz w:val="11"/>
        </w:rPr>
        <w:tab/>
      </w:r>
      <w:r>
        <w:rPr>
          <w:rFonts w:ascii="Arial"/>
          <w:sz w:val="11"/>
        </w:rPr>
        <w:t>50</w:t>
      </w:r>
      <w:r>
        <w:rPr>
          <w:rFonts w:ascii="Arial"/>
          <w:sz w:val="11"/>
        </w:rPr>
        <w:tab/>
      </w:r>
      <w:r>
        <w:rPr>
          <w:rFonts w:ascii="Arial"/>
          <w:sz w:val="11"/>
        </w:rPr>
        <w:t>100</w:t>
      </w:r>
      <w:r>
        <w:rPr>
          <w:rFonts w:ascii="Arial"/>
          <w:sz w:val="11"/>
        </w:rPr>
        <w:tab/>
      </w:r>
      <w:r>
        <w:rPr>
          <w:rFonts w:ascii="Arial"/>
          <w:sz w:val="11"/>
        </w:rPr>
        <w:t>150</w:t>
      </w:r>
      <w:r>
        <w:rPr>
          <w:rFonts w:ascii="Arial"/>
          <w:sz w:val="11"/>
        </w:rPr>
        <w:tab/>
      </w:r>
      <w:r>
        <w:rPr>
          <w:rFonts w:ascii="Arial"/>
          <w:sz w:val="11"/>
        </w:rPr>
        <w:t>200</w:t>
      </w:r>
      <w:r>
        <w:rPr>
          <w:rFonts w:ascii="Arial"/>
          <w:sz w:val="11"/>
        </w:rPr>
        <w:tab/>
      </w:r>
      <w:r>
        <w:rPr>
          <w:rFonts w:ascii="Arial"/>
          <w:sz w:val="11"/>
        </w:rPr>
        <w:t>250</w:t>
      </w:r>
    </w:p>
    <w:p>
      <w:pPr>
        <w:spacing w:before="0" w:line="134" w:lineRule="exact"/>
        <w:ind w:left="94" w:right="0" w:firstLine="0"/>
        <w:jc w:val="center"/>
        <w:rPr>
          <w:b/>
          <w:sz w:val="11"/>
        </w:rPr>
      </w:pPr>
      <w:r>
        <w:rPr>
          <w:b/>
          <w:sz w:val="11"/>
        </w:rPr>
        <w:t>图形</w:t>
      </w:r>
    </w:p>
    <w:p>
      <w:pPr>
        <w:pStyle w:val="9"/>
        <w:spacing w:before="5"/>
        <w:rPr>
          <w:b/>
          <w:sz w:val="17"/>
        </w:rPr>
      </w:pPr>
    </w:p>
    <w:p>
      <w:pPr>
        <w:spacing w:before="77"/>
        <w:ind w:left="379" w:right="0" w:firstLine="0"/>
        <w:jc w:val="center"/>
        <w:rPr>
          <w:b/>
          <w:sz w:val="21"/>
        </w:rPr>
      </w:pPr>
      <w:r>
        <w:rPr>
          <w:b/>
          <w:spacing w:val="-28"/>
          <w:sz w:val="21"/>
        </w:rPr>
        <w:t xml:space="preserve">图 </w:t>
      </w:r>
      <w:r>
        <w:rPr>
          <w:rFonts w:ascii="Times New Roman" w:eastAsia="Times New Roman"/>
          <w:b/>
          <w:sz w:val="21"/>
        </w:rPr>
        <w:t>8.1</w:t>
      </w:r>
      <w:r>
        <w:rPr>
          <w:rFonts w:ascii="Times New Roman" w:eastAsia="Times New Roman"/>
          <w:b/>
          <w:spacing w:val="52"/>
          <w:sz w:val="21"/>
        </w:rPr>
        <w:t xml:space="preserve"> </w:t>
      </w:r>
      <w:r>
        <w:rPr>
          <w:b/>
          <w:sz w:val="21"/>
        </w:rPr>
        <w:t>本项目主井工业广场噪声预测图</w:t>
      </w:r>
    </w:p>
    <w:p>
      <w:pPr>
        <w:spacing w:after="0"/>
        <w:jc w:val="center"/>
        <w:rPr>
          <w:sz w:val="21"/>
        </w:rPr>
        <w:sectPr>
          <w:footerReference r:id="rId23" w:type="default"/>
          <w:pgSz w:w="11910" w:h="16840"/>
          <w:pgMar w:top="0" w:right="0" w:bottom="0" w:left="0" w:header="0" w:footer="0" w:gutter="0"/>
        </w:sect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spacing w:before="10"/>
        <w:rPr>
          <w:b/>
          <w:sz w:val="17"/>
        </w:rPr>
      </w:pPr>
    </w:p>
    <w:p>
      <w:pPr>
        <w:spacing w:before="77"/>
        <w:ind w:left="379" w:right="0" w:firstLine="0"/>
        <w:jc w:val="center"/>
        <w:rPr>
          <w:b/>
          <w:sz w:val="21"/>
        </w:rPr>
      </w:pPr>
      <w:r>
        <w:rPr>
          <w:b/>
          <w:spacing w:val="-28"/>
          <w:sz w:val="21"/>
        </w:rPr>
        <w:t xml:space="preserve">图 </w:t>
      </w:r>
      <w:r>
        <w:rPr>
          <w:rFonts w:ascii="Times New Roman" w:eastAsia="Times New Roman"/>
          <w:b/>
          <w:sz w:val="21"/>
        </w:rPr>
        <w:t>8.2</w:t>
      </w:r>
      <w:r>
        <w:rPr>
          <w:rFonts w:ascii="Times New Roman" w:eastAsia="Times New Roman"/>
          <w:b/>
          <w:spacing w:val="52"/>
          <w:sz w:val="21"/>
        </w:rPr>
        <w:t xml:space="preserve"> </w:t>
      </w:r>
      <w:r>
        <w:rPr>
          <w:b/>
          <w:sz w:val="21"/>
        </w:rPr>
        <w:t>本项目副井工业广场噪声预测图</w:t>
      </w:r>
    </w:p>
    <w:p>
      <w:pPr>
        <w:pStyle w:val="9"/>
        <w:spacing w:before="10"/>
        <w:rPr>
          <w:b/>
          <w:sz w:val="21"/>
        </w:rPr>
      </w:pPr>
    </w:p>
    <w:p>
      <w:pPr>
        <w:pStyle w:val="9"/>
        <w:spacing w:line="364" w:lineRule="auto"/>
        <w:ind w:left="1418" w:right="1417" w:firstLine="480"/>
        <w:jc w:val="both"/>
      </w:pPr>
      <w:r>
        <w:rPr>
          <w:spacing w:val="-3"/>
        </w:rPr>
        <w:t>本项目噪声经降噪后主井工业广场及副井工业广场厂界噪声昼间均可以满足《工业</w:t>
      </w:r>
      <w:r>
        <w:rPr>
          <w:spacing w:val="-4"/>
        </w:rPr>
        <w:t>企业厂界环境噪声排放标准》</w:t>
      </w:r>
      <w:r>
        <w:rPr>
          <w:spacing w:val="-3"/>
        </w:rPr>
        <w:t>（</w:t>
      </w:r>
      <w:r>
        <w:rPr>
          <w:rFonts w:ascii="Times New Roman" w:eastAsia="Times New Roman"/>
          <w:spacing w:val="-3"/>
        </w:rPr>
        <w:t>GB12348-2008</w:t>
      </w:r>
      <w:r>
        <w:rPr>
          <w:spacing w:val="-3"/>
        </w:rPr>
        <w:t>）</w:t>
      </w:r>
      <w:r>
        <w:rPr>
          <w:spacing w:val="-29"/>
        </w:rPr>
        <w:t xml:space="preserve">表 </w:t>
      </w:r>
      <w:r>
        <w:rPr>
          <w:rFonts w:ascii="Times New Roman" w:eastAsia="Times New Roman"/>
        </w:rPr>
        <w:t xml:space="preserve">1 </w:t>
      </w:r>
      <w:r>
        <w:rPr>
          <w:spacing w:val="-19"/>
        </w:rPr>
        <w:t xml:space="preserve">中的 </w:t>
      </w:r>
      <w:r>
        <w:rPr>
          <w:rFonts w:ascii="Times New Roman" w:eastAsia="Times New Roman"/>
        </w:rPr>
        <w:t xml:space="preserve">2 </w:t>
      </w:r>
      <w:r>
        <w:rPr>
          <w:spacing w:val="-5"/>
        </w:rPr>
        <w:t>类标准要求，项目建成后对</w:t>
      </w:r>
      <w:r>
        <w:t>周围环境影响较小。</w:t>
      </w:r>
    </w:p>
    <w:p>
      <w:pPr>
        <w:pStyle w:val="6"/>
        <w:numPr>
          <w:ilvl w:val="2"/>
          <w:numId w:val="73"/>
        </w:numPr>
        <w:tabs>
          <w:tab w:val="left" w:pos="2048"/>
        </w:tabs>
        <w:spacing w:before="0" w:after="0" w:line="240" w:lineRule="auto"/>
        <w:ind w:left="2047" w:right="0" w:hanging="630"/>
        <w:jc w:val="left"/>
      </w:pPr>
      <w:bookmarkStart w:id="474" w:name="8.3.5声环境影响评价结论"/>
      <w:bookmarkEnd w:id="474"/>
      <w:bookmarkStart w:id="475" w:name="8.3.5声环境影响评价结论"/>
      <w:bookmarkEnd w:id="475"/>
      <w:r>
        <w:t>声环境影响评价结论</w:t>
      </w:r>
    </w:p>
    <w:p>
      <w:pPr>
        <w:pStyle w:val="9"/>
        <w:spacing w:before="185" w:line="364" w:lineRule="auto"/>
        <w:ind w:left="1418" w:right="1417" w:firstLine="480"/>
        <w:jc w:val="both"/>
      </w:pPr>
      <w:r>
        <w:rPr>
          <w:spacing w:val="-6"/>
        </w:rPr>
        <w:t>本项目主要噪声源相对较集中。在主井皮带机、空压机房、通风机房、锅炉房等所</w:t>
      </w:r>
      <w:r>
        <w:rPr>
          <w:spacing w:val="-4"/>
        </w:rPr>
        <w:t>增加的噪声设备经采用消声减震措施后，再经建筑物的隔声和距离衰减，厂界噪声可以</w:t>
      </w:r>
      <w:r>
        <w:rPr>
          <w:spacing w:val="-7"/>
        </w:rPr>
        <w:t>满足《工业企业厂界环境噪声排放标准》</w:t>
      </w:r>
      <w:r>
        <w:t>（</w:t>
      </w:r>
      <w:r>
        <w:rPr>
          <w:rFonts w:ascii="Times New Roman" w:eastAsia="Times New Roman"/>
        </w:rPr>
        <w:t>GB12348-2008</w:t>
      </w:r>
      <w:r>
        <w:t>）</w:t>
      </w:r>
      <w:r>
        <w:rPr>
          <w:spacing w:val="-33"/>
        </w:rPr>
        <w:t xml:space="preserve">表 </w:t>
      </w:r>
      <w:r>
        <w:rPr>
          <w:rFonts w:ascii="Times New Roman" w:eastAsia="Times New Roman"/>
        </w:rPr>
        <w:t xml:space="preserve">1 </w:t>
      </w:r>
      <w:r>
        <w:rPr>
          <w:spacing w:val="-22"/>
        </w:rPr>
        <w:t xml:space="preserve">中的 </w:t>
      </w:r>
      <w:r>
        <w:rPr>
          <w:rFonts w:ascii="Times New Roman" w:eastAsia="Times New Roman"/>
        </w:rPr>
        <w:t xml:space="preserve">2 </w:t>
      </w:r>
      <w:r>
        <w:rPr>
          <w:spacing w:val="-6"/>
        </w:rPr>
        <w:t>类标准要求；运</w:t>
      </w:r>
      <w:r>
        <w:t>输线路通过减速行驶、禁止鸣笛等措施，本项目运输噪声影响较小。</w:t>
      </w:r>
    </w:p>
    <w:p>
      <w:pPr>
        <w:pStyle w:val="9"/>
        <w:spacing w:line="305" w:lineRule="exact"/>
        <w:ind w:left="1898"/>
      </w:pPr>
      <w:r>
        <w:t>因此，从声环境角度而言，本项目在该厂址建设可行。</w:t>
      </w:r>
    </w:p>
    <w:p>
      <w:pPr>
        <w:pStyle w:val="5"/>
        <w:numPr>
          <w:ilvl w:val="1"/>
          <w:numId w:val="73"/>
        </w:numPr>
        <w:tabs>
          <w:tab w:val="left" w:pos="1868"/>
        </w:tabs>
        <w:spacing w:before="161" w:after="0" w:line="240" w:lineRule="auto"/>
        <w:ind w:left="1867" w:right="0" w:hanging="450"/>
        <w:jc w:val="left"/>
        <w:rPr>
          <w:rFonts w:ascii="Times New Roman" w:eastAsia="Times New Roman"/>
        </w:rPr>
      </w:pPr>
      <w:bookmarkStart w:id="476" w:name="_bookmark48"/>
      <w:bookmarkEnd w:id="476"/>
      <w:bookmarkStart w:id="477" w:name="8.4声环境污染防治措施"/>
      <w:bookmarkEnd w:id="477"/>
      <w:bookmarkStart w:id="478" w:name="_bookmark48"/>
      <w:bookmarkEnd w:id="478"/>
      <w:r>
        <w:t>声环境污染防治措施</w:t>
      </w:r>
    </w:p>
    <w:p>
      <w:pPr>
        <w:pStyle w:val="18"/>
        <w:numPr>
          <w:ilvl w:val="0"/>
          <w:numId w:val="74"/>
        </w:numPr>
        <w:tabs>
          <w:tab w:val="left" w:pos="2504"/>
        </w:tabs>
        <w:spacing w:before="199" w:after="0" w:line="362" w:lineRule="auto"/>
        <w:ind w:left="1418" w:right="1417" w:firstLine="480"/>
        <w:jc w:val="both"/>
        <w:rPr>
          <w:sz w:val="24"/>
        </w:rPr>
      </w:pPr>
      <w:r>
        <w:rPr>
          <w:sz w:val="24"/>
        </w:rPr>
        <w:t>在满足工艺设计的前提下，尽量选用低噪声型号的产品。设备定货时可向厂</w:t>
      </w:r>
      <w:r>
        <w:rPr>
          <w:spacing w:val="-7"/>
          <w:sz w:val="24"/>
        </w:rPr>
        <w:t>家提出要求，或者根据厂家提供的设备噪声值进行选择使用。选型还必须考虑产品具备</w:t>
      </w:r>
      <w:r>
        <w:rPr>
          <w:spacing w:val="-2"/>
          <w:sz w:val="24"/>
        </w:rPr>
        <w:t>良好的声学特性</w:t>
      </w:r>
      <w:r>
        <w:rPr>
          <w:spacing w:val="-3"/>
          <w:sz w:val="24"/>
        </w:rPr>
        <w:t>（</w:t>
      </w:r>
      <w:r>
        <w:rPr>
          <w:sz w:val="24"/>
        </w:rPr>
        <w:t>高效低噪</w:t>
      </w:r>
      <w:r>
        <w:rPr>
          <w:spacing w:val="-14"/>
          <w:sz w:val="24"/>
        </w:rPr>
        <w:t>）</w:t>
      </w:r>
      <w:r>
        <w:rPr>
          <w:spacing w:val="-6"/>
          <w:sz w:val="24"/>
        </w:rPr>
        <w:t>，向供货制造设备厂方提出限制噪声要求。对于噪声较高</w:t>
      </w:r>
    </w:p>
    <w:p>
      <w:pPr>
        <w:spacing w:after="0" w:line="362" w:lineRule="auto"/>
        <w:jc w:val="both"/>
        <w:rPr>
          <w:sz w:val="24"/>
        </w:rPr>
        <w:sectPr>
          <w:footerReference r:id="rId24" w:type="default"/>
          <w:pgSz w:w="11910" w:h="16840"/>
          <w:pgMar w:top="1580" w:right="0" w:bottom="880" w:left="0" w:header="0" w:footer="681" w:gutter="0"/>
          <w:pgNumType w:start="155"/>
        </w:sectPr>
      </w:pPr>
    </w:p>
    <w:p>
      <w:pPr>
        <w:pStyle w:val="9"/>
        <w:spacing w:before="41"/>
        <w:ind w:left="1418"/>
      </w:pPr>
      <w:r>
        <w:t>的设备应与厂方协商提供相配套的降噪设施。</w:t>
      </w:r>
    </w:p>
    <w:p>
      <w:pPr>
        <w:pStyle w:val="18"/>
        <w:numPr>
          <w:ilvl w:val="0"/>
          <w:numId w:val="74"/>
        </w:numPr>
        <w:tabs>
          <w:tab w:val="left" w:pos="2504"/>
        </w:tabs>
        <w:spacing w:before="158" w:after="0" w:line="364" w:lineRule="auto"/>
        <w:ind w:left="1418" w:right="1416" w:firstLine="480"/>
        <w:jc w:val="left"/>
        <w:rPr>
          <w:sz w:val="24"/>
        </w:rPr>
      </w:pPr>
      <w:r>
        <w:rPr>
          <w:sz w:val="24"/>
        </w:rPr>
        <w:t>锅炉房鼓风机进出风口处均安装消音器。风机与其它设备隔绝，墙体采用吸音隔音材料。</w:t>
      </w:r>
    </w:p>
    <w:p>
      <w:pPr>
        <w:pStyle w:val="18"/>
        <w:numPr>
          <w:ilvl w:val="0"/>
          <w:numId w:val="74"/>
        </w:numPr>
        <w:tabs>
          <w:tab w:val="left" w:pos="2500"/>
        </w:tabs>
        <w:spacing w:before="1" w:after="0" w:line="240" w:lineRule="auto"/>
        <w:ind w:left="2499" w:right="0" w:hanging="602"/>
        <w:jc w:val="left"/>
        <w:rPr>
          <w:sz w:val="24"/>
        </w:rPr>
      </w:pPr>
      <w:r>
        <w:rPr>
          <w:sz w:val="24"/>
        </w:rPr>
        <w:t>提高设备安装精度，并在基础设隔振垫。对各种泵必要时加装隔音罩。</w:t>
      </w:r>
    </w:p>
    <w:p>
      <w:pPr>
        <w:pStyle w:val="18"/>
        <w:numPr>
          <w:ilvl w:val="0"/>
          <w:numId w:val="74"/>
        </w:numPr>
        <w:tabs>
          <w:tab w:val="left" w:pos="2504"/>
        </w:tabs>
        <w:spacing w:before="158" w:after="0" w:line="364" w:lineRule="auto"/>
        <w:ind w:left="1418" w:right="1418" w:firstLine="480"/>
        <w:jc w:val="left"/>
        <w:rPr>
          <w:sz w:val="24"/>
        </w:rPr>
      </w:pPr>
      <w:r>
        <w:rPr>
          <w:sz w:val="24"/>
        </w:rPr>
        <w:t>风机及泵类设置单独基础或减震措施，强振设备与管道间采取柔性连接，防止振动造成的危害。</w:t>
      </w:r>
    </w:p>
    <w:p>
      <w:pPr>
        <w:pStyle w:val="18"/>
        <w:numPr>
          <w:ilvl w:val="0"/>
          <w:numId w:val="74"/>
        </w:numPr>
        <w:tabs>
          <w:tab w:val="left" w:pos="2504"/>
        </w:tabs>
        <w:spacing w:before="0" w:after="0" w:line="364" w:lineRule="auto"/>
        <w:ind w:left="1418" w:right="1418" w:firstLine="480"/>
        <w:jc w:val="left"/>
        <w:rPr>
          <w:sz w:val="24"/>
        </w:rPr>
      </w:pPr>
      <w:r>
        <w:rPr>
          <w:sz w:val="24"/>
        </w:rPr>
        <w:t>设计将噪声较大的设备置于室内隔声，并采用隔声、吸声材料制作门窗、砌体等，降低噪声的影响，防止噪声的扩散和传播。</w:t>
      </w:r>
    </w:p>
    <w:p>
      <w:pPr>
        <w:pStyle w:val="18"/>
        <w:numPr>
          <w:ilvl w:val="0"/>
          <w:numId w:val="74"/>
        </w:numPr>
        <w:tabs>
          <w:tab w:val="left" w:pos="2504"/>
        </w:tabs>
        <w:spacing w:before="0" w:after="0" w:line="364" w:lineRule="auto"/>
        <w:ind w:left="1418" w:right="1417" w:firstLine="480"/>
        <w:jc w:val="both"/>
        <w:rPr>
          <w:sz w:val="24"/>
        </w:rPr>
      </w:pPr>
      <w:r>
        <w:rPr>
          <w:sz w:val="24"/>
        </w:rPr>
        <w:t>从工业场地总平面布置着手，在总体布置及建设过程时已考虑工业场地内厂</w:t>
      </w:r>
      <w:r>
        <w:rPr>
          <w:spacing w:val="-5"/>
          <w:sz w:val="24"/>
        </w:rPr>
        <w:t>房产生高噪声源的特点，工业场地总平面尽量按功能区布置，将产生高噪声的设施相对</w:t>
      </w:r>
      <w:r>
        <w:rPr>
          <w:spacing w:val="-7"/>
          <w:sz w:val="24"/>
        </w:rPr>
        <w:t>集中布置，布置在远离生活区、办公楼、宿舍等环境要求较高的区域。同时充分利用地</w:t>
      </w:r>
      <w:r>
        <w:rPr>
          <w:sz w:val="24"/>
        </w:rPr>
        <w:t>形地物和增设辅助车间、厂界围墙等对噪声传播起到遮挡作用。</w:t>
      </w:r>
    </w:p>
    <w:p>
      <w:pPr>
        <w:pStyle w:val="18"/>
        <w:numPr>
          <w:ilvl w:val="0"/>
          <w:numId w:val="74"/>
        </w:numPr>
        <w:tabs>
          <w:tab w:val="left" w:pos="2504"/>
        </w:tabs>
        <w:spacing w:before="0" w:after="0" w:line="364" w:lineRule="auto"/>
        <w:ind w:left="1418" w:right="1417" w:firstLine="480"/>
        <w:jc w:val="both"/>
        <w:rPr>
          <w:sz w:val="24"/>
        </w:rPr>
      </w:pPr>
      <w:r>
        <w:rPr>
          <w:sz w:val="24"/>
        </w:rPr>
        <w:t>对运输道路要经常维护，保证路面完好，并在道路两侧加强绿化，降低车辆</w:t>
      </w:r>
      <w:r>
        <w:rPr>
          <w:spacing w:val="-6"/>
          <w:sz w:val="24"/>
        </w:rPr>
        <w:t>通过时的噪声；同时要求运输车辆经过矿山村时禁止鸣笛、降低车速；车辆进出应尽量</w:t>
      </w:r>
      <w:r>
        <w:rPr>
          <w:sz w:val="24"/>
        </w:rPr>
        <w:t>安排在白天进行。</w:t>
      </w:r>
    </w:p>
    <w:p>
      <w:pPr>
        <w:pStyle w:val="18"/>
        <w:numPr>
          <w:ilvl w:val="0"/>
          <w:numId w:val="74"/>
        </w:numPr>
        <w:tabs>
          <w:tab w:val="left" w:pos="2500"/>
        </w:tabs>
        <w:spacing w:before="0" w:after="0" w:line="307" w:lineRule="exact"/>
        <w:ind w:left="2499" w:right="0" w:hanging="602"/>
        <w:jc w:val="both"/>
        <w:rPr>
          <w:sz w:val="24"/>
        </w:rPr>
      </w:pPr>
      <w:r>
        <w:rPr>
          <w:spacing w:val="-3"/>
          <w:sz w:val="24"/>
        </w:rPr>
        <w:t xml:space="preserve">推土机要求加强车辆维护和管理，严禁在夜间 </w:t>
      </w:r>
      <w:r>
        <w:rPr>
          <w:rFonts w:ascii="Times New Roman" w:eastAsia="Times New Roman"/>
          <w:sz w:val="24"/>
        </w:rPr>
        <w:t>22</w:t>
      </w:r>
      <w:r>
        <w:rPr>
          <w:sz w:val="24"/>
        </w:rPr>
        <w:t>：</w:t>
      </w:r>
      <w:r>
        <w:rPr>
          <w:rFonts w:ascii="Times New Roman" w:eastAsia="Times New Roman"/>
          <w:sz w:val="24"/>
        </w:rPr>
        <w:t xml:space="preserve">00 </w:t>
      </w:r>
      <w:r>
        <w:rPr>
          <w:sz w:val="24"/>
        </w:rPr>
        <w:t>以后工作。</w:t>
      </w:r>
    </w:p>
    <w:p>
      <w:pPr>
        <w:pStyle w:val="18"/>
        <w:numPr>
          <w:ilvl w:val="0"/>
          <w:numId w:val="74"/>
        </w:numPr>
        <w:tabs>
          <w:tab w:val="left" w:pos="2500"/>
        </w:tabs>
        <w:spacing w:before="156" w:after="0" w:line="240" w:lineRule="auto"/>
        <w:ind w:left="2499" w:right="0" w:hanging="602"/>
        <w:jc w:val="left"/>
        <w:rPr>
          <w:sz w:val="24"/>
        </w:rPr>
      </w:pPr>
      <w:r>
        <w:rPr>
          <w:sz w:val="24"/>
        </w:rPr>
        <w:t>在厂区周围种植树木，在厂区空地种植绿草，降低噪声。</w:t>
      </w:r>
    </w:p>
    <w:p>
      <w:pPr>
        <w:pStyle w:val="9"/>
        <w:spacing w:before="158"/>
        <w:ind w:left="1898"/>
      </w:pPr>
      <w:r>
        <w:t>采取以上措施后，满足《工业企业厂界环境噪声排放标准》（</w:t>
      </w:r>
      <w:r>
        <w:rPr>
          <w:rFonts w:ascii="Times New Roman" w:eastAsia="Times New Roman"/>
        </w:rPr>
        <w:t>GB12348-2008</w:t>
      </w:r>
      <w:r>
        <w:t>）中的</w:t>
      </w:r>
    </w:p>
    <w:p>
      <w:pPr>
        <w:pStyle w:val="9"/>
        <w:spacing w:before="158"/>
        <w:ind w:left="1418"/>
      </w:pPr>
      <w:r>
        <w:rPr>
          <w:rFonts w:ascii="Times New Roman" w:eastAsia="Times New Roman"/>
        </w:rPr>
        <w:t xml:space="preserve">2 </w:t>
      </w:r>
      <w:r>
        <w:t>类标准要求。</w: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3"/>
        <w:rPr>
          <w:sz w:val="23"/>
        </w:rPr>
      </w:pPr>
    </w:p>
    <w:p>
      <w:pPr>
        <w:spacing w:after="0"/>
        <w:rPr>
          <w:sz w:val="23"/>
        </w:rPr>
        <w:sectPr>
          <w:pgSz w:w="11910" w:h="16840"/>
          <w:pgMar w:top="1360" w:right="0" w:bottom="880" w:left="0" w:header="0" w:footer="681" w:gutter="0"/>
        </w:sectPr>
      </w:pPr>
    </w:p>
    <w:p>
      <w:pPr>
        <w:pStyle w:val="9"/>
        <w:rPr>
          <w:sz w:val="32"/>
        </w:rPr>
      </w:pPr>
    </w:p>
    <w:p>
      <w:pPr>
        <w:pStyle w:val="9"/>
        <w:spacing w:before="5"/>
        <w:rPr>
          <w:sz w:val="27"/>
        </w:rPr>
      </w:pPr>
    </w:p>
    <w:p>
      <w:pPr>
        <w:pStyle w:val="5"/>
        <w:numPr>
          <w:ilvl w:val="1"/>
          <w:numId w:val="75"/>
        </w:numPr>
        <w:tabs>
          <w:tab w:val="left" w:pos="1944"/>
        </w:tabs>
        <w:spacing w:before="1" w:after="0" w:line="240" w:lineRule="auto"/>
        <w:ind w:left="1944" w:right="0" w:hanging="526"/>
        <w:jc w:val="left"/>
      </w:pPr>
      <w:bookmarkStart w:id="479" w:name="_bookmark49"/>
      <w:bookmarkEnd w:id="479"/>
      <w:bookmarkStart w:id="480" w:name="_bookmark49"/>
      <w:bookmarkEnd w:id="480"/>
      <w:bookmarkStart w:id="481" w:name="9.1 概述"/>
      <w:bookmarkEnd w:id="481"/>
      <w:r>
        <w:t>概述</w:t>
      </w:r>
    </w:p>
    <w:p>
      <w:pPr>
        <w:pStyle w:val="18"/>
        <w:numPr>
          <w:ilvl w:val="2"/>
          <w:numId w:val="14"/>
        </w:numPr>
        <w:tabs>
          <w:tab w:val="left" w:pos="1868"/>
        </w:tabs>
        <w:spacing w:before="61" w:after="0" w:line="240" w:lineRule="auto"/>
        <w:ind w:left="1867" w:right="0" w:hanging="450"/>
        <w:jc w:val="left"/>
        <w:rPr>
          <w:rFonts w:ascii="Times New Roman" w:eastAsia="Times New Roman"/>
          <w:b/>
          <w:sz w:val="36"/>
        </w:rPr>
      </w:pPr>
      <w:bookmarkStart w:id="482" w:name="9. 土壤环境影响评价"/>
      <w:bookmarkEnd w:id="482"/>
      <w:bookmarkStart w:id="483" w:name="_bookmark50"/>
      <w:bookmarkEnd w:id="483"/>
      <w:bookmarkStart w:id="484" w:name="_bookmark50"/>
      <w:bookmarkEnd w:id="484"/>
      <w:r>
        <w:rPr>
          <w:b/>
          <w:spacing w:val="2"/>
          <w:w w:val="99"/>
          <w:sz w:val="36"/>
        </w:rPr>
        <w:br w:type="column"/>
      </w:r>
      <w:r>
        <w:rPr>
          <w:b/>
          <w:sz w:val="36"/>
        </w:rPr>
        <w:t>土壤环境影响评价</w:t>
      </w:r>
    </w:p>
    <w:p>
      <w:pPr>
        <w:spacing w:after="0" w:line="240" w:lineRule="auto"/>
        <w:jc w:val="left"/>
        <w:rPr>
          <w:rFonts w:ascii="Times New Roman" w:eastAsia="Times New Roman"/>
          <w:sz w:val="36"/>
        </w:rPr>
        <w:sectPr>
          <w:type w:val="continuous"/>
          <w:pgSz w:w="11910" w:h="16840"/>
          <w:pgMar w:top="1580" w:right="0" w:bottom="280" w:left="0" w:header="720" w:footer="720" w:gutter="0"/>
          <w:cols w:equalWidth="0" w:num="2">
            <w:col w:w="2585" w:space="281"/>
            <w:col w:w="9044"/>
          </w:cols>
        </w:sectPr>
      </w:pPr>
    </w:p>
    <w:p>
      <w:pPr>
        <w:pStyle w:val="9"/>
        <w:spacing w:before="9"/>
        <w:rPr>
          <w:b/>
          <w:sz w:val="9"/>
        </w:rPr>
      </w:pPr>
    </w:p>
    <w:p>
      <w:pPr>
        <w:pStyle w:val="9"/>
        <w:spacing w:before="74" w:line="364" w:lineRule="auto"/>
        <w:ind w:left="1418" w:right="1354" w:firstLine="480"/>
      </w:pPr>
      <w:r>
        <w:t>本次评价按照《环境影响评价技术导则 土壤环境（试行）》（</w:t>
      </w:r>
      <w:r>
        <w:rPr>
          <w:rFonts w:ascii="Times New Roman" w:eastAsia="Times New Roman"/>
        </w:rPr>
        <w:t>HJ964-2018</w:t>
      </w:r>
      <w:r>
        <w:t>），对井田开采区、工业广场土壤环境进行了现状调查，并在调查基础上，进行了土壤环境的</w:t>
      </w:r>
    </w:p>
    <w:p>
      <w:pPr>
        <w:spacing w:after="0" w:line="364" w:lineRule="auto"/>
        <w:sectPr>
          <w:type w:val="continuous"/>
          <w:pgSz w:w="11910" w:h="16840"/>
          <w:pgMar w:top="1580" w:right="0" w:bottom="280" w:left="0" w:header="720" w:footer="720" w:gutter="0"/>
        </w:sectPr>
      </w:pPr>
    </w:p>
    <w:p>
      <w:pPr>
        <w:pStyle w:val="9"/>
        <w:spacing w:before="41"/>
        <w:ind w:left="1418"/>
      </w:pPr>
      <w:r>
        <w:t>预测与评价并提出了保护措施。</w:t>
      </w:r>
    </w:p>
    <w:p>
      <w:pPr>
        <w:pStyle w:val="6"/>
        <w:numPr>
          <w:ilvl w:val="2"/>
          <w:numId w:val="75"/>
        </w:numPr>
        <w:tabs>
          <w:tab w:val="left" w:pos="2117"/>
        </w:tabs>
        <w:spacing w:before="159" w:after="0" w:line="240" w:lineRule="auto"/>
        <w:ind w:left="2116" w:right="0" w:hanging="699"/>
        <w:jc w:val="left"/>
      </w:pPr>
      <w:bookmarkStart w:id="485" w:name="9.1.1 土壤环境影响识别"/>
      <w:bookmarkEnd w:id="485"/>
      <w:bookmarkStart w:id="486" w:name="9.1.1 土壤环境影响识别"/>
      <w:bookmarkEnd w:id="486"/>
      <w:r>
        <w:t>土壤环境影响识别</w:t>
      </w:r>
    </w:p>
    <w:p>
      <w:pPr>
        <w:pStyle w:val="9"/>
        <w:spacing w:before="185"/>
        <w:ind w:left="1898"/>
      </w:pPr>
      <w:r>
        <w:t>本项目为采矿业中的煤炭采选项目，根据《环境影响评价技术导则土壤环境》附录</w:t>
      </w:r>
    </w:p>
    <w:p>
      <w:pPr>
        <w:pStyle w:val="9"/>
        <w:spacing w:before="161"/>
        <w:ind w:left="1418"/>
      </w:pPr>
      <w:r>
        <w:rPr>
          <w:rFonts w:ascii="Times New Roman" w:hAnsi="Times New Roman" w:eastAsia="Times New Roman"/>
        </w:rPr>
        <w:t>A</w:t>
      </w:r>
      <w:r>
        <w:t>，本项目属于Ⅱ类行业，兼具污染影响与生态影响特征。</w:t>
      </w:r>
    </w:p>
    <w:p>
      <w:pPr>
        <w:pStyle w:val="8"/>
        <w:numPr>
          <w:ilvl w:val="3"/>
          <w:numId w:val="75"/>
        </w:numPr>
        <w:tabs>
          <w:tab w:val="left" w:pos="2139"/>
        </w:tabs>
        <w:spacing w:before="160" w:after="0" w:line="240" w:lineRule="auto"/>
        <w:ind w:left="2138" w:right="0" w:hanging="721"/>
        <w:jc w:val="left"/>
      </w:pPr>
      <w:bookmarkStart w:id="487" w:name="9.1.1.1生态影响型影响识别"/>
      <w:bookmarkEnd w:id="487"/>
      <w:bookmarkStart w:id="488" w:name="9.1.1.1生态影响型影响识别"/>
      <w:bookmarkEnd w:id="488"/>
      <w:r>
        <w:t>生态影响型影响识别</w:t>
      </w:r>
    </w:p>
    <w:p>
      <w:pPr>
        <w:pStyle w:val="9"/>
        <w:spacing w:before="158" w:line="364" w:lineRule="auto"/>
        <w:ind w:left="1418" w:right="1354" w:firstLine="480"/>
      </w:pPr>
      <w:r>
        <w:t>该区对酸化以及碱化不敏感，井田开采不会造成土壤酸化以及碱化，影响识别见下表。</w:t>
      </w:r>
    </w:p>
    <w:p>
      <w:pPr>
        <w:spacing w:before="0" w:line="267" w:lineRule="exact"/>
        <w:ind w:left="14" w:right="0" w:firstLine="0"/>
        <w:jc w:val="center"/>
        <w:rPr>
          <w:b/>
          <w:sz w:val="21"/>
        </w:rPr>
      </w:pPr>
      <w:r>
        <w:rPr>
          <w:b/>
          <w:spacing w:val="-26"/>
          <w:sz w:val="21"/>
        </w:rPr>
        <w:t xml:space="preserve">表 </w:t>
      </w:r>
      <w:r>
        <w:rPr>
          <w:rFonts w:ascii="Times New Roman" w:eastAsia="Times New Roman"/>
          <w:b/>
          <w:sz w:val="21"/>
        </w:rPr>
        <w:t>9.1.1</w:t>
      </w:r>
      <w:r>
        <w:rPr>
          <w:rFonts w:ascii="Times New Roman" w:eastAsia="Times New Roman"/>
          <w:b/>
          <w:spacing w:val="52"/>
          <w:sz w:val="21"/>
        </w:rPr>
        <w:t xml:space="preserve"> </w:t>
      </w:r>
      <w:r>
        <w:rPr>
          <w:b/>
          <w:sz w:val="21"/>
        </w:rPr>
        <w:t>生态影响型土壤环境影响源及影响因子识别表</w:t>
      </w:r>
    </w:p>
    <w:p>
      <w:pPr>
        <w:pStyle w:val="9"/>
        <w:spacing w:before="11"/>
        <w:rPr>
          <w:b/>
          <w:sz w:val="10"/>
        </w:rPr>
      </w:pP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19"/>
        <w:gridCol w:w="1840"/>
        <w:gridCol w:w="3946"/>
        <w:gridCol w:w="218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19" w:type="dxa"/>
            <w:tcBorders>
              <w:bottom w:val="single" w:color="000000" w:sz="4" w:space="0"/>
              <w:right w:val="single" w:color="000000" w:sz="4" w:space="0"/>
            </w:tcBorders>
          </w:tcPr>
          <w:p>
            <w:pPr>
              <w:pStyle w:val="19"/>
              <w:spacing w:before="64"/>
              <w:ind w:left="237"/>
              <w:jc w:val="left"/>
              <w:rPr>
                <w:sz w:val="21"/>
              </w:rPr>
            </w:pPr>
            <w:r>
              <w:rPr>
                <w:sz w:val="21"/>
              </w:rPr>
              <w:t>影响结果</w:t>
            </w:r>
          </w:p>
        </w:tc>
        <w:tc>
          <w:tcPr>
            <w:tcW w:w="1840" w:type="dxa"/>
            <w:tcBorders>
              <w:left w:val="single" w:color="000000" w:sz="4" w:space="0"/>
              <w:bottom w:val="single" w:color="000000" w:sz="4" w:space="0"/>
              <w:right w:val="single" w:color="000000" w:sz="4" w:space="0"/>
            </w:tcBorders>
          </w:tcPr>
          <w:p>
            <w:pPr>
              <w:pStyle w:val="19"/>
              <w:spacing w:before="64"/>
              <w:ind w:left="243" w:right="225"/>
              <w:rPr>
                <w:sz w:val="21"/>
              </w:rPr>
            </w:pPr>
            <w:r>
              <w:rPr>
                <w:sz w:val="21"/>
              </w:rPr>
              <w:t>影响途径</w:t>
            </w:r>
          </w:p>
        </w:tc>
        <w:tc>
          <w:tcPr>
            <w:tcW w:w="3946" w:type="dxa"/>
            <w:tcBorders>
              <w:left w:val="single" w:color="000000" w:sz="4" w:space="0"/>
              <w:bottom w:val="single" w:color="000000" w:sz="4" w:space="0"/>
              <w:right w:val="single" w:color="000000" w:sz="4" w:space="0"/>
            </w:tcBorders>
          </w:tcPr>
          <w:p>
            <w:pPr>
              <w:pStyle w:val="19"/>
              <w:spacing w:before="64"/>
              <w:ind w:left="57" w:right="41"/>
              <w:rPr>
                <w:sz w:val="21"/>
              </w:rPr>
            </w:pPr>
            <w:r>
              <w:rPr>
                <w:sz w:val="21"/>
              </w:rPr>
              <w:t>具体指标</w:t>
            </w:r>
          </w:p>
        </w:tc>
        <w:tc>
          <w:tcPr>
            <w:tcW w:w="2181" w:type="dxa"/>
            <w:tcBorders>
              <w:left w:val="single" w:color="000000" w:sz="4" w:space="0"/>
              <w:bottom w:val="single" w:color="000000" w:sz="4" w:space="0"/>
            </w:tcBorders>
          </w:tcPr>
          <w:p>
            <w:pPr>
              <w:pStyle w:val="19"/>
              <w:spacing w:before="64"/>
              <w:ind w:left="232" w:right="214"/>
              <w:rPr>
                <w:sz w:val="21"/>
              </w:rPr>
            </w:pPr>
            <w:r>
              <w:rPr>
                <w:sz w:val="21"/>
              </w:rPr>
              <w:t>土壤环境敏感目标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2" w:hRule="atLeast"/>
        </w:trPr>
        <w:tc>
          <w:tcPr>
            <w:tcW w:w="1319" w:type="dxa"/>
            <w:vMerge w:val="restart"/>
            <w:tcBorders>
              <w:top w:val="single" w:color="000000" w:sz="4" w:space="0"/>
              <w:right w:val="single" w:color="000000" w:sz="4" w:space="0"/>
            </w:tcBorders>
          </w:tcPr>
          <w:p>
            <w:pPr>
              <w:pStyle w:val="19"/>
              <w:spacing w:before="7"/>
              <w:jc w:val="left"/>
              <w:rPr>
                <w:b/>
                <w:sz w:val="26"/>
              </w:rPr>
            </w:pPr>
          </w:p>
          <w:p>
            <w:pPr>
              <w:pStyle w:val="19"/>
              <w:spacing w:before="1" w:line="242" w:lineRule="auto"/>
              <w:ind w:left="208" w:right="166" w:hanging="29"/>
              <w:jc w:val="left"/>
              <w:rPr>
                <w:sz w:val="21"/>
              </w:rPr>
            </w:pPr>
            <w:r>
              <w:rPr>
                <w:sz w:val="21"/>
              </w:rPr>
              <w:t>盐化</w:t>
            </w:r>
            <w:r>
              <w:rPr>
                <w:rFonts w:ascii="Times New Roman" w:eastAsia="Times New Roman"/>
                <w:sz w:val="21"/>
              </w:rPr>
              <w:t>/</w:t>
            </w:r>
            <w:r>
              <w:rPr>
                <w:sz w:val="21"/>
              </w:rPr>
              <w:t>酸化</w:t>
            </w:r>
            <w:r>
              <w:rPr>
                <w:rFonts w:ascii="Times New Roman" w:eastAsia="Times New Roman"/>
                <w:sz w:val="21"/>
              </w:rPr>
              <w:t xml:space="preserve">/ </w:t>
            </w:r>
            <w:r>
              <w:rPr>
                <w:sz w:val="21"/>
              </w:rPr>
              <w:t>碱化</w:t>
            </w:r>
            <w:r>
              <w:rPr>
                <w:rFonts w:ascii="Times New Roman" w:eastAsia="Times New Roman"/>
                <w:sz w:val="21"/>
              </w:rPr>
              <w:t>/</w:t>
            </w:r>
            <w:r>
              <w:rPr>
                <w:sz w:val="21"/>
              </w:rPr>
              <w:t>其他</w:t>
            </w:r>
          </w:p>
        </w:tc>
        <w:tc>
          <w:tcPr>
            <w:tcW w:w="1840" w:type="dxa"/>
            <w:tcBorders>
              <w:top w:val="single" w:color="000000" w:sz="4" w:space="0"/>
              <w:left w:val="single" w:color="000000" w:sz="4" w:space="0"/>
              <w:bottom w:val="single" w:color="000000" w:sz="4" w:space="0"/>
              <w:right w:val="single" w:color="000000" w:sz="4" w:space="0"/>
            </w:tcBorders>
          </w:tcPr>
          <w:p>
            <w:pPr>
              <w:pStyle w:val="19"/>
              <w:spacing w:before="62"/>
              <w:ind w:left="243" w:right="228"/>
              <w:rPr>
                <w:sz w:val="21"/>
              </w:rPr>
            </w:pPr>
            <w:r>
              <w:rPr>
                <w:sz w:val="21"/>
              </w:rPr>
              <w:t>物质输入</w:t>
            </w:r>
            <w:r>
              <w:rPr>
                <w:rFonts w:ascii="Times New Roman" w:eastAsia="Times New Roman"/>
                <w:sz w:val="21"/>
              </w:rPr>
              <w:t>/</w:t>
            </w:r>
            <w:r>
              <w:rPr>
                <w:sz w:val="21"/>
              </w:rPr>
              <w:t>运移</w:t>
            </w:r>
          </w:p>
        </w:tc>
        <w:tc>
          <w:tcPr>
            <w:tcW w:w="3946" w:type="dxa"/>
            <w:tcBorders>
              <w:top w:val="single" w:color="000000" w:sz="4" w:space="0"/>
              <w:left w:val="single" w:color="000000" w:sz="4" w:space="0"/>
              <w:bottom w:val="single" w:color="000000" w:sz="4" w:space="0"/>
              <w:right w:val="single" w:color="000000" w:sz="4" w:space="0"/>
            </w:tcBorders>
          </w:tcPr>
          <w:p>
            <w:pPr>
              <w:pStyle w:val="19"/>
              <w:spacing w:before="62"/>
              <w:ind w:left="16"/>
              <w:rPr>
                <w:sz w:val="21"/>
              </w:rPr>
            </w:pPr>
            <w:r>
              <w:rPr>
                <w:w w:val="99"/>
                <w:sz w:val="21"/>
              </w:rPr>
              <w:t>━</w:t>
            </w:r>
          </w:p>
        </w:tc>
        <w:tc>
          <w:tcPr>
            <w:tcW w:w="2181" w:type="dxa"/>
            <w:tcBorders>
              <w:top w:val="single" w:color="000000" w:sz="4" w:space="0"/>
              <w:left w:val="single" w:color="000000" w:sz="4" w:space="0"/>
              <w:bottom w:val="single" w:color="000000" w:sz="4" w:space="0"/>
            </w:tcBorders>
          </w:tcPr>
          <w:p>
            <w:pPr>
              <w:pStyle w:val="19"/>
              <w:spacing w:before="62"/>
              <w:ind w:left="23"/>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1" w:hRule="atLeast"/>
        </w:trPr>
        <w:tc>
          <w:tcPr>
            <w:tcW w:w="1319" w:type="dxa"/>
            <w:vMerge w:val="continue"/>
            <w:tcBorders>
              <w:top w:val="nil"/>
              <w:right w:val="single" w:color="000000" w:sz="4" w:space="0"/>
            </w:tcBorders>
          </w:tcPr>
          <w:p>
            <w:pPr>
              <w:rPr>
                <w:sz w:val="2"/>
                <w:szCs w:val="2"/>
              </w:rPr>
            </w:pPr>
          </w:p>
        </w:tc>
        <w:tc>
          <w:tcPr>
            <w:tcW w:w="1840" w:type="dxa"/>
            <w:tcBorders>
              <w:top w:val="single" w:color="000000" w:sz="4" w:space="0"/>
              <w:left w:val="single" w:color="000000" w:sz="4" w:space="0"/>
              <w:right w:val="single" w:color="000000" w:sz="4" w:space="0"/>
            </w:tcBorders>
          </w:tcPr>
          <w:p>
            <w:pPr>
              <w:pStyle w:val="19"/>
              <w:spacing w:before="11"/>
              <w:jc w:val="left"/>
              <w:rPr>
                <w:b/>
                <w:sz w:val="20"/>
              </w:rPr>
            </w:pPr>
          </w:p>
          <w:p>
            <w:pPr>
              <w:pStyle w:val="19"/>
              <w:ind w:left="243" w:right="225"/>
              <w:rPr>
                <w:sz w:val="21"/>
              </w:rPr>
            </w:pPr>
            <w:r>
              <w:rPr>
                <w:sz w:val="21"/>
              </w:rPr>
              <w:t>水位变化</w:t>
            </w:r>
          </w:p>
        </w:tc>
        <w:tc>
          <w:tcPr>
            <w:tcW w:w="3946" w:type="dxa"/>
            <w:tcBorders>
              <w:top w:val="single" w:color="000000" w:sz="4" w:space="0"/>
              <w:left w:val="single" w:color="000000" w:sz="4" w:space="0"/>
              <w:right w:val="single" w:color="000000" w:sz="4" w:space="0"/>
            </w:tcBorders>
          </w:tcPr>
          <w:p>
            <w:pPr>
              <w:pStyle w:val="19"/>
              <w:spacing w:line="242" w:lineRule="auto"/>
              <w:ind w:left="112" w:right="41"/>
              <w:rPr>
                <w:sz w:val="21"/>
              </w:rPr>
            </w:pPr>
            <w:r>
              <w:rPr>
                <w:w w:val="95"/>
                <w:sz w:val="21"/>
              </w:rPr>
              <w:t xml:space="preserve">由于地表沉陷造成第四系水位埋深降低， </w:t>
            </w:r>
            <w:r>
              <w:rPr>
                <w:sz w:val="21"/>
              </w:rPr>
              <w:t>导致蒸发加剧，盐分在地表集聚，可能在</w:t>
            </w:r>
          </w:p>
          <w:p>
            <w:pPr>
              <w:pStyle w:val="19"/>
              <w:spacing w:line="251" w:lineRule="exact"/>
              <w:ind w:left="59" w:right="41"/>
              <w:rPr>
                <w:sz w:val="21"/>
              </w:rPr>
            </w:pPr>
            <w:r>
              <w:rPr>
                <w:sz w:val="21"/>
              </w:rPr>
              <w:t>局部地区造成次生盐渍化</w:t>
            </w:r>
          </w:p>
        </w:tc>
        <w:tc>
          <w:tcPr>
            <w:tcW w:w="2181" w:type="dxa"/>
            <w:tcBorders>
              <w:top w:val="single" w:color="000000" w:sz="4" w:space="0"/>
              <w:left w:val="single" w:color="000000" w:sz="4" w:space="0"/>
            </w:tcBorders>
          </w:tcPr>
          <w:p>
            <w:pPr>
              <w:pStyle w:val="19"/>
              <w:spacing w:before="11"/>
              <w:jc w:val="left"/>
              <w:rPr>
                <w:b/>
                <w:sz w:val="20"/>
              </w:rPr>
            </w:pPr>
          </w:p>
          <w:p>
            <w:pPr>
              <w:pStyle w:val="19"/>
              <w:ind w:left="23"/>
              <w:rPr>
                <w:sz w:val="21"/>
              </w:rPr>
            </w:pPr>
            <w:r>
              <w:rPr>
                <w:w w:val="99"/>
                <w:sz w:val="21"/>
              </w:rPr>
              <w:t>━</w:t>
            </w:r>
          </w:p>
        </w:tc>
      </w:tr>
    </w:tbl>
    <w:p>
      <w:pPr>
        <w:pStyle w:val="8"/>
        <w:numPr>
          <w:ilvl w:val="3"/>
          <w:numId w:val="75"/>
        </w:numPr>
        <w:tabs>
          <w:tab w:val="left" w:pos="2139"/>
        </w:tabs>
        <w:spacing w:before="3" w:after="0" w:line="240" w:lineRule="auto"/>
        <w:ind w:left="2138" w:right="0" w:hanging="721"/>
        <w:jc w:val="left"/>
      </w:pPr>
      <w:bookmarkStart w:id="489" w:name="9.1.1.2污染影响型影响识别"/>
      <w:bookmarkEnd w:id="489"/>
      <w:bookmarkStart w:id="490" w:name="9.1.1.2污染影响型影响识别"/>
      <w:bookmarkEnd w:id="490"/>
      <w:r>
        <w:t>污染影响型影响识别</w:t>
      </w:r>
    </w:p>
    <w:p>
      <w:pPr>
        <w:pStyle w:val="9"/>
        <w:spacing w:before="158" w:line="364" w:lineRule="auto"/>
        <w:ind w:left="1418" w:right="1354" w:firstLine="480"/>
      </w:pPr>
      <w:r>
        <w:t>本次评价根据各场地主要建构筑物布置情况，对土壤污染源及影响因子识别，具体见下表</w:t>
      </w:r>
    </w:p>
    <w:p>
      <w:pPr>
        <w:spacing w:before="0" w:line="267" w:lineRule="exact"/>
        <w:ind w:left="14" w:right="0" w:firstLine="0"/>
        <w:jc w:val="center"/>
        <w:rPr>
          <w:b/>
          <w:sz w:val="21"/>
        </w:rPr>
      </w:pPr>
      <w:r>
        <w:rPr>
          <w:b/>
          <w:spacing w:val="-28"/>
          <w:sz w:val="21"/>
        </w:rPr>
        <w:t xml:space="preserve">表 </w:t>
      </w:r>
      <w:r>
        <w:rPr>
          <w:rFonts w:ascii="Times New Roman" w:eastAsia="Times New Roman"/>
          <w:b/>
          <w:sz w:val="21"/>
        </w:rPr>
        <w:t>9.1-2</w:t>
      </w:r>
      <w:r>
        <w:rPr>
          <w:rFonts w:ascii="Times New Roman" w:eastAsia="Times New Roman"/>
          <w:b/>
          <w:spacing w:val="52"/>
          <w:sz w:val="21"/>
        </w:rPr>
        <w:t xml:space="preserve"> </w:t>
      </w:r>
      <w:r>
        <w:rPr>
          <w:b/>
          <w:sz w:val="21"/>
        </w:rPr>
        <w:t>污染影响型土壤环境影响源及影响因子识别表</w:t>
      </w:r>
    </w:p>
    <w:p>
      <w:pPr>
        <w:pStyle w:val="9"/>
        <w:spacing w:before="12"/>
        <w:rPr>
          <w:b/>
          <w:sz w:val="10"/>
        </w:rPr>
      </w:pP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1"/>
        <w:gridCol w:w="623"/>
        <w:gridCol w:w="1994"/>
        <w:gridCol w:w="1149"/>
        <w:gridCol w:w="1753"/>
        <w:gridCol w:w="1739"/>
        <w:gridCol w:w="13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671" w:type="dxa"/>
            <w:tcBorders>
              <w:bottom w:val="single" w:color="000000" w:sz="4" w:space="0"/>
              <w:right w:val="single" w:color="000000" w:sz="4" w:space="0"/>
            </w:tcBorders>
          </w:tcPr>
          <w:p>
            <w:pPr>
              <w:pStyle w:val="19"/>
              <w:spacing w:before="63"/>
              <w:ind w:left="103" w:right="92"/>
              <w:rPr>
                <w:sz w:val="21"/>
              </w:rPr>
            </w:pPr>
            <w:r>
              <w:rPr>
                <w:sz w:val="21"/>
              </w:rPr>
              <w:t>序号</w:t>
            </w:r>
          </w:p>
        </w:tc>
        <w:tc>
          <w:tcPr>
            <w:tcW w:w="2617" w:type="dxa"/>
            <w:gridSpan w:val="2"/>
            <w:tcBorders>
              <w:left w:val="single" w:color="000000" w:sz="4" w:space="0"/>
              <w:bottom w:val="single" w:color="000000" w:sz="4" w:space="0"/>
              <w:right w:val="single" w:color="000000" w:sz="4" w:space="0"/>
            </w:tcBorders>
          </w:tcPr>
          <w:p>
            <w:pPr>
              <w:pStyle w:val="19"/>
              <w:spacing w:before="63"/>
              <w:ind w:left="976" w:right="960"/>
              <w:rPr>
                <w:sz w:val="21"/>
              </w:rPr>
            </w:pPr>
            <w:r>
              <w:rPr>
                <w:sz w:val="21"/>
              </w:rPr>
              <w:t>污染源</w:t>
            </w:r>
          </w:p>
        </w:tc>
        <w:tc>
          <w:tcPr>
            <w:tcW w:w="1149" w:type="dxa"/>
            <w:tcBorders>
              <w:left w:val="single" w:color="000000" w:sz="4" w:space="0"/>
              <w:bottom w:val="single" w:color="000000" w:sz="4" w:space="0"/>
              <w:right w:val="single" w:color="000000" w:sz="4" w:space="0"/>
            </w:tcBorders>
          </w:tcPr>
          <w:p>
            <w:pPr>
              <w:pStyle w:val="19"/>
              <w:spacing w:before="63"/>
              <w:ind w:left="137" w:right="122"/>
              <w:rPr>
                <w:sz w:val="21"/>
              </w:rPr>
            </w:pPr>
            <w:r>
              <w:rPr>
                <w:sz w:val="21"/>
              </w:rPr>
              <w:t>污染途径</w:t>
            </w:r>
          </w:p>
        </w:tc>
        <w:tc>
          <w:tcPr>
            <w:tcW w:w="1753" w:type="dxa"/>
            <w:tcBorders>
              <w:left w:val="single" w:color="000000" w:sz="4" w:space="0"/>
              <w:bottom w:val="single" w:color="000000" w:sz="4" w:space="0"/>
              <w:right w:val="single" w:color="000000" w:sz="4" w:space="0"/>
            </w:tcBorders>
          </w:tcPr>
          <w:p>
            <w:pPr>
              <w:pStyle w:val="19"/>
              <w:spacing w:before="63"/>
              <w:ind w:left="49" w:right="34"/>
              <w:rPr>
                <w:sz w:val="21"/>
              </w:rPr>
            </w:pPr>
            <w:r>
              <w:rPr>
                <w:sz w:val="21"/>
              </w:rPr>
              <w:t>全部污染物指标</w:t>
            </w:r>
          </w:p>
        </w:tc>
        <w:tc>
          <w:tcPr>
            <w:tcW w:w="1739" w:type="dxa"/>
            <w:tcBorders>
              <w:left w:val="single" w:color="000000" w:sz="4" w:space="0"/>
              <w:bottom w:val="single" w:color="000000" w:sz="4" w:space="0"/>
              <w:right w:val="single" w:color="000000" w:sz="4" w:space="0"/>
            </w:tcBorders>
          </w:tcPr>
          <w:p>
            <w:pPr>
              <w:pStyle w:val="19"/>
              <w:spacing w:before="63"/>
              <w:ind w:left="40" w:right="25"/>
              <w:rPr>
                <w:sz w:val="21"/>
              </w:rPr>
            </w:pPr>
            <w:r>
              <w:rPr>
                <w:sz w:val="21"/>
              </w:rPr>
              <w:t>特征因子</w:t>
            </w:r>
          </w:p>
        </w:tc>
        <w:tc>
          <w:tcPr>
            <w:tcW w:w="1357" w:type="dxa"/>
            <w:tcBorders>
              <w:left w:val="single" w:color="000000" w:sz="4" w:space="0"/>
              <w:bottom w:val="single" w:color="000000" w:sz="4" w:space="0"/>
            </w:tcBorders>
          </w:tcPr>
          <w:p>
            <w:pPr>
              <w:pStyle w:val="19"/>
              <w:spacing w:before="63"/>
              <w:ind w:left="136" w:right="114"/>
              <w:rPr>
                <w:sz w:val="21"/>
              </w:rPr>
            </w:pPr>
            <w:r>
              <w:rPr>
                <w:sz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1" w:hRule="atLeast"/>
        </w:trPr>
        <w:tc>
          <w:tcPr>
            <w:tcW w:w="671" w:type="dxa"/>
            <w:tcBorders>
              <w:top w:val="single" w:color="000000" w:sz="4" w:space="0"/>
              <w:bottom w:val="single" w:color="000000" w:sz="4" w:space="0"/>
              <w:right w:val="single" w:color="000000" w:sz="4" w:space="0"/>
            </w:tcBorders>
          </w:tcPr>
          <w:p>
            <w:pPr>
              <w:pStyle w:val="19"/>
              <w:spacing w:before="75"/>
              <w:ind w:left="14"/>
              <w:rPr>
                <w:rFonts w:ascii="Times New Roman"/>
                <w:sz w:val="21"/>
              </w:rPr>
            </w:pPr>
            <w:r>
              <w:rPr>
                <w:rFonts w:ascii="Times New Roman"/>
                <w:w w:val="99"/>
                <w:sz w:val="21"/>
              </w:rPr>
              <w:t>1</w:t>
            </w:r>
          </w:p>
        </w:tc>
        <w:tc>
          <w:tcPr>
            <w:tcW w:w="623" w:type="dxa"/>
            <w:vMerge w:val="restart"/>
            <w:tcBorders>
              <w:top w:val="single" w:color="000000" w:sz="4" w:space="0"/>
              <w:left w:val="single" w:color="000000" w:sz="4" w:space="0"/>
              <w:right w:val="single" w:color="000000" w:sz="4" w:space="0"/>
            </w:tcBorders>
          </w:tcPr>
          <w:p>
            <w:pPr>
              <w:pStyle w:val="19"/>
              <w:jc w:val="left"/>
              <w:rPr>
                <w:b/>
                <w:sz w:val="20"/>
              </w:rPr>
            </w:pPr>
          </w:p>
          <w:p>
            <w:pPr>
              <w:pStyle w:val="19"/>
              <w:jc w:val="left"/>
              <w:rPr>
                <w:b/>
                <w:sz w:val="20"/>
              </w:rPr>
            </w:pPr>
          </w:p>
          <w:p>
            <w:pPr>
              <w:pStyle w:val="19"/>
              <w:spacing w:before="4"/>
              <w:jc w:val="left"/>
              <w:rPr>
                <w:b/>
                <w:sz w:val="24"/>
              </w:rPr>
            </w:pPr>
          </w:p>
          <w:p>
            <w:pPr>
              <w:pStyle w:val="19"/>
              <w:spacing w:line="242" w:lineRule="auto"/>
              <w:ind w:left="210" w:right="193"/>
              <w:jc w:val="both"/>
              <w:rPr>
                <w:sz w:val="21"/>
              </w:rPr>
            </w:pPr>
            <w:r>
              <w:rPr>
                <w:w w:val="95"/>
                <w:sz w:val="21"/>
              </w:rPr>
              <w:t>工业场地</w:t>
            </w:r>
          </w:p>
        </w:tc>
        <w:tc>
          <w:tcPr>
            <w:tcW w:w="1994" w:type="dxa"/>
            <w:tcBorders>
              <w:top w:val="single" w:color="000000" w:sz="4" w:space="0"/>
              <w:left w:val="single" w:color="000000" w:sz="4" w:space="0"/>
              <w:bottom w:val="single" w:color="000000" w:sz="4" w:space="0"/>
              <w:right w:val="single" w:color="000000" w:sz="4" w:space="0"/>
            </w:tcBorders>
          </w:tcPr>
          <w:p>
            <w:pPr>
              <w:pStyle w:val="19"/>
              <w:spacing w:before="61"/>
              <w:ind w:left="139" w:right="122"/>
              <w:rPr>
                <w:sz w:val="21"/>
              </w:rPr>
            </w:pPr>
            <w:r>
              <w:rPr>
                <w:sz w:val="21"/>
              </w:rPr>
              <w:t>矿井水处理站</w:t>
            </w:r>
          </w:p>
        </w:tc>
        <w:tc>
          <w:tcPr>
            <w:tcW w:w="1149" w:type="dxa"/>
            <w:tcBorders>
              <w:top w:val="single" w:color="000000" w:sz="4" w:space="0"/>
              <w:left w:val="single" w:color="000000" w:sz="4" w:space="0"/>
              <w:bottom w:val="single" w:color="000000" w:sz="4" w:space="0"/>
              <w:right w:val="single" w:color="000000" w:sz="4" w:space="0"/>
            </w:tcBorders>
          </w:tcPr>
          <w:p>
            <w:pPr>
              <w:pStyle w:val="19"/>
              <w:spacing w:before="61"/>
              <w:ind w:left="137" w:right="122"/>
              <w:rPr>
                <w:sz w:val="21"/>
              </w:rPr>
            </w:pPr>
            <w:r>
              <w:rPr>
                <w:sz w:val="21"/>
              </w:rPr>
              <w:t>垂直入渗</w:t>
            </w:r>
          </w:p>
        </w:tc>
        <w:tc>
          <w:tcPr>
            <w:tcW w:w="1753" w:type="dxa"/>
            <w:tcBorders>
              <w:top w:val="single" w:color="000000" w:sz="4" w:space="0"/>
              <w:left w:val="single" w:color="000000" w:sz="4" w:space="0"/>
              <w:bottom w:val="single" w:color="000000" w:sz="4" w:space="0"/>
              <w:right w:val="single" w:color="000000" w:sz="4" w:space="0"/>
            </w:tcBorders>
          </w:tcPr>
          <w:p>
            <w:pPr>
              <w:pStyle w:val="19"/>
              <w:spacing w:before="61"/>
              <w:ind w:left="52" w:right="34"/>
              <w:rPr>
                <w:rFonts w:ascii="Times New Roman" w:eastAsia="Times New Roman"/>
                <w:sz w:val="21"/>
              </w:rPr>
            </w:pPr>
            <w:r>
              <w:rPr>
                <w:rFonts w:ascii="Times New Roman" w:eastAsia="Times New Roman"/>
                <w:sz w:val="21"/>
              </w:rPr>
              <w:t xml:space="preserve">pH </w:t>
            </w:r>
            <w:r>
              <w:rPr>
                <w:sz w:val="21"/>
              </w:rPr>
              <w:t>值、</w:t>
            </w:r>
            <w:r>
              <w:rPr>
                <w:rFonts w:ascii="Times New Roman" w:eastAsia="Times New Roman"/>
                <w:sz w:val="21"/>
              </w:rPr>
              <w:t>COD</w:t>
            </w:r>
            <w:r>
              <w:rPr>
                <w:sz w:val="21"/>
              </w:rPr>
              <w:t>、</w:t>
            </w:r>
            <w:r>
              <w:rPr>
                <w:rFonts w:ascii="Times New Roman" w:eastAsia="Times New Roman"/>
                <w:sz w:val="21"/>
              </w:rPr>
              <w:t>SS</w:t>
            </w:r>
          </w:p>
        </w:tc>
        <w:tc>
          <w:tcPr>
            <w:tcW w:w="1739" w:type="dxa"/>
            <w:tcBorders>
              <w:top w:val="single" w:color="000000" w:sz="4" w:space="0"/>
              <w:left w:val="single" w:color="000000" w:sz="4" w:space="0"/>
              <w:bottom w:val="single" w:color="000000" w:sz="4" w:space="0"/>
              <w:right w:val="single" w:color="000000" w:sz="4" w:space="0"/>
            </w:tcBorders>
          </w:tcPr>
          <w:p>
            <w:pPr>
              <w:pStyle w:val="19"/>
              <w:spacing w:before="61"/>
              <w:ind w:left="46" w:right="25"/>
              <w:rPr>
                <w:rFonts w:ascii="Times New Roman" w:eastAsia="Times New Roman"/>
                <w:sz w:val="21"/>
              </w:rPr>
            </w:pPr>
            <w:r>
              <w:rPr>
                <w:rFonts w:ascii="Times New Roman" w:eastAsia="Times New Roman"/>
                <w:sz w:val="21"/>
              </w:rPr>
              <w:t xml:space="preserve">pH </w:t>
            </w:r>
            <w:r>
              <w:rPr>
                <w:sz w:val="21"/>
              </w:rPr>
              <w:t>值、</w:t>
            </w:r>
            <w:r>
              <w:rPr>
                <w:rFonts w:ascii="Times New Roman" w:eastAsia="Times New Roman"/>
                <w:sz w:val="21"/>
              </w:rPr>
              <w:t>COD</w:t>
            </w:r>
            <w:r>
              <w:rPr>
                <w:sz w:val="21"/>
              </w:rPr>
              <w:t>、</w:t>
            </w:r>
            <w:r>
              <w:rPr>
                <w:rFonts w:ascii="Times New Roman" w:eastAsia="Times New Roman"/>
                <w:sz w:val="21"/>
              </w:rPr>
              <w:t>SS</w:t>
            </w:r>
          </w:p>
        </w:tc>
        <w:tc>
          <w:tcPr>
            <w:tcW w:w="1357" w:type="dxa"/>
            <w:tcBorders>
              <w:top w:val="single" w:color="000000" w:sz="4" w:space="0"/>
              <w:left w:val="single" w:color="000000" w:sz="4" w:space="0"/>
              <w:bottom w:val="single" w:color="000000" w:sz="4" w:space="0"/>
            </w:tcBorders>
          </w:tcPr>
          <w:p>
            <w:pPr>
              <w:pStyle w:val="19"/>
              <w:spacing w:before="61"/>
              <w:ind w:left="136" w:right="116"/>
              <w:rPr>
                <w:sz w:val="21"/>
              </w:rPr>
            </w:pPr>
            <w:r>
              <w:rPr>
                <w:sz w:val="21"/>
              </w:rPr>
              <w:t>间断、事故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7" w:hRule="atLeast"/>
        </w:trPr>
        <w:tc>
          <w:tcPr>
            <w:tcW w:w="671" w:type="dxa"/>
            <w:tcBorders>
              <w:top w:val="single" w:color="000000" w:sz="4" w:space="0"/>
              <w:bottom w:val="single" w:color="000000" w:sz="4" w:space="0"/>
              <w:right w:val="single" w:color="000000" w:sz="4" w:space="0"/>
            </w:tcBorders>
          </w:tcPr>
          <w:p>
            <w:pPr>
              <w:pStyle w:val="19"/>
              <w:spacing w:before="11"/>
              <w:jc w:val="left"/>
              <w:rPr>
                <w:b/>
                <w:sz w:val="21"/>
              </w:rPr>
            </w:pPr>
          </w:p>
          <w:p>
            <w:pPr>
              <w:pStyle w:val="19"/>
              <w:ind w:left="14"/>
              <w:rPr>
                <w:rFonts w:ascii="Times New Roman"/>
                <w:sz w:val="21"/>
              </w:rPr>
            </w:pPr>
            <w:r>
              <w:rPr>
                <w:rFonts w:ascii="Times New Roman"/>
                <w:w w:val="99"/>
                <w:sz w:val="21"/>
              </w:rPr>
              <w:t>2</w:t>
            </w:r>
          </w:p>
        </w:tc>
        <w:tc>
          <w:tcPr>
            <w:tcW w:w="623" w:type="dxa"/>
            <w:vMerge w:val="continue"/>
            <w:tcBorders>
              <w:top w:val="nil"/>
              <w:left w:val="single" w:color="000000" w:sz="4" w:space="0"/>
              <w:right w:val="single" w:color="000000" w:sz="4" w:space="0"/>
            </w:tcBorders>
          </w:tcPr>
          <w:p>
            <w:pPr>
              <w:rPr>
                <w:sz w:val="2"/>
                <w:szCs w:val="2"/>
              </w:rPr>
            </w:pPr>
          </w:p>
        </w:tc>
        <w:tc>
          <w:tcPr>
            <w:tcW w:w="1994" w:type="dxa"/>
            <w:tcBorders>
              <w:top w:val="single" w:color="000000" w:sz="4" w:space="0"/>
              <w:left w:val="single" w:color="000000" w:sz="4" w:space="0"/>
              <w:bottom w:val="single" w:color="000000" w:sz="4" w:space="0"/>
              <w:right w:val="single" w:color="000000" w:sz="4" w:space="0"/>
            </w:tcBorders>
          </w:tcPr>
          <w:p>
            <w:pPr>
              <w:pStyle w:val="19"/>
              <w:spacing w:before="10"/>
              <w:jc w:val="left"/>
              <w:rPr>
                <w:b/>
                <w:sz w:val="20"/>
              </w:rPr>
            </w:pPr>
          </w:p>
          <w:p>
            <w:pPr>
              <w:pStyle w:val="19"/>
              <w:ind w:left="139" w:right="120"/>
              <w:rPr>
                <w:sz w:val="21"/>
              </w:rPr>
            </w:pPr>
            <w:r>
              <w:rPr>
                <w:sz w:val="21"/>
              </w:rPr>
              <w:t>污水处理站</w:t>
            </w:r>
          </w:p>
        </w:tc>
        <w:tc>
          <w:tcPr>
            <w:tcW w:w="1149" w:type="dxa"/>
            <w:tcBorders>
              <w:top w:val="single" w:color="000000" w:sz="4" w:space="0"/>
              <w:left w:val="single" w:color="000000" w:sz="4" w:space="0"/>
              <w:bottom w:val="single" w:color="000000" w:sz="4" w:space="0"/>
              <w:right w:val="single" w:color="000000" w:sz="4" w:space="0"/>
            </w:tcBorders>
          </w:tcPr>
          <w:p>
            <w:pPr>
              <w:pStyle w:val="19"/>
              <w:spacing w:before="10"/>
              <w:jc w:val="left"/>
              <w:rPr>
                <w:b/>
                <w:sz w:val="20"/>
              </w:rPr>
            </w:pPr>
          </w:p>
          <w:p>
            <w:pPr>
              <w:pStyle w:val="19"/>
              <w:ind w:left="137" w:right="122"/>
              <w:rPr>
                <w:sz w:val="21"/>
              </w:rPr>
            </w:pPr>
            <w:r>
              <w:rPr>
                <w:sz w:val="21"/>
              </w:rPr>
              <w:t>垂直入渗</w:t>
            </w:r>
          </w:p>
        </w:tc>
        <w:tc>
          <w:tcPr>
            <w:tcW w:w="1753" w:type="dxa"/>
            <w:tcBorders>
              <w:top w:val="single" w:color="000000" w:sz="4" w:space="0"/>
              <w:left w:val="single" w:color="000000" w:sz="4" w:space="0"/>
              <w:bottom w:val="single" w:color="000000" w:sz="4" w:space="0"/>
              <w:right w:val="single" w:color="000000" w:sz="4" w:space="0"/>
            </w:tcBorders>
          </w:tcPr>
          <w:p>
            <w:pPr>
              <w:pStyle w:val="19"/>
              <w:spacing w:line="264" w:lineRule="exact"/>
              <w:ind w:left="113" w:right="-15"/>
              <w:jc w:val="left"/>
              <w:rPr>
                <w:sz w:val="21"/>
              </w:rPr>
            </w:pPr>
            <w:r>
              <w:rPr>
                <w:rFonts w:ascii="Times New Roman" w:eastAsia="Times New Roman"/>
                <w:sz w:val="21"/>
              </w:rPr>
              <w:t>pH</w:t>
            </w:r>
            <w:r>
              <w:rPr>
                <w:rFonts w:ascii="Times New Roman" w:eastAsia="Times New Roman"/>
                <w:spacing w:val="-4"/>
                <w:sz w:val="21"/>
              </w:rPr>
              <w:t xml:space="preserve"> </w:t>
            </w:r>
            <w:r>
              <w:rPr>
                <w:spacing w:val="-46"/>
                <w:sz w:val="21"/>
              </w:rPr>
              <w:t>值、</w:t>
            </w:r>
            <w:r>
              <w:rPr>
                <w:rFonts w:ascii="Times New Roman" w:eastAsia="Times New Roman"/>
                <w:sz w:val="21"/>
              </w:rPr>
              <w:t>SS</w:t>
            </w:r>
            <w:r>
              <w:rPr>
                <w:spacing w:val="-92"/>
                <w:sz w:val="21"/>
              </w:rPr>
              <w:t>、</w:t>
            </w:r>
            <w:r>
              <w:rPr>
                <w:rFonts w:ascii="Times New Roman" w:eastAsia="Times New Roman"/>
                <w:sz w:val="21"/>
              </w:rPr>
              <w:t>COD</w:t>
            </w:r>
            <w:r>
              <w:rPr>
                <w:spacing w:val="-12"/>
                <w:sz w:val="21"/>
              </w:rPr>
              <w:t>、</w:t>
            </w:r>
          </w:p>
          <w:p>
            <w:pPr>
              <w:pStyle w:val="19"/>
              <w:spacing w:before="24" w:line="256" w:lineRule="exact"/>
              <w:ind w:left="564" w:right="40" w:hanging="452"/>
              <w:jc w:val="left"/>
              <w:rPr>
                <w:sz w:val="21"/>
              </w:rPr>
            </w:pP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、氨氮、动</w:t>
            </w:r>
            <w:r>
              <w:rPr>
                <w:sz w:val="21"/>
                <w:vertAlign w:val="baseline"/>
              </w:rPr>
              <w:t>植物油</w:t>
            </w:r>
          </w:p>
        </w:tc>
        <w:tc>
          <w:tcPr>
            <w:tcW w:w="1739" w:type="dxa"/>
            <w:tcBorders>
              <w:top w:val="single" w:color="000000" w:sz="4" w:space="0"/>
              <w:left w:val="single" w:color="000000" w:sz="4" w:space="0"/>
              <w:bottom w:val="single" w:color="000000" w:sz="4" w:space="0"/>
              <w:right w:val="single" w:color="000000" w:sz="4" w:space="0"/>
            </w:tcBorders>
          </w:tcPr>
          <w:p>
            <w:pPr>
              <w:pStyle w:val="19"/>
              <w:spacing w:before="10"/>
              <w:jc w:val="left"/>
              <w:rPr>
                <w:b/>
                <w:sz w:val="20"/>
              </w:rPr>
            </w:pPr>
          </w:p>
          <w:p>
            <w:pPr>
              <w:pStyle w:val="19"/>
              <w:ind w:left="42" w:right="25"/>
              <w:rPr>
                <w:sz w:val="21"/>
              </w:rPr>
            </w:pPr>
            <w:r>
              <w:rPr>
                <w:rFonts w:ascii="Times New Roman" w:eastAsia="Times New Roman"/>
                <w:sz w:val="21"/>
              </w:rPr>
              <w:t>COD</w:t>
            </w:r>
            <w:r>
              <w:rPr>
                <w:sz w:val="21"/>
              </w:rPr>
              <w:t>、氨氮</w:t>
            </w:r>
          </w:p>
        </w:tc>
        <w:tc>
          <w:tcPr>
            <w:tcW w:w="1357" w:type="dxa"/>
            <w:tcBorders>
              <w:top w:val="single" w:color="000000" w:sz="4" w:space="0"/>
              <w:left w:val="single" w:color="000000" w:sz="4" w:space="0"/>
              <w:bottom w:val="single" w:color="000000" w:sz="4" w:space="0"/>
            </w:tcBorders>
          </w:tcPr>
          <w:p>
            <w:pPr>
              <w:pStyle w:val="19"/>
              <w:spacing w:before="10"/>
              <w:jc w:val="left"/>
              <w:rPr>
                <w:b/>
                <w:sz w:val="20"/>
              </w:rPr>
            </w:pPr>
          </w:p>
          <w:p>
            <w:pPr>
              <w:pStyle w:val="19"/>
              <w:ind w:left="136" w:right="116"/>
              <w:rPr>
                <w:sz w:val="21"/>
              </w:rPr>
            </w:pPr>
            <w:r>
              <w:rPr>
                <w:sz w:val="21"/>
              </w:rPr>
              <w:t>间断、事故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3" w:hRule="atLeast"/>
        </w:trPr>
        <w:tc>
          <w:tcPr>
            <w:tcW w:w="671" w:type="dxa"/>
            <w:tcBorders>
              <w:top w:val="single" w:color="000000" w:sz="4" w:space="0"/>
              <w:bottom w:val="single" w:color="000000" w:sz="4" w:space="0"/>
              <w:right w:val="single" w:color="000000" w:sz="4" w:space="0"/>
            </w:tcBorders>
          </w:tcPr>
          <w:p>
            <w:pPr>
              <w:pStyle w:val="19"/>
              <w:spacing w:before="144"/>
              <w:ind w:left="14"/>
              <w:rPr>
                <w:rFonts w:ascii="Times New Roman"/>
                <w:sz w:val="21"/>
              </w:rPr>
            </w:pPr>
            <w:r>
              <w:rPr>
                <w:rFonts w:ascii="Times New Roman"/>
                <w:w w:val="99"/>
                <w:sz w:val="21"/>
              </w:rPr>
              <w:t>3</w:t>
            </w:r>
          </w:p>
        </w:tc>
        <w:tc>
          <w:tcPr>
            <w:tcW w:w="623" w:type="dxa"/>
            <w:vMerge w:val="continue"/>
            <w:tcBorders>
              <w:top w:val="nil"/>
              <w:left w:val="single" w:color="000000" w:sz="4" w:space="0"/>
              <w:right w:val="single" w:color="000000" w:sz="4" w:space="0"/>
            </w:tcBorders>
          </w:tcPr>
          <w:p>
            <w:pPr>
              <w:rPr>
                <w:sz w:val="2"/>
                <w:szCs w:val="2"/>
              </w:rPr>
            </w:pPr>
          </w:p>
        </w:tc>
        <w:tc>
          <w:tcPr>
            <w:tcW w:w="1994" w:type="dxa"/>
            <w:tcBorders>
              <w:top w:val="single" w:color="000000" w:sz="4" w:space="0"/>
              <w:left w:val="single" w:color="000000" w:sz="4" w:space="0"/>
              <w:bottom w:val="single" w:color="000000" w:sz="4" w:space="0"/>
              <w:right w:val="single" w:color="000000" w:sz="4" w:space="0"/>
            </w:tcBorders>
          </w:tcPr>
          <w:p>
            <w:pPr>
              <w:pStyle w:val="19"/>
              <w:spacing w:before="130"/>
              <w:ind w:left="139" w:right="125"/>
              <w:rPr>
                <w:sz w:val="21"/>
              </w:rPr>
            </w:pPr>
            <w:r>
              <w:rPr>
                <w:sz w:val="21"/>
              </w:rPr>
              <w:t>机修车间</w:t>
            </w:r>
          </w:p>
        </w:tc>
        <w:tc>
          <w:tcPr>
            <w:tcW w:w="1149" w:type="dxa"/>
            <w:tcBorders>
              <w:top w:val="single" w:color="000000" w:sz="4" w:space="0"/>
              <w:left w:val="single" w:color="000000" w:sz="4" w:space="0"/>
              <w:bottom w:val="single" w:color="000000" w:sz="4" w:space="0"/>
              <w:right w:val="single" w:color="000000" w:sz="4" w:space="0"/>
            </w:tcBorders>
          </w:tcPr>
          <w:p>
            <w:pPr>
              <w:pStyle w:val="19"/>
              <w:spacing w:before="130"/>
              <w:ind w:left="137" w:right="122"/>
              <w:rPr>
                <w:sz w:val="21"/>
              </w:rPr>
            </w:pPr>
            <w:r>
              <w:rPr>
                <w:sz w:val="21"/>
              </w:rPr>
              <w:t>垂直入渗</w:t>
            </w:r>
          </w:p>
        </w:tc>
        <w:tc>
          <w:tcPr>
            <w:tcW w:w="1753" w:type="dxa"/>
            <w:tcBorders>
              <w:top w:val="single" w:color="000000" w:sz="4" w:space="0"/>
              <w:left w:val="single" w:color="000000" w:sz="4" w:space="0"/>
              <w:bottom w:val="single" w:color="000000" w:sz="4" w:space="0"/>
              <w:right w:val="single" w:color="000000" w:sz="4" w:space="0"/>
            </w:tcBorders>
          </w:tcPr>
          <w:p>
            <w:pPr>
              <w:pStyle w:val="19"/>
              <w:spacing w:line="266" w:lineRule="exact"/>
              <w:ind w:left="195"/>
              <w:jc w:val="left"/>
              <w:rPr>
                <w:sz w:val="21"/>
              </w:rPr>
            </w:pPr>
            <w:r>
              <w:rPr>
                <w:rFonts w:ascii="Times New Roman" w:eastAsia="Times New Roman"/>
                <w:spacing w:val="-1"/>
                <w:position w:val="2"/>
                <w:sz w:val="21"/>
              </w:rPr>
              <w:t>BOD</w:t>
            </w:r>
            <w:r>
              <w:rPr>
                <w:rFonts w:ascii="Times New Roman" w:eastAsia="Times New Roman"/>
                <w:spacing w:val="-1"/>
                <w:position w:val="2"/>
                <w:sz w:val="21"/>
                <w:vertAlign w:val="subscript"/>
              </w:rPr>
              <w:t>5</w:t>
            </w:r>
            <w:r>
              <w:rPr>
                <w:position w:val="2"/>
                <w:sz w:val="21"/>
                <w:vertAlign w:val="baseline"/>
              </w:rPr>
              <w:t>、</w:t>
            </w:r>
            <w:r>
              <w:rPr>
                <w:rFonts w:ascii="Times New Roman" w:eastAsia="Times New Roman"/>
                <w:position w:val="2"/>
                <w:sz w:val="21"/>
                <w:vertAlign w:val="baseline"/>
              </w:rPr>
              <w:t>COD</w:t>
            </w:r>
            <w:r>
              <w:rPr>
                <w:position w:val="2"/>
                <w:sz w:val="21"/>
                <w:vertAlign w:val="baseline"/>
              </w:rPr>
              <w:t>、</w:t>
            </w:r>
          </w:p>
          <w:p>
            <w:pPr>
              <w:pStyle w:val="19"/>
              <w:spacing w:line="248" w:lineRule="exact"/>
              <w:ind w:left="166"/>
              <w:jc w:val="left"/>
              <w:rPr>
                <w:sz w:val="21"/>
              </w:rPr>
            </w:pPr>
            <w:r>
              <w:rPr>
                <w:rFonts w:ascii="Times New Roman" w:eastAsia="Times New Roman"/>
                <w:spacing w:val="-1"/>
                <w:w w:val="95"/>
                <w:position w:val="2"/>
                <w:sz w:val="21"/>
              </w:rPr>
              <w:t>NH</w:t>
            </w:r>
            <w:r>
              <w:rPr>
                <w:rFonts w:ascii="Times New Roman" w:eastAsia="Times New Roman"/>
                <w:spacing w:val="-1"/>
                <w:w w:val="95"/>
                <w:position w:val="2"/>
                <w:sz w:val="21"/>
                <w:vertAlign w:val="subscript"/>
              </w:rPr>
              <w:t>3</w:t>
            </w:r>
            <w:r>
              <w:rPr>
                <w:rFonts w:ascii="Times New Roman" w:eastAsia="Times New Roman"/>
                <w:spacing w:val="-1"/>
                <w:w w:val="95"/>
                <w:position w:val="2"/>
                <w:sz w:val="21"/>
                <w:vertAlign w:val="baseline"/>
              </w:rPr>
              <w:t>-N</w:t>
            </w:r>
            <w:r>
              <w:rPr>
                <w:w w:val="95"/>
                <w:position w:val="2"/>
                <w:sz w:val="21"/>
                <w:vertAlign w:val="baseline"/>
              </w:rPr>
              <w:t>、石油类</w:t>
            </w:r>
          </w:p>
        </w:tc>
        <w:tc>
          <w:tcPr>
            <w:tcW w:w="1739" w:type="dxa"/>
            <w:tcBorders>
              <w:top w:val="single" w:color="000000" w:sz="4" w:space="0"/>
              <w:left w:val="single" w:color="000000" w:sz="4" w:space="0"/>
              <w:bottom w:val="single" w:color="000000" w:sz="4" w:space="0"/>
              <w:right w:val="single" w:color="000000" w:sz="4" w:space="0"/>
            </w:tcBorders>
          </w:tcPr>
          <w:p>
            <w:pPr>
              <w:pStyle w:val="19"/>
              <w:spacing w:before="130"/>
              <w:ind w:left="42" w:right="25"/>
              <w:rPr>
                <w:sz w:val="21"/>
              </w:rPr>
            </w:pPr>
            <w:r>
              <w:rPr>
                <w:sz w:val="21"/>
              </w:rPr>
              <w:t>石油类</w:t>
            </w:r>
          </w:p>
        </w:tc>
        <w:tc>
          <w:tcPr>
            <w:tcW w:w="1357" w:type="dxa"/>
            <w:tcBorders>
              <w:top w:val="single" w:color="000000" w:sz="4" w:space="0"/>
              <w:left w:val="single" w:color="000000" w:sz="4" w:space="0"/>
              <w:bottom w:val="single" w:color="000000" w:sz="4" w:space="0"/>
            </w:tcBorders>
          </w:tcPr>
          <w:p>
            <w:pPr>
              <w:pStyle w:val="19"/>
              <w:spacing w:before="130"/>
              <w:ind w:left="136" w:right="116"/>
              <w:rPr>
                <w:sz w:val="21"/>
              </w:rPr>
            </w:pPr>
            <w:r>
              <w:rPr>
                <w:sz w:val="21"/>
              </w:rPr>
              <w:t>间断、事故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671" w:type="dxa"/>
            <w:tcBorders>
              <w:top w:val="single" w:color="000000" w:sz="4" w:space="0"/>
              <w:bottom w:val="single" w:color="000000" w:sz="4" w:space="0"/>
              <w:right w:val="single" w:color="000000" w:sz="4" w:space="0"/>
            </w:tcBorders>
          </w:tcPr>
          <w:p>
            <w:pPr>
              <w:pStyle w:val="19"/>
              <w:spacing w:before="73"/>
              <w:ind w:left="14"/>
              <w:rPr>
                <w:rFonts w:ascii="Times New Roman"/>
                <w:sz w:val="21"/>
              </w:rPr>
            </w:pPr>
            <w:r>
              <w:rPr>
                <w:rFonts w:ascii="Times New Roman"/>
                <w:w w:val="99"/>
                <w:sz w:val="21"/>
              </w:rPr>
              <w:t>4</w:t>
            </w:r>
          </w:p>
        </w:tc>
        <w:tc>
          <w:tcPr>
            <w:tcW w:w="623" w:type="dxa"/>
            <w:vMerge w:val="continue"/>
            <w:tcBorders>
              <w:top w:val="nil"/>
              <w:left w:val="single" w:color="000000" w:sz="4" w:space="0"/>
              <w:right w:val="single" w:color="000000" w:sz="4" w:space="0"/>
            </w:tcBorders>
          </w:tcPr>
          <w:p>
            <w:pPr>
              <w:rPr>
                <w:sz w:val="2"/>
                <w:szCs w:val="2"/>
              </w:rPr>
            </w:pPr>
          </w:p>
        </w:tc>
        <w:tc>
          <w:tcPr>
            <w:tcW w:w="1994" w:type="dxa"/>
            <w:tcBorders>
              <w:top w:val="single" w:color="000000" w:sz="4" w:space="0"/>
              <w:left w:val="single" w:color="000000" w:sz="4" w:space="0"/>
              <w:bottom w:val="single" w:color="000000" w:sz="4" w:space="0"/>
              <w:right w:val="single" w:color="000000" w:sz="4" w:space="0"/>
            </w:tcBorders>
          </w:tcPr>
          <w:p>
            <w:pPr>
              <w:pStyle w:val="19"/>
              <w:spacing w:before="59"/>
              <w:ind w:left="139" w:right="122"/>
              <w:rPr>
                <w:sz w:val="21"/>
              </w:rPr>
            </w:pPr>
            <w:r>
              <w:rPr>
                <w:sz w:val="21"/>
              </w:rPr>
              <w:t>危险废物暂存间</w:t>
            </w:r>
          </w:p>
        </w:tc>
        <w:tc>
          <w:tcPr>
            <w:tcW w:w="1149" w:type="dxa"/>
            <w:tcBorders>
              <w:top w:val="single" w:color="000000" w:sz="4" w:space="0"/>
              <w:left w:val="single" w:color="000000" w:sz="4" w:space="0"/>
              <w:bottom w:val="single" w:color="000000" w:sz="4" w:space="0"/>
              <w:right w:val="single" w:color="000000" w:sz="4" w:space="0"/>
            </w:tcBorders>
          </w:tcPr>
          <w:p>
            <w:pPr>
              <w:pStyle w:val="19"/>
              <w:spacing w:before="59"/>
              <w:ind w:left="137" w:right="122"/>
              <w:rPr>
                <w:sz w:val="21"/>
              </w:rPr>
            </w:pPr>
            <w:r>
              <w:rPr>
                <w:sz w:val="21"/>
              </w:rPr>
              <w:t>垂直入渗</w:t>
            </w:r>
          </w:p>
        </w:tc>
        <w:tc>
          <w:tcPr>
            <w:tcW w:w="1753" w:type="dxa"/>
            <w:tcBorders>
              <w:top w:val="single" w:color="000000" w:sz="4" w:space="0"/>
              <w:left w:val="single" w:color="000000" w:sz="4" w:space="0"/>
              <w:bottom w:val="single" w:color="000000" w:sz="4" w:space="0"/>
              <w:right w:val="single" w:color="000000" w:sz="4" w:space="0"/>
            </w:tcBorders>
          </w:tcPr>
          <w:p>
            <w:pPr>
              <w:pStyle w:val="19"/>
              <w:spacing w:before="59"/>
              <w:ind w:left="49" w:right="34"/>
              <w:rPr>
                <w:sz w:val="21"/>
              </w:rPr>
            </w:pPr>
            <w:r>
              <w:rPr>
                <w:sz w:val="21"/>
              </w:rPr>
              <w:t>石油类</w:t>
            </w:r>
          </w:p>
        </w:tc>
        <w:tc>
          <w:tcPr>
            <w:tcW w:w="1739" w:type="dxa"/>
            <w:tcBorders>
              <w:top w:val="single" w:color="000000" w:sz="4" w:space="0"/>
              <w:left w:val="single" w:color="000000" w:sz="4" w:space="0"/>
              <w:bottom w:val="single" w:color="000000" w:sz="4" w:space="0"/>
              <w:right w:val="single" w:color="000000" w:sz="4" w:space="0"/>
            </w:tcBorders>
          </w:tcPr>
          <w:p>
            <w:pPr>
              <w:pStyle w:val="19"/>
              <w:spacing w:before="59"/>
              <w:ind w:left="42" w:right="25"/>
              <w:rPr>
                <w:sz w:val="21"/>
              </w:rPr>
            </w:pPr>
            <w:r>
              <w:rPr>
                <w:sz w:val="21"/>
              </w:rPr>
              <w:t>石油类</w:t>
            </w:r>
          </w:p>
        </w:tc>
        <w:tc>
          <w:tcPr>
            <w:tcW w:w="1357" w:type="dxa"/>
            <w:tcBorders>
              <w:top w:val="single" w:color="000000" w:sz="4" w:space="0"/>
              <w:left w:val="single" w:color="000000" w:sz="4" w:space="0"/>
              <w:bottom w:val="single" w:color="000000" w:sz="4" w:space="0"/>
            </w:tcBorders>
          </w:tcPr>
          <w:p>
            <w:pPr>
              <w:pStyle w:val="19"/>
              <w:spacing w:before="59"/>
              <w:ind w:left="136" w:right="114"/>
              <w:rPr>
                <w:sz w:val="21"/>
              </w:rPr>
            </w:pPr>
            <w:r>
              <w:rPr>
                <w:sz w:val="21"/>
              </w:rPr>
              <w:t>事故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9" w:hRule="atLeast"/>
        </w:trPr>
        <w:tc>
          <w:tcPr>
            <w:tcW w:w="671" w:type="dxa"/>
            <w:tcBorders>
              <w:top w:val="single" w:color="000000" w:sz="4" w:space="0"/>
              <w:right w:val="single" w:color="000000" w:sz="4" w:space="0"/>
            </w:tcBorders>
          </w:tcPr>
          <w:p>
            <w:pPr>
              <w:pStyle w:val="19"/>
              <w:spacing w:before="146"/>
              <w:ind w:left="14"/>
              <w:rPr>
                <w:rFonts w:ascii="Times New Roman"/>
                <w:sz w:val="21"/>
              </w:rPr>
            </w:pPr>
            <w:r>
              <w:rPr>
                <w:rFonts w:ascii="Times New Roman"/>
                <w:w w:val="99"/>
                <w:sz w:val="21"/>
              </w:rPr>
              <w:t>5</w:t>
            </w:r>
          </w:p>
        </w:tc>
        <w:tc>
          <w:tcPr>
            <w:tcW w:w="623" w:type="dxa"/>
            <w:vMerge w:val="continue"/>
            <w:tcBorders>
              <w:top w:val="nil"/>
              <w:left w:val="single" w:color="000000" w:sz="4" w:space="0"/>
              <w:right w:val="single" w:color="000000" w:sz="4" w:space="0"/>
            </w:tcBorders>
          </w:tcPr>
          <w:p>
            <w:pPr>
              <w:rPr>
                <w:sz w:val="2"/>
                <w:szCs w:val="2"/>
              </w:rPr>
            </w:pPr>
          </w:p>
        </w:tc>
        <w:tc>
          <w:tcPr>
            <w:tcW w:w="1994" w:type="dxa"/>
            <w:tcBorders>
              <w:top w:val="single" w:color="000000" w:sz="4" w:space="0"/>
              <w:left w:val="single" w:color="000000" w:sz="4" w:space="0"/>
              <w:right w:val="single" w:color="000000" w:sz="4" w:space="0"/>
            </w:tcBorders>
          </w:tcPr>
          <w:p>
            <w:pPr>
              <w:pStyle w:val="19"/>
              <w:spacing w:before="132"/>
              <w:ind w:left="139" w:right="125"/>
              <w:rPr>
                <w:sz w:val="21"/>
              </w:rPr>
            </w:pPr>
            <w:r>
              <w:rPr>
                <w:sz w:val="21"/>
              </w:rPr>
              <w:t>矸石临时堆放场地</w:t>
            </w:r>
          </w:p>
        </w:tc>
        <w:tc>
          <w:tcPr>
            <w:tcW w:w="1149" w:type="dxa"/>
            <w:tcBorders>
              <w:top w:val="single" w:color="000000" w:sz="4" w:space="0"/>
              <w:left w:val="single" w:color="000000" w:sz="4" w:space="0"/>
              <w:right w:val="single" w:color="000000" w:sz="4" w:space="0"/>
            </w:tcBorders>
          </w:tcPr>
          <w:p>
            <w:pPr>
              <w:pStyle w:val="19"/>
              <w:spacing w:before="132"/>
              <w:ind w:left="137" w:right="122"/>
              <w:rPr>
                <w:sz w:val="21"/>
              </w:rPr>
            </w:pPr>
            <w:r>
              <w:rPr>
                <w:sz w:val="21"/>
              </w:rPr>
              <w:t>垂直入渗</w:t>
            </w:r>
          </w:p>
        </w:tc>
        <w:tc>
          <w:tcPr>
            <w:tcW w:w="1753" w:type="dxa"/>
            <w:tcBorders>
              <w:top w:val="single" w:color="000000" w:sz="4" w:space="0"/>
              <w:left w:val="single" w:color="000000" w:sz="4" w:space="0"/>
              <w:right w:val="single" w:color="000000" w:sz="4" w:space="0"/>
            </w:tcBorders>
          </w:tcPr>
          <w:p>
            <w:pPr>
              <w:pStyle w:val="19"/>
              <w:spacing w:line="264" w:lineRule="exact"/>
              <w:ind w:left="113" w:right="-15"/>
              <w:jc w:val="left"/>
              <w:rPr>
                <w:sz w:val="21"/>
              </w:rPr>
            </w:pPr>
            <w:r>
              <w:rPr>
                <w:spacing w:val="-7"/>
                <w:sz w:val="21"/>
              </w:rPr>
              <w:t>镉、汞、砷、铅、</w:t>
            </w:r>
          </w:p>
          <w:p>
            <w:pPr>
              <w:pStyle w:val="19"/>
              <w:spacing w:before="4" w:line="251" w:lineRule="exact"/>
              <w:ind w:left="144"/>
              <w:jc w:val="left"/>
              <w:rPr>
                <w:sz w:val="21"/>
              </w:rPr>
            </w:pPr>
            <w:r>
              <w:rPr>
                <w:sz w:val="21"/>
              </w:rPr>
              <w:t>铬、铜、镍、锌</w:t>
            </w:r>
          </w:p>
        </w:tc>
        <w:tc>
          <w:tcPr>
            <w:tcW w:w="1739" w:type="dxa"/>
            <w:tcBorders>
              <w:top w:val="single" w:color="000000" w:sz="4" w:space="0"/>
              <w:left w:val="single" w:color="000000" w:sz="4" w:space="0"/>
              <w:right w:val="single" w:color="000000" w:sz="4" w:space="0"/>
            </w:tcBorders>
          </w:tcPr>
          <w:p>
            <w:pPr>
              <w:pStyle w:val="19"/>
              <w:spacing w:before="146"/>
              <w:ind w:left="18"/>
              <w:rPr>
                <w:rFonts w:ascii="Times New Roman"/>
                <w:sz w:val="21"/>
              </w:rPr>
            </w:pPr>
            <w:r>
              <w:rPr>
                <w:rFonts w:ascii="Times New Roman"/>
                <w:w w:val="99"/>
                <w:sz w:val="21"/>
              </w:rPr>
              <w:t>/</w:t>
            </w:r>
          </w:p>
        </w:tc>
        <w:tc>
          <w:tcPr>
            <w:tcW w:w="1357" w:type="dxa"/>
            <w:tcBorders>
              <w:top w:val="single" w:color="000000" w:sz="4" w:space="0"/>
              <w:left w:val="single" w:color="000000" w:sz="4" w:space="0"/>
            </w:tcBorders>
          </w:tcPr>
          <w:p>
            <w:pPr>
              <w:pStyle w:val="19"/>
              <w:spacing w:before="132"/>
              <w:ind w:left="136" w:right="114"/>
              <w:rPr>
                <w:sz w:val="21"/>
              </w:rPr>
            </w:pPr>
            <w:r>
              <w:rPr>
                <w:sz w:val="21"/>
              </w:rPr>
              <w:t>连续</w:t>
            </w:r>
          </w:p>
        </w:tc>
      </w:tr>
    </w:tbl>
    <w:p>
      <w:pPr>
        <w:pStyle w:val="5"/>
        <w:numPr>
          <w:ilvl w:val="1"/>
          <w:numId w:val="75"/>
        </w:numPr>
        <w:tabs>
          <w:tab w:val="left" w:pos="1944"/>
        </w:tabs>
        <w:spacing w:before="3" w:after="0" w:line="240" w:lineRule="auto"/>
        <w:ind w:left="1944" w:right="0" w:hanging="526"/>
        <w:jc w:val="both"/>
      </w:pPr>
      <w:bookmarkStart w:id="491" w:name="9.2 土壤环境评价等级、评价范围确定及敏感目标"/>
      <w:bookmarkEnd w:id="491"/>
      <w:bookmarkStart w:id="492" w:name="_bookmark51"/>
      <w:bookmarkEnd w:id="492"/>
      <w:bookmarkStart w:id="493" w:name="_bookmark51"/>
      <w:bookmarkEnd w:id="493"/>
      <w:r>
        <w:t>土壤环境评价等级、评价范围确定及敏感目标</w:t>
      </w:r>
    </w:p>
    <w:p>
      <w:pPr>
        <w:pStyle w:val="6"/>
        <w:numPr>
          <w:ilvl w:val="2"/>
          <w:numId w:val="75"/>
        </w:numPr>
        <w:tabs>
          <w:tab w:val="left" w:pos="2117"/>
        </w:tabs>
        <w:spacing w:before="200" w:after="0" w:line="240" w:lineRule="auto"/>
        <w:ind w:left="2116" w:right="0" w:hanging="699"/>
        <w:jc w:val="both"/>
      </w:pPr>
      <w:bookmarkStart w:id="494" w:name="9.2.1 评价等级确定"/>
      <w:bookmarkEnd w:id="494"/>
      <w:bookmarkStart w:id="495" w:name="9.2.1 评价等级确定"/>
      <w:bookmarkEnd w:id="495"/>
      <w:r>
        <w:t>评价等级确定</w:t>
      </w:r>
    </w:p>
    <w:p>
      <w:pPr>
        <w:pStyle w:val="9"/>
        <w:spacing w:before="185" w:line="364" w:lineRule="auto"/>
        <w:ind w:left="1418" w:right="1413" w:firstLine="480"/>
        <w:jc w:val="both"/>
      </w:pPr>
      <w:r>
        <w:rPr>
          <w:spacing w:val="-5"/>
        </w:rPr>
        <w:t>井田开采区属于生态影响类，工业广场属于污染影响型。按照导则要求，分别判定</w:t>
      </w:r>
      <w:r>
        <w:t>评价工作等级。井田开采区为Ⅱ类项目，土壤含盐量</w:t>
      </w:r>
      <w:r>
        <w:rPr>
          <w:rFonts w:ascii="Times New Roman" w:hAnsi="Times New Roman" w:eastAsia="Times New Roman"/>
        </w:rPr>
        <w:t>≤2g/kg</w:t>
      </w:r>
      <w:r>
        <w:t>，</w:t>
      </w:r>
      <w:r>
        <w:rPr>
          <w:rFonts w:ascii="Times New Roman" w:hAnsi="Times New Roman" w:eastAsia="Times New Roman"/>
        </w:rPr>
        <w:t>5.60≤pH≤5.97</w:t>
      </w:r>
      <w:r>
        <w:t>，属于不敏</w:t>
      </w:r>
      <w:r>
        <w:rPr>
          <w:spacing w:val="-2"/>
        </w:rPr>
        <w:t xml:space="preserve">感区，评价等级为三级；主井工业场地占地面积约为 </w:t>
      </w:r>
      <w:r>
        <w:rPr>
          <w:rFonts w:ascii="Times New Roman" w:hAnsi="Times New Roman" w:eastAsia="Times New Roman"/>
        </w:rPr>
        <w:t>1.95hm</w:t>
      </w:r>
      <w:r>
        <w:rPr>
          <w:rFonts w:ascii="Times New Roman" w:hAnsi="Times New Roman" w:eastAsia="Times New Roman"/>
          <w:position w:val="8"/>
          <w:sz w:val="15"/>
        </w:rPr>
        <w:t>2</w:t>
      </w:r>
      <w:r>
        <w:t>，副井工业场地占地面积</w:t>
      </w:r>
      <w:r>
        <w:rPr>
          <w:spacing w:val="-30"/>
        </w:rPr>
        <w:t xml:space="preserve">为 </w:t>
      </w:r>
      <w:r>
        <w:rPr>
          <w:rFonts w:ascii="Times New Roman" w:hAnsi="Times New Roman" w:eastAsia="Times New Roman"/>
        </w:rPr>
        <w:t>3.10hm</w:t>
      </w:r>
      <w:r>
        <w:rPr>
          <w:rFonts w:ascii="Times New Roman" w:hAnsi="Times New Roman" w:eastAsia="Times New Roman"/>
          <w:position w:val="8"/>
          <w:sz w:val="15"/>
        </w:rPr>
        <w:t>2</w:t>
      </w:r>
      <w:r>
        <w:t>，土壤环境不敏感，评价等级均为三级。</w:t>
      </w:r>
    </w:p>
    <w:p>
      <w:pPr>
        <w:spacing w:before="0" w:line="265" w:lineRule="exact"/>
        <w:ind w:left="4080" w:right="0" w:firstLine="0"/>
        <w:jc w:val="both"/>
        <w:rPr>
          <w:b/>
          <w:sz w:val="21"/>
        </w:rPr>
      </w:pPr>
      <w:r>
        <w:rPr>
          <w:b/>
          <w:spacing w:val="-26"/>
          <w:sz w:val="21"/>
        </w:rPr>
        <w:t xml:space="preserve">表 </w:t>
      </w:r>
      <w:r>
        <w:rPr>
          <w:rFonts w:ascii="Times New Roman" w:eastAsia="Times New Roman"/>
          <w:b/>
          <w:sz w:val="21"/>
        </w:rPr>
        <w:t>9.2-1</w:t>
      </w:r>
      <w:r>
        <w:rPr>
          <w:rFonts w:ascii="Times New Roman" w:eastAsia="Times New Roman"/>
          <w:b/>
          <w:spacing w:val="52"/>
          <w:sz w:val="21"/>
        </w:rPr>
        <w:t xml:space="preserve"> </w:t>
      </w:r>
      <w:r>
        <w:rPr>
          <w:b/>
          <w:sz w:val="21"/>
        </w:rPr>
        <w:t>井田开采区评价工作等级分级表</w:t>
      </w:r>
    </w:p>
    <w:p>
      <w:pPr>
        <w:spacing w:after="0" w:line="265" w:lineRule="exact"/>
        <w:jc w:val="both"/>
        <w:rPr>
          <w:sz w:val="21"/>
        </w:rPr>
        <w:sectPr>
          <w:pgSz w:w="11910" w:h="16840"/>
          <w:pgMar w:top="1360" w:right="0" w:bottom="880" w:left="0" w:header="0" w:footer="681" w:gutter="0"/>
        </w:sectPr>
      </w:pPr>
    </w:p>
    <w:tbl>
      <w:tblPr>
        <w:tblStyle w:val="15"/>
        <w:tblW w:w="0" w:type="auto"/>
        <w:tblInd w:w="136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97"/>
        <w:gridCol w:w="2048"/>
        <w:gridCol w:w="2048"/>
        <w:gridCol w:w="2049"/>
        <w:gridCol w:w="154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1" w:hRule="atLeast"/>
        </w:trPr>
        <w:tc>
          <w:tcPr>
            <w:tcW w:w="1597" w:type="dxa"/>
            <w:tcBorders>
              <w:bottom w:val="single" w:color="000000" w:sz="4" w:space="0"/>
              <w:right w:val="single" w:color="000000" w:sz="4" w:space="0"/>
            </w:tcBorders>
          </w:tcPr>
          <w:p>
            <w:pPr>
              <w:pStyle w:val="19"/>
              <w:spacing w:before="61" w:line="244" w:lineRule="auto"/>
              <w:ind w:left="947" w:right="92" w:hanging="315"/>
              <w:jc w:val="left"/>
              <w:rPr>
                <w:sz w:val="21"/>
              </w:rPr>
            </w:pPr>
            <w:r>
              <w:rPr>
                <w:sz w:val="21"/>
              </w:rPr>
              <w:t>环境敏感程度</w:t>
            </w:r>
          </w:p>
          <w:p>
            <w:pPr>
              <w:pStyle w:val="19"/>
              <w:spacing w:line="265" w:lineRule="exact"/>
              <w:ind w:left="107"/>
              <w:jc w:val="left"/>
              <w:rPr>
                <w:sz w:val="21"/>
              </w:rPr>
            </w:pPr>
            <w:r>
              <w:rPr>
                <w:sz w:val="21"/>
              </w:rPr>
              <w:t>项目类别</w:t>
            </w:r>
          </w:p>
        </w:tc>
        <w:tc>
          <w:tcPr>
            <w:tcW w:w="2048" w:type="dxa"/>
            <w:tcBorders>
              <w:left w:val="single" w:color="000000" w:sz="4" w:space="0"/>
              <w:bottom w:val="single" w:color="000000" w:sz="4" w:space="0"/>
              <w:right w:val="single" w:color="000000" w:sz="4" w:space="0"/>
            </w:tcBorders>
          </w:tcPr>
          <w:p>
            <w:pPr>
              <w:pStyle w:val="19"/>
              <w:spacing w:before="2"/>
              <w:jc w:val="left"/>
              <w:rPr>
                <w:b/>
                <w:sz w:val="26"/>
              </w:rPr>
            </w:pPr>
          </w:p>
          <w:p>
            <w:pPr>
              <w:pStyle w:val="19"/>
              <w:ind w:left="588" w:right="570"/>
              <w:rPr>
                <w:sz w:val="21"/>
              </w:rPr>
            </w:pPr>
            <w:r>
              <w:rPr>
                <w:sz w:val="21"/>
              </w:rPr>
              <w:t>Ⅰ类项目</w:t>
            </w:r>
          </w:p>
        </w:tc>
        <w:tc>
          <w:tcPr>
            <w:tcW w:w="2048" w:type="dxa"/>
            <w:tcBorders>
              <w:left w:val="single" w:color="000000" w:sz="4" w:space="0"/>
              <w:bottom w:val="single" w:color="000000" w:sz="4" w:space="0"/>
              <w:right w:val="single" w:color="000000" w:sz="4" w:space="0"/>
            </w:tcBorders>
          </w:tcPr>
          <w:p>
            <w:pPr>
              <w:pStyle w:val="19"/>
              <w:spacing w:before="2"/>
              <w:jc w:val="left"/>
              <w:rPr>
                <w:b/>
                <w:sz w:val="26"/>
              </w:rPr>
            </w:pPr>
          </w:p>
          <w:p>
            <w:pPr>
              <w:pStyle w:val="19"/>
              <w:ind w:left="588" w:right="570"/>
              <w:rPr>
                <w:sz w:val="21"/>
              </w:rPr>
            </w:pPr>
            <w:r>
              <w:rPr>
                <w:sz w:val="21"/>
              </w:rPr>
              <w:t>Ⅱ类项目</w:t>
            </w:r>
          </w:p>
        </w:tc>
        <w:tc>
          <w:tcPr>
            <w:tcW w:w="2049" w:type="dxa"/>
            <w:tcBorders>
              <w:left w:val="single" w:color="000000" w:sz="4" w:space="0"/>
              <w:bottom w:val="single" w:color="000000" w:sz="4" w:space="0"/>
              <w:right w:val="single" w:color="000000" w:sz="4" w:space="0"/>
            </w:tcBorders>
          </w:tcPr>
          <w:p>
            <w:pPr>
              <w:pStyle w:val="19"/>
              <w:spacing w:before="2"/>
              <w:jc w:val="left"/>
              <w:rPr>
                <w:b/>
                <w:sz w:val="26"/>
              </w:rPr>
            </w:pPr>
          </w:p>
          <w:p>
            <w:pPr>
              <w:pStyle w:val="19"/>
              <w:ind w:left="587" w:right="571"/>
              <w:rPr>
                <w:sz w:val="21"/>
              </w:rPr>
            </w:pPr>
            <w:r>
              <w:rPr>
                <w:sz w:val="21"/>
              </w:rPr>
              <w:t>Ⅲ类项目</w:t>
            </w:r>
          </w:p>
        </w:tc>
        <w:tc>
          <w:tcPr>
            <w:tcW w:w="1544" w:type="dxa"/>
            <w:tcBorders>
              <w:left w:val="single" w:color="000000" w:sz="4" w:space="0"/>
              <w:bottom w:val="single" w:color="000000" w:sz="4" w:space="0"/>
            </w:tcBorders>
          </w:tcPr>
          <w:p>
            <w:pPr>
              <w:pStyle w:val="19"/>
              <w:spacing w:before="2"/>
              <w:jc w:val="left"/>
              <w:rPr>
                <w:b/>
                <w:sz w:val="26"/>
              </w:rPr>
            </w:pPr>
          </w:p>
          <w:p>
            <w:pPr>
              <w:pStyle w:val="19"/>
              <w:ind w:left="146"/>
              <w:jc w:val="left"/>
              <w:rPr>
                <w:sz w:val="21"/>
              </w:rPr>
            </w:pPr>
            <w:r>
              <w:rPr>
                <w:sz w:val="21"/>
              </w:rPr>
              <w:t>评价工作等级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597" w:type="dxa"/>
            <w:tcBorders>
              <w:top w:val="single" w:color="000000" w:sz="4" w:space="0"/>
              <w:bottom w:val="single" w:color="000000" w:sz="4" w:space="0"/>
              <w:right w:val="single" w:color="000000" w:sz="4" w:space="0"/>
            </w:tcBorders>
          </w:tcPr>
          <w:p>
            <w:pPr>
              <w:pStyle w:val="19"/>
              <w:spacing w:before="92"/>
              <w:ind w:left="461" w:right="451"/>
              <w:rPr>
                <w:sz w:val="21"/>
              </w:rPr>
            </w:pPr>
            <w:r>
              <w:rPr>
                <w:sz w:val="21"/>
              </w:rPr>
              <w:t>敏感</w:t>
            </w:r>
          </w:p>
        </w:tc>
        <w:tc>
          <w:tcPr>
            <w:tcW w:w="2048" w:type="dxa"/>
            <w:tcBorders>
              <w:top w:val="single" w:color="000000" w:sz="4" w:space="0"/>
              <w:left w:val="single" w:color="000000" w:sz="4" w:space="0"/>
              <w:bottom w:val="single" w:color="000000" w:sz="4" w:space="0"/>
              <w:right w:val="single" w:color="000000" w:sz="4" w:space="0"/>
            </w:tcBorders>
          </w:tcPr>
          <w:p>
            <w:pPr>
              <w:pStyle w:val="19"/>
              <w:spacing w:before="92"/>
              <w:ind w:left="588" w:right="570"/>
              <w:rPr>
                <w:sz w:val="21"/>
              </w:rPr>
            </w:pPr>
            <w:r>
              <w:rPr>
                <w:sz w:val="21"/>
              </w:rPr>
              <w:t>一级</w:t>
            </w:r>
          </w:p>
        </w:tc>
        <w:tc>
          <w:tcPr>
            <w:tcW w:w="2048" w:type="dxa"/>
            <w:tcBorders>
              <w:top w:val="single" w:color="000000" w:sz="4" w:space="0"/>
              <w:left w:val="single" w:color="000000" w:sz="4" w:space="0"/>
              <w:bottom w:val="single" w:color="000000" w:sz="4" w:space="0"/>
              <w:right w:val="single" w:color="000000" w:sz="4" w:space="0"/>
            </w:tcBorders>
          </w:tcPr>
          <w:p>
            <w:pPr>
              <w:pStyle w:val="19"/>
              <w:spacing w:before="92"/>
              <w:ind w:left="586" w:right="570"/>
              <w:rPr>
                <w:sz w:val="21"/>
              </w:rPr>
            </w:pPr>
            <w:r>
              <w:rPr>
                <w:sz w:val="21"/>
              </w:rPr>
              <w:t>二级</w:t>
            </w:r>
          </w:p>
        </w:tc>
        <w:tc>
          <w:tcPr>
            <w:tcW w:w="2049" w:type="dxa"/>
            <w:tcBorders>
              <w:top w:val="single" w:color="000000" w:sz="4" w:space="0"/>
              <w:left w:val="single" w:color="000000" w:sz="4" w:space="0"/>
              <w:bottom w:val="single" w:color="000000" w:sz="4" w:space="0"/>
              <w:right w:val="single" w:color="000000" w:sz="4" w:space="0"/>
            </w:tcBorders>
          </w:tcPr>
          <w:p>
            <w:pPr>
              <w:pStyle w:val="19"/>
              <w:spacing w:before="92"/>
              <w:ind w:left="584" w:right="571"/>
              <w:rPr>
                <w:sz w:val="21"/>
              </w:rPr>
            </w:pPr>
            <w:r>
              <w:rPr>
                <w:sz w:val="21"/>
              </w:rPr>
              <w:t>三级</w:t>
            </w:r>
          </w:p>
        </w:tc>
        <w:tc>
          <w:tcPr>
            <w:tcW w:w="1544" w:type="dxa"/>
            <w:vMerge w:val="restart"/>
            <w:tcBorders>
              <w:top w:val="single" w:color="000000" w:sz="4" w:space="0"/>
              <w:left w:val="single" w:color="000000" w:sz="4" w:space="0"/>
              <w:bottom w:val="single" w:color="000000" w:sz="4" w:space="0"/>
            </w:tcBorders>
          </w:tcPr>
          <w:p>
            <w:pPr>
              <w:pStyle w:val="19"/>
              <w:jc w:val="left"/>
              <w:rPr>
                <w:b/>
                <w:sz w:val="20"/>
              </w:rPr>
            </w:pPr>
          </w:p>
          <w:p>
            <w:pPr>
              <w:pStyle w:val="19"/>
              <w:spacing w:before="4"/>
              <w:jc w:val="left"/>
              <w:rPr>
                <w:b/>
                <w:sz w:val="23"/>
              </w:rPr>
            </w:pPr>
          </w:p>
          <w:p>
            <w:pPr>
              <w:pStyle w:val="19"/>
              <w:ind w:left="545" w:right="524"/>
              <w:rPr>
                <w:sz w:val="21"/>
              </w:rPr>
            </w:pPr>
            <w:r>
              <w:rPr>
                <w:sz w:val="21"/>
              </w:rPr>
              <w:t>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597" w:type="dxa"/>
            <w:tcBorders>
              <w:top w:val="single" w:color="000000" w:sz="4" w:space="0"/>
              <w:bottom w:val="single" w:color="000000" w:sz="4" w:space="0"/>
              <w:right w:val="single" w:color="000000" w:sz="4" w:space="0"/>
            </w:tcBorders>
          </w:tcPr>
          <w:p>
            <w:pPr>
              <w:pStyle w:val="19"/>
              <w:spacing w:before="91"/>
              <w:ind w:left="461" w:right="451"/>
              <w:rPr>
                <w:sz w:val="21"/>
              </w:rPr>
            </w:pPr>
            <w:r>
              <w:rPr>
                <w:sz w:val="21"/>
              </w:rPr>
              <w:t>较敏感</w:t>
            </w:r>
          </w:p>
        </w:tc>
        <w:tc>
          <w:tcPr>
            <w:tcW w:w="2048" w:type="dxa"/>
            <w:tcBorders>
              <w:top w:val="single" w:color="000000" w:sz="4" w:space="0"/>
              <w:left w:val="single" w:color="000000" w:sz="4" w:space="0"/>
              <w:bottom w:val="single" w:color="000000" w:sz="4" w:space="0"/>
              <w:right w:val="single" w:color="000000" w:sz="4" w:space="0"/>
            </w:tcBorders>
          </w:tcPr>
          <w:p>
            <w:pPr>
              <w:pStyle w:val="19"/>
              <w:spacing w:before="91"/>
              <w:ind w:left="588" w:right="570"/>
              <w:rPr>
                <w:sz w:val="21"/>
              </w:rPr>
            </w:pPr>
            <w:r>
              <w:rPr>
                <w:sz w:val="21"/>
              </w:rPr>
              <w:t>二级</w:t>
            </w:r>
          </w:p>
        </w:tc>
        <w:tc>
          <w:tcPr>
            <w:tcW w:w="2048" w:type="dxa"/>
            <w:tcBorders>
              <w:top w:val="single" w:color="000000" w:sz="4" w:space="0"/>
              <w:left w:val="single" w:color="000000" w:sz="4" w:space="0"/>
              <w:bottom w:val="single" w:color="000000" w:sz="4" w:space="0"/>
              <w:right w:val="single" w:color="000000" w:sz="4" w:space="0"/>
            </w:tcBorders>
          </w:tcPr>
          <w:p>
            <w:pPr>
              <w:pStyle w:val="19"/>
              <w:spacing w:before="91"/>
              <w:ind w:left="586" w:right="570"/>
              <w:rPr>
                <w:sz w:val="21"/>
              </w:rPr>
            </w:pPr>
            <w:r>
              <w:rPr>
                <w:sz w:val="21"/>
              </w:rPr>
              <w:t>二级</w:t>
            </w:r>
          </w:p>
        </w:tc>
        <w:tc>
          <w:tcPr>
            <w:tcW w:w="2049" w:type="dxa"/>
            <w:tcBorders>
              <w:top w:val="single" w:color="000000" w:sz="4" w:space="0"/>
              <w:left w:val="single" w:color="000000" w:sz="4" w:space="0"/>
              <w:bottom w:val="single" w:color="000000" w:sz="4" w:space="0"/>
              <w:right w:val="single" w:color="000000" w:sz="4" w:space="0"/>
            </w:tcBorders>
          </w:tcPr>
          <w:p>
            <w:pPr>
              <w:pStyle w:val="19"/>
              <w:spacing w:before="91"/>
              <w:ind w:left="584" w:right="571"/>
              <w:rPr>
                <w:sz w:val="21"/>
              </w:rPr>
            </w:pPr>
            <w:r>
              <w:rPr>
                <w:sz w:val="21"/>
              </w:rPr>
              <w:t>三级</w:t>
            </w:r>
          </w:p>
        </w:tc>
        <w:tc>
          <w:tcPr>
            <w:tcW w:w="1544"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597" w:type="dxa"/>
            <w:tcBorders>
              <w:top w:val="single" w:color="000000" w:sz="4" w:space="0"/>
              <w:bottom w:val="single" w:color="000000" w:sz="4" w:space="0"/>
              <w:right w:val="single" w:color="000000" w:sz="4" w:space="0"/>
            </w:tcBorders>
          </w:tcPr>
          <w:p>
            <w:pPr>
              <w:pStyle w:val="19"/>
              <w:spacing w:before="90"/>
              <w:ind w:left="461" w:right="451"/>
              <w:rPr>
                <w:sz w:val="21"/>
              </w:rPr>
            </w:pPr>
            <w:r>
              <w:rPr>
                <w:sz w:val="21"/>
              </w:rPr>
              <w:t>不敏感</w:t>
            </w:r>
          </w:p>
        </w:tc>
        <w:tc>
          <w:tcPr>
            <w:tcW w:w="2048" w:type="dxa"/>
            <w:tcBorders>
              <w:top w:val="single" w:color="000000" w:sz="4" w:space="0"/>
              <w:left w:val="single" w:color="000000" w:sz="4" w:space="0"/>
              <w:bottom w:val="single" w:color="000000" w:sz="4" w:space="0"/>
              <w:right w:val="single" w:color="000000" w:sz="4" w:space="0"/>
            </w:tcBorders>
          </w:tcPr>
          <w:p>
            <w:pPr>
              <w:pStyle w:val="19"/>
              <w:spacing w:before="90"/>
              <w:ind w:left="588" w:right="570"/>
              <w:rPr>
                <w:sz w:val="21"/>
              </w:rPr>
            </w:pPr>
            <w:r>
              <w:rPr>
                <w:sz w:val="21"/>
              </w:rPr>
              <w:t>二级</w:t>
            </w:r>
          </w:p>
        </w:tc>
        <w:tc>
          <w:tcPr>
            <w:tcW w:w="2048" w:type="dxa"/>
            <w:tcBorders>
              <w:top w:val="single" w:color="000000" w:sz="4" w:space="0"/>
              <w:left w:val="single" w:color="000000" w:sz="4" w:space="0"/>
              <w:bottom w:val="single" w:color="000000" w:sz="4" w:space="0"/>
              <w:right w:val="single" w:color="000000" w:sz="4" w:space="0"/>
            </w:tcBorders>
          </w:tcPr>
          <w:p>
            <w:pPr>
              <w:pStyle w:val="19"/>
              <w:spacing w:before="90"/>
              <w:ind w:left="588" w:right="570"/>
              <w:rPr>
                <w:rFonts w:ascii="Times New Roman" w:hAnsi="Times New Roman" w:eastAsia="Times New Roman"/>
                <w:sz w:val="21"/>
              </w:rPr>
            </w:pPr>
            <w:r>
              <w:rPr>
                <w:sz w:val="21"/>
              </w:rPr>
              <w:t>三级</w:t>
            </w:r>
            <w:r>
              <w:rPr>
                <w:rFonts w:ascii="Times New Roman" w:hAnsi="Times New Roman" w:eastAsia="Times New Roman"/>
                <w:sz w:val="21"/>
              </w:rPr>
              <w:t>√</w:t>
            </w:r>
          </w:p>
        </w:tc>
        <w:tc>
          <w:tcPr>
            <w:tcW w:w="2049" w:type="dxa"/>
            <w:tcBorders>
              <w:top w:val="single" w:color="000000" w:sz="4" w:space="0"/>
              <w:left w:val="single" w:color="000000" w:sz="4" w:space="0"/>
              <w:bottom w:val="single" w:color="000000" w:sz="4" w:space="0"/>
              <w:right w:val="single" w:color="000000" w:sz="4" w:space="0"/>
            </w:tcBorders>
          </w:tcPr>
          <w:p>
            <w:pPr>
              <w:pStyle w:val="19"/>
              <w:spacing w:before="90"/>
              <w:ind w:left="16"/>
              <w:rPr>
                <w:sz w:val="21"/>
              </w:rPr>
            </w:pPr>
            <w:r>
              <w:rPr>
                <w:w w:val="99"/>
                <w:sz w:val="21"/>
              </w:rPr>
              <w:t>━</w:t>
            </w:r>
          </w:p>
        </w:tc>
        <w:tc>
          <w:tcPr>
            <w:tcW w:w="1544"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9286" w:type="dxa"/>
            <w:gridSpan w:val="5"/>
            <w:tcBorders>
              <w:top w:val="single" w:color="000000" w:sz="4" w:space="0"/>
            </w:tcBorders>
          </w:tcPr>
          <w:p>
            <w:pPr>
              <w:pStyle w:val="19"/>
              <w:spacing w:before="92"/>
              <w:ind w:left="107"/>
              <w:jc w:val="left"/>
              <w:rPr>
                <w:sz w:val="21"/>
              </w:rPr>
            </w:pPr>
            <w:r>
              <w:rPr>
                <w:sz w:val="21"/>
              </w:rPr>
              <w:t>注：</w:t>
            </w:r>
            <w:r>
              <w:rPr>
                <w:rFonts w:ascii="Times New Roman" w:hAnsi="Times New Roman" w:eastAsia="Times New Roman"/>
                <w:sz w:val="21"/>
              </w:rPr>
              <w:t>“</w:t>
            </w:r>
            <w:r>
              <w:rPr>
                <w:sz w:val="21"/>
              </w:rPr>
              <w:t>━</w:t>
            </w:r>
            <w:r>
              <w:rPr>
                <w:rFonts w:ascii="Times New Roman" w:hAnsi="Times New Roman" w:eastAsia="Times New Roman"/>
                <w:sz w:val="21"/>
              </w:rPr>
              <w:t>”</w:t>
            </w:r>
            <w:r>
              <w:rPr>
                <w:sz w:val="21"/>
              </w:rPr>
              <w:t>表示可不开展土壤环境影响评价工作</w:t>
            </w:r>
          </w:p>
        </w:tc>
      </w:tr>
    </w:tbl>
    <w:p>
      <w:pPr>
        <w:spacing w:before="5"/>
        <w:ind w:left="10" w:right="0" w:firstLine="0"/>
        <w:jc w:val="center"/>
        <w:rPr>
          <w:b/>
          <w:sz w:val="21"/>
        </w:rPr>
      </w:pPr>
      <w:r>
        <w:rPr>
          <w:b/>
          <w:spacing w:val="-26"/>
          <w:sz w:val="21"/>
        </w:rPr>
        <w:t xml:space="preserve">表 </w:t>
      </w:r>
      <w:r>
        <w:rPr>
          <w:rFonts w:ascii="Times New Roman" w:eastAsia="Times New Roman"/>
          <w:b/>
          <w:sz w:val="21"/>
        </w:rPr>
        <w:t>9.2-2</w:t>
      </w:r>
      <w:r>
        <w:rPr>
          <w:rFonts w:ascii="Times New Roman" w:eastAsia="Times New Roman"/>
          <w:b/>
          <w:spacing w:val="52"/>
          <w:sz w:val="21"/>
        </w:rPr>
        <w:t xml:space="preserve"> </w:t>
      </w:r>
      <w:r>
        <w:rPr>
          <w:b/>
          <w:sz w:val="21"/>
        </w:rPr>
        <w:t>工业场地评价工作等级分级表</w:t>
      </w:r>
    </w:p>
    <w:p>
      <w:pPr>
        <w:pStyle w:val="9"/>
        <w:spacing w:before="11"/>
        <w:rPr>
          <w:b/>
          <w:sz w:val="10"/>
        </w:rPr>
      </w:pP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98"/>
        <w:gridCol w:w="738"/>
        <w:gridCol w:w="738"/>
        <w:gridCol w:w="740"/>
        <w:gridCol w:w="738"/>
        <w:gridCol w:w="738"/>
        <w:gridCol w:w="740"/>
        <w:gridCol w:w="739"/>
        <w:gridCol w:w="739"/>
        <w:gridCol w:w="739"/>
        <w:gridCol w:w="103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5" w:hRule="atLeast"/>
        </w:trPr>
        <w:tc>
          <w:tcPr>
            <w:tcW w:w="1598" w:type="dxa"/>
            <w:vMerge w:val="restart"/>
            <w:tcBorders>
              <w:bottom w:val="single" w:color="000000" w:sz="4" w:space="0"/>
              <w:right w:val="single" w:color="000000" w:sz="4" w:space="0"/>
            </w:tcBorders>
          </w:tcPr>
          <w:p>
            <w:pPr>
              <w:pStyle w:val="19"/>
              <w:spacing w:before="62" w:line="242" w:lineRule="auto"/>
              <w:ind w:left="588" w:right="155"/>
              <w:jc w:val="left"/>
              <w:rPr>
                <w:sz w:val="21"/>
              </w:rPr>
            </w:pPr>
            <w:r>
              <w:rPr>
                <w:sz w:val="21"/>
              </w:rPr>
              <w:t>环境敏感程度</w:t>
            </w:r>
          </w:p>
          <w:p>
            <w:pPr>
              <w:pStyle w:val="19"/>
              <w:spacing w:line="268" w:lineRule="exact"/>
              <w:ind w:left="108"/>
              <w:jc w:val="left"/>
              <w:rPr>
                <w:sz w:val="21"/>
              </w:rPr>
            </w:pPr>
            <w:r>
              <w:rPr>
                <w:sz w:val="21"/>
              </w:rPr>
              <w:t>项目类别</w:t>
            </w:r>
          </w:p>
        </w:tc>
        <w:tc>
          <w:tcPr>
            <w:tcW w:w="2216" w:type="dxa"/>
            <w:gridSpan w:val="3"/>
            <w:tcBorders>
              <w:left w:val="single" w:color="000000" w:sz="4" w:space="0"/>
              <w:bottom w:val="single" w:color="000000" w:sz="4" w:space="0"/>
              <w:right w:val="single" w:color="000000" w:sz="4" w:space="0"/>
            </w:tcBorders>
          </w:tcPr>
          <w:p>
            <w:pPr>
              <w:pStyle w:val="19"/>
              <w:spacing w:before="95"/>
              <w:ind w:left="691"/>
              <w:jc w:val="left"/>
              <w:rPr>
                <w:sz w:val="21"/>
              </w:rPr>
            </w:pPr>
            <w:r>
              <w:rPr>
                <w:sz w:val="21"/>
              </w:rPr>
              <w:t>Ⅰ类项目</w:t>
            </w:r>
          </w:p>
        </w:tc>
        <w:tc>
          <w:tcPr>
            <w:tcW w:w="2216" w:type="dxa"/>
            <w:gridSpan w:val="3"/>
            <w:tcBorders>
              <w:left w:val="single" w:color="000000" w:sz="4" w:space="0"/>
              <w:bottom w:val="single" w:color="000000" w:sz="4" w:space="0"/>
              <w:right w:val="single" w:color="000000" w:sz="4" w:space="0"/>
            </w:tcBorders>
          </w:tcPr>
          <w:p>
            <w:pPr>
              <w:pStyle w:val="19"/>
              <w:spacing w:before="95"/>
              <w:ind w:left="693"/>
              <w:jc w:val="left"/>
              <w:rPr>
                <w:sz w:val="21"/>
              </w:rPr>
            </w:pPr>
            <w:r>
              <w:rPr>
                <w:sz w:val="21"/>
              </w:rPr>
              <w:t>Ⅱ类项目</w:t>
            </w:r>
          </w:p>
        </w:tc>
        <w:tc>
          <w:tcPr>
            <w:tcW w:w="2217" w:type="dxa"/>
            <w:gridSpan w:val="3"/>
            <w:tcBorders>
              <w:left w:val="single" w:color="000000" w:sz="4" w:space="0"/>
              <w:bottom w:val="single" w:color="000000" w:sz="4" w:space="0"/>
              <w:right w:val="single" w:color="000000" w:sz="4" w:space="0"/>
            </w:tcBorders>
          </w:tcPr>
          <w:p>
            <w:pPr>
              <w:pStyle w:val="19"/>
              <w:spacing w:before="95"/>
              <w:ind w:left="692"/>
              <w:jc w:val="left"/>
              <w:rPr>
                <w:sz w:val="21"/>
              </w:rPr>
            </w:pPr>
            <w:r>
              <w:rPr>
                <w:sz w:val="21"/>
              </w:rPr>
              <w:t>Ⅲ类项目</w:t>
            </w:r>
          </w:p>
        </w:tc>
        <w:tc>
          <w:tcPr>
            <w:tcW w:w="1039" w:type="dxa"/>
            <w:vMerge w:val="restart"/>
            <w:tcBorders>
              <w:left w:val="single" w:color="000000" w:sz="4" w:space="0"/>
              <w:bottom w:val="single" w:color="000000" w:sz="4" w:space="0"/>
            </w:tcBorders>
          </w:tcPr>
          <w:p>
            <w:pPr>
              <w:pStyle w:val="19"/>
              <w:spacing w:before="4"/>
              <w:jc w:val="left"/>
              <w:rPr>
                <w:b/>
                <w:sz w:val="15"/>
              </w:rPr>
            </w:pPr>
          </w:p>
          <w:p>
            <w:pPr>
              <w:pStyle w:val="19"/>
              <w:spacing w:line="244" w:lineRule="auto"/>
              <w:ind w:left="208" w:right="184"/>
              <w:jc w:val="left"/>
              <w:rPr>
                <w:sz w:val="21"/>
              </w:rPr>
            </w:pPr>
            <w:r>
              <w:rPr>
                <w:sz w:val="21"/>
              </w:rPr>
              <w:t>评价工作等级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5" w:hRule="atLeast"/>
        </w:trPr>
        <w:tc>
          <w:tcPr>
            <w:tcW w:w="1598" w:type="dxa"/>
            <w:vMerge w:val="continue"/>
            <w:tcBorders>
              <w:top w:val="nil"/>
              <w:bottom w:val="single" w:color="000000" w:sz="4" w:space="0"/>
              <w:right w:val="single" w:color="000000" w:sz="4" w:space="0"/>
            </w:tcBorders>
          </w:tcPr>
          <w:p>
            <w:pPr>
              <w:rPr>
                <w:sz w:val="2"/>
                <w:szCs w:val="2"/>
              </w:rPr>
            </w:pPr>
          </w:p>
        </w:tc>
        <w:tc>
          <w:tcPr>
            <w:tcW w:w="738" w:type="dxa"/>
            <w:tcBorders>
              <w:top w:val="single" w:color="000000" w:sz="4" w:space="0"/>
              <w:left w:val="single" w:color="000000" w:sz="4" w:space="0"/>
              <w:bottom w:val="single" w:color="000000" w:sz="4" w:space="0"/>
              <w:right w:val="single" w:color="000000" w:sz="4" w:space="0"/>
            </w:tcBorders>
          </w:tcPr>
          <w:p>
            <w:pPr>
              <w:pStyle w:val="19"/>
              <w:spacing w:before="95"/>
              <w:ind w:left="19"/>
              <w:rPr>
                <w:sz w:val="21"/>
              </w:rPr>
            </w:pPr>
            <w:r>
              <w:rPr>
                <w:w w:val="99"/>
                <w:sz w:val="21"/>
              </w:rPr>
              <w:t>大</w:t>
            </w:r>
          </w:p>
        </w:tc>
        <w:tc>
          <w:tcPr>
            <w:tcW w:w="738" w:type="dxa"/>
            <w:tcBorders>
              <w:top w:val="single" w:color="000000" w:sz="4" w:space="0"/>
              <w:left w:val="single" w:color="000000" w:sz="4" w:space="0"/>
              <w:bottom w:val="single" w:color="000000" w:sz="4" w:space="0"/>
              <w:right w:val="single" w:color="000000" w:sz="4" w:space="0"/>
            </w:tcBorders>
          </w:tcPr>
          <w:p>
            <w:pPr>
              <w:pStyle w:val="19"/>
              <w:spacing w:before="95"/>
              <w:ind w:left="17"/>
              <w:rPr>
                <w:sz w:val="21"/>
              </w:rPr>
            </w:pPr>
            <w:r>
              <w:rPr>
                <w:w w:val="99"/>
                <w:sz w:val="21"/>
              </w:rPr>
              <w:t>中</w:t>
            </w:r>
          </w:p>
        </w:tc>
        <w:tc>
          <w:tcPr>
            <w:tcW w:w="740" w:type="dxa"/>
            <w:tcBorders>
              <w:top w:val="single" w:color="000000" w:sz="4" w:space="0"/>
              <w:left w:val="single" w:color="000000" w:sz="4" w:space="0"/>
              <w:bottom w:val="single" w:color="000000" w:sz="4" w:space="0"/>
              <w:right w:val="single" w:color="000000" w:sz="4" w:space="0"/>
            </w:tcBorders>
          </w:tcPr>
          <w:p>
            <w:pPr>
              <w:pStyle w:val="19"/>
              <w:spacing w:before="95"/>
              <w:ind w:left="17"/>
              <w:rPr>
                <w:sz w:val="21"/>
              </w:rPr>
            </w:pPr>
            <w:r>
              <w:rPr>
                <w:w w:val="99"/>
                <w:sz w:val="21"/>
              </w:rPr>
              <w:t>小</w:t>
            </w:r>
          </w:p>
        </w:tc>
        <w:tc>
          <w:tcPr>
            <w:tcW w:w="738" w:type="dxa"/>
            <w:tcBorders>
              <w:top w:val="single" w:color="000000" w:sz="4" w:space="0"/>
              <w:left w:val="single" w:color="000000" w:sz="4" w:space="0"/>
              <w:bottom w:val="single" w:color="000000" w:sz="4" w:space="0"/>
              <w:right w:val="single" w:color="000000" w:sz="4" w:space="0"/>
            </w:tcBorders>
          </w:tcPr>
          <w:p>
            <w:pPr>
              <w:pStyle w:val="19"/>
              <w:spacing w:before="95"/>
              <w:ind w:left="18"/>
              <w:rPr>
                <w:sz w:val="21"/>
              </w:rPr>
            </w:pPr>
            <w:r>
              <w:rPr>
                <w:w w:val="99"/>
                <w:sz w:val="21"/>
              </w:rPr>
              <w:t>大</w:t>
            </w:r>
          </w:p>
        </w:tc>
        <w:tc>
          <w:tcPr>
            <w:tcW w:w="738" w:type="dxa"/>
            <w:tcBorders>
              <w:top w:val="single" w:color="000000" w:sz="4" w:space="0"/>
              <w:left w:val="single" w:color="000000" w:sz="4" w:space="0"/>
              <w:bottom w:val="single" w:color="000000" w:sz="4" w:space="0"/>
              <w:right w:val="single" w:color="000000" w:sz="4" w:space="0"/>
            </w:tcBorders>
          </w:tcPr>
          <w:p>
            <w:pPr>
              <w:pStyle w:val="19"/>
              <w:spacing w:before="95"/>
              <w:ind w:left="15"/>
              <w:rPr>
                <w:sz w:val="21"/>
              </w:rPr>
            </w:pPr>
            <w:r>
              <w:rPr>
                <w:w w:val="99"/>
                <w:sz w:val="21"/>
              </w:rPr>
              <w:t>中</w:t>
            </w:r>
          </w:p>
        </w:tc>
        <w:tc>
          <w:tcPr>
            <w:tcW w:w="740" w:type="dxa"/>
            <w:tcBorders>
              <w:top w:val="single" w:color="000000" w:sz="4" w:space="0"/>
              <w:left w:val="single" w:color="000000" w:sz="4" w:space="0"/>
              <w:bottom w:val="single" w:color="000000" w:sz="4" w:space="0"/>
              <w:right w:val="single" w:color="000000" w:sz="4" w:space="0"/>
            </w:tcBorders>
          </w:tcPr>
          <w:p>
            <w:pPr>
              <w:pStyle w:val="19"/>
              <w:spacing w:before="95"/>
              <w:ind w:left="16"/>
              <w:rPr>
                <w:sz w:val="21"/>
              </w:rPr>
            </w:pPr>
            <w:r>
              <w:rPr>
                <w:w w:val="99"/>
                <w:sz w:val="21"/>
              </w:rPr>
              <w:t>小</w:t>
            </w:r>
          </w:p>
        </w:tc>
        <w:tc>
          <w:tcPr>
            <w:tcW w:w="739" w:type="dxa"/>
            <w:tcBorders>
              <w:top w:val="single" w:color="000000" w:sz="4" w:space="0"/>
              <w:left w:val="single" w:color="000000" w:sz="4" w:space="0"/>
              <w:bottom w:val="single" w:color="000000" w:sz="4" w:space="0"/>
              <w:right w:val="single" w:color="000000" w:sz="4" w:space="0"/>
            </w:tcBorders>
          </w:tcPr>
          <w:p>
            <w:pPr>
              <w:pStyle w:val="19"/>
              <w:spacing w:before="95"/>
              <w:ind w:left="15"/>
              <w:rPr>
                <w:sz w:val="21"/>
              </w:rPr>
            </w:pPr>
            <w:r>
              <w:rPr>
                <w:w w:val="99"/>
                <w:sz w:val="21"/>
              </w:rPr>
              <w:t>大</w:t>
            </w:r>
          </w:p>
        </w:tc>
        <w:tc>
          <w:tcPr>
            <w:tcW w:w="739" w:type="dxa"/>
            <w:tcBorders>
              <w:top w:val="single" w:color="000000" w:sz="4" w:space="0"/>
              <w:left w:val="single" w:color="000000" w:sz="4" w:space="0"/>
              <w:bottom w:val="single" w:color="000000" w:sz="4" w:space="0"/>
              <w:right w:val="single" w:color="000000" w:sz="4" w:space="0"/>
            </w:tcBorders>
          </w:tcPr>
          <w:p>
            <w:pPr>
              <w:pStyle w:val="19"/>
              <w:spacing w:before="95"/>
              <w:ind w:left="16"/>
              <w:rPr>
                <w:sz w:val="21"/>
              </w:rPr>
            </w:pPr>
            <w:r>
              <w:rPr>
                <w:w w:val="99"/>
                <w:sz w:val="21"/>
              </w:rPr>
              <w:t>中</w:t>
            </w:r>
          </w:p>
        </w:tc>
        <w:tc>
          <w:tcPr>
            <w:tcW w:w="739" w:type="dxa"/>
            <w:tcBorders>
              <w:top w:val="single" w:color="000000" w:sz="4" w:space="0"/>
              <w:left w:val="single" w:color="000000" w:sz="4" w:space="0"/>
              <w:bottom w:val="single" w:color="000000" w:sz="4" w:space="0"/>
              <w:right w:val="single" w:color="000000" w:sz="4" w:space="0"/>
            </w:tcBorders>
          </w:tcPr>
          <w:p>
            <w:pPr>
              <w:pStyle w:val="19"/>
              <w:spacing w:before="95"/>
              <w:ind w:left="16"/>
              <w:rPr>
                <w:sz w:val="21"/>
              </w:rPr>
            </w:pPr>
            <w:r>
              <w:rPr>
                <w:w w:val="99"/>
                <w:sz w:val="21"/>
              </w:rPr>
              <w:t>小</w:t>
            </w:r>
          </w:p>
        </w:tc>
        <w:tc>
          <w:tcPr>
            <w:tcW w:w="103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598" w:type="dxa"/>
            <w:tcBorders>
              <w:top w:val="single" w:color="000000" w:sz="4" w:space="0"/>
              <w:bottom w:val="single" w:color="000000" w:sz="4" w:space="0"/>
              <w:right w:val="single" w:color="000000" w:sz="4" w:space="0"/>
            </w:tcBorders>
          </w:tcPr>
          <w:p>
            <w:pPr>
              <w:pStyle w:val="19"/>
              <w:spacing w:before="91"/>
              <w:ind w:left="461" w:right="451"/>
              <w:rPr>
                <w:sz w:val="21"/>
              </w:rPr>
            </w:pPr>
            <w:r>
              <w:rPr>
                <w:sz w:val="21"/>
              </w:rPr>
              <w:t>敏感</w:t>
            </w:r>
          </w:p>
        </w:tc>
        <w:tc>
          <w:tcPr>
            <w:tcW w:w="738" w:type="dxa"/>
            <w:tcBorders>
              <w:top w:val="single" w:color="000000" w:sz="4" w:space="0"/>
              <w:left w:val="single" w:color="000000" w:sz="4" w:space="0"/>
              <w:bottom w:val="single" w:color="000000" w:sz="4" w:space="0"/>
              <w:right w:val="single" w:color="000000" w:sz="4" w:space="0"/>
            </w:tcBorders>
          </w:tcPr>
          <w:p>
            <w:pPr>
              <w:pStyle w:val="19"/>
              <w:spacing w:before="91"/>
              <w:ind w:left="141" w:right="124"/>
              <w:rPr>
                <w:sz w:val="21"/>
              </w:rPr>
            </w:pPr>
            <w:r>
              <w:rPr>
                <w:sz w:val="21"/>
              </w:rPr>
              <w:t>一级</w:t>
            </w:r>
          </w:p>
        </w:tc>
        <w:tc>
          <w:tcPr>
            <w:tcW w:w="738" w:type="dxa"/>
            <w:tcBorders>
              <w:top w:val="single" w:color="000000" w:sz="4" w:space="0"/>
              <w:left w:val="single" w:color="000000" w:sz="4" w:space="0"/>
              <w:bottom w:val="single" w:color="000000" w:sz="4" w:space="0"/>
              <w:right w:val="single" w:color="000000" w:sz="4" w:space="0"/>
            </w:tcBorders>
          </w:tcPr>
          <w:p>
            <w:pPr>
              <w:pStyle w:val="19"/>
              <w:spacing w:before="91"/>
              <w:ind w:left="139" w:right="125"/>
              <w:rPr>
                <w:sz w:val="21"/>
              </w:rPr>
            </w:pPr>
            <w:r>
              <w:rPr>
                <w:sz w:val="21"/>
              </w:rPr>
              <w:t>一级</w:t>
            </w:r>
          </w:p>
        </w:tc>
        <w:tc>
          <w:tcPr>
            <w:tcW w:w="740" w:type="dxa"/>
            <w:tcBorders>
              <w:top w:val="single" w:color="000000" w:sz="4" w:space="0"/>
              <w:left w:val="single" w:color="000000" w:sz="4" w:space="0"/>
              <w:bottom w:val="single" w:color="000000" w:sz="4" w:space="0"/>
              <w:right w:val="single" w:color="000000" w:sz="4" w:space="0"/>
            </w:tcBorders>
          </w:tcPr>
          <w:p>
            <w:pPr>
              <w:pStyle w:val="19"/>
              <w:spacing w:before="91"/>
              <w:ind w:left="141" w:right="126"/>
              <w:rPr>
                <w:sz w:val="21"/>
              </w:rPr>
            </w:pPr>
            <w:r>
              <w:rPr>
                <w:sz w:val="21"/>
              </w:rPr>
              <w:t>一级</w:t>
            </w:r>
          </w:p>
        </w:tc>
        <w:tc>
          <w:tcPr>
            <w:tcW w:w="738" w:type="dxa"/>
            <w:tcBorders>
              <w:top w:val="single" w:color="000000" w:sz="4" w:space="0"/>
              <w:left w:val="single" w:color="000000" w:sz="4" w:space="0"/>
              <w:bottom w:val="single" w:color="000000" w:sz="4" w:space="0"/>
              <w:right w:val="single" w:color="000000" w:sz="4" w:space="0"/>
            </w:tcBorders>
          </w:tcPr>
          <w:p>
            <w:pPr>
              <w:pStyle w:val="19"/>
              <w:spacing w:before="91"/>
              <w:ind w:left="140" w:right="125"/>
              <w:rPr>
                <w:sz w:val="21"/>
              </w:rPr>
            </w:pPr>
            <w:r>
              <w:rPr>
                <w:sz w:val="21"/>
              </w:rPr>
              <w:t>二级</w:t>
            </w:r>
          </w:p>
        </w:tc>
        <w:tc>
          <w:tcPr>
            <w:tcW w:w="738" w:type="dxa"/>
            <w:tcBorders>
              <w:top w:val="single" w:color="000000" w:sz="4" w:space="0"/>
              <w:left w:val="single" w:color="000000" w:sz="4" w:space="0"/>
              <w:bottom w:val="single" w:color="000000" w:sz="4" w:space="0"/>
              <w:right w:val="single" w:color="000000" w:sz="4" w:space="0"/>
            </w:tcBorders>
          </w:tcPr>
          <w:p>
            <w:pPr>
              <w:pStyle w:val="19"/>
              <w:spacing w:before="91"/>
              <w:ind w:left="141" w:right="123"/>
              <w:rPr>
                <w:sz w:val="21"/>
              </w:rPr>
            </w:pPr>
            <w:r>
              <w:rPr>
                <w:sz w:val="21"/>
              </w:rPr>
              <w:t>二级</w:t>
            </w:r>
          </w:p>
        </w:tc>
        <w:tc>
          <w:tcPr>
            <w:tcW w:w="740" w:type="dxa"/>
            <w:tcBorders>
              <w:top w:val="single" w:color="000000" w:sz="4" w:space="0"/>
              <w:left w:val="single" w:color="000000" w:sz="4" w:space="0"/>
              <w:bottom w:val="single" w:color="000000" w:sz="4" w:space="0"/>
              <w:right w:val="single" w:color="000000" w:sz="4" w:space="0"/>
            </w:tcBorders>
          </w:tcPr>
          <w:p>
            <w:pPr>
              <w:pStyle w:val="19"/>
              <w:spacing w:before="91"/>
              <w:ind w:left="142" w:right="124"/>
              <w:rPr>
                <w:sz w:val="21"/>
              </w:rPr>
            </w:pPr>
            <w:r>
              <w:rPr>
                <w:sz w:val="21"/>
              </w:rPr>
              <w:t>二级</w:t>
            </w:r>
          </w:p>
        </w:tc>
        <w:tc>
          <w:tcPr>
            <w:tcW w:w="739" w:type="dxa"/>
            <w:tcBorders>
              <w:top w:val="single" w:color="000000" w:sz="4" w:space="0"/>
              <w:left w:val="single" w:color="000000" w:sz="4" w:space="0"/>
              <w:bottom w:val="single" w:color="000000" w:sz="4" w:space="0"/>
              <w:right w:val="single" w:color="000000" w:sz="4" w:space="0"/>
            </w:tcBorders>
          </w:tcPr>
          <w:p>
            <w:pPr>
              <w:pStyle w:val="19"/>
              <w:spacing w:before="91"/>
              <w:ind w:left="141" w:right="124"/>
              <w:rPr>
                <w:sz w:val="21"/>
              </w:rPr>
            </w:pPr>
            <w:r>
              <w:rPr>
                <w:sz w:val="21"/>
              </w:rPr>
              <w:t>三级</w:t>
            </w:r>
          </w:p>
        </w:tc>
        <w:tc>
          <w:tcPr>
            <w:tcW w:w="739" w:type="dxa"/>
            <w:tcBorders>
              <w:top w:val="single" w:color="000000" w:sz="4" w:space="0"/>
              <w:left w:val="single" w:color="000000" w:sz="4" w:space="0"/>
              <w:bottom w:val="single" w:color="000000" w:sz="4" w:space="0"/>
              <w:right w:val="single" w:color="000000" w:sz="4" w:space="0"/>
            </w:tcBorders>
          </w:tcPr>
          <w:p>
            <w:pPr>
              <w:pStyle w:val="19"/>
              <w:spacing w:before="91"/>
              <w:ind w:left="139" w:right="126"/>
              <w:rPr>
                <w:sz w:val="21"/>
              </w:rPr>
            </w:pPr>
            <w:r>
              <w:rPr>
                <w:sz w:val="21"/>
              </w:rPr>
              <w:t>三级</w:t>
            </w:r>
          </w:p>
        </w:tc>
        <w:tc>
          <w:tcPr>
            <w:tcW w:w="739" w:type="dxa"/>
            <w:tcBorders>
              <w:top w:val="single" w:color="000000" w:sz="4" w:space="0"/>
              <w:left w:val="single" w:color="000000" w:sz="4" w:space="0"/>
              <w:bottom w:val="single" w:color="000000" w:sz="4" w:space="0"/>
              <w:right w:val="single" w:color="000000" w:sz="4" w:space="0"/>
            </w:tcBorders>
          </w:tcPr>
          <w:p>
            <w:pPr>
              <w:pStyle w:val="19"/>
              <w:spacing w:before="91"/>
              <w:ind w:left="139" w:right="126"/>
              <w:rPr>
                <w:sz w:val="21"/>
              </w:rPr>
            </w:pPr>
            <w:r>
              <w:rPr>
                <w:sz w:val="21"/>
              </w:rPr>
              <w:t>三级</w:t>
            </w:r>
          </w:p>
        </w:tc>
        <w:tc>
          <w:tcPr>
            <w:tcW w:w="1039" w:type="dxa"/>
            <w:vMerge w:val="restart"/>
            <w:tcBorders>
              <w:top w:val="single" w:color="000000" w:sz="4" w:space="0"/>
              <w:left w:val="single" w:color="000000" w:sz="4" w:space="0"/>
              <w:bottom w:val="single" w:color="000000" w:sz="4" w:space="0"/>
            </w:tcBorders>
          </w:tcPr>
          <w:p>
            <w:pPr>
              <w:pStyle w:val="19"/>
              <w:jc w:val="left"/>
              <w:rPr>
                <w:b/>
                <w:sz w:val="20"/>
              </w:rPr>
            </w:pPr>
          </w:p>
          <w:p>
            <w:pPr>
              <w:pStyle w:val="19"/>
              <w:spacing w:before="8"/>
              <w:jc w:val="left"/>
              <w:rPr>
                <w:b/>
                <w:sz w:val="25"/>
              </w:rPr>
            </w:pPr>
          </w:p>
          <w:p>
            <w:pPr>
              <w:pStyle w:val="19"/>
              <w:ind w:left="313"/>
              <w:jc w:val="left"/>
              <w:rPr>
                <w:sz w:val="21"/>
              </w:rPr>
            </w:pPr>
            <w:r>
              <w:rPr>
                <w:sz w:val="21"/>
              </w:rPr>
              <w:t>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598" w:type="dxa"/>
            <w:tcBorders>
              <w:top w:val="single" w:color="000000" w:sz="4" w:space="0"/>
              <w:bottom w:val="single" w:color="000000" w:sz="4" w:space="0"/>
              <w:right w:val="single" w:color="000000" w:sz="4" w:space="0"/>
            </w:tcBorders>
          </w:tcPr>
          <w:p>
            <w:pPr>
              <w:pStyle w:val="19"/>
              <w:spacing w:before="90"/>
              <w:ind w:left="461" w:right="451"/>
              <w:rPr>
                <w:sz w:val="21"/>
              </w:rPr>
            </w:pPr>
            <w:r>
              <w:rPr>
                <w:sz w:val="21"/>
              </w:rPr>
              <w:t>较敏感</w:t>
            </w:r>
          </w:p>
        </w:tc>
        <w:tc>
          <w:tcPr>
            <w:tcW w:w="738" w:type="dxa"/>
            <w:tcBorders>
              <w:top w:val="single" w:color="000000" w:sz="4" w:space="0"/>
              <w:left w:val="single" w:color="000000" w:sz="4" w:space="0"/>
              <w:bottom w:val="single" w:color="000000" w:sz="4" w:space="0"/>
              <w:right w:val="single" w:color="000000" w:sz="4" w:space="0"/>
            </w:tcBorders>
          </w:tcPr>
          <w:p>
            <w:pPr>
              <w:pStyle w:val="19"/>
              <w:spacing w:before="90"/>
              <w:ind w:left="141" w:right="124"/>
              <w:rPr>
                <w:sz w:val="21"/>
              </w:rPr>
            </w:pPr>
            <w:r>
              <w:rPr>
                <w:sz w:val="21"/>
              </w:rPr>
              <w:t>一级</w:t>
            </w:r>
          </w:p>
        </w:tc>
        <w:tc>
          <w:tcPr>
            <w:tcW w:w="738" w:type="dxa"/>
            <w:tcBorders>
              <w:top w:val="single" w:color="000000" w:sz="4" w:space="0"/>
              <w:left w:val="single" w:color="000000" w:sz="4" w:space="0"/>
              <w:bottom w:val="single" w:color="000000" w:sz="4" w:space="0"/>
              <w:right w:val="single" w:color="000000" w:sz="4" w:space="0"/>
            </w:tcBorders>
          </w:tcPr>
          <w:p>
            <w:pPr>
              <w:pStyle w:val="19"/>
              <w:spacing w:before="90"/>
              <w:ind w:left="139" w:right="125"/>
              <w:rPr>
                <w:sz w:val="21"/>
              </w:rPr>
            </w:pPr>
            <w:r>
              <w:rPr>
                <w:sz w:val="21"/>
              </w:rPr>
              <w:t>一级</w:t>
            </w:r>
          </w:p>
        </w:tc>
        <w:tc>
          <w:tcPr>
            <w:tcW w:w="740" w:type="dxa"/>
            <w:tcBorders>
              <w:top w:val="single" w:color="000000" w:sz="4" w:space="0"/>
              <w:left w:val="single" w:color="000000" w:sz="4" w:space="0"/>
              <w:bottom w:val="single" w:color="000000" w:sz="4" w:space="0"/>
              <w:right w:val="single" w:color="000000" w:sz="4" w:space="0"/>
            </w:tcBorders>
          </w:tcPr>
          <w:p>
            <w:pPr>
              <w:pStyle w:val="19"/>
              <w:spacing w:before="90"/>
              <w:ind w:left="141" w:right="126"/>
              <w:rPr>
                <w:sz w:val="21"/>
              </w:rPr>
            </w:pPr>
            <w:r>
              <w:rPr>
                <w:sz w:val="21"/>
              </w:rPr>
              <w:t>二级</w:t>
            </w:r>
          </w:p>
        </w:tc>
        <w:tc>
          <w:tcPr>
            <w:tcW w:w="738" w:type="dxa"/>
            <w:tcBorders>
              <w:top w:val="single" w:color="000000" w:sz="4" w:space="0"/>
              <w:left w:val="single" w:color="000000" w:sz="4" w:space="0"/>
              <w:bottom w:val="single" w:color="000000" w:sz="4" w:space="0"/>
              <w:right w:val="single" w:color="000000" w:sz="4" w:space="0"/>
            </w:tcBorders>
          </w:tcPr>
          <w:p>
            <w:pPr>
              <w:pStyle w:val="19"/>
              <w:spacing w:before="90"/>
              <w:ind w:left="140" w:right="125"/>
              <w:rPr>
                <w:sz w:val="21"/>
              </w:rPr>
            </w:pPr>
            <w:r>
              <w:rPr>
                <w:sz w:val="21"/>
              </w:rPr>
              <w:t>二级</w:t>
            </w:r>
          </w:p>
        </w:tc>
        <w:tc>
          <w:tcPr>
            <w:tcW w:w="738" w:type="dxa"/>
            <w:tcBorders>
              <w:top w:val="single" w:color="000000" w:sz="4" w:space="0"/>
              <w:left w:val="single" w:color="000000" w:sz="4" w:space="0"/>
              <w:bottom w:val="single" w:color="000000" w:sz="4" w:space="0"/>
              <w:right w:val="single" w:color="000000" w:sz="4" w:space="0"/>
            </w:tcBorders>
          </w:tcPr>
          <w:p>
            <w:pPr>
              <w:pStyle w:val="19"/>
              <w:spacing w:before="90"/>
              <w:ind w:left="141" w:right="123"/>
              <w:rPr>
                <w:sz w:val="21"/>
              </w:rPr>
            </w:pPr>
            <w:r>
              <w:rPr>
                <w:sz w:val="21"/>
              </w:rPr>
              <w:t>二级</w:t>
            </w:r>
          </w:p>
        </w:tc>
        <w:tc>
          <w:tcPr>
            <w:tcW w:w="740" w:type="dxa"/>
            <w:tcBorders>
              <w:top w:val="single" w:color="000000" w:sz="4" w:space="0"/>
              <w:left w:val="single" w:color="000000" w:sz="4" w:space="0"/>
              <w:bottom w:val="single" w:color="000000" w:sz="4" w:space="0"/>
              <w:right w:val="single" w:color="000000" w:sz="4" w:space="0"/>
            </w:tcBorders>
          </w:tcPr>
          <w:p>
            <w:pPr>
              <w:pStyle w:val="19"/>
              <w:spacing w:before="90"/>
              <w:ind w:left="142" w:right="124"/>
              <w:rPr>
                <w:sz w:val="21"/>
              </w:rPr>
            </w:pPr>
            <w:r>
              <w:rPr>
                <w:sz w:val="21"/>
              </w:rPr>
              <w:t>三级</w:t>
            </w:r>
          </w:p>
        </w:tc>
        <w:tc>
          <w:tcPr>
            <w:tcW w:w="739" w:type="dxa"/>
            <w:tcBorders>
              <w:top w:val="single" w:color="000000" w:sz="4" w:space="0"/>
              <w:left w:val="single" w:color="000000" w:sz="4" w:space="0"/>
              <w:bottom w:val="single" w:color="000000" w:sz="4" w:space="0"/>
              <w:right w:val="single" w:color="000000" w:sz="4" w:space="0"/>
            </w:tcBorders>
          </w:tcPr>
          <w:p>
            <w:pPr>
              <w:pStyle w:val="19"/>
              <w:spacing w:before="90"/>
              <w:ind w:left="141" w:right="124"/>
              <w:rPr>
                <w:sz w:val="21"/>
              </w:rPr>
            </w:pPr>
            <w:r>
              <w:rPr>
                <w:sz w:val="21"/>
              </w:rPr>
              <w:t>三级</w:t>
            </w:r>
          </w:p>
        </w:tc>
        <w:tc>
          <w:tcPr>
            <w:tcW w:w="739" w:type="dxa"/>
            <w:tcBorders>
              <w:top w:val="single" w:color="000000" w:sz="4" w:space="0"/>
              <w:left w:val="single" w:color="000000" w:sz="4" w:space="0"/>
              <w:bottom w:val="single" w:color="000000" w:sz="4" w:space="0"/>
              <w:right w:val="single" w:color="000000" w:sz="4" w:space="0"/>
            </w:tcBorders>
          </w:tcPr>
          <w:p>
            <w:pPr>
              <w:pStyle w:val="19"/>
              <w:spacing w:before="90"/>
              <w:ind w:left="139" w:right="126"/>
              <w:rPr>
                <w:sz w:val="21"/>
              </w:rPr>
            </w:pPr>
            <w:r>
              <w:rPr>
                <w:sz w:val="21"/>
              </w:rPr>
              <w:t>三级</w:t>
            </w:r>
          </w:p>
        </w:tc>
        <w:tc>
          <w:tcPr>
            <w:tcW w:w="739" w:type="dxa"/>
            <w:tcBorders>
              <w:top w:val="single" w:color="000000" w:sz="4" w:space="0"/>
              <w:left w:val="single" w:color="000000" w:sz="4" w:space="0"/>
              <w:bottom w:val="single" w:color="000000" w:sz="4" w:space="0"/>
              <w:right w:val="single" w:color="000000" w:sz="4" w:space="0"/>
            </w:tcBorders>
          </w:tcPr>
          <w:p>
            <w:pPr>
              <w:pStyle w:val="19"/>
              <w:spacing w:before="90"/>
              <w:ind w:left="16"/>
              <w:rPr>
                <w:sz w:val="21"/>
              </w:rPr>
            </w:pPr>
            <w:r>
              <w:rPr>
                <w:w w:val="99"/>
                <w:sz w:val="21"/>
              </w:rPr>
              <w:t>━</w:t>
            </w:r>
          </w:p>
        </w:tc>
        <w:tc>
          <w:tcPr>
            <w:tcW w:w="103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2" w:hRule="atLeast"/>
        </w:trPr>
        <w:tc>
          <w:tcPr>
            <w:tcW w:w="1598" w:type="dxa"/>
            <w:tcBorders>
              <w:top w:val="single" w:color="000000" w:sz="4" w:space="0"/>
              <w:bottom w:val="single" w:color="000000" w:sz="4" w:space="0"/>
              <w:right w:val="single" w:color="000000" w:sz="4" w:space="0"/>
            </w:tcBorders>
          </w:tcPr>
          <w:p>
            <w:pPr>
              <w:pStyle w:val="19"/>
              <w:spacing w:before="120"/>
              <w:ind w:left="461" w:right="451"/>
              <w:rPr>
                <w:sz w:val="21"/>
              </w:rPr>
            </w:pPr>
            <w:r>
              <w:rPr>
                <w:sz w:val="21"/>
              </w:rPr>
              <w:t>不敏感</w:t>
            </w:r>
          </w:p>
        </w:tc>
        <w:tc>
          <w:tcPr>
            <w:tcW w:w="738" w:type="dxa"/>
            <w:tcBorders>
              <w:top w:val="single" w:color="000000" w:sz="4" w:space="0"/>
              <w:left w:val="single" w:color="000000" w:sz="4" w:space="0"/>
              <w:bottom w:val="single" w:color="000000" w:sz="4" w:space="0"/>
              <w:right w:val="single" w:color="000000" w:sz="4" w:space="0"/>
            </w:tcBorders>
          </w:tcPr>
          <w:p>
            <w:pPr>
              <w:pStyle w:val="19"/>
              <w:spacing w:before="120"/>
              <w:ind w:left="141" w:right="124"/>
              <w:rPr>
                <w:sz w:val="21"/>
              </w:rPr>
            </w:pPr>
            <w:r>
              <w:rPr>
                <w:sz w:val="21"/>
              </w:rPr>
              <w:t>一级</w:t>
            </w:r>
          </w:p>
        </w:tc>
        <w:tc>
          <w:tcPr>
            <w:tcW w:w="738" w:type="dxa"/>
            <w:tcBorders>
              <w:top w:val="single" w:color="000000" w:sz="4" w:space="0"/>
              <w:left w:val="single" w:color="000000" w:sz="4" w:space="0"/>
              <w:bottom w:val="single" w:color="000000" w:sz="4" w:space="0"/>
              <w:right w:val="single" w:color="000000" w:sz="4" w:space="0"/>
            </w:tcBorders>
          </w:tcPr>
          <w:p>
            <w:pPr>
              <w:pStyle w:val="19"/>
              <w:spacing w:before="120"/>
              <w:ind w:left="139" w:right="125"/>
              <w:rPr>
                <w:sz w:val="21"/>
              </w:rPr>
            </w:pPr>
            <w:r>
              <w:rPr>
                <w:sz w:val="21"/>
              </w:rPr>
              <w:t>二级</w:t>
            </w:r>
          </w:p>
        </w:tc>
        <w:tc>
          <w:tcPr>
            <w:tcW w:w="740" w:type="dxa"/>
            <w:tcBorders>
              <w:top w:val="single" w:color="000000" w:sz="4" w:space="0"/>
              <w:left w:val="single" w:color="000000" w:sz="4" w:space="0"/>
              <w:bottom w:val="single" w:color="000000" w:sz="4" w:space="0"/>
              <w:right w:val="single" w:color="000000" w:sz="4" w:space="0"/>
            </w:tcBorders>
          </w:tcPr>
          <w:p>
            <w:pPr>
              <w:pStyle w:val="19"/>
              <w:spacing w:before="120"/>
              <w:ind w:left="141" w:right="126"/>
              <w:rPr>
                <w:sz w:val="21"/>
              </w:rPr>
            </w:pPr>
            <w:r>
              <w:rPr>
                <w:sz w:val="21"/>
              </w:rPr>
              <w:t>二级</w:t>
            </w:r>
          </w:p>
        </w:tc>
        <w:tc>
          <w:tcPr>
            <w:tcW w:w="738" w:type="dxa"/>
            <w:tcBorders>
              <w:top w:val="single" w:color="000000" w:sz="4" w:space="0"/>
              <w:left w:val="single" w:color="000000" w:sz="4" w:space="0"/>
              <w:bottom w:val="single" w:color="000000" w:sz="4" w:space="0"/>
              <w:right w:val="single" w:color="000000" w:sz="4" w:space="0"/>
            </w:tcBorders>
          </w:tcPr>
          <w:p>
            <w:pPr>
              <w:pStyle w:val="19"/>
              <w:spacing w:before="120"/>
              <w:ind w:left="140" w:right="125"/>
              <w:rPr>
                <w:sz w:val="21"/>
              </w:rPr>
            </w:pPr>
            <w:r>
              <w:rPr>
                <w:sz w:val="21"/>
              </w:rPr>
              <w:t>二级</w:t>
            </w:r>
          </w:p>
        </w:tc>
        <w:tc>
          <w:tcPr>
            <w:tcW w:w="738" w:type="dxa"/>
            <w:tcBorders>
              <w:top w:val="single" w:color="000000" w:sz="4" w:space="0"/>
              <w:left w:val="single" w:color="000000" w:sz="4" w:space="0"/>
              <w:bottom w:val="single" w:color="000000" w:sz="4" w:space="0"/>
              <w:right w:val="single" w:color="000000" w:sz="4" w:space="0"/>
            </w:tcBorders>
          </w:tcPr>
          <w:p>
            <w:pPr>
              <w:pStyle w:val="19"/>
              <w:spacing w:before="120"/>
              <w:ind w:left="141" w:right="123"/>
              <w:rPr>
                <w:sz w:val="21"/>
              </w:rPr>
            </w:pPr>
            <w:r>
              <w:rPr>
                <w:sz w:val="21"/>
              </w:rPr>
              <w:t>三级</w:t>
            </w:r>
          </w:p>
        </w:tc>
        <w:tc>
          <w:tcPr>
            <w:tcW w:w="740" w:type="dxa"/>
            <w:tcBorders>
              <w:top w:val="single" w:color="000000" w:sz="4" w:space="0"/>
              <w:left w:val="single" w:color="000000" w:sz="4" w:space="0"/>
              <w:bottom w:val="single" w:color="000000" w:sz="4" w:space="0"/>
              <w:right w:val="single" w:color="000000" w:sz="4" w:space="0"/>
            </w:tcBorders>
          </w:tcPr>
          <w:p>
            <w:pPr>
              <w:pStyle w:val="19"/>
              <w:ind w:left="142" w:right="124"/>
              <w:rPr>
                <w:sz w:val="21"/>
              </w:rPr>
            </w:pPr>
            <w:r>
              <w:rPr>
                <w:sz w:val="21"/>
              </w:rPr>
              <w:t>三级</w:t>
            </w:r>
          </w:p>
          <w:p>
            <w:pPr>
              <w:pStyle w:val="19"/>
              <w:spacing w:before="2" w:line="222" w:lineRule="exact"/>
              <w:ind w:left="17"/>
              <w:rPr>
                <w:rFonts w:ascii="Times New Roman" w:hAnsi="Times New Roman"/>
                <w:sz w:val="21"/>
              </w:rPr>
            </w:pPr>
            <w:r>
              <w:rPr>
                <w:rFonts w:ascii="Times New Roman" w:hAnsi="Times New Roman"/>
                <w:w w:val="99"/>
                <w:sz w:val="21"/>
              </w:rPr>
              <w:t>√</w:t>
            </w:r>
          </w:p>
        </w:tc>
        <w:tc>
          <w:tcPr>
            <w:tcW w:w="739" w:type="dxa"/>
            <w:tcBorders>
              <w:top w:val="single" w:color="000000" w:sz="4" w:space="0"/>
              <w:left w:val="single" w:color="000000" w:sz="4" w:space="0"/>
              <w:bottom w:val="single" w:color="000000" w:sz="4" w:space="0"/>
              <w:right w:val="single" w:color="000000" w:sz="4" w:space="0"/>
            </w:tcBorders>
          </w:tcPr>
          <w:p>
            <w:pPr>
              <w:pStyle w:val="19"/>
              <w:spacing w:before="120"/>
              <w:ind w:left="141" w:right="124"/>
              <w:rPr>
                <w:sz w:val="21"/>
              </w:rPr>
            </w:pPr>
            <w:r>
              <w:rPr>
                <w:sz w:val="21"/>
              </w:rPr>
              <w:t>三级</w:t>
            </w:r>
          </w:p>
        </w:tc>
        <w:tc>
          <w:tcPr>
            <w:tcW w:w="739" w:type="dxa"/>
            <w:tcBorders>
              <w:top w:val="single" w:color="000000" w:sz="4" w:space="0"/>
              <w:left w:val="single" w:color="000000" w:sz="4" w:space="0"/>
              <w:bottom w:val="single" w:color="000000" w:sz="4" w:space="0"/>
              <w:right w:val="single" w:color="000000" w:sz="4" w:space="0"/>
            </w:tcBorders>
          </w:tcPr>
          <w:p>
            <w:pPr>
              <w:pStyle w:val="19"/>
              <w:spacing w:before="120"/>
              <w:ind w:left="16"/>
              <w:rPr>
                <w:sz w:val="21"/>
              </w:rPr>
            </w:pPr>
            <w:r>
              <w:rPr>
                <w:w w:val="99"/>
                <w:sz w:val="21"/>
              </w:rPr>
              <w:t>━</w:t>
            </w:r>
          </w:p>
        </w:tc>
        <w:tc>
          <w:tcPr>
            <w:tcW w:w="739" w:type="dxa"/>
            <w:tcBorders>
              <w:top w:val="single" w:color="000000" w:sz="4" w:space="0"/>
              <w:left w:val="single" w:color="000000" w:sz="4" w:space="0"/>
              <w:bottom w:val="single" w:color="000000" w:sz="4" w:space="0"/>
              <w:right w:val="single" w:color="000000" w:sz="4" w:space="0"/>
            </w:tcBorders>
          </w:tcPr>
          <w:p>
            <w:pPr>
              <w:pStyle w:val="19"/>
              <w:spacing w:before="120"/>
              <w:ind w:left="16"/>
              <w:rPr>
                <w:sz w:val="21"/>
              </w:rPr>
            </w:pPr>
            <w:r>
              <w:rPr>
                <w:w w:val="99"/>
                <w:sz w:val="21"/>
              </w:rPr>
              <w:t>━</w:t>
            </w:r>
          </w:p>
        </w:tc>
        <w:tc>
          <w:tcPr>
            <w:tcW w:w="103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9286" w:type="dxa"/>
            <w:gridSpan w:val="11"/>
            <w:tcBorders>
              <w:top w:val="single" w:color="000000" w:sz="4" w:space="0"/>
            </w:tcBorders>
          </w:tcPr>
          <w:p>
            <w:pPr>
              <w:pStyle w:val="19"/>
              <w:spacing w:before="92"/>
              <w:ind w:left="108"/>
              <w:jc w:val="left"/>
              <w:rPr>
                <w:sz w:val="21"/>
              </w:rPr>
            </w:pPr>
            <w:r>
              <w:rPr>
                <w:sz w:val="21"/>
              </w:rPr>
              <w:t>注：</w:t>
            </w:r>
            <w:r>
              <w:rPr>
                <w:rFonts w:ascii="Times New Roman" w:hAnsi="Times New Roman" w:eastAsia="Times New Roman"/>
                <w:sz w:val="21"/>
              </w:rPr>
              <w:t>“</w:t>
            </w:r>
            <w:r>
              <w:rPr>
                <w:sz w:val="21"/>
              </w:rPr>
              <w:t>━</w:t>
            </w:r>
            <w:r>
              <w:rPr>
                <w:rFonts w:ascii="Times New Roman" w:hAnsi="Times New Roman" w:eastAsia="Times New Roman"/>
                <w:sz w:val="21"/>
              </w:rPr>
              <w:t>”</w:t>
            </w:r>
            <w:r>
              <w:rPr>
                <w:sz w:val="21"/>
              </w:rPr>
              <w:t>表示可不开展土壤环境影响评价工作</w:t>
            </w:r>
          </w:p>
        </w:tc>
      </w:tr>
    </w:tbl>
    <w:p>
      <w:pPr>
        <w:pStyle w:val="6"/>
        <w:numPr>
          <w:ilvl w:val="2"/>
          <w:numId w:val="75"/>
        </w:numPr>
        <w:tabs>
          <w:tab w:val="left" w:pos="2117"/>
        </w:tabs>
        <w:spacing w:before="4" w:after="0" w:line="240" w:lineRule="auto"/>
        <w:ind w:left="2116" w:right="0" w:hanging="699"/>
        <w:jc w:val="left"/>
      </w:pPr>
      <w:bookmarkStart w:id="496" w:name="9.2.2 评价范围及敏感目标分布"/>
      <w:bookmarkEnd w:id="496"/>
      <w:bookmarkStart w:id="497" w:name="9.2.2 评价范围及敏感目标分布"/>
      <w:bookmarkEnd w:id="497"/>
      <w:r>
        <w:t>评价范围及敏感目标分布</w:t>
      </w:r>
    </w:p>
    <w:p>
      <w:pPr>
        <w:pStyle w:val="9"/>
        <w:spacing w:before="185"/>
        <w:ind w:left="1898"/>
        <w:rPr>
          <w:rFonts w:ascii="Times New Roman" w:eastAsia="Times New Roman"/>
        </w:rPr>
      </w:pPr>
      <w:r>
        <w:t>井田开采区以井田范围外扩</w:t>
      </w:r>
      <w:r>
        <w:rPr>
          <w:rFonts w:ascii="Times New Roman" w:eastAsia="Times New Roman"/>
        </w:rPr>
        <w:t xml:space="preserve">1km </w:t>
      </w:r>
      <w:r>
        <w:t>为评价范围；工业场地评价范围以场地外扩</w:t>
      </w:r>
      <w:r>
        <w:rPr>
          <w:rFonts w:ascii="Times New Roman" w:eastAsia="Times New Roman"/>
        </w:rPr>
        <w:t>0.05km</w:t>
      </w:r>
    </w:p>
    <w:p>
      <w:pPr>
        <w:pStyle w:val="9"/>
        <w:spacing w:before="158"/>
        <w:ind w:left="1418"/>
      </w:pPr>
      <w:r>
        <w:t>为评价范围。工业场地评价范围内有耕地分布。</w:t>
      </w:r>
    </w:p>
    <w:p>
      <w:pPr>
        <w:pStyle w:val="5"/>
        <w:numPr>
          <w:ilvl w:val="1"/>
          <w:numId w:val="75"/>
        </w:numPr>
        <w:tabs>
          <w:tab w:val="left" w:pos="1944"/>
        </w:tabs>
        <w:spacing w:before="161" w:after="0" w:line="240" w:lineRule="auto"/>
        <w:ind w:left="1944" w:right="0" w:hanging="526"/>
        <w:jc w:val="left"/>
      </w:pPr>
      <w:bookmarkStart w:id="498" w:name="_bookmark52"/>
      <w:bookmarkEnd w:id="498"/>
      <w:bookmarkStart w:id="499" w:name="9.3 土壤环境质量现状监测与评价"/>
      <w:bookmarkEnd w:id="499"/>
      <w:bookmarkStart w:id="500" w:name="_bookmark52"/>
      <w:bookmarkEnd w:id="500"/>
      <w:r>
        <w:t>土壤环境质量现状监测与评价</w:t>
      </w:r>
    </w:p>
    <w:p>
      <w:pPr>
        <w:pStyle w:val="6"/>
        <w:numPr>
          <w:ilvl w:val="2"/>
          <w:numId w:val="75"/>
        </w:numPr>
        <w:tabs>
          <w:tab w:val="left" w:pos="2048"/>
        </w:tabs>
        <w:spacing w:before="200" w:after="0" w:line="240" w:lineRule="auto"/>
        <w:ind w:left="2047" w:right="0" w:hanging="630"/>
        <w:jc w:val="left"/>
      </w:pPr>
      <w:bookmarkStart w:id="501" w:name="9.3.1井田开采区土壤现状监测与评价 "/>
      <w:bookmarkEnd w:id="501"/>
      <w:bookmarkStart w:id="502" w:name="9.3.1井田开采区土壤现状监测与评价 "/>
      <w:bookmarkEnd w:id="502"/>
      <w:r>
        <w:t>井田开采区土壤现状监测与评价</w:t>
      </w:r>
    </w:p>
    <w:p>
      <w:pPr>
        <w:pStyle w:val="9"/>
        <w:spacing w:before="185"/>
        <w:ind w:left="1898"/>
      </w:pPr>
      <w:r>
        <w:rPr>
          <w:rFonts w:ascii="Times New Roman" w:eastAsia="Times New Roman"/>
        </w:rPr>
        <w:t>1</w:t>
      </w:r>
      <w:r>
        <w:t>、监测数据来源</w:t>
      </w:r>
    </w:p>
    <w:p>
      <w:pPr>
        <w:pStyle w:val="9"/>
        <w:spacing w:before="158"/>
        <w:ind w:left="1898"/>
      </w:pPr>
      <w:r>
        <w:t>本次评价土壤质量现状监测委托黑龙江康和检测有限公司进行检测。</w:t>
      </w:r>
    </w:p>
    <w:p>
      <w:pPr>
        <w:pStyle w:val="9"/>
        <w:spacing w:before="160"/>
        <w:ind w:left="1898"/>
      </w:pPr>
      <w:r>
        <w:rPr>
          <w:rFonts w:ascii="Times New Roman" w:eastAsia="Times New Roman"/>
        </w:rPr>
        <w:t>2</w:t>
      </w:r>
      <w:r>
        <w:t>、监测时间与频率</w:t>
      </w:r>
    </w:p>
    <w:p>
      <w:pPr>
        <w:pStyle w:val="9"/>
        <w:spacing w:before="159"/>
        <w:ind w:left="1898"/>
      </w:pPr>
      <w:r>
        <w:rPr>
          <w:rFonts w:ascii="Times New Roman" w:eastAsia="Times New Roman"/>
        </w:rPr>
        <w:t xml:space="preserve">2020 </w:t>
      </w:r>
      <w:r>
        <w:t xml:space="preserve">年 </w:t>
      </w:r>
      <w:r>
        <w:rPr>
          <w:rFonts w:ascii="Times New Roman" w:eastAsia="Times New Roman"/>
        </w:rPr>
        <w:t xml:space="preserve">4 </w:t>
      </w:r>
      <w:r>
        <w:t xml:space="preserve">月 </w:t>
      </w:r>
      <w:r>
        <w:rPr>
          <w:rFonts w:ascii="Times New Roman" w:eastAsia="Times New Roman"/>
        </w:rPr>
        <w:t xml:space="preserve">14 </w:t>
      </w:r>
      <w:r>
        <w:t>日进行一次性调查，</w:t>
      </w:r>
      <w:r>
        <w:rPr>
          <w:rFonts w:ascii="Times New Roman" w:eastAsia="Times New Roman"/>
        </w:rPr>
        <w:t xml:space="preserve">1 </w:t>
      </w:r>
      <w:r>
        <w:t>次</w:t>
      </w:r>
      <w:r>
        <w:rPr>
          <w:rFonts w:ascii="Times New Roman" w:eastAsia="Times New Roman"/>
        </w:rPr>
        <w:t>/</w:t>
      </w:r>
      <w:r>
        <w:t>天，</w:t>
      </w:r>
      <w:r>
        <w:rPr>
          <w:rFonts w:ascii="Times New Roman" w:eastAsia="Times New Roman"/>
        </w:rPr>
        <w:t xml:space="preserve">1 </w:t>
      </w:r>
      <w:r>
        <w:t>天。</w:t>
      </w:r>
    </w:p>
    <w:p>
      <w:pPr>
        <w:pStyle w:val="9"/>
        <w:spacing w:before="160"/>
        <w:ind w:left="1898"/>
      </w:pPr>
      <w:r>
        <w:rPr>
          <w:rFonts w:ascii="Times New Roman" w:eastAsia="Times New Roman"/>
        </w:rPr>
        <w:t>3</w:t>
      </w:r>
      <w:r>
        <w:t>、监测点位</w:t>
      </w:r>
    </w:p>
    <w:p>
      <w:pPr>
        <w:pStyle w:val="9"/>
        <w:spacing w:before="158" w:line="364" w:lineRule="auto"/>
        <w:ind w:left="1418" w:right="1291" w:firstLine="480"/>
      </w:pPr>
      <w:r>
        <w:rPr>
          <w:spacing w:val="-4"/>
        </w:rPr>
        <w:t>井田开采区属于生态影响型，依据确定评价等级及井田面积</w:t>
      </w:r>
      <w:r>
        <w:rPr>
          <w:spacing w:val="-6"/>
        </w:rPr>
        <w:t>（</w:t>
      </w:r>
      <w:r>
        <w:rPr>
          <w:rFonts w:ascii="Times New Roman" w:eastAsia="Times New Roman"/>
          <w:spacing w:val="-6"/>
        </w:rPr>
        <w:t>7.14km</w:t>
      </w:r>
      <w:r>
        <w:rPr>
          <w:rFonts w:ascii="Times New Roman" w:eastAsia="Times New Roman"/>
          <w:spacing w:val="-6"/>
          <w:position w:val="8"/>
          <w:sz w:val="15"/>
        </w:rPr>
        <w:t>2</w:t>
      </w:r>
      <w:r>
        <w:rPr>
          <w:spacing w:val="-6"/>
        </w:rPr>
        <w:t>），</w:t>
      </w:r>
      <w:r>
        <w:rPr>
          <w:spacing w:val="-9"/>
        </w:rPr>
        <w:t>根据《环</w:t>
      </w:r>
      <w:r>
        <w:rPr>
          <w:spacing w:val="-13"/>
        </w:rPr>
        <w:t>境影响评价技术导则 土壤环境》</w:t>
      </w:r>
      <w:r>
        <w:rPr>
          <w:spacing w:val="-4"/>
        </w:rPr>
        <w:t>（</w:t>
      </w:r>
      <w:r>
        <w:rPr>
          <w:rFonts w:ascii="Times New Roman" w:eastAsia="Times New Roman"/>
          <w:spacing w:val="-4"/>
        </w:rPr>
        <w:t>HJ964-2018</w:t>
      </w:r>
      <w:r>
        <w:rPr>
          <w:spacing w:val="-4"/>
        </w:rPr>
        <w:t>）</w:t>
      </w:r>
      <w:r>
        <w:rPr>
          <w:spacing w:val="-6"/>
        </w:rPr>
        <w:t>要求，于占地范围内布设</w:t>
      </w:r>
      <w:r>
        <w:rPr>
          <w:rFonts w:ascii="Times New Roman" w:eastAsia="Times New Roman"/>
        </w:rPr>
        <w:t>1</w:t>
      </w:r>
      <w:r>
        <w:rPr>
          <w:spacing w:val="-3"/>
        </w:rPr>
        <w:t xml:space="preserve">个表层样点， </w:t>
      </w:r>
      <w:r>
        <w:t>于占地范围外布设</w:t>
      </w:r>
      <w:r>
        <w:rPr>
          <w:rFonts w:ascii="Times New Roman" w:eastAsia="Times New Roman"/>
        </w:rPr>
        <w:t>2</w:t>
      </w:r>
      <w:r>
        <w:t>个表层样点，共布设了</w:t>
      </w:r>
      <w:r>
        <w:rPr>
          <w:rFonts w:ascii="Times New Roman" w:eastAsia="Times New Roman"/>
        </w:rPr>
        <w:t>3</w:t>
      </w:r>
      <w:r>
        <w:t>个土壤监测表层样点。</w:t>
      </w:r>
    </w:p>
    <w:p>
      <w:pPr>
        <w:pStyle w:val="9"/>
        <w:spacing w:line="307" w:lineRule="exact"/>
        <w:ind w:left="1898"/>
      </w:pPr>
      <w:r>
        <w:rPr>
          <w:rFonts w:ascii="Times New Roman" w:eastAsia="Times New Roman"/>
        </w:rPr>
        <w:t>4</w:t>
      </w:r>
      <w:r>
        <w:t>、监测因子</w:t>
      </w:r>
    </w:p>
    <w:p>
      <w:pPr>
        <w:pStyle w:val="9"/>
        <w:spacing w:before="158" w:line="364" w:lineRule="auto"/>
        <w:ind w:left="1418" w:right="1291" w:firstLine="480"/>
        <w:rPr>
          <w:rFonts w:ascii="Times New Roman" w:eastAsia="Times New Roman"/>
        </w:rPr>
      </w:pPr>
      <w:r>
        <w:rPr>
          <w:spacing w:val="-1"/>
        </w:rPr>
        <w:t>占地范围内表层样点：</w:t>
      </w:r>
      <w:r>
        <w:rPr>
          <w:rFonts w:ascii="Times New Roman" w:eastAsia="Times New Roman"/>
          <w:spacing w:val="-7"/>
        </w:rPr>
        <w:t>pH</w:t>
      </w:r>
      <w:r>
        <w:rPr>
          <w:spacing w:val="-15"/>
        </w:rPr>
        <w:t>、含盐量、砷、镉、六价铬、铜、铅、汞、镍、四氯化碳、</w:t>
      </w:r>
      <w:r>
        <w:t>氯仿、氯甲烷、</w:t>
      </w:r>
      <w:r>
        <w:rPr>
          <w:rFonts w:ascii="Times New Roman" w:eastAsia="Times New Roman"/>
        </w:rPr>
        <w:t>1,1-</w:t>
      </w:r>
      <w:r>
        <w:t>二氯乙烷、</w:t>
      </w:r>
      <w:r>
        <w:rPr>
          <w:rFonts w:ascii="Times New Roman" w:eastAsia="Times New Roman"/>
        </w:rPr>
        <w:t>1,2-</w:t>
      </w:r>
      <w:r>
        <w:t>二氯乙烷、</w:t>
      </w:r>
      <w:r>
        <w:rPr>
          <w:rFonts w:ascii="Times New Roman" w:eastAsia="Times New Roman"/>
        </w:rPr>
        <w:t>1,1-</w:t>
      </w:r>
      <w:r>
        <w:t>二氯乙烯、顺</w:t>
      </w:r>
      <w:r>
        <w:rPr>
          <w:rFonts w:ascii="Times New Roman" w:eastAsia="Times New Roman"/>
        </w:rPr>
        <w:t>-1,2-</w:t>
      </w:r>
      <w:r>
        <w:t>二氯乙烯、反</w:t>
      </w:r>
      <w:r>
        <w:rPr>
          <w:rFonts w:ascii="Times New Roman" w:eastAsia="Times New Roman"/>
        </w:rPr>
        <w:t>-1,2-</w:t>
      </w:r>
    </w:p>
    <w:p>
      <w:pPr>
        <w:spacing w:after="0" w:line="364" w:lineRule="auto"/>
        <w:rPr>
          <w:rFonts w:ascii="Times New Roman" w:eastAsia="Times New Roman"/>
        </w:rPr>
        <w:sectPr>
          <w:pgSz w:w="11910" w:h="16840"/>
          <w:pgMar w:top="1400" w:right="0" w:bottom="880" w:left="0" w:header="0" w:footer="681" w:gutter="0"/>
        </w:sectPr>
      </w:pPr>
    </w:p>
    <w:p>
      <w:pPr>
        <w:pStyle w:val="9"/>
        <w:spacing w:before="61" w:line="364" w:lineRule="auto"/>
        <w:ind w:left="1418" w:right="1297"/>
      </w:pPr>
      <w:r>
        <w:t>二氯乙烯、二氯甲烷、</w:t>
      </w:r>
      <w:r>
        <w:rPr>
          <w:rFonts w:ascii="Times New Roman" w:eastAsia="Times New Roman"/>
        </w:rPr>
        <w:t>1,2-</w:t>
      </w:r>
      <w:r>
        <w:t>二氯丙烷、</w:t>
      </w:r>
      <w:r>
        <w:rPr>
          <w:rFonts w:ascii="Times New Roman" w:eastAsia="Times New Roman"/>
        </w:rPr>
        <w:t>1,1,1,2-</w:t>
      </w:r>
      <w:r>
        <w:t>四氯乙烷、</w:t>
      </w:r>
      <w:r>
        <w:rPr>
          <w:rFonts w:ascii="Times New Roman" w:eastAsia="Times New Roman"/>
        </w:rPr>
        <w:t>1,1,2,2-</w:t>
      </w:r>
      <w:r>
        <w:t>四氯乙烷、四氯乙烯、</w:t>
      </w:r>
      <w:r>
        <w:rPr>
          <w:rFonts w:ascii="Times New Roman" w:eastAsia="Times New Roman"/>
        </w:rPr>
        <w:t>1,1,1-</w:t>
      </w:r>
      <w:r>
        <w:t>三氯乙烷、</w:t>
      </w:r>
      <w:r>
        <w:rPr>
          <w:rFonts w:ascii="Times New Roman" w:eastAsia="Times New Roman"/>
        </w:rPr>
        <w:t>1,1,2-</w:t>
      </w:r>
      <w:r>
        <w:t>三氯乙烷、三氯乙烯、</w:t>
      </w:r>
      <w:r>
        <w:rPr>
          <w:rFonts w:ascii="Times New Roman" w:eastAsia="Times New Roman"/>
        </w:rPr>
        <w:t>1,2,3-</w:t>
      </w:r>
      <w:r>
        <w:t>三氯丙烷、氯乙烯、苯、氯苯、</w:t>
      </w:r>
      <w:r>
        <w:rPr>
          <w:rFonts w:ascii="Times New Roman" w:eastAsia="Times New Roman"/>
        </w:rPr>
        <w:t xml:space="preserve">1,2- </w:t>
      </w:r>
      <w:r>
        <w:t>二氯苯、</w:t>
      </w:r>
      <w:r>
        <w:rPr>
          <w:rFonts w:ascii="Times New Roman" w:eastAsia="Times New Roman"/>
        </w:rPr>
        <w:t>1,4-</w:t>
      </w:r>
      <w:r>
        <w:t>二氯苯、乙苯、苯乙烯、甲苯、间二甲苯</w:t>
      </w:r>
      <w:r>
        <w:rPr>
          <w:rFonts w:ascii="Times New Roman" w:eastAsia="Times New Roman"/>
        </w:rPr>
        <w:t>+</w:t>
      </w:r>
      <w:r>
        <w:t>对二甲苯、邻二甲苯、硝基苯、苯胺、</w:t>
      </w:r>
      <w:r>
        <w:rPr>
          <w:rFonts w:ascii="Times New Roman" w:eastAsia="Times New Roman"/>
        </w:rPr>
        <w:t>2-</w:t>
      </w:r>
      <w:r>
        <w:t>氯酚、苯并</w:t>
      </w:r>
      <w:r>
        <w:rPr>
          <w:rFonts w:ascii="Times New Roman" w:eastAsia="Times New Roman"/>
        </w:rPr>
        <w:t>[a]</w:t>
      </w:r>
      <w:r>
        <w:t>蒽、苯并</w:t>
      </w:r>
      <w:r>
        <w:rPr>
          <w:rFonts w:ascii="Times New Roman" w:eastAsia="Times New Roman"/>
        </w:rPr>
        <w:t>[a]</w:t>
      </w:r>
      <w:r>
        <w:t>芘、苯并</w:t>
      </w:r>
      <w:r>
        <w:rPr>
          <w:rFonts w:ascii="Times New Roman" w:eastAsia="Times New Roman"/>
        </w:rPr>
        <w:t>[b]</w:t>
      </w:r>
      <w:r>
        <w:t>荧蒽、苯并</w:t>
      </w:r>
      <w:r>
        <w:rPr>
          <w:rFonts w:ascii="Times New Roman" w:eastAsia="Times New Roman"/>
        </w:rPr>
        <w:t>[k]</w:t>
      </w:r>
      <w:r>
        <w:t>荧蒽、䓛、二苯并</w:t>
      </w:r>
      <w:r>
        <w:rPr>
          <w:rFonts w:ascii="Times New Roman" w:eastAsia="Times New Roman"/>
        </w:rPr>
        <w:t>[a,h]</w:t>
      </w:r>
      <w:r>
        <w:t>蒽、茚并</w:t>
      </w:r>
      <w:r>
        <w:rPr>
          <w:rFonts w:ascii="Times New Roman" w:eastAsia="Times New Roman"/>
        </w:rPr>
        <w:t>[1,2,3-cd]</w:t>
      </w:r>
      <w:r>
        <w:t>芘、萘、石油烃（</w:t>
      </w:r>
      <w:r>
        <w:rPr>
          <w:rFonts w:ascii="Times New Roman" w:eastAsia="Times New Roman"/>
        </w:rPr>
        <w:t>C10</w:t>
      </w:r>
      <w:r>
        <w:t>～</w:t>
      </w:r>
      <w:r>
        <w:rPr>
          <w:rFonts w:ascii="Times New Roman" w:eastAsia="Times New Roman"/>
        </w:rPr>
        <w:t>C40</w:t>
      </w:r>
      <w:r>
        <w:t>）、铬、锌；</w:t>
      </w:r>
    </w:p>
    <w:p>
      <w:pPr>
        <w:pStyle w:val="9"/>
        <w:spacing w:line="306" w:lineRule="exact"/>
        <w:ind w:left="1898"/>
      </w:pPr>
      <w:r>
        <w:t>占地范围外表层样点：</w:t>
      </w:r>
      <w:r>
        <w:rPr>
          <w:rFonts w:ascii="Times New Roman" w:eastAsia="Times New Roman"/>
        </w:rPr>
        <w:t>pH</w:t>
      </w:r>
      <w:r>
        <w:t>、含盐量、镉、汞、砷、铅、铬、铜、镍、锌；</w:t>
      </w:r>
    </w:p>
    <w:p>
      <w:pPr>
        <w:pStyle w:val="9"/>
        <w:spacing w:before="158"/>
        <w:ind w:left="1898"/>
      </w:pPr>
      <w:r>
        <w:rPr>
          <w:rFonts w:ascii="Times New Roman" w:eastAsia="Times New Roman"/>
        </w:rPr>
        <w:t>5</w:t>
      </w:r>
      <w:r>
        <w:t>、检测方法及依据</w:t>
      </w:r>
    </w:p>
    <w:p>
      <w:pPr>
        <w:pStyle w:val="9"/>
        <w:spacing w:before="161"/>
        <w:ind w:left="1898"/>
      </w:pPr>
      <w:r>
        <w:t>本项目检测方法见下表。</w:t>
      </w:r>
    </w:p>
    <w:p>
      <w:pPr>
        <w:spacing w:before="159"/>
        <w:ind w:left="2" w:right="0" w:firstLine="0"/>
        <w:jc w:val="center"/>
        <w:rPr>
          <w:b/>
          <w:sz w:val="21"/>
        </w:rPr>
      </w:pPr>
      <w:r>
        <w:rPr>
          <w:b/>
          <w:spacing w:val="-28"/>
          <w:sz w:val="21"/>
        </w:rPr>
        <w:t xml:space="preserve">表 </w:t>
      </w:r>
      <w:r>
        <w:rPr>
          <w:rFonts w:ascii="Times New Roman" w:eastAsia="Times New Roman"/>
          <w:b/>
          <w:sz w:val="21"/>
        </w:rPr>
        <w:t>9.3-1</w:t>
      </w:r>
      <w:r>
        <w:rPr>
          <w:rFonts w:ascii="Times New Roman" w:eastAsia="Times New Roman"/>
          <w:b/>
          <w:spacing w:val="52"/>
          <w:sz w:val="21"/>
        </w:rPr>
        <w:t xml:space="preserve"> </w:t>
      </w:r>
      <w:r>
        <w:rPr>
          <w:b/>
          <w:sz w:val="21"/>
        </w:rPr>
        <w:t>监测方法</w:t>
      </w:r>
    </w:p>
    <w:p>
      <w:pPr>
        <w:pStyle w:val="9"/>
        <w:spacing w:before="10"/>
        <w:rPr>
          <w:b/>
          <w:sz w:val="10"/>
        </w:rPr>
      </w:pPr>
    </w:p>
    <w:tbl>
      <w:tblPr>
        <w:tblStyle w:val="15"/>
        <w:tblW w:w="0" w:type="auto"/>
        <w:tblInd w:w="135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43"/>
        <w:gridCol w:w="5680"/>
        <w:gridCol w:w="179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43" w:type="dxa"/>
            <w:tcBorders>
              <w:bottom w:val="single" w:color="000000" w:sz="4" w:space="0"/>
              <w:right w:val="single" w:color="000000" w:sz="4" w:space="0"/>
            </w:tcBorders>
          </w:tcPr>
          <w:p>
            <w:pPr>
              <w:pStyle w:val="19"/>
              <w:spacing w:before="34"/>
              <w:ind w:left="82" w:right="66"/>
              <w:rPr>
                <w:sz w:val="21"/>
              </w:rPr>
            </w:pPr>
            <w:r>
              <w:rPr>
                <w:sz w:val="21"/>
              </w:rPr>
              <w:t>分析项目</w:t>
            </w:r>
          </w:p>
        </w:tc>
        <w:tc>
          <w:tcPr>
            <w:tcW w:w="5680" w:type="dxa"/>
            <w:tcBorders>
              <w:left w:val="single" w:color="000000" w:sz="4" w:space="0"/>
              <w:bottom w:val="single" w:color="000000" w:sz="4" w:space="0"/>
              <w:right w:val="single" w:color="000000" w:sz="4" w:space="0"/>
            </w:tcBorders>
          </w:tcPr>
          <w:p>
            <w:pPr>
              <w:pStyle w:val="19"/>
              <w:spacing w:before="34"/>
              <w:ind w:left="123" w:right="109"/>
              <w:rPr>
                <w:sz w:val="21"/>
              </w:rPr>
            </w:pPr>
            <w:r>
              <w:rPr>
                <w:sz w:val="21"/>
              </w:rPr>
              <w:t>分析方法</w:t>
            </w:r>
          </w:p>
        </w:tc>
        <w:tc>
          <w:tcPr>
            <w:tcW w:w="1790" w:type="dxa"/>
            <w:tcBorders>
              <w:left w:val="single" w:color="000000" w:sz="4" w:space="0"/>
              <w:bottom w:val="single" w:color="000000" w:sz="4" w:space="0"/>
            </w:tcBorders>
          </w:tcPr>
          <w:p>
            <w:pPr>
              <w:pStyle w:val="19"/>
              <w:spacing w:before="34"/>
              <w:ind w:left="50" w:right="32"/>
              <w:rPr>
                <w:sz w:val="21"/>
              </w:rPr>
            </w:pPr>
            <w:r>
              <w:rPr>
                <w:sz w:val="21"/>
              </w:rPr>
              <w:t>方法标准号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43" w:type="dxa"/>
            <w:tcBorders>
              <w:top w:val="single" w:color="000000" w:sz="4" w:space="0"/>
              <w:bottom w:val="single" w:color="000000" w:sz="4" w:space="0"/>
              <w:right w:val="single" w:color="000000" w:sz="4" w:space="0"/>
            </w:tcBorders>
          </w:tcPr>
          <w:p>
            <w:pPr>
              <w:pStyle w:val="19"/>
              <w:spacing w:before="35"/>
              <w:ind w:left="82" w:right="65"/>
              <w:rPr>
                <w:sz w:val="21"/>
              </w:rPr>
            </w:pPr>
            <w:r>
              <w:rPr>
                <w:rFonts w:ascii="Times New Roman" w:eastAsia="Times New Roman"/>
                <w:sz w:val="21"/>
              </w:rPr>
              <w:t xml:space="preserve">pH </w:t>
            </w:r>
            <w:r>
              <w:rPr>
                <w:sz w:val="21"/>
              </w:rPr>
              <w:t>值</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35"/>
              <w:ind w:left="126" w:right="109"/>
              <w:rPr>
                <w:sz w:val="21"/>
              </w:rPr>
            </w:pPr>
            <w:r>
              <w:rPr>
                <w:sz w:val="21"/>
              </w:rPr>
              <w:t xml:space="preserve">土壤 </w:t>
            </w:r>
            <w:r>
              <w:rPr>
                <w:rFonts w:ascii="Times New Roman" w:eastAsia="Times New Roman"/>
                <w:sz w:val="21"/>
              </w:rPr>
              <w:t xml:space="preserve">pH </w:t>
            </w:r>
            <w:r>
              <w:rPr>
                <w:sz w:val="21"/>
              </w:rPr>
              <w:t>值的测定电位法</w:t>
            </w:r>
          </w:p>
        </w:tc>
        <w:tc>
          <w:tcPr>
            <w:tcW w:w="1790" w:type="dxa"/>
            <w:tcBorders>
              <w:top w:val="single" w:color="000000" w:sz="4" w:space="0"/>
              <w:left w:val="single" w:color="000000" w:sz="4" w:space="0"/>
              <w:bottom w:val="single" w:color="000000" w:sz="4" w:space="0"/>
            </w:tcBorders>
          </w:tcPr>
          <w:p>
            <w:pPr>
              <w:pStyle w:val="19"/>
              <w:spacing w:before="51"/>
              <w:ind w:left="51" w:right="29"/>
              <w:rPr>
                <w:rFonts w:ascii="Times New Roman"/>
                <w:sz w:val="21"/>
              </w:rPr>
            </w:pPr>
            <w:r>
              <w:rPr>
                <w:rFonts w:ascii="Times New Roman"/>
                <w:sz w:val="21"/>
              </w:rPr>
              <w:t>HJ962-2018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743" w:type="dxa"/>
            <w:tcBorders>
              <w:top w:val="single" w:color="000000" w:sz="4" w:space="0"/>
              <w:bottom w:val="single" w:color="000000" w:sz="4" w:space="0"/>
              <w:right w:val="single" w:color="000000" w:sz="4" w:space="0"/>
            </w:tcBorders>
          </w:tcPr>
          <w:p>
            <w:pPr>
              <w:pStyle w:val="19"/>
              <w:spacing w:before="36"/>
              <w:ind w:left="17"/>
              <w:rPr>
                <w:sz w:val="21"/>
              </w:rPr>
            </w:pPr>
            <w:r>
              <w:rPr>
                <w:w w:val="99"/>
                <w:sz w:val="21"/>
              </w:rPr>
              <w:t>砷</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36"/>
              <w:ind w:left="123" w:right="109"/>
              <w:rPr>
                <w:sz w:val="21"/>
              </w:rPr>
            </w:pPr>
            <w:r>
              <w:rPr>
                <w:sz w:val="21"/>
              </w:rPr>
              <w:t>土壤质量总汞、总砷、总铅的测定原子荧光法</w:t>
            </w:r>
          </w:p>
        </w:tc>
        <w:tc>
          <w:tcPr>
            <w:tcW w:w="1790" w:type="dxa"/>
            <w:tcBorders>
              <w:top w:val="single" w:color="000000" w:sz="4" w:space="0"/>
              <w:left w:val="single" w:color="000000" w:sz="4" w:space="0"/>
              <w:bottom w:val="single" w:color="000000" w:sz="4" w:space="0"/>
            </w:tcBorders>
          </w:tcPr>
          <w:p>
            <w:pPr>
              <w:pStyle w:val="19"/>
              <w:spacing w:before="52"/>
              <w:ind w:left="51" w:right="32"/>
              <w:rPr>
                <w:rFonts w:ascii="Times New Roman"/>
                <w:sz w:val="21"/>
              </w:rPr>
            </w:pPr>
            <w:r>
              <w:rPr>
                <w:rFonts w:ascii="Times New Roman"/>
                <w:sz w:val="21"/>
              </w:rPr>
              <w:t>GB/T22105.2-2008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43" w:type="dxa"/>
            <w:tcBorders>
              <w:top w:val="single" w:color="000000" w:sz="4" w:space="0"/>
              <w:bottom w:val="single" w:color="000000" w:sz="4" w:space="0"/>
              <w:right w:val="single" w:color="000000" w:sz="4" w:space="0"/>
            </w:tcBorders>
          </w:tcPr>
          <w:p>
            <w:pPr>
              <w:pStyle w:val="19"/>
              <w:spacing w:before="34"/>
              <w:ind w:left="17"/>
              <w:rPr>
                <w:sz w:val="21"/>
              </w:rPr>
            </w:pPr>
            <w:r>
              <w:rPr>
                <w:w w:val="99"/>
                <w:sz w:val="21"/>
              </w:rPr>
              <w:t>镉</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34"/>
              <w:ind w:left="126" w:right="109"/>
              <w:rPr>
                <w:sz w:val="21"/>
              </w:rPr>
            </w:pPr>
            <w:r>
              <w:rPr>
                <w:sz w:val="21"/>
              </w:rPr>
              <w:t>土壤质量铅、镉的测定石墨炉原子吸收分光光度法</w:t>
            </w:r>
          </w:p>
        </w:tc>
        <w:tc>
          <w:tcPr>
            <w:tcW w:w="1790" w:type="dxa"/>
            <w:tcBorders>
              <w:top w:val="single" w:color="000000" w:sz="4" w:space="0"/>
              <w:left w:val="single" w:color="000000" w:sz="4" w:space="0"/>
              <w:bottom w:val="single" w:color="000000" w:sz="4" w:space="0"/>
            </w:tcBorders>
          </w:tcPr>
          <w:p>
            <w:pPr>
              <w:pStyle w:val="19"/>
              <w:spacing w:before="51"/>
              <w:ind w:left="51" w:right="29"/>
              <w:rPr>
                <w:rFonts w:ascii="Times New Roman"/>
                <w:sz w:val="21"/>
              </w:rPr>
            </w:pPr>
            <w:r>
              <w:rPr>
                <w:rFonts w:ascii="Times New Roman"/>
                <w:sz w:val="21"/>
              </w:rPr>
              <w:t>GB/T17141-1997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743" w:type="dxa"/>
            <w:tcBorders>
              <w:top w:val="single" w:color="000000" w:sz="4" w:space="0"/>
              <w:bottom w:val="single" w:color="000000" w:sz="4" w:space="0"/>
              <w:right w:val="single" w:color="000000" w:sz="4" w:space="0"/>
            </w:tcBorders>
          </w:tcPr>
          <w:p>
            <w:pPr>
              <w:pStyle w:val="19"/>
              <w:spacing w:before="35"/>
              <w:ind w:left="82" w:right="66"/>
              <w:rPr>
                <w:sz w:val="21"/>
              </w:rPr>
            </w:pPr>
            <w:r>
              <w:rPr>
                <w:sz w:val="21"/>
              </w:rPr>
              <w:t>铬（六价）</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35"/>
              <w:ind w:left="126" w:right="109"/>
              <w:rPr>
                <w:sz w:val="21"/>
              </w:rPr>
            </w:pPr>
            <w:r>
              <w:rPr>
                <w:sz w:val="21"/>
              </w:rPr>
              <w:t>固体废物六价铬的测定碱消解</w:t>
            </w:r>
            <w:r>
              <w:rPr>
                <w:rFonts w:ascii="Times New Roman" w:eastAsia="Times New Roman"/>
                <w:sz w:val="21"/>
              </w:rPr>
              <w:t>/</w:t>
            </w:r>
            <w:r>
              <w:rPr>
                <w:sz w:val="21"/>
              </w:rPr>
              <w:t>火焰原子吸收分光光度法</w:t>
            </w:r>
          </w:p>
        </w:tc>
        <w:tc>
          <w:tcPr>
            <w:tcW w:w="1790" w:type="dxa"/>
            <w:tcBorders>
              <w:top w:val="single" w:color="000000" w:sz="4" w:space="0"/>
              <w:left w:val="single" w:color="000000" w:sz="4" w:space="0"/>
              <w:bottom w:val="single" w:color="000000" w:sz="4" w:space="0"/>
            </w:tcBorders>
          </w:tcPr>
          <w:p>
            <w:pPr>
              <w:pStyle w:val="19"/>
              <w:spacing w:before="52"/>
              <w:ind w:left="51" w:right="29"/>
              <w:rPr>
                <w:rFonts w:ascii="Times New Roman"/>
                <w:sz w:val="21"/>
              </w:rPr>
            </w:pPr>
            <w:r>
              <w:rPr>
                <w:rFonts w:ascii="Times New Roman"/>
                <w:sz w:val="21"/>
              </w:rPr>
              <w:t>HJ687-2014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743" w:type="dxa"/>
            <w:tcBorders>
              <w:top w:val="single" w:color="000000" w:sz="4" w:space="0"/>
              <w:bottom w:val="single" w:color="000000" w:sz="4" w:space="0"/>
              <w:right w:val="single" w:color="000000" w:sz="4" w:space="0"/>
            </w:tcBorders>
          </w:tcPr>
          <w:p>
            <w:pPr>
              <w:pStyle w:val="19"/>
              <w:spacing w:before="164"/>
              <w:ind w:left="82" w:right="63"/>
              <w:rPr>
                <w:sz w:val="21"/>
              </w:rPr>
            </w:pPr>
            <w:r>
              <w:rPr>
                <w:sz w:val="21"/>
              </w:rPr>
              <w:t>铜、镍</w:t>
            </w:r>
          </w:p>
        </w:tc>
        <w:tc>
          <w:tcPr>
            <w:tcW w:w="5680" w:type="dxa"/>
            <w:tcBorders>
              <w:top w:val="single" w:color="000000" w:sz="4" w:space="0"/>
              <w:left w:val="single" w:color="000000" w:sz="4" w:space="0"/>
              <w:bottom w:val="single" w:color="000000" w:sz="4" w:space="0"/>
              <w:right w:val="single" w:color="000000" w:sz="4" w:space="0"/>
            </w:tcBorders>
          </w:tcPr>
          <w:p>
            <w:pPr>
              <w:pStyle w:val="19"/>
              <w:ind w:left="133" w:right="109"/>
              <w:rPr>
                <w:sz w:val="21"/>
              </w:rPr>
            </w:pPr>
            <w:r>
              <w:rPr>
                <w:w w:val="95"/>
                <w:sz w:val="21"/>
              </w:rPr>
              <w:t>土壤和沉积物铜、锌、铅、镍、铬的测定火焰原子吸收分光光</w:t>
            </w:r>
          </w:p>
          <w:p>
            <w:pPr>
              <w:pStyle w:val="19"/>
              <w:spacing w:before="58"/>
              <w:ind w:left="126" w:right="109"/>
              <w:rPr>
                <w:sz w:val="21"/>
              </w:rPr>
            </w:pPr>
            <w:r>
              <w:rPr>
                <w:sz w:val="21"/>
              </w:rPr>
              <w:t>度法</w:t>
            </w:r>
          </w:p>
        </w:tc>
        <w:tc>
          <w:tcPr>
            <w:tcW w:w="1790" w:type="dxa"/>
            <w:tcBorders>
              <w:top w:val="single" w:color="000000" w:sz="4" w:space="0"/>
              <w:left w:val="single" w:color="000000" w:sz="4" w:space="0"/>
              <w:bottom w:val="single" w:color="000000" w:sz="4" w:space="0"/>
            </w:tcBorders>
          </w:tcPr>
          <w:p>
            <w:pPr>
              <w:pStyle w:val="19"/>
              <w:spacing w:before="180"/>
              <w:ind w:left="51" w:right="29"/>
              <w:rPr>
                <w:rFonts w:ascii="Times New Roman"/>
                <w:sz w:val="21"/>
              </w:rPr>
            </w:pPr>
            <w:r>
              <w:rPr>
                <w:rFonts w:ascii="Times New Roman"/>
                <w:sz w:val="21"/>
              </w:rPr>
              <w:t>HJ491-2019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743" w:type="dxa"/>
            <w:tcBorders>
              <w:top w:val="single" w:color="000000" w:sz="4" w:space="0"/>
              <w:bottom w:val="single" w:color="000000" w:sz="4" w:space="0"/>
              <w:right w:val="single" w:color="000000" w:sz="4" w:space="0"/>
            </w:tcBorders>
          </w:tcPr>
          <w:p>
            <w:pPr>
              <w:pStyle w:val="19"/>
              <w:spacing w:before="36"/>
              <w:ind w:left="17"/>
              <w:rPr>
                <w:sz w:val="21"/>
              </w:rPr>
            </w:pPr>
            <w:r>
              <w:rPr>
                <w:w w:val="99"/>
                <w:sz w:val="21"/>
              </w:rPr>
              <w:t>铅</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36"/>
              <w:ind w:left="126" w:right="109"/>
              <w:rPr>
                <w:sz w:val="21"/>
              </w:rPr>
            </w:pPr>
            <w:r>
              <w:rPr>
                <w:sz w:val="21"/>
              </w:rPr>
              <w:t>土壤质量铅、镉的测定石墨炉原子吸收分光光度法</w:t>
            </w:r>
          </w:p>
        </w:tc>
        <w:tc>
          <w:tcPr>
            <w:tcW w:w="1790" w:type="dxa"/>
            <w:tcBorders>
              <w:top w:val="single" w:color="000000" w:sz="4" w:space="0"/>
              <w:left w:val="single" w:color="000000" w:sz="4" w:space="0"/>
              <w:bottom w:val="single" w:color="000000" w:sz="4" w:space="0"/>
            </w:tcBorders>
          </w:tcPr>
          <w:p>
            <w:pPr>
              <w:pStyle w:val="19"/>
              <w:spacing w:before="52"/>
              <w:ind w:left="51" w:right="29"/>
              <w:rPr>
                <w:rFonts w:ascii="Times New Roman"/>
                <w:sz w:val="21"/>
              </w:rPr>
            </w:pPr>
            <w:r>
              <w:rPr>
                <w:rFonts w:ascii="Times New Roman"/>
                <w:sz w:val="21"/>
              </w:rPr>
              <w:t>GB/T17141-1997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43" w:type="dxa"/>
            <w:tcBorders>
              <w:top w:val="single" w:color="000000" w:sz="4" w:space="0"/>
              <w:bottom w:val="single" w:color="000000" w:sz="4" w:space="0"/>
              <w:right w:val="single" w:color="000000" w:sz="4" w:space="0"/>
            </w:tcBorders>
          </w:tcPr>
          <w:p>
            <w:pPr>
              <w:pStyle w:val="19"/>
              <w:spacing w:before="37"/>
              <w:ind w:left="17"/>
              <w:rPr>
                <w:sz w:val="21"/>
              </w:rPr>
            </w:pPr>
            <w:r>
              <w:rPr>
                <w:w w:val="99"/>
                <w:sz w:val="21"/>
              </w:rPr>
              <w:t>汞</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37"/>
              <w:ind w:left="123" w:right="109"/>
              <w:rPr>
                <w:sz w:val="21"/>
              </w:rPr>
            </w:pPr>
            <w:r>
              <w:rPr>
                <w:sz w:val="21"/>
              </w:rPr>
              <w:t>土壤质量总汞、总砷、总铅的测定原子荧光法</w:t>
            </w:r>
          </w:p>
        </w:tc>
        <w:tc>
          <w:tcPr>
            <w:tcW w:w="1790" w:type="dxa"/>
            <w:tcBorders>
              <w:top w:val="single" w:color="000000" w:sz="4" w:space="0"/>
              <w:left w:val="single" w:color="000000" w:sz="4" w:space="0"/>
              <w:bottom w:val="single" w:color="000000" w:sz="4" w:space="0"/>
            </w:tcBorders>
          </w:tcPr>
          <w:p>
            <w:pPr>
              <w:pStyle w:val="19"/>
              <w:spacing w:before="53"/>
              <w:ind w:left="51" w:right="32"/>
              <w:rPr>
                <w:rFonts w:ascii="Times New Roman"/>
                <w:sz w:val="21"/>
              </w:rPr>
            </w:pPr>
            <w:r>
              <w:rPr>
                <w:rFonts w:ascii="Times New Roman"/>
                <w:sz w:val="21"/>
              </w:rPr>
              <w:t>GB/T22105.1-2008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43" w:type="dxa"/>
            <w:tcBorders>
              <w:top w:val="single" w:color="000000" w:sz="4" w:space="0"/>
              <w:bottom w:val="single" w:color="000000" w:sz="4" w:space="0"/>
              <w:right w:val="single" w:color="000000" w:sz="4" w:space="0"/>
            </w:tcBorders>
          </w:tcPr>
          <w:p>
            <w:pPr>
              <w:pStyle w:val="19"/>
              <w:spacing w:before="35"/>
              <w:ind w:left="82" w:right="66"/>
              <w:rPr>
                <w:sz w:val="21"/>
              </w:rPr>
            </w:pPr>
            <w:r>
              <w:rPr>
                <w:sz w:val="21"/>
              </w:rPr>
              <w:t>四氯化碳</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35"/>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52"/>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9"/>
              <w:spacing w:before="58"/>
              <w:ind w:left="82" w:right="63"/>
              <w:rPr>
                <w:sz w:val="21"/>
              </w:rPr>
            </w:pPr>
            <w:r>
              <w:rPr>
                <w:sz w:val="21"/>
              </w:rPr>
              <w:t>氯甲烷</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58"/>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74"/>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9"/>
              <w:spacing w:before="58"/>
              <w:ind w:left="82" w:right="66"/>
              <w:rPr>
                <w:sz w:val="21"/>
              </w:rPr>
            </w:pPr>
            <w:r>
              <w:rPr>
                <w:sz w:val="21"/>
              </w:rPr>
              <w:t>氯仿</w:t>
            </w:r>
            <w:r>
              <w:rPr>
                <w:rFonts w:ascii="Times New Roman" w:eastAsia="Times New Roman"/>
                <w:sz w:val="21"/>
              </w:rPr>
              <w:t>(</w:t>
            </w:r>
            <w:r>
              <w:rPr>
                <w:sz w:val="21"/>
              </w:rPr>
              <w:t>三氯甲烷）</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58"/>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74"/>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9"/>
              <w:spacing w:before="58"/>
              <w:ind w:left="82" w:right="66"/>
              <w:rPr>
                <w:sz w:val="21"/>
              </w:rPr>
            </w:pPr>
            <w:r>
              <w:rPr>
                <w:rFonts w:ascii="Times New Roman" w:eastAsia="Times New Roman"/>
                <w:sz w:val="21"/>
              </w:rPr>
              <w:t>1,1-</w:t>
            </w:r>
            <w:r>
              <w:rPr>
                <w:sz w:val="21"/>
              </w:rPr>
              <w:t>二氯乙烷</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58"/>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75"/>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9"/>
              <w:spacing w:before="59"/>
              <w:ind w:left="82" w:right="66"/>
              <w:rPr>
                <w:sz w:val="21"/>
              </w:rPr>
            </w:pPr>
            <w:r>
              <w:rPr>
                <w:rFonts w:ascii="Times New Roman" w:eastAsia="Times New Roman"/>
                <w:sz w:val="21"/>
              </w:rPr>
              <w:t>1,2-</w:t>
            </w:r>
            <w:r>
              <w:rPr>
                <w:sz w:val="21"/>
              </w:rPr>
              <w:t>二氯乙烷</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59"/>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75"/>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9"/>
              <w:spacing w:before="59"/>
              <w:ind w:left="82" w:right="66"/>
              <w:rPr>
                <w:sz w:val="21"/>
              </w:rPr>
            </w:pPr>
            <w:r>
              <w:rPr>
                <w:rFonts w:ascii="Times New Roman" w:eastAsia="Times New Roman"/>
                <w:sz w:val="21"/>
              </w:rPr>
              <w:t>1,1-</w:t>
            </w:r>
            <w:r>
              <w:rPr>
                <w:sz w:val="21"/>
              </w:rPr>
              <w:t>二氯乙烯</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59"/>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75"/>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9"/>
              <w:spacing w:before="59"/>
              <w:ind w:left="82" w:right="63"/>
              <w:rPr>
                <w:sz w:val="21"/>
              </w:rPr>
            </w:pPr>
            <w:r>
              <w:rPr>
                <w:sz w:val="21"/>
              </w:rPr>
              <w:t>顺</w:t>
            </w:r>
            <w:r>
              <w:rPr>
                <w:rFonts w:ascii="Times New Roman" w:eastAsia="Times New Roman"/>
                <w:sz w:val="21"/>
              </w:rPr>
              <w:t>-1,2-</w:t>
            </w:r>
            <w:r>
              <w:rPr>
                <w:sz w:val="21"/>
              </w:rPr>
              <w:t>二氯乙烯</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59"/>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75"/>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9"/>
              <w:spacing w:before="57"/>
              <w:ind w:left="82" w:right="63"/>
              <w:rPr>
                <w:sz w:val="21"/>
              </w:rPr>
            </w:pPr>
            <w:r>
              <w:rPr>
                <w:sz w:val="21"/>
              </w:rPr>
              <w:t>反</w:t>
            </w:r>
            <w:r>
              <w:rPr>
                <w:rFonts w:ascii="Times New Roman" w:eastAsia="Times New Roman"/>
                <w:sz w:val="21"/>
              </w:rPr>
              <w:t>-1,2-</w:t>
            </w:r>
            <w:r>
              <w:rPr>
                <w:sz w:val="21"/>
              </w:rPr>
              <w:t>二氯乙烯</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57"/>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75"/>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9"/>
              <w:spacing w:before="57"/>
              <w:ind w:left="82" w:right="66"/>
              <w:rPr>
                <w:sz w:val="21"/>
              </w:rPr>
            </w:pPr>
            <w:r>
              <w:rPr>
                <w:sz w:val="21"/>
              </w:rPr>
              <w:t>二氯甲烷</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57"/>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76"/>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9"/>
              <w:spacing w:before="57"/>
              <w:ind w:left="82" w:right="66"/>
              <w:rPr>
                <w:sz w:val="21"/>
              </w:rPr>
            </w:pPr>
            <w:r>
              <w:rPr>
                <w:rFonts w:ascii="Times New Roman" w:eastAsia="Times New Roman"/>
                <w:sz w:val="21"/>
              </w:rPr>
              <w:t>1,2-</w:t>
            </w:r>
            <w:r>
              <w:rPr>
                <w:sz w:val="21"/>
              </w:rPr>
              <w:t>二氯丙烷</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57"/>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76"/>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9"/>
              <w:spacing w:before="57"/>
              <w:ind w:left="82" w:right="66"/>
              <w:rPr>
                <w:sz w:val="21"/>
              </w:rPr>
            </w:pPr>
            <w:r>
              <w:rPr>
                <w:rFonts w:ascii="Times New Roman" w:eastAsia="Times New Roman"/>
                <w:sz w:val="21"/>
              </w:rPr>
              <w:t>1,1,1,2-</w:t>
            </w:r>
            <w:r>
              <w:rPr>
                <w:sz w:val="21"/>
              </w:rPr>
              <w:t>四氯乙烷</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57"/>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74"/>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9"/>
              <w:spacing w:before="57"/>
              <w:ind w:left="82" w:right="66"/>
              <w:rPr>
                <w:sz w:val="21"/>
              </w:rPr>
            </w:pPr>
            <w:r>
              <w:rPr>
                <w:rFonts w:ascii="Times New Roman" w:eastAsia="Times New Roman"/>
                <w:sz w:val="21"/>
              </w:rPr>
              <w:t>1,1,2,2-</w:t>
            </w:r>
            <w:r>
              <w:rPr>
                <w:sz w:val="21"/>
              </w:rPr>
              <w:t>四氯乙烷</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57"/>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74"/>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9"/>
              <w:spacing w:before="58"/>
              <w:ind w:left="82" w:right="66"/>
              <w:rPr>
                <w:sz w:val="21"/>
              </w:rPr>
            </w:pPr>
            <w:r>
              <w:rPr>
                <w:sz w:val="21"/>
              </w:rPr>
              <w:t>四氯乙烯</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58"/>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74"/>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8" w:hRule="atLeast"/>
        </w:trPr>
        <w:tc>
          <w:tcPr>
            <w:tcW w:w="1743" w:type="dxa"/>
            <w:tcBorders>
              <w:top w:val="single" w:color="000000" w:sz="4" w:space="0"/>
              <w:right w:val="single" w:color="000000" w:sz="4" w:space="0"/>
            </w:tcBorders>
          </w:tcPr>
          <w:p>
            <w:pPr>
              <w:pStyle w:val="19"/>
              <w:spacing w:before="58"/>
              <w:ind w:left="82" w:right="66"/>
              <w:rPr>
                <w:sz w:val="21"/>
              </w:rPr>
            </w:pPr>
            <w:r>
              <w:rPr>
                <w:rFonts w:ascii="Times New Roman" w:eastAsia="Times New Roman"/>
                <w:sz w:val="21"/>
              </w:rPr>
              <w:t>1,1,1-</w:t>
            </w:r>
            <w:r>
              <w:rPr>
                <w:sz w:val="21"/>
              </w:rPr>
              <w:t>三氯乙烷</w:t>
            </w:r>
          </w:p>
        </w:tc>
        <w:tc>
          <w:tcPr>
            <w:tcW w:w="5680" w:type="dxa"/>
            <w:tcBorders>
              <w:top w:val="single" w:color="000000" w:sz="4" w:space="0"/>
              <w:left w:val="single" w:color="000000" w:sz="4" w:space="0"/>
              <w:right w:val="single" w:color="000000" w:sz="4" w:space="0"/>
            </w:tcBorders>
          </w:tcPr>
          <w:p>
            <w:pPr>
              <w:pStyle w:val="19"/>
              <w:spacing w:before="58"/>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tcBorders>
          </w:tcPr>
          <w:p>
            <w:pPr>
              <w:pStyle w:val="19"/>
              <w:spacing w:before="74"/>
              <w:ind w:left="51" w:right="29"/>
              <w:rPr>
                <w:rFonts w:ascii="Times New Roman"/>
                <w:sz w:val="21"/>
              </w:rPr>
            </w:pPr>
            <w:r>
              <w:rPr>
                <w:rFonts w:ascii="Times New Roman"/>
                <w:sz w:val="21"/>
              </w:rPr>
              <w:t>HJ736-2015</w:t>
            </w:r>
          </w:p>
        </w:tc>
      </w:tr>
    </w:tbl>
    <w:p>
      <w:pPr>
        <w:spacing w:after="0"/>
        <w:rPr>
          <w:rFonts w:ascii="Times New Roman"/>
          <w:sz w:val="21"/>
        </w:rPr>
        <w:sectPr>
          <w:pgSz w:w="11910" w:h="16840"/>
          <w:pgMar w:top="1340" w:right="0" w:bottom="880" w:left="0" w:header="0" w:footer="681" w:gutter="0"/>
        </w:sectPr>
      </w:pPr>
    </w:p>
    <w:tbl>
      <w:tblPr>
        <w:tblStyle w:val="15"/>
        <w:tblW w:w="0" w:type="auto"/>
        <w:tblInd w:w="135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43"/>
        <w:gridCol w:w="5680"/>
        <w:gridCol w:w="179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43" w:type="dxa"/>
            <w:tcBorders>
              <w:bottom w:val="single" w:color="000000" w:sz="4" w:space="0"/>
              <w:right w:val="single" w:color="000000" w:sz="4" w:space="0"/>
            </w:tcBorders>
          </w:tcPr>
          <w:p>
            <w:pPr>
              <w:pStyle w:val="19"/>
              <w:spacing w:before="36"/>
              <w:ind w:left="82" w:right="66"/>
              <w:rPr>
                <w:sz w:val="21"/>
              </w:rPr>
            </w:pPr>
            <w:r>
              <w:rPr>
                <w:sz w:val="21"/>
              </w:rPr>
              <w:t>分析项目</w:t>
            </w:r>
          </w:p>
        </w:tc>
        <w:tc>
          <w:tcPr>
            <w:tcW w:w="5680" w:type="dxa"/>
            <w:tcBorders>
              <w:left w:val="single" w:color="000000" w:sz="4" w:space="0"/>
              <w:bottom w:val="single" w:color="000000" w:sz="4" w:space="0"/>
              <w:right w:val="single" w:color="000000" w:sz="4" w:space="0"/>
            </w:tcBorders>
          </w:tcPr>
          <w:p>
            <w:pPr>
              <w:pStyle w:val="19"/>
              <w:spacing w:before="36"/>
              <w:ind w:left="123" w:right="109"/>
              <w:rPr>
                <w:sz w:val="21"/>
              </w:rPr>
            </w:pPr>
            <w:r>
              <w:rPr>
                <w:sz w:val="21"/>
              </w:rPr>
              <w:t>分析方法</w:t>
            </w:r>
          </w:p>
        </w:tc>
        <w:tc>
          <w:tcPr>
            <w:tcW w:w="1790" w:type="dxa"/>
            <w:tcBorders>
              <w:left w:val="single" w:color="000000" w:sz="4" w:space="0"/>
              <w:bottom w:val="single" w:color="000000" w:sz="4" w:space="0"/>
            </w:tcBorders>
          </w:tcPr>
          <w:p>
            <w:pPr>
              <w:pStyle w:val="19"/>
              <w:spacing w:before="36"/>
              <w:ind w:left="372"/>
              <w:jc w:val="left"/>
              <w:rPr>
                <w:sz w:val="21"/>
              </w:rPr>
            </w:pPr>
            <w:r>
              <w:rPr>
                <w:sz w:val="21"/>
              </w:rPr>
              <w:t>方法标准号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9"/>
              <w:spacing w:before="58"/>
              <w:ind w:left="82" w:right="66"/>
              <w:rPr>
                <w:sz w:val="21"/>
              </w:rPr>
            </w:pPr>
            <w:r>
              <w:rPr>
                <w:rFonts w:ascii="Times New Roman" w:eastAsia="Times New Roman"/>
                <w:sz w:val="21"/>
              </w:rPr>
              <w:t>1,1,2-</w:t>
            </w:r>
            <w:r>
              <w:rPr>
                <w:sz w:val="21"/>
              </w:rPr>
              <w:t>三氯乙烷</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58"/>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74"/>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9"/>
              <w:spacing w:before="58"/>
              <w:ind w:left="82" w:right="66"/>
              <w:rPr>
                <w:sz w:val="21"/>
              </w:rPr>
            </w:pPr>
            <w:r>
              <w:rPr>
                <w:sz w:val="21"/>
              </w:rPr>
              <w:t>三氯乙烯</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58"/>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74"/>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9"/>
              <w:spacing w:before="58"/>
              <w:ind w:left="82" w:right="66"/>
              <w:rPr>
                <w:sz w:val="21"/>
              </w:rPr>
            </w:pPr>
            <w:r>
              <w:rPr>
                <w:rFonts w:ascii="Times New Roman" w:eastAsia="Times New Roman"/>
                <w:sz w:val="21"/>
              </w:rPr>
              <w:t>1,2,3-</w:t>
            </w:r>
            <w:r>
              <w:rPr>
                <w:sz w:val="21"/>
              </w:rPr>
              <w:t>三氯丙烷</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58"/>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75"/>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9"/>
              <w:spacing w:before="58"/>
              <w:ind w:left="82" w:right="63"/>
              <w:rPr>
                <w:sz w:val="21"/>
              </w:rPr>
            </w:pPr>
            <w:r>
              <w:rPr>
                <w:sz w:val="21"/>
              </w:rPr>
              <w:t>氯乙烯</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58"/>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75"/>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9"/>
              <w:spacing w:before="59"/>
              <w:ind w:left="17"/>
              <w:rPr>
                <w:sz w:val="21"/>
              </w:rPr>
            </w:pPr>
            <w:r>
              <w:rPr>
                <w:w w:val="99"/>
                <w:sz w:val="21"/>
              </w:rPr>
              <w:t>苯</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59"/>
              <w:ind w:left="126" w:right="109"/>
              <w:rPr>
                <w:sz w:val="21"/>
              </w:rPr>
            </w:pPr>
            <w:r>
              <w:rPr>
                <w:sz w:val="21"/>
              </w:rPr>
              <w:t>土壤和沉积物挥发性有机物的测定顶空</w:t>
            </w:r>
            <w:r>
              <w:rPr>
                <w:rFonts w:ascii="Times New Roman" w:eastAsia="Times New Roman"/>
                <w:sz w:val="21"/>
              </w:rPr>
              <w:t>/</w:t>
            </w:r>
            <w:r>
              <w:rPr>
                <w:sz w:val="21"/>
              </w:rPr>
              <w:t>气相色谱法</w:t>
            </w:r>
          </w:p>
        </w:tc>
        <w:tc>
          <w:tcPr>
            <w:tcW w:w="1790" w:type="dxa"/>
            <w:tcBorders>
              <w:top w:val="single" w:color="000000" w:sz="4" w:space="0"/>
              <w:left w:val="single" w:color="000000" w:sz="4" w:space="0"/>
              <w:bottom w:val="single" w:color="000000" w:sz="4" w:space="0"/>
            </w:tcBorders>
          </w:tcPr>
          <w:p>
            <w:pPr>
              <w:pStyle w:val="19"/>
              <w:spacing w:before="75"/>
              <w:ind w:left="379"/>
              <w:jc w:val="left"/>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9"/>
              <w:spacing w:before="59"/>
              <w:ind w:left="80" w:right="66"/>
              <w:rPr>
                <w:sz w:val="21"/>
              </w:rPr>
            </w:pPr>
            <w:r>
              <w:rPr>
                <w:sz w:val="21"/>
              </w:rPr>
              <w:t>氯苯</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59"/>
              <w:ind w:left="128" w:right="109"/>
              <w:rPr>
                <w:sz w:val="21"/>
              </w:rPr>
            </w:pPr>
            <w:r>
              <w:rPr>
                <w:sz w:val="21"/>
              </w:rPr>
              <w:t>土壤和沉积物挥发性有机物的测定顶空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75"/>
              <w:ind w:left="379"/>
              <w:jc w:val="left"/>
              <w:rPr>
                <w:rFonts w:ascii="Times New Roman"/>
                <w:sz w:val="21"/>
              </w:rPr>
            </w:pPr>
            <w:r>
              <w:rPr>
                <w:rFonts w:ascii="Times New Roman"/>
                <w:sz w:val="21"/>
              </w:rPr>
              <w:t>HJ642-2013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9"/>
              <w:spacing w:before="57"/>
              <w:ind w:left="82" w:right="63"/>
              <w:rPr>
                <w:sz w:val="21"/>
              </w:rPr>
            </w:pPr>
            <w:r>
              <w:rPr>
                <w:rFonts w:ascii="Times New Roman" w:eastAsia="Times New Roman"/>
                <w:sz w:val="21"/>
              </w:rPr>
              <w:t>1,2-</w:t>
            </w:r>
            <w:r>
              <w:rPr>
                <w:sz w:val="21"/>
              </w:rPr>
              <w:t>二氯苯</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57"/>
              <w:ind w:left="128" w:right="109"/>
              <w:rPr>
                <w:sz w:val="21"/>
              </w:rPr>
            </w:pPr>
            <w:r>
              <w:rPr>
                <w:sz w:val="21"/>
              </w:rPr>
              <w:t>土壤和沉积物挥发性有机物的测定顶空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75"/>
              <w:ind w:left="379"/>
              <w:jc w:val="left"/>
              <w:rPr>
                <w:rFonts w:ascii="Times New Roman"/>
                <w:sz w:val="21"/>
              </w:rPr>
            </w:pPr>
            <w:r>
              <w:rPr>
                <w:rFonts w:ascii="Times New Roman"/>
                <w:sz w:val="21"/>
              </w:rPr>
              <w:t>HJ642-2013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9"/>
              <w:spacing w:before="57"/>
              <w:ind w:left="82" w:right="63"/>
              <w:rPr>
                <w:sz w:val="21"/>
              </w:rPr>
            </w:pPr>
            <w:r>
              <w:rPr>
                <w:rFonts w:ascii="Times New Roman" w:eastAsia="Times New Roman"/>
                <w:sz w:val="21"/>
              </w:rPr>
              <w:t>1,4-</w:t>
            </w:r>
            <w:r>
              <w:rPr>
                <w:sz w:val="21"/>
              </w:rPr>
              <w:t>二氯苯</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57"/>
              <w:ind w:left="128" w:right="109"/>
              <w:rPr>
                <w:sz w:val="21"/>
              </w:rPr>
            </w:pPr>
            <w:r>
              <w:rPr>
                <w:sz w:val="21"/>
              </w:rPr>
              <w:t>土壤和沉积物挥发性有机物的测定顶空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76"/>
              <w:ind w:left="379"/>
              <w:jc w:val="left"/>
              <w:rPr>
                <w:rFonts w:ascii="Times New Roman"/>
                <w:sz w:val="21"/>
              </w:rPr>
            </w:pPr>
            <w:r>
              <w:rPr>
                <w:rFonts w:ascii="Times New Roman"/>
                <w:sz w:val="21"/>
              </w:rPr>
              <w:t>HJ642-2013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9"/>
              <w:spacing w:before="57"/>
              <w:ind w:left="80" w:right="66"/>
              <w:rPr>
                <w:sz w:val="21"/>
              </w:rPr>
            </w:pPr>
            <w:r>
              <w:rPr>
                <w:sz w:val="21"/>
              </w:rPr>
              <w:t>乙苯</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57"/>
              <w:ind w:left="126" w:right="109"/>
              <w:rPr>
                <w:sz w:val="21"/>
              </w:rPr>
            </w:pPr>
            <w:r>
              <w:rPr>
                <w:sz w:val="21"/>
              </w:rPr>
              <w:t>土壤和沉积物挥发性有机物的测定顶空</w:t>
            </w:r>
            <w:r>
              <w:rPr>
                <w:rFonts w:ascii="Times New Roman" w:eastAsia="Times New Roman"/>
                <w:sz w:val="21"/>
              </w:rPr>
              <w:t>/</w:t>
            </w:r>
            <w:r>
              <w:rPr>
                <w:sz w:val="21"/>
              </w:rPr>
              <w:t>气相色谱法</w:t>
            </w:r>
          </w:p>
        </w:tc>
        <w:tc>
          <w:tcPr>
            <w:tcW w:w="1790" w:type="dxa"/>
            <w:tcBorders>
              <w:top w:val="single" w:color="000000" w:sz="4" w:space="0"/>
              <w:left w:val="single" w:color="000000" w:sz="4" w:space="0"/>
              <w:bottom w:val="single" w:color="000000" w:sz="4" w:space="0"/>
            </w:tcBorders>
          </w:tcPr>
          <w:p>
            <w:pPr>
              <w:pStyle w:val="19"/>
              <w:spacing w:before="76"/>
              <w:ind w:left="379"/>
              <w:jc w:val="left"/>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9"/>
              <w:spacing w:before="57"/>
              <w:ind w:left="82" w:right="63"/>
              <w:rPr>
                <w:sz w:val="21"/>
              </w:rPr>
            </w:pPr>
            <w:r>
              <w:rPr>
                <w:sz w:val="21"/>
              </w:rPr>
              <w:t>苯乙烯</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57"/>
              <w:ind w:left="126" w:right="109"/>
              <w:rPr>
                <w:sz w:val="21"/>
              </w:rPr>
            </w:pPr>
            <w:r>
              <w:rPr>
                <w:sz w:val="21"/>
              </w:rPr>
              <w:t>土壤和沉积物挥发性有机物的测定顶空</w:t>
            </w:r>
            <w:r>
              <w:rPr>
                <w:rFonts w:ascii="Times New Roman" w:eastAsia="Times New Roman"/>
                <w:sz w:val="21"/>
              </w:rPr>
              <w:t>/</w:t>
            </w:r>
            <w:r>
              <w:rPr>
                <w:sz w:val="21"/>
              </w:rPr>
              <w:t>气相色谱法</w:t>
            </w:r>
          </w:p>
        </w:tc>
        <w:tc>
          <w:tcPr>
            <w:tcW w:w="1790" w:type="dxa"/>
            <w:tcBorders>
              <w:top w:val="single" w:color="000000" w:sz="4" w:space="0"/>
              <w:left w:val="single" w:color="000000" w:sz="4" w:space="0"/>
              <w:bottom w:val="single" w:color="000000" w:sz="4" w:space="0"/>
            </w:tcBorders>
          </w:tcPr>
          <w:p>
            <w:pPr>
              <w:pStyle w:val="19"/>
              <w:spacing w:before="74"/>
              <w:ind w:left="379"/>
              <w:jc w:val="left"/>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9"/>
              <w:spacing w:before="58"/>
              <w:ind w:left="80" w:right="66"/>
              <w:rPr>
                <w:sz w:val="21"/>
              </w:rPr>
            </w:pPr>
            <w:r>
              <w:rPr>
                <w:sz w:val="21"/>
              </w:rPr>
              <w:t>甲苯</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58"/>
              <w:ind w:left="126" w:right="109"/>
              <w:rPr>
                <w:sz w:val="21"/>
              </w:rPr>
            </w:pPr>
            <w:r>
              <w:rPr>
                <w:sz w:val="21"/>
              </w:rPr>
              <w:t>土壤和沉积物挥发性有机物的测定顶空</w:t>
            </w:r>
            <w:r>
              <w:rPr>
                <w:rFonts w:ascii="Times New Roman" w:eastAsia="Times New Roman"/>
                <w:sz w:val="21"/>
              </w:rPr>
              <w:t>/</w:t>
            </w:r>
            <w:r>
              <w:rPr>
                <w:sz w:val="21"/>
              </w:rPr>
              <w:t>气相色谱法</w:t>
            </w:r>
          </w:p>
        </w:tc>
        <w:tc>
          <w:tcPr>
            <w:tcW w:w="1790" w:type="dxa"/>
            <w:tcBorders>
              <w:top w:val="single" w:color="000000" w:sz="4" w:space="0"/>
              <w:left w:val="single" w:color="000000" w:sz="4" w:space="0"/>
              <w:bottom w:val="single" w:color="000000" w:sz="4" w:space="0"/>
            </w:tcBorders>
          </w:tcPr>
          <w:p>
            <w:pPr>
              <w:pStyle w:val="19"/>
              <w:spacing w:before="74"/>
              <w:ind w:left="379"/>
              <w:jc w:val="left"/>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9"/>
              <w:spacing w:before="58"/>
              <w:ind w:left="82" w:right="66"/>
              <w:rPr>
                <w:sz w:val="21"/>
              </w:rPr>
            </w:pPr>
            <w:r>
              <w:rPr>
                <w:sz w:val="21"/>
              </w:rPr>
              <w:t>间二甲苯</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58"/>
              <w:ind w:left="126" w:right="109"/>
              <w:rPr>
                <w:sz w:val="21"/>
              </w:rPr>
            </w:pPr>
            <w:r>
              <w:rPr>
                <w:sz w:val="21"/>
              </w:rPr>
              <w:t>土壤和沉积物挥发性有机物的测定顶空</w:t>
            </w:r>
            <w:r>
              <w:rPr>
                <w:rFonts w:ascii="Times New Roman" w:eastAsia="Times New Roman"/>
                <w:sz w:val="21"/>
              </w:rPr>
              <w:t>/</w:t>
            </w:r>
            <w:r>
              <w:rPr>
                <w:sz w:val="21"/>
              </w:rPr>
              <w:t>气相色谱法</w:t>
            </w:r>
          </w:p>
        </w:tc>
        <w:tc>
          <w:tcPr>
            <w:tcW w:w="1790" w:type="dxa"/>
            <w:tcBorders>
              <w:top w:val="single" w:color="000000" w:sz="4" w:space="0"/>
              <w:left w:val="single" w:color="000000" w:sz="4" w:space="0"/>
              <w:bottom w:val="single" w:color="000000" w:sz="4" w:space="0"/>
            </w:tcBorders>
          </w:tcPr>
          <w:p>
            <w:pPr>
              <w:pStyle w:val="19"/>
              <w:spacing w:before="74"/>
              <w:ind w:left="379"/>
              <w:jc w:val="left"/>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743" w:type="dxa"/>
            <w:tcBorders>
              <w:top w:val="single" w:color="000000" w:sz="4" w:space="0"/>
              <w:bottom w:val="single" w:color="000000" w:sz="4" w:space="0"/>
              <w:right w:val="single" w:color="000000" w:sz="4" w:space="0"/>
            </w:tcBorders>
          </w:tcPr>
          <w:p>
            <w:pPr>
              <w:pStyle w:val="19"/>
              <w:spacing w:before="70"/>
              <w:ind w:left="82" w:right="66"/>
              <w:rPr>
                <w:sz w:val="21"/>
              </w:rPr>
            </w:pPr>
            <w:r>
              <w:rPr>
                <w:sz w:val="21"/>
              </w:rPr>
              <w:t>对二甲苯</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70"/>
              <w:ind w:left="126" w:right="109"/>
              <w:rPr>
                <w:sz w:val="21"/>
              </w:rPr>
            </w:pPr>
            <w:r>
              <w:rPr>
                <w:sz w:val="21"/>
              </w:rPr>
              <w:t>土壤和沉积物挥发性有机物的测定顶空</w:t>
            </w:r>
            <w:r>
              <w:rPr>
                <w:rFonts w:ascii="Times New Roman" w:eastAsia="Times New Roman"/>
                <w:sz w:val="21"/>
              </w:rPr>
              <w:t>/</w:t>
            </w:r>
            <w:r>
              <w:rPr>
                <w:sz w:val="21"/>
              </w:rPr>
              <w:t>气相色谱法</w:t>
            </w:r>
          </w:p>
        </w:tc>
        <w:tc>
          <w:tcPr>
            <w:tcW w:w="1790" w:type="dxa"/>
            <w:tcBorders>
              <w:top w:val="single" w:color="000000" w:sz="4" w:space="0"/>
              <w:left w:val="single" w:color="000000" w:sz="4" w:space="0"/>
              <w:bottom w:val="single" w:color="000000" w:sz="4" w:space="0"/>
            </w:tcBorders>
          </w:tcPr>
          <w:p>
            <w:pPr>
              <w:pStyle w:val="19"/>
              <w:spacing w:before="86"/>
              <w:ind w:left="379"/>
              <w:jc w:val="left"/>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1743" w:type="dxa"/>
            <w:tcBorders>
              <w:top w:val="single" w:color="000000" w:sz="4" w:space="0"/>
              <w:bottom w:val="single" w:color="000000" w:sz="4" w:space="0"/>
              <w:right w:val="single" w:color="000000" w:sz="4" w:space="0"/>
            </w:tcBorders>
          </w:tcPr>
          <w:p>
            <w:pPr>
              <w:pStyle w:val="19"/>
              <w:spacing w:before="70"/>
              <w:ind w:left="82" w:right="66"/>
              <w:rPr>
                <w:sz w:val="21"/>
              </w:rPr>
            </w:pPr>
            <w:r>
              <w:rPr>
                <w:sz w:val="21"/>
              </w:rPr>
              <w:t>邻二甲苯</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70"/>
              <w:ind w:left="126" w:right="109"/>
              <w:rPr>
                <w:sz w:val="21"/>
              </w:rPr>
            </w:pPr>
            <w:r>
              <w:rPr>
                <w:sz w:val="21"/>
              </w:rPr>
              <w:t>土壤和沉积物挥发性有机物的测定顶空</w:t>
            </w:r>
            <w:r>
              <w:rPr>
                <w:rFonts w:ascii="Times New Roman" w:eastAsia="Times New Roman"/>
                <w:sz w:val="21"/>
              </w:rPr>
              <w:t>/</w:t>
            </w:r>
            <w:r>
              <w:rPr>
                <w:sz w:val="21"/>
              </w:rPr>
              <w:t>气相色谱法</w:t>
            </w:r>
          </w:p>
        </w:tc>
        <w:tc>
          <w:tcPr>
            <w:tcW w:w="1790" w:type="dxa"/>
            <w:tcBorders>
              <w:top w:val="single" w:color="000000" w:sz="4" w:space="0"/>
              <w:left w:val="single" w:color="000000" w:sz="4" w:space="0"/>
              <w:bottom w:val="single" w:color="000000" w:sz="4" w:space="0"/>
            </w:tcBorders>
          </w:tcPr>
          <w:p>
            <w:pPr>
              <w:pStyle w:val="19"/>
              <w:spacing w:before="86"/>
              <w:ind w:left="379"/>
              <w:jc w:val="left"/>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743" w:type="dxa"/>
            <w:tcBorders>
              <w:top w:val="single" w:color="000000" w:sz="4" w:space="0"/>
              <w:bottom w:val="single" w:color="000000" w:sz="4" w:space="0"/>
              <w:right w:val="single" w:color="000000" w:sz="4" w:space="0"/>
            </w:tcBorders>
          </w:tcPr>
          <w:p>
            <w:pPr>
              <w:pStyle w:val="19"/>
              <w:spacing w:before="70"/>
              <w:ind w:left="82" w:right="63"/>
              <w:rPr>
                <w:sz w:val="21"/>
              </w:rPr>
            </w:pPr>
            <w:r>
              <w:rPr>
                <w:sz w:val="21"/>
              </w:rPr>
              <w:t>硝基苯</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70"/>
              <w:ind w:left="126" w:right="109"/>
              <w:rPr>
                <w:sz w:val="21"/>
              </w:rPr>
            </w:pPr>
            <w:r>
              <w:rPr>
                <w:sz w:val="21"/>
              </w:rPr>
              <w:t>土壤和沉积物半挥发性有机物的测定气相色谱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86"/>
              <w:ind w:left="379"/>
              <w:jc w:val="left"/>
              <w:rPr>
                <w:rFonts w:ascii="Times New Roman"/>
                <w:sz w:val="21"/>
              </w:rPr>
            </w:pPr>
            <w:r>
              <w:rPr>
                <w:rFonts w:ascii="Times New Roman"/>
                <w:sz w:val="21"/>
              </w:rPr>
              <w:t>HJ834-2017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1" w:hRule="atLeast"/>
        </w:trPr>
        <w:tc>
          <w:tcPr>
            <w:tcW w:w="1743" w:type="dxa"/>
            <w:tcBorders>
              <w:top w:val="single" w:color="000000" w:sz="4" w:space="0"/>
              <w:bottom w:val="single" w:color="000000" w:sz="4" w:space="0"/>
              <w:right w:val="single" w:color="000000" w:sz="4" w:space="0"/>
            </w:tcBorders>
          </w:tcPr>
          <w:p>
            <w:pPr>
              <w:pStyle w:val="19"/>
              <w:spacing w:before="62"/>
              <w:ind w:left="80" w:right="66"/>
              <w:rPr>
                <w:sz w:val="21"/>
              </w:rPr>
            </w:pPr>
            <w:r>
              <w:rPr>
                <w:sz w:val="21"/>
              </w:rPr>
              <w:t>苯胺</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62"/>
              <w:ind w:left="126" w:right="109"/>
              <w:rPr>
                <w:sz w:val="21"/>
              </w:rPr>
            </w:pPr>
            <w:r>
              <w:rPr>
                <w:sz w:val="21"/>
              </w:rPr>
              <w:t>土壤和沉积物半挥发性有机物的测定气相色谱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81"/>
              <w:ind w:left="379"/>
              <w:jc w:val="left"/>
              <w:rPr>
                <w:rFonts w:ascii="Times New Roman"/>
                <w:sz w:val="21"/>
              </w:rPr>
            </w:pPr>
            <w:r>
              <w:rPr>
                <w:rFonts w:ascii="Times New Roman"/>
                <w:sz w:val="21"/>
              </w:rPr>
              <w:t>HJ834-2017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43" w:type="dxa"/>
            <w:tcBorders>
              <w:top w:val="single" w:color="000000" w:sz="4" w:space="0"/>
              <w:bottom w:val="single" w:color="000000" w:sz="4" w:space="0"/>
              <w:right w:val="single" w:color="000000" w:sz="4" w:space="0"/>
            </w:tcBorders>
          </w:tcPr>
          <w:p>
            <w:pPr>
              <w:pStyle w:val="19"/>
              <w:spacing w:before="63"/>
              <w:ind w:left="17"/>
              <w:rPr>
                <w:sz w:val="21"/>
              </w:rPr>
            </w:pPr>
            <w:r>
              <w:rPr>
                <w:w w:val="99"/>
                <w:sz w:val="21"/>
              </w:rPr>
              <w:t>萘</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63"/>
              <w:ind w:left="126" w:right="109"/>
              <w:rPr>
                <w:sz w:val="21"/>
              </w:rPr>
            </w:pPr>
            <w:r>
              <w:rPr>
                <w:sz w:val="21"/>
              </w:rPr>
              <w:t>土壤和沉积物多环芳烃的测定气相色谱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80"/>
              <w:ind w:left="379"/>
              <w:jc w:val="left"/>
              <w:rPr>
                <w:rFonts w:ascii="Times New Roman"/>
                <w:sz w:val="21"/>
              </w:rPr>
            </w:pPr>
            <w:r>
              <w:rPr>
                <w:rFonts w:ascii="Times New Roman"/>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1" w:hRule="atLeast"/>
        </w:trPr>
        <w:tc>
          <w:tcPr>
            <w:tcW w:w="1743" w:type="dxa"/>
            <w:tcBorders>
              <w:top w:val="single" w:color="000000" w:sz="4" w:space="0"/>
              <w:bottom w:val="single" w:color="000000" w:sz="4" w:space="0"/>
              <w:right w:val="single" w:color="000000" w:sz="4" w:space="0"/>
            </w:tcBorders>
          </w:tcPr>
          <w:p>
            <w:pPr>
              <w:pStyle w:val="19"/>
              <w:spacing w:before="62"/>
              <w:ind w:left="82" w:right="66"/>
              <w:rPr>
                <w:sz w:val="21"/>
              </w:rPr>
            </w:pPr>
            <w:r>
              <w:rPr>
                <w:rFonts w:ascii="Times New Roman" w:eastAsia="Times New Roman"/>
                <w:sz w:val="21"/>
              </w:rPr>
              <w:t>2-</w:t>
            </w:r>
            <w:r>
              <w:rPr>
                <w:sz w:val="21"/>
              </w:rPr>
              <w:t>氯酚</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62"/>
              <w:ind w:left="126" w:right="109"/>
              <w:rPr>
                <w:sz w:val="21"/>
              </w:rPr>
            </w:pPr>
            <w:r>
              <w:rPr>
                <w:sz w:val="21"/>
              </w:rPr>
              <w:t>土壤和沉积物半挥发性有机物的测定气相色谱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81"/>
              <w:ind w:left="379"/>
              <w:jc w:val="left"/>
              <w:rPr>
                <w:rFonts w:ascii="Times New Roman"/>
                <w:sz w:val="21"/>
              </w:rPr>
            </w:pPr>
            <w:r>
              <w:rPr>
                <w:rFonts w:ascii="Times New Roman"/>
                <w:sz w:val="21"/>
              </w:rPr>
              <w:t>HJ834-2017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43" w:type="dxa"/>
            <w:tcBorders>
              <w:top w:val="single" w:color="000000" w:sz="4" w:space="0"/>
              <w:bottom w:val="single" w:color="000000" w:sz="4" w:space="0"/>
              <w:right w:val="single" w:color="000000" w:sz="4" w:space="0"/>
            </w:tcBorders>
          </w:tcPr>
          <w:p>
            <w:pPr>
              <w:pStyle w:val="19"/>
              <w:spacing w:before="63"/>
              <w:ind w:left="82" w:right="65"/>
              <w:rPr>
                <w:sz w:val="21"/>
              </w:rPr>
            </w:pPr>
            <w:r>
              <w:rPr>
                <w:sz w:val="21"/>
              </w:rPr>
              <w:t>苯并</w:t>
            </w:r>
            <w:r>
              <w:rPr>
                <w:rFonts w:ascii="Times New Roman" w:eastAsia="Times New Roman"/>
                <w:sz w:val="21"/>
              </w:rPr>
              <w:t>[a]</w:t>
            </w:r>
            <w:r>
              <w:rPr>
                <w:sz w:val="21"/>
              </w:rPr>
              <w:t>蒽</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63"/>
              <w:ind w:left="126" w:right="109"/>
              <w:rPr>
                <w:sz w:val="21"/>
              </w:rPr>
            </w:pPr>
            <w:r>
              <w:rPr>
                <w:sz w:val="21"/>
              </w:rPr>
              <w:t>土壤和沉积物多环芳烃的测定气相色谱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80"/>
              <w:ind w:left="379"/>
              <w:jc w:val="left"/>
              <w:rPr>
                <w:rFonts w:ascii="Times New Roman"/>
                <w:sz w:val="21"/>
              </w:rPr>
            </w:pPr>
            <w:r>
              <w:rPr>
                <w:rFonts w:ascii="Times New Roman"/>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1" w:hRule="atLeast"/>
        </w:trPr>
        <w:tc>
          <w:tcPr>
            <w:tcW w:w="1743" w:type="dxa"/>
            <w:tcBorders>
              <w:top w:val="single" w:color="000000" w:sz="4" w:space="0"/>
              <w:bottom w:val="single" w:color="000000" w:sz="4" w:space="0"/>
              <w:right w:val="single" w:color="000000" w:sz="4" w:space="0"/>
            </w:tcBorders>
          </w:tcPr>
          <w:p>
            <w:pPr>
              <w:pStyle w:val="19"/>
              <w:spacing w:before="62"/>
              <w:ind w:left="82" w:right="65"/>
              <w:rPr>
                <w:sz w:val="21"/>
              </w:rPr>
            </w:pPr>
            <w:r>
              <w:rPr>
                <w:sz w:val="21"/>
              </w:rPr>
              <w:t>苯并</w:t>
            </w:r>
            <w:r>
              <w:rPr>
                <w:rFonts w:ascii="Times New Roman" w:eastAsia="Times New Roman"/>
                <w:sz w:val="21"/>
              </w:rPr>
              <w:t>[a]</w:t>
            </w:r>
            <w:r>
              <w:rPr>
                <w:sz w:val="21"/>
              </w:rPr>
              <w:t>芘</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62"/>
              <w:ind w:left="126" w:right="109"/>
              <w:rPr>
                <w:sz w:val="21"/>
              </w:rPr>
            </w:pPr>
            <w:r>
              <w:rPr>
                <w:sz w:val="21"/>
              </w:rPr>
              <w:t>土壤和沉积物多环芳烃的测定气相色谱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81"/>
              <w:ind w:left="379"/>
              <w:jc w:val="left"/>
              <w:rPr>
                <w:rFonts w:ascii="Times New Roman"/>
                <w:sz w:val="21"/>
              </w:rPr>
            </w:pPr>
            <w:r>
              <w:rPr>
                <w:rFonts w:ascii="Times New Roman"/>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43" w:type="dxa"/>
            <w:tcBorders>
              <w:top w:val="single" w:color="000000" w:sz="4" w:space="0"/>
              <w:bottom w:val="single" w:color="000000" w:sz="4" w:space="0"/>
              <w:right w:val="single" w:color="000000" w:sz="4" w:space="0"/>
            </w:tcBorders>
          </w:tcPr>
          <w:p>
            <w:pPr>
              <w:pStyle w:val="19"/>
              <w:spacing w:before="63"/>
              <w:ind w:left="82" w:right="66"/>
              <w:rPr>
                <w:sz w:val="21"/>
              </w:rPr>
            </w:pPr>
            <w:r>
              <w:rPr>
                <w:sz w:val="21"/>
              </w:rPr>
              <w:t>苯并</w:t>
            </w:r>
            <w:r>
              <w:rPr>
                <w:rFonts w:ascii="Times New Roman" w:eastAsia="Times New Roman"/>
                <w:sz w:val="21"/>
              </w:rPr>
              <w:t>[b]</w:t>
            </w:r>
            <w:r>
              <w:rPr>
                <w:sz w:val="21"/>
              </w:rPr>
              <w:t>荧蒽</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63"/>
              <w:ind w:left="126" w:right="109"/>
              <w:rPr>
                <w:sz w:val="21"/>
              </w:rPr>
            </w:pPr>
            <w:r>
              <w:rPr>
                <w:sz w:val="21"/>
              </w:rPr>
              <w:t>土壤和沉积物多环芳烃的测定气相色谱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80"/>
              <w:ind w:left="379"/>
              <w:jc w:val="left"/>
              <w:rPr>
                <w:rFonts w:ascii="Times New Roman"/>
                <w:sz w:val="21"/>
              </w:rPr>
            </w:pPr>
            <w:r>
              <w:rPr>
                <w:rFonts w:ascii="Times New Roman"/>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43" w:type="dxa"/>
            <w:tcBorders>
              <w:top w:val="single" w:color="000000" w:sz="4" w:space="0"/>
              <w:bottom w:val="single" w:color="000000" w:sz="4" w:space="0"/>
              <w:right w:val="single" w:color="000000" w:sz="4" w:space="0"/>
            </w:tcBorders>
          </w:tcPr>
          <w:p>
            <w:pPr>
              <w:pStyle w:val="19"/>
              <w:spacing w:before="62"/>
              <w:ind w:left="82" w:right="66"/>
              <w:rPr>
                <w:sz w:val="21"/>
              </w:rPr>
            </w:pPr>
            <w:r>
              <w:rPr>
                <w:sz w:val="21"/>
              </w:rPr>
              <w:t>苯并</w:t>
            </w:r>
            <w:r>
              <w:rPr>
                <w:rFonts w:ascii="Times New Roman" w:eastAsia="Times New Roman"/>
                <w:sz w:val="21"/>
              </w:rPr>
              <w:t>[k]</w:t>
            </w:r>
            <w:r>
              <w:rPr>
                <w:sz w:val="21"/>
              </w:rPr>
              <w:t>荧蒽</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62"/>
              <w:ind w:left="126" w:right="109"/>
              <w:rPr>
                <w:sz w:val="21"/>
              </w:rPr>
            </w:pPr>
            <w:r>
              <w:rPr>
                <w:sz w:val="21"/>
              </w:rPr>
              <w:t>土壤和沉积物多环芳烃的测定气相色谱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81"/>
              <w:ind w:left="379"/>
              <w:jc w:val="left"/>
              <w:rPr>
                <w:rFonts w:ascii="Times New Roman"/>
                <w:sz w:val="21"/>
              </w:rPr>
            </w:pPr>
            <w:r>
              <w:rPr>
                <w:rFonts w:ascii="Times New Roman"/>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43" w:type="dxa"/>
            <w:tcBorders>
              <w:top w:val="single" w:color="000000" w:sz="4" w:space="0"/>
              <w:bottom w:val="single" w:color="000000" w:sz="4" w:space="0"/>
              <w:right w:val="single" w:color="000000" w:sz="4" w:space="0"/>
            </w:tcBorders>
          </w:tcPr>
          <w:p>
            <w:pPr>
              <w:pStyle w:val="19"/>
              <w:spacing w:before="63"/>
              <w:ind w:left="17"/>
              <w:rPr>
                <w:sz w:val="21"/>
              </w:rPr>
            </w:pPr>
            <w:r>
              <w:rPr>
                <w:w w:val="99"/>
                <w:sz w:val="21"/>
              </w:rPr>
              <w:t>䓛</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63"/>
              <w:ind w:left="126" w:right="109"/>
              <w:rPr>
                <w:sz w:val="21"/>
              </w:rPr>
            </w:pPr>
            <w:r>
              <w:rPr>
                <w:sz w:val="21"/>
              </w:rPr>
              <w:t>土壤和沉积物多环芳烃的测定气相色谱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80"/>
              <w:ind w:left="379"/>
              <w:jc w:val="left"/>
              <w:rPr>
                <w:rFonts w:ascii="Times New Roman"/>
                <w:sz w:val="21"/>
              </w:rPr>
            </w:pPr>
            <w:r>
              <w:rPr>
                <w:rFonts w:ascii="Times New Roman"/>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43" w:type="dxa"/>
            <w:tcBorders>
              <w:top w:val="single" w:color="000000" w:sz="4" w:space="0"/>
              <w:bottom w:val="single" w:color="000000" w:sz="4" w:space="0"/>
              <w:right w:val="single" w:color="000000" w:sz="4" w:space="0"/>
            </w:tcBorders>
          </w:tcPr>
          <w:p>
            <w:pPr>
              <w:pStyle w:val="19"/>
              <w:spacing w:before="62"/>
              <w:ind w:left="82" w:right="61"/>
              <w:rPr>
                <w:sz w:val="21"/>
              </w:rPr>
            </w:pPr>
            <w:r>
              <w:rPr>
                <w:sz w:val="21"/>
              </w:rPr>
              <w:t>茚并</w:t>
            </w:r>
            <w:r>
              <w:rPr>
                <w:rFonts w:ascii="Times New Roman" w:eastAsia="Times New Roman"/>
                <w:sz w:val="21"/>
              </w:rPr>
              <w:t>[1,2,3-cd]</w:t>
            </w:r>
            <w:r>
              <w:rPr>
                <w:sz w:val="21"/>
              </w:rPr>
              <w:t>芘</w:t>
            </w:r>
          </w:p>
        </w:tc>
        <w:tc>
          <w:tcPr>
            <w:tcW w:w="5680" w:type="dxa"/>
            <w:tcBorders>
              <w:top w:val="single" w:color="000000" w:sz="4" w:space="0"/>
              <w:left w:val="single" w:color="000000" w:sz="4" w:space="0"/>
              <w:bottom w:val="single" w:color="000000" w:sz="4" w:space="0"/>
              <w:right w:val="single" w:color="000000" w:sz="4" w:space="0"/>
            </w:tcBorders>
          </w:tcPr>
          <w:p>
            <w:pPr>
              <w:pStyle w:val="19"/>
              <w:spacing w:before="62"/>
              <w:ind w:left="126" w:right="109"/>
              <w:rPr>
                <w:sz w:val="21"/>
              </w:rPr>
            </w:pPr>
            <w:r>
              <w:rPr>
                <w:sz w:val="21"/>
              </w:rPr>
              <w:t>土壤和沉积物多环芳烃的测定气相色谱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9"/>
              <w:spacing w:before="81"/>
              <w:ind w:left="379"/>
              <w:jc w:val="left"/>
              <w:rPr>
                <w:rFonts w:ascii="Times New Roman"/>
                <w:sz w:val="21"/>
              </w:rPr>
            </w:pPr>
            <w:r>
              <w:rPr>
                <w:rFonts w:ascii="Times New Roman"/>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4" w:hRule="atLeast"/>
        </w:trPr>
        <w:tc>
          <w:tcPr>
            <w:tcW w:w="1743" w:type="dxa"/>
            <w:tcBorders>
              <w:top w:val="single" w:color="000000" w:sz="4" w:space="0"/>
              <w:right w:val="single" w:color="000000" w:sz="4" w:space="0"/>
            </w:tcBorders>
          </w:tcPr>
          <w:p>
            <w:pPr>
              <w:pStyle w:val="19"/>
              <w:spacing w:before="94"/>
              <w:ind w:left="82" w:right="63"/>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5680" w:type="dxa"/>
            <w:tcBorders>
              <w:top w:val="single" w:color="000000" w:sz="4" w:space="0"/>
              <w:left w:val="single" w:color="000000" w:sz="4" w:space="0"/>
              <w:right w:val="single" w:color="000000" w:sz="4" w:space="0"/>
            </w:tcBorders>
          </w:tcPr>
          <w:p>
            <w:pPr>
              <w:pStyle w:val="19"/>
              <w:spacing w:before="94"/>
              <w:ind w:left="126" w:right="109"/>
              <w:rPr>
                <w:sz w:val="21"/>
              </w:rPr>
            </w:pPr>
            <w:r>
              <w:rPr>
                <w:sz w:val="21"/>
              </w:rPr>
              <w:t>土壤和沉积物多环芳烃的测定气相色谱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tcBorders>
          </w:tcPr>
          <w:p>
            <w:pPr>
              <w:pStyle w:val="19"/>
              <w:spacing w:before="111"/>
              <w:ind w:left="379"/>
              <w:jc w:val="left"/>
              <w:rPr>
                <w:rFonts w:ascii="Times New Roman"/>
                <w:sz w:val="21"/>
              </w:rPr>
            </w:pPr>
            <w:r>
              <w:rPr>
                <w:rFonts w:ascii="Times New Roman"/>
                <w:sz w:val="21"/>
              </w:rPr>
              <w:t>HJ805-2016</w:t>
            </w:r>
          </w:p>
        </w:tc>
      </w:tr>
    </w:tbl>
    <w:p>
      <w:pPr>
        <w:pStyle w:val="9"/>
        <w:spacing w:before="3"/>
        <w:ind w:left="1900"/>
      </w:pPr>
      <w:r>
        <w:rPr>
          <w:rFonts w:ascii="Times New Roman" w:eastAsia="Times New Roman"/>
        </w:rPr>
        <w:t>6</w:t>
      </w:r>
      <w:r>
        <w:t>、监测结果</w:t>
      </w:r>
    </w:p>
    <w:p>
      <w:pPr>
        <w:pStyle w:val="18"/>
        <w:numPr>
          <w:ilvl w:val="0"/>
          <w:numId w:val="76"/>
        </w:numPr>
        <w:tabs>
          <w:tab w:val="left" w:pos="2502"/>
        </w:tabs>
        <w:spacing w:before="158" w:after="0" w:line="240" w:lineRule="auto"/>
        <w:ind w:left="2501" w:right="0" w:hanging="602"/>
        <w:jc w:val="left"/>
        <w:rPr>
          <w:sz w:val="24"/>
        </w:rPr>
      </w:pPr>
      <w:r>
        <w:rPr>
          <w:sz w:val="24"/>
        </w:rPr>
        <w:t>土壤环境质量评价分析</w:t>
      </w:r>
    </w:p>
    <w:p>
      <w:pPr>
        <w:pStyle w:val="9"/>
        <w:spacing w:before="160"/>
        <w:ind w:left="1900"/>
      </w:pPr>
      <w:r>
        <w:t>土壤环境质量现状监测结果见下表。</w:t>
      </w:r>
    </w:p>
    <w:p>
      <w:pPr>
        <w:spacing w:before="157"/>
        <w:ind w:left="10" w:right="0" w:firstLine="0"/>
        <w:jc w:val="center"/>
        <w:rPr>
          <w:b/>
          <w:sz w:val="21"/>
        </w:rPr>
      </w:pPr>
      <w:r>
        <w:rPr>
          <w:b/>
          <w:spacing w:val="-26"/>
          <w:sz w:val="21"/>
        </w:rPr>
        <w:t xml:space="preserve">表 </w:t>
      </w:r>
      <w:r>
        <w:rPr>
          <w:rFonts w:ascii="Times New Roman" w:eastAsia="Times New Roman"/>
          <w:b/>
          <w:sz w:val="21"/>
        </w:rPr>
        <w:t>9.3-2</w:t>
      </w:r>
      <w:r>
        <w:rPr>
          <w:rFonts w:ascii="Times New Roman" w:eastAsia="Times New Roman"/>
          <w:b/>
          <w:spacing w:val="52"/>
          <w:sz w:val="21"/>
        </w:rPr>
        <w:t xml:space="preserve"> </w:t>
      </w:r>
      <w:r>
        <w:rPr>
          <w:b/>
          <w:sz w:val="21"/>
        </w:rPr>
        <w:t>土壤环境质量现状监测结果（</w:t>
      </w:r>
      <w:r>
        <w:rPr>
          <w:rFonts w:ascii="Times New Roman" w:eastAsia="Times New Roman"/>
          <w:b/>
          <w:sz w:val="21"/>
        </w:rPr>
        <w:t>1</w:t>
      </w:r>
      <w:r>
        <w:rPr>
          <w:b/>
          <w:sz w:val="21"/>
        </w:rPr>
        <w:t>）</w:t>
      </w:r>
    </w:p>
    <w:p>
      <w:pPr>
        <w:spacing w:after="0"/>
        <w:jc w:val="center"/>
        <w:rPr>
          <w:sz w:val="21"/>
        </w:rPr>
        <w:sectPr>
          <w:footerReference r:id="rId25" w:type="default"/>
          <w:pgSz w:w="11910" w:h="16840"/>
          <w:pgMar w:top="1400" w:right="0" w:bottom="800" w:left="0" w:header="0" w:footer="601" w:gutter="0"/>
          <w:pgNumType w:start="160"/>
        </w:sectPr>
      </w:pPr>
    </w:p>
    <w:tbl>
      <w:tblPr>
        <w:tblStyle w:val="15"/>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05"/>
        <w:gridCol w:w="1618"/>
        <w:gridCol w:w="2731"/>
        <w:gridCol w:w="2738"/>
        <w:gridCol w:w="100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205" w:type="dxa"/>
            <w:vMerge w:val="restart"/>
            <w:tcBorders>
              <w:bottom w:val="single" w:color="000000" w:sz="4" w:space="0"/>
              <w:right w:val="single" w:color="000000" w:sz="4" w:space="0"/>
            </w:tcBorders>
          </w:tcPr>
          <w:p>
            <w:pPr>
              <w:pStyle w:val="19"/>
              <w:spacing w:before="6"/>
              <w:jc w:val="left"/>
              <w:rPr>
                <w:b/>
                <w:sz w:val="24"/>
              </w:rPr>
            </w:pPr>
          </w:p>
          <w:p>
            <w:pPr>
              <w:pStyle w:val="19"/>
              <w:ind w:left="184"/>
              <w:jc w:val="left"/>
              <w:rPr>
                <w:sz w:val="21"/>
              </w:rPr>
            </w:pPr>
            <w:r>
              <w:rPr>
                <w:sz w:val="21"/>
              </w:rPr>
              <w:t>采样时间</w:t>
            </w:r>
          </w:p>
        </w:tc>
        <w:tc>
          <w:tcPr>
            <w:tcW w:w="1618" w:type="dxa"/>
            <w:vMerge w:val="restart"/>
            <w:tcBorders>
              <w:left w:val="single" w:color="000000" w:sz="4" w:space="0"/>
              <w:bottom w:val="single" w:color="000000" w:sz="4" w:space="0"/>
              <w:right w:val="single" w:color="000000" w:sz="4" w:space="0"/>
            </w:tcBorders>
          </w:tcPr>
          <w:p>
            <w:pPr>
              <w:pStyle w:val="19"/>
              <w:spacing w:before="6"/>
              <w:jc w:val="left"/>
              <w:rPr>
                <w:b/>
                <w:sz w:val="24"/>
              </w:rPr>
            </w:pPr>
          </w:p>
          <w:p>
            <w:pPr>
              <w:pStyle w:val="19"/>
              <w:ind w:left="393"/>
              <w:jc w:val="left"/>
              <w:rPr>
                <w:sz w:val="21"/>
              </w:rPr>
            </w:pPr>
            <w:r>
              <w:rPr>
                <w:sz w:val="21"/>
              </w:rPr>
              <w:t>检测项目</w:t>
            </w:r>
          </w:p>
        </w:tc>
        <w:tc>
          <w:tcPr>
            <w:tcW w:w="5469" w:type="dxa"/>
            <w:gridSpan w:val="2"/>
            <w:tcBorders>
              <w:left w:val="single" w:color="000000" w:sz="4" w:space="0"/>
              <w:bottom w:val="single" w:color="000000" w:sz="4" w:space="0"/>
              <w:right w:val="single" w:color="000000" w:sz="4" w:space="0"/>
            </w:tcBorders>
          </w:tcPr>
          <w:p>
            <w:pPr>
              <w:pStyle w:val="19"/>
              <w:spacing w:before="2"/>
              <w:ind w:left="2296" w:right="2282"/>
              <w:rPr>
                <w:sz w:val="21"/>
              </w:rPr>
            </w:pPr>
            <w:r>
              <w:rPr>
                <w:sz w:val="21"/>
              </w:rPr>
              <w:t>检测结果</w:t>
            </w:r>
          </w:p>
        </w:tc>
        <w:tc>
          <w:tcPr>
            <w:tcW w:w="1007" w:type="dxa"/>
            <w:vMerge w:val="restart"/>
            <w:tcBorders>
              <w:left w:val="single" w:color="000000" w:sz="4" w:space="0"/>
              <w:bottom w:val="single" w:color="000000" w:sz="4" w:space="0"/>
            </w:tcBorders>
          </w:tcPr>
          <w:p>
            <w:pPr>
              <w:pStyle w:val="19"/>
              <w:spacing w:before="6"/>
              <w:jc w:val="left"/>
              <w:rPr>
                <w:b/>
                <w:sz w:val="24"/>
              </w:rPr>
            </w:pPr>
          </w:p>
          <w:p>
            <w:pPr>
              <w:pStyle w:val="19"/>
              <w:ind w:left="295"/>
              <w:jc w:val="left"/>
              <w:rPr>
                <w:sz w:val="21"/>
              </w:rPr>
            </w:pPr>
            <w:r>
              <w:rPr>
                <w:sz w:val="21"/>
              </w:rPr>
              <w:t>单位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5" w:hRule="atLeast"/>
        </w:trPr>
        <w:tc>
          <w:tcPr>
            <w:tcW w:w="1205" w:type="dxa"/>
            <w:vMerge w:val="continue"/>
            <w:tcBorders>
              <w:top w:val="nil"/>
              <w:bottom w:val="single" w:color="000000" w:sz="4" w:space="0"/>
              <w:right w:val="single" w:color="000000" w:sz="4" w:space="0"/>
            </w:tcBorders>
          </w:tcPr>
          <w:p>
            <w:pPr>
              <w:rPr>
                <w:sz w:val="2"/>
                <w:szCs w:val="2"/>
              </w:rPr>
            </w:pPr>
          </w:p>
        </w:tc>
        <w:tc>
          <w:tcPr>
            <w:tcW w:w="1618" w:type="dxa"/>
            <w:vMerge w:val="continue"/>
            <w:tcBorders>
              <w:top w:val="nil"/>
              <w:left w:val="single" w:color="000000" w:sz="4" w:space="0"/>
              <w:bottom w:val="single" w:color="000000" w:sz="4" w:space="0"/>
              <w:right w:val="single" w:color="000000" w:sz="4" w:space="0"/>
            </w:tcBorders>
          </w:tcPr>
          <w:p>
            <w:pPr>
              <w:rPr>
                <w:sz w:val="2"/>
                <w:szCs w:val="2"/>
              </w:rPr>
            </w:pP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
              <w:ind w:left="297" w:right="283"/>
              <w:rPr>
                <w:sz w:val="21"/>
              </w:rPr>
            </w:pPr>
            <w:r>
              <w:rPr>
                <w:sz w:val="21"/>
              </w:rPr>
              <w:t>主井工业广场内表层土</w:t>
            </w:r>
          </w:p>
          <w:p>
            <w:pPr>
              <w:pStyle w:val="19"/>
              <w:spacing w:before="54"/>
              <w:ind w:left="297" w:right="277"/>
              <w:rPr>
                <w:rFonts w:ascii="Times New Roman"/>
                <w:sz w:val="21"/>
              </w:rPr>
            </w:pPr>
            <w:r>
              <w:rPr>
                <w:rFonts w:ascii="Times New Roman"/>
                <w:sz w:val="21"/>
              </w:rPr>
              <w:t>TR3006-20101</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
              <w:ind w:left="302" w:right="285"/>
              <w:rPr>
                <w:sz w:val="21"/>
              </w:rPr>
            </w:pPr>
            <w:r>
              <w:rPr>
                <w:sz w:val="21"/>
              </w:rPr>
              <w:t>副井工业广场内表层土</w:t>
            </w:r>
          </w:p>
          <w:p>
            <w:pPr>
              <w:pStyle w:val="19"/>
              <w:spacing w:before="54"/>
              <w:ind w:left="302" w:right="284"/>
              <w:rPr>
                <w:rFonts w:ascii="Times New Roman"/>
                <w:sz w:val="21"/>
              </w:rPr>
            </w:pPr>
            <w:r>
              <w:rPr>
                <w:rFonts w:ascii="Times New Roman"/>
                <w:sz w:val="21"/>
              </w:rPr>
              <w:t>TR3006-20401</w:t>
            </w:r>
          </w:p>
        </w:tc>
        <w:tc>
          <w:tcPr>
            <w:tcW w:w="100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1205" w:type="dxa"/>
            <w:vMerge w:val="restart"/>
            <w:tcBorders>
              <w:top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8"/>
              <w:jc w:val="left"/>
              <w:rPr>
                <w:b/>
                <w:sz w:val="25"/>
              </w:rPr>
            </w:pPr>
          </w:p>
          <w:p>
            <w:pPr>
              <w:pStyle w:val="19"/>
              <w:ind w:left="131"/>
              <w:jc w:val="left"/>
              <w:rPr>
                <w:rFonts w:ascii="Times New Roman"/>
                <w:sz w:val="21"/>
              </w:rPr>
            </w:pPr>
            <w:r>
              <w:rPr>
                <w:rFonts w:ascii="Times New Roman"/>
                <w:sz w:val="21"/>
              </w:rPr>
              <w:t>2020.04.14</w:t>
            </w:r>
          </w:p>
        </w:tc>
        <w:tc>
          <w:tcPr>
            <w:tcW w:w="1618" w:type="dxa"/>
            <w:tcBorders>
              <w:top w:val="single" w:color="000000" w:sz="4" w:space="0"/>
              <w:left w:val="single" w:color="000000" w:sz="4" w:space="0"/>
              <w:bottom w:val="single" w:color="000000" w:sz="4" w:space="0"/>
              <w:right w:val="single" w:color="000000" w:sz="4" w:space="0"/>
            </w:tcBorders>
          </w:tcPr>
          <w:p>
            <w:pPr>
              <w:pStyle w:val="19"/>
              <w:spacing w:before="1"/>
              <w:ind w:left="48" w:right="31"/>
              <w:rPr>
                <w:sz w:val="21"/>
              </w:rPr>
            </w:pPr>
            <w:r>
              <w:rPr>
                <w:rFonts w:ascii="Times New Roman" w:eastAsia="Times New Roman"/>
                <w:sz w:val="21"/>
              </w:rPr>
              <w:t xml:space="preserve">pH </w:t>
            </w:r>
            <w:r>
              <w:rPr>
                <w:sz w:val="21"/>
              </w:rPr>
              <w:t>值</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44"/>
              <w:ind w:left="297" w:right="277"/>
              <w:rPr>
                <w:rFonts w:ascii="Times New Roman"/>
                <w:sz w:val="21"/>
              </w:rPr>
            </w:pPr>
            <w:bookmarkStart w:id="503" w:name="7.12"/>
            <w:bookmarkEnd w:id="503"/>
            <w:r>
              <w:rPr>
                <w:rFonts w:ascii="Times New Roman"/>
                <w:sz w:val="21"/>
              </w:rPr>
              <w:t>7.12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44"/>
              <w:ind w:left="302" w:right="282"/>
              <w:rPr>
                <w:rFonts w:ascii="Times New Roman"/>
                <w:sz w:val="21"/>
              </w:rPr>
            </w:pPr>
            <w:bookmarkStart w:id="504" w:name="7.47"/>
            <w:bookmarkEnd w:id="504"/>
            <w:r>
              <w:rPr>
                <w:rFonts w:ascii="Times New Roman"/>
                <w:sz w:val="21"/>
              </w:rPr>
              <w:t>7.47</w:t>
            </w:r>
          </w:p>
        </w:tc>
        <w:tc>
          <w:tcPr>
            <w:tcW w:w="1007" w:type="dxa"/>
            <w:tcBorders>
              <w:top w:val="single" w:color="000000" w:sz="4" w:space="0"/>
              <w:left w:val="single" w:color="000000" w:sz="4" w:space="0"/>
              <w:bottom w:val="single" w:color="000000" w:sz="4" w:space="0"/>
            </w:tcBorders>
          </w:tcPr>
          <w:p>
            <w:pPr>
              <w:pStyle w:val="19"/>
              <w:spacing w:before="1"/>
              <w:ind w:left="189"/>
              <w:jc w:val="left"/>
              <w:rPr>
                <w:sz w:val="21"/>
              </w:rPr>
            </w:pPr>
            <w:r>
              <w:rPr>
                <w:sz w:val="21"/>
              </w:rPr>
              <w:t>无量纲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29"/>
              <w:rPr>
                <w:sz w:val="21"/>
              </w:rPr>
            </w:pPr>
            <w:r>
              <w:rPr>
                <w:sz w:val="21"/>
              </w:rPr>
              <w:t>含盐量</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40"/>
              <w:ind w:left="297" w:right="280"/>
              <w:rPr>
                <w:rFonts w:ascii="Times New Roman"/>
                <w:sz w:val="21"/>
              </w:rPr>
            </w:pPr>
            <w:bookmarkStart w:id="505" w:name="1.5"/>
            <w:bookmarkEnd w:id="505"/>
            <w:r>
              <w:rPr>
                <w:rFonts w:ascii="Times New Roman"/>
                <w:sz w:val="21"/>
              </w:rPr>
              <w:t>1.5</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40"/>
              <w:ind w:left="302" w:right="282"/>
              <w:rPr>
                <w:rFonts w:ascii="Times New Roman"/>
                <w:sz w:val="21"/>
              </w:rPr>
            </w:pPr>
            <w:bookmarkStart w:id="506" w:name="1.8"/>
            <w:bookmarkEnd w:id="506"/>
            <w:r>
              <w:rPr>
                <w:rFonts w:ascii="Times New Roman"/>
                <w:sz w:val="21"/>
              </w:rPr>
              <w:t>1.8</w:t>
            </w:r>
          </w:p>
        </w:tc>
        <w:tc>
          <w:tcPr>
            <w:tcW w:w="1007" w:type="dxa"/>
            <w:tcBorders>
              <w:top w:val="single" w:color="000000" w:sz="4" w:space="0"/>
              <w:left w:val="single" w:color="000000" w:sz="4" w:space="0"/>
              <w:bottom w:val="single" w:color="000000" w:sz="4" w:space="0"/>
            </w:tcBorders>
          </w:tcPr>
          <w:p>
            <w:pPr>
              <w:pStyle w:val="19"/>
              <w:spacing w:before="14"/>
              <w:ind w:left="319"/>
              <w:jc w:val="left"/>
              <w:rPr>
                <w:rFonts w:ascii="Times New Roman"/>
                <w:sz w:val="21"/>
              </w:rPr>
            </w:pPr>
            <w:r>
              <w:rPr>
                <w:rFonts w:ascii="Times New Roman"/>
                <w:sz w:val="21"/>
              </w:rPr>
              <w:t>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6" w:lineRule="exact"/>
              <w:ind w:left="17"/>
              <w:rPr>
                <w:sz w:val="21"/>
              </w:rPr>
            </w:pPr>
            <w:r>
              <w:rPr>
                <w:w w:val="99"/>
                <w:sz w:val="21"/>
              </w:rPr>
              <w:t>砷</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39"/>
              <w:ind w:left="297" w:right="277"/>
              <w:rPr>
                <w:rFonts w:ascii="Times New Roman"/>
                <w:sz w:val="21"/>
              </w:rPr>
            </w:pPr>
            <w:bookmarkStart w:id="507" w:name="10.6"/>
            <w:bookmarkEnd w:id="507"/>
            <w:r>
              <w:rPr>
                <w:rFonts w:ascii="Times New Roman"/>
                <w:sz w:val="21"/>
              </w:rPr>
              <w:t>10.6</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39"/>
              <w:ind w:left="302" w:right="282"/>
              <w:rPr>
                <w:rFonts w:ascii="Times New Roman"/>
                <w:sz w:val="21"/>
              </w:rPr>
            </w:pPr>
            <w:bookmarkStart w:id="508" w:name="10.7"/>
            <w:bookmarkEnd w:id="508"/>
            <w:r>
              <w:rPr>
                <w:rFonts w:ascii="Times New Roman"/>
                <w:sz w:val="21"/>
              </w:rPr>
              <w:t>10.7</w:t>
            </w:r>
          </w:p>
        </w:tc>
        <w:tc>
          <w:tcPr>
            <w:tcW w:w="1007" w:type="dxa"/>
            <w:tcBorders>
              <w:top w:val="single" w:color="000000" w:sz="4" w:space="0"/>
              <w:left w:val="single" w:color="000000" w:sz="4" w:space="0"/>
              <w:bottom w:val="single" w:color="000000" w:sz="4" w:space="0"/>
            </w:tcBorders>
          </w:tcPr>
          <w:p>
            <w:pPr>
              <w:pStyle w:val="19"/>
              <w:spacing w:before="13"/>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17"/>
              <w:rPr>
                <w:sz w:val="21"/>
              </w:rPr>
            </w:pPr>
            <w:r>
              <w:rPr>
                <w:w w:val="99"/>
                <w:sz w:val="21"/>
              </w:rPr>
              <w:t>镉</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38"/>
              <w:ind w:left="297" w:right="277"/>
              <w:rPr>
                <w:rFonts w:ascii="Times New Roman"/>
                <w:sz w:val="21"/>
              </w:rPr>
            </w:pPr>
            <w:bookmarkStart w:id="509" w:name="0.09"/>
            <w:bookmarkEnd w:id="509"/>
            <w:r>
              <w:rPr>
                <w:rFonts w:ascii="Times New Roman"/>
                <w:sz w:val="21"/>
              </w:rPr>
              <w:t>0.09</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38"/>
              <w:ind w:left="302" w:right="282"/>
              <w:rPr>
                <w:rFonts w:ascii="Times New Roman"/>
                <w:sz w:val="21"/>
              </w:rPr>
            </w:pPr>
            <w:bookmarkStart w:id="510" w:name="0.10"/>
            <w:bookmarkEnd w:id="510"/>
            <w:r>
              <w:rPr>
                <w:rFonts w:ascii="Times New Roman"/>
                <w:sz w:val="21"/>
              </w:rPr>
              <w:t>0.10</w:t>
            </w:r>
          </w:p>
        </w:tc>
        <w:tc>
          <w:tcPr>
            <w:tcW w:w="1007" w:type="dxa"/>
            <w:tcBorders>
              <w:top w:val="single" w:color="000000" w:sz="4" w:space="0"/>
              <w:left w:val="single" w:color="000000" w:sz="4" w:space="0"/>
              <w:bottom w:val="single" w:color="000000" w:sz="4" w:space="0"/>
            </w:tcBorders>
          </w:tcPr>
          <w:p>
            <w:pPr>
              <w:pStyle w:val="19"/>
              <w:spacing w:before="12"/>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29"/>
              <w:rPr>
                <w:sz w:val="21"/>
              </w:rPr>
            </w:pPr>
            <w:r>
              <w:rPr>
                <w:sz w:val="21"/>
              </w:rPr>
              <w:t>六价铬</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40"/>
              <w:ind w:left="297" w:right="277"/>
              <w:rPr>
                <w:rFonts w:ascii="Times New Roman"/>
                <w:sz w:val="21"/>
              </w:rPr>
            </w:pPr>
            <w:bookmarkStart w:id="511" w:name="2.26"/>
            <w:bookmarkEnd w:id="511"/>
            <w:r>
              <w:rPr>
                <w:rFonts w:ascii="Times New Roman"/>
                <w:sz w:val="21"/>
              </w:rPr>
              <w:t>2.26</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40"/>
              <w:ind w:left="302" w:right="284"/>
              <w:rPr>
                <w:rFonts w:ascii="Times New Roman"/>
                <w:sz w:val="21"/>
              </w:rPr>
            </w:pPr>
            <w:bookmarkStart w:id="512" w:name="&lt;2"/>
            <w:bookmarkEnd w:id="512"/>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9"/>
              <w:spacing w:before="11"/>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6" w:lineRule="exact"/>
              <w:ind w:left="17"/>
              <w:rPr>
                <w:sz w:val="21"/>
              </w:rPr>
            </w:pPr>
            <w:r>
              <w:rPr>
                <w:w w:val="99"/>
                <w:sz w:val="21"/>
              </w:rPr>
              <w:t>铜</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40"/>
              <w:ind w:left="297" w:right="280"/>
              <w:rPr>
                <w:rFonts w:ascii="Times New Roman"/>
                <w:sz w:val="21"/>
              </w:rPr>
            </w:pPr>
            <w:bookmarkStart w:id="513" w:name="10"/>
            <w:bookmarkEnd w:id="513"/>
            <w:r>
              <w:rPr>
                <w:rFonts w:ascii="Times New Roman"/>
                <w:sz w:val="21"/>
              </w:rPr>
              <w:t>10</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40"/>
              <w:ind w:left="302" w:right="282"/>
              <w:rPr>
                <w:rFonts w:ascii="Times New Roman"/>
                <w:sz w:val="21"/>
              </w:rPr>
            </w:pPr>
            <w:bookmarkStart w:id="514" w:name="10"/>
            <w:bookmarkEnd w:id="514"/>
            <w:r>
              <w:rPr>
                <w:rFonts w:ascii="Times New Roman"/>
                <w:sz w:val="21"/>
              </w:rPr>
              <w:t>10</w:t>
            </w:r>
          </w:p>
        </w:tc>
        <w:tc>
          <w:tcPr>
            <w:tcW w:w="1007" w:type="dxa"/>
            <w:tcBorders>
              <w:top w:val="single" w:color="000000" w:sz="4" w:space="0"/>
              <w:left w:val="single" w:color="000000" w:sz="4" w:space="0"/>
              <w:bottom w:val="single" w:color="000000" w:sz="4" w:space="0"/>
            </w:tcBorders>
          </w:tcPr>
          <w:p>
            <w:pPr>
              <w:pStyle w:val="19"/>
              <w:spacing w:before="13"/>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17"/>
              <w:rPr>
                <w:sz w:val="21"/>
              </w:rPr>
            </w:pPr>
            <w:r>
              <w:rPr>
                <w:w w:val="99"/>
                <w:sz w:val="21"/>
              </w:rPr>
              <w:t>铅</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39"/>
              <w:ind w:left="297" w:right="277"/>
              <w:rPr>
                <w:rFonts w:ascii="Times New Roman"/>
                <w:sz w:val="21"/>
              </w:rPr>
            </w:pPr>
            <w:bookmarkStart w:id="515" w:name="31.1"/>
            <w:bookmarkEnd w:id="515"/>
            <w:r>
              <w:rPr>
                <w:rFonts w:ascii="Times New Roman"/>
                <w:sz w:val="21"/>
              </w:rPr>
              <w:t>31.1</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39"/>
              <w:ind w:left="302" w:right="282"/>
              <w:rPr>
                <w:rFonts w:ascii="Times New Roman"/>
                <w:sz w:val="21"/>
              </w:rPr>
            </w:pPr>
            <w:bookmarkStart w:id="516" w:name="33.3"/>
            <w:bookmarkEnd w:id="516"/>
            <w:r>
              <w:rPr>
                <w:rFonts w:ascii="Times New Roman"/>
                <w:sz w:val="21"/>
              </w:rPr>
              <w:t>33.3</w:t>
            </w:r>
          </w:p>
        </w:tc>
        <w:tc>
          <w:tcPr>
            <w:tcW w:w="1007" w:type="dxa"/>
            <w:tcBorders>
              <w:top w:val="single" w:color="000000" w:sz="4" w:space="0"/>
              <w:left w:val="single" w:color="000000" w:sz="4" w:space="0"/>
              <w:bottom w:val="single" w:color="000000" w:sz="4" w:space="0"/>
            </w:tcBorders>
          </w:tcPr>
          <w:p>
            <w:pPr>
              <w:pStyle w:val="19"/>
              <w:spacing w:before="12"/>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17"/>
              <w:rPr>
                <w:sz w:val="21"/>
              </w:rPr>
            </w:pPr>
            <w:r>
              <w:rPr>
                <w:w w:val="99"/>
                <w:sz w:val="21"/>
              </w:rPr>
              <w:t>汞</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40"/>
              <w:ind w:right="1112"/>
              <w:jc w:val="right"/>
              <w:rPr>
                <w:rFonts w:ascii="Times New Roman"/>
                <w:sz w:val="21"/>
              </w:rPr>
            </w:pPr>
            <w:bookmarkStart w:id="517" w:name="0.126"/>
            <w:bookmarkEnd w:id="517"/>
            <w:r>
              <w:rPr>
                <w:rFonts w:ascii="Times New Roman"/>
                <w:sz w:val="21"/>
              </w:rPr>
              <w:t>0.126</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40"/>
              <w:ind w:left="302" w:right="282"/>
              <w:rPr>
                <w:rFonts w:ascii="Times New Roman"/>
                <w:sz w:val="21"/>
              </w:rPr>
            </w:pPr>
            <w:bookmarkStart w:id="518" w:name="0.128"/>
            <w:bookmarkEnd w:id="518"/>
            <w:r>
              <w:rPr>
                <w:rFonts w:ascii="Times New Roman"/>
                <w:sz w:val="21"/>
              </w:rPr>
              <w:t>0.128</w:t>
            </w:r>
          </w:p>
        </w:tc>
        <w:tc>
          <w:tcPr>
            <w:tcW w:w="1007" w:type="dxa"/>
            <w:tcBorders>
              <w:top w:val="single" w:color="000000" w:sz="4" w:space="0"/>
              <w:left w:val="single" w:color="000000" w:sz="4" w:space="0"/>
              <w:bottom w:val="single" w:color="000000" w:sz="4" w:space="0"/>
            </w:tcBorders>
          </w:tcPr>
          <w:p>
            <w:pPr>
              <w:pStyle w:val="19"/>
              <w:spacing w:before="14"/>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3" w:lineRule="exact"/>
              <w:ind w:left="17"/>
              <w:rPr>
                <w:sz w:val="21"/>
              </w:rPr>
            </w:pPr>
            <w:r>
              <w:rPr>
                <w:w w:val="99"/>
                <w:sz w:val="21"/>
              </w:rPr>
              <w:t>镍</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39"/>
              <w:ind w:left="297" w:right="280"/>
              <w:rPr>
                <w:rFonts w:ascii="Times New Roman"/>
                <w:sz w:val="21"/>
              </w:rPr>
            </w:pPr>
            <w:bookmarkStart w:id="519" w:name="39"/>
            <w:bookmarkEnd w:id="519"/>
            <w:r>
              <w:rPr>
                <w:rFonts w:ascii="Times New Roman"/>
                <w:sz w:val="21"/>
              </w:rPr>
              <w:t>39</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39"/>
              <w:ind w:left="302" w:right="282"/>
              <w:rPr>
                <w:rFonts w:ascii="Times New Roman"/>
                <w:sz w:val="21"/>
              </w:rPr>
            </w:pPr>
            <w:bookmarkStart w:id="520" w:name="51"/>
            <w:bookmarkEnd w:id="520"/>
            <w:r>
              <w:rPr>
                <w:rFonts w:ascii="Times New Roman"/>
                <w:sz w:val="21"/>
              </w:rPr>
              <w:t>51</w:t>
            </w:r>
          </w:p>
        </w:tc>
        <w:tc>
          <w:tcPr>
            <w:tcW w:w="1007" w:type="dxa"/>
            <w:tcBorders>
              <w:top w:val="single" w:color="000000" w:sz="4" w:space="0"/>
              <w:left w:val="single" w:color="000000" w:sz="4" w:space="0"/>
              <w:bottom w:val="single" w:color="000000" w:sz="4" w:space="0"/>
            </w:tcBorders>
          </w:tcPr>
          <w:p>
            <w:pPr>
              <w:pStyle w:val="19"/>
              <w:spacing w:before="13"/>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48" w:right="32"/>
              <w:rPr>
                <w:sz w:val="21"/>
              </w:rPr>
            </w:pPr>
            <w:r>
              <w:rPr>
                <w:sz w:val="21"/>
              </w:rPr>
              <w:t>四氯化碳</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9"/>
              <w:spacing w:before="12"/>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29"/>
              <w:rPr>
                <w:sz w:val="21"/>
              </w:rPr>
            </w:pPr>
            <w:r>
              <w:rPr>
                <w:sz w:val="21"/>
              </w:rPr>
              <w:t>氯甲烷</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1"/>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1"/>
              <w:ind w:left="302" w:right="284"/>
              <w:rPr>
                <w:rFonts w:ascii="Times New Roman"/>
                <w:sz w:val="21"/>
              </w:rPr>
            </w:pPr>
            <w:r>
              <w:rPr>
                <w:rFonts w:ascii="Times New Roman"/>
                <w:sz w:val="21"/>
              </w:rPr>
              <w:t>&lt;3</w:t>
            </w:r>
          </w:p>
        </w:tc>
        <w:tc>
          <w:tcPr>
            <w:tcW w:w="1007" w:type="dxa"/>
            <w:tcBorders>
              <w:top w:val="single" w:color="000000" w:sz="4" w:space="0"/>
              <w:left w:val="single" w:color="000000" w:sz="4" w:space="0"/>
              <w:bottom w:val="single" w:color="000000" w:sz="4" w:space="0"/>
            </w:tcBorders>
          </w:tcPr>
          <w:p>
            <w:pPr>
              <w:pStyle w:val="19"/>
              <w:spacing w:before="11"/>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6" w:lineRule="exact"/>
              <w:ind w:left="46" w:right="32"/>
              <w:rPr>
                <w:sz w:val="21"/>
              </w:rPr>
            </w:pPr>
            <w:r>
              <w:rPr>
                <w:sz w:val="21"/>
              </w:rPr>
              <w:t>氯仿</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3"/>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3"/>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9"/>
              <w:spacing w:before="13"/>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48" w:right="32"/>
              <w:rPr>
                <w:sz w:val="21"/>
              </w:rPr>
            </w:pPr>
            <w:r>
              <w:rPr>
                <w:rFonts w:ascii="Times New Roman" w:eastAsia="Times New Roman"/>
                <w:sz w:val="21"/>
              </w:rPr>
              <w:t>1,1-</w:t>
            </w:r>
            <w:r>
              <w:rPr>
                <w:sz w:val="21"/>
              </w:rPr>
              <w:t>二氯乙烷</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9"/>
              <w:spacing w:before="12"/>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32"/>
              <w:rPr>
                <w:sz w:val="21"/>
              </w:rPr>
            </w:pPr>
            <w:r>
              <w:rPr>
                <w:rFonts w:ascii="Times New Roman" w:eastAsia="Times New Roman"/>
                <w:sz w:val="21"/>
              </w:rPr>
              <w:t>1,2-</w:t>
            </w:r>
            <w:r>
              <w:rPr>
                <w:sz w:val="21"/>
              </w:rPr>
              <w:t>二氯乙烷</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1"/>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1"/>
              <w:ind w:left="302" w:right="284"/>
              <w:rPr>
                <w:rFonts w:ascii="Times New Roman"/>
                <w:sz w:val="21"/>
              </w:rPr>
            </w:pPr>
            <w:r>
              <w:rPr>
                <w:rFonts w:ascii="Times New Roman"/>
                <w:sz w:val="21"/>
              </w:rPr>
              <w:t>&lt;3</w:t>
            </w:r>
          </w:p>
        </w:tc>
        <w:tc>
          <w:tcPr>
            <w:tcW w:w="1007" w:type="dxa"/>
            <w:tcBorders>
              <w:top w:val="single" w:color="000000" w:sz="4" w:space="0"/>
              <w:left w:val="single" w:color="000000" w:sz="4" w:space="0"/>
              <w:bottom w:val="single" w:color="000000" w:sz="4" w:space="0"/>
            </w:tcBorders>
          </w:tcPr>
          <w:p>
            <w:pPr>
              <w:pStyle w:val="19"/>
              <w:spacing w:before="11"/>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3" w:lineRule="exact"/>
              <w:ind w:left="48" w:right="32"/>
              <w:rPr>
                <w:sz w:val="21"/>
              </w:rPr>
            </w:pPr>
            <w:r>
              <w:rPr>
                <w:rFonts w:ascii="Times New Roman" w:eastAsia="Times New Roman"/>
                <w:sz w:val="21"/>
              </w:rPr>
              <w:t>1,1-</w:t>
            </w:r>
            <w:r>
              <w:rPr>
                <w:sz w:val="21"/>
              </w:rPr>
              <w:t>二氯乙烯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9"/>
              <w:spacing w:before="12"/>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29"/>
              <w:rPr>
                <w:sz w:val="21"/>
              </w:rPr>
            </w:pPr>
            <w:r>
              <w:rPr>
                <w:sz w:val="21"/>
              </w:rPr>
              <w:t>顺</w:t>
            </w:r>
            <w:r>
              <w:rPr>
                <w:rFonts w:ascii="Times New Roman" w:eastAsia="Times New Roman"/>
                <w:sz w:val="21"/>
              </w:rPr>
              <w:t>-1,2-</w:t>
            </w:r>
            <w:r>
              <w:rPr>
                <w:sz w:val="21"/>
              </w:rPr>
              <w:t>二氯乙烯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1"/>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1"/>
              <w:ind w:left="302" w:right="284"/>
              <w:rPr>
                <w:rFonts w:ascii="Times New Roman"/>
                <w:sz w:val="21"/>
              </w:rPr>
            </w:pPr>
            <w:r>
              <w:rPr>
                <w:rFonts w:ascii="Times New Roman"/>
                <w:sz w:val="21"/>
              </w:rPr>
              <w:t>&lt;3</w:t>
            </w:r>
          </w:p>
        </w:tc>
        <w:tc>
          <w:tcPr>
            <w:tcW w:w="1007" w:type="dxa"/>
            <w:tcBorders>
              <w:top w:val="single" w:color="000000" w:sz="4" w:space="0"/>
              <w:left w:val="single" w:color="000000" w:sz="4" w:space="0"/>
              <w:bottom w:val="single" w:color="000000" w:sz="4" w:space="0"/>
            </w:tcBorders>
          </w:tcPr>
          <w:p>
            <w:pPr>
              <w:pStyle w:val="19"/>
              <w:spacing w:before="11"/>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29"/>
              <w:rPr>
                <w:sz w:val="21"/>
              </w:rPr>
            </w:pPr>
            <w:r>
              <w:rPr>
                <w:sz w:val="21"/>
              </w:rPr>
              <w:t>反</w:t>
            </w:r>
            <w:r>
              <w:rPr>
                <w:rFonts w:ascii="Times New Roman" w:eastAsia="Times New Roman"/>
                <w:sz w:val="21"/>
              </w:rPr>
              <w:t>-1,2-</w:t>
            </w:r>
            <w:r>
              <w:rPr>
                <w:sz w:val="21"/>
              </w:rPr>
              <w:t>二氯乙烯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4"/>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4"/>
              <w:ind w:left="302" w:right="284"/>
              <w:rPr>
                <w:rFonts w:ascii="Times New Roman"/>
                <w:sz w:val="21"/>
              </w:rPr>
            </w:pPr>
            <w:r>
              <w:rPr>
                <w:rFonts w:ascii="Times New Roman"/>
                <w:sz w:val="21"/>
              </w:rPr>
              <w:t>&lt;3</w:t>
            </w:r>
          </w:p>
        </w:tc>
        <w:tc>
          <w:tcPr>
            <w:tcW w:w="1007" w:type="dxa"/>
            <w:tcBorders>
              <w:top w:val="single" w:color="000000" w:sz="4" w:space="0"/>
              <w:left w:val="single" w:color="000000" w:sz="4" w:space="0"/>
              <w:bottom w:val="single" w:color="000000" w:sz="4" w:space="0"/>
            </w:tcBorders>
          </w:tcPr>
          <w:p>
            <w:pPr>
              <w:pStyle w:val="19"/>
              <w:spacing w:before="14"/>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6" w:lineRule="exact"/>
              <w:ind w:left="48" w:right="32"/>
              <w:rPr>
                <w:sz w:val="21"/>
              </w:rPr>
            </w:pPr>
            <w:r>
              <w:rPr>
                <w:sz w:val="21"/>
              </w:rPr>
              <w:t>二氯甲烷</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3"/>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3"/>
              <w:ind w:left="302" w:right="284"/>
              <w:rPr>
                <w:rFonts w:ascii="Times New Roman"/>
                <w:sz w:val="21"/>
              </w:rPr>
            </w:pPr>
            <w:r>
              <w:rPr>
                <w:rFonts w:ascii="Times New Roman"/>
                <w:sz w:val="21"/>
              </w:rPr>
              <w:t>&lt;3</w:t>
            </w:r>
          </w:p>
        </w:tc>
        <w:tc>
          <w:tcPr>
            <w:tcW w:w="1007" w:type="dxa"/>
            <w:tcBorders>
              <w:top w:val="single" w:color="000000" w:sz="4" w:space="0"/>
              <w:left w:val="single" w:color="000000" w:sz="4" w:space="0"/>
              <w:bottom w:val="single" w:color="000000" w:sz="4" w:space="0"/>
            </w:tcBorders>
          </w:tcPr>
          <w:p>
            <w:pPr>
              <w:pStyle w:val="19"/>
              <w:spacing w:before="13"/>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48" w:right="32"/>
              <w:rPr>
                <w:sz w:val="21"/>
              </w:rPr>
            </w:pPr>
            <w:r>
              <w:rPr>
                <w:rFonts w:ascii="Times New Roman" w:eastAsia="Times New Roman"/>
                <w:sz w:val="21"/>
              </w:rPr>
              <w:t>1,2-</w:t>
            </w:r>
            <w:r>
              <w:rPr>
                <w:sz w:val="21"/>
              </w:rPr>
              <w:t>二氯丙烷</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9"/>
              <w:spacing w:before="12"/>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32"/>
              <w:rPr>
                <w:sz w:val="21"/>
              </w:rPr>
            </w:pPr>
            <w:r>
              <w:rPr>
                <w:rFonts w:ascii="Times New Roman" w:eastAsia="Times New Roman"/>
                <w:sz w:val="21"/>
              </w:rPr>
              <w:t>1,1,1,2-</w:t>
            </w:r>
            <w:r>
              <w:rPr>
                <w:sz w:val="21"/>
              </w:rPr>
              <w:t>四氯乙烷</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1"/>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1"/>
              <w:ind w:left="302" w:right="284"/>
              <w:rPr>
                <w:rFonts w:ascii="Times New Roman"/>
                <w:sz w:val="21"/>
              </w:rPr>
            </w:pPr>
            <w:r>
              <w:rPr>
                <w:rFonts w:ascii="Times New Roman"/>
                <w:sz w:val="21"/>
              </w:rPr>
              <w:t>&lt;3</w:t>
            </w:r>
          </w:p>
        </w:tc>
        <w:tc>
          <w:tcPr>
            <w:tcW w:w="1007" w:type="dxa"/>
            <w:tcBorders>
              <w:top w:val="single" w:color="000000" w:sz="4" w:space="0"/>
              <w:left w:val="single" w:color="000000" w:sz="4" w:space="0"/>
              <w:bottom w:val="single" w:color="000000" w:sz="4" w:space="0"/>
            </w:tcBorders>
          </w:tcPr>
          <w:p>
            <w:pPr>
              <w:pStyle w:val="19"/>
              <w:spacing w:before="11"/>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48" w:right="32"/>
              <w:rPr>
                <w:sz w:val="21"/>
              </w:rPr>
            </w:pPr>
            <w:r>
              <w:rPr>
                <w:rFonts w:ascii="Times New Roman" w:eastAsia="Times New Roman"/>
                <w:sz w:val="21"/>
              </w:rPr>
              <w:t>1,1,2,2-</w:t>
            </w:r>
            <w:r>
              <w:rPr>
                <w:sz w:val="21"/>
              </w:rPr>
              <w:t>四氯乙烷</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&lt;3</w:t>
            </w:r>
          </w:p>
        </w:tc>
        <w:tc>
          <w:tcPr>
            <w:tcW w:w="1007" w:type="dxa"/>
            <w:tcBorders>
              <w:top w:val="single" w:color="000000" w:sz="4" w:space="0"/>
              <w:left w:val="single" w:color="000000" w:sz="4" w:space="0"/>
              <w:bottom w:val="single" w:color="000000" w:sz="4" w:space="0"/>
            </w:tcBorders>
          </w:tcPr>
          <w:p>
            <w:pPr>
              <w:pStyle w:val="19"/>
              <w:spacing w:before="12"/>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48" w:right="32"/>
              <w:rPr>
                <w:sz w:val="21"/>
              </w:rPr>
            </w:pPr>
            <w:r>
              <w:rPr>
                <w:sz w:val="21"/>
              </w:rPr>
              <w:t>四氯乙烯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9"/>
              <w:spacing w:before="12"/>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32"/>
              <w:rPr>
                <w:sz w:val="21"/>
              </w:rPr>
            </w:pPr>
            <w:r>
              <w:rPr>
                <w:rFonts w:ascii="Times New Roman" w:eastAsia="Times New Roman"/>
                <w:sz w:val="21"/>
              </w:rPr>
              <w:t>1,1,1-</w:t>
            </w:r>
            <w:r>
              <w:rPr>
                <w:sz w:val="21"/>
              </w:rPr>
              <w:t>三氯乙烷</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4"/>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4"/>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9"/>
              <w:spacing w:before="14"/>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6" w:lineRule="exact"/>
              <w:ind w:left="48" w:right="32"/>
              <w:rPr>
                <w:sz w:val="21"/>
              </w:rPr>
            </w:pPr>
            <w:r>
              <w:rPr>
                <w:rFonts w:ascii="Times New Roman" w:eastAsia="Times New Roman"/>
                <w:sz w:val="21"/>
              </w:rPr>
              <w:t>1,1,2-</w:t>
            </w:r>
            <w:r>
              <w:rPr>
                <w:sz w:val="21"/>
              </w:rPr>
              <w:t>三氯乙烷</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3"/>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3"/>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9"/>
              <w:spacing w:before="13"/>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48" w:right="32"/>
              <w:rPr>
                <w:sz w:val="21"/>
              </w:rPr>
            </w:pPr>
            <w:r>
              <w:rPr>
                <w:sz w:val="21"/>
              </w:rPr>
              <w:t>三氯乙烯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9"/>
              <w:spacing w:before="12"/>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32"/>
              <w:rPr>
                <w:sz w:val="21"/>
              </w:rPr>
            </w:pPr>
            <w:r>
              <w:rPr>
                <w:rFonts w:ascii="Times New Roman" w:eastAsia="Times New Roman"/>
                <w:sz w:val="21"/>
              </w:rPr>
              <w:t>1,2,3-</w:t>
            </w:r>
            <w:r>
              <w:rPr>
                <w:sz w:val="21"/>
              </w:rPr>
              <w:t>三氯丙烷</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1"/>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1"/>
              <w:ind w:left="302" w:right="284"/>
              <w:rPr>
                <w:rFonts w:ascii="Times New Roman"/>
                <w:sz w:val="21"/>
              </w:rPr>
            </w:pPr>
            <w:r>
              <w:rPr>
                <w:rFonts w:ascii="Times New Roman"/>
                <w:sz w:val="21"/>
              </w:rPr>
              <w:t>&lt;3</w:t>
            </w:r>
          </w:p>
        </w:tc>
        <w:tc>
          <w:tcPr>
            <w:tcW w:w="1007" w:type="dxa"/>
            <w:tcBorders>
              <w:top w:val="single" w:color="000000" w:sz="4" w:space="0"/>
              <w:left w:val="single" w:color="000000" w:sz="4" w:space="0"/>
              <w:bottom w:val="single" w:color="000000" w:sz="4" w:space="0"/>
            </w:tcBorders>
          </w:tcPr>
          <w:p>
            <w:pPr>
              <w:pStyle w:val="19"/>
              <w:spacing w:before="11"/>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48" w:right="29"/>
              <w:rPr>
                <w:sz w:val="21"/>
              </w:rPr>
            </w:pPr>
            <w:r>
              <w:rPr>
                <w:sz w:val="21"/>
              </w:rPr>
              <w:t>氯乙烯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9"/>
              <w:spacing w:before="12"/>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17"/>
              <w:rPr>
                <w:sz w:val="21"/>
              </w:rPr>
            </w:pPr>
            <w:r>
              <w:rPr>
                <w:w w:val="99"/>
                <w:sz w:val="21"/>
              </w:rPr>
              <w:t>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right="1105"/>
              <w:jc w:val="right"/>
              <w:rPr>
                <w:rFonts w:ascii="Times New Roman"/>
                <w:sz w:val="21"/>
              </w:rPr>
            </w:pPr>
            <w:r>
              <w:rPr>
                <w:rFonts w:ascii="Times New Roman"/>
                <w:w w:val="95"/>
                <w:sz w:val="21"/>
              </w:rPr>
              <w:t>&lt;0.01</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&lt;0.01</w:t>
            </w:r>
          </w:p>
        </w:tc>
        <w:tc>
          <w:tcPr>
            <w:tcW w:w="1007" w:type="dxa"/>
            <w:tcBorders>
              <w:top w:val="single" w:color="000000" w:sz="4" w:space="0"/>
              <w:left w:val="single" w:color="000000" w:sz="4" w:space="0"/>
              <w:bottom w:val="single" w:color="000000" w:sz="4" w:space="0"/>
            </w:tcBorders>
          </w:tcPr>
          <w:p>
            <w:pPr>
              <w:pStyle w:val="19"/>
              <w:spacing w:before="12"/>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6" w:right="32"/>
              <w:rPr>
                <w:sz w:val="21"/>
              </w:rPr>
            </w:pPr>
            <w:r>
              <w:rPr>
                <w:sz w:val="21"/>
              </w:rPr>
              <w:t>氯苯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3"/>
              <w:ind w:left="297" w:right="277"/>
              <w:rPr>
                <w:rFonts w:ascii="Times New Roman"/>
                <w:sz w:val="21"/>
              </w:rPr>
            </w:pPr>
            <w:r>
              <w:rPr>
                <w:rFonts w:ascii="Times New Roman"/>
                <w:sz w:val="21"/>
              </w:rPr>
              <w:t>&lt;1.1</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3"/>
              <w:ind w:left="302" w:right="284"/>
              <w:rPr>
                <w:rFonts w:ascii="Times New Roman"/>
                <w:sz w:val="21"/>
              </w:rPr>
            </w:pPr>
            <w:r>
              <w:rPr>
                <w:rFonts w:ascii="Times New Roman"/>
                <w:sz w:val="21"/>
              </w:rPr>
              <w:t>&lt;1.1</w:t>
            </w:r>
          </w:p>
        </w:tc>
        <w:tc>
          <w:tcPr>
            <w:tcW w:w="1007" w:type="dxa"/>
            <w:tcBorders>
              <w:top w:val="single" w:color="000000" w:sz="4" w:space="0"/>
              <w:left w:val="single" w:color="000000" w:sz="4" w:space="0"/>
              <w:bottom w:val="single" w:color="000000" w:sz="4" w:space="0"/>
            </w:tcBorders>
          </w:tcPr>
          <w:p>
            <w:pPr>
              <w:pStyle w:val="19"/>
              <w:spacing w:before="13"/>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3" w:lineRule="exact"/>
              <w:ind w:left="48" w:right="29"/>
              <w:rPr>
                <w:sz w:val="21"/>
              </w:rPr>
            </w:pPr>
            <w:r>
              <w:rPr>
                <w:rFonts w:ascii="Times New Roman" w:eastAsia="Times New Roman"/>
                <w:sz w:val="21"/>
              </w:rPr>
              <w:t>1,2-</w:t>
            </w:r>
            <w:r>
              <w:rPr>
                <w:sz w:val="21"/>
              </w:rPr>
              <w:t>二氯苯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left="297" w:right="277"/>
              <w:rPr>
                <w:rFonts w:ascii="Times New Roman"/>
                <w:sz w:val="21"/>
              </w:rPr>
            </w:pPr>
            <w:r>
              <w:rPr>
                <w:rFonts w:ascii="Times New Roman"/>
                <w:sz w:val="21"/>
              </w:rPr>
              <w:t>&lt;1.0</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&lt;1.0</w:t>
            </w:r>
          </w:p>
        </w:tc>
        <w:tc>
          <w:tcPr>
            <w:tcW w:w="1007" w:type="dxa"/>
            <w:tcBorders>
              <w:top w:val="single" w:color="000000" w:sz="4" w:space="0"/>
              <w:left w:val="single" w:color="000000" w:sz="4" w:space="0"/>
              <w:bottom w:val="single" w:color="000000" w:sz="4" w:space="0"/>
            </w:tcBorders>
          </w:tcPr>
          <w:p>
            <w:pPr>
              <w:pStyle w:val="19"/>
              <w:spacing w:before="12"/>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29"/>
              <w:rPr>
                <w:sz w:val="21"/>
              </w:rPr>
            </w:pPr>
            <w:r>
              <w:rPr>
                <w:rFonts w:ascii="Times New Roman" w:eastAsia="Times New Roman"/>
                <w:sz w:val="21"/>
              </w:rPr>
              <w:t>1,4-</w:t>
            </w:r>
            <w:r>
              <w:rPr>
                <w:sz w:val="21"/>
              </w:rPr>
              <w:t>二氯苯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1"/>
              <w:ind w:left="297" w:right="277"/>
              <w:rPr>
                <w:rFonts w:ascii="Times New Roman"/>
                <w:sz w:val="21"/>
              </w:rPr>
            </w:pPr>
            <w:r>
              <w:rPr>
                <w:rFonts w:ascii="Times New Roman"/>
                <w:sz w:val="21"/>
              </w:rPr>
              <w:t>&lt;1.2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1"/>
              <w:ind w:left="302" w:right="284"/>
              <w:rPr>
                <w:rFonts w:ascii="Times New Roman"/>
                <w:sz w:val="21"/>
              </w:rPr>
            </w:pPr>
            <w:r>
              <w:rPr>
                <w:rFonts w:ascii="Times New Roman"/>
                <w:sz w:val="21"/>
              </w:rPr>
              <w:t>&lt;1.2</w:t>
            </w:r>
          </w:p>
        </w:tc>
        <w:tc>
          <w:tcPr>
            <w:tcW w:w="1007" w:type="dxa"/>
            <w:tcBorders>
              <w:top w:val="single" w:color="000000" w:sz="4" w:space="0"/>
              <w:left w:val="single" w:color="000000" w:sz="4" w:space="0"/>
              <w:bottom w:val="single" w:color="000000" w:sz="4" w:space="0"/>
            </w:tcBorders>
          </w:tcPr>
          <w:p>
            <w:pPr>
              <w:pStyle w:val="19"/>
              <w:spacing w:before="11"/>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3" w:lineRule="exact"/>
              <w:ind w:left="46" w:right="32"/>
              <w:rPr>
                <w:sz w:val="21"/>
              </w:rPr>
            </w:pPr>
            <w:r>
              <w:rPr>
                <w:sz w:val="21"/>
              </w:rPr>
              <w:t>乙苯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3"/>
              <w:ind w:right="1052"/>
              <w:jc w:val="right"/>
              <w:rPr>
                <w:rFonts w:ascii="Times New Roman"/>
                <w:sz w:val="21"/>
              </w:rPr>
            </w:pPr>
            <w:r>
              <w:rPr>
                <w:rFonts w:ascii="Times New Roman"/>
                <w:w w:val="95"/>
                <w:sz w:val="21"/>
              </w:rPr>
              <w:t>&lt;0.006</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3"/>
              <w:ind w:left="302" w:right="284"/>
              <w:rPr>
                <w:rFonts w:ascii="Times New Roman"/>
                <w:sz w:val="21"/>
              </w:rPr>
            </w:pPr>
            <w:r>
              <w:rPr>
                <w:rFonts w:ascii="Times New Roman"/>
                <w:sz w:val="21"/>
              </w:rPr>
              <w:t>&lt;0.006</w:t>
            </w:r>
          </w:p>
        </w:tc>
        <w:tc>
          <w:tcPr>
            <w:tcW w:w="1007" w:type="dxa"/>
            <w:tcBorders>
              <w:top w:val="single" w:color="000000" w:sz="4" w:space="0"/>
              <w:left w:val="single" w:color="000000" w:sz="4" w:space="0"/>
              <w:bottom w:val="single" w:color="000000" w:sz="4" w:space="0"/>
            </w:tcBorders>
          </w:tcPr>
          <w:p>
            <w:pPr>
              <w:pStyle w:val="19"/>
              <w:spacing w:before="13"/>
              <w:ind w:left="240"/>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6" w:lineRule="exact"/>
              <w:ind w:left="48" w:right="29"/>
              <w:rPr>
                <w:sz w:val="21"/>
              </w:rPr>
            </w:pPr>
            <w:r>
              <w:rPr>
                <w:sz w:val="21"/>
              </w:rPr>
              <w:t>苯乙烯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3"/>
              <w:ind w:right="1052"/>
              <w:jc w:val="right"/>
              <w:rPr>
                <w:rFonts w:ascii="Times New Roman"/>
                <w:sz w:val="21"/>
              </w:rPr>
            </w:pPr>
            <w:r>
              <w:rPr>
                <w:rFonts w:ascii="Times New Roman"/>
                <w:w w:val="95"/>
                <w:sz w:val="21"/>
              </w:rPr>
              <w:t>&lt;0.002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3"/>
              <w:ind w:left="302" w:right="284"/>
              <w:rPr>
                <w:rFonts w:ascii="Times New Roman"/>
                <w:sz w:val="21"/>
              </w:rPr>
            </w:pPr>
            <w:r>
              <w:rPr>
                <w:rFonts w:ascii="Times New Roman"/>
                <w:sz w:val="21"/>
              </w:rPr>
              <w:t>&lt;0.002</w:t>
            </w:r>
          </w:p>
        </w:tc>
        <w:tc>
          <w:tcPr>
            <w:tcW w:w="1007" w:type="dxa"/>
            <w:tcBorders>
              <w:top w:val="single" w:color="000000" w:sz="4" w:space="0"/>
              <w:left w:val="single" w:color="000000" w:sz="4" w:space="0"/>
              <w:bottom w:val="single" w:color="000000" w:sz="4" w:space="0"/>
            </w:tcBorders>
          </w:tcPr>
          <w:p>
            <w:pPr>
              <w:pStyle w:val="19"/>
              <w:spacing w:before="13"/>
              <w:ind w:left="240"/>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46" w:right="32"/>
              <w:rPr>
                <w:sz w:val="21"/>
              </w:rPr>
            </w:pPr>
            <w:r>
              <w:rPr>
                <w:sz w:val="21"/>
              </w:rPr>
              <w:t>甲苯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right="1052"/>
              <w:jc w:val="right"/>
              <w:rPr>
                <w:rFonts w:ascii="Times New Roman"/>
                <w:sz w:val="21"/>
              </w:rPr>
            </w:pPr>
            <w:r>
              <w:rPr>
                <w:rFonts w:ascii="Times New Roman"/>
                <w:w w:val="95"/>
                <w:sz w:val="21"/>
              </w:rPr>
              <w:t>&lt;0.006</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&lt;0.006</w:t>
            </w:r>
          </w:p>
        </w:tc>
        <w:tc>
          <w:tcPr>
            <w:tcW w:w="1007" w:type="dxa"/>
            <w:tcBorders>
              <w:top w:val="single" w:color="000000" w:sz="4" w:space="0"/>
              <w:left w:val="single" w:color="000000" w:sz="4" w:space="0"/>
              <w:bottom w:val="single" w:color="000000" w:sz="4" w:space="0"/>
            </w:tcBorders>
          </w:tcPr>
          <w:p>
            <w:pPr>
              <w:pStyle w:val="19"/>
              <w:spacing w:before="12"/>
              <w:ind w:left="240"/>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6" w:lineRule="exact"/>
              <w:ind w:left="48" w:right="32"/>
              <w:rPr>
                <w:sz w:val="21"/>
              </w:rPr>
            </w:pPr>
            <w:r>
              <w:rPr>
                <w:sz w:val="21"/>
              </w:rPr>
              <w:t>间二甲苯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3"/>
              <w:ind w:right="1052"/>
              <w:jc w:val="right"/>
              <w:rPr>
                <w:rFonts w:ascii="Times New Roman"/>
                <w:sz w:val="21"/>
              </w:rPr>
            </w:pPr>
            <w:r>
              <w:rPr>
                <w:rFonts w:ascii="Times New Roman"/>
                <w:w w:val="95"/>
                <w:sz w:val="21"/>
              </w:rPr>
              <w:t>&lt;0.009</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3"/>
              <w:ind w:left="302" w:right="284"/>
              <w:rPr>
                <w:rFonts w:ascii="Times New Roman"/>
                <w:sz w:val="21"/>
              </w:rPr>
            </w:pPr>
            <w:r>
              <w:rPr>
                <w:rFonts w:ascii="Times New Roman"/>
                <w:sz w:val="21"/>
              </w:rPr>
              <w:t>&lt;0.009</w:t>
            </w:r>
          </w:p>
        </w:tc>
        <w:tc>
          <w:tcPr>
            <w:tcW w:w="1007" w:type="dxa"/>
            <w:tcBorders>
              <w:top w:val="single" w:color="000000" w:sz="4" w:space="0"/>
              <w:left w:val="single" w:color="000000" w:sz="4" w:space="0"/>
              <w:bottom w:val="single" w:color="000000" w:sz="4" w:space="0"/>
            </w:tcBorders>
          </w:tcPr>
          <w:p>
            <w:pPr>
              <w:pStyle w:val="19"/>
              <w:spacing w:before="13"/>
              <w:ind w:left="240"/>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48" w:right="32"/>
              <w:rPr>
                <w:sz w:val="21"/>
              </w:rPr>
            </w:pPr>
            <w:r>
              <w:rPr>
                <w:sz w:val="21"/>
              </w:rPr>
              <w:t>对二甲苯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right="1052"/>
              <w:jc w:val="right"/>
              <w:rPr>
                <w:rFonts w:ascii="Times New Roman"/>
                <w:sz w:val="21"/>
              </w:rPr>
            </w:pPr>
            <w:r>
              <w:rPr>
                <w:rFonts w:ascii="Times New Roman"/>
                <w:w w:val="95"/>
                <w:sz w:val="21"/>
              </w:rPr>
              <w:t>&lt;0.009</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&lt;0.009</w:t>
            </w:r>
          </w:p>
        </w:tc>
        <w:tc>
          <w:tcPr>
            <w:tcW w:w="1007" w:type="dxa"/>
            <w:tcBorders>
              <w:top w:val="single" w:color="000000" w:sz="4" w:space="0"/>
              <w:left w:val="single" w:color="000000" w:sz="4" w:space="0"/>
              <w:bottom w:val="single" w:color="000000" w:sz="4" w:space="0"/>
            </w:tcBorders>
          </w:tcPr>
          <w:p>
            <w:pPr>
              <w:pStyle w:val="19"/>
              <w:spacing w:before="12"/>
              <w:ind w:left="240"/>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32"/>
              <w:rPr>
                <w:sz w:val="21"/>
              </w:rPr>
            </w:pPr>
            <w:r>
              <w:rPr>
                <w:sz w:val="21"/>
              </w:rPr>
              <w:t>邻二甲苯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1"/>
              <w:ind w:right="1052"/>
              <w:jc w:val="right"/>
              <w:rPr>
                <w:rFonts w:ascii="Times New Roman"/>
                <w:sz w:val="21"/>
              </w:rPr>
            </w:pPr>
            <w:r>
              <w:rPr>
                <w:rFonts w:ascii="Times New Roman"/>
                <w:w w:val="95"/>
                <w:sz w:val="21"/>
              </w:rPr>
              <w:t>&lt;0.002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1"/>
              <w:ind w:left="302" w:right="284"/>
              <w:rPr>
                <w:rFonts w:ascii="Times New Roman"/>
                <w:sz w:val="21"/>
              </w:rPr>
            </w:pPr>
            <w:r>
              <w:rPr>
                <w:rFonts w:ascii="Times New Roman"/>
                <w:sz w:val="21"/>
              </w:rPr>
              <w:t>&lt;0.002</w:t>
            </w:r>
          </w:p>
        </w:tc>
        <w:tc>
          <w:tcPr>
            <w:tcW w:w="1007" w:type="dxa"/>
            <w:tcBorders>
              <w:top w:val="single" w:color="000000" w:sz="4" w:space="0"/>
              <w:left w:val="single" w:color="000000" w:sz="4" w:space="0"/>
              <w:bottom w:val="single" w:color="000000" w:sz="4" w:space="0"/>
            </w:tcBorders>
          </w:tcPr>
          <w:p>
            <w:pPr>
              <w:pStyle w:val="19"/>
              <w:spacing w:before="11"/>
              <w:ind w:left="240"/>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9"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right w:val="single" w:color="000000" w:sz="4" w:space="0"/>
            </w:tcBorders>
          </w:tcPr>
          <w:p>
            <w:pPr>
              <w:pStyle w:val="19"/>
              <w:spacing w:line="264" w:lineRule="exact"/>
              <w:ind w:left="48" w:right="29"/>
              <w:rPr>
                <w:sz w:val="21"/>
              </w:rPr>
            </w:pPr>
            <w:r>
              <w:rPr>
                <w:sz w:val="21"/>
              </w:rPr>
              <w:t>硝基苯</w:t>
            </w:r>
          </w:p>
        </w:tc>
        <w:tc>
          <w:tcPr>
            <w:tcW w:w="2731" w:type="dxa"/>
            <w:tcBorders>
              <w:top w:val="single" w:color="000000" w:sz="4" w:space="0"/>
              <w:left w:val="single" w:color="000000" w:sz="4" w:space="0"/>
              <w:right w:val="single" w:color="000000" w:sz="4" w:space="0"/>
            </w:tcBorders>
          </w:tcPr>
          <w:p>
            <w:pPr>
              <w:pStyle w:val="19"/>
              <w:spacing w:before="14"/>
              <w:ind w:right="1105"/>
              <w:jc w:val="right"/>
              <w:rPr>
                <w:rFonts w:ascii="Times New Roman"/>
                <w:sz w:val="21"/>
              </w:rPr>
            </w:pPr>
            <w:r>
              <w:rPr>
                <w:rFonts w:ascii="Times New Roman"/>
                <w:w w:val="95"/>
                <w:sz w:val="21"/>
              </w:rPr>
              <w:t>&lt;0.09</w:t>
            </w:r>
          </w:p>
        </w:tc>
        <w:tc>
          <w:tcPr>
            <w:tcW w:w="2738" w:type="dxa"/>
            <w:tcBorders>
              <w:top w:val="single" w:color="000000" w:sz="4" w:space="0"/>
              <w:left w:val="single" w:color="000000" w:sz="4" w:space="0"/>
              <w:right w:val="single" w:color="000000" w:sz="4" w:space="0"/>
            </w:tcBorders>
          </w:tcPr>
          <w:p>
            <w:pPr>
              <w:pStyle w:val="19"/>
              <w:spacing w:before="14"/>
              <w:ind w:left="302" w:right="284"/>
              <w:rPr>
                <w:rFonts w:ascii="Times New Roman"/>
                <w:sz w:val="21"/>
              </w:rPr>
            </w:pPr>
            <w:r>
              <w:rPr>
                <w:rFonts w:ascii="Times New Roman"/>
                <w:sz w:val="21"/>
              </w:rPr>
              <w:t>&lt;0.09</w:t>
            </w:r>
          </w:p>
        </w:tc>
        <w:tc>
          <w:tcPr>
            <w:tcW w:w="1007" w:type="dxa"/>
            <w:tcBorders>
              <w:top w:val="single" w:color="000000" w:sz="4" w:space="0"/>
              <w:left w:val="single" w:color="000000" w:sz="4" w:space="0"/>
            </w:tcBorders>
          </w:tcPr>
          <w:p>
            <w:pPr>
              <w:pStyle w:val="19"/>
              <w:spacing w:before="14"/>
              <w:ind w:left="240"/>
              <w:jc w:val="left"/>
              <w:rPr>
                <w:rFonts w:ascii="Times New Roman"/>
                <w:sz w:val="21"/>
              </w:rPr>
            </w:pPr>
            <w:r>
              <w:rPr>
                <w:rFonts w:ascii="Times New Roman"/>
                <w:sz w:val="21"/>
              </w:rPr>
              <w:t>mg/kg</w:t>
            </w:r>
          </w:p>
        </w:tc>
      </w:tr>
    </w:tbl>
    <w:p>
      <w:pPr>
        <w:spacing w:after="0"/>
        <w:jc w:val="left"/>
        <w:rPr>
          <w:rFonts w:ascii="Times New Roman"/>
          <w:sz w:val="21"/>
        </w:rPr>
        <w:sectPr>
          <w:pgSz w:w="11910" w:h="16840"/>
          <w:pgMar w:top="1400" w:right="0" w:bottom="800" w:left="0" w:header="0" w:footer="601" w:gutter="0"/>
        </w:sectPr>
      </w:pPr>
    </w:p>
    <w:tbl>
      <w:tblPr>
        <w:tblStyle w:val="15"/>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05"/>
        <w:gridCol w:w="1618"/>
        <w:gridCol w:w="2731"/>
        <w:gridCol w:w="2738"/>
        <w:gridCol w:w="10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1205" w:type="dxa"/>
            <w:vMerge w:val="restart"/>
            <w:tcBorders>
              <w:right w:val="single" w:color="000000" w:sz="4" w:space="0"/>
            </w:tcBorders>
          </w:tcPr>
          <w:p>
            <w:pPr>
              <w:pStyle w:val="19"/>
              <w:jc w:val="left"/>
              <w:rPr>
                <w:rFonts w:ascii="Times New Roman"/>
                <w:sz w:val="20"/>
              </w:rPr>
            </w:pPr>
          </w:p>
        </w:tc>
        <w:tc>
          <w:tcPr>
            <w:tcW w:w="1618" w:type="dxa"/>
            <w:tcBorders>
              <w:left w:val="single" w:color="000000" w:sz="4" w:space="0"/>
              <w:bottom w:val="single" w:color="000000" w:sz="4" w:space="0"/>
              <w:right w:val="single" w:color="000000" w:sz="4" w:space="0"/>
            </w:tcBorders>
          </w:tcPr>
          <w:p>
            <w:pPr>
              <w:pStyle w:val="19"/>
              <w:spacing w:before="2"/>
              <w:ind w:left="46" w:right="32"/>
              <w:rPr>
                <w:sz w:val="21"/>
              </w:rPr>
            </w:pPr>
            <w:r>
              <w:rPr>
                <w:sz w:val="21"/>
              </w:rPr>
              <w:t>苯胺</w:t>
            </w:r>
          </w:p>
        </w:tc>
        <w:tc>
          <w:tcPr>
            <w:tcW w:w="2731" w:type="dxa"/>
            <w:tcBorders>
              <w:left w:val="single" w:color="000000" w:sz="4" w:space="0"/>
              <w:bottom w:val="single" w:color="000000" w:sz="4" w:space="0"/>
              <w:right w:val="single" w:color="000000" w:sz="4" w:space="0"/>
            </w:tcBorders>
          </w:tcPr>
          <w:p>
            <w:pPr>
              <w:pStyle w:val="19"/>
              <w:spacing w:before="18"/>
              <w:ind w:left="297" w:right="277"/>
              <w:rPr>
                <w:rFonts w:ascii="Times New Roman"/>
                <w:sz w:val="21"/>
              </w:rPr>
            </w:pPr>
            <w:r>
              <w:rPr>
                <w:rFonts w:ascii="Times New Roman"/>
                <w:sz w:val="21"/>
              </w:rPr>
              <w:t>&lt;0.37</w:t>
            </w:r>
          </w:p>
        </w:tc>
        <w:tc>
          <w:tcPr>
            <w:tcW w:w="2738" w:type="dxa"/>
            <w:tcBorders>
              <w:left w:val="single" w:color="000000" w:sz="4" w:space="0"/>
              <w:bottom w:val="single" w:color="000000" w:sz="4" w:space="0"/>
              <w:right w:val="single" w:color="000000" w:sz="4" w:space="0"/>
            </w:tcBorders>
          </w:tcPr>
          <w:p>
            <w:pPr>
              <w:pStyle w:val="19"/>
              <w:spacing w:before="18"/>
              <w:ind w:left="302" w:right="284"/>
              <w:rPr>
                <w:rFonts w:ascii="Times New Roman"/>
                <w:sz w:val="21"/>
              </w:rPr>
            </w:pPr>
            <w:r>
              <w:rPr>
                <w:rFonts w:ascii="Times New Roman"/>
                <w:sz w:val="21"/>
              </w:rPr>
              <w:t>&lt;0.37</w:t>
            </w:r>
          </w:p>
        </w:tc>
        <w:tc>
          <w:tcPr>
            <w:tcW w:w="1013" w:type="dxa"/>
            <w:tcBorders>
              <w:left w:val="single" w:color="000000" w:sz="4" w:space="0"/>
              <w:bottom w:val="single" w:color="000000" w:sz="4" w:space="0"/>
            </w:tcBorders>
          </w:tcPr>
          <w:p>
            <w:pPr>
              <w:pStyle w:val="19"/>
              <w:spacing w:before="18"/>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17"/>
              <w:rPr>
                <w:sz w:val="21"/>
              </w:rPr>
            </w:pPr>
            <w:r>
              <w:rPr>
                <w:w w:val="99"/>
                <w:sz w:val="21"/>
              </w:rPr>
              <w:t>萘</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left="297" w:right="277"/>
              <w:rPr>
                <w:rFonts w:ascii="Times New Roman"/>
                <w:sz w:val="21"/>
              </w:rPr>
            </w:pPr>
            <w:r>
              <w:rPr>
                <w:rFonts w:ascii="Times New Roman"/>
                <w:sz w:val="21"/>
              </w:rPr>
              <w:t>&lt;0.09</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&lt;0.09</w:t>
            </w:r>
          </w:p>
        </w:tc>
        <w:tc>
          <w:tcPr>
            <w:tcW w:w="1013" w:type="dxa"/>
            <w:tcBorders>
              <w:top w:val="single" w:color="000000" w:sz="4" w:space="0"/>
              <w:left w:val="single" w:color="000000" w:sz="4" w:space="0"/>
              <w:bottom w:val="single" w:color="000000" w:sz="4" w:space="0"/>
            </w:tcBorders>
          </w:tcPr>
          <w:p>
            <w:pPr>
              <w:pStyle w:val="19"/>
              <w:spacing w:before="12"/>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32"/>
              <w:rPr>
                <w:sz w:val="21"/>
              </w:rPr>
            </w:pPr>
            <w:r>
              <w:rPr>
                <w:rFonts w:ascii="Times New Roman" w:eastAsia="Times New Roman"/>
                <w:sz w:val="21"/>
              </w:rPr>
              <w:t>2-</w:t>
            </w:r>
            <w:r>
              <w:rPr>
                <w:sz w:val="21"/>
              </w:rPr>
              <w:t>氯酚</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1"/>
              <w:ind w:left="297" w:right="277"/>
              <w:rPr>
                <w:rFonts w:ascii="Times New Roman"/>
                <w:sz w:val="21"/>
              </w:rPr>
            </w:pPr>
            <w:r>
              <w:rPr>
                <w:rFonts w:ascii="Times New Roman"/>
                <w:sz w:val="21"/>
              </w:rPr>
              <w:t>&lt;0.06</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1"/>
              <w:ind w:left="302" w:right="284"/>
              <w:rPr>
                <w:rFonts w:ascii="Times New Roman"/>
                <w:sz w:val="21"/>
              </w:rPr>
            </w:pPr>
            <w:r>
              <w:rPr>
                <w:rFonts w:ascii="Times New Roman"/>
                <w:sz w:val="21"/>
              </w:rPr>
              <w:t>&lt;0.06</w:t>
            </w:r>
          </w:p>
        </w:tc>
        <w:tc>
          <w:tcPr>
            <w:tcW w:w="1013" w:type="dxa"/>
            <w:tcBorders>
              <w:top w:val="single" w:color="000000" w:sz="4" w:space="0"/>
              <w:left w:val="single" w:color="000000" w:sz="4" w:space="0"/>
              <w:bottom w:val="single" w:color="000000" w:sz="4" w:space="0"/>
            </w:tcBorders>
          </w:tcPr>
          <w:p>
            <w:pPr>
              <w:pStyle w:val="19"/>
              <w:spacing w:before="11"/>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31"/>
              <w:rPr>
                <w:sz w:val="21"/>
              </w:rPr>
            </w:pPr>
            <w:r>
              <w:rPr>
                <w:sz w:val="21"/>
              </w:rPr>
              <w:t>苯并</w:t>
            </w:r>
            <w:r>
              <w:rPr>
                <w:rFonts w:ascii="Times New Roman" w:eastAsia="Times New Roman"/>
                <w:sz w:val="21"/>
              </w:rPr>
              <w:t>[a]</w:t>
            </w:r>
            <w:r>
              <w:rPr>
                <w:sz w:val="21"/>
              </w:rPr>
              <w:t>蒽</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3"/>
              <w:ind w:left="297" w:right="277"/>
              <w:rPr>
                <w:rFonts w:ascii="Times New Roman"/>
                <w:sz w:val="21"/>
              </w:rPr>
            </w:pPr>
            <w:r>
              <w:rPr>
                <w:rFonts w:ascii="Times New Roman"/>
                <w:sz w:val="21"/>
              </w:rPr>
              <w:t>&lt;0.12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3"/>
              <w:ind w:left="302" w:right="284"/>
              <w:rPr>
                <w:rFonts w:ascii="Times New Roman"/>
                <w:sz w:val="21"/>
              </w:rPr>
            </w:pPr>
            <w:r>
              <w:rPr>
                <w:rFonts w:ascii="Times New Roman"/>
                <w:sz w:val="21"/>
              </w:rPr>
              <w:t>&lt;0.12</w:t>
            </w:r>
          </w:p>
        </w:tc>
        <w:tc>
          <w:tcPr>
            <w:tcW w:w="1013" w:type="dxa"/>
            <w:tcBorders>
              <w:top w:val="single" w:color="000000" w:sz="4" w:space="0"/>
              <w:left w:val="single" w:color="000000" w:sz="4" w:space="0"/>
              <w:bottom w:val="single" w:color="000000" w:sz="4" w:space="0"/>
            </w:tcBorders>
          </w:tcPr>
          <w:p>
            <w:pPr>
              <w:pStyle w:val="19"/>
              <w:spacing w:before="13"/>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48" w:right="31"/>
              <w:rPr>
                <w:sz w:val="21"/>
              </w:rPr>
            </w:pPr>
            <w:r>
              <w:rPr>
                <w:sz w:val="21"/>
              </w:rPr>
              <w:t>苯并</w:t>
            </w:r>
            <w:r>
              <w:rPr>
                <w:rFonts w:ascii="Times New Roman" w:eastAsia="Times New Roman"/>
                <w:sz w:val="21"/>
              </w:rPr>
              <w:t>[a]</w:t>
            </w:r>
            <w:r>
              <w:rPr>
                <w:sz w:val="21"/>
              </w:rPr>
              <w:t>芘</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left="297" w:right="277"/>
              <w:rPr>
                <w:rFonts w:ascii="Times New Roman"/>
                <w:sz w:val="21"/>
              </w:rPr>
            </w:pPr>
            <w:r>
              <w:rPr>
                <w:rFonts w:ascii="Times New Roman"/>
                <w:sz w:val="21"/>
              </w:rPr>
              <w:t>&lt;0.17</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&lt;0.17</w:t>
            </w:r>
          </w:p>
        </w:tc>
        <w:tc>
          <w:tcPr>
            <w:tcW w:w="1013" w:type="dxa"/>
            <w:tcBorders>
              <w:top w:val="single" w:color="000000" w:sz="4" w:space="0"/>
              <w:left w:val="single" w:color="000000" w:sz="4" w:space="0"/>
              <w:bottom w:val="single" w:color="000000" w:sz="4" w:space="0"/>
            </w:tcBorders>
          </w:tcPr>
          <w:p>
            <w:pPr>
              <w:pStyle w:val="19"/>
              <w:spacing w:before="12"/>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32"/>
              <w:rPr>
                <w:sz w:val="21"/>
              </w:rPr>
            </w:pPr>
            <w:r>
              <w:rPr>
                <w:sz w:val="21"/>
              </w:rPr>
              <w:t>苯并</w:t>
            </w:r>
            <w:r>
              <w:rPr>
                <w:rFonts w:ascii="Times New Roman" w:eastAsia="Times New Roman"/>
                <w:sz w:val="21"/>
              </w:rPr>
              <w:t>[b]</w:t>
            </w:r>
            <w:r>
              <w:rPr>
                <w:sz w:val="21"/>
              </w:rPr>
              <w:t>荧蒽</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4"/>
              <w:ind w:left="297" w:right="277"/>
              <w:rPr>
                <w:rFonts w:ascii="Times New Roman"/>
                <w:sz w:val="21"/>
              </w:rPr>
            </w:pPr>
            <w:r>
              <w:rPr>
                <w:rFonts w:ascii="Times New Roman"/>
                <w:sz w:val="21"/>
              </w:rPr>
              <w:t>&lt;0.17</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4"/>
              <w:ind w:left="302" w:right="284"/>
              <w:rPr>
                <w:rFonts w:ascii="Times New Roman"/>
                <w:sz w:val="21"/>
              </w:rPr>
            </w:pPr>
            <w:r>
              <w:rPr>
                <w:rFonts w:ascii="Times New Roman"/>
                <w:sz w:val="21"/>
              </w:rPr>
              <w:t>&lt;0.17</w:t>
            </w:r>
          </w:p>
        </w:tc>
        <w:tc>
          <w:tcPr>
            <w:tcW w:w="1013" w:type="dxa"/>
            <w:tcBorders>
              <w:top w:val="single" w:color="000000" w:sz="4" w:space="0"/>
              <w:left w:val="single" w:color="000000" w:sz="4" w:space="0"/>
              <w:bottom w:val="single" w:color="000000" w:sz="4" w:space="0"/>
            </w:tcBorders>
          </w:tcPr>
          <w:p>
            <w:pPr>
              <w:pStyle w:val="19"/>
              <w:spacing w:before="14"/>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3" w:lineRule="exact"/>
              <w:ind w:left="48" w:right="32"/>
              <w:rPr>
                <w:sz w:val="21"/>
              </w:rPr>
            </w:pPr>
            <w:r>
              <w:rPr>
                <w:sz w:val="21"/>
              </w:rPr>
              <w:t>苯并</w:t>
            </w:r>
            <w:r>
              <w:rPr>
                <w:rFonts w:ascii="Times New Roman" w:eastAsia="Times New Roman"/>
                <w:sz w:val="21"/>
              </w:rPr>
              <w:t>[k]</w:t>
            </w:r>
            <w:r>
              <w:rPr>
                <w:sz w:val="21"/>
              </w:rPr>
              <w:t>荧蒽</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3"/>
              <w:ind w:left="297" w:right="277"/>
              <w:rPr>
                <w:rFonts w:ascii="Times New Roman"/>
                <w:sz w:val="21"/>
              </w:rPr>
            </w:pPr>
            <w:r>
              <w:rPr>
                <w:rFonts w:ascii="Times New Roman"/>
                <w:sz w:val="21"/>
              </w:rPr>
              <w:t>&lt;0.11</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3"/>
              <w:ind w:left="302" w:right="284"/>
              <w:rPr>
                <w:rFonts w:ascii="Times New Roman"/>
                <w:sz w:val="21"/>
              </w:rPr>
            </w:pPr>
            <w:r>
              <w:rPr>
                <w:rFonts w:ascii="Times New Roman"/>
                <w:sz w:val="21"/>
              </w:rPr>
              <w:t>&lt;0.11</w:t>
            </w:r>
          </w:p>
        </w:tc>
        <w:tc>
          <w:tcPr>
            <w:tcW w:w="1013" w:type="dxa"/>
            <w:tcBorders>
              <w:top w:val="single" w:color="000000" w:sz="4" w:space="0"/>
              <w:left w:val="single" w:color="000000" w:sz="4" w:space="0"/>
              <w:bottom w:val="single" w:color="000000" w:sz="4" w:space="0"/>
            </w:tcBorders>
          </w:tcPr>
          <w:p>
            <w:pPr>
              <w:pStyle w:val="19"/>
              <w:spacing w:before="13"/>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17"/>
              <w:rPr>
                <w:sz w:val="21"/>
              </w:rPr>
            </w:pPr>
            <w:r>
              <w:rPr>
                <w:w w:val="99"/>
                <w:sz w:val="21"/>
              </w:rPr>
              <w:t>䓛</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left="297" w:right="277"/>
              <w:rPr>
                <w:rFonts w:ascii="Times New Roman"/>
                <w:sz w:val="21"/>
              </w:rPr>
            </w:pPr>
            <w:r>
              <w:rPr>
                <w:rFonts w:ascii="Times New Roman"/>
                <w:sz w:val="21"/>
              </w:rPr>
              <w:t>&lt;0.14</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&lt;0.14</w:t>
            </w:r>
          </w:p>
        </w:tc>
        <w:tc>
          <w:tcPr>
            <w:tcW w:w="1013" w:type="dxa"/>
            <w:tcBorders>
              <w:top w:val="single" w:color="000000" w:sz="4" w:space="0"/>
              <w:left w:val="single" w:color="000000" w:sz="4" w:space="0"/>
              <w:bottom w:val="single" w:color="000000" w:sz="4" w:space="0"/>
            </w:tcBorders>
          </w:tcPr>
          <w:p>
            <w:pPr>
              <w:pStyle w:val="19"/>
              <w:spacing w:before="12"/>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27"/>
              <w:rPr>
                <w:sz w:val="21"/>
              </w:rPr>
            </w:pPr>
            <w:r>
              <w:rPr>
                <w:sz w:val="21"/>
              </w:rPr>
              <w:t>茚并</w:t>
            </w:r>
            <w:r>
              <w:rPr>
                <w:rFonts w:ascii="Times New Roman" w:eastAsia="Times New Roman"/>
                <w:sz w:val="21"/>
              </w:rPr>
              <w:t>[1,2,3-cd]</w:t>
            </w:r>
            <w:r>
              <w:rPr>
                <w:sz w:val="21"/>
              </w:rPr>
              <w:t>芘</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1"/>
              <w:ind w:left="297" w:right="277"/>
              <w:rPr>
                <w:rFonts w:ascii="Times New Roman"/>
                <w:sz w:val="21"/>
              </w:rPr>
            </w:pPr>
            <w:r>
              <w:rPr>
                <w:rFonts w:ascii="Times New Roman"/>
                <w:sz w:val="21"/>
              </w:rPr>
              <w:t>&lt;0.13</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1"/>
              <w:ind w:left="302" w:right="284"/>
              <w:rPr>
                <w:rFonts w:ascii="Times New Roman"/>
                <w:sz w:val="21"/>
              </w:rPr>
            </w:pPr>
            <w:r>
              <w:rPr>
                <w:rFonts w:ascii="Times New Roman"/>
                <w:sz w:val="21"/>
              </w:rPr>
              <w:t>&lt;0.13</w:t>
            </w:r>
          </w:p>
        </w:tc>
        <w:tc>
          <w:tcPr>
            <w:tcW w:w="1013" w:type="dxa"/>
            <w:tcBorders>
              <w:top w:val="single" w:color="000000" w:sz="4" w:space="0"/>
              <w:left w:val="single" w:color="000000" w:sz="4" w:space="0"/>
              <w:bottom w:val="single" w:color="000000" w:sz="4" w:space="0"/>
            </w:tcBorders>
          </w:tcPr>
          <w:p>
            <w:pPr>
              <w:pStyle w:val="19"/>
              <w:spacing w:before="11"/>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6" w:lineRule="exact"/>
              <w:ind w:left="48" w:right="29"/>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3"/>
              <w:ind w:left="297" w:right="277"/>
              <w:rPr>
                <w:rFonts w:ascii="Times New Roman"/>
                <w:sz w:val="21"/>
              </w:rPr>
            </w:pPr>
            <w:r>
              <w:rPr>
                <w:rFonts w:ascii="Times New Roman"/>
                <w:sz w:val="21"/>
              </w:rPr>
              <w:t>&lt;0.13</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3"/>
              <w:ind w:left="302" w:right="284"/>
              <w:rPr>
                <w:rFonts w:ascii="Times New Roman"/>
                <w:sz w:val="21"/>
              </w:rPr>
            </w:pPr>
            <w:r>
              <w:rPr>
                <w:rFonts w:ascii="Times New Roman"/>
                <w:sz w:val="21"/>
              </w:rPr>
              <w:t>&lt;0.13</w:t>
            </w:r>
          </w:p>
        </w:tc>
        <w:tc>
          <w:tcPr>
            <w:tcW w:w="1013" w:type="dxa"/>
            <w:tcBorders>
              <w:top w:val="single" w:color="000000" w:sz="4" w:space="0"/>
              <w:left w:val="single" w:color="000000" w:sz="4" w:space="0"/>
              <w:bottom w:val="single" w:color="000000" w:sz="4" w:space="0"/>
            </w:tcBorders>
          </w:tcPr>
          <w:p>
            <w:pPr>
              <w:pStyle w:val="19"/>
              <w:spacing w:before="13"/>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right w:val="single" w:color="000000" w:sz="4" w:space="0"/>
            </w:tcBorders>
          </w:tcPr>
          <w:p>
            <w:pPr>
              <w:pStyle w:val="19"/>
              <w:spacing w:line="265" w:lineRule="exact"/>
              <w:ind w:left="48" w:right="29"/>
              <w:rPr>
                <w:sz w:val="21"/>
              </w:rPr>
            </w:pPr>
            <w:r>
              <w:rPr>
                <w:sz w:val="21"/>
              </w:rPr>
              <w:t>石油烃</w:t>
            </w:r>
          </w:p>
          <w:p>
            <w:pPr>
              <w:pStyle w:val="19"/>
              <w:spacing w:before="57"/>
              <w:ind w:left="48" w:right="32"/>
              <w:rPr>
                <w:sz w:val="21"/>
              </w:rPr>
            </w:pPr>
            <w:r>
              <w:rPr>
                <w:sz w:val="21"/>
              </w:rPr>
              <w:t>（</w:t>
            </w:r>
            <w:r>
              <w:rPr>
                <w:rFonts w:ascii="Times New Roman" w:eastAsia="Times New Roman"/>
                <w:sz w:val="21"/>
              </w:rPr>
              <w:t>C10~C40</w:t>
            </w:r>
            <w:r>
              <w:rPr>
                <w:sz w:val="21"/>
              </w:rPr>
              <w:t>）</w:t>
            </w:r>
          </w:p>
        </w:tc>
        <w:tc>
          <w:tcPr>
            <w:tcW w:w="2731" w:type="dxa"/>
            <w:tcBorders>
              <w:top w:val="single" w:color="000000" w:sz="4" w:space="0"/>
              <w:left w:val="single" w:color="000000" w:sz="4" w:space="0"/>
              <w:right w:val="single" w:color="000000" w:sz="4" w:space="0"/>
            </w:tcBorders>
          </w:tcPr>
          <w:p>
            <w:pPr>
              <w:pStyle w:val="19"/>
              <w:spacing w:before="175"/>
              <w:ind w:left="297" w:right="277"/>
              <w:rPr>
                <w:rFonts w:ascii="Times New Roman"/>
                <w:sz w:val="21"/>
              </w:rPr>
            </w:pPr>
            <w:r>
              <w:rPr>
                <w:rFonts w:ascii="Times New Roman"/>
                <w:sz w:val="21"/>
              </w:rPr>
              <w:t>&lt;6</w:t>
            </w:r>
          </w:p>
        </w:tc>
        <w:tc>
          <w:tcPr>
            <w:tcW w:w="2738" w:type="dxa"/>
            <w:tcBorders>
              <w:top w:val="single" w:color="000000" w:sz="4" w:space="0"/>
              <w:left w:val="single" w:color="000000" w:sz="4" w:space="0"/>
              <w:right w:val="single" w:color="000000" w:sz="4" w:space="0"/>
            </w:tcBorders>
          </w:tcPr>
          <w:p>
            <w:pPr>
              <w:pStyle w:val="19"/>
              <w:spacing w:before="175"/>
              <w:ind w:left="302" w:right="284"/>
              <w:rPr>
                <w:rFonts w:ascii="Times New Roman"/>
                <w:sz w:val="21"/>
              </w:rPr>
            </w:pPr>
            <w:r>
              <w:rPr>
                <w:rFonts w:ascii="Times New Roman"/>
                <w:sz w:val="21"/>
              </w:rPr>
              <w:t>&lt;6</w:t>
            </w:r>
          </w:p>
        </w:tc>
        <w:tc>
          <w:tcPr>
            <w:tcW w:w="1013" w:type="dxa"/>
            <w:tcBorders>
              <w:top w:val="single" w:color="000000" w:sz="4" w:space="0"/>
              <w:left w:val="single" w:color="000000" w:sz="4" w:space="0"/>
            </w:tcBorders>
          </w:tcPr>
          <w:p>
            <w:pPr>
              <w:pStyle w:val="19"/>
              <w:spacing w:before="175"/>
              <w:ind w:left="169" w:right="153"/>
              <w:rPr>
                <w:rFonts w:ascii="Times New Roman"/>
                <w:sz w:val="21"/>
              </w:rPr>
            </w:pPr>
            <w:r>
              <w:rPr>
                <w:rFonts w:ascii="Times New Roman"/>
                <w:sz w:val="21"/>
              </w:rPr>
              <w:t>mg/kg</w:t>
            </w:r>
          </w:p>
        </w:tc>
      </w:tr>
    </w:tbl>
    <w:p>
      <w:pPr>
        <w:spacing w:after="0"/>
        <w:rPr>
          <w:rFonts w:ascii="Times New Roman"/>
          <w:sz w:val="21"/>
        </w:rPr>
        <w:sectPr>
          <w:pgSz w:w="11910" w:h="16840"/>
          <w:pgMar w:top="1400" w:right="0" w:bottom="800" w:left="0" w:header="0" w:footer="601" w:gutter="0"/>
        </w:sectPr>
      </w:pPr>
    </w:p>
    <w:p>
      <w:pPr>
        <w:spacing w:before="1"/>
        <w:ind w:left="1418" w:right="0" w:firstLine="0"/>
        <w:jc w:val="left"/>
        <w:rPr>
          <w:b/>
          <w:sz w:val="18"/>
        </w:rPr>
      </w:pPr>
      <w:r>
        <w:rPr>
          <w:b/>
          <w:sz w:val="18"/>
        </w:rPr>
        <w:t>注：</w:t>
      </w:r>
      <w:r>
        <w:rPr>
          <w:rFonts w:ascii="Times New Roman" w:hAnsi="Times New Roman" w:eastAsia="Times New Roman"/>
          <w:b/>
          <w:sz w:val="18"/>
        </w:rPr>
        <w:t>“</w:t>
      </w:r>
      <w:r>
        <w:rPr>
          <w:rFonts w:ascii="Times New Roman" w:hAnsi="Times New Roman" w:eastAsia="Times New Roman"/>
          <w:sz w:val="18"/>
        </w:rPr>
        <w:t>&lt;</w:t>
      </w:r>
      <w:r>
        <w:rPr>
          <w:rFonts w:ascii="Times New Roman" w:hAnsi="Times New Roman" w:eastAsia="Times New Roman"/>
          <w:b/>
          <w:sz w:val="18"/>
        </w:rPr>
        <w:t>”</w:t>
      </w:r>
      <w:r>
        <w:rPr>
          <w:b/>
          <w:spacing w:val="-3"/>
          <w:sz w:val="18"/>
        </w:rPr>
        <w:t>代表低于检出限</w:t>
      </w:r>
    </w:p>
    <w:p>
      <w:pPr>
        <w:pStyle w:val="9"/>
        <w:spacing w:before="4"/>
        <w:rPr>
          <w:b/>
          <w:sz w:val="27"/>
        </w:rPr>
      </w:pPr>
      <w:r>
        <w:br w:type="column"/>
      </w:r>
    </w:p>
    <w:p>
      <w:pPr>
        <w:spacing w:before="0"/>
        <w:ind w:left="663" w:right="0" w:firstLine="0"/>
        <w:jc w:val="left"/>
        <w:rPr>
          <w:b/>
          <w:sz w:val="21"/>
        </w:rPr>
      </w:pPr>
      <w:r>
        <w:rPr>
          <w:b/>
          <w:spacing w:val="-26"/>
          <w:sz w:val="21"/>
        </w:rPr>
        <w:t xml:space="preserve">表 </w:t>
      </w:r>
      <w:r>
        <w:rPr>
          <w:rFonts w:ascii="Times New Roman" w:eastAsia="Times New Roman"/>
          <w:b/>
          <w:sz w:val="21"/>
        </w:rPr>
        <w:t>9.3-3</w:t>
      </w:r>
      <w:r>
        <w:rPr>
          <w:rFonts w:ascii="Times New Roman" w:eastAsia="Times New Roman"/>
          <w:b/>
          <w:spacing w:val="52"/>
          <w:sz w:val="21"/>
        </w:rPr>
        <w:t xml:space="preserve"> </w:t>
      </w:r>
      <w:r>
        <w:rPr>
          <w:b/>
          <w:sz w:val="21"/>
        </w:rPr>
        <w:t>土壤环境质量现状监测结果（</w:t>
      </w:r>
      <w:r>
        <w:rPr>
          <w:rFonts w:ascii="Times New Roman" w:eastAsia="Times New Roman"/>
          <w:b/>
          <w:sz w:val="21"/>
        </w:rPr>
        <w:t>2</w:t>
      </w:r>
      <w:r>
        <w:rPr>
          <w:b/>
          <w:sz w:val="21"/>
        </w:rPr>
        <w:t>）</w:t>
      </w:r>
    </w:p>
    <w:p>
      <w:pPr>
        <w:spacing w:after="0"/>
        <w:jc w:val="left"/>
        <w:rPr>
          <w:sz w:val="21"/>
        </w:rPr>
        <w:sectPr>
          <w:type w:val="continuous"/>
          <w:pgSz w:w="11910" w:h="16840"/>
          <w:pgMar w:top="1580" w:right="0" w:bottom="280" w:left="0" w:header="720" w:footer="720" w:gutter="0"/>
          <w:cols w:equalWidth="0" w:num="2">
            <w:col w:w="3324" w:space="40"/>
            <w:col w:w="8546"/>
          </w:cols>
        </w:sectPr>
      </w:pPr>
    </w:p>
    <w:p>
      <w:pPr>
        <w:pStyle w:val="9"/>
        <w:spacing w:before="11"/>
        <w:rPr>
          <w:b/>
          <w:sz w:val="10"/>
        </w:rPr>
      </w:pPr>
    </w:p>
    <w:tbl>
      <w:tblPr>
        <w:tblStyle w:val="15"/>
        <w:tblW w:w="0" w:type="auto"/>
        <w:tblInd w:w="14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55"/>
        <w:gridCol w:w="1455"/>
        <w:gridCol w:w="2377"/>
        <w:gridCol w:w="2378"/>
        <w:gridCol w:w="142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1455" w:type="dxa"/>
            <w:vMerge w:val="restart"/>
            <w:tcBorders>
              <w:bottom w:val="single" w:color="000000" w:sz="4" w:space="0"/>
              <w:right w:val="single" w:color="000000" w:sz="4" w:space="0"/>
            </w:tcBorders>
          </w:tcPr>
          <w:p>
            <w:pPr>
              <w:pStyle w:val="19"/>
              <w:spacing w:before="5"/>
              <w:jc w:val="left"/>
              <w:rPr>
                <w:b/>
                <w:sz w:val="16"/>
              </w:rPr>
            </w:pPr>
          </w:p>
          <w:p>
            <w:pPr>
              <w:pStyle w:val="19"/>
              <w:ind w:left="309"/>
              <w:jc w:val="left"/>
              <w:rPr>
                <w:sz w:val="21"/>
              </w:rPr>
            </w:pPr>
            <w:r>
              <w:rPr>
                <w:sz w:val="21"/>
              </w:rPr>
              <w:t>采样时间</w:t>
            </w:r>
          </w:p>
        </w:tc>
        <w:tc>
          <w:tcPr>
            <w:tcW w:w="1455" w:type="dxa"/>
            <w:vMerge w:val="restart"/>
            <w:tcBorders>
              <w:left w:val="single" w:color="000000" w:sz="4" w:space="0"/>
              <w:bottom w:val="single" w:color="000000" w:sz="4" w:space="0"/>
              <w:right w:val="single" w:color="000000" w:sz="4" w:space="0"/>
            </w:tcBorders>
          </w:tcPr>
          <w:p>
            <w:pPr>
              <w:pStyle w:val="19"/>
              <w:spacing w:before="5"/>
              <w:jc w:val="left"/>
              <w:rPr>
                <w:b/>
                <w:sz w:val="16"/>
              </w:rPr>
            </w:pPr>
          </w:p>
          <w:p>
            <w:pPr>
              <w:pStyle w:val="19"/>
              <w:ind w:left="311"/>
              <w:jc w:val="left"/>
              <w:rPr>
                <w:sz w:val="21"/>
              </w:rPr>
            </w:pPr>
            <w:r>
              <w:rPr>
                <w:sz w:val="21"/>
              </w:rPr>
              <w:t>检测项目</w:t>
            </w:r>
          </w:p>
        </w:tc>
        <w:tc>
          <w:tcPr>
            <w:tcW w:w="4755" w:type="dxa"/>
            <w:gridSpan w:val="2"/>
            <w:tcBorders>
              <w:left w:val="single" w:color="000000" w:sz="4" w:space="0"/>
              <w:bottom w:val="single" w:color="000000" w:sz="4" w:space="0"/>
              <w:right w:val="single" w:color="000000" w:sz="4" w:space="0"/>
            </w:tcBorders>
          </w:tcPr>
          <w:p>
            <w:pPr>
              <w:pStyle w:val="19"/>
              <w:spacing w:before="47" w:line="253" w:lineRule="exact"/>
              <w:ind w:left="1225"/>
              <w:jc w:val="left"/>
              <w:rPr>
                <w:sz w:val="21"/>
              </w:rPr>
            </w:pPr>
            <w:r>
              <w:rPr>
                <w:sz w:val="21"/>
              </w:rPr>
              <w:t>检测结果（占地范围外）</w:t>
            </w:r>
          </w:p>
        </w:tc>
        <w:tc>
          <w:tcPr>
            <w:tcW w:w="1425" w:type="dxa"/>
            <w:vMerge w:val="restart"/>
            <w:tcBorders>
              <w:left w:val="single" w:color="000000" w:sz="4" w:space="0"/>
              <w:bottom w:val="single" w:color="000000" w:sz="4" w:space="0"/>
            </w:tcBorders>
          </w:tcPr>
          <w:p>
            <w:pPr>
              <w:pStyle w:val="19"/>
              <w:spacing w:before="5"/>
              <w:jc w:val="left"/>
              <w:rPr>
                <w:b/>
                <w:sz w:val="16"/>
              </w:rPr>
            </w:pPr>
          </w:p>
          <w:p>
            <w:pPr>
              <w:pStyle w:val="19"/>
              <w:ind w:left="378" w:right="361"/>
              <w:rPr>
                <w:sz w:val="21"/>
              </w:rPr>
            </w:pPr>
            <w:r>
              <w:rPr>
                <w:sz w:val="21"/>
              </w:rPr>
              <w:t>单位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1455" w:type="dxa"/>
            <w:vMerge w:val="continue"/>
            <w:tcBorders>
              <w:top w:val="nil"/>
              <w:bottom w:val="single" w:color="000000" w:sz="4" w:space="0"/>
              <w:right w:val="single" w:color="000000" w:sz="4" w:space="0"/>
            </w:tcBorders>
          </w:tcPr>
          <w:p>
            <w:pPr>
              <w:rPr>
                <w:sz w:val="2"/>
                <w:szCs w:val="2"/>
              </w:rPr>
            </w:pPr>
          </w:p>
        </w:tc>
        <w:tc>
          <w:tcPr>
            <w:tcW w:w="1455" w:type="dxa"/>
            <w:vMerge w:val="continue"/>
            <w:tcBorders>
              <w:top w:val="nil"/>
              <w:left w:val="single" w:color="000000" w:sz="4" w:space="0"/>
              <w:bottom w:val="single" w:color="000000" w:sz="4" w:space="0"/>
              <w:right w:val="single" w:color="000000" w:sz="4" w:space="0"/>
            </w:tcBorders>
          </w:tcPr>
          <w:p>
            <w:pPr>
              <w:rPr>
                <w:sz w:val="2"/>
                <w:szCs w:val="2"/>
              </w:rPr>
            </w:pPr>
          </w:p>
        </w:tc>
        <w:tc>
          <w:tcPr>
            <w:tcW w:w="2377" w:type="dxa"/>
            <w:tcBorders>
              <w:top w:val="single" w:color="000000" w:sz="4" w:space="0"/>
              <w:left w:val="single" w:color="000000" w:sz="4" w:space="0"/>
              <w:bottom w:val="single" w:color="000000" w:sz="4" w:space="0"/>
              <w:right w:val="single" w:color="000000" w:sz="4" w:space="0"/>
            </w:tcBorders>
          </w:tcPr>
          <w:p>
            <w:pPr>
              <w:pStyle w:val="19"/>
              <w:spacing w:before="59" w:line="240" w:lineRule="exact"/>
              <w:ind w:left="530" w:right="512"/>
              <w:rPr>
                <w:rFonts w:ascii="Times New Roman"/>
                <w:sz w:val="21"/>
              </w:rPr>
            </w:pPr>
            <w:r>
              <w:rPr>
                <w:rFonts w:ascii="Times New Roman"/>
                <w:sz w:val="21"/>
              </w:rPr>
              <w:t>TR3006-20701</w:t>
            </w:r>
          </w:p>
        </w:tc>
        <w:tc>
          <w:tcPr>
            <w:tcW w:w="2378" w:type="dxa"/>
            <w:tcBorders>
              <w:top w:val="single" w:color="000000" w:sz="4" w:space="0"/>
              <w:left w:val="single" w:color="000000" w:sz="4" w:space="0"/>
              <w:bottom w:val="single" w:color="000000" w:sz="4" w:space="0"/>
              <w:right w:val="single" w:color="000000" w:sz="4" w:space="0"/>
            </w:tcBorders>
          </w:tcPr>
          <w:p>
            <w:pPr>
              <w:pStyle w:val="19"/>
              <w:spacing w:before="59" w:line="240" w:lineRule="exact"/>
              <w:ind w:left="532" w:right="512"/>
              <w:rPr>
                <w:rFonts w:ascii="Times New Roman"/>
                <w:sz w:val="21"/>
              </w:rPr>
            </w:pPr>
            <w:r>
              <w:rPr>
                <w:rFonts w:ascii="Times New Roman"/>
                <w:sz w:val="21"/>
              </w:rPr>
              <w:t>TR3006-20801</w:t>
            </w:r>
          </w:p>
        </w:tc>
        <w:tc>
          <w:tcPr>
            <w:tcW w:w="142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3" w:hRule="atLeast"/>
        </w:trPr>
        <w:tc>
          <w:tcPr>
            <w:tcW w:w="1455" w:type="dxa"/>
            <w:vMerge w:val="restart"/>
            <w:tcBorders>
              <w:top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10"/>
              <w:jc w:val="left"/>
              <w:rPr>
                <w:b/>
                <w:sz w:val="16"/>
              </w:rPr>
            </w:pPr>
          </w:p>
          <w:p>
            <w:pPr>
              <w:pStyle w:val="19"/>
              <w:ind w:left="256"/>
              <w:jc w:val="left"/>
              <w:rPr>
                <w:rFonts w:ascii="Times New Roman"/>
                <w:sz w:val="21"/>
              </w:rPr>
            </w:pPr>
            <w:r>
              <w:rPr>
                <w:rFonts w:ascii="Times New Roman"/>
                <w:sz w:val="21"/>
              </w:rPr>
              <w:t>2020.04.14</w:t>
            </w:r>
          </w:p>
        </w:tc>
        <w:tc>
          <w:tcPr>
            <w:tcW w:w="1455" w:type="dxa"/>
            <w:tcBorders>
              <w:top w:val="single" w:color="000000" w:sz="4" w:space="0"/>
              <w:left w:val="single" w:color="000000" w:sz="4" w:space="0"/>
              <w:bottom w:val="single" w:color="000000" w:sz="4" w:space="0"/>
              <w:right w:val="single" w:color="000000" w:sz="4" w:space="0"/>
            </w:tcBorders>
          </w:tcPr>
          <w:p>
            <w:pPr>
              <w:pStyle w:val="19"/>
              <w:spacing w:before="1"/>
              <w:ind w:left="396" w:right="378"/>
              <w:rPr>
                <w:sz w:val="21"/>
              </w:rPr>
            </w:pPr>
            <w:r>
              <w:rPr>
                <w:rFonts w:ascii="Times New Roman" w:eastAsia="Times New Roman"/>
                <w:sz w:val="21"/>
              </w:rPr>
              <w:t xml:space="preserve">pH </w:t>
            </w:r>
            <w:r>
              <w:rPr>
                <w:sz w:val="21"/>
              </w:rPr>
              <w:t>值</w:t>
            </w:r>
          </w:p>
        </w:tc>
        <w:tc>
          <w:tcPr>
            <w:tcW w:w="2377" w:type="dxa"/>
            <w:tcBorders>
              <w:top w:val="single" w:color="000000" w:sz="4" w:space="0"/>
              <w:left w:val="single" w:color="000000" w:sz="4" w:space="0"/>
              <w:bottom w:val="single" w:color="000000" w:sz="4" w:space="0"/>
              <w:right w:val="single" w:color="000000" w:sz="4" w:space="0"/>
            </w:tcBorders>
          </w:tcPr>
          <w:p>
            <w:pPr>
              <w:pStyle w:val="19"/>
              <w:spacing w:before="87"/>
              <w:ind w:left="530" w:right="510"/>
              <w:rPr>
                <w:rFonts w:ascii="Times New Roman"/>
                <w:sz w:val="21"/>
              </w:rPr>
            </w:pPr>
            <w:bookmarkStart w:id="521" w:name="7.18"/>
            <w:bookmarkEnd w:id="521"/>
            <w:r>
              <w:rPr>
                <w:rFonts w:ascii="Times New Roman"/>
                <w:sz w:val="21"/>
              </w:rPr>
              <w:t>7.18</w:t>
            </w:r>
          </w:p>
        </w:tc>
        <w:tc>
          <w:tcPr>
            <w:tcW w:w="2378" w:type="dxa"/>
            <w:tcBorders>
              <w:top w:val="single" w:color="000000" w:sz="4" w:space="0"/>
              <w:left w:val="single" w:color="000000" w:sz="4" w:space="0"/>
              <w:bottom w:val="single" w:color="000000" w:sz="4" w:space="0"/>
              <w:right w:val="single" w:color="000000" w:sz="4" w:space="0"/>
            </w:tcBorders>
          </w:tcPr>
          <w:p>
            <w:pPr>
              <w:pStyle w:val="19"/>
              <w:spacing w:before="87"/>
              <w:ind w:left="529" w:right="512"/>
              <w:rPr>
                <w:rFonts w:ascii="Times New Roman"/>
                <w:sz w:val="21"/>
              </w:rPr>
            </w:pPr>
            <w:bookmarkStart w:id="522" w:name="7.22"/>
            <w:bookmarkEnd w:id="522"/>
            <w:r>
              <w:rPr>
                <w:rFonts w:ascii="Times New Roman"/>
                <w:sz w:val="21"/>
              </w:rPr>
              <w:t>7.22</w:t>
            </w:r>
          </w:p>
        </w:tc>
        <w:tc>
          <w:tcPr>
            <w:tcW w:w="1425" w:type="dxa"/>
            <w:tcBorders>
              <w:top w:val="single" w:color="000000" w:sz="4" w:space="0"/>
              <w:left w:val="single" w:color="000000" w:sz="4" w:space="0"/>
              <w:bottom w:val="single" w:color="000000" w:sz="4" w:space="0"/>
            </w:tcBorders>
          </w:tcPr>
          <w:p>
            <w:pPr>
              <w:pStyle w:val="19"/>
              <w:spacing w:before="1"/>
              <w:ind w:left="378" w:right="361"/>
              <w:rPr>
                <w:sz w:val="21"/>
              </w:rPr>
            </w:pPr>
            <w:r>
              <w:rPr>
                <w:sz w:val="21"/>
              </w:rPr>
              <w:t>无量纲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bottom w:val="single" w:color="000000" w:sz="4" w:space="0"/>
              <w:right w:val="single" w:color="000000" w:sz="4" w:space="0"/>
            </w:tcBorders>
          </w:tcPr>
          <w:p>
            <w:pPr>
              <w:pStyle w:val="19"/>
              <w:spacing w:line="264" w:lineRule="exact"/>
              <w:ind w:left="396" w:right="378"/>
              <w:rPr>
                <w:sz w:val="21"/>
              </w:rPr>
            </w:pPr>
            <w:r>
              <w:rPr>
                <w:sz w:val="21"/>
              </w:rPr>
              <w:t>含盐量</w:t>
            </w:r>
          </w:p>
        </w:tc>
        <w:tc>
          <w:tcPr>
            <w:tcW w:w="2377" w:type="dxa"/>
            <w:tcBorders>
              <w:top w:val="single" w:color="000000" w:sz="4" w:space="0"/>
              <w:left w:val="single" w:color="000000" w:sz="4" w:space="0"/>
              <w:bottom w:val="single" w:color="000000" w:sz="4" w:space="0"/>
              <w:right w:val="single" w:color="000000" w:sz="4" w:space="0"/>
            </w:tcBorders>
          </w:tcPr>
          <w:p>
            <w:pPr>
              <w:pStyle w:val="19"/>
              <w:spacing w:before="80"/>
              <w:ind w:left="530" w:right="510"/>
              <w:rPr>
                <w:rFonts w:ascii="Times New Roman"/>
                <w:sz w:val="21"/>
              </w:rPr>
            </w:pPr>
            <w:bookmarkStart w:id="523" w:name="1.6"/>
            <w:bookmarkEnd w:id="523"/>
            <w:r>
              <w:rPr>
                <w:rFonts w:ascii="Times New Roman"/>
                <w:sz w:val="21"/>
              </w:rPr>
              <w:t>1.6</w:t>
            </w:r>
          </w:p>
        </w:tc>
        <w:tc>
          <w:tcPr>
            <w:tcW w:w="2378" w:type="dxa"/>
            <w:tcBorders>
              <w:top w:val="single" w:color="000000" w:sz="4" w:space="0"/>
              <w:left w:val="single" w:color="000000" w:sz="4" w:space="0"/>
              <w:bottom w:val="single" w:color="000000" w:sz="4" w:space="0"/>
              <w:right w:val="single" w:color="000000" w:sz="4" w:space="0"/>
            </w:tcBorders>
          </w:tcPr>
          <w:p>
            <w:pPr>
              <w:pStyle w:val="19"/>
              <w:spacing w:before="80"/>
              <w:ind w:left="529" w:right="512"/>
              <w:rPr>
                <w:rFonts w:ascii="Times New Roman"/>
                <w:sz w:val="21"/>
              </w:rPr>
            </w:pPr>
            <w:bookmarkStart w:id="524" w:name="1.3"/>
            <w:bookmarkEnd w:id="524"/>
            <w:r>
              <w:rPr>
                <w:rFonts w:ascii="Times New Roman"/>
                <w:sz w:val="21"/>
              </w:rPr>
              <w:t>1.3</w:t>
            </w:r>
          </w:p>
        </w:tc>
        <w:tc>
          <w:tcPr>
            <w:tcW w:w="1425" w:type="dxa"/>
            <w:tcBorders>
              <w:top w:val="single" w:color="000000" w:sz="4" w:space="0"/>
              <w:left w:val="single" w:color="000000" w:sz="4" w:space="0"/>
              <w:bottom w:val="single" w:color="000000" w:sz="4" w:space="0"/>
            </w:tcBorders>
          </w:tcPr>
          <w:p>
            <w:pPr>
              <w:pStyle w:val="19"/>
              <w:spacing w:before="16"/>
              <w:ind w:left="375" w:right="361"/>
              <w:rPr>
                <w:rFonts w:ascii="Times New Roman"/>
                <w:sz w:val="21"/>
              </w:rPr>
            </w:pPr>
            <w:r>
              <w:rPr>
                <w:rFonts w:ascii="Times New Roman"/>
                <w:sz w:val="21"/>
              </w:rPr>
              <w:t>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bottom w:val="single" w:color="000000" w:sz="4" w:space="0"/>
              <w:right w:val="single" w:color="000000" w:sz="4" w:space="0"/>
            </w:tcBorders>
          </w:tcPr>
          <w:p>
            <w:pPr>
              <w:pStyle w:val="19"/>
              <w:spacing w:line="266" w:lineRule="exact"/>
              <w:ind w:left="16"/>
              <w:rPr>
                <w:sz w:val="21"/>
              </w:rPr>
            </w:pPr>
            <w:r>
              <w:rPr>
                <w:w w:val="99"/>
                <w:sz w:val="21"/>
              </w:rPr>
              <w:t>镉</w:t>
            </w:r>
          </w:p>
        </w:tc>
        <w:tc>
          <w:tcPr>
            <w:tcW w:w="2377" w:type="dxa"/>
            <w:tcBorders>
              <w:top w:val="single" w:color="000000" w:sz="4" w:space="0"/>
              <w:left w:val="single" w:color="000000" w:sz="4" w:space="0"/>
              <w:bottom w:val="single" w:color="000000" w:sz="4" w:space="0"/>
              <w:right w:val="single" w:color="000000" w:sz="4" w:space="0"/>
            </w:tcBorders>
          </w:tcPr>
          <w:p>
            <w:pPr>
              <w:pStyle w:val="19"/>
              <w:spacing w:before="80"/>
              <w:ind w:left="530" w:right="510"/>
              <w:rPr>
                <w:rFonts w:ascii="Times New Roman"/>
                <w:sz w:val="21"/>
              </w:rPr>
            </w:pPr>
            <w:bookmarkStart w:id="525" w:name="0.21"/>
            <w:bookmarkEnd w:id="525"/>
            <w:r>
              <w:rPr>
                <w:rFonts w:ascii="Times New Roman"/>
                <w:sz w:val="21"/>
              </w:rPr>
              <w:t>0.21</w:t>
            </w:r>
          </w:p>
        </w:tc>
        <w:tc>
          <w:tcPr>
            <w:tcW w:w="2378" w:type="dxa"/>
            <w:tcBorders>
              <w:top w:val="single" w:color="000000" w:sz="4" w:space="0"/>
              <w:left w:val="single" w:color="000000" w:sz="4" w:space="0"/>
              <w:bottom w:val="single" w:color="000000" w:sz="4" w:space="0"/>
              <w:right w:val="single" w:color="000000" w:sz="4" w:space="0"/>
            </w:tcBorders>
          </w:tcPr>
          <w:p>
            <w:pPr>
              <w:pStyle w:val="19"/>
              <w:spacing w:before="80"/>
              <w:ind w:left="529" w:right="512"/>
              <w:rPr>
                <w:rFonts w:ascii="Times New Roman"/>
                <w:sz w:val="21"/>
              </w:rPr>
            </w:pPr>
            <w:bookmarkStart w:id="526" w:name="0.22"/>
            <w:bookmarkEnd w:id="526"/>
            <w:r>
              <w:rPr>
                <w:rFonts w:ascii="Times New Roman"/>
                <w:sz w:val="21"/>
              </w:rPr>
              <w:t>0.22</w:t>
            </w:r>
          </w:p>
        </w:tc>
        <w:tc>
          <w:tcPr>
            <w:tcW w:w="1425" w:type="dxa"/>
            <w:tcBorders>
              <w:top w:val="single" w:color="000000" w:sz="4" w:space="0"/>
              <w:left w:val="single" w:color="000000" w:sz="4" w:space="0"/>
              <w:bottom w:val="single" w:color="000000" w:sz="4" w:space="0"/>
            </w:tcBorders>
          </w:tcPr>
          <w:p>
            <w:pPr>
              <w:pStyle w:val="19"/>
              <w:spacing w:before="99"/>
              <w:ind w:left="378" w:right="360"/>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bottom w:val="single" w:color="000000" w:sz="4" w:space="0"/>
              <w:right w:val="single" w:color="000000" w:sz="4" w:space="0"/>
            </w:tcBorders>
          </w:tcPr>
          <w:p>
            <w:pPr>
              <w:pStyle w:val="19"/>
              <w:spacing w:line="264" w:lineRule="exact"/>
              <w:ind w:left="16"/>
              <w:rPr>
                <w:sz w:val="21"/>
              </w:rPr>
            </w:pPr>
            <w:r>
              <w:rPr>
                <w:w w:val="99"/>
                <w:sz w:val="21"/>
              </w:rPr>
              <w:t>汞</w:t>
            </w:r>
          </w:p>
        </w:tc>
        <w:tc>
          <w:tcPr>
            <w:tcW w:w="2377" w:type="dxa"/>
            <w:tcBorders>
              <w:top w:val="single" w:color="000000" w:sz="4" w:space="0"/>
              <w:left w:val="single" w:color="000000" w:sz="4" w:space="0"/>
              <w:bottom w:val="single" w:color="000000" w:sz="4" w:space="0"/>
              <w:right w:val="single" w:color="000000" w:sz="4" w:space="0"/>
            </w:tcBorders>
          </w:tcPr>
          <w:p>
            <w:pPr>
              <w:pStyle w:val="19"/>
              <w:spacing w:before="79"/>
              <w:ind w:left="530" w:right="510"/>
              <w:rPr>
                <w:rFonts w:ascii="Times New Roman"/>
                <w:sz w:val="21"/>
              </w:rPr>
            </w:pPr>
            <w:bookmarkStart w:id="527" w:name="0.061"/>
            <w:bookmarkEnd w:id="527"/>
            <w:r>
              <w:rPr>
                <w:rFonts w:ascii="Times New Roman"/>
                <w:sz w:val="21"/>
              </w:rPr>
              <w:t>0.061</w:t>
            </w:r>
          </w:p>
        </w:tc>
        <w:tc>
          <w:tcPr>
            <w:tcW w:w="2378" w:type="dxa"/>
            <w:tcBorders>
              <w:top w:val="single" w:color="000000" w:sz="4" w:space="0"/>
              <w:left w:val="single" w:color="000000" w:sz="4" w:space="0"/>
              <w:bottom w:val="single" w:color="000000" w:sz="4" w:space="0"/>
              <w:right w:val="single" w:color="000000" w:sz="4" w:space="0"/>
            </w:tcBorders>
          </w:tcPr>
          <w:p>
            <w:pPr>
              <w:pStyle w:val="19"/>
              <w:spacing w:before="79"/>
              <w:ind w:left="532" w:right="512"/>
              <w:rPr>
                <w:rFonts w:ascii="Times New Roman"/>
                <w:sz w:val="21"/>
              </w:rPr>
            </w:pPr>
            <w:bookmarkStart w:id="528" w:name="0.063"/>
            <w:bookmarkEnd w:id="528"/>
            <w:r>
              <w:rPr>
                <w:rFonts w:ascii="Times New Roman"/>
                <w:sz w:val="21"/>
              </w:rPr>
              <w:t>0.063</w:t>
            </w:r>
          </w:p>
        </w:tc>
        <w:tc>
          <w:tcPr>
            <w:tcW w:w="1425" w:type="dxa"/>
            <w:tcBorders>
              <w:top w:val="single" w:color="000000" w:sz="4" w:space="0"/>
              <w:left w:val="single" w:color="000000" w:sz="4" w:space="0"/>
              <w:bottom w:val="single" w:color="000000" w:sz="4" w:space="0"/>
            </w:tcBorders>
          </w:tcPr>
          <w:p>
            <w:pPr>
              <w:pStyle w:val="19"/>
              <w:spacing w:before="98"/>
              <w:ind w:left="378" w:right="360"/>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9"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bottom w:val="single" w:color="000000" w:sz="4" w:space="0"/>
              <w:right w:val="single" w:color="000000" w:sz="4" w:space="0"/>
            </w:tcBorders>
          </w:tcPr>
          <w:p>
            <w:pPr>
              <w:pStyle w:val="19"/>
              <w:spacing w:line="264" w:lineRule="exact"/>
              <w:ind w:left="16"/>
              <w:rPr>
                <w:sz w:val="21"/>
              </w:rPr>
            </w:pPr>
            <w:r>
              <w:rPr>
                <w:w w:val="99"/>
                <w:sz w:val="21"/>
              </w:rPr>
              <w:t>砷</w:t>
            </w:r>
          </w:p>
        </w:tc>
        <w:tc>
          <w:tcPr>
            <w:tcW w:w="2377" w:type="dxa"/>
            <w:tcBorders>
              <w:top w:val="single" w:color="000000" w:sz="4" w:space="0"/>
              <w:left w:val="single" w:color="000000" w:sz="4" w:space="0"/>
              <w:bottom w:val="single" w:color="000000" w:sz="4" w:space="0"/>
              <w:right w:val="single" w:color="000000" w:sz="4" w:space="0"/>
            </w:tcBorders>
          </w:tcPr>
          <w:p>
            <w:pPr>
              <w:pStyle w:val="19"/>
              <w:spacing w:before="81"/>
              <w:ind w:left="530" w:right="510"/>
              <w:rPr>
                <w:rFonts w:ascii="Times New Roman"/>
                <w:sz w:val="21"/>
              </w:rPr>
            </w:pPr>
            <w:bookmarkStart w:id="529" w:name="8.13"/>
            <w:bookmarkEnd w:id="529"/>
            <w:r>
              <w:rPr>
                <w:rFonts w:ascii="Times New Roman"/>
                <w:sz w:val="21"/>
              </w:rPr>
              <w:t>8.13</w:t>
            </w:r>
          </w:p>
        </w:tc>
        <w:tc>
          <w:tcPr>
            <w:tcW w:w="2378" w:type="dxa"/>
            <w:tcBorders>
              <w:top w:val="single" w:color="000000" w:sz="4" w:space="0"/>
              <w:left w:val="single" w:color="000000" w:sz="4" w:space="0"/>
              <w:bottom w:val="single" w:color="000000" w:sz="4" w:space="0"/>
              <w:right w:val="single" w:color="000000" w:sz="4" w:space="0"/>
            </w:tcBorders>
          </w:tcPr>
          <w:p>
            <w:pPr>
              <w:pStyle w:val="19"/>
              <w:spacing w:before="81"/>
              <w:ind w:left="529" w:right="512"/>
              <w:rPr>
                <w:rFonts w:ascii="Times New Roman"/>
                <w:sz w:val="21"/>
              </w:rPr>
            </w:pPr>
            <w:bookmarkStart w:id="530" w:name="8.53"/>
            <w:bookmarkEnd w:id="530"/>
            <w:r>
              <w:rPr>
                <w:rFonts w:ascii="Times New Roman"/>
                <w:sz w:val="21"/>
              </w:rPr>
              <w:t>8.53</w:t>
            </w:r>
          </w:p>
        </w:tc>
        <w:tc>
          <w:tcPr>
            <w:tcW w:w="1425" w:type="dxa"/>
            <w:tcBorders>
              <w:top w:val="single" w:color="000000" w:sz="4" w:space="0"/>
              <w:left w:val="single" w:color="000000" w:sz="4" w:space="0"/>
              <w:bottom w:val="single" w:color="000000" w:sz="4" w:space="0"/>
            </w:tcBorders>
          </w:tcPr>
          <w:p>
            <w:pPr>
              <w:pStyle w:val="19"/>
              <w:spacing w:before="16"/>
              <w:ind w:left="378" w:right="360"/>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bottom w:val="single" w:color="000000" w:sz="4" w:space="0"/>
              <w:right w:val="single" w:color="000000" w:sz="4" w:space="0"/>
            </w:tcBorders>
          </w:tcPr>
          <w:p>
            <w:pPr>
              <w:pStyle w:val="19"/>
              <w:spacing w:line="265" w:lineRule="exact"/>
              <w:ind w:left="16"/>
              <w:rPr>
                <w:sz w:val="21"/>
              </w:rPr>
            </w:pPr>
            <w:r>
              <w:rPr>
                <w:w w:val="99"/>
                <w:sz w:val="21"/>
              </w:rPr>
              <w:t>铅</w:t>
            </w:r>
          </w:p>
        </w:tc>
        <w:tc>
          <w:tcPr>
            <w:tcW w:w="2377" w:type="dxa"/>
            <w:tcBorders>
              <w:top w:val="single" w:color="000000" w:sz="4" w:space="0"/>
              <w:left w:val="single" w:color="000000" w:sz="4" w:space="0"/>
              <w:bottom w:val="single" w:color="000000" w:sz="4" w:space="0"/>
              <w:right w:val="single" w:color="000000" w:sz="4" w:space="0"/>
            </w:tcBorders>
          </w:tcPr>
          <w:p>
            <w:pPr>
              <w:pStyle w:val="19"/>
              <w:spacing w:before="82"/>
              <w:ind w:left="530" w:right="510"/>
              <w:rPr>
                <w:rFonts w:ascii="Times New Roman"/>
                <w:sz w:val="21"/>
              </w:rPr>
            </w:pPr>
            <w:bookmarkStart w:id="531" w:name="33.3"/>
            <w:bookmarkEnd w:id="531"/>
            <w:r>
              <w:rPr>
                <w:rFonts w:ascii="Times New Roman"/>
                <w:sz w:val="21"/>
              </w:rPr>
              <w:t>33.3</w:t>
            </w:r>
          </w:p>
        </w:tc>
        <w:tc>
          <w:tcPr>
            <w:tcW w:w="2378" w:type="dxa"/>
            <w:tcBorders>
              <w:top w:val="single" w:color="000000" w:sz="4" w:space="0"/>
              <w:left w:val="single" w:color="000000" w:sz="4" w:space="0"/>
              <w:bottom w:val="single" w:color="000000" w:sz="4" w:space="0"/>
              <w:right w:val="single" w:color="000000" w:sz="4" w:space="0"/>
            </w:tcBorders>
          </w:tcPr>
          <w:p>
            <w:pPr>
              <w:pStyle w:val="19"/>
              <w:spacing w:before="82"/>
              <w:ind w:left="529" w:right="512"/>
              <w:rPr>
                <w:rFonts w:ascii="Times New Roman"/>
                <w:sz w:val="21"/>
              </w:rPr>
            </w:pPr>
            <w:bookmarkStart w:id="532" w:name="34.0"/>
            <w:bookmarkEnd w:id="532"/>
            <w:r>
              <w:rPr>
                <w:rFonts w:ascii="Times New Roman"/>
                <w:sz w:val="21"/>
              </w:rPr>
              <w:t>34.0</w:t>
            </w:r>
          </w:p>
        </w:tc>
        <w:tc>
          <w:tcPr>
            <w:tcW w:w="1425" w:type="dxa"/>
            <w:tcBorders>
              <w:top w:val="single" w:color="000000" w:sz="4" w:space="0"/>
              <w:left w:val="single" w:color="000000" w:sz="4" w:space="0"/>
              <w:bottom w:val="single" w:color="000000" w:sz="4" w:space="0"/>
            </w:tcBorders>
          </w:tcPr>
          <w:p>
            <w:pPr>
              <w:pStyle w:val="19"/>
              <w:spacing w:before="17"/>
              <w:ind w:left="378" w:right="360"/>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bottom w:val="single" w:color="000000" w:sz="4" w:space="0"/>
              <w:right w:val="single" w:color="000000" w:sz="4" w:space="0"/>
            </w:tcBorders>
          </w:tcPr>
          <w:p>
            <w:pPr>
              <w:pStyle w:val="19"/>
              <w:spacing w:line="264" w:lineRule="exact"/>
              <w:ind w:left="16"/>
              <w:rPr>
                <w:sz w:val="21"/>
              </w:rPr>
            </w:pPr>
            <w:r>
              <w:rPr>
                <w:w w:val="99"/>
                <w:sz w:val="21"/>
              </w:rPr>
              <w:t>铬</w:t>
            </w:r>
          </w:p>
        </w:tc>
        <w:tc>
          <w:tcPr>
            <w:tcW w:w="2377" w:type="dxa"/>
            <w:tcBorders>
              <w:top w:val="single" w:color="000000" w:sz="4" w:space="0"/>
              <w:left w:val="single" w:color="000000" w:sz="4" w:space="0"/>
              <w:bottom w:val="single" w:color="000000" w:sz="4" w:space="0"/>
              <w:right w:val="single" w:color="000000" w:sz="4" w:space="0"/>
            </w:tcBorders>
          </w:tcPr>
          <w:p>
            <w:pPr>
              <w:pStyle w:val="19"/>
              <w:spacing w:before="80"/>
              <w:ind w:left="527" w:right="512"/>
              <w:rPr>
                <w:rFonts w:ascii="Times New Roman"/>
                <w:sz w:val="21"/>
              </w:rPr>
            </w:pPr>
            <w:bookmarkStart w:id="533" w:name="49"/>
            <w:bookmarkEnd w:id="533"/>
            <w:r>
              <w:rPr>
                <w:rFonts w:ascii="Times New Roman"/>
                <w:sz w:val="21"/>
              </w:rPr>
              <w:t>49</w:t>
            </w:r>
          </w:p>
        </w:tc>
        <w:tc>
          <w:tcPr>
            <w:tcW w:w="2378" w:type="dxa"/>
            <w:tcBorders>
              <w:top w:val="single" w:color="000000" w:sz="4" w:space="0"/>
              <w:left w:val="single" w:color="000000" w:sz="4" w:space="0"/>
              <w:bottom w:val="single" w:color="000000" w:sz="4" w:space="0"/>
              <w:right w:val="single" w:color="000000" w:sz="4" w:space="0"/>
            </w:tcBorders>
          </w:tcPr>
          <w:p>
            <w:pPr>
              <w:pStyle w:val="19"/>
              <w:spacing w:before="80"/>
              <w:ind w:left="529" w:right="512"/>
              <w:rPr>
                <w:rFonts w:ascii="Times New Roman"/>
                <w:sz w:val="21"/>
              </w:rPr>
            </w:pPr>
            <w:bookmarkStart w:id="534" w:name="52"/>
            <w:bookmarkEnd w:id="534"/>
            <w:r>
              <w:rPr>
                <w:rFonts w:ascii="Times New Roman"/>
                <w:sz w:val="21"/>
              </w:rPr>
              <w:t>52</w:t>
            </w:r>
          </w:p>
        </w:tc>
        <w:tc>
          <w:tcPr>
            <w:tcW w:w="1425" w:type="dxa"/>
            <w:tcBorders>
              <w:top w:val="single" w:color="000000" w:sz="4" w:space="0"/>
              <w:left w:val="single" w:color="000000" w:sz="4" w:space="0"/>
              <w:bottom w:val="single" w:color="000000" w:sz="4" w:space="0"/>
            </w:tcBorders>
          </w:tcPr>
          <w:p>
            <w:pPr>
              <w:pStyle w:val="19"/>
              <w:spacing w:before="15"/>
              <w:ind w:left="378" w:right="360"/>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9"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bottom w:val="single" w:color="000000" w:sz="4" w:space="0"/>
              <w:right w:val="single" w:color="000000" w:sz="4" w:space="0"/>
            </w:tcBorders>
          </w:tcPr>
          <w:p>
            <w:pPr>
              <w:pStyle w:val="19"/>
              <w:spacing w:line="266" w:lineRule="exact"/>
              <w:ind w:left="16"/>
              <w:rPr>
                <w:sz w:val="21"/>
              </w:rPr>
            </w:pPr>
            <w:r>
              <w:rPr>
                <w:w w:val="99"/>
                <w:sz w:val="21"/>
              </w:rPr>
              <w:t>铜</w:t>
            </w:r>
          </w:p>
        </w:tc>
        <w:tc>
          <w:tcPr>
            <w:tcW w:w="2377" w:type="dxa"/>
            <w:tcBorders>
              <w:top w:val="single" w:color="000000" w:sz="4" w:space="0"/>
              <w:left w:val="single" w:color="000000" w:sz="4" w:space="0"/>
              <w:bottom w:val="single" w:color="000000" w:sz="4" w:space="0"/>
              <w:right w:val="single" w:color="000000" w:sz="4" w:space="0"/>
            </w:tcBorders>
          </w:tcPr>
          <w:p>
            <w:pPr>
              <w:pStyle w:val="19"/>
              <w:spacing w:before="80"/>
              <w:ind w:left="527" w:right="512"/>
              <w:rPr>
                <w:rFonts w:ascii="Times New Roman"/>
                <w:sz w:val="21"/>
              </w:rPr>
            </w:pPr>
            <w:bookmarkStart w:id="535" w:name="14"/>
            <w:bookmarkEnd w:id="535"/>
            <w:r>
              <w:rPr>
                <w:rFonts w:ascii="Times New Roman"/>
                <w:sz w:val="21"/>
              </w:rPr>
              <w:t>14</w:t>
            </w:r>
          </w:p>
        </w:tc>
        <w:tc>
          <w:tcPr>
            <w:tcW w:w="2378" w:type="dxa"/>
            <w:tcBorders>
              <w:top w:val="single" w:color="000000" w:sz="4" w:space="0"/>
              <w:left w:val="single" w:color="000000" w:sz="4" w:space="0"/>
              <w:bottom w:val="single" w:color="000000" w:sz="4" w:space="0"/>
              <w:right w:val="single" w:color="000000" w:sz="4" w:space="0"/>
            </w:tcBorders>
          </w:tcPr>
          <w:p>
            <w:pPr>
              <w:pStyle w:val="19"/>
              <w:spacing w:before="80"/>
              <w:ind w:left="529" w:right="512"/>
              <w:rPr>
                <w:rFonts w:ascii="Times New Roman"/>
                <w:sz w:val="21"/>
              </w:rPr>
            </w:pPr>
            <w:bookmarkStart w:id="536" w:name="14"/>
            <w:bookmarkEnd w:id="536"/>
            <w:r>
              <w:rPr>
                <w:rFonts w:ascii="Times New Roman"/>
                <w:sz w:val="21"/>
              </w:rPr>
              <w:t>14</w:t>
            </w:r>
          </w:p>
        </w:tc>
        <w:tc>
          <w:tcPr>
            <w:tcW w:w="1425" w:type="dxa"/>
            <w:tcBorders>
              <w:top w:val="single" w:color="000000" w:sz="4" w:space="0"/>
              <w:left w:val="single" w:color="000000" w:sz="4" w:space="0"/>
              <w:bottom w:val="single" w:color="000000" w:sz="4" w:space="0"/>
            </w:tcBorders>
          </w:tcPr>
          <w:p>
            <w:pPr>
              <w:pStyle w:val="19"/>
              <w:spacing w:before="75"/>
              <w:ind w:left="378" w:right="360"/>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bottom w:val="single" w:color="000000" w:sz="4" w:space="0"/>
              <w:right w:val="single" w:color="000000" w:sz="4" w:space="0"/>
            </w:tcBorders>
          </w:tcPr>
          <w:p>
            <w:pPr>
              <w:pStyle w:val="19"/>
              <w:spacing w:line="264" w:lineRule="exact"/>
              <w:ind w:left="16"/>
              <w:rPr>
                <w:sz w:val="21"/>
              </w:rPr>
            </w:pPr>
            <w:r>
              <w:rPr>
                <w:w w:val="99"/>
                <w:sz w:val="21"/>
              </w:rPr>
              <w:t>镍</w:t>
            </w:r>
          </w:p>
        </w:tc>
        <w:tc>
          <w:tcPr>
            <w:tcW w:w="2377" w:type="dxa"/>
            <w:tcBorders>
              <w:top w:val="single" w:color="000000" w:sz="4" w:space="0"/>
              <w:left w:val="single" w:color="000000" w:sz="4" w:space="0"/>
              <w:bottom w:val="single" w:color="000000" w:sz="4" w:space="0"/>
              <w:right w:val="single" w:color="000000" w:sz="4" w:space="0"/>
            </w:tcBorders>
          </w:tcPr>
          <w:p>
            <w:pPr>
              <w:pStyle w:val="19"/>
              <w:spacing w:before="81"/>
              <w:ind w:left="527" w:right="512"/>
              <w:rPr>
                <w:rFonts w:ascii="Times New Roman"/>
                <w:sz w:val="21"/>
              </w:rPr>
            </w:pPr>
            <w:bookmarkStart w:id="537" w:name="12"/>
            <w:bookmarkEnd w:id="537"/>
            <w:r>
              <w:rPr>
                <w:rFonts w:ascii="Times New Roman"/>
                <w:sz w:val="21"/>
              </w:rPr>
              <w:t>12</w:t>
            </w:r>
          </w:p>
        </w:tc>
        <w:tc>
          <w:tcPr>
            <w:tcW w:w="2378" w:type="dxa"/>
            <w:tcBorders>
              <w:top w:val="single" w:color="000000" w:sz="4" w:space="0"/>
              <w:left w:val="single" w:color="000000" w:sz="4" w:space="0"/>
              <w:bottom w:val="single" w:color="000000" w:sz="4" w:space="0"/>
              <w:right w:val="single" w:color="000000" w:sz="4" w:space="0"/>
            </w:tcBorders>
          </w:tcPr>
          <w:p>
            <w:pPr>
              <w:pStyle w:val="19"/>
              <w:spacing w:before="81"/>
              <w:ind w:left="529" w:right="512"/>
              <w:rPr>
                <w:rFonts w:ascii="Times New Roman"/>
                <w:sz w:val="21"/>
              </w:rPr>
            </w:pPr>
            <w:bookmarkStart w:id="538" w:name="12"/>
            <w:bookmarkEnd w:id="538"/>
            <w:r>
              <w:rPr>
                <w:rFonts w:ascii="Times New Roman"/>
                <w:sz w:val="21"/>
              </w:rPr>
              <w:t>12</w:t>
            </w:r>
          </w:p>
        </w:tc>
        <w:tc>
          <w:tcPr>
            <w:tcW w:w="1425" w:type="dxa"/>
            <w:tcBorders>
              <w:top w:val="single" w:color="000000" w:sz="4" w:space="0"/>
              <w:left w:val="single" w:color="000000" w:sz="4" w:space="0"/>
              <w:bottom w:val="single" w:color="000000" w:sz="4" w:space="0"/>
            </w:tcBorders>
          </w:tcPr>
          <w:p>
            <w:pPr>
              <w:pStyle w:val="19"/>
              <w:spacing w:before="16"/>
              <w:ind w:left="378" w:right="360"/>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3"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right w:val="single" w:color="000000" w:sz="4" w:space="0"/>
            </w:tcBorders>
          </w:tcPr>
          <w:p>
            <w:pPr>
              <w:pStyle w:val="19"/>
              <w:spacing w:line="266" w:lineRule="exact"/>
              <w:ind w:left="16"/>
              <w:rPr>
                <w:sz w:val="21"/>
              </w:rPr>
            </w:pPr>
            <w:r>
              <w:rPr>
                <w:w w:val="99"/>
                <w:sz w:val="21"/>
              </w:rPr>
              <w:t>锌</w:t>
            </w:r>
          </w:p>
        </w:tc>
        <w:tc>
          <w:tcPr>
            <w:tcW w:w="2377" w:type="dxa"/>
            <w:tcBorders>
              <w:top w:val="single" w:color="000000" w:sz="4" w:space="0"/>
              <w:left w:val="single" w:color="000000" w:sz="4" w:space="0"/>
              <w:right w:val="single" w:color="000000" w:sz="4" w:space="0"/>
            </w:tcBorders>
          </w:tcPr>
          <w:p>
            <w:pPr>
              <w:pStyle w:val="19"/>
              <w:spacing w:before="80"/>
              <w:ind w:left="530" w:right="512"/>
              <w:rPr>
                <w:rFonts w:ascii="Times New Roman"/>
                <w:sz w:val="21"/>
              </w:rPr>
            </w:pPr>
            <w:bookmarkStart w:id="539" w:name="112"/>
            <w:bookmarkEnd w:id="539"/>
            <w:r>
              <w:rPr>
                <w:rFonts w:ascii="Times New Roman"/>
                <w:sz w:val="21"/>
              </w:rPr>
              <w:t>112</w:t>
            </w:r>
          </w:p>
        </w:tc>
        <w:tc>
          <w:tcPr>
            <w:tcW w:w="2378" w:type="dxa"/>
            <w:tcBorders>
              <w:top w:val="single" w:color="000000" w:sz="4" w:space="0"/>
              <w:left w:val="single" w:color="000000" w:sz="4" w:space="0"/>
              <w:right w:val="single" w:color="000000" w:sz="4" w:space="0"/>
            </w:tcBorders>
          </w:tcPr>
          <w:p>
            <w:pPr>
              <w:pStyle w:val="19"/>
              <w:spacing w:before="80"/>
              <w:ind w:left="532" w:right="512"/>
              <w:rPr>
                <w:rFonts w:ascii="Times New Roman"/>
                <w:sz w:val="21"/>
              </w:rPr>
            </w:pPr>
            <w:bookmarkStart w:id="540" w:name="114"/>
            <w:bookmarkEnd w:id="540"/>
            <w:r>
              <w:rPr>
                <w:rFonts w:ascii="Times New Roman"/>
                <w:sz w:val="21"/>
              </w:rPr>
              <w:t>114</w:t>
            </w:r>
          </w:p>
        </w:tc>
        <w:tc>
          <w:tcPr>
            <w:tcW w:w="1425" w:type="dxa"/>
            <w:tcBorders>
              <w:top w:val="single" w:color="000000" w:sz="4" w:space="0"/>
              <w:left w:val="single" w:color="000000" w:sz="4" w:space="0"/>
            </w:tcBorders>
          </w:tcPr>
          <w:p>
            <w:pPr>
              <w:pStyle w:val="19"/>
              <w:spacing w:before="16"/>
              <w:ind w:left="378" w:right="360"/>
              <w:rPr>
                <w:rFonts w:ascii="Times New Roman"/>
                <w:sz w:val="21"/>
              </w:rPr>
            </w:pPr>
            <w:r>
              <w:rPr>
                <w:rFonts w:ascii="Times New Roman"/>
                <w:sz w:val="21"/>
              </w:rPr>
              <w:t>mg/kg</w:t>
            </w:r>
          </w:p>
        </w:tc>
      </w:tr>
    </w:tbl>
    <w:p>
      <w:pPr>
        <w:pStyle w:val="9"/>
        <w:spacing w:before="7"/>
        <w:rPr>
          <w:b/>
          <w:sz w:val="7"/>
        </w:rPr>
      </w:pPr>
    </w:p>
    <w:p>
      <w:pPr>
        <w:spacing w:before="77" w:after="38"/>
        <w:ind w:left="427" w:right="0" w:firstLine="0"/>
        <w:jc w:val="center"/>
        <w:rPr>
          <w:b/>
          <w:sz w:val="21"/>
        </w:rPr>
      </w:pPr>
      <w:r>
        <w:rPr>
          <w:b/>
          <w:spacing w:val="-28"/>
          <w:sz w:val="21"/>
        </w:rPr>
        <w:t xml:space="preserve">表 </w:t>
      </w:r>
      <w:r>
        <w:rPr>
          <w:rFonts w:ascii="Times New Roman" w:eastAsia="Times New Roman"/>
          <w:b/>
          <w:sz w:val="21"/>
        </w:rPr>
        <w:t>9.3-4</w:t>
      </w:r>
      <w:r>
        <w:rPr>
          <w:rFonts w:ascii="Times New Roman" w:eastAsia="Times New Roman"/>
          <w:b/>
          <w:spacing w:val="52"/>
          <w:sz w:val="21"/>
        </w:rPr>
        <w:t xml:space="preserve"> </w:t>
      </w:r>
      <w:r>
        <w:rPr>
          <w:b/>
          <w:sz w:val="21"/>
        </w:rPr>
        <w:t>土壤现状评价结果（</w:t>
      </w:r>
      <w:r>
        <w:rPr>
          <w:rFonts w:ascii="Times New Roman" w:eastAsia="Times New Roman"/>
          <w:b/>
          <w:sz w:val="21"/>
        </w:rPr>
        <w:t>1</w:t>
      </w:r>
      <w:r>
        <w:rPr>
          <w:b/>
          <w:sz w:val="21"/>
        </w:rPr>
        <w:t>）</w:t>
      </w:r>
    </w:p>
    <w:tbl>
      <w:tblPr>
        <w:tblStyle w:val="15"/>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45"/>
        <w:gridCol w:w="1551"/>
        <w:gridCol w:w="1213"/>
        <w:gridCol w:w="1105"/>
        <w:gridCol w:w="1047"/>
        <w:gridCol w:w="1157"/>
        <w:gridCol w:w="1097"/>
        <w:gridCol w:w="1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6" w:hRule="atLeast"/>
        </w:trPr>
        <w:tc>
          <w:tcPr>
            <w:tcW w:w="1045" w:type="dxa"/>
            <w:vMerge w:val="restart"/>
            <w:tcBorders>
              <w:bottom w:val="single" w:color="000000" w:sz="4" w:space="0"/>
              <w:right w:val="single" w:color="000000" w:sz="4" w:space="0"/>
            </w:tcBorders>
          </w:tcPr>
          <w:p>
            <w:pPr>
              <w:pStyle w:val="19"/>
              <w:jc w:val="left"/>
              <w:rPr>
                <w:b/>
                <w:sz w:val="20"/>
              </w:rPr>
            </w:pPr>
          </w:p>
          <w:p>
            <w:pPr>
              <w:pStyle w:val="19"/>
              <w:spacing w:before="3"/>
              <w:jc w:val="left"/>
              <w:rPr>
                <w:b/>
                <w:sz w:val="17"/>
              </w:rPr>
            </w:pPr>
          </w:p>
          <w:p>
            <w:pPr>
              <w:pStyle w:val="19"/>
              <w:ind w:left="105"/>
              <w:jc w:val="left"/>
              <w:rPr>
                <w:sz w:val="21"/>
              </w:rPr>
            </w:pPr>
            <w:r>
              <w:rPr>
                <w:sz w:val="21"/>
              </w:rPr>
              <w:t>采样时间</w:t>
            </w:r>
          </w:p>
        </w:tc>
        <w:tc>
          <w:tcPr>
            <w:tcW w:w="1551" w:type="dxa"/>
            <w:vMerge w:val="restart"/>
            <w:tcBorders>
              <w:left w:val="single" w:color="000000" w:sz="4" w:space="0"/>
              <w:bottom w:val="single" w:color="000000" w:sz="4" w:space="0"/>
              <w:right w:val="single" w:color="000000" w:sz="4" w:space="0"/>
            </w:tcBorders>
          </w:tcPr>
          <w:p>
            <w:pPr>
              <w:pStyle w:val="19"/>
              <w:jc w:val="left"/>
              <w:rPr>
                <w:b/>
                <w:sz w:val="20"/>
              </w:rPr>
            </w:pPr>
          </w:p>
          <w:p>
            <w:pPr>
              <w:pStyle w:val="19"/>
              <w:spacing w:before="3"/>
              <w:jc w:val="left"/>
              <w:rPr>
                <w:b/>
                <w:sz w:val="17"/>
              </w:rPr>
            </w:pPr>
          </w:p>
          <w:p>
            <w:pPr>
              <w:pStyle w:val="19"/>
              <w:ind w:left="359"/>
              <w:jc w:val="left"/>
              <w:rPr>
                <w:sz w:val="21"/>
              </w:rPr>
            </w:pPr>
            <w:r>
              <w:rPr>
                <w:sz w:val="21"/>
              </w:rPr>
              <w:t>检测项目</w:t>
            </w:r>
          </w:p>
        </w:tc>
        <w:tc>
          <w:tcPr>
            <w:tcW w:w="3365" w:type="dxa"/>
            <w:gridSpan w:val="3"/>
            <w:tcBorders>
              <w:left w:val="single" w:color="000000" w:sz="4" w:space="0"/>
              <w:bottom w:val="single" w:color="000000" w:sz="4" w:space="0"/>
              <w:right w:val="single" w:color="000000" w:sz="4" w:space="0"/>
            </w:tcBorders>
          </w:tcPr>
          <w:p>
            <w:pPr>
              <w:pStyle w:val="19"/>
              <w:spacing w:line="269" w:lineRule="exact"/>
              <w:ind w:left="615" w:right="599"/>
              <w:rPr>
                <w:sz w:val="21"/>
              </w:rPr>
            </w:pPr>
            <w:r>
              <w:rPr>
                <w:sz w:val="21"/>
              </w:rPr>
              <w:t>主井工业广场内表层土</w:t>
            </w:r>
          </w:p>
          <w:p>
            <w:pPr>
              <w:pStyle w:val="19"/>
              <w:spacing w:before="57"/>
              <w:ind w:left="615" w:right="598"/>
              <w:rPr>
                <w:rFonts w:ascii="Times New Roman"/>
                <w:sz w:val="21"/>
              </w:rPr>
            </w:pPr>
            <w:r>
              <w:rPr>
                <w:rFonts w:ascii="Times New Roman"/>
                <w:sz w:val="21"/>
              </w:rPr>
              <w:t>TR3006-20101</w:t>
            </w:r>
          </w:p>
        </w:tc>
        <w:tc>
          <w:tcPr>
            <w:tcW w:w="3369" w:type="dxa"/>
            <w:gridSpan w:val="3"/>
            <w:tcBorders>
              <w:left w:val="single" w:color="000000" w:sz="4" w:space="0"/>
              <w:bottom w:val="single" w:color="000000" w:sz="4" w:space="0"/>
            </w:tcBorders>
          </w:tcPr>
          <w:p>
            <w:pPr>
              <w:pStyle w:val="19"/>
              <w:spacing w:line="269" w:lineRule="exact"/>
              <w:ind w:left="615" w:right="598"/>
              <w:rPr>
                <w:sz w:val="21"/>
              </w:rPr>
            </w:pPr>
            <w:r>
              <w:rPr>
                <w:sz w:val="21"/>
              </w:rPr>
              <w:t>副井工业广场内表层土</w:t>
            </w:r>
          </w:p>
          <w:p>
            <w:pPr>
              <w:pStyle w:val="19"/>
              <w:spacing w:before="57"/>
              <w:ind w:left="615" w:right="597"/>
              <w:rPr>
                <w:rFonts w:ascii="Times New Roman"/>
                <w:sz w:val="21"/>
              </w:rPr>
            </w:pPr>
            <w:r>
              <w:rPr>
                <w:rFonts w:ascii="Times New Roman"/>
                <w:sz w:val="21"/>
              </w:rPr>
              <w:t>TR3006-20401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1045" w:type="dxa"/>
            <w:vMerge w:val="continue"/>
            <w:tcBorders>
              <w:top w:val="nil"/>
              <w:bottom w:val="single" w:color="000000" w:sz="4" w:space="0"/>
              <w:right w:val="single" w:color="000000" w:sz="4" w:space="0"/>
            </w:tcBorders>
          </w:tcPr>
          <w:p>
            <w:pPr>
              <w:rPr>
                <w:sz w:val="2"/>
                <w:szCs w:val="2"/>
              </w:rPr>
            </w:pPr>
          </w:p>
        </w:tc>
        <w:tc>
          <w:tcPr>
            <w:tcW w:w="1551" w:type="dxa"/>
            <w:vMerge w:val="continue"/>
            <w:tcBorders>
              <w:top w:val="nil"/>
              <w:left w:val="single" w:color="000000" w:sz="4" w:space="0"/>
              <w:bottom w:val="single" w:color="000000" w:sz="4" w:space="0"/>
              <w:right w:val="single" w:color="000000" w:sz="4" w:space="0"/>
            </w:tcBorders>
          </w:tcPr>
          <w:p>
            <w:pPr>
              <w:rPr>
                <w:sz w:val="2"/>
                <w:szCs w:val="2"/>
              </w:rPr>
            </w:pP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82"/>
              <w:ind w:left="405" w:right="387"/>
              <w:rPr>
                <w:rFonts w:ascii="Times New Roman"/>
                <w:sz w:val="21"/>
              </w:rPr>
            </w:pPr>
            <w:r>
              <w:rPr>
                <w:rFonts w:ascii="Times New Roman"/>
                <w:sz w:val="21"/>
              </w:rPr>
              <w:t>pi</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63"/>
              <w:ind w:left="133" w:right="116"/>
              <w:rPr>
                <w:rFonts w:ascii="Times New Roman" w:eastAsia="Times New Roman"/>
                <w:sz w:val="21"/>
              </w:rPr>
            </w:pPr>
            <w:r>
              <w:rPr>
                <w:sz w:val="21"/>
              </w:rPr>
              <w:t>超标率</w:t>
            </w:r>
            <w:r>
              <w:rPr>
                <w:rFonts w:ascii="Times New Roman" w:eastAsia="Times New Roman"/>
                <w:sz w:val="21"/>
              </w:rPr>
              <w:t>%</w:t>
            </w:r>
          </w:p>
        </w:tc>
        <w:tc>
          <w:tcPr>
            <w:tcW w:w="1047" w:type="dxa"/>
            <w:tcBorders>
              <w:top w:val="single" w:color="000000" w:sz="4" w:space="0"/>
              <w:left w:val="single" w:color="000000" w:sz="4" w:space="0"/>
              <w:bottom w:val="single" w:color="000000" w:sz="4" w:space="0"/>
              <w:right w:val="single" w:color="000000" w:sz="4" w:space="0"/>
            </w:tcBorders>
          </w:tcPr>
          <w:p>
            <w:pPr>
              <w:pStyle w:val="19"/>
              <w:ind w:left="85" w:right="71"/>
              <w:rPr>
                <w:sz w:val="21"/>
              </w:rPr>
            </w:pPr>
            <w:r>
              <w:rPr>
                <w:sz w:val="21"/>
              </w:rPr>
              <w:t>最大超标</w:t>
            </w:r>
          </w:p>
          <w:p>
            <w:pPr>
              <w:pStyle w:val="19"/>
              <w:spacing w:before="57"/>
              <w:ind w:left="85" w:right="68"/>
              <w:rPr>
                <w:sz w:val="21"/>
              </w:rPr>
            </w:pPr>
            <w:r>
              <w:rPr>
                <w:sz w:val="21"/>
              </w:rPr>
              <w:t>倍数</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82"/>
              <w:ind w:left="379" w:right="358"/>
              <w:rPr>
                <w:rFonts w:ascii="Times New Roman"/>
                <w:sz w:val="21"/>
              </w:rPr>
            </w:pPr>
            <w:r>
              <w:rPr>
                <w:rFonts w:ascii="Times New Roman"/>
                <w:sz w:val="21"/>
              </w:rPr>
              <w:t>pi</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63"/>
              <w:ind w:left="129" w:right="112"/>
              <w:rPr>
                <w:rFonts w:ascii="Times New Roman" w:eastAsia="Times New Roman"/>
                <w:sz w:val="21"/>
              </w:rPr>
            </w:pPr>
            <w:r>
              <w:rPr>
                <w:sz w:val="21"/>
              </w:rPr>
              <w:t>超标率</w:t>
            </w:r>
            <w:r>
              <w:rPr>
                <w:rFonts w:ascii="Times New Roman" w:eastAsia="Times New Roman"/>
                <w:sz w:val="21"/>
              </w:rPr>
              <w:t>%</w:t>
            </w:r>
          </w:p>
        </w:tc>
        <w:tc>
          <w:tcPr>
            <w:tcW w:w="1115" w:type="dxa"/>
            <w:tcBorders>
              <w:top w:val="single" w:color="000000" w:sz="4" w:space="0"/>
              <w:left w:val="single" w:color="000000" w:sz="4" w:space="0"/>
              <w:bottom w:val="single" w:color="000000" w:sz="4" w:space="0"/>
            </w:tcBorders>
          </w:tcPr>
          <w:p>
            <w:pPr>
              <w:pStyle w:val="19"/>
              <w:ind w:left="16"/>
              <w:rPr>
                <w:sz w:val="21"/>
              </w:rPr>
            </w:pPr>
            <w:r>
              <w:rPr>
                <w:sz w:val="21"/>
              </w:rPr>
              <w:t>最大超标倍</w:t>
            </w:r>
          </w:p>
          <w:p>
            <w:pPr>
              <w:pStyle w:val="19"/>
              <w:spacing w:before="57"/>
              <w:ind w:left="17"/>
              <w:rPr>
                <w:sz w:val="21"/>
              </w:rPr>
            </w:pPr>
            <w:r>
              <w:rPr>
                <w:w w:val="99"/>
                <w:sz w:val="21"/>
              </w:rPr>
              <w:t>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trPr>
        <w:tc>
          <w:tcPr>
            <w:tcW w:w="1045" w:type="dxa"/>
            <w:vMerge w:val="restart"/>
            <w:tcBorders>
              <w:top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spacing w:before="182"/>
              <w:ind w:left="52"/>
              <w:jc w:val="left"/>
              <w:rPr>
                <w:rFonts w:ascii="Times New Roman"/>
                <w:sz w:val="21"/>
              </w:rPr>
            </w:pPr>
            <w:r>
              <w:rPr>
                <w:rFonts w:ascii="Times New Roman"/>
                <w:sz w:val="21"/>
              </w:rPr>
              <w:t>2020.04.14</w:t>
            </w:r>
          </w:p>
        </w:tc>
        <w:tc>
          <w:tcPr>
            <w:tcW w:w="1551" w:type="dxa"/>
            <w:tcBorders>
              <w:top w:val="single" w:color="000000" w:sz="4" w:space="0"/>
              <w:left w:val="single" w:color="000000" w:sz="4" w:space="0"/>
              <w:bottom w:val="single" w:color="000000" w:sz="4" w:space="0"/>
              <w:right w:val="single" w:color="000000" w:sz="4" w:space="0"/>
            </w:tcBorders>
          </w:tcPr>
          <w:p>
            <w:pPr>
              <w:pStyle w:val="19"/>
              <w:spacing w:before="1"/>
              <w:ind w:left="17"/>
              <w:rPr>
                <w:sz w:val="21"/>
              </w:rPr>
            </w:pPr>
            <w:r>
              <w:rPr>
                <w:rFonts w:ascii="Times New Roman" w:eastAsia="Times New Roman"/>
                <w:sz w:val="21"/>
              </w:rPr>
              <w:t xml:space="preserve">pH </w:t>
            </w:r>
            <w:r>
              <w:rPr>
                <w:sz w:val="21"/>
              </w:rPr>
              <w:t>值</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7"/>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7"/>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7"/>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7"/>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7"/>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7"/>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7"/>
              <w:rPr>
                <w:sz w:val="21"/>
              </w:rPr>
            </w:pPr>
            <w:r>
              <w:rPr>
                <w:sz w:val="21"/>
              </w:rPr>
              <w:t>含盐量</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1"/>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1"/>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6" w:lineRule="exact"/>
              <w:ind w:left="15"/>
              <w:rPr>
                <w:sz w:val="21"/>
              </w:rPr>
            </w:pPr>
            <w:r>
              <w:rPr>
                <w:w w:val="99"/>
                <w:sz w:val="21"/>
              </w:rPr>
              <w:t>砷</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37"/>
              <w:ind w:left="408" w:right="387"/>
              <w:rPr>
                <w:rFonts w:ascii="Times New Roman"/>
                <w:sz w:val="21"/>
              </w:rPr>
            </w:pPr>
            <w:r>
              <w:rPr>
                <w:rFonts w:ascii="Times New Roman"/>
                <w:sz w:val="21"/>
              </w:rPr>
              <w:t>0.18</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37"/>
              <w:ind w:left="379" w:right="360"/>
              <w:rPr>
                <w:rFonts w:ascii="Times New Roman"/>
                <w:sz w:val="21"/>
              </w:rPr>
            </w:pPr>
            <w:r>
              <w:rPr>
                <w:rFonts w:ascii="Times New Roman"/>
                <w:sz w:val="21"/>
              </w:rPr>
              <w:t>0.18</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15"/>
              <w:rPr>
                <w:sz w:val="21"/>
              </w:rPr>
            </w:pPr>
            <w:r>
              <w:rPr>
                <w:w w:val="99"/>
                <w:sz w:val="21"/>
              </w:rPr>
              <w:t>镉</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36"/>
              <w:ind w:left="408" w:right="387"/>
              <w:rPr>
                <w:rFonts w:ascii="Times New Roman"/>
                <w:sz w:val="21"/>
              </w:rPr>
            </w:pPr>
            <w:r>
              <w:rPr>
                <w:rFonts w:ascii="Times New Roman"/>
                <w:sz w:val="21"/>
              </w:rPr>
              <w:t>0.00</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36"/>
              <w:ind w:left="379" w:right="360"/>
              <w:rPr>
                <w:rFonts w:ascii="Times New Roman"/>
                <w:sz w:val="21"/>
              </w:rPr>
            </w:pPr>
            <w:r>
              <w:rPr>
                <w:rFonts w:ascii="Times New Roman"/>
                <w:sz w:val="21"/>
              </w:rPr>
              <w:t>0.00</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7"/>
              <w:rPr>
                <w:sz w:val="21"/>
              </w:rPr>
            </w:pPr>
            <w:r>
              <w:rPr>
                <w:sz w:val="21"/>
              </w:rPr>
              <w:t>六价铬</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38"/>
              <w:ind w:left="408" w:right="387"/>
              <w:rPr>
                <w:rFonts w:ascii="Times New Roman"/>
                <w:sz w:val="21"/>
              </w:rPr>
            </w:pPr>
            <w:r>
              <w:rPr>
                <w:rFonts w:ascii="Times New Roman"/>
                <w:sz w:val="21"/>
              </w:rPr>
              <w:t>0.40</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4"/>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4"/>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38"/>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4"/>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4"/>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3" w:lineRule="exact"/>
              <w:ind w:left="15"/>
              <w:rPr>
                <w:sz w:val="21"/>
              </w:rPr>
            </w:pPr>
            <w:r>
              <w:rPr>
                <w:w w:val="99"/>
                <w:sz w:val="21"/>
              </w:rPr>
              <w:t>铜</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37"/>
              <w:ind w:left="408" w:right="387"/>
              <w:rPr>
                <w:rFonts w:ascii="Times New Roman"/>
                <w:sz w:val="21"/>
              </w:rPr>
            </w:pPr>
            <w:r>
              <w:rPr>
                <w:rFonts w:ascii="Times New Roman"/>
                <w:sz w:val="21"/>
              </w:rPr>
              <w:t>0.00</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37"/>
              <w:ind w:left="379" w:right="360"/>
              <w:rPr>
                <w:rFonts w:ascii="Times New Roman"/>
                <w:sz w:val="21"/>
              </w:rPr>
            </w:pPr>
            <w:r>
              <w:rPr>
                <w:rFonts w:ascii="Times New Roman"/>
                <w:sz w:val="21"/>
              </w:rPr>
              <w:t>0.00</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8"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right w:val="single" w:color="000000" w:sz="4" w:space="0"/>
            </w:tcBorders>
          </w:tcPr>
          <w:p>
            <w:pPr>
              <w:pStyle w:val="19"/>
              <w:spacing w:line="265" w:lineRule="exact"/>
              <w:ind w:left="15"/>
              <w:rPr>
                <w:sz w:val="21"/>
              </w:rPr>
            </w:pPr>
            <w:r>
              <w:rPr>
                <w:w w:val="99"/>
                <w:sz w:val="21"/>
              </w:rPr>
              <w:t>铅</w:t>
            </w:r>
          </w:p>
        </w:tc>
        <w:tc>
          <w:tcPr>
            <w:tcW w:w="1213" w:type="dxa"/>
            <w:tcBorders>
              <w:top w:val="single" w:color="000000" w:sz="4" w:space="0"/>
              <w:left w:val="single" w:color="000000" w:sz="4" w:space="0"/>
              <w:right w:val="single" w:color="000000" w:sz="4" w:space="0"/>
            </w:tcBorders>
          </w:tcPr>
          <w:p>
            <w:pPr>
              <w:pStyle w:val="19"/>
              <w:spacing w:before="36"/>
              <w:ind w:left="408" w:right="387"/>
              <w:rPr>
                <w:rFonts w:ascii="Times New Roman"/>
                <w:sz w:val="21"/>
              </w:rPr>
            </w:pPr>
            <w:r>
              <w:rPr>
                <w:rFonts w:ascii="Times New Roman"/>
                <w:sz w:val="21"/>
              </w:rPr>
              <w:t>0.04</w:t>
            </w:r>
          </w:p>
        </w:tc>
        <w:tc>
          <w:tcPr>
            <w:tcW w:w="1105" w:type="dxa"/>
            <w:tcBorders>
              <w:top w:val="single" w:color="000000" w:sz="4" w:space="0"/>
              <w:left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right w:val="single" w:color="000000" w:sz="4" w:space="0"/>
            </w:tcBorders>
          </w:tcPr>
          <w:p>
            <w:pPr>
              <w:pStyle w:val="19"/>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right w:val="single" w:color="000000" w:sz="4" w:space="0"/>
            </w:tcBorders>
          </w:tcPr>
          <w:p>
            <w:pPr>
              <w:pStyle w:val="19"/>
              <w:spacing w:before="36"/>
              <w:ind w:left="379" w:right="360"/>
              <w:rPr>
                <w:rFonts w:ascii="Times New Roman"/>
                <w:sz w:val="21"/>
              </w:rPr>
            </w:pPr>
            <w:r>
              <w:rPr>
                <w:rFonts w:ascii="Times New Roman"/>
                <w:sz w:val="21"/>
              </w:rPr>
              <w:t>0.04</w:t>
            </w:r>
          </w:p>
        </w:tc>
        <w:tc>
          <w:tcPr>
            <w:tcW w:w="1097" w:type="dxa"/>
            <w:tcBorders>
              <w:top w:val="single" w:color="000000" w:sz="4" w:space="0"/>
              <w:left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tcBorders>
          </w:tcPr>
          <w:p>
            <w:pPr>
              <w:pStyle w:val="19"/>
              <w:spacing w:before="12"/>
              <w:ind w:right="486"/>
              <w:jc w:val="right"/>
              <w:rPr>
                <w:rFonts w:ascii="Times New Roman"/>
                <w:sz w:val="21"/>
              </w:rPr>
            </w:pPr>
            <w:r>
              <w:rPr>
                <w:rFonts w:ascii="Times New Roman"/>
                <w:w w:val="99"/>
                <w:sz w:val="21"/>
              </w:rPr>
              <w:t>0</w:t>
            </w:r>
          </w:p>
        </w:tc>
      </w:tr>
    </w:tbl>
    <w:p>
      <w:pPr>
        <w:spacing w:after="0"/>
        <w:jc w:val="right"/>
        <w:rPr>
          <w:rFonts w:ascii="Times New Roman"/>
          <w:sz w:val="21"/>
        </w:rPr>
        <w:sectPr>
          <w:type w:val="continuous"/>
          <w:pgSz w:w="11910" w:h="16840"/>
          <w:pgMar w:top="1580" w:right="0" w:bottom="280" w:left="0" w:header="720" w:footer="720" w:gutter="0"/>
        </w:sectPr>
      </w:pPr>
    </w:p>
    <w:tbl>
      <w:tblPr>
        <w:tblStyle w:val="15"/>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45"/>
        <w:gridCol w:w="1551"/>
        <w:gridCol w:w="1219"/>
        <w:gridCol w:w="1105"/>
        <w:gridCol w:w="1041"/>
        <w:gridCol w:w="1157"/>
        <w:gridCol w:w="1097"/>
        <w:gridCol w:w="1115"/>
      </w:tblGrid>
      <w:tr>
        <w:tblPrEx>
          <w:tblCellMar>
            <w:top w:w="0" w:type="dxa"/>
            <w:left w:w="0" w:type="dxa"/>
            <w:bottom w:w="0" w:type="dxa"/>
            <w:right w:w="0" w:type="dxa"/>
          </w:tblCellMar>
        </w:tblPrEx>
        <w:trPr>
          <w:trHeight w:val="322" w:hRule="atLeast"/>
        </w:trPr>
        <w:tc>
          <w:tcPr>
            <w:tcW w:w="1045" w:type="dxa"/>
            <w:vMerge w:val="restart"/>
            <w:tcBorders>
              <w:right w:val="single" w:color="000000" w:sz="4" w:space="0"/>
            </w:tcBorders>
          </w:tcPr>
          <w:p>
            <w:pPr>
              <w:pStyle w:val="19"/>
              <w:jc w:val="left"/>
              <w:rPr>
                <w:rFonts w:ascii="Times New Roman"/>
                <w:sz w:val="20"/>
              </w:rPr>
            </w:pPr>
          </w:p>
        </w:tc>
        <w:tc>
          <w:tcPr>
            <w:tcW w:w="1551" w:type="dxa"/>
            <w:tcBorders>
              <w:left w:val="single" w:color="000000" w:sz="4" w:space="0"/>
              <w:bottom w:val="single" w:color="000000" w:sz="4" w:space="0"/>
              <w:right w:val="single" w:color="000000" w:sz="4" w:space="0"/>
            </w:tcBorders>
          </w:tcPr>
          <w:p>
            <w:pPr>
              <w:pStyle w:val="19"/>
              <w:spacing w:before="2"/>
              <w:ind w:left="15"/>
              <w:rPr>
                <w:sz w:val="21"/>
              </w:rPr>
            </w:pPr>
            <w:r>
              <w:rPr>
                <w:w w:val="99"/>
                <w:sz w:val="21"/>
              </w:rPr>
              <w:t>汞</w:t>
            </w:r>
          </w:p>
        </w:tc>
        <w:tc>
          <w:tcPr>
            <w:tcW w:w="1219" w:type="dxa"/>
            <w:tcBorders>
              <w:left w:val="single" w:color="000000" w:sz="4" w:space="0"/>
              <w:bottom w:val="single" w:color="000000" w:sz="4" w:space="0"/>
              <w:right w:val="single" w:color="000000" w:sz="4" w:space="0"/>
            </w:tcBorders>
          </w:tcPr>
          <w:p>
            <w:pPr>
              <w:pStyle w:val="19"/>
              <w:spacing w:before="42"/>
              <w:ind w:left="408" w:right="393"/>
              <w:rPr>
                <w:rFonts w:ascii="Times New Roman"/>
                <w:sz w:val="21"/>
              </w:rPr>
            </w:pPr>
            <w:r>
              <w:rPr>
                <w:rFonts w:ascii="Times New Roman"/>
                <w:sz w:val="21"/>
              </w:rPr>
              <w:t>0.00</w:t>
            </w:r>
          </w:p>
        </w:tc>
        <w:tc>
          <w:tcPr>
            <w:tcW w:w="1105" w:type="dxa"/>
            <w:tcBorders>
              <w:left w:val="single" w:color="000000" w:sz="4" w:space="0"/>
              <w:bottom w:val="single" w:color="000000" w:sz="4" w:space="0"/>
              <w:right w:val="single" w:color="000000" w:sz="4" w:space="0"/>
            </w:tcBorders>
          </w:tcPr>
          <w:p>
            <w:pPr>
              <w:pStyle w:val="19"/>
              <w:spacing w:before="18"/>
              <w:ind w:right="490"/>
              <w:jc w:val="right"/>
              <w:rPr>
                <w:rFonts w:ascii="Times New Roman"/>
                <w:sz w:val="21"/>
              </w:rPr>
            </w:pPr>
            <w:r>
              <w:rPr>
                <w:rFonts w:ascii="Times New Roman"/>
                <w:w w:val="99"/>
                <w:sz w:val="21"/>
              </w:rPr>
              <w:t>0</w:t>
            </w:r>
          </w:p>
        </w:tc>
        <w:tc>
          <w:tcPr>
            <w:tcW w:w="1041" w:type="dxa"/>
            <w:tcBorders>
              <w:left w:val="single" w:color="000000" w:sz="4" w:space="0"/>
              <w:bottom w:val="single" w:color="000000" w:sz="4" w:space="0"/>
              <w:right w:val="single" w:color="000000" w:sz="4" w:space="0"/>
            </w:tcBorders>
          </w:tcPr>
          <w:p>
            <w:pPr>
              <w:pStyle w:val="19"/>
              <w:spacing w:before="18"/>
              <w:ind w:left="14"/>
              <w:rPr>
                <w:rFonts w:ascii="Times New Roman"/>
                <w:sz w:val="21"/>
              </w:rPr>
            </w:pPr>
            <w:r>
              <w:rPr>
                <w:rFonts w:ascii="Times New Roman"/>
                <w:w w:val="99"/>
                <w:sz w:val="21"/>
              </w:rPr>
              <w:t>0</w:t>
            </w:r>
          </w:p>
        </w:tc>
        <w:tc>
          <w:tcPr>
            <w:tcW w:w="1157" w:type="dxa"/>
            <w:tcBorders>
              <w:left w:val="single" w:color="000000" w:sz="4" w:space="0"/>
              <w:bottom w:val="single" w:color="000000" w:sz="4" w:space="0"/>
              <w:right w:val="single" w:color="000000" w:sz="4" w:space="0"/>
            </w:tcBorders>
          </w:tcPr>
          <w:p>
            <w:pPr>
              <w:pStyle w:val="19"/>
              <w:spacing w:before="42"/>
              <w:ind w:left="379" w:right="360"/>
              <w:rPr>
                <w:rFonts w:ascii="Times New Roman"/>
                <w:sz w:val="21"/>
              </w:rPr>
            </w:pPr>
            <w:r>
              <w:rPr>
                <w:rFonts w:ascii="Times New Roman"/>
                <w:sz w:val="21"/>
              </w:rPr>
              <w:t>0.00</w:t>
            </w:r>
          </w:p>
        </w:tc>
        <w:tc>
          <w:tcPr>
            <w:tcW w:w="1097" w:type="dxa"/>
            <w:tcBorders>
              <w:left w:val="single" w:color="000000" w:sz="4" w:space="0"/>
              <w:bottom w:val="single" w:color="000000" w:sz="4" w:space="0"/>
              <w:right w:val="single" w:color="000000" w:sz="4" w:space="0"/>
            </w:tcBorders>
          </w:tcPr>
          <w:p>
            <w:pPr>
              <w:pStyle w:val="19"/>
              <w:spacing w:before="18"/>
              <w:ind w:left="17"/>
              <w:rPr>
                <w:rFonts w:ascii="Times New Roman"/>
                <w:sz w:val="21"/>
              </w:rPr>
            </w:pPr>
            <w:r>
              <w:rPr>
                <w:rFonts w:ascii="Times New Roman"/>
                <w:w w:val="99"/>
                <w:sz w:val="21"/>
              </w:rPr>
              <w:t>0</w:t>
            </w:r>
          </w:p>
        </w:tc>
        <w:tc>
          <w:tcPr>
            <w:tcW w:w="1115" w:type="dxa"/>
            <w:tcBorders>
              <w:left w:val="single" w:color="000000" w:sz="4" w:space="0"/>
              <w:bottom w:val="single" w:color="000000" w:sz="4" w:space="0"/>
            </w:tcBorders>
          </w:tcPr>
          <w:p>
            <w:pPr>
              <w:pStyle w:val="19"/>
              <w:spacing w:before="18"/>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15"/>
              <w:rPr>
                <w:sz w:val="21"/>
              </w:rPr>
            </w:pPr>
            <w:r>
              <w:rPr>
                <w:w w:val="99"/>
                <w:sz w:val="21"/>
              </w:rPr>
              <w:t>镍</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36"/>
              <w:ind w:left="408" w:right="393"/>
              <w:rPr>
                <w:rFonts w:ascii="Times New Roman"/>
                <w:sz w:val="21"/>
              </w:rPr>
            </w:pPr>
            <w:r>
              <w:rPr>
                <w:rFonts w:ascii="Times New Roman"/>
                <w:sz w:val="21"/>
              </w:rPr>
              <w:t>0.04</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right="490"/>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2"/>
              <w:ind w:left="1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36"/>
              <w:ind w:left="379" w:right="360"/>
              <w:rPr>
                <w:rFonts w:ascii="Times New Roman"/>
                <w:sz w:val="21"/>
              </w:rPr>
            </w:pPr>
            <w:r>
              <w:rPr>
                <w:rFonts w:ascii="Times New Roman"/>
                <w:sz w:val="21"/>
              </w:rPr>
              <w:t>0.06</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359"/>
              <w:jc w:val="left"/>
              <w:rPr>
                <w:sz w:val="21"/>
              </w:rPr>
            </w:pPr>
            <w:r>
              <w:rPr>
                <w:sz w:val="21"/>
              </w:rPr>
              <w:t>四氯化碳</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1"/>
              <w:ind w:left="1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1"/>
              <w:ind w:right="490"/>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1"/>
              <w:ind w:left="1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464"/>
              <w:jc w:val="left"/>
              <w:rPr>
                <w:sz w:val="21"/>
              </w:rPr>
            </w:pPr>
            <w:r>
              <w:rPr>
                <w:sz w:val="21"/>
              </w:rPr>
              <w:t>氯甲烷</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3"/>
              <w:ind w:left="1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right="490"/>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3"/>
              <w:ind w:left="1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17"/>
              <w:rPr>
                <w:sz w:val="21"/>
              </w:rPr>
            </w:pPr>
            <w:r>
              <w:rPr>
                <w:sz w:val="21"/>
              </w:rPr>
              <w:t>氯仿</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2"/>
              <w:ind w:left="1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right="490"/>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2"/>
              <w:ind w:left="1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93"/>
              <w:jc w:val="left"/>
              <w:rPr>
                <w:sz w:val="21"/>
              </w:rPr>
            </w:pPr>
            <w:r>
              <w:rPr>
                <w:rFonts w:ascii="Times New Roman" w:eastAsia="Times New Roman"/>
                <w:sz w:val="21"/>
              </w:rPr>
              <w:t>1,1-</w:t>
            </w:r>
            <w:r>
              <w:rPr>
                <w:sz w:val="21"/>
              </w:rPr>
              <w:t>二氯乙烷</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4"/>
              <w:ind w:left="1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4"/>
              <w:ind w:right="490"/>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4"/>
              <w:ind w:left="1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4"/>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4"/>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4"/>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3" w:lineRule="exact"/>
              <w:ind w:left="193"/>
              <w:jc w:val="left"/>
              <w:rPr>
                <w:sz w:val="21"/>
              </w:rPr>
            </w:pPr>
            <w:r>
              <w:rPr>
                <w:rFonts w:ascii="Times New Roman" w:eastAsia="Times New Roman"/>
                <w:sz w:val="21"/>
              </w:rPr>
              <w:t>1,2-</w:t>
            </w:r>
            <w:r>
              <w:rPr>
                <w:sz w:val="21"/>
              </w:rPr>
              <w:t>二氯乙烷</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3"/>
              <w:ind w:left="1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right="490"/>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3"/>
              <w:ind w:left="1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193"/>
              <w:jc w:val="left"/>
              <w:rPr>
                <w:sz w:val="21"/>
              </w:rPr>
            </w:pPr>
            <w:r>
              <w:rPr>
                <w:rFonts w:ascii="Times New Roman" w:eastAsia="Times New Roman"/>
                <w:sz w:val="21"/>
              </w:rPr>
              <w:t>1,1-</w:t>
            </w:r>
            <w:r>
              <w:rPr>
                <w:sz w:val="21"/>
              </w:rPr>
              <w:t>二氯乙烯</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2"/>
              <w:ind w:left="1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right="490"/>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2"/>
              <w:ind w:left="1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right="34"/>
              <w:jc w:val="right"/>
              <w:rPr>
                <w:sz w:val="21"/>
              </w:rPr>
            </w:pPr>
            <w:r>
              <w:rPr>
                <w:w w:val="95"/>
                <w:sz w:val="21"/>
              </w:rPr>
              <w:t>顺</w:t>
            </w:r>
            <w:r>
              <w:rPr>
                <w:rFonts w:ascii="Times New Roman" w:eastAsia="Times New Roman"/>
                <w:w w:val="95"/>
                <w:sz w:val="21"/>
              </w:rPr>
              <w:t>-1,2-</w:t>
            </w:r>
            <w:r>
              <w:rPr>
                <w:w w:val="95"/>
                <w:sz w:val="21"/>
              </w:rPr>
              <w:t>二氯乙烯</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1"/>
              <w:ind w:left="1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1"/>
              <w:ind w:right="490"/>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1"/>
              <w:ind w:left="1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6" w:lineRule="exact"/>
              <w:ind w:right="34"/>
              <w:jc w:val="right"/>
              <w:rPr>
                <w:sz w:val="21"/>
              </w:rPr>
            </w:pPr>
            <w:r>
              <w:rPr>
                <w:w w:val="95"/>
                <w:sz w:val="21"/>
              </w:rPr>
              <w:t>反</w:t>
            </w:r>
            <w:r>
              <w:rPr>
                <w:rFonts w:ascii="Times New Roman" w:eastAsia="Times New Roman"/>
                <w:w w:val="95"/>
                <w:sz w:val="21"/>
              </w:rPr>
              <w:t>-1,2-</w:t>
            </w:r>
            <w:r>
              <w:rPr>
                <w:w w:val="95"/>
                <w:sz w:val="21"/>
              </w:rPr>
              <w:t>二氯乙烯</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3"/>
              <w:ind w:left="1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right="490"/>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3"/>
              <w:ind w:left="1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359"/>
              <w:jc w:val="left"/>
              <w:rPr>
                <w:sz w:val="21"/>
              </w:rPr>
            </w:pPr>
            <w:r>
              <w:rPr>
                <w:sz w:val="21"/>
              </w:rPr>
              <w:t>二氯甲烷</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2"/>
              <w:ind w:left="1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right="490"/>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2"/>
              <w:ind w:left="1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93"/>
              <w:jc w:val="left"/>
              <w:rPr>
                <w:sz w:val="21"/>
              </w:rPr>
            </w:pPr>
            <w:r>
              <w:rPr>
                <w:rFonts w:ascii="Times New Roman" w:eastAsia="Times New Roman"/>
                <w:sz w:val="21"/>
              </w:rPr>
              <w:t>1,2-</w:t>
            </w:r>
            <w:r>
              <w:rPr>
                <w:sz w:val="21"/>
              </w:rPr>
              <w:t>二氯丙烷</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1"/>
              <w:ind w:left="1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1"/>
              <w:ind w:right="490"/>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1"/>
              <w:ind w:left="1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3" w:lineRule="exact"/>
              <w:ind w:right="15"/>
              <w:jc w:val="right"/>
              <w:rPr>
                <w:sz w:val="21"/>
              </w:rPr>
            </w:pPr>
            <w:r>
              <w:rPr>
                <w:rFonts w:ascii="Times New Roman" w:eastAsia="Times New Roman"/>
                <w:w w:val="95"/>
                <w:sz w:val="21"/>
              </w:rPr>
              <w:t>1,1,1,2-</w:t>
            </w:r>
            <w:r>
              <w:rPr>
                <w:w w:val="95"/>
                <w:sz w:val="21"/>
              </w:rPr>
              <w:t>四氯乙烷</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3"/>
              <w:ind w:left="1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right="490"/>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3"/>
              <w:ind w:left="1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right="15"/>
              <w:jc w:val="right"/>
              <w:rPr>
                <w:sz w:val="21"/>
              </w:rPr>
            </w:pPr>
            <w:r>
              <w:rPr>
                <w:rFonts w:ascii="Times New Roman" w:eastAsia="Times New Roman"/>
                <w:w w:val="95"/>
                <w:sz w:val="21"/>
              </w:rPr>
              <w:t>1,1,2,2-</w:t>
            </w:r>
            <w:r>
              <w:rPr>
                <w:w w:val="95"/>
                <w:sz w:val="21"/>
              </w:rPr>
              <w:t>四氯乙烷</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2"/>
              <w:ind w:left="1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right="490"/>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2"/>
              <w:ind w:left="1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359"/>
              <w:jc w:val="left"/>
              <w:rPr>
                <w:sz w:val="21"/>
              </w:rPr>
            </w:pPr>
            <w:r>
              <w:rPr>
                <w:sz w:val="21"/>
              </w:rPr>
              <w:t>四氯乙烯</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2"/>
              <w:ind w:left="1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right="490"/>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2"/>
              <w:ind w:left="1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6" w:lineRule="exact"/>
              <w:ind w:right="97"/>
              <w:jc w:val="right"/>
              <w:rPr>
                <w:sz w:val="21"/>
              </w:rPr>
            </w:pPr>
            <w:r>
              <w:rPr>
                <w:rFonts w:ascii="Times New Roman" w:eastAsia="Times New Roman"/>
                <w:w w:val="95"/>
                <w:sz w:val="21"/>
              </w:rPr>
              <w:t>1,1,1-</w:t>
            </w:r>
            <w:r>
              <w:rPr>
                <w:w w:val="95"/>
                <w:sz w:val="21"/>
              </w:rPr>
              <w:t>三氯乙烷</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3"/>
              <w:ind w:left="1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right="490"/>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3"/>
              <w:ind w:left="1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right="97"/>
              <w:jc w:val="right"/>
              <w:rPr>
                <w:sz w:val="21"/>
              </w:rPr>
            </w:pPr>
            <w:r>
              <w:rPr>
                <w:rFonts w:ascii="Times New Roman" w:eastAsia="Times New Roman"/>
                <w:w w:val="95"/>
                <w:sz w:val="21"/>
              </w:rPr>
              <w:t>1,1,2-</w:t>
            </w:r>
            <w:r>
              <w:rPr>
                <w:w w:val="95"/>
                <w:sz w:val="21"/>
              </w:rPr>
              <w:t>三氯乙烷</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2"/>
              <w:ind w:left="1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right="490"/>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2"/>
              <w:ind w:left="1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359"/>
              <w:jc w:val="left"/>
              <w:rPr>
                <w:sz w:val="21"/>
              </w:rPr>
            </w:pPr>
            <w:r>
              <w:rPr>
                <w:sz w:val="21"/>
              </w:rPr>
              <w:t>三氯乙烯</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1"/>
              <w:ind w:left="1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1"/>
              <w:ind w:right="490"/>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1"/>
              <w:ind w:left="1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3" w:lineRule="exact"/>
              <w:ind w:right="97"/>
              <w:jc w:val="right"/>
              <w:rPr>
                <w:sz w:val="21"/>
              </w:rPr>
            </w:pPr>
            <w:r>
              <w:rPr>
                <w:rFonts w:ascii="Times New Roman" w:eastAsia="Times New Roman"/>
                <w:w w:val="95"/>
                <w:sz w:val="21"/>
              </w:rPr>
              <w:t>1,2,3-</w:t>
            </w:r>
            <w:r>
              <w:rPr>
                <w:w w:val="95"/>
                <w:sz w:val="21"/>
              </w:rPr>
              <w:t>三氯丙烷</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2"/>
              <w:ind w:left="1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right="490"/>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2"/>
              <w:ind w:left="1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464"/>
              <w:jc w:val="left"/>
              <w:rPr>
                <w:sz w:val="21"/>
              </w:rPr>
            </w:pPr>
            <w:r>
              <w:rPr>
                <w:sz w:val="21"/>
              </w:rPr>
              <w:t>氯乙烯</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2"/>
              <w:ind w:left="1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right="490"/>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2"/>
              <w:ind w:left="1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5"/>
              <w:rPr>
                <w:sz w:val="21"/>
              </w:rPr>
            </w:pPr>
            <w:r>
              <w:rPr>
                <w:w w:val="99"/>
                <w:sz w:val="21"/>
              </w:rPr>
              <w:t>苯</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4"/>
              <w:ind w:left="1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4"/>
              <w:ind w:right="490"/>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4"/>
              <w:ind w:left="1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4"/>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4"/>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4"/>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6" w:lineRule="exact"/>
              <w:ind w:left="17"/>
              <w:rPr>
                <w:sz w:val="21"/>
              </w:rPr>
            </w:pPr>
            <w:r>
              <w:rPr>
                <w:sz w:val="21"/>
              </w:rPr>
              <w:t>氯苯</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3"/>
              <w:ind w:left="1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right="490"/>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3"/>
              <w:ind w:left="1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299"/>
              <w:jc w:val="left"/>
              <w:rPr>
                <w:sz w:val="21"/>
              </w:rPr>
            </w:pPr>
            <w:r>
              <w:rPr>
                <w:rFonts w:ascii="Times New Roman" w:eastAsia="Times New Roman"/>
                <w:sz w:val="21"/>
              </w:rPr>
              <w:t>1,2-</w:t>
            </w:r>
            <w:r>
              <w:rPr>
                <w:sz w:val="21"/>
              </w:rPr>
              <w:t>二氯苯</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2"/>
              <w:ind w:left="1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right="490"/>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2"/>
              <w:ind w:left="1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299"/>
              <w:jc w:val="left"/>
              <w:rPr>
                <w:sz w:val="21"/>
              </w:rPr>
            </w:pPr>
            <w:r>
              <w:rPr>
                <w:rFonts w:ascii="Times New Roman" w:eastAsia="Times New Roman"/>
                <w:sz w:val="21"/>
              </w:rPr>
              <w:t>1,4-</w:t>
            </w:r>
            <w:r>
              <w:rPr>
                <w:sz w:val="21"/>
              </w:rPr>
              <w:t>二氯苯</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1"/>
              <w:ind w:left="1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1"/>
              <w:ind w:right="490"/>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1"/>
              <w:ind w:left="1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17"/>
              <w:rPr>
                <w:sz w:val="21"/>
              </w:rPr>
            </w:pPr>
            <w:r>
              <w:rPr>
                <w:sz w:val="21"/>
              </w:rPr>
              <w:t>乙苯</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2"/>
              <w:ind w:left="2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right="478"/>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2"/>
              <w:ind w:left="2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464"/>
              <w:jc w:val="left"/>
              <w:rPr>
                <w:sz w:val="21"/>
              </w:rPr>
            </w:pPr>
            <w:r>
              <w:rPr>
                <w:sz w:val="21"/>
              </w:rPr>
              <w:t>苯乙烯</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2"/>
              <w:ind w:left="2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right="478"/>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2"/>
              <w:ind w:left="2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7"/>
              <w:rPr>
                <w:sz w:val="21"/>
              </w:rPr>
            </w:pPr>
            <w:r>
              <w:rPr>
                <w:sz w:val="21"/>
              </w:rPr>
              <w:t>甲苯</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4"/>
              <w:ind w:left="2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4"/>
              <w:ind w:right="478"/>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4"/>
              <w:ind w:left="2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4"/>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4"/>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4"/>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3" w:lineRule="exact"/>
              <w:ind w:left="359"/>
              <w:jc w:val="left"/>
              <w:rPr>
                <w:sz w:val="21"/>
              </w:rPr>
            </w:pPr>
            <w:r>
              <w:rPr>
                <w:sz w:val="21"/>
              </w:rPr>
              <w:t>间二甲苯</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3"/>
              <w:ind w:left="2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right="478"/>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3"/>
              <w:ind w:left="2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359"/>
              <w:jc w:val="left"/>
              <w:rPr>
                <w:sz w:val="21"/>
              </w:rPr>
            </w:pPr>
            <w:r>
              <w:rPr>
                <w:sz w:val="21"/>
              </w:rPr>
              <w:t>对二甲苯</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2"/>
              <w:ind w:left="2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right="478"/>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2"/>
              <w:ind w:left="2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359"/>
              <w:jc w:val="left"/>
              <w:rPr>
                <w:sz w:val="21"/>
              </w:rPr>
            </w:pPr>
            <w:r>
              <w:rPr>
                <w:sz w:val="21"/>
              </w:rPr>
              <w:t>邻二甲苯</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1"/>
              <w:ind w:left="2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1"/>
              <w:ind w:right="478"/>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1"/>
              <w:ind w:left="2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6" w:lineRule="exact"/>
              <w:ind w:left="464"/>
              <w:jc w:val="left"/>
              <w:rPr>
                <w:sz w:val="21"/>
              </w:rPr>
            </w:pPr>
            <w:r>
              <w:rPr>
                <w:sz w:val="21"/>
              </w:rPr>
              <w:t>硝基苯</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3"/>
              <w:ind w:left="2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right="478"/>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3"/>
              <w:ind w:left="2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17"/>
              <w:rPr>
                <w:sz w:val="21"/>
              </w:rPr>
            </w:pPr>
            <w:r>
              <w:rPr>
                <w:sz w:val="21"/>
              </w:rPr>
              <w:t>苯胺</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2"/>
              <w:ind w:left="2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right="478"/>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2"/>
              <w:ind w:left="2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5"/>
              <w:rPr>
                <w:sz w:val="21"/>
              </w:rPr>
            </w:pPr>
            <w:r>
              <w:rPr>
                <w:w w:val="99"/>
                <w:sz w:val="21"/>
              </w:rPr>
              <w:t>萘</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3"/>
              <w:ind w:left="2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right="478"/>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3"/>
              <w:ind w:left="2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3" w:lineRule="exact"/>
              <w:ind w:left="481"/>
              <w:jc w:val="left"/>
              <w:rPr>
                <w:sz w:val="21"/>
              </w:rPr>
            </w:pPr>
            <w:r>
              <w:rPr>
                <w:rFonts w:ascii="Times New Roman" w:eastAsia="Times New Roman"/>
                <w:sz w:val="21"/>
              </w:rPr>
              <w:t>2-</w:t>
            </w:r>
            <w:r>
              <w:rPr>
                <w:sz w:val="21"/>
              </w:rPr>
              <w:t>氯酚</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2"/>
              <w:ind w:left="2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right="478"/>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2"/>
              <w:ind w:left="2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349"/>
              <w:jc w:val="left"/>
              <w:rPr>
                <w:sz w:val="21"/>
              </w:rPr>
            </w:pPr>
            <w:r>
              <w:rPr>
                <w:sz w:val="21"/>
              </w:rPr>
              <w:t>苯并</w:t>
            </w:r>
            <w:r>
              <w:rPr>
                <w:rFonts w:ascii="Times New Roman" w:eastAsia="Times New Roman"/>
                <w:sz w:val="21"/>
              </w:rPr>
              <w:t>[a]</w:t>
            </w:r>
            <w:r>
              <w:rPr>
                <w:sz w:val="21"/>
              </w:rPr>
              <w:t>蒽</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1"/>
              <w:ind w:left="2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1"/>
              <w:ind w:right="478"/>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1"/>
              <w:ind w:left="2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349"/>
              <w:jc w:val="left"/>
              <w:rPr>
                <w:sz w:val="21"/>
              </w:rPr>
            </w:pPr>
            <w:r>
              <w:rPr>
                <w:sz w:val="21"/>
              </w:rPr>
              <w:t>苯并</w:t>
            </w:r>
            <w:r>
              <w:rPr>
                <w:rFonts w:ascii="Times New Roman" w:eastAsia="Times New Roman"/>
                <w:sz w:val="21"/>
              </w:rPr>
              <w:t>[a]</w:t>
            </w:r>
            <w:r>
              <w:rPr>
                <w:sz w:val="21"/>
              </w:rPr>
              <w:t>芘</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4"/>
              <w:ind w:left="2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4"/>
              <w:ind w:right="478"/>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4"/>
              <w:ind w:left="2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4"/>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4"/>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4"/>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6" w:lineRule="exact"/>
              <w:ind w:left="239"/>
              <w:jc w:val="left"/>
              <w:rPr>
                <w:sz w:val="21"/>
              </w:rPr>
            </w:pPr>
            <w:r>
              <w:rPr>
                <w:sz w:val="21"/>
              </w:rPr>
              <w:t>苯并</w:t>
            </w:r>
            <w:r>
              <w:rPr>
                <w:rFonts w:ascii="Times New Roman" w:eastAsia="Times New Roman"/>
                <w:sz w:val="21"/>
              </w:rPr>
              <w:t>[b]</w:t>
            </w:r>
            <w:r>
              <w:rPr>
                <w:sz w:val="21"/>
              </w:rPr>
              <w:t>荧蒽</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3"/>
              <w:ind w:left="2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right="478"/>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3"/>
              <w:ind w:left="2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239"/>
              <w:jc w:val="left"/>
              <w:rPr>
                <w:sz w:val="21"/>
              </w:rPr>
            </w:pPr>
            <w:r>
              <w:rPr>
                <w:sz w:val="21"/>
              </w:rPr>
              <w:t>苯并</w:t>
            </w:r>
            <w:r>
              <w:rPr>
                <w:rFonts w:ascii="Times New Roman" w:eastAsia="Times New Roman"/>
                <w:sz w:val="21"/>
              </w:rPr>
              <w:t>[k]</w:t>
            </w:r>
            <w:r>
              <w:rPr>
                <w:sz w:val="21"/>
              </w:rPr>
              <w:t>荧蒽</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2"/>
              <w:ind w:left="2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right="478"/>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2"/>
              <w:ind w:left="2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5"/>
              <w:rPr>
                <w:sz w:val="21"/>
              </w:rPr>
            </w:pPr>
            <w:r>
              <w:rPr>
                <w:w w:val="99"/>
                <w:sz w:val="21"/>
              </w:rPr>
              <w:t>䓛</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1"/>
              <w:ind w:left="2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1"/>
              <w:ind w:right="478"/>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1"/>
              <w:ind w:left="2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right="31"/>
              <w:jc w:val="right"/>
              <w:rPr>
                <w:sz w:val="21"/>
              </w:rPr>
            </w:pPr>
            <w:r>
              <w:rPr>
                <w:w w:val="95"/>
                <w:sz w:val="21"/>
              </w:rPr>
              <w:t>茚并</w:t>
            </w:r>
            <w:r>
              <w:rPr>
                <w:rFonts w:ascii="Times New Roman" w:eastAsia="Times New Roman"/>
                <w:w w:val="95"/>
                <w:sz w:val="21"/>
              </w:rPr>
              <w:t>[1,2,3-cd]</w:t>
            </w:r>
            <w:r>
              <w:rPr>
                <w:w w:val="95"/>
                <w:sz w:val="21"/>
              </w:rPr>
              <w:t>芘</w:t>
            </w:r>
          </w:p>
        </w:tc>
        <w:tc>
          <w:tcPr>
            <w:tcW w:w="1219" w:type="dxa"/>
            <w:tcBorders>
              <w:top w:val="single" w:color="000000" w:sz="4" w:space="0"/>
              <w:left w:val="single" w:color="000000" w:sz="4" w:space="0"/>
              <w:bottom w:val="single" w:color="000000" w:sz="4" w:space="0"/>
              <w:right w:val="single" w:color="000000" w:sz="4" w:space="0"/>
            </w:tcBorders>
          </w:tcPr>
          <w:p>
            <w:pPr>
              <w:pStyle w:val="19"/>
              <w:spacing w:before="12"/>
              <w:ind w:left="22"/>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right="478"/>
              <w:jc w:val="right"/>
              <w:rPr>
                <w:rFonts w:ascii="Times New Roman"/>
                <w:sz w:val="21"/>
              </w:rPr>
            </w:pPr>
            <w:r>
              <w:rPr>
                <w:rFonts w:ascii="Times New Roman"/>
                <w:w w:val="99"/>
                <w:sz w:val="21"/>
              </w:rPr>
              <w:t>0</w:t>
            </w:r>
          </w:p>
        </w:tc>
        <w:tc>
          <w:tcPr>
            <w:tcW w:w="1041" w:type="dxa"/>
            <w:tcBorders>
              <w:top w:val="single" w:color="000000" w:sz="4" w:space="0"/>
              <w:left w:val="single" w:color="000000" w:sz="4" w:space="0"/>
              <w:bottom w:val="single" w:color="000000" w:sz="4" w:space="0"/>
              <w:right w:val="single" w:color="000000" w:sz="4" w:space="0"/>
            </w:tcBorders>
          </w:tcPr>
          <w:p>
            <w:pPr>
              <w:pStyle w:val="19"/>
              <w:spacing w:before="12"/>
              <w:ind w:left="24"/>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8"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right w:val="single" w:color="000000" w:sz="4" w:space="0"/>
            </w:tcBorders>
          </w:tcPr>
          <w:p>
            <w:pPr>
              <w:pStyle w:val="19"/>
              <w:spacing w:line="264" w:lineRule="exact"/>
              <w:ind w:right="67"/>
              <w:jc w:val="right"/>
              <w:rPr>
                <w:sz w:val="21"/>
              </w:rPr>
            </w:pPr>
            <w:r>
              <w:rPr>
                <w:w w:val="95"/>
                <w:sz w:val="21"/>
              </w:rPr>
              <w:t>二苯并</w:t>
            </w:r>
            <w:r>
              <w:rPr>
                <w:rFonts w:ascii="Times New Roman" w:eastAsia="Times New Roman"/>
                <w:w w:val="95"/>
                <w:sz w:val="21"/>
              </w:rPr>
              <w:t>[a</w:t>
            </w:r>
            <w:r>
              <w:rPr>
                <w:w w:val="95"/>
                <w:sz w:val="21"/>
              </w:rPr>
              <w:t>，</w:t>
            </w:r>
            <w:r>
              <w:rPr>
                <w:rFonts w:ascii="Times New Roman" w:eastAsia="Times New Roman"/>
                <w:w w:val="95"/>
                <w:sz w:val="21"/>
              </w:rPr>
              <w:t>h]</w:t>
            </w:r>
            <w:r>
              <w:rPr>
                <w:w w:val="95"/>
                <w:sz w:val="21"/>
              </w:rPr>
              <w:t>蒽</w:t>
            </w:r>
          </w:p>
        </w:tc>
        <w:tc>
          <w:tcPr>
            <w:tcW w:w="1219" w:type="dxa"/>
            <w:tcBorders>
              <w:top w:val="single" w:color="000000" w:sz="4" w:space="0"/>
              <w:left w:val="single" w:color="000000" w:sz="4" w:space="0"/>
              <w:right w:val="single" w:color="000000" w:sz="4" w:space="0"/>
            </w:tcBorders>
          </w:tcPr>
          <w:p>
            <w:pPr>
              <w:pStyle w:val="19"/>
              <w:spacing w:before="11"/>
              <w:ind w:left="22"/>
              <w:rPr>
                <w:rFonts w:ascii="Times New Roman"/>
                <w:sz w:val="21"/>
              </w:rPr>
            </w:pPr>
            <w:r>
              <w:rPr>
                <w:rFonts w:ascii="Times New Roman"/>
                <w:w w:val="99"/>
                <w:sz w:val="21"/>
              </w:rPr>
              <w:t>/</w:t>
            </w:r>
          </w:p>
        </w:tc>
        <w:tc>
          <w:tcPr>
            <w:tcW w:w="1105" w:type="dxa"/>
            <w:tcBorders>
              <w:top w:val="single" w:color="000000" w:sz="4" w:space="0"/>
              <w:left w:val="single" w:color="000000" w:sz="4" w:space="0"/>
              <w:right w:val="single" w:color="000000" w:sz="4" w:space="0"/>
            </w:tcBorders>
          </w:tcPr>
          <w:p>
            <w:pPr>
              <w:pStyle w:val="19"/>
              <w:spacing w:before="11"/>
              <w:ind w:right="478"/>
              <w:jc w:val="right"/>
              <w:rPr>
                <w:rFonts w:ascii="Times New Roman"/>
                <w:sz w:val="21"/>
              </w:rPr>
            </w:pPr>
            <w:r>
              <w:rPr>
                <w:rFonts w:ascii="Times New Roman"/>
                <w:w w:val="99"/>
                <w:sz w:val="21"/>
              </w:rPr>
              <w:t>0</w:t>
            </w:r>
          </w:p>
        </w:tc>
        <w:tc>
          <w:tcPr>
            <w:tcW w:w="1041" w:type="dxa"/>
            <w:tcBorders>
              <w:top w:val="single" w:color="000000" w:sz="4" w:space="0"/>
              <w:left w:val="single" w:color="000000" w:sz="4" w:space="0"/>
              <w:right w:val="single" w:color="000000" w:sz="4" w:space="0"/>
            </w:tcBorders>
          </w:tcPr>
          <w:p>
            <w:pPr>
              <w:pStyle w:val="19"/>
              <w:spacing w:before="11"/>
              <w:ind w:left="24"/>
              <w:rPr>
                <w:rFonts w:ascii="Times New Roman"/>
                <w:sz w:val="21"/>
              </w:rPr>
            </w:pPr>
            <w:r>
              <w:rPr>
                <w:rFonts w:ascii="Times New Roman"/>
                <w:w w:val="99"/>
                <w:sz w:val="21"/>
              </w:rPr>
              <w:t>0</w:t>
            </w:r>
          </w:p>
        </w:tc>
        <w:tc>
          <w:tcPr>
            <w:tcW w:w="1157" w:type="dxa"/>
            <w:tcBorders>
              <w:top w:val="single" w:color="000000" w:sz="4" w:space="0"/>
              <w:left w:val="single" w:color="000000" w:sz="4" w:space="0"/>
              <w:right w:val="single" w:color="000000" w:sz="4" w:space="0"/>
            </w:tcBorders>
          </w:tcPr>
          <w:p>
            <w:pPr>
              <w:pStyle w:val="19"/>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tcBorders>
          </w:tcPr>
          <w:p>
            <w:pPr>
              <w:pStyle w:val="19"/>
              <w:spacing w:before="11"/>
              <w:ind w:right="486"/>
              <w:jc w:val="right"/>
              <w:rPr>
                <w:rFonts w:ascii="Times New Roman"/>
                <w:sz w:val="21"/>
              </w:rPr>
            </w:pPr>
            <w:r>
              <w:rPr>
                <w:rFonts w:ascii="Times New Roman"/>
                <w:w w:val="99"/>
                <w:sz w:val="21"/>
              </w:rPr>
              <w:t>0</w:t>
            </w:r>
          </w:p>
        </w:tc>
      </w:tr>
    </w:tbl>
    <w:p>
      <w:pPr>
        <w:spacing w:after="0"/>
        <w:jc w:val="right"/>
        <w:rPr>
          <w:rFonts w:ascii="Times New Roman"/>
          <w:sz w:val="21"/>
        </w:rPr>
        <w:sectPr>
          <w:pgSz w:w="11910" w:h="16840"/>
          <w:pgMar w:top="1400" w:right="0" w:bottom="800" w:left="0" w:header="0" w:footer="601" w:gutter="0"/>
        </w:sectPr>
      </w:pPr>
    </w:p>
    <w:tbl>
      <w:tblPr>
        <w:tblStyle w:val="15"/>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45"/>
        <w:gridCol w:w="1551"/>
        <w:gridCol w:w="1224"/>
        <w:gridCol w:w="1105"/>
        <w:gridCol w:w="1036"/>
        <w:gridCol w:w="1157"/>
        <w:gridCol w:w="1097"/>
        <w:gridCol w:w="1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1045" w:type="dxa"/>
            <w:tcBorders>
              <w:right w:val="single" w:color="000000" w:sz="4" w:space="0"/>
            </w:tcBorders>
          </w:tcPr>
          <w:p>
            <w:pPr>
              <w:pStyle w:val="19"/>
              <w:jc w:val="left"/>
              <w:rPr>
                <w:rFonts w:ascii="Times New Roman"/>
                <w:sz w:val="22"/>
              </w:rPr>
            </w:pPr>
          </w:p>
        </w:tc>
        <w:tc>
          <w:tcPr>
            <w:tcW w:w="1551" w:type="dxa"/>
            <w:tcBorders>
              <w:left w:val="single" w:color="000000" w:sz="4" w:space="0"/>
              <w:right w:val="single" w:color="000000" w:sz="4" w:space="0"/>
            </w:tcBorders>
          </w:tcPr>
          <w:p>
            <w:pPr>
              <w:pStyle w:val="19"/>
              <w:spacing w:before="2"/>
              <w:ind w:left="17"/>
              <w:rPr>
                <w:sz w:val="21"/>
              </w:rPr>
            </w:pPr>
            <w:r>
              <w:rPr>
                <w:sz w:val="21"/>
              </w:rPr>
              <w:t>石油烃</w:t>
            </w:r>
          </w:p>
          <w:p>
            <w:pPr>
              <w:pStyle w:val="19"/>
              <w:spacing w:before="55"/>
              <w:ind w:left="17"/>
              <w:rPr>
                <w:sz w:val="21"/>
              </w:rPr>
            </w:pPr>
            <w:r>
              <w:rPr>
                <w:sz w:val="21"/>
              </w:rPr>
              <w:t>（</w:t>
            </w:r>
            <w:r>
              <w:rPr>
                <w:rFonts w:ascii="Times New Roman" w:eastAsia="Times New Roman"/>
                <w:sz w:val="21"/>
              </w:rPr>
              <w:t>C10~C40</w:t>
            </w:r>
            <w:r>
              <w:rPr>
                <w:sz w:val="21"/>
              </w:rPr>
              <w:t>）</w:t>
            </w:r>
          </w:p>
        </w:tc>
        <w:tc>
          <w:tcPr>
            <w:tcW w:w="1224" w:type="dxa"/>
            <w:tcBorders>
              <w:left w:val="single" w:color="000000" w:sz="4" w:space="0"/>
              <w:right w:val="single" w:color="000000" w:sz="4" w:space="0"/>
            </w:tcBorders>
          </w:tcPr>
          <w:p>
            <w:pPr>
              <w:pStyle w:val="19"/>
              <w:spacing w:before="181"/>
              <w:ind w:left="17"/>
              <w:rPr>
                <w:rFonts w:ascii="Times New Roman"/>
                <w:sz w:val="21"/>
              </w:rPr>
            </w:pPr>
            <w:r>
              <w:rPr>
                <w:rFonts w:ascii="Times New Roman"/>
                <w:w w:val="99"/>
                <w:sz w:val="21"/>
              </w:rPr>
              <w:t>/</w:t>
            </w:r>
          </w:p>
        </w:tc>
        <w:tc>
          <w:tcPr>
            <w:tcW w:w="1105" w:type="dxa"/>
            <w:tcBorders>
              <w:left w:val="single" w:color="000000" w:sz="4" w:space="0"/>
              <w:right w:val="single" w:color="000000" w:sz="4" w:space="0"/>
            </w:tcBorders>
          </w:tcPr>
          <w:p>
            <w:pPr>
              <w:pStyle w:val="19"/>
              <w:spacing w:before="181"/>
              <w:ind w:left="19"/>
              <w:rPr>
                <w:rFonts w:ascii="Times New Roman"/>
                <w:sz w:val="21"/>
              </w:rPr>
            </w:pPr>
            <w:r>
              <w:rPr>
                <w:rFonts w:ascii="Times New Roman"/>
                <w:w w:val="99"/>
                <w:sz w:val="21"/>
              </w:rPr>
              <w:t>0</w:t>
            </w:r>
          </w:p>
        </w:tc>
        <w:tc>
          <w:tcPr>
            <w:tcW w:w="1036" w:type="dxa"/>
            <w:tcBorders>
              <w:left w:val="single" w:color="000000" w:sz="4" w:space="0"/>
              <w:right w:val="single" w:color="000000" w:sz="4" w:space="0"/>
            </w:tcBorders>
          </w:tcPr>
          <w:p>
            <w:pPr>
              <w:pStyle w:val="19"/>
              <w:spacing w:before="181"/>
              <w:ind w:left="19"/>
              <w:rPr>
                <w:rFonts w:ascii="Times New Roman"/>
                <w:sz w:val="21"/>
              </w:rPr>
            </w:pPr>
            <w:r>
              <w:rPr>
                <w:rFonts w:ascii="Times New Roman"/>
                <w:w w:val="99"/>
                <w:sz w:val="21"/>
              </w:rPr>
              <w:t>0</w:t>
            </w:r>
          </w:p>
        </w:tc>
        <w:tc>
          <w:tcPr>
            <w:tcW w:w="1157" w:type="dxa"/>
            <w:tcBorders>
              <w:left w:val="single" w:color="000000" w:sz="4" w:space="0"/>
              <w:right w:val="single" w:color="000000" w:sz="4" w:space="0"/>
            </w:tcBorders>
          </w:tcPr>
          <w:p>
            <w:pPr>
              <w:pStyle w:val="19"/>
              <w:spacing w:before="181"/>
              <w:ind w:left="16"/>
              <w:rPr>
                <w:rFonts w:ascii="Times New Roman"/>
                <w:sz w:val="21"/>
              </w:rPr>
            </w:pPr>
            <w:r>
              <w:rPr>
                <w:rFonts w:ascii="Times New Roman"/>
                <w:w w:val="99"/>
                <w:sz w:val="21"/>
              </w:rPr>
              <w:t>/</w:t>
            </w:r>
          </w:p>
        </w:tc>
        <w:tc>
          <w:tcPr>
            <w:tcW w:w="1097" w:type="dxa"/>
            <w:tcBorders>
              <w:left w:val="single" w:color="000000" w:sz="4" w:space="0"/>
              <w:right w:val="single" w:color="000000" w:sz="4" w:space="0"/>
            </w:tcBorders>
          </w:tcPr>
          <w:p>
            <w:pPr>
              <w:pStyle w:val="19"/>
              <w:spacing w:before="181"/>
              <w:ind w:left="17"/>
              <w:rPr>
                <w:rFonts w:ascii="Times New Roman"/>
                <w:sz w:val="21"/>
              </w:rPr>
            </w:pPr>
            <w:r>
              <w:rPr>
                <w:rFonts w:ascii="Times New Roman"/>
                <w:w w:val="99"/>
                <w:sz w:val="21"/>
              </w:rPr>
              <w:t>0</w:t>
            </w:r>
          </w:p>
        </w:tc>
        <w:tc>
          <w:tcPr>
            <w:tcW w:w="1115" w:type="dxa"/>
            <w:tcBorders>
              <w:left w:val="single" w:color="000000" w:sz="4" w:space="0"/>
            </w:tcBorders>
          </w:tcPr>
          <w:p>
            <w:pPr>
              <w:pStyle w:val="19"/>
              <w:spacing w:before="181"/>
              <w:ind w:left="18"/>
              <w:rPr>
                <w:rFonts w:ascii="Times New Roman"/>
                <w:sz w:val="21"/>
              </w:rPr>
            </w:pPr>
            <w:r>
              <w:rPr>
                <w:rFonts w:ascii="Times New Roman"/>
                <w:w w:val="99"/>
                <w:sz w:val="21"/>
              </w:rPr>
              <w:t>0</w:t>
            </w:r>
          </w:p>
        </w:tc>
      </w:tr>
    </w:tbl>
    <w:p>
      <w:pPr>
        <w:spacing w:before="0" w:after="58"/>
        <w:ind w:left="427" w:right="0" w:firstLine="0"/>
        <w:jc w:val="center"/>
        <w:rPr>
          <w:b/>
          <w:sz w:val="21"/>
        </w:rPr>
      </w:pPr>
      <w:r>
        <w:rPr>
          <w:b/>
          <w:spacing w:val="-28"/>
          <w:sz w:val="21"/>
        </w:rPr>
        <w:t xml:space="preserve">表 </w:t>
      </w:r>
      <w:r>
        <w:rPr>
          <w:rFonts w:ascii="Times New Roman" w:eastAsia="Times New Roman"/>
          <w:b/>
          <w:sz w:val="21"/>
        </w:rPr>
        <w:t>9.3-5</w:t>
      </w:r>
      <w:r>
        <w:rPr>
          <w:rFonts w:ascii="Times New Roman" w:eastAsia="Times New Roman"/>
          <w:b/>
          <w:spacing w:val="52"/>
          <w:sz w:val="21"/>
        </w:rPr>
        <w:t xml:space="preserve"> </w:t>
      </w:r>
      <w:r>
        <w:rPr>
          <w:b/>
          <w:sz w:val="21"/>
        </w:rPr>
        <w:t>土壤现状评价结果（</w:t>
      </w:r>
      <w:r>
        <w:rPr>
          <w:rFonts w:ascii="Times New Roman" w:eastAsia="Times New Roman"/>
          <w:b/>
          <w:sz w:val="21"/>
        </w:rPr>
        <w:t>2</w:t>
      </w:r>
      <w:r>
        <w:rPr>
          <w:b/>
          <w:sz w:val="21"/>
        </w:rPr>
        <w:t>）</w:t>
      </w:r>
    </w:p>
    <w:tbl>
      <w:tblPr>
        <w:tblStyle w:val="15"/>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67"/>
        <w:gridCol w:w="1067"/>
        <w:gridCol w:w="1745"/>
        <w:gridCol w:w="1745"/>
        <w:gridCol w:w="1731"/>
        <w:gridCol w:w="173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1067" w:type="dxa"/>
            <w:vMerge w:val="restart"/>
            <w:tcBorders>
              <w:bottom w:val="single" w:color="000000" w:sz="4" w:space="0"/>
              <w:right w:val="single" w:color="000000" w:sz="4" w:space="0"/>
            </w:tcBorders>
          </w:tcPr>
          <w:p>
            <w:pPr>
              <w:pStyle w:val="19"/>
              <w:spacing w:before="132"/>
              <w:ind w:left="115"/>
              <w:jc w:val="left"/>
              <w:rPr>
                <w:sz w:val="21"/>
              </w:rPr>
            </w:pPr>
            <w:r>
              <w:rPr>
                <w:sz w:val="21"/>
              </w:rPr>
              <w:t>采样时间</w:t>
            </w:r>
          </w:p>
        </w:tc>
        <w:tc>
          <w:tcPr>
            <w:tcW w:w="1067" w:type="dxa"/>
            <w:vMerge w:val="restart"/>
            <w:tcBorders>
              <w:left w:val="single" w:color="000000" w:sz="4" w:space="0"/>
              <w:bottom w:val="single" w:color="000000" w:sz="4" w:space="0"/>
              <w:right w:val="single" w:color="000000" w:sz="4" w:space="0"/>
            </w:tcBorders>
          </w:tcPr>
          <w:p>
            <w:pPr>
              <w:pStyle w:val="19"/>
              <w:spacing w:before="132"/>
              <w:ind w:left="116"/>
              <w:jc w:val="left"/>
              <w:rPr>
                <w:sz w:val="21"/>
              </w:rPr>
            </w:pPr>
            <w:r>
              <w:rPr>
                <w:sz w:val="21"/>
              </w:rPr>
              <w:t>检测项目</w:t>
            </w:r>
          </w:p>
        </w:tc>
        <w:tc>
          <w:tcPr>
            <w:tcW w:w="3490" w:type="dxa"/>
            <w:gridSpan w:val="2"/>
            <w:tcBorders>
              <w:left w:val="single" w:color="000000" w:sz="4" w:space="0"/>
              <w:bottom w:val="single" w:color="000000" w:sz="4" w:space="0"/>
              <w:right w:val="single" w:color="000000" w:sz="4" w:space="0"/>
            </w:tcBorders>
          </w:tcPr>
          <w:p>
            <w:pPr>
              <w:pStyle w:val="19"/>
              <w:spacing w:line="241" w:lineRule="exact"/>
              <w:ind w:left="1647" w:right="1628"/>
              <w:rPr>
                <w:rFonts w:ascii="Times New Roman"/>
                <w:sz w:val="21"/>
              </w:rPr>
            </w:pPr>
            <w:r>
              <w:rPr>
                <w:rFonts w:ascii="Times New Roman"/>
                <w:sz w:val="21"/>
              </w:rPr>
              <w:t>pi</w:t>
            </w:r>
          </w:p>
        </w:tc>
        <w:tc>
          <w:tcPr>
            <w:tcW w:w="1731" w:type="dxa"/>
            <w:vMerge w:val="restart"/>
            <w:tcBorders>
              <w:left w:val="single" w:color="000000" w:sz="4" w:space="0"/>
              <w:bottom w:val="single" w:color="000000" w:sz="4" w:space="0"/>
              <w:right w:val="single" w:color="000000" w:sz="4" w:space="0"/>
            </w:tcBorders>
          </w:tcPr>
          <w:p>
            <w:pPr>
              <w:pStyle w:val="19"/>
              <w:spacing w:before="132"/>
              <w:ind w:left="467"/>
              <w:jc w:val="left"/>
              <w:rPr>
                <w:rFonts w:ascii="Times New Roman" w:eastAsia="Times New Roman"/>
                <w:sz w:val="21"/>
              </w:rPr>
            </w:pPr>
            <w:r>
              <w:rPr>
                <w:sz w:val="21"/>
              </w:rPr>
              <w:t>超标率</w:t>
            </w:r>
            <w:r>
              <w:rPr>
                <w:rFonts w:ascii="Times New Roman" w:eastAsia="Times New Roman"/>
                <w:sz w:val="21"/>
              </w:rPr>
              <w:t>%</w:t>
            </w:r>
          </w:p>
        </w:tc>
        <w:tc>
          <w:tcPr>
            <w:tcW w:w="1731" w:type="dxa"/>
            <w:vMerge w:val="restart"/>
            <w:tcBorders>
              <w:left w:val="single" w:color="000000" w:sz="4" w:space="0"/>
              <w:bottom w:val="single" w:color="000000" w:sz="4" w:space="0"/>
            </w:tcBorders>
          </w:tcPr>
          <w:p>
            <w:pPr>
              <w:pStyle w:val="19"/>
              <w:spacing w:before="132"/>
              <w:ind w:left="236"/>
              <w:jc w:val="left"/>
              <w:rPr>
                <w:sz w:val="21"/>
              </w:rPr>
            </w:pPr>
            <w:r>
              <w:rPr>
                <w:sz w:val="21"/>
              </w:rPr>
              <w:t>最大超标倍数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1067" w:type="dxa"/>
            <w:vMerge w:val="continue"/>
            <w:tcBorders>
              <w:top w:val="nil"/>
              <w:bottom w:val="single" w:color="000000" w:sz="4" w:space="0"/>
              <w:right w:val="single" w:color="000000" w:sz="4" w:space="0"/>
            </w:tcBorders>
          </w:tcPr>
          <w:p>
            <w:pPr>
              <w:rPr>
                <w:sz w:val="2"/>
                <w:szCs w:val="2"/>
              </w:rPr>
            </w:pPr>
          </w:p>
        </w:tc>
        <w:tc>
          <w:tcPr>
            <w:tcW w:w="1067" w:type="dxa"/>
            <w:vMerge w:val="continue"/>
            <w:tcBorders>
              <w:top w:val="nil"/>
              <w:left w:val="single" w:color="000000" w:sz="4" w:space="0"/>
              <w:bottom w:val="single" w:color="000000" w:sz="4" w:space="0"/>
              <w:right w:val="single" w:color="000000" w:sz="4" w:space="0"/>
            </w:tcBorders>
          </w:tcPr>
          <w:p>
            <w:pPr>
              <w:rPr>
                <w:sz w:val="2"/>
                <w:szCs w:val="2"/>
              </w:rPr>
            </w:pPr>
          </w:p>
        </w:tc>
        <w:tc>
          <w:tcPr>
            <w:tcW w:w="1745" w:type="dxa"/>
            <w:tcBorders>
              <w:top w:val="single" w:color="000000" w:sz="4" w:space="0"/>
              <w:left w:val="single" w:color="000000" w:sz="4" w:space="0"/>
              <w:bottom w:val="single" w:color="000000" w:sz="4" w:space="0"/>
              <w:right w:val="single" w:color="000000" w:sz="4" w:space="0"/>
            </w:tcBorders>
          </w:tcPr>
          <w:p>
            <w:pPr>
              <w:pStyle w:val="19"/>
              <w:spacing w:line="241" w:lineRule="exact"/>
              <w:ind w:left="214" w:right="197"/>
              <w:rPr>
                <w:rFonts w:ascii="Times New Roman"/>
                <w:sz w:val="21"/>
              </w:rPr>
            </w:pPr>
            <w:r>
              <w:rPr>
                <w:rFonts w:ascii="Times New Roman"/>
                <w:sz w:val="21"/>
              </w:rPr>
              <w:t>TR3006-20701</w:t>
            </w:r>
          </w:p>
        </w:tc>
        <w:tc>
          <w:tcPr>
            <w:tcW w:w="1745" w:type="dxa"/>
            <w:tcBorders>
              <w:top w:val="single" w:color="000000" w:sz="4" w:space="0"/>
              <w:left w:val="single" w:color="000000" w:sz="4" w:space="0"/>
              <w:bottom w:val="single" w:color="000000" w:sz="4" w:space="0"/>
              <w:right w:val="single" w:color="000000" w:sz="4" w:space="0"/>
            </w:tcBorders>
          </w:tcPr>
          <w:p>
            <w:pPr>
              <w:pStyle w:val="19"/>
              <w:spacing w:line="241" w:lineRule="exact"/>
              <w:ind w:left="214" w:right="197"/>
              <w:rPr>
                <w:rFonts w:ascii="Times New Roman"/>
                <w:sz w:val="21"/>
              </w:rPr>
            </w:pPr>
            <w:r>
              <w:rPr>
                <w:rFonts w:ascii="Times New Roman"/>
                <w:sz w:val="21"/>
              </w:rPr>
              <w:t>TR3006-20801</w:t>
            </w:r>
          </w:p>
        </w:tc>
        <w:tc>
          <w:tcPr>
            <w:tcW w:w="1731" w:type="dxa"/>
            <w:vMerge w:val="continue"/>
            <w:tcBorders>
              <w:top w:val="nil"/>
              <w:left w:val="single" w:color="000000" w:sz="4" w:space="0"/>
              <w:bottom w:val="single" w:color="000000" w:sz="4" w:space="0"/>
              <w:right w:val="single" w:color="000000" w:sz="4" w:space="0"/>
            </w:tcBorders>
          </w:tcPr>
          <w:p>
            <w:pPr>
              <w:rPr>
                <w:sz w:val="2"/>
                <w:szCs w:val="2"/>
              </w:rPr>
            </w:pPr>
          </w:p>
        </w:tc>
        <w:tc>
          <w:tcPr>
            <w:tcW w:w="1731"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2" w:hRule="atLeast"/>
        </w:trPr>
        <w:tc>
          <w:tcPr>
            <w:tcW w:w="1067" w:type="dxa"/>
            <w:vMerge w:val="restart"/>
            <w:tcBorders>
              <w:top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192"/>
              <w:ind w:left="62"/>
              <w:jc w:val="left"/>
              <w:rPr>
                <w:rFonts w:ascii="Times New Roman"/>
                <w:sz w:val="21"/>
              </w:rPr>
            </w:pPr>
            <w:r>
              <w:rPr>
                <w:rFonts w:ascii="Times New Roman"/>
                <w:sz w:val="21"/>
              </w:rPr>
              <w:t>2020.04.14</w:t>
            </w:r>
          </w:p>
        </w:tc>
        <w:tc>
          <w:tcPr>
            <w:tcW w:w="1067" w:type="dxa"/>
            <w:tcBorders>
              <w:top w:val="single" w:color="000000" w:sz="4" w:space="0"/>
              <w:left w:val="single" w:color="000000" w:sz="4" w:space="0"/>
              <w:bottom w:val="single" w:color="000000" w:sz="4" w:space="0"/>
              <w:right w:val="single" w:color="000000" w:sz="4" w:space="0"/>
            </w:tcBorders>
          </w:tcPr>
          <w:p>
            <w:pPr>
              <w:pStyle w:val="19"/>
              <w:spacing w:before="35"/>
              <w:ind w:left="201" w:right="183"/>
              <w:rPr>
                <w:sz w:val="21"/>
              </w:rPr>
            </w:pPr>
            <w:r>
              <w:rPr>
                <w:rFonts w:ascii="Times New Roman" w:eastAsia="Times New Roman"/>
                <w:sz w:val="21"/>
              </w:rPr>
              <w:t xml:space="preserve">pH </w:t>
            </w:r>
            <w:r>
              <w:rPr>
                <w:sz w:val="21"/>
              </w:rPr>
              <w:t>值</w:t>
            </w:r>
          </w:p>
        </w:tc>
        <w:tc>
          <w:tcPr>
            <w:tcW w:w="1745" w:type="dxa"/>
            <w:tcBorders>
              <w:top w:val="single" w:color="000000" w:sz="4" w:space="0"/>
              <w:left w:val="single" w:color="000000" w:sz="4" w:space="0"/>
              <w:bottom w:val="single" w:color="000000" w:sz="4" w:space="0"/>
              <w:right w:val="single" w:color="000000" w:sz="4" w:space="0"/>
            </w:tcBorders>
          </w:tcPr>
          <w:p>
            <w:pPr>
              <w:pStyle w:val="19"/>
              <w:spacing w:before="52"/>
              <w:ind w:left="17"/>
              <w:rPr>
                <w:rFonts w:ascii="Times New Roman"/>
                <w:sz w:val="21"/>
              </w:rPr>
            </w:pPr>
            <w:r>
              <w:rPr>
                <w:rFonts w:ascii="Times New Roman"/>
                <w:w w:val="99"/>
                <w:sz w:val="21"/>
              </w:rPr>
              <w:t>/</w:t>
            </w:r>
          </w:p>
        </w:tc>
        <w:tc>
          <w:tcPr>
            <w:tcW w:w="1745" w:type="dxa"/>
            <w:tcBorders>
              <w:top w:val="single" w:color="000000" w:sz="4" w:space="0"/>
              <w:left w:val="single" w:color="000000" w:sz="4" w:space="0"/>
              <w:bottom w:val="single" w:color="000000" w:sz="4" w:space="0"/>
              <w:right w:val="single" w:color="000000" w:sz="4" w:space="0"/>
            </w:tcBorders>
          </w:tcPr>
          <w:p>
            <w:pPr>
              <w:pStyle w:val="19"/>
              <w:spacing w:before="52"/>
              <w:ind w:left="16"/>
              <w:rPr>
                <w:rFonts w:ascii="Times New Roman"/>
                <w:sz w:val="21"/>
              </w:rPr>
            </w:pPr>
            <w:r>
              <w:rPr>
                <w:rFonts w:ascii="Times New Roman"/>
                <w:w w:val="99"/>
                <w:sz w:val="21"/>
              </w:rPr>
              <w:t>/</w:t>
            </w:r>
          </w:p>
        </w:tc>
        <w:tc>
          <w:tcPr>
            <w:tcW w:w="1731" w:type="dxa"/>
            <w:tcBorders>
              <w:top w:val="single" w:color="000000" w:sz="4" w:space="0"/>
              <w:left w:val="single" w:color="000000" w:sz="4" w:space="0"/>
              <w:bottom w:val="single" w:color="000000" w:sz="4" w:space="0"/>
              <w:right w:val="single" w:color="000000" w:sz="4" w:space="0"/>
            </w:tcBorders>
          </w:tcPr>
          <w:p>
            <w:pPr>
              <w:pStyle w:val="19"/>
              <w:spacing w:before="52"/>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9"/>
              <w:spacing w:before="52"/>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bottom w:val="single" w:color="000000" w:sz="4" w:space="0"/>
              <w:right w:val="single" w:color="000000" w:sz="4" w:space="0"/>
            </w:tcBorders>
          </w:tcPr>
          <w:p>
            <w:pPr>
              <w:pStyle w:val="19"/>
              <w:spacing w:before="29"/>
              <w:ind w:left="201" w:right="186"/>
              <w:rPr>
                <w:sz w:val="21"/>
              </w:rPr>
            </w:pPr>
            <w:r>
              <w:rPr>
                <w:sz w:val="21"/>
              </w:rPr>
              <w:t>含盐量</w:t>
            </w:r>
          </w:p>
        </w:tc>
        <w:tc>
          <w:tcPr>
            <w:tcW w:w="1745" w:type="dxa"/>
            <w:tcBorders>
              <w:top w:val="single" w:color="000000" w:sz="4" w:space="0"/>
              <w:left w:val="single" w:color="000000" w:sz="4" w:space="0"/>
              <w:bottom w:val="single" w:color="000000" w:sz="4" w:space="0"/>
              <w:right w:val="single" w:color="000000" w:sz="4" w:space="0"/>
            </w:tcBorders>
          </w:tcPr>
          <w:p>
            <w:pPr>
              <w:pStyle w:val="19"/>
              <w:spacing w:before="48"/>
              <w:ind w:left="17"/>
              <w:rPr>
                <w:rFonts w:ascii="Times New Roman"/>
                <w:sz w:val="21"/>
              </w:rPr>
            </w:pPr>
            <w:r>
              <w:rPr>
                <w:rFonts w:ascii="Times New Roman"/>
                <w:w w:val="99"/>
                <w:sz w:val="21"/>
              </w:rPr>
              <w:t>/</w:t>
            </w:r>
          </w:p>
        </w:tc>
        <w:tc>
          <w:tcPr>
            <w:tcW w:w="1745" w:type="dxa"/>
            <w:tcBorders>
              <w:top w:val="single" w:color="000000" w:sz="4" w:space="0"/>
              <w:left w:val="single" w:color="000000" w:sz="4" w:space="0"/>
              <w:bottom w:val="single" w:color="000000" w:sz="4" w:space="0"/>
              <w:right w:val="single" w:color="000000" w:sz="4" w:space="0"/>
            </w:tcBorders>
          </w:tcPr>
          <w:p>
            <w:pPr>
              <w:pStyle w:val="19"/>
              <w:spacing w:before="48"/>
              <w:ind w:left="16"/>
              <w:rPr>
                <w:rFonts w:ascii="Times New Roman"/>
                <w:sz w:val="21"/>
              </w:rPr>
            </w:pPr>
            <w:r>
              <w:rPr>
                <w:rFonts w:ascii="Times New Roman"/>
                <w:w w:val="99"/>
                <w:sz w:val="21"/>
              </w:rPr>
              <w:t>/</w:t>
            </w:r>
          </w:p>
        </w:tc>
        <w:tc>
          <w:tcPr>
            <w:tcW w:w="1731" w:type="dxa"/>
            <w:tcBorders>
              <w:top w:val="single" w:color="000000" w:sz="4" w:space="0"/>
              <w:left w:val="single" w:color="000000" w:sz="4" w:space="0"/>
              <w:bottom w:val="single" w:color="000000" w:sz="4" w:space="0"/>
              <w:right w:val="single" w:color="000000" w:sz="4" w:space="0"/>
            </w:tcBorders>
          </w:tcPr>
          <w:p>
            <w:pPr>
              <w:pStyle w:val="19"/>
              <w:spacing w:before="48"/>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9"/>
              <w:spacing w:before="48"/>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bottom w:val="single" w:color="000000" w:sz="4" w:space="0"/>
              <w:right w:val="single" w:color="000000" w:sz="4" w:space="0"/>
            </w:tcBorders>
          </w:tcPr>
          <w:p>
            <w:pPr>
              <w:pStyle w:val="19"/>
              <w:spacing w:before="30"/>
              <w:ind w:left="18"/>
              <w:rPr>
                <w:sz w:val="21"/>
              </w:rPr>
            </w:pPr>
            <w:r>
              <w:rPr>
                <w:w w:val="99"/>
                <w:sz w:val="21"/>
              </w:rPr>
              <w:t>镉</w:t>
            </w:r>
          </w:p>
        </w:tc>
        <w:tc>
          <w:tcPr>
            <w:tcW w:w="1745" w:type="dxa"/>
            <w:tcBorders>
              <w:top w:val="single" w:color="000000" w:sz="4" w:space="0"/>
              <w:left w:val="single" w:color="000000" w:sz="4" w:space="0"/>
              <w:bottom w:val="single" w:color="000000" w:sz="4" w:space="0"/>
              <w:right w:val="single" w:color="000000" w:sz="4" w:space="0"/>
            </w:tcBorders>
          </w:tcPr>
          <w:p>
            <w:pPr>
              <w:pStyle w:val="19"/>
              <w:spacing w:before="46"/>
              <w:ind w:left="214" w:right="194"/>
              <w:rPr>
                <w:rFonts w:ascii="Times New Roman"/>
                <w:sz w:val="21"/>
              </w:rPr>
            </w:pPr>
            <w:r>
              <w:rPr>
                <w:rFonts w:ascii="Times New Roman"/>
                <w:sz w:val="21"/>
              </w:rPr>
              <w:t>0.70</w:t>
            </w:r>
          </w:p>
        </w:tc>
        <w:tc>
          <w:tcPr>
            <w:tcW w:w="1745" w:type="dxa"/>
            <w:tcBorders>
              <w:top w:val="single" w:color="000000" w:sz="4" w:space="0"/>
              <w:left w:val="single" w:color="000000" w:sz="4" w:space="0"/>
              <w:bottom w:val="single" w:color="000000" w:sz="4" w:space="0"/>
              <w:right w:val="single" w:color="000000" w:sz="4" w:space="0"/>
            </w:tcBorders>
          </w:tcPr>
          <w:p>
            <w:pPr>
              <w:pStyle w:val="19"/>
              <w:spacing w:before="46"/>
              <w:ind w:left="214" w:right="195"/>
              <w:rPr>
                <w:rFonts w:ascii="Times New Roman"/>
                <w:sz w:val="21"/>
              </w:rPr>
            </w:pPr>
            <w:r>
              <w:rPr>
                <w:rFonts w:ascii="Times New Roman"/>
                <w:sz w:val="21"/>
              </w:rPr>
              <w:t>0.73</w:t>
            </w:r>
          </w:p>
        </w:tc>
        <w:tc>
          <w:tcPr>
            <w:tcW w:w="1731" w:type="dxa"/>
            <w:tcBorders>
              <w:top w:val="single" w:color="000000" w:sz="4" w:space="0"/>
              <w:left w:val="single" w:color="000000" w:sz="4" w:space="0"/>
              <w:bottom w:val="single" w:color="000000" w:sz="4" w:space="0"/>
              <w:right w:val="single" w:color="000000" w:sz="4" w:space="0"/>
            </w:tcBorders>
          </w:tcPr>
          <w:p>
            <w:pPr>
              <w:pStyle w:val="19"/>
              <w:spacing w:before="46"/>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9"/>
              <w:spacing w:before="46"/>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bottom w:val="single" w:color="000000" w:sz="4" w:space="0"/>
              <w:right w:val="single" w:color="000000" w:sz="4" w:space="0"/>
            </w:tcBorders>
          </w:tcPr>
          <w:p>
            <w:pPr>
              <w:pStyle w:val="19"/>
              <w:spacing w:before="31"/>
              <w:ind w:left="18"/>
              <w:rPr>
                <w:sz w:val="21"/>
              </w:rPr>
            </w:pPr>
            <w:r>
              <w:rPr>
                <w:w w:val="99"/>
                <w:sz w:val="21"/>
              </w:rPr>
              <w:t>汞</w:t>
            </w:r>
          </w:p>
        </w:tc>
        <w:tc>
          <w:tcPr>
            <w:tcW w:w="1745" w:type="dxa"/>
            <w:tcBorders>
              <w:top w:val="single" w:color="000000" w:sz="4" w:space="0"/>
              <w:left w:val="single" w:color="000000" w:sz="4" w:space="0"/>
              <w:bottom w:val="single" w:color="000000" w:sz="4" w:space="0"/>
              <w:right w:val="single" w:color="000000" w:sz="4" w:space="0"/>
            </w:tcBorders>
          </w:tcPr>
          <w:p>
            <w:pPr>
              <w:pStyle w:val="19"/>
              <w:spacing w:before="47"/>
              <w:ind w:left="214" w:right="194"/>
              <w:rPr>
                <w:rFonts w:ascii="Times New Roman"/>
                <w:sz w:val="21"/>
              </w:rPr>
            </w:pPr>
            <w:r>
              <w:rPr>
                <w:rFonts w:ascii="Times New Roman"/>
                <w:sz w:val="21"/>
              </w:rPr>
              <w:t>0.03</w:t>
            </w:r>
          </w:p>
        </w:tc>
        <w:tc>
          <w:tcPr>
            <w:tcW w:w="1745" w:type="dxa"/>
            <w:tcBorders>
              <w:top w:val="single" w:color="000000" w:sz="4" w:space="0"/>
              <w:left w:val="single" w:color="000000" w:sz="4" w:space="0"/>
              <w:bottom w:val="single" w:color="000000" w:sz="4" w:space="0"/>
              <w:right w:val="single" w:color="000000" w:sz="4" w:space="0"/>
            </w:tcBorders>
          </w:tcPr>
          <w:p>
            <w:pPr>
              <w:pStyle w:val="19"/>
              <w:spacing w:before="47"/>
              <w:ind w:left="214" w:right="195"/>
              <w:rPr>
                <w:rFonts w:ascii="Times New Roman"/>
                <w:sz w:val="21"/>
              </w:rPr>
            </w:pPr>
            <w:r>
              <w:rPr>
                <w:rFonts w:ascii="Times New Roman"/>
                <w:sz w:val="21"/>
              </w:rPr>
              <w:t>0.03</w:t>
            </w:r>
          </w:p>
        </w:tc>
        <w:tc>
          <w:tcPr>
            <w:tcW w:w="1731" w:type="dxa"/>
            <w:tcBorders>
              <w:top w:val="single" w:color="000000" w:sz="4" w:space="0"/>
              <w:left w:val="single" w:color="000000" w:sz="4" w:space="0"/>
              <w:bottom w:val="single" w:color="000000" w:sz="4" w:space="0"/>
              <w:right w:val="single" w:color="000000" w:sz="4" w:space="0"/>
            </w:tcBorders>
          </w:tcPr>
          <w:p>
            <w:pPr>
              <w:pStyle w:val="19"/>
              <w:spacing w:before="47"/>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9"/>
              <w:spacing w:before="47"/>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bottom w:val="single" w:color="000000" w:sz="4" w:space="0"/>
              <w:right w:val="single" w:color="000000" w:sz="4" w:space="0"/>
            </w:tcBorders>
          </w:tcPr>
          <w:p>
            <w:pPr>
              <w:pStyle w:val="19"/>
              <w:spacing w:before="30"/>
              <w:ind w:left="18"/>
              <w:rPr>
                <w:sz w:val="21"/>
              </w:rPr>
            </w:pPr>
            <w:r>
              <w:rPr>
                <w:w w:val="99"/>
                <w:sz w:val="21"/>
              </w:rPr>
              <w:t>砷</w:t>
            </w:r>
          </w:p>
        </w:tc>
        <w:tc>
          <w:tcPr>
            <w:tcW w:w="1745" w:type="dxa"/>
            <w:tcBorders>
              <w:top w:val="single" w:color="000000" w:sz="4" w:space="0"/>
              <w:left w:val="single" w:color="000000" w:sz="4" w:space="0"/>
              <w:bottom w:val="single" w:color="000000" w:sz="4" w:space="0"/>
              <w:right w:val="single" w:color="000000" w:sz="4" w:space="0"/>
            </w:tcBorders>
          </w:tcPr>
          <w:p>
            <w:pPr>
              <w:pStyle w:val="19"/>
              <w:spacing w:before="46"/>
              <w:ind w:left="214" w:right="194"/>
              <w:rPr>
                <w:rFonts w:ascii="Times New Roman"/>
                <w:sz w:val="21"/>
              </w:rPr>
            </w:pPr>
            <w:r>
              <w:rPr>
                <w:rFonts w:ascii="Times New Roman"/>
                <w:sz w:val="21"/>
              </w:rPr>
              <w:t>0.27</w:t>
            </w:r>
          </w:p>
        </w:tc>
        <w:tc>
          <w:tcPr>
            <w:tcW w:w="1745" w:type="dxa"/>
            <w:tcBorders>
              <w:top w:val="single" w:color="000000" w:sz="4" w:space="0"/>
              <w:left w:val="single" w:color="000000" w:sz="4" w:space="0"/>
              <w:bottom w:val="single" w:color="000000" w:sz="4" w:space="0"/>
              <w:right w:val="single" w:color="000000" w:sz="4" w:space="0"/>
            </w:tcBorders>
          </w:tcPr>
          <w:p>
            <w:pPr>
              <w:pStyle w:val="19"/>
              <w:spacing w:before="46"/>
              <w:ind w:left="214" w:right="195"/>
              <w:rPr>
                <w:rFonts w:ascii="Times New Roman"/>
                <w:sz w:val="21"/>
              </w:rPr>
            </w:pPr>
            <w:r>
              <w:rPr>
                <w:rFonts w:ascii="Times New Roman"/>
                <w:sz w:val="21"/>
              </w:rPr>
              <w:t>0.28</w:t>
            </w:r>
          </w:p>
        </w:tc>
        <w:tc>
          <w:tcPr>
            <w:tcW w:w="1731" w:type="dxa"/>
            <w:tcBorders>
              <w:top w:val="single" w:color="000000" w:sz="4" w:space="0"/>
              <w:left w:val="single" w:color="000000" w:sz="4" w:space="0"/>
              <w:bottom w:val="single" w:color="000000" w:sz="4" w:space="0"/>
              <w:right w:val="single" w:color="000000" w:sz="4" w:space="0"/>
            </w:tcBorders>
          </w:tcPr>
          <w:p>
            <w:pPr>
              <w:pStyle w:val="19"/>
              <w:spacing w:before="46"/>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9"/>
              <w:spacing w:before="46"/>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bottom w:val="single" w:color="000000" w:sz="4" w:space="0"/>
              <w:right w:val="single" w:color="000000" w:sz="4" w:space="0"/>
            </w:tcBorders>
          </w:tcPr>
          <w:p>
            <w:pPr>
              <w:pStyle w:val="19"/>
              <w:spacing w:before="31"/>
              <w:ind w:left="18"/>
              <w:rPr>
                <w:sz w:val="21"/>
              </w:rPr>
            </w:pPr>
            <w:r>
              <w:rPr>
                <w:w w:val="99"/>
                <w:sz w:val="21"/>
              </w:rPr>
              <w:t>铅</w:t>
            </w:r>
          </w:p>
        </w:tc>
        <w:tc>
          <w:tcPr>
            <w:tcW w:w="1745" w:type="dxa"/>
            <w:tcBorders>
              <w:top w:val="single" w:color="000000" w:sz="4" w:space="0"/>
              <w:left w:val="single" w:color="000000" w:sz="4" w:space="0"/>
              <w:bottom w:val="single" w:color="000000" w:sz="4" w:space="0"/>
              <w:right w:val="single" w:color="000000" w:sz="4" w:space="0"/>
            </w:tcBorders>
          </w:tcPr>
          <w:p>
            <w:pPr>
              <w:pStyle w:val="19"/>
              <w:spacing w:before="47"/>
              <w:ind w:left="214" w:right="194"/>
              <w:rPr>
                <w:rFonts w:ascii="Times New Roman"/>
                <w:sz w:val="21"/>
              </w:rPr>
            </w:pPr>
            <w:r>
              <w:rPr>
                <w:rFonts w:ascii="Times New Roman"/>
                <w:sz w:val="21"/>
              </w:rPr>
              <w:t>0.28</w:t>
            </w:r>
          </w:p>
        </w:tc>
        <w:tc>
          <w:tcPr>
            <w:tcW w:w="1745" w:type="dxa"/>
            <w:tcBorders>
              <w:top w:val="single" w:color="000000" w:sz="4" w:space="0"/>
              <w:left w:val="single" w:color="000000" w:sz="4" w:space="0"/>
              <w:bottom w:val="single" w:color="000000" w:sz="4" w:space="0"/>
              <w:right w:val="single" w:color="000000" w:sz="4" w:space="0"/>
            </w:tcBorders>
          </w:tcPr>
          <w:p>
            <w:pPr>
              <w:pStyle w:val="19"/>
              <w:spacing w:before="47"/>
              <w:ind w:left="214" w:right="195"/>
              <w:rPr>
                <w:rFonts w:ascii="Times New Roman"/>
                <w:sz w:val="21"/>
              </w:rPr>
            </w:pPr>
            <w:r>
              <w:rPr>
                <w:rFonts w:ascii="Times New Roman"/>
                <w:sz w:val="21"/>
              </w:rPr>
              <w:t>0.28</w:t>
            </w:r>
          </w:p>
        </w:tc>
        <w:tc>
          <w:tcPr>
            <w:tcW w:w="1731" w:type="dxa"/>
            <w:tcBorders>
              <w:top w:val="single" w:color="000000" w:sz="4" w:space="0"/>
              <w:left w:val="single" w:color="000000" w:sz="4" w:space="0"/>
              <w:bottom w:val="single" w:color="000000" w:sz="4" w:space="0"/>
              <w:right w:val="single" w:color="000000" w:sz="4" w:space="0"/>
            </w:tcBorders>
          </w:tcPr>
          <w:p>
            <w:pPr>
              <w:pStyle w:val="19"/>
              <w:spacing w:before="47"/>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9"/>
              <w:spacing w:before="47"/>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bottom w:val="single" w:color="000000" w:sz="4" w:space="0"/>
              <w:right w:val="single" w:color="000000" w:sz="4" w:space="0"/>
            </w:tcBorders>
          </w:tcPr>
          <w:p>
            <w:pPr>
              <w:pStyle w:val="19"/>
              <w:spacing w:before="29"/>
              <w:ind w:left="18"/>
              <w:rPr>
                <w:sz w:val="21"/>
              </w:rPr>
            </w:pPr>
            <w:r>
              <w:rPr>
                <w:w w:val="99"/>
                <w:sz w:val="21"/>
              </w:rPr>
              <w:t>铬</w:t>
            </w:r>
          </w:p>
        </w:tc>
        <w:tc>
          <w:tcPr>
            <w:tcW w:w="1745" w:type="dxa"/>
            <w:tcBorders>
              <w:top w:val="single" w:color="000000" w:sz="4" w:space="0"/>
              <w:left w:val="single" w:color="000000" w:sz="4" w:space="0"/>
              <w:bottom w:val="single" w:color="000000" w:sz="4" w:space="0"/>
              <w:right w:val="single" w:color="000000" w:sz="4" w:space="0"/>
            </w:tcBorders>
          </w:tcPr>
          <w:p>
            <w:pPr>
              <w:pStyle w:val="19"/>
              <w:spacing w:before="48"/>
              <w:ind w:left="214" w:right="194"/>
              <w:rPr>
                <w:rFonts w:ascii="Times New Roman"/>
                <w:sz w:val="21"/>
              </w:rPr>
            </w:pPr>
            <w:r>
              <w:rPr>
                <w:rFonts w:ascii="Times New Roman"/>
                <w:sz w:val="21"/>
              </w:rPr>
              <w:t>0.25</w:t>
            </w:r>
          </w:p>
        </w:tc>
        <w:tc>
          <w:tcPr>
            <w:tcW w:w="1745" w:type="dxa"/>
            <w:tcBorders>
              <w:top w:val="single" w:color="000000" w:sz="4" w:space="0"/>
              <w:left w:val="single" w:color="000000" w:sz="4" w:space="0"/>
              <w:bottom w:val="single" w:color="000000" w:sz="4" w:space="0"/>
              <w:right w:val="single" w:color="000000" w:sz="4" w:space="0"/>
            </w:tcBorders>
          </w:tcPr>
          <w:p>
            <w:pPr>
              <w:pStyle w:val="19"/>
              <w:spacing w:before="48"/>
              <w:ind w:left="214" w:right="195"/>
              <w:rPr>
                <w:rFonts w:ascii="Times New Roman"/>
                <w:sz w:val="21"/>
              </w:rPr>
            </w:pPr>
            <w:r>
              <w:rPr>
                <w:rFonts w:ascii="Times New Roman"/>
                <w:sz w:val="21"/>
              </w:rPr>
              <w:t>0.26</w:t>
            </w:r>
          </w:p>
        </w:tc>
        <w:tc>
          <w:tcPr>
            <w:tcW w:w="1731" w:type="dxa"/>
            <w:tcBorders>
              <w:top w:val="single" w:color="000000" w:sz="4" w:space="0"/>
              <w:left w:val="single" w:color="000000" w:sz="4" w:space="0"/>
              <w:bottom w:val="single" w:color="000000" w:sz="4" w:space="0"/>
              <w:right w:val="single" w:color="000000" w:sz="4" w:space="0"/>
            </w:tcBorders>
          </w:tcPr>
          <w:p>
            <w:pPr>
              <w:pStyle w:val="19"/>
              <w:spacing w:before="48"/>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9"/>
              <w:spacing w:before="48"/>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bottom w:val="single" w:color="000000" w:sz="4" w:space="0"/>
              <w:right w:val="single" w:color="000000" w:sz="4" w:space="0"/>
            </w:tcBorders>
          </w:tcPr>
          <w:p>
            <w:pPr>
              <w:pStyle w:val="19"/>
              <w:spacing w:before="30"/>
              <w:ind w:left="18"/>
              <w:rPr>
                <w:sz w:val="21"/>
              </w:rPr>
            </w:pPr>
            <w:r>
              <w:rPr>
                <w:w w:val="99"/>
                <w:sz w:val="21"/>
              </w:rPr>
              <w:t>铜</w:t>
            </w:r>
          </w:p>
        </w:tc>
        <w:tc>
          <w:tcPr>
            <w:tcW w:w="1745" w:type="dxa"/>
            <w:tcBorders>
              <w:top w:val="single" w:color="000000" w:sz="4" w:space="0"/>
              <w:left w:val="single" w:color="000000" w:sz="4" w:space="0"/>
              <w:bottom w:val="single" w:color="000000" w:sz="4" w:space="0"/>
              <w:right w:val="single" w:color="000000" w:sz="4" w:space="0"/>
            </w:tcBorders>
          </w:tcPr>
          <w:p>
            <w:pPr>
              <w:pStyle w:val="19"/>
              <w:spacing w:before="46"/>
              <w:ind w:left="214" w:right="194"/>
              <w:rPr>
                <w:rFonts w:ascii="Times New Roman"/>
                <w:sz w:val="21"/>
              </w:rPr>
            </w:pPr>
            <w:r>
              <w:rPr>
                <w:rFonts w:ascii="Times New Roman"/>
                <w:sz w:val="21"/>
              </w:rPr>
              <w:t>0.14</w:t>
            </w:r>
          </w:p>
        </w:tc>
        <w:tc>
          <w:tcPr>
            <w:tcW w:w="1745" w:type="dxa"/>
            <w:tcBorders>
              <w:top w:val="single" w:color="000000" w:sz="4" w:space="0"/>
              <w:left w:val="single" w:color="000000" w:sz="4" w:space="0"/>
              <w:bottom w:val="single" w:color="000000" w:sz="4" w:space="0"/>
              <w:right w:val="single" w:color="000000" w:sz="4" w:space="0"/>
            </w:tcBorders>
          </w:tcPr>
          <w:p>
            <w:pPr>
              <w:pStyle w:val="19"/>
              <w:spacing w:before="46"/>
              <w:ind w:left="214" w:right="195"/>
              <w:rPr>
                <w:rFonts w:ascii="Times New Roman"/>
                <w:sz w:val="21"/>
              </w:rPr>
            </w:pPr>
            <w:r>
              <w:rPr>
                <w:rFonts w:ascii="Times New Roman"/>
                <w:sz w:val="21"/>
              </w:rPr>
              <w:t>0.14</w:t>
            </w:r>
          </w:p>
        </w:tc>
        <w:tc>
          <w:tcPr>
            <w:tcW w:w="1731" w:type="dxa"/>
            <w:tcBorders>
              <w:top w:val="single" w:color="000000" w:sz="4" w:space="0"/>
              <w:left w:val="single" w:color="000000" w:sz="4" w:space="0"/>
              <w:bottom w:val="single" w:color="000000" w:sz="4" w:space="0"/>
              <w:right w:val="single" w:color="000000" w:sz="4" w:space="0"/>
            </w:tcBorders>
          </w:tcPr>
          <w:p>
            <w:pPr>
              <w:pStyle w:val="19"/>
              <w:spacing w:before="46"/>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9"/>
              <w:spacing w:before="46"/>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bottom w:val="single" w:color="000000" w:sz="4" w:space="0"/>
              <w:right w:val="single" w:color="000000" w:sz="4" w:space="0"/>
            </w:tcBorders>
          </w:tcPr>
          <w:p>
            <w:pPr>
              <w:pStyle w:val="19"/>
              <w:spacing w:before="29"/>
              <w:ind w:left="18"/>
              <w:rPr>
                <w:sz w:val="21"/>
              </w:rPr>
            </w:pPr>
            <w:r>
              <w:rPr>
                <w:w w:val="99"/>
                <w:sz w:val="21"/>
              </w:rPr>
              <w:t>镍</w:t>
            </w:r>
          </w:p>
        </w:tc>
        <w:tc>
          <w:tcPr>
            <w:tcW w:w="1745" w:type="dxa"/>
            <w:tcBorders>
              <w:top w:val="single" w:color="000000" w:sz="4" w:space="0"/>
              <w:left w:val="single" w:color="000000" w:sz="4" w:space="0"/>
              <w:bottom w:val="single" w:color="000000" w:sz="4" w:space="0"/>
              <w:right w:val="single" w:color="000000" w:sz="4" w:space="0"/>
            </w:tcBorders>
          </w:tcPr>
          <w:p>
            <w:pPr>
              <w:pStyle w:val="19"/>
              <w:spacing w:before="47"/>
              <w:ind w:left="214" w:right="194"/>
              <w:rPr>
                <w:rFonts w:ascii="Times New Roman"/>
                <w:sz w:val="21"/>
              </w:rPr>
            </w:pPr>
            <w:r>
              <w:rPr>
                <w:rFonts w:ascii="Times New Roman"/>
                <w:sz w:val="21"/>
              </w:rPr>
              <w:t>0.12</w:t>
            </w:r>
          </w:p>
        </w:tc>
        <w:tc>
          <w:tcPr>
            <w:tcW w:w="1745" w:type="dxa"/>
            <w:tcBorders>
              <w:top w:val="single" w:color="000000" w:sz="4" w:space="0"/>
              <w:left w:val="single" w:color="000000" w:sz="4" w:space="0"/>
              <w:bottom w:val="single" w:color="000000" w:sz="4" w:space="0"/>
              <w:right w:val="single" w:color="000000" w:sz="4" w:space="0"/>
            </w:tcBorders>
          </w:tcPr>
          <w:p>
            <w:pPr>
              <w:pStyle w:val="19"/>
              <w:spacing w:before="47"/>
              <w:ind w:left="214" w:right="195"/>
              <w:rPr>
                <w:rFonts w:ascii="Times New Roman"/>
                <w:sz w:val="21"/>
              </w:rPr>
            </w:pPr>
            <w:r>
              <w:rPr>
                <w:rFonts w:ascii="Times New Roman"/>
                <w:sz w:val="21"/>
              </w:rPr>
              <w:t>0.12</w:t>
            </w:r>
          </w:p>
        </w:tc>
        <w:tc>
          <w:tcPr>
            <w:tcW w:w="1731" w:type="dxa"/>
            <w:tcBorders>
              <w:top w:val="single" w:color="000000" w:sz="4" w:space="0"/>
              <w:left w:val="single" w:color="000000" w:sz="4" w:space="0"/>
              <w:bottom w:val="single" w:color="000000" w:sz="4" w:space="0"/>
              <w:right w:val="single" w:color="000000" w:sz="4" w:space="0"/>
            </w:tcBorders>
          </w:tcPr>
          <w:p>
            <w:pPr>
              <w:pStyle w:val="19"/>
              <w:spacing w:before="47"/>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9"/>
              <w:spacing w:before="47"/>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1"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right w:val="single" w:color="000000" w:sz="4" w:space="0"/>
            </w:tcBorders>
          </w:tcPr>
          <w:p>
            <w:pPr>
              <w:pStyle w:val="19"/>
              <w:spacing w:before="30"/>
              <w:ind w:left="18"/>
              <w:rPr>
                <w:sz w:val="21"/>
              </w:rPr>
            </w:pPr>
            <w:r>
              <w:rPr>
                <w:w w:val="99"/>
                <w:sz w:val="21"/>
              </w:rPr>
              <w:t>锌</w:t>
            </w:r>
          </w:p>
        </w:tc>
        <w:tc>
          <w:tcPr>
            <w:tcW w:w="1745" w:type="dxa"/>
            <w:tcBorders>
              <w:top w:val="single" w:color="000000" w:sz="4" w:space="0"/>
              <w:left w:val="single" w:color="000000" w:sz="4" w:space="0"/>
              <w:right w:val="single" w:color="000000" w:sz="4" w:space="0"/>
            </w:tcBorders>
          </w:tcPr>
          <w:p>
            <w:pPr>
              <w:pStyle w:val="19"/>
              <w:spacing w:before="46"/>
              <w:ind w:left="214" w:right="194"/>
              <w:rPr>
                <w:rFonts w:ascii="Times New Roman"/>
                <w:sz w:val="21"/>
              </w:rPr>
            </w:pPr>
            <w:r>
              <w:rPr>
                <w:rFonts w:ascii="Times New Roman"/>
                <w:sz w:val="21"/>
              </w:rPr>
              <w:t>0.45</w:t>
            </w:r>
          </w:p>
        </w:tc>
        <w:tc>
          <w:tcPr>
            <w:tcW w:w="1745" w:type="dxa"/>
            <w:tcBorders>
              <w:top w:val="single" w:color="000000" w:sz="4" w:space="0"/>
              <w:left w:val="single" w:color="000000" w:sz="4" w:space="0"/>
              <w:right w:val="single" w:color="000000" w:sz="4" w:space="0"/>
            </w:tcBorders>
          </w:tcPr>
          <w:p>
            <w:pPr>
              <w:pStyle w:val="19"/>
              <w:spacing w:before="46"/>
              <w:ind w:left="214" w:right="195"/>
              <w:rPr>
                <w:rFonts w:ascii="Times New Roman"/>
                <w:sz w:val="21"/>
              </w:rPr>
            </w:pPr>
            <w:r>
              <w:rPr>
                <w:rFonts w:ascii="Times New Roman"/>
                <w:sz w:val="21"/>
              </w:rPr>
              <w:t>0.46</w:t>
            </w:r>
          </w:p>
        </w:tc>
        <w:tc>
          <w:tcPr>
            <w:tcW w:w="1731" w:type="dxa"/>
            <w:tcBorders>
              <w:top w:val="single" w:color="000000" w:sz="4" w:space="0"/>
              <w:left w:val="single" w:color="000000" w:sz="4" w:space="0"/>
              <w:right w:val="single" w:color="000000" w:sz="4" w:space="0"/>
            </w:tcBorders>
          </w:tcPr>
          <w:p>
            <w:pPr>
              <w:pStyle w:val="19"/>
              <w:spacing w:before="46"/>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tcBorders>
          </w:tcPr>
          <w:p>
            <w:pPr>
              <w:pStyle w:val="19"/>
              <w:spacing w:before="46"/>
              <w:ind w:left="18"/>
              <w:rPr>
                <w:rFonts w:ascii="Times New Roman"/>
                <w:sz w:val="21"/>
              </w:rPr>
            </w:pPr>
            <w:r>
              <w:rPr>
                <w:rFonts w:ascii="Times New Roman"/>
                <w:w w:val="99"/>
                <w:sz w:val="21"/>
              </w:rPr>
              <w:t>0</w:t>
            </w:r>
          </w:p>
        </w:tc>
      </w:tr>
    </w:tbl>
    <w:p>
      <w:pPr>
        <w:pStyle w:val="9"/>
        <w:spacing w:before="1" w:line="290" w:lineRule="auto"/>
        <w:ind w:left="1418" w:right="1411" w:firstLine="480"/>
        <w:jc w:val="both"/>
      </w:pPr>
      <w:r>
        <w:rPr>
          <w:spacing w:val="-13"/>
        </w:rPr>
        <w:t>监测结果表明，井田开采区占地范围内监测点各项指标均能达到《土壤环境质量 建</w:t>
      </w:r>
      <w:r>
        <w:rPr>
          <w:spacing w:val="-2"/>
        </w:rPr>
        <w:t>设用地土壤污染风险管控标准</w:t>
      </w:r>
      <w:r>
        <w:t>（试行</w:t>
      </w:r>
      <w:r>
        <w:rPr>
          <w:spacing w:val="-20"/>
        </w:rPr>
        <w:t>）</w:t>
      </w:r>
      <w:r>
        <w:rPr>
          <w:spacing w:val="-34"/>
        </w:rPr>
        <w:t>》</w:t>
      </w:r>
      <w:r>
        <w:t>（</w:t>
      </w:r>
      <w:r>
        <w:rPr>
          <w:rFonts w:ascii="Times New Roman" w:eastAsia="Times New Roman"/>
        </w:rPr>
        <w:t>GB36600-2018</w:t>
      </w:r>
      <w:r>
        <w:t>）</w:t>
      </w:r>
      <w:r>
        <w:rPr>
          <w:spacing w:val="-3"/>
        </w:rPr>
        <w:t>第二类用地筛选值标准；井</w:t>
      </w:r>
      <w:r>
        <w:t>田开采区占地范围外各项指标均能达到《土壤环境质量 农用地土壤污染风险管控标准</w:t>
      </w:r>
    </w:p>
    <w:p>
      <w:pPr>
        <w:pStyle w:val="9"/>
        <w:spacing w:before="5" w:line="292" w:lineRule="auto"/>
        <w:ind w:left="1418" w:right="1416"/>
      </w:pPr>
      <w:r>
        <w:t>（试行）》（</w:t>
      </w:r>
      <w:r>
        <w:rPr>
          <w:rFonts w:ascii="Times New Roman" w:eastAsia="Times New Roman"/>
        </w:rPr>
        <w:t>GB/15618-2018</w:t>
      </w:r>
      <w:r>
        <w:t>）中的风险筛选值标准，井田开采区土壤环境质量状况良好。</w:t>
      </w:r>
    </w:p>
    <w:p>
      <w:pPr>
        <w:pStyle w:val="18"/>
        <w:numPr>
          <w:ilvl w:val="0"/>
          <w:numId w:val="76"/>
        </w:numPr>
        <w:tabs>
          <w:tab w:val="left" w:pos="2500"/>
        </w:tabs>
        <w:spacing w:before="0" w:after="0" w:line="304" w:lineRule="exact"/>
        <w:ind w:left="2499" w:right="0" w:hanging="602"/>
        <w:jc w:val="left"/>
        <w:rPr>
          <w:sz w:val="24"/>
        </w:rPr>
      </w:pPr>
      <w:r>
        <w:rPr>
          <w:sz w:val="24"/>
        </w:rPr>
        <w:t>土壤盐化、酸化、碱化评价</w:t>
      </w:r>
    </w:p>
    <w:p>
      <w:pPr>
        <w:pStyle w:val="9"/>
        <w:spacing w:before="160" w:line="364" w:lineRule="auto"/>
        <w:ind w:left="1418" w:right="1364" w:firstLine="480"/>
      </w:pPr>
      <w:r>
        <w:t>根据《环境影响评价技术导则 土壤环境（试行）》（</w:t>
      </w:r>
      <w:r>
        <w:rPr>
          <w:rFonts w:ascii="Times New Roman" w:eastAsia="Times New Roman"/>
        </w:rPr>
        <w:t>HJ964-2018</w:t>
      </w:r>
      <w:r>
        <w:t xml:space="preserve">）中附录 </w:t>
      </w:r>
      <w:r>
        <w:rPr>
          <w:rFonts w:ascii="Times New Roman" w:eastAsia="Times New Roman"/>
        </w:rPr>
        <w:t xml:space="preserve">D </w:t>
      </w:r>
      <w:r>
        <w:t>土壤酸化、碱化分级标准，本次监测及分析结果见下表。</w:t>
      </w:r>
    </w:p>
    <w:p>
      <w:pPr>
        <w:spacing w:before="0" w:line="267" w:lineRule="exact"/>
        <w:ind w:left="4185" w:right="0" w:firstLine="0"/>
        <w:jc w:val="left"/>
        <w:rPr>
          <w:b/>
          <w:sz w:val="21"/>
        </w:rPr>
      </w:pPr>
      <w:r>
        <w:rPr>
          <w:b/>
          <w:spacing w:val="-26"/>
          <w:sz w:val="21"/>
        </w:rPr>
        <w:t xml:space="preserve">表 </w:t>
      </w:r>
      <w:r>
        <w:rPr>
          <w:rFonts w:ascii="Times New Roman" w:eastAsia="Times New Roman"/>
          <w:b/>
          <w:sz w:val="21"/>
        </w:rPr>
        <w:t>9.3-6</w:t>
      </w:r>
      <w:r>
        <w:rPr>
          <w:rFonts w:ascii="Times New Roman" w:eastAsia="Times New Roman"/>
          <w:b/>
          <w:spacing w:val="52"/>
          <w:sz w:val="21"/>
        </w:rPr>
        <w:t xml:space="preserve"> </w:t>
      </w:r>
      <w:r>
        <w:rPr>
          <w:b/>
          <w:sz w:val="21"/>
        </w:rPr>
        <w:t>土壤酸化、碱化监测结果分析</w:t>
      </w:r>
    </w:p>
    <w:p>
      <w:pPr>
        <w:pStyle w:val="9"/>
        <w:spacing w:before="12"/>
        <w:rPr>
          <w:b/>
          <w:sz w:val="10"/>
        </w:rPr>
      </w:pP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03"/>
        <w:gridCol w:w="1389"/>
        <w:gridCol w:w="2400"/>
        <w:gridCol w:w="1521"/>
        <w:gridCol w:w="22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703" w:type="dxa"/>
            <w:tcBorders>
              <w:bottom w:val="single" w:color="000000" w:sz="4" w:space="0"/>
              <w:right w:val="single" w:color="000000" w:sz="4" w:space="0"/>
            </w:tcBorders>
          </w:tcPr>
          <w:p>
            <w:pPr>
              <w:pStyle w:val="19"/>
              <w:spacing w:before="8"/>
              <w:ind w:left="184" w:right="176"/>
              <w:rPr>
                <w:sz w:val="21"/>
              </w:rPr>
            </w:pPr>
            <w:r>
              <w:rPr>
                <w:sz w:val="21"/>
              </w:rPr>
              <w:t>监测点位</w:t>
            </w:r>
          </w:p>
        </w:tc>
        <w:tc>
          <w:tcPr>
            <w:tcW w:w="1389" w:type="dxa"/>
            <w:tcBorders>
              <w:left w:val="single" w:color="000000" w:sz="4" w:space="0"/>
              <w:bottom w:val="single" w:color="000000" w:sz="4" w:space="0"/>
              <w:right w:val="single" w:color="000000" w:sz="4" w:space="0"/>
            </w:tcBorders>
          </w:tcPr>
          <w:p>
            <w:pPr>
              <w:pStyle w:val="19"/>
              <w:spacing w:before="8"/>
              <w:ind w:left="153" w:right="136"/>
              <w:rPr>
                <w:sz w:val="21"/>
              </w:rPr>
            </w:pPr>
            <w:r>
              <w:rPr>
                <w:sz w:val="21"/>
              </w:rPr>
              <w:t>土壤含盐量</w:t>
            </w:r>
          </w:p>
        </w:tc>
        <w:tc>
          <w:tcPr>
            <w:tcW w:w="2400" w:type="dxa"/>
            <w:tcBorders>
              <w:left w:val="single" w:color="000000" w:sz="4" w:space="0"/>
              <w:bottom w:val="single" w:color="000000" w:sz="4" w:space="0"/>
              <w:right w:val="single" w:color="000000" w:sz="4" w:space="0"/>
            </w:tcBorders>
          </w:tcPr>
          <w:p>
            <w:pPr>
              <w:pStyle w:val="19"/>
              <w:spacing w:before="8"/>
              <w:ind w:left="554" w:right="536"/>
              <w:rPr>
                <w:sz w:val="21"/>
              </w:rPr>
            </w:pPr>
            <w:r>
              <w:rPr>
                <w:sz w:val="21"/>
              </w:rPr>
              <w:t>土壤盐化分级</w:t>
            </w:r>
          </w:p>
        </w:tc>
        <w:tc>
          <w:tcPr>
            <w:tcW w:w="1521" w:type="dxa"/>
            <w:tcBorders>
              <w:left w:val="single" w:color="000000" w:sz="4" w:space="0"/>
              <w:bottom w:val="single" w:color="000000" w:sz="4" w:space="0"/>
              <w:right w:val="single" w:color="000000" w:sz="4" w:space="0"/>
            </w:tcBorders>
          </w:tcPr>
          <w:p>
            <w:pPr>
              <w:pStyle w:val="19"/>
              <w:spacing w:before="8"/>
              <w:ind w:left="222" w:right="203"/>
              <w:rPr>
                <w:sz w:val="21"/>
              </w:rPr>
            </w:pPr>
            <w:r>
              <w:rPr>
                <w:sz w:val="21"/>
              </w:rPr>
              <w:t xml:space="preserve">土壤 </w:t>
            </w:r>
            <w:r>
              <w:rPr>
                <w:rFonts w:ascii="Times New Roman" w:eastAsia="Times New Roman"/>
                <w:sz w:val="21"/>
              </w:rPr>
              <w:t xml:space="preserve">pH </w:t>
            </w:r>
            <w:r>
              <w:rPr>
                <w:sz w:val="21"/>
              </w:rPr>
              <w:t>值</w:t>
            </w:r>
          </w:p>
        </w:tc>
        <w:tc>
          <w:tcPr>
            <w:tcW w:w="2269" w:type="dxa"/>
            <w:tcBorders>
              <w:left w:val="single" w:color="000000" w:sz="4" w:space="0"/>
              <w:bottom w:val="single" w:color="000000" w:sz="4" w:space="0"/>
            </w:tcBorders>
          </w:tcPr>
          <w:p>
            <w:pPr>
              <w:pStyle w:val="19"/>
              <w:spacing w:before="8"/>
              <w:ind w:left="173" w:right="150"/>
              <w:rPr>
                <w:sz w:val="21"/>
              </w:rPr>
            </w:pPr>
            <w:r>
              <w:rPr>
                <w:sz w:val="21"/>
              </w:rPr>
              <w:t>土壤酸化、碱化程度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703" w:type="dxa"/>
            <w:tcBorders>
              <w:top w:val="single" w:color="000000" w:sz="4" w:space="0"/>
              <w:bottom w:val="single" w:color="000000" w:sz="4" w:space="0"/>
              <w:right w:val="single" w:color="000000" w:sz="4" w:space="0"/>
            </w:tcBorders>
          </w:tcPr>
          <w:p>
            <w:pPr>
              <w:pStyle w:val="19"/>
              <w:spacing w:before="91"/>
              <w:ind w:left="188" w:right="176"/>
              <w:rPr>
                <w:rFonts w:ascii="Times New Roman"/>
                <w:sz w:val="21"/>
              </w:rPr>
            </w:pPr>
            <w:r>
              <w:rPr>
                <w:rFonts w:ascii="Times New Roman"/>
                <w:sz w:val="21"/>
              </w:rPr>
              <w:t>TR3006-20101</w:t>
            </w:r>
          </w:p>
        </w:tc>
        <w:tc>
          <w:tcPr>
            <w:tcW w:w="1389" w:type="dxa"/>
            <w:tcBorders>
              <w:top w:val="single" w:color="000000" w:sz="4" w:space="0"/>
              <w:left w:val="single" w:color="000000" w:sz="4" w:space="0"/>
              <w:bottom w:val="single" w:color="000000" w:sz="4" w:space="0"/>
              <w:right w:val="single" w:color="000000" w:sz="4" w:space="0"/>
            </w:tcBorders>
          </w:tcPr>
          <w:p>
            <w:pPr>
              <w:pStyle w:val="19"/>
              <w:spacing w:before="93"/>
              <w:ind w:left="153" w:right="134"/>
              <w:rPr>
                <w:rFonts w:ascii="Times New Roman"/>
                <w:sz w:val="21"/>
              </w:rPr>
            </w:pPr>
            <w:bookmarkStart w:id="541" w:name="1.5"/>
            <w:bookmarkEnd w:id="541"/>
            <w:r>
              <w:rPr>
                <w:rFonts w:ascii="Times New Roman"/>
                <w:sz w:val="21"/>
              </w:rPr>
              <w:t>1.5</w:t>
            </w:r>
          </w:p>
        </w:tc>
        <w:tc>
          <w:tcPr>
            <w:tcW w:w="2400" w:type="dxa"/>
            <w:tcBorders>
              <w:top w:val="single" w:color="000000" w:sz="4" w:space="0"/>
              <w:left w:val="single" w:color="000000" w:sz="4" w:space="0"/>
              <w:bottom w:val="single" w:color="000000" w:sz="4" w:space="0"/>
              <w:right w:val="single" w:color="000000" w:sz="4" w:space="0"/>
            </w:tcBorders>
          </w:tcPr>
          <w:p>
            <w:pPr>
              <w:pStyle w:val="19"/>
              <w:spacing w:before="7"/>
              <w:ind w:left="552" w:right="536"/>
              <w:rPr>
                <w:sz w:val="21"/>
              </w:rPr>
            </w:pPr>
            <w:r>
              <w:rPr>
                <w:sz w:val="21"/>
              </w:rPr>
              <w:t>轻度盐化</w:t>
            </w:r>
          </w:p>
        </w:tc>
        <w:tc>
          <w:tcPr>
            <w:tcW w:w="1521" w:type="dxa"/>
            <w:tcBorders>
              <w:top w:val="single" w:color="000000" w:sz="4" w:space="0"/>
              <w:left w:val="single" w:color="000000" w:sz="4" w:space="0"/>
              <w:bottom w:val="single" w:color="000000" w:sz="4" w:space="0"/>
              <w:right w:val="single" w:color="000000" w:sz="4" w:space="0"/>
            </w:tcBorders>
          </w:tcPr>
          <w:p>
            <w:pPr>
              <w:pStyle w:val="19"/>
              <w:spacing w:before="93"/>
              <w:ind w:left="222" w:right="202"/>
              <w:rPr>
                <w:rFonts w:ascii="Times New Roman"/>
                <w:sz w:val="21"/>
              </w:rPr>
            </w:pPr>
            <w:bookmarkStart w:id="542" w:name="7.12"/>
            <w:bookmarkEnd w:id="542"/>
            <w:r>
              <w:rPr>
                <w:rFonts w:ascii="Times New Roman"/>
                <w:sz w:val="21"/>
              </w:rPr>
              <w:t>7.12</w:t>
            </w:r>
          </w:p>
        </w:tc>
        <w:tc>
          <w:tcPr>
            <w:tcW w:w="2269" w:type="dxa"/>
            <w:tcBorders>
              <w:top w:val="single" w:color="000000" w:sz="4" w:space="0"/>
              <w:left w:val="single" w:color="000000" w:sz="4" w:space="0"/>
              <w:bottom w:val="single" w:color="000000" w:sz="4" w:space="0"/>
            </w:tcBorders>
          </w:tcPr>
          <w:p>
            <w:pPr>
              <w:pStyle w:val="19"/>
              <w:spacing w:before="7"/>
              <w:ind w:left="171" w:right="150"/>
              <w:rPr>
                <w:sz w:val="21"/>
              </w:rPr>
            </w:pPr>
            <w:r>
              <w:rPr>
                <w:sz w:val="21"/>
              </w:rPr>
              <w:t>无酸化或碱化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703" w:type="dxa"/>
            <w:tcBorders>
              <w:top w:val="single" w:color="000000" w:sz="4" w:space="0"/>
              <w:bottom w:val="single" w:color="000000" w:sz="4" w:space="0"/>
              <w:right w:val="single" w:color="000000" w:sz="4" w:space="0"/>
            </w:tcBorders>
          </w:tcPr>
          <w:p>
            <w:pPr>
              <w:pStyle w:val="19"/>
              <w:spacing w:before="90"/>
              <w:ind w:left="188" w:right="176"/>
              <w:rPr>
                <w:rFonts w:ascii="Times New Roman"/>
                <w:sz w:val="21"/>
              </w:rPr>
            </w:pPr>
            <w:r>
              <w:rPr>
                <w:rFonts w:ascii="Times New Roman"/>
                <w:sz w:val="21"/>
              </w:rPr>
              <w:t>TR3006-20401</w:t>
            </w:r>
          </w:p>
        </w:tc>
        <w:tc>
          <w:tcPr>
            <w:tcW w:w="1389" w:type="dxa"/>
            <w:tcBorders>
              <w:top w:val="single" w:color="000000" w:sz="4" w:space="0"/>
              <w:left w:val="single" w:color="000000" w:sz="4" w:space="0"/>
              <w:bottom w:val="single" w:color="000000" w:sz="4" w:space="0"/>
              <w:right w:val="single" w:color="000000" w:sz="4" w:space="0"/>
            </w:tcBorders>
          </w:tcPr>
          <w:p>
            <w:pPr>
              <w:pStyle w:val="19"/>
              <w:spacing w:before="93"/>
              <w:ind w:left="153" w:right="134"/>
              <w:rPr>
                <w:rFonts w:ascii="Times New Roman"/>
                <w:sz w:val="21"/>
              </w:rPr>
            </w:pPr>
            <w:bookmarkStart w:id="543" w:name="1.8"/>
            <w:bookmarkEnd w:id="543"/>
            <w:r>
              <w:rPr>
                <w:rFonts w:ascii="Times New Roman"/>
                <w:sz w:val="21"/>
              </w:rPr>
              <w:t>1.8</w:t>
            </w:r>
          </w:p>
        </w:tc>
        <w:tc>
          <w:tcPr>
            <w:tcW w:w="2400" w:type="dxa"/>
            <w:tcBorders>
              <w:top w:val="single" w:color="000000" w:sz="4" w:space="0"/>
              <w:left w:val="single" w:color="000000" w:sz="4" w:space="0"/>
              <w:bottom w:val="single" w:color="000000" w:sz="4" w:space="0"/>
              <w:right w:val="single" w:color="000000" w:sz="4" w:space="0"/>
            </w:tcBorders>
          </w:tcPr>
          <w:p>
            <w:pPr>
              <w:pStyle w:val="19"/>
              <w:spacing w:before="7"/>
              <w:ind w:left="552" w:right="536"/>
              <w:rPr>
                <w:sz w:val="21"/>
              </w:rPr>
            </w:pPr>
            <w:r>
              <w:rPr>
                <w:sz w:val="21"/>
              </w:rPr>
              <w:t>轻度盐化</w:t>
            </w:r>
          </w:p>
        </w:tc>
        <w:tc>
          <w:tcPr>
            <w:tcW w:w="1521" w:type="dxa"/>
            <w:tcBorders>
              <w:top w:val="single" w:color="000000" w:sz="4" w:space="0"/>
              <w:left w:val="single" w:color="000000" w:sz="4" w:space="0"/>
              <w:bottom w:val="single" w:color="000000" w:sz="4" w:space="0"/>
              <w:right w:val="single" w:color="000000" w:sz="4" w:space="0"/>
            </w:tcBorders>
          </w:tcPr>
          <w:p>
            <w:pPr>
              <w:pStyle w:val="19"/>
              <w:spacing w:before="93"/>
              <w:ind w:left="222" w:right="202"/>
              <w:rPr>
                <w:rFonts w:ascii="Times New Roman"/>
                <w:sz w:val="21"/>
              </w:rPr>
            </w:pPr>
            <w:bookmarkStart w:id="544" w:name="7.47"/>
            <w:bookmarkEnd w:id="544"/>
            <w:r>
              <w:rPr>
                <w:rFonts w:ascii="Times New Roman"/>
                <w:sz w:val="21"/>
              </w:rPr>
              <w:t>7.47</w:t>
            </w:r>
          </w:p>
        </w:tc>
        <w:tc>
          <w:tcPr>
            <w:tcW w:w="2269" w:type="dxa"/>
            <w:tcBorders>
              <w:top w:val="single" w:color="000000" w:sz="4" w:space="0"/>
              <w:left w:val="single" w:color="000000" w:sz="4" w:space="0"/>
              <w:bottom w:val="single" w:color="000000" w:sz="4" w:space="0"/>
            </w:tcBorders>
          </w:tcPr>
          <w:p>
            <w:pPr>
              <w:pStyle w:val="19"/>
              <w:spacing w:before="7"/>
              <w:ind w:left="171" w:right="150"/>
              <w:rPr>
                <w:sz w:val="21"/>
              </w:rPr>
            </w:pPr>
            <w:r>
              <w:rPr>
                <w:sz w:val="21"/>
              </w:rPr>
              <w:t>无酸化或碱化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703" w:type="dxa"/>
            <w:tcBorders>
              <w:top w:val="single" w:color="000000" w:sz="4" w:space="0"/>
              <w:bottom w:val="single" w:color="000000" w:sz="4" w:space="0"/>
              <w:right w:val="single" w:color="000000" w:sz="4" w:space="0"/>
            </w:tcBorders>
          </w:tcPr>
          <w:p>
            <w:pPr>
              <w:pStyle w:val="19"/>
              <w:spacing w:before="90"/>
              <w:ind w:left="188" w:right="176"/>
              <w:rPr>
                <w:rFonts w:ascii="Times New Roman"/>
                <w:sz w:val="21"/>
              </w:rPr>
            </w:pPr>
            <w:r>
              <w:rPr>
                <w:rFonts w:ascii="Times New Roman"/>
                <w:sz w:val="21"/>
              </w:rPr>
              <w:t>TR3006-20701</w:t>
            </w:r>
          </w:p>
        </w:tc>
        <w:tc>
          <w:tcPr>
            <w:tcW w:w="1389" w:type="dxa"/>
            <w:tcBorders>
              <w:top w:val="single" w:color="000000" w:sz="4" w:space="0"/>
              <w:left w:val="single" w:color="000000" w:sz="4" w:space="0"/>
              <w:bottom w:val="single" w:color="000000" w:sz="4" w:space="0"/>
              <w:right w:val="single" w:color="000000" w:sz="4" w:space="0"/>
            </w:tcBorders>
          </w:tcPr>
          <w:p>
            <w:pPr>
              <w:pStyle w:val="19"/>
              <w:spacing w:before="92"/>
              <w:ind w:left="153" w:right="134"/>
              <w:rPr>
                <w:rFonts w:ascii="Times New Roman"/>
                <w:sz w:val="21"/>
              </w:rPr>
            </w:pPr>
            <w:bookmarkStart w:id="545" w:name="1.6"/>
            <w:bookmarkEnd w:id="545"/>
            <w:r>
              <w:rPr>
                <w:rFonts w:ascii="Times New Roman"/>
                <w:sz w:val="21"/>
              </w:rPr>
              <w:t>1.6</w:t>
            </w:r>
          </w:p>
        </w:tc>
        <w:tc>
          <w:tcPr>
            <w:tcW w:w="2400" w:type="dxa"/>
            <w:tcBorders>
              <w:top w:val="single" w:color="000000" w:sz="4" w:space="0"/>
              <w:left w:val="single" w:color="000000" w:sz="4" w:space="0"/>
              <w:bottom w:val="single" w:color="000000" w:sz="4" w:space="0"/>
              <w:right w:val="single" w:color="000000" w:sz="4" w:space="0"/>
            </w:tcBorders>
          </w:tcPr>
          <w:p>
            <w:pPr>
              <w:pStyle w:val="19"/>
              <w:spacing w:before="8"/>
              <w:ind w:left="552" w:right="536"/>
              <w:rPr>
                <w:sz w:val="21"/>
              </w:rPr>
            </w:pPr>
            <w:r>
              <w:rPr>
                <w:sz w:val="21"/>
              </w:rPr>
              <w:t>轻度盐化</w:t>
            </w:r>
          </w:p>
        </w:tc>
        <w:tc>
          <w:tcPr>
            <w:tcW w:w="1521" w:type="dxa"/>
            <w:tcBorders>
              <w:top w:val="single" w:color="000000" w:sz="4" w:space="0"/>
              <w:left w:val="single" w:color="000000" w:sz="4" w:space="0"/>
              <w:bottom w:val="single" w:color="000000" w:sz="4" w:space="0"/>
              <w:right w:val="single" w:color="000000" w:sz="4" w:space="0"/>
            </w:tcBorders>
          </w:tcPr>
          <w:p>
            <w:pPr>
              <w:pStyle w:val="19"/>
              <w:spacing w:before="92"/>
              <w:ind w:left="222" w:right="202"/>
              <w:rPr>
                <w:rFonts w:ascii="Times New Roman"/>
                <w:sz w:val="21"/>
              </w:rPr>
            </w:pPr>
            <w:bookmarkStart w:id="546" w:name="7.18"/>
            <w:bookmarkEnd w:id="546"/>
            <w:r>
              <w:rPr>
                <w:rFonts w:ascii="Times New Roman"/>
                <w:sz w:val="21"/>
              </w:rPr>
              <w:t>7.18</w:t>
            </w:r>
          </w:p>
        </w:tc>
        <w:tc>
          <w:tcPr>
            <w:tcW w:w="2269" w:type="dxa"/>
            <w:tcBorders>
              <w:top w:val="single" w:color="000000" w:sz="4" w:space="0"/>
              <w:left w:val="single" w:color="000000" w:sz="4" w:space="0"/>
              <w:bottom w:val="single" w:color="000000" w:sz="4" w:space="0"/>
            </w:tcBorders>
          </w:tcPr>
          <w:p>
            <w:pPr>
              <w:pStyle w:val="19"/>
              <w:spacing w:before="8"/>
              <w:ind w:left="171" w:right="150"/>
              <w:rPr>
                <w:sz w:val="21"/>
              </w:rPr>
            </w:pPr>
            <w:r>
              <w:rPr>
                <w:sz w:val="21"/>
              </w:rPr>
              <w:t>无酸化或碱化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703" w:type="dxa"/>
            <w:tcBorders>
              <w:top w:val="single" w:color="000000" w:sz="4" w:space="0"/>
              <w:right w:val="single" w:color="000000" w:sz="4" w:space="0"/>
            </w:tcBorders>
          </w:tcPr>
          <w:p>
            <w:pPr>
              <w:pStyle w:val="19"/>
              <w:spacing w:before="89"/>
              <w:ind w:left="188" w:right="176"/>
              <w:rPr>
                <w:rFonts w:ascii="Times New Roman"/>
                <w:sz w:val="21"/>
              </w:rPr>
            </w:pPr>
            <w:r>
              <w:rPr>
                <w:rFonts w:ascii="Times New Roman"/>
                <w:sz w:val="21"/>
              </w:rPr>
              <w:t>TR3006-20801</w:t>
            </w:r>
          </w:p>
        </w:tc>
        <w:tc>
          <w:tcPr>
            <w:tcW w:w="1389" w:type="dxa"/>
            <w:tcBorders>
              <w:top w:val="single" w:color="000000" w:sz="4" w:space="0"/>
              <w:left w:val="single" w:color="000000" w:sz="4" w:space="0"/>
              <w:right w:val="single" w:color="000000" w:sz="4" w:space="0"/>
            </w:tcBorders>
          </w:tcPr>
          <w:p>
            <w:pPr>
              <w:pStyle w:val="19"/>
              <w:spacing w:before="94"/>
              <w:ind w:left="153" w:right="134"/>
              <w:rPr>
                <w:rFonts w:ascii="Times New Roman"/>
                <w:sz w:val="21"/>
              </w:rPr>
            </w:pPr>
            <w:bookmarkStart w:id="547" w:name="1.3"/>
            <w:bookmarkEnd w:id="547"/>
            <w:r>
              <w:rPr>
                <w:rFonts w:ascii="Times New Roman"/>
                <w:sz w:val="21"/>
              </w:rPr>
              <w:t>1.3</w:t>
            </w:r>
          </w:p>
        </w:tc>
        <w:tc>
          <w:tcPr>
            <w:tcW w:w="2400" w:type="dxa"/>
            <w:tcBorders>
              <w:top w:val="single" w:color="000000" w:sz="4" w:space="0"/>
              <w:left w:val="single" w:color="000000" w:sz="4" w:space="0"/>
              <w:right w:val="single" w:color="000000" w:sz="4" w:space="0"/>
            </w:tcBorders>
          </w:tcPr>
          <w:p>
            <w:pPr>
              <w:pStyle w:val="19"/>
              <w:spacing w:before="8"/>
              <w:ind w:left="552" w:right="536"/>
              <w:rPr>
                <w:sz w:val="21"/>
              </w:rPr>
            </w:pPr>
            <w:r>
              <w:rPr>
                <w:sz w:val="21"/>
              </w:rPr>
              <w:t>轻度盐化</w:t>
            </w:r>
          </w:p>
        </w:tc>
        <w:tc>
          <w:tcPr>
            <w:tcW w:w="1521" w:type="dxa"/>
            <w:tcBorders>
              <w:top w:val="single" w:color="000000" w:sz="4" w:space="0"/>
              <w:left w:val="single" w:color="000000" w:sz="4" w:space="0"/>
              <w:right w:val="single" w:color="000000" w:sz="4" w:space="0"/>
            </w:tcBorders>
          </w:tcPr>
          <w:p>
            <w:pPr>
              <w:pStyle w:val="19"/>
              <w:spacing w:before="94"/>
              <w:ind w:left="222" w:right="202"/>
              <w:rPr>
                <w:rFonts w:ascii="Times New Roman"/>
                <w:sz w:val="21"/>
              </w:rPr>
            </w:pPr>
            <w:bookmarkStart w:id="548" w:name="7.22"/>
            <w:bookmarkEnd w:id="548"/>
            <w:r>
              <w:rPr>
                <w:rFonts w:ascii="Times New Roman"/>
                <w:sz w:val="21"/>
              </w:rPr>
              <w:t>7.22</w:t>
            </w:r>
          </w:p>
        </w:tc>
        <w:tc>
          <w:tcPr>
            <w:tcW w:w="2269" w:type="dxa"/>
            <w:tcBorders>
              <w:top w:val="single" w:color="000000" w:sz="4" w:space="0"/>
              <w:left w:val="single" w:color="000000" w:sz="4" w:space="0"/>
            </w:tcBorders>
          </w:tcPr>
          <w:p>
            <w:pPr>
              <w:pStyle w:val="19"/>
              <w:spacing w:before="8"/>
              <w:ind w:left="171" w:right="150"/>
              <w:rPr>
                <w:sz w:val="21"/>
              </w:rPr>
            </w:pPr>
            <w:r>
              <w:rPr>
                <w:sz w:val="21"/>
              </w:rPr>
              <w:t>无酸化或碱化</w:t>
            </w:r>
          </w:p>
        </w:tc>
      </w:tr>
    </w:tbl>
    <w:p>
      <w:pPr>
        <w:pStyle w:val="9"/>
        <w:spacing w:before="1"/>
        <w:ind w:left="1898"/>
      </w:pPr>
      <w:r>
        <w:t>井田开采区范围内的各监测点结果表明，土壤表现为轻度盐化、无酸化或碱化。</w:t>
      </w:r>
    </w:p>
    <w:p>
      <w:pPr>
        <w:pStyle w:val="6"/>
        <w:numPr>
          <w:ilvl w:val="2"/>
          <w:numId w:val="75"/>
        </w:numPr>
        <w:tabs>
          <w:tab w:val="left" w:pos="2048"/>
        </w:tabs>
        <w:spacing w:before="162" w:after="0" w:line="240" w:lineRule="auto"/>
        <w:ind w:left="2047" w:right="0" w:hanging="630"/>
        <w:jc w:val="left"/>
      </w:pPr>
      <w:bookmarkStart w:id="549" w:name="9.3.2工业场地土壤现状监测与评价"/>
      <w:bookmarkEnd w:id="549"/>
      <w:bookmarkStart w:id="550" w:name="9.3.2工业场地土壤现状监测与评价"/>
      <w:bookmarkEnd w:id="550"/>
      <w:r>
        <w:t>工业场地土壤现状监测与评价</w:t>
      </w:r>
    </w:p>
    <w:p>
      <w:pPr>
        <w:pStyle w:val="9"/>
        <w:spacing w:before="1"/>
        <w:rPr>
          <w:b/>
          <w:sz w:val="28"/>
        </w:rPr>
      </w:pPr>
    </w:p>
    <w:p>
      <w:pPr>
        <w:pStyle w:val="9"/>
        <w:spacing w:before="1"/>
        <w:ind w:left="1898"/>
      </w:pPr>
      <w:r>
        <w:rPr>
          <w:rFonts w:ascii="Times New Roman" w:eastAsia="Times New Roman"/>
        </w:rPr>
        <w:t>1</w:t>
      </w:r>
      <w:r>
        <w:t>、监测数据来源</w:t>
      </w:r>
    </w:p>
    <w:p>
      <w:pPr>
        <w:pStyle w:val="9"/>
        <w:spacing w:before="210"/>
        <w:ind w:left="1898"/>
      </w:pPr>
      <w:r>
        <w:t>本次评价土壤质量现状监测委托黑龙江康和检测有限公司进行检测。</w:t>
      </w:r>
    </w:p>
    <w:p>
      <w:pPr>
        <w:spacing w:after="0"/>
        <w:sectPr>
          <w:pgSz w:w="11910" w:h="16840"/>
          <w:pgMar w:top="1400" w:right="0" w:bottom="800" w:left="0" w:header="0" w:footer="601" w:gutter="0"/>
        </w:sectPr>
      </w:pPr>
    </w:p>
    <w:p>
      <w:pPr>
        <w:pStyle w:val="9"/>
        <w:spacing w:before="56"/>
        <w:ind w:left="1898"/>
      </w:pPr>
      <w:r>
        <w:rPr>
          <w:rFonts w:ascii="Times New Roman" w:eastAsia="Times New Roman"/>
        </w:rPr>
        <w:t>2</w:t>
      </w:r>
      <w:r>
        <w:t>、监测时间与频率</w:t>
      </w:r>
    </w:p>
    <w:p>
      <w:pPr>
        <w:pStyle w:val="9"/>
        <w:spacing w:before="214"/>
        <w:ind w:left="1898"/>
      </w:pPr>
      <w:r>
        <w:rPr>
          <w:rFonts w:ascii="Times New Roman" w:eastAsia="Times New Roman"/>
        </w:rPr>
        <w:t xml:space="preserve">2020 </w:t>
      </w:r>
      <w:r>
        <w:t xml:space="preserve">年 </w:t>
      </w:r>
      <w:r>
        <w:rPr>
          <w:rFonts w:ascii="Times New Roman" w:eastAsia="Times New Roman"/>
        </w:rPr>
        <w:t xml:space="preserve">4 </w:t>
      </w:r>
      <w:r>
        <w:t xml:space="preserve">月 </w:t>
      </w:r>
      <w:r>
        <w:rPr>
          <w:rFonts w:ascii="Times New Roman" w:eastAsia="Times New Roman"/>
        </w:rPr>
        <w:t xml:space="preserve">14 </w:t>
      </w:r>
      <w:r>
        <w:t>日进行一次性调查，</w:t>
      </w:r>
      <w:r>
        <w:rPr>
          <w:rFonts w:ascii="Times New Roman" w:eastAsia="Times New Roman"/>
        </w:rPr>
        <w:t xml:space="preserve">1 </w:t>
      </w:r>
      <w:r>
        <w:t>次</w:t>
      </w:r>
      <w:r>
        <w:rPr>
          <w:rFonts w:ascii="Times New Roman" w:eastAsia="Times New Roman"/>
        </w:rPr>
        <w:t>/</w:t>
      </w:r>
      <w:r>
        <w:t>天，</w:t>
      </w:r>
      <w:r>
        <w:rPr>
          <w:rFonts w:ascii="Times New Roman" w:eastAsia="Times New Roman"/>
        </w:rPr>
        <w:t xml:space="preserve">1 </w:t>
      </w:r>
      <w:r>
        <w:t>天。</w:t>
      </w:r>
    </w:p>
    <w:p>
      <w:pPr>
        <w:pStyle w:val="9"/>
        <w:spacing w:before="210"/>
        <w:ind w:left="1898"/>
      </w:pPr>
      <w:r>
        <w:rPr>
          <w:rFonts w:ascii="Times New Roman" w:eastAsia="Times New Roman"/>
        </w:rPr>
        <w:t>3</w:t>
      </w:r>
      <w:r>
        <w:t>、监测点位</w:t>
      </w:r>
    </w:p>
    <w:p>
      <w:pPr>
        <w:pStyle w:val="9"/>
        <w:spacing w:before="39" w:line="364" w:lineRule="auto"/>
        <w:ind w:left="1418" w:right="1291" w:firstLine="480"/>
      </w:pPr>
      <w:r>
        <w:rPr>
          <w:spacing w:val="-4"/>
        </w:rPr>
        <w:t>工业广场属于污染影响型，依据确定评价等级及周边敏感区，根据《环境影响评价</w:t>
      </w:r>
      <w:r>
        <w:rPr>
          <w:spacing w:val="-9"/>
        </w:rPr>
        <w:t>技术导则 土壤环境》</w:t>
      </w:r>
      <w:r>
        <w:rPr>
          <w:spacing w:val="-3"/>
        </w:rPr>
        <w:t>（</w:t>
      </w:r>
      <w:r>
        <w:rPr>
          <w:rFonts w:ascii="Times New Roman" w:eastAsia="Times New Roman"/>
          <w:spacing w:val="-3"/>
        </w:rPr>
        <w:t>HJ964-2018</w:t>
      </w:r>
      <w:r>
        <w:rPr>
          <w:spacing w:val="-3"/>
        </w:rPr>
        <w:t>）</w:t>
      </w:r>
      <w:r>
        <w:rPr>
          <w:spacing w:val="-9"/>
        </w:rPr>
        <w:t>要求，分别于主、副工业广场内布设</w:t>
      </w:r>
      <w:r>
        <w:rPr>
          <w:rFonts w:ascii="Times New Roman" w:eastAsia="Times New Roman"/>
        </w:rPr>
        <w:t>3</w:t>
      </w:r>
      <w:r>
        <w:rPr>
          <w:spacing w:val="-3"/>
        </w:rPr>
        <w:t xml:space="preserve">个表层样点， </w:t>
      </w:r>
      <w:r>
        <w:t>共布设了</w:t>
      </w:r>
      <w:r>
        <w:rPr>
          <w:rFonts w:ascii="Times New Roman" w:eastAsia="Times New Roman"/>
        </w:rPr>
        <w:t>6</w:t>
      </w:r>
      <w:r>
        <w:t>个土壤监测样点。</w:t>
      </w:r>
    </w:p>
    <w:p>
      <w:pPr>
        <w:pStyle w:val="9"/>
        <w:spacing w:line="307" w:lineRule="exact"/>
        <w:ind w:left="1898"/>
      </w:pPr>
      <w:r>
        <w:rPr>
          <w:rFonts w:ascii="Times New Roman" w:eastAsia="Times New Roman"/>
        </w:rPr>
        <w:t>4</w:t>
      </w:r>
      <w:r>
        <w:t>、监测因子</w:t>
      </w:r>
    </w:p>
    <w:p>
      <w:pPr>
        <w:pStyle w:val="9"/>
        <w:spacing w:before="158" w:line="364" w:lineRule="auto"/>
        <w:ind w:left="1418" w:right="1291" w:firstLine="480"/>
      </w:pPr>
      <w:r>
        <w:rPr>
          <w:spacing w:val="-2"/>
        </w:rPr>
        <w:t>工业广场内表层样点：</w:t>
      </w:r>
      <w:r>
        <w:rPr>
          <w:rFonts w:ascii="Times New Roman" w:eastAsia="Times New Roman"/>
          <w:spacing w:val="-7"/>
        </w:rPr>
        <w:t>pH</w:t>
      </w:r>
      <w:r>
        <w:rPr>
          <w:spacing w:val="-15"/>
        </w:rPr>
        <w:t>、含盐量、砷、镉、六价铬、铜、铅、汞、镍、四氯化碳、</w:t>
      </w:r>
      <w:r>
        <w:t>氯仿、氯甲烷、</w:t>
      </w:r>
      <w:r>
        <w:rPr>
          <w:rFonts w:ascii="Times New Roman" w:eastAsia="Times New Roman"/>
        </w:rPr>
        <w:t>1,1-</w:t>
      </w:r>
      <w:r>
        <w:t>二氯乙烷、</w:t>
      </w:r>
      <w:r>
        <w:rPr>
          <w:rFonts w:ascii="Times New Roman" w:eastAsia="Times New Roman"/>
        </w:rPr>
        <w:t>1,2-</w:t>
      </w:r>
      <w:r>
        <w:t>二氯乙烷、</w:t>
      </w:r>
      <w:r>
        <w:rPr>
          <w:rFonts w:ascii="Times New Roman" w:eastAsia="Times New Roman"/>
        </w:rPr>
        <w:t>1,1-</w:t>
      </w:r>
      <w:r>
        <w:t>二氯乙烯、顺</w:t>
      </w:r>
      <w:r>
        <w:rPr>
          <w:rFonts w:ascii="Times New Roman" w:eastAsia="Times New Roman"/>
        </w:rPr>
        <w:t>-1,2-</w:t>
      </w:r>
      <w:r>
        <w:t>二氯乙烯、反</w:t>
      </w:r>
      <w:r>
        <w:rPr>
          <w:rFonts w:ascii="Times New Roman" w:eastAsia="Times New Roman"/>
        </w:rPr>
        <w:t xml:space="preserve">-1,2- </w:t>
      </w:r>
      <w:r>
        <w:rPr>
          <w:spacing w:val="-1"/>
        </w:rPr>
        <w:t>二氯乙烯、二氯甲烷、</w:t>
      </w:r>
      <w:r>
        <w:rPr>
          <w:rFonts w:ascii="Times New Roman" w:eastAsia="Times New Roman"/>
        </w:rPr>
        <w:t>1,2-</w:t>
      </w:r>
      <w:r>
        <w:t>二氯丙烷、</w:t>
      </w:r>
      <w:r>
        <w:rPr>
          <w:rFonts w:ascii="Times New Roman" w:eastAsia="Times New Roman"/>
        </w:rPr>
        <w:t>1,1,1,2-</w:t>
      </w:r>
      <w:r>
        <w:t>四氯乙烷、</w:t>
      </w:r>
      <w:r>
        <w:rPr>
          <w:rFonts w:ascii="Times New Roman" w:eastAsia="Times New Roman"/>
        </w:rPr>
        <w:t>1,1,2,2-</w:t>
      </w:r>
      <w:r>
        <w:t>四氯乙烷、四氯乙烯、</w:t>
      </w:r>
      <w:r>
        <w:rPr>
          <w:rFonts w:ascii="Times New Roman" w:eastAsia="Times New Roman"/>
        </w:rPr>
        <w:t>1,1,1-</w:t>
      </w:r>
      <w:r>
        <w:t>三氯乙烷、</w:t>
      </w:r>
      <w:r>
        <w:rPr>
          <w:rFonts w:ascii="Times New Roman" w:eastAsia="Times New Roman"/>
        </w:rPr>
        <w:t>1,1,2-</w:t>
      </w:r>
      <w:r>
        <w:t>三氯乙烷、三氯乙烯、</w:t>
      </w:r>
      <w:r>
        <w:rPr>
          <w:rFonts w:ascii="Times New Roman" w:eastAsia="Times New Roman"/>
        </w:rPr>
        <w:t>1,2,3-</w:t>
      </w:r>
      <w:r>
        <w:t>三氯丙烷、氯乙烯、苯、氯苯、</w:t>
      </w:r>
      <w:r>
        <w:rPr>
          <w:rFonts w:ascii="Times New Roman" w:eastAsia="Times New Roman"/>
        </w:rPr>
        <w:t xml:space="preserve">1,2- </w:t>
      </w:r>
      <w:r>
        <w:t>二氯苯、</w:t>
      </w:r>
      <w:r>
        <w:rPr>
          <w:rFonts w:ascii="Times New Roman" w:eastAsia="Times New Roman"/>
        </w:rPr>
        <w:t>1,4-</w:t>
      </w:r>
      <w:r>
        <w:t>二氯苯、乙苯、苯乙烯、甲苯、间二甲苯</w:t>
      </w:r>
      <w:r>
        <w:rPr>
          <w:rFonts w:ascii="Times New Roman" w:eastAsia="Times New Roman"/>
        </w:rPr>
        <w:t>+</w:t>
      </w:r>
      <w:r>
        <w:t>对二甲苯、邻二甲苯、硝基苯、苯胺、</w:t>
      </w:r>
      <w:r>
        <w:rPr>
          <w:rFonts w:ascii="Times New Roman" w:eastAsia="Times New Roman"/>
        </w:rPr>
        <w:t>2-</w:t>
      </w:r>
      <w:r>
        <w:rPr>
          <w:spacing w:val="-1"/>
        </w:rPr>
        <w:t>氯酚、苯并</w:t>
      </w:r>
      <w:r>
        <w:rPr>
          <w:rFonts w:ascii="Times New Roman" w:eastAsia="Times New Roman"/>
        </w:rPr>
        <w:t>[a]</w:t>
      </w:r>
      <w:r>
        <w:t>蒽、苯并</w:t>
      </w:r>
      <w:r>
        <w:rPr>
          <w:rFonts w:ascii="Times New Roman" w:eastAsia="Times New Roman"/>
        </w:rPr>
        <w:t>[a]</w:t>
      </w:r>
      <w:r>
        <w:t>芘、苯并</w:t>
      </w:r>
      <w:r>
        <w:rPr>
          <w:rFonts w:ascii="Times New Roman" w:eastAsia="Times New Roman"/>
        </w:rPr>
        <w:t>[b]</w:t>
      </w:r>
      <w:r>
        <w:t>荧蒽、苯并</w:t>
      </w:r>
      <w:r>
        <w:rPr>
          <w:rFonts w:ascii="Times New Roman" w:eastAsia="Times New Roman"/>
        </w:rPr>
        <w:t>[k]</w:t>
      </w:r>
      <w:r>
        <w:t>荧蒽、䓛、二苯并</w:t>
      </w:r>
      <w:r>
        <w:rPr>
          <w:rFonts w:ascii="Times New Roman" w:eastAsia="Times New Roman"/>
        </w:rPr>
        <w:t>[a,h]</w:t>
      </w:r>
      <w:r>
        <w:t>蒽、茚并</w:t>
      </w:r>
      <w:r>
        <w:rPr>
          <w:rFonts w:ascii="Times New Roman" w:eastAsia="Times New Roman"/>
        </w:rPr>
        <w:t>[1,2,3-cd]</w:t>
      </w:r>
      <w:r>
        <w:t>芘、萘、石油烃（</w:t>
      </w:r>
      <w:r>
        <w:rPr>
          <w:rFonts w:ascii="Times New Roman" w:eastAsia="Times New Roman"/>
        </w:rPr>
        <w:t>C10</w:t>
      </w:r>
      <w:r>
        <w:t>～</w:t>
      </w:r>
      <w:r>
        <w:rPr>
          <w:rFonts w:ascii="Times New Roman" w:eastAsia="Times New Roman"/>
        </w:rPr>
        <w:t>C40</w:t>
      </w:r>
      <w:r>
        <w:t>）、铬、锌；</w:t>
      </w:r>
    </w:p>
    <w:p>
      <w:pPr>
        <w:pStyle w:val="9"/>
        <w:spacing w:line="305" w:lineRule="exact"/>
        <w:ind w:left="1898"/>
      </w:pPr>
      <w:r>
        <w:t>工业广场外表层样点：</w:t>
      </w:r>
      <w:r>
        <w:rPr>
          <w:rFonts w:ascii="Times New Roman" w:eastAsia="Times New Roman"/>
        </w:rPr>
        <w:t>pH</w:t>
      </w:r>
      <w:r>
        <w:t>、含盐量、镉、汞、砷、铅、铬、铜、镍、锌；</w:t>
      </w:r>
    </w:p>
    <w:p>
      <w:pPr>
        <w:pStyle w:val="9"/>
        <w:rPr>
          <w:sz w:val="26"/>
        </w:rPr>
      </w:pPr>
    </w:p>
    <w:p>
      <w:pPr>
        <w:pStyle w:val="9"/>
        <w:ind w:left="1898"/>
      </w:pPr>
      <w:r>
        <w:rPr>
          <w:rFonts w:ascii="Times New Roman" w:eastAsia="Times New Roman"/>
        </w:rPr>
        <w:t>5</w:t>
      </w:r>
      <w:r>
        <w:t>、检测方法及依据</w:t>
      </w:r>
    </w:p>
    <w:p>
      <w:pPr>
        <w:pStyle w:val="9"/>
        <w:spacing w:before="213"/>
        <w:ind w:left="1898"/>
      </w:pPr>
      <w:r>
        <w:t>本项目检测方法见下表。</w:t>
      </w:r>
    </w:p>
    <w:p>
      <w:pPr>
        <w:spacing w:before="210" w:after="38"/>
        <w:ind w:left="2" w:right="0" w:firstLine="0"/>
        <w:jc w:val="center"/>
        <w:rPr>
          <w:b/>
          <w:sz w:val="21"/>
        </w:rPr>
      </w:pPr>
      <w:r>
        <w:rPr>
          <w:b/>
          <w:spacing w:val="-28"/>
          <w:sz w:val="21"/>
        </w:rPr>
        <w:t xml:space="preserve">表 </w:t>
      </w:r>
      <w:r>
        <w:rPr>
          <w:rFonts w:ascii="Times New Roman" w:eastAsia="Times New Roman"/>
          <w:b/>
          <w:sz w:val="21"/>
        </w:rPr>
        <w:t>9.3-7</w:t>
      </w:r>
      <w:r>
        <w:rPr>
          <w:rFonts w:ascii="Times New Roman" w:eastAsia="Times New Roman"/>
          <w:b/>
          <w:spacing w:val="52"/>
          <w:sz w:val="21"/>
        </w:rPr>
        <w:t xml:space="preserve"> </w:t>
      </w:r>
      <w:r>
        <w:rPr>
          <w:b/>
          <w:sz w:val="21"/>
        </w:rPr>
        <w:t>监测方法</w:t>
      </w:r>
    </w:p>
    <w:tbl>
      <w:tblPr>
        <w:tblStyle w:val="15"/>
        <w:tblW w:w="0" w:type="auto"/>
        <w:tblInd w:w="14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18"/>
        <w:gridCol w:w="5603"/>
        <w:gridCol w:w="17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bottom w:val="single" w:color="000000" w:sz="4" w:space="0"/>
              <w:right w:val="single" w:color="000000" w:sz="4" w:space="0"/>
            </w:tcBorders>
          </w:tcPr>
          <w:p>
            <w:pPr>
              <w:pStyle w:val="19"/>
              <w:spacing w:before="36"/>
              <w:ind w:left="66" w:right="52"/>
              <w:rPr>
                <w:sz w:val="21"/>
              </w:rPr>
            </w:pPr>
            <w:r>
              <w:rPr>
                <w:sz w:val="21"/>
              </w:rPr>
              <w:t>分析项目</w:t>
            </w:r>
          </w:p>
        </w:tc>
        <w:tc>
          <w:tcPr>
            <w:tcW w:w="5603" w:type="dxa"/>
            <w:tcBorders>
              <w:left w:val="single" w:color="000000" w:sz="4" w:space="0"/>
              <w:bottom w:val="single" w:color="000000" w:sz="4" w:space="0"/>
              <w:right w:val="single" w:color="000000" w:sz="4" w:space="0"/>
            </w:tcBorders>
          </w:tcPr>
          <w:p>
            <w:pPr>
              <w:pStyle w:val="19"/>
              <w:spacing w:before="36"/>
              <w:ind w:left="178" w:right="165"/>
              <w:rPr>
                <w:sz w:val="21"/>
              </w:rPr>
            </w:pPr>
            <w:r>
              <w:rPr>
                <w:sz w:val="21"/>
              </w:rPr>
              <w:t>分析方法</w:t>
            </w:r>
          </w:p>
        </w:tc>
        <w:tc>
          <w:tcPr>
            <w:tcW w:w="1765" w:type="dxa"/>
            <w:tcBorders>
              <w:left w:val="single" w:color="000000" w:sz="4" w:space="0"/>
              <w:bottom w:val="single" w:color="000000" w:sz="4" w:space="0"/>
            </w:tcBorders>
          </w:tcPr>
          <w:p>
            <w:pPr>
              <w:pStyle w:val="19"/>
              <w:spacing w:before="36"/>
              <w:ind w:left="38" w:right="20"/>
              <w:rPr>
                <w:sz w:val="21"/>
              </w:rPr>
            </w:pPr>
            <w:r>
              <w:rPr>
                <w:sz w:val="21"/>
              </w:rPr>
              <w:t>方法标准号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top w:val="single" w:color="000000" w:sz="4" w:space="0"/>
              <w:bottom w:val="single" w:color="000000" w:sz="4" w:space="0"/>
              <w:right w:val="single" w:color="000000" w:sz="4" w:space="0"/>
            </w:tcBorders>
          </w:tcPr>
          <w:p>
            <w:pPr>
              <w:pStyle w:val="19"/>
              <w:spacing w:before="34"/>
              <w:ind w:left="69" w:right="52"/>
              <w:rPr>
                <w:sz w:val="21"/>
              </w:rPr>
            </w:pPr>
            <w:r>
              <w:rPr>
                <w:rFonts w:ascii="Times New Roman" w:eastAsia="Times New Roman"/>
                <w:sz w:val="21"/>
              </w:rPr>
              <w:t xml:space="preserve">pH </w:t>
            </w:r>
            <w:r>
              <w:rPr>
                <w:sz w:val="21"/>
              </w:rPr>
              <w:t>值</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34"/>
              <w:ind w:left="183" w:right="165"/>
              <w:rPr>
                <w:sz w:val="21"/>
              </w:rPr>
            </w:pPr>
            <w:r>
              <w:rPr>
                <w:sz w:val="21"/>
              </w:rPr>
              <w:t xml:space="preserve">土壤 </w:t>
            </w:r>
            <w:r>
              <w:rPr>
                <w:rFonts w:ascii="Times New Roman" w:eastAsia="Times New Roman"/>
                <w:sz w:val="21"/>
              </w:rPr>
              <w:t xml:space="preserve">pH </w:t>
            </w:r>
            <w:r>
              <w:rPr>
                <w:sz w:val="21"/>
              </w:rPr>
              <w:t>值的测定电位法</w:t>
            </w:r>
          </w:p>
        </w:tc>
        <w:tc>
          <w:tcPr>
            <w:tcW w:w="1765" w:type="dxa"/>
            <w:tcBorders>
              <w:top w:val="single" w:color="000000" w:sz="4" w:space="0"/>
              <w:left w:val="single" w:color="000000" w:sz="4" w:space="0"/>
              <w:bottom w:val="single" w:color="000000" w:sz="4" w:space="0"/>
            </w:tcBorders>
          </w:tcPr>
          <w:p>
            <w:pPr>
              <w:pStyle w:val="19"/>
              <w:spacing w:before="53"/>
              <w:ind w:left="39" w:right="17"/>
              <w:rPr>
                <w:rFonts w:ascii="Times New Roman"/>
                <w:sz w:val="21"/>
              </w:rPr>
            </w:pPr>
            <w:r>
              <w:rPr>
                <w:rFonts w:ascii="Times New Roman"/>
                <w:sz w:val="21"/>
              </w:rPr>
              <w:t>HJ962-2018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top w:val="single" w:color="000000" w:sz="4" w:space="0"/>
              <w:bottom w:val="single" w:color="000000" w:sz="4" w:space="0"/>
              <w:right w:val="single" w:color="000000" w:sz="4" w:space="0"/>
            </w:tcBorders>
          </w:tcPr>
          <w:p>
            <w:pPr>
              <w:pStyle w:val="19"/>
              <w:spacing w:before="35"/>
              <w:ind w:left="14"/>
              <w:rPr>
                <w:sz w:val="21"/>
              </w:rPr>
            </w:pPr>
            <w:r>
              <w:rPr>
                <w:w w:val="99"/>
                <w:sz w:val="21"/>
              </w:rPr>
              <w:t>砷</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35"/>
              <w:ind w:left="178" w:right="165"/>
              <w:rPr>
                <w:sz w:val="21"/>
              </w:rPr>
            </w:pPr>
            <w:r>
              <w:rPr>
                <w:sz w:val="21"/>
              </w:rPr>
              <w:t>土壤质量总汞、总砷、总铅的测定原子荧光法</w:t>
            </w:r>
          </w:p>
        </w:tc>
        <w:tc>
          <w:tcPr>
            <w:tcW w:w="1765" w:type="dxa"/>
            <w:tcBorders>
              <w:top w:val="single" w:color="000000" w:sz="4" w:space="0"/>
              <w:left w:val="single" w:color="000000" w:sz="4" w:space="0"/>
              <w:bottom w:val="single" w:color="000000" w:sz="4" w:space="0"/>
            </w:tcBorders>
          </w:tcPr>
          <w:p>
            <w:pPr>
              <w:pStyle w:val="19"/>
              <w:spacing w:before="51"/>
              <w:ind w:left="39" w:right="20"/>
              <w:rPr>
                <w:rFonts w:ascii="Times New Roman"/>
                <w:sz w:val="21"/>
              </w:rPr>
            </w:pPr>
            <w:r>
              <w:rPr>
                <w:rFonts w:ascii="Times New Roman"/>
                <w:sz w:val="21"/>
              </w:rPr>
              <w:t>GB/T22105.2-2008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top w:val="single" w:color="000000" w:sz="4" w:space="0"/>
              <w:bottom w:val="single" w:color="000000" w:sz="4" w:space="0"/>
              <w:right w:val="single" w:color="000000" w:sz="4" w:space="0"/>
            </w:tcBorders>
          </w:tcPr>
          <w:p>
            <w:pPr>
              <w:pStyle w:val="19"/>
              <w:spacing w:before="34"/>
              <w:ind w:left="14"/>
              <w:rPr>
                <w:sz w:val="21"/>
              </w:rPr>
            </w:pPr>
            <w:r>
              <w:rPr>
                <w:w w:val="99"/>
                <w:sz w:val="21"/>
              </w:rPr>
              <w:t>镉</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34"/>
              <w:ind w:left="181" w:right="165"/>
              <w:rPr>
                <w:sz w:val="21"/>
              </w:rPr>
            </w:pPr>
            <w:r>
              <w:rPr>
                <w:sz w:val="21"/>
              </w:rPr>
              <w:t>土壤质量铅、镉的测定石墨炉原子吸收分光光度法</w:t>
            </w:r>
          </w:p>
        </w:tc>
        <w:tc>
          <w:tcPr>
            <w:tcW w:w="1765" w:type="dxa"/>
            <w:tcBorders>
              <w:top w:val="single" w:color="000000" w:sz="4" w:space="0"/>
              <w:left w:val="single" w:color="000000" w:sz="4" w:space="0"/>
              <w:bottom w:val="single" w:color="000000" w:sz="4" w:space="0"/>
            </w:tcBorders>
          </w:tcPr>
          <w:p>
            <w:pPr>
              <w:pStyle w:val="19"/>
              <w:spacing w:before="52"/>
              <w:ind w:left="39" w:right="20"/>
              <w:rPr>
                <w:rFonts w:ascii="Times New Roman"/>
                <w:sz w:val="21"/>
              </w:rPr>
            </w:pPr>
            <w:r>
              <w:rPr>
                <w:rFonts w:ascii="Times New Roman"/>
                <w:sz w:val="21"/>
              </w:rPr>
              <w:t>GB/T17141-1997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718" w:type="dxa"/>
            <w:tcBorders>
              <w:top w:val="single" w:color="000000" w:sz="4" w:space="0"/>
              <w:bottom w:val="single" w:color="000000" w:sz="4" w:space="0"/>
              <w:right w:val="single" w:color="000000" w:sz="4" w:space="0"/>
            </w:tcBorders>
          </w:tcPr>
          <w:p>
            <w:pPr>
              <w:pStyle w:val="19"/>
              <w:spacing w:before="35"/>
              <w:ind w:left="66" w:right="52"/>
              <w:rPr>
                <w:sz w:val="21"/>
              </w:rPr>
            </w:pPr>
            <w:r>
              <w:rPr>
                <w:sz w:val="21"/>
              </w:rPr>
              <w:t>铬（六价）</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35"/>
              <w:ind w:left="181" w:right="165"/>
              <w:rPr>
                <w:sz w:val="21"/>
              </w:rPr>
            </w:pPr>
            <w:r>
              <w:rPr>
                <w:sz w:val="21"/>
              </w:rPr>
              <w:t>固体废物六价铬的测定碱消解</w:t>
            </w:r>
            <w:r>
              <w:rPr>
                <w:rFonts w:ascii="Times New Roman" w:eastAsia="Times New Roman"/>
                <w:sz w:val="21"/>
              </w:rPr>
              <w:t>/</w:t>
            </w:r>
            <w:r>
              <w:rPr>
                <w:sz w:val="21"/>
              </w:rPr>
              <w:t>火焰原子吸收分光光度法</w:t>
            </w:r>
          </w:p>
        </w:tc>
        <w:tc>
          <w:tcPr>
            <w:tcW w:w="1765" w:type="dxa"/>
            <w:tcBorders>
              <w:top w:val="single" w:color="000000" w:sz="4" w:space="0"/>
              <w:left w:val="single" w:color="000000" w:sz="4" w:space="0"/>
              <w:bottom w:val="single" w:color="000000" w:sz="4" w:space="0"/>
            </w:tcBorders>
          </w:tcPr>
          <w:p>
            <w:pPr>
              <w:pStyle w:val="19"/>
              <w:spacing w:before="51"/>
              <w:ind w:left="39" w:right="17"/>
              <w:rPr>
                <w:rFonts w:ascii="Times New Roman"/>
                <w:sz w:val="21"/>
              </w:rPr>
            </w:pPr>
            <w:r>
              <w:rPr>
                <w:rFonts w:ascii="Times New Roman"/>
                <w:sz w:val="21"/>
              </w:rPr>
              <w:t>HJ687-2014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718" w:type="dxa"/>
            <w:tcBorders>
              <w:top w:val="single" w:color="000000" w:sz="4" w:space="0"/>
              <w:bottom w:val="single" w:color="000000" w:sz="4" w:space="0"/>
              <w:right w:val="single" w:color="000000" w:sz="4" w:space="0"/>
            </w:tcBorders>
          </w:tcPr>
          <w:p>
            <w:pPr>
              <w:pStyle w:val="19"/>
              <w:spacing w:before="163"/>
              <w:ind w:left="69" w:right="52"/>
              <w:rPr>
                <w:sz w:val="21"/>
              </w:rPr>
            </w:pPr>
            <w:r>
              <w:rPr>
                <w:sz w:val="21"/>
              </w:rPr>
              <w:t>铜、镍</w:t>
            </w:r>
          </w:p>
        </w:tc>
        <w:tc>
          <w:tcPr>
            <w:tcW w:w="5603" w:type="dxa"/>
            <w:tcBorders>
              <w:top w:val="single" w:color="000000" w:sz="4" w:space="0"/>
              <w:left w:val="single" w:color="000000" w:sz="4" w:space="0"/>
              <w:bottom w:val="single" w:color="000000" w:sz="4" w:space="0"/>
              <w:right w:val="single" w:color="000000" w:sz="4" w:space="0"/>
            </w:tcBorders>
          </w:tcPr>
          <w:p>
            <w:pPr>
              <w:pStyle w:val="19"/>
              <w:ind w:left="190" w:right="165"/>
              <w:rPr>
                <w:sz w:val="21"/>
              </w:rPr>
            </w:pPr>
            <w:r>
              <w:rPr>
                <w:spacing w:val="-7"/>
                <w:w w:val="95"/>
                <w:sz w:val="21"/>
              </w:rPr>
              <w:t>土壤和沉积物铜、锌、铅、镍、铬的测定火焰原子吸收分光光</w:t>
            </w:r>
          </w:p>
          <w:p>
            <w:pPr>
              <w:pStyle w:val="19"/>
              <w:spacing w:before="57"/>
              <w:ind w:left="181" w:right="165"/>
              <w:rPr>
                <w:sz w:val="21"/>
              </w:rPr>
            </w:pPr>
            <w:r>
              <w:rPr>
                <w:sz w:val="21"/>
              </w:rPr>
              <w:t>度法</w:t>
            </w:r>
          </w:p>
        </w:tc>
        <w:tc>
          <w:tcPr>
            <w:tcW w:w="1765" w:type="dxa"/>
            <w:tcBorders>
              <w:top w:val="single" w:color="000000" w:sz="4" w:space="0"/>
              <w:left w:val="single" w:color="000000" w:sz="4" w:space="0"/>
              <w:bottom w:val="single" w:color="000000" w:sz="4" w:space="0"/>
            </w:tcBorders>
          </w:tcPr>
          <w:p>
            <w:pPr>
              <w:pStyle w:val="19"/>
              <w:spacing w:before="179"/>
              <w:ind w:left="39" w:right="17"/>
              <w:rPr>
                <w:rFonts w:ascii="Times New Roman"/>
                <w:sz w:val="21"/>
              </w:rPr>
            </w:pPr>
            <w:r>
              <w:rPr>
                <w:rFonts w:ascii="Times New Roman"/>
                <w:sz w:val="21"/>
              </w:rPr>
              <w:t>HJ491-2019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718" w:type="dxa"/>
            <w:tcBorders>
              <w:top w:val="single" w:color="000000" w:sz="4" w:space="0"/>
              <w:bottom w:val="single" w:color="000000" w:sz="4" w:space="0"/>
              <w:right w:val="single" w:color="000000" w:sz="4" w:space="0"/>
            </w:tcBorders>
          </w:tcPr>
          <w:p>
            <w:pPr>
              <w:pStyle w:val="19"/>
              <w:spacing w:before="35"/>
              <w:ind w:left="14"/>
              <w:rPr>
                <w:sz w:val="21"/>
              </w:rPr>
            </w:pPr>
            <w:r>
              <w:rPr>
                <w:w w:val="99"/>
                <w:sz w:val="21"/>
              </w:rPr>
              <w:t>铅</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35"/>
              <w:ind w:left="181" w:right="165"/>
              <w:rPr>
                <w:sz w:val="21"/>
              </w:rPr>
            </w:pPr>
            <w:r>
              <w:rPr>
                <w:sz w:val="21"/>
              </w:rPr>
              <w:t>土壤质量铅、镉的测定石墨炉原子吸收分光光度法</w:t>
            </w:r>
          </w:p>
        </w:tc>
        <w:tc>
          <w:tcPr>
            <w:tcW w:w="1765" w:type="dxa"/>
            <w:tcBorders>
              <w:top w:val="single" w:color="000000" w:sz="4" w:space="0"/>
              <w:left w:val="single" w:color="000000" w:sz="4" w:space="0"/>
              <w:bottom w:val="single" w:color="000000" w:sz="4" w:space="0"/>
            </w:tcBorders>
          </w:tcPr>
          <w:p>
            <w:pPr>
              <w:pStyle w:val="19"/>
              <w:spacing w:before="54"/>
              <w:ind w:left="39" w:right="20"/>
              <w:rPr>
                <w:rFonts w:ascii="Times New Roman"/>
                <w:sz w:val="21"/>
              </w:rPr>
            </w:pPr>
            <w:r>
              <w:rPr>
                <w:rFonts w:ascii="Times New Roman"/>
                <w:sz w:val="21"/>
              </w:rPr>
              <w:t>GB/T17141-1997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top w:val="single" w:color="000000" w:sz="4" w:space="0"/>
              <w:bottom w:val="single" w:color="000000" w:sz="4" w:space="0"/>
              <w:right w:val="single" w:color="000000" w:sz="4" w:space="0"/>
            </w:tcBorders>
          </w:tcPr>
          <w:p>
            <w:pPr>
              <w:pStyle w:val="19"/>
              <w:spacing w:before="36"/>
              <w:ind w:left="14"/>
              <w:rPr>
                <w:sz w:val="21"/>
              </w:rPr>
            </w:pPr>
            <w:r>
              <w:rPr>
                <w:w w:val="99"/>
                <w:sz w:val="21"/>
              </w:rPr>
              <w:t>汞</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36"/>
              <w:ind w:left="178" w:right="165"/>
              <w:rPr>
                <w:sz w:val="21"/>
              </w:rPr>
            </w:pPr>
            <w:r>
              <w:rPr>
                <w:sz w:val="21"/>
              </w:rPr>
              <w:t>土壤质量总汞、总砷、总铅的测定原子荧光法</w:t>
            </w:r>
          </w:p>
        </w:tc>
        <w:tc>
          <w:tcPr>
            <w:tcW w:w="1765" w:type="dxa"/>
            <w:tcBorders>
              <w:top w:val="single" w:color="000000" w:sz="4" w:space="0"/>
              <w:left w:val="single" w:color="000000" w:sz="4" w:space="0"/>
              <w:bottom w:val="single" w:color="000000" w:sz="4" w:space="0"/>
            </w:tcBorders>
          </w:tcPr>
          <w:p>
            <w:pPr>
              <w:pStyle w:val="19"/>
              <w:spacing w:before="52"/>
              <w:ind w:left="39" w:right="20"/>
              <w:rPr>
                <w:rFonts w:ascii="Times New Roman"/>
                <w:sz w:val="21"/>
              </w:rPr>
            </w:pPr>
            <w:r>
              <w:rPr>
                <w:rFonts w:ascii="Times New Roman"/>
                <w:sz w:val="21"/>
              </w:rPr>
              <w:t>GB/T22105.1-2008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top w:val="single" w:color="000000" w:sz="4" w:space="0"/>
              <w:bottom w:val="single" w:color="000000" w:sz="4" w:space="0"/>
              <w:right w:val="single" w:color="000000" w:sz="4" w:space="0"/>
            </w:tcBorders>
          </w:tcPr>
          <w:p>
            <w:pPr>
              <w:pStyle w:val="19"/>
              <w:spacing w:before="35"/>
              <w:ind w:left="66" w:right="52"/>
              <w:rPr>
                <w:sz w:val="21"/>
              </w:rPr>
            </w:pPr>
            <w:r>
              <w:rPr>
                <w:sz w:val="21"/>
              </w:rPr>
              <w:t>四氯化碳</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35"/>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53"/>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9"/>
              <w:spacing w:before="57"/>
              <w:ind w:left="69" w:right="52"/>
              <w:rPr>
                <w:sz w:val="21"/>
              </w:rPr>
            </w:pPr>
            <w:r>
              <w:rPr>
                <w:sz w:val="21"/>
              </w:rPr>
              <w:t>氯甲烷</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57"/>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74"/>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9"/>
              <w:spacing w:before="57"/>
              <w:ind w:left="71" w:right="52"/>
              <w:rPr>
                <w:sz w:val="21"/>
              </w:rPr>
            </w:pPr>
            <w:r>
              <w:rPr>
                <w:sz w:val="21"/>
              </w:rPr>
              <w:t>氯仿</w:t>
            </w:r>
            <w:r>
              <w:rPr>
                <w:rFonts w:ascii="Times New Roman" w:eastAsia="Times New Roman"/>
                <w:sz w:val="21"/>
              </w:rPr>
              <w:t>(</w:t>
            </w:r>
            <w:r>
              <w:rPr>
                <w:sz w:val="21"/>
              </w:rPr>
              <w:t>三氯甲烷）</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57"/>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74"/>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8" w:hRule="atLeast"/>
        </w:trPr>
        <w:tc>
          <w:tcPr>
            <w:tcW w:w="1718" w:type="dxa"/>
            <w:tcBorders>
              <w:top w:val="single" w:color="000000" w:sz="4" w:space="0"/>
              <w:right w:val="single" w:color="000000" w:sz="4" w:space="0"/>
            </w:tcBorders>
          </w:tcPr>
          <w:p>
            <w:pPr>
              <w:pStyle w:val="19"/>
              <w:spacing w:before="58"/>
              <w:ind w:left="69" w:right="52"/>
              <w:rPr>
                <w:sz w:val="21"/>
              </w:rPr>
            </w:pPr>
            <w:r>
              <w:rPr>
                <w:rFonts w:ascii="Times New Roman" w:eastAsia="Times New Roman"/>
                <w:sz w:val="21"/>
              </w:rPr>
              <w:t>1,1-</w:t>
            </w:r>
            <w:r>
              <w:rPr>
                <w:sz w:val="21"/>
              </w:rPr>
              <w:t>二氯乙烷</w:t>
            </w:r>
          </w:p>
        </w:tc>
        <w:tc>
          <w:tcPr>
            <w:tcW w:w="5603" w:type="dxa"/>
            <w:tcBorders>
              <w:top w:val="single" w:color="000000" w:sz="4" w:space="0"/>
              <w:left w:val="single" w:color="000000" w:sz="4" w:space="0"/>
              <w:right w:val="single" w:color="000000" w:sz="4" w:space="0"/>
            </w:tcBorders>
          </w:tcPr>
          <w:p>
            <w:pPr>
              <w:pStyle w:val="19"/>
              <w:spacing w:before="58"/>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tcBorders>
          </w:tcPr>
          <w:p>
            <w:pPr>
              <w:pStyle w:val="19"/>
              <w:spacing w:before="74"/>
              <w:ind w:left="39" w:right="17"/>
              <w:rPr>
                <w:rFonts w:ascii="Times New Roman"/>
                <w:sz w:val="21"/>
              </w:rPr>
            </w:pPr>
            <w:r>
              <w:rPr>
                <w:rFonts w:ascii="Times New Roman"/>
                <w:sz w:val="21"/>
              </w:rPr>
              <w:t>HJ736-2015</w:t>
            </w:r>
          </w:p>
        </w:tc>
      </w:tr>
    </w:tbl>
    <w:p>
      <w:pPr>
        <w:spacing w:after="0"/>
        <w:rPr>
          <w:rFonts w:ascii="Times New Roman"/>
          <w:sz w:val="21"/>
        </w:rPr>
        <w:sectPr>
          <w:pgSz w:w="11910" w:h="16840"/>
          <w:pgMar w:top="1520" w:right="0" w:bottom="880" w:left="0" w:header="0" w:footer="601" w:gutter="0"/>
        </w:sectPr>
      </w:pPr>
    </w:p>
    <w:tbl>
      <w:tblPr>
        <w:tblStyle w:val="15"/>
        <w:tblW w:w="0" w:type="auto"/>
        <w:tblInd w:w="14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18"/>
        <w:gridCol w:w="5603"/>
        <w:gridCol w:w="17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bottom w:val="single" w:color="000000" w:sz="4" w:space="0"/>
              <w:right w:val="single" w:color="000000" w:sz="4" w:space="0"/>
            </w:tcBorders>
          </w:tcPr>
          <w:p>
            <w:pPr>
              <w:pStyle w:val="19"/>
              <w:spacing w:before="36"/>
              <w:ind w:left="440"/>
              <w:jc w:val="left"/>
              <w:rPr>
                <w:sz w:val="21"/>
              </w:rPr>
            </w:pPr>
            <w:r>
              <w:rPr>
                <w:sz w:val="21"/>
              </w:rPr>
              <w:t>分析项目</w:t>
            </w:r>
          </w:p>
        </w:tc>
        <w:tc>
          <w:tcPr>
            <w:tcW w:w="5603" w:type="dxa"/>
            <w:tcBorders>
              <w:left w:val="single" w:color="000000" w:sz="4" w:space="0"/>
              <w:bottom w:val="single" w:color="000000" w:sz="4" w:space="0"/>
              <w:right w:val="single" w:color="000000" w:sz="4" w:space="0"/>
            </w:tcBorders>
          </w:tcPr>
          <w:p>
            <w:pPr>
              <w:pStyle w:val="19"/>
              <w:spacing w:before="36"/>
              <w:ind w:left="178" w:right="165"/>
              <w:rPr>
                <w:sz w:val="21"/>
              </w:rPr>
            </w:pPr>
            <w:r>
              <w:rPr>
                <w:sz w:val="21"/>
              </w:rPr>
              <w:t>分析方法</w:t>
            </w:r>
          </w:p>
        </w:tc>
        <w:tc>
          <w:tcPr>
            <w:tcW w:w="1765" w:type="dxa"/>
            <w:tcBorders>
              <w:left w:val="single" w:color="000000" w:sz="4" w:space="0"/>
              <w:bottom w:val="single" w:color="000000" w:sz="4" w:space="0"/>
            </w:tcBorders>
          </w:tcPr>
          <w:p>
            <w:pPr>
              <w:pStyle w:val="19"/>
              <w:spacing w:before="36"/>
              <w:ind w:right="339"/>
              <w:jc w:val="right"/>
              <w:rPr>
                <w:sz w:val="21"/>
              </w:rPr>
            </w:pPr>
            <w:r>
              <w:rPr>
                <w:w w:val="95"/>
                <w:sz w:val="21"/>
              </w:rPr>
              <w:t>方法标准号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9"/>
              <w:spacing w:before="58"/>
              <w:ind w:left="274"/>
              <w:jc w:val="left"/>
              <w:rPr>
                <w:sz w:val="21"/>
              </w:rPr>
            </w:pPr>
            <w:r>
              <w:rPr>
                <w:rFonts w:ascii="Times New Roman" w:eastAsia="Times New Roman"/>
                <w:sz w:val="21"/>
              </w:rPr>
              <w:t>1,2-</w:t>
            </w:r>
            <w:r>
              <w:rPr>
                <w:sz w:val="21"/>
              </w:rPr>
              <w:t>二氯乙烷</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58"/>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74"/>
              <w:ind w:right="342"/>
              <w:jc w:val="right"/>
              <w:rPr>
                <w:rFonts w:ascii="Times New Roman"/>
                <w:sz w:val="21"/>
              </w:rPr>
            </w:pPr>
            <w:r>
              <w:rPr>
                <w:rFonts w:ascii="Times New Roman"/>
                <w:w w:val="95"/>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9"/>
              <w:spacing w:before="58"/>
              <w:ind w:left="274"/>
              <w:jc w:val="left"/>
              <w:rPr>
                <w:sz w:val="21"/>
              </w:rPr>
            </w:pPr>
            <w:r>
              <w:rPr>
                <w:rFonts w:ascii="Times New Roman" w:eastAsia="Times New Roman"/>
                <w:sz w:val="21"/>
              </w:rPr>
              <w:t>1,1-</w:t>
            </w:r>
            <w:r>
              <w:rPr>
                <w:sz w:val="21"/>
              </w:rPr>
              <w:t>二氯乙烯</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58"/>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74"/>
              <w:ind w:right="342"/>
              <w:jc w:val="right"/>
              <w:rPr>
                <w:rFonts w:ascii="Times New Roman"/>
                <w:sz w:val="21"/>
              </w:rPr>
            </w:pPr>
            <w:r>
              <w:rPr>
                <w:rFonts w:ascii="Times New Roman"/>
                <w:w w:val="95"/>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9"/>
              <w:spacing w:before="58"/>
              <w:ind w:right="116"/>
              <w:jc w:val="right"/>
              <w:rPr>
                <w:sz w:val="21"/>
              </w:rPr>
            </w:pPr>
            <w:r>
              <w:rPr>
                <w:w w:val="95"/>
                <w:sz w:val="21"/>
              </w:rPr>
              <w:t>顺</w:t>
            </w:r>
            <w:r>
              <w:rPr>
                <w:rFonts w:ascii="Times New Roman" w:eastAsia="Times New Roman"/>
                <w:w w:val="95"/>
                <w:sz w:val="21"/>
              </w:rPr>
              <w:t>-1,2-</w:t>
            </w:r>
            <w:r>
              <w:rPr>
                <w:w w:val="95"/>
                <w:sz w:val="21"/>
              </w:rPr>
              <w:t>二氯乙烯</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58"/>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75"/>
              <w:ind w:right="342"/>
              <w:jc w:val="right"/>
              <w:rPr>
                <w:rFonts w:ascii="Times New Roman"/>
                <w:sz w:val="21"/>
              </w:rPr>
            </w:pPr>
            <w:r>
              <w:rPr>
                <w:rFonts w:ascii="Times New Roman"/>
                <w:w w:val="95"/>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9"/>
              <w:spacing w:before="58"/>
              <w:ind w:right="116"/>
              <w:jc w:val="right"/>
              <w:rPr>
                <w:sz w:val="21"/>
              </w:rPr>
            </w:pPr>
            <w:r>
              <w:rPr>
                <w:w w:val="95"/>
                <w:sz w:val="21"/>
              </w:rPr>
              <w:t>反</w:t>
            </w:r>
            <w:r>
              <w:rPr>
                <w:rFonts w:ascii="Times New Roman" w:eastAsia="Times New Roman"/>
                <w:w w:val="95"/>
                <w:sz w:val="21"/>
              </w:rPr>
              <w:t>-1,2-</w:t>
            </w:r>
            <w:r>
              <w:rPr>
                <w:w w:val="95"/>
                <w:sz w:val="21"/>
              </w:rPr>
              <w:t>二氯乙烯</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58"/>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75"/>
              <w:ind w:right="342"/>
              <w:jc w:val="right"/>
              <w:rPr>
                <w:rFonts w:ascii="Times New Roman"/>
                <w:sz w:val="21"/>
              </w:rPr>
            </w:pPr>
            <w:r>
              <w:rPr>
                <w:rFonts w:ascii="Times New Roman"/>
                <w:w w:val="95"/>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9"/>
              <w:spacing w:before="59"/>
              <w:ind w:left="440"/>
              <w:jc w:val="left"/>
              <w:rPr>
                <w:sz w:val="21"/>
              </w:rPr>
            </w:pPr>
            <w:r>
              <w:rPr>
                <w:sz w:val="21"/>
              </w:rPr>
              <w:t>二氯甲烷</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59"/>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75"/>
              <w:ind w:right="342"/>
              <w:jc w:val="right"/>
              <w:rPr>
                <w:rFonts w:ascii="Times New Roman"/>
                <w:sz w:val="21"/>
              </w:rPr>
            </w:pPr>
            <w:r>
              <w:rPr>
                <w:rFonts w:ascii="Times New Roman"/>
                <w:w w:val="95"/>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9"/>
              <w:spacing w:before="59"/>
              <w:ind w:left="274"/>
              <w:jc w:val="left"/>
              <w:rPr>
                <w:sz w:val="21"/>
              </w:rPr>
            </w:pPr>
            <w:r>
              <w:rPr>
                <w:rFonts w:ascii="Times New Roman" w:eastAsia="Times New Roman"/>
                <w:sz w:val="21"/>
              </w:rPr>
              <w:t>1,2-</w:t>
            </w:r>
            <w:r>
              <w:rPr>
                <w:sz w:val="21"/>
              </w:rPr>
              <w:t>二氯丙烷</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59"/>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75"/>
              <w:ind w:right="342"/>
              <w:jc w:val="right"/>
              <w:rPr>
                <w:rFonts w:ascii="Times New Roman"/>
                <w:sz w:val="21"/>
              </w:rPr>
            </w:pPr>
            <w:r>
              <w:rPr>
                <w:rFonts w:ascii="Times New Roman"/>
                <w:w w:val="95"/>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9"/>
              <w:spacing w:before="57"/>
              <w:ind w:right="96"/>
              <w:jc w:val="right"/>
              <w:rPr>
                <w:sz w:val="21"/>
              </w:rPr>
            </w:pPr>
            <w:r>
              <w:rPr>
                <w:rFonts w:ascii="Times New Roman" w:eastAsia="Times New Roman"/>
                <w:w w:val="95"/>
                <w:sz w:val="21"/>
              </w:rPr>
              <w:t>1,1,1,2-</w:t>
            </w:r>
            <w:r>
              <w:rPr>
                <w:w w:val="95"/>
                <w:sz w:val="21"/>
              </w:rPr>
              <w:t>四氯乙烷</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57"/>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75"/>
              <w:ind w:right="342"/>
              <w:jc w:val="right"/>
              <w:rPr>
                <w:rFonts w:ascii="Times New Roman"/>
                <w:sz w:val="21"/>
              </w:rPr>
            </w:pPr>
            <w:r>
              <w:rPr>
                <w:rFonts w:ascii="Times New Roman"/>
                <w:w w:val="95"/>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9"/>
              <w:spacing w:before="57"/>
              <w:ind w:right="96"/>
              <w:jc w:val="right"/>
              <w:rPr>
                <w:sz w:val="21"/>
              </w:rPr>
            </w:pPr>
            <w:r>
              <w:rPr>
                <w:rFonts w:ascii="Times New Roman" w:eastAsia="Times New Roman"/>
                <w:w w:val="95"/>
                <w:sz w:val="21"/>
              </w:rPr>
              <w:t>1,1,2,2-</w:t>
            </w:r>
            <w:r>
              <w:rPr>
                <w:w w:val="95"/>
                <w:sz w:val="21"/>
              </w:rPr>
              <w:t>四氯乙烷</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57"/>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76"/>
              <w:ind w:right="342"/>
              <w:jc w:val="right"/>
              <w:rPr>
                <w:rFonts w:ascii="Times New Roman"/>
                <w:sz w:val="21"/>
              </w:rPr>
            </w:pPr>
            <w:r>
              <w:rPr>
                <w:rFonts w:ascii="Times New Roman"/>
                <w:w w:val="95"/>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9"/>
              <w:spacing w:before="57"/>
              <w:ind w:left="440"/>
              <w:jc w:val="left"/>
              <w:rPr>
                <w:sz w:val="21"/>
              </w:rPr>
            </w:pPr>
            <w:r>
              <w:rPr>
                <w:sz w:val="21"/>
              </w:rPr>
              <w:t>四氯乙烯</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57"/>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76"/>
              <w:ind w:right="342"/>
              <w:jc w:val="right"/>
              <w:rPr>
                <w:rFonts w:ascii="Times New Roman"/>
                <w:sz w:val="21"/>
              </w:rPr>
            </w:pPr>
            <w:r>
              <w:rPr>
                <w:rFonts w:ascii="Times New Roman"/>
                <w:w w:val="95"/>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9"/>
              <w:spacing w:before="57"/>
              <w:ind w:right="178"/>
              <w:jc w:val="right"/>
              <w:rPr>
                <w:sz w:val="21"/>
              </w:rPr>
            </w:pPr>
            <w:r>
              <w:rPr>
                <w:rFonts w:ascii="Times New Roman" w:eastAsia="Times New Roman"/>
                <w:w w:val="95"/>
                <w:sz w:val="21"/>
              </w:rPr>
              <w:t>1,1,1-</w:t>
            </w:r>
            <w:r>
              <w:rPr>
                <w:w w:val="95"/>
                <w:sz w:val="21"/>
              </w:rPr>
              <w:t>三氯乙烷</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57"/>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74"/>
              <w:ind w:right="342"/>
              <w:jc w:val="right"/>
              <w:rPr>
                <w:rFonts w:ascii="Times New Roman"/>
                <w:sz w:val="21"/>
              </w:rPr>
            </w:pPr>
            <w:r>
              <w:rPr>
                <w:rFonts w:ascii="Times New Roman"/>
                <w:w w:val="95"/>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9"/>
              <w:spacing w:before="58"/>
              <w:ind w:right="178"/>
              <w:jc w:val="right"/>
              <w:rPr>
                <w:sz w:val="21"/>
              </w:rPr>
            </w:pPr>
            <w:r>
              <w:rPr>
                <w:rFonts w:ascii="Times New Roman" w:eastAsia="Times New Roman"/>
                <w:w w:val="95"/>
                <w:sz w:val="21"/>
              </w:rPr>
              <w:t>1,1,2-</w:t>
            </w:r>
            <w:r>
              <w:rPr>
                <w:w w:val="95"/>
                <w:sz w:val="21"/>
              </w:rPr>
              <w:t>三氯乙烷</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58"/>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74"/>
              <w:ind w:right="342"/>
              <w:jc w:val="right"/>
              <w:rPr>
                <w:rFonts w:ascii="Times New Roman"/>
                <w:sz w:val="21"/>
              </w:rPr>
            </w:pPr>
            <w:r>
              <w:rPr>
                <w:rFonts w:ascii="Times New Roman"/>
                <w:w w:val="95"/>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9"/>
              <w:spacing w:before="58"/>
              <w:ind w:left="440"/>
              <w:jc w:val="left"/>
              <w:rPr>
                <w:sz w:val="21"/>
              </w:rPr>
            </w:pPr>
            <w:r>
              <w:rPr>
                <w:sz w:val="21"/>
              </w:rPr>
              <w:t>三氯乙烯</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58"/>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74"/>
              <w:ind w:right="342"/>
              <w:jc w:val="right"/>
              <w:rPr>
                <w:rFonts w:ascii="Times New Roman"/>
                <w:sz w:val="21"/>
              </w:rPr>
            </w:pPr>
            <w:r>
              <w:rPr>
                <w:rFonts w:ascii="Times New Roman"/>
                <w:w w:val="95"/>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9"/>
              <w:spacing w:before="58"/>
              <w:ind w:right="178"/>
              <w:jc w:val="right"/>
              <w:rPr>
                <w:sz w:val="21"/>
              </w:rPr>
            </w:pPr>
            <w:r>
              <w:rPr>
                <w:rFonts w:ascii="Times New Roman" w:eastAsia="Times New Roman"/>
                <w:w w:val="95"/>
                <w:sz w:val="21"/>
              </w:rPr>
              <w:t>1,2,3-</w:t>
            </w:r>
            <w:r>
              <w:rPr>
                <w:w w:val="95"/>
                <w:sz w:val="21"/>
              </w:rPr>
              <w:t>三氯丙烷</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58"/>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74"/>
              <w:ind w:right="342"/>
              <w:jc w:val="right"/>
              <w:rPr>
                <w:rFonts w:ascii="Times New Roman"/>
                <w:sz w:val="21"/>
              </w:rPr>
            </w:pPr>
            <w:r>
              <w:rPr>
                <w:rFonts w:ascii="Times New Roman"/>
                <w:w w:val="95"/>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9"/>
              <w:spacing w:before="58"/>
              <w:ind w:left="545"/>
              <w:jc w:val="left"/>
              <w:rPr>
                <w:sz w:val="21"/>
              </w:rPr>
            </w:pPr>
            <w:r>
              <w:rPr>
                <w:sz w:val="21"/>
              </w:rPr>
              <w:t>氯乙烯</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58"/>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74"/>
              <w:ind w:right="342"/>
              <w:jc w:val="right"/>
              <w:rPr>
                <w:rFonts w:ascii="Times New Roman"/>
                <w:sz w:val="21"/>
              </w:rPr>
            </w:pPr>
            <w:r>
              <w:rPr>
                <w:rFonts w:ascii="Times New Roman"/>
                <w:w w:val="95"/>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9"/>
              <w:spacing w:before="58"/>
              <w:ind w:left="14"/>
              <w:rPr>
                <w:sz w:val="21"/>
              </w:rPr>
            </w:pPr>
            <w:r>
              <w:rPr>
                <w:w w:val="99"/>
                <w:sz w:val="21"/>
              </w:rPr>
              <w:t>苯</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58"/>
              <w:ind w:left="181" w:right="165"/>
              <w:rPr>
                <w:sz w:val="21"/>
              </w:rPr>
            </w:pPr>
            <w:r>
              <w:rPr>
                <w:sz w:val="21"/>
              </w:rPr>
              <w:t>土壤和沉积物挥发性有机物的测定顶空</w:t>
            </w:r>
            <w:r>
              <w:rPr>
                <w:rFonts w:ascii="Times New Roman" w:eastAsia="Times New Roman"/>
                <w:sz w:val="21"/>
              </w:rPr>
              <w:t>/</w:t>
            </w:r>
            <w:r>
              <w:rPr>
                <w:sz w:val="21"/>
              </w:rPr>
              <w:t>气相色谱法</w:t>
            </w:r>
          </w:p>
        </w:tc>
        <w:tc>
          <w:tcPr>
            <w:tcW w:w="1765" w:type="dxa"/>
            <w:tcBorders>
              <w:top w:val="single" w:color="000000" w:sz="4" w:space="0"/>
              <w:left w:val="single" w:color="000000" w:sz="4" w:space="0"/>
              <w:bottom w:val="single" w:color="000000" w:sz="4" w:space="0"/>
            </w:tcBorders>
          </w:tcPr>
          <w:p>
            <w:pPr>
              <w:pStyle w:val="19"/>
              <w:spacing w:before="75"/>
              <w:ind w:right="342"/>
              <w:jc w:val="right"/>
              <w:rPr>
                <w:rFonts w:ascii="Times New Roman"/>
                <w:sz w:val="21"/>
              </w:rPr>
            </w:pPr>
            <w:r>
              <w:rPr>
                <w:rFonts w:ascii="Times New Roman"/>
                <w:w w:val="95"/>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9"/>
              <w:spacing w:before="58"/>
              <w:ind w:left="69" w:right="52"/>
              <w:rPr>
                <w:sz w:val="21"/>
              </w:rPr>
            </w:pPr>
            <w:r>
              <w:rPr>
                <w:sz w:val="21"/>
              </w:rPr>
              <w:t>氯苯</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58"/>
              <w:ind w:left="183" w:right="165"/>
              <w:rPr>
                <w:sz w:val="21"/>
              </w:rPr>
            </w:pPr>
            <w:r>
              <w:rPr>
                <w:sz w:val="21"/>
              </w:rPr>
              <w:t>土壤和沉积物挥发性有机物的测定顶空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75"/>
              <w:ind w:right="342"/>
              <w:jc w:val="right"/>
              <w:rPr>
                <w:rFonts w:ascii="Times New Roman"/>
                <w:sz w:val="21"/>
              </w:rPr>
            </w:pPr>
            <w:r>
              <w:rPr>
                <w:rFonts w:ascii="Times New Roman"/>
                <w:w w:val="95"/>
                <w:sz w:val="21"/>
              </w:rPr>
              <w:t>HJ642-2013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9"/>
              <w:spacing w:before="59"/>
              <w:ind w:left="380"/>
              <w:jc w:val="left"/>
              <w:rPr>
                <w:sz w:val="21"/>
              </w:rPr>
            </w:pPr>
            <w:r>
              <w:rPr>
                <w:rFonts w:ascii="Times New Roman" w:eastAsia="Times New Roman"/>
                <w:sz w:val="21"/>
              </w:rPr>
              <w:t>1,2-</w:t>
            </w:r>
            <w:r>
              <w:rPr>
                <w:sz w:val="21"/>
              </w:rPr>
              <w:t>二氯苯</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59"/>
              <w:ind w:left="183" w:right="165"/>
              <w:rPr>
                <w:sz w:val="21"/>
              </w:rPr>
            </w:pPr>
            <w:r>
              <w:rPr>
                <w:sz w:val="21"/>
              </w:rPr>
              <w:t>土壤和沉积物挥发性有机物的测定顶空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75"/>
              <w:ind w:right="342"/>
              <w:jc w:val="right"/>
              <w:rPr>
                <w:rFonts w:ascii="Times New Roman"/>
                <w:sz w:val="21"/>
              </w:rPr>
            </w:pPr>
            <w:r>
              <w:rPr>
                <w:rFonts w:ascii="Times New Roman"/>
                <w:w w:val="95"/>
                <w:sz w:val="21"/>
              </w:rPr>
              <w:t>HJ642-2013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9"/>
              <w:spacing w:before="59"/>
              <w:ind w:left="380"/>
              <w:jc w:val="left"/>
              <w:rPr>
                <w:sz w:val="21"/>
              </w:rPr>
            </w:pPr>
            <w:r>
              <w:rPr>
                <w:rFonts w:ascii="Times New Roman" w:eastAsia="Times New Roman"/>
                <w:sz w:val="21"/>
              </w:rPr>
              <w:t>1,4-</w:t>
            </w:r>
            <w:r>
              <w:rPr>
                <w:sz w:val="21"/>
              </w:rPr>
              <w:t>二氯苯</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59"/>
              <w:ind w:left="183" w:right="165"/>
              <w:rPr>
                <w:sz w:val="21"/>
              </w:rPr>
            </w:pPr>
            <w:r>
              <w:rPr>
                <w:sz w:val="21"/>
              </w:rPr>
              <w:t>土壤和沉积物挥发性有机物的测定顶空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75"/>
              <w:ind w:right="342"/>
              <w:jc w:val="right"/>
              <w:rPr>
                <w:rFonts w:ascii="Times New Roman"/>
                <w:sz w:val="21"/>
              </w:rPr>
            </w:pPr>
            <w:r>
              <w:rPr>
                <w:rFonts w:ascii="Times New Roman"/>
                <w:w w:val="95"/>
                <w:sz w:val="21"/>
              </w:rPr>
              <w:t>HJ642-2013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9"/>
              <w:spacing w:before="57"/>
              <w:ind w:left="69" w:right="52"/>
              <w:rPr>
                <w:sz w:val="21"/>
              </w:rPr>
            </w:pPr>
            <w:r>
              <w:rPr>
                <w:sz w:val="21"/>
              </w:rPr>
              <w:t>乙苯</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57"/>
              <w:ind w:left="181" w:right="165"/>
              <w:rPr>
                <w:sz w:val="21"/>
              </w:rPr>
            </w:pPr>
            <w:r>
              <w:rPr>
                <w:sz w:val="21"/>
              </w:rPr>
              <w:t>土壤和沉积物挥发性有机物的测定顶空</w:t>
            </w:r>
            <w:r>
              <w:rPr>
                <w:rFonts w:ascii="Times New Roman" w:eastAsia="Times New Roman"/>
                <w:sz w:val="21"/>
              </w:rPr>
              <w:t>/</w:t>
            </w:r>
            <w:r>
              <w:rPr>
                <w:sz w:val="21"/>
              </w:rPr>
              <w:t>气相色谱法</w:t>
            </w:r>
          </w:p>
        </w:tc>
        <w:tc>
          <w:tcPr>
            <w:tcW w:w="1765" w:type="dxa"/>
            <w:tcBorders>
              <w:top w:val="single" w:color="000000" w:sz="4" w:space="0"/>
              <w:left w:val="single" w:color="000000" w:sz="4" w:space="0"/>
              <w:bottom w:val="single" w:color="000000" w:sz="4" w:space="0"/>
            </w:tcBorders>
          </w:tcPr>
          <w:p>
            <w:pPr>
              <w:pStyle w:val="19"/>
              <w:spacing w:before="75"/>
              <w:ind w:right="342"/>
              <w:jc w:val="right"/>
              <w:rPr>
                <w:rFonts w:ascii="Times New Roman"/>
                <w:sz w:val="21"/>
              </w:rPr>
            </w:pPr>
            <w:r>
              <w:rPr>
                <w:rFonts w:ascii="Times New Roman"/>
                <w:w w:val="95"/>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9"/>
              <w:spacing w:before="57"/>
              <w:ind w:left="545"/>
              <w:jc w:val="left"/>
              <w:rPr>
                <w:sz w:val="21"/>
              </w:rPr>
            </w:pPr>
            <w:r>
              <w:rPr>
                <w:sz w:val="21"/>
              </w:rPr>
              <w:t>苯乙烯</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57"/>
              <w:ind w:left="181" w:right="165"/>
              <w:rPr>
                <w:sz w:val="21"/>
              </w:rPr>
            </w:pPr>
            <w:r>
              <w:rPr>
                <w:sz w:val="21"/>
              </w:rPr>
              <w:t>土壤和沉积物挥发性有机物的测定顶空</w:t>
            </w:r>
            <w:r>
              <w:rPr>
                <w:rFonts w:ascii="Times New Roman" w:eastAsia="Times New Roman"/>
                <w:sz w:val="21"/>
              </w:rPr>
              <w:t>/</w:t>
            </w:r>
            <w:r>
              <w:rPr>
                <w:sz w:val="21"/>
              </w:rPr>
              <w:t>气相色谱法</w:t>
            </w:r>
          </w:p>
        </w:tc>
        <w:tc>
          <w:tcPr>
            <w:tcW w:w="1765" w:type="dxa"/>
            <w:tcBorders>
              <w:top w:val="single" w:color="000000" w:sz="4" w:space="0"/>
              <w:left w:val="single" w:color="000000" w:sz="4" w:space="0"/>
              <w:bottom w:val="single" w:color="000000" w:sz="4" w:space="0"/>
            </w:tcBorders>
          </w:tcPr>
          <w:p>
            <w:pPr>
              <w:pStyle w:val="19"/>
              <w:spacing w:before="76"/>
              <w:ind w:right="342"/>
              <w:jc w:val="right"/>
              <w:rPr>
                <w:rFonts w:ascii="Times New Roman"/>
                <w:sz w:val="21"/>
              </w:rPr>
            </w:pPr>
            <w:r>
              <w:rPr>
                <w:rFonts w:ascii="Times New Roman"/>
                <w:w w:val="95"/>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9"/>
              <w:spacing w:before="57"/>
              <w:ind w:left="69" w:right="52"/>
              <w:rPr>
                <w:sz w:val="21"/>
              </w:rPr>
            </w:pPr>
            <w:r>
              <w:rPr>
                <w:sz w:val="21"/>
              </w:rPr>
              <w:t>甲苯</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57"/>
              <w:ind w:left="181" w:right="165"/>
              <w:rPr>
                <w:sz w:val="21"/>
              </w:rPr>
            </w:pPr>
            <w:r>
              <w:rPr>
                <w:sz w:val="21"/>
              </w:rPr>
              <w:t>土壤和沉积物挥发性有机物的测定顶空</w:t>
            </w:r>
            <w:r>
              <w:rPr>
                <w:rFonts w:ascii="Times New Roman" w:eastAsia="Times New Roman"/>
                <w:sz w:val="21"/>
              </w:rPr>
              <w:t>/</w:t>
            </w:r>
            <w:r>
              <w:rPr>
                <w:sz w:val="21"/>
              </w:rPr>
              <w:t>气相色谱法</w:t>
            </w:r>
          </w:p>
        </w:tc>
        <w:tc>
          <w:tcPr>
            <w:tcW w:w="1765" w:type="dxa"/>
            <w:tcBorders>
              <w:top w:val="single" w:color="000000" w:sz="4" w:space="0"/>
              <w:left w:val="single" w:color="000000" w:sz="4" w:space="0"/>
              <w:bottom w:val="single" w:color="000000" w:sz="4" w:space="0"/>
            </w:tcBorders>
          </w:tcPr>
          <w:p>
            <w:pPr>
              <w:pStyle w:val="19"/>
              <w:spacing w:before="76"/>
              <w:ind w:right="342"/>
              <w:jc w:val="right"/>
              <w:rPr>
                <w:rFonts w:ascii="Times New Roman"/>
                <w:sz w:val="21"/>
              </w:rPr>
            </w:pPr>
            <w:r>
              <w:rPr>
                <w:rFonts w:ascii="Times New Roman"/>
                <w:w w:val="95"/>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9"/>
              <w:spacing w:before="57"/>
              <w:ind w:left="440"/>
              <w:jc w:val="left"/>
              <w:rPr>
                <w:sz w:val="21"/>
              </w:rPr>
            </w:pPr>
            <w:r>
              <w:rPr>
                <w:sz w:val="21"/>
              </w:rPr>
              <w:t>间二甲苯</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57"/>
              <w:ind w:left="181" w:right="165"/>
              <w:rPr>
                <w:sz w:val="21"/>
              </w:rPr>
            </w:pPr>
            <w:r>
              <w:rPr>
                <w:sz w:val="21"/>
              </w:rPr>
              <w:t>土壤和沉积物挥发性有机物的测定顶空</w:t>
            </w:r>
            <w:r>
              <w:rPr>
                <w:rFonts w:ascii="Times New Roman" w:eastAsia="Times New Roman"/>
                <w:sz w:val="21"/>
              </w:rPr>
              <w:t>/</w:t>
            </w:r>
            <w:r>
              <w:rPr>
                <w:sz w:val="21"/>
              </w:rPr>
              <w:t>气相色谱法</w:t>
            </w:r>
          </w:p>
        </w:tc>
        <w:tc>
          <w:tcPr>
            <w:tcW w:w="1765" w:type="dxa"/>
            <w:tcBorders>
              <w:top w:val="single" w:color="000000" w:sz="4" w:space="0"/>
              <w:left w:val="single" w:color="000000" w:sz="4" w:space="0"/>
              <w:bottom w:val="single" w:color="000000" w:sz="4" w:space="0"/>
            </w:tcBorders>
          </w:tcPr>
          <w:p>
            <w:pPr>
              <w:pStyle w:val="19"/>
              <w:spacing w:before="74"/>
              <w:ind w:right="342"/>
              <w:jc w:val="right"/>
              <w:rPr>
                <w:rFonts w:ascii="Times New Roman"/>
                <w:sz w:val="21"/>
              </w:rPr>
            </w:pPr>
            <w:r>
              <w:rPr>
                <w:rFonts w:ascii="Times New Roman"/>
                <w:w w:val="95"/>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1718" w:type="dxa"/>
            <w:tcBorders>
              <w:top w:val="single" w:color="000000" w:sz="4" w:space="0"/>
              <w:bottom w:val="single" w:color="000000" w:sz="4" w:space="0"/>
              <w:right w:val="single" w:color="000000" w:sz="4" w:space="0"/>
            </w:tcBorders>
          </w:tcPr>
          <w:p>
            <w:pPr>
              <w:pStyle w:val="19"/>
              <w:spacing w:before="69"/>
              <w:ind w:left="440"/>
              <w:jc w:val="left"/>
              <w:rPr>
                <w:sz w:val="21"/>
              </w:rPr>
            </w:pPr>
            <w:r>
              <w:rPr>
                <w:sz w:val="21"/>
              </w:rPr>
              <w:t>对二甲苯</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69"/>
              <w:ind w:left="181" w:right="165"/>
              <w:rPr>
                <w:sz w:val="21"/>
              </w:rPr>
            </w:pPr>
            <w:r>
              <w:rPr>
                <w:sz w:val="21"/>
              </w:rPr>
              <w:t>土壤和沉积物挥发性有机物的测定顶空</w:t>
            </w:r>
            <w:r>
              <w:rPr>
                <w:rFonts w:ascii="Times New Roman" w:eastAsia="Times New Roman"/>
                <w:sz w:val="21"/>
              </w:rPr>
              <w:t>/</w:t>
            </w:r>
            <w:r>
              <w:rPr>
                <w:sz w:val="21"/>
              </w:rPr>
              <w:t>气相色谱法</w:t>
            </w:r>
          </w:p>
        </w:tc>
        <w:tc>
          <w:tcPr>
            <w:tcW w:w="1765" w:type="dxa"/>
            <w:tcBorders>
              <w:top w:val="single" w:color="000000" w:sz="4" w:space="0"/>
              <w:left w:val="single" w:color="000000" w:sz="4" w:space="0"/>
              <w:bottom w:val="single" w:color="000000" w:sz="4" w:space="0"/>
            </w:tcBorders>
          </w:tcPr>
          <w:p>
            <w:pPr>
              <w:pStyle w:val="19"/>
              <w:spacing w:before="86"/>
              <w:ind w:right="342"/>
              <w:jc w:val="right"/>
              <w:rPr>
                <w:rFonts w:ascii="Times New Roman"/>
                <w:sz w:val="21"/>
              </w:rPr>
            </w:pPr>
            <w:r>
              <w:rPr>
                <w:rFonts w:ascii="Times New Roman"/>
                <w:w w:val="95"/>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1718" w:type="dxa"/>
            <w:tcBorders>
              <w:top w:val="single" w:color="000000" w:sz="4" w:space="0"/>
              <w:bottom w:val="single" w:color="000000" w:sz="4" w:space="0"/>
              <w:right w:val="single" w:color="000000" w:sz="4" w:space="0"/>
            </w:tcBorders>
          </w:tcPr>
          <w:p>
            <w:pPr>
              <w:pStyle w:val="19"/>
              <w:spacing w:before="69"/>
              <w:ind w:left="440"/>
              <w:jc w:val="left"/>
              <w:rPr>
                <w:sz w:val="21"/>
              </w:rPr>
            </w:pPr>
            <w:r>
              <w:rPr>
                <w:sz w:val="21"/>
              </w:rPr>
              <w:t>邻二甲苯</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69"/>
              <w:ind w:left="181" w:right="165"/>
              <w:rPr>
                <w:sz w:val="21"/>
              </w:rPr>
            </w:pPr>
            <w:r>
              <w:rPr>
                <w:sz w:val="21"/>
              </w:rPr>
              <w:t>土壤和沉积物挥发性有机物的测定顶空</w:t>
            </w:r>
            <w:r>
              <w:rPr>
                <w:rFonts w:ascii="Times New Roman" w:eastAsia="Times New Roman"/>
                <w:sz w:val="21"/>
              </w:rPr>
              <w:t>/</w:t>
            </w:r>
            <w:r>
              <w:rPr>
                <w:sz w:val="21"/>
              </w:rPr>
              <w:t>气相色谱法</w:t>
            </w:r>
          </w:p>
        </w:tc>
        <w:tc>
          <w:tcPr>
            <w:tcW w:w="1765" w:type="dxa"/>
            <w:tcBorders>
              <w:top w:val="single" w:color="000000" w:sz="4" w:space="0"/>
              <w:left w:val="single" w:color="000000" w:sz="4" w:space="0"/>
              <w:bottom w:val="single" w:color="000000" w:sz="4" w:space="0"/>
            </w:tcBorders>
          </w:tcPr>
          <w:p>
            <w:pPr>
              <w:pStyle w:val="19"/>
              <w:spacing w:before="86"/>
              <w:ind w:right="342"/>
              <w:jc w:val="right"/>
              <w:rPr>
                <w:rFonts w:ascii="Times New Roman"/>
                <w:sz w:val="21"/>
              </w:rPr>
            </w:pPr>
            <w:r>
              <w:rPr>
                <w:rFonts w:ascii="Times New Roman"/>
                <w:w w:val="95"/>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1718" w:type="dxa"/>
            <w:tcBorders>
              <w:top w:val="single" w:color="000000" w:sz="4" w:space="0"/>
              <w:bottom w:val="single" w:color="000000" w:sz="4" w:space="0"/>
              <w:right w:val="single" w:color="000000" w:sz="4" w:space="0"/>
            </w:tcBorders>
          </w:tcPr>
          <w:p>
            <w:pPr>
              <w:pStyle w:val="19"/>
              <w:spacing w:before="69"/>
              <w:ind w:left="545"/>
              <w:jc w:val="left"/>
              <w:rPr>
                <w:sz w:val="21"/>
              </w:rPr>
            </w:pPr>
            <w:r>
              <w:rPr>
                <w:sz w:val="21"/>
              </w:rPr>
              <w:t>硝基苯</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69"/>
              <w:ind w:left="183" w:right="165"/>
              <w:rPr>
                <w:sz w:val="21"/>
              </w:rPr>
            </w:pPr>
            <w:r>
              <w:rPr>
                <w:sz w:val="21"/>
              </w:rPr>
              <w:t>土壤和沉积物半挥发性有机物的测定气相色谱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85"/>
              <w:ind w:right="342"/>
              <w:jc w:val="right"/>
              <w:rPr>
                <w:rFonts w:ascii="Times New Roman"/>
                <w:sz w:val="21"/>
              </w:rPr>
            </w:pPr>
            <w:r>
              <w:rPr>
                <w:rFonts w:ascii="Times New Roman"/>
                <w:w w:val="95"/>
                <w:sz w:val="21"/>
              </w:rPr>
              <w:t>HJ834-2017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18" w:type="dxa"/>
            <w:tcBorders>
              <w:top w:val="single" w:color="000000" w:sz="4" w:space="0"/>
              <w:bottom w:val="single" w:color="000000" w:sz="4" w:space="0"/>
              <w:right w:val="single" w:color="000000" w:sz="4" w:space="0"/>
            </w:tcBorders>
          </w:tcPr>
          <w:p>
            <w:pPr>
              <w:pStyle w:val="19"/>
              <w:spacing w:before="62"/>
              <w:ind w:left="69" w:right="52"/>
              <w:rPr>
                <w:sz w:val="21"/>
              </w:rPr>
            </w:pPr>
            <w:r>
              <w:rPr>
                <w:sz w:val="21"/>
              </w:rPr>
              <w:t>苯胺</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62"/>
              <w:ind w:left="183" w:right="165"/>
              <w:rPr>
                <w:sz w:val="21"/>
              </w:rPr>
            </w:pPr>
            <w:r>
              <w:rPr>
                <w:sz w:val="21"/>
              </w:rPr>
              <w:t>土壤和沉积物半挥发性有机物的测定气相色谱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80"/>
              <w:ind w:right="342"/>
              <w:jc w:val="right"/>
              <w:rPr>
                <w:rFonts w:ascii="Times New Roman"/>
                <w:sz w:val="21"/>
              </w:rPr>
            </w:pPr>
            <w:r>
              <w:rPr>
                <w:rFonts w:ascii="Times New Roman"/>
                <w:w w:val="95"/>
                <w:sz w:val="21"/>
              </w:rPr>
              <w:t>HJ834-2017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18" w:type="dxa"/>
            <w:tcBorders>
              <w:top w:val="single" w:color="000000" w:sz="4" w:space="0"/>
              <w:bottom w:val="single" w:color="000000" w:sz="4" w:space="0"/>
              <w:right w:val="single" w:color="000000" w:sz="4" w:space="0"/>
            </w:tcBorders>
          </w:tcPr>
          <w:p>
            <w:pPr>
              <w:pStyle w:val="19"/>
              <w:spacing w:before="63"/>
              <w:ind w:left="14"/>
              <w:rPr>
                <w:sz w:val="21"/>
              </w:rPr>
            </w:pPr>
            <w:r>
              <w:rPr>
                <w:w w:val="99"/>
                <w:sz w:val="21"/>
              </w:rPr>
              <w:t>萘</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63"/>
              <w:ind w:left="181" w:right="165"/>
              <w:rPr>
                <w:sz w:val="21"/>
              </w:rPr>
            </w:pPr>
            <w:r>
              <w:rPr>
                <w:sz w:val="21"/>
              </w:rPr>
              <w:t>土壤和沉积物多环芳烃的测定气相色谱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82"/>
              <w:ind w:right="342"/>
              <w:jc w:val="right"/>
              <w:rPr>
                <w:rFonts w:ascii="Times New Roman"/>
                <w:sz w:val="21"/>
              </w:rPr>
            </w:pPr>
            <w:r>
              <w:rPr>
                <w:rFonts w:ascii="Times New Roman"/>
                <w:w w:val="95"/>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18" w:type="dxa"/>
            <w:tcBorders>
              <w:top w:val="single" w:color="000000" w:sz="4" w:space="0"/>
              <w:bottom w:val="single" w:color="000000" w:sz="4" w:space="0"/>
              <w:right w:val="single" w:color="000000" w:sz="4" w:space="0"/>
            </w:tcBorders>
          </w:tcPr>
          <w:p>
            <w:pPr>
              <w:pStyle w:val="19"/>
              <w:spacing w:before="62"/>
              <w:ind w:left="562"/>
              <w:jc w:val="left"/>
              <w:rPr>
                <w:sz w:val="21"/>
              </w:rPr>
            </w:pPr>
            <w:r>
              <w:rPr>
                <w:rFonts w:ascii="Times New Roman" w:eastAsia="Times New Roman"/>
                <w:sz w:val="21"/>
              </w:rPr>
              <w:t>2-</w:t>
            </w:r>
            <w:r>
              <w:rPr>
                <w:sz w:val="21"/>
              </w:rPr>
              <w:t>氯酚</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62"/>
              <w:ind w:left="183" w:right="165"/>
              <w:rPr>
                <w:sz w:val="21"/>
              </w:rPr>
            </w:pPr>
            <w:r>
              <w:rPr>
                <w:sz w:val="21"/>
              </w:rPr>
              <w:t>土壤和沉积物半挥发性有机物的测定气相色谱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80"/>
              <w:ind w:right="342"/>
              <w:jc w:val="right"/>
              <w:rPr>
                <w:rFonts w:ascii="Times New Roman"/>
                <w:sz w:val="21"/>
              </w:rPr>
            </w:pPr>
            <w:r>
              <w:rPr>
                <w:rFonts w:ascii="Times New Roman"/>
                <w:w w:val="95"/>
                <w:sz w:val="21"/>
              </w:rPr>
              <w:t>HJ834-2017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9" w:hRule="atLeast"/>
        </w:trPr>
        <w:tc>
          <w:tcPr>
            <w:tcW w:w="1718" w:type="dxa"/>
            <w:tcBorders>
              <w:top w:val="single" w:color="000000" w:sz="4" w:space="0"/>
              <w:right w:val="single" w:color="000000" w:sz="4" w:space="0"/>
            </w:tcBorders>
          </w:tcPr>
          <w:p>
            <w:pPr>
              <w:pStyle w:val="19"/>
              <w:spacing w:before="63"/>
              <w:ind w:left="430"/>
              <w:jc w:val="left"/>
              <w:rPr>
                <w:sz w:val="21"/>
              </w:rPr>
            </w:pPr>
            <w:r>
              <w:rPr>
                <w:sz w:val="21"/>
              </w:rPr>
              <w:t>苯并</w:t>
            </w:r>
            <w:r>
              <w:rPr>
                <w:rFonts w:ascii="Times New Roman" w:eastAsia="Times New Roman"/>
                <w:sz w:val="21"/>
              </w:rPr>
              <w:t>[a]</w:t>
            </w:r>
            <w:r>
              <w:rPr>
                <w:sz w:val="21"/>
              </w:rPr>
              <w:t>蒽</w:t>
            </w:r>
          </w:p>
        </w:tc>
        <w:tc>
          <w:tcPr>
            <w:tcW w:w="5603" w:type="dxa"/>
            <w:tcBorders>
              <w:top w:val="single" w:color="000000" w:sz="4" w:space="0"/>
              <w:left w:val="single" w:color="000000" w:sz="4" w:space="0"/>
              <w:right w:val="single" w:color="000000" w:sz="4" w:space="0"/>
            </w:tcBorders>
          </w:tcPr>
          <w:p>
            <w:pPr>
              <w:pStyle w:val="19"/>
              <w:spacing w:before="63"/>
              <w:ind w:left="181" w:right="165"/>
              <w:rPr>
                <w:sz w:val="21"/>
              </w:rPr>
            </w:pPr>
            <w:r>
              <w:rPr>
                <w:sz w:val="21"/>
              </w:rPr>
              <w:t>土壤和沉积物多环芳烃的测定气相色谱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tcBorders>
          </w:tcPr>
          <w:p>
            <w:pPr>
              <w:pStyle w:val="19"/>
              <w:spacing w:before="82"/>
              <w:ind w:right="342"/>
              <w:jc w:val="right"/>
              <w:rPr>
                <w:rFonts w:ascii="Times New Roman"/>
                <w:sz w:val="21"/>
              </w:rPr>
            </w:pPr>
            <w:r>
              <w:rPr>
                <w:rFonts w:ascii="Times New Roman"/>
                <w:w w:val="95"/>
                <w:sz w:val="21"/>
              </w:rPr>
              <w:t>HJ805-2016</w:t>
            </w:r>
          </w:p>
        </w:tc>
      </w:tr>
    </w:tbl>
    <w:p>
      <w:pPr>
        <w:spacing w:after="0"/>
        <w:jc w:val="right"/>
        <w:rPr>
          <w:rFonts w:ascii="Times New Roman"/>
          <w:sz w:val="21"/>
        </w:rPr>
        <w:sectPr>
          <w:pgSz w:w="11910" w:h="16840"/>
          <w:pgMar w:top="1400" w:right="0" w:bottom="800" w:left="0" w:header="0" w:footer="601" w:gutter="0"/>
        </w:sectPr>
      </w:pPr>
    </w:p>
    <w:tbl>
      <w:tblPr>
        <w:tblStyle w:val="15"/>
        <w:tblW w:w="0" w:type="auto"/>
        <w:tblInd w:w="14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18"/>
        <w:gridCol w:w="5603"/>
        <w:gridCol w:w="17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bottom w:val="single" w:color="000000" w:sz="4" w:space="0"/>
              <w:right w:val="single" w:color="000000" w:sz="4" w:space="0"/>
            </w:tcBorders>
          </w:tcPr>
          <w:p>
            <w:pPr>
              <w:pStyle w:val="19"/>
              <w:spacing w:before="36"/>
              <w:ind w:left="66" w:right="52"/>
              <w:rPr>
                <w:sz w:val="21"/>
              </w:rPr>
            </w:pPr>
            <w:r>
              <w:rPr>
                <w:sz w:val="21"/>
              </w:rPr>
              <w:t>分析项目</w:t>
            </w:r>
          </w:p>
        </w:tc>
        <w:tc>
          <w:tcPr>
            <w:tcW w:w="5603" w:type="dxa"/>
            <w:tcBorders>
              <w:left w:val="single" w:color="000000" w:sz="4" w:space="0"/>
              <w:bottom w:val="single" w:color="000000" w:sz="4" w:space="0"/>
              <w:right w:val="single" w:color="000000" w:sz="4" w:space="0"/>
            </w:tcBorders>
          </w:tcPr>
          <w:p>
            <w:pPr>
              <w:pStyle w:val="19"/>
              <w:spacing w:before="36"/>
              <w:ind w:left="178" w:right="165"/>
              <w:rPr>
                <w:sz w:val="21"/>
              </w:rPr>
            </w:pPr>
            <w:r>
              <w:rPr>
                <w:sz w:val="21"/>
              </w:rPr>
              <w:t>分析方法</w:t>
            </w:r>
          </w:p>
        </w:tc>
        <w:tc>
          <w:tcPr>
            <w:tcW w:w="1765" w:type="dxa"/>
            <w:tcBorders>
              <w:left w:val="single" w:color="000000" w:sz="4" w:space="0"/>
              <w:bottom w:val="single" w:color="000000" w:sz="4" w:space="0"/>
            </w:tcBorders>
          </w:tcPr>
          <w:p>
            <w:pPr>
              <w:pStyle w:val="19"/>
              <w:spacing w:before="36"/>
              <w:ind w:right="339"/>
              <w:jc w:val="right"/>
              <w:rPr>
                <w:sz w:val="21"/>
              </w:rPr>
            </w:pPr>
            <w:r>
              <w:rPr>
                <w:w w:val="95"/>
                <w:sz w:val="21"/>
              </w:rPr>
              <w:t>方法标准号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18" w:type="dxa"/>
            <w:tcBorders>
              <w:top w:val="single" w:color="000000" w:sz="4" w:space="0"/>
              <w:bottom w:val="single" w:color="000000" w:sz="4" w:space="0"/>
              <w:right w:val="single" w:color="000000" w:sz="4" w:space="0"/>
            </w:tcBorders>
          </w:tcPr>
          <w:p>
            <w:pPr>
              <w:pStyle w:val="19"/>
              <w:spacing w:before="63"/>
              <w:ind w:left="71" w:right="52"/>
              <w:rPr>
                <w:sz w:val="21"/>
              </w:rPr>
            </w:pPr>
            <w:r>
              <w:rPr>
                <w:sz w:val="21"/>
              </w:rPr>
              <w:t>苯并</w:t>
            </w:r>
            <w:r>
              <w:rPr>
                <w:rFonts w:ascii="Times New Roman" w:eastAsia="Times New Roman"/>
                <w:sz w:val="21"/>
              </w:rPr>
              <w:t>[a]</w:t>
            </w:r>
            <w:r>
              <w:rPr>
                <w:sz w:val="21"/>
              </w:rPr>
              <w:t>芘</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63"/>
              <w:ind w:left="181" w:right="165"/>
              <w:rPr>
                <w:sz w:val="21"/>
              </w:rPr>
            </w:pPr>
            <w:r>
              <w:rPr>
                <w:sz w:val="21"/>
              </w:rPr>
              <w:t>土壤和沉积物多环芳烃的测定气相色谱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81"/>
              <w:ind w:right="342"/>
              <w:jc w:val="right"/>
              <w:rPr>
                <w:rFonts w:ascii="Times New Roman"/>
                <w:sz w:val="21"/>
              </w:rPr>
            </w:pPr>
            <w:r>
              <w:rPr>
                <w:rFonts w:ascii="Times New Roman"/>
                <w:w w:val="95"/>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1" w:hRule="atLeast"/>
        </w:trPr>
        <w:tc>
          <w:tcPr>
            <w:tcW w:w="1718" w:type="dxa"/>
            <w:tcBorders>
              <w:top w:val="single" w:color="000000" w:sz="4" w:space="0"/>
              <w:bottom w:val="single" w:color="000000" w:sz="4" w:space="0"/>
              <w:right w:val="single" w:color="000000" w:sz="4" w:space="0"/>
            </w:tcBorders>
          </w:tcPr>
          <w:p>
            <w:pPr>
              <w:pStyle w:val="19"/>
              <w:spacing w:before="64"/>
              <w:ind w:left="69" w:right="52"/>
              <w:rPr>
                <w:sz w:val="21"/>
              </w:rPr>
            </w:pPr>
            <w:r>
              <w:rPr>
                <w:sz w:val="21"/>
              </w:rPr>
              <w:t>苯并</w:t>
            </w:r>
            <w:r>
              <w:rPr>
                <w:rFonts w:ascii="Times New Roman" w:eastAsia="Times New Roman"/>
                <w:sz w:val="21"/>
              </w:rPr>
              <w:t>[b]</w:t>
            </w:r>
            <w:r>
              <w:rPr>
                <w:sz w:val="21"/>
              </w:rPr>
              <w:t>荧蒽</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64"/>
              <w:ind w:left="181" w:right="165"/>
              <w:rPr>
                <w:sz w:val="21"/>
              </w:rPr>
            </w:pPr>
            <w:r>
              <w:rPr>
                <w:sz w:val="21"/>
              </w:rPr>
              <w:t>土壤和沉积物多环芳烃的测定气相色谱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80"/>
              <w:ind w:right="342"/>
              <w:jc w:val="right"/>
              <w:rPr>
                <w:rFonts w:ascii="Times New Roman"/>
                <w:sz w:val="21"/>
              </w:rPr>
            </w:pPr>
            <w:r>
              <w:rPr>
                <w:rFonts w:ascii="Times New Roman"/>
                <w:w w:val="95"/>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18" w:type="dxa"/>
            <w:tcBorders>
              <w:top w:val="single" w:color="000000" w:sz="4" w:space="0"/>
              <w:bottom w:val="single" w:color="000000" w:sz="4" w:space="0"/>
              <w:right w:val="single" w:color="000000" w:sz="4" w:space="0"/>
            </w:tcBorders>
          </w:tcPr>
          <w:p>
            <w:pPr>
              <w:pStyle w:val="19"/>
              <w:spacing w:before="63"/>
              <w:ind w:left="69" w:right="52"/>
              <w:rPr>
                <w:sz w:val="21"/>
              </w:rPr>
            </w:pPr>
            <w:r>
              <w:rPr>
                <w:sz w:val="21"/>
              </w:rPr>
              <w:t>苯并</w:t>
            </w:r>
            <w:r>
              <w:rPr>
                <w:rFonts w:ascii="Times New Roman" w:eastAsia="Times New Roman"/>
                <w:sz w:val="21"/>
              </w:rPr>
              <w:t>[k]</w:t>
            </w:r>
            <w:r>
              <w:rPr>
                <w:sz w:val="21"/>
              </w:rPr>
              <w:t>荧蒽</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63"/>
              <w:ind w:left="181" w:right="165"/>
              <w:rPr>
                <w:sz w:val="21"/>
              </w:rPr>
            </w:pPr>
            <w:r>
              <w:rPr>
                <w:sz w:val="21"/>
              </w:rPr>
              <w:t>土壤和沉积物多环芳烃的测定气相色谱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81"/>
              <w:ind w:right="342"/>
              <w:jc w:val="right"/>
              <w:rPr>
                <w:rFonts w:ascii="Times New Roman"/>
                <w:sz w:val="21"/>
              </w:rPr>
            </w:pPr>
            <w:r>
              <w:rPr>
                <w:rFonts w:ascii="Times New Roman"/>
                <w:w w:val="95"/>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18" w:type="dxa"/>
            <w:tcBorders>
              <w:top w:val="single" w:color="000000" w:sz="4" w:space="0"/>
              <w:bottom w:val="single" w:color="000000" w:sz="4" w:space="0"/>
              <w:right w:val="single" w:color="000000" w:sz="4" w:space="0"/>
            </w:tcBorders>
          </w:tcPr>
          <w:p>
            <w:pPr>
              <w:pStyle w:val="19"/>
              <w:spacing w:before="64"/>
              <w:ind w:left="14"/>
              <w:rPr>
                <w:sz w:val="21"/>
              </w:rPr>
            </w:pPr>
            <w:r>
              <w:rPr>
                <w:w w:val="99"/>
                <w:sz w:val="21"/>
              </w:rPr>
              <w:t>䓛</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64"/>
              <w:ind w:left="181" w:right="165"/>
              <w:rPr>
                <w:sz w:val="21"/>
              </w:rPr>
            </w:pPr>
            <w:r>
              <w:rPr>
                <w:sz w:val="21"/>
              </w:rPr>
              <w:t>土壤和沉积物多环芳烃的测定气相色谱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80"/>
              <w:ind w:right="342"/>
              <w:jc w:val="right"/>
              <w:rPr>
                <w:rFonts w:ascii="Times New Roman"/>
                <w:sz w:val="21"/>
              </w:rPr>
            </w:pPr>
            <w:r>
              <w:rPr>
                <w:rFonts w:ascii="Times New Roman"/>
                <w:w w:val="95"/>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18" w:type="dxa"/>
            <w:tcBorders>
              <w:top w:val="single" w:color="000000" w:sz="4" w:space="0"/>
              <w:bottom w:val="single" w:color="000000" w:sz="4" w:space="0"/>
              <w:right w:val="single" w:color="000000" w:sz="4" w:space="0"/>
            </w:tcBorders>
          </w:tcPr>
          <w:p>
            <w:pPr>
              <w:pStyle w:val="19"/>
              <w:spacing w:before="63"/>
              <w:ind w:left="71" w:right="52"/>
              <w:rPr>
                <w:sz w:val="21"/>
              </w:rPr>
            </w:pPr>
            <w:r>
              <w:rPr>
                <w:sz w:val="21"/>
              </w:rPr>
              <w:t>茚并</w:t>
            </w:r>
            <w:r>
              <w:rPr>
                <w:rFonts w:ascii="Times New Roman" w:eastAsia="Times New Roman"/>
                <w:sz w:val="21"/>
              </w:rPr>
              <w:t>[1,2,3-cd]</w:t>
            </w:r>
            <w:r>
              <w:rPr>
                <w:sz w:val="21"/>
              </w:rPr>
              <w:t>芘</w:t>
            </w:r>
          </w:p>
        </w:tc>
        <w:tc>
          <w:tcPr>
            <w:tcW w:w="5603" w:type="dxa"/>
            <w:tcBorders>
              <w:top w:val="single" w:color="000000" w:sz="4" w:space="0"/>
              <w:left w:val="single" w:color="000000" w:sz="4" w:space="0"/>
              <w:bottom w:val="single" w:color="000000" w:sz="4" w:space="0"/>
              <w:right w:val="single" w:color="000000" w:sz="4" w:space="0"/>
            </w:tcBorders>
          </w:tcPr>
          <w:p>
            <w:pPr>
              <w:pStyle w:val="19"/>
              <w:spacing w:before="63"/>
              <w:ind w:left="181" w:right="165"/>
              <w:rPr>
                <w:sz w:val="21"/>
              </w:rPr>
            </w:pPr>
            <w:r>
              <w:rPr>
                <w:sz w:val="21"/>
              </w:rPr>
              <w:t>土壤和沉积物多环芳烃的测定气相色谱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9"/>
              <w:spacing w:before="81"/>
              <w:ind w:right="342"/>
              <w:jc w:val="right"/>
              <w:rPr>
                <w:rFonts w:ascii="Times New Roman"/>
                <w:sz w:val="21"/>
              </w:rPr>
            </w:pPr>
            <w:r>
              <w:rPr>
                <w:rFonts w:ascii="Times New Roman"/>
                <w:w w:val="95"/>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4" w:hRule="atLeast"/>
        </w:trPr>
        <w:tc>
          <w:tcPr>
            <w:tcW w:w="1718" w:type="dxa"/>
            <w:tcBorders>
              <w:top w:val="single" w:color="000000" w:sz="4" w:space="0"/>
              <w:right w:val="single" w:color="000000" w:sz="4" w:space="0"/>
            </w:tcBorders>
          </w:tcPr>
          <w:p>
            <w:pPr>
              <w:pStyle w:val="19"/>
              <w:spacing w:before="95"/>
              <w:ind w:left="69" w:right="52"/>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5603" w:type="dxa"/>
            <w:tcBorders>
              <w:top w:val="single" w:color="000000" w:sz="4" w:space="0"/>
              <w:left w:val="single" w:color="000000" w:sz="4" w:space="0"/>
              <w:right w:val="single" w:color="000000" w:sz="4" w:space="0"/>
            </w:tcBorders>
          </w:tcPr>
          <w:p>
            <w:pPr>
              <w:pStyle w:val="19"/>
              <w:spacing w:before="95"/>
              <w:ind w:left="181" w:right="165"/>
              <w:rPr>
                <w:sz w:val="21"/>
              </w:rPr>
            </w:pPr>
            <w:r>
              <w:rPr>
                <w:sz w:val="21"/>
              </w:rPr>
              <w:t>土壤和沉积物多环芳烃的测定气相色谱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tcBorders>
          </w:tcPr>
          <w:p>
            <w:pPr>
              <w:pStyle w:val="19"/>
              <w:spacing w:before="111"/>
              <w:ind w:right="342"/>
              <w:jc w:val="right"/>
              <w:rPr>
                <w:rFonts w:ascii="Times New Roman"/>
                <w:sz w:val="21"/>
              </w:rPr>
            </w:pPr>
            <w:r>
              <w:rPr>
                <w:rFonts w:ascii="Times New Roman"/>
                <w:w w:val="95"/>
                <w:sz w:val="21"/>
              </w:rPr>
              <w:t>HJ805-2016</w:t>
            </w:r>
          </w:p>
        </w:tc>
      </w:tr>
    </w:tbl>
    <w:p>
      <w:pPr>
        <w:pStyle w:val="9"/>
        <w:spacing w:before="3"/>
        <w:ind w:left="1900"/>
      </w:pPr>
      <w:r>
        <w:rPr>
          <w:rFonts w:ascii="Times New Roman" w:eastAsia="Times New Roman"/>
        </w:rPr>
        <w:t>6</w:t>
      </w:r>
      <w:r>
        <w:t>、监测结果</w:t>
      </w:r>
    </w:p>
    <w:p>
      <w:pPr>
        <w:pStyle w:val="9"/>
        <w:spacing w:before="159"/>
        <w:ind w:left="1900"/>
      </w:pPr>
      <w:r>
        <w:t>（</w:t>
      </w:r>
      <w:r>
        <w:rPr>
          <w:rFonts w:ascii="Times New Roman" w:eastAsia="Times New Roman"/>
        </w:rPr>
        <w:t>1</w:t>
      </w:r>
      <w:r>
        <w:t>）土壤环境质量评价分析</w:t>
      </w:r>
    </w:p>
    <w:p>
      <w:pPr>
        <w:pStyle w:val="9"/>
        <w:spacing w:before="158"/>
        <w:ind w:left="1900"/>
      </w:pPr>
      <w:r>
        <w:t>土壤环境质量现状监测结果见下表。</w:t>
      </w:r>
    </w:p>
    <w:p>
      <w:pPr>
        <w:spacing w:before="159"/>
        <w:ind w:left="10" w:right="0" w:firstLine="0"/>
        <w:jc w:val="center"/>
        <w:rPr>
          <w:b/>
          <w:sz w:val="21"/>
        </w:rPr>
      </w:pPr>
      <w:r>
        <w:rPr>
          <w:b/>
          <w:spacing w:val="-26"/>
          <w:sz w:val="21"/>
        </w:rPr>
        <w:t xml:space="preserve">表 </w:t>
      </w:r>
      <w:r>
        <w:rPr>
          <w:rFonts w:ascii="Times New Roman" w:eastAsia="Times New Roman"/>
          <w:b/>
          <w:sz w:val="21"/>
        </w:rPr>
        <w:t>9.3-8</w:t>
      </w:r>
      <w:r>
        <w:rPr>
          <w:rFonts w:ascii="Times New Roman" w:eastAsia="Times New Roman"/>
          <w:b/>
          <w:spacing w:val="52"/>
          <w:sz w:val="21"/>
        </w:rPr>
        <w:t xml:space="preserve"> </w:t>
      </w:r>
      <w:r>
        <w:rPr>
          <w:b/>
          <w:sz w:val="21"/>
        </w:rPr>
        <w:t>土壤环境质量现状监测结果（</w:t>
      </w:r>
      <w:r>
        <w:rPr>
          <w:rFonts w:ascii="Times New Roman" w:eastAsia="Times New Roman"/>
          <w:b/>
          <w:sz w:val="21"/>
        </w:rPr>
        <w:t>1</w:t>
      </w:r>
      <w:r>
        <w:rPr>
          <w:b/>
          <w:sz w:val="21"/>
        </w:rPr>
        <w:t>）</w:t>
      </w:r>
    </w:p>
    <w:p>
      <w:pPr>
        <w:pStyle w:val="9"/>
        <w:spacing w:before="11"/>
        <w:rPr>
          <w:b/>
          <w:sz w:val="10"/>
        </w:rPr>
      </w:pPr>
    </w:p>
    <w:tbl>
      <w:tblPr>
        <w:tblStyle w:val="15"/>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05"/>
        <w:gridCol w:w="1618"/>
        <w:gridCol w:w="2731"/>
        <w:gridCol w:w="2738"/>
        <w:gridCol w:w="100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205" w:type="dxa"/>
            <w:vMerge w:val="restart"/>
            <w:tcBorders>
              <w:bottom w:val="single" w:color="000000" w:sz="4" w:space="0"/>
              <w:right w:val="single" w:color="000000" w:sz="4" w:space="0"/>
            </w:tcBorders>
          </w:tcPr>
          <w:p>
            <w:pPr>
              <w:pStyle w:val="19"/>
              <w:spacing w:before="6"/>
              <w:jc w:val="left"/>
              <w:rPr>
                <w:b/>
                <w:sz w:val="24"/>
              </w:rPr>
            </w:pPr>
          </w:p>
          <w:p>
            <w:pPr>
              <w:pStyle w:val="19"/>
              <w:ind w:left="184"/>
              <w:jc w:val="left"/>
              <w:rPr>
                <w:sz w:val="21"/>
              </w:rPr>
            </w:pPr>
            <w:r>
              <w:rPr>
                <w:sz w:val="21"/>
              </w:rPr>
              <w:t>采样时间</w:t>
            </w:r>
          </w:p>
        </w:tc>
        <w:tc>
          <w:tcPr>
            <w:tcW w:w="1618" w:type="dxa"/>
            <w:vMerge w:val="restart"/>
            <w:tcBorders>
              <w:left w:val="single" w:color="000000" w:sz="4" w:space="0"/>
              <w:bottom w:val="single" w:color="000000" w:sz="4" w:space="0"/>
              <w:right w:val="single" w:color="000000" w:sz="4" w:space="0"/>
            </w:tcBorders>
          </w:tcPr>
          <w:p>
            <w:pPr>
              <w:pStyle w:val="19"/>
              <w:spacing w:before="6"/>
              <w:jc w:val="left"/>
              <w:rPr>
                <w:b/>
                <w:sz w:val="24"/>
              </w:rPr>
            </w:pPr>
          </w:p>
          <w:p>
            <w:pPr>
              <w:pStyle w:val="19"/>
              <w:ind w:left="393"/>
              <w:jc w:val="left"/>
              <w:rPr>
                <w:sz w:val="21"/>
              </w:rPr>
            </w:pPr>
            <w:r>
              <w:rPr>
                <w:sz w:val="21"/>
              </w:rPr>
              <w:t>检测项目</w:t>
            </w:r>
          </w:p>
        </w:tc>
        <w:tc>
          <w:tcPr>
            <w:tcW w:w="5469" w:type="dxa"/>
            <w:gridSpan w:val="2"/>
            <w:tcBorders>
              <w:left w:val="single" w:color="000000" w:sz="4" w:space="0"/>
              <w:bottom w:val="single" w:color="000000" w:sz="4" w:space="0"/>
              <w:right w:val="single" w:color="000000" w:sz="4" w:space="0"/>
            </w:tcBorders>
          </w:tcPr>
          <w:p>
            <w:pPr>
              <w:pStyle w:val="19"/>
              <w:spacing w:before="2"/>
              <w:ind w:left="2296" w:right="2282"/>
              <w:rPr>
                <w:sz w:val="21"/>
              </w:rPr>
            </w:pPr>
            <w:r>
              <w:rPr>
                <w:sz w:val="21"/>
              </w:rPr>
              <w:t>检测结果</w:t>
            </w:r>
          </w:p>
        </w:tc>
        <w:tc>
          <w:tcPr>
            <w:tcW w:w="1007" w:type="dxa"/>
            <w:vMerge w:val="restart"/>
            <w:tcBorders>
              <w:left w:val="single" w:color="000000" w:sz="4" w:space="0"/>
              <w:bottom w:val="single" w:color="000000" w:sz="4" w:space="0"/>
            </w:tcBorders>
          </w:tcPr>
          <w:p>
            <w:pPr>
              <w:pStyle w:val="19"/>
              <w:spacing w:before="6"/>
              <w:jc w:val="left"/>
              <w:rPr>
                <w:b/>
                <w:sz w:val="24"/>
              </w:rPr>
            </w:pPr>
          </w:p>
          <w:p>
            <w:pPr>
              <w:pStyle w:val="19"/>
              <w:ind w:left="295"/>
              <w:jc w:val="left"/>
              <w:rPr>
                <w:sz w:val="21"/>
              </w:rPr>
            </w:pPr>
            <w:r>
              <w:rPr>
                <w:sz w:val="21"/>
              </w:rPr>
              <w:t>单位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6" w:hRule="atLeast"/>
        </w:trPr>
        <w:tc>
          <w:tcPr>
            <w:tcW w:w="1205" w:type="dxa"/>
            <w:vMerge w:val="continue"/>
            <w:tcBorders>
              <w:top w:val="nil"/>
              <w:bottom w:val="single" w:color="000000" w:sz="4" w:space="0"/>
              <w:right w:val="single" w:color="000000" w:sz="4" w:space="0"/>
            </w:tcBorders>
          </w:tcPr>
          <w:p>
            <w:pPr>
              <w:rPr>
                <w:sz w:val="2"/>
                <w:szCs w:val="2"/>
              </w:rPr>
            </w:pPr>
          </w:p>
        </w:tc>
        <w:tc>
          <w:tcPr>
            <w:tcW w:w="1618" w:type="dxa"/>
            <w:vMerge w:val="continue"/>
            <w:tcBorders>
              <w:top w:val="nil"/>
              <w:left w:val="single" w:color="000000" w:sz="4" w:space="0"/>
              <w:bottom w:val="single" w:color="000000" w:sz="4" w:space="0"/>
              <w:right w:val="single" w:color="000000" w:sz="4" w:space="0"/>
            </w:tcBorders>
          </w:tcPr>
          <w:p>
            <w:pPr>
              <w:rPr>
                <w:sz w:val="2"/>
                <w:szCs w:val="2"/>
              </w:rPr>
            </w:pPr>
          </w:p>
        </w:tc>
        <w:tc>
          <w:tcPr>
            <w:tcW w:w="2731" w:type="dxa"/>
            <w:tcBorders>
              <w:top w:val="single" w:color="000000" w:sz="4" w:space="0"/>
              <w:left w:val="single" w:color="000000" w:sz="4" w:space="0"/>
              <w:bottom w:val="single" w:color="000000" w:sz="4" w:space="0"/>
              <w:right w:val="single" w:color="000000" w:sz="4" w:space="0"/>
            </w:tcBorders>
          </w:tcPr>
          <w:p>
            <w:pPr>
              <w:pStyle w:val="19"/>
              <w:ind w:left="297" w:right="283"/>
              <w:rPr>
                <w:sz w:val="21"/>
              </w:rPr>
            </w:pPr>
            <w:r>
              <w:rPr>
                <w:sz w:val="21"/>
              </w:rPr>
              <w:t>主井工业广场内表层土</w:t>
            </w:r>
          </w:p>
          <w:p>
            <w:pPr>
              <w:pStyle w:val="19"/>
              <w:spacing w:before="55"/>
              <w:ind w:left="297" w:right="277"/>
              <w:rPr>
                <w:rFonts w:ascii="Times New Roman"/>
                <w:sz w:val="21"/>
              </w:rPr>
            </w:pPr>
            <w:r>
              <w:rPr>
                <w:rFonts w:ascii="Times New Roman"/>
                <w:sz w:val="21"/>
              </w:rPr>
              <w:t>TR3006-20101</w:t>
            </w:r>
          </w:p>
        </w:tc>
        <w:tc>
          <w:tcPr>
            <w:tcW w:w="2738" w:type="dxa"/>
            <w:tcBorders>
              <w:top w:val="single" w:color="000000" w:sz="4" w:space="0"/>
              <w:left w:val="single" w:color="000000" w:sz="4" w:space="0"/>
              <w:bottom w:val="single" w:color="000000" w:sz="4" w:space="0"/>
              <w:right w:val="single" w:color="000000" w:sz="4" w:space="0"/>
            </w:tcBorders>
          </w:tcPr>
          <w:p>
            <w:pPr>
              <w:pStyle w:val="19"/>
              <w:ind w:left="302" w:right="285"/>
              <w:rPr>
                <w:sz w:val="21"/>
              </w:rPr>
            </w:pPr>
            <w:r>
              <w:rPr>
                <w:sz w:val="21"/>
              </w:rPr>
              <w:t>副井工业广场内表层土</w:t>
            </w:r>
          </w:p>
          <w:p>
            <w:pPr>
              <w:pStyle w:val="19"/>
              <w:spacing w:before="55"/>
              <w:ind w:left="302" w:right="284"/>
              <w:rPr>
                <w:rFonts w:ascii="Times New Roman"/>
                <w:sz w:val="21"/>
              </w:rPr>
            </w:pPr>
            <w:r>
              <w:rPr>
                <w:rFonts w:ascii="Times New Roman"/>
                <w:sz w:val="21"/>
              </w:rPr>
              <w:t>TR3006-20401</w:t>
            </w:r>
          </w:p>
        </w:tc>
        <w:tc>
          <w:tcPr>
            <w:tcW w:w="100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trPr>
        <w:tc>
          <w:tcPr>
            <w:tcW w:w="1205" w:type="dxa"/>
            <w:vMerge w:val="restart"/>
            <w:tcBorders>
              <w:top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6"/>
              <w:jc w:val="left"/>
              <w:rPr>
                <w:b/>
                <w:sz w:val="26"/>
              </w:rPr>
            </w:pPr>
          </w:p>
          <w:p>
            <w:pPr>
              <w:pStyle w:val="19"/>
              <w:ind w:left="131"/>
              <w:jc w:val="left"/>
              <w:rPr>
                <w:rFonts w:ascii="Times New Roman"/>
                <w:sz w:val="21"/>
              </w:rPr>
            </w:pPr>
            <w:r>
              <w:rPr>
                <w:rFonts w:ascii="Times New Roman"/>
                <w:sz w:val="21"/>
              </w:rPr>
              <w:t>2020.04.14</w:t>
            </w:r>
          </w:p>
        </w:tc>
        <w:tc>
          <w:tcPr>
            <w:tcW w:w="1618" w:type="dxa"/>
            <w:tcBorders>
              <w:top w:val="single" w:color="000000" w:sz="4" w:space="0"/>
              <w:left w:val="single" w:color="000000" w:sz="4" w:space="0"/>
              <w:bottom w:val="single" w:color="000000" w:sz="4" w:space="0"/>
              <w:right w:val="single" w:color="000000" w:sz="4" w:space="0"/>
            </w:tcBorders>
          </w:tcPr>
          <w:p>
            <w:pPr>
              <w:pStyle w:val="19"/>
              <w:ind w:left="48" w:right="31"/>
              <w:rPr>
                <w:sz w:val="21"/>
              </w:rPr>
            </w:pPr>
            <w:r>
              <w:rPr>
                <w:rFonts w:ascii="Times New Roman" w:eastAsia="Times New Roman"/>
                <w:sz w:val="21"/>
              </w:rPr>
              <w:t xml:space="preserve">pH </w:t>
            </w:r>
            <w:r>
              <w:rPr>
                <w:sz w:val="21"/>
              </w:rPr>
              <w:t>值</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43"/>
              <w:ind w:left="297" w:right="277"/>
              <w:rPr>
                <w:rFonts w:ascii="Times New Roman"/>
                <w:sz w:val="21"/>
              </w:rPr>
            </w:pPr>
            <w:bookmarkStart w:id="551" w:name="7.12"/>
            <w:bookmarkEnd w:id="551"/>
            <w:r>
              <w:rPr>
                <w:rFonts w:ascii="Times New Roman"/>
                <w:sz w:val="21"/>
              </w:rPr>
              <w:t>7.12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43"/>
              <w:ind w:left="302" w:right="282"/>
              <w:rPr>
                <w:rFonts w:ascii="Times New Roman"/>
                <w:sz w:val="21"/>
              </w:rPr>
            </w:pPr>
            <w:bookmarkStart w:id="552" w:name="7.47"/>
            <w:bookmarkEnd w:id="552"/>
            <w:r>
              <w:rPr>
                <w:rFonts w:ascii="Times New Roman"/>
                <w:sz w:val="21"/>
              </w:rPr>
              <w:t>7.47</w:t>
            </w:r>
          </w:p>
        </w:tc>
        <w:tc>
          <w:tcPr>
            <w:tcW w:w="1007" w:type="dxa"/>
            <w:tcBorders>
              <w:top w:val="single" w:color="000000" w:sz="4" w:space="0"/>
              <w:left w:val="single" w:color="000000" w:sz="4" w:space="0"/>
              <w:bottom w:val="single" w:color="000000" w:sz="4" w:space="0"/>
            </w:tcBorders>
          </w:tcPr>
          <w:p>
            <w:pPr>
              <w:pStyle w:val="19"/>
              <w:ind w:left="189"/>
              <w:jc w:val="left"/>
              <w:rPr>
                <w:sz w:val="21"/>
              </w:rPr>
            </w:pPr>
            <w:r>
              <w:rPr>
                <w:sz w:val="21"/>
              </w:rPr>
              <w:t>无量纲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29"/>
              <w:rPr>
                <w:sz w:val="21"/>
              </w:rPr>
            </w:pPr>
            <w:r>
              <w:rPr>
                <w:sz w:val="21"/>
              </w:rPr>
              <w:t>含盐量</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40"/>
              <w:ind w:left="297" w:right="280"/>
              <w:rPr>
                <w:rFonts w:ascii="Times New Roman"/>
                <w:sz w:val="21"/>
              </w:rPr>
            </w:pPr>
            <w:bookmarkStart w:id="553" w:name="1.5"/>
            <w:bookmarkEnd w:id="553"/>
            <w:r>
              <w:rPr>
                <w:rFonts w:ascii="Times New Roman"/>
                <w:sz w:val="21"/>
              </w:rPr>
              <w:t>1.5</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40"/>
              <w:ind w:left="302" w:right="282"/>
              <w:rPr>
                <w:rFonts w:ascii="Times New Roman"/>
                <w:sz w:val="21"/>
              </w:rPr>
            </w:pPr>
            <w:bookmarkStart w:id="554" w:name="1.8"/>
            <w:bookmarkEnd w:id="554"/>
            <w:r>
              <w:rPr>
                <w:rFonts w:ascii="Times New Roman"/>
                <w:sz w:val="21"/>
              </w:rPr>
              <w:t>1.8</w:t>
            </w:r>
          </w:p>
        </w:tc>
        <w:tc>
          <w:tcPr>
            <w:tcW w:w="1007" w:type="dxa"/>
            <w:tcBorders>
              <w:top w:val="single" w:color="000000" w:sz="4" w:space="0"/>
              <w:left w:val="single" w:color="000000" w:sz="4" w:space="0"/>
              <w:bottom w:val="single" w:color="000000" w:sz="4" w:space="0"/>
            </w:tcBorders>
          </w:tcPr>
          <w:p>
            <w:pPr>
              <w:pStyle w:val="19"/>
              <w:spacing w:before="14"/>
              <w:ind w:left="319"/>
              <w:jc w:val="left"/>
              <w:rPr>
                <w:rFonts w:ascii="Times New Roman"/>
                <w:sz w:val="21"/>
              </w:rPr>
            </w:pPr>
            <w:r>
              <w:rPr>
                <w:rFonts w:ascii="Times New Roman"/>
                <w:sz w:val="21"/>
              </w:rPr>
              <w:t>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6" w:lineRule="exact"/>
              <w:ind w:left="17"/>
              <w:rPr>
                <w:sz w:val="21"/>
              </w:rPr>
            </w:pPr>
            <w:r>
              <w:rPr>
                <w:w w:val="99"/>
                <w:sz w:val="21"/>
              </w:rPr>
              <w:t>砷</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39"/>
              <w:ind w:left="297" w:right="277"/>
              <w:rPr>
                <w:rFonts w:ascii="Times New Roman"/>
                <w:sz w:val="21"/>
              </w:rPr>
            </w:pPr>
            <w:bookmarkStart w:id="555" w:name="10.6"/>
            <w:bookmarkEnd w:id="555"/>
            <w:r>
              <w:rPr>
                <w:rFonts w:ascii="Times New Roman"/>
                <w:sz w:val="21"/>
              </w:rPr>
              <w:t>10.6</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39"/>
              <w:ind w:left="302" w:right="282"/>
              <w:rPr>
                <w:rFonts w:ascii="Times New Roman"/>
                <w:sz w:val="21"/>
              </w:rPr>
            </w:pPr>
            <w:bookmarkStart w:id="556" w:name="10.7"/>
            <w:bookmarkEnd w:id="556"/>
            <w:r>
              <w:rPr>
                <w:rFonts w:ascii="Times New Roman"/>
                <w:sz w:val="21"/>
              </w:rPr>
              <w:t>10.7</w:t>
            </w:r>
          </w:p>
        </w:tc>
        <w:tc>
          <w:tcPr>
            <w:tcW w:w="1007" w:type="dxa"/>
            <w:tcBorders>
              <w:top w:val="single" w:color="000000" w:sz="4" w:space="0"/>
              <w:left w:val="single" w:color="000000" w:sz="4" w:space="0"/>
              <w:bottom w:val="single" w:color="000000" w:sz="4" w:space="0"/>
            </w:tcBorders>
          </w:tcPr>
          <w:p>
            <w:pPr>
              <w:pStyle w:val="19"/>
              <w:spacing w:before="13"/>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17"/>
              <w:rPr>
                <w:sz w:val="21"/>
              </w:rPr>
            </w:pPr>
            <w:r>
              <w:rPr>
                <w:w w:val="99"/>
                <w:sz w:val="21"/>
              </w:rPr>
              <w:t>镉</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38"/>
              <w:ind w:left="297" w:right="277"/>
              <w:rPr>
                <w:rFonts w:ascii="Times New Roman"/>
                <w:sz w:val="21"/>
              </w:rPr>
            </w:pPr>
            <w:bookmarkStart w:id="557" w:name="0.09"/>
            <w:bookmarkEnd w:id="557"/>
            <w:r>
              <w:rPr>
                <w:rFonts w:ascii="Times New Roman"/>
                <w:sz w:val="21"/>
              </w:rPr>
              <w:t>0.09</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38"/>
              <w:ind w:left="302" w:right="282"/>
              <w:rPr>
                <w:rFonts w:ascii="Times New Roman"/>
                <w:sz w:val="21"/>
              </w:rPr>
            </w:pPr>
            <w:bookmarkStart w:id="558" w:name="0.10"/>
            <w:bookmarkEnd w:id="558"/>
            <w:r>
              <w:rPr>
                <w:rFonts w:ascii="Times New Roman"/>
                <w:sz w:val="21"/>
              </w:rPr>
              <w:t>0.10</w:t>
            </w:r>
          </w:p>
        </w:tc>
        <w:tc>
          <w:tcPr>
            <w:tcW w:w="1007" w:type="dxa"/>
            <w:tcBorders>
              <w:top w:val="single" w:color="000000" w:sz="4" w:space="0"/>
              <w:left w:val="single" w:color="000000" w:sz="4" w:space="0"/>
              <w:bottom w:val="single" w:color="000000" w:sz="4" w:space="0"/>
            </w:tcBorders>
          </w:tcPr>
          <w:p>
            <w:pPr>
              <w:pStyle w:val="19"/>
              <w:spacing w:before="12"/>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29"/>
              <w:rPr>
                <w:sz w:val="21"/>
              </w:rPr>
            </w:pPr>
            <w:r>
              <w:rPr>
                <w:sz w:val="21"/>
              </w:rPr>
              <w:t>六价铬</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39"/>
              <w:ind w:left="297" w:right="277"/>
              <w:rPr>
                <w:rFonts w:ascii="Times New Roman"/>
                <w:sz w:val="21"/>
              </w:rPr>
            </w:pPr>
            <w:bookmarkStart w:id="559" w:name="2.26"/>
            <w:bookmarkEnd w:id="559"/>
            <w:r>
              <w:rPr>
                <w:rFonts w:ascii="Times New Roman"/>
                <w:sz w:val="21"/>
              </w:rPr>
              <w:t>2.26</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39"/>
              <w:ind w:left="302" w:right="284"/>
              <w:rPr>
                <w:rFonts w:ascii="Times New Roman"/>
                <w:sz w:val="21"/>
              </w:rPr>
            </w:pPr>
            <w:bookmarkStart w:id="560" w:name="&lt;2"/>
            <w:bookmarkEnd w:id="560"/>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9"/>
              <w:spacing w:before="11"/>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17"/>
              <w:rPr>
                <w:sz w:val="21"/>
              </w:rPr>
            </w:pPr>
            <w:r>
              <w:rPr>
                <w:w w:val="99"/>
                <w:sz w:val="21"/>
              </w:rPr>
              <w:t>铜</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38"/>
              <w:ind w:left="297" w:right="280"/>
              <w:rPr>
                <w:rFonts w:ascii="Times New Roman"/>
                <w:sz w:val="21"/>
              </w:rPr>
            </w:pPr>
            <w:bookmarkStart w:id="561" w:name="10"/>
            <w:bookmarkEnd w:id="561"/>
            <w:r>
              <w:rPr>
                <w:rFonts w:ascii="Times New Roman"/>
                <w:sz w:val="21"/>
              </w:rPr>
              <w:t>10</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38"/>
              <w:ind w:left="302" w:right="282"/>
              <w:rPr>
                <w:rFonts w:ascii="Times New Roman"/>
                <w:sz w:val="21"/>
              </w:rPr>
            </w:pPr>
            <w:bookmarkStart w:id="562" w:name="10"/>
            <w:bookmarkEnd w:id="562"/>
            <w:r>
              <w:rPr>
                <w:rFonts w:ascii="Times New Roman"/>
                <w:sz w:val="21"/>
              </w:rPr>
              <w:t>10</w:t>
            </w:r>
          </w:p>
        </w:tc>
        <w:tc>
          <w:tcPr>
            <w:tcW w:w="1007" w:type="dxa"/>
            <w:tcBorders>
              <w:top w:val="single" w:color="000000" w:sz="4" w:space="0"/>
              <w:left w:val="single" w:color="000000" w:sz="4" w:space="0"/>
              <w:bottom w:val="single" w:color="000000" w:sz="4" w:space="0"/>
            </w:tcBorders>
          </w:tcPr>
          <w:p>
            <w:pPr>
              <w:pStyle w:val="19"/>
              <w:spacing w:before="12"/>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17"/>
              <w:rPr>
                <w:sz w:val="21"/>
              </w:rPr>
            </w:pPr>
            <w:r>
              <w:rPr>
                <w:w w:val="99"/>
                <w:sz w:val="21"/>
              </w:rPr>
              <w:t>铅</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41"/>
              <w:ind w:left="297" w:right="277"/>
              <w:rPr>
                <w:rFonts w:ascii="Times New Roman"/>
                <w:sz w:val="21"/>
              </w:rPr>
            </w:pPr>
            <w:bookmarkStart w:id="563" w:name="31.1"/>
            <w:bookmarkEnd w:id="563"/>
            <w:r>
              <w:rPr>
                <w:rFonts w:ascii="Times New Roman"/>
                <w:sz w:val="21"/>
              </w:rPr>
              <w:t>31.1</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41"/>
              <w:ind w:left="302" w:right="282"/>
              <w:rPr>
                <w:rFonts w:ascii="Times New Roman"/>
                <w:sz w:val="21"/>
              </w:rPr>
            </w:pPr>
            <w:bookmarkStart w:id="564" w:name="33.3"/>
            <w:bookmarkEnd w:id="564"/>
            <w:r>
              <w:rPr>
                <w:rFonts w:ascii="Times New Roman"/>
                <w:sz w:val="21"/>
              </w:rPr>
              <w:t>33.3</w:t>
            </w:r>
          </w:p>
        </w:tc>
        <w:tc>
          <w:tcPr>
            <w:tcW w:w="1007" w:type="dxa"/>
            <w:tcBorders>
              <w:top w:val="single" w:color="000000" w:sz="4" w:space="0"/>
              <w:left w:val="single" w:color="000000" w:sz="4" w:space="0"/>
              <w:bottom w:val="single" w:color="000000" w:sz="4" w:space="0"/>
            </w:tcBorders>
          </w:tcPr>
          <w:p>
            <w:pPr>
              <w:pStyle w:val="19"/>
              <w:spacing w:before="12"/>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17"/>
              <w:rPr>
                <w:sz w:val="21"/>
              </w:rPr>
            </w:pPr>
            <w:r>
              <w:rPr>
                <w:w w:val="99"/>
                <w:sz w:val="21"/>
              </w:rPr>
              <w:t>汞</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40"/>
              <w:ind w:left="297" w:right="280"/>
              <w:rPr>
                <w:rFonts w:ascii="Times New Roman"/>
                <w:sz w:val="21"/>
              </w:rPr>
            </w:pPr>
            <w:bookmarkStart w:id="565" w:name="0.126"/>
            <w:bookmarkEnd w:id="565"/>
            <w:r>
              <w:rPr>
                <w:rFonts w:ascii="Times New Roman"/>
                <w:sz w:val="21"/>
              </w:rPr>
              <w:t>0.126</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40"/>
              <w:ind w:left="302" w:right="282"/>
              <w:rPr>
                <w:rFonts w:ascii="Times New Roman"/>
                <w:sz w:val="21"/>
              </w:rPr>
            </w:pPr>
            <w:bookmarkStart w:id="566" w:name="0.128"/>
            <w:bookmarkEnd w:id="566"/>
            <w:r>
              <w:rPr>
                <w:rFonts w:ascii="Times New Roman"/>
                <w:sz w:val="21"/>
              </w:rPr>
              <w:t>0.128</w:t>
            </w:r>
          </w:p>
        </w:tc>
        <w:tc>
          <w:tcPr>
            <w:tcW w:w="1007" w:type="dxa"/>
            <w:tcBorders>
              <w:top w:val="single" w:color="000000" w:sz="4" w:space="0"/>
              <w:left w:val="single" w:color="000000" w:sz="4" w:space="0"/>
              <w:bottom w:val="single" w:color="000000" w:sz="4" w:space="0"/>
            </w:tcBorders>
          </w:tcPr>
          <w:p>
            <w:pPr>
              <w:pStyle w:val="19"/>
              <w:spacing w:before="13"/>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17"/>
              <w:rPr>
                <w:sz w:val="21"/>
              </w:rPr>
            </w:pPr>
            <w:r>
              <w:rPr>
                <w:w w:val="99"/>
                <w:sz w:val="21"/>
              </w:rPr>
              <w:t>镍</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39"/>
              <w:ind w:left="297" w:right="280"/>
              <w:rPr>
                <w:rFonts w:ascii="Times New Roman"/>
                <w:sz w:val="21"/>
              </w:rPr>
            </w:pPr>
            <w:bookmarkStart w:id="567" w:name="39"/>
            <w:bookmarkEnd w:id="567"/>
            <w:r>
              <w:rPr>
                <w:rFonts w:ascii="Times New Roman"/>
                <w:sz w:val="21"/>
              </w:rPr>
              <w:t>39</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39"/>
              <w:ind w:left="302" w:right="282"/>
              <w:rPr>
                <w:rFonts w:ascii="Times New Roman"/>
                <w:sz w:val="21"/>
              </w:rPr>
            </w:pPr>
            <w:bookmarkStart w:id="568" w:name="51"/>
            <w:bookmarkEnd w:id="568"/>
            <w:r>
              <w:rPr>
                <w:rFonts w:ascii="Times New Roman"/>
                <w:sz w:val="21"/>
              </w:rPr>
              <w:t>51</w:t>
            </w:r>
          </w:p>
        </w:tc>
        <w:tc>
          <w:tcPr>
            <w:tcW w:w="1007" w:type="dxa"/>
            <w:tcBorders>
              <w:top w:val="single" w:color="000000" w:sz="4" w:space="0"/>
              <w:left w:val="single" w:color="000000" w:sz="4" w:space="0"/>
              <w:bottom w:val="single" w:color="000000" w:sz="4" w:space="0"/>
            </w:tcBorders>
          </w:tcPr>
          <w:p>
            <w:pPr>
              <w:pStyle w:val="19"/>
              <w:spacing w:before="12"/>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32"/>
              <w:rPr>
                <w:sz w:val="21"/>
              </w:rPr>
            </w:pPr>
            <w:r>
              <w:rPr>
                <w:sz w:val="21"/>
              </w:rPr>
              <w:t>四氯化碳</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1"/>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1"/>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9"/>
              <w:spacing w:before="11"/>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3" w:lineRule="exact"/>
              <w:ind w:left="48" w:right="29"/>
              <w:rPr>
                <w:sz w:val="21"/>
              </w:rPr>
            </w:pPr>
            <w:r>
              <w:rPr>
                <w:sz w:val="21"/>
              </w:rPr>
              <w:t>氯甲烷</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3"/>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3"/>
              <w:ind w:left="302" w:right="284"/>
              <w:rPr>
                <w:rFonts w:ascii="Times New Roman"/>
                <w:sz w:val="21"/>
              </w:rPr>
            </w:pPr>
            <w:r>
              <w:rPr>
                <w:rFonts w:ascii="Times New Roman"/>
                <w:sz w:val="21"/>
              </w:rPr>
              <w:t>&lt;3</w:t>
            </w:r>
          </w:p>
        </w:tc>
        <w:tc>
          <w:tcPr>
            <w:tcW w:w="1007" w:type="dxa"/>
            <w:tcBorders>
              <w:top w:val="single" w:color="000000" w:sz="4" w:space="0"/>
              <w:left w:val="single" w:color="000000" w:sz="4" w:space="0"/>
              <w:bottom w:val="single" w:color="000000" w:sz="4" w:space="0"/>
            </w:tcBorders>
          </w:tcPr>
          <w:p>
            <w:pPr>
              <w:pStyle w:val="19"/>
              <w:spacing w:before="13"/>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6" w:lineRule="exact"/>
              <w:ind w:left="46" w:right="32"/>
              <w:rPr>
                <w:sz w:val="21"/>
              </w:rPr>
            </w:pPr>
            <w:r>
              <w:rPr>
                <w:sz w:val="21"/>
              </w:rPr>
              <w:t>氯仿</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3"/>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3"/>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9"/>
              <w:spacing w:before="13"/>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48" w:right="32"/>
              <w:rPr>
                <w:sz w:val="21"/>
              </w:rPr>
            </w:pPr>
            <w:r>
              <w:rPr>
                <w:rFonts w:ascii="Times New Roman" w:eastAsia="Times New Roman"/>
                <w:sz w:val="21"/>
              </w:rPr>
              <w:t>1,1-</w:t>
            </w:r>
            <w:r>
              <w:rPr>
                <w:sz w:val="21"/>
              </w:rPr>
              <w:t>二氯乙烷</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9"/>
              <w:spacing w:before="12"/>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6" w:lineRule="exact"/>
              <w:ind w:left="48" w:right="32"/>
              <w:rPr>
                <w:sz w:val="21"/>
              </w:rPr>
            </w:pPr>
            <w:r>
              <w:rPr>
                <w:rFonts w:ascii="Times New Roman" w:eastAsia="Times New Roman"/>
                <w:sz w:val="21"/>
              </w:rPr>
              <w:t>1,2-</w:t>
            </w:r>
            <w:r>
              <w:rPr>
                <w:sz w:val="21"/>
              </w:rPr>
              <w:t>二氯乙烷</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3"/>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3"/>
              <w:ind w:left="302" w:right="284"/>
              <w:rPr>
                <w:rFonts w:ascii="Times New Roman"/>
                <w:sz w:val="21"/>
              </w:rPr>
            </w:pPr>
            <w:r>
              <w:rPr>
                <w:rFonts w:ascii="Times New Roman"/>
                <w:sz w:val="21"/>
              </w:rPr>
              <w:t>&lt;3</w:t>
            </w:r>
          </w:p>
        </w:tc>
        <w:tc>
          <w:tcPr>
            <w:tcW w:w="1007" w:type="dxa"/>
            <w:tcBorders>
              <w:top w:val="single" w:color="000000" w:sz="4" w:space="0"/>
              <w:left w:val="single" w:color="000000" w:sz="4" w:space="0"/>
              <w:bottom w:val="single" w:color="000000" w:sz="4" w:space="0"/>
            </w:tcBorders>
          </w:tcPr>
          <w:p>
            <w:pPr>
              <w:pStyle w:val="19"/>
              <w:spacing w:before="13"/>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48" w:right="32"/>
              <w:rPr>
                <w:sz w:val="21"/>
              </w:rPr>
            </w:pPr>
            <w:r>
              <w:rPr>
                <w:rFonts w:ascii="Times New Roman" w:eastAsia="Times New Roman"/>
                <w:sz w:val="21"/>
              </w:rPr>
              <w:t>1,1-</w:t>
            </w:r>
            <w:r>
              <w:rPr>
                <w:sz w:val="21"/>
              </w:rPr>
              <w:t>二氯乙烯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9"/>
              <w:spacing w:before="12"/>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29"/>
              <w:rPr>
                <w:sz w:val="21"/>
              </w:rPr>
            </w:pPr>
            <w:r>
              <w:rPr>
                <w:sz w:val="21"/>
              </w:rPr>
              <w:t>顺</w:t>
            </w:r>
            <w:r>
              <w:rPr>
                <w:rFonts w:ascii="Times New Roman" w:eastAsia="Times New Roman"/>
                <w:sz w:val="21"/>
              </w:rPr>
              <w:t>-1,2-</w:t>
            </w:r>
            <w:r>
              <w:rPr>
                <w:sz w:val="21"/>
              </w:rPr>
              <w:t>二氯乙烯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1"/>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1"/>
              <w:ind w:left="302" w:right="284"/>
              <w:rPr>
                <w:rFonts w:ascii="Times New Roman"/>
                <w:sz w:val="21"/>
              </w:rPr>
            </w:pPr>
            <w:r>
              <w:rPr>
                <w:rFonts w:ascii="Times New Roman"/>
                <w:sz w:val="21"/>
              </w:rPr>
              <w:t>&lt;3</w:t>
            </w:r>
          </w:p>
        </w:tc>
        <w:tc>
          <w:tcPr>
            <w:tcW w:w="1007" w:type="dxa"/>
            <w:tcBorders>
              <w:top w:val="single" w:color="000000" w:sz="4" w:space="0"/>
              <w:left w:val="single" w:color="000000" w:sz="4" w:space="0"/>
              <w:bottom w:val="single" w:color="000000" w:sz="4" w:space="0"/>
            </w:tcBorders>
          </w:tcPr>
          <w:p>
            <w:pPr>
              <w:pStyle w:val="19"/>
              <w:spacing w:before="11"/>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3" w:lineRule="exact"/>
              <w:ind w:left="48" w:right="29"/>
              <w:rPr>
                <w:sz w:val="21"/>
              </w:rPr>
            </w:pPr>
            <w:r>
              <w:rPr>
                <w:sz w:val="21"/>
              </w:rPr>
              <w:t>反</w:t>
            </w:r>
            <w:r>
              <w:rPr>
                <w:rFonts w:ascii="Times New Roman" w:eastAsia="Times New Roman"/>
                <w:sz w:val="21"/>
              </w:rPr>
              <w:t>-1,2-</w:t>
            </w:r>
            <w:r>
              <w:rPr>
                <w:sz w:val="21"/>
              </w:rPr>
              <w:t>二氯乙烯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3"/>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3"/>
              <w:ind w:left="302" w:right="284"/>
              <w:rPr>
                <w:rFonts w:ascii="Times New Roman"/>
                <w:sz w:val="21"/>
              </w:rPr>
            </w:pPr>
            <w:r>
              <w:rPr>
                <w:rFonts w:ascii="Times New Roman"/>
                <w:sz w:val="21"/>
              </w:rPr>
              <w:t>&lt;3</w:t>
            </w:r>
          </w:p>
        </w:tc>
        <w:tc>
          <w:tcPr>
            <w:tcW w:w="1007" w:type="dxa"/>
            <w:tcBorders>
              <w:top w:val="single" w:color="000000" w:sz="4" w:space="0"/>
              <w:left w:val="single" w:color="000000" w:sz="4" w:space="0"/>
              <w:bottom w:val="single" w:color="000000" w:sz="4" w:space="0"/>
            </w:tcBorders>
          </w:tcPr>
          <w:p>
            <w:pPr>
              <w:pStyle w:val="19"/>
              <w:spacing w:before="13"/>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6" w:lineRule="exact"/>
              <w:ind w:left="48" w:right="32"/>
              <w:rPr>
                <w:sz w:val="21"/>
              </w:rPr>
            </w:pPr>
            <w:r>
              <w:rPr>
                <w:sz w:val="21"/>
              </w:rPr>
              <w:t>二氯甲烷</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3"/>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3"/>
              <w:ind w:left="302" w:right="284"/>
              <w:rPr>
                <w:rFonts w:ascii="Times New Roman"/>
                <w:sz w:val="21"/>
              </w:rPr>
            </w:pPr>
            <w:r>
              <w:rPr>
                <w:rFonts w:ascii="Times New Roman"/>
                <w:sz w:val="21"/>
              </w:rPr>
              <w:t>&lt;3</w:t>
            </w:r>
          </w:p>
        </w:tc>
        <w:tc>
          <w:tcPr>
            <w:tcW w:w="1007" w:type="dxa"/>
            <w:tcBorders>
              <w:top w:val="single" w:color="000000" w:sz="4" w:space="0"/>
              <w:left w:val="single" w:color="000000" w:sz="4" w:space="0"/>
              <w:bottom w:val="single" w:color="000000" w:sz="4" w:space="0"/>
            </w:tcBorders>
          </w:tcPr>
          <w:p>
            <w:pPr>
              <w:pStyle w:val="19"/>
              <w:spacing w:before="13"/>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48" w:right="32"/>
              <w:rPr>
                <w:sz w:val="21"/>
              </w:rPr>
            </w:pPr>
            <w:r>
              <w:rPr>
                <w:rFonts w:ascii="Times New Roman" w:eastAsia="Times New Roman"/>
                <w:sz w:val="21"/>
              </w:rPr>
              <w:t>1,2-</w:t>
            </w:r>
            <w:r>
              <w:rPr>
                <w:sz w:val="21"/>
              </w:rPr>
              <w:t>二氯丙烷</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9"/>
              <w:spacing w:before="12"/>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32"/>
              <w:rPr>
                <w:sz w:val="21"/>
              </w:rPr>
            </w:pPr>
            <w:r>
              <w:rPr>
                <w:rFonts w:ascii="Times New Roman" w:eastAsia="Times New Roman"/>
                <w:sz w:val="21"/>
              </w:rPr>
              <w:t>1,1,1,2-</w:t>
            </w:r>
            <w:r>
              <w:rPr>
                <w:sz w:val="21"/>
              </w:rPr>
              <w:t>四氯乙烷</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1"/>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1"/>
              <w:ind w:left="302" w:right="284"/>
              <w:rPr>
                <w:rFonts w:ascii="Times New Roman"/>
                <w:sz w:val="21"/>
              </w:rPr>
            </w:pPr>
            <w:r>
              <w:rPr>
                <w:rFonts w:ascii="Times New Roman"/>
                <w:sz w:val="21"/>
              </w:rPr>
              <w:t>&lt;3</w:t>
            </w:r>
          </w:p>
        </w:tc>
        <w:tc>
          <w:tcPr>
            <w:tcW w:w="1007" w:type="dxa"/>
            <w:tcBorders>
              <w:top w:val="single" w:color="000000" w:sz="4" w:space="0"/>
              <w:left w:val="single" w:color="000000" w:sz="4" w:space="0"/>
              <w:bottom w:val="single" w:color="000000" w:sz="4" w:space="0"/>
            </w:tcBorders>
          </w:tcPr>
          <w:p>
            <w:pPr>
              <w:pStyle w:val="19"/>
              <w:spacing w:before="11"/>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48" w:right="32"/>
              <w:rPr>
                <w:sz w:val="21"/>
              </w:rPr>
            </w:pPr>
            <w:r>
              <w:rPr>
                <w:rFonts w:ascii="Times New Roman" w:eastAsia="Times New Roman"/>
                <w:sz w:val="21"/>
              </w:rPr>
              <w:t>1,1,2,2-</w:t>
            </w:r>
            <w:r>
              <w:rPr>
                <w:sz w:val="21"/>
              </w:rPr>
              <w:t>四氯乙烷</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&lt;3</w:t>
            </w:r>
          </w:p>
        </w:tc>
        <w:tc>
          <w:tcPr>
            <w:tcW w:w="1007" w:type="dxa"/>
            <w:tcBorders>
              <w:top w:val="single" w:color="000000" w:sz="4" w:space="0"/>
              <w:left w:val="single" w:color="000000" w:sz="4" w:space="0"/>
              <w:bottom w:val="single" w:color="000000" w:sz="4" w:space="0"/>
            </w:tcBorders>
          </w:tcPr>
          <w:p>
            <w:pPr>
              <w:pStyle w:val="19"/>
              <w:spacing w:before="12"/>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32"/>
              <w:rPr>
                <w:sz w:val="21"/>
              </w:rPr>
            </w:pPr>
            <w:r>
              <w:rPr>
                <w:sz w:val="21"/>
              </w:rPr>
              <w:t>四氯乙烯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1"/>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1"/>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9"/>
              <w:spacing w:before="11"/>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9"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right w:val="single" w:color="000000" w:sz="4" w:space="0"/>
            </w:tcBorders>
          </w:tcPr>
          <w:p>
            <w:pPr>
              <w:pStyle w:val="19"/>
              <w:spacing w:line="264" w:lineRule="exact"/>
              <w:ind w:left="48" w:right="32"/>
              <w:rPr>
                <w:sz w:val="21"/>
              </w:rPr>
            </w:pPr>
            <w:r>
              <w:rPr>
                <w:rFonts w:ascii="Times New Roman" w:eastAsia="Times New Roman"/>
                <w:sz w:val="21"/>
              </w:rPr>
              <w:t>1,1,1-</w:t>
            </w:r>
            <w:r>
              <w:rPr>
                <w:sz w:val="21"/>
              </w:rPr>
              <w:t>三氯乙烷</w:t>
            </w:r>
          </w:p>
        </w:tc>
        <w:tc>
          <w:tcPr>
            <w:tcW w:w="2731" w:type="dxa"/>
            <w:tcBorders>
              <w:top w:val="single" w:color="000000" w:sz="4" w:space="0"/>
              <w:left w:val="single" w:color="000000" w:sz="4" w:space="0"/>
              <w:right w:val="single" w:color="000000" w:sz="4" w:space="0"/>
            </w:tcBorders>
          </w:tcPr>
          <w:p>
            <w:pPr>
              <w:pStyle w:val="19"/>
              <w:spacing w:before="13"/>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right w:val="single" w:color="000000" w:sz="4" w:space="0"/>
            </w:tcBorders>
          </w:tcPr>
          <w:p>
            <w:pPr>
              <w:pStyle w:val="19"/>
              <w:spacing w:before="13"/>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tcBorders>
          </w:tcPr>
          <w:p>
            <w:pPr>
              <w:pStyle w:val="19"/>
              <w:spacing w:before="13"/>
              <w:ind w:left="261"/>
              <w:jc w:val="left"/>
              <w:rPr>
                <w:rFonts w:ascii="Times New Roman" w:hAnsi="Times New Roman"/>
                <w:sz w:val="21"/>
              </w:rPr>
            </w:pPr>
            <w:r>
              <w:rPr>
                <w:rFonts w:ascii="Times New Roman" w:hAnsi="Times New Roman"/>
                <w:sz w:val="21"/>
              </w:rPr>
              <w:t>μg/kg</w:t>
            </w:r>
          </w:p>
        </w:tc>
      </w:tr>
    </w:tbl>
    <w:p>
      <w:pPr>
        <w:spacing w:after="0"/>
        <w:jc w:val="left"/>
        <w:rPr>
          <w:rFonts w:ascii="Times New Roman" w:hAnsi="Times New Roman"/>
          <w:sz w:val="21"/>
        </w:rPr>
        <w:sectPr>
          <w:pgSz w:w="11910" w:h="16840"/>
          <w:pgMar w:top="1400" w:right="0" w:bottom="800" w:left="0" w:header="0" w:footer="601" w:gutter="0"/>
        </w:sectPr>
      </w:pPr>
    </w:p>
    <w:tbl>
      <w:tblPr>
        <w:tblStyle w:val="15"/>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05"/>
        <w:gridCol w:w="1618"/>
        <w:gridCol w:w="2731"/>
        <w:gridCol w:w="2738"/>
        <w:gridCol w:w="10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1205" w:type="dxa"/>
            <w:vMerge w:val="restart"/>
            <w:tcBorders>
              <w:right w:val="single" w:color="000000" w:sz="4" w:space="0"/>
            </w:tcBorders>
          </w:tcPr>
          <w:p>
            <w:pPr>
              <w:pStyle w:val="19"/>
              <w:jc w:val="left"/>
              <w:rPr>
                <w:rFonts w:ascii="Times New Roman"/>
                <w:sz w:val="20"/>
              </w:rPr>
            </w:pPr>
          </w:p>
        </w:tc>
        <w:tc>
          <w:tcPr>
            <w:tcW w:w="1618" w:type="dxa"/>
            <w:tcBorders>
              <w:left w:val="single" w:color="000000" w:sz="4" w:space="0"/>
              <w:bottom w:val="single" w:color="000000" w:sz="4" w:space="0"/>
              <w:right w:val="single" w:color="000000" w:sz="4" w:space="0"/>
            </w:tcBorders>
          </w:tcPr>
          <w:p>
            <w:pPr>
              <w:pStyle w:val="19"/>
              <w:spacing w:before="2"/>
              <w:ind w:left="48" w:right="32"/>
              <w:rPr>
                <w:sz w:val="21"/>
              </w:rPr>
            </w:pPr>
            <w:r>
              <w:rPr>
                <w:rFonts w:ascii="Times New Roman" w:eastAsia="Times New Roman"/>
                <w:sz w:val="21"/>
              </w:rPr>
              <w:t>1,1,2-</w:t>
            </w:r>
            <w:r>
              <w:rPr>
                <w:sz w:val="21"/>
              </w:rPr>
              <w:t>三氯乙烷</w:t>
            </w:r>
          </w:p>
        </w:tc>
        <w:tc>
          <w:tcPr>
            <w:tcW w:w="2731" w:type="dxa"/>
            <w:tcBorders>
              <w:left w:val="single" w:color="000000" w:sz="4" w:space="0"/>
              <w:bottom w:val="single" w:color="000000" w:sz="4" w:space="0"/>
              <w:right w:val="single" w:color="000000" w:sz="4" w:space="0"/>
            </w:tcBorders>
          </w:tcPr>
          <w:p>
            <w:pPr>
              <w:pStyle w:val="19"/>
              <w:spacing w:before="18"/>
              <w:ind w:left="297" w:right="277"/>
              <w:rPr>
                <w:rFonts w:ascii="Times New Roman"/>
                <w:sz w:val="21"/>
              </w:rPr>
            </w:pPr>
            <w:r>
              <w:rPr>
                <w:rFonts w:ascii="Times New Roman"/>
                <w:sz w:val="21"/>
              </w:rPr>
              <w:t>&lt;2</w:t>
            </w:r>
          </w:p>
        </w:tc>
        <w:tc>
          <w:tcPr>
            <w:tcW w:w="2738" w:type="dxa"/>
            <w:tcBorders>
              <w:left w:val="single" w:color="000000" w:sz="4" w:space="0"/>
              <w:bottom w:val="single" w:color="000000" w:sz="4" w:space="0"/>
              <w:right w:val="single" w:color="000000" w:sz="4" w:space="0"/>
            </w:tcBorders>
          </w:tcPr>
          <w:p>
            <w:pPr>
              <w:pStyle w:val="19"/>
              <w:spacing w:before="18"/>
              <w:ind w:left="302" w:right="284"/>
              <w:rPr>
                <w:rFonts w:ascii="Times New Roman"/>
                <w:sz w:val="21"/>
              </w:rPr>
            </w:pPr>
            <w:r>
              <w:rPr>
                <w:rFonts w:ascii="Times New Roman"/>
                <w:sz w:val="21"/>
              </w:rPr>
              <w:t>&lt;2</w:t>
            </w:r>
          </w:p>
        </w:tc>
        <w:tc>
          <w:tcPr>
            <w:tcW w:w="1013" w:type="dxa"/>
            <w:tcBorders>
              <w:left w:val="single" w:color="000000" w:sz="4" w:space="0"/>
              <w:bottom w:val="single" w:color="000000" w:sz="4" w:space="0"/>
            </w:tcBorders>
          </w:tcPr>
          <w:p>
            <w:pPr>
              <w:pStyle w:val="19"/>
              <w:spacing w:before="18"/>
              <w:ind w:left="168" w:right="15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48" w:right="32"/>
              <w:rPr>
                <w:sz w:val="21"/>
              </w:rPr>
            </w:pPr>
            <w:r>
              <w:rPr>
                <w:sz w:val="21"/>
              </w:rPr>
              <w:t>三氯乙烯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&lt;2</w:t>
            </w:r>
          </w:p>
        </w:tc>
        <w:tc>
          <w:tcPr>
            <w:tcW w:w="1013" w:type="dxa"/>
            <w:tcBorders>
              <w:top w:val="single" w:color="000000" w:sz="4" w:space="0"/>
              <w:left w:val="single" w:color="000000" w:sz="4" w:space="0"/>
              <w:bottom w:val="single" w:color="000000" w:sz="4" w:space="0"/>
            </w:tcBorders>
          </w:tcPr>
          <w:p>
            <w:pPr>
              <w:pStyle w:val="19"/>
              <w:spacing w:before="12"/>
              <w:ind w:left="168" w:right="15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32"/>
              <w:rPr>
                <w:sz w:val="21"/>
              </w:rPr>
            </w:pPr>
            <w:r>
              <w:rPr>
                <w:rFonts w:ascii="Times New Roman" w:eastAsia="Times New Roman"/>
                <w:sz w:val="21"/>
              </w:rPr>
              <w:t>1,2,3-</w:t>
            </w:r>
            <w:r>
              <w:rPr>
                <w:sz w:val="21"/>
              </w:rPr>
              <w:t>三氯丙烷</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1"/>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1"/>
              <w:ind w:left="302" w:right="284"/>
              <w:rPr>
                <w:rFonts w:ascii="Times New Roman"/>
                <w:sz w:val="21"/>
              </w:rPr>
            </w:pPr>
            <w:r>
              <w:rPr>
                <w:rFonts w:ascii="Times New Roman"/>
                <w:sz w:val="21"/>
              </w:rPr>
              <w:t>&lt;3</w:t>
            </w:r>
          </w:p>
        </w:tc>
        <w:tc>
          <w:tcPr>
            <w:tcW w:w="1013" w:type="dxa"/>
            <w:tcBorders>
              <w:top w:val="single" w:color="000000" w:sz="4" w:space="0"/>
              <w:left w:val="single" w:color="000000" w:sz="4" w:space="0"/>
              <w:bottom w:val="single" w:color="000000" w:sz="4" w:space="0"/>
            </w:tcBorders>
          </w:tcPr>
          <w:p>
            <w:pPr>
              <w:pStyle w:val="19"/>
              <w:spacing w:before="11"/>
              <w:ind w:left="168" w:right="15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29"/>
              <w:rPr>
                <w:sz w:val="21"/>
              </w:rPr>
            </w:pPr>
            <w:r>
              <w:rPr>
                <w:sz w:val="21"/>
              </w:rPr>
              <w:t>氯乙烯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3"/>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3"/>
              <w:ind w:left="302" w:right="284"/>
              <w:rPr>
                <w:rFonts w:ascii="Times New Roman"/>
                <w:sz w:val="21"/>
              </w:rPr>
            </w:pPr>
            <w:r>
              <w:rPr>
                <w:rFonts w:ascii="Times New Roman"/>
                <w:sz w:val="21"/>
              </w:rPr>
              <w:t>&lt;2</w:t>
            </w:r>
          </w:p>
        </w:tc>
        <w:tc>
          <w:tcPr>
            <w:tcW w:w="1013" w:type="dxa"/>
            <w:tcBorders>
              <w:top w:val="single" w:color="000000" w:sz="4" w:space="0"/>
              <w:left w:val="single" w:color="000000" w:sz="4" w:space="0"/>
              <w:bottom w:val="single" w:color="000000" w:sz="4" w:space="0"/>
            </w:tcBorders>
          </w:tcPr>
          <w:p>
            <w:pPr>
              <w:pStyle w:val="19"/>
              <w:spacing w:before="13"/>
              <w:ind w:left="168" w:right="15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17"/>
              <w:rPr>
                <w:sz w:val="21"/>
              </w:rPr>
            </w:pPr>
            <w:r>
              <w:rPr>
                <w:w w:val="99"/>
                <w:sz w:val="21"/>
              </w:rPr>
              <w:t>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right="1105"/>
              <w:jc w:val="right"/>
              <w:rPr>
                <w:rFonts w:ascii="Times New Roman"/>
                <w:sz w:val="21"/>
              </w:rPr>
            </w:pPr>
            <w:r>
              <w:rPr>
                <w:rFonts w:ascii="Times New Roman"/>
                <w:w w:val="95"/>
                <w:sz w:val="21"/>
              </w:rPr>
              <w:t>&lt;0.01</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&lt;0.01</w:t>
            </w:r>
          </w:p>
        </w:tc>
        <w:tc>
          <w:tcPr>
            <w:tcW w:w="1013" w:type="dxa"/>
            <w:tcBorders>
              <w:top w:val="single" w:color="000000" w:sz="4" w:space="0"/>
              <w:left w:val="single" w:color="000000" w:sz="4" w:space="0"/>
              <w:bottom w:val="single" w:color="000000" w:sz="4" w:space="0"/>
            </w:tcBorders>
          </w:tcPr>
          <w:p>
            <w:pPr>
              <w:pStyle w:val="19"/>
              <w:spacing w:before="12"/>
              <w:ind w:left="169" w:right="158"/>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6" w:right="32"/>
              <w:rPr>
                <w:sz w:val="21"/>
              </w:rPr>
            </w:pPr>
            <w:r>
              <w:rPr>
                <w:sz w:val="21"/>
              </w:rPr>
              <w:t>氯苯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4"/>
              <w:ind w:left="297" w:right="277"/>
              <w:rPr>
                <w:rFonts w:ascii="Times New Roman"/>
                <w:sz w:val="21"/>
              </w:rPr>
            </w:pPr>
            <w:r>
              <w:rPr>
                <w:rFonts w:ascii="Times New Roman"/>
                <w:sz w:val="21"/>
              </w:rPr>
              <w:t>&lt;1.1</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4"/>
              <w:ind w:left="302" w:right="284"/>
              <w:rPr>
                <w:rFonts w:ascii="Times New Roman"/>
                <w:sz w:val="21"/>
              </w:rPr>
            </w:pPr>
            <w:r>
              <w:rPr>
                <w:rFonts w:ascii="Times New Roman"/>
                <w:sz w:val="21"/>
              </w:rPr>
              <w:t>&lt;1.1</w:t>
            </w:r>
          </w:p>
        </w:tc>
        <w:tc>
          <w:tcPr>
            <w:tcW w:w="1013" w:type="dxa"/>
            <w:tcBorders>
              <w:top w:val="single" w:color="000000" w:sz="4" w:space="0"/>
              <w:left w:val="single" w:color="000000" w:sz="4" w:space="0"/>
              <w:bottom w:val="single" w:color="000000" w:sz="4" w:space="0"/>
            </w:tcBorders>
          </w:tcPr>
          <w:p>
            <w:pPr>
              <w:pStyle w:val="19"/>
              <w:spacing w:before="14"/>
              <w:ind w:left="168" w:right="15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3" w:lineRule="exact"/>
              <w:ind w:left="48" w:right="29"/>
              <w:rPr>
                <w:sz w:val="21"/>
              </w:rPr>
            </w:pPr>
            <w:r>
              <w:rPr>
                <w:rFonts w:ascii="Times New Roman" w:eastAsia="Times New Roman"/>
                <w:sz w:val="21"/>
              </w:rPr>
              <w:t>1,2-</w:t>
            </w:r>
            <w:r>
              <w:rPr>
                <w:sz w:val="21"/>
              </w:rPr>
              <w:t>二氯苯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3"/>
              <w:ind w:left="297" w:right="277"/>
              <w:rPr>
                <w:rFonts w:ascii="Times New Roman"/>
                <w:sz w:val="21"/>
              </w:rPr>
            </w:pPr>
            <w:r>
              <w:rPr>
                <w:rFonts w:ascii="Times New Roman"/>
                <w:sz w:val="21"/>
              </w:rPr>
              <w:t>&lt;1.0</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3"/>
              <w:ind w:left="302" w:right="284"/>
              <w:rPr>
                <w:rFonts w:ascii="Times New Roman"/>
                <w:sz w:val="21"/>
              </w:rPr>
            </w:pPr>
            <w:r>
              <w:rPr>
                <w:rFonts w:ascii="Times New Roman"/>
                <w:sz w:val="21"/>
              </w:rPr>
              <w:t>&lt;1.0</w:t>
            </w:r>
          </w:p>
        </w:tc>
        <w:tc>
          <w:tcPr>
            <w:tcW w:w="1013" w:type="dxa"/>
            <w:tcBorders>
              <w:top w:val="single" w:color="000000" w:sz="4" w:space="0"/>
              <w:left w:val="single" w:color="000000" w:sz="4" w:space="0"/>
              <w:bottom w:val="single" w:color="000000" w:sz="4" w:space="0"/>
            </w:tcBorders>
          </w:tcPr>
          <w:p>
            <w:pPr>
              <w:pStyle w:val="19"/>
              <w:spacing w:before="13"/>
              <w:ind w:left="168" w:right="15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48" w:right="29"/>
              <w:rPr>
                <w:sz w:val="21"/>
              </w:rPr>
            </w:pPr>
            <w:r>
              <w:rPr>
                <w:rFonts w:ascii="Times New Roman" w:eastAsia="Times New Roman"/>
                <w:sz w:val="21"/>
              </w:rPr>
              <w:t>1,4-</w:t>
            </w:r>
            <w:r>
              <w:rPr>
                <w:sz w:val="21"/>
              </w:rPr>
              <w:t>二氯苯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left="297" w:right="277"/>
              <w:rPr>
                <w:rFonts w:ascii="Times New Roman"/>
                <w:sz w:val="21"/>
              </w:rPr>
            </w:pPr>
            <w:r>
              <w:rPr>
                <w:rFonts w:ascii="Times New Roman"/>
                <w:sz w:val="21"/>
              </w:rPr>
              <w:t>&lt;1.2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&lt;1.2</w:t>
            </w:r>
          </w:p>
        </w:tc>
        <w:tc>
          <w:tcPr>
            <w:tcW w:w="1013" w:type="dxa"/>
            <w:tcBorders>
              <w:top w:val="single" w:color="000000" w:sz="4" w:space="0"/>
              <w:left w:val="single" w:color="000000" w:sz="4" w:space="0"/>
              <w:bottom w:val="single" w:color="000000" w:sz="4" w:space="0"/>
            </w:tcBorders>
          </w:tcPr>
          <w:p>
            <w:pPr>
              <w:pStyle w:val="19"/>
              <w:spacing w:before="12"/>
              <w:ind w:left="168" w:right="15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6" w:right="32"/>
              <w:rPr>
                <w:sz w:val="21"/>
              </w:rPr>
            </w:pPr>
            <w:r>
              <w:rPr>
                <w:sz w:val="21"/>
              </w:rPr>
              <w:t>乙苯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1"/>
              <w:ind w:right="1052"/>
              <w:jc w:val="right"/>
              <w:rPr>
                <w:rFonts w:ascii="Times New Roman"/>
                <w:sz w:val="21"/>
              </w:rPr>
            </w:pPr>
            <w:r>
              <w:rPr>
                <w:rFonts w:ascii="Times New Roman"/>
                <w:w w:val="95"/>
                <w:sz w:val="21"/>
              </w:rPr>
              <w:t>&lt;0.006</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1"/>
              <w:ind w:left="302" w:right="284"/>
              <w:rPr>
                <w:rFonts w:ascii="Times New Roman"/>
                <w:sz w:val="21"/>
              </w:rPr>
            </w:pPr>
            <w:r>
              <w:rPr>
                <w:rFonts w:ascii="Times New Roman"/>
                <w:sz w:val="21"/>
              </w:rPr>
              <w:t>&lt;0.006</w:t>
            </w:r>
          </w:p>
        </w:tc>
        <w:tc>
          <w:tcPr>
            <w:tcW w:w="1013" w:type="dxa"/>
            <w:tcBorders>
              <w:top w:val="single" w:color="000000" w:sz="4" w:space="0"/>
              <w:left w:val="single" w:color="000000" w:sz="4" w:space="0"/>
              <w:bottom w:val="single" w:color="000000" w:sz="4" w:space="0"/>
            </w:tcBorders>
          </w:tcPr>
          <w:p>
            <w:pPr>
              <w:pStyle w:val="19"/>
              <w:spacing w:before="11"/>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6" w:lineRule="exact"/>
              <w:ind w:left="48" w:right="29"/>
              <w:rPr>
                <w:sz w:val="21"/>
              </w:rPr>
            </w:pPr>
            <w:r>
              <w:rPr>
                <w:sz w:val="21"/>
              </w:rPr>
              <w:t>苯乙烯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3"/>
              <w:ind w:right="1052"/>
              <w:jc w:val="right"/>
              <w:rPr>
                <w:rFonts w:ascii="Times New Roman"/>
                <w:sz w:val="21"/>
              </w:rPr>
            </w:pPr>
            <w:r>
              <w:rPr>
                <w:rFonts w:ascii="Times New Roman"/>
                <w:w w:val="95"/>
                <w:sz w:val="21"/>
              </w:rPr>
              <w:t>&lt;0.002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3"/>
              <w:ind w:left="302" w:right="284"/>
              <w:rPr>
                <w:rFonts w:ascii="Times New Roman"/>
                <w:sz w:val="21"/>
              </w:rPr>
            </w:pPr>
            <w:r>
              <w:rPr>
                <w:rFonts w:ascii="Times New Roman"/>
                <w:sz w:val="21"/>
              </w:rPr>
              <w:t>&lt;0.002</w:t>
            </w:r>
          </w:p>
        </w:tc>
        <w:tc>
          <w:tcPr>
            <w:tcW w:w="1013" w:type="dxa"/>
            <w:tcBorders>
              <w:top w:val="single" w:color="000000" w:sz="4" w:space="0"/>
              <w:left w:val="single" w:color="000000" w:sz="4" w:space="0"/>
              <w:bottom w:val="single" w:color="000000" w:sz="4" w:space="0"/>
            </w:tcBorders>
          </w:tcPr>
          <w:p>
            <w:pPr>
              <w:pStyle w:val="19"/>
              <w:spacing w:before="13"/>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46" w:right="32"/>
              <w:rPr>
                <w:sz w:val="21"/>
              </w:rPr>
            </w:pPr>
            <w:r>
              <w:rPr>
                <w:sz w:val="21"/>
              </w:rPr>
              <w:t>甲苯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right="1052"/>
              <w:jc w:val="right"/>
              <w:rPr>
                <w:rFonts w:ascii="Times New Roman"/>
                <w:sz w:val="21"/>
              </w:rPr>
            </w:pPr>
            <w:r>
              <w:rPr>
                <w:rFonts w:ascii="Times New Roman"/>
                <w:w w:val="95"/>
                <w:sz w:val="21"/>
              </w:rPr>
              <w:t>&lt;0.006</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&lt;0.006</w:t>
            </w:r>
          </w:p>
        </w:tc>
        <w:tc>
          <w:tcPr>
            <w:tcW w:w="1013" w:type="dxa"/>
            <w:tcBorders>
              <w:top w:val="single" w:color="000000" w:sz="4" w:space="0"/>
              <w:left w:val="single" w:color="000000" w:sz="4" w:space="0"/>
              <w:bottom w:val="single" w:color="000000" w:sz="4" w:space="0"/>
            </w:tcBorders>
          </w:tcPr>
          <w:p>
            <w:pPr>
              <w:pStyle w:val="19"/>
              <w:spacing w:before="12"/>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32"/>
              <w:rPr>
                <w:sz w:val="21"/>
              </w:rPr>
            </w:pPr>
            <w:r>
              <w:rPr>
                <w:sz w:val="21"/>
              </w:rPr>
              <w:t>间二甲苯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1"/>
              <w:ind w:right="1052"/>
              <w:jc w:val="right"/>
              <w:rPr>
                <w:rFonts w:ascii="Times New Roman"/>
                <w:sz w:val="21"/>
              </w:rPr>
            </w:pPr>
            <w:r>
              <w:rPr>
                <w:rFonts w:ascii="Times New Roman"/>
                <w:w w:val="95"/>
                <w:sz w:val="21"/>
              </w:rPr>
              <w:t>&lt;0.009</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1"/>
              <w:ind w:left="302" w:right="284"/>
              <w:rPr>
                <w:rFonts w:ascii="Times New Roman"/>
                <w:sz w:val="21"/>
              </w:rPr>
            </w:pPr>
            <w:r>
              <w:rPr>
                <w:rFonts w:ascii="Times New Roman"/>
                <w:sz w:val="21"/>
              </w:rPr>
              <w:t>&lt;0.009</w:t>
            </w:r>
          </w:p>
        </w:tc>
        <w:tc>
          <w:tcPr>
            <w:tcW w:w="1013" w:type="dxa"/>
            <w:tcBorders>
              <w:top w:val="single" w:color="000000" w:sz="4" w:space="0"/>
              <w:left w:val="single" w:color="000000" w:sz="4" w:space="0"/>
              <w:bottom w:val="single" w:color="000000" w:sz="4" w:space="0"/>
            </w:tcBorders>
          </w:tcPr>
          <w:p>
            <w:pPr>
              <w:pStyle w:val="19"/>
              <w:spacing w:before="11"/>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3" w:lineRule="exact"/>
              <w:ind w:left="48" w:right="32"/>
              <w:rPr>
                <w:sz w:val="21"/>
              </w:rPr>
            </w:pPr>
            <w:r>
              <w:rPr>
                <w:sz w:val="21"/>
              </w:rPr>
              <w:t>对二甲苯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3"/>
              <w:ind w:right="1052"/>
              <w:jc w:val="right"/>
              <w:rPr>
                <w:rFonts w:ascii="Times New Roman"/>
                <w:sz w:val="21"/>
              </w:rPr>
            </w:pPr>
            <w:r>
              <w:rPr>
                <w:rFonts w:ascii="Times New Roman"/>
                <w:w w:val="95"/>
                <w:sz w:val="21"/>
              </w:rPr>
              <w:t>&lt;0.009</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3"/>
              <w:ind w:left="302" w:right="284"/>
              <w:rPr>
                <w:rFonts w:ascii="Times New Roman"/>
                <w:sz w:val="21"/>
              </w:rPr>
            </w:pPr>
            <w:r>
              <w:rPr>
                <w:rFonts w:ascii="Times New Roman"/>
                <w:sz w:val="21"/>
              </w:rPr>
              <w:t>&lt;0.009</w:t>
            </w:r>
          </w:p>
        </w:tc>
        <w:tc>
          <w:tcPr>
            <w:tcW w:w="1013" w:type="dxa"/>
            <w:tcBorders>
              <w:top w:val="single" w:color="000000" w:sz="4" w:space="0"/>
              <w:left w:val="single" w:color="000000" w:sz="4" w:space="0"/>
              <w:bottom w:val="single" w:color="000000" w:sz="4" w:space="0"/>
            </w:tcBorders>
          </w:tcPr>
          <w:p>
            <w:pPr>
              <w:pStyle w:val="19"/>
              <w:spacing w:before="13"/>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48" w:right="32"/>
              <w:rPr>
                <w:sz w:val="21"/>
              </w:rPr>
            </w:pPr>
            <w:r>
              <w:rPr>
                <w:sz w:val="21"/>
              </w:rPr>
              <w:t>邻二甲苯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right="1052"/>
              <w:jc w:val="right"/>
              <w:rPr>
                <w:rFonts w:ascii="Times New Roman"/>
                <w:sz w:val="21"/>
              </w:rPr>
            </w:pPr>
            <w:r>
              <w:rPr>
                <w:rFonts w:ascii="Times New Roman"/>
                <w:w w:val="95"/>
                <w:sz w:val="21"/>
              </w:rPr>
              <w:t>&lt;0.002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&lt;0.002</w:t>
            </w:r>
          </w:p>
        </w:tc>
        <w:tc>
          <w:tcPr>
            <w:tcW w:w="1013" w:type="dxa"/>
            <w:tcBorders>
              <w:top w:val="single" w:color="000000" w:sz="4" w:space="0"/>
              <w:left w:val="single" w:color="000000" w:sz="4" w:space="0"/>
              <w:bottom w:val="single" w:color="000000" w:sz="4" w:space="0"/>
            </w:tcBorders>
          </w:tcPr>
          <w:p>
            <w:pPr>
              <w:pStyle w:val="19"/>
              <w:spacing w:before="12"/>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48" w:right="29"/>
              <w:rPr>
                <w:sz w:val="21"/>
              </w:rPr>
            </w:pPr>
            <w:r>
              <w:rPr>
                <w:sz w:val="21"/>
              </w:rPr>
              <w:t>硝基苯</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right="1105"/>
              <w:jc w:val="right"/>
              <w:rPr>
                <w:rFonts w:ascii="Times New Roman"/>
                <w:sz w:val="21"/>
              </w:rPr>
            </w:pPr>
            <w:r>
              <w:rPr>
                <w:rFonts w:ascii="Times New Roman"/>
                <w:w w:val="95"/>
                <w:sz w:val="21"/>
              </w:rPr>
              <w:t>&lt;0.09</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&lt;0.09</w:t>
            </w:r>
          </w:p>
        </w:tc>
        <w:tc>
          <w:tcPr>
            <w:tcW w:w="1013" w:type="dxa"/>
            <w:tcBorders>
              <w:top w:val="single" w:color="000000" w:sz="4" w:space="0"/>
              <w:left w:val="single" w:color="000000" w:sz="4" w:space="0"/>
              <w:bottom w:val="single" w:color="000000" w:sz="4" w:space="0"/>
            </w:tcBorders>
          </w:tcPr>
          <w:p>
            <w:pPr>
              <w:pStyle w:val="19"/>
              <w:spacing w:before="12"/>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6" w:lineRule="exact"/>
              <w:ind w:left="46" w:right="32"/>
              <w:rPr>
                <w:sz w:val="21"/>
              </w:rPr>
            </w:pPr>
            <w:r>
              <w:rPr>
                <w:sz w:val="21"/>
              </w:rPr>
              <w:t>苯胺</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3"/>
              <w:ind w:right="1105"/>
              <w:jc w:val="right"/>
              <w:rPr>
                <w:rFonts w:ascii="Times New Roman"/>
                <w:sz w:val="21"/>
              </w:rPr>
            </w:pPr>
            <w:r>
              <w:rPr>
                <w:rFonts w:ascii="Times New Roman"/>
                <w:w w:val="95"/>
                <w:sz w:val="21"/>
              </w:rPr>
              <w:t>&lt;0.37</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3"/>
              <w:ind w:left="302" w:right="284"/>
              <w:rPr>
                <w:rFonts w:ascii="Times New Roman"/>
                <w:sz w:val="21"/>
              </w:rPr>
            </w:pPr>
            <w:r>
              <w:rPr>
                <w:rFonts w:ascii="Times New Roman"/>
                <w:sz w:val="21"/>
              </w:rPr>
              <w:t>&lt;0.37</w:t>
            </w:r>
          </w:p>
        </w:tc>
        <w:tc>
          <w:tcPr>
            <w:tcW w:w="1013" w:type="dxa"/>
            <w:tcBorders>
              <w:top w:val="single" w:color="000000" w:sz="4" w:space="0"/>
              <w:left w:val="single" w:color="000000" w:sz="4" w:space="0"/>
              <w:bottom w:val="single" w:color="000000" w:sz="4" w:space="0"/>
            </w:tcBorders>
          </w:tcPr>
          <w:p>
            <w:pPr>
              <w:pStyle w:val="19"/>
              <w:spacing w:before="13"/>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17"/>
              <w:rPr>
                <w:sz w:val="21"/>
              </w:rPr>
            </w:pPr>
            <w:r>
              <w:rPr>
                <w:w w:val="99"/>
                <w:sz w:val="21"/>
              </w:rPr>
              <w:t>萘</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right="1105"/>
              <w:jc w:val="right"/>
              <w:rPr>
                <w:rFonts w:ascii="Times New Roman"/>
                <w:sz w:val="21"/>
              </w:rPr>
            </w:pPr>
            <w:r>
              <w:rPr>
                <w:rFonts w:ascii="Times New Roman"/>
                <w:w w:val="95"/>
                <w:sz w:val="21"/>
              </w:rPr>
              <w:t>&lt;0.09</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&lt;0.09</w:t>
            </w:r>
          </w:p>
        </w:tc>
        <w:tc>
          <w:tcPr>
            <w:tcW w:w="1013" w:type="dxa"/>
            <w:tcBorders>
              <w:top w:val="single" w:color="000000" w:sz="4" w:space="0"/>
              <w:left w:val="single" w:color="000000" w:sz="4" w:space="0"/>
              <w:bottom w:val="single" w:color="000000" w:sz="4" w:space="0"/>
            </w:tcBorders>
          </w:tcPr>
          <w:p>
            <w:pPr>
              <w:pStyle w:val="19"/>
              <w:spacing w:before="12"/>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32"/>
              <w:rPr>
                <w:sz w:val="21"/>
              </w:rPr>
            </w:pPr>
            <w:r>
              <w:rPr>
                <w:rFonts w:ascii="Times New Roman" w:eastAsia="Times New Roman"/>
                <w:sz w:val="21"/>
              </w:rPr>
              <w:t>2-</w:t>
            </w:r>
            <w:r>
              <w:rPr>
                <w:sz w:val="21"/>
              </w:rPr>
              <w:t>氯酚</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1"/>
              <w:ind w:right="1105"/>
              <w:jc w:val="right"/>
              <w:rPr>
                <w:rFonts w:ascii="Times New Roman"/>
                <w:sz w:val="21"/>
              </w:rPr>
            </w:pPr>
            <w:r>
              <w:rPr>
                <w:rFonts w:ascii="Times New Roman"/>
                <w:w w:val="95"/>
                <w:sz w:val="21"/>
              </w:rPr>
              <w:t>&lt;0.06</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1"/>
              <w:ind w:left="302" w:right="284"/>
              <w:rPr>
                <w:rFonts w:ascii="Times New Roman"/>
                <w:sz w:val="21"/>
              </w:rPr>
            </w:pPr>
            <w:r>
              <w:rPr>
                <w:rFonts w:ascii="Times New Roman"/>
                <w:sz w:val="21"/>
              </w:rPr>
              <w:t>&lt;0.06</w:t>
            </w:r>
          </w:p>
        </w:tc>
        <w:tc>
          <w:tcPr>
            <w:tcW w:w="1013" w:type="dxa"/>
            <w:tcBorders>
              <w:top w:val="single" w:color="000000" w:sz="4" w:space="0"/>
              <w:left w:val="single" w:color="000000" w:sz="4" w:space="0"/>
              <w:bottom w:val="single" w:color="000000" w:sz="4" w:space="0"/>
            </w:tcBorders>
          </w:tcPr>
          <w:p>
            <w:pPr>
              <w:pStyle w:val="19"/>
              <w:spacing w:before="11"/>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3" w:lineRule="exact"/>
              <w:ind w:left="48" w:right="31"/>
              <w:rPr>
                <w:sz w:val="21"/>
              </w:rPr>
            </w:pPr>
            <w:r>
              <w:rPr>
                <w:sz w:val="21"/>
              </w:rPr>
              <w:t>苯并</w:t>
            </w:r>
            <w:r>
              <w:rPr>
                <w:rFonts w:ascii="Times New Roman" w:eastAsia="Times New Roman"/>
                <w:sz w:val="21"/>
              </w:rPr>
              <w:t>[a]</w:t>
            </w:r>
            <w:r>
              <w:rPr>
                <w:sz w:val="21"/>
              </w:rPr>
              <w:t>蒽</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right="1105"/>
              <w:jc w:val="right"/>
              <w:rPr>
                <w:rFonts w:ascii="Times New Roman"/>
                <w:sz w:val="21"/>
              </w:rPr>
            </w:pPr>
            <w:r>
              <w:rPr>
                <w:rFonts w:ascii="Times New Roman"/>
                <w:w w:val="95"/>
                <w:sz w:val="21"/>
              </w:rPr>
              <w:t>&lt;0.12</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&lt;0.12</w:t>
            </w:r>
          </w:p>
        </w:tc>
        <w:tc>
          <w:tcPr>
            <w:tcW w:w="1013" w:type="dxa"/>
            <w:tcBorders>
              <w:top w:val="single" w:color="000000" w:sz="4" w:space="0"/>
              <w:left w:val="single" w:color="000000" w:sz="4" w:space="0"/>
              <w:bottom w:val="single" w:color="000000" w:sz="4" w:space="0"/>
            </w:tcBorders>
          </w:tcPr>
          <w:p>
            <w:pPr>
              <w:pStyle w:val="19"/>
              <w:spacing w:before="12"/>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48" w:right="31"/>
              <w:rPr>
                <w:sz w:val="21"/>
              </w:rPr>
            </w:pPr>
            <w:r>
              <w:rPr>
                <w:sz w:val="21"/>
              </w:rPr>
              <w:t>苯并</w:t>
            </w:r>
            <w:r>
              <w:rPr>
                <w:rFonts w:ascii="Times New Roman" w:eastAsia="Times New Roman"/>
                <w:sz w:val="21"/>
              </w:rPr>
              <w:t>[a]</w:t>
            </w:r>
            <w:r>
              <w:rPr>
                <w:sz w:val="21"/>
              </w:rPr>
              <w:t>芘</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right="1105"/>
              <w:jc w:val="right"/>
              <w:rPr>
                <w:rFonts w:ascii="Times New Roman"/>
                <w:sz w:val="21"/>
              </w:rPr>
            </w:pPr>
            <w:r>
              <w:rPr>
                <w:rFonts w:ascii="Times New Roman"/>
                <w:w w:val="95"/>
                <w:sz w:val="21"/>
              </w:rPr>
              <w:t>&lt;0.17</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&lt;0.17</w:t>
            </w:r>
          </w:p>
        </w:tc>
        <w:tc>
          <w:tcPr>
            <w:tcW w:w="1013" w:type="dxa"/>
            <w:tcBorders>
              <w:top w:val="single" w:color="000000" w:sz="4" w:space="0"/>
              <w:left w:val="single" w:color="000000" w:sz="4" w:space="0"/>
              <w:bottom w:val="single" w:color="000000" w:sz="4" w:space="0"/>
            </w:tcBorders>
          </w:tcPr>
          <w:p>
            <w:pPr>
              <w:pStyle w:val="19"/>
              <w:spacing w:before="12"/>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32"/>
              <w:rPr>
                <w:sz w:val="21"/>
              </w:rPr>
            </w:pPr>
            <w:r>
              <w:rPr>
                <w:sz w:val="21"/>
              </w:rPr>
              <w:t>苯并</w:t>
            </w:r>
            <w:r>
              <w:rPr>
                <w:rFonts w:ascii="Times New Roman" w:eastAsia="Times New Roman"/>
                <w:sz w:val="21"/>
              </w:rPr>
              <w:t>[b]</w:t>
            </w:r>
            <w:r>
              <w:rPr>
                <w:sz w:val="21"/>
              </w:rPr>
              <w:t>荧蒽</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4"/>
              <w:ind w:right="1105"/>
              <w:jc w:val="right"/>
              <w:rPr>
                <w:rFonts w:ascii="Times New Roman"/>
                <w:sz w:val="21"/>
              </w:rPr>
            </w:pPr>
            <w:r>
              <w:rPr>
                <w:rFonts w:ascii="Times New Roman"/>
                <w:w w:val="95"/>
                <w:sz w:val="21"/>
              </w:rPr>
              <w:t>&lt;0.17</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4"/>
              <w:ind w:left="302" w:right="284"/>
              <w:rPr>
                <w:rFonts w:ascii="Times New Roman"/>
                <w:sz w:val="21"/>
              </w:rPr>
            </w:pPr>
            <w:r>
              <w:rPr>
                <w:rFonts w:ascii="Times New Roman"/>
                <w:sz w:val="21"/>
              </w:rPr>
              <w:t>&lt;0.17</w:t>
            </w:r>
          </w:p>
        </w:tc>
        <w:tc>
          <w:tcPr>
            <w:tcW w:w="1013" w:type="dxa"/>
            <w:tcBorders>
              <w:top w:val="single" w:color="000000" w:sz="4" w:space="0"/>
              <w:left w:val="single" w:color="000000" w:sz="4" w:space="0"/>
              <w:bottom w:val="single" w:color="000000" w:sz="4" w:space="0"/>
            </w:tcBorders>
          </w:tcPr>
          <w:p>
            <w:pPr>
              <w:pStyle w:val="19"/>
              <w:spacing w:before="14"/>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6" w:lineRule="exact"/>
              <w:ind w:left="48" w:right="32"/>
              <w:rPr>
                <w:sz w:val="21"/>
              </w:rPr>
            </w:pPr>
            <w:r>
              <w:rPr>
                <w:sz w:val="21"/>
              </w:rPr>
              <w:t>苯并</w:t>
            </w:r>
            <w:r>
              <w:rPr>
                <w:rFonts w:ascii="Times New Roman" w:eastAsia="Times New Roman"/>
                <w:sz w:val="21"/>
              </w:rPr>
              <w:t>[k]</w:t>
            </w:r>
            <w:r>
              <w:rPr>
                <w:sz w:val="21"/>
              </w:rPr>
              <w:t>荧蒽</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3"/>
              <w:ind w:right="1105"/>
              <w:jc w:val="right"/>
              <w:rPr>
                <w:rFonts w:ascii="Times New Roman"/>
                <w:sz w:val="21"/>
              </w:rPr>
            </w:pPr>
            <w:r>
              <w:rPr>
                <w:rFonts w:ascii="Times New Roman"/>
                <w:w w:val="95"/>
                <w:sz w:val="21"/>
              </w:rPr>
              <w:t>&lt;0.11</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3"/>
              <w:ind w:left="302" w:right="284"/>
              <w:rPr>
                <w:rFonts w:ascii="Times New Roman"/>
                <w:sz w:val="21"/>
              </w:rPr>
            </w:pPr>
            <w:r>
              <w:rPr>
                <w:rFonts w:ascii="Times New Roman"/>
                <w:sz w:val="21"/>
              </w:rPr>
              <w:t>&lt;0.11</w:t>
            </w:r>
          </w:p>
        </w:tc>
        <w:tc>
          <w:tcPr>
            <w:tcW w:w="1013" w:type="dxa"/>
            <w:tcBorders>
              <w:top w:val="single" w:color="000000" w:sz="4" w:space="0"/>
              <w:left w:val="single" w:color="000000" w:sz="4" w:space="0"/>
              <w:bottom w:val="single" w:color="000000" w:sz="4" w:space="0"/>
            </w:tcBorders>
          </w:tcPr>
          <w:p>
            <w:pPr>
              <w:pStyle w:val="19"/>
              <w:spacing w:before="13"/>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17"/>
              <w:rPr>
                <w:sz w:val="21"/>
              </w:rPr>
            </w:pPr>
            <w:r>
              <w:rPr>
                <w:w w:val="99"/>
                <w:sz w:val="21"/>
              </w:rPr>
              <w:t>䓛</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right="1105"/>
              <w:jc w:val="right"/>
              <w:rPr>
                <w:rFonts w:ascii="Times New Roman"/>
                <w:sz w:val="21"/>
              </w:rPr>
            </w:pPr>
            <w:r>
              <w:rPr>
                <w:rFonts w:ascii="Times New Roman"/>
                <w:w w:val="95"/>
                <w:sz w:val="21"/>
              </w:rPr>
              <w:t>&lt;0.14</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&lt;0.14</w:t>
            </w:r>
          </w:p>
        </w:tc>
        <w:tc>
          <w:tcPr>
            <w:tcW w:w="1013" w:type="dxa"/>
            <w:tcBorders>
              <w:top w:val="single" w:color="000000" w:sz="4" w:space="0"/>
              <w:left w:val="single" w:color="000000" w:sz="4" w:space="0"/>
              <w:bottom w:val="single" w:color="000000" w:sz="4" w:space="0"/>
            </w:tcBorders>
          </w:tcPr>
          <w:p>
            <w:pPr>
              <w:pStyle w:val="19"/>
              <w:spacing w:before="12"/>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4" w:lineRule="exact"/>
              <w:ind w:left="48" w:right="27"/>
              <w:rPr>
                <w:sz w:val="21"/>
              </w:rPr>
            </w:pPr>
            <w:r>
              <w:rPr>
                <w:sz w:val="21"/>
              </w:rPr>
              <w:t>茚并</w:t>
            </w:r>
            <w:r>
              <w:rPr>
                <w:rFonts w:ascii="Times New Roman" w:eastAsia="Times New Roman"/>
                <w:sz w:val="21"/>
              </w:rPr>
              <w:t>[1,2,3-cd]</w:t>
            </w:r>
            <w:r>
              <w:rPr>
                <w:sz w:val="21"/>
              </w:rPr>
              <w:t>芘</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1"/>
              <w:ind w:right="1105"/>
              <w:jc w:val="right"/>
              <w:rPr>
                <w:rFonts w:ascii="Times New Roman"/>
                <w:sz w:val="21"/>
              </w:rPr>
            </w:pPr>
            <w:r>
              <w:rPr>
                <w:rFonts w:ascii="Times New Roman"/>
                <w:w w:val="95"/>
                <w:sz w:val="21"/>
              </w:rPr>
              <w:t>&lt;0.13</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1"/>
              <w:ind w:left="302" w:right="284"/>
              <w:rPr>
                <w:rFonts w:ascii="Times New Roman"/>
                <w:sz w:val="21"/>
              </w:rPr>
            </w:pPr>
            <w:r>
              <w:rPr>
                <w:rFonts w:ascii="Times New Roman"/>
                <w:sz w:val="21"/>
              </w:rPr>
              <w:t>&lt;0.13</w:t>
            </w:r>
          </w:p>
        </w:tc>
        <w:tc>
          <w:tcPr>
            <w:tcW w:w="1013" w:type="dxa"/>
            <w:tcBorders>
              <w:top w:val="single" w:color="000000" w:sz="4" w:space="0"/>
              <w:left w:val="single" w:color="000000" w:sz="4" w:space="0"/>
              <w:bottom w:val="single" w:color="000000" w:sz="4" w:space="0"/>
            </w:tcBorders>
          </w:tcPr>
          <w:p>
            <w:pPr>
              <w:pStyle w:val="19"/>
              <w:spacing w:before="11"/>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48" w:right="29"/>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2731" w:type="dxa"/>
            <w:tcBorders>
              <w:top w:val="single" w:color="000000" w:sz="4" w:space="0"/>
              <w:left w:val="single" w:color="000000" w:sz="4" w:space="0"/>
              <w:bottom w:val="single" w:color="000000" w:sz="4" w:space="0"/>
              <w:right w:val="single" w:color="000000" w:sz="4" w:space="0"/>
            </w:tcBorders>
          </w:tcPr>
          <w:p>
            <w:pPr>
              <w:pStyle w:val="19"/>
              <w:spacing w:before="12"/>
              <w:ind w:right="1105"/>
              <w:jc w:val="right"/>
              <w:rPr>
                <w:rFonts w:ascii="Times New Roman"/>
                <w:sz w:val="21"/>
              </w:rPr>
            </w:pPr>
            <w:r>
              <w:rPr>
                <w:rFonts w:ascii="Times New Roman"/>
                <w:w w:val="95"/>
                <w:sz w:val="21"/>
              </w:rPr>
              <w:t>&lt;0.13</w:t>
            </w:r>
          </w:p>
        </w:tc>
        <w:tc>
          <w:tcPr>
            <w:tcW w:w="2738" w:type="dxa"/>
            <w:tcBorders>
              <w:top w:val="single" w:color="000000" w:sz="4" w:space="0"/>
              <w:left w:val="single" w:color="000000" w:sz="4" w:space="0"/>
              <w:bottom w:val="single" w:color="000000" w:sz="4" w:space="0"/>
              <w:right w:val="single" w:color="000000" w:sz="4" w:space="0"/>
            </w:tcBorders>
          </w:tcPr>
          <w:p>
            <w:pPr>
              <w:pStyle w:val="19"/>
              <w:spacing w:before="12"/>
              <w:ind w:left="302" w:right="284"/>
              <w:rPr>
                <w:rFonts w:ascii="Times New Roman"/>
                <w:sz w:val="21"/>
              </w:rPr>
            </w:pPr>
            <w:r>
              <w:rPr>
                <w:rFonts w:ascii="Times New Roman"/>
                <w:sz w:val="21"/>
              </w:rPr>
              <w:t>&lt;0.13</w:t>
            </w:r>
          </w:p>
        </w:tc>
        <w:tc>
          <w:tcPr>
            <w:tcW w:w="1013" w:type="dxa"/>
            <w:tcBorders>
              <w:top w:val="single" w:color="000000" w:sz="4" w:space="0"/>
              <w:left w:val="single" w:color="000000" w:sz="4" w:space="0"/>
              <w:bottom w:val="single" w:color="000000" w:sz="4" w:space="0"/>
            </w:tcBorders>
          </w:tcPr>
          <w:p>
            <w:pPr>
              <w:pStyle w:val="19"/>
              <w:spacing w:before="12"/>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right w:val="single" w:color="000000" w:sz="4" w:space="0"/>
            </w:tcBorders>
          </w:tcPr>
          <w:p>
            <w:pPr>
              <w:pStyle w:val="19"/>
              <w:spacing w:line="265" w:lineRule="exact"/>
              <w:ind w:left="48" w:right="29"/>
              <w:rPr>
                <w:sz w:val="21"/>
              </w:rPr>
            </w:pPr>
            <w:r>
              <w:rPr>
                <w:sz w:val="21"/>
              </w:rPr>
              <w:t>石油烃</w:t>
            </w:r>
          </w:p>
          <w:p>
            <w:pPr>
              <w:pStyle w:val="19"/>
              <w:spacing w:before="57"/>
              <w:ind w:left="48" w:right="32"/>
              <w:rPr>
                <w:sz w:val="21"/>
              </w:rPr>
            </w:pPr>
            <w:r>
              <w:rPr>
                <w:sz w:val="21"/>
              </w:rPr>
              <w:t>（</w:t>
            </w:r>
            <w:r>
              <w:rPr>
                <w:rFonts w:ascii="Times New Roman" w:eastAsia="Times New Roman"/>
                <w:sz w:val="21"/>
              </w:rPr>
              <w:t>C10~C40</w:t>
            </w:r>
            <w:r>
              <w:rPr>
                <w:sz w:val="21"/>
              </w:rPr>
              <w:t>）</w:t>
            </w:r>
          </w:p>
        </w:tc>
        <w:tc>
          <w:tcPr>
            <w:tcW w:w="2731" w:type="dxa"/>
            <w:tcBorders>
              <w:top w:val="single" w:color="000000" w:sz="4" w:space="0"/>
              <w:left w:val="single" w:color="000000" w:sz="4" w:space="0"/>
              <w:right w:val="single" w:color="000000" w:sz="4" w:space="0"/>
            </w:tcBorders>
          </w:tcPr>
          <w:p>
            <w:pPr>
              <w:pStyle w:val="19"/>
              <w:spacing w:before="175"/>
              <w:ind w:left="297" w:right="277"/>
              <w:rPr>
                <w:rFonts w:ascii="Times New Roman"/>
                <w:sz w:val="21"/>
              </w:rPr>
            </w:pPr>
            <w:r>
              <w:rPr>
                <w:rFonts w:ascii="Times New Roman"/>
                <w:sz w:val="21"/>
              </w:rPr>
              <w:t>&lt;6</w:t>
            </w:r>
          </w:p>
        </w:tc>
        <w:tc>
          <w:tcPr>
            <w:tcW w:w="2738" w:type="dxa"/>
            <w:tcBorders>
              <w:top w:val="single" w:color="000000" w:sz="4" w:space="0"/>
              <w:left w:val="single" w:color="000000" w:sz="4" w:space="0"/>
              <w:right w:val="single" w:color="000000" w:sz="4" w:space="0"/>
            </w:tcBorders>
          </w:tcPr>
          <w:p>
            <w:pPr>
              <w:pStyle w:val="19"/>
              <w:spacing w:before="175"/>
              <w:ind w:left="302" w:right="284"/>
              <w:rPr>
                <w:rFonts w:ascii="Times New Roman"/>
                <w:sz w:val="21"/>
              </w:rPr>
            </w:pPr>
            <w:r>
              <w:rPr>
                <w:rFonts w:ascii="Times New Roman"/>
                <w:sz w:val="21"/>
              </w:rPr>
              <w:t>&lt;6</w:t>
            </w:r>
          </w:p>
        </w:tc>
        <w:tc>
          <w:tcPr>
            <w:tcW w:w="1013" w:type="dxa"/>
            <w:tcBorders>
              <w:top w:val="single" w:color="000000" w:sz="4" w:space="0"/>
              <w:left w:val="single" w:color="000000" w:sz="4" w:space="0"/>
            </w:tcBorders>
          </w:tcPr>
          <w:p>
            <w:pPr>
              <w:pStyle w:val="19"/>
              <w:spacing w:before="175"/>
              <w:ind w:left="169" w:right="153"/>
              <w:rPr>
                <w:rFonts w:ascii="Times New Roman"/>
                <w:sz w:val="21"/>
              </w:rPr>
            </w:pPr>
            <w:r>
              <w:rPr>
                <w:rFonts w:ascii="Times New Roman"/>
                <w:sz w:val="21"/>
              </w:rPr>
              <w:t>mg/kg</w:t>
            </w:r>
          </w:p>
        </w:tc>
      </w:tr>
    </w:tbl>
    <w:p>
      <w:pPr>
        <w:spacing w:before="0" w:line="269" w:lineRule="exact"/>
        <w:ind w:left="10" w:right="0" w:firstLine="0"/>
        <w:jc w:val="center"/>
        <w:rPr>
          <w:b/>
          <w:sz w:val="21"/>
        </w:rPr>
      </w:pPr>
      <w:r>
        <w:rPr>
          <w:b/>
          <w:spacing w:val="-26"/>
          <w:sz w:val="21"/>
        </w:rPr>
        <w:t xml:space="preserve">表 </w:t>
      </w:r>
      <w:r>
        <w:rPr>
          <w:rFonts w:ascii="Times New Roman" w:eastAsia="Times New Roman"/>
          <w:b/>
          <w:sz w:val="21"/>
        </w:rPr>
        <w:t>9.3-9</w:t>
      </w:r>
      <w:r>
        <w:rPr>
          <w:rFonts w:ascii="Times New Roman" w:eastAsia="Times New Roman"/>
          <w:b/>
          <w:spacing w:val="52"/>
          <w:sz w:val="21"/>
        </w:rPr>
        <w:t xml:space="preserve"> </w:t>
      </w:r>
      <w:r>
        <w:rPr>
          <w:b/>
          <w:sz w:val="21"/>
        </w:rPr>
        <w:t>土壤环境质量现状监测结果（</w:t>
      </w:r>
      <w:r>
        <w:rPr>
          <w:rFonts w:ascii="Times New Roman" w:eastAsia="Times New Roman"/>
          <w:b/>
          <w:sz w:val="21"/>
        </w:rPr>
        <w:t>2</w:t>
      </w:r>
      <w:r>
        <w:rPr>
          <w:b/>
          <w:sz w:val="21"/>
        </w:rPr>
        <w:t>）</w:t>
      </w:r>
    </w:p>
    <w:p>
      <w:pPr>
        <w:pStyle w:val="9"/>
        <w:spacing w:before="11" w:after="1"/>
        <w:rPr>
          <w:b/>
          <w:sz w:val="10"/>
        </w:rPr>
      </w:pPr>
    </w:p>
    <w:tbl>
      <w:tblPr>
        <w:tblStyle w:val="15"/>
        <w:tblW w:w="0" w:type="auto"/>
        <w:tblInd w:w="13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60"/>
        <w:gridCol w:w="1526"/>
        <w:gridCol w:w="1294"/>
        <w:gridCol w:w="1294"/>
        <w:gridCol w:w="1294"/>
        <w:gridCol w:w="1294"/>
        <w:gridCol w:w="158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960" w:type="dxa"/>
            <w:vMerge w:val="restart"/>
            <w:tcBorders>
              <w:bottom w:val="single" w:color="000000" w:sz="4" w:space="0"/>
              <w:right w:val="single" w:color="000000" w:sz="4" w:space="0"/>
            </w:tcBorders>
          </w:tcPr>
          <w:p>
            <w:pPr>
              <w:pStyle w:val="19"/>
              <w:spacing w:before="3"/>
              <w:jc w:val="left"/>
              <w:rPr>
                <w:b/>
                <w:sz w:val="29"/>
              </w:rPr>
            </w:pPr>
          </w:p>
          <w:p>
            <w:pPr>
              <w:pStyle w:val="19"/>
              <w:spacing w:before="1"/>
              <w:ind w:left="61"/>
              <w:jc w:val="left"/>
              <w:rPr>
                <w:sz w:val="21"/>
              </w:rPr>
            </w:pPr>
            <w:r>
              <w:rPr>
                <w:sz w:val="21"/>
              </w:rPr>
              <w:t>采样时间</w:t>
            </w:r>
          </w:p>
        </w:tc>
        <w:tc>
          <w:tcPr>
            <w:tcW w:w="1526" w:type="dxa"/>
            <w:vMerge w:val="restart"/>
            <w:tcBorders>
              <w:left w:val="single" w:color="000000" w:sz="4" w:space="0"/>
              <w:bottom w:val="single" w:color="000000" w:sz="4" w:space="0"/>
              <w:right w:val="single" w:color="000000" w:sz="4" w:space="0"/>
            </w:tcBorders>
          </w:tcPr>
          <w:p>
            <w:pPr>
              <w:pStyle w:val="19"/>
              <w:spacing w:before="3"/>
              <w:jc w:val="left"/>
              <w:rPr>
                <w:b/>
                <w:sz w:val="29"/>
              </w:rPr>
            </w:pPr>
          </w:p>
          <w:p>
            <w:pPr>
              <w:pStyle w:val="19"/>
              <w:spacing w:before="1"/>
              <w:ind w:left="347"/>
              <w:jc w:val="left"/>
              <w:rPr>
                <w:sz w:val="21"/>
              </w:rPr>
            </w:pPr>
            <w:r>
              <w:rPr>
                <w:sz w:val="21"/>
              </w:rPr>
              <w:t>检测项目</w:t>
            </w:r>
          </w:p>
        </w:tc>
        <w:tc>
          <w:tcPr>
            <w:tcW w:w="5176" w:type="dxa"/>
            <w:gridSpan w:val="4"/>
            <w:tcBorders>
              <w:left w:val="single" w:color="000000" w:sz="4" w:space="0"/>
              <w:bottom w:val="single" w:color="000000" w:sz="4" w:space="0"/>
              <w:right w:val="single" w:color="000000" w:sz="4" w:space="0"/>
            </w:tcBorders>
          </w:tcPr>
          <w:p>
            <w:pPr>
              <w:pStyle w:val="19"/>
              <w:spacing w:before="46" w:line="254" w:lineRule="exact"/>
              <w:ind w:left="2150" w:right="2135"/>
              <w:rPr>
                <w:sz w:val="21"/>
              </w:rPr>
            </w:pPr>
            <w:r>
              <w:rPr>
                <w:sz w:val="21"/>
              </w:rPr>
              <w:t>检测结果</w:t>
            </w:r>
          </w:p>
        </w:tc>
        <w:tc>
          <w:tcPr>
            <w:tcW w:w="1583" w:type="dxa"/>
            <w:vMerge w:val="restart"/>
            <w:tcBorders>
              <w:left w:val="single" w:color="000000" w:sz="4" w:space="0"/>
              <w:bottom w:val="single" w:color="000000" w:sz="4" w:space="0"/>
            </w:tcBorders>
          </w:tcPr>
          <w:p>
            <w:pPr>
              <w:pStyle w:val="19"/>
              <w:spacing w:before="3"/>
              <w:jc w:val="left"/>
              <w:rPr>
                <w:b/>
                <w:sz w:val="29"/>
              </w:rPr>
            </w:pPr>
          </w:p>
          <w:p>
            <w:pPr>
              <w:pStyle w:val="19"/>
              <w:spacing w:before="1"/>
              <w:ind w:left="457" w:right="440"/>
              <w:rPr>
                <w:sz w:val="21"/>
              </w:rPr>
            </w:pPr>
            <w:r>
              <w:rPr>
                <w:sz w:val="21"/>
              </w:rPr>
              <w:t>单位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960" w:type="dxa"/>
            <w:vMerge w:val="continue"/>
            <w:tcBorders>
              <w:top w:val="nil"/>
              <w:bottom w:val="single" w:color="000000" w:sz="4" w:space="0"/>
              <w:right w:val="single" w:color="000000" w:sz="4" w:space="0"/>
            </w:tcBorders>
          </w:tcPr>
          <w:p>
            <w:pPr>
              <w:rPr>
                <w:sz w:val="2"/>
                <w:szCs w:val="2"/>
              </w:rPr>
            </w:pPr>
          </w:p>
        </w:tc>
        <w:tc>
          <w:tcPr>
            <w:tcW w:w="1526" w:type="dxa"/>
            <w:vMerge w:val="continue"/>
            <w:tcBorders>
              <w:top w:val="nil"/>
              <w:left w:val="single" w:color="000000" w:sz="4" w:space="0"/>
              <w:bottom w:val="single" w:color="000000" w:sz="4" w:space="0"/>
              <w:right w:val="single" w:color="000000" w:sz="4" w:space="0"/>
            </w:tcBorders>
          </w:tcPr>
          <w:p>
            <w:pPr>
              <w:rPr>
                <w:sz w:val="2"/>
                <w:szCs w:val="2"/>
              </w:rPr>
            </w:pPr>
          </w:p>
        </w:tc>
        <w:tc>
          <w:tcPr>
            <w:tcW w:w="2588" w:type="dxa"/>
            <w:gridSpan w:val="2"/>
            <w:tcBorders>
              <w:top w:val="single" w:color="000000" w:sz="4" w:space="0"/>
              <w:left w:val="single" w:color="000000" w:sz="4" w:space="0"/>
              <w:bottom w:val="single" w:color="000000" w:sz="4" w:space="0"/>
              <w:right w:val="single" w:color="000000" w:sz="4" w:space="0"/>
            </w:tcBorders>
          </w:tcPr>
          <w:p>
            <w:pPr>
              <w:pStyle w:val="19"/>
              <w:spacing w:before="45" w:line="255" w:lineRule="exact"/>
              <w:ind w:left="352"/>
              <w:jc w:val="left"/>
              <w:rPr>
                <w:sz w:val="21"/>
              </w:rPr>
            </w:pPr>
            <w:r>
              <w:rPr>
                <w:sz w:val="21"/>
              </w:rPr>
              <w:t>主井工业广场表层样</w:t>
            </w:r>
          </w:p>
        </w:tc>
        <w:tc>
          <w:tcPr>
            <w:tcW w:w="2588" w:type="dxa"/>
            <w:gridSpan w:val="2"/>
            <w:tcBorders>
              <w:top w:val="single" w:color="000000" w:sz="4" w:space="0"/>
              <w:left w:val="single" w:color="000000" w:sz="4" w:space="0"/>
              <w:bottom w:val="single" w:color="000000" w:sz="4" w:space="0"/>
              <w:right w:val="single" w:color="000000" w:sz="4" w:space="0"/>
            </w:tcBorders>
          </w:tcPr>
          <w:p>
            <w:pPr>
              <w:pStyle w:val="19"/>
              <w:spacing w:before="45" w:line="255" w:lineRule="exact"/>
              <w:ind w:left="354"/>
              <w:jc w:val="left"/>
              <w:rPr>
                <w:sz w:val="21"/>
              </w:rPr>
            </w:pPr>
            <w:r>
              <w:rPr>
                <w:sz w:val="21"/>
              </w:rPr>
              <w:t>副井工业广场表层样</w:t>
            </w:r>
          </w:p>
        </w:tc>
        <w:tc>
          <w:tcPr>
            <w:tcW w:w="1583"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960" w:type="dxa"/>
            <w:vMerge w:val="continue"/>
            <w:tcBorders>
              <w:top w:val="nil"/>
              <w:bottom w:val="single" w:color="000000" w:sz="4" w:space="0"/>
              <w:right w:val="single" w:color="000000" w:sz="4" w:space="0"/>
            </w:tcBorders>
          </w:tcPr>
          <w:p>
            <w:pPr>
              <w:rPr>
                <w:sz w:val="2"/>
                <w:szCs w:val="2"/>
              </w:rPr>
            </w:pPr>
          </w:p>
        </w:tc>
        <w:tc>
          <w:tcPr>
            <w:tcW w:w="1526" w:type="dxa"/>
            <w:vMerge w:val="continue"/>
            <w:tcBorders>
              <w:top w:val="nil"/>
              <w:left w:val="single" w:color="000000" w:sz="4" w:space="0"/>
              <w:bottom w:val="single" w:color="000000" w:sz="4" w:space="0"/>
              <w:right w:val="single" w:color="000000" w:sz="4" w:space="0"/>
            </w:tcBorders>
          </w:tcPr>
          <w:p>
            <w:pPr>
              <w:rPr>
                <w:sz w:val="2"/>
                <w:szCs w:val="2"/>
              </w:rPr>
            </w:pP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60" w:line="240" w:lineRule="exact"/>
              <w:ind w:left="9" w:right="-15"/>
              <w:rPr>
                <w:rFonts w:ascii="Times New Roman"/>
                <w:sz w:val="21"/>
              </w:rPr>
            </w:pPr>
            <w:r>
              <w:rPr>
                <w:rFonts w:ascii="Times New Roman"/>
                <w:sz w:val="21"/>
              </w:rPr>
              <w:t>TR3006-20201</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60" w:line="240" w:lineRule="exact"/>
              <w:ind w:left="11" w:right="-15"/>
              <w:rPr>
                <w:rFonts w:ascii="Times New Roman"/>
                <w:sz w:val="21"/>
              </w:rPr>
            </w:pPr>
            <w:r>
              <w:rPr>
                <w:rFonts w:ascii="Times New Roman"/>
                <w:w w:val="95"/>
                <w:sz w:val="21"/>
              </w:rPr>
              <w:t>TR3006-20301</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60" w:line="240" w:lineRule="exact"/>
              <w:ind w:left="25"/>
              <w:rPr>
                <w:rFonts w:ascii="Times New Roman"/>
                <w:sz w:val="21"/>
              </w:rPr>
            </w:pPr>
            <w:r>
              <w:rPr>
                <w:rFonts w:ascii="Times New Roman"/>
                <w:w w:val="95"/>
                <w:sz w:val="21"/>
              </w:rPr>
              <w:t>TR3006-20501</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60" w:line="240" w:lineRule="exact"/>
              <w:ind w:left="25"/>
              <w:rPr>
                <w:rFonts w:ascii="Times New Roman"/>
                <w:sz w:val="21"/>
              </w:rPr>
            </w:pPr>
            <w:r>
              <w:rPr>
                <w:rFonts w:ascii="Times New Roman"/>
                <w:w w:val="95"/>
                <w:sz w:val="21"/>
              </w:rPr>
              <w:t>TR3006-20601</w:t>
            </w:r>
          </w:p>
        </w:tc>
        <w:tc>
          <w:tcPr>
            <w:tcW w:w="1583"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2" w:hRule="atLeast"/>
        </w:trPr>
        <w:tc>
          <w:tcPr>
            <w:tcW w:w="960" w:type="dxa"/>
            <w:vMerge w:val="restart"/>
            <w:tcBorders>
              <w:top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11"/>
              <w:jc w:val="left"/>
              <w:rPr>
                <w:b/>
                <w:sz w:val="27"/>
              </w:rPr>
            </w:pPr>
          </w:p>
          <w:p>
            <w:pPr>
              <w:pStyle w:val="19"/>
              <w:ind w:left="8" w:right="-15"/>
              <w:jc w:val="left"/>
              <w:rPr>
                <w:rFonts w:ascii="Times New Roman"/>
                <w:sz w:val="21"/>
              </w:rPr>
            </w:pPr>
            <w:r>
              <w:rPr>
                <w:rFonts w:ascii="Times New Roman"/>
                <w:sz w:val="21"/>
              </w:rPr>
              <w:t>2020.04.14</w:t>
            </w:r>
          </w:p>
        </w:tc>
        <w:tc>
          <w:tcPr>
            <w:tcW w:w="1526" w:type="dxa"/>
            <w:tcBorders>
              <w:top w:val="single" w:color="000000" w:sz="4" w:space="0"/>
              <w:left w:val="single" w:color="000000" w:sz="4" w:space="0"/>
              <w:bottom w:val="single" w:color="000000" w:sz="4" w:space="0"/>
              <w:right w:val="single" w:color="000000" w:sz="4" w:space="0"/>
            </w:tcBorders>
          </w:tcPr>
          <w:p>
            <w:pPr>
              <w:pStyle w:val="19"/>
              <w:spacing w:before="69"/>
              <w:ind w:left="508"/>
              <w:jc w:val="left"/>
              <w:rPr>
                <w:sz w:val="21"/>
              </w:rPr>
            </w:pPr>
            <w:r>
              <w:rPr>
                <w:rFonts w:ascii="Times New Roman" w:eastAsia="Times New Roman"/>
                <w:sz w:val="21"/>
              </w:rPr>
              <w:t xml:space="preserve">pH </w:t>
            </w:r>
            <w:r>
              <w:rPr>
                <w:sz w:val="21"/>
              </w:rPr>
              <w:t>值</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5"/>
              <w:ind w:left="25" w:right="5"/>
              <w:rPr>
                <w:rFonts w:ascii="Times New Roman"/>
                <w:sz w:val="21"/>
              </w:rPr>
            </w:pPr>
            <w:bookmarkStart w:id="569" w:name="7.41"/>
            <w:bookmarkEnd w:id="569"/>
            <w:r>
              <w:rPr>
                <w:rFonts w:ascii="Times New Roman"/>
                <w:sz w:val="21"/>
              </w:rPr>
              <w:t>7.41</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5"/>
              <w:ind w:left="25" w:right="6"/>
              <w:rPr>
                <w:rFonts w:ascii="Times New Roman"/>
                <w:sz w:val="21"/>
              </w:rPr>
            </w:pPr>
            <w:bookmarkStart w:id="570" w:name="7.28"/>
            <w:bookmarkEnd w:id="570"/>
            <w:r>
              <w:rPr>
                <w:rFonts w:ascii="Times New Roman"/>
                <w:sz w:val="21"/>
              </w:rPr>
              <w:t>7.28</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5"/>
              <w:ind w:left="25" w:right="7"/>
              <w:rPr>
                <w:rFonts w:ascii="Times New Roman"/>
                <w:sz w:val="21"/>
              </w:rPr>
            </w:pPr>
            <w:bookmarkStart w:id="571" w:name="7.12"/>
            <w:bookmarkEnd w:id="571"/>
            <w:r>
              <w:rPr>
                <w:rFonts w:ascii="Times New Roman"/>
                <w:sz w:val="21"/>
              </w:rPr>
              <w:t>7.12</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5"/>
              <w:ind w:left="25" w:right="8"/>
              <w:rPr>
                <w:rFonts w:ascii="Times New Roman"/>
                <w:sz w:val="21"/>
              </w:rPr>
            </w:pPr>
            <w:bookmarkStart w:id="572" w:name="7.34"/>
            <w:bookmarkEnd w:id="572"/>
            <w:r>
              <w:rPr>
                <w:rFonts w:ascii="Times New Roman"/>
                <w:sz w:val="21"/>
              </w:rPr>
              <w:t>7.34</w:t>
            </w:r>
          </w:p>
        </w:tc>
        <w:tc>
          <w:tcPr>
            <w:tcW w:w="1583" w:type="dxa"/>
            <w:tcBorders>
              <w:top w:val="single" w:color="000000" w:sz="4" w:space="0"/>
              <w:left w:val="single" w:color="000000" w:sz="4" w:space="0"/>
              <w:bottom w:val="single" w:color="000000" w:sz="4" w:space="0"/>
            </w:tcBorders>
          </w:tcPr>
          <w:p>
            <w:pPr>
              <w:pStyle w:val="19"/>
              <w:spacing w:before="69"/>
              <w:ind w:left="457" w:right="440"/>
              <w:rPr>
                <w:sz w:val="21"/>
              </w:rPr>
            </w:pPr>
            <w:r>
              <w:rPr>
                <w:sz w:val="21"/>
              </w:rPr>
              <w:t>无量纲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60" w:type="dxa"/>
            <w:vMerge w:val="continue"/>
            <w:tcBorders>
              <w:top w:val="nil"/>
              <w:right w:val="single" w:color="000000" w:sz="4" w:space="0"/>
            </w:tcBorders>
          </w:tcPr>
          <w:p>
            <w:pPr>
              <w:rPr>
                <w:sz w:val="2"/>
                <w:szCs w:val="2"/>
              </w:rPr>
            </w:pPr>
          </w:p>
        </w:tc>
        <w:tc>
          <w:tcPr>
            <w:tcW w:w="1526" w:type="dxa"/>
            <w:tcBorders>
              <w:top w:val="single" w:color="000000" w:sz="4" w:space="0"/>
              <w:left w:val="single" w:color="000000" w:sz="4" w:space="0"/>
              <w:bottom w:val="single" w:color="000000" w:sz="4" w:space="0"/>
              <w:right w:val="single" w:color="000000" w:sz="4" w:space="0"/>
            </w:tcBorders>
          </w:tcPr>
          <w:p>
            <w:pPr>
              <w:pStyle w:val="19"/>
              <w:spacing w:before="63"/>
              <w:ind w:left="452"/>
              <w:jc w:val="left"/>
              <w:rPr>
                <w:sz w:val="21"/>
              </w:rPr>
            </w:pPr>
            <w:r>
              <w:rPr>
                <w:sz w:val="21"/>
              </w:rPr>
              <w:t>含盐量</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0"/>
              <w:ind w:left="25" w:right="5"/>
              <w:rPr>
                <w:rFonts w:ascii="Times New Roman"/>
                <w:sz w:val="21"/>
              </w:rPr>
            </w:pPr>
            <w:bookmarkStart w:id="573" w:name="1.4"/>
            <w:bookmarkEnd w:id="573"/>
            <w:r>
              <w:rPr>
                <w:rFonts w:ascii="Times New Roman"/>
                <w:sz w:val="21"/>
              </w:rPr>
              <w:t>1.4</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0"/>
              <w:ind w:left="25" w:right="6"/>
              <w:rPr>
                <w:rFonts w:ascii="Times New Roman"/>
                <w:sz w:val="21"/>
              </w:rPr>
            </w:pPr>
            <w:bookmarkStart w:id="574" w:name="1.7"/>
            <w:bookmarkEnd w:id="574"/>
            <w:r>
              <w:rPr>
                <w:rFonts w:ascii="Times New Roman"/>
                <w:sz w:val="21"/>
              </w:rPr>
              <w:t>1.7</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0"/>
              <w:ind w:left="25" w:right="7"/>
              <w:rPr>
                <w:rFonts w:ascii="Times New Roman"/>
                <w:sz w:val="21"/>
              </w:rPr>
            </w:pPr>
            <w:bookmarkStart w:id="575" w:name="1.3"/>
            <w:bookmarkEnd w:id="575"/>
            <w:r>
              <w:rPr>
                <w:rFonts w:ascii="Times New Roman"/>
                <w:sz w:val="21"/>
              </w:rPr>
              <w:t>1.3</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0"/>
              <w:ind w:left="25" w:right="8"/>
              <w:rPr>
                <w:rFonts w:ascii="Times New Roman"/>
                <w:sz w:val="21"/>
              </w:rPr>
            </w:pPr>
            <w:bookmarkStart w:id="576" w:name="1.4"/>
            <w:bookmarkEnd w:id="576"/>
            <w:r>
              <w:rPr>
                <w:rFonts w:ascii="Times New Roman"/>
                <w:sz w:val="21"/>
              </w:rPr>
              <w:t>1.4</w:t>
            </w:r>
          </w:p>
        </w:tc>
        <w:tc>
          <w:tcPr>
            <w:tcW w:w="1583" w:type="dxa"/>
            <w:tcBorders>
              <w:top w:val="single" w:color="000000" w:sz="4" w:space="0"/>
              <w:left w:val="single" w:color="000000" w:sz="4" w:space="0"/>
              <w:bottom w:val="single" w:color="000000" w:sz="4" w:space="0"/>
            </w:tcBorders>
          </w:tcPr>
          <w:p>
            <w:pPr>
              <w:pStyle w:val="19"/>
              <w:spacing w:before="77"/>
              <w:ind w:left="453" w:right="440"/>
              <w:rPr>
                <w:rFonts w:ascii="Times New Roman"/>
                <w:sz w:val="21"/>
              </w:rPr>
            </w:pPr>
            <w:r>
              <w:rPr>
                <w:rFonts w:ascii="Times New Roman"/>
                <w:sz w:val="21"/>
              </w:rPr>
              <w:t>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960" w:type="dxa"/>
            <w:vMerge w:val="continue"/>
            <w:tcBorders>
              <w:top w:val="nil"/>
              <w:right w:val="single" w:color="000000" w:sz="4" w:space="0"/>
            </w:tcBorders>
          </w:tcPr>
          <w:p>
            <w:pPr>
              <w:rPr>
                <w:sz w:val="2"/>
                <w:szCs w:val="2"/>
              </w:rPr>
            </w:pPr>
          </w:p>
        </w:tc>
        <w:tc>
          <w:tcPr>
            <w:tcW w:w="1526" w:type="dxa"/>
            <w:tcBorders>
              <w:top w:val="single" w:color="000000" w:sz="4" w:space="0"/>
              <w:left w:val="single" w:color="000000" w:sz="4" w:space="0"/>
              <w:bottom w:val="single" w:color="000000" w:sz="4" w:space="0"/>
              <w:right w:val="single" w:color="000000" w:sz="4" w:space="0"/>
            </w:tcBorders>
          </w:tcPr>
          <w:p>
            <w:pPr>
              <w:pStyle w:val="19"/>
              <w:spacing w:before="63"/>
              <w:ind w:left="16"/>
              <w:rPr>
                <w:sz w:val="21"/>
              </w:rPr>
            </w:pPr>
            <w:r>
              <w:rPr>
                <w:w w:val="99"/>
                <w:sz w:val="21"/>
              </w:rPr>
              <w:t>砷</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2"/>
              <w:ind w:left="25" w:right="5"/>
              <w:rPr>
                <w:rFonts w:ascii="Times New Roman"/>
                <w:sz w:val="21"/>
              </w:rPr>
            </w:pPr>
            <w:bookmarkStart w:id="577" w:name="10.8"/>
            <w:bookmarkEnd w:id="577"/>
            <w:r>
              <w:rPr>
                <w:rFonts w:ascii="Times New Roman"/>
                <w:sz w:val="21"/>
              </w:rPr>
              <w:t>10.8</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2"/>
              <w:ind w:left="25" w:right="6"/>
              <w:rPr>
                <w:rFonts w:ascii="Times New Roman"/>
                <w:sz w:val="21"/>
              </w:rPr>
            </w:pPr>
            <w:bookmarkStart w:id="578" w:name="11.0"/>
            <w:bookmarkEnd w:id="578"/>
            <w:r>
              <w:rPr>
                <w:rFonts w:ascii="Times New Roman"/>
                <w:sz w:val="21"/>
              </w:rPr>
              <w:t>11.0</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2"/>
              <w:ind w:left="25" w:right="5"/>
              <w:rPr>
                <w:rFonts w:ascii="Times New Roman"/>
                <w:sz w:val="21"/>
              </w:rPr>
            </w:pPr>
            <w:bookmarkStart w:id="579" w:name="11.2"/>
            <w:bookmarkEnd w:id="579"/>
            <w:r>
              <w:rPr>
                <w:rFonts w:ascii="Times New Roman"/>
                <w:sz w:val="21"/>
              </w:rPr>
              <w:t>11.2</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2"/>
              <w:ind w:left="25" w:right="8"/>
              <w:rPr>
                <w:rFonts w:ascii="Times New Roman"/>
                <w:sz w:val="21"/>
              </w:rPr>
            </w:pPr>
            <w:bookmarkStart w:id="580" w:name="9.26"/>
            <w:bookmarkEnd w:id="580"/>
            <w:r>
              <w:rPr>
                <w:rFonts w:ascii="Times New Roman"/>
                <w:sz w:val="21"/>
              </w:rPr>
              <w:t>9.26</w:t>
            </w:r>
          </w:p>
        </w:tc>
        <w:tc>
          <w:tcPr>
            <w:tcW w:w="1583" w:type="dxa"/>
            <w:tcBorders>
              <w:top w:val="single" w:color="000000" w:sz="4" w:space="0"/>
              <w:left w:val="single" w:color="000000" w:sz="4" w:space="0"/>
              <w:bottom w:val="single" w:color="000000" w:sz="4" w:space="0"/>
            </w:tcBorders>
          </w:tcPr>
          <w:p>
            <w:pPr>
              <w:pStyle w:val="19"/>
              <w:spacing w:before="99"/>
              <w:ind w:left="457" w:right="439"/>
              <w:rPr>
                <w:rFonts w:ascii="Times New Roman"/>
                <w:sz w:val="21"/>
              </w:rPr>
            </w:pPr>
            <w:bookmarkStart w:id="581" w:name="mg/kg"/>
            <w:bookmarkEnd w:id="581"/>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60" w:type="dxa"/>
            <w:vMerge w:val="continue"/>
            <w:tcBorders>
              <w:top w:val="nil"/>
              <w:right w:val="single" w:color="000000" w:sz="4" w:space="0"/>
            </w:tcBorders>
          </w:tcPr>
          <w:p>
            <w:pPr>
              <w:rPr>
                <w:sz w:val="2"/>
                <w:szCs w:val="2"/>
              </w:rPr>
            </w:pPr>
          </w:p>
        </w:tc>
        <w:tc>
          <w:tcPr>
            <w:tcW w:w="1526" w:type="dxa"/>
            <w:tcBorders>
              <w:top w:val="single" w:color="000000" w:sz="4" w:space="0"/>
              <w:left w:val="single" w:color="000000" w:sz="4" w:space="0"/>
              <w:bottom w:val="single" w:color="000000" w:sz="4" w:space="0"/>
              <w:right w:val="single" w:color="000000" w:sz="4" w:space="0"/>
            </w:tcBorders>
          </w:tcPr>
          <w:p>
            <w:pPr>
              <w:pStyle w:val="19"/>
              <w:spacing w:before="63"/>
              <w:ind w:left="16"/>
              <w:rPr>
                <w:sz w:val="21"/>
              </w:rPr>
            </w:pPr>
            <w:r>
              <w:rPr>
                <w:w w:val="99"/>
                <w:sz w:val="21"/>
              </w:rPr>
              <w:t>镉</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1"/>
              <w:ind w:left="25" w:right="5"/>
              <w:rPr>
                <w:rFonts w:ascii="Times New Roman"/>
                <w:sz w:val="21"/>
              </w:rPr>
            </w:pPr>
            <w:bookmarkStart w:id="582" w:name="0.05"/>
            <w:bookmarkEnd w:id="582"/>
            <w:r>
              <w:rPr>
                <w:rFonts w:ascii="Times New Roman"/>
                <w:sz w:val="21"/>
              </w:rPr>
              <w:t>0.05</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1"/>
              <w:ind w:left="25" w:right="6"/>
              <w:rPr>
                <w:rFonts w:ascii="Times New Roman"/>
                <w:sz w:val="21"/>
              </w:rPr>
            </w:pPr>
            <w:bookmarkStart w:id="583" w:name="0.06"/>
            <w:bookmarkEnd w:id="583"/>
            <w:r>
              <w:rPr>
                <w:rFonts w:ascii="Times New Roman"/>
                <w:sz w:val="21"/>
              </w:rPr>
              <w:t>0.06</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1"/>
              <w:ind w:left="25" w:right="7"/>
              <w:rPr>
                <w:rFonts w:ascii="Times New Roman"/>
                <w:sz w:val="21"/>
              </w:rPr>
            </w:pPr>
            <w:bookmarkStart w:id="584" w:name="0.06"/>
            <w:bookmarkEnd w:id="584"/>
            <w:r>
              <w:rPr>
                <w:rFonts w:ascii="Times New Roman"/>
                <w:sz w:val="21"/>
              </w:rPr>
              <w:t>0.06</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1"/>
              <w:ind w:left="25" w:right="8"/>
              <w:rPr>
                <w:rFonts w:ascii="Times New Roman"/>
                <w:sz w:val="21"/>
              </w:rPr>
            </w:pPr>
            <w:bookmarkStart w:id="585" w:name="0.05"/>
            <w:bookmarkEnd w:id="585"/>
            <w:r>
              <w:rPr>
                <w:rFonts w:ascii="Times New Roman"/>
                <w:sz w:val="21"/>
              </w:rPr>
              <w:t>0.05</w:t>
            </w:r>
          </w:p>
        </w:tc>
        <w:tc>
          <w:tcPr>
            <w:tcW w:w="1583" w:type="dxa"/>
            <w:tcBorders>
              <w:top w:val="single" w:color="000000" w:sz="4" w:space="0"/>
              <w:left w:val="single" w:color="000000" w:sz="4" w:space="0"/>
              <w:bottom w:val="single" w:color="000000" w:sz="4" w:space="0"/>
            </w:tcBorders>
          </w:tcPr>
          <w:p>
            <w:pPr>
              <w:pStyle w:val="19"/>
              <w:spacing w:before="98"/>
              <w:ind w:left="457" w:right="439"/>
              <w:rPr>
                <w:rFonts w:ascii="Times New Roman"/>
                <w:sz w:val="21"/>
              </w:rPr>
            </w:pPr>
            <w:bookmarkStart w:id="586" w:name="mg/kg"/>
            <w:bookmarkEnd w:id="586"/>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60" w:type="dxa"/>
            <w:vMerge w:val="continue"/>
            <w:tcBorders>
              <w:top w:val="nil"/>
              <w:right w:val="single" w:color="000000" w:sz="4" w:space="0"/>
            </w:tcBorders>
          </w:tcPr>
          <w:p>
            <w:pPr>
              <w:rPr>
                <w:sz w:val="2"/>
                <w:szCs w:val="2"/>
              </w:rPr>
            </w:pPr>
          </w:p>
        </w:tc>
        <w:tc>
          <w:tcPr>
            <w:tcW w:w="1526" w:type="dxa"/>
            <w:tcBorders>
              <w:top w:val="single" w:color="000000" w:sz="4" w:space="0"/>
              <w:left w:val="single" w:color="000000" w:sz="4" w:space="0"/>
              <w:bottom w:val="single" w:color="000000" w:sz="4" w:space="0"/>
              <w:right w:val="single" w:color="000000" w:sz="4" w:space="0"/>
            </w:tcBorders>
          </w:tcPr>
          <w:p>
            <w:pPr>
              <w:pStyle w:val="19"/>
              <w:spacing w:before="62"/>
              <w:ind w:left="452"/>
              <w:jc w:val="left"/>
              <w:rPr>
                <w:sz w:val="21"/>
              </w:rPr>
            </w:pPr>
            <w:r>
              <w:rPr>
                <w:sz w:val="21"/>
              </w:rPr>
              <w:t>六价铬</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1"/>
              <w:ind w:left="25" w:right="8"/>
              <w:rPr>
                <w:rFonts w:ascii="Times New Roman"/>
                <w:sz w:val="21"/>
              </w:rPr>
            </w:pPr>
            <w:bookmarkStart w:id="587" w:name="&lt;2"/>
            <w:bookmarkEnd w:id="587"/>
            <w:r>
              <w:rPr>
                <w:rFonts w:ascii="Times New Roman"/>
                <w:sz w:val="21"/>
              </w:rPr>
              <w:t>&lt;2</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1"/>
              <w:ind w:left="25" w:right="9"/>
              <w:rPr>
                <w:rFonts w:ascii="Times New Roman"/>
                <w:sz w:val="21"/>
              </w:rPr>
            </w:pPr>
            <w:bookmarkStart w:id="588" w:name="&lt;2"/>
            <w:bookmarkEnd w:id="588"/>
            <w:r>
              <w:rPr>
                <w:rFonts w:ascii="Times New Roman"/>
                <w:sz w:val="21"/>
              </w:rPr>
              <w:t>&lt;2</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1"/>
              <w:ind w:left="25" w:right="7"/>
              <w:rPr>
                <w:rFonts w:ascii="Times New Roman"/>
                <w:sz w:val="21"/>
              </w:rPr>
            </w:pPr>
            <w:bookmarkStart w:id="589" w:name="2.05"/>
            <w:bookmarkEnd w:id="589"/>
            <w:r>
              <w:rPr>
                <w:rFonts w:ascii="Times New Roman"/>
                <w:sz w:val="21"/>
              </w:rPr>
              <w:t>2.05</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1"/>
              <w:ind w:left="25" w:right="10"/>
              <w:rPr>
                <w:rFonts w:ascii="Times New Roman"/>
                <w:sz w:val="21"/>
              </w:rPr>
            </w:pPr>
            <w:bookmarkStart w:id="590" w:name="&lt;2"/>
            <w:bookmarkEnd w:id="590"/>
            <w:r>
              <w:rPr>
                <w:rFonts w:ascii="Times New Roman"/>
                <w:sz w:val="21"/>
              </w:rPr>
              <w:t>&lt;2</w:t>
            </w:r>
          </w:p>
        </w:tc>
        <w:tc>
          <w:tcPr>
            <w:tcW w:w="1583" w:type="dxa"/>
            <w:tcBorders>
              <w:top w:val="single" w:color="000000" w:sz="4" w:space="0"/>
              <w:left w:val="single" w:color="000000" w:sz="4" w:space="0"/>
              <w:bottom w:val="single" w:color="000000" w:sz="4" w:space="0"/>
            </w:tcBorders>
          </w:tcPr>
          <w:p>
            <w:pPr>
              <w:pStyle w:val="19"/>
              <w:spacing w:before="98"/>
              <w:ind w:left="457" w:right="439"/>
              <w:rPr>
                <w:rFonts w:ascii="Times New Roman"/>
                <w:sz w:val="21"/>
              </w:rPr>
            </w:pPr>
            <w:bookmarkStart w:id="591" w:name="mg/kg"/>
            <w:bookmarkEnd w:id="591"/>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60" w:type="dxa"/>
            <w:vMerge w:val="continue"/>
            <w:tcBorders>
              <w:top w:val="nil"/>
              <w:right w:val="single" w:color="000000" w:sz="4" w:space="0"/>
            </w:tcBorders>
          </w:tcPr>
          <w:p>
            <w:pPr>
              <w:rPr>
                <w:sz w:val="2"/>
                <w:szCs w:val="2"/>
              </w:rPr>
            </w:pPr>
          </w:p>
        </w:tc>
        <w:tc>
          <w:tcPr>
            <w:tcW w:w="1526" w:type="dxa"/>
            <w:tcBorders>
              <w:top w:val="single" w:color="000000" w:sz="4" w:space="0"/>
              <w:left w:val="single" w:color="000000" w:sz="4" w:space="0"/>
              <w:bottom w:val="single" w:color="000000" w:sz="4" w:space="0"/>
              <w:right w:val="single" w:color="000000" w:sz="4" w:space="0"/>
            </w:tcBorders>
          </w:tcPr>
          <w:p>
            <w:pPr>
              <w:pStyle w:val="19"/>
              <w:spacing w:before="62"/>
              <w:ind w:left="16"/>
              <w:rPr>
                <w:sz w:val="21"/>
              </w:rPr>
            </w:pPr>
            <w:r>
              <w:rPr>
                <w:w w:val="99"/>
                <w:sz w:val="21"/>
              </w:rPr>
              <w:t>铅</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1"/>
              <w:ind w:left="25" w:right="5"/>
              <w:rPr>
                <w:rFonts w:ascii="Times New Roman"/>
                <w:sz w:val="21"/>
              </w:rPr>
            </w:pPr>
            <w:bookmarkStart w:id="592" w:name="22.2"/>
            <w:bookmarkEnd w:id="592"/>
            <w:r>
              <w:rPr>
                <w:rFonts w:ascii="Times New Roman"/>
                <w:sz w:val="21"/>
              </w:rPr>
              <w:t>22.2</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1"/>
              <w:ind w:left="25" w:right="6"/>
              <w:rPr>
                <w:rFonts w:ascii="Times New Roman"/>
                <w:sz w:val="21"/>
              </w:rPr>
            </w:pPr>
            <w:bookmarkStart w:id="593" w:name="25.8"/>
            <w:bookmarkEnd w:id="593"/>
            <w:r>
              <w:rPr>
                <w:rFonts w:ascii="Times New Roman"/>
                <w:sz w:val="21"/>
              </w:rPr>
              <w:t>25.8</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1"/>
              <w:ind w:left="25" w:right="7"/>
              <w:rPr>
                <w:rFonts w:ascii="Times New Roman"/>
                <w:sz w:val="21"/>
              </w:rPr>
            </w:pPr>
            <w:bookmarkStart w:id="594" w:name="26.2"/>
            <w:bookmarkEnd w:id="594"/>
            <w:r>
              <w:rPr>
                <w:rFonts w:ascii="Times New Roman"/>
                <w:sz w:val="21"/>
              </w:rPr>
              <w:t>26.2</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1"/>
              <w:ind w:left="25" w:right="8"/>
              <w:rPr>
                <w:rFonts w:ascii="Times New Roman"/>
                <w:sz w:val="21"/>
              </w:rPr>
            </w:pPr>
            <w:bookmarkStart w:id="595" w:name="24.0"/>
            <w:bookmarkEnd w:id="595"/>
            <w:r>
              <w:rPr>
                <w:rFonts w:ascii="Times New Roman"/>
                <w:sz w:val="21"/>
              </w:rPr>
              <w:t>24.0</w:t>
            </w:r>
          </w:p>
        </w:tc>
        <w:tc>
          <w:tcPr>
            <w:tcW w:w="1583" w:type="dxa"/>
            <w:tcBorders>
              <w:top w:val="single" w:color="000000" w:sz="4" w:space="0"/>
              <w:left w:val="single" w:color="000000" w:sz="4" w:space="0"/>
              <w:bottom w:val="single" w:color="000000" w:sz="4" w:space="0"/>
            </w:tcBorders>
          </w:tcPr>
          <w:p>
            <w:pPr>
              <w:pStyle w:val="19"/>
              <w:spacing w:before="100"/>
              <w:ind w:left="457" w:right="439"/>
              <w:rPr>
                <w:rFonts w:ascii="Times New Roman"/>
                <w:sz w:val="21"/>
              </w:rPr>
            </w:pPr>
            <w:bookmarkStart w:id="596" w:name="mg/kg"/>
            <w:bookmarkEnd w:id="596"/>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60" w:type="dxa"/>
            <w:vMerge w:val="continue"/>
            <w:tcBorders>
              <w:top w:val="nil"/>
              <w:right w:val="single" w:color="000000" w:sz="4" w:space="0"/>
            </w:tcBorders>
          </w:tcPr>
          <w:p>
            <w:pPr>
              <w:rPr>
                <w:sz w:val="2"/>
                <w:szCs w:val="2"/>
              </w:rPr>
            </w:pPr>
          </w:p>
        </w:tc>
        <w:tc>
          <w:tcPr>
            <w:tcW w:w="1526" w:type="dxa"/>
            <w:tcBorders>
              <w:top w:val="single" w:color="000000" w:sz="4" w:space="0"/>
              <w:left w:val="single" w:color="000000" w:sz="4" w:space="0"/>
              <w:bottom w:val="single" w:color="000000" w:sz="4" w:space="0"/>
              <w:right w:val="single" w:color="000000" w:sz="4" w:space="0"/>
            </w:tcBorders>
          </w:tcPr>
          <w:p>
            <w:pPr>
              <w:pStyle w:val="19"/>
              <w:spacing w:before="64"/>
              <w:ind w:left="16"/>
              <w:rPr>
                <w:sz w:val="21"/>
              </w:rPr>
            </w:pPr>
            <w:r>
              <w:rPr>
                <w:w w:val="99"/>
                <w:sz w:val="21"/>
              </w:rPr>
              <w:t>汞</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0"/>
              <w:ind w:left="25" w:right="5"/>
              <w:rPr>
                <w:rFonts w:ascii="Times New Roman"/>
                <w:sz w:val="21"/>
              </w:rPr>
            </w:pPr>
            <w:bookmarkStart w:id="597" w:name="0.128"/>
            <w:bookmarkEnd w:id="597"/>
            <w:r>
              <w:rPr>
                <w:rFonts w:ascii="Times New Roman"/>
                <w:sz w:val="21"/>
              </w:rPr>
              <w:t>0.128</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0"/>
              <w:ind w:left="25" w:right="6"/>
              <w:rPr>
                <w:rFonts w:ascii="Times New Roman"/>
                <w:sz w:val="21"/>
              </w:rPr>
            </w:pPr>
            <w:bookmarkStart w:id="598" w:name="0.131"/>
            <w:bookmarkEnd w:id="598"/>
            <w:r>
              <w:rPr>
                <w:rFonts w:ascii="Times New Roman"/>
                <w:sz w:val="21"/>
              </w:rPr>
              <w:t>0.131</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0"/>
              <w:ind w:left="25" w:right="5"/>
              <w:rPr>
                <w:rFonts w:ascii="Times New Roman"/>
                <w:sz w:val="21"/>
              </w:rPr>
            </w:pPr>
            <w:bookmarkStart w:id="599" w:name="0.133"/>
            <w:bookmarkEnd w:id="599"/>
            <w:r>
              <w:rPr>
                <w:rFonts w:ascii="Times New Roman"/>
                <w:sz w:val="21"/>
              </w:rPr>
              <w:t>0.133</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0"/>
              <w:ind w:left="25" w:right="5"/>
              <w:rPr>
                <w:rFonts w:ascii="Times New Roman"/>
                <w:sz w:val="21"/>
              </w:rPr>
            </w:pPr>
            <w:bookmarkStart w:id="600" w:name="0.129"/>
            <w:bookmarkEnd w:id="600"/>
            <w:r>
              <w:rPr>
                <w:rFonts w:ascii="Times New Roman"/>
                <w:sz w:val="21"/>
              </w:rPr>
              <w:t>0.129</w:t>
            </w:r>
          </w:p>
        </w:tc>
        <w:tc>
          <w:tcPr>
            <w:tcW w:w="1583" w:type="dxa"/>
            <w:tcBorders>
              <w:top w:val="single" w:color="000000" w:sz="4" w:space="0"/>
              <w:left w:val="single" w:color="000000" w:sz="4" w:space="0"/>
              <w:bottom w:val="single" w:color="000000" w:sz="4" w:space="0"/>
            </w:tcBorders>
          </w:tcPr>
          <w:p>
            <w:pPr>
              <w:pStyle w:val="19"/>
              <w:spacing w:before="78"/>
              <w:ind w:left="457" w:right="439"/>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trPr>
        <w:tc>
          <w:tcPr>
            <w:tcW w:w="960" w:type="dxa"/>
            <w:vMerge w:val="continue"/>
            <w:tcBorders>
              <w:top w:val="nil"/>
              <w:right w:val="single" w:color="000000" w:sz="4" w:space="0"/>
            </w:tcBorders>
          </w:tcPr>
          <w:p>
            <w:pPr>
              <w:rPr>
                <w:sz w:val="2"/>
                <w:szCs w:val="2"/>
              </w:rPr>
            </w:pPr>
          </w:p>
        </w:tc>
        <w:tc>
          <w:tcPr>
            <w:tcW w:w="1526" w:type="dxa"/>
            <w:tcBorders>
              <w:top w:val="single" w:color="000000" w:sz="4" w:space="0"/>
              <w:left w:val="single" w:color="000000" w:sz="4" w:space="0"/>
              <w:right w:val="single" w:color="000000" w:sz="4" w:space="0"/>
            </w:tcBorders>
          </w:tcPr>
          <w:p>
            <w:pPr>
              <w:pStyle w:val="19"/>
              <w:spacing w:before="64"/>
              <w:ind w:left="452"/>
              <w:jc w:val="left"/>
              <w:rPr>
                <w:sz w:val="21"/>
              </w:rPr>
            </w:pPr>
            <w:r>
              <w:rPr>
                <w:sz w:val="21"/>
              </w:rPr>
              <w:t>石油烃</w:t>
            </w:r>
          </w:p>
        </w:tc>
        <w:tc>
          <w:tcPr>
            <w:tcW w:w="1294" w:type="dxa"/>
            <w:tcBorders>
              <w:top w:val="single" w:color="000000" w:sz="4" w:space="0"/>
              <w:left w:val="single" w:color="000000" w:sz="4" w:space="0"/>
              <w:right w:val="single" w:color="000000" w:sz="4" w:space="0"/>
            </w:tcBorders>
          </w:tcPr>
          <w:p>
            <w:pPr>
              <w:pStyle w:val="19"/>
              <w:spacing w:before="80"/>
              <w:ind w:left="25" w:right="8"/>
              <w:rPr>
                <w:rFonts w:ascii="Times New Roman"/>
                <w:sz w:val="21"/>
              </w:rPr>
            </w:pPr>
            <w:bookmarkStart w:id="601" w:name="&lt;6"/>
            <w:bookmarkEnd w:id="601"/>
            <w:r>
              <w:rPr>
                <w:rFonts w:ascii="Times New Roman"/>
                <w:sz w:val="21"/>
              </w:rPr>
              <w:t>&lt;6</w:t>
            </w:r>
          </w:p>
        </w:tc>
        <w:tc>
          <w:tcPr>
            <w:tcW w:w="1294" w:type="dxa"/>
            <w:tcBorders>
              <w:top w:val="single" w:color="000000" w:sz="4" w:space="0"/>
              <w:left w:val="single" w:color="000000" w:sz="4" w:space="0"/>
              <w:right w:val="single" w:color="000000" w:sz="4" w:space="0"/>
            </w:tcBorders>
          </w:tcPr>
          <w:p>
            <w:pPr>
              <w:pStyle w:val="19"/>
              <w:spacing w:before="80"/>
              <w:ind w:left="25" w:right="9"/>
              <w:rPr>
                <w:rFonts w:ascii="Times New Roman"/>
                <w:sz w:val="21"/>
              </w:rPr>
            </w:pPr>
            <w:bookmarkStart w:id="602" w:name="&lt;6"/>
            <w:bookmarkEnd w:id="602"/>
            <w:r>
              <w:rPr>
                <w:rFonts w:ascii="Times New Roman"/>
                <w:sz w:val="21"/>
              </w:rPr>
              <w:t>&lt;6</w:t>
            </w:r>
          </w:p>
        </w:tc>
        <w:tc>
          <w:tcPr>
            <w:tcW w:w="1294" w:type="dxa"/>
            <w:tcBorders>
              <w:top w:val="single" w:color="000000" w:sz="4" w:space="0"/>
              <w:left w:val="single" w:color="000000" w:sz="4" w:space="0"/>
              <w:right w:val="single" w:color="000000" w:sz="4" w:space="0"/>
            </w:tcBorders>
          </w:tcPr>
          <w:p>
            <w:pPr>
              <w:pStyle w:val="19"/>
              <w:spacing w:before="80"/>
              <w:ind w:left="25" w:right="9"/>
              <w:rPr>
                <w:rFonts w:ascii="Times New Roman"/>
                <w:sz w:val="21"/>
              </w:rPr>
            </w:pPr>
            <w:bookmarkStart w:id="603" w:name="&lt;6"/>
            <w:bookmarkEnd w:id="603"/>
            <w:r>
              <w:rPr>
                <w:rFonts w:ascii="Times New Roman"/>
                <w:sz w:val="21"/>
              </w:rPr>
              <w:t>&lt;6</w:t>
            </w:r>
          </w:p>
        </w:tc>
        <w:tc>
          <w:tcPr>
            <w:tcW w:w="1294" w:type="dxa"/>
            <w:tcBorders>
              <w:top w:val="single" w:color="000000" w:sz="4" w:space="0"/>
              <w:left w:val="single" w:color="000000" w:sz="4" w:space="0"/>
              <w:right w:val="single" w:color="000000" w:sz="4" w:space="0"/>
            </w:tcBorders>
          </w:tcPr>
          <w:p>
            <w:pPr>
              <w:pStyle w:val="19"/>
              <w:spacing w:before="80"/>
              <w:ind w:left="25" w:right="10"/>
              <w:rPr>
                <w:rFonts w:ascii="Times New Roman"/>
                <w:sz w:val="21"/>
              </w:rPr>
            </w:pPr>
            <w:bookmarkStart w:id="604" w:name="&lt;6"/>
            <w:bookmarkEnd w:id="604"/>
            <w:r>
              <w:rPr>
                <w:rFonts w:ascii="Times New Roman"/>
                <w:sz w:val="21"/>
              </w:rPr>
              <w:t>&lt;6</w:t>
            </w:r>
          </w:p>
        </w:tc>
        <w:tc>
          <w:tcPr>
            <w:tcW w:w="1583" w:type="dxa"/>
            <w:tcBorders>
              <w:top w:val="single" w:color="000000" w:sz="4" w:space="0"/>
              <w:left w:val="single" w:color="000000" w:sz="4" w:space="0"/>
            </w:tcBorders>
          </w:tcPr>
          <w:p>
            <w:pPr>
              <w:pStyle w:val="19"/>
              <w:spacing w:before="77"/>
              <w:ind w:left="457" w:right="439"/>
              <w:rPr>
                <w:rFonts w:ascii="Times New Roman"/>
                <w:sz w:val="21"/>
              </w:rPr>
            </w:pPr>
            <w:r>
              <w:rPr>
                <w:rFonts w:ascii="Times New Roman"/>
                <w:sz w:val="21"/>
              </w:rPr>
              <w:t>mg/kg</w:t>
            </w:r>
          </w:p>
        </w:tc>
      </w:tr>
    </w:tbl>
    <w:p>
      <w:pPr>
        <w:spacing w:after="0"/>
        <w:rPr>
          <w:rFonts w:ascii="Times New Roman"/>
          <w:sz w:val="21"/>
        </w:rPr>
        <w:sectPr>
          <w:pgSz w:w="11910" w:h="16840"/>
          <w:pgMar w:top="1400" w:right="0" w:bottom="880" w:left="0" w:header="0" w:footer="601" w:gutter="0"/>
        </w:sectPr>
      </w:pPr>
    </w:p>
    <w:tbl>
      <w:tblPr>
        <w:tblStyle w:val="15"/>
        <w:tblW w:w="0" w:type="auto"/>
        <w:tblInd w:w="13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60"/>
        <w:gridCol w:w="1526"/>
        <w:gridCol w:w="1294"/>
        <w:gridCol w:w="1294"/>
        <w:gridCol w:w="1294"/>
        <w:gridCol w:w="1294"/>
        <w:gridCol w:w="158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3" w:hRule="atLeast"/>
        </w:trPr>
        <w:tc>
          <w:tcPr>
            <w:tcW w:w="960" w:type="dxa"/>
            <w:vMerge w:val="restart"/>
            <w:tcBorders>
              <w:right w:val="single" w:color="000000" w:sz="4" w:space="0"/>
            </w:tcBorders>
          </w:tcPr>
          <w:p>
            <w:pPr>
              <w:pStyle w:val="19"/>
              <w:jc w:val="left"/>
              <w:rPr>
                <w:rFonts w:ascii="Times New Roman"/>
                <w:sz w:val="20"/>
              </w:rPr>
            </w:pPr>
          </w:p>
        </w:tc>
        <w:tc>
          <w:tcPr>
            <w:tcW w:w="1526" w:type="dxa"/>
            <w:tcBorders>
              <w:left w:val="single" w:color="000000" w:sz="4" w:space="0"/>
              <w:bottom w:val="single" w:color="000000" w:sz="4" w:space="0"/>
              <w:right w:val="single" w:color="000000" w:sz="4" w:space="0"/>
            </w:tcBorders>
          </w:tcPr>
          <w:p>
            <w:pPr>
              <w:pStyle w:val="19"/>
              <w:spacing w:line="259" w:lineRule="exact"/>
              <w:ind w:left="129" w:right="113"/>
              <w:rPr>
                <w:sz w:val="21"/>
              </w:rPr>
            </w:pPr>
            <w:r>
              <w:rPr>
                <w:sz w:val="21"/>
              </w:rPr>
              <w:t>（</w:t>
            </w:r>
            <w:r>
              <w:rPr>
                <w:rFonts w:ascii="Times New Roman" w:eastAsia="Times New Roman"/>
                <w:sz w:val="21"/>
              </w:rPr>
              <w:t>C10~C40</w:t>
            </w:r>
            <w:r>
              <w:rPr>
                <w:sz w:val="21"/>
              </w:rPr>
              <w:t>）</w:t>
            </w:r>
          </w:p>
        </w:tc>
        <w:tc>
          <w:tcPr>
            <w:tcW w:w="1294" w:type="dxa"/>
            <w:tcBorders>
              <w:left w:val="single" w:color="000000" w:sz="4" w:space="0"/>
              <w:bottom w:val="single" w:color="000000" w:sz="4" w:space="0"/>
              <w:right w:val="single" w:color="000000" w:sz="4" w:space="0"/>
            </w:tcBorders>
          </w:tcPr>
          <w:p>
            <w:pPr>
              <w:pStyle w:val="19"/>
              <w:jc w:val="left"/>
              <w:rPr>
                <w:rFonts w:ascii="Times New Roman"/>
                <w:sz w:val="20"/>
              </w:rPr>
            </w:pPr>
          </w:p>
        </w:tc>
        <w:tc>
          <w:tcPr>
            <w:tcW w:w="1294" w:type="dxa"/>
            <w:tcBorders>
              <w:left w:val="single" w:color="000000" w:sz="4" w:space="0"/>
              <w:bottom w:val="single" w:color="000000" w:sz="4" w:space="0"/>
              <w:right w:val="single" w:color="000000" w:sz="4" w:space="0"/>
            </w:tcBorders>
          </w:tcPr>
          <w:p>
            <w:pPr>
              <w:pStyle w:val="19"/>
              <w:jc w:val="left"/>
              <w:rPr>
                <w:rFonts w:ascii="Times New Roman"/>
                <w:sz w:val="20"/>
              </w:rPr>
            </w:pPr>
          </w:p>
        </w:tc>
        <w:tc>
          <w:tcPr>
            <w:tcW w:w="1294" w:type="dxa"/>
            <w:tcBorders>
              <w:left w:val="single" w:color="000000" w:sz="4" w:space="0"/>
              <w:bottom w:val="single" w:color="000000" w:sz="4" w:space="0"/>
              <w:right w:val="single" w:color="000000" w:sz="4" w:space="0"/>
            </w:tcBorders>
          </w:tcPr>
          <w:p>
            <w:pPr>
              <w:pStyle w:val="19"/>
              <w:jc w:val="left"/>
              <w:rPr>
                <w:rFonts w:ascii="Times New Roman"/>
                <w:sz w:val="20"/>
              </w:rPr>
            </w:pPr>
          </w:p>
        </w:tc>
        <w:tc>
          <w:tcPr>
            <w:tcW w:w="1294" w:type="dxa"/>
            <w:tcBorders>
              <w:left w:val="single" w:color="000000" w:sz="4" w:space="0"/>
              <w:bottom w:val="single" w:color="000000" w:sz="4" w:space="0"/>
              <w:right w:val="single" w:color="000000" w:sz="4" w:space="0"/>
            </w:tcBorders>
          </w:tcPr>
          <w:p>
            <w:pPr>
              <w:pStyle w:val="19"/>
              <w:jc w:val="left"/>
              <w:rPr>
                <w:rFonts w:ascii="Times New Roman"/>
                <w:sz w:val="20"/>
              </w:rPr>
            </w:pPr>
          </w:p>
        </w:tc>
        <w:tc>
          <w:tcPr>
            <w:tcW w:w="1583" w:type="dxa"/>
            <w:tcBorders>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60" w:type="dxa"/>
            <w:vMerge w:val="continue"/>
            <w:tcBorders>
              <w:top w:val="nil"/>
              <w:right w:val="single" w:color="000000" w:sz="4" w:space="0"/>
            </w:tcBorders>
          </w:tcPr>
          <w:p>
            <w:pPr>
              <w:rPr>
                <w:sz w:val="2"/>
                <w:szCs w:val="2"/>
              </w:rPr>
            </w:pPr>
          </w:p>
        </w:tc>
        <w:tc>
          <w:tcPr>
            <w:tcW w:w="1526" w:type="dxa"/>
            <w:tcBorders>
              <w:top w:val="single" w:color="000000" w:sz="4" w:space="0"/>
              <w:left w:val="single" w:color="000000" w:sz="4" w:space="0"/>
              <w:bottom w:val="single" w:color="000000" w:sz="4" w:space="0"/>
              <w:right w:val="single" w:color="000000" w:sz="4" w:space="0"/>
            </w:tcBorders>
          </w:tcPr>
          <w:p>
            <w:pPr>
              <w:pStyle w:val="19"/>
              <w:spacing w:before="64"/>
              <w:ind w:left="16"/>
              <w:rPr>
                <w:sz w:val="21"/>
              </w:rPr>
            </w:pPr>
            <w:r>
              <w:rPr>
                <w:w w:val="99"/>
                <w:sz w:val="21"/>
              </w:rPr>
              <w:t>铬</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0"/>
              <w:ind w:left="546"/>
              <w:jc w:val="left"/>
              <w:rPr>
                <w:rFonts w:ascii="Times New Roman"/>
                <w:sz w:val="21"/>
              </w:rPr>
            </w:pPr>
            <w:bookmarkStart w:id="605" w:name="55"/>
            <w:bookmarkEnd w:id="605"/>
            <w:r>
              <w:rPr>
                <w:rFonts w:ascii="Times New Roman"/>
                <w:sz w:val="21"/>
              </w:rPr>
              <w:t>55</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0"/>
              <w:ind w:left="25" w:right="6"/>
              <w:rPr>
                <w:rFonts w:ascii="Times New Roman"/>
                <w:sz w:val="21"/>
              </w:rPr>
            </w:pPr>
            <w:bookmarkStart w:id="606" w:name="55"/>
            <w:bookmarkEnd w:id="606"/>
            <w:r>
              <w:rPr>
                <w:rFonts w:ascii="Times New Roman"/>
                <w:sz w:val="21"/>
              </w:rPr>
              <w:t>55</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0"/>
              <w:ind w:left="25" w:right="7"/>
              <w:rPr>
                <w:rFonts w:ascii="Times New Roman"/>
                <w:sz w:val="21"/>
              </w:rPr>
            </w:pPr>
            <w:bookmarkStart w:id="607" w:name="58"/>
            <w:bookmarkEnd w:id="607"/>
            <w:r>
              <w:rPr>
                <w:rFonts w:ascii="Times New Roman"/>
                <w:sz w:val="21"/>
              </w:rPr>
              <w:t>58</w:t>
            </w:r>
          </w:p>
        </w:tc>
        <w:tc>
          <w:tcPr>
            <w:tcW w:w="1294" w:type="dxa"/>
            <w:tcBorders>
              <w:top w:val="single" w:color="000000" w:sz="4" w:space="0"/>
              <w:left w:val="single" w:color="000000" w:sz="4" w:space="0"/>
              <w:bottom w:val="single" w:color="000000" w:sz="4" w:space="0"/>
              <w:right w:val="single" w:color="000000" w:sz="4" w:space="0"/>
            </w:tcBorders>
          </w:tcPr>
          <w:p>
            <w:pPr>
              <w:pStyle w:val="19"/>
              <w:spacing w:before="80"/>
              <w:ind w:right="526"/>
              <w:jc w:val="right"/>
              <w:rPr>
                <w:rFonts w:ascii="Times New Roman"/>
                <w:sz w:val="21"/>
              </w:rPr>
            </w:pPr>
            <w:bookmarkStart w:id="608" w:name="55"/>
            <w:bookmarkEnd w:id="608"/>
            <w:r>
              <w:rPr>
                <w:rFonts w:ascii="Times New Roman"/>
                <w:sz w:val="21"/>
              </w:rPr>
              <w:t>55</w:t>
            </w:r>
          </w:p>
        </w:tc>
        <w:tc>
          <w:tcPr>
            <w:tcW w:w="1583" w:type="dxa"/>
            <w:tcBorders>
              <w:top w:val="single" w:color="000000" w:sz="4" w:space="0"/>
              <w:left w:val="single" w:color="000000" w:sz="4" w:space="0"/>
              <w:bottom w:val="single" w:color="000000" w:sz="4" w:space="0"/>
            </w:tcBorders>
          </w:tcPr>
          <w:p>
            <w:pPr>
              <w:pStyle w:val="19"/>
              <w:spacing w:before="77"/>
              <w:ind w:right="505"/>
              <w:jc w:val="righ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2" w:hRule="atLeast"/>
        </w:trPr>
        <w:tc>
          <w:tcPr>
            <w:tcW w:w="960" w:type="dxa"/>
            <w:vMerge w:val="continue"/>
            <w:tcBorders>
              <w:top w:val="nil"/>
              <w:right w:val="single" w:color="000000" w:sz="4" w:space="0"/>
            </w:tcBorders>
          </w:tcPr>
          <w:p>
            <w:pPr>
              <w:rPr>
                <w:sz w:val="2"/>
                <w:szCs w:val="2"/>
              </w:rPr>
            </w:pPr>
          </w:p>
        </w:tc>
        <w:tc>
          <w:tcPr>
            <w:tcW w:w="1526" w:type="dxa"/>
            <w:tcBorders>
              <w:top w:val="single" w:color="000000" w:sz="4" w:space="0"/>
              <w:left w:val="single" w:color="000000" w:sz="4" w:space="0"/>
              <w:right w:val="single" w:color="000000" w:sz="4" w:space="0"/>
            </w:tcBorders>
          </w:tcPr>
          <w:p>
            <w:pPr>
              <w:pStyle w:val="19"/>
              <w:spacing w:before="63"/>
              <w:ind w:left="16"/>
              <w:rPr>
                <w:sz w:val="21"/>
              </w:rPr>
            </w:pPr>
            <w:r>
              <w:rPr>
                <w:w w:val="99"/>
                <w:sz w:val="21"/>
              </w:rPr>
              <w:t>锌</w:t>
            </w:r>
          </w:p>
        </w:tc>
        <w:tc>
          <w:tcPr>
            <w:tcW w:w="1294" w:type="dxa"/>
            <w:tcBorders>
              <w:top w:val="single" w:color="000000" w:sz="4" w:space="0"/>
              <w:left w:val="single" w:color="000000" w:sz="4" w:space="0"/>
              <w:right w:val="single" w:color="000000" w:sz="4" w:space="0"/>
            </w:tcBorders>
          </w:tcPr>
          <w:p>
            <w:pPr>
              <w:pStyle w:val="19"/>
              <w:spacing w:before="82"/>
              <w:ind w:left="546"/>
              <w:jc w:val="left"/>
              <w:rPr>
                <w:rFonts w:ascii="Times New Roman"/>
                <w:sz w:val="21"/>
              </w:rPr>
            </w:pPr>
            <w:bookmarkStart w:id="609" w:name="50"/>
            <w:bookmarkEnd w:id="609"/>
            <w:r>
              <w:rPr>
                <w:rFonts w:ascii="Times New Roman"/>
                <w:sz w:val="21"/>
              </w:rPr>
              <w:t>50</w:t>
            </w:r>
          </w:p>
        </w:tc>
        <w:tc>
          <w:tcPr>
            <w:tcW w:w="1294" w:type="dxa"/>
            <w:tcBorders>
              <w:top w:val="single" w:color="000000" w:sz="4" w:space="0"/>
              <w:left w:val="single" w:color="000000" w:sz="4" w:space="0"/>
              <w:right w:val="single" w:color="000000" w:sz="4" w:space="0"/>
            </w:tcBorders>
          </w:tcPr>
          <w:p>
            <w:pPr>
              <w:pStyle w:val="19"/>
              <w:spacing w:before="82"/>
              <w:ind w:left="25" w:right="6"/>
              <w:rPr>
                <w:rFonts w:ascii="Times New Roman"/>
                <w:sz w:val="21"/>
              </w:rPr>
            </w:pPr>
            <w:bookmarkStart w:id="610" w:name="58"/>
            <w:bookmarkEnd w:id="610"/>
            <w:r>
              <w:rPr>
                <w:rFonts w:ascii="Times New Roman"/>
                <w:sz w:val="21"/>
              </w:rPr>
              <w:t>58</w:t>
            </w:r>
          </w:p>
        </w:tc>
        <w:tc>
          <w:tcPr>
            <w:tcW w:w="1294" w:type="dxa"/>
            <w:tcBorders>
              <w:top w:val="single" w:color="000000" w:sz="4" w:space="0"/>
              <w:left w:val="single" w:color="000000" w:sz="4" w:space="0"/>
              <w:right w:val="single" w:color="000000" w:sz="4" w:space="0"/>
            </w:tcBorders>
          </w:tcPr>
          <w:p>
            <w:pPr>
              <w:pStyle w:val="19"/>
              <w:spacing w:before="82"/>
              <w:ind w:left="25" w:right="7"/>
              <w:rPr>
                <w:rFonts w:ascii="Times New Roman"/>
                <w:sz w:val="21"/>
              </w:rPr>
            </w:pPr>
            <w:bookmarkStart w:id="611" w:name="58"/>
            <w:bookmarkEnd w:id="611"/>
            <w:r>
              <w:rPr>
                <w:rFonts w:ascii="Times New Roman"/>
                <w:sz w:val="21"/>
              </w:rPr>
              <w:t>58</w:t>
            </w:r>
          </w:p>
        </w:tc>
        <w:tc>
          <w:tcPr>
            <w:tcW w:w="1294" w:type="dxa"/>
            <w:tcBorders>
              <w:top w:val="single" w:color="000000" w:sz="4" w:space="0"/>
              <w:left w:val="single" w:color="000000" w:sz="4" w:space="0"/>
              <w:right w:val="single" w:color="000000" w:sz="4" w:space="0"/>
            </w:tcBorders>
          </w:tcPr>
          <w:p>
            <w:pPr>
              <w:pStyle w:val="19"/>
              <w:spacing w:before="82"/>
              <w:ind w:right="526"/>
              <w:jc w:val="right"/>
              <w:rPr>
                <w:rFonts w:ascii="Times New Roman"/>
                <w:sz w:val="21"/>
              </w:rPr>
            </w:pPr>
            <w:bookmarkStart w:id="612" w:name="55"/>
            <w:bookmarkEnd w:id="612"/>
            <w:r>
              <w:rPr>
                <w:rFonts w:ascii="Times New Roman"/>
                <w:sz w:val="21"/>
              </w:rPr>
              <w:t>55</w:t>
            </w:r>
          </w:p>
        </w:tc>
        <w:tc>
          <w:tcPr>
            <w:tcW w:w="1583" w:type="dxa"/>
            <w:tcBorders>
              <w:top w:val="single" w:color="000000" w:sz="4" w:space="0"/>
              <w:left w:val="single" w:color="000000" w:sz="4" w:space="0"/>
            </w:tcBorders>
          </w:tcPr>
          <w:p>
            <w:pPr>
              <w:pStyle w:val="19"/>
              <w:spacing w:before="77"/>
              <w:ind w:right="505"/>
              <w:jc w:val="right"/>
              <w:rPr>
                <w:rFonts w:ascii="Times New Roman"/>
                <w:sz w:val="21"/>
              </w:rPr>
            </w:pPr>
            <w:r>
              <w:rPr>
                <w:rFonts w:ascii="Times New Roman"/>
                <w:sz w:val="21"/>
              </w:rPr>
              <w:t>mg/kg</w:t>
            </w:r>
          </w:p>
        </w:tc>
      </w:tr>
    </w:tbl>
    <w:p>
      <w:pPr>
        <w:pStyle w:val="9"/>
        <w:spacing w:before="7"/>
        <w:rPr>
          <w:b/>
          <w:sz w:val="7"/>
        </w:rPr>
      </w:pPr>
    </w:p>
    <w:p>
      <w:pPr>
        <w:spacing w:before="77" w:after="38"/>
        <w:ind w:left="427" w:right="0" w:firstLine="0"/>
        <w:jc w:val="center"/>
        <w:rPr>
          <w:b/>
          <w:sz w:val="21"/>
        </w:rPr>
      </w:pPr>
      <w:r>
        <w:rPr>
          <w:b/>
          <w:spacing w:val="-26"/>
          <w:sz w:val="21"/>
        </w:rPr>
        <w:t xml:space="preserve">表 </w:t>
      </w:r>
      <w:r>
        <w:rPr>
          <w:rFonts w:ascii="Times New Roman" w:eastAsia="Times New Roman"/>
          <w:b/>
          <w:sz w:val="21"/>
        </w:rPr>
        <w:t>9.3-10</w:t>
      </w:r>
      <w:r>
        <w:rPr>
          <w:rFonts w:ascii="Times New Roman" w:eastAsia="Times New Roman"/>
          <w:b/>
          <w:spacing w:val="52"/>
          <w:sz w:val="21"/>
        </w:rPr>
        <w:t xml:space="preserve"> </w:t>
      </w:r>
      <w:r>
        <w:rPr>
          <w:b/>
          <w:sz w:val="21"/>
        </w:rPr>
        <w:t>土壤现状评价结果（</w:t>
      </w:r>
      <w:r>
        <w:rPr>
          <w:rFonts w:ascii="Times New Roman" w:eastAsia="Times New Roman"/>
          <w:b/>
          <w:sz w:val="21"/>
        </w:rPr>
        <w:t>1</w:t>
      </w:r>
      <w:r>
        <w:rPr>
          <w:b/>
          <w:sz w:val="21"/>
        </w:rPr>
        <w:t>）</w:t>
      </w:r>
    </w:p>
    <w:tbl>
      <w:tblPr>
        <w:tblStyle w:val="15"/>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45"/>
        <w:gridCol w:w="1551"/>
        <w:gridCol w:w="1213"/>
        <w:gridCol w:w="1105"/>
        <w:gridCol w:w="1047"/>
        <w:gridCol w:w="1157"/>
        <w:gridCol w:w="1097"/>
        <w:gridCol w:w="1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7" w:hRule="atLeast"/>
        </w:trPr>
        <w:tc>
          <w:tcPr>
            <w:tcW w:w="1045" w:type="dxa"/>
            <w:vMerge w:val="restart"/>
            <w:tcBorders>
              <w:bottom w:val="single" w:color="000000" w:sz="4" w:space="0"/>
              <w:right w:val="single" w:color="000000" w:sz="4" w:space="0"/>
            </w:tcBorders>
          </w:tcPr>
          <w:p>
            <w:pPr>
              <w:pStyle w:val="19"/>
              <w:jc w:val="left"/>
              <w:rPr>
                <w:b/>
                <w:sz w:val="20"/>
              </w:rPr>
            </w:pPr>
          </w:p>
          <w:p>
            <w:pPr>
              <w:pStyle w:val="19"/>
              <w:spacing w:before="3"/>
              <w:jc w:val="left"/>
              <w:rPr>
                <w:b/>
                <w:sz w:val="17"/>
              </w:rPr>
            </w:pPr>
          </w:p>
          <w:p>
            <w:pPr>
              <w:pStyle w:val="19"/>
              <w:ind w:left="105"/>
              <w:jc w:val="left"/>
              <w:rPr>
                <w:sz w:val="21"/>
              </w:rPr>
            </w:pPr>
            <w:r>
              <w:rPr>
                <w:sz w:val="21"/>
              </w:rPr>
              <w:t>采样时间</w:t>
            </w:r>
          </w:p>
        </w:tc>
        <w:tc>
          <w:tcPr>
            <w:tcW w:w="1551" w:type="dxa"/>
            <w:vMerge w:val="restart"/>
            <w:tcBorders>
              <w:left w:val="single" w:color="000000" w:sz="4" w:space="0"/>
              <w:bottom w:val="single" w:color="000000" w:sz="4" w:space="0"/>
              <w:right w:val="single" w:color="000000" w:sz="4" w:space="0"/>
            </w:tcBorders>
          </w:tcPr>
          <w:p>
            <w:pPr>
              <w:pStyle w:val="19"/>
              <w:jc w:val="left"/>
              <w:rPr>
                <w:b/>
                <w:sz w:val="20"/>
              </w:rPr>
            </w:pPr>
          </w:p>
          <w:p>
            <w:pPr>
              <w:pStyle w:val="19"/>
              <w:spacing w:before="3"/>
              <w:jc w:val="left"/>
              <w:rPr>
                <w:b/>
                <w:sz w:val="17"/>
              </w:rPr>
            </w:pPr>
          </w:p>
          <w:p>
            <w:pPr>
              <w:pStyle w:val="19"/>
              <w:ind w:left="359"/>
              <w:jc w:val="left"/>
              <w:rPr>
                <w:sz w:val="21"/>
              </w:rPr>
            </w:pPr>
            <w:r>
              <w:rPr>
                <w:sz w:val="21"/>
              </w:rPr>
              <w:t>检测项目</w:t>
            </w:r>
          </w:p>
        </w:tc>
        <w:tc>
          <w:tcPr>
            <w:tcW w:w="3365" w:type="dxa"/>
            <w:gridSpan w:val="3"/>
            <w:tcBorders>
              <w:left w:val="single" w:color="000000" w:sz="4" w:space="0"/>
              <w:bottom w:val="single" w:color="000000" w:sz="4" w:space="0"/>
              <w:right w:val="single" w:color="000000" w:sz="4" w:space="0"/>
            </w:tcBorders>
          </w:tcPr>
          <w:p>
            <w:pPr>
              <w:pStyle w:val="19"/>
              <w:spacing w:before="2"/>
              <w:ind w:left="615" w:right="599"/>
              <w:rPr>
                <w:sz w:val="21"/>
              </w:rPr>
            </w:pPr>
            <w:r>
              <w:rPr>
                <w:sz w:val="21"/>
              </w:rPr>
              <w:t>主井工业广场内表层土</w:t>
            </w:r>
          </w:p>
          <w:p>
            <w:pPr>
              <w:pStyle w:val="19"/>
              <w:spacing w:before="54"/>
              <w:ind w:left="615" w:right="598"/>
              <w:rPr>
                <w:rFonts w:ascii="Times New Roman"/>
                <w:sz w:val="21"/>
              </w:rPr>
            </w:pPr>
            <w:r>
              <w:rPr>
                <w:rFonts w:ascii="Times New Roman"/>
                <w:sz w:val="21"/>
              </w:rPr>
              <w:t>TR3006-20101</w:t>
            </w:r>
          </w:p>
        </w:tc>
        <w:tc>
          <w:tcPr>
            <w:tcW w:w="3369" w:type="dxa"/>
            <w:gridSpan w:val="3"/>
            <w:tcBorders>
              <w:left w:val="single" w:color="000000" w:sz="4" w:space="0"/>
              <w:bottom w:val="single" w:color="000000" w:sz="4" w:space="0"/>
            </w:tcBorders>
          </w:tcPr>
          <w:p>
            <w:pPr>
              <w:pStyle w:val="19"/>
              <w:spacing w:before="2"/>
              <w:ind w:left="615" w:right="598"/>
              <w:rPr>
                <w:sz w:val="21"/>
              </w:rPr>
            </w:pPr>
            <w:r>
              <w:rPr>
                <w:sz w:val="21"/>
              </w:rPr>
              <w:t>副井工业广场内表层土</w:t>
            </w:r>
          </w:p>
          <w:p>
            <w:pPr>
              <w:pStyle w:val="19"/>
              <w:spacing w:before="54"/>
              <w:ind w:left="615" w:right="597"/>
              <w:rPr>
                <w:rFonts w:ascii="Times New Roman"/>
                <w:sz w:val="21"/>
              </w:rPr>
            </w:pPr>
            <w:r>
              <w:rPr>
                <w:rFonts w:ascii="Times New Roman"/>
                <w:sz w:val="21"/>
              </w:rPr>
              <w:t>TR3006-20401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045" w:type="dxa"/>
            <w:vMerge w:val="continue"/>
            <w:tcBorders>
              <w:top w:val="nil"/>
              <w:bottom w:val="single" w:color="000000" w:sz="4" w:space="0"/>
              <w:right w:val="single" w:color="000000" w:sz="4" w:space="0"/>
            </w:tcBorders>
          </w:tcPr>
          <w:p>
            <w:pPr>
              <w:rPr>
                <w:sz w:val="2"/>
                <w:szCs w:val="2"/>
              </w:rPr>
            </w:pPr>
          </w:p>
        </w:tc>
        <w:tc>
          <w:tcPr>
            <w:tcW w:w="1551" w:type="dxa"/>
            <w:vMerge w:val="continue"/>
            <w:tcBorders>
              <w:top w:val="nil"/>
              <w:left w:val="single" w:color="000000" w:sz="4" w:space="0"/>
              <w:bottom w:val="single" w:color="000000" w:sz="4" w:space="0"/>
              <w:right w:val="single" w:color="000000" w:sz="4" w:space="0"/>
            </w:tcBorders>
          </w:tcPr>
          <w:p>
            <w:pPr>
              <w:rPr>
                <w:sz w:val="2"/>
                <w:szCs w:val="2"/>
              </w:rPr>
            </w:pP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81"/>
              <w:ind w:left="405" w:right="387"/>
              <w:rPr>
                <w:rFonts w:ascii="Times New Roman"/>
                <w:sz w:val="21"/>
              </w:rPr>
            </w:pPr>
            <w:r>
              <w:rPr>
                <w:rFonts w:ascii="Times New Roman"/>
                <w:sz w:val="21"/>
              </w:rPr>
              <w:t>pi</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62"/>
              <w:ind w:left="133" w:right="116"/>
              <w:rPr>
                <w:rFonts w:ascii="Times New Roman" w:eastAsia="Times New Roman"/>
                <w:sz w:val="21"/>
              </w:rPr>
            </w:pPr>
            <w:r>
              <w:rPr>
                <w:sz w:val="21"/>
              </w:rPr>
              <w:t>超标率</w:t>
            </w:r>
            <w:r>
              <w:rPr>
                <w:rFonts w:ascii="Times New Roman" w:eastAsia="Times New Roman"/>
                <w:sz w:val="21"/>
              </w:rPr>
              <w:t>%</w:t>
            </w:r>
          </w:p>
        </w:tc>
        <w:tc>
          <w:tcPr>
            <w:tcW w:w="1047" w:type="dxa"/>
            <w:tcBorders>
              <w:top w:val="single" w:color="000000" w:sz="4" w:space="0"/>
              <w:left w:val="single" w:color="000000" w:sz="4" w:space="0"/>
              <w:bottom w:val="single" w:color="000000" w:sz="4" w:space="0"/>
              <w:right w:val="single" w:color="000000" w:sz="4" w:space="0"/>
            </w:tcBorders>
          </w:tcPr>
          <w:p>
            <w:pPr>
              <w:pStyle w:val="19"/>
              <w:spacing w:line="268" w:lineRule="exact"/>
              <w:ind w:left="85" w:right="71"/>
              <w:rPr>
                <w:sz w:val="21"/>
              </w:rPr>
            </w:pPr>
            <w:r>
              <w:rPr>
                <w:sz w:val="21"/>
              </w:rPr>
              <w:t>最大超标</w:t>
            </w:r>
          </w:p>
          <w:p>
            <w:pPr>
              <w:pStyle w:val="19"/>
              <w:spacing w:before="57"/>
              <w:ind w:left="85" w:right="68"/>
              <w:rPr>
                <w:sz w:val="21"/>
              </w:rPr>
            </w:pPr>
            <w:r>
              <w:rPr>
                <w:sz w:val="21"/>
              </w:rPr>
              <w:t>倍数</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81"/>
              <w:ind w:left="379" w:right="358"/>
              <w:rPr>
                <w:rFonts w:ascii="Times New Roman"/>
                <w:sz w:val="21"/>
              </w:rPr>
            </w:pPr>
            <w:r>
              <w:rPr>
                <w:rFonts w:ascii="Times New Roman"/>
                <w:sz w:val="21"/>
              </w:rPr>
              <w:t>pi</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62"/>
              <w:ind w:left="129" w:right="112"/>
              <w:rPr>
                <w:rFonts w:ascii="Times New Roman" w:eastAsia="Times New Roman"/>
                <w:sz w:val="21"/>
              </w:rPr>
            </w:pPr>
            <w:r>
              <w:rPr>
                <w:sz w:val="21"/>
              </w:rPr>
              <w:t>超标率</w:t>
            </w:r>
            <w:r>
              <w:rPr>
                <w:rFonts w:ascii="Times New Roman" w:eastAsia="Times New Roman"/>
                <w:sz w:val="21"/>
              </w:rPr>
              <w:t>%</w:t>
            </w:r>
          </w:p>
        </w:tc>
        <w:tc>
          <w:tcPr>
            <w:tcW w:w="1115" w:type="dxa"/>
            <w:tcBorders>
              <w:top w:val="single" w:color="000000" w:sz="4" w:space="0"/>
              <w:left w:val="single" w:color="000000" w:sz="4" w:space="0"/>
              <w:bottom w:val="single" w:color="000000" w:sz="4" w:space="0"/>
            </w:tcBorders>
          </w:tcPr>
          <w:p>
            <w:pPr>
              <w:pStyle w:val="19"/>
              <w:spacing w:line="268" w:lineRule="exact"/>
              <w:ind w:left="16"/>
              <w:rPr>
                <w:sz w:val="21"/>
              </w:rPr>
            </w:pPr>
            <w:r>
              <w:rPr>
                <w:sz w:val="21"/>
              </w:rPr>
              <w:t>最大超标倍</w:t>
            </w:r>
          </w:p>
          <w:p>
            <w:pPr>
              <w:pStyle w:val="19"/>
              <w:spacing w:before="57"/>
              <w:ind w:left="17"/>
              <w:rPr>
                <w:sz w:val="21"/>
              </w:rPr>
            </w:pPr>
            <w:r>
              <w:rPr>
                <w:w w:val="99"/>
                <w:sz w:val="21"/>
              </w:rPr>
              <w:t>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trPr>
        <w:tc>
          <w:tcPr>
            <w:tcW w:w="1045" w:type="dxa"/>
            <w:vMerge w:val="restart"/>
            <w:tcBorders>
              <w:top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165"/>
              <w:ind w:left="52"/>
              <w:jc w:val="left"/>
              <w:rPr>
                <w:rFonts w:ascii="Times New Roman"/>
                <w:sz w:val="21"/>
              </w:rPr>
            </w:pPr>
            <w:r>
              <w:rPr>
                <w:rFonts w:ascii="Times New Roman"/>
                <w:sz w:val="21"/>
              </w:rPr>
              <w:t>2020.04.14</w:t>
            </w:r>
          </w:p>
        </w:tc>
        <w:tc>
          <w:tcPr>
            <w:tcW w:w="1551" w:type="dxa"/>
            <w:tcBorders>
              <w:top w:val="single" w:color="000000" w:sz="4" w:space="0"/>
              <w:left w:val="single" w:color="000000" w:sz="4" w:space="0"/>
              <w:bottom w:val="single" w:color="000000" w:sz="4" w:space="0"/>
              <w:right w:val="single" w:color="000000" w:sz="4" w:space="0"/>
            </w:tcBorders>
          </w:tcPr>
          <w:p>
            <w:pPr>
              <w:pStyle w:val="19"/>
              <w:ind w:left="17"/>
              <w:rPr>
                <w:sz w:val="21"/>
              </w:rPr>
            </w:pPr>
            <w:r>
              <w:rPr>
                <w:rFonts w:ascii="Times New Roman" w:eastAsia="Times New Roman"/>
                <w:sz w:val="21"/>
              </w:rPr>
              <w:t xml:space="preserve">pH </w:t>
            </w:r>
            <w:r>
              <w:rPr>
                <w:sz w:val="21"/>
              </w:rPr>
              <w:t>值</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7"/>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7"/>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7"/>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7"/>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7"/>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7"/>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6" w:lineRule="exact"/>
              <w:ind w:left="17"/>
              <w:rPr>
                <w:sz w:val="21"/>
              </w:rPr>
            </w:pPr>
            <w:r>
              <w:rPr>
                <w:sz w:val="21"/>
              </w:rPr>
              <w:t>含盐量</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3"/>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15"/>
              <w:rPr>
                <w:sz w:val="21"/>
              </w:rPr>
            </w:pPr>
            <w:r>
              <w:rPr>
                <w:w w:val="99"/>
                <w:sz w:val="21"/>
              </w:rPr>
              <w:t>砷</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36"/>
              <w:ind w:left="408" w:right="387"/>
              <w:rPr>
                <w:rFonts w:ascii="Times New Roman"/>
                <w:sz w:val="21"/>
              </w:rPr>
            </w:pPr>
            <w:r>
              <w:rPr>
                <w:rFonts w:ascii="Times New Roman"/>
                <w:sz w:val="21"/>
              </w:rPr>
              <w:t>0.18</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36"/>
              <w:ind w:left="379" w:right="360"/>
              <w:rPr>
                <w:rFonts w:ascii="Times New Roman"/>
                <w:sz w:val="21"/>
              </w:rPr>
            </w:pPr>
            <w:r>
              <w:rPr>
                <w:rFonts w:ascii="Times New Roman"/>
                <w:sz w:val="21"/>
              </w:rPr>
              <w:t>0.18</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5"/>
              <w:rPr>
                <w:sz w:val="21"/>
              </w:rPr>
            </w:pPr>
            <w:r>
              <w:rPr>
                <w:w w:val="99"/>
                <w:sz w:val="21"/>
              </w:rPr>
              <w:t>镉</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35"/>
              <w:ind w:left="408" w:right="387"/>
              <w:rPr>
                <w:rFonts w:ascii="Times New Roman"/>
                <w:sz w:val="21"/>
              </w:rPr>
            </w:pPr>
            <w:r>
              <w:rPr>
                <w:rFonts w:ascii="Times New Roman"/>
                <w:sz w:val="21"/>
              </w:rPr>
              <w:t>0.00</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1"/>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35"/>
              <w:ind w:left="379" w:right="360"/>
              <w:rPr>
                <w:rFonts w:ascii="Times New Roman"/>
                <w:sz w:val="21"/>
              </w:rPr>
            </w:pPr>
            <w:r>
              <w:rPr>
                <w:rFonts w:ascii="Times New Roman"/>
                <w:sz w:val="21"/>
              </w:rPr>
              <w:t>0.00</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7"/>
              <w:rPr>
                <w:sz w:val="21"/>
              </w:rPr>
            </w:pPr>
            <w:r>
              <w:rPr>
                <w:sz w:val="21"/>
              </w:rPr>
              <w:t>六价铬</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38"/>
              <w:ind w:left="408" w:right="387"/>
              <w:rPr>
                <w:rFonts w:ascii="Times New Roman"/>
                <w:sz w:val="21"/>
              </w:rPr>
            </w:pPr>
            <w:r>
              <w:rPr>
                <w:rFonts w:ascii="Times New Roman"/>
                <w:sz w:val="21"/>
              </w:rPr>
              <w:t>0.40</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4"/>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4"/>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38"/>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4"/>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4"/>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6" w:lineRule="exact"/>
              <w:ind w:left="15"/>
              <w:rPr>
                <w:sz w:val="21"/>
              </w:rPr>
            </w:pPr>
            <w:r>
              <w:rPr>
                <w:w w:val="99"/>
                <w:sz w:val="21"/>
              </w:rPr>
              <w:t>铜</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37"/>
              <w:ind w:left="408" w:right="387"/>
              <w:rPr>
                <w:rFonts w:ascii="Times New Roman"/>
                <w:sz w:val="21"/>
              </w:rPr>
            </w:pPr>
            <w:r>
              <w:rPr>
                <w:rFonts w:ascii="Times New Roman"/>
                <w:sz w:val="21"/>
              </w:rPr>
              <w:t>0.00</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37"/>
              <w:ind w:left="379" w:right="360"/>
              <w:rPr>
                <w:rFonts w:ascii="Times New Roman"/>
                <w:sz w:val="21"/>
              </w:rPr>
            </w:pPr>
            <w:r>
              <w:rPr>
                <w:rFonts w:ascii="Times New Roman"/>
                <w:sz w:val="21"/>
              </w:rPr>
              <w:t>0.00</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15"/>
              <w:rPr>
                <w:sz w:val="21"/>
              </w:rPr>
            </w:pPr>
            <w:r>
              <w:rPr>
                <w:w w:val="99"/>
                <w:sz w:val="21"/>
              </w:rPr>
              <w:t>铅</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36"/>
              <w:ind w:left="408" w:right="387"/>
              <w:rPr>
                <w:rFonts w:ascii="Times New Roman"/>
                <w:sz w:val="21"/>
              </w:rPr>
            </w:pPr>
            <w:r>
              <w:rPr>
                <w:rFonts w:ascii="Times New Roman"/>
                <w:sz w:val="21"/>
              </w:rPr>
              <w:t>0.04</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36"/>
              <w:ind w:left="379" w:right="360"/>
              <w:rPr>
                <w:rFonts w:ascii="Times New Roman"/>
                <w:sz w:val="21"/>
              </w:rPr>
            </w:pPr>
            <w:r>
              <w:rPr>
                <w:rFonts w:ascii="Times New Roman"/>
                <w:sz w:val="21"/>
              </w:rPr>
              <w:t>0.04</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5"/>
              <w:rPr>
                <w:sz w:val="21"/>
              </w:rPr>
            </w:pPr>
            <w:r>
              <w:rPr>
                <w:w w:val="99"/>
                <w:sz w:val="21"/>
              </w:rPr>
              <w:t>汞</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35"/>
              <w:ind w:left="408" w:right="387"/>
              <w:rPr>
                <w:rFonts w:ascii="Times New Roman"/>
                <w:sz w:val="21"/>
              </w:rPr>
            </w:pPr>
            <w:r>
              <w:rPr>
                <w:rFonts w:ascii="Times New Roman"/>
                <w:sz w:val="21"/>
              </w:rPr>
              <w:t>0.00</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1"/>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35"/>
              <w:ind w:left="379" w:right="360"/>
              <w:rPr>
                <w:rFonts w:ascii="Times New Roman"/>
                <w:sz w:val="21"/>
              </w:rPr>
            </w:pPr>
            <w:r>
              <w:rPr>
                <w:rFonts w:ascii="Times New Roman"/>
                <w:sz w:val="21"/>
              </w:rPr>
              <w:t>0.00</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15"/>
              <w:rPr>
                <w:sz w:val="21"/>
              </w:rPr>
            </w:pPr>
            <w:r>
              <w:rPr>
                <w:w w:val="99"/>
                <w:sz w:val="21"/>
              </w:rPr>
              <w:t>镍</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36"/>
              <w:ind w:left="408" w:right="387"/>
              <w:rPr>
                <w:rFonts w:ascii="Times New Roman"/>
                <w:sz w:val="21"/>
              </w:rPr>
            </w:pPr>
            <w:r>
              <w:rPr>
                <w:rFonts w:ascii="Times New Roman"/>
                <w:sz w:val="21"/>
              </w:rPr>
              <w:t>0.04</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36"/>
              <w:ind w:left="379" w:right="360"/>
              <w:rPr>
                <w:rFonts w:ascii="Times New Roman"/>
                <w:sz w:val="21"/>
              </w:rPr>
            </w:pPr>
            <w:r>
              <w:rPr>
                <w:rFonts w:ascii="Times New Roman"/>
                <w:sz w:val="21"/>
              </w:rPr>
              <w:t>0.06</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5"/>
              <w:rPr>
                <w:sz w:val="21"/>
              </w:rPr>
            </w:pPr>
            <w:r>
              <w:rPr>
                <w:sz w:val="21"/>
              </w:rPr>
              <w:t>四氯化碳</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1"/>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1"/>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7"/>
              <w:rPr>
                <w:sz w:val="21"/>
              </w:rPr>
            </w:pPr>
            <w:r>
              <w:rPr>
                <w:sz w:val="21"/>
              </w:rPr>
              <w:t>氯甲烷</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3"/>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17"/>
              <w:rPr>
                <w:sz w:val="21"/>
              </w:rPr>
            </w:pPr>
            <w:r>
              <w:rPr>
                <w:sz w:val="21"/>
              </w:rPr>
              <w:t>氯仿</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2"/>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7"/>
              <w:rPr>
                <w:sz w:val="21"/>
              </w:rPr>
            </w:pPr>
            <w:r>
              <w:rPr>
                <w:rFonts w:ascii="Times New Roman" w:eastAsia="Times New Roman"/>
                <w:sz w:val="21"/>
              </w:rPr>
              <w:t>1,1-</w:t>
            </w:r>
            <w:r>
              <w:rPr>
                <w:sz w:val="21"/>
              </w:rPr>
              <w:t>二氯乙烷</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1"/>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1"/>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3" w:lineRule="exact"/>
              <w:ind w:left="17"/>
              <w:rPr>
                <w:sz w:val="21"/>
              </w:rPr>
            </w:pPr>
            <w:r>
              <w:rPr>
                <w:rFonts w:ascii="Times New Roman" w:eastAsia="Times New Roman"/>
                <w:sz w:val="21"/>
              </w:rPr>
              <w:t>1,2-</w:t>
            </w:r>
            <w:r>
              <w:rPr>
                <w:sz w:val="21"/>
              </w:rPr>
              <w:t>二氯乙烷</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3"/>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17"/>
              <w:rPr>
                <w:sz w:val="21"/>
              </w:rPr>
            </w:pPr>
            <w:r>
              <w:rPr>
                <w:rFonts w:ascii="Times New Roman" w:eastAsia="Times New Roman"/>
                <w:sz w:val="21"/>
              </w:rPr>
              <w:t>1,1-</w:t>
            </w:r>
            <w:r>
              <w:rPr>
                <w:sz w:val="21"/>
              </w:rPr>
              <w:t>二氯乙烯</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2"/>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17"/>
              <w:rPr>
                <w:sz w:val="21"/>
              </w:rPr>
            </w:pPr>
            <w:r>
              <w:rPr>
                <w:sz w:val="21"/>
              </w:rPr>
              <w:t>顺</w:t>
            </w:r>
            <w:r>
              <w:rPr>
                <w:rFonts w:ascii="Times New Roman" w:eastAsia="Times New Roman"/>
                <w:sz w:val="21"/>
              </w:rPr>
              <w:t>-1,2-</w:t>
            </w:r>
            <w:r>
              <w:rPr>
                <w:sz w:val="21"/>
              </w:rPr>
              <w:t>二氯乙烯</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2"/>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6" w:lineRule="exact"/>
              <w:ind w:left="17"/>
              <w:rPr>
                <w:sz w:val="21"/>
              </w:rPr>
            </w:pPr>
            <w:r>
              <w:rPr>
                <w:sz w:val="21"/>
              </w:rPr>
              <w:t>反</w:t>
            </w:r>
            <w:r>
              <w:rPr>
                <w:rFonts w:ascii="Times New Roman" w:eastAsia="Times New Roman"/>
                <w:sz w:val="21"/>
              </w:rPr>
              <w:t>-1,2-</w:t>
            </w:r>
            <w:r>
              <w:rPr>
                <w:sz w:val="21"/>
              </w:rPr>
              <w:t>二氯乙烯</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3"/>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15"/>
              <w:rPr>
                <w:sz w:val="21"/>
              </w:rPr>
            </w:pPr>
            <w:r>
              <w:rPr>
                <w:sz w:val="21"/>
              </w:rPr>
              <w:t>二氯甲烷</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2"/>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7"/>
              <w:rPr>
                <w:sz w:val="21"/>
              </w:rPr>
            </w:pPr>
            <w:r>
              <w:rPr>
                <w:rFonts w:ascii="Times New Roman" w:eastAsia="Times New Roman"/>
                <w:sz w:val="21"/>
              </w:rPr>
              <w:t>1,2-</w:t>
            </w:r>
            <w:r>
              <w:rPr>
                <w:sz w:val="21"/>
              </w:rPr>
              <w:t>二氯丙烷</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1"/>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1"/>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3" w:lineRule="exact"/>
              <w:ind w:left="19"/>
              <w:rPr>
                <w:sz w:val="21"/>
              </w:rPr>
            </w:pPr>
            <w:r>
              <w:rPr>
                <w:rFonts w:ascii="Times New Roman" w:eastAsia="Times New Roman"/>
                <w:sz w:val="21"/>
              </w:rPr>
              <w:t>1,1,1,2-</w:t>
            </w:r>
            <w:r>
              <w:rPr>
                <w:sz w:val="21"/>
              </w:rPr>
              <w:t>四氯乙烷</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3"/>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6" w:lineRule="exact"/>
              <w:ind w:left="19"/>
              <w:rPr>
                <w:sz w:val="21"/>
              </w:rPr>
            </w:pPr>
            <w:r>
              <w:rPr>
                <w:rFonts w:ascii="Times New Roman" w:eastAsia="Times New Roman"/>
                <w:sz w:val="21"/>
              </w:rPr>
              <w:t>1,1,2,2-</w:t>
            </w:r>
            <w:r>
              <w:rPr>
                <w:sz w:val="21"/>
              </w:rPr>
              <w:t>四氯乙烷</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3"/>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15"/>
              <w:rPr>
                <w:sz w:val="21"/>
              </w:rPr>
            </w:pPr>
            <w:r>
              <w:rPr>
                <w:sz w:val="21"/>
              </w:rPr>
              <w:t>四氯乙烯</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2"/>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6" w:lineRule="exact"/>
              <w:ind w:left="15"/>
              <w:rPr>
                <w:sz w:val="21"/>
              </w:rPr>
            </w:pPr>
            <w:r>
              <w:rPr>
                <w:rFonts w:ascii="Times New Roman" w:eastAsia="Times New Roman"/>
                <w:sz w:val="21"/>
              </w:rPr>
              <w:t>1,1,1-</w:t>
            </w:r>
            <w:r>
              <w:rPr>
                <w:sz w:val="21"/>
              </w:rPr>
              <w:t>三氯乙烷</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3"/>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15"/>
              <w:rPr>
                <w:sz w:val="21"/>
              </w:rPr>
            </w:pPr>
            <w:r>
              <w:rPr>
                <w:rFonts w:ascii="Times New Roman" w:eastAsia="Times New Roman"/>
                <w:sz w:val="21"/>
              </w:rPr>
              <w:t>1,1,2-</w:t>
            </w:r>
            <w:r>
              <w:rPr>
                <w:sz w:val="21"/>
              </w:rPr>
              <w:t>三氯乙烷</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2"/>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5"/>
              <w:rPr>
                <w:sz w:val="21"/>
              </w:rPr>
            </w:pPr>
            <w:r>
              <w:rPr>
                <w:sz w:val="21"/>
              </w:rPr>
              <w:t>三氯乙烯</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1"/>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1"/>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3" w:lineRule="exact"/>
              <w:ind w:left="15"/>
              <w:rPr>
                <w:sz w:val="21"/>
              </w:rPr>
            </w:pPr>
            <w:r>
              <w:rPr>
                <w:rFonts w:ascii="Times New Roman" w:eastAsia="Times New Roman"/>
                <w:sz w:val="21"/>
              </w:rPr>
              <w:t>1,2,3-</w:t>
            </w:r>
            <w:r>
              <w:rPr>
                <w:sz w:val="21"/>
              </w:rPr>
              <w:t>三氯丙烷</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2"/>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17"/>
              <w:rPr>
                <w:sz w:val="21"/>
              </w:rPr>
            </w:pPr>
            <w:r>
              <w:rPr>
                <w:sz w:val="21"/>
              </w:rPr>
              <w:t>氯乙烯</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2"/>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5"/>
              <w:rPr>
                <w:sz w:val="21"/>
              </w:rPr>
            </w:pPr>
            <w:r>
              <w:rPr>
                <w:w w:val="99"/>
                <w:sz w:val="21"/>
              </w:rPr>
              <w:t>苯</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4"/>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4"/>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4"/>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4"/>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4"/>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4"/>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3" w:lineRule="exact"/>
              <w:ind w:left="17"/>
              <w:rPr>
                <w:sz w:val="21"/>
              </w:rPr>
            </w:pPr>
            <w:r>
              <w:rPr>
                <w:sz w:val="21"/>
              </w:rPr>
              <w:t>氯苯</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3"/>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17"/>
              <w:rPr>
                <w:sz w:val="21"/>
              </w:rPr>
            </w:pPr>
            <w:r>
              <w:rPr>
                <w:rFonts w:ascii="Times New Roman" w:eastAsia="Times New Roman"/>
                <w:sz w:val="21"/>
              </w:rPr>
              <w:t>1,2-</w:t>
            </w:r>
            <w:r>
              <w:rPr>
                <w:sz w:val="21"/>
              </w:rPr>
              <w:t>二氯苯</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2"/>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7"/>
              <w:rPr>
                <w:sz w:val="21"/>
              </w:rPr>
            </w:pPr>
            <w:r>
              <w:rPr>
                <w:rFonts w:ascii="Times New Roman" w:eastAsia="Times New Roman"/>
                <w:sz w:val="21"/>
              </w:rPr>
              <w:t>1,4-</w:t>
            </w:r>
            <w:r>
              <w:rPr>
                <w:sz w:val="21"/>
              </w:rPr>
              <w:t>二氯苯</w:t>
            </w:r>
          </w:p>
        </w:tc>
        <w:tc>
          <w:tcPr>
            <w:tcW w:w="1213" w:type="dxa"/>
            <w:tcBorders>
              <w:top w:val="single" w:color="000000" w:sz="4" w:space="0"/>
              <w:left w:val="single" w:color="000000" w:sz="4" w:space="0"/>
              <w:bottom w:val="single" w:color="000000" w:sz="4" w:space="0"/>
              <w:right w:val="single" w:color="000000" w:sz="4" w:space="0"/>
            </w:tcBorders>
          </w:tcPr>
          <w:p>
            <w:pPr>
              <w:pStyle w:val="19"/>
              <w:spacing w:before="11"/>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9"/>
              <w:spacing w:before="11"/>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9"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right w:val="single" w:color="000000" w:sz="4" w:space="0"/>
            </w:tcBorders>
          </w:tcPr>
          <w:p>
            <w:pPr>
              <w:pStyle w:val="19"/>
              <w:spacing w:line="266" w:lineRule="exact"/>
              <w:ind w:left="17"/>
              <w:rPr>
                <w:sz w:val="21"/>
              </w:rPr>
            </w:pPr>
            <w:r>
              <w:rPr>
                <w:sz w:val="21"/>
              </w:rPr>
              <w:t>乙苯</w:t>
            </w:r>
          </w:p>
        </w:tc>
        <w:tc>
          <w:tcPr>
            <w:tcW w:w="1213" w:type="dxa"/>
            <w:tcBorders>
              <w:top w:val="single" w:color="000000" w:sz="4" w:space="0"/>
              <w:left w:val="single" w:color="000000" w:sz="4" w:space="0"/>
              <w:right w:val="single" w:color="000000" w:sz="4" w:space="0"/>
            </w:tcBorders>
          </w:tcPr>
          <w:p>
            <w:pPr>
              <w:pStyle w:val="19"/>
              <w:spacing w:before="13"/>
              <w:ind w:left="28"/>
              <w:rPr>
                <w:rFonts w:ascii="Times New Roman"/>
                <w:sz w:val="21"/>
              </w:rPr>
            </w:pPr>
            <w:r>
              <w:rPr>
                <w:rFonts w:ascii="Times New Roman"/>
                <w:w w:val="99"/>
                <w:sz w:val="21"/>
              </w:rPr>
              <w:t>/</w:t>
            </w:r>
          </w:p>
        </w:tc>
        <w:tc>
          <w:tcPr>
            <w:tcW w:w="1105" w:type="dxa"/>
            <w:tcBorders>
              <w:top w:val="single" w:color="000000" w:sz="4" w:space="0"/>
              <w:left w:val="single" w:color="000000" w:sz="4" w:space="0"/>
              <w:right w:val="single" w:color="000000" w:sz="4" w:space="0"/>
            </w:tcBorders>
          </w:tcPr>
          <w:p>
            <w:pPr>
              <w:pStyle w:val="19"/>
              <w:spacing w:before="13"/>
              <w:ind w:left="41"/>
              <w:rPr>
                <w:rFonts w:ascii="Times New Roman"/>
                <w:sz w:val="21"/>
              </w:rPr>
            </w:pPr>
            <w:r>
              <w:rPr>
                <w:rFonts w:ascii="Times New Roman"/>
                <w:w w:val="99"/>
                <w:sz w:val="21"/>
              </w:rPr>
              <w:t>0</w:t>
            </w:r>
          </w:p>
        </w:tc>
        <w:tc>
          <w:tcPr>
            <w:tcW w:w="1047" w:type="dxa"/>
            <w:tcBorders>
              <w:top w:val="single" w:color="000000" w:sz="4" w:space="0"/>
              <w:left w:val="single" w:color="000000" w:sz="4" w:space="0"/>
              <w:right w:val="single" w:color="000000" w:sz="4" w:space="0"/>
            </w:tcBorders>
          </w:tcPr>
          <w:p>
            <w:pPr>
              <w:pStyle w:val="19"/>
              <w:spacing w:before="13"/>
              <w:ind w:left="30"/>
              <w:rPr>
                <w:rFonts w:ascii="Times New Roman"/>
                <w:sz w:val="21"/>
              </w:rPr>
            </w:pPr>
            <w:r>
              <w:rPr>
                <w:rFonts w:ascii="Times New Roman"/>
                <w:w w:val="99"/>
                <w:sz w:val="21"/>
              </w:rPr>
              <w:t>0</w:t>
            </w:r>
          </w:p>
        </w:tc>
        <w:tc>
          <w:tcPr>
            <w:tcW w:w="1157" w:type="dxa"/>
            <w:tcBorders>
              <w:top w:val="single" w:color="000000" w:sz="4" w:space="0"/>
              <w:left w:val="single" w:color="000000" w:sz="4" w:space="0"/>
              <w:right w:val="single" w:color="000000" w:sz="4" w:space="0"/>
            </w:tcBorders>
          </w:tcPr>
          <w:p>
            <w:pPr>
              <w:pStyle w:val="19"/>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tcBorders>
          </w:tcPr>
          <w:p>
            <w:pPr>
              <w:pStyle w:val="19"/>
              <w:spacing w:before="13"/>
              <w:ind w:right="486"/>
              <w:jc w:val="right"/>
              <w:rPr>
                <w:rFonts w:ascii="Times New Roman"/>
                <w:sz w:val="21"/>
              </w:rPr>
            </w:pPr>
            <w:r>
              <w:rPr>
                <w:rFonts w:ascii="Times New Roman"/>
                <w:w w:val="99"/>
                <w:sz w:val="21"/>
              </w:rPr>
              <w:t>0</w:t>
            </w:r>
          </w:p>
        </w:tc>
      </w:tr>
    </w:tbl>
    <w:p>
      <w:pPr>
        <w:spacing w:after="0"/>
        <w:jc w:val="right"/>
        <w:rPr>
          <w:rFonts w:ascii="Times New Roman"/>
          <w:sz w:val="21"/>
        </w:rPr>
        <w:sectPr>
          <w:pgSz w:w="11910" w:h="16840"/>
          <w:pgMar w:top="1400" w:right="0" w:bottom="880" w:left="0" w:header="0" w:footer="601" w:gutter="0"/>
        </w:sectPr>
      </w:pPr>
    </w:p>
    <w:tbl>
      <w:tblPr>
        <w:tblStyle w:val="15"/>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45"/>
        <w:gridCol w:w="1551"/>
        <w:gridCol w:w="1224"/>
        <w:gridCol w:w="1105"/>
        <w:gridCol w:w="1036"/>
        <w:gridCol w:w="1157"/>
        <w:gridCol w:w="1097"/>
        <w:gridCol w:w="1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1045" w:type="dxa"/>
            <w:vMerge w:val="restart"/>
            <w:tcBorders>
              <w:right w:val="single" w:color="000000" w:sz="4" w:space="0"/>
            </w:tcBorders>
          </w:tcPr>
          <w:p>
            <w:pPr>
              <w:pStyle w:val="19"/>
              <w:jc w:val="left"/>
              <w:rPr>
                <w:rFonts w:ascii="Times New Roman"/>
                <w:sz w:val="20"/>
              </w:rPr>
            </w:pPr>
          </w:p>
        </w:tc>
        <w:tc>
          <w:tcPr>
            <w:tcW w:w="1551" w:type="dxa"/>
            <w:tcBorders>
              <w:left w:val="single" w:color="000000" w:sz="4" w:space="0"/>
              <w:bottom w:val="single" w:color="000000" w:sz="4" w:space="0"/>
              <w:right w:val="single" w:color="000000" w:sz="4" w:space="0"/>
            </w:tcBorders>
          </w:tcPr>
          <w:p>
            <w:pPr>
              <w:pStyle w:val="19"/>
              <w:spacing w:before="2"/>
              <w:ind w:left="17"/>
              <w:rPr>
                <w:sz w:val="21"/>
              </w:rPr>
            </w:pPr>
            <w:r>
              <w:rPr>
                <w:sz w:val="21"/>
              </w:rPr>
              <w:t>苯乙烯</w:t>
            </w:r>
          </w:p>
        </w:tc>
        <w:tc>
          <w:tcPr>
            <w:tcW w:w="1224" w:type="dxa"/>
            <w:tcBorders>
              <w:left w:val="single" w:color="000000" w:sz="4" w:space="0"/>
              <w:bottom w:val="single" w:color="000000" w:sz="4" w:space="0"/>
              <w:right w:val="single" w:color="000000" w:sz="4" w:space="0"/>
            </w:tcBorders>
          </w:tcPr>
          <w:p>
            <w:pPr>
              <w:pStyle w:val="19"/>
              <w:spacing w:before="18"/>
              <w:ind w:left="17"/>
              <w:rPr>
                <w:rFonts w:ascii="Times New Roman"/>
                <w:sz w:val="21"/>
              </w:rPr>
            </w:pPr>
            <w:r>
              <w:rPr>
                <w:rFonts w:ascii="Times New Roman"/>
                <w:w w:val="99"/>
                <w:sz w:val="21"/>
              </w:rPr>
              <w:t>/</w:t>
            </w:r>
          </w:p>
        </w:tc>
        <w:tc>
          <w:tcPr>
            <w:tcW w:w="1105" w:type="dxa"/>
            <w:tcBorders>
              <w:left w:val="single" w:color="000000" w:sz="4" w:space="0"/>
              <w:bottom w:val="single" w:color="000000" w:sz="4" w:space="0"/>
              <w:right w:val="single" w:color="000000" w:sz="4" w:space="0"/>
            </w:tcBorders>
          </w:tcPr>
          <w:p>
            <w:pPr>
              <w:pStyle w:val="19"/>
              <w:spacing w:before="18"/>
              <w:ind w:right="483"/>
              <w:jc w:val="right"/>
              <w:rPr>
                <w:rFonts w:ascii="Times New Roman"/>
                <w:sz w:val="21"/>
              </w:rPr>
            </w:pPr>
            <w:r>
              <w:rPr>
                <w:rFonts w:ascii="Times New Roman"/>
                <w:w w:val="99"/>
                <w:sz w:val="21"/>
              </w:rPr>
              <w:t>0</w:t>
            </w:r>
          </w:p>
        </w:tc>
        <w:tc>
          <w:tcPr>
            <w:tcW w:w="1036" w:type="dxa"/>
            <w:tcBorders>
              <w:left w:val="single" w:color="000000" w:sz="4" w:space="0"/>
              <w:bottom w:val="single" w:color="000000" w:sz="4" w:space="0"/>
              <w:right w:val="single" w:color="000000" w:sz="4" w:space="0"/>
            </w:tcBorders>
          </w:tcPr>
          <w:p>
            <w:pPr>
              <w:pStyle w:val="19"/>
              <w:spacing w:before="18"/>
              <w:ind w:left="19"/>
              <w:rPr>
                <w:rFonts w:ascii="Times New Roman"/>
                <w:sz w:val="21"/>
              </w:rPr>
            </w:pPr>
            <w:r>
              <w:rPr>
                <w:rFonts w:ascii="Times New Roman"/>
                <w:w w:val="99"/>
                <w:sz w:val="21"/>
              </w:rPr>
              <w:t>0</w:t>
            </w:r>
          </w:p>
        </w:tc>
        <w:tc>
          <w:tcPr>
            <w:tcW w:w="1157" w:type="dxa"/>
            <w:tcBorders>
              <w:left w:val="single" w:color="000000" w:sz="4" w:space="0"/>
              <w:bottom w:val="single" w:color="000000" w:sz="4" w:space="0"/>
              <w:right w:val="single" w:color="000000" w:sz="4" w:space="0"/>
            </w:tcBorders>
          </w:tcPr>
          <w:p>
            <w:pPr>
              <w:pStyle w:val="19"/>
              <w:spacing w:before="18"/>
              <w:ind w:left="16"/>
              <w:rPr>
                <w:rFonts w:ascii="Times New Roman"/>
                <w:sz w:val="21"/>
              </w:rPr>
            </w:pPr>
            <w:r>
              <w:rPr>
                <w:rFonts w:ascii="Times New Roman"/>
                <w:w w:val="99"/>
                <w:sz w:val="21"/>
              </w:rPr>
              <w:t>/</w:t>
            </w:r>
          </w:p>
        </w:tc>
        <w:tc>
          <w:tcPr>
            <w:tcW w:w="1097" w:type="dxa"/>
            <w:tcBorders>
              <w:left w:val="single" w:color="000000" w:sz="4" w:space="0"/>
              <w:bottom w:val="single" w:color="000000" w:sz="4" w:space="0"/>
              <w:right w:val="single" w:color="000000" w:sz="4" w:space="0"/>
            </w:tcBorders>
          </w:tcPr>
          <w:p>
            <w:pPr>
              <w:pStyle w:val="19"/>
              <w:spacing w:before="18"/>
              <w:ind w:left="17"/>
              <w:rPr>
                <w:rFonts w:ascii="Times New Roman"/>
                <w:sz w:val="21"/>
              </w:rPr>
            </w:pPr>
            <w:r>
              <w:rPr>
                <w:rFonts w:ascii="Times New Roman"/>
                <w:w w:val="99"/>
                <w:sz w:val="21"/>
              </w:rPr>
              <w:t>0</w:t>
            </w:r>
          </w:p>
        </w:tc>
        <w:tc>
          <w:tcPr>
            <w:tcW w:w="1115" w:type="dxa"/>
            <w:tcBorders>
              <w:left w:val="single" w:color="000000" w:sz="4" w:space="0"/>
              <w:bottom w:val="single" w:color="000000" w:sz="4" w:space="0"/>
            </w:tcBorders>
          </w:tcPr>
          <w:p>
            <w:pPr>
              <w:pStyle w:val="19"/>
              <w:spacing w:before="18"/>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17"/>
              <w:rPr>
                <w:sz w:val="21"/>
              </w:rPr>
            </w:pPr>
            <w:r>
              <w:rPr>
                <w:sz w:val="21"/>
              </w:rPr>
              <w:t>甲苯</w:t>
            </w:r>
          </w:p>
        </w:tc>
        <w:tc>
          <w:tcPr>
            <w:tcW w:w="1224"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9"/>
              <w:spacing w:before="12"/>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5"/>
              <w:rPr>
                <w:sz w:val="21"/>
              </w:rPr>
            </w:pPr>
            <w:r>
              <w:rPr>
                <w:sz w:val="21"/>
              </w:rPr>
              <w:t>间二甲苯</w:t>
            </w:r>
          </w:p>
        </w:tc>
        <w:tc>
          <w:tcPr>
            <w:tcW w:w="1224"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1"/>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9"/>
              <w:spacing w:before="11"/>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5"/>
              <w:rPr>
                <w:sz w:val="21"/>
              </w:rPr>
            </w:pPr>
            <w:r>
              <w:rPr>
                <w:sz w:val="21"/>
              </w:rPr>
              <w:t>对二甲苯</w:t>
            </w:r>
          </w:p>
        </w:tc>
        <w:tc>
          <w:tcPr>
            <w:tcW w:w="1224"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9"/>
              <w:spacing w:before="13"/>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15"/>
              <w:rPr>
                <w:sz w:val="21"/>
              </w:rPr>
            </w:pPr>
            <w:r>
              <w:rPr>
                <w:sz w:val="21"/>
              </w:rPr>
              <w:t>邻二甲苯</w:t>
            </w:r>
          </w:p>
        </w:tc>
        <w:tc>
          <w:tcPr>
            <w:tcW w:w="1224"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9"/>
              <w:spacing w:before="12"/>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7"/>
              <w:rPr>
                <w:sz w:val="21"/>
              </w:rPr>
            </w:pPr>
            <w:r>
              <w:rPr>
                <w:sz w:val="21"/>
              </w:rPr>
              <w:t>硝基苯</w:t>
            </w:r>
          </w:p>
        </w:tc>
        <w:tc>
          <w:tcPr>
            <w:tcW w:w="1224" w:type="dxa"/>
            <w:tcBorders>
              <w:top w:val="single" w:color="000000" w:sz="4" w:space="0"/>
              <w:left w:val="single" w:color="000000" w:sz="4" w:space="0"/>
              <w:bottom w:val="single" w:color="000000" w:sz="4" w:space="0"/>
              <w:right w:val="single" w:color="000000" w:sz="4" w:space="0"/>
            </w:tcBorders>
          </w:tcPr>
          <w:p>
            <w:pPr>
              <w:pStyle w:val="19"/>
              <w:spacing w:before="14"/>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4"/>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9"/>
              <w:spacing w:before="14"/>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4"/>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4"/>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4"/>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3" w:lineRule="exact"/>
              <w:ind w:left="17"/>
              <w:rPr>
                <w:sz w:val="21"/>
              </w:rPr>
            </w:pPr>
            <w:r>
              <w:rPr>
                <w:sz w:val="21"/>
              </w:rPr>
              <w:t>苯胺</w:t>
            </w:r>
          </w:p>
        </w:tc>
        <w:tc>
          <w:tcPr>
            <w:tcW w:w="1224"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9"/>
              <w:spacing w:before="13"/>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15"/>
              <w:rPr>
                <w:sz w:val="21"/>
              </w:rPr>
            </w:pPr>
            <w:r>
              <w:rPr>
                <w:w w:val="99"/>
                <w:sz w:val="21"/>
              </w:rPr>
              <w:t>萘</w:t>
            </w:r>
          </w:p>
        </w:tc>
        <w:tc>
          <w:tcPr>
            <w:tcW w:w="1224"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9"/>
              <w:spacing w:before="12"/>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5"/>
              <w:rPr>
                <w:sz w:val="21"/>
              </w:rPr>
            </w:pPr>
            <w:r>
              <w:rPr>
                <w:rFonts w:ascii="Times New Roman" w:eastAsia="Times New Roman"/>
                <w:sz w:val="21"/>
              </w:rPr>
              <w:t>2-</w:t>
            </w:r>
            <w:r>
              <w:rPr>
                <w:sz w:val="21"/>
              </w:rPr>
              <w:t>氯酚</w:t>
            </w:r>
          </w:p>
        </w:tc>
        <w:tc>
          <w:tcPr>
            <w:tcW w:w="1224"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1"/>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9"/>
              <w:spacing w:before="11"/>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6" w:lineRule="exact"/>
              <w:ind w:left="20"/>
              <w:rPr>
                <w:sz w:val="21"/>
              </w:rPr>
            </w:pPr>
            <w:r>
              <w:rPr>
                <w:sz w:val="21"/>
              </w:rPr>
              <w:t>苯并</w:t>
            </w:r>
            <w:r>
              <w:rPr>
                <w:rFonts w:ascii="Times New Roman" w:eastAsia="Times New Roman"/>
                <w:sz w:val="21"/>
              </w:rPr>
              <w:t>[a]</w:t>
            </w:r>
            <w:r>
              <w:rPr>
                <w:sz w:val="21"/>
              </w:rPr>
              <w:t>蒽</w:t>
            </w:r>
          </w:p>
        </w:tc>
        <w:tc>
          <w:tcPr>
            <w:tcW w:w="1224"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9"/>
              <w:spacing w:before="13"/>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20"/>
              <w:rPr>
                <w:sz w:val="21"/>
              </w:rPr>
            </w:pPr>
            <w:r>
              <w:rPr>
                <w:sz w:val="21"/>
              </w:rPr>
              <w:t>苯并</w:t>
            </w:r>
            <w:r>
              <w:rPr>
                <w:rFonts w:ascii="Times New Roman" w:eastAsia="Times New Roman"/>
                <w:sz w:val="21"/>
              </w:rPr>
              <w:t>[a]</w:t>
            </w:r>
            <w:r>
              <w:rPr>
                <w:sz w:val="21"/>
              </w:rPr>
              <w:t>芘</w:t>
            </w:r>
          </w:p>
        </w:tc>
        <w:tc>
          <w:tcPr>
            <w:tcW w:w="1224"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9"/>
              <w:spacing w:before="12"/>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4" w:lineRule="exact"/>
              <w:ind w:left="17"/>
              <w:rPr>
                <w:sz w:val="21"/>
              </w:rPr>
            </w:pPr>
            <w:r>
              <w:rPr>
                <w:sz w:val="21"/>
              </w:rPr>
              <w:t>苯并</w:t>
            </w:r>
            <w:r>
              <w:rPr>
                <w:rFonts w:ascii="Times New Roman" w:eastAsia="Times New Roman"/>
                <w:sz w:val="21"/>
              </w:rPr>
              <w:t>[b]</w:t>
            </w:r>
            <w:r>
              <w:rPr>
                <w:sz w:val="21"/>
              </w:rPr>
              <w:t>荧蒽</w:t>
            </w:r>
          </w:p>
        </w:tc>
        <w:tc>
          <w:tcPr>
            <w:tcW w:w="1224"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1"/>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9"/>
              <w:spacing w:before="11"/>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3" w:lineRule="exact"/>
              <w:ind w:left="17"/>
              <w:rPr>
                <w:sz w:val="21"/>
              </w:rPr>
            </w:pPr>
            <w:r>
              <w:rPr>
                <w:sz w:val="21"/>
              </w:rPr>
              <w:t>苯并</w:t>
            </w:r>
            <w:r>
              <w:rPr>
                <w:rFonts w:ascii="Times New Roman" w:eastAsia="Times New Roman"/>
                <w:sz w:val="21"/>
              </w:rPr>
              <w:t>[k]</w:t>
            </w:r>
            <w:r>
              <w:rPr>
                <w:sz w:val="21"/>
              </w:rPr>
              <w:t>荧蒽</w:t>
            </w:r>
          </w:p>
        </w:tc>
        <w:tc>
          <w:tcPr>
            <w:tcW w:w="1224"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9"/>
              <w:spacing w:before="13"/>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15"/>
              <w:rPr>
                <w:sz w:val="21"/>
              </w:rPr>
            </w:pPr>
            <w:r>
              <w:rPr>
                <w:w w:val="99"/>
                <w:sz w:val="21"/>
              </w:rPr>
              <w:t>䓛</w:t>
            </w:r>
          </w:p>
        </w:tc>
        <w:tc>
          <w:tcPr>
            <w:tcW w:w="1224"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9"/>
              <w:spacing w:before="12"/>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5" w:lineRule="exact"/>
              <w:ind w:left="20"/>
              <w:rPr>
                <w:sz w:val="21"/>
              </w:rPr>
            </w:pPr>
            <w:r>
              <w:rPr>
                <w:sz w:val="21"/>
              </w:rPr>
              <w:t>茚并</w:t>
            </w:r>
            <w:r>
              <w:rPr>
                <w:rFonts w:ascii="Times New Roman" w:eastAsia="Times New Roman"/>
                <w:sz w:val="21"/>
              </w:rPr>
              <w:t>[1,2,3-cd]</w:t>
            </w:r>
            <w:r>
              <w:rPr>
                <w:sz w:val="21"/>
              </w:rPr>
              <w:t>芘</w:t>
            </w:r>
          </w:p>
        </w:tc>
        <w:tc>
          <w:tcPr>
            <w:tcW w:w="1224"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2"/>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9"/>
              <w:spacing w:before="12"/>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9"/>
              <w:spacing w:line="266" w:lineRule="exact"/>
              <w:ind w:left="17"/>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1224"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9"/>
              <w:spacing w:before="13"/>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9"/>
              <w:spacing w:before="13"/>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9"/>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9"/>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9"/>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right w:val="single" w:color="000000" w:sz="4" w:space="0"/>
            </w:tcBorders>
          </w:tcPr>
          <w:p>
            <w:pPr>
              <w:pStyle w:val="19"/>
              <w:spacing w:line="265" w:lineRule="exact"/>
              <w:ind w:left="17"/>
              <w:rPr>
                <w:sz w:val="21"/>
              </w:rPr>
            </w:pPr>
            <w:r>
              <w:rPr>
                <w:sz w:val="21"/>
              </w:rPr>
              <w:t>石油烃</w:t>
            </w:r>
          </w:p>
          <w:p>
            <w:pPr>
              <w:pStyle w:val="19"/>
              <w:spacing w:before="57"/>
              <w:ind w:left="17"/>
              <w:rPr>
                <w:sz w:val="21"/>
              </w:rPr>
            </w:pPr>
            <w:r>
              <w:rPr>
                <w:sz w:val="21"/>
              </w:rPr>
              <w:t>（</w:t>
            </w:r>
            <w:r>
              <w:rPr>
                <w:rFonts w:ascii="Times New Roman" w:eastAsia="Times New Roman"/>
                <w:sz w:val="21"/>
              </w:rPr>
              <w:t>C10~C40</w:t>
            </w:r>
            <w:r>
              <w:rPr>
                <w:sz w:val="21"/>
              </w:rPr>
              <w:t>）</w:t>
            </w:r>
          </w:p>
        </w:tc>
        <w:tc>
          <w:tcPr>
            <w:tcW w:w="1224" w:type="dxa"/>
            <w:tcBorders>
              <w:top w:val="single" w:color="000000" w:sz="4" w:space="0"/>
              <w:left w:val="single" w:color="000000" w:sz="4" w:space="0"/>
              <w:right w:val="single" w:color="000000" w:sz="4" w:space="0"/>
            </w:tcBorders>
          </w:tcPr>
          <w:p>
            <w:pPr>
              <w:pStyle w:val="19"/>
              <w:spacing w:before="175"/>
              <w:ind w:left="17"/>
              <w:rPr>
                <w:rFonts w:ascii="Times New Roman"/>
                <w:sz w:val="21"/>
              </w:rPr>
            </w:pPr>
            <w:r>
              <w:rPr>
                <w:rFonts w:ascii="Times New Roman"/>
                <w:w w:val="99"/>
                <w:sz w:val="21"/>
              </w:rPr>
              <w:t>/</w:t>
            </w:r>
          </w:p>
        </w:tc>
        <w:tc>
          <w:tcPr>
            <w:tcW w:w="1105" w:type="dxa"/>
            <w:tcBorders>
              <w:top w:val="single" w:color="000000" w:sz="4" w:space="0"/>
              <w:left w:val="single" w:color="000000" w:sz="4" w:space="0"/>
              <w:right w:val="single" w:color="000000" w:sz="4" w:space="0"/>
            </w:tcBorders>
          </w:tcPr>
          <w:p>
            <w:pPr>
              <w:pStyle w:val="19"/>
              <w:spacing w:before="175"/>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right w:val="single" w:color="000000" w:sz="4" w:space="0"/>
            </w:tcBorders>
          </w:tcPr>
          <w:p>
            <w:pPr>
              <w:pStyle w:val="19"/>
              <w:spacing w:before="175"/>
              <w:ind w:left="19"/>
              <w:rPr>
                <w:rFonts w:ascii="Times New Roman"/>
                <w:sz w:val="21"/>
              </w:rPr>
            </w:pPr>
            <w:r>
              <w:rPr>
                <w:rFonts w:ascii="Times New Roman"/>
                <w:w w:val="99"/>
                <w:sz w:val="21"/>
              </w:rPr>
              <w:t>0</w:t>
            </w:r>
          </w:p>
        </w:tc>
        <w:tc>
          <w:tcPr>
            <w:tcW w:w="1157" w:type="dxa"/>
            <w:tcBorders>
              <w:top w:val="single" w:color="000000" w:sz="4" w:space="0"/>
              <w:left w:val="single" w:color="000000" w:sz="4" w:space="0"/>
              <w:right w:val="single" w:color="000000" w:sz="4" w:space="0"/>
            </w:tcBorders>
          </w:tcPr>
          <w:p>
            <w:pPr>
              <w:pStyle w:val="19"/>
              <w:spacing w:before="175"/>
              <w:ind w:left="16"/>
              <w:rPr>
                <w:rFonts w:ascii="Times New Roman"/>
                <w:sz w:val="21"/>
              </w:rPr>
            </w:pPr>
            <w:r>
              <w:rPr>
                <w:rFonts w:ascii="Times New Roman"/>
                <w:w w:val="99"/>
                <w:sz w:val="21"/>
              </w:rPr>
              <w:t>/</w:t>
            </w:r>
          </w:p>
        </w:tc>
        <w:tc>
          <w:tcPr>
            <w:tcW w:w="1097" w:type="dxa"/>
            <w:tcBorders>
              <w:top w:val="single" w:color="000000" w:sz="4" w:space="0"/>
              <w:left w:val="single" w:color="000000" w:sz="4" w:space="0"/>
              <w:right w:val="single" w:color="000000" w:sz="4" w:space="0"/>
            </w:tcBorders>
          </w:tcPr>
          <w:p>
            <w:pPr>
              <w:pStyle w:val="19"/>
              <w:spacing w:before="175"/>
              <w:ind w:left="17"/>
              <w:rPr>
                <w:rFonts w:ascii="Times New Roman"/>
                <w:sz w:val="21"/>
              </w:rPr>
            </w:pPr>
            <w:r>
              <w:rPr>
                <w:rFonts w:ascii="Times New Roman"/>
                <w:w w:val="99"/>
                <w:sz w:val="21"/>
              </w:rPr>
              <w:t>0</w:t>
            </w:r>
          </w:p>
        </w:tc>
        <w:tc>
          <w:tcPr>
            <w:tcW w:w="1115" w:type="dxa"/>
            <w:tcBorders>
              <w:top w:val="single" w:color="000000" w:sz="4" w:space="0"/>
              <w:left w:val="single" w:color="000000" w:sz="4" w:space="0"/>
            </w:tcBorders>
          </w:tcPr>
          <w:p>
            <w:pPr>
              <w:pStyle w:val="19"/>
              <w:spacing w:before="175"/>
              <w:ind w:right="486"/>
              <w:jc w:val="right"/>
              <w:rPr>
                <w:rFonts w:ascii="Times New Roman"/>
                <w:sz w:val="21"/>
              </w:rPr>
            </w:pPr>
            <w:r>
              <w:rPr>
                <w:rFonts w:ascii="Times New Roman"/>
                <w:w w:val="99"/>
                <w:sz w:val="21"/>
              </w:rPr>
              <w:t>0</w:t>
            </w:r>
          </w:p>
        </w:tc>
      </w:tr>
    </w:tbl>
    <w:p>
      <w:pPr>
        <w:spacing w:before="0" w:line="269" w:lineRule="exact"/>
        <w:ind w:left="7" w:right="0" w:firstLine="0"/>
        <w:jc w:val="center"/>
        <w:rPr>
          <w:b/>
          <w:sz w:val="21"/>
        </w:rPr>
      </w:pPr>
      <w:r>
        <w:rPr>
          <w:b/>
          <w:sz w:val="21"/>
        </w:rPr>
        <w:t xml:space="preserve">表 </w:t>
      </w:r>
      <w:r>
        <w:rPr>
          <w:rFonts w:ascii="Times New Roman" w:eastAsia="Times New Roman"/>
          <w:b/>
          <w:sz w:val="21"/>
        </w:rPr>
        <w:t xml:space="preserve">9.3-11  </w:t>
      </w:r>
      <w:r>
        <w:rPr>
          <w:b/>
          <w:sz w:val="21"/>
        </w:rPr>
        <w:t>土壤现状评价结果（</w:t>
      </w:r>
      <w:r>
        <w:rPr>
          <w:rFonts w:ascii="Times New Roman" w:eastAsia="Times New Roman"/>
          <w:b/>
          <w:sz w:val="21"/>
        </w:rPr>
        <w:t>2</w:t>
      </w:r>
      <w:r>
        <w:rPr>
          <w:b/>
          <w:sz w:val="21"/>
        </w:rPr>
        <w:t>）</w:t>
      </w:r>
    </w:p>
    <w:p>
      <w:pPr>
        <w:pStyle w:val="9"/>
        <w:spacing w:before="12"/>
        <w:rPr>
          <w:b/>
          <w:sz w:val="10"/>
        </w:rPr>
      </w:pPr>
    </w:p>
    <w:tbl>
      <w:tblPr>
        <w:tblStyle w:val="15"/>
        <w:tblW w:w="0" w:type="auto"/>
        <w:tblInd w:w="14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01"/>
        <w:gridCol w:w="1238"/>
        <w:gridCol w:w="1356"/>
        <w:gridCol w:w="1356"/>
        <w:gridCol w:w="1356"/>
        <w:gridCol w:w="1358"/>
        <w:gridCol w:w="786"/>
        <w:gridCol w:w="7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801" w:type="dxa"/>
            <w:vMerge w:val="restart"/>
            <w:tcBorders>
              <w:bottom w:val="single" w:color="000000" w:sz="4" w:space="0"/>
              <w:right w:val="single" w:color="000000" w:sz="4" w:space="0"/>
            </w:tcBorders>
          </w:tcPr>
          <w:p>
            <w:pPr>
              <w:pStyle w:val="19"/>
              <w:spacing w:before="6"/>
              <w:jc w:val="left"/>
              <w:rPr>
                <w:b/>
                <w:sz w:val="22"/>
              </w:rPr>
            </w:pPr>
          </w:p>
          <w:p>
            <w:pPr>
              <w:pStyle w:val="19"/>
              <w:spacing w:before="1" w:line="288" w:lineRule="auto"/>
              <w:ind w:left="192" w:right="174"/>
              <w:jc w:val="left"/>
              <w:rPr>
                <w:sz w:val="21"/>
              </w:rPr>
            </w:pPr>
            <w:r>
              <w:rPr>
                <w:sz w:val="21"/>
              </w:rPr>
              <w:t>采样时间</w:t>
            </w:r>
          </w:p>
        </w:tc>
        <w:tc>
          <w:tcPr>
            <w:tcW w:w="1238" w:type="dxa"/>
            <w:vMerge w:val="restart"/>
            <w:tcBorders>
              <w:left w:val="single" w:color="000000" w:sz="4" w:space="0"/>
              <w:bottom w:val="single" w:color="000000" w:sz="4" w:space="0"/>
              <w:right w:val="single" w:color="000000" w:sz="4" w:space="0"/>
            </w:tcBorders>
          </w:tcPr>
          <w:p>
            <w:pPr>
              <w:pStyle w:val="19"/>
              <w:jc w:val="left"/>
              <w:rPr>
                <w:b/>
                <w:sz w:val="20"/>
              </w:rPr>
            </w:pPr>
          </w:p>
          <w:p>
            <w:pPr>
              <w:pStyle w:val="19"/>
              <w:spacing w:before="1"/>
              <w:jc w:val="left"/>
              <w:rPr>
                <w:b/>
                <w:sz w:val="15"/>
              </w:rPr>
            </w:pPr>
          </w:p>
          <w:p>
            <w:pPr>
              <w:pStyle w:val="19"/>
              <w:ind w:left="202"/>
              <w:jc w:val="left"/>
              <w:rPr>
                <w:sz w:val="21"/>
              </w:rPr>
            </w:pPr>
            <w:r>
              <w:rPr>
                <w:sz w:val="21"/>
              </w:rPr>
              <w:t>检测项目</w:t>
            </w:r>
          </w:p>
        </w:tc>
        <w:tc>
          <w:tcPr>
            <w:tcW w:w="5426" w:type="dxa"/>
            <w:gridSpan w:val="4"/>
            <w:tcBorders>
              <w:left w:val="single" w:color="000000" w:sz="4" w:space="0"/>
              <w:bottom w:val="single" w:color="000000" w:sz="4" w:space="0"/>
              <w:right w:val="single" w:color="000000" w:sz="4" w:space="0"/>
            </w:tcBorders>
          </w:tcPr>
          <w:p>
            <w:pPr>
              <w:pStyle w:val="19"/>
              <w:spacing w:before="108"/>
              <w:ind w:left="2616" w:right="2596"/>
              <w:rPr>
                <w:rFonts w:ascii="Times New Roman"/>
                <w:sz w:val="21"/>
              </w:rPr>
            </w:pPr>
            <w:r>
              <w:rPr>
                <w:rFonts w:ascii="Times New Roman"/>
                <w:sz w:val="21"/>
              </w:rPr>
              <w:t>pi</w:t>
            </w:r>
          </w:p>
        </w:tc>
        <w:tc>
          <w:tcPr>
            <w:tcW w:w="786" w:type="dxa"/>
            <w:vMerge w:val="restart"/>
            <w:tcBorders>
              <w:left w:val="single" w:color="000000" w:sz="4" w:space="0"/>
              <w:bottom w:val="single" w:color="000000" w:sz="4" w:space="0"/>
              <w:right w:val="single" w:color="000000" w:sz="4" w:space="0"/>
            </w:tcBorders>
          </w:tcPr>
          <w:p>
            <w:pPr>
              <w:pStyle w:val="19"/>
              <w:spacing w:before="7"/>
              <w:jc w:val="left"/>
              <w:rPr>
                <w:b/>
                <w:sz w:val="18"/>
              </w:rPr>
            </w:pPr>
          </w:p>
          <w:p>
            <w:pPr>
              <w:pStyle w:val="19"/>
              <w:spacing w:line="288" w:lineRule="auto"/>
              <w:ind w:left="205" w:right="169" w:hanging="20"/>
              <w:jc w:val="left"/>
              <w:rPr>
                <w:rFonts w:ascii="Times New Roman" w:eastAsia="Times New Roman"/>
                <w:sz w:val="21"/>
              </w:rPr>
            </w:pPr>
            <w:r>
              <w:rPr>
                <w:sz w:val="21"/>
              </w:rPr>
              <w:t>超标率</w:t>
            </w:r>
            <w:r>
              <w:rPr>
                <w:rFonts w:ascii="Times New Roman" w:eastAsia="Times New Roman"/>
                <w:sz w:val="21"/>
              </w:rPr>
              <w:t>%</w:t>
            </w:r>
          </w:p>
        </w:tc>
        <w:tc>
          <w:tcPr>
            <w:tcW w:w="787" w:type="dxa"/>
            <w:vMerge w:val="restart"/>
            <w:tcBorders>
              <w:left w:val="single" w:color="000000" w:sz="4" w:space="0"/>
              <w:bottom w:val="single" w:color="000000" w:sz="4" w:space="0"/>
            </w:tcBorders>
          </w:tcPr>
          <w:p>
            <w:pPr>
              <w:pStyle w:val="19"/>
              <w:spacing w:before="75" w:line="290" w:lineRule="auto"/>
              <w:ind w:left="185" w:right="166"/>
              <w:jc w:val="both"/>
              <w:rPr>
                <w:sz w:val="21"/>
              </w:rPr>
            </w:pPr>
            <w:r>
              <w:rPr>
                <w:sz w:val="21"/>
              </w:rPr>
              <w:t>最大超标倍数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8" w:hRule="atLeast"/>
        </w:trPr>
        <w:tc>
          <w:tcPr>
            <w:tcW w:w="801" w:type="dxa"/>
            <w:vMerge w:val="continue"/>
            <w:tcBorders>
              <w:top w:val="nil"/>
              <w:bottom w:val="single" w:color="000000" w:sz="4" w:space="0"/>
              <w:right w:val="single" w:color="000000" w:sz="4" w:space="0"/>
            </w:tcBorders>
          </w:tcPr>
          <w:p>
            <w:pPr>
              <w:rPr>
                <w:sz w:val="2"/>
                <w:szCs w:val="2"/>
              </w:rPr>
            </w:pPr>
          </w:p>
        </w:tc>
        <w:tc>
          <w:tcPr>
            <w:tcW w:w="1238" w:type="dxa"/>
            <w:vMerge w:val="continue"/>
            <w:tcBorders>
              <w:top w:val="nil"/>
              <w:left w:val="single" w:color="000000" w:sz="4" w:space="0"/>
              <w:bottom w:val="single" w:color="000000" w:sz="4" w:space="0"/>
              <w:right w:val="single" w:color="000000" w:sz="4" w:space="0"/>
            </w:tcBorders>
          </w:tcPr>
          <w:p>
            <w:pPr>
              <w:rPr>
                <w:sz w:val="2"/>
                <w:szCs w:val="2"/>
              </w:rPr>
            </w:pPr>
          </w:p>
        </w:tc>
        <w:tc>
          <w:tcPr>
            <w:tcW w:w="2712" w:type="dxa"/>
            <w:gridSpan w:val="2"/>
            <w:tcBorders>
              <w:top w:val="single" w:color="000000" w:sz="4" w:space="0"/>
              <w:left w:val="single" w:color="000000" w:sz="4" w:space="0"/>
              <w:bottom w:val="single" w:color="000000" w:sz="4" w:space="0"/>
              <w:right w:val="single" w:color="000000" w:sz="4" w:space="0"/>
            </w:tcBorders>
          </w:tcPr>
          <w:p>
            <w:pPr>
              <w:pStyle w:val="19"/>
              <w:spacing w:before="49" w:line="260" w:lineRule="exact"/>
              <w:ind w:left="416"/>
              <w:jc w:val="left"/>
              <w:rPr>
                <w:sz w:val="21"/>
              </w:rPr>
            </w:pPr>
            <w:r>
              <w:rPr>
                <w:sz w:val="21"/>
              </w:rPr>
              <w:t>主井工业广场表层样</w:t>
            </w:r>
          </w:p>
        </w:tc>
        <w:tc>
          <w:tcPr>
            <w:tcW w:w="2714" w:type="dxa"/>
            <w:gridSpan w:val="2"/>
            <w:tcBorders>
              <w:top w:val="single" w:color="000000" w:sz="4" w:space="0"/>
              <w:left w:val="single" w:color="000000" w:sz="4" w:space="0"/>
              <w:bottom w:val="single" w:color="000000" w:sz="4" w:space="0"/>
              <w:right w:val="single" w:color="000000" w:sz="4" w:space="0"/>
            </w:tcBorders>
          </w:tcPr>
          <w:p>
            <w:pPr>
              <w:pStyle w:val="19"/>
              <w:spacing w:before="49" w:line="260" w:lineRule="exact"/>
              <w:ind w:left="416"/>
              <w:jc w:val="left"/>
              <w:rPr>
                <w:sz w:val="21"/>
              </w:rPr>
            </w:pPr>
            <w:r>
              <w:rPr>
                <w:sz w:val="21"/>
              </w:rPr>
              <w:t>副井工业广场表层样</w:t>
            </w:r>
          </w:p>
        </w:tc>
        <w:tc>
          <w:tcPr>
            <w:tcW w:w="786" w:type="dxa"/>
            <w:vMerge w:val="continue"/>
            <w:tcBorders>
              <w:top w:val="nil"/>
              <w:left w:val="single" w:color="000000" w:sz="4" w:space="0"/>
              <w:bottom w:val="single" w:color="000000" w:sz="4" w:space="0"/>
              <w:right w:val="single" w:color="000000" w:sz="4" w:space="0"/>
            </w:tcBorders>
          </w:tcPr>
          <w:p>
            <w:pPr>
              <w:rPr>
                <w:sz w:val="2"/>
                <w:szCs w:val="2"/>
              </w:rPr>
            </w:pPr>
          </w:p>
        </w:tc>
        <w:tc>
          <w:tcPr>
            <w:tcW w:w="78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801" w:type="dxa"/>
            <w:vMerge w:val="continue"/>
            <w:tcBorders>
              <w:top w:val="nil"/>
              <w:bottom w:val="single" w:color="000000" w:sz="4" w:space="0"/>
              <w:right w:val="single" w:color="000000" w:sz="4" w:space="0"/>
            </w:tcBorders>
          </w:tcPr>
          <w:p>
            <w:pPr>
              <w:rPr>
                <w:sz w:val="2"/>
                <w:szCs w:val="2"/>
              </w:rPr>
            </w:pPr>
          </w:p>
        </w:tc>
        <w:tc>
          <w:tcPr>
            <w:tcW w:w="1238" w:type="dxa"/>
            <w:vMerge w:val="continue"/>
            <w:tcBorders>
              <w:top w:val="nil"/>
              <w:left w:val="single" w:color="000000" w:sz="4" w:space="0"/>
              <w:bottom w:val="single" w:color="000000" w:sz="4" w:space="0"/>
              <w:right w:val="single" w:color="000000" w:sz="4" w:space="0"/>
            </w:tcBorders>
          </w:tcPr>
          <w:p>
            <w:pPr>
              <w:rPr>
                <w:sz w:val="2"/>
                <w:szCs w:val="2"/>
              </w:rPr>
            </w:pPr>
          </w:p>
        </w:tc>
        <w:tc>
          <w:tcPr>
            <w:tcW w:w="1356" w:type="dxa"/>
            <w:tcBorders>
              <w:top w:val="single" w:color="000000" w:sz="4" w:space="0"/>
              <w:left w:val="single" w:color="000000" w:sz="4" w:space="0"/>
              <w:bottom w:val="single" w:color="000000" w:sz="4" w:space="0"/>
              <w:right w:val="single" w:color="000000" w:sz="4" w:space="0"/>
            </w:tcBorders>
          </w:tcPr>
          <w:p>
            <w:pPr>
              <w:pStyle w:val="19"/>
              <w:spacing w:before="79"/>
              <w:ind w:left="21"/>
              <w:rPr>
                <w:rFonts w:ascii="Times New Roman"/>
                <w:sz w:val="21"/>
              </w:rPr>
            </w:pPr>
            <w:r>
              <w:rPr>
                <w:rFonts w:ascii="Times New Roman"/>
                <w:sz w:val="21"/>
              </w:rPr>
              <w:t>TR3006-20201</w:t>
            </w:r>
          </w:p>
        </w:tc>
        <w:tc>
          <w:tcPr>
            <w:tcW w:w="1356" w:type="dxa"/>
            <w:tcBorders>
              <w:top w:val="single" w:color="000000" w:sz="4" w:space="0"/>
              <w:left w:val="single" w:color="000000" w:sz="4" w:space="0"/>
              <w:bottom w:val="single" w:color="000000" w:sz="4" w:space="0"/>
              <w:right w:val="single" w:color="000000" w:sz="4" w:space="0"/>
            </w:tcBorders>
          </w:tcPr>
          <w:p>
            <w:pPr>
              <w:pStyle w:val="19"/>
              <w:spacing w:before="79"/>
              <w:ind w:left="21"/>
              <w:rPr>
                <w:rFonts w:ascii="Times New Roman"/>
                <w:sz w:val="21"/>
              </w:rPr>
            </w:pPr>
            <w:r>
              <w:rPr>
                <w:rFonts w:ascii="Times New Roman"/>
                <w:sz w:val="21"/>
              </w:rPr>
              <w:t>TR3006-20301</w:t>
            </w:r>
          </w:p>
        </w:tc>
        <w:tc>
          <w:tcPr>
            <w:tcW w:w="1356" w:type="dxa"/>
            <w:tcBorders>
              <w:top w:val="single" w:color="000000" w:sz="4" w:space="0"/>
              <w:left w:val="single" w:color="000000" w:sz="4" w:space="0"/>
              <w:bottom w:val="single" w:color="000000" w:sz="4" w:space="0"/>
              <w:right w:val="single" w:color="000000" w:sz="4" w:space="0"/>
            </w:tcBorders>
          </w:tcPr>
          <w:p>
            <w:pPr>
              <w:pStyle w:val="19"/>
              <w:spacing w:before="79"/>
              <w:ind w:left="21"/>
              <w:rPr>
                <w:rFonts w:ascii="Times New Roman"/>
                <w:sz w:val="21"/>
              </w:rPr>
            </w:pPr>
            <w:r>
              <w:rPr>
                <w:rFonts w:ascii="Times New Roman"/>
                <w:sz w:val="21"/>
              </w:rPr>
              <w:t>TR3006-20501</w:t>
            </w:r>
          </w:p>
        </w:tc>
        <w:tc>
          <w:tcPr>
            <w:tcW w:w="1358" w:type="dxa"/>
            <w:tcBorders>
              <w:top w:val="single" w:color="000000" w:sz="4" w:space="0"/>
              <w:left w:val="single" w:color="000000" w:sz="4" w:space="0"/>
              <w:bottom w:val="single" w:color="000000" w:sz="4" w:space="0"/>
              <w:right w:val="single" w:color="000000" w:sz="4" w:space="0"/>
            </w:tcBorders>
          </w:tcPr>
          <w:p>
            <w:pPr>
              <w:pStyle w:val="19"/>
              <w:spacing w:before="79"/>
              <w:ind w:left="21" w:right="2"/>
              <w:rPr>
                <w:rFonts w:ascii="Times New Roman"/>
                <w:sz w:val="21"/>
              </w:rPr>
            </w:pPr>
            <w:r>
              <w:rPr>
                <w:rFonts w:ascii="Times New Roman"/>
                <w:sz w:val="21"/>
              </w:rPr>
              <w:t>TR3006-20601</w:t>
            </w:r>
          </w:p>
        </w:tc>
        <w:tc>
          <w:tcPr>
            <w:tcW w:w="786" w:type="dxa"/>
            <w:vMerge w:val="continue"/>
            <w:tcBorders>
              <w:top w:val="nil"/>
              <w:left w:val="single" w:color="000000" w:sz="4" w:space="0"/>
              <w:bottom w:val="single" w:color="000000" w:sz="4" w:space="0"/>
              <w:right w:val="single" w:color="000000" w:sz="4" w:space="0"/>
            </w:tcBorders>
          </w:tcPr>
          <w:p>
            <w:pPr>
              <w:rPr>
                <w:sz w:val="2"/>
                <w:szCs w:val="2"/>
              </w:rPr>
            </w:pPr>
          </w:p>
        </w:tc>
        <w:tc>
          <w:tcPr>
            <w:tcW w:w="78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801" w:type="dxa"/>
            <w:tcBorders>
              <w:top w:val="single" w:color="000000" w:sz="4" w:space="0"/>
              <w:bottom w:val="nil"/>
              <w:right w:val="single" w:color="000000" w:sz="4" w:space="0"/>
            </w:tcBorders>
          </w:tcPr>
          <w:p>
            <w:pPr>
              <w:pStyle w:val="19"/>
              <w:jc w:val="left"/>
              <w:rPr>
                <w:rFonts w:ascii="Times New Roman"/>
                <w:sz w:val="20"/>
              </w:rPr>
            </w:pPr>
          </w:p>
        </w:tc>
        <w:tc>
          <w:tcPr>
            <w:tcW w:w="1238" w:type="dxa"/>
            <w:tcBorders>
              <w:top w:val="single" w:color="000000" w:sz="4" w:space="0"/>
              <w:left w:val="single" w:color="000000" w:sz="4" w:space="0"/>
              <w:bottom w:val="single" w:color="000000" w:sz="4" w:space="0"/>
              <w:right w:val="single" w:color="000000" w:sz="4" w:space="0"/>
            </w:tcBorders>
          </w:tcPr>
          <w:p>
            <w:pPr>
              <w:pStyle w:val="19"/>
              <w:spacing w:before="1"/>
              <w:ind w:left="20" w:right="3"/>
              <w:rPr>
                <w:sz w:val="21"/>
              </w:rPr>
            </w:pPr>
            <w:r>
              <w:rPr>
                <w:rFonts w:ascii="Times New Roman" w:eastAsia="Times New Roman"/>
                <w:sz w:val="21"/>
              </w:rPr>
              <w:t xml:space="preserve">pH </w:t>
            </w:r>
            <w:r>
              <w:rPr>
                <w:sz w:val="21"/>
              </w:rPr>
              <w:t>值</w:t>
            </w:r>
          </w:p>
        </w:tc>
        <w:tc>
          <w:tcPr>
            <w:tcW w:w="1356" w:type="dxa"/>
            <w:tcBorders>
              <w:top w:val="single" w:color="000000" w:sz="4" w:space="0"/>
              <w:left w:val="single" w:color="000000" w:sz="4" w:space="0"/>
              <w:bottom w:val="single" w:color="000000" w:sz="4" w:space="0"/>
              <w:right w:val="single" w:color="000000" w:sz="4" w:space="0"/>
            </w:tcBorders>
          </w:tcPr>
          <w:p>
            <w:pPr>
              <w:pStyle w:val="19"/>
              <w:spacing w:before="82"/>
              <w:ind w:left="20"/>
              <w:rPr>
                <w:rFonts w:ascii="Times New Roman"/>
                <w:sz w:val="21"/>
              </w:rPr>
            </w:pPr>
            <w:r>
              <w:rPr>
                <w:rFonts w:ascii="Times New Roman"/>
                <w:w w:val="99"/>
                <w:sz w:val="21"/>
              </w:rPr>
              <w:t>/</w:t>
            </w:r>
          </w:p>
        </w:tc>
        <w:tc>
          <w:tcPr>
            <w:tcW w:w="1356" w:type="dxa"/>
            <w:tcBorders>
              <w:top w:val="single" w:color="000000" w:sz="4" w:space="0"/>
              <w:left w:val="single" w:color="000000" w:sz="4" w:space="0"/>
              <w:bottom w:val="single" w:color="000000" w:sz="4" w:space="0"/>
              <w:right w:val="single" w:color="000000" w:sz="4" w:space="0"/>
            </w:tcBorders>
          </w:tcPr>
          <w:p>
            <w:pPr>
              <w:pStyle w:val="19"/>
              <w:spacing w:before="82"/>
              <w:ind w:left="20"/>
              <w:rPr>
                <w:rFonts w:ascii="Times New Roman"/>
                <w:sz w:val="21"/>
              </w:rPr>
            </w:pPr>
            <w:r>
              <w:rPr>
                <w:rFonts w:ascii="Times New Roman"/>
                <w:w w:val="99"/>
                <w:sz w:val="21"/>
              </w:rPr>
              <w:t>/</w:t>
            </w:r>
          </w:p>
        </w:tc>
        <w:tc>
          <w:tcPr>
            <w:tcW w:w="1356" w:type="dxa"/>
            <w:tcBorders>
              <w:top w:val="single" w:color="000000" w:sz="4" w:space="0"/>
              <w:left w:val="single" w:color="000000" w:sz="4" w:space="0"/>
              <w:bottom w:val="single" w:color="000000" w:sz="4" w:space="0"/>
              <w:right w:val="single" w:color="000000" w:sz="4" w:space="0"/>
            </w:tcBorders>
          </w:tcPr>
          <w:p>
            <w:pPr>
              <w:pStyle w:val="19"/>
              <w:spacing w:before="82"/>
              <w:ind w:left="20"/>
              <w:rPr>
                <w:rFonts w:ascii="Times New Roman"/>
                <w:sz w:val="21"/>
              </w:rPr>
            </w:pPr>
            <w:r>
              <w:rPr>
                <w:rFonts w:ascii="Times New Roman"/>
                <w:w w:val="99"/>
                <w:sz w:val="21"/>
              </w:rPr>
              <w:t>/</w:t>
            </w:r>
          </w:p>
        </w:tc>
        <w:tc>
          <w:tcPr>
            <w:tcW w:w="1358" w:type="dxa"/>
            <w:tcBorders>
              <w:top w:val="single" w:color="000000" w:sz="4" w:space="0"/>
              <w:left w:val="single" w:color="000000" w:sz="4" w:space="0"/>
              <w:bottom w:val="single" w:color="000000" w:sz="4" w:space="0"/>
              <w:right w:val="single" w:color="000000" w:sz="4" w:space="0"/>
            </w:tcBorders>
          </w:tcPr>
          <w:p>
            <w:pPr>
              <w:pStyle w:val="19"/>
              <w:spacing w:before="82"/>
              <w:ind w:left="18"/>
              <w:rPr>
                <w:rFonts w:ascii="Times New Roman"/>
                <w:sz w:val="21"/>
              </w:rPr>
            </w:pPr>
            <w:r>
              <w:rPr>
                <w:rFonts w:ascii="Times New Roman"/>
                <w:w w:val="99"/>
                <w:sz w:val="21"/>
              </w:rPr>
              <w:t>/</w:t>
            </w:r>
          </w:p>
        </w:tc>
        <w:tc>
          <w:tcPr>
            <w:tcW w:w="786" w:type="dxa"/>
            <w:tcBorders>
              <w:top w:val="single" w:color="000000" w:sz="4" w:space="0"/>
              <w:left w:val="single" w:color="000000" w:sz="4" w:space="0"/>
              <w:bottom w:val="single" w:color="000000" w:sz="4" w:space="0"/>
              <w:right w:val="single" w:color="000000" w:sz="4" w:space="0"/>
            </w:tcBorders>
          </w:tcPr>
          <w:p>
            <w:pPr>
              <w:pStyle w:val="19"/>
              <w:spacing w:before="58"/>
              <w:ind w:left="18"/>
              <w:rPr>
                <w:rFonts w:ascii="Times New Roman"/>
                <w:sz w:val="21"/>
              </w:rPr>
            </w:pPr>
            <w:r>
              <w:rPr>
                <w:rFonts w:ascii="Times New Roman"/>
                <w:w w:val="99"/>
                <w:sz w:val="21"/>
              </w:rPr>
              <w:t>0</w:t>
            </w:r>
          </w:p>
        </w:tc>
        <w:tc>
          <w:tcPr>
            <w:tcW w:w="787" w:type="dxa"/>
            <w:tcBorders>
              <w:top w:val="single" w:color="000000" w:sz="4" w:space="0"/>
              <w:left w:val="single" w:color="000000" w:sz="4" w:space="0"/>
              <w:bottom w:val="single" w:color="000000" w:sz="4" w:space="0"/>
            </w:tcBorders>
          </w:tcPr>
          <w:p>
            <w:pPr>
              <w:pStyle w:val="19"/>
              <w:spacing w:before="58"/>
              <w:ind w:left="341"/>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801" w:type="dxa"/>
            <w:tcBorders>
              <w:top w:val="nil"/>
              <w:bottom w:val="nil"/>
              <w:right w:val="single" w:color="000000" w:sz="4" w:space="0"/>
            </w:tcBorders>
          </w:tcPr>
          <w:p>
            <w:pPr>
              <w:pStyle w:val="19"/>
              <w:jc w:val="left"/>
              <w:rPr>
                <w:rFonts w:ascii="Times New Roman"/>
                <w:sz w:val="20"/>
              </w:rPr>
            </w:pPr>
          </w:p>
        </w:tc>
        <w:tc>
          <w:tcPr>
            <w:tcW w:w="1238" w:type="dxa"/>
            <w:tcBorders>
              <w:top w:val="single" w:color="000000" w:sz="4" w:space="0"/>
              <w:left w:val="single" w:color="000000" w:sz="4" w:space="0"/>
              <w:bottom w:val="single" w:color="000000" w:sz="4" w:space="0"/>
              <w:right w:val="single" w:color="000000" w:sz="4" w:space="0"/>
            </w:tcBorders>
          </w:tcPr>
          <w:p>
            <w:pPr>
              <w:pStyle w:val="19"/>
              <w:spacing w:line="269" w:lineRule="exact"/>
              <w:ind w:left="20" w:right="3"/>
              <w:rPr>
                <w:sz w:val="21"/>
              </w:rPr>
            </w:pPr>
            <w:r>
              <w:rPr>
                <w:sz w:val="21"/>
              </w:rPr>
              <w:t>含盐量</w:t>
            </w:r>
          </w:p>
        </w:tc>
        <w:tc>
          <w:tcPr>
            <w:tcW w:w="1356" w:type="dxa"/>
            <w:tcBorders>
              <w:top w:val="single" w:color="000000" w:sz="4" w:space="0"/>
              <w:left w:val="single" w:color="000000" w:sz="4" w:space="0"/>
              <w:bottom w:val="single" w:color="000000" w:sz="4" w:space="0"/>
              <w:right w:val="single" w:color="000000" w:sz="4" w:space="0"/>
            </w:tcBorders>
          </w:tcPr>
          <w:p>
            <w:pPr>
              <w:pStyle w:val="19"/>
              <w:spacing w:before="81"/>
              <w:ind w:left="20"/>
              <w:rPr>
                <w:rFonts w:ascii="Times New Roman"/>
                <w:sz w:val="21"/>
              </w:rPr>
            </w:pPr>
            <w:r>
              <w:rPr>
                <w:rFonts w:ascii="Times New Roman"/>
                <w:w w:val="99"/>
                <w:sz w:val="21"/>
              </w:rPr>
              <w:t>/</w:t>
            </w:r>
          </w:p>
        </w:tc>
        <w:tc>
          <w:tcPr>
            <w:tcW w:w="1356" w:type="dxa"/>
            <w:tcBorders>
              <w:top w:val="single" w:color="000000" w:sz="4" w:space="0"/>
              <w:left w:val="single" w:color="000000" w:sz="4" w:space="0"/>
              <w:bottom w:val="single" w:color="000000" w:sz="4" w:space="0"/>
              <w:right w:val="single" w:color="000000" w:sz="4" w:space="0"/>
            </w:tcBorders>
          </w:tcPr>
          <w:p>
            <w:pPr>
              <w:pStyle w:val="19"/>
              <w:spacing w:before="81"/>
              <w:ind w:left="20"/>
              <w:rPr>
                <w:rFonts w:ascii="Times New Roman"/>
                <w:sz w:val="21"/>
              </w:rPr>
            </w:pPr>
            <w:r>
              <w:rPr>
                <w:rFonts w:ascii="Times New Roman"/>
                <w:w w:val="99"/>
                <w:sz w:val="21"/>
              </w:rPr>
              <w:t>/</w:t>
            </w:r>
          </w:p>
        </w:tc>
        <w:tc>
          <w:tcPr>
            <w:tcW w:w="1356" w:type="dxa"/>
            <w:tcBorders>
              <w:top w:val="single" w:color="000000" w:sz="4" w:space="0"/>
              <w:left w:val="single" w:color="000000" w:sz="4" w:space="0"/>
              <w:bottom w:val="single" w:color="000000" w:sz="4" w:space="0"/>
              <w:right w:val="single" w:color="000000" w:sz="4" w:space="0"/>
            </w:tcBorders>
          </w:tcPr>
          <w:p>
            <w:pPr>
              <w:pStyle w:val="19"/>
              <w:spacing w:before="81"/>
              <w:ind w:left="20"/>
              <w:rPr>
                <w:rFonts w:ascii="Times New Roman"/>
                <w:sz w:val="21"/>
              </w:rPr>
            </w:pPr>
            <w:r>
              <w:rPr>
                <w:rFonts w:ascii="Times New Roman"/>
                <w:w w:val="99"/>
                <w:sz w:val="21"/>
              </w:rPr>
              <w:t>/</w:t>
            </w:r>
          </w:p>
        </w:tc>
        <w:tc>
          <w:tcPr>
            <w:tcW w:w="1358" w:type="dxa"/>
            <w:tcBorders>
              <w:top w:val="single" w:color="000000" w:sz="4" w:space="0"/>
              <w:left w:val="single" w:color="000000" w:sz="4" w:space="0"/>
              <w:bottom w:val="single" w:color="000000" w:sz="4" w:space="0"/>
              <w:right w:val="single" w:color="000000" w:sz="4" w:space="0"/>
            </w:tcBorders>
          </w:tcPr>
          <w:p>
            <w:pPr>
              <w:pStyle w:val="19"/>
              <w:spacing w:before="81"/>
              <w:ind w:left="18"/>
              <w:rPr>
                <w:rFonts w:ascii="Times New Roman"/>
                <w:sz w:val="21"/>
              </w:rPr>
            </w:pPr>
            <w:r>
              <w:rPr>
                <w:rFonts w:ascii="Times New Roman"/>
                <w:w w:val="99"/>
                <w:sz w:val="21"/>
              </w:rPr>
              <w:t>/</w:t>
            </w:r>
          </w:p>
        </w:tc>
        <w:tc>
          <w:tcPr>
            <w:tcW w:w="786" w:type="dxa"/>
            <w:tcBorders>
              <w:top w:val="single" w:color="000000" w:sz="4" w:space="0"/>
              <w:left w:val="single" w:color="000000" w:sz="4" w:space="0"/>
              <w:bottom w:val="single" w:color="000000" w:sz="4" w:space="0"/>
              <w:right w:val="single" w:color="000000" w:sz="4" w:space="0"/>
            </w:tcBorders>
          </w:tcPr>
          <w:p>
            <w:pPr>
              <w:pStyle w:val="19"/>
              <w:spacing w:before="57"/>
              <w:ind w:left="18"/>
              <w:rPr>
                <w:rFonts w:ascii="Times New Roman"/>
                <w:sz w:val="21"/>
              </w:rPr>
            </w:pPr>
            <w:r>
              <w:rPr>
                <w:rFonts w:ascii="Times New Roman"/>
                <w:w w:val="99"/>
                <w:sz w:val="21"/>
              </w:rPr>
              <w:t>0</w:t>
            </w:r>
          </w:p>
        </w:tc>
        <w:tc>
          <w:tcPr>
            <w:tcW w:w="787" w:type="dxa"/>
            <w:tcBorders>
              <w:top w:val="single" w:color="000000" w:sz="4" w:space="0"/>
              <w:left w:val="single" w:color="000000" w:sz="4" w:space="0"/>
              <w:bottom w:val="single" w:color="000000" w:sz="4" w:space="0"/>
            </w:tcBorders>
          </w:tcPr>
          <w:p>
            <w:pPr>
              <w:pStyle w:val="19"/>
              <w:spacing w:before="57"/>
              <w:ind w:left="341"/>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801" w:type="dxa"/>
            <w:tcBorders>
              <w:top w:val="nil"/>
              <w:bottom w:val="nil"/>
              <w:right w:val="single" w:color="000000" w:sz="4" w:space="0"/>
            </w:tcBorders>
          </w:tcPr>
          <w:p>
            <w:pPr>
              <w:pStyle w:val="19"/>
              <w:jc w:val="left"/>
              <w:rPr>
                <w:rFonts w:ascii="Times New Roman"/>
                <w:sz w:val="20"/>
              </w:rPr>
            </w:pPr>
          </w:p>
        </w:tc>
        <w:tc>
          <w:tcPr>
            <w:tcW w:w="1238" w:type="dxa"/>
            <w:tcBorders>
              <w:top w:val="single" w:color="000000" w:sz="4" w:space="0"/>
              <w:left w:val="single" w:color="000000" w:sz="4" w:space="0"/>
              <w:bottom w:val="single" w:color="000000" w:sz="4" w:space="0"/>
              <w:right w:val="single" w:color="000000" w:sz="4" w:space="0"/>
            </w:tcBorders>
          </w:tcPr>
          <w:p>
            <w:pPr>
              <w:pStyle w:val="19"/>
              <w:spacing w:before="1"/>
              <w:ind w:left="19"/>
              <w:rPr>
                <w:sz w:val="21"/>
              </w:rPr>
            </w:pPr>
            <w:r>
              <w:rPr>
                <w:w w:val="99"/>
                <w:sz w:val="21"/>
              </w:rPr>
              <w:t>砷</w:t>
            </w:r>
          </w:p>
        </w:tc>
        <w:tc>
          <w:tcPr>
            <w:tcW w:w="1356" w:type="dxa"/>
            <w:tcBorders>
              <w:top w:val="single" w:color="000000" w:sz="4" w:space="0"/>
              <w:left w:val="single" w:color="000000" w:sz="4" w:space="0"/>
              <w:bottom w:val="single" w:color="000000" w:sz="4" w:space="0"/>
              <w:right w:val="single" w:color="000000" w:sz="4" w:space="0"/>
            </w:tcBorders>
          </w:tcPr>
          <w:p>
            <w:pPr>
              <w:pStyle w:val="19"/>
              <w:spacing w:before="83"/>
              <w:ind w:left="18"/>
              <w:rPr>
                <w:rFonts w:ascii="Times New Roman"/>
                <w:sz w:val="21"/>
              </w:rPr>
            </w:pPr>
            <w:r>
              <w:rPr>
                <w:rFonts w:ascii="Times New Roman"/>
                <w:sz w:val="21"/>
              </w:rPr>
              <w:t>0.18</w:t>
            </w:r>
          </w:p>
        </w:tc>
        <w:tc>
          <w:tcPr>
            <w:tcW w:w="1356" w:type="dxa"/>
            <w:tcBorders>
              <w:top w:val="single" w:color="000000" w:sz="4" w:space="0"/>
              <w:left w:val="single" w:color="000000" w:sz="4" w:space="0"/>
              <w:bottom w:val="single" w:color="000000" w:sz="4" w:space="0"/>
              <w:right w:val="single" w:color="000000" w:sz="4" w:space="0"/>
            </w:tcBorders>
          </w:tcPr>
          <w:p>
            <w:pPr>
              <w:pStyle w:val="19"/>
              <w:spacing w:before="83"/>
              <w:ind w:left="18"/>
              <w:rPr>
                <w:rFonts w:ascii="Times New Roman"/>
                <w:sz w:val="21"/>
              </w:rPr>
            </w:pPr>
            <w:r>
              <w:rPr>
                <w:rFonts w:ascii="Times New Roman"/>
                <w:sz w:val="21"/>
              </w:rPr>
              <w:t>0.18</w:t>
            </w:r>
          </w:p>
        </w:tc>
        <w:tc>
          <w:tcPr>
            <w:tcW w:w="1356" w:type="dxa"/>
            <w:tcBorders>
              <w:top w:val="single" w:color="000000" w:sz="4" w:space="0"/>
              <w:left w:val="single" w:color="000000" w:sz="4" w:space="0"/>
              <w:bottom w:val="single" w:color="000000" w:sz="4" w:space="0"/>
              <w:right w:val="single" w:color="000000" w:sz="4" w:space="0"/>
            </w:tcBorders>
          </w:tcPr>
          <w:p>
            <w:pPr>
              <w:pStyle w:val="19"/>
              <w:spacing w:before="83"/>
              <w:ind w:left="18"/>
              <w:rPr>
                <w:rFonts w:ascii="Times New Roman"/>
                <w:sz w:val="21"/>
              </w:rPr>
            </w:pPr>
            <w:r>
              <w:rPr>
                <w:rFonts w:ascii="Times New Roman"/>
                <w:sz w:val="21"/>
              </w:rPr>
              <w:t>0.19</w:t>
            </w:r>
          </w:p>
        </w:tc>
        <w:tc>
          <w:tcPr>
            <w:tcW w:w="1358" w:type="dxa"/>
            <w:tcBorders>
              <w:top w:val="single" w:color="000000" w:sz="4" w:space="0"/>
              <w:left w:val="single" w:color="000000" w:sz="4" w:space="0"/>
              <w:bottom w:val="single" w:color="000000" w:sz="4" w:space="0"/>
              <w:right w:val="single" w:color="000000" w:sz="4" w:space="0"/>
            </w:tcBorders>
          </w:tcPr>
          <w:p>
            <w:pPr>
              <w:pStyle w:val="19"/>
              <w:spacing w:before="83"/>
              <w:ind w:left="21" w:right="2"/>
              <w:rPr>
                <w:rFonts w:ascii="Times New Roman"/>
                <w:sz w:val="21"/>
              </w:rPr>
            </w:pPr>
            <w:r>
              <w:rPr>
                <w:rFonts w:ascii="Times New Roman"/>
                <w:sz w:val="21"/>
              </w:rPr>
              <w:t>0.15</w:t>
            </w:r>
          </w:p>
        </w:tc>
        <w:tc>
          <w:tcPr>
            <w:tcW w:w="786" w:type="dxa"/>
            <w:tcBorders>
              <w:top w:val="single" w:color="000000" w:sz="4" w:space="0"/>
              <w:left w:val="single" w:color="000000" w:sz="4" w:space="0"/>
              <w:bottom w:val="single" w:color="000000" w:sz="4" w:space="0"/>
              <w:right w:val="single" w:color="000000" w:sz="4" w:space="0"/>
            </w:tcBorders>
          </w:tcPr>
          <w:p>
            <w:pPr>
              <w:pStyle w:val="19"/>
              <w:spacing w:before="59"/>
              <w:ind w:left="18"/>
              <w:rPr>
                <w:rFonts w:ascii="Times New Roman"/>
                <w:sz w:val="21"/>
              </w:rPr>
            </w:pPr>
            <w:r>
              <w:rPr>
                <w:rFonts w:ascii="Times New Roman"/>
                <w:w w:val="99"/>
                <w:sz w:val="21"/>
              </w:rPr>
              <w:t>0</w:t>
            </w:r>
          </w:p>
        </w:tc>
        <w:tc>
          <w:tcPr>
            <w:tcW w:w="787" w:type="dxa"/>
            <w:tcBorders>
              <w:top w:val="single" w:color="000000" w:sz="4" w:space="0"/>
              <w:left w:val="single" w:color="000000" w:sz="4" w:space="0"/>
              <w:bottom w:val="single" w:color="000000" w:sz="4" w:space="0"/>
            </w:tcBorders>
          </w:tcPr>
          <w:p>
            <w:pPr>
              <w:pStyle w:val="19"/>
              <w:spacing w:before="59"/>
              <w:ind w:left="341"/>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801" w:type="dxa"/>
            <w:tcBorders>
              <w:top w:val="nil"/>
              <w:bottom w:val="nil"/>
              <w:right w:val="single" w:color="000000" w:sz="4" w:space="0"/>
            </w:tcBorders>
          </w:tcPr>
          <w:p>
            <w:pPr>
              <w:pStyle w:val="19"/>
              <w:jc w:val="left"/>
              <w:rPr>
                <w:rFonts w:ascii="Times New Roman"/>
                <w:sz w:val="20"/>
              </w:rPr>
            </w:pPr>
          </w:p>
        </w:tc>
        <w:tc>
          <w:tcPr>
            <w:tcW w:w="1238" w:type="dxa"/>
            <w:tcBorders>
              <w:top w:val="single" w:color="000000" w:sz="4" w:space="0"/>
              <w:left w:val="single" w:color="000000" w:sz="4" w:space="0"/>
              <w:bottom w:val="single" w:color="000000" w:sz="4" w:space="0"/>
              <w:right w:val="single" w:color="000000" w:sz="4" w:space="0"/>
            </w:tcBorders>
          </w:tcPr>
          <w:p>
            <w:pPr>
              <w:pStyle w:val="19"/>
              <w:ind w:left="19"/>
              <w:rPr>
                <w:sz w:val="21"/>
              </w:rPr>
            </w:pPr>
            <w:r>
              <w:rPr>
                <w:w w:val="99"/>
                <w:sz w:val="21"/>
              </w:rPr>
              <w:t>镉</w:t>
            </w:r>
          </w:p>
        </w:tc>
        <w:tc>
          <w:tcPr>
            <w:tcW w:w="1356" w:type="dxa"/>
            <w:tcBorders>
              <w:top w:val="single" w:color="000000" w:sz="4" w:space="0"/>
              <w:left w:val="single" w:color="000000" w:sz="4" w:space="0"/>
              <w:bottom w:val="single" w:color="000000" w:sz="4" w:space="0"/>
              <w:right w:val="single" w:color="000000" w:sz="4" w:space="0"/>
            </w:tcBorders>
          </w:tcPr>
          <w:p>
            <w:pPr>
              <w:pStyle w:val="19"/>
              <w:spacing w:before="81"/>
              <w:ind w:left="18"/>
              <w:rPr>
                <w:rFonts w:ascii="Times New Roman"/>
                <w:sz w:val="21"/>
              </w:rPr>
            </w:pPr>
            <w:r>
              <w:rPr>
                <w:rFonts w:ascii="Times New Roman"/>
                <w:sz w:val="21"/>
              </w:rPr>
              <w:t>0.00</w:t>
            </w:r>
          </w:p>
        </w:tc>
        <w:tc>
          <w:tcPr>
            <w:tcW w:w="1356" w:type="dxa"/>
            <w:tcBorders>
              <w:top w:val="single" w:color="000000" w:sz="4" w:space="0"/>
              <w:left w:val="single" w:color="000000" w:sz="4" w:space="0"/>
              <w:bottom w:val="single" w:color="000000" w:sz="4" w:space="0"/>
              <w:right w:val="single" w:color="000000" w:sz="4" w:space="0"/>
            </w:tcBorders>
          </w:tcPr>
          <w:p>
            <w:pPr>
              <w:pStyle w:val="19"/>
              <w:spacing w:before="81"/>
              <w:ind w:left="18"/>
              <w:rPr>
                <w:rFonts w:ascii="Times New Roman"/>
                <w:sz w:val="21"/>
              </w:rPr>
            </w:pPr>
            <w:r>
              <w:rPr>
                <w:rFonts w:ascii="Times New Roman"/>
                <w:sz w:val="21"/>
              </w:rPr>
              <w:t>0.00</w:t>
            </w:r>
          </w:p>
        </w:tc>
        <w:tc>
          <w:tcPr>
            <w:tcW w:w="1356" w:type="dxa"/>
            <w:tcBorders>
              <w:top w:val="single" w:color="000000" w:sz="4" w:space="0"/>
              <w:left w:val="single" w:color="000000" w:sz="4" w:space="0"/>
              <w:bottom w:val="single" w:color="000000" w:sz="4" w:space="0"/>
              <w:right w:val="single" w:color="000000" w:sz="4" w:space="0"/>
            </w:tcBorders>
          </w:tcPr>
          <w:p>
            <w:pPr>
              <w:pStyle w:val="19"/>
              <w:spacing w:before="81"/>
              <w:ind w:left="18"/>
              <w:rPr>
                <w:rFonts w:ascii="Times New Roman"/>
                <w:sz w:val="21"/>
              </w:rPr>
            </w:pPr>
            <w:r>
              <w:rPr>
                <w:rFonts w:ascii="Times New Roman"/>
                <w:sz w:val="21"/>
              </w:rPr>
              <w:t>0.00</w:t>
            </w:r>
          </w:p>
        </w:tc>
        <w:tc>
          <w:tcPr>
            <w:tcW w:w="1358" w:type="dxa"/>
            <w:tcBorders>
              <w:top w:val="single" w:color="000000" w:sz="4" w:space="0"/>
              <w:left w:val="single" w:color="000000" w:sz="4" w:space="0"/>
              <w:bottom w:val="single" w:color="000000" w:sz="4" w:space="0"/>
              <w:right w:val="single" w:color="000000" w:sz="4" w:space="0"/>
            </w:tcBorders>
          </w:tcPr>
          <w:p>
            <w:pPr>
              <w:pStyle w:val="19"/>
              <w:spacing w:before="81"/>
              <w:ind w:left="21" w:right="2"/>
              <w:rPr>
                <w:rFonts w:ascii="Times New Roman"/>
                <w:sz w:val="21"/>
              </w:rPr>
            </w:pPr>
            <w:r>
              <w:rPr>
                <w:rFonts w:ascii="Times New Roman"/>
                <w:sz w:val="21"/>
              </w:rPr>
              <w:t>0.00</w:t>
            </w:r>
          </w:p>
        </w:tc>
        <w:tc>
          <w:tcPr>
            <w:tcW w:w="786" w:type="dxa"/>
            <w:tcBorders>
              <w:top w:val="single" w:color="000000" w:sz="4" w:space="0"/>
              <w:left w:val="single" w:color="000000" w:sz="4" w:space="0"/>
              <w:bottom w:val="single" w:color="000000" w:sz="4" w:space="0"/>
              <w:right w:val="single" w:color="000000" w:sz="4" w:space="0"/>
            </w:tcBorders>
          </w:tcPr>
          <w:p>
            <w:pPr>
              <w:pStyle w:val="19"/>
              <w:spacing w:before="57"/>
              <w:ind w:left="18"/>
              <w:rPr>
                <w:rFonts w:ascii="Times New Roman"/>
                <w:sz w:val="21"/>
              </w:rPr>
            </w:pPr>
            <w:r>
              <w:rPr>
                <w:rFonts w:ascii="Times New Roman"/>
                <w:w w:val="99"/>
                <w:sz w:val="21"/>
              </w:rPr>
              <w:t>0</w:t>
            </w:r>
          </w:p>
        </w:tc>
        <w:tc>
          <w:tcPr>
            <w:tcW w:w="787" w:type="dxa"/>
            <w:tcBorders>
              <w:top w:val="single" w:color="000000" w:sz="4" w:space="0"/>
              <w:left w:val="single" w:color="000000" w:sz="4" w:space="0"/>
              <w:bottom w:val="single" w:color="000000" w:sz="4" w:space="0"/>
            </w:tcBorders>
          </w:tcPr>
          <w:p>
            <w:pPr>
              <w:pStyle w:val="19"/>
              <w:spacing w:before="57"/>
              <w:ind w:left="341"/>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801" w:type="dxa"/>
            <w:vMerge w:val="restart"/>
            <w:tcBorders>
              <w:top w:val="nil"/>
              <w:bottom w:val="nil"/>
              <w:right w:val="single" w:color="000000" w:sz="4" w:space="0"/>
            </w:tcBorders>
          </w:tcPr>
          <w:p>
            <w:pPr>
              <w:pStyle w:val="19"/>
              <w:spacing w:before="10"/>
              <w:jc w:val="left"/>
              <w:rPr>
                <w:b/>
                <w:sz w:val="19"/>
              </w:rPr>
            </w:pPr>
          </w:p>
          <w:p>
            <w:pPr>
              <w:pStyle w:val="19"/>
              <w:ind w:left="36"/>
              <w:jc w:val="left"/>
              <w:rPr>
                <w:rFonts w:ascii="Times New Roman"/>
                <w:sz w:val="21"/>
              </w:rPr>
            </w:pPr>
            <w:r>
              <w:rPr>
                <w:rFonts w:ascii="Times New Roman"/>
                <w:sz w:val="21"/>
              </w:rPr>
              <w:t>2020.04.</w:t>
            </w:r>
          </w:p>
        </w:tc>
        <w:tc>
          <w:tcPr>
            <w:tcW w:w="1238" w:type="dxa"/>
            <w:tcBorders>
              <w:top w:val="single" w:color="000000" w:sz="4" w:space="0"/>
              <w:left w:val="single" w:color="000000" w:sz="4" w:space="0"/>
              <w:bottom w:val="single" w:color="000000" w:sz="4" w:space="0"/>
              <w:right w:val="single" w:color="000000" w:sz="4" w:space="0"/>
            </w:tcBorders>
          </w:tcPr>
          <w:p>
            <w:pPr>
              <w:pStyle w:val="19"/>
              <w:ind w:left="20" w:right="3"/>
              <w:rPr>
                <w:sz w:val="21"/>
              </w:rPr>
            </w:pPr>
            <w:r>
              <w:rPr>
                <w:sz w:val="21"/>
              </w:rPr>
              <w:t>六价铬</w:t>
            </w:r>
          </w:p>
        </w:tc>
        <w:tc>
          <w:tcPr>
            <w:tcW w:w="1356" w:type="dxa"/>
            <w:tcBorders>
              <w:top w:val="single" w:color="000000" w:sz="4" w:space="0"/>
              <w:left w:val="single" w:color="000000" w:sz="4" w:space="0"/>
              <w:bottom w:val="single" w:color="000000" w:sz="4" w:space="0"/>
              <w:right w:val="single" w:color="000000" w:sz="4" w:space="0"/>
            </w:tcBorders>
          </w:tcPr>
          <w:p>
            <w:pPr>
              <w:pStyle w:val="19"/>
              <w:spacing w:before="83"/>
              <w:ind w:left="20"/>
              <w:rPr>
                <w:rFonts w:ascii="Times New Roman"/>
                <w:sz w:val="21"/>
              </w:rPr>
            </w:pPr>
            <w:r>
              <w:rPr>
                <w:rFonts w:ascii="Times New Roman"/>
                <w:w w:val="99"/>
                <w:sz w:val="21"/>
              </w:rPr>
              <w:t>/</w:t>
            </w:r>
          </w:p>
        </w:tc>
        <w:tc>
          <w:tcPr>
            <w:tcW w:w="1356" w:type="dxa"/>
            <w:tcBorders>
              <w:top w:val="single" w:color="000000" w:sz="4" w:space="0"/>
              <w:left w:val="single" w:color="000000" w:sz="4" w:space="0"/>
              <w:bottom w:val="single" w:color="000000" w:sz="4" w:space="0"/>
              <w:right w:val="single" w:color="000000" w:sz="4" w:space="0"/>
            </w:tcBorders>
          </w:tcPr>
          <w:p>
            <w:pPr>
              <w:pStyle w:val="19"/>
              <w:spacing w:before="83"/>
              <w:ind w:left="20"/>
              <w:rPr>
                <w:rFonts w:ascii="Times New Roman"/>
                <w:sz w:val="21"/>
              </w:rPr>
            </w:pPr>
            <w:r>
              <w:rPr>
                <w:rFonts w:ascii="Times New Roman"/>
                <w:w w:val="99"/>
                <w:sz w:val="21"/>
              </w:rPr>
              <w:t>/</w:t>
            </w:r>
          </w:p>
        </w:tc>
        <w:tc>
          <w:tcPr>
            <w:tcW w:w="1356" w:type="dxa"/>
            <w:tcBorders>
              <w:top w:val="single" w:color="000000" w:sz="4" w:space="0"/>
              <w:left w:val="single" w:color="000000" w:sz="4" w:space="0"/>
              <w:bottom w:val="single" w:color="000000" w:sz="4" w:space="0"/>
              <w:right w:val="single" w:color="000000" w:sz="4" w:space="0"/>
            </w:tcBorders>
          </w:tcPr>
          <w:p>
            <w:pPr>
              <w:pStyle w:val="19"/>
              <w:spacing w:before="83"/>
              <w:ind w:left="18"/>
              <w:rPr>
                <w:rFonts w:ascii="Times New Roman"/>
                <w:sz w:val="21"/>
              </w:rPr>
            </w:pPr>
            <w:r>
              <w:rPr>
                <w:rFonts w:ascii="Times New Roman"/>
                <w:sz w:val="21"/>
              </w:rPr>
              <w:t>0.36</w:t>
            </w:r>
          </w:p>
        </w:tc>
        <w:tc>
          <w:tcPr>
            <w:tcW w:w="1358" w:type="dxa"/>
            <w:tcBorders>
              <w:top w:val="single" w:color="000000" w:sz="4" w:space="0"/>
              <w:left w:val="single" w:color="000000" w:sz="4" w:space="0"/>
              <w:bottom w:val="single" w:color="000000" w:sz="4" w:space="0"/>
              <w:right w:val="single" w:color="000000" w:sz="4" w:space="0"/>
            </w:tcBorders>
          </w:tcPr>
          <w:p>
            <w:pPr>
              <w:pStyle w:val="19"/>
              <w:spacing w:before="83"/>
              <w:ind w:left="18"/>
              <w:rPr>
                <w:rFonts w:ascii="Times New Roman"/>
                <w:sz w:val="21"/>
              </w:rPr>
            </w:pPr>
            <w:r>
              <w:rPr>
                <w:rFonts w:ascii="Times New Roman"/>
                <w:w w:val="99"/>
                <w:sz w:val="21"/>
              </w:rPr>
              <w:t>/</w:t>
            </w:r>
          </w:p>
        </w:tc>
        <w:tc>
          <w:tcPr>
            <w:tcW w:w="786" w:type="dxa"/>
            <w:tcBorders>
              <w:top w:val="single" w:color="000000" w:sz="4" w:space="0"/>
              <w:left w:val="single" w:color="000000" w:sz="4" w:space="0"/>
              <w:bottom w:val="single" w:color="000000" w:sz="4" w:space="0"/>
              <w:right w:val="single" w:color="000000" w:sz="4" w:space="0"/>
            </w:tcBorders>
          </w:tcPr>
          <w:p>
            <w:pPr>
              <w:pStyle w:val="19"/>
              <w:spacing w:before="59"/>
              <w:ind w:left="18"/>
              <w:rPr>
                <w:rFonts w:ascii="Times New Roman"/>
                <w:sz w:val="21"/>
              </w:rPr>
            </w:pPr>
            <w:r>
              <w:rPr>
                <w:rFonts w:ascii="Times New Roman"/>
                <w:w w:val="99"/>
                <w:sz w:val="21"/>
              </w:rPr>
              <w:t>0</w:t>
            </w:r>
          </w:p>
        </w:tc>
        <w:tc>
          <w:tcPr>
            <w:tcW w:w="787" w:type="dxa"/>
            <w:tcBorders>
              <w:top w:val="single" w:color="000000" w:sz="4" w:space="0"/>
              <w:left w:val="single" w:color="000000" w:sz="4" w:space="0"/>
              <w:bottom w:val="single" w:color="000000" w:sz="4" w:space="0"/>
            </w:tcBorders>
          </w:tcPr>
          <w:p>
            <w:pPr>
              <w:pStyle w:val="19"/>
              <w:spacing w:before="59"/>
              <w:ind w:left="341"/>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 w:hRule="atLeast"/>
        </w:trPr>
        <w:tc>
          <w:tcPr>
            <w:tcW w:w="801" w:type="dxa"/>
            <w:vMerge w:val="continue"/>
            <w:tcBorders>
              <w:top w:val="nil"/>
              <w:bottom w:val="nil"/>
              <w:right w:val="single" w:color="000000" w:sz="4" w:space="0"/>
            </w:tcBorders>
          </w:tcPr>
          <w:p>
            <w:pPr>
              <w:rPr>
                <w:sz w:val="2"/>
                <w:szCs w:val="2"/>
              </w:rPr>
            </w:pPr>
          </w:p>
        </w:tc>
        <w:tc>
          <w:tcPr>
            <w:tcW w:w="1238" w:type="dxa"/>
            <w:vMerge w:val="restart"/>
            <w:tcBorders>
              <w:top w:val="single" w:color="000000" w:sz="4" w:space="0"/>
              <w:left w:val="single" w:color="000000" w:sz="4" w:space="0"/>
              <w:bottom w:val="single" w:color="000000" w:sz="4" w:space="0"/>
              <w:right w:val="single" w:color="000000" w:sz="4" w:space="0"/>
            </w:tcBorders>
          </w:tcPr>
          <w:p>
            <w:pPr>
              <w:pStyle w:val="19"/>
              <w:spacing w:before="1"/>
              <w:ind w:left="19"/>
              <w:rPr>
                <w:sz w:val="21"/>
              </w:rPr>
            </w:pPr>
            <w:r>
              <w:rPr>
                <w:w w:val="99"/>
                <w:sz w:val="21"/>
              </w:rPr>
              <w:t>铅</w:t>
            </w:r>
          </w:p>
        </w:tc>
        <w:tc>
          <w:tcPr>
            <w:tcW w:w="1356" w:type="dxa"/>
            <w:vMerge w:val="restart"/>
            <w:tcBorders>
              <w:top w:val="single" w:color="000000" w:sz="4" w:space="0"/>
              <w:left w:val="single" w:color="000000" w:sz="4" w:space="0"/>
              <w:bottom w:val="single" w:color="000000" w:sz="4" w:space="0"/>
              <w:right w:val="single" w:color="000000" w:sz="4" w:space="0"/>
            </w:tcBorders>
          </w:tcPr>
          <w:p>
            <w:pPr>
              <w:pStyle w:val="19"/>
              <w:spacing w:before="82"/>
              <w:ind w:left="18"/>
              <w:rPr>
                <w:rFonts w:ascii="Times New Roman"/>
                <w:sz w:val="21"/>
              </w:rPr>
            </w:pPr>
            <w:r>
              <w:rPr>
                <w:rFonts w:ascii="Times New Roman"/>
                <w:sz w:val="21"/>
              </w:rPr>
              <w:t>0.03</w:t>
            </w:r>
          </w:p>
        </w:tc>
        <w:tc>
          <w:tcPr>
            <w:tcW w:w="1356" w:type="dxa"/>
            <w:vMerge w:val="restart"/>
            <w:tcBorders>
              <w:top w:val="single" w:color="000000" w:sz="4" w:space="0"/>
              <w:left w:val="single" w:color="000000" w:sz="4" w:space="0"/>
              <w:bottom w:val="single" w:color="000000" w:sz="4" w:space="0"/>
              <w:right w:val="single" w:color="000000" w:sz="4" w:space="0"/>
            </w:tcBorders>
          </w:tcPr>
          <w:p>
            <w:pPr>
              <w:pStyle w:val="19"/>
              <w:spacing w:before="82"/>
              <w:ind w:left="18"/>
              <w:rPr>
                <w:rFonts w:ascii="Times New Roman"/>
                <w:sz w:val="21"/>
              </w:rPr>
            </w:pPr>
            <w:r>
              <w:rPr>
                <w:rFonts w:ascii="Times New Roman"/>
                <w:sz w:val="21"/>
              </w:rPr>
              <w:t>0.03</w:t>
            </w:r>
          </w:p>
        </w:tc>
        <w:tc>
          <w:tcPr>
            <w:tcW w:w="1356" w:type="dxa"/>
            <w:vMerge w:val="restart"/>
            <w:tcBorders>
              <w:top w:val="single" w:color="000000" w:sz="4" w:space="0"/>
              <w:left w:val="single" w:color="000000" w:sz="4" w:space="0"/>
              <w:bottom w:val="single" w:color="000000" w:sz="4" w:space="0"/>
              <w:right w:val="single" w:color="000000" w:sz="4" w:space="0"/>
            </w:tcBorders>
          </w:tcPr>
          <w:p>
            <w:pPr>
              <w:pStyle w:val="19"/>
              <w:spacing w:before="82"/>
              <w:ind w:left="18"/>
              <w:rPr>
                <w:rFonts w:ascii="Times New Roman"/>
                <w:sz w:val="21"/>
              </w:rPr>
            </w:pPr>
            <w:r>
              <w:rPr>
                <w:rFonts w:ascii="Times New Roman"/>
                <w:sz w:val="21"/>
              </w:rPr>
              <w:t>0.03</w:t>
            </w:r>
          </w:p>
        </w:tc>
        <w:tc>
          <w:tcPr>
            <w:tcW w:w="1358" w:type="dxa"/>
            <w:vMerge w:val="restart"/>
            <w:tcBorders>
              <w:top w:val="single" w:color="000000" w:sz="4" w:space="0"/>
              <w:left w:val="single" w:color="000000" w:sz="4" w:space="0"/>
              <w:bottom w:val="single" w:color="000000" w:sz="4" w:space="0"/>
              <w:right w:val="single" w:color="000000" w:sz="4" w:space="0"/>
            </w:tcBorders>
          </w:tcPr>
          <w:p>
            <w:pPr>
              <w:pStyle w:val="19"/>
              <w:spacing w:before="82"/>
              <w:ind w:left="21" w:right="2"/>
              <w:rPr>
                <w:rFonts w:ascii="Times New Roman"/>
                <w:sz w:val="21"/>
              </w:rPr>
            </w:pPr>
            <w:r>
              <w:rPr>
                <w:rFonts w:ascii="Times New Roman"/>
                <w:sz w:val="21"/>
              </w:rPr>
              <w:t>0.03</w:t>
            </w:r>
          </w:p>
        </w:tc>
        <w:tc>
          <w:tcPr>
            <w:tcW w:w="786" w:type="dxa"/>
            <w:vMerge w:val="restart"/>
            <w:tcBorders>
              <w:top w:val="single" w:color="000000" w:sz="4" w:space="0"/>
              <w:left w:val="single" w:color="000000" w:sz="4" w:space="0"/>
              <w:bottom w:val="single" w:color="000000" w:sz="4" w:space="0"/>
              <w:right w:val="single" w:color="000000" w:sz="4" w:space="0"/>
            </w:tcBorders>
          </w:tcPr>
          <w:p>
            <w:pPr>
              <w:pStyle w:val="19"/>
              <w:spacing w:before="58"/>
              <w:ind w:left="18"/>
              <w:rPr>
                <w:rFonts w:ascii="Times New Roman"/>
                <w:sz w:val="21"/>
              </w:rPr>
            </w:pPr>
            <w:r>
              <w:rPr>
                <w:rFonts w:ascii="Times New Roman"/>
                <w:w w:val="99"/>
                <w:sz w:val="21"/>
              </w:rPr>
              <w:t>0</w:t>
            </w:r>
          </w:p>
        </w:tc>
        <w:tc>
          <w:tcPr>
            <w:tcW w:w="787" w:type="dxa"/>
            <w:vMerge w:val="restart"/>
            <w:tcBorders>
              <w:top w:val="single" w:color="000000" w:sz="4" w:space="0"/>
              <w:left w:val="single" w:color="000000" w:sz="4" w:space="0"/>
              <w:bottom w:val="single" w:color="000000" w:sz="4" w:space="0"/>
            </w:tcBorders>
          </w:tcPr>
          <w:p>
            <w:pPr>
              <w:pStyle w:val="19"/>
              <w:spacing w:before="58"/>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1" w:hRule="atLeast"/>
        </w:trPr>
        <w:tc>
          <w:tcPr>
            <w:tcW w:w="801" w:type="dxa"/>
            <w:vMerge w:val="restart"/>
            <w:tcBorders>
              <w:top w:val="nil"/>
              <w:bottom w:val="nil"/>
              <w:right w:val="single" w:color="000000" w:sz="4" w:space="0"/>
            </w:tcBorders>
          </w:tcPr>
          <w:p>
            <w:pPr>
              <w:pStyle w:val="19"/>
              <w:spacing w:before="50"/>
              <w:ind w:left="277" w:right="258"/>
              <w:rPr>
                <w:rFonts w:ascii="Times New Roman"/>
                <w:sz w:val="21"/>
              </w:rPr>
            </w:pPr>
            <w:r>
              <w:rPr>
                <w:rFonts w:ascii="Times New Roman"/>
                <w:sz w:val="21"/>
              </w:rPr>
              <w:t>14</w:t>
            </w:r>
          </w:p>
        </w:tc>
        <w:tc>
          <w:tcPr>
            <w:tcW w:w="1238" w:type="dxa"/>
            <w:vMerge w:val="continue"/>
            <w:tcBorders>
              <w:top w:val="nil"/>
              <w:left w:val="single" w:color="000000" w:sz="4" w:space="0"/>
              <w:bottom w:val="single" w:color="000000" w:sz="4" w:space="0"/>
              <w:right w:val="single" w:color="000000" w:sz="4" w:space="0"/>
            </w:tcBorders>
          </w:tcPr>
          <w:p>
            <w:pPr>
              <w:rPr>
                <w:sz w:val="2"/>
                <w:szCs w:val="2"/>
              </w:rPr>
            </w:pPr>
          </w:p>
        </w:tc>
        <w:tc>
          <w:tcPr>
            <w:tcW w:w="1356" w:type="dxa"/>
            <w:vMerge w:val="continue"/>
            <w:tcBorders>
              <w:top w:val="nil"/>
              <w:left w:val="single" w:color="000000" w:sz="4" w:space="0"/>
              <w:bottom w:val="single" w:color="000000" w:sz="4" w:space="0"/>
              <w:right w:val="single" w:color="000000" w:sz="4" w:space="0"/>
            </w:tcBorders>
          </w:tcPr>
          <w:p>
            <w:pPr>
              <w:rPr>
                <w:sz w:val="2"/>
                <w:szCs w:val="2"/>
              </w:rPr>
            </w:pPr>
          </w:p>
        </w:tc>
        <w:tc>
          <w:tcPr>
            <w:tcW w:w="1356" w:type="dxa"/>
            <w:vMerge w:val="continue"/>
            <w:tcBorders>
              <w:top w:val="nil"/>
              <w:left w:val="single" w:color="000000" w:sz="4" w:space="0"/>
              <w:bottom w:val="single" w:color="000000" w:sz="4" w:space="0"/>
              <w:right w:val="single" w:color="000000" w:sz="4" w:space="0"/>
            </w:tcBorders>
          </w:tcPr>
          <w:p>
            <w:pPr>
              <w:rPr>
                <w:sz w:val="2"/>
                <w:szCs w:val="2"/>
              </w:rPr>
            </w:pPr>
          </w:p>
        </w:tc>
        <w:tc>
          <w:tcPr>
            <w:tcW w:w="1356" w:type="dxa"/>
            <w:vMerge w:val="continue"/>
            <w:tcBorders>
              <w:top w:val="nil"/>
              <w:left w:val="single" w:color="000000" w:sz="4" w:space="0"/>
              <w:bottom w:val="single" w:color="000000" w:sz="4" w:space="0"/>
              <w:right w:val="single" w:color="000000" w:sz="4" w:space="0"/>
            </w:tcBorders>
          </w:tcPr>
          <w:p>
            <w:pPr>
              <w:rPr>
                <w:sz w:val="2"/>
                <w:szCs w:val="2"/>
              </w:rPr>
            </w:pPr>
          </w:p>
        </w:tc>
        <w:tc>
          <w:tcPr>
            <w:tcW w:w="1358" w:type="dxa"/>
            <w:vMerge w:val="continue"/>
            <w:tcBorders>
              <w:top w:val="nil"/>
              <w:left w:val="single" w:color="000000" w:sz="4" w:space="0"/>
              <w:bottom w:val="single" w:color="000000" w:sz="4" w:space="0"/>
              <w:right w:val="single" w:color="000000" w:sz="4" w:space="0"/>
            </w:tcBorders>
          </w:tcPr>
          <w:p>
            <w:pPr>
              <w:rPr>
                <w:sz w:val="2"/>
                <w:szCs w:val="2"/>
              </w:rPr>
            </w:pPr>
          </w:p>
        </w:tc>
        <w:tc>
          <w:tcPr>
            <w:tcW w:w="786" w:type="dxa"/>
            <w:vMerge w:val="continue"/>
            <w:tcBorders>
              <w:top w:val="nil"/>
              <w:left w:val="single" w:color="000000" w:sz="4" w:space="0"/>
              <w:bottom w:val="single" w:color="000000" w:sz="4" w:space="0"/>
              <w:right w:val="single" w:color="000000" w:sz="4" w:space="0"/>
            </w:tcBorders>
          </w:tcPr>
          <w:p>
            <w:pPr>
              <w:rPr>
                <w:sz w:val="2"/>
                <w:szCs w:val="2"/>
              </w:rPr>
            </w:pPr>
          </w:p>
        </w:tc>
        <w:tc>
          <w:tcPr>
            <w:tcW w:w="78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801" w:type="dxa"/>
            <w:vMerge w:val="continue"/>
            <w:tcBorders>
              <w:top w:val="nil"/>
              <w:bottom w:val="nil"/>
              <w:right w:val="single" w:color="000000" w:sz="4" w:space="0"/>
            </w:tcBorders>
          </w:tcPr>
          <w:p>
            <w:pPr>
              <w:rPr>
                <w:sz w:val="2"/>
                <w:szCs w:val="2"/>
              </w:rPr>
            </w:pPr>
          </w:p>
        </w:tc>
        <w:tc>
          <w:tcPr>
            <w:tcW w:w="1238" w:type="dxa"/>
            <w:tcBorders>
              <w:top w:val="single" w:color="000000" w:sz="4" w:space="0"/>
              <w:left w:val="single" w:color="000000" w:sz="4" w:space="0"/>
              <w:bottom w:val="single" w:color="000000" w:sz="4" w:space="0"/>
              <w:right w:val="single" w:color="000000" w:sz="4" w:space="0"/>
            </w:tcBorders>
          </w:tcPr>
          <w:p>
            <w:pPr>
              <w:pStyle w:val="19"/>
              <w:ind w:left="19"/>
              <w:rPr>
                <w:sz w:val="21"/>
              </w:rPr>
            </w:pPr>
            <w:r>
              <w:rPr>
                <w:w w:val="99"/>
                <w:sz w:val="21"/>
              </w:rPr>
              <w:t>汞</w:t>
            </w:r>
          </w:p>
        </w:tc>
        <w:tc>
          <w:tcPr>
            <w:tcW w:w="1356" w:type="dxa"/>
            <w:tcBorders>
              <w:top w:val="single" w:color="000000" w:sz="4" w:space="0"/>
              <w:left w:val="single" w:color="000000" w:sz="4" w:space="0"/>
              <w:bottom w:val="single" w:color="000000" w:sz="4" w:space="0"/>
              <w:right w:val="single" w:color="000000" w:sz="4" w:space="0"/>
            </w:tcBorders>
          </w:tcPr>
          <w:p>
            <w:pPr>
              <w:pStyle w:val="19"/>
              <w:spacing w:before="84"/>
              <w:ind w:left="18"/>
              <w:rPr>
                <w:rFonts w:ascii="Times New Roman"/>
                <w:sz w:val="21"/>
              </w:rPr>
            </w:pPr>
            <w:r>
              <w:rPr>
                <w:rFonts w:ascii="Times New Roman"/>
                <w:sz w:val="21"/>
              </w:rPr>
              <w:t>0.00</w:t>
            </w:r>
          </w:p>
        </w:tc>
        <w:tc>
          <w:tcPr>
            <w:tcW w:w="1356" w:type="dxa"/>
            <w:tcBorders>
              <w:top w:val="single" w:color="000000" w:sz="4" w:space="0"/>
              <w:left w:val="single" w:color="000000" w:sz="4" w:space="0"/>
              <w:bottom w:val="single" w:color="000000" w:sz="4" w:space="0"/>
              <w:right w:val="single" w:color="000000" w:sz="4" w:space="0"/>
            </w:tcBorders>
          </w:tcPr>
          <w:p>
            <w:pPr>
              <w:pStyle w:val="19"/>
              <w:spacing w:before="84"/>
              <w:ind w:left="18"/>
              <w:rPr>
                <w:rFonts w:ascii="Times New Roman"/>
                <w:sz w:val="21"/>
              </w:rPr>
            </w:pPr>
            <w:r>
              <w:rPr>
                <w:rFonts w:ascii="Times New Roman"/>
                <w:sz w:val="21"/>
              </w:rPr>
              <w:t>0.00</w:t>
            </w:r>
          </w:p>
        </w:tc>
        <w:tc>
          <w:tcPr>
            <w:tcW w:w="1356" w:type="dxa"/>
            <w:tcBorders>
              <w:top w:val="single" w:color="000000" w:sz="4" w:space="0"/>
              <w:left w:val="single" w:color="000000" w:sz="4" w:space="0"/>
              <w:bottom w:val="single" w:color="000000" w:sz="4" w:space="0"/>
              <w:right w:val="single" w:color="000000" w:sz="4" w:space="0"/>
            </w:tcBorders>
          </w:tcPr>
          <w:p>
            <w:pPr>
              <w:pStyle w:val="19"/>
              <w:spacing w:before="84"/>
              <w:ind w:left="18"/>
              <w:rPr>
                <w:rFonts w:ascii="Times New Roman"/>
                <w:sz w:val="21"/>
              </w:rPr>
            </w:pPr>
            <w:r>
              <w:rPr>
                <w:rFonts w:ascii="Times New Roman"/>
                <w:sz w:val="21"/>
              </w:rPr>
              <w:t>0.00</w:t>
            </w:r>
          </w:p>
        </w:tc>
        <w:tc>
          <w:tcPr>
            <w:tcW w:w="1358" w:type="dxa"/>
            <w:tcBorders>
              <w:top w:val="single" w:color="000000" w:sz="4" w:space="0"/>
              <w:left w:val="single" w:color="000000" w:sz="4" w:space="0"/>
              <w:bottom w:val="single" w:color="000000" w:sz="4" w:space="0"/>
              <w:right w:val="single" w:color="000000" w:sz="4" w:space="0"/>
            </w:tcBorders>
          </w:tcPr>
          <w:p>
            <w:pPr>
              <w:pStyle w:val="19"/>
              <w:spacing w:before="84"/>
              <w:ind w:left="21" w:right="2"/>
              <w:rPr>
                <w:rFonts w:ascii="Times New Roman"/>
                <w:sz w:val="21"/>
              </w:rPr>
            </w:pPr>
            <w:r>
              <w:rPr>
                <w:rFonts w:ascii="Times New Roman"/>
                <w:sz w:val="21"/>
              </w:rPr>
              <w:t>0.00</w:t>
            </w:r>
          </w:p>
        </w:tc>
        <w:tc>
          <w:tcPr>
            <w:tcW w:w="786" w:type="dxa"/>
            <w:tcBorders>
              <w:top w:val="single" w:color="000000" w:sz="4" w:space="0"/>
              <w:left w:val="single" w:color="000000" w:sz="4" w:space="0"/>
              <w:bottom w:val="single" w:color="000000" w:sz="4" w:space="0"/>
              <w:right w:val="single" w:color="000000" w:sz="4" w:space="0"/>
            </w:tcBorders>
          </w:tcPr>
          <w:p>
            <w:pPr>
              <w:pStyle w:val="19"/>
              <w:spacing w:before="60"/>
              <w:ind w:left="18"/>
              <w:rPr>
                <w:rFonts w:ascii="Times New Roman"/>
                <w:sz w:val="21"/>
              </w:rPr>
            </w:pPr>
            <w:r>
              <w:rPr>
                <w:rFonts w:ascii="Times New Roman"/>
                <w:w w:val="99"/>
                <w:sz w:val="21"/>
              </w:rPr>
              <w:t>0</w:t>
            </w:r>
          </w:p>
        </w:tc>
        <w:tc>
          <w:tcPr>
            <w:tcW w:w="787" w:type="dxa"/>
            <w:tcBorders>
              <w:top w:val="single" w:color="000000" w:sz="4" w:space="0"/>
              <w:left w:val="single" w:color="000000" w:sz="4" w:space="0"/>
              <w:bottom w:val="single" w:color="000000" w:sz="4" w:space="0"/>
            </w:tcBorders>
          </w:tcPr>
          <w:p>
            <w:pPr>
              <w:pStyle w:val="19"/>
              <w:spacing w:before="60"/>
              <w:ind w:left="341"/>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5" w:hRule="atLeast"/>
        </w:trPr>
        <w:tc>
          <w:tcPr>
            <w:tcW w:w="801" w:type="dxa"/>
            <w:tcBorders>
              <w:top w:val="nil"/>
              <w:bottom w:val="nil"/>
              <w:right w:val="single" w:color="000000" w:sz="4" w:space="0"/>
            </w:tcBorders>
          </w:tcPr>
          <w:p>
            <w:pPr>
              <w:pStyle w:val="19"/>
              <w:jc w:val="left"/>
              <w:rPr>
                <w:rFonts w:ascii="Times New Roman"/>
                <w:sz w:val="18"/>
              </w:rPr>
            </w:pPr>
          </w:p>
        </w:tc>
        <w:tc>
          <w:tcPr>
            <w:tcW w:w="1238" w:type="dxa"/>
            <w:tcBorders>
              <w:top w:val="single" w:color="000000" w:sz="4" w:space="0"/>
              <w:left w:val="single" w:color="000000" w:sz="4" w:space="0"/>
              <w:bottom w:val="nil"/>
              <w:right w:val="single" w:color="000000" w:sz="4" w:space="0"/>
            </w:tcBorders>
          </w:tcPr>
          <w:p>
            <w:pPr>
              <w:pStyle w:val="19"/>
              <w:spacing w:line="236" w:lineRule="exact"/>
              <w:ind w:left="20" w:right="3"/>
              <w:rPr>
                <w:sz w:val="21"/>
              </w:rPr>
            </w:pPr>
            <w:r>
              <w:rPr>
                <w:sz w:val="21"/>
              </w:rPr>
              <w:t>石油烃</w:t>
            </w:r>
          </w:p>
        </w:tc>
        <w:tc>
          <w:tcPr>
            <w:tcW w:w="1356" w:type="dxa"/>
            <w:tcBorders>
              <w:top w:val="single" w:color="000000" w:sz="4" w:space="0"/>
              <w:left w:val="single" w:color="000000" w:sz="4" w:space="0"/>
              <w:bottom w:val="nil"/>
              <w:right w:val="single" w:color="000000" w:sz="4" w:space="0"/>
            </w:tcBorders>
          </w:tcPr>
          <w:p>
            <w:pPr>
              <w:pStyle w:val="19"/>
              <w:jc w:val="left"/>
              <w:rPr>
                <w:rFonts w:ascii="Times New Roman"/>
                <w:sz w:val="18"/>
              </w:rPr>
            </w:pPr>
          </w:p>
        </w:tc>
        <w:tc>
          <w:tcPr>
            <w:tcW w:w="1356" w:type="dxa"/>
            <w:tcBorders>
              <w:top w:val="single" w:color="000000" w:sz="4" w:space="0"/>
              <w:left w:val="single" w:color="000000" w:sz="4" w:space="0"/>
              <w:bottom w:val="nil"/>
              <w:right w:val="single" w:color="000000" w:sz="4" w:space="0"/>
            </w:tcBorders>
          </w:tcPr>
          <w:p>
            <w:pPr>
              <w:pStyle w:val="19"/>
              <w:jc w:val="left"/>
              <w:rPr>
                <w:rFonts w:ascii="Times New Roman"/>
                <w:sz w:val="18"/>
              </w:rPr>
            </w:pPr>
          </w:p>
        </w:tc>
        <w:tc>
          <w:tcPr>
            <w:tcW w:w="1356" w:type="dxa"/>
            <w:tcBorders>
              <w:top w:val="single" w:color="000000" w:sz="4" w:space="0"/>
              <w:left w:val="single" w:color="000000" w:sz="4" w:space="0"/>
              <w:bottom w:val="nil"/>
              <w:right w:val="single" w:color="000000" w:sz="4" w:space="0"/>
            </w:tcBorders>
          </w:tcPr>
          <w:p>
            <w:pPr>
              <w:pStyle w:val="19"/>
              <w:jc w:val="left"/>
              <w:rPr>
                <w:rFonts w:ascii="Times New Roman"/>
                <w:sz w:val="18"/>
              </w:rPr>
            </w:pPr>
          </w:p>
        </w:tc>
        <w:tc>
          <w:tcPr>
            <w:tcW w:w="1358" w:type="dxa"/>
            <w:tcBorders>
              <w:top w:val="single" w:color="000000" w:sz="4" w:space="0"/>
              <w:left w:val="single" w:color="000000" w:sz="4" w:space="0"/>
              <w:bottom w:val="nil"/>
              <w:right w:val="single" w:color="000000" w:sz="4" w:space="0"/>
            </w:tcBorders>
          </w:tcPr>
          <w:p>
            <w:pPr>
              <w:pStyle w:val="19"/>
              <w:jc w:val="left"/>
              <w:rPr>
                <w:rFonts w:ascii="Times New Roman"/>
                <w:sz w:val="18"/>
              </w:rPr>
            </w:pPr>
          </w:p>
        </w:tc>
        <w:tc>
          <w:tcPr>
            <w:tcW w:w="786" w:type="dxa"/>
            <w:tcBorders>
              <w:top w:val="single" w:color="000000" w:sz="4" w:space="0"/>
              <w:left w:val="single" w:color="000000" w:sz="4" w:space="0"/>
              <w:bottom w:val="nil"/>
              <w:right w:val="single" w:color="000000" w:sz="4" w:space="0"/>
            </w:tcBorders>
          </w:tcPr>
          <w:p>
            <w:pPr>
              <w:pStyle w:val="19"/>
              <w:jc w:val="left"/>
              <w:rPr>
                <w:rFonts w:ascii="Times New Roman"/>
                <w:sz w:val="18"/>
              </w:rPr>
            </w:pPr>
          </w:p>
        </w:tc>
        <w:tc>
          <w:tcPr>
            <w:tcW w:w="787" w:type="dxa"/>
            <w:tcBorders>
              <w:top w:val="single" w:color="000000" w:sz="4" w:space="0"/>
              <w:left w:val="single" w:color="000000" w:sz="4" w:space="0"/>
              <w:bottom w:val="nil"/>
            </w:tcBorders>
          </w:tcPr>
          <w:p>
            <w:pPr>
              <w:pStyle w:val="19"/>
              <w:jc w:val="left"/>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1" w:hRule="atLeast"/>
        </w:trPr>
        <w:tc>
          <w:tcPr>
            <w:tcW w:w="801" w:type="dxa"/>
            <w:tcBorders>
              <w:top w:val="nil"/>
              <w:bottom w:val="nil"/>
              <w:right w:val="single" w:color="000000" w:sz="4" w:space="0"/>
            </w:tcBorders>
          </w:tcPr>
          <w:p>
            <w:pPr>
              <w:pStyle w:val="19"/>
              <w:jc w:val="left"/>
              <w:rPr>
                <w:rFonts w:ascii="Times New Roman"/>
                <w:sz w:val="20"/>
              </w:rPr>
            </w:pPr>
          </w:p>
        </w:tc>
        <w:tc>
          <w:tcPr>
            <w:tcW w:w="1238" w:type="dxa"/>
            <w:tcBorders>
              <w:top w:val="nil"/>
              <w:left w:val="single" w:color="000000" w:sz="4" w:space="0"/>
              <w:bottom w:val="single" w:color="000000" w:sz="4" w:space="0"/>
              <w:right w:val="single" w:color="000000" w:sz="4" w:space="0"/>
            </w:tcBorders>
          </w:tcPr>
          <w:p>
            <w:pPr>
              <w:pStyle w:val="19"/>
              <w:spacing w:before="151"/>
              <w:ind w:left="10" w:right="-15"/>
              <w:rPr>
                <w:sz w:val="21"/>
              </w:rPr>
            </w:pPr>
            <w:r>
              <w:rPr>
                <w:w w:val="95"/>
                <w:sz w:val="21"/>
              </w:rPr>
              <w:t>（</w:t>
            </w:r>
            <w:r>
              <w:rPr>
                <w:rFonts w:ascii="Times New Roman" w:eastAsia="Times New Roman"/>
                <w:w w:val="95"/>
                <w:sz w:val="21"/>
              </w:rPr>
              <w:t>C10~C40</w:t>
            </w:r>
            <w:r>
              <w:rPr>
                <w:w w:val="95"/>
                <w:sz w:val="21"/>
              </w:rPr>
              <w:t>）</w:t>
            </w:r>
          </w:p>
        </w:tc>
        <w:tc>
          <w:tcPr>
            <w:tcW w:w="1356" w:type="dxa"/>
            <w:tcBorders>
              <w:top w:val="nil"/>
              <w:left w:val="single" w:color="000000" w:sz="4" w:space="0"/>
              <w:bottom w:val="single" w:color="000000" w:sz="4" w:space="0"/>
              <w:right w:val="single" w:color="000000" w:sz="4" w:space="0"/>
            </w:tcBorders>
          </w:tcPr>
          <w:p>
            <w:pPr>
              <w:pStyle w:val="19"/>
              <w:spacing w:before="31"/>
              <w:ind w:left="20"/>
              <w:rPr>
                <w:rFonts w:ascii="Times New Roman"/>
                <w:sz w:val="21"/>
              </w:rPr>
            </w:pPr>
            <w:r>
              <w:rPr>
                <w:rFonts w:ascii="Times New Roman"/>
                <w:w w:val="99"/>
                <w:sz w:val="21"/>
              </w:rPr>
              <w:t>/</w:t>
            </w:r>
          </w:p>
        </w:tc>
        <w:tc>
          <w:tcPr>
            <w:tcW w:w="1356" w:type="dxa"/>
            <w:tcBorders>
              <w:top w:val="nil"/>
              <w:left w:val="single" w:color="000000" w:sz="4" w:space="0"/>
              <w:bottom w:val="single" w:color="000000" w:sz="4" w:space="0"/>
              <w:right w:val="single" w:color="000000" w:sz="4" w:space="0"/>
            </w:tcBorders>
          </w:tcPr>
          <w:p>
            <w:pPr>
              <w:pStyle w:val="19"/>
              <w:spacing w:before="31"/>
              <w:ind w:left="20"/>
              <w:rPr>
                <w:rFonts w:ascii="Times New Roman"/>
                <w:sz w:val="21"/>
              </w:rPr>
            </w:pPr>
            <w:r>
              <w:rPr>
                <w:rFonts w:ascii="Times New Roman"/>
                <w:w w:val="99"/>
                <w:sz w:val="21"/>
              </w:rPr>
              <w:t>/</w:t>
            </w:r>
          </w:p>
        </w:tc>
        <w:tc>
          <w:tcPr>
            <w:tcW w:w="1356" w:type="dxa"/>
            <w:tcBorders>
              <w:top w:val="nil"/>
              <w:left w:val="single" w:color="000000" w:sz="4" w:space="0"/>
              <w:bottom w:val="single" w:color="000000" w:sz="4" w:space="0"/>
              <w:right w:val="single" w:color="000000" w:sz="4" w:space="0"/>
            </w:tcBorders>
          </w:tcPr>
          <w:p>
            <w:pPr>
              <w:pStyle w:val="19"/>
              <w:spacing w:before="31"/>
              <w:ind w:left="20"/>
              <w:rPr>
                <w:rFonts w:ascii="Times New Roman"/>
                <w:sz w:val="21"/>
              </w:rPr>
            </w:pPr>
            <w:r>
              <w:rPr>
                <w:rFonts w:ascii="Times New Roman"/>
                <w:w w:val="99"/>
                <w:sz w:val="21"/>
              </w:rPr>
              <w:t>/</w:t>
            </w:r>
          </w:p>
        </w:tc>
        <w:tc>
          <w:tcPr>
            <w:tcW w:w="1358" w:type="dxa"/>
            <w:tcBorders>
              <w:top w:val="nil"/>
              <w:left w:val="single" w:color="000000" w:sz="4" w:space="0"/>
              <w:bottom w:val="single" w:color="000000" w:sz="4" w:space="0"/>
              <w:right w:val="single" w:color="000000" w:sz="4" w:space="0"/>
            </w:tcBorders>
          </w:tcPr>
          <w:p>
            <w:pPr>
              <w:pStyle w:val="19"/>
              <w:spacing w:before="31"/>
              <w:ind w:left="18"/>
              <w:rPr>
                <w:rFonts w:ascii="Times New Roman"/>
                <w:sz w:val="21"/>
              </w:rPr>
            </w:pPr>
            <w:r>
              <w:rPr>
                <w:rFonts w:ascii="Times New Roman"/>
                <w:w w:val="99"/>
                <w:sz w:val="21"/>
              </w:rPr>
              <w:t>/</w:t>
            </w:r>
          </w:p>
        </w:tc>
        <w:tc>
          <w:tcPr>
            <w:tcW w:w="786" w:type="dxa"/>
            <w:tcBorders>
              <w:top w:val="nil"/>
              <w:left w:val="single" w:color="000000" w:sz="4" w:space="0"/>
              <w:bottom w:val="single" w:color="000000" w:sz="4" w:space="0"/>
              <w:right w:val="single" w:color="000000" w:sz="4" w:space="0"/>
            </w:tcBorders>
          </w:tcPr>
          <w:p>
            <w:pPr>
              <w:pStyle w:val="19"/>
              <w:spacing w:before="7"/>
              <w:ind w:left="18"/>
              <w:rPr>
                <w:rFonts w:ascii="Times New Roman"/>
                <w:sz w:val="21"/>
              </w:rPr>
            </w:pPr>
            <w:r>
              <w:rPr>
                <w:rFonts w:ascii="Times New Roman"/>
                <w:w w:val="99"/>
                <w:sz w:val="21"/>
              </w:rPr>
              <w:t>0</w:t>
            </w:r>
          </w:p>
        </w:tc>
        <w:tc>
          <w:tcPr>
            <w:tcW w:w="787" w:type="dxa"/>
            <w:tcBorders>
              <w:top w:val="nil"/>
              <w:left w:val="single" w:color="000000" w:sz="4" w:space="0"/>
              <w:bottom w:val="single" w:color="000000" w:sz="4" w:space="0"/>
            </w:tcBorders>
          </w:tcPr>
          <w:p>
            <w:pPr>
              <w:pStyle w:val="19"/>
              <w:spacing w:before="7"/>
              <w:ind w:left="341"/>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801" w:type="dxa"/>
            <w:tcBorders>
              <w:top w:val="nil"/>
              <w:bottom w:val="nil"/>
              <w:right w:val="single" w:color="000000" w:sz="4" w:space="0"/>
            </w:tcBorders>
          </w:tcPr>
          <w:p>
            <w:pPr>
              <w:pStyle w:val="19"/>
              <w:jc w:val="left"/>
              <w:rPr>
                <w:rFonts w:ascii="Times New Roman"/>
                <w:sz w:val="20"/>
              </w:rPr>
            </w:pPr>
          </w:p>
        </w:tc>
        <w:tc>
          <w:tcPr>
            <w:tcW w:w="1238" w:type="dxa"/>
            <w:tcBorders>
              <w:top w:val="single" w:color="000000" w:sz="4" w:space="0"/>
              <w:left w:val="single" w:color="000000" w:sz="4" w:space="0"/>
              <w:bottom w:val="single" w:color="000000" w:sz="4" w:space="0"/>
              <w:right w:val="single" w:color="000000" w:sz="4" w:space="0"/>
            </w:tcBorders>
          </w:tcPr>
          <w:p>
            <w:pPr>
              <w:pStyle w:val="19"/>
              <w:ind w:left="19"/>
              <w:rPr>
                <w:sz w:val="21"/>
              </w:rPr>
            </w:pPr>
            <w:r>
              <w:rPr>
                <w:w w:val="99"/>
                <w:sz w:val="21"/>
              </w:rPr>
              <w:t>铬</w:t>
            </w:r>
          </w:p>
        </w:tc>
        <w:tc>
          <w:tcPr>
            <w:tcW w:w="1356" w:type="dxa"/>
            <w:tcBorders>
              <w:top w:val="single" w:color="000000" w:sz="4" w:space="0"/>
              <w:left w:val="single" w:color="000000" w:sz="4" w:space="0"/>
              <w:bottom w:val="single" w:color="000000" w:sz="4" w:space="0"/>
              <w:right w:val="single" w:color="000000" w:sz="4" w:space="0"/>
            </w:tcBorders>
          </w:tcPr>
          <w:p>
            <w:pPr>
              <w:pStyle w:val="19"/>
              <w:spacing w:before="81"/>
              <w:ind w:left="20"/>
              <w:rPr>
                <w:rFonts w:ascii="Times New Roman"/>
                <w:sz w:val="21"/>
              </w:rPr>
            </w:pPr>
            <w:r>
              <w:rPr>
                <w:rFonts w:ascii="Times New Roman"/>
                <w:w w:val="99"/>
                <w:sz w:val="21"/>
              </w:rPr>
              <w:t>/</w:t>
            </w:r>
          </w:p>
        </w:tc>
        <w:tc>
          <w:tcPr>
            <w:tcW w:w="1356" w:type="dxa"/>
            <w:tcBorders>
              <w:top w:val="single" w:color="000000" w:sz="4" w:space="0"/>
              <w:left w:val="single" w:color="000000" w:sz="4" w:space="0"/>
              <w:bottom w:val="single" w:color="000000" w:sz="4" w:space="0"/>
              <w:right w:val="single" w:color="000000" w:sz="4" w:space="0"/>
            </w:tcBorders>
          </w:tcPr>
          <w:p>
            <w:pPr>
              <w:pStyle w:val="19"/>
              <w:spacing w:before="81"/>
              <w:ind w:left="20"/>
              <w:rPr>
                <w:rFonts w:ascii="Times New Roman"/>
                <w:sz w:val="21"/>
              </w:rPr>
            </w:pPr>
            <w:r>
              <w:rPr>
                <w:rFonts w:ascii="Times New Roman"/>
                <w:w w:val="99"/>
                <w:sz w:val="21"/>
              </w:rPr>
              <w:t>/</w:t>
            </w:r>
          </w:p>
        </w:tc>
        <w:tc>
          <w:tcPr>
            <w:tcW w:w="1356" w:type="dxa"/>
            <w:tcBorders>
              <w:top w:val="single" w:color="000000" w:sz="4" w:space="0"/>
              <w:left w:val="single" w:color="000000" w:sz="4" w:space="0"/>
              <w:bottom w:val="single" w:color="000000" w:sz="4" w:space="0"/>
              <w:right w:val="single" w:color="000000" w:sz="4" w:space="0"/>
            </w:tcBorders>
          </w:tcPr>
          <w:p>
            <w:pPr>
              <w:pStyle w:val="19"/>
              <w:spacing w:before="81"/>
              <w:ind w:left="20"/>
              <w:rPr>
                <w:rFonts w:ascii="Times New Roman"/>
                <w:sz w:val="21"/>
              </w:rPr>
            </w:pPr>
            <w:r>
              <w:rPr>
                <w:rFonts w:ascii="Times New Roman"/>
                <w:w w:val="99"/>
                <w:sz w:val="21"/>
              </w:rPr>
              <w:t>/</w:t>
            </w:r>
          </w:p>
        </w:tc>
        <w:tc>
          <w:tcPr>
            <w:tcW w:w="1358" w:type="dxa"/>
            <w:tcBorders>
              <w:top w:val="single" w:color="000000" w:sz="4" w:space="0"/>
              <w:left w:val="single" w:color="000000" w:sz="4" w:space="0"/>
              <w:bottom w:val="single" w:color="000000" w:sz="4" w:space="0"/>
              <w:right w:val="single" w:color="000000" w:sz="4" w:space="0"/>
            </w:tcBorders>
          </w:tcPr>
          <w:p>
            <w:pPr>
              <w:pStyle w:val="19"/>
              <w:spacing w:before="81"/>
              <w:ind w:left="18"/>
              <w:rPr>
                <w:rFonts w:ascii="Times New Roman"/>
                <w:sz w:val="21"/>
              </w:rPr>
            </w:pPr>
            <w:r>
              <w:rPr>
                <w:rFonts w:ascii="Times New Roman"/>
                <w:w w:val="99"/>
                <w:sz w:val="21"/>
              </w:rPr>
              <w:t>/</w:t>
            </w:r>
          </w:p>
        </w:tc>
        <w:tc>
          <w:tcPr>
            <w:tcW w:w="786" w:type="dxa"/>
            <w:tcBorders>
              <w:top w:val="single" w:color="000000" w:sz="4" w:space="0"/>
              <w:left w:val="single" w:color="000000" w:sz="4" w:space="0"/>
              <w:bottom w:val="single" w:color="000000" w:sz="4" w:space="0"/>
              <w:right w:val="single" w:color="000000" w:sz="4" w:space="0"/>
            </w:tcBorders>
          </w:tcPr>
          <w:p>
            <w:pPr>
              <w:pStyle w:val="19"/>
              <w:spacing w:before="57"/>
              <w:ind w:left="18"/>
              <w:rPr>
                <w:rFonts w:ascii="Times New Roman"/>
                <w:sz w:val="21"/>
              </w:rPr>
            </w:pPr>
            <w:r>
              <w:rPr>
                <w:rFonts w:ascii="Times New Roman"/>
                <w:w w:val="99"/>
                <w:sz w:val="21"/>
              </w:rPr>
              <w:t>0</w:t>
            </w:r>
          </w:p>
        </w:tc>
        <w:tc>
          <w:tcPr>
            <w:tcW w:w="787" w:type="dxa"/>
            <w:tcBorders>
              <w:top w:val="single" w:color="000000" w:sz="4" w:space="0"/>
              <w:left w:val="single" w:color="000000" w:sz="4" w:space="0"/>
              <w:bottom w:val="single" w:color="000000" w:sz="4" w:space="0"/>
            </w:tcBorders>
          </w:tcPr>
          <w:p>
            <w:pPr>
              <w:pStyle w:val="19"/>
              <w:spacing w:before="57"/>
              <w:ind w:left="341"/>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801" w:type="dxa"/>
            <w:tcBorders>
              <w:top w:val="nil"/>
              <w:right w:val="single" w:color="000000" w:sz="4" w:space="0"/>
            </w:tcBorders>
          </w:tcPr>
          <w:p>
            <w:pPr>
              <w:pStyle w:val="19"/>
              <w:jc w:val="left"/>
              <w:rPr>
                <w:rFonts w:ascii="Times New Roman"/>
                <w:sz w:val="20"/>
              </w:rPr>
            </w:pPr>
          </w:p>
        </w:tc>
        <w:tc>
          <w:tcPr>
            <w:tcW w:w="1238" w:type="dxa"/>
            <w:tcBorders>
              <w:top w:val="single" w:color="000000" w:sz="4" w:space="0"/>
              <w:left w:val="single" w:color="000000" w:sz="4" w:space="0"/>
              <w:right w:val="single" w:color="000000" w:sz="4" w:space="0"/>
            </w:tcBorders>
          </w:tcPr>
          <w:p>
            <w:pPr>
              <w:pStyle w:val="19"/>
              <w:spacing w:before="2"/>
              <w:ind w:left="19"/>
              <w:rPr>
                <w:sz w:val="21"/>
              </w:rPr>
            </w:pPr>
            <w:r>
              <w:rPr>
                <w:w w:val="99"/>
                <w:sz w:val="21"/>
              </w:rPr>
              <w:t>锌</w:t>
            </w:r>
          </w:p>
        </w:tc>
        <w:tc>
          <w:tcPr>
            <w:tcW w:w="1356" w:type="dxa"/>
            <w:tcBorders>
              <w:top w:val="single" w:color="000000" w:sz="4" w:space="0"/>
              <w:left w:val="single" w:color="000000" w:sz="4" w:space="0"/>
              <w:right w:val="single" w:color="000000" w:sz="4" w:space="0"/>
            </w:tcBorders>
          </w:tcPr>
          <w:p>
            <w:pPr>
              <w:pStyle w:val="19"/>
              <w:spacing w:before="83"/>
              <w:ind w:left="20"/>
              <w:rPr>
                <w:rFonts w:ascii="Times New Roman"/>
                <w:sz w:val="21"/>
              </w:rPr>
            </w:pPr>
            <w:r>
              <w:rPr>
                <w:rFonts w:ascii="Times New Roman"/>
                <w:w w:val="99"/>
                <w:sz w:val="21"/>
              </w:rPr>
              <w:t>/</w:t>
            </w:r>
          </w:p>
        </w:tc>
        <w:tc>
          <w:tcPr>
            <w:tcW w:w="1356" w:type="dxa"/>
            <w:tcBorders>
              <w:top w:val="single" w:color="000000" w:sz="4" w:space="0"/>
              <w:left w:val="single" w:color="000000" w:sz="4" w:space="0"/>
              <w:right w:val="single" w:color="000000" w:sz="4" w:space="0"/>
            </w:tcBorders>
          </w:tcPr>
          <w:p>
            <w:pPr>
              <w:pStyle w:val="19"/>
              <w:spacing w:before="83"/>
              <w:ind w:left="20"/>
              <w:rPr>
                <w:rFonts w:ascii="Times New Roman"/>
                <w:sz w:val="21"/>
              </w:rPr>
            </w:pPr>
            <w:r>
              <w:rPr>
                <w:rFonts w:ascii="Times New Roman"/>
                <w:w w:val="99"/>
                <w:sz w:val="21"/>
              </w:rPr>
              <w:t>/</w:t>
            </w:r>
          </w:p>
        </w:tc>
        <w:tc>
          <w:tcPr>
            <w:tcW w:w="1356" w:type="dxa"/>
            <w:tcBorders>
              <w:top w:val="single" w:color="000000" w:sz="4" w:space="0"/>
              <w:left w:val="single" w:color="000000" w:sz="4" w:space="0"/>
              <w:right w:val="single" w:color="000000" w:sz="4" w:space="0"/>
            </w:tcBorders>
          </w:tcPr>
          <w:p>
            <w:pPr>
              <w:pStyle w:val="19"/>
              <w:spacing w:before="83"/>
              <w:ind w:left="20"/>
              <w:rPr>
                <w:rFonts w:ascii="Times New Roman"/>
                <w:sz w:val="21"/>
              </w:rPr>
            </w:pPr>
            <w:r>
              <w:rPr>
                <w:rFonts w:ascii="Times New Roman"/>
                <w:w w:val="99"/>
                <w:sz w:val="21"/>
              </w:rPr>
              <w:t>/</w:t>
            </w:r>
          </w:p>
        </w:tc>
        <w:tc>
          <w:tcPr>
            <w:tcW w:w="1358" w:type="dxa"/>
            <w:tcBorders>
              <w:top w:val="single" w:color="000000" w:sz="4" w:space="0"/>
              <w:left w:val="single" w:color="000000" w:sz="4" w:space="0"/>
              <w:right w:val="single" w:color="000000" w:sz="4" w:space="0"/>
            </w:tcBorders>
          </w:tcPr>
          <w:p>
            <w:pPr>
              <w:pStyle w:val="19"/>
              <w:spacing w:before="83"/>
              <w:ind w:left="18"/>
              <w:rPr>
                <w:rFonts w:ascii="Times New Roman"/>
                <w:sz w:val="21"/>
              </w:rPr>
            </w:pPr>
            <w:r>
              <w:rPr>
                <w:rFonts w:ascii="Times New Roman"/>
                <w:w w:val="99"/>
                <w:sz w:val="21"/>
              </w:rPr>
              <w:t>/</w:t>
            </w:r>
          </w:p>
        </w:tc>
        <w:tc>
          <w:tcPr>
            <w:tcW w:w="786" w:type="dxa"/>
            <w:tcBorders>
              <w:top w:val="single" w:color="000000" w:sz="4" w:space="0"/>
              <w:left w:val="single" w:color="000000" w:sz="4" w:space="0"/>
              <w:right w:val="single" w:color="000000" w:sz="4" w:space="0"/>
            </w:tcBorders>
          </w:tcPr>
          <w:p>
            <w:pPr>
              <w:pStyle w:val="19"/>
              <w:spacing w:before="59"/>
              <w:ind w:left="18"/>
              <w:rPr>
                <w:rFonts w:ascii="Times New Roman"/>
                <w:sz w:val="21"/>
              </w:rPr>
            </w:pPr>
            <w:r>
              <w:rPr>
                <w:rFonts w:ascii="Times New Roman"/>
                <w:w w:val="99"/>
                <w:sz w:val="21"/>
              </w:rPr>
              <w:t>0</w:t>
            </w:r>
          </w:p>
        </w:tc>
        <w:tc>
          <w:tcPr>
            <w:tcW w:w="787" w:type="dxa"/>
            <w:tcBorders>
              <w:top w:val="single" w:color="000000" w:sz="4" w:space="0"/>
              <w:left w:val="single" w:color="000000" w:sz="4" w:space="0"/>
            </w:tcBorders>
          </w:tcPr>
          <w:p>
            <w:pPr>
              <w:pStyle w:val="19"/>
              <w:spacing w:before="59"/>
              <w:ind w:left="341"/>
              <w:jc w:val="left"/>
              <w:rPr>
                <w:rFonts w:ascii="Times New Roman"/>
                <w:sz w:val="21"/>
              </w:rPr>
            </w:pPr>
            <w:r>
              <w:rPr>
                <w:rFonts w:ascii="Times New Roman"/>
                <w:w w:val="99"/>
                <w:sz w:val="21"/>
              </w:rPr>
              <w:t>0</w:t>
            </w:r>
          </w:p>
        </w:tc>
      </w:tr>
    </w:tbl>
    <w:p>
      <w:pPr>
        <w:pStyle w:val="9"/>
        <w:spacing w:before="2" w:line="364" w:lineRule="auto"/>
        <w:ind w:left="1418" w:right="1411" w:firstLine="480"/>
        <w:jc w:val="both"/>
      </w:pPr>
      <w:r>
        <w:t>监测结果表明，工业场地内各监测点各项指标均能达到《土壤环境质量 建设用地</w:t>
      </w:r>
      <w:r>
        <w:rPr>
          <w:spacing w:val="-2"/>
        </w:rPr>
        <w:t>土壤污染风险管控标准</w:t>
      </w:r>
      <w:r>
        <w:t>（试行</w:t>
      </w:r>
      <w:r>
        <w:rPr>
          <w:spacing w:val="-20"/>
        </w:rPr>
        <w:t>）</w:t>
      </w:r>
      <w:r>
        <w:rPr>
          <w:spacing w:val="-34"/>
        </w:rPr>
        <w:t>》</w:t>
      </w:r>
      <w:r>
        <w:t>（</w:t>
      </w:r>
      <w:r>
        <w:rPr>
          <w:rFonts w:ascii="Times New Roman" w:eastAsia="Times New Roman"/>
        </w:rPr>
        <w:t>GB36600-2018</w:t>
      </w:r>
      <w:r>
        <w:t>）</w:t>
      </w:r>
      <w:r>
        <w:rPr>
          <w:spacing w:val="-3"/>
        </w:rPr>
        <w:t>第二类用地筛选值标准，土壤环境</w:t>
      </w:r>
      <w:r>
        <w:t>质量良好。</w:t>
      </w:r>
    </w:p>
    <w:p>
      <w:pPr>
        <w:spacing w:after="0" w:line="364" w:lineRule="auto"/>
        <w:jc w:val="both"/>
        <w:sectPr>
          <w:footerReference r:id="rId26" w:type="default"/>
          <w:pgSz w:w="11910" w:h="16840"/>
          <w:pgMar w:top="1400" w:right="0" w:bottom="880" w:left="0" w:header="0" w:footer="681" w:gutter="0"/>
          <w:pgNumType w:start="170"/>
        </w:sectPr>
      </w:pPr>
    </w:p>
    <w:p>
      <w:pPr>
        <w:pStyle w:val="5"/>
        <w:numPr>
          <w:ilvl w:val="1"/>
          <w:numId w:val="75"/>
        </w:numPr>
        <w:tabs>
          <w:tab w:val="left" w:pos="1944"/>
        </w:tabs>
        <w:spacing w:before="44" w:after="0" w:line="240" w:lineRule="auto"/>
        <w:ind w:left="1944" w:right="0" w:hanging="526"/>
        <w:jc w:val="left"/>
      </w:pPr>
      <w:bookmarkStart w:id="613" w:name="_bookmark55"/>
      <w:bookmarkEnd w:id="613"/>
      <w:bookmarkStart w:id="614" w:name="_bookmark55"/>
      <w:bookmarkEnd w:id="614"/>
      <w:r>
        <w:t>项目施工期土壤环境影响分析及污染防治措施</w:t>
      </w:r>
    </w:p>
    <w:p>
      <w:pPr>
        <w:pStyle w:val="9"/>
        <w:spacing w:before="196" w:line="364" w:lineRule="auto"/>
        <w:ind w:left="1418" w:right="1354" w:firstLine="480"/>
      </w:pPr>
      <w:r>
        <w:t>施工期对土壤的影响主要是表土扰动，施工期间的污废水泄露，固体废物堆存，及施工设备漏油等，造成污染物进入土壤环境。</w:t>
      </w:r>
    </w:p>
    <w:p>
      <w:pPr>
        <w:pStyle w:val="9"/>
        <w:spacing w:line="364" w:lineRule="auto"/>
        <w:ind w:left="1418" w:right="1365" w:firstLine="480"/>
        <w:jc w:val="both"/>
      </w:pPr>
      <w:r>
        <w:t>工业场地和首采区剥离施工过程中要做好表土单独存放，用于后期的原地貌恢复； 施工人员生活污水排入防渗旱厕定期清掏；固体废物分类安全处置；施工期机械要勤加保养，防止漏油。</w:t>
      </w:r>
    </w:p>
    <w:p>
      <w:pPr>
        <w:pStyle w:val="9"/>
        <w:spacing w:line="307" w:lineRule="exact"/>
        <w:ind w:left="1898"/>
      </w:pPr>
      <w:r>
        <w:t>采取上述措施后，施工期生产、生活污水基本不会对项目区土壤环境造成影响。</w:t>
      </w:r>
    </w:p>
    <w:p>
      <w:pPr>
        <w:pStyle w:val="5"/>
        <w:numPr>
          <w:ilvl w:val="1"/>
          <w:numId w:val="75"/>
        </w:numPr>
        <w:tabs>
          <w:tab w:val="left" w:pos="1944"/>
        </w:tabs>
        <w:spacing w:before="159" w:after="0" w:line="240" w:lineRule="auto"/>
        <w:ind w:left="1944" w:right="0" w:hanging="526"/>
        <w:jc w:val="left"/>
      </w:pPr>
      <w:bookmarkStart w:id="615" w:name="_bookmark53"/>
      <w:bookmarkEnd w:id="615"/>
      <w:bookmarkStart w:id="616" w:name="_bookmark53"/>
      <w:bookmarkEnd w:id="616"/>
      <w:bookmarkStart w:id="617" w:name="9.5 保护措施及对策"/>
      <w:bookmarkEnd w:id="617"/>
      <w:r>
        <w:t>保护措施及对策</w:t>
      </w:r>
    </w:p>
    <w:p>
      <w:pPr>
        <w:pStyle w:val="6"/>
        <w:numPr>
          <w:ilvl w:val="2"/>
          <w:numId w:val="75"/>
        </w:numPr>
        <w:tabs>
          <w:tab w:val="left" w:pos="2048"/>
        </w:tabs>
        <w:spacing w:before="200" w:after="0" w:line="240" w:lineRule="auto"/>
        <w:ind w:left="2047" w:right="0" w:hanging="630"/>
        <w:jc w:val="left"/>
      </w:pPr>
      <w:bookmarkStart w:id="618" w:name="9.5.1剥离表土保护措施"/>
      <w:bookmarkEnd w:id="618"/>
      <w:bookmarkStart w:id="619" w:name="9.5.1剥离表土保护措施"/>
      <w:bookmarkEnd w:id="619"/>
      <w:r>
        <w:t>剥离表土保护措施</w:t>
      </w:r>
    </w:p>
    <w:p>
      <w:pPr>
        <w:pStyle w:val="9"/>
        <w:spacing w:before="185" w:line="362" w:lineRule="auto"/>
        <w:ind w:left="1418" w:right="1365" w:firstLine="480"/>
        <w:jc w:val="both"/>
      </w:pPr>
      <w:r>
        <w:rPr>
          <w:spacing w:val="-2"/>
        </w:rPr>
        <w:t xml:space="preserve">剥离表土集中堆放于工业场区闲置区，机械修整为梯形台体土堆，高为 </w:t>
      </w:r>
      <w:r>
        <w:rPr>
          <w:rFonts w:ascii="Times New Roman" w:eastAsia="Times New Roman"/>
        </w:rPr>
        <w:t>3m</w:t>
      </w:r>
      <w:r>
        <w:t>，边坡</w:t>
      </w:r>
      <w:r>
        <w:rPr>
          <w:spacing w:val="-31"/>
        </w:rPr>
        <w:t xml:space="preserve">比 </w:t>
      </w:r>
      <w:r>
        <w:rPr>
          <w:rFonts w:ascii="Times New Roman" w:eastAsia="Times New Roman"/>
        </w:rPr>
        <w:t>1</w:t>
      </w:r>
      <w:r>
        <w:t>：</w:t>
      </w:r>
      <w:r>
        <w:rPr>
          <w:rFonts w:ascii="Times New Roman" w:eastAsia="Times New Roman"/>
        </w:rPr>
        <w:t>1.5</w:t>
      </w:r>
      <w:r>
        <w:rPr>
          <w:spacing w:val="-1"/>
        </w:rPr>
        <w:t xml:space="preserve">，台体基部采用草袋临时拦档，防止径流冲刷。待工业场地土建工程结束后， </w:t>
      </w:r>
      <w:r>
        <w:t>将表土推回绿化源地，实施绿化工程。</w:t>
      </w:r>
    </w:p>
    <w:p>
      <w:pPr>
        <w:pStyle w:val="6"/>
        <w:numPr>
          <w:ilvl w:val="2"/>
          <w:numId w:val="75"/>
        </w:numPr>
        <w:tabs>
          <w:tab w:val="left" w:pos="2048"/>
        </w:tabs>
        <w:spacing w:before="7" w:after="0" w:line="240" w:lineRule="auto"/>
        <w:ind w:left="2047" w:right="0" w:hanging="630"/>
        <w:jc w:val="left"/>
      </w:pPr>
      <w:bookmarkStart w:id="620" w:name="9.5.2其他保护措施"/>
      <w:bookmarkEnd w:id="620"/>
      <w:bookmarkStart w:id="621" w:name="9.5.2其他保护措施"/>
      <w:bookmarkEnd w:id="621"/>
      <w:r>
        <w:t>其他保护措施</w:t>
      </w:r>
    </w:p>
    <w:p>
      <w:pPr>
        <w:pStyle w:val="9"/>
        <w:spacing w:before="185" w:line="364" w:lineRule="auto"/>
        <w:ind w:left="1418" w:right="1365" w:firstLine="480"/>
        <w:jc w:val="both"/>
      </w:pPr>
      <w:r>
        <w:rPr>
          <w:spacing w:val="-7"/>
        </w:rPr>
        <w:t>生活、生产污水处理后进行综合利用；固体废物均得到妥善处置，不随意堆放。对</w:t>
      </w:r>
      <w:r>
        <w:rPr>
          <w:spacing w:val="-8"/>
        </w:rPr>
        <w:t xml:space="preserve">工业场地内可能产生污染源区进行防渗处理，可采用天然材料或人工材料构筑防渗层， </w:t>
      </w:r>
      <w:r>
        <w:rPr>
          <w:spacing w:val="-5"/>
        </w:rPr>
        <w:t xml:space="preserve">防渗层厚度应相当于渗透系数 </w:t>
      </w:r>
      <w:r>
        <w:rPr>
          <w:rFonts w:ascii="Times New Roman" w:hAnsi="Times New Roman" w:eastAsia="Times New Roman"/>
        </w:rPr>
        <w:t>1.0×10</w:t>
      </w:r>
      <w:r>
        <w:rPr>
          <w:rFonts w:ascii="Times New Roman" w:hAnsi="Times New Roman" w:eastAsia="Times New Roman"/>
          <w:position w:val="8"/>
          <w:sz w:val="15"/>
        </w:rPr>
        <w:t>-7</w:t>
      </w:r>
      <w:r>
        <w:rPr>
          <w:rFonts w:ascii="Times New Roman" w:hAnsi="Times New Roman" w:eastAsia="Times New Roman"/>
        </w:rPr>
        <w:t xml:space="preserve">cm/s </w:t>
      </w:r>
      <w:r>
        <w:rPr>
          <w:spacing w:val="-15"/>
        </w:rPr>
        <w:t xml:space="preserve">和厚度 </w:t>
      </w:r>
      <w:r>
        <w:rPr>
          <w:rFonts w:ascii="Times New Roman" w:hAnsi="Times New Roman" w:eastAsia="Times New Roman"/>
        </w:rPr>
        <w:t xml:space="preserve">1.5m </w:t>
      </w:r>
      <w:r>
        <w:t>的粘土层的防渗性能。</w:t>
      </w:r>
    </w:p>
    <w:p>
      <w:pPr>
        <w:pStyle w:val="5"/>
        <w:numPr>
          <w:ilvl w:val="1"/>
          <w:numId w:val="75"/>
        </w:numPr>
        <w:tabs>
          <w:tab w:val="left" w:pos="1944"/>
        </w:tabs>
        <w:spacing w:before="0" w:after="0" w:line="384" w:lineRule="exact"/>
        <w:ind w:left="1944" w:right="0" w:hanging="526"/>
        <w:jc w:val="left"/>
      </w:pPr>
      <w:bookmarkStart w:id="622" w:name="9.6 结论"/>
      <w:bookmarkEnd w:id="622"/>
      <w:bookmarkStart w:id="623" w:name="_bookmark54"/>
      <w:bookmarkEnd w:id="623"/>
      <w:bookmarkStart w:id="624" w:name="_bookmark54"/>
      <w:bookmarkEnd w:id="624"/>
      <w:r>
        <w:t>结论</w:t>
      </w:r>
    </w:p>
    <w:p>
      <w:pPr>
        <w:pStyle w:val="9"/>
        <w:spacing w:before="199"/>
        <w:ind w:left="1898"/>
      </w:pPr>
      <w:r>
        <w:rPr>
          <w:rFonts w:ascii="Times New Roman" w:eastAsia="Times New Roman"/>
        </w:rPr>
        <w:t>1</w:t>
      </w:r>
      <w:r>
        <w:t>、现状监测结果表明，土壤表现为轻度盐化、无酸化或碱化。</w:t>
      </w:r>
    </w:p>
    <w:p>
      <w:pPr>
        <w:pStyle w:val="9"/>
        <w:spacing w:before="158" w:line="364" w:lineRule="auto"/>
        <w:ind w:left="1418" w:right="1411" w:firstLine="480"/>
        <w:jc w:val="both"/>
      </w:pPr>
      <w:r>
        <w:rPr>
          <w:rFonts w:ascii="Times New Roman" w:eastAsia="Times New Roman"/>
        </w:rPr>
        <w:t>2</w:t>
      </w:r>
      <w:r>
        <w:rPr>
          <w:spacing w:val="-8"/>
        </w:rPr>
        <w:t>、监测结果表明，井田开采区各监测点各项指标均能达到《土壤环境质量 建设用</w:t>
      </w:r>
      <w:r>
        <w:rPr>
          <w:spacing w:val="-2"/>
        </w:rPr>
        <w:t>地土壤污染风险管控标准</w:t>
      </w:r>
      <w:r>
        <w:t>（试行</w:t>
      </w:r>
      <w:r>
        <w:rPr>
          <w:spacing w:val="-20"/>
        </w:rPr>
        <w:t>）</w:t>
      </w:r>
      <w:r>
        <w:rPr>
          <w:spacing w:val="-34"/>
        </w:rPr>
        <w:t>》</w:t>
      </w:r>
      <w:r>
        <w:t>（</w:t>
      </w:r>
      <w:r>
        <w:rPr>
          <w:rFonts w:ascii="Times New Roman" w:eastAsia="Times New Roman"/>
        </w:rPr>
        <w:t>GB36600-2018</w:t>
      </w:r>
      <w:r>
        <w:t>）</w:t>
      </w:r>
      <w:r>
        <w:rPr>
          <w:spacing w:val="-3"/>
        </w:rPr>
        <w:t>第二类用地筛选值标准；井田开</w:t>
      </w:r>
      <w:r>
        <w:t>采区占地范围外各项指标均能达到《土壤环境质量 农用地土壤污染风险管控标准（试行）》（</w:t>
      </w:r>
      <w:r>
        <w:rPr>
          <w:rFonts w:ascii="Times New Roman" w:eastAsia="Times New Roman"/>
        </w:rPr>
        <w:t>GB/15618-2018</w:t>
      </w:r>
      <w:r>
        <w:t>）中的风险筛选值标准，土壤环境质量状况良好。</w:t>
      </w:r>
    </w:p>
    <w:p>
      <w:pPr>
        <w:pStyle w:val="9"/>
        <w:spacing w:line="362" w:lineRule="auto"/>
        <w:ind w:left="1418" w:right="1411" w:firstLine="480"/>
        <w:jc w:val="both"/>
      </w:pPr>
      <w:r>
        <w:rPr>
          <w:rFonts w:ascii="Times New Roman" w:eastAsia="Times New Roman"/>
        </w:rPr>
        <w:t>3</w:t>
      </w:r>
      <w:r>
        <w:rPr>
          <w:spacing w:val="-8"/>
        </w:rPr>
        <w:t>、监测结果表明，工业场地内各监测点各项指标均能达到《土壤环境质量 建设用</w:t>
      </w:r>
      <w:r>
        <w:rPr>
          <w:spacing w:val="-2"/>
        </w:rPr>
        <w:t>地土壤污染风险管控标准</w:t>
      </w:r>
      <w:r>
        <w:t>（试行</w:t>
      </w:r>
      <w:r>
        <w:rPr>
          <w:spacing w:val="-20"/>
        </w:rPr>
        <w:t>）</w:t>
      </w:r>
      <w:r>
        <w:rPr>
          <w:spacing w:val="-34"/>
        </w:rPr>
        <w:t>》</w:t>
      </w:r>
      <w:r>
        <w:t>（</w:t>
      </w:r>
      <w:r>
        <w:rPr>
          <w:rFonts w:ascii="Times New Roman" w:eastAsia="Times New Roman"/>
        </w:rPr>
        <w:t>GB36600-2018</w:t>
      </w:r>
      <w:r>
        <w:t>）</w:t>
      </w:r>
      <w:r>
        <w:rPr>
          <w:spacing w:val="-3"/>
        </w:rPr>
        <w:t>第二类用地筛选值标准，土壤环</w:t>
      </w:r>
      <w:r>
        <w:t>境质量良好。</w:t>
      </w:r>
    </w:p>
    <w:p>
      <w:pPr>
        <w:spacing w:after="0" w:line="362" w:lineRule="auto"/>
        <w:jc w:val="both"/>
        <w:sectPr>
          <w:pgSz w:w="11910" w:h="16840"/>
          <w:pgMar w:top="1360" w:right="0" w:bottom="880" w:left="0" w:header="0" w:footer="681" w:gutter="0"/>
        </w:sect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3"/>
        <w:numPr>
          <w:ilvl w:val="2"/>
          <w:numId w:val="14"/>
        </w:numPr>
        <w:tabs>
          <w:tab w:val="left" w:pos="4464"/>
        </w:tabs>
        <w:spacing w:before="208" w:after="0" w:line="240" w:lineRule="auto"/>
        <w:ind w:left="4464" w:right="0" w:hanging="632"/>
        <w:jc w:val="left"/>
        <w:rPr>
          <w:rFonts w:ascii="Times New Roman" w:eastAsia="Times New Roman"/>
        </w:rPr>
      </w:pPr>
      <w:bookmarkStart w:id="625" w:name="10. 固体废物环境影响分析"/>
      <w:bookmarkEnd w:id="625"/>
      <w:bookmarkStart w:id="626" w:name="10. 固体废物环境影响分析"/>
      <w:bookmarkEnd w:id="626"/>
      <w:r>
        <w:t>固体废物环境影响分析</w:t>
      </w:r>
    </w:p>
    <w:p>
      <w:pPr>
        <w:pStyle w:val="5"/>
        <w:numPr>
          <w:ilvl w:val="1"/>
          <w:numId w:val="77"/>
        </w:numPr>
        <w:tabs>
          <w:tab w:val="left" w:pos="2093"/>
        </w:tabs>
        <w:spacing w:before="239" w:after="0" w:line="240" w:lineRule="auto"/>
        <w:ind w:left="2092" w:right="0" w:hanging="675"/>
        <w:jc w:val="left"/>
      </w:pPr>
      <w:bookmarkStart w:id="627" w:name="_bookmark56"/>
      <w:bookmarkEnd w:id="627"/>
      <w:bookmarkStart w:id="628" w:name="10.1 施工期固体废物的处置"/>
      <w:bookmarkEnd w:id="628"/>
      <w:bookmarkStart w:id="629" w:name="_bookmark56"/>
      <w:bookmarkEnd w:id="629"/>
      <w:r>
        <w:t>施工期固体废物的处置</w:t>
      </w:r>
    </w:p>
    <w:p>
      <w:pPr>
        <w:pStyle w:val="9"/>
        <w:spacing w:before="199"/>
        <w:ind w:left="1898"/>
      </w:pPr>
      <w:r>
        <w:t>施工期固体废物主要为掘进矸石、生活垃圾和施工产生的废渣土。</w:t>
      </w:r>
    </w:p>
    <w:p>
      <w:pPr>
        <w:pStyle w:val="18"/>
        <w:numPr>
          <w:ilvl w:val="2"/>
          <w:numId w:val="77"/>
        </w:numPr>
        <w:tabs>
          <w:tab w:val="left" w:pos="2500"/>
        </w:tabs>
        <w:spacing w:before="161" w:after="0" w:line="362" w:lineRule="auto"/>
        <w:ind w:left="1418" w:right="1416" w:firstLine="480"/>
        <w:jc w:val="left"/>
        <w:rPr>
          <w:sz w:val="24"/>
        </w:rPr>
      </w:pPr>
      <w:r>
        <w:rPr>
          <w:sz w:val="24"/>
        </w:rPr>
        <w:t>施工期产生的废弃的砖块、石块、弃土、淤泥、废渣等建筑垃圾，送往临时矸石堆暂存，进行路基回填或对采煤后地表出现的裂缝充填。</w:t>
      </w:r>
    </w:p>
    <w:p>
      <w:pPr>
        <w:pStyle w:val="9"/>
        <w:spacing w:before="5"/>
        <w:ind w:left="1898"/>
      </w:pPr>
      <w:r>
        <w:t>剩余部分及时清运。</w:t>
      </w:r>
    </w:p>
    <w:p>
      <w:pPr>
        <w:spacing w:after="0"/>
        <w:sectPr>
          <w:pgSz w:w="11910" w:h="16840"/>
          <w:pgMar w:top="1580" w:right="0" w:bottom="880" w:left="0" w:header="0" w:footer="681" w:gutter="0"/>
        </w:sectPr>
      </w:pPr>
    </w:p>
    <w:p>
      <w:pPr>
        <w:pStyle w:val="18"/>
        <w:numPr>
          <w:ilvl w:val="2"/>
          <w:numId w:val="77"/>
        </w:numPr>
        <w:tabs>
          <w:tab w:val="left" w:pos="2500"/>
        </w:tabs>
        <w:spacing w:before="61" w:after="0" w:line="240" w:lineRule="auto"/>
        <w:ind w:left="2499" w:right="0" w:hanging="602"/>
        <w:jc w:val="left"/>
        <w:rPr>
          <w:sz w:val="24"/>
        </w:rPr>
      </w:pPr>
      <w:r>
        <w:rPr>
          <w:sz w:val="24"/>
        </w:rPr>
        <w:t>施工期施工人员产生的生活废水排入防渗旱厕。</w:t>
      </w:r>
    </w:p>
    <w:p>
      <w:pPr>
        <w:pStyle w:val="18"/>
        <w:numPr>
          <w:ilvl w:val="2"/>
          <w:numId w:val="77"/>
        </w:numPr>
        <w:tabs>
          <w:tab w:val="left" w:pos="2500"/>
        </w:tabs>
        <w:spacing w:before="158" w:after="0" w:line="364" w:lineRule="auto"/>
        <w:ind w:left="1898" w:right="2685" w:firstLine="0"/>
        <w:jc w:val="left"/>
        <w:rPr>
          <w:sz w:val="24"/>
        </w:rPr>
      </w:pPr>
      <w:r>
        <w:rPr>
          <w:spacing w:val="-1"/>
          <w:sz w:val="24"/>
        </w:rPr>
        <w:t>生活垃圾可用垃圾桶集中收集后按市政环卫部门要求统一处理。</w:t>
      </w:r>
      <w:r>
        <w:rPr>
          <w:spacing w:val="-4"/>
          <w:sz w:val="24"/>
        </w:rPr>
        <w:t xml:space="preserve">采取以上措施后，施工期固体废物可做到 </w:t>
      </w:r>
      <w:r>
        <w:rPr>
          <w:rFonts w:ascii="Times New Roman" w:eastAsia="Times New Roman"/>
          <w:sz w:val="24"/>
        </w:rPr>
        <w:t>100%</w:t>
      </w:r>
      <w:r>
        <w:rPr>
          <w:sz w:val="24"/>
        </w:rPr>
        <w:t>处置。</w:t>
      </w:r>
    </w:p>
    <w:p>
      <w:pPr>
        <w:pStyle w:val="5"/>
        <w:numPr>
          <w:ilvl w:val="1"/>
          <w:numId w:val="77"/>
        </w:numPr>
        <w:tabs>
          <w:tab w:val="left" w:pos="2093"/>
        </w:tabs>
        <w:spacing w:before="1" w:after="0" w:line="240" w:lineRule="auto"/>
        <w:ind w:left="2092" w:right="0" w:hanging="675"/>
        <w:jc w:val="left"/>
      </w:pPr>
      <w:bookmarkStart w:id="630" w:name="_bookmark57"/>
      <w:bookmarkEnd w:id="630"/>
      <w:bookmarkStart w:id="631" w:name="_bookmark57"/>
      <w:bookmarkEnd w:id="631"/>
      <w:bookmarkStart w:id="632" w:name="10.2 运营期固体废物排放情况与处置措施分析"/>
      <w:bookmarkEnd w:id="632"/>
      <w:r>
        <w:t>运营期固体废物排放情况与处置措施分析</w:t>
      </w:r>
    </w:p>
    <w:p>
      <w:pPr>
        <w:pStyle w:val="9"/>
        <w:spacing w:before="199"/>
        <w:ind w:left="1898"/>
      </w:pPr>
      <w:r>
        <w:t>①生活垃圾、厨余垃圾</w:t>
      </w:r>
    </w:p>
    <w:p>
      <w:pPr>
        <w:pStyle w:val="9"/>
        <w:spacing w:before="158" w:line="364" w:lineRule="auto"/>
        <w:ind w:left="1418" w:right="1291" w:firstLine="480"/>
      </w:pPr>
      <w:r>
        <w:rPr>
          <w:spacing w:val="-8"/>
        </w:rPr>
        <w:t xml:space="preserve">本项目工作人员为 </w:t>
      </w:r>
      <w:r>
        <w:rPr>
          <w:rFonts w:ascii="Times New Roman" w:hAnsi="Times New Roman" w:eastAsia="Times New Roman"/>
        </w:rPr>
        <w:t xml:space="preserve">408 </w:t>
      </w:r>
      <w:r>
        <w:rPr>
          <w:spacing w:val="-14"/>
        </w:rPr>
        <w:t xml:space="preserve">人，生活垃圾按 </w:t>
      </w:r>
      <w:r>
        <w:rPr>
          <w:rFonts w:ascii="Times New Roman" w:hAnsi="Times New Roman" w:eastAsia="Times New Roman"/>
        </w:rPr>
        <w:t>0.25kg/d·</w:t>
      </w:r>
      <w:r>
        <w:rPr>
          <w:spacing w:val="-11"/>
        </w:rPr>
        <w:t xml:space="preserve">人计算，生活垃圾产生量 </w:t>
      </w:r>
      <w:r>
        <w:rPr>
          <w:rFonts w:ascii="Times New Roman" w:hAnsi="Times New Roman" w:eastAsia="Times New Roman"/>
        </w:rPr>
        <w:t>37.23t/a</w:t>
      </w:r>
      <w:r>
        <w:rPr>
          <w:spacing w:val="-12"/>
        </w:rPr>
        <w:t>。</w:t>
      </w:r>
      <w:r>
        <w:t>生活垃圾集中收集，由市政部门统一清运。</w:t>
      </w:r>
    </w:p>
    <w:p>
      <w:pPr>
        <w:pStyle w:val="9"/>
        <w:spacing w:line="364" w:lineRule="auto"/>
        <w:ind w:left="1418" w:right="1339" w:firstLine="480"/>
      </w:pPr>
      <w:r>
        <w:t xml:space="preserve">厨余垃圾按 </w:t>
      </w:r>
      <w:r>
        <w:rPr>
          <w:rFonts w:ascii="Times New Roman" w:hAnsi="Times New Roman" w:eastAsia="Times New Roman"/>
        </w:rPr>
        <w:t>0.2kg/d·</w:t>
      </w:r>
      <w:r>
        <w:t xml:space="preserve">人计算，厨余垃圾产生量 </w:t>
      </w:r>
      <w:r>
        <w:rPr>
          <w:rFonts w:ascii="Times New Roman" w:hAnsi="Times New Roman" w:eastAsia="Times New Roman"/>
        </w:rPr>
        <w:t>29.8t/a</w:t>
      </w:r>
      <w:r>
        <w:t>。厨余垃圾使用专用容器将食物残渣和废料分类存放，由市政部门统一清运，最终进行无害化处理。</w:t>
      </w:r>
    </w:p>
    <w:p>
      <w:pPr>
        <w:pStyle w:val="9"/>
        <w:spacing w:line="306" w:lineRule="exact"/>
        <w:ind w:left="1898"/>
      </w:pPr>
      <w:r>
        <w:t>②生活污水处理站污泥</w:t>
      </w:r>
    </w:p>
    <w:p>
      <w:pPr>
        <w:pStyle w:val="9"/>
        <w:spacing w:before="160"/>
        <w:ind w:left="1898"/>
      </w:pPr>
      <w:r>
        <w:t xml:space="preserve">生活污水处理站产生污泥量约为 </w:t>
      </w:r>
      <w:r>
        <w:rPr>
          <w:rFonts w:ascii="Times New Roman" w:eastAsia="Times New Roman"/>
        </w:rPr>
        <w:t>190t/a</w:t>
      </w:r>
      <w:r>
        <w:t>，由市政部门统一清运。</w:t>
      </w:r>
    </w:p>
    <w:p>
      <w:pPr>
        <w:pStyle w:val="9"/>
        <w:spacing w:before="160"/>
        <w:ind w:left="1898"/>
      </w:pPr>
      <w:r>
        <w:t>③矿井水处理站产生的污泥</w:t>
      </w:r>
    </w:p>
    <w:p>
      <w:pPr>
        <w:pStyle w:val="9"/>
        <w:spacing w:before="158"/>
        <w:ind w:left="1898"/>
      </w:pPr>
      <w:r>
        <w:t xml:space="preserve">矿井水污泥主要为矿进水中的煤末，年产生量为 </w:t>
      </w:r>
      <w:r>
        <w:rPr>
          <w:rFonts w:ascii="Times New Roman" w:eastAsia="Times New Roman"/>
        </w:rPr>
        <w:t>1500t/a</w:t>
      </w:r>
      <w:r>
        <w:t>，压滤后外售。</w:t>
      </w:r>
    </w:p>
    <w:p>
      <w:pPr>
        <w:pStyle w:val="9"/>
        <w:spacing w:before="161"/>
        <w:ind w:left="1898"/>
      </w:pPr>
      <w:r>
        <w:t>④炉灰</w:t>
      </w:r>
    </w:p>
    <w:p>
      <w:pPr>
        <w:pStyle w:val="9"/>
        <w:spacing w:before="158" w:line="362" w:lineRule="auto"/>
        <w:ind w:left="1418" w:right="1293" w:firstLine="480"/>
      </w:pPr>
      <w:r>
        <w:rPr>
          <w:spacing w:val="-8"/>
        </w:rPr>
        <w:t xml:space="preserve">炉灰为生物质燃料燃烧产生，按生物质燃料量的 </w:t>
      </w:r>
      <w:r>
        <w:rPr>
          <w:rFonts w:ascii="Times New Roman" w:eastAsia="Times New Roman"/>
        </w:rPr>
        <w:t>10%</w:t>
      </w:r>
      <w:r>
        <w:rPr>
          <w:spacing w:val="-14"/>
        </w:rPr>
        <w:t xml:space="preserve">计，则炉灰产生量约为 </w:t>
      </w:r>
      <w:r>
        <w:rPr>
          <w:rFonts w:ascii="Times New Roman" w:eastAsia="Times New Roman"/>
          <w:spacing w:val="-4"/>
        </w:rPr>
        <w:t>400t/a</w:t>
      </w:r>
      <w:r>
        <w:rPr>
          <w:spacing w:val="-4"/>
        </w:rPr>
        <w:t xml:space="preserve">， </w:t>
      </w:r>
      <w:r>
        <w:t>锅炉灰渣全部作为农肥原料外售。</w:t>
      </w:r>
    </w:p>
    <w:p>
      <w:pPr>
        <w:pStyle w:val="9"/>
        <w:spacing w:before="5"/>
        <w:ind w:left="1898"/>
      </w:pPr>
      <w:r>
        <w:t>⑤矸石</w:t>
      </w:r>
    </w:p>
    <w:p>
      <w:pPr>
        <w:pStyle w:val="9"/>
        <w:spacing w:before="160" w:line="362" w:lineRule="auto"/>
        <w:ind w:left="1418" w:right="1413" w:firstLine="480"/>
      </w:pPr>
      <w:r>
        <w:rPr>
          <w:spacing w:val="-4"/>
        </w:rPr>
        <w:t xml:space="preserve">初步筛分栈桥产生的矸石按年产能的 </w:t>
      </w:r>
      <w:r>
        <w:rPr>
          <w:rFonts w:ascii="Times New Roman" w:eastAsia="Times New Roman"/>
        </w:rPr>
        <w:t>10%</w:t>
      </w:r>
      <w:r>
        <w:rPr>
          <w:spacing w:val="-9"/>
        </w:rPr>
        <w:t xml:space="preserve">计，矸石产生量为 </w:t>
      </w:r>
      <w:r>
        <w:rPr>
          <w:rFonts w:ascii="Times New Roman" w:eastAsia="Times New Roman"/>
        </w:rPr>
        <w:t xml:space="preserve">3 </w:t>
      </w:r>
      <w:r>
        <w:t>万吨</w:t>
      </w:r>
      <w:r>
        <w:rPr>
          <w:rFonts w:ascii="Times New Roman" w:eastAsia="Times New Roman"/>
        </w:rPr>
        <w:t>/a</w:t>
      </w:r>
      <w:r>
        <w:rPr>
          <w:spacing w:val="-3"/>
        </w:rPr>
        <w:t>，暂存于矸石</w:t>
      </w:r>
      <w:r>
        <w:rPr>
          <w:spacing w:val="-2"/>
        </w:rPr>
        <w:t xml:space="preserve">临时堆放场，返回井下回填采空工作面，矸石临时堆放场地占地面积 </w:t>
      </w:r>
      <w:r>
        <w:rPr>
          <w:rFonts w:ascii="Times New Roman" w:eastAsia="Times New Roman"/>
        </w:rPr>
        <w:t>800m</w:t>
      </w:r>
      <w:r>
        <w:rPr>
          <w:rFonts w:ascii="Times New Roman" w:eastAsia="Times New Roman"/>
          <w:position w:val="8"/>
          <w:sz w:val="15"/>
        </w:rPr>
        <w:t>2</w:t>
      </w:r>
      <w:r>
        <w:t>。</w:t>
      </w:r>
    </w:p>
    <w:p>
      <w:pPr>
        <w:pStyle w:val="9"/>
        <w:spacing w:before="5"/>
        <w:ind w:left="1898"/>
      </w:pPr>
      <w:r>
        <w:t>⑥废机油</w:t>
      </w:r>
    </w:p>
    <w:p>
      <w:pPr>
        <w:pStyle w:val="9"/>
        <w:spacing w:before="158" w:line="364" w:lineRule="auto"/>
        <w:ind w:left="1418" w:right="1297" w:firstLine="480"/>
      </w:pPr>
      <w:r>
        <w:rPr>
          <w:spacing w:val="-7"/>
        </w:rPr>
        <w:t xml:space="preserve">本项目废润滑油、废机油等产生量约为 </w:t>
      </w:r>
      <w:r>
        <w:rPr>
          <w:rFonts w:ascii="Times New Roman" w:eastAsia="Times New Roman"/>
          <w:spacing w:val="-4"/>
        </w:rPr>
        <w:t>0.2t/a</w:t>
      </w:r>
      <w:r>
        <w:rPr>
          <w:spacing w:val="-3"/>
        </w:rPr>
        <w:t xml:space="preserve">，在工业场地设置危废暂存库房一座， </w:t>
      </w:r>
      <w:r>
        <w:t>由完好无损加盖容器分别储存，定期交由有资质单位进行无害化处置。</w:t>
      </w:r>
    </w:p>
    <w:p>
      <w:pPr>
        <w:pStyle w:val="9"/>
      </w:pPr>
    </w:p>
    <w:p>
      <w:pPr>
        <w:pStyle w:val="5"/>
        <w:numPr>
          <w:ilvl w:val="1"/>
          <w:numId w:val="77"/>
        </w:numPr>
        <w:tabs>
          <w:tab w:val="left" w:pos="2093"/>
        </w:tabs>
        <w:spacing w:before="210" w:after="0" w:line="240" w:lineRule="auto"/>
        <w:ind w:left="2092" w:right="0" w:hanging="675"/>
        <w:jc w:val="left"/>
      </w:pPr>
      <w:bookmarkStart w:id="633" w:name="_bookmark58"/>
      <w:bookmarkEnd w:id="633"/>
      <w:bookmarkStart w:id="634" w:name="10.3 固体废物环境的影响分析"/>
      <w:bookmarkEnd w:id="634"/>
      <w:bookmarkStart w:id="635" w:name="_bookmark58"/>
      <w:bookmarkEnd w:id="635"/>
      <w:r>
        <w:t>固体废物环境的影响分析</w:t>
      </w:r>
    </w:p>
    <w:p>
      <w:pPr>
        <w:pStyle w:val="6"/>
        <w:numPr>
          <w:ilvl w:val="2"/>
          <w:numId w:val="78"/>
        </w:numPr>
        <w:tabs>
          <w:tab w:val="left" w:pos="2259"/>
        </w:tabs>
        <w:spacing w:before="200" w:after="0" w:line="240" w:lineRule="auto"/>
        <w:ind w:left="2258" w:right="0" w:hanging="841"/>
        <w:jc w:val="left"/>
      </w:pPr>
      <w:bookmarkStart w:id="636" w:name="10.3.1 矸石堆存环境影响分析"/>
      <w:bookmarkEnd w:id="636"/>
      <w:bookmarkStart w:id="637" w:name="10.3.1 矸石堆存环境影响分析"/>
      <w:bookmarkEnd w:id="637"/>
      <w:r>
        <w:t>矸石堆存环境影响分析</w:t>
      </w:r>
    </w:p>
    <w:p>
      <w:pPr>
        <w:pStyle w:val="9"/>
        <w:spacing w:before="185" w:line="364" w:lineRule="auto"/>
        <w:ind w:left="1418" w:right="1365" w:firstLine="480"/>
        <w:jc w:val="both"/>
      </w:pPr>
      <w:r>
        <w:t xml:space="preserve">本项目属于资源整合矿井，本次评价对既有矸石场地内的矸石进行浸出毒性试验， 委托黑龙江康和检测有限公司出具矸石淋溶液检测结果，监测时间为 </w:t>
      </w:r>
      <w:r>
        <w:rPr>
          <w:rFonts w:ascii="Times New Roman" w:eastAsia="Times New Roman"/>
        </w:rPr>
        <w:t xml:space="preserve">2020 </w:t>
      </w:r>
      <w:r>
        <w:t xml:space="preserve">年 </w:t>
      </w:r>
      <w:r>
        <w:rPr>
          <w:rFonts w:ascii="Times New Roman" w:eastAsia="Times New Roman"/>
        </w:rPr>
        <w:t xml:space="preserve">4 </w:t>
      </w:r>
      <w:r>
        <w:t>月。煤矸石浸出液与评价标准对比结果，详见下表。</w:t>
      </w:r>
    </w:p>
    <w:p>
      <w:pPr>
        <w:spacing w:before="0" w:line="267" w:lineRule="exact"/>
        <w:ind w:left="3369" w:right="0" w:firstLine="0"/>
        <w:jc w:val="both"/>
        <w:rPr>
          <w:b/>
          <w:sz w:val="21"/>
        </w:rPr>
      </w:pPr>
      <w:r>
        <w:rPr>
          <w:b/>
          <w:spacing w:val="-26"/>
          <w:sz w:val="21"/>
        </w:rPr>
        <w:t xml:space="preserve">表 </w:t>
      </w:r>
      <w:r>
        <w:rPr>
          <w:rFonts w:ascii="Times New Roman" w:eastAsia="Times New Roman"/>
          <w:b/>
          <w:sz w:val="21"/>
        </w:rPr>
        <w:t>10.3-1</w:t>
      </w:r>
      <w:r>
        <w:rPr>
          <w:rFonts w:ascii="Times New Roman" w:eastAsia="Times New Roman"/>
          <w:b/>
          <w:spacing w:val="51"/>
          <w:sz w:val="21"/>
        </w:rPr>
        <w:t xml:space="preserve"> </w:t>
      </w:r>
      <w:r>
        <w:rPr>
          <w:b/>
          <w:sz w:val="21"/>
        </w:rPr>
        <w:t>煤矸石浸出液与评价标准对比（单位：</w:t>
      </w:r>
      <w:r>
        <w:rPr>
          <w:rFonts w:ascii="Times New Roman" w:eastAsia="Times New Roman"/>
          <w:b/>
          <w:sz w:val="21"/>
        </w:rPr>
        <w:t>mg/L</w:t>
      </w:r>
      <w:r>
        <w:rPr>
          <w:b/>
          <w:sz w:val="21"/>
        </w:rPr>
        <w:t>）</w:t>
      </w:r>
    </w:p>
    <w:p>
      <w:pPr>
        <w:spacing w:after="0" w:line="267" w:lineRule="exact"/>
        <w:jc w:val="both"/>
        <w:rPr>
          <w:sz w:val="21"/>
        </w:rPr>
        <w:sectPr>
          <w:pgSz w:w="11910" w:h="16840"/>
          <w:pgMar w:top="1340" w:right="0" w:bottom="880" w:left="0" w:header="0" w:footer="681" w:gutter="0"/>
        </w:sectPr>
      </w:pPr>
    </w:p>
    <w:tbl>
      <w:tblPr>
        <w:tblStyle w:val="15"/>
        <w:tblW w:w="0" w:type="auto"/>
        <w:tblInd w:w="141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35"/>
        <w:gridCol w:w="845"/>
        <w:gridCol w:w="966"/>
        <w:gridCol w:w="1817"/>
        <w:gridCol w:w="1595"/>
        <w:gridCol w:w="22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vMerge w:val="restart"/>
            <w:tcBorders>
              <w:bottom w:val="single" w:color="000000" w:sz="4" w:space="0"/>
              <w:right w:val="single" w:color="000000" w:sz="4" w:space="0"/>
            </w:tcBorders>
          </w:tcPr>
          <w:p>
            <w:pPr>
              <w:pStyle w:val="19"/>
              <w:spacing w:before="122"/>
              <w:ind w:left="860"/>
              <w:jc w:val="left"/>
              <w:rPr>
                <w:sz w:val="21"/>
              </w:rPr>
            </w:pPr>
            <w:r>
              <w:rPr>
                <w:sz w:val="21"/>
              </w:rPr>
              <w:t>矸石样</w:t>
            </w:r>
          </w:p>
          <w:p>
            <w:pPr>
              <w:pStyle w:val="19"/>
              <w:spacing w:before="2"/>
              <w:ind w:left="8"/>
              <w:jc w:val="left"/>
              <w:rPr>
                <w:sz w:val="21"/>
              </w:rPr>
            </w:pPr>
            <w:r>
              <w:rPr>
                <w:sz w:val="21"/>
              </w:rPr>
              <w:t>项目</w:t>
            </w:r>
          </w:p>
        </w:tc>
        <w:tc>
          <w:tcPr>
            <w:tcW w:w="1811" w:type="dxa"/>
            <w:gridSpan w:val="2"/>
            <w:tcBorders>
              <w:left w:val="single" w:color="000000" w:sz="4" w:space="0"/>
              <w:bottom w:val="single" w:color="000000" w:sz="4" w:space="0"/>
              <w:right w:val="single" w:color="000000" w:sz="4" w:space="0"/>
            </w:tcBorders>
          </w:tcPr>
          <w:p>
            <w:pPr>
              <w:pStyle w:val="19"/>
              <w:spacing w:before="21"/>
              <w:ind w:left="490"/>
              <w:jc w:val="left"/>
              <w:rPr>
                <w:sz w:val="21"/>
              </w:rPr>
            </w:pPr>
            <w:r>
              <w:rPr>
                <w:sz w:val="21"/>
              </w:rPr>
              <w:t>监测结果</w:t>
            </w:r>
          </w:p>
        </w:tc>
        <w:tc>
          <w:tcPr>
            <w:tcW w:w="1817" w:type="dxa"/>
            <w:vMerge w:val="restart"/>
            <w:tcBorders>
              <w:left w:val="single" w:color="000000" w:sz="4" w:space="0"/>
              <w:bottom w:val="single" w:color="000000" w:sz="4" w:space="0"/>
              <w:right w:val="single" w:color="000000" w:sz="4" w:space="0"/>
            </w:tcBorders>
          </w:tcPr>
          <w:p>
            <w:pPr>
              <w:pStyle w:val="19"/>
              <w:spacing w:before="2" w:line="242" w:lineRule="auto"/>
              <w:ind w:left="71" w:right="55"/>
              <w:rPr>
                <w:sz w:val="21"/>
              </w:rPr>
            </w:pPr>
            <w:r>
              <w:rPr>
                <w:sz w:val="21"/>
              </w:rPr>
              <w:t>危险废物浸出毒性鉴别标准</w:t>
            </w:r>
          </w:p>
          <w:p>
            <w:pPr>
              <w:pStyle w:val="19"/>
              <w:spacing w:line="220" w:lineRule="exact"/>
              <w:ind w:left="71" w:right="48"/>
              <w:rPr>
                <w:rFonts w:ascii="Times New Roman"/>
                <w:sz w:val="21"/>
              </w:rPr>
            </w:pPr>
            <w:r>
              <w:rPr>
                <w:rFonts w:ascii="Times New Roman"/>
                <w:sz w:val="21"/>
              </w:rPr>
              <w:t>(GB5085.3-2007)</w:t>
            </w:r>
          </w:p>
        </w:tc>
        <w:tc>
          <w:tcPr>
            <w:tcW w:w="1595" w:type="dxa"/>
            <w:vMerge w:val="restart"/>
            <w:tcBorders>
              <w:left w:val="single" w:color="000000" w:sz="4" w:space="0"/>
              <w:bottom w:val="single" w:color="000000" w:sz="4" w:space="0"/>
              <w:right w:val="single" w:color="000000" w:sz="4" w:space="0"/>
            </w:tcBorders>
          </w:tcPr>
          <w:p>
            <w:pPr>
              <w:pStyle w:val="19"/>
              <w:spacing w:before="122" w:line="242" w:lineRule="auto"/>
              <w:ind w:left="30" w:right="1" w:firstLine="36"/>
              <w:jc w:val="left"/>
              <w:rPr>
                <w:rFonts w:ascii="Times New Roman" w:eastAsia="Times New Roman"/>
                <w:sz w:val="21"/>
              </w:rPr>
            </w:pPr>
            <w:r>
              <w:rPr>
                <w:sz w:val="21"/>
              </w:rPr>
              <w:t>污水综合排放标准</w:t>
            </w:r>
            <w:r>
              <w:rPr>
                <w:rFonts w:ascii="Times New Roman" w:eastAsia="Times New Roman"/>
                <w:sz w:val="21"/>
              </w:rPr>
              <w:t>(GB8979-1996)</w:t>
            </w:r>
          </w:p>
        </w:tc>
        <w:tc>
          <w:tcPr>
            <w:tcW w:w="2232" w:type="dxa"/>
            <w:vMerge w:val="restart"/>
            <w:tcBorders>
              <w:left w:val="single" w:color="000000" w:sz="4" w:space="0"/>
              <w:bottom w:val="single" w:color="000000" w:sz="4" w:space="0"/>
            </w:tcBorders>
          </w:tcPr>
          <w:p>
            <w:pPr>
              <w:pStyle w:val="19"/>
              <w:spacing w:before="2"/>
              <w:ind w:left="152" w:right="134"/>
              <w:rPr>
                <w:sz w:val="21"/>
              </w:rPr>
            </w:pPr>
            <w:r>
              <w:rPr>
                <w:sz w:val="21"/>
              </w:rPr>
              <w:t>地下水环境质量标准</w:t>
            </w:r>
          </w:p>
          <w:p>
            <w:pPr>
              <w:pStyle w:val="19"/>
              <w:spacing w:before="2" w:line="241" w:lineRule="exact"/>
              <w:ind w:left="152" w:right="130"/>
              <w:rPr>
                <w:rFonts w:ascii="Times New Roman"/>
                <w:sz w:val="21"/>
              </w:rPr>
            </w:pPr>
            <w:r>
              <w:rPr>
                <w:rFonts w:ascii="Times New Roman"/>
                <w:sz w:val="21"/>
              </w:rPr>
              <w:t>(GB/T14848-2017)</w:t>
            </w:r>
          </w:p>
          <w:p>
            <w:pPr>
              <w:pStyle w:val="19"/>
              <w:spacing w:line="252" w:lineRule="exact"/>
              <w:ind w:left="149" w:right="134"/>
              <w:rPr>
                <w:sz w:val="21"/>
              </w:rPr>
            </w:pPr>
            <w:r>
              <w:rPr>
                <w:sz w:val="21"/>
              </w:rPr>
              <w:t>Ⅲ类）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635" w:type="dxa"/>
            <w:vMerge w:val="continue"/>
            <w:tcBorders>
              <w:top w:val="nil"/>
              <w:bottom w:val="single" w:color="000000" w:sz="4" w:space="0"/>
              <w:right w:val="single" w:color="000000" w:sz="4" w:space="0"/>
            </w:tcBorders>
          </w:tcPr>
          <w:p>
            <w:pPr>
              <w:rPr>
                <w:sz w:val="2"/>
                <w:szCs w:val="2"/>
              </w:rPr>
            </w:pPr>
          </w:p>
        </w:tc>
        <w:tc>
          <w:tcPr>
            <w:tcW w:w="845" w:type="dxa"/>
            <w:tcBorders>
              <w:top w:val="single" w:color="000000" w:sz="4" w:space="0"/>
              <w:left w:val="single" w:color="000000" w:sz="4" w:space="0"/>
              <w:bottom w:val="single" w:color="000000" w:sz="4" w:space="0"/>
              <w:right w:val="single" w:color="000000" w:sz="4" w:space="0"/>
            </w:tcBorders>
          </w:tcPr>
          <w:p>
            <w:pPr>
              <w:pStyle w:val="19"/>
              <w:spacing w:before="95"/>
              <w:ind w:right="198"/>
              <w:jc w:val="right"/>
              <w:rPr>
                <w:sz w:val="21"/>
              </w:rPr>
            </w:pPr>
            <w:r>
              <w:rPr>
                <w:w w:val="95"/>
                <w:sz w:val="21"/>
              </w:rPr>
              <w:t>数值</w:t>
            </w:r>
          </w:p>
        </w:tc>
        <w:tc>
          <w:tcPr>
            <w:tcW w:w="966" w:type="dxa"/>
            <w:tcBorders>
              <w:top w:val="single" w:color="000000" w:sz="4" w:space="0"/>
              <w:left w:val="single" w:color="000000" w:sz="4" w:space="0"/>
              <w:bottom w:val="single" w:color="000000" w:sz="4" w:space="0"/>
              <w:right w:val="single" w:color="000000" w:sz="4" w:space="0"/>
            </w:tcBorders>
          </w:tcPr>
          <w:p>
            <w:pPr>
              <w:pStyle w:val="19"/>
              <w:spacing w:before="95"/>
              <w:ind w:left="148" w:right="133"/>
              <w:rPr>
                <w:sz w:val="21"/>
              </w:rPr>
            </w:pPr>
            <w:r>
              <w:rPr>
                <w:sz w:val="21"/>
              </w:rPr>
              <w:t>单位</w:t>
            </w:r>
          </w:p>
        </w:tc>
        <w:tc>
          <w:tcPr>
            <w:tcW w:w="1817" w:type="dxa"/>
            <w:vMerge w:val="continue"/>
            <w:tcBorders>
              <w:top w:val="nil"/>
              <w:left w:val="single" w:color="000000" w:sz="4" w:space="0"/>
              <w:bottom w:val="single" w:color="000000" w:sz="4" w:space="0"/>
              <w:right w:val="single" w:color="000000" w:sz="4" w:space="0"/>
            </w:tcBorders>
          </w:tcPr>
          <w:p>
            <w:pPr>
              <w:rPr>
                <w:sz w:val="2"/>
                <w:szCs w:val="2"/>
              </w:rPr>
            </w:pPr>
          </w:p>
        </w:tc>
        <w:tc>
          <w:tcPr>
            <w:tcW w:w="1595" w:type="dxa"/>
            <w:vMerge w:val="continue"/>
            <w:tcBorders>
              <w:top w:val="nil"/>
              <w:left w:val="single" w:color="000000" w:sz="4" w:space="0"/>
              <w:bottom w:val="single" w:color="000000" w:sz="4" w:space="0"/>
              <w:right w:val="single" w:color="000000" w:sz="4" w:space="0"/>
            </w:tcBorders>
          </w:tcPr>
          <w:p>
            <w:pPr>
              <w:rPr>
                <w:sz w:val="2"/>
                <w:szCs w:val="2"/>
              </w:rPr>
            </w:pPr>
          </w:p>
        </w:tc>
        <w:tc>
          <w:tcPr>
            <w:tcW w:w="2232"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9"/>
              <w:spacing w:before="36"/>
              <w:ind w:left="484" w:right="463"/>
              <w:rPr>
                <w:rFonts w:ascii="Times New Roman"/>
                <w:sz w:val="21"/>
              </w:rPr>
            </w:pPr>
            <w:r>
              <w:rPr>
                <w:rFonts w:ascii="Times New Roman"/>
                <w:sz w:val="21"/>
              </w:rPr>
              <w:t>pH</w:t>
            </w:r>
          </w:p>
        </w:tc>
        <w:tc>
          <w:tcPr>
            <w:tcW w:w="845" w:type="dxa"/>
            <w:tcBorders>
              <w:top w:val="single" w:color="000000" w:sz="4" w:space="0"/>
              <w:left w:val="single" w:color="000000" w:sz="4" w:space="0"/>
              <w:bottom w:val="single" w:color="000000" w:sz="4" w:space="0"/>
              <w:right w:val="single" w:color="000000" w:sz="4" w:space="0"/>
            </w:tcBorders>
          </w:tcPr>
          <w:p>
            <w:pPr>
              <w:pStyle w:val="19"/>
              <w:spacing w:before="36"/>
              <w:ind w:right="221"/>
              <w:jc w:val="right"/>
              <w:rPr>
                <w:rFonts w:ascii="Times New Roman"/>
                <w:sz w:val="21"/>
              </w:rPr>
            </w:pPr>
            <w:r>
              <w:rPr>
                <w:rFonts w:ascii="Times New Roman"/>
                <w:sz w:val="21"/>
              </w:rPr>
              <w:t>7.43</w:t>
            </w:r>
          </w:p>
        </w:tc>
        <w:tc>
          <w:tcPr>
            <w:tcW w:w="966" w:type="dxa"/>
            <w:tcBorders>
              <w:top w:val="single" w:color="000000" w:sz="4" w:space="0"/>
              <w:left w:val="single" w:color="000000" w:sz="4" w:space="0"/>
              <w:bottom w:val="single" w:color="000000" w:sz="4" w:space="0"/>
              <w:right w:val="single" w:color="000000" w:sz="4" w:space="0"/>
            </w:tcBorders>
          </w:tcPr>
          <w:p>
            <w:pPr>
              <w:pStyle w:val="19"/>
              <w:spacing w:before="19"/>
              <w:ind w:left="153" w:right="133"/>
              <w:rPr>
                <w:sz w:val="21"/>
              </w:rPr>
            </w:pPr>
            <w:r>
              <w:rPr>
                <w:sz w:val="21"/>
              </w:rPr>
              <w:t>无量纲</w:t>
            </w:r>
          </w:p>
        </w:tc>
        <w:tc>
          <w:tcPr>
            <w:tcW w:w="1817" w:type="dxa"/>
            <w:tcBorders>
              <w:top w:val="single" w:color="000000" w:sz="4" w:space="0"/>
              <w:left w:val="single" w:color="000000" w:sz="4" w:space="0"/>
              <w:bottom w:val="single" w:color="000000" w:sz="4" w:space="0"/>
              <w:right w:val="single" w:color="000000" w:sz="4" w:space="0"/>
            </w:tcBorders>
          </w:tcPr>
          <w:p>
            <w:pPr>
              <w:pStyle w:val="19"/>
              <w:spacing w:before="36"/>
              <w:ind w:left="71" w:right="54"/>
              <w:rPr>
                <w:rFonts w:ascii="Times New Roman"/>
                <w:sz w:val="21"/>
              </w:rPr>
            </w:pPr>
            <w:r>
              <w:rPr>
                <w:rFonts w:ascii="Times New Roman"/>
                <w:sz w:val="21"/>
              </w:rPr>
              <w:t>6~9</w:t>
            </w:r>
          </w:p>
        </w:tc>
        <w:tc>
          <w:tcPr>
            <w:tcW w:w="1595" w:type="dxa"/>
            <w:tcBorders>
              <w:top w:val="single" w:color="000000" w:sz="4" w:space="0"/>
              <w:left w:val="single" w:color="000000" w:sz="4" w:space="0"/>
              <w:bottom w:val="single" w:color="000000" w:sz="4" w:space="0"/>
              <w:right w:val="single" w:color="000000" w:sz="4" w:space="0"/>
            </w:tcBorders>
          </w:tcPr>
          <w:p>
            <w:pPr>
              <w:pStyle w:val="19"/>
              <w:spacing w:before="36"/>
              <w:ind w:left="596" w:right="578"/>
              <w:rPr>
                <w:rFonts w:ascii="Times New Roman"/>
                <w:sz w:val="21"/>
              </w:rPr>
            </w:pPr>
            <w:r>
              <w:rPr>
                <w:rFonts w:ascii="Times New Roman"/>
                <w:sz w:val="21"/>
              </w:rPr>
              <w:t>6~9</w:t>
            </w:r>
          </w:p>
        </w:tc>
        <w:tc>
          <w:tcPr>
            <w:tcW w:w="2232" w:type="dxa"/>
            <w:tcBorders>
              <w:top w:val="single" w:color="000000" w:sz="4" w:space="0"/>
              <w:left w:val="single" w:color="000000" w:sz="4" w:space="0"/>
              <w:bottom w:val="single" w:color="000000" w:sz="4" w:space="0"/>
            </w:tcBorders>
          </w:tcPr>
          <w:p>
            <w:pPr>
              <w:pStyle w:val="19"/>
              <w:spacing w:before="36"/>
              <w:ind w:left="152" w:right="131"/>
              <w:rPr>
                <w:rFonts w:ascii="Times New Roman"/>
                <w:sz w:val="21"/>
              </w:rPr>
            </w:pPr>
            <w:r>
              <w:rPr>
                <w:rFonts w:ascii="Times New Roman"/>
                <w:sz w:val="21"/>
              </w:rPr>
              <w:t>6.5~8.5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9"/>
              <w:spacing w:before="19"/>
              <w:ind w:left="479" w:right="465"/>
              <w:rPr>
                <w:sz w:val="21"/>
              </w:rPr>
            </w:pPr>
            <w:r>
              <w:rPr>
                <w:sz w:val="21"/>
              </w:rPr>
              <w:t>总铜</w:t>
            </w:r>
          </w:p>
        </w:tc>
        <w:tc>
          <w:tcPr>
            <w:tcW w:w="845" w:type="dxa"/>
            <w:tcBorders>
              <w:top w:val="single" w:color="000000" w:sz="4" w:space="0"/>
              <w:left w:val="single" w:color="000000" w:sz="4" w:space="0"/>
              <w:bottom w:val="single" w:color="000000" w:sz="4" w:space="0"/>
              <w:right w:val="single" w:color="000000" w:sz="4" w:space="0"/>
            </w:tcBorders>
          </w:tcPr>
          <w:p>
            <w:pPr>
              <w:pStyle w:val="19"/>
              <w:spacing w:before="35"/>
              <w:ind w:right="161"/>
              <w:jc w:val="right"/>
              <w:rPr>
                <w:rFonts w:ascii="Times New Roman"/>
                <w:sz w:val="21"/>
              </w:rPr>
            </w:pPr>
            <w:r>
              <w:rPr>
                <w:rFonts w:ascii="Times New Roman"/>
                <w:sz w:val="21"/>
              </w:rPr>
              <w:t>&lt;0.02</w:t>
            </w:r>
          </w:p>
        </w:tc>
        <w:tc>
          <w:tcPr>
            <w:tcW w:w="966" w:type="dxa"/>
            <w:tcBorders>
              <w:top w:val="single" w:color="000000" w:sz="4" w:space="0"/>
              <w:left w:val="single" w:color="000000" w:sz="4" w:space="0"/>
              <w:bottom w:val="single" w:color="000000" w:sz="4" w:space="0"/>
              <w:right w:val="single" w:color="000000" w:sz="4" w:space="0"/>
            </w:tcBorders>
          </w:tcPr>
          <w:p>
            <w:pPr>
              <w:pStyle w:val="19"/>
              <w:spacing w:before="35"/>
              <w:ind w:left="151" w:right="133"/>
              <w:rPr>
                <w:rFonts w:ascii="Times New Roman"/>
                <w:sz w:val="21"/>
              </w:rPr>
            </w:pPr>
            <w:r>
              <w:rPr>
                <w:rFonts w:ascii="Times New Roman"/>
                <w:sz w:val="21"/>
              </w:rPr>
              <w:t>mg/L</w:t>
            </w:r>
          </w:p>
        </w:tc>
        <w:tc>
          <w:tcPr>
            <w:tcW w:w="1817" w:type="dxa"/>
            <w:tcBorders>
              <w:top w:val="single" w:color="000000" w:sz="4" w:space="0"/>
              <w:left w:val="single" w:color="000000" w:sz="4" w:space="0"/>
              <w:bottom w:val="single" w:color="000000" w:sz="4" w:space="0"/>
              <w:right w:val="single" w:color="000000" w:sz="4" w:space="0"/>
            </w:tcBorders>
          </w:tcPr>
          <w:p>
            <w:pPr>
              <w:pStyle w:val="19"/>
              <w:spacing w:before="35"/>
              <w:ind w:left="71" w:right="52"/>
              <w:rPr>
                <w:rFonts w:ascii="Times New Roman"/>
                <w:sz w:val="21"/>
              </w:rPr>
            </w:pPr>
            <w:r>
              <w:rPr>
                <w:rFonts w:ascii="Times New Roman"/>
                <w:sz w:val="21"/>
              </w:rPr>
              <w:t>100</w:t>
            </w:r>
          </w:p>
        </w:tc>
        <w:tc>
          <w:tcPr>
            <w:tcW w:w="1595" w:type="dxa"/>
            <w:tcBorders>
              <w:top w:val="single" w:color="000000" w:sz="4" w:space="0"/>
              <w:left w:val="single" w:color="000000" w:sz="4" w:space="0"/>
              <w:bottom w:val="single" w:color="000000" w:sz="4" w:space="0"/>
              <w:right w:val="single" w:color="000000" w:sz="4" w:space="0"/>
            </w:tcBorders>
          </w:tcPr>
          <w:p>
            <w:pPr>
              <w:pStyle w:val="19"/>
              <w:spacing w:before="35"/>
              <w:ind w:left="598" w:right="578"/>
              <w:rPr>
                <w:rFonts w:ascii="Times New Roman"/>
                <w:sz w:val="21"/>
              </w:rPr>
            </w:pPr>
            <w:r>
              <w:rPr>
                <w:rFonts w:ascii="Times New Roman"/>
                <w:sz w:val="21"/>
              </w:rPr>
              <w:t>0.5</w:t>
            </w:r>
          </w:p>
        </w:tc>
        <w:tc>
          <w:tcPr>
            <w:tcW w:w="2232" w:type="dxa"/>
            <w:tcBorders>
              <w:top w:val="single" w:color="000000" w:sz="4" w:space="0"/>
              <w:left w:val="single" w:color="000000" w:sz="4" w:space="0"/>
              <w:bottom w:val="single" w:color="000000" w:sz="4" w:space="0"/>
            </w:tcBorders>
          </w:tcPr>
          <w:p>
            <w:pPr>
              <w:pStyle w:val="19"/>
              <w:spacing w:before="35"/>
              <w:ind w:left="152" w:right="133"/>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9"/>
              <w:spacing w:before="21"/>
              <w:ind w:left="479" w:right="465"/>
              <w:rPr>
                <w:sz w:val="21"/>
              </w:rPr>
            </w:pPr>
            <w:r>
              <w:rPr>
                <w:sz w:val="21"/>
              </w:rPr>
              <w:t>总锌</w:t>
            </w:r>
          </w:p>
        </w:tc>
        <w:tc>
          <w:tcPr>
            <w:tcW w:w="845" w:type="dxa"/>
            <w:tcBorders>
              <w:top w:val="single" w:color="000000" w:sz="4" w:space="0"/>
              <w:left w:val="single" w:color="000000" w:sz="4" w:space="0"/>
              <w:bottom w:val="single" w:color="000000" w:sz="4" w:space="0"/>
              <w:right w:val="single" w:color="000000" w:sz="4" w:space="0"/>
            </w:tcBorders>
          </w:tcPr>
          <w:p>
            <w:pPr>
              <w:pStyle w:val="19"/>
              <w:spacing w:before="35"/>
              <w:ind w:right="163"/>
              <w:jc w:val="right"/>
              <w:rPr>
                <w:rFonts w:ascii="Times New Roman"/>
                <w:sz w:val="21"/>
              </w:rPr>
            </w:pPr>
            <w:r>
              <w:rPr>
                <w:rFonts w:ascii="Times New Roman"/>
                <w:w w:val="95"/>
                <w:sz w:val="21"/>
              </w:rPr>
              <w:t>&lt;0.06</w:t>
            </w:r>
          </w:p>
        </w:tc>
        <w:tc>
          <w:tcPr>
            <w:tcW w:w="966" w:type="dxa"/>
            <w:tcBorders>
              <w:top w:val="single" w:color="000000" w:sz="4" w:space="0"/>
              <w:left w:val="single" w:color="000000" w:sz="4" w:space="0"/>
              <w:bottom w:val="single" w:color="000000" w:sz="4" w:space="0"/>
              <w:right w:val="single" w:color="000000" w:sz="4" w:space="0"/>
            </w:tcBorders>
          </w:tcPr>
          <w:p>
            <w:pPr>
              <w:pStyle w:val="19"/>
              <w:spacing w:before="35"/>
              <w:ind w:left="151" w:right="133"/>
              <w:rPr>
                <w:rFonts w:ascii="Times New Roman"/>
                <w:sz w:val="21"/>
              </w:rPr>
            </w:pPr>
            <w:r>
              <w:rPr>
                <w:rFonts w:ascii="Times New Roman"/>
                <w:sz w:val="21"/>
              </w:rPr>
              <w:t>mg/L</w:t>
            </w:r>
          </w:p>
        </w:tc>
        <w:tc>
          <w:tcPr>
            <w:tcW w:w="1817" w:type="dxa"/>
            <w:tcBorders>
              <w:top w:val="single" w:color="000000" w:sz="4" w:space="0"/>
              <w:left w:val="single" w:color="000000" w:sz="4" w:space="0"/>
              <w:bottom w:val="single" w:color="000000" w:sz="4" w:space="0"/>
              <w:right w:val="single" w:color="000000" w:sz="4" w:space="0"/>
            </w:tcBorders>
          </w:tcPr>
          <w:p>
            <w:pPr>
              <w:pStyle w:val="19"/>
              <w:spacing w:before="35"/>
              <w:ind w:left="71" w:right="52"/>
              <w:rPr>
                <w:rFonts w:ascii="Times New Roman"/>
                <w:sz w:val="21"/>
              </w:rPr>
            </w:pPr>
            <w:r>
              <w:rPr>
                <w:rFonts w:ascii="Times New Roman"/>
                <w:sz w:val="21"/>
              </w:rPr>
              <w:t>100</w:t>
            </w:r>
          </w:p>
        </w:tc>
        <w:tc>
          <w:tcPr>
            <w:tcW w:w="1595" w:type="dxa"/>
            <w:tcBorders>
              <w:top w:val="single" w:color="000000" w:sz="4" w:space="0"/>
              <w:left w:val="single" w:color="000000" w:sz="4" w:space="0"/>
              <w:bottom w:val="single" w:color="000000" w:sz="4" w:space="0"/>
              <w:right w:val="single" w:color="000000" w:sz="4" w:space="0"/>
            </w:tcBorders>
          </w:tcPr>
          <w:p>
            <w:pPr>
              <w:pStyle w:val="19"/>
              <w:spacing w:before="35"/>
              <w:ind w:left="598" w:right="578"/>
              <w:rPr>
                <w:rFonts w:ascii="Times New Roman"/>
                <w:sz w:val="21"/>
              </w:rPr>
            </w:pPr>
            <w:r>
              <w:rPr>
                <w:rFonts w:ascii="Times New Roman"/>
                <w:sz w:val="21"/>
              </w:rPr>
              <w:t>2.0</w:t>
            </w:r>
          </w:p>
        </w:tc>
        <w:tc>
          <w:tcPr>
            <w:tcW w:w="2232" w:type="dxa"/>
            <w:tcBorders>
              <w:top w:val="single" w:color="000000" w:sz="4" w:space="0"/>
              <w:left w:val="single" w:color="000000" w:sz="4" w:space="0"/>
              <w:bottom w:val="single" w:color="000000" w:sz="4" w:space="0"/>
            </w:tcBorders>
          </w:tcPr>
          <w:p>
            <w:pPr>
              <w:pStyle w:val="19"/>
              <w:spacing w:before="35"/>
              <w:ind w:left="152" w:right="133"/>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9"/>
              <w:spacing w:before="21"/>
              <w:ind w:left="479" w:right="465"/>
              <w:rPr>
                <w:sz w:val="21"/>
              </w:rPr>
            </w:pPr>
            <w:r>
              <w:rPr>
                <w:sz w:val="21"/>
              </w:rPr>
              <w:t>总镉</w:t>
            </w:r>
          </w:p>
        </w:tc>
        <w:tc>
          <w:tcPr>
            <w:tcW w:w="845" w:type="dxa"/>
            <w:tcBorders>
              <w:top w:val="single" w:color="000000" w:sz="4" w:space="0"/>
              <w:left w:val="single" w:color="000000" w:sz="4" w:space="0"/>
              <w:bottom w:val="single" w:color="000000" w:sz="4" w:space="0"/>
              <w:right w:val="single" w:color="000000" w:sz="4" w:space="0"/>
            </w:tcBorders>
          </w:tcPr>
          <w:p>
            <w:pPr>
              <w:pStyle w:val="19"/>
              <w:spacing w:before="34"/>
              <w:ind w:right="216"/>
              <w:jc w:val="right"/>
              <w:rPr>
                <w:rFonts w:ascii="Times New Roman"/>
                <w:sz w:val="21"/>
              </w:rPr>
            </w:pPr>
            <w:r>
              <w:rPr>
                <w:rFonts w:ascii="Times New Roman"/>
                <w:w w:val="95"/>
                <w:sz w:val="21"/>
              </w:rPr>
              <w:t>&lt;0.6</w:t>
            </w:r>
          </w:p>
        </w:tc>
        <w:tc>
          <w:tcPr>
            <w:tcW w:w="966" w:type="dxa"/>
            <w:tcBorders>
              <w:top w:val="single" w:color="000000" w:sz="4" w:space="0"/>
              <w:left w:val="single" w:color="000000" w:sz="4" w:space="0"/>
              <w:bottom w:val="single" w:color="000000" w:sz="4" w:space="0"/>
              <w:right w:val="single" w:color="000000" w:sz="4" w:space="0"/>
            </w:tcBorders>
          </w:tcPr>
          <w:p>
            <w:pPr>
              <w:pStyle w:val="19"/>
              <w:spacing w:before="34"/>
              <w:ind w:left="151" w:right="133"/>
              <w:rPr>
                <w:rFonts w:ascii="Times New Roman" w:hAnsi="Times New Roman"/>
                <w:sz w:val="21"/>
              </w:rPr>
            </w:pPr>
            <w:r>
              <w:rPr>
                <w:rFonts w:ascii="Times New Roman" w:hAnsi="Times New Roman"/>
                <w:sz w:val="21"/>
              </w:rPr>
              <w:t>μg/L</w:t>
            </w:r>
          </w:p>
        </w:tc>
        <w:tc>
          <w:tcPr>
            <w:tcW w:w="1817" w:type="dxa"/>
            <w:tcBorders>
              <w:top w:val="single" w:color="000000" w:sz="4" w:space="0"/>
              <w:left w:val="single" w:color="000000" w:sz="4" w:space="0"/>
              <w:bottom w:val="single" w:color="000000" w:sz="4" w:space="0"/>
              <w:right w:val="single" w:color="000000" w:sz="4" w:space="0"/>
            </w:tcBorders>
          </w:tcPr>
          <w:p>
            <w:pPr>
              <w:pStyle w:val="19"/>
              <w:spacing w:before="34"/>
              <w:ind w:left="19"/>
              <w:rPr>
                <w:rFonts w:ascii="Times New Roman"/>
                <w:sz w:val="21"/>
              </w:rPr>
            </w:pPr>
            <w:r>
              <w:rPr>
                <w:rFonts w:ascii="Times New Roman"/>
                <w:w w:val="99"/>
                <w:sz w:val="21"/>
              </w:rPr>
              <w:t>1</w:t>
            </w:r>
          </w:p>
        </w:tc>
        <w:tc>
          <w:tcPr>
            <w:tcW w:w="1595" w:type="dxa"/>
            <w:tcBorders>
              <w:top w:val="single" w:color="000000" w:sz="4" w:space="0"/>
              <w:left w:val="single" w:color="000000" w:sz="4" w:space="0"/>
              <w:bottom w:val="single" w:color="000000" w:sz="4" w:space="0"/>
              <w:right w:val="single" w:color="000000" w:sz="4" w:space="0"/>
            </w:tcBorders>
          </w:tcPr>
          <w:p>
            <w:pPr>
              <w:pStyle w:val="19"/>
              <w:spacing w:before="34"/>
              <w:ind w:left="598" w:right="578"/>
              <w:rPr>
                <w:rFonts w:ascii="Times New Roman"/>
                <w:sz w:val="21"/>
              </w:rPr>
            </w:pPr>
            <w:r>
              <w:rPr>
                <w:rFonts w:ascii="Times New Roman"/>
                <w:sz w:val="21"/>
              </w:rPr>
              <w:t>0.1</w:t>
            </w:r>
          </w:p>
        </w:tc>
        <w:tc>
          <w:tcPr>
            <w:tcW w:w="2232" w:type="dxa"/>
            <w:tcBorders>
              <w:top w:val="single" w:color="000000" w:sz="4" w:space="0"/>
              <w:left w:val="single" w:color="000000" w:sz="4" w:space="0"/>
              <w:bottom w:val="single" w:color="000000" w:sz="4" w:space="0"/>
            </w:tcBorders>
          </w:tcPr>
          <w:p>
            <w:pPr>
              <w:pStyle w:val="19"/>
              <w:spacing w:before="34"/>
              <w:ind w:left="152" w:right="133"/>
              <w:rPr>
                <w:rFonts w:ascii="Times New Roman"/>
                <w:sz w:val="21"/>
              </w:rPr>
            </w:pPr>
            <w:r>
              <w:rPr>
                <w:rFonts w:ascii="Times New Roman"/>
                <w:sz w:val="21"/>
              </w:rPr>
              <w:t>0.005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635" w:type="dxa"/>
            <w:tcBorders>
              <w:top w:val="single" w:color="000000" w:sz="4" w:space="0"/>
              <w:bottom w:val="single" w:color="000000" w:sz="4" w:space="0"/>
              <w:right w:val="single" w:color="000000" w:sz="4" w:space="0"/>
            </w:tcBorders>
          </w:tcPr>
          <w:p>
            <w:pPr>
              <w:pStyle w:val="19"/>
              <w:spacing w:before="20"/>
              <w:ind w:left="479" w:right="465"/>
              <w:rPr>
                <w:sz w:val="21"/>
              </w:rPr>
            </w:pPr>
            <w:r>
              <w:rPr>
                <w:sz w:val="21"/>
              </w:rPr>
              <w:t>总铅</w:t>
            </w:r>
          </w:p>
        </w:tc>
        <w:tc>
          <w:tcPr>
            <w:tcW w:w="845" w:type="dxa"/>
            <w:tcBorders>
              <w:top w:val="single" w:color="000000" w:sz="4" w:space="0"/>
              <w:left w:val="single" w:color="000000" w:sz="4" w:space="0"/>
              <w:bottom w:val="single" w:color="000000" w:sz="4" w:space="0"/>
              <w:right w:val="single" w:color="000000" w:sz="4" w:space="0"/>
            </w:tcBorders>
          </w:tcPr>
          <w:p>
            <w:pPr>
              <w:pStyle w:val="19"/>
              <w:spacing w:before="20"/>
              <w:ind w:left="269"/>
              <w:jc w:val="left"/>
              <w:rPr>
                <w:sz w:val="21"/>
              </w:rPr>
            </w:pPr>
            <w:r>
              <w:rPr>
                <w:sz w:val="21"/>
              </w:rPr>
              <w:t>0.9</w:t>
            </w:r>
          </w:p>
        </w:tc>
        <w:tc>
          <w:tcPr>
            <w:tcW w:w="966" w:type="dxa"/>
            <w:tcBorders>
              <w:top w:val="single" w:color="000000" w:sz="4" w:space="0"/>
              <w:left w:val="single" w:color="000000" w:sz="4" w:space="0"/>
              <w:bottom w:val="single" w:color="000000" w:sz="4" w:space="0"/>
              <w:right w:val="single" w:color="000000" w:sz="4" w:space="0"/>
            </w:tcBorders>
          </w:tcPr>
          <w:p>
            <w:pPr>
              <w:pStyle w:val="19"/>
              <w:spacing w:before="34"/>
              <w:ind w:left="151" w:right="133"/>
              <w:rPr>
                <w:rFonts w:ascii="Times New Roman"/>
                <w:sz w:val="21"/>
              </w:rPr>
            </w:pPr>
            <w:r>
              <w:rPr>
                <w:rFonts w:ascii="Times New Roman"/>
                <w:sz w:val="21"/>
              </w:rPr>
              <w:t>mg/L</w:t>
            </w:r>
          </w:p>
        </w:tc>
        <w:tc>
          <w:tcPr>
            <w:tcW w:w="1817" w:type="dxa"/>
            <w:tcBorders>
              <w:top w:val="single" w:color="000000" w:sz="4" w:space="0"/>
              <w:left w:val="single" w:color="000000" w:sz="4" w:space="0"/>
              <w:bottom w:val="single" w:color="000000" w:sz="4" w:space="0"/>
              <w:right w:val="single" w:color="000000" w:sz="4" w:space="0"/>
            </w:tcBorders>
          </w:tcPr>
          <w:p>
            <w:pPr>
              <w:pStyle w:val="19"/>
              <w:spacing w:before="34"/>
              <w:ind w:left="19"/>
              <w:rPr>
                <w:rFonts w:ascii="Times New Roman"/>
                <w:sz w:val="21"/>
              </w:rPr>
            </w:pPr>
            <w:r>
              <w:rPr>
                <w:rFonts w:ascii="Times New Roman"/>
                <w:w w:val="99"/>
                <w:sz w:val="21"/>
              </w:rPr>
              <w:t>5</w:t>
            </w:r>
          </w:p>
        </w:tc>
        <w:tc>
          <w:tcPr>
            <w:tcW w:w="1595" w:type="dxa"/>
            <w:tcBorders>
              <w:top w:val="single" w:color="000000" w:sz="4" w:space="0"/>
              <w:left w:val="single" w:color="000000" w:sz="4" w:space="0"/>
              <w:bottom w:val="single" w:color="000000" w:sz="4" w:space="0"/>
              <w:right w:val="single" w:color="000000" w:sz="4" w:space="0"/>
            </w:tcBorders>
          </w:tcPr>
          <w:p>
            <w:pPr>
              <w:pStyle w:val="19"/>
              <w:spacing w:before="34"/>
              <w:ind w:left="598" w:right="578"/>
              <w:rPr>
                <w:rFonts w:ascii="Times New Roman"/>
                <w:sz w:val="21"/>
              </w:rPr>
            </w:pPr>
            <w:r>
              <w:rPr>
                <w:rFonts w:ascii="Times New Roman"/>
                <w:sz w:val="21"/>
              </w:rPr>
              <w:t>1.0</w:t>
            </w:r>
          </w:p>
        </w:tc>
        <w:tc>
          <w:tcPr>
            <w:tcW w:w="2232" w:type="dxa"/>
            <w:tcBorders>
              <w:top w:val="single" w:color="000000" w:sz="4" w:space="0"/>
              <w:left w:val="single" w:color="000000" w:sz="4" w:space="0"/>
              <w:bottom w:val="single" w:color="000000" w:sz="4" w:space="0"/>
            </w:tcBorders>
          </w:tcPr>
          <w:p>
            <w:pPr>
              <w:pStyle w:val="19"/>
              <w:spacing w:before="34"/>
              <w:ind w:left="152" w:right="133"/>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9"/>
              <w:spacing w:before="20"/>
              <w:ind w:left="484" w:right="465"/>
              <w:rPr>
                <w:sz w:val="21"/>
              </w:rPr>
            </w:pPr>
            <w:r>
              <w:rPr>
                <w:sz w:val="21"/>
              </w:rPr>
              <w:t>六价铬</w:t>
            </w:r>
          </w:p>
        </w:tc>
        <w:tc>
          <w:tcPr>
            <w:tcW w:w="845" w:type="dxa"/>
            <w:tcBorders>
              <w:top w:val="single" w:color="000000" w:sz="4" w:space="0"/>
              <w:left w:val="single" w:color="000000" w:sz="4" w:space="0"/>
              <w:bottom w:val="single" w:color="000000" w:sz="4" w:space="0"/>
              <w:right w:val="single" w:color="000000" w:sz="4" w:space="0"/>
            </w:tcBorders>
          </w:tcPr>
          <w:p>
            <w:pPr>
              <w:pStyle w:val="19"/>
              <w:spacing w:before="34"/>
              <w:ind w:right="110"/>
              <w:jc w:val="right"/>
              <w:rPr>
                <w:rFonts w:ascii="Times New Roman"/>
                <w:sz w:val="21"/>
              </w:rPr>
            </w:pPr>
            <w:r>
              <w:rPr>
                <w:rFonts w:ascii="Times New Roman"/>
                <w:w w:val="95"/>
                <w:sz w:val="21"/>
              </w:rPr>
              <w:t>&lt;0.004</w:t>
            </w:r>
          </w:p>
        </w:tc>
        <w:tc>
          <w:tcPr>
            <w:tcW w:w="966" w:type="dxa"/>
            <w:tcBorders>
              <w:top w:val="single" w:color="000000" w:sz="4" w:space="0"/>
              <w:left w:val="single" w:color="000000" w:sz="4" w:space="0"/>
              <w:bottom w:val="single" w:color="000000" w:sz="4" w:space="0"/>
              <w:right w:val="single" w:color="000000" w:sz="4" w:space="0"/>
            </w:tcBorders>
          </w:tcPr>
          <w:p>
            <w:pPr>
              <w:pStyle w:val="19"/>
              <w:spacing w:before="34"/>
              <w:ind w:left="151" w:right="133"/>
              <w:rPr>
                <w:rFonts w:ascii="Times New Roman"/>
                <w:sz w:val="21"/>
              </w:rPr>
            </w:pPr>
            <w:r>
              <w:rPr>
                <w:rFonts w:ascii="Times New Roman"/>
                <w:sz w:val="21"/>
              </w:rPr>
              <w:t>mg/L</w:t>
            </w:r>
          </w:p>
        </w:tc>
        <w:tc>
          <w:tcPr>
            <w:tcW w:w="1817" w:type="dxa"/>
            <w:tcBorders>
              <w:top w:val="single" w:color="000000" w:sz="4" w:space="0"/>
              <w:left w:val="single" w:color="000000" w:sz="4" w:space="0"/>
              <w:bottom w:val="single" w:color="000000" w:sz="4" w:space="0"/>
              <w:right w:val="single" w:color="000000" w:sz="4" w:space="0"/>
            </w:tcBorders>
          </w:tcPr>
          <w:p>
            <w:pPr>
              <w:pStyle w:val="19"/>
              <w:spacing w:before="34"/>
              <w:ind w:left="19"/>
              <w:rPr>
                <w:rFonts w:ascii="Times New Roman"/>
                <w:sz w:val="21"/>
              </w:rPr>
            </w:pPr>
            <w:r>
              <w:rPr>
                <w:rFonts w:ascii="Times New Roman"/>
                <w:w w:val="99"/>
                <w:sz w:val="21"/>
              </w:rPr>
              <w:t>5</w:t>
            </w:r>
          </w:p>
        </w:tc>
        <w:tc>
          <w:tcPr>
            <w:tcW w:w="1595" w:type="dxa"/>
            <w:tcBorders>
              <w:top w:val="single" w:color="000000" w:sz="4" w:space="0"/>
              <w:left w:val="single" w:color="000000" w:sz="4" w:space="0"/>
              <w:bottom w:val="single" w:color="000000" w:sz="4" w:space="0"/>
              <w:right w:val="single" w:color="000000" w:sz="4" w:space="0"/>
            </w:tcBorders>
          </w:tcPr>
          <w:p>
            <w:pPr>
              <w:pStyle w:val="19"/>
              <w:spacing w:before="34"/>
              <w:ind w:left="598" w:right="578"/>
              <w:rPr>
                <w:rFonts w:ascii="Times New Roman"/>
                <w:sz w:val="21"/>
              </w:rPr>
            </w:pPr>
            <w:r>
              <w:rPr>
                <w:rFonts w:ascii="Times New Roman"/>
                <w:sz w:val="21"/>
              </w:rPr>
              <w:t>0.5</w:t>
            </w:r>
          </w:p>
        </w:tc>
        <w:tc>
          <w:tcPr>
            <w:tcW w:w="2232" w:type="dxa"/>
            <w:tcBorders>
              <w:top w:val="single" w:color="000000" w:sz="4" w:space="0"/>
              <w:left w:val="single" w:color="000000" w:sz="4" w:space="0"/>
              <w:bottom w:val="single" w:color="000000" w:sz="4" w:space="0"/>
            </w:tcBorders>
          </w:tcPr>
          <w:p>
            <w:pPr>
              <w:pStyle w:val="19"/>
              <w:spacing w:before="34"/>
              <w:ind w:left="152" w:right="133"/>
              <w:rPr>
                <w:rFonts w:ascii="Times New Roman"/>
                <w:sz w:val="21"/>
              </w:rPr>
            </w:pPr>
            <w:r>
              <w:rPr>
                <w:rFonts w:asci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9"/>
              <w:spacing w:before="19"/>
              <w:ind w:left="484" w:right="465"/>
              <w:rPr>
                <w:sz w:val="21"/>
              </w:rPr>
            </w:pPr>
            <w:r>
              <w:rPr>
                <w:sz w:val="21"/>
              </w:rPr>
              <w:t>总铬</w:t>
            </w:r>
          </w:p>
        </w:tc>
        <w:tc>
          <w:tcPr>
            <w:tcW w:w="845" w:type="dxa"/>
            <w:tcBorders>
              <w:top w:val="single" w:color="000000" w:sz="4" w:space="0"/>
              <w:left w:val="single" w:color="000000" w:sz="4" w:space="0"/>
              <w:bottom w:val="single" w:color="000000" w:sz="4" w:space="0"/>
              <w:right w:val="single" w:color="000000" w:sz="4" w:space="0"/>
            </w:tcBorders>
          </w:tcPr>
          <w:p>
            <w:pPr>
              <w:pStyle w:val="19"/>
              <w:spacing w:before="36"/>
              <w:ind w:right="221"/>
              <w:jc w:val="right"/>
              <w:rPr>
                <w:rFonts w:ascii="Times New Roman"/>
                <w:sz w:val="21"/>
              </w:rPr>
            </w:pPr>
            <w:r>
              <w:rPr>
                <w:rFonts w:ascii="Times New Roman"/>
                <w:sz w:val="21"/>
              </w:rPr>
              <w:t>0.04</w:t>
            </w:r>
          </w:p>
        </w:tc>
        <w:tc>
          <w:tcPr>
            <w:tcW w:w="966" w:type="dxa"/>
            <w:tcBorders>
              <w:top w:val="single" w:color="000000" w:sz="4" w:space="0"/>
              <w:left w:val="single" w:color="000000" w:sz="4" w:space="0"/>
              <w:bottom w:val="single" w:color="000000" w:sz="4" w:space="0"/>
              <w:right w:val="single" w:color="000000" w:sz="4" w:space="0"/>
            </w:tcBorders>
          </w:tcPr>
          <w:p>
            <w:pPr>
              <w:pStyle w:val="19"/>
              <w:spacing w:before="36"/>
              <w:ind w:left="151" w:right="133"/>
              <w:rPr>
                <w:rFonts w:ascii="Times New Roman"/>
                <w:sz w:val="21"/>
              </w:rPr>
            </w:pPr>
            <w:r>
              <w:rPr>
                <w:rFonts w:ascii="Times New Roman"/>
                <w:sz w:val="21"/>
              </w:rPr>
              <w:t>mg/L</w:t>
            </w:r>
          </w:p>
        </w:tc>
        <w:tc>
          <w:tcPr>
            <w:tcW w:w="1817" w:type="dxa"/>
            <w:tcBorders>
              <w:top w:val="single" w:color="000000" w:sz="4" w:space="0"/>
              <w:left w:val="single" w:color="000000" w:sz="4" w:space="0"/>
              <w:bottom w:val="single" w:color="000000" w:sz="4" w:space="0"/>
              <w:right w:val="single" w:color="000000" w:sz="4" w:space="0"/>
            </w:tcBorders>
          </w:tcPr>
          <w:p>
            <w:pPr>
              <w:pStyle w:val="19"/>
              <w:spacing w:before="36"/>
              <w:ind w:left="71" w:right="52"/>
              <w:rPr>
                <w:rFonts w:ascii="Times New Roman"/>
                <w:sz w:val="21"/>
              </w:rPr>
            </w:pPr>
            <w:r>
              <w:rPr>
                <w:rFonts w:ascii="Times New Roman"/>
                <w:sz w:val="21"/>
              </w:rPr>
              <w:t>15</w:t>
            </w:r>
          </w:p>
        </w:tc>
        <w:tc>
          <w:tcPr>
            <w:tcW w:w="1595" w:type="dxa"/>
            <w:tcBorders>
              <w:top w:val="single" w:color="000000" w:sz="4" w:space="0"/>
              <w:left w:val="single" w:color="000000" w:sz="4" w:space="0"/>
              <w:bottom w:val="single" w:color="000000" w:sz="4" w:space="0"/>
              <w:right w:val="single" w:color="000000" w:sz="4" w:space="0"/>
            </w:tcBorders>
          </w:tcPr>
          <w:p>
            <w:pPr>
              <w:pStyle w:val="19"/>
              <w:spacing w:before="36"/>
              <w:ind w:left="598" w:right="578"/>
              <w:rPr>
                <w:rFonts w:ascii="Times New Roman"/>
                <w:sz w:val="21"/>
              </w:rPr>
            </w:pPr>
            <w:r>
              <w:rPr>
                <w:rFonts w:ascii="Times New Roman"/>
                <w:sz w:val="21"/>
              </w:rPr>
              <w:t>1.5</w:t>
            </w:r>
          </w:p>
        </w:tc>
        <w:tc>
          <w:tcPr>
            <w:tcW w:w="2232" w:type="dxa"/>
            <w:tcBorders>
              <w:top w:val="single" w:color="000000" w:sz="4" w:space="0"/>
              <w:left w:val="single" w:color="000000" w:sz="4" w:space="0"/>
              <w:bottom w:val="single" w:color="000000" w:sz="4" w:space="0"/>
            </w:tcBorders>
          </w:tcPr>
          <w:p>
            <w:pPr>
              <w:pStyle w:val="19"/>
              <w:spacing w:before="36"/>
              <w:ind w:left="16"/>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9"/>
              <w:spacing w:before="19"/>
              <w:ind w:left="479" w:right="465"/>
              <w:rPr>
                <w:sz w:val="21"/>
              </w:rPr>
            </w:pPr>
            <w:r>
              <w:rPr>
                <w:sz w:val="21"/>
              </w:rPr>
              <w:t>总汞</w:t>
            </w:r>
          </w:p>
        </w:tc>
        <w:tc>
          <w:tcPr>
            <w:tcW w:w="845" w:type="dxa"/>
            <w:tcBorders>
              <w:top w:val="single" w:color="000000" w:sz="4" w:space="0"/>
              <w:left w:val="single" w:color="000000" w:sz="4" w:space="0"/>
              <w:bottom w:val="single" w:color="000000" w:sz="4" w:space="0"/>
              <w:right w:val="single" w:color="000000" w:sz="4" w:space="0"/>
            </w:tcBorders>
          </w:tcPr>
          <w:p>
            <w:pPr>
              <w:pStyle w:val="19"/>
              <w:spacing w:before="35"/>
              <w:ind w:right="161"/>
              <w:jc w:val="right"/>
              <w:rPr>
                <w:rFonts w:ascii="Times New Roman"/>
                <w:sz w:val="21"/>
              </w:rPr>
            </w:pPr>
            <w:r>
              <w:rPr>
                <w:rFonts w:ascii="Times New Roman"/>
                <w:sz w:val="21"/>
              </w:rPr>
              <w:t>&lt;0.05</w:t>
            </w:r>
          </w:p>
        </w:tc>
        <w:tc>
          <w:tcPr>
            <w:tcW w:w="966" w:type="dxa"/>
            <w:tcBorders>
              <w:top w:val="single" w:color="000000" w:sz="4" w:space="0"/>
              <w:left w:val="single" w:color="000000" w:sz="4" w:space="0"/>
              <w:bottom w:val="single" w:color="000000" w:sz="4" w:space="0"/>
              <w:right w:val="single" w:color="000000" w:sz="4" w:space="0"/>
            </w:tcBorders>
          </w:tcPr>
          <w:p>
            <w:pPr>
              <w:pStyle w:val="19"/>
              <w:spacing w:before="35"/>
              <w:ind w:left="151" w:right="133"/>
              <w:rPr>
                <w:rFonts w:ascii="Times New Roman" w:hAnsi="Times New Roman"/>
                <w:sz w:val="21"/>
              </w:rPr>
            </w:pPr>
            <w:r>
              <w:rPr>
                <w:rFonts w:ascii="Times New Roman" w:hAnsi="Times New Roman"/>
                <w:sz w:val="21"/>
              </w:rPr>
              <w:t>μg/L</w:t>
            </w:r>
          </w:p>
        </w:tc>
        <w:tc>
          <w:tcPr>
            <w:tcW w:w="1817" w:type="dxa"/>
            <w:tcBorders>
              <w:top w:val="single" w:color="000000" w:sz="4" w:space="0"/>
              <w:left w:val="single" w:color="000000" w:sz="4" w:space="0"/>
              <w:bottom w:val="single" w:color="000000" w:sz="4" w:space="0"/>
              <w:right w:val="single" w:color="000000" w:sz="4" w:space="0"/>
            </w:tcBorders>
          </w:tcPr>
          <w:p>
            <w:pPr>
              <w:pStyle w:val="19"/>
              <w:spacing w:before="35"/>
              <w:ind w:left="71" w:right="52"/>
              <w:rPr>
                <w:rFonts w:ascii="Times New Roman"/>
                <w:sz w:val="21"/>
              </w:rPr>
            </w:pPr>
            <w:r>
              <w:rPr>
                <w:rFonts w:ascii="Times New Roman"/>
                <w:sz w:val="21"/>
              </w:rPr>
              <w:t>0.1</w:t>
            </w:r>
          </w:p>
        </w:tc>
        <w:tc>
          <w:tcPr>
            <w:tcW w:w="1595" w:type="dxa"/>
            <w:tcBorders>
              <w:top w:val="single" w:color="000000" w:sz="4" w:space="0"/>
              <w:left w:val="single" w:color="000000" w:sz="4" w:space="0"/>
              <w:bottom w:val="single" w:color="000000" w:sz="4" w:space="0"/>
              <w:right w:val="single" w:color="000000" w:sz="4" w:space="0"/>
            </w:tcBorders>
          </w:tcPr>
          <w:p>
            <w:pPr>
              <w:pStyle w:val="19"/>
              <w:spacing w:before="35"/>
              <w:ind w:left="598" w:right="578"/>
              <w:rPr>
                <w:rFonts w:ascii="Times New Roman"/>
                <w:sz w:val="21"/>
              </w:rPr>
            </w:pPr>
            <w:r>
              <w:rPr>
                <w:rFonts w:ascii="Times New Roman"/>
                <w:sz w:val="21"/>
              </w:rPr>
              <w:t>0.05</w:t>
            </w:r>
          </w:p>
        </w:tc>
        <w:tc>
          <w:tcPr>
            <w:tcW w:w="2232" w:type="dxa"/>
            <w:tcBorders>
              <w:top w:val="single" w:color="000000" w:sz="4" w:space="0"/>
              <w:left w:val="single" w:color="000000" w:sz="4" w:space="0"/>
              <w:bottom w:val="single" w:color="000000" w:sz="4" w:space="0"/>
            </w:tcBorders>
          </w:tcPr>
          <w:p>
            <w:pPr>
              <w:pStyle w:val="19"/>
              <w:spacing w:before="35"/>
              <w:ind w:left="152" w:right="133"/>
              <w:rPr>
                <w:rFonts w:ascii="Times New Roman"/>
                <w:sz w:val="21"/>
              </w:rPr>
            </w:pPr>
            <w:r>
              <w:rPr>
                <w:rFonts w:ascii="Times New Roman"/>
                <w:sz w:val="21"/>
              </w:rPr>
              <w:t>0.001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9"/>
              <w:spacing w:before="21"/>
              <w:ind w:left="479" w:right="465"/>
              <w:rPr>
                <w:sz w:val="21"/>
              </w:rPr>
            </w:pPr>
            <w:r>
              <w:rPr>
                <w:sz w:val="21"/>
              </w:rPr>
              <w:t>总砷</w:t>
            </w:r>
          </w:p>
        </w:tc>
        <w:tc>
          <w:tcPr>
            <w:tcW w:w="845" w:type="dxa"/>
            <w:tcBorders>
              <w:top w:val="single" w:color="000000" w:sz="4" w:space="0"/>
              <w:left w:val="single" w:color="000000" w:sz="4" w:space="0"/>
              <w:bottom w:val="single" w:color="000000" w:sz="4" w:space="0"/>
              <w:right w:val="single" w:color="000000" w:sz="4" w:space="0"/>
            </w:tcBorders>
          </w:tcPr>
          <w:p>
            <w:pPr>
              <w:pStyle w:val="19"/>
              <w:spacing w:before="35"/>
              <w:ind w:right="216"/>
              <w:jc w:val="right"/>
              <w:rPr>
                <w:rFonts w:ascii="Times New Roman"/>
                <w:sz w:val="21"/>
              </w:rPr>
            </w:pPr>
            <w:r>
              <w:rPr>
                <w:rFonts w:ascii="Times New Roman"/>
                <w:w w:val="95"/>
                <w:sz w:val="21"/>
              </w:rPr>
              <w:t>&lt;0.1</w:t>
            </w:r>
          </w:p>
        </w:tc>
        <w:tc>
          <w:tcPr>
            <w:tcW w:w="966" w:type="dxa"/>
            <w:tcBorders>
              <w:top w:val="single" w:color="000000" w:sz="4" w:space="0"/>
              <w:left w:val="single" w:color="000000" w:sz="4" w:space="0"/>
              <w:bottom w:val="single" w:color="000000" w:sz="4" w:space="0"/>
              <w:right w:val="single" w:color="000000" w:sz="4" w:space="0"/>
            </w:tcBorders>
          </w:tcPr>
          <w:p>
            <w:pPr>
              <w:pStyle w:val="19"/>
              <w:spacing w:before="35"/>
              <w:ind w:left="151" w:right="133"/>
              <w:rPr>
                <w:rFonts w:ascii="Times New Roman" w:hAnsi="Times New Roman"/>
                <w:sz w:val="21"/>
              </w:rPr>
            </w:pPr>
            <w:r>
              <w:rPr>
                <w:rFonts w:ascii="Times New Roman" w:hAnsi="Times New Roman"/>
                <w:sz w:val="21"/>
              </w:rPr>
              <w:t>μg/L</w:t>
            </w:r>
          </w:p>
        </w:tc>
        <w:tc>
          <w:tcPr>
            <w:tcW w:w="1817" w:type="dxa"/>
            <w:tcBorders>
              <w:top w:val="single" w:color="000000" w:sz="4" w:space="0"/>
              <w:left w:val="single" w:color="000000" w:sz="4" w:space="0"/>
              <w:bottom w:val="single" w:color="000000" w:sz="4" w:space="0"/>
              <w:right w:val="single" w:color="000000" w:sz="4" w:space="0"/>
            </w:tcBorders>
          </w:tcPr>
          <w:p>
            <w:pPr>
              <w:pStyle w:val="19"/>
              <w:spacing w:before="35"/>
              <w:ind w:left="19"/>
              <w:rPr>
                <w:rFonts w:ascii="Times New Roman"/>
                <w:sz w:val="21"/>
              </w:rPr>
            </w:pPr>
            <w:r>
              <w:rPr>
                <w:rFonts w:ascii="Times New Roman"/>
                <w:w w:val="99"/>
                <w:sz w:val="21"/>
              </w:rPr>
              <w:t>5</w:t>
            </w:r>
          </w:p>
        </w:tc>
        <w:tc>
          <w:tcPr>
            <w:tcW w:w="1595" w:type="dxa"/>
            <w:tcBorders>
              <w:top w:val="single" w:color="000000" w:sz="4" w:space="0"/>
              <w:left w:val="single" w:color="000000" w:sz="4" w:space="0"/>
              <w:bottom w:val="single" w:color="000000" w:sz="4" w:space="0"/>
              <w:right w:val="single" w:color="000000" w:sz="4" w:space="0"/>
            </w:tcBorders>
          </w:tcPr>
          <w:p>
            <w:pPr>
              <w:pStyle w:val="19"/>
              <w:spacing w:before="35"/>
              <w:ind w:left="598" w:right="578"/>
              <w:rPr>
                <w:rFonts w:ascii="Times New Roman"/>
                <w:sz w:val="21"/>
              </w:rPr>
            </w:pPr>
            <w:r>
              <w:rPr>
                <w:rFonts w:ascii="Times New Roman"/>
                <w:sz w:val="21"/>
              </w:rPr>
              <w:t>0.5</w:t>
            </w:r>
          </w:p>
        </w:tc>
        <w:tc>
          <w:tcPr>
            <w:tcW w:w="2232" w:type="dxa"/>
            <w:tcBorders>
              <w:top w:val="single" w:color="000000" w:sz="4" w:space="0"/>
              <w:left w:val="single" w:color="000000" w:sz="4" w:space="0"/>
              <w:bottom w:val="single" w:color="000000" w:sz="4" w:space="0"/>
            </w:tcBorders>
          </w:tcPr>
          <w:p>
            <w:pPr>
              <w:pStyle w:val="19"/>
              <w:spacing w:before="35"/>
              <w:ind w:left="152" w:right="133"/>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635" w:type="dxa"/>
            <w:tcBorders>
              <w:top w:val="single" w:color="000000" w:sz="4" w:space="0"/>
              <w:bottom w:val="single" w:color="000000" w:sz="4" w:space="0"/>
              <w:right w:val="single" w:color="000000" w:sz="4" w:space="0"/>
            </w:tcBorders>
          </w:tcPr>
          <w:p>
            <w:pPr>
              <w:pStyle w:val="19"/>
              <w:spacing w:before="20"/>
              <w:ind w:left="484" w:right="465"/>
              <w:rPr>
                <w:sz w:val="21"/>
              </w:rPr>
            </w:pPr>
            <w:r>
              <w:rPr>
                <w:sz w:val="21"/>
              </w:rPr>
              <w:t>总镍</w:t>
            </w:r>
          </w:p>
        </w:tc>
        <w:tc>
          <w:tcPr>
            <w:tcW w:w="845" w:type="dxa"/>
            <w:tcBorders>
              <w:top w:val="single" w:color="000000" w:sz="4" w:space="0"/>
              <w:left w:val="single" w:color="000000" w:sz="4" w:space="0"/>
              <w:bottom w:val="single" w:color="000000" w:sz="4" w:space="0"/>
              <w:right w:val="single" w:color="000000" w:sz="4" w:space="0"/>
            </w:tcBorders>
          </w:tcPr>
          <w:p>
            <w:pPr>
              <w:pStyle w:val="19"/>
              <w:spacing w:before="34"/>
              <w:ind w:right="161"/>
              <w:jc w:val="right"/>
              <w:rPr>
                <w:rFonts w:ascii="Times New Roman"/>
                <w:sz w:val="21"/>
              </w:rPr>
            </w:pPr>
            <w:r>
              <w:rPr>
                <w:rFonts w:ascii="Times New Roman"/>
                <w:sz w:val="21"/>
              </w:rPr>
              <w:t>&lt;0.03</w:t>
            </w:r>
          </w:p>
        </w:tc>
        <w:tc>
          <w:tcPr>
            <w:tcW w:w="966" w:type="dxa"/>
            <w:tcBorders>
              <w:top w:val="single" w:color="000000" w:sz="4" w:space="0"/>
              <w:left w:val="single" w:color="000000" w:sz="4" w:space="0"/>
              <w:bottom w:val="single" w:color="000000" w:sz="4" w:space="0"/>
              <w:right w:val="single" w:color="000000" w:sz="4" w:space="0"/>
            </w:tcBorders>
          </w:tcPr>
          <w:p>
            <w:pPr>
              <w:pStyle w:val="19"/>
              <w:spacing w:before="34"/>
              <w:ind w:left="151" w:right="133"/>
              <w:rPr>
                <w:rFonts w:ascii="Times New Roman"/>
                <w:sz w:val="21"/>
              </w:rPr>
            </w:pPr>
            <w:r>
              <w:rPr>
                <w:rFonts w:ascii="Times New Roman"/>
                <w:sz w:val="21"/>
              </w:rPr>
              <w:t>mg/L</w:t>
            </w:r>
          </w:p>
        </w:tc>
        <w:tc>
          <w:tcPr>
            <w:tcW w:w="1817" w:type="dxa"/>
            <w:tcBorders>
              <w:top w:val="single" w:color="000000" w:sz="4" w:space="0"/>
              <w:left w:val="single" w:color="000000" w:sz="4" w:space="0"/>
              <w:bottom w:val="single" w:color="000000" w:sz="4" w:space="0"/>
              <w:right w:val="single" w:color="000000" w:sz="4" w:space="0"/>
            </w:tcBorders>
          </w:tcPr>
          <w:p>
            <w:pPr>
              <w:pStyle w:val="19"/>
              <w:spacing w:before="34"/>
              <w:ind w:left="19"/>
              <w:rPr>
                <w:rFonts w:ascii="Times New Roman"/>
                <w:sz w:val="21"/>
              </w:rPr>
            </w:pPr>
            <w:r>
              <w:rPr>
                <w:rFonts w:ascii="Times New Roman"/>
                <w:w w:val="99"/>
                <w:sz w:val="21"/>
              </w:rPr>
              <w:t>5</w:t>
            </w:r>
          </w:p>
        </w:tc>
        <w:tc>
          <w:tcPr>
            <w:tcW w:w="1595" w:type="dxa"/>
            <w:tcBorders>
              <w:top w:val="single" w:color="000000" w:sz="4" w:space="0"/>
              <w:left w:val="single" w:color="000000" w:sz="4" w:space="0"/>
              <w:bottom w:val="single" w:color="000000" w:sz="4" w:space="0"/>
              <w:right w:val="single" w:color="000000" w:sz="4" w:space="0"/>
            </w:tcBorders>
          </w:tcPr>
          <w:p>
            <w:pPr>
              <w:pStyle w:val="19"/>
              <w:spacing w:before="34"/>
              <w:ind w:left="598" w:right="578"/>
              <w:rPr>
                <w:rFonts w:ascii="Times New Roman"/>
                <w:sz w:val="21"/>
              </w:rPr>
            </w:pPr>
            <w:r>
              <w:rPr>
                <w:rFonts w:ascii="Times New Roman"/>
                <w:sz w:val="21"/>
              </w:rPr>
              <w:t>1.0</w:t>
            </w:r>
          </w:p>
        </w:tc>
        <w:tc>
          <w:tcPr>
            <w:tcW w:w="2232" w:type="dxa"/>
            <w:tcBorders>
              <w:top w:val="single" w:color="000000" w:sz="4" w:space="0"/>
              <w:left w:val="single" w:color="000000" w:sz="4" w:space="0"/>
              <w:bottom w:val="single" w:color="000000" w:sz="4" w:space="0"/>
            </w:tcBorders>
          </w:tcPr>
          <w:p>
            <w:pPr>
              <w:pStyle w:val="19"/>
              <w:spacing w:before="34"/>
              <w:ind w:left="152" w:right="133"/>
              <w:rPr>
                <w:rFonts w:ascii="Times New Roman"/>
                <w:sz w:val="21"/>
              </w:rPr>
            </w:pPr>
            <w:r>
              <w:rPr>
                <w:rFonts w:ascii="Times New Roman"/>
                <w:sz w:val="21"/>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9"/>
              <w:spacing w:before="20"/>
              <w:ind w:left="484" w:right="465"/>
              <w:rPr>
                <w:sz w:val="21"/>
              </w:rPr>
            </w:pPr>
            <w:r>
              <w:rPr>
                <w:sz w:val="21"/>
              </w:rPr>
              <w:t>总铍</w:t>
            </w:r>
          </w:p>
        </w:tc>
        <w:tc>
          <w:tcPr>
            <w:tcW w:w="845" w:type="dxa"/>
            <w:tcBorders>
              <w:top w:val="single" w:color="000000" w:sz="4" w:space="0"/>
              <w:left w:val="single" w:color="000000" w:sz="4" w:space="0"/>
              <w:bottom w:val="single" w:color="000000" w:sz="4" w:space="0"/>
              <w:right w:val="single" w:color="000000" w:sz="4" w:space="0"/>
            </w:tcBorders>
          </w:tcPr>
          <w:p>
            <w:pPr>
              <w:pStyle w:val="19"/>
              <w:spacing w:before="34"/>
              <w:ind w:right="216"/>
              <w:jc w:val="right"/>
              <w:rPr>
                <w:rFonts w:ascii="Times New Roman"/>
                <w:sz w:val="21"/>
              </w:rPr>
            </w:pPr>
            <w:r>
              <w:rPr>
                <w:rFonts w:ascii="Times New Roman"/>
                <w:w w:val="95"/>
                <w:sz w:val="21"/>
              </w:rPr>
              <w:t>&lt;0.1</w:t>
            </w:r>
          </w:p>
        </w:tc>
        <w:tc>
          <w:tcPr>
            <w:tcW w:w="966" w:type="dxa"/>
            <w:tcBorders>
              <w:top w:val="single" w:color="000000" w:sz="4" w:space="0"/>
              <w:left w:val="single" w:color="000000" w:sz="4" w:space="0"/>
              <w:bottom w:val="single" w:color="000000" w:sz="4" w:space="0"/>
              <w:right w:val="single" w:color="000000" w:sz="4" w:space="0"/>
            </w:tcBorders>
          </w:tcPr>
          <w:p>
            <w:pPr>
              <w:pStyle w:val="19"/>
              <w:spacing w:before="34"/>
              <w:ind w:left="151" w:right="133"/>
              <w:rPr>
                <w:rFonts w:ascii="Times New Roman" w:hAnsi="Times New Roman"/>
                <w:sz w:val="21"/>
              </w:rPr>
            </w:pPr>
            <w:r>
              <w:rPr>
                <w:rFonts w:ascii="Times New Roman" w:hAnsi="Times New Roman"/>
                <w:sz w:val="21"/>
              </w:rPr>
              <w:t>μg/L</w:t>
            </w:r>
          </w:p>
        </w:tc>
        <w:tc>
          <w:tcPr>
            <w:tcW w:w="1817" w:type="dxa"/>
            <w:tcBorders>
              <w:top w:val="single" w:color="000000" w:sz="4" w:space="0"/>
              <w:left w:val="single" w:color="000000" w:sz="4" w:space="0"/>
              <w:bottom w:val="single" w:color="000000" w:sz="4" w:space="0"/>
              <w:right w:val="single" w:color="000000" w:sz="4" w:space="0"/>
            </w:tcBorders>
          </w:tcPr>
          <w:p>
            <w:pPr>
              <w:pStyle w:val="19"/>
              <w:spacing w:before="34"/>
              <w:ind w:left="71" w:right="52"/>
              <w:rPr>
                <w:rFonts w:ascii="Times New Roman"/>
                <w:sz w:val="21"/>
              </w:rPr>
            </w:pPr>
            <w:r>
              <w:rPr>
                <w:rFonts w:ascii="Times New Roman"/>
                <w:sz w:val="21"/>
              </w:rPr>
              <w:t>0.02</w:t>
            </w:r>
          </w:p>
        </w:tc>
        <w:tc>
          <w:tcPr>
            <w:tcW w:w="1595" w:type="dxa"/>
            <w:tcBorders>
              <w:top w:val="single" w:color="000000" w:sz="4" w:space="0"/>
              <w:left w:val="single" w:color="000000" w:sz="4" w:space="0"/>
              <w:bottom w:val="single" w:color="000000" w:sz="4" w:space="0"/>
              <w:right w:val="single" w:color="000000" w:sz="4" w:space="0"/>
            </w:tcBorders>
          </w:tcPr>
          <w:p>
            <w:pPr>
              <w:pStyle w:val="19"/>
              <w:spacing w:before="34"/>
              <w:ind w:left="17"/>
              <w:rPr>
                <w:rFonts w:ascii="Times New Roman"/>
                <w:sz w:val="21"/>
              </w:rPr>
            </w:pPr>
            <w:r>
              <w:rPr>
                <w:rFonts w:ascii="Times New Roman"/>
                <w:w w:val="99"/>
                <w:sz w:val="21"/>
              </w:rPr>
              <w:t>/</w:t>
            </w:r>
          </w:p>
        </w:tc>
        <w:tc>
          <w:tcPr>
            <w:tcW w:w="2232" w:type="dxa"/>
            <w:tcBorders>
              <w:top w:val="single" w:color="000000" w:sz="4" w:space="0"/>
              <w:left w:val="single" w:color="000000" w:sz="4" w:space="0"/>
              <w:bottom w:val="single" w:color="000000" w:sz="4" w:space="0"/>
            </w:tcBorders>
          </w:tcPr>
          <w:p>
            <w:pPr>
              <w:pStyle w:val="19"/>
              <w:spacing w:before="34"/>
              <w:ind w:left="152" w:right="133"/>
              <w:rPr>
                <w:rFonts w:ascii="Times New Roman"/>
                <w:sz w:val="21"/>
              </w:rPr>
            </w:pPr>
            <w:r>
              <w:rPr>
                <w:rFonts w:ascii="Times New Roman"/>
                <w:sz w:val="21"/>
              </w:rPr>
              <w:t>0.002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635" w:type="dxa"/>
            <w:tcBorders>
              <w:top w:val="single" w:color="000000" w:sz="4" w:space="0"/>
              <w:bottom w:val="single" w:color="000000" w:sz="4" w:space="0"/>
              <w:right w:val="single" w:color="000000" w:sz="4" w:space="0"/>
            </w:tcBorders>
          </w:tcPr>
          <w:p>
            <w:pPr>
              <w:pStyle w:val="19"/>
              <w:spacing w:before="20"/>
              <w:ind w:left="484" w:right="465"/>
              <w:rPr>
                <w:sz w:val="21"/>
              </w:rPr>
            </w:pPr>
            <w:r>
              <w:rPr>
                <w:sz w:val="21"/>
              </w:rPr>
              <w:t>总硒</w:t>
            </w:r>
          </w:p>
        </w:tc>
        <w:tc>
          <w:tcPr>
            <w:tcW w:w="845" w:type="dxa"/>
            <w:tcBorders>
              <w:top w:val="single" w:color="000000" w:sz="4" w:space="0"/>
              <w:left w:val="single" w:color="000000" w:sz="4" w:space="0"/>
              <w:bottom w:val="single" w:color="000000" w:sz="4" w:space="0"/>
              <w:right w:val="single" w:color="000000" w:sz="4" w:space="0"/>
            </w:tcBorders>
          </w:tcPr>
          <w:p>
            <w:pPr>
              <w:pStyle w:val="19"/>
              <w:spacing w:before="34"/>
              <w:ind w:right="216"/>
              <w:jc w:val="right"/>
              <w:rPr>
                <w:rFonts w:ascii="Times New Roman"/>
                <w:sz w:val="21"/>
              </w:rPr>
            </w:pPr>
            <w:r>
              <w:rPr>
                <w:rFonts w:ascii="Times New Roman"/>
                <w:w w:val="95"/>
                <w:sz w:val="21"/>
              </w:rPr>
              <w:t>&lt;0.2</w:t>
            </w:r>
          </w:p>
        </w:tc>
        <w:tc>
          <w:tcPr>
            <w:tcW w:w="966" w:type="dxa"/>
            <w:tcBorders>
              <w:top w:val="single" w:color="000000" w:sz="4" w:space="0"/>
              <w:left w:val="single" w:color="000000" w:sz="4" w:space="0"/>
              <w:bottom w:val="single" w:color="000000" w:sz="4" w:space="0"/>
              <w:right w:val="single" w:color="000000" w:sz="4" w:space="0"/>
            </w:tcBorders>
          </w:tcPr>
          <w:p>
            <w:pPr>
              <w:pStyle w:val="19"/>
              <w:spacing w:before="34"/>
              <w:ind w:left="151" w:right="133"/>
              <w:rPr>
                <w:rFonts w:ascii="Times New Roman" w:hAnsi="Times New Roman"/>
                <w:sz w:val="21"/>
              </w:rPr>
            </w:pPr>
            <w:r>
              <w:rPr>
                <w:rFonts w:ascii="Times New Roman" w:hAnsi="Times New Roman"/>
                <w:sz w:val="21"/>
              </w:rPr>
              <w:t>μg/L</w:t>
            </w:r>
          </w:p>
        </w:tc>
        <w:tc>
          <w:tcPr>
            <w:tcW w:w="1817" w:type="dxa"/>
            <w:tcBorders>
              <w:top w:val="single" w:color="000000" w:sz="4" w:space="0"/>
              <w:left w:val="single" w:color="000000" w:sz="4" w:space="0"/>
              <w:bottom w:val="single" w:color="000000" w:sz="4" w:space="0"/>
              <w:right w:val="single" w:color="000000" w:sz="4" w:space="0"/>
            </w:tcBorders>
          </w:tcPr>
          <w:p>
            <w:pPr>
              <w:pStyle w:val="19"/>
              <w:spacing w:before="34"/>
              <w:ind w:left="19"/>
              <w:rPr>
                <w:rFonts w:ascii="Times New Roman"/>
                <w:sz w:val="21"/>
              </w:rPr>
            </w:pPr>
            <w:r>
              <w:rPr>
                <w:rFonts w:ascii="Times New Roman"/>
                <w:w w:val="99"/>
                <w:sz w:val="21"/>
              </w:rPr>
              <w:t>1</w:t>
            </w:r>
          </w:p>
        </w:tc>
        <w:tc>
          <w:tcPr>
            <w:tcW w:w="1595" w:type="dxa"/>
            <w:tcBorders>
              <w:top w:val="single" w:color="000000" w:sz="4" w:space="0"/>
              <w:left w:val="single" w:color="000000" w:sz="4" w:space="0"/>
              <w:bottom w:val="single" w:color="000000" w:sz="4" w:space="0"/>
              <w:right w:val="single" w:color="000000" w:sz="4" w:space="0"/>
            </w:tcBorders>
          </w:tcPr>
          <w:p>
            <w:pPr>
              <w:pStyle w:val="19"/>
              <w:spacing w:before="34"/>
              <w:ind w:left="598" w:right="578"/>
              <w:rPr>
                <w:rFonts w:ascii="Times New Roman"/>
                <w:sz w:val="21"/>
              </w:rPr>
            </w:pPr>
            <w:r>
              <w:rPr>
                <w:rFonts w:ascii="Times New Roman"/>
                <w:sz w:val="21"/>
              </w:rPr>
              <w:t>0.1</w:t>
            </w:r>
          </w:p>
        </w:tc>
        <w:tc>
          <w:tcPr>
            <w:tcW w:w="2232" w:type="dxa"/>
            <w:tcBorders>
              <w:top w:val="single" w:color="000000" w:sz="4" w:space="0"/>
              <w:left w:val="single" w:color="000000" w:sz="4" w:space="0"/>
              <w:bottom w:val="single" w:color="000000" w:sz="4" w:space="0"/>
            </w:tcBorders>
          </w:tcPr>
          <w:p>
            <w:pPr>
              <w:pStyle w:val="19"/>
              <w:spacing w:before="34"/>
              <w:ind w:left="152" w:right="133"/>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635" w:type="dxa"/>
            <w:tcBorders>
              <w:top w:val="single" w:color="000000" w:sz="4" w:space="0"/>
              <w:right w:val="single" w:color="000000" w:sz="4" w:space="0"/>
            </w:tcBorders>
          </w:tcPr>
          <w:p>
            <w:pPr>
              <w:pStyle w:val="19"/>
              <w:spacing w:before="19"/>
              <w:ind w:left="484" w:right="465"/>
              <w:rPr>
                <w:sz w:val="21"/>
              </w:rPr>
            </w:pPr>
            <w:r>
              <w:rPr>
                <w:sz w:val="21"/>
              </w:rPr>
              <w:t>氟化物</w:t>
            </w:r>
          </w:p>
        </w:tc>
        <w:tc>
          <w:tcPr>
            <w:tcW w:w="845" w:type="dxa"/>
            <w:tcBorders>
              <w:top w:val="single" w:color="000000" w:sz="4" w:space="0"/>
              <w:left w:val="single" w:color="000000" w:sz="4" w:space="0"/>
              <w:right w:val="single" w:color="000000" w:sz="4" w:space="0"/>
            </w:tcBorders>
          </w:tcPr>
          <w:p>
            <w:pPr>
              <w:pStyle w:val="19"/>
              <w:spacing w:before="36"/>
              <w:ind w:right="163"/>
              <w:jc w:val="right"/>
              <w:rPr>
                <w:rFonts w:ascii="Times New Roman"/>
                <w:sz w:val="21"/>
              </w:rPr>
            </w:pPr>
            <w:r>
              <w:rPr>
                <w:rFonts w:ascii="Times New Roman"/>
                <w:w w:val="95"/>
                <w:sz w:val="21"/>
              </w:rPr>
              <w:t>&lt;0.05</w:t>
            </w:r>
          </w:p>
        </w:tc>
        <w:tc>
          <w:tcPr>
            <w:tcW w:w="966" w:type="dxa"/>
            <w:tcBorders>
              <w:top w:val="single" w:color="000000" w:sz="4" w:space="0"/>
              <w:left w:val="single" w:color="000000" w:sz="4" w:space="0"/>
              <w:right w:val="single" w:color="000000" w:sz="4" w:space="0"/>
            </w:tcBorders>
          </w:tcPr>
          <w:p>
            <w:pPr>
              <w:pStyle w:val="19"/>
              <w:spacing w:before="36"/>
              <w:ind w:left="151" w:right="133"/>
              <w:rPr>
                <w:rFonts w:ascii="Times New Roman"/>
                <w:sz w:val="21"/>
              </w:rPr>
            </w:pPr>
            <w:r>
              <w:rPr>
                <w:rFonts w:ascii="Times New Roman"/>
                <w:sz w:val="21"/>
              </w:rPr>
              <w:t>mg/L</w:t>
            </w:r>
          </w:p>
        </w:tc>
        <w:tc>
          <w:tcPr>
            <w:tcW w:w="1817" w:type="dxa"/>
            <w:tcBorders>
              <w:top w:val="single" w:color="000000" w:sz="4" w:space="0"/>
              <w:left w:val="single" w:color="000000" w:sz="4" w:space="0"/>
              <w:right w:val="single" w:color="000000" w:sz="4" w:space="0"/>
            </w:tcBorders>
          </w:tcPr>
          <w:p>
            <w:pPr>
              <w:pStyle w:val="19"/>
              <w:spacing w:before="36"/>
              <w:ind w:left="71" w:right="52"/>
              <w:rPr>
                <w:rFonts w:ascii="Times New Roman"/>
                <w:sz w:val="21"/>
              </w:rPr>
            </w:pPr>
            <w:r>
              <w:rPr>
                <w:rFonts w:ascii="Times New Roman"/>
                <w:sz w:val="21"/>
              </w:rPr>
              <w:t>100</w:t>
            </w:r>
          </w:p>
        </w:tc>
        <w:tc>
          <w:tcPr>
            <w:tcW w:w="1595" w:type="dxa"/>
            <w:tcBorders>
              <w:top w:val="single" w:color="000000" w:sz="4" w:space="0"/>
              <w:left w:val="single" w:color="000000" w:sz="4" w:space="0"/>
              <w:right w:val="single" w:color="000000" w:sz="4" w:space="0"/>
            </w:tcBorders>
          </w:tcPr>
          <w:p>
            <w:pPr>
              <w:pStyle w:val="19"/>
              <w:spacing w:before="36"/>
              <w:ind w:left="593" w:right="578"/>
              <w:rPr>
                <w:rFonts w:ascii="Times New Roman"/>
                <w:sz w:val="21"/>
              </w:rPr>
            </w:pPr>
            <w:r>
              <w:rPr>
                <w:rFonts w:ascii="Times New Roman"/>
                <w:sz w:val="21"/>
              </w:rPr>
              <w:t>10</w:t>
            </w:r>
          </w:p>
        </w:tc>
        <w:tc>
          <w:tcPr>
            <w:tcW w:w="2232" w:type="dxa"/>
            <w:tcBorders>
              <w:top w:val="single" w:color="000000" w:sz="4" w:space="0"/>
              <w:left w:val="single" w:color="000000" w:sz="4" w:space="0"/>
            </w:tcBorders>
          </w:tcPr>
          <w:p>
            <w:pPr>
              <w:pStyle w:val="19"/>
              <w:spacing w:before="36"/>
              <w:ind w:left="152" w:right="133"/>
              <w:rPr>
                <w:rFonts w:ascii="Times New Roman"/>
                <w:sz w:val="21"/>
              </w:rPr>
            </w:pPr>
            <w:r>
              <w:rPr>
                <w:rFonts w:ascii="Times New Roman"/>
                <w:sz w:val="21"/>
              </w:rPr>
              <w:t>1.0</w:t>
            </w:r>
          </w:p>
        </w:tc>
      </w:tr>
    </w:tbl>
    <w:p>
      <w:pPr>
        <w:pStyle w:val="9"/>
        <w:spacing w:before="3" w:line="364" w:lineRule="auto"/>
        <w:ind w:left="1418" w:right="1408" w:firstLine="480"/>
        <w:jc w:val="both"/>
      </w:pPr>
      <w:r>
        <w:rPr>
          <w:color w:val="FF0000"/>
        </w:rPr>
        <w:t>由监测数据可以看出，矸石浸出液中各分析指标均远远小于《危险废物鉴别标准</w:t>
      </w:r>
      <w:r>
        <w:rPr>
          <w:rFonts w:ascii="Times New Roman" w:hAnsi="Times New Roman" w:eastAsia="Times New Roman"/>
          <w:color w:val="FF0000"/>
        </w:rPr>
        <w:t xml:space="preserve">- </w:t>
      </w:r>
      <w:r>
        <w:rPr>
          <w:color w:val="FF0000"/>
          <w:spacing w:val="-10"/>
        </w:rPr>
        <w:t>浸出毒性鉴别》</w:t>
      </w:r>
      <w:r>
        <w:rPr>
          <w:color w:val="FF0000"/>
          <w:spacing w:val="-3"/>
        </w:rPr>
        <w:t>（</w:t>
      </w:r>
      <w:r>
        <w:rPr>
          <w:rFonts w:ascii="Times New Roman" w:hAnsi="Times New Roman" w:eastAsia="Times New Roman"/>
          <w:color w:val="FF0000"/>
          <w:spacing w:val="-3"/>
        </w:rPr>
        <w:t>GB5085.3-2007</w:t>
      </w:r>
      <w:r>
        <w:rPr>
          <w:color w:val="FF0000"/>
          <w:spacing w:val="-3"/>
        </w:rPr>
        <w:t>）</w:t>
      </w:r>
      <w:r>
        <w:rPr>
          <w:color w:val="FF0000"/>
          <w:spacing w:val="-7"/>
        </w:rPr>
        <w:t>中的各项指标，任何一种污染物的浓度均未超过《污</w:t>
      </w:r>
      <w:r>
        <w:rPr>
          <w:color w:val="FF0000"/>
          <w:spacing w:val="-22"/>
        </w:rPr>
        <w:t>水综合排放标准》</w:t>
      </w:r>
      <w:r>
        <w:rPr>
          <w:color w:val="FF0000"/>
          <w:spacing w:val="-5"/>
        </w:rPr>
        <w:t>（</w:t>
      </w:r>
      <w:r>
        <w:rPr>
          <w:rFonts w:ascii="Times New Roman" w:hAnsi="Times New Roman" w:eastAsia="Times New Roman"/>
          <w:color w:val="FF0000"/>
          <w:spacing w:val="-5"/>
        </w:rPr>
        <w:t>GB8978-1996</w:t>
      </w:r>
      <w:r>
        <w:rPr>
          <w:color w:val="FF0000"/>
          <w:spacing w:val="-5"/>
        </w:rPr>
        <w:t>）</w:t>
      </w:r>
      <w:r>
        <w:rPr>
          <w:color w:val="FF0000"/>
          <w:spacing w:val="-12"/>
        </w:rPr>
        <w:t xml:space="preserve">最高允许排放浓度，及 </w:t>
      </w:r>
      <w:r>
        <w:rPr>
          <w:rFonts w:ascii="Times New Roman" w:hAnsi="Times New Roman" w:eastAsia="Times New Roman"/>
          <w:color w:val="FF0000"/>
        </w:rPr>
        <w:t xml:space="preserve">pH </w:t>
      </w:r>
      <w:r>
        <w:rPr>
          <w:color w:val="FF0000"/>
          <w:spacing w:val="-29"/>
        </w:rPr>
        <w:t xml:space="preserve">在 </w:t>
      </w:r>
      <w:r>
        <w:rPr>
          <w:rFonts w:ascii="Times New Roman" w:hAnsi="Times New Roman" w:eastAsia="Times New Roman"/>
          <w:color w:val="FF0000"/>
          <w:sz w:val="21"/>
        </w:rPr>
        <w:t xml:space="preserve">6~9 </w:t>
      </w:r>
      <w:r>
        <w:rPr>
          <w:color w:val="FF0000"/>
          <w:spacing w:val="-13"/>
        </w:rPr>
        <w:t>范围之间，根据《一</w:t>
      </w:r>
      <w:r>
        <w:rPr>
          <w:color w:val="FF0000"/>
          <w:spacing w:val="-6"/>
        </w:rPr>
        <w:t>般工业固体废物贮存、处置场污染控制标准》</w:t>
      </w:r>
      <w:r>
        <w:rPr>
          <w:color w:val="FF0000"/>
        </w:rPr>
        <w:t>（</w:t>
      </w:r>
      <w:r>
        <w:rPr>
          <w:rFonts w:ascii="Times New Roman" w:hAnsi="Times New Roman" w:eastAsia="Times New Roman"/>
          <w:color w:val="FF0000"/>
        </w:rPr>
        <w:t>GB18599-2001</w:t>
      </w:r>
      <w:r>
        <w:rPr>
          <w:color w:val="FF0000"/>
        </w:rPr>
        <w:t>）</w:t>
      </w:r>
      <w:r>
        <w:rPr>
          <w:color w:val="FF0000"/>
          <w:spacing w:val="-5"/>
        </w:rPr>
        <w:t>规定，本项目矸石判定为第Ⅰ类一般工业固体废物。</w:t>
      </w:r>
    </w:p>
    <w:p>
      <w:pPr>
        <w:pStyle w:val="9"/>
        <w:spacing w:line="364" w:lineRule="auto"/>
        <w:ind w:left="1418" w:right="1354" w:firstLine="480"/>
      </w:pPr>
      <w:r>
        <w:t>本矿井施工期产出的矸石全部用于回填、修路和工业场地的平整，服务期产生的矸石暂存于矸石临时堆放场，待塌陷区形成后矸石用于填充采空区区及修路。</w:t>
      </w:r>
    </w:p>
    <w:p>
      <w:pPr>
        <w:pStyle w:val="9"/>
        <w:spacing w:line="364" w:lineRule="auto"/>
        <w:ind w:left="1418" w:right="1413" w:firstLine="480"/>
        <w:jc w:val="both"/>
      </w:pPr>
      <w:r>
        <w:rPr>
          <w:spacing w:val="-6"/>
        </w:rPr>
        <w:t xml:space="preserve">产生的矸石按年产能的 </w:t>
      </w:r>
      <w:r>
        <w:rPr>
          <w:rFonts w:ascii="Times New Roman" w:eastAsia="Times New Roman"/>
        </w:rPr>
        <w:t>10%</w:t>
      </w:r>
      <w:r>
        <w:rPr>
          <w:spacing w:val="-7"/>
        </w:rPr>
        <w:t xml:space="preserve">计，矸石产生量为 </w:t>
      </w:r>
      <w:r>
        <w:rPr>
          <w:rFonts w:ascii="Times New Roman" w:eastAsia="Times New Roman"/>
        </w:rPr>
        <w:t xml:space="preserve">3 </w:t>
      </w:r>
      <w:r>
        <w:t>万吨</w:t>
      </w:r>
      <w:r>
        <w:rPr>
          <w:rFonts w:ascii="Times New Roman" w:eastAsia="Times New Roman"/>
        </w:rPr>
        <w:t>/a</w:t>
      </w:r>
      <w:r>
        <w:rPr>
          <w:spacing w:val="-2"/>
        </w:rPr>
        <w:t>，矸石临时堆放场地占地面</w:t>
      </w:r>
      <w:r>
        <w:rPr>
          <w:spacing w:val="-21"/>
        </w:rPr>
        <w:t xml:space="preserve">积约 </w:t>
      </w:r>
      <w:r>
        <w:rPr>
          <w:rFonts w:ascii="Times New Roman" w:eastAsia="Times New Roman"/>
        </w:rPr>
        <w:t>800m</w:t>
      </w:r>
      <w:r>
        <w:rPr>
          <w:rFonts w:ascii="Times New Roman" w:eastAsia="Times New Roman"/>
          <w:position w:val="8"/>
          <w:sz w:val="15"/>
        </w:rPr>
        <w:t>2</w:t>
      </w:r>
      <w:r>
        <w:rPr>
          <w:spacing w:val="-2"/>
        </w:rPr>
        <w:t>，矸石临时堆放场地周围设置拦矸坝和截流沟。矸石临时堆放场地淋溶的雨</w:t>
      </w:r>
      <w:r>
        <w:rPr>
          <w:spacing w:val="-5"/>
        </w:rPr>
        <w:t>水经导流沟排入初期雨水收集池，进入矿井处理系统，保证污染物不外排。矸石临时堆</w:t>
      </w:r>
      <w:r>
        <w:t>放场地采取洒水喷淋措施抑尘，可有效控制扬尘污染。</w:t>
      </w:r>
    </w:p>
    <w:p>
      <w:pPr>
        <w:pStyle w:val="9"/>
        <w:spacing w:line="364" w:lineRule="auto"/>
        <w:ind w:left="1418" w:right="1417" w:firstLine="480"/>
      </w:pPr>
      <w:r>
        <w:rPr>
          <w:spacing w:val="-7"/>
        </w:rPr>
        <w:t>综上所述，本项目运营期采取严格的措施控制矸石临时堆放场地的二次污染，且堆</w:t>
      </w:r>
      <w:r>
        <w:t>存矸石将全部得到综合利用，因此本项目矸石堆存对外环境影响较小。</w:t>
      </w:r>
    </w:p>
    <w:p>
      <w:pPr>
        <w:pStyle w:val="6"/>
        <w:numPr>
          <w:ilvl w:val="2"/>
          <w:numId w:val="78"/>
        </w:numPr>
        <w:tabs>
          <w:tab w:val="left" w:pos="2259"/>
        </w:tabs>
        <w:spacing w:before="0" w:after="0" w:line="358" w:lineRule="exact"/>
        <w:ind w:left="2258" w:right="0" w:hanging="841"/>
        <w:jc w:val="left"/>
      </w:pPr>
      <w:bookmarkStart w:id="638" w:name="10.3.2 其它固体废物环境影响分析"/>
      <w:bookmarkEnd w:id="638"/>
      <w:bookmarkStart w:id="639" w:name="10.3.2 其它固体废物环境影响分析"/>
      <w:bookmarkEnd w:id="639"/>
      <w:r>
        <w:t>其它固体废物环境影响分析</w:t>
      </w:r>
    </w:p>
    <w:p>
      <w:pPr>
        <w:pStyle w:val="9"/>
        <w:spacing w:before="178" w:line="364" w:lineRule="auto"/>
        <w:ind w:left="1900" w:right="4003"/>
      </w:pPr>
      <w:r>
        <w:t>本项目产生生活垃圾集中收集按环卫部门要求统一处理； 矸石回填采空区和塌陷区、修路；</w:t>
      </w:r>
    </w:p>
    <w:p>
      <w:pPr>
        <w:pStyle w:val="9"/>
        <w:spacing w:line="364" w:lineRule="auto"/>
        <w:ind w:left="1900" w:right="2437"/>
      </w:pPr>
      <w:r>
        <w:t xml:space="preserve">矿井水污泥主要为矿进水中的煤末，年产生量为 </w:t>
      </w:r>
      <w:r>
        <w:rPr>
          <w:rFonts w:ascii="Times New Roman" w:eastAsia="Times New Roman"/>
        </w:rPr>
        <w:t>1500t/a</w:t>
      </w:r>
      <w:r>
        <w:t>，压滤后外售； 废机油委托有资质的单位处理；</w:t>
      </w:r>
    </w:p>
    <w:p>
      <w:pPr>
        <w:pStyle w:val="9"/>
        <w:spacing w:line="306" w:lineRule="exact"/>
        <w:ind w:left="1900"/>
      </w:pPr>
      <w:r>
        <w:t xml:space="preserve">本项目服务期固体废物处理率达 </w:t>
      </w:r>
      <w:r>
        <w:rPr>
          <w:rFonts w:ascii="Times New Roman" w:eastAsia="Times New Roman"/>
        </w:rPr>
        <w:t>100%</w:t>
      </w:r>
      <w:r>
        <w:t>，对外环境影响较小。</w:t>
      </w:r>
    </w:p>
    <w:p>
      <w:pPr>
        <w:spacing w:after="0" w:line="306" w:lineRule="exact"/>
        <w:sectPr>
          <w:pgSz w:w="11910" w:h="16840"/>
          <w:pgMar w:top="1400" w:right="0" w:bottom="880" w:left="0" w:header="0" w:footer="681" w:gutter="0"/>
        </w:sectPr>
      </w:pPr>
    </w:p>
    <w:p>
      <w:pPr>
        <w:pStyle w:val="5"/>
        <w:numPr>
          <w:ilvl w:val="1"/>
          <w:numId w:val="77"/>
        </w:numPr>
        <w:tabs>
          <w:tab w:val="left" w:pos="2093"/>
        </w:tabs>
        <w:spacing w:before="44" w:after="0" w:line="240" w:lineRule="auto"/>
        <w:ind w:left="2092" w:right="0" w:hanging="675"/>
        <w:jc w:val="left"/>
      </w:pPr>
      <w:bookmarkStart w:id="640" w:name="10.4 排矸场污染防治和复垦措施"/>
      <w:bookmarkEnd w:id="640"/>
      <w:bookmarkStart w:id="641" w:name="_bookmark59"/>
      <w:bookmarkEnd w:id="641"/>
      <w:bookmarkStart w:id="642" w:name="_bookmark59"/>
      <w:bookmarkEnd w:id="642"/>
      <w:r>
        <w:t>排矸场污染防治和复垦措施</w:t>
      </w:r>
    </w:p>
    <w:p>
      <w:pPr>
        <w:pStyle w:val="9"/>
        <w:spacing w:before="196" w:line="364" w:lineRule="auto"/>
        <w:ind w:left="1418" w:right="1417" w:firstLine="480"/>
        <w:jc w:val="both"/>
      </w:pPr>
      <w:r>
        <w:rPr>
          <w:spacing w:val="-4"/>
        </w:rPr>
        <w:t>本项目设置矸石临时堆放场地，服务期矸石堆放在矸石临时堆放场地，主要用于填</w:t>
      </w:r>
      <w:r>
        <w:rPr>
          <w:spacing w:val="-5"/>
        </w:rPr>
        <w:t xml:space="preserve">充采空区及塌陷区、修路和制砖。矸石临时堆放场地占地面积约 </w:t>
      </w:r>
      <w:r>
        <w:rPr>
          <w:rFonts w:ascii="Times New Roman" w:eastAsia="Times New Roman"/>
        </w:rPr>
        <w:t>800m</w:t>
      </w:r>
      <w:r>
        <w:rPr>
          <w:rFonts w:ascii="Times New Roman" w:eastAsia="Times New Roman"/>
          <w:position w:val="8"/>
          <w:sz w:val="15"/>
        </w:rPr>
        <w:t>2</w:t>
      </w:r>
      <w:r>
        <w:rPr>
          <w:spacing w:val="-3"/>
        </w:rPr>
        <w:t>，周围设置拦矸</w:t>
      </w:r>
      <w:r>
        <w:t>坝和截流沟。采取洒水喷淋措施抑尘，可有效控制扬尘等污染。</w:t>
      </w:r>
    </w:p>
    <w:p>
      <w:pPr>
        <w:pStyle w:val="9"/>
        <w:spacing w:line="364" w:lineRule="auto"/>
        <w:ind w:left="1418" w:right="1417" w:firstLine="482"/>
        <w:jc w:val="both"/>
      </w:pPr>
      <w:r>
        <w:rPr>
          <w:spacing w:val="-7"/>
        </w:rPr>
        <w:t>服务期满后，工业场地内地面设施都应该全部清理干净，地面建筑物拆除产生的建</w:t>
      </w:r>
      <w:r>
        <w:rPr>
          <w:spacing w:val="-5"/>
        </w:rPr>
        <w:t>筑垃圾应运往指定地点，否则既影响区内景观，也会产生不同程度的水土流失。矸石临</w:t>
      </w:r>
      <w:r>
        <w:t>时堆放场地需清运场内残余矸石，同时拆除其它辅助设施，恢复地表植被。</w: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11"/>
        <w:rPr>
          <w:sz w:val="25"/>
        </w:rPr>
      </w:pPr>
    </w:p>
    <w:p>
      <w:pPr>
        <w:spacing w:after="0"/>
        <w:rPr>
          <w:sz w:val="25"/>
        </w:rPr>
        <w:sectPr>
          <w:pgSz w:w="11910" w:h="16840"/>
          <w:pgMar w:top="1360" w:right="0" w:bottom="880" w:left="0" w:header="0" w:footer="681" w:gutter="0"/>
        </w:sectPr>
      </w:pPr>
    </w:p>
    <w:p>
      <w:pPr>
        <w:pStyle w:val="9"/>
        <w:rPr>
          <w:sz w:val="32"/>
        </w:rPr>
      </w:pPr>
    </w:p>
    <w:p>
      <w:pPr>
        <w:pStyle w:val="9"/>
        <w:spacing w:before="6"/>
        <w:rPr>
          <w:sz w:val="27"/>
        </w:rPr>
      </w:pPr>
    </w:p>
    <w:p>
      <w:pPr>
        <w:pStyle w:val="5"/>
        <w:numPr>
          <w:ilvl w:val="1"/>
          <w:numId w:val="79"/>
        </w:numPr>
        <w:tabs>
          <w:tab w:val="left" w:pos="2076"/>
        </w:tabs>
        <w:spacing w:before="0" w:after="0" w:line="240" w:lineRule="auto"/>
        <w:ind w:left="2076" w:right="0" w:hanging="658"/>
        <w:jc w:val="left"/>
      </w:pPr>
      <w:bookmarkStart w:id="643" w:name="11.1 评价依据"/>
      <w:bookmarkEnd w:id="643"/>
      <w:bookmarkStart w:id="644" w:name="_bookmark60"/>
      <w:bookmarkEnd w:id="644"/>
      <w:bookmarkStart w:id="645" w:name="_bookmark60"/>
      <w:bookmarkEnd w:id="645"/>
      <w:r>
        <w:rPr>
          <w:spacing w:val="-5"/>
        </w:rPr>
        <w:t>评价依据</w:t>
      </w:r>
    </w:p>
    <w:p>
      <w:pPr>
        <w:pStyle w:val="18"/>
        <w:numPr>
          <w:ilvl w:val="2"/>
          <w:numId w:val="14"/>
        </w:numPr>
        <w:tabs>
          <w:tab w:val="left" w:pos="1866"/>
        </w:tabs>
        <w:spacing w:before="61" w:after="0" w:line="240" w:lineRule="auto"/>
        <w:ind w:left="1865" w:right="0" w:hanging="632"/>
        <w:jc w:val="left"/>
        <w:rPr>
          <w:rFonts w:ascii="Times New Roman" w:eastAsia="Times New Roman"/>
          <w:b/>
          <w:sz w:val="36"/>
        </w:rPr>
      </w:pPr>
      <w:bookmarkStart w:id="646" w:name="11. 环境风险影响分析"/>
      <w:bookmarkEnd w:id="646"/>
      <w:bookmarkStart w:id="647" w:name="_bookmark61"/>
      <w:bookmarkEnd w:id="647"/>
      <w:bookmarkStart w:id="648" w:name="_bookmark61"/>
      <w:bookmarkEnd w:id="648"/>
      <w:r>
        <w:rPr>
          <w:b/>
          <w:spacing w:val="2"/>
          <w:w w:val="99"/>
          <w:sz w:val="36"/>
        </w:rPr>
        <w:br w:type="column"/>
      </w:r>
      <w:r>
        <w:rPr>
          <w:b/>
          <w:sz w:val="36"/>
        </w:rPr>
        <w:t>环境风险影响分析</w:t>
      </w:r>
    </w:p>
    <w:p>
      <w:pPr>
        <w:spacing w:after="0" w:line="240" w:lineRule="auto"/>
        <w:jc w:val="left"/>
        <w:rPr>
          <w:rFonts w:ascii="Times New Roman" w:eastAsia="Times New Roman"/>
          <w:sz w:val="36"/>
        </w:rPr>
        <w:sectPr>
          <w:type w:val="continuous"/>
          <w:pgSz w:w="11910" w:h="16840"/>
          <w:pgMar w:top="1580" w:right="0" w:bottom="280" w:left="0" w:header="720" w:footer="720" w:gutter="0"/>
          <w:cols w:equalWidth="0" w:num="2">
            <w:col w:w="3279" w:space="40"/>
            <w:col w:w="8591"/>
          </w:cols>
        </w:sectPr>
      </w:pPr>
    </w:p>
    <w:p>
      <w:pPr>
        <w:pStyle w:val="9"/>
        <w:spacing w:before="12"/>
        <w:rPr>
          <w:b/>
          <w:sz w:val="9"/>
        </w:rPr>
      </w:pPr>
    </w:p>
    <w:p>
      <w:pPr>
        <w:pStyle w:val="6"/>
        <w:numPr>
          <w:ilvl w:val="2"/>
          <w:numId w:val="79"/>
        </w:numPr>
        <w:tabs>
          <w:tab w:val="left" w:pos="2242"/>
        </w:tabs>
        <w:spacing w:before="73" w:after="0" w:line="240" w:lineRule="auto"/>
        <w:ind w:left="2241" w:right="0" w:hanging="824"/>
        <w:jc w:val="left"/>
      </w:pPr>
      <w:bookmarkStart w:id="649" w:name="11.1.1 项目环境风险源调查"/>
      <w:bookmarkEnd w:id="649"/>
      <w:bookmarkStart w:id="650" w:name="11.1.1 项目环境风险源调查"/>
      <w:bookmarkEnd w:id="650"/>
      <w:r>
        <w:t>项目环境风险源调查</w:t>
      </w:r>
    </w:p>
    <w:p>
      <w:pPr>
        <w:pStyle w:val="9"/>
        <w:spacing w:before="145" w:line="520" w:lineRule="atLeast"/>
        <w:ind w:left="1418" w:right="1367" w:firstLine="480"/>
      </w:pPr>
      <w:r>
        <w:t>环境风险源指</w:t>
      </w:r>
      <w:r>
        <w:rPr>
          <w:rFonts w:ascii="Times New Roman" w:hAnsi="Times New Roman" w:eastAsia="Times New Roman"/>
        </w:rPr>
        <w:t>“</w:t>
      </w:r>
      <w:r>
        <w:t>存在物质或能量意外释放，并可能产生环境危害的源</w:t>
      </w:r>
      <w:r>
        <w:rPr>
          <w:rFonts w:ascii="Times New Roman" w:hAnsi="Times New Roman" w:eastAsia="Times New Roman"/>
        </w:rPr>
        <w:t>”</w:t>
      </w:r>
      <w:r>
        <w:t>，本项目风险源为火药库、柴油罐、危废暂存间。</w:t>
      </w:r>
    </w:p>
    <w:p>
      <w:pPr>
        <w:pStyle w:val="6"/>
        <w:numPr>
          <w:ilvl w:val="2"/>
          <w:numId w:val="79"/>
        </w:numPr>
        <w:tabs>
          <w:tab w:val="left" w:pos="2242"/>
        </w:tabs>
        <w:spacing w:before="40" w:after="0" w:line="240" w:lineRule="auto"/>
        <w:ind w:left="2241" w:right="0" w:hanging="824"/>
        <w:jc w:val="left"/>
      </w:pPr>
      <w:bookmarkStart w:id="651" w:name="11.1.2 环境风险潜势初判及评价等级确定"/>
      <w:bookmarkEnd w:id="651"/>
      <w:bookmarkStart w:id="652" w:name="11.1.2 环境风险潜势初判及评价等级确定"/>
      <w:bookmarkEnd w:id="652"/>
      <w:r>
        <w:t>环境风险潜势初判及评价等级确定</w:t>
      </w:r>
    </w:p>
    <w:p>
      <w:pPr>
        <w:spacing w:after="0" w:line="240" w:lineRule="auto"/>
        <w:jc w:val="left"/>
        <w:sectPr>
          <w:type w:val="continuous"/>
          <w:pgSz w:w="11910" w:h="16840"/>
          <w:pgMar w:top="1580" w:right="0" w:bottom="280" w:left="0" w:header="720" w:footer="720" w:gutter="0"/>
        </w:sectPr>
      </w:pPr>
    </w:p>
    <w:p>
      <w:pPr>
        <w:pStyle w:val="9"/>
        <w:spacing w:before="41"/>
        <w:ind w:left="1898"/>
      </w:pPr>
      <w:r>
        <w:t>本项目危险物质主要为油类物质及硝铵炸药。</w:t>
      </w:r>
    </w:p>
    <w:p>
      <w:pPr>
        <w:pStyle w:val="9"/>
        <w:spacing w:before="158" w:line="364" w:lineRule="auto"/>
        <w:ind w:left="1418" w:right="1358" w:firstLine="480"/>
      </w:pPr>
      <w:r>
        <w:t>根据《建设项目环境风险评价技术导则》（</w:t>
      </w:r>
      <w:r>
        <w:rPr>
          <w:rFonts w:ascii="Times New Roman" w:eastAsia="Times New Roman"/>
        </w:rPr>
        <w:t>HJ169-2018</w:t>
      </w:r>
      <w:r>
        <w:t>）中关于环境风险潜势初判方式首先按式计算物质总量与临界量比值（</w:t>
      </w:r>
      <w:r>
        <w:rPr>
          <w:rFonts w:ascii="Times New Roman" w:eastAsia="Times New Roman"/>
        </w:rPr>
        <w:t>Q</w:t>
      </w:r>
      <w:r>
        <w:t>）</w:t>
      </w:r>
    </w:p>
    <w:p>
      <w:pPr>
        <w:spacing w:after="0" w:line="364" w:lineRule="auto"/>
        <w:sectPr>
          <w:pgSz w:w="11910" w:h="16840"/>
          <w:pgMar w:top="1360" w:right="0" w:bottom="880" w:left="0" w:header="0" w:footer="681" w:gutter="0"/>
        </w:sectPr>
      </w:pPr>
    </w:p>
    <w:p>
      <w:pPr>
        <w:spacing w:before="39" w:line="187" w:lineRule="auto"/>
        <w:ind w:left="0" w:right="36" w:firstLine="0"/>
        <w:jc w:val="right"/>
        <w:rPr>
          <w:rFonts w:ascii="Times New Roman" w:hAnsi="Times New Roman"/>
          <w:sz w:val="22"/>
        </w:rPr>
      </w:pPr>
      <w:r>
        <mc:AlternateContent>
          <mc:Choice Requires="wps">
            <w:drawing>
              <wp:anchor distT="0" distB="0" distL="114300" distR="114300" simplePos="0" relativeHeight="212838400" behindDoc="1" locked="0" layoutInCell="1" allowOverlap="1">
                <wp:simplePos x="0" y="0"/>
                <wp:positionH relativeFrom="page">
                  <wp:posOffset>3105150</wp:posOffset>
                </wp:positionH>
                <wp:positionV relativeFrom="paragraph">
                  <wp:posOffset>322580</wp:posOffset>
                </wp:positionV>
                <wp:extent cx="280035" cy="0"/>
                <wp:effectExtent l="0" t="0" r="0" b="0"/>
                <wp:wrapNone/>
                <wp:docPr id="109" name="直线 148"/>
                <wp:cNvGraphicFramePr/>
                <a:graphic xmlns:a="http://schemas.openxmlformats.org/drawingml/2006/main">
                  <a:graphicData uri="http://schemas.microsoft.com/office/word/2010/wordprocessingShape">
                    <wps:wsp>
                      <wps:cNvSpPr/>
                      <wps:spPr>
                        <a:xfrm>
                          <a:off x="0" y="0"/>
                          <a:ext cx="28003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148" o:spid="_x0000_s1026" o:spt="20" style="position:absolute;left:0pt;margin-left:244.5pt;margin-top:25.4pt;height:0pt;width:22.05pt;mso-position-horizontal-relative:page;z-index:-290478080;mso-width-relative:page;mso-height-relative:page;" filled="f" stroked="t" coordsize="21600,21600" o:gfxdata="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5eE0/dkAAAAJAQAADwAAAAAAAAABACAAAAAiAAAA&#10;ZHJzL2Rvd25yZXYueG1sUEsBAhQAFAAAAAgAh07iQEmSCO3NAQAAkQMAAA4AAAAAAAAAAQAgAAAA&#10;KAEAAGRycy9lMm9Eb2MueG1sUEsFBgAAAAAGAAYAWQEAAGcFAAAAAA==&#10;">
                <v:fill on="f" focussize="0,0"/>
                <v:stroke weight="0.795984251968504pt" color="#000000" joinstyle="round"/>
                <v:imagedata o:title=""/>
                <o:lock v:ext="edit" aspectratio="f"/>
              </v:line>
            </w:pict>
          </mc:Fallback>
        </mc:AlternateContent>
      </w:r>
      <w:r>
        <mc:AlternateContent>
          <mc:Choice Requires="wps">
            <w:drawing>
              <wp:anchor distT="0" distB="0" distL="114300" distR="114300" simplePos="0" relativeHeight="212839424" behindDoc="1" locked="0" layoutInCell="1" allowOverlap="1">
                <wp:simplePos x="0" y="0"/>
                <wp:positionH relativeFrom="page">
                  <wp:posOffset>3616325</wp:posOffset>
                </wp:positionH>
                <wp:positionV relativeFrom="paragraph">
                  <wp:posOffset>322580</wp:posOffset>
                </wp:positionV>
                <wp:extent cx="306705" cy="0"/>
                <wp:effectExtent l="0" t="0" r="0" b="0"/>
                <wp:wrapNone/>
                <wp:docPr id="110" name="直线 149"/>
                <wp:cNvGraphicFramePr/>
                <a:graphic xmlns:a="http://schemas.openxmlformats.org/drawingml/2006/main">
                  <a:graphicData uri="http://schemas.microsoft.com/office/word/2010/wordprocessingShape">
                    <wps:wsp>
                      <wps:cNvSpPr/>
                      <wps:spPr>
                        <a:xfrm>
                          <a:off x="0" y="0"/>
                          <a:ext cx="30670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149" o:spid="_x0000_s1026" o:spt="20" style="position:absolute;left:0pt;margin-left:284.75pt;margin-top:25.4pt;height:0pt;width:24.15pt;mso-position-horizontal-relative:page;z-index:-290477056;mso-width-relative:page;mso-height-relative:page;" filled="f" stroked="t" coordsize="21600,21600" o:gfxdata="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BLYrdcAAAAJAQAADwAAAAAAAAABACAAAAAiAAAA&#10;ZHJzL2Rvd25yZXYueG1sUEsBAhQAFAAAAAgAh07iQCrK4iHPAQAAkQMAAA4AAAAAAAAAAQAgAAAA&#10;JgEAAGRycy9lMm9Eb2MueG1sUEsFBgAAAAAGAAYAWQEAAGcFAAAAAA==&#10;">
                <v:fill on="f" focussize="0,0"/>
                <v:stroke weight="0.795984251968504pt" color="#000000" joinstyle="round"/>
                <v:imagedata o:title=""/>
                <o:lock v:ext="edit" aspectratio="f"/>
              </v:line>
            </w:pict>
          </mc:Fallback>
        </mc:AlternateContent>
      </w:r>
      <w:r>
        <w:rPr>
          <w:rFonts w:ascii="Times New Roman" w:hAnsi="Times New Roman"/>
          <w:position w:val="-23"/>
          <w:sz w:val="38"/>
        </w:rPr>
        <w:t xml:space="preserve">Q </w:t>
      </w:r>
      <w:r>
        <w:rPr>
          <w:rFonts w:ascii="Symbol" w:hAnsi="Symbol"/>
          <w:position w:val="-23"/>
          <w:sz w:val="38"/>
        </w:rPr>
        <w:t></w:t>
      </w:r>
      <w:r>
        <w:rPr>
          <w:rFonts w:ascii="Times New Roman" w:hAnsi="Times New Roman"/>
          <w:position w:val="-23"/>
          <w:sz w:val="38"/>
        </w:rPr>
        <w:t xml:space="preserve"> </w:t>
      </w:r>
      <w:r>
        <w:rPr>
          <w:rFonts w:ascii="Times New Roman" w:hAnsi="Times New Roman"/>
          <w:sz w:val="38"/>
        </w:rPr>
        <w:t xml:space="preserve">q </w:t>
      </w:r>
      <w:r>
        <w:rPr>
          <w:rFonts w:ascii="Times New Roman" w:hAnsi="Times New Roman"/>
          <w:sz w:val="22"/>
        </w:rPr>
        <w:t xml:space="preserve">1  </w:t>
      </w:r>
      <w:r>
        <w:rPr>
          <w:rFonts w:ascii="Symbol" w:hAnsi="Symbol"/>
          <w:position w:val="-23"/>
          <w:sz w:val="38"/>
        </w:rPr>
        <w:t></w:t>
      </w:r>
      <w:r>
        <w:rPr>
          <w:rFonts w:ascii="Times New Roman" w:hAnsi="Times New Roman"/>
          <w:position w:val="-23"/>
          <w:sz w:val="38"/>
        </w:rPr>
        <w:t xml:space="preserve"> </w:t>
      </w:r>
      <w:r>
        <w:rPr>
          <w:rFonts w:ascii="Times New Roman" w:hAnsi="Times New Roman"/>
          <w:sz w:val="38"/>
        </w:rPr>
        <w:t>q</w:t>
      </w:r>
      <w:r>
        <w:rPr>
          <w:rFonts w:ascii="Times New Roman" w:hAnsi="Times New Roman"/>
          <w:spacing w:val="18"/>
          <w:sz w:val="38"/>
        </w:rPr>
        <w:t xml:space="preserve"> </w:t>
      </w:r>
      <w:r>
        <w:rPr>
          <w:rFonts w:ascii="Times New Roman" w:hAnsi="Times New Roman"/>
          <w:sz w:val="22"/>
        </w:rPr>
        <w:t>2</w:t>
      </w:r>
    </w:p>
    <w:p>
      <w:pPr>
        <w:tabs>
          <w:tab w:val="left" w:pos="804"/>
        </w:tabs>
        <w:spacing w:before="0" w:line="366" w:lineRule="exact"/>
        <w:ind w:left="0" w:right="0" w:firstLine="0"/>
        <w:jc w:val="right"/>
        <w:rPr>
          <w:rFonts w:ascii="Times New Roman"/>
          <w:sz w:val="22"/>
        </w:rPr>
      </w:pPr>
      <w:r>
        <w:rPr>
          <w:rFonts w:ascii="Times New Roman"/>
          <w:spacing w:val="14"/>
          <w:sz w:val="38"/>
        </w:rPr>
        <w:t>Q</w:t>
      </w:r>
      <w:r>
        <w:rPr>
          <w:rFonts w:ascii="Times New Roman"/>
          <w:spacing w:val="14"/>
          <w:sz w:val="22"/>
        </w:rPr>
        <w:t>1</w:t>
      </w:r>
      <w:r>
        <w:rPr>
          <w:rFonts w:ascii="Times New Roman"/>
          <w:spacing w:val="14"/>
          <w:sz w:val="22"/>
        </w:rPr>
        <w:tab/>
      </w:r>
      <w:r>
        <w:rPr>
          <w:rFonts w:ascii="Times New Roman"/>
          <w:sz w:val="38"/>
        </w:rPr>
        <w:t>Q</w:t>
      </w:r>
      <w:r>
        <w:rPr>
          <w:rFonts w:ascii="Times New Roman"/>
          <w:spacing w:val="-38"/>
          <w:sz w:val="38"/>
        </w:rPr>
        <w:t xml:space="preserve"> </w:t>
      </w:r>
      <w:r>
        <w:rPr>
          <w:rFonts w:ascii="Times New Roman"/>
          <w:sz w:val="22"/>
        </w:rPr>
        <w:t>2</w:t>
      </w:r>
    </w:p>
    <w:p>
      <w:pPr>
        <w:spacing w:before="10" w:line="675" w:lineRule="exact"/>
        <w:ind w:left="57" w:right="0" w:firstLine="0"/>
        <w:jc w:val="left"/>
        <w:rPr>
          <w:rFonts w:ascii="Times New Roman" w:hAnsi="Times New Roman"/>
          <w:sz w:val="22"/>
        </w:rPr>
      </w:pPr>
      <w:r>
        <w:br w:type="column"/>
      </w:r>
      <w:r>
        <w:rPr>
          <w:rFonts w:ascii="Symbol" w:hAnsi="Symbol"/>
          <w:spacing w:val="22"/>
          <w:sz w:val="38"/>
        </w:rPr>
        <w:t></w:t>
      </w:r>
      <w:r>
        <w:rPr>
          <w:rFonts w:ascii="MT Extra" w:hAnsi="MT Extra"/>
          <w:spacing w:val="22"/>
          <w:sz w:val="38"/>
        </w:rPr>
        <w:t></w:t>
      </w:r>
      <w:r>
        <w:rPr>
          <w:rFonts w:ascii="Symbol" w:hAnsi="Symbol"/>
          <w:spacing w:val="22"/>
          <w:sz w:val="38"/>
        </w:rPr>
        <w:t></w:t>
      </w:r>
      <w:r>
        <w:rPr>
          <w:rFonts w:ascii="Times New Roman" w:hAnsi="Times New Roman"/>
          <w:spacing w:val="52"/>
          <w:sz w:val="38"/>
        </w:rPr>
        <w:t xml:space="preserve"> </w:t>
      </w:r>
      <w:r>
        <w:rPr>
          <w:rFonts w:ascii="Times New Roman" w:hAnsi="Times New Roman"/>
          <w:position w:val="24"/>
          <w:sz w:val="38"/>
        </w:rPr>
        <w:t>q</w:t>
      </w:r>
      <w:r>
        <w:rPr>
          <w:rFonts w:ascii="Times New Roman" w:hAnsi="Times New Roman"/>
          <w:position w:val="24"/>
          <w:sz w:val="22"/>
        </w:rPr>
        <w:t>n</w:t>
      </w:r>
    </w:p>
    <w:p>
      <w:pPr>
        <w:spacing w:before="0" w:line="301" w:lineRule="exact"/>
        <w:ind w:left="1025" w:right="0" w:firstLine="0"/>
        <w:jc w:val="left"/>
        <w:rPr>
          <w:rFonts w:ascii="Times New Roman"/>
          <w:sz w:val="22"/>
        </w:rPr>
      </w:pPr>
      <w:r>
        <mc:AlternateContent>
          <mc:Choice Requires="wps">
            <w:drawing>
              <wp:anchor distT="0" distB="0" distL="114300" distR="114300" simplePos="0" relativeHeight="212840448" behindDoc="1" locked="0" layoutInCell="1" allowOverlap="1">
                <wp:simplePos x="0" y="0"/>
                <wp:positionH relativeFrom="page">
                  <wp:posOffset>4574540</wp:posOffset>
                </wp:positionH>
                <wp:positionV relativeFrom="paragraph">
                  <wp:posOffset>-111760</wp:posOffset>
                </wp:positionV>
                <wp:extent cx="277495" cy="0"/>
                <wp:effectExtent l="0" t="0" r="0" b="0"/>
                <wp:wrapNone/>
                <wp:docPr id="111" name="直线 150"/>
                <wp:cNvGraphicFramePr/>
                <a:graphic xmlns:a="http://schemas.openxmlformats.org/drawingml/2006/main">
                  <a:graphicData uri="http://schemas.microsoft.com/office/word/2010/wordprocessingShape">
                    <wps:wsp>
                      <wps:cNvSpPr/>
                      <wps:spPr>
                        <a:xfrm>
                          <a:off x="0" y="0"/>
                          <a:ext cx="27749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150" o:spid="_x0000_s1026" o:spt="20" style="position:absolute;left:0pt;margin-left:360.2pt;margin-top:-8.8pt;height:0pt;width:21.85pt;mso-position-horizontal-relative:page;z-index:-290476032;mso-width-relative:page;mso-height-relative:page;" filled="f" stroked="t" coordsize="21600,21600" o:gfxdata="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iBPjdkAAAALAQAADwAAAAAAAAABACAAAAAiAAAA&#10;ZHJzL2Rvd25yZXYueG1sUEsBAhQAFAAAAAgAh07iQPB5nIbNAQAAkQMAAA4AAAAAAAAAAQAgAAAA&#10;KAEAAGRycy9lMm9Eb2MueG1sUEsFBgAAAAAGAAYAWQEAAGcFAAAAAA==&#10;">
                <v:fill on="f" focussize="0,0"/>
                <v:stroke weight="0.795984251968504pt" color="#000000" joinstyle="round"/>
                <v:imagedata o:title=""/>
                <o:lock v:ext="edit" aspectratio="f"/>
              </v:line>
            </w:pict>
          </mc:Fallback>
        </mc:AlternateContent>
      </w:r>
      <w:r>
        <w:rPr>
          <w:rFonts w:ascii="Times New Roman"/>
          <w:sz w:val="38"/>
        </w:rPr>
        <w:t>Q</w:t>
      </w:r>
      <w:r>
        <w:rPr>
          <w:rFonts w:ascii="Times New Roman"/>
          <w:sz w:val="22"/>
        </w:rPr>
        <w:t>n</w:t>
      </w:r>
    </w:p>
    <w:p>
      <w:pPr>
        <w:spacing w:after="0" w:line="301" w:lineRule="exact"/>
        <w:jc w:val="left"/>
        <w:rPr>
          <w:rFonts w:ascii="Times New Roman"/>
          <w:sz w:val="22"/>
        </w:rPr>
        <w:sectPr>
          <w:type w:val="continuous"/>
          <w:pgSz w:w="11910" w:h="16840"/>
          <w:pgMar w:top="1580" w:right="0" w:bottom="280" w:left="0" w:header="720" w:footer="720" w:gutter="0"/>
          <w:cols w:equalWidth="0" w:num="2">
            <w:col w:w="6159" w:space="40"/>
            <w:col w:w="5711"/>
          </w:cols>
        </w:sectPr>
      </w:pPr>
    </w:p>
    <w:p>
      <w:pPr>
        <w:pStyle w:val="9"/>
        <w:spacing w:before="3"/>
        <w:rPr>
          <w:rFonts w:ascii="Times New Roman"/>
          <w:sz w:val="11"/>
        </w:rPr>
      </w:pPr>
    </w:p>
    <w:p>
      <w:pPr>
        <w:pStyle w:val="9"/>
        <w:spacing w:before="71"/>
        <w:ind w:left="1898"/>
      </w:pPr>
      <w:r>
        <w:rPr>
          <w:position w:val="2"/>
        </w:rPr>
        <w:t>式中：</w:t>
      </w:r>
      <w:r>
        <w:rPr>
          <w:rFonts w:ascii="Times New Roman" w:hAnsi="Times New Roman" w:eastAsia="Times New Roman"/>
          <w:position w:val="2"/>
        </w:rPr>
        <w:t>q</w:t>
      </w:r>
      <w:r>
        <w:rPr>
          <w:rFonts w:ascii="Times New Roman" w:hAnsi="Times New Roman" w:eastAsia="Times New Roman"/>
          <w:position w:val="2"/>
          <w:vertAlign w:val="subscript"/>
        </w:rPr>
        <w:t>1</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rFonts w:ascii="Times New Roman" w:hAnsi="Times New Roman" w:eastAsia="Times New Roman"/>
          <w:position w:val="2"/>
          <w:vertAlign w:val="baseline"/>
        </w:rPr>
        <w:t>——</w:t>
      </w:r>
      <w:r>
        <w:rPr>
          <w:position w:val="2"/>
          <w:vertAlign w:val="baseline"/>
        </w:rPr>
        <w:t>每种危险物质的最大存在总量，</w:t>
      </w:r>
      <w:r>
        <w:rPr>
          <w:rFonts w:ascii="Times New Roman" w:hAnsi="Times New Roman" w:eastAsia="Times New Roman"/>
          <w:position w:val="2"/>
          <w:vertAlign w:val="baseline"/>
        </w:rPr>
        <w:t>t</w:t>
      </w:r>
      <w:r>
        <w:rPr>
          <w:position w:val="2"/>
          <w:vertAlign w:val="baseline"/>
        </w:rPr>
        <w:t>；</w:t>
      </w:r>
    </w:p>
    <w:p>
      <w:pPr>
        <w:pStyle w:val="9"/>
        <w:spacing w:before="156" w:line="362" w:lineRule="auto"/>
        <w:ind w:left="1898" w:right="5407"/>
      </w:pPr>
      <w:r>
        <w:rPr>
          <w:rFonts w:ascii="Times New Roman" w:hAnsi="Times New Roman" w:eastAsia="Times New Roman"/>
          <w:position w:val="2"/>
        </w:rPr>
        <w:t>Q</w:t>
      </w:r>
      <w:r>
        <w:rPr>
          <w:rFonts w:ascii="Times New Roman" w:hAnsi="Times New Roman" w:eastAsia="Times New Roman"/>
          <w:position w:val="2"/>
          <w:vertAlign w:val="subscript"/>
        </w:rPr>
        <w:t>1</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rFonts w:ascii="Times New Roman" w:hAnsi="Times New Roman" w:eastAsia="Times New Roman"/>
          <w:position w:val="2"/>
          <w:vertAlign w:val="baseline"/>
        </w:rPr>
        <w:t>——</w:t>
      </w:r>
      <w:r>
        <w:rPr>
          <w:position w:val="2"/>
          <w:vertAlign w:val="baseline"/>
        </w:rPr>
        <w:t>每种危险物质的临界量，</w:t>
      </w:r>
      <w:r>
        <w:rPr>
          <w:rFonts w:ascii="Times New Roman" w:hAnsi="Times New Roman" w:eastAsia="Times New Roman"/>
          <w:position w:val="2"/>
          <w:vertAlign w:val="baseline"/>
        </w:rPr>
        <w:t>t</w:t>
      </w:r>
      <w:r>
        <w:rPr>
          <w:position w:val="2"/>
          <w:vertAlign w:val="baseline"/>
        </w:rPr>
        <w:t>。</w:t>
      </w:r>
      <w:r>
        <w:rPr>
          <w:vertAlign w:val="baseline"/>
        </w:rPr>
        <w:t xml:space="preserve">当 </w:t>
      </w:r>
      <w:r>
        <w:rPr>
          <w:rFonts w:ascii="Times New Roman" w:hAnsi="Times New Roman" w:eastAsia="Times New Roman"/>
          <w:vertAlign w:val="baseline"/>
        </w:rPr>
        <w:t xml:space="preserve">Q&lt;1  </w:t>
      </w:r>
      <w:r>
        <w:rPr>
          <w:vertAlign w:val="baseline"/>
        </w:rPr>
        <w:t>时，该项目环境风险潜势为Ⅰ</w:t>
      </w:r>
    </w:p>
    <w:p>
      <w:pPr>
        <w:pStyle w:val="9"/>
        <w:spacing w:before="4"/>
        <w:ind w:left="1898"/>
      </w:pPr>
      <w:r>
        <w:rPr>
          <w:spacing w:val="-1"/>
        </w:rPr>
        <w:t xml:space="preserve">当 </w:t>
      </w:r>
      <w:r>
        <w:rPr>
          <w:rFonts w:ascii="Times New Roman" w:hAnsi="Times New Roman" w:eastAsia="Times New Roman"/>
        </w:rPr>
        <w:t xml:space="preserve">Q≥1  </w:t>
      </w:r>
      <w:r>
        <w:t xml:space="preserve">时，将 </w:t>
      </w:r>
      <w:r>
        <w:rPr>
          <w:rFonts w:ascii="Times New Roman" w:hAnsi="Times New Roman" w:eastAsia="Times New Roman"/>
        </w:rPr>
        <w:t>Q</w:t>
      </w:r>
      <w:r>
        <w:rPr>
          <w:rFonts w:ascii="Times New Roman" w:hAnsi="Times New Roman" w:eastAsia="Times New Roman"/>
          <w:spacing w:val="59"/>
        </w:rPr>
        <w:t xml:space="preserve"> </w:t>
      </w:r>
      <w:r>
        <w:t>值划分为：（</w:t>
      </w:r>
      <w:r>
        <w:rPr>
          <w:rFonts w:ascii="Times New Roman" w:hAnsi="Times New Roman" w:eastAsia="Times New Roman"/>
        </w:rPr>
        <w:t>1</w:t>
      </w:r>
      <w:r>
        <w:t>）</w:t>
      </w:r>
      <w:r>
        <w:rPr>
          <w:rFonts w:ascii="Times New Roman" w:hAnsi="Times New Roman" w:eastAsia="Times New Roman"/>
        </w:rPr>
        <w:t>1≤Q&lt;10</w:t>
      </w:r>
      <w:r>
        <w:t>；（</w:t>
      </w:r>
      <w:r>
        <w:rPr>
          <w:rFonts w:ascii="Times New Roman" w:hAnsi="Times New Roman" w:eastAsia="Times New Roman"/>
        </w:rPr>
        <w:t>2</w:t>
      </w:r>
      <w:r>
        <w:t>）</w:t>
      </w:r>
      <w:r>
        <w:rPr>
          <w:rFonts w:ascii="Times New Roman" w:hAnsi="Times New Roman" w:eastAsia="Times New Roman"/>
        </w:rPr>
        <w:t>10≤Q&lt;100</w:t>
      </w:r>
      <w:r>
        <w:t>；（</w:t>
      </w:r>
      <w:r>
        <w:rPr>
          <w:rFonts w:ascii="Times New Roman" w:hAnsi="Times New Roman" w:eastAsia="Times New Roman"/>
        </w:rPr>
        <w:t>3</w:t>
      </w:r>
      <w:r>
        <w:t>）</w:t>
      </w:r>
      <w:r>
        <w:rPr>
          <w:rFonts w:ascii="Times New Roman" w:hAnsi="Times New Roman" w:eastAsia="Times New Roman"/>
        </w:rPr>
        <w:t>Q≥100</w:t>
      </w:r>
      <w:r>
        <w:t>。</w:t>
      </w:r>
    </w:p>
    <w:p>
      <w:pPr>
        <w:spacing w:before="157"/>
        <w:ind w:left="5" w:right="0" w:firstLine="0"/>
        <w:jc w:val="center"/>
        <w:rPr>
          <w:b/>
          <w:sz w:val="21"/>
        </w:rPr>
      </w:pPr>
      <w:r>
        <w:rPr>
          <w:b/>
          <w:spacing w:val="-26"/>
          <w:sz w:val="21"/>
        </w:rPr>
        <w:t xml:space="preserve">表 </w:t>
      </w:r>
      <w:r>
        <w:rPr>
          <w:rFonts w:ascii="Times New Roman" w:eastAsia="Times New Roman"/>
          <w:b/>
          <w:sz w:val="21"/>
        </w:rPr>
        <w:t>11.1-1</w:t>
      </w:r>
      <w:r>
        <w:rPr>
          <w:rFonts w:ascii="Times New Roman" w:eastAsia="Times New Roman"/>
          <w:b/>
          <w:spacing w:val="52"/>
          <w:sz w:val="21"/>
        </w:rPr>
        <w:t xml:space="preserve"> </w:t>
      </w:r>
      <w:r>
        <w:rPr>
          <w:b/>
          <w:spacing w:val="-11"/>
          <w:sz w:val="21"/>
        </w:rPr>
        <w:t xml:space="preserve">建设项目 </w:t>
      </w:r>
      <w:r>
        <w:rPr>
          <w:rFonts w:ascii="Times New Roman" w:eastAsia="Times New Roman"/>
          <w:b/>
          <w:sz w:val="21"/>
        </w:rPr>
        <w:t xml:space="preserve">Q </w:t>
      </w:r>
      <w:r>
        <w:rPr>
          <w:b/>
          <w:sz w:val="21"/>
        </w:rPr>
        <w:t>值确定表</w:t>
      </w:r>
    </w:p>
    <w:p>
      <w:pPr>
        <w:pStyle w:val="9"/>
        <w:spacing w:before="11" w:after="1"/>
        <w:rPr>
          <w:b/>
          <w:sz w:val="10"/>
        </w:rPr>
      </w:pPr>
    </w:p>
    <w:tbl>
      <w:tblPr>
        <w:tblStyle w:val="15"/>
        <w:tblW w:w="0" w:type="auto"/>
        <w:tblInd w:w="133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66"/>
        <w:gridCol w:w="1614"/>
        <w:gridCol w:w="1285"/>
        <w:gridCol w:w="1957"/>
        <w:gridCol w:w="1555"/>
        <w:gridCol w:w="187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966" w:type="dxa"/>
            <w:tcBorders>
              <w:bottom w:val="single" w:color="000000" w:sz="4" w:space="0"/>
              <w:right w:val="single" w:color="000000" w:sz="4" w:space="0"/>
            </w:tcBorders>
          </w:tcPr>
          <w:p>
            <w:pPr>
              <w:pStyle w:val="19"/>
              <w:spacing w:before="89"/>
              <w:ind w:left="250" w:right="241"/>
              <w:rPr>
                <w:sz w:val="21"/>
              </w:rPr>
            </w:pPr>
            <w:r>
              <w:rPr>
                <w:sz w:val="21"/>
              </w:rPr>
              <w:t>序号</w:t>
            </w:r>
          </w:p>
        </w:tc>
        <w:tc>
          <w:tcPr>
            <w:tcW w:w="1614" w:type="dxa"/>
            <w:tcBorders>
              <w:left w:val="single" w:color="000000" w:sz="4" w:space="0"/>
              <w:bottom w:val="single" w:color="000000" w:sz="4" w:space="0"/>
              <w:right w:val="single" w:color="000000" w:sz="4" w:space="0"/>
            </w:tcBorders>
          </w:tcPr>
          <w:p>
            <w:pPr>
              <w:pStyle w:val="19"/>
              <w:spacing w:before="89"/>
              <w:ind w:left="160" w:right="144"/>
              <w:rPr>
                <w:sz w:val="21"/>
              </w:rPr>
            </w:pPr>
            <w:r>
              <w:rPr>
                <w:sz w:val="21"/>
              </w:rPr>
              <w:t>危险物质名称</w:t>
            </w:r>
          </w:p>
        </w:tc>
        <w:tc>
          <w:tcPr>
            <w:tcW w:w="1285" w:type="dxa"/>
            <w:tcBorders>
              <w:left w:val="single" w:color="000000" w:sz="4" w:space="0"/>
              <w:bottom w:val="single" w:color="000000" w:sz="4" w:space="0"/>
              <w:right w:val="single" w:color="000000" w:sz="4" w:space="0"/>
            </w:tcBorders>
          </w:tcPr>
          <w:p>
            <w:pPr>
              <w:pStyle w:val="19"/>
              <w:spacing w:before="89"/>
              <w:ind w:left="189" w:right="170"/>
              <w:rPr>
                <w:sz w:val="21"/>
              </w:rPr>
            </w:pPr>
            <w:r>
              <w:rPr>
                <w:rFonts w:ascii="Times New Roman" w:eastAsia="Times New Roman"/>
                <w:sz w:val="21"/>
              </w:rPr>
              <w:t xml:space="preserve">CAS </w:t>
            </w:r>
            <w:r>
              <w:rPr>
                <w:sz w:val="21"/>
              </w:rPr>
              <w:t>号</w:t>
            </w:r>
          </w:p>
        </w:tc>
        <w:tc>
          <w:tcPr>
            <w:tcW w:w="1957" w:type="dxa"/>
            <w:tcBorders>
              <w:left w:val="single" w:color="000000" w:sz="4" w:space="0"/>
              <w:bottom w:val="single" w:color="000000" w:sz="4" w:space="0"/>
              <w:right w:val="single" w:color="000000" w:sz="4" w:space="0"/>
            </w:tcBorders>
          </w:tcPr>
          <w:p>
            <w:pPr>
              <w:pStyle w:val="19"/>
              <w:spacing w:before="89"/>
              <w:ind w:left="92" w:right="75"/>
              <w:rPr>
                <w:sz w:val="21"/>
              </w:rPr>
            </w:pPr>
            <w:r>
              <w:rPr>
                <w:sz w:val="21"/>
              </w:rPr>
              <w:t>最大存在总量（</w:t>
            </w:r>
            <w:r>
              <w:rPr>
                <w:rFonts w:ascii="Times New Roman" w:eastAsia="Times New Roman"/>
                <w:sz w:val="21"/>
              </w:rPr>
              <w:t>t</w:t>
            </w:r>
            <w:r>
              <w:rPr>
                <w:sz w:val="21"/>
              </w:rPr>
              <w:t>）</w:t>
            </w:r>
          </w:p>
        </w:tc>
        <w:tc>
          <w:tcPr>
            <w:tcW w:w="1555" w:type="dxa"/>
            <w:tcBorders>
              <w:left w:val="single" w:color="000000" w:sz="4" w:space="0"/>
              <w:bottom w:val="single" w:color="000000" w:sz="4" w:space="0"/>
              <w:right w:val="single" w:color="000000" w:sz="4" w:space="0"/>
            </w:tcBorders>
          </w:tcPr>
          <w:p>
            <w:pPr>
              <w:pStyle w:val="19"/>
              <w:spacing w:before="89"/>
              <w:ind w:left="187" w:right="171"/>
              <w:rPr>
                <w:sz w:val="21"/>
              </w:rPr>
            </w:pPr>
            <w:r>
              <w:rPr>
                <w:sz w:val="21"/>
              </w:rPr>
              <w:t>临界量（</w:t>
            </w:r>
            <w:r>
              <w:rPr>
                <w:rFonts w:ascii="Times New Roman" w:eastAsia="Times New Roman"/>
                <w:sz w:val="21"/>
              </w:rPr>
              <w:t>t</w:t>
            </w:r>
            <w:r>
              <w:rPr>
                <w:sz w:val="21"/>
              </w:rPr>
              <w:t>）</w:t>
            </w:r>
          </w:p>
        </w:tc>
        <w:tc>
          <w:tcPr>
            <w:tcW w:w="1871" w:type="dxa"/>
            <w:tcBorders>
              <w:left w:val="single" w:color="000000" w:sz="4" w:space="0"/>
              <w:bottom w:val="single" w:color="000000" w:sz="4" w:space="0"/>
            </w:tcBorders>
          </w:tcPr>
          <w:p>
            <w:pPr>
              <w:pStyle w:val="19"/>
              <w:spacing w:before="89"/>
              <w:ind w:left="134" w:right="111"/>
              <w:rPr>
                <w:sz w:val="21"/>
              </w:rPr>
            </w:pPr>
            <w:r>
              <w:rPr>
                <w:sz w:val="21"/>
              </w:rPr>
              <w:t xml:space="preserve">该种危险物 </w:t>
            </w:r>
            <w:r>
              <w:rPr>
                <w:rFonts w:ascii="Times New Roman" w:eastAsia="Times New Roman"/>
                <w:sz w:val="21"/>
              </w:rPr>
              <w:t xml:space="preserve">Q </w:t>
            </w:r>
            <w:r>
              <w:rPr>
                <w:sz w:val="21"/>
              </w:rPr>
              <w:t>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966" w:type="dxa"/>
            <w:tcBorders>
              <w:top w:val="single" w:color="000000" w:sz="4" w:space="0"/>
              <w:bottom w:val="single" w:color="000000" w:sz="4" w:space="0"/>
              <w:right w:val="single" w:color="000000" w:sz="4" w:space="0"/>
            </w:tcBorders>
          </w:tcPr>
          <w:p>
            <w:pPr>
              <w:pStyle w:val="19"/>
              <w:spacing w:before="105"/>
              <w:ind w:left="13"/>
              <w:rPr>
                <w:rFonts w:ascii="Times New Roman"/>
                <w:sz w:val="21"/>
              </w:rPr>
            </w:pPr>
            <w:r>
              <w:rPr>
                <w:rFonts w:ascii="Times New Roman"/>
                <w:w w:val="99"/>
                <w:sz w:val="21"/>
              </w:rPr>
              <w:t>1</w:t>
            </w:r>
          </w:p>
        </w:tc>
        <w:tc>
          <w:tcPr>
            <w:tcW w:w="1614" w:type="dxa"/>
            <w:tcBorders>
              <w:top w:val="single" w:color="000000" w:sz="4" w:space="0"/>
              <w:left w:val="single" w:color="000000" w:sz="4" w:space="0"/>
              <w:bottom w:val="single" w:color="000000" w:sz="4" w:space="0"/>
              <w:right w:val="single" w:color="000000" w:sz="4" w:space="0"/>
            </w:tcBorders>
          </w:tcPr>
          <w:p>
            <w:pPr>
              <w:pStyle w:val="19"/>
              <w:spacing w:before="91"/>
              <w:ind w:left="158" w:right="144"/>
              <w:rPr>
                <w:sz w:val="21"/>
              </w:rPr>
            </w:pPr>
            <w:r>
              <w:rPr>
                <w:sz w:val="21"/>
              </w:rPr>
              <w:t>油类物质</w:t>
            </w:r>
          </w:p>
        </w:tc>
        <w:tc>
          <w:tcPr>
            <w:tcW w:w="1285" w:type="dxa"/>
            <w:tcBorders>
              <w:top w:val="single" w:color="000000" w:sz="4" w:space="0"/>
              <w:left w:val="single" w:color="000000" w:sz="4" w:space="0"/>
              <w:bottom w:val="single" w:color="000000" w:sz="4" w:space="0"/>
              <w:right w:val="single" w:color="000000" w:sz="4" w:space="0"/>
            </w:tcBorders>
          </w:tcPr>
          <w:p>
            <w:pPr>
              <w:pStyle w:val="19"/>
              <w:spacing w:before="105"/>
              <w:ind w:left="17"/>
              <w:rPr>
                <w:rFonts w:ascii="Times New Roman"/>
                <w:sz w:val="21"/>
              </w:rPr>
            </w:pPr>
            <w:r>
              <w:rPr>
                <w:rFonts w:ascii="Times New Roman"/>
                <w:w w:val="99"/>
                <w:sz w:val="21"/>
              </w:rPr>
              <w:t>/</w:t>
            </w:r>
          </w:p>
        </w:tc>
        <w:tc>
          <w:tcPr>
            <w:tcW w:w="1957" w:type="dxa"/>
            <w:tcBorders>
              <w:top w:val="single" w:color="000000" w:sz="4" w:space="0"/>
              <w:left w:val="single" w:color="000000" w:sz="4" w:space="0"/>
              <w:bottom w:val="single" w:color="000000" w:sz="4" w:space="0"/>
              <w:right w:val="single" w:color="000000" w:sz="4" w:space="0"/>
            </w:tcBorders>
          </w:tcPr>
          <w:p>
            <w:pPr>
              <w:pStyle w:val="19"/>
              <w:spacing w:before="105"/>
              <w:ind w:left="92" w:right="74"/>
              <w:rPr>
                <w:rFonts w:ascii="Times New Roman"/>
                <w:sz w:val="21"/>
              </w:rPr>
            </w:pPr>
            <w:r>
              <w:rPr>
                <w:rFonts w:ascii="Times New Roman"/>
                <w:sz w:val="21"/>
              </w:rPr>
              <w:t>20</w:t>
            </w:r>
          </w:p>
        </w:tc>
        <w:tc>
          <w:tcPr>
            <w:tcW w:w="1555" w:type="dxa"/>
            <w:tcBorders>
              <w:top w:val="single" w:color="000000" w:sz="4" w:space="0"/>
              <w:left w:val="single" w:color="000000" w:sz="4" w:space="0"/>
              <w:bottom w:val="single" w:color="000000" w:sz="4" w:space="0"/>
              <w:right w:val="single" w:color="000000" w:sz="4" w:space="0"/>
            </w:tcBorders>
          </w:tcPr>
          <w:p>
            <w:pPr>
              <w:pStyle w:val="19"/>
              <w:spacing w:before="105"/>
              <w:ind w:left="189" w:right="169"/>
              <w:rPr>
                <w:rFonts w:ascii="Times New Roman"/>
                <w:sz w:val="21"/>
              </w:rPr>
            </w:pPr>
            <w:r>
              <w:rPr>
                <w:rFonts w:ascii="Times New Roman"/>
                <w:sz w:val="21"/>
              </w:rPr>
              <w:t>2500</w:t>
            </w:r>
          </w:p>
        </w:tc>
        <w:tc>
          <w:tcPr>
            <w:tcW w:w="1871" w:type="dxa"/>
            <w:tcBorders>
              <w:top w:val="single" w:color="000000" w:sz="4" w:space="0"/>
              <w:left w:val="single" w:color="000000" w:sz="4" w:space="0"/>
              <w:bottom w:val="single" w:color="000000" w:sz="4" w:space="0"/>
            </w:tcBorders>
          </w:tcPr>
          <w:p>
            <w:pPr>
              <w:pStyle w:val="19"/>
              <w:spacing w:before="105"/>
              <w:ind w:left="134" w:right="110"/>
              <w:rPr>
                <w:rFonts w:ascii="Times New Roman"/>
                <w:sz w:val="21"/>
              </w:rPr>
            </w:pPr>
            <w:r>
              <w:rPr>
                <w:rFonts w:ascii="Times New Roman"/>
                <w:sz w:val="21"/>
              </w:rPr>
              <w:t>0.008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966" w:type="dxa"/>
            <w:tcBorders>
              <w:top w:val="single" w:color="000000" w:sz="4" w:space="0"/>
              <w:right w:val="single" w:color="000000" w:sz="4" w:space="0"/>
            </w:tcBorders>
          </w:tcPr>
          <w:p>
            <w:pPr>
              <w:pStyle w:val="19"/>
              <w:spacing w:before="104"/>
              <w:ind w:left="13"/>
              <w:rPr>
                <w:rFonts w:ascii="Times New Roman"/>
                <w:sz w:val="21"/>
              </w:rPr>
            </w:pPr>
            <w:r>
              <w:rPr>
                <w:rFonts w:ascii="Times New Roman"/>
                <w:w w:val="99"/>
                <w:sz w:val="21"/>
              </w:rPr>
              <w:t>2</w:t>
            </w:r>
          </w:p>
        </w:tc>
        <w:tc>
          <w:tcPr>
            <w:tcW w:w="1614" w:type="dxa"/>
            <w:tcBorders>
              <w:top w:val="single" w:color="000000" w:sz="4" w:space="0"/>
              <w:left w:val="single" w:color="000000" w:sz="4" w:space="0"/>
              <w:right w:val="single" w:color="000000" w:sz="4" w:space="0"/>
            </w:tcBorders>
          </w:tcPr>
          <w:p>
            <w:pPr>
              <w:pStyle w:val="19"/>
              <w:spacing w:before="90"/>
              <w:ind w:left="160" w:right="144"/>
              <w:rPr>
                <w:sz w:val="21"/>
              </w:rPr>
            </w:pPr>
            <w:r>
              <w:rPr>
                <w:sz w:val="21"/>
              </w:rPr>
              <w:t>硝酸铵</w:t>
            </w:r>
          </w:p>
        </w:tc>
        <w:tc>
          <w:tcPr>
            <w:tcW w:w="1285" w:type="dxa"/>
            <w:tcBorders>
              <w:top w:val="single" w:color="000000" w:sz="4" w:space="0"/>
              <w:left w:val="single" w:color="000000" w:sz="4" w:space="0"/>
              <w:right w:val="single" w:color="000000" w:sz="4" w:space="0"/>
            </w:tcBorders>
          </w:tcPr>
          <w:p>
            <w:pPr>
              <w:pStyle w:val="19"/>
              <w:spacing w:before="104"/>
              <w:ind w:left="190" w:right="170"/>
              <w:rPr>
                <w:rFonts w:ascii="Times New Roman"/>
                <w:sz w:val="21"/>
              </w:rPr>
            </w:pPr>
            <w:r>
              <w:rPr>
                <w:rFonts w:ascii="Times New Roman"/>
                <w:sz w:val="21"/>
              </w:rPr>
              <w:t>6484-52-2</w:t>
            </w:r>
          </w:p>
        </w:tc>
        <w:tc>
          <w:tcPr>
            <w:tcW w:w="1957" w:type="dxa"/>
            <w:tcBorders>
              <w:top w:val="single" w:color="000000" w:sz="4" w:space="0"/>
              <w:left w:val="single" w:color="000000" w:sz="4" w:space="0"/>
              <w:right w:val="single" w:color="000000" w:sz="4" w:space="0"/>
            </w:tcBorders>
          </w:tcPr>
          <w:p>
            <w:pPr>
              <w:pStyle w:val="19"/>
              <w:spacing w:before="104"/>
              <w:ind w:left="92" w:right="74"/>
              <w:rPr>
                <w:rFonts w:ascii="Times New Roman"/>
                <w:sz w:val="21"/>
              </w:rPr>
            </w:pPr>
            <w:r>
              <w:rPr>
                <w:rFonts w:ascii="Times New Roman"/>
                <w:sz w:val="21"/>
              </w:rPr>
              <w:t>10</w:t>
            </w:r>
          </w:p>
        </w:tc>
        <w:tc>
          <w:tcPr>
            <w:tcW w:w="1555" w:type="dxa"/>
            <w:tcBorders>
              <w:top w:val="single" w:color="000000" w:sz="4" w:space="0"/>
              <w:left w:val="single" w:color="000000" w:sz="4" w:space="0"/>
              <w:right w:val="single" w:color="000000" w:sz="4" w:space="0"/>
            </w:tcBorders>
          </w:tcPr>
          <w:p>
            <w:pPr>
              <w:pStyle w:val="19"/>
              <w:spacing w:before="104"/>
              <w:ind w:left="189" w:right="169"/>
              <w:rPr>
                <w:rFonts w:ascii="Times New Roman"/>
                <w:sz w:val="21"/>
              </w:rPr>
            </w:pPr>
            <w:r>
              <w:rPr>
                <w:rFonts w:ascii="Times New Roman"/>
                <w:sz w:val="21"/>
              </w:rPr>
              <w:t>50</w:t>
            </w:r>
          </w:p>
        </w:tc>
        <w:tc>
          <w:tcPr>
            <w:tcW w:w="1871" w:type="dxa"/>
            <w:tcBorders>
              <w:top w:val="single" w:color="000000" w:sz="4" w:space="0"/>
              <w:left w:val="single" w:color="000000" w:sz="4" w:space="0"/>
            </w:tcBorders>
          </w:tcPr>
          <w:p>
            <w:pPr>
              <w:pStyle w:val="19"/>
              <w:spacing w:before="104"/>
              <w:ind w:left="132" w:right="111"/>
              <w:rPr>
                <w:rFonts w:ascii="Times New Roman"/>
                <w:sz w:val="21"/>
              </w:rPr>
            </w:pPr>
            <w:r>
              <w:rPr>
                <w:rFonts w:ascii="Times New Roman"/>
                <w:sz w:val="21"/>
              </w:rPr>
              <w:t>0.2</w:t>
            </w:r>
          </w:p>
        </w:tc>
      </w:tr>
    </w:tbl>
    <w:p>
      <w:pPr>
        <w:pStyle w:val="9"/>
        <w:spacing w:before="2"/>
        <w:ind w:left="1898"/>
      </w:pPr>
      <w:r>
        <w:rPr>
          <w:rFonts w:ascii="Times New Roman" w:hAnsi="Times New Roman" w:eastAsia="Times New Roman"/>
        </w:rPr>
        <w:t>Q&lt;1</w:t>
      </w:r>
      <w:r>
        <w:t>，因此本项目环境风险潜势为Ⅰ。</w:t>
      </w:r>
    </w:p>
    <w:p>
      <w:pPr>
        <w:pStyle w:val="9"/>
        <w:spacing w:before="158"/>
        <w:ind w:left="1898"/>
      </w:pPr>
      <w:r>
        <w:t>根据《建设项目环境风险评价技术导则》（</w:t>
      </w:r>
      <w:r>
        <w:rPr>
          <w:rFonts w:ascii="Times New Roman" w:eastAsia="Times New Roman"/>
        </w:rPr>
        <w:t>HJ169-2018</w:t>
      </w:r>
      <w:r>
        <w:t>）中评价等级划分表，见表</w:t>
      </w:r>
    </w:p>
    <w:p>
      <w:pPr>
        <w:pStyle w:val="9"/>
        <w:spacing w:before="160"/>
        <w:ind w:left="1418"/>
      </w:pPr>
      <w:r>
        <w:rPr>
          <w:rFonts w:ascii="Times New Roman" w:eastAsia="Times New Roman"/>
        </w:rPr>
        <w:t>15.1-2</w:t>
      </w:r>
      <w:r>
        <w:rPr>
          <w:rFonts w:ascii="Times New Roman" w:eastAsia="Times New Roman"/>
          <w:spacing w:val="59"/>
        </w:rPr>
        <w:t xml:space="preserve"> </w:t>
      </w:r>
      <w:r>
        <w:t>及本项目风险潜势判断结果，本项目环境风险评价简单分析即可。</w:t>
      </w:r>
    </w:p>
    <w:p>
      <w:pPr>
        <w:spacing w:before="160"/>
        <w:ind w:left="5" w:right="0" w:firstLine="0"/>
        <w:jc w:val="center"/>
        <w:rPr>
          <w:b/>
          <w:sz w:val="21"/>
        </w:rPr>
      </w:pPr>
      <w:r>
        <w:rPr>
          <w:b/>
          <w:spacing w:val="-28"/>
          <w:sz w:val="21"/>
        </w:rPr>
        <w:t xml:space="preserve">表 </w:t>
      </w:r>
      <w:r>
        <w:rPr>
          <w:rFonts w:ascii="Times New Roman" w:eastAsia="Times New Roman"/>
          <w:b/>
          <w:sz w:val="21"/>
        </w:rPr>
        <w:t>11.1-2</w:t>
      </w:r>
      <w:r>
        <w:rPr>
          <w:rFonts w:ascii="Times New Roman" w:eastAsia="Times New Roman"/>
          <w:b/>
          <w:spacing w:val="52"/>
          <w:sz w:val="21"/>
        </w:rPr>
        <w:t xml:space="preserve"> </w:t>
      </w:r>
      <w:r>
        <w:rPr>
          <w:b/>
          <w:sz w:val="21"/>
        </w:rPr>
        <w:t>评价工作等级划分</w:t>
      </w:r>
    </w:p>
    <w:p>
      <w:pPr>
        <w:pStyle w:val="9"/>
        <w:spacing w:before="10"/>
        <w:rPr>
          <w:b/>
          <w:sz w:val="10"/>
        </w:rPr>
      </w:pPr>
    </w:p>
    <w:tbl>
      <w:tblPr>
        <w:tblStyle w:val="15"/>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273"/>
        <w:gridCol w:w="1864"/>
        <w:gridCol w:w="1472"/>
        <w:gridCol w:w="1472"/>
        <w:gridCol w:w="20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273" w:type="dxa"/>
            <w:tcBorders>
              <w:bottom w:val="single" w:color="000000" w:sz="4" w:space="0"/>
              <w:right w:val="single" w:color="000000" w:sz="4" w:space="0"/>
            </w:tcBorders>
          </w:tcPr>
          <w:p>
            <w:pPr>
              <w:pStyle w:val="19"/>
              <w:spacing w:before="89"/>
              <w:ind w:left="487" w:right="470"/>
              <w:rPr>
                <w:sz w:val="21"/>
              </w:rPr>
            </w:pPr>
            <w:r>
              <w:rPr>
                <w:sz w:val="21"/>
              </w:rPr>
              <w:t>环境风险潜势</w:t>
            </w:r>
          </w:p>
        </w:tc>
        <w:tc>
          <w:tcPr>
            <w:tcW w:w="1864" w:type="dxa"/>
            <w:tcBorders>
              <w:left w:val="single" w:color="000000" w:sz="4" w:space="0"/>
              <w:bottom w:val="single" w:color="000000" w:sz="4" w:space="0"/>
              <w:right w:val="single" w:color="000000" w:sz="4" w:space="0"/>
            </w:tcBorders>
          </w:tcPr>
          <w:p>
            <w:pPr>
              <w:pStyle w:val="19"/>
              <w:spacing w:before="89"/>
              <w:ind w:left="541" w:right="523"/>
              <w:rPr>
                <w:rFonts w:ascii="Times New Roman" w:hAnsi="Times New Roman" w:eastAsia="Times New Roman"/>
                <w:sz w:val="21"/>
              </w:rPr>
            </w:pPr>
            <w:r>
              <w:rPr>
                <w:sz w:val="21"/>
              </w:rPr>
              <w:t>Ⅳ，Ⅳ</w:t>
            </w:r>
            <w:r>
              <w:rPr>
                <w:rFonts w:ascii="Times New Roman" w:hAnsi="Times New Roman" w:eastAsia="Times New Roman"/>
                <w:sz w:val="21"/>
              </w:rPr>
              <w:t>+</w:t>
            </w:r>
          </w:p>
        </w:tc>
        <w:tc>
          <w:tcPr>
            <w:tcW w:w="1472" w:type="dxa"/>
            <w:tcBorders>
              <w:left w:val="single" w:color="000000" w:sz="4" w:space="0"/>
              <w:bottom w:val="single" w:color="000000" w:sz="4" w:space="0"/>
              <w:right w:val="single" w:color="000000" w:sz="4" w:space="0"/>
            </w:tcBorders>
          </w:tcPr>
          <w:p>
            <w:pPr>
              <w:pStyle w:val="19"/>
              <w:spacing w:before="89"/>
              <w:ind w:left="15"/>
              <w:rPr>
                <w:sz w:val="21"/>
              </w:rPr>
            </w:pPr>
            <w:r>
              <w:rPr>
                <w:w w:val="99"/>
                <w:sz w:val="21"/>
              </w:rPr>
              <w:t>Ⅲ</w:t>
            </w:r>
          </w:p>
        </w:tc>
        <w:tc>
          <w:tcPr>
            <w:tcW w:w="1472" w:type="dxa"/>
            <w:tcBorders>
              <w:left w:val="single" w:color="000000" w:sz="4" w:space="0"/>
              <w:bottom w:val="single" w:color="000000" w:sz="4" w:space="0"/>
              <w:right w:val="single" w:color="000000" w:sz="4" w:space="0"/>
            </w:tcBorders>
          </w:tcPr>
          <w:p>
            <w:pPr>
              <w:pStyle w:val="19"/>
              <w:spacing w:before="89"/>
              <w:ind w:left="18"/>
              <w:rPr>
                <w:sz w:val="21"/>
              </w:rPr>
            </w:pPr>
            <w:r>
              <w:rPr>
                <w:w w:val="99"/>
                <w:sz w:val="21"/>
              </w:rPr>
              <w:t>Ⅱ</w:t>
            </w:r>
          </w:p>
        </w:tc>
        <w:tc>
          <w:tcPr>
            <w:tcW w:w="2005" w:type="dxa"/>
            <w:tcBorders>
              <w:left w:val="single" w:color="000000" w:sz="4" w:space="0"/>
              <w:bottom w:val="single" w:color="000000" w:sz="4" w:space="0"/>
            </w:tcBorders>
          </w:tcPr>
          <w:p>
            <w:pPr>
              <w:pStyle w:val="19"/>
              <w:spacing w:before="89"/>
              <w:ind w:left="17"/>
              <w:rPr>
                <w:sz w:val="21"/>
              </w:rPr>
            </w:pPr>
            <w:r>
              <w:rPr>
                <w:w w:val="99"/>
                <w:sz w:val="21"/>
              </w:rPr>
              <w:t>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2273" w:type="dxa"/>
            <w:tcBorders>
              <w:top w:val="single" w:color="000000" w:sz="4" w:space="0"/>
              <w:bottom w:val="single" w:color="000000" w:sz="4" w:space="0"/>
              <w:right w:val="single" w:color="000000" w:sz="4" w:space="0"/>
            </w:tcBorders>
          </w:tcPr>
          <w:p>
            <w:pPr>
              <w:pStyle w:val="19"/>
              <w:spacing w:before="90"/>
              <w:ind w:left="487" w:right="470"/>
              <w:rPr>
                <w:sz w:val="21"/>
              </w:rPr>
            </w:pPr>
            <w:r>
              <w:rPr>
                <w:sz w:val="21"/>
              </w:rPr>
              <w:t>评价工作等级</w:t>
            </w:r>
          </w:p>
        </w:tc>
        <w:tc>
          <w:tcPr>
            <w:tcW w:w="1864" w:type="dxa"/>
            <w:tcBorders>
              <w:top w:val="single" w:color="000000" w:sz="4" w:space="0"/>
              <w:left w:val="single" w:color="000000" w:sz="4" w:space="0"/>
              <w:bottom w:val="single" w:color="000000" w:sz="4" w:space="0"/>
              <w:right w:val="single" w:color="000000" w:sz="4" w:space="0"/>
            </w:tcBorders>
          </w:tcPr>
          <w:p>
            <w:pPr>
              <w:pStyle w:val="19"/>
              <w:spacing w:before="90"/>
              <w:ind w:left="15"/>
              <w:rPr>
                <w:sz w:val="21"/>
              </w:rPr>
            </w:pPr>
            <w:r>
              <w:rPr>
                <w:w w:val="99"/>
                <w:sz w:val="21"/>
              </w:rPr>
              <w:t>一</w:t>
            </w:r>
          </w:p>
        </w:tc>
        <w:tc>
          <w:tcPr>
            <w:tcW w:w="1472" w:type="dxa"/>
            <w:tcBorders>
              <w:top w:val="single" w:color="000000" w:sz="4" w:space="0"/>
              <w:left w:val="single" w:color="000000" w:sz="4" w:space="0"/>
              <w:bottom w:val="single" w:color="000000" w:sz="4" w:space="0"/>
              <w:right w:val="single" w:color="000000" w:sz="4" w:space="0"/>
            </w:tcBorders>
          </w:tcPr>
          <w:p>
            <w:pPr>
              <w:pStyle w:val="19"/>
              <w:spacing w:before="90"/>
              <w:ind w:left="15"/>
              <w:rPr>
                <w:sz w:val="21"/>
              </w:rPr>
            </w:pPr>
            <w:r>
              <w:rPr>
                <w:w w:val="99"/>
                <w:sz w:val="21"/>
              </w:rPr>
              <w:t>二</w:t>
            </w:r>
          </w:p>
        </w:tc>
        <w:tc>
          <w:tcPr>
            <w:tcW w:w="1472" w:type="dxa"/>
            <w:tcBorders>
              <w:top w:val="single" w:color="000000" w:sz="4" w:space="0"/>
              <w:left w:val="single" w:color="000000" w:sz="4" w:space="0"/>
              <w:bottom w:val="single" w:color="000000" w:sz="4" w:space="0"/>
              <w:right w:val="single" w:color="000000" w:sz="4" w:space="0"/>
            </w:tcBorders>
          </w:tcPr>
          <w:p>
            <w:pPr>
              <w:pStyle w:val="19"/>
              <w:spacing w:before="90"/>
              <w:ind w:left="18"/>
              <w:rPr>
                <w:sz w:val="21"/>
              </w:rPr>
            </w:pPr>
            <w:r>
              <w:rPr>
                <w:w w:val="99"/>
                <w:sz w:val="21"/>
              </w:rPr>
              <w:t>三</w:t>
            </w:r>
          </w:p>
        </w:tc>
        <w:tc>
          <w:tcPr>
            <w:tcW w:w="2005" w:type="dxa"/>
            <w:tcBorders>
              <w:top w:val="single" w:color="000000" w:sz="4" w:space="0"/>
              <w:left w:val="single" w:color="000000" w:sz="4" w:space="0"/>
              <w:bottom w:val="single" w:color="000000" w:sz="4" w:space="0"/>
            </w:tcBorders>
          </w:tcPr>
          <w:p>
            <w:pPr>
              <w:pStyle w:val="19"/>
              <w:spacing w:before="90"/>
              <w:ind w:left="483" w:right="463"/>
              <w:rPr>
                <w:rFonts w:ascii="Times New Roman" w:eastAsia="Times New Roman"/>
                <w:sz w:val="13"/>
              </w:rPr>
            </w:pPr>
            <w:r>
              <w:rPr>
                <w:sz w:val="21"/>
              </w:rPr>
              <w:t xml:space="preserve">简单分析 </w:t>
            </w:r>
            <w:r>
              <w:rPr>
                <w:rFonts w:ascii="Times New Roman" w:eastAsia="Times New Roman"/>
                <w:position w:val="7"/>
                <w:sz w:val="13"/>
              </w:rPr>
              <w: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9086" w:type="dxa"/>
            <w:gridSpan w:val="5"/>
            <w:tcBorders>
              <w:top w:val="single" w:color="000000" w:sz="4" w:space="0"/>
            </w:tcBorders>
          </w:tcPr>
          <w:p>
            <w:pPr>
              <w:pStyle w:val="19"/>
              <w:spacing w:before="1"/>
              <w:ind w:left="9" w:right="-15"/>
              <w:jc w:val="left"/>
              <w:rPr>
                <w:sz w:val="21"/>
              </w:rPr>
            </w:pPr>
            <w:r>
              <w:rPr>
                <w:rFonts w:ascii="Times New Roman" w:eastAsia="Times New Roman"/>
                <w:position w:val="7"/>
                <w:sz w:val="13"/>
              </w:rPr>
              <w:t>a</w:t>
            </w:r>
            <w:r>
              <w:rPr>
                <w:rFonts w:ascii="Times New Roman" w:eastAsia="Times New Roman"/>
                <w:spacing w:val="-11"/>
                <w:position w:val="7"/>
                <w:sz w:val="13"/>
              </w:rPr>
              <w:t xml:space="preserve"> </w:t>
            </w:r>
            <w:r>
              <w:rPr>
                <w:spacing w:val="-4"/>
                <w:sz w:val="21"/>
              </w:rPr>
              <w:t>是相对于详细评价工作内容而言，在描述危险物质、环境影响途径、环境危害后果、风险防范措施</w:t>
            </w:r>
          </w:p>
          <w:p>
            <w:pPr>
              <w:pStyle w:val="19"/>
              <w:spacing w:before="2" w:line="252" w:lineRule="exact"/>
              <w:ind w:left="9"/>
              <w:jc w:val="left"/>
              <w:rPr>
                <w:sz w:val="21"/>
              </w:rPr>
            </w:pPr>
            <w:r>
              <w:rPr>
                <w:sz w:val="21"/>
              </w:rPr>
              <w:t>等方面给出定性的说明。</w:t>
            </w:r>
          </w:p>
        </w:tc>
      </w:tr>
    </w:tbl>
    <w:p>
      <w:pPr>
        <w:pStyle w:val="5"/>
        <w:numPr>
          <w:ilvl w:val="1"/>
          <w:numId w:val="79"/>
        </w:numPr>
        <w:tabs>
          <w:tab w:val="left" w:pos="2676"/>
        </w:tabs>
        <w:spacing w:before="2" w:after="0" w:line="240" w:lineRule="auto"/>
        <w:ind w:left="2676" w:right="0" w:hanging="658"/>
        <w:jc w:val="left"/>
      </w:pPr>
      <w:bookmarkStart w:id="653" w:name="11.2 环境敏感目标调查"/>
      <w:bookmarkEnd w:id="653"/>
      <w:bookmarkStart w:id="654" w:name="_bookmark62"/>
      <w:bookmarkEnd w:id="654"/>
      <w:bookmarkStart w:id="655" w:name="_bookmark62"/>
      <w:bookmarkEnd w:id="655"/>
      <w:r>
        <w:t>环境敏感目标调查</w:t>
      </w:r>
    </w:p>
    <w:p>
      <w:pPr>
        <w:pStyle w:val="9"/>
        <w:spacing w:before="5"/>
        <w:rPr>
          <w:b/>
          <w:sz w:val="10"/>
        </w:rPr>
      </w:pPr>
    </w:p>
    <w:p>
      <w:pPr>
        <w:pStyle w:val="9"/>
        <w:spacing w:before="66"/>
        <w:ind w:left="1898"/>
      </w:pPr>
      <w:r>
        <w:t>环境敏感目标见下表。</w:t>
      </w:r>
    </w:p>
    <w:p>
      <w:pPr>
        <w:spacing w:before="160"/>
        <w:ind w:left="7" w:right="0" w:firstLine="0"/>
        <w:jc w:val="center"/>
        <w:rPr>
          <w:b/>
          <w:sz w:val="21"/>
        </w:rPr>
      </w:pPr>
      <w:r>
        <w:rPr>
          <w:b/>
          <w:spacing w:val="-28"/>
          <w:sz w:val="21"/>
        </w:rPr>
        <w:t xml:space="preserve">表 </w:t>
      </w:r>
      <w:r>
        <w:rPr>
          <w:rFonts w:ascii="Times New Roman" w:eastAsia="Times New Roman"/>
          <w:b/>
          <w:sz w:val="21"/>
        </w:rPr>
        <w:t>11.2-1</w:t>
      </w:r>
      <w:r>
        <w:rPr>
          <w:rFonts w:ascii="Times New Roman" w:eastAsia="Times New Roman"/>
          <w:b/>
          <w:spacing w:val="52"/>
          <w:sz w:val="21"/>
        </w:rPr>
        <w:t xml:space="preserve"> </w:t>
      </w:r>
      <w:r>
        <w:rPr>
          <w:b/>
          <w:sz w:val="21"/>
        </w:rPr>
        <w:t>建设项目环境敏感特征表</w:t>
      </w:r>
    </w:p>
    <w:p>
      <w:pPr>
        <w:pStyle w:val="9"/>
        <w:spacing w:before="9"/>
        <w:rPr>
          <w:b/>
          <w:sz w:val="10"/>
        </w:rPr>
      </w:pPr>
    </w:p>
    <w:tbl>
      <w:tblPr>
        <w:tblStyle w:val="15"/>
        <w:tblW w:w="0" w:type="auto"/>
        <w:tblInd w:w="14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4"/>
        <w:gridCol w:w="584"/>
        <w:gridCol w:w="1761"/>
        <w:gridCol w:w="1392"/>
        <w:gridCol w:w="1705"/>
        <w:gridCol w:w="1847"/>
        <w:gridCol w:w="12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624" w:type="dxa"/>
            <w:tcBorders>
              <w:bottom w:val="single" w:color="000000" w:sz="4" w:space="0"/>
              <w:right w:val="single" w:color="000000" w:sz="4" w:space="0"/>
            </w:tcBorders>
          </w:tcPr>
          <w:p>
            <w:pPr>
              <w:pStyle w:val="19"/>
              <w:spacing w:before="34"/>
              <w:ind w:left="102"/>
              <w:jc w:val="left"/>
              <w:rPr>
                <w:sz w:val="21"/>
              </w:rPr>
            </w:pPr>
            <w:r>
              <w:rPr>
                <w:sz w:val="21"/>
              </w:rPr>
              <w:t>类别</w:t>
            </w:r>
          </w:p>
        </w:tc>
        <w:tc>
          <w:tcPr>
            <w:tcW w:w="8502" w:type="dxa"/>
            <w:gridSpan w:val="6"/>
            <w:tcBorders>
              <w:left w:val="single" w:color="000000" w:sz="4" w:space="0"/>
              <w:bottom w:val="single" w:color="000000" w:sz="4" w:space="0"/>
            </w:tcBorders>
          </w:tcPr>
          <w:p>
            <w:pPr>
              <w:pStyle w:val="19"/>
              <w:spacing w:before="34"/>
              <w:ind w:left="3233" w:right="3211"/>
              <w:rPr>
                <w:sz w:val="21"/>
              </w:rPr>
            </w:pPr>
            <w:r>
              <w:rPr>
                <w:sz w:val="21"/>
              </w:rPr>
              <w:t>环境敏感特征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5" w:hRule="atLeast"/>
        </w:trPr>
        <w:tc>
          <w:tcPr>
            <w:tcW w:w="624" w:type="dxa"/>
            <w:vMerge w:val="restart"/>
            <w:tcBorders>
              <w:top w:val="single" w:color="000000" w:sz="4" w:space="0"/>
              <w:right w:val="single" w:color="000000" w:sz="4" w:space="0"/>
            </w:tcBorders>
          </w:tcPr>
          <w:p>
            <w:pPr>
              <w:pStyle w:val="19"/>
              <w:jc w:val="left"/>
              <w:rPr>
                <w:b/>
                <w:sz w:val="20"/>
              </w:rPr>
            </w:pPr>
          </w:p>
          <w:p>
            <w:pPr>
              <w:pStyle w:val="19"/>
              <w:jc w:val="left"/>
              <w:rPr>
                <w:b/>
                <w:sz w:val="20"/>
              </w:rPr>
            </w:pPr>
          </w:p>
          <w:p>
            <w:pPr>
              <w:pStyle w:val="19"/>
              <w:spacing w:before="3"/>
              <w:jc w:val="left"/>
              <w:rPr>
                <w:b/>
                <w:sz w:val="27"/>
              </w:rPr>
            </w:pPr>
          </w:p>
          <w:p>
            <w:pPr>
              <w:pStyle w:val="19"/>
              <w:spacing w:before="1" w:line="242" w:lineRule="auto"/>
              <w:ind w:left="102" w:right="86"/>
              <w:jc w:val="left"/>
              <w:rPr>
                <w:sz w:val="21"/>
              </w:rPr>
            </w:pPr>
            <w:r>
              <w:rPr>
                <w:sz w:val="21"/>
              </w:rPr>
              <w:t>环境空气</w:t>
            </w:r>
          </w:p>
        </w:tc>
        <w:tc>
          <w:tcPr>
            <w:tcW w:w="8502" w:type="dxa"/>
            <w:gridSpan w:val="6"/>
            <w:tcBorders>
              <w:top w:val="single" w:color="000000" w:sz="4" w:space="0"/>
              <w:left w:val="single" w:color="000000" w:sz="4" w:space="0"/>
              <w:bottom w:val="single" w:color="000000" w:sz="4" w:space="0"/>
            </w:tcBorders>
          </w:tcPr>
          <w:p>
            <w:pPr>
              <w:pStyle w:val="19"/>
              <w:spacing w:before="34"/>
              <w:ind w:left="3235" w:right="3211"/>
              <w:rPr>
                <w:sz w:val="21"/>
              </w:rPr>
            </w:pPr>
            <w:r>
              <w:rPr>
                <w:sz w:val="21"/>
              </w:rPr>
              <w:t xml:space="preserve">厂址周边 </w:t>
            </w:r>
            <w:r>
              <w:rPr>
                <w:rFonts w:ascii="Times New Roman" w:eastAsia="Times New Roman"/>
                <w:sz w:val="21"/>
              </w:rPr>
              <w:t xml:space="preserve">5km </w:t>
            </w:r>
            <w:r>
              <w:rPr>
                <w:sz w:val="21"/>
              </w:rPr>
              <w:t>范围内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5" w:hRule="atLeast"/>
        </w:trPr>
        <w:tc>
          <w:tcPr>
            <w:tcW w:w="624" w:type="dxa"/>
            <w:vMerge w:val="continue"/>
            <w:tcBorders>
              <w:top w:val="nil"/>
              <w:right w:val="single" w:color="000000" w:sz="4" w:space="0"/>
            </w:tcBorders>
          </w:tcPr>
          <w:p>
            <w:pPr>
              <w:rPr>
                <w:sz w:val="2"/>
                <w:szCs w:val="2"/>
              </w:rPr>
            </w:pPr>
          </w:p>
        </w:tc>
        <w:tc>
          <w:tcPr>
            <w:tcW w:w="584" w:type="dxa"/>
            <w:tcBorders>
              <w:top w:val="single" w:color="000000" w:sz="4" w:space="0"/>
              <w:left w:val="single" w:color="000000" w:sz="4" w:space="0"/>
              <w:bottom w:val="single" w:color="000000" w:sz="4" w:space="0"/>
              <w:right w:val="single" w:color="000000" w:sz="4" w:space="0"/>
            </w:tcBorders>
          </w:tcPr>
          <w:p>
            <w:pPr>
              <w:pStyle w:val="19"/>
              <w:spacing w:before="130"/>
              <w:ind w:left="64" w:right="49"/>
              <w:rPr>
                <w:sz w:val="21"/>
              </w:rPr>
            </w:pPr>
            <w:r>
              <w:rPr>
                <w:sz w:val="21"/>
              </w:rPr>
              <w:t>序号</w:t>
            </w:r>
          </w:p>
        </w:tc>
        <w:tc>
          <w:tcPr>
            <w:tcW w:w="1761" w:type="dxa"/>
            <w:tcBorders>
              <w:top w:val="single" w:color="000000" w:sz="4" w:space="0"/>
              <w:left w:val="single" w:color="000000" w:sz="4" w:space="0"/>
              <w:bottom w:val="single" w:color="000000" w:sz="4" w:space="0"/>
              <w:right w:val="single" w:color="000000" w:sz="4" w:space="0"/>
            </w:tcBorders>
          </w:tcPr>
          <w:p>
            <w:pPr>
              <w:pStyle w:val="19"/>
              <w:spacing w:before="130"/>
              <w:ind w:left="232" w:right="215"/>
              <w:rPr>
                <w:sz w:val="21"/>
              </w:rPr>
            </w:pPr>
            <w:r>
              <w:rPr>
                <w:sz w:val="21"/>
              </w:rPr>
              <w:t>敏感目标名称</w:t>
            </w:r>
          </w:p>
        </w:tc>
        <w:tc>
          <w:tcPr>
            <w:tcW w:w="1392" w:type="dxa"/>
            <w:tcBorders>
              <w:top w:val="single" w:color="000000" w:sz="4" w:space="0"/>
              <w:left w:val="single" w:color="000000" w:sz="4" w:space="0"/>
              <w:bottom w:val="single" w:color="000000" w:sz="4" w:space="0"/>
              <w:right w:val="single" w:color="000000" w:sz="4" w:space="0"/>
            </w:tcBorders>
          </w:tcPr>
          <w:p>
            <w:pPr>
              <w:pStyle w:val="19"/>
              <w:spacing w:before="130"/>
              <w:ind w:left="258" w:right="243"/>
              <w:rPr>
                <w:sz w:val="21"/>
              </w:rPr>
            </w:pPr>
            <w:r>
              <w:rPr>
                <w:sz w:val="21"/>
              </w:rPr>
              <w:t>相对方位</w:t>
            </w:r>
          </w:p>
        </w:tc>
        <w:tc>
          <w:tcPr>
            <w:tcW w:w="1705" w:type="dxa"/>
            <w:tcBorders>
              <w:top w:val="single" w:color="000000" w:sz="4" w:space="0"/>
              <w:left w:val="single" w:color="000000" w:sz="4" w:space="0"/>
              <w:bottom w:val="single" w:color="000000" w:sz="4" w:space="0"/>
              <w:right w:val="single" w:color="000000" w:sz="4" w:space="0"/>
            </w:tcBorders>
          </w:tcPr>
          <w:p>
            <w:pPr>
              <w:pStyle w:val="19"/>
              <w:spacing w:line="265" w:lineRule="exact"/>
              <w:ind w:left="121"/>
              <w:jc w:val="left"/>
              <w:rPr>
                <w:sz w:val="21"/>
              </w:rPr>
            </w:pPr>
            <w:r>
              <w:rPr>
                <w:w w:val="95"/>
                <w:sz w:val="21"/>
              </w:rPr>
              <w:t>距本项目装置区</w:t>
            </w:r>
          </w:p>
          <w:p>
            <w:pPr>
              <w:pStyle w:val="19"/>
              <w:spacing w:before="2" w:line="248" w:lineRule="exact"/>
              <w:ind w:left="116"/>
              <w:jc w:val="left"/>
              <w:rPr>
                <w:rFonts w:ascii="Times New Roman" w:eastAsia="Times New Roman"/>
                <w:sz w:val="21"/>
              </w:rPr>
            </w:pPr>
            <w:r>
              <w:rPr>
                <w:w w:val="95"/>
                <w:sz w:val="21"/>
              </w:rPr>
              <w:t>最近距离距离</w:t>
            </w:r>
            <w:r>
              <w:rPr>
                <w:rFonts w:ascii="Times New Roman" w:eastAsia="Times New Roman"/>
                <w:w w:val="95"/>
                <w:sz w:val="21"/>
              </w:rPr>
              <w:t>/m</w:t>
            </w:r>
          </w:p>
        </w:tc>
        <w:tc>
          <w:tcPr>
            <w:tcW w:w="1847" w:type="dxa"/>
            <w:tcBorders>
              <w:top w:val="single" w:color="000000" w:sz="4" w:space="0"/>
              <w:left w:val="single" w:color="000000" w:sz="4" w:space="0"/>
              <w:bottom w:val="single" w:color="000000" w:sz="4" w:space="0"/>
              <w:right w:val="single" w:color="000000" w:sz="4" w:space="0"/>
            </w:tcBorders>
          </w:tcPr>
          <w:p>
            <w:pPr>
              <w:pStyle w:val="19"/>
              <w:spacing w:before="130"/>
              <w:ind w:left="592" w:right="575"/>
              <w:rPr>
                <w:sz w:val="21"/>
              </w:rPr>
            </w:pPr>
            <w:r>
              <w:rPr>
                <w:sz w:val="21"/>
              </w:rPr>
              <w:t>属性</w:t>
            </w:r>
          </w:p>
        </w:tc>
        <w:tc>
          <w:tcPr>
            <w:tcW w:w="1213" w:type="dxa"/>
            <w:tcBorders>
              <w:top w:val="single" w:color="000000" w:sz="4" w:space="0"/>
              <w:left w:val="single" w:color="000000" w:sz="4" w:space="0"/>
              <w:bottom w:val="single" w:color="000000" w:sz="4" w:space="0"/>
            </w:tcBorders>
          </w:tcPr>
          <w:p>
            <w:pPr>
              <w:pStyle w:val="19"/>
              <w:spacing w:before="130"/>
              <w:ind w:left="45" w:right="26"/>
              <w:rPr>
                <w:sz w:val="21"/>
              </w:rPr>
            </w:pPr>
            <w:r>
              <w:rPr>
                <w:sz w:val="21"/>
              </w:rPr>
              <w:t>人口数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624" w:type="dxa"/>
            <w:vMerge w:val="continue"/>
            <w:tcBorders>
              <w:top w:val="nil"/>
              <w:right w:val="single" w:color="000000" w:sz="4" w:space="0"/>
            </w:tcBorders>
          </w:tcPr>
          <w:p>
            <w:pPr>
              <w:rPr>
                <w:sz w:val="2"/>
                <w:szCs w:val="2"/>
              </w:rPr>
            </w:pPr>
          </w:p>
        </w:tc>
        <w:tc>
          <w:tcPr>
            <w:tcW w:w="584" w:type="dxa"/>
            <w:tcBorders>
              <w:top w:val="single" w:color="000000" w:sz="4" w:space="0"/>
              <w:left w:val="single" w:color="000000" w:sz="4" w:space="0"/>
              <w:bottom w:val="single" w:color="000000" w:sz="4" w:space="0"/>
              <w:right w:val="single" w:color="000000" w:sz="4" w:space="0"/>
            </w:tcBorders>
          </w:tcPr>
          <w:p>
            <w:pPr>
              <w:pStyle w:val="19"/>
              <w:spacing w:before="43"/>
              <w:ind w:left="18"/>
              <w:rPr>
                <w:rFonts w:ascii="Times New Roman"/>
                <w:sz w:val="21"/>
              </w:rPr>
            </w:pPr>
            <w:r>
              <w:rPr>
                <w:rFonts w:ascii="Times New Roman"/>
                <w:w w:val="99"/>
                <w:sz w:val="21"/>
              </w:rPr>
              <w:t>1</w:t>
            </w:r>
          </w:p>
        </w:tc>
        <w:tc>
          <w:tcPr>
            <w:tcW w:w="1761" w:type="dxa"/>
            <w:tcBorders>
              <w:top w:val="single" w:color="000000" w:sz="4" w:space="0"/>
              <w:left w:val="single" w:color="000000" w:sz="4" w:space="0"/>
              <w:bottom w:val="single" w:color="000000" w:sz="4" w:space="0"/>
              <w:right w:val="single" w:color="000000" w:sz="4" w:space="0"/>
            </w:tcBorders>
          </w:tcPr>
          <w:p>
            <w:pPr>
              <w:pStyle w:val="19"/>
              <w:spacing w:before="2"/>
              <w:ind w:left="232" w:right="215"/>
              <w:rPr>
                <w:sz w:val="21"/>
              </w:rPr>
            </w:pPr>
            <w:r>
              <w:rPr>
                <w:sz w:val="21"/>
              </w:rPr>
              <w:t>六道坝</w:t>
            </w:r>
          </w:p>
        </w:tc>
        <w:tc>
          <w:tcPr>
            <w:tcW w:w="1392" w:type="dxa"/>
            <w:tcBorders>
              <w:top w:val="single" w:color="000000" w:sz="4" w:space="0"/>
              <w:left w:val="single" w:color="000000" w:sz="4" w:space="0"/>
              <w:bottom w:val="single" w:color="000000" w:sz="4" w:space="0"/>
              <w:right w:val="single" w:color="000000" w:sz="4" w:space="0"/>
            </w:tcBorders>
          </w:tcPr>
          <w:p>
            <w:pPr>
              <w:pStyle w:val="19"/>
              <w:spacing w:before="19"/>
              <w:ind w:left="258" w:right="243"/>
              <w:rPr>
                <w:rFonts w:ascii="Times New Roman"/>
                <w:sz w:val="21"/>
              </w:rPr>
            </w:pPr>
            <w:r>
              <w:rPr>
                <w:rFonts w:ascii="Times New Roman"/>
                <w:sz w:val="21"/>
              </w:rPr>
              <w:t>WN</w:t>
            </w:r>
          </w:p>
        </w:tc>
        <w:tc>
          <w:tcPr>
            <w:tcW w:w="1705" w:type="dxa"/>
            <w:tcBorders>
              <w:top w:val="single" w:color="000000" w:sz="4" w:space="0"/>
              <w:left w:val="single" w:color="000000" w:sz="4" w:space="0"/>
              <w:bottom w:val="single" w:color="000000" w:sz="4" w:space="0"/>
              <w:right w:val="single" w:color="000000" w:sz="4" w:space="0"/>
            </w:tcBorders>
          </w:tcPr>
          <w:p>
            <w:pPr>
              <w:pStyle w:val="19"/>
              <w:spacing w:before="19"/>
              <w:ind w:left="626" w:right="606"/>
              <w:rPr>
                <w:rFonts w:ascii="Times New Roman"/>
                <w:sz w:val="21"/>
              </w:rPr>
            </w:pPr>
            <w:r>
              <w:rPr>
                <w:rFonts w:ascii="Times New Roman"/>
                <w:sz w:val="21"/>
              </w:rPr>
              <w:t>240</w:t>
            </w:r>
          </w:p>
        </w:tc>
        <w:tc>
          <w:tcPr>
            <w:tcW w:w="1847" w:type="dxa"/>
            <w:tcBorders>
              <w:top w:val="single" w:color="000000" w:sz="4" w:space="0"/>
              <w:left w:val="single" w:color="000000" w:sz="4" w:space="0"/>
              <w:bottom w:val="single" w:color="000000" w:sz="4" w:space="0"/>
              <w:right w:val="single" w:color="000000" w:sz="4" w:space="0"/>
            </w:tcBorders>
          </w:tcPr>
          <w:p>
            <w:pPr>
              <w:pStyle w:val="19"/>
              <w:spacing w:before="29"/>
              <w:ind w:left="592" w:right="575"/>
              <w:rPr>
                <w:sz w:val="21"/>
              </w:rPr>
            </w:pPr>
            <w:r>
              <w:rPr>
                <w:sz w:val="21"/>
              </w:rPr>
              <w:t>居住区</w:t>
            </w:r>
          </w:p>
        </w:tc>
        <w:tc>
          <w:tcPr>
            <w:tcW w:w="1213" w:type="dxa"/>
            <w:tcBorders>
              <w:top w:val="single" w:color="000000" w:sz="4" w:space="0"/>
              <w:left w:val="single" w:color="000000" w:sz="4" w:space="0"/>
              <w:bottom w:val="single" w:color="000000" w:sz="4" w:space="0"/>
            </w:tcBorders>
          </w:tcPr>
          <w:p>
            <w:pPr>
              <w:pStyle w:val="19"/>
              <w:spacing w:before="2"/>
              <w:ind w:left="45" w:right="23"/>
              <w:rPr>
                <w:sz w:val="21"/>
              </w:rPr>
            </w:pPr>
            <w:r>
              <w:rPr>
                <w:rFonts w:ascii="Times New Roman" w:eastAsia="Times New Roman"/>
                <w:sz w:val="21"/>
              </w:rPr>
              <w:t xml:space="preserve">95 </w:t>
            </w:r>
            <w:r>
              <w:rPr>
                <w:sz w:val="21"/>
              </w:rPr>
              <w:t>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624" w:type="dxa"/>
            <w:vMerge w:val="continue"/>
            <w:tcBorders>
              <w:top w:val="nil"/>
              <w:right w:val="single" w:color="000000" w:sz="4" w:space="0"/>
            </w:tcBorders>
          </w:tcPr>
          <w:p>
            <w:pPr>
              <w:rPr>
                <w:sz w:val="2"/>
                <w:szCs w:val="2"/>
              </w:rPr>
            </w:pPr>
          </w:p>
        </w:tc>
        <w:tc>
          <w:tcPr>
            <w:tcW w:w="584" w:type="dxa"/>
            <w:tcBorders>
              <w:top w:val="single" w:color="000000" w:sz="4" w:space="0"/>
              <w:left w:val="single" w:color="000000" w:sz="4" w:space="0"/>
              <w:bottom w:val="single" w:color="000000" w:sz="4" w:space="0"/>
              <w:right w:val="single" w:color="000000" w:sz="4" w:space="0"/>
            </w:tcBorders>
          </w:tcPr>
          <w:p>
            <w:pPr>
              <w:pStyle w:val="19"/>
              <w:spacing w:before="36"/>
              <w:ind w:left="18"/>
              <w:rPr>
                <w:rFonts w:ascii="Times New Roman"/>
                <w:sz w:val="21"/>
              </w:rPr>
            </w:pPr>
            <w:r>
              <w:rPr>
                <w:rFonts w:ascii="Times New Roman"/>
                <w:w w:val="99"/>
                <w:sz w:val="21"/>
              </w:rPr>
              <w:t>2</w:t>
            </w:r>
          </w:p>
        </w:tc>
        <w:tc>
          <w:tcPr>
            <w:tcW w:w="1761" w:type="dxa"/>
            <w:tcBorders>
              <w:top w:val="single" w:color="000000" w:sz="4" w:space="0"/>
              <w:left w:val="single" w:color="000000" w:sz="4" w:space="0"/>
              <w:bottom w:val="single" w:color="000000" w:sz="4" w:space="0"/>
              <w:right w:val="single" w:color="000000" w:sz="4" w:space="0"/>
            </w:tcBorders>
          </w:tcPr>
          <w:p>
            <w:pPr>
              <w:pStyle w:val="19"/>
              <w:spacing w:line="265" w:lineRule="exact"/>
              <w:ind w:left="232" w:right="215"/>
              <w:rPr>
                <w:sz w:val="21"/>
              </w:rPr>
            </w:pPr>
            <w:r>
              <w:rPr>
                <w:sz w:val="21"/>
              </w:rPr>
              <w:t>七道坝</w:t>
            </w:r>
          </w:p>
        </w:tc>
        <w:tc>
          <w:tcPr>
            <w:tcW w:w="1392" w:type="dxa"/>
            <w:tcBorders>
              <w:top w:val="single" w:color="000000" w:sz="4" w:space="0"/>
              <w:left w:val="single" w:color="000000" w:sz="4" w:space="0"/>
              <w:bottom w:val="single" w:color="000000" w:sz="4" w:space="0"/>
              <w:right w:val="single" w:color="000000" w:sz="4" w:space="0"/>
            </w:tcBorders>
          </w:tcPr>
          <w:p>
            <w:pPr>
              <w:pStyle w:val="19"/>
              <w:spacing w:before="12"/>
              <w:ind w:left="258" w:right="241"/>
              <w:rPr>
                <w:rFonts w:ascii="Times New Roman"/>
                <w:sz w:val="21"/>
              </w:rPr>
            </w:pPr>
            <w:r>
              <w:rPr>
                <w:rFonts w:ascii="Times New Roman"/>
                <w:sz w:val="21"/>
              </w:rPr>
              <w:t>EN</w:t>
            </w:r>
          </w:p>
        </w:tc>
        <w:tc>
          <w:tcPr>
            <w:tcW w:w="1705" w:type="dxa"/>
            <w:tcBorders>
              <w:top w:val="single" w:color="000000" w:sz="4" w:space="0"/>
              <w:left w:val="single" w:color="000000" w:sz="4" w:space="0"/>
              <w:bottom w:val="single" w:color="000000" w:sz="4" w:space="0"/>
              <w:right w:val="single" w:color="000000" w:sz="4" w:space="0"/>
            </w:tcBorders>
          </w:tcPr>
          <w:p>
            <w:pPr>
              <w:pStyle w:val="19"/>
              <w:spacing w:before="12"/>
              <w:ind w:left="626" w:right="606"/>
              <w:rPr>
                <w:rFonts w:ascii="Times New Roman"/>
                <w:sz w:val="21"/>
              </w:rPr>
            </w:pPr>
            <w:r>
              <w:rPr>
                <w:rFonts w:ascii="Times New Roman"/>
                <w:sz w:val="21"/>
              </w:rPr>
              <w:t>140</w:t>
            </w:r>
          </w:p>
        </w:tc>
        <w:tc>
          <w:tcPr>
            <w:tcW w:w="1847" w:type="dxa"/>
            <w:tcBorders>
              <w:top w:val="single" w:color="000000" w:sz="4" w:space="0"/>
              <w:left w:val="single" w:color="000000" w:sz="4" w:space="0"/>
              <w:bottom w:val="single" w:color="000000" w:sz="4" w:space="0"/>
              <w:right w:val="single" w:color="000000" w:sz="4" w:space="0"/>
            </w:tcBorders>
          </w:tcPr>
          <w:p>
            <w:pPr>
              <w:pStyle w:val="19"/>
              <w:spacing w:before="22"/>
              <w:ind w:left="592" w:right="575"/>
              <w:rPr>
                <w:sz w:val="21"/>
              </w:rPr>
            </w:pPr>
            <w:r>
              <w:rPr>
                <w:sz w:val="21"/>
              </w:rPr>
              <w:t>居住区</w:t>
            </w:r>
          </w:p>
        </w:tc>
        <w:tc>
          <w:tcPr>
            <w:tcW w:w="1213" w:type="dxa"/>
            <w:tcBorders>
              <w:top w:val="single" w:color="000000" w:sz="4" w:space="0"/>
              <w:left w:val="single" w:color="000000" w:sz="4" w:space="0"/>
              <w:bottom w:val="single" w:color="000000" w:sz="4" w:space="0"/>
            </w:tcBorders>
          </w:tcPr>
          <w:p>
            <w:pPr>
              <w:pStyle w:val="19"/>
              <w:spacing w:line="265" w:lineRule="exact"/>
              <w:ind w:left="45" w:right="21"/>
              <w:rPr>
                <w:sz w:val="21"/>
              </w:rPr>
            </w:pPr>
            <w:r>
              <w:rPr>
                <w:rFonts w:ascii="Times New Roman" w:eastAsia="Times New Roman"/>
                <w:sz w:val="21"/>
              </w:rPr>
              <w:t xml:space="preserve">500 </w:t>
            </w:r>
            <w:r>
              <w:rPr>
                <w:sz w:val="21"/>
              </w:rPr>
              <w:t>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624" w:type="dxa"/>
            <w:vMerge w:val="continue"/>
            <w:tcBorders>
              <w:top w:val="nil"/>
              <w:right w:val="single" w:color="000000" w:sz="4" w:space="0"/>
            </w:tcBorders>
          </w:tcPr>
          <w:p>
            <w:pPr>
              <w:rPr>
                <w:sz w:val="2"/>
                <w:szCs w:val="2"/>
              </w:rPr>
            </w:pPr>
          </w:p>
        </w:tc>
        <w:tc>
          <w:tcPr>
            <w:tcW w:w="584" w:type="dxa"/>
            <w:tcBorders>
              <w:top w:val="single" w:color="000000" w:sz="4" w:space="0"/>
              <w:left w:val="single" w:color="000000" w:sz="4" w:space="0"/>
              <w:bottom w:val="single" w:color="000000" w:sz="4" w:space="0"/>
              <w:right w:val="single" w:color="000000" w:sz="4" w:space="0"/>
            </w:tcBorders>
          </w:tcPr>
          <w:p>
            <w:pPr>
              <w:pStyle w:val="19"/>
              <w:spacing w:before="11"/>
              <w:ind w:left="18"/>
              <w:rPr>
                <w:rFonts w:ascii="Times New Roman"/>
                <w:sz w:val="21"/>
              </w:rPr>
            </w:pPr>
            <w:r>
              <w:rPr>
                <w:rFonts w:ascii="Times New Roman"/>
                <w:w w:val="99"/>
                <w:sz w:val="21"/>
              </w:rPr>
              <w:t>3</w:t>
            </w:r>
          </w:p>
        </w:tc>
        <w:tc>
          <w:tcPr>
            <w:tcW w:w="1761" w:type="dxa"/>
            <w:tcBorders>
              <w:top w:val="single" w:color="000000" w:sz="4" w:space="0"/>
              <w:left w:val="single" w:color="000000" w:sz="4" w:space="0"/>
              <w:bottom w:val="single" w:color="000000" w:sz="4" w:space="0"/>
              <w:right w:val="single" w:color="000000" w:sz="4" w:space="0"/>
            </w:tcBorders>
          </w:tcPr>
          <w:p>
            <w:pPr>
              <w:pStyle w:val="19"/>
              <w:spacing w:line="264" w:lineRule="exact"/>
              <w:ind w:left="232" w:right="215"/>
              <w:rPr>
                <w:sz w:val="21"/>
              </w:rPr>
            </w:pPr>
            <w:r>
              <w:rPr>
                <w:sz w:val="21"/>
              </w:rPr>
              <w:t>八道坝</w:t>
            </w:r>
          </w:p>
        </w:tc>
        <w:tc>
          <w:tcPr>
            <w:tcW w:w="1392" w:type="dxa"/>
            <w:tcBorders>
              <w:top w:val="single" w:color="000000" w:sz="4" w:space="0"/>
              <w:left w:val="single" w:color="000000" w:sz="4" w:space="0"/>
              <w:bottom w:val="single" w:color="000000" w:sz="4" w:space="0"/>
              <w:right w:val="single" w:color="000000" w:sz="4" w:space="0"/>
            </w:tcBorders>
          </w:tcPr>
          <w:p>
            <w:pPr>
              <w:pStyle w:val="19"/>
              <w:spacing w:before="11"/>
              <w:ind w:left="258" w:right="241"/>
              <w:rPr>
                <w:rFonts w:ascii="Times New Roman"/>
                <w:sz w:val="21"/>
              </w:rPr>
            </w:pPr>
            <w:r>
              <w:rPr>
                <w:rFonts w:ascii="Times New Roman"/>
                <w:sz w:val="21"/>
              </w:rPr>
              <w:t>EN</w:t>
            </w:r>
          </w:p>
        </w:tc>
        <w:tc>
          <w:tcPr>
            <w:tcW w:w="1705" w:type="dxa"/>
            <w:tcBorders>
              <w:top w:val="single" w:color="000000" w:sz="4" w:space="0"/>
              <w:left w:val="single" w:color="000000" w:sz="4" w:space="0"/>
              <w:bottom w:val="single" w:color="000000" w:sz="4" w:space="0"/>
              <w:right w:val="single" w:color="000000" w:sz="4" w:space="0"/>
            </w:tcBorders>
          </w:tcPr>
          <w:p>
            <w:pPr>
              <w:pStyle w:val="19"/>
              <w:spacing w:before="11"/>
              <w:ind w:left="626" w:right="608"/>
              <w:rPr>
                <w:rFonts w:ascii="Times New Roman"/>
                <w:sz w:val="21"/>
              </w:rPr>
            </w:pPr>
            <w:r>
              <w:rPr>
                <w:rFonts w:ascii="Times New Roman"/>
                <w:sz w:val="21"/>
              </w:rPr>
              <w:t>2380</w:t>
            </w:r>
          </w:p>
        </w:tc>
        <w:tc>
          <w:tcPr>
            <w:tcW w:w="1847" w:type="dxa"/>
            <w:tcBorders>
              <w:top w:val="single" w:color="000000" w:sz="4" w:space="0"/>
              <w:left w:val="single" w:color="000000" w:sz="4" w:space="0"/>
              <w:bottom w:val="single" w:color="000000" w:sz="4" w:space="0"/>
              <w:right w:val="single" w:color="000000" w:sz="4" w:space="0"/>
            </w:tcBorders>
          </w:tcPr>
          <w:p>
            <w:pPr>
              <w:pStyle w:val="19"/>
              <w:spacing w:line="264" w:lineRule="exact"/>
              <w:ind w:left="592" w:right="575"/>
              <w:rPr>
                <w:sz w:val="21"/>
              </w:rPr>
            </w:pPr>
            <w:r>
              <w:rPr>
                <w:sz w:val="21"/>
              </w:rPr>
              <w:t>居住区</w:t>
            </w:r>
          </w:p>
        </w:tc>
        <w:tc>
          <w:tcPr>
            <w:tcW w:w="1213" w:type="dxa"/>
            <w:tcBorders>
              <w:top w:val="single" w:color="000000" w:sz="4" w:space="0"/>
              <w:left w:val="single" w:color="000000" w:sz="4" w:space="0"/>
              <w:bottom w:val="single" w:color="000000" w:sz="4" w:space="0"/>
            </w:tcBorders>
          </w:tcPr>
          <w:p>
            <w:pPr>
              <w:pStyle w:val="19"/>
              <w:spacing w:line="264" w:lineRule="exact"/>
              <w:ind w:left="45" w:right="21"/>
              <w:rPr>
                <w:sz w:val="21"/>
              </w:rPr>
            </w:pPr>
            <w:r>
              <w:rPr>
                <w:rFonts w:ascii="Times New Roman" w:eastAsia="Times New Roman"/>
                <w:sz w:val="21"/>
              </w:rPr>
              <w:t xml:space="preserve">200 </w:t>
            </w:r>
            <w:r>
              <w:rPr>
                <w:sz w:val="21"/>
              </w:rPr>
              <w:t>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2" w:hRule="atLeast"/>
        </w:trPr>
        <w:tc>
          <w:tcPr>
            <w:tcW w:w="624" w:type="dxa"/>
            <w:vMerge w:val="continue"/>
            <w:tcBorders>
              <w:top w:val="nil"/>
              <w:right w:val="single" w:color="000000" w:sz="4" w:space="0"/>
            </w:tcBorders>
          </w:tcPr>
          <w:p>
            <w:pPr>
              <w:rPr>
                <w:sz w:val="2"/>
                <w:szCs w:val="2"/>
              </w:rPr>
            </w:pPr>
          </w:p>
        </w:tc>
        <w:tc>
          <w:tcPr>
            <w:tcW w:w="7289" w:type="dxa"/>
            <w:gridSpan w:val="5"/>
            <w:tcBorders>
              <w:top w:val="single" w:color="000000" w:sz="4" w:space="0"/>
              <w:left w:val="single" w:color="000000" w:sz="4" w:space="0"/>
              <w:right w:val="single" w:color="000000" w:sz="4" w:space="0"/>
            </w:tcBorders>
          </w:tcPr>
          <w:p>
            <w:pPr>
              <w:pStyle w:val="19"/>
              <w:spacing w:before="27"/>
              <w:ind w:left="2049" w:right="2034"/>
              <w:rPr>
                <w:sz w:val="21"/>
              </w:rPr>
            </w:pPr>
            <w:r>
              <w:rPr>
                <w:sz w:val="21"/>
              </w:rPr>
              <w:t xml:space="preserve">厂址周边 </w:t>
            </w:r>
            <w:r>
              <w:rPr>
                <w:rFonts w:ascii="Times New Roman" w:eastAsia="Times New Roman"/>
                <w:sz w:val="21"/>
              </w:rPr>
              <w:t xml:space="preserve">500m </w:t>
            </w:r>
            <w:r>
              <w:rPr>
                <w:sz w:val="21"/>
              </w:rPr>
              <w:t>范围内人口数小计</w:t>
            </w:r>
          </w:p>
        </w:tc>
        <w:tc>
          <w:tcPr>
            <w:tcW w:w="1213" w:type="dxa"/>
            <w:tcBorders>
              <w:top w:val="single" w:color="000000" w:sz="4" w:space="0"/>
              <w:left w:val="single" w:color="000000" w:sz="4" w:space="0"/>
            </w:tcBorders>
          </w:tcPr>
          <w:p>
            <w:pPr>
              <w:pStyle w:val="19"/>
              <w:spacing w:before="44"/>
              <w:ind w:left="45" w:right="22"/>
              <w:rPr>
                <w:rFonts w:ascii="Times New Roman"/>
                <w:sz w:val="21"/>
              </w:rPr>
            </w:pPr>
            <w:r>
              <w:rPr>
                <w:rFonts w:ascii="Times New Roman"/>
                <w:sz w:val="21"/>
              </w:rPr>
              <w:t>500</w:t>
            </w:r>
          </w:p>
        </w:tc>
      </w:tr>
    </w:tbl>
    <w:p>
      <w:pPr>
        <w:spacing w:after="0"/>
        <w:rPr>
          <w:rFonts w:ascii="Times New Roman"/>
          <w:sz w:val="21"/>
        </w:rPr>
        <w:sectPr>
          <w:type w:val="continuous"/>
          <w:pgSz w:w="11910" w:h="16840"/>
          <w:pgMar w:top="1580" w:right="0" w:bottom="280" w:left="0" w:header="720" w:footer="720" w:gutter="0"/>
        </w:sectPr>
      </w:pPr>
    </w:p>
    <w:tbl>
      <w:tblPr>
        <w:tblStyle w:val="15"/>
        <w:tblW w:w="0" w:type="auto"/>
        <w:tblInd w:w="14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4"/>
        <w:gridCol w:w="584"/>
        <w:gridCol w:w="1761"/>
        <w:gridCol w:w="4224"/>
        <w:gridCol w:w="720"/>
        <w:gridCol w:w="12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624" w:type="dxa"/>
            <w:tcBorders>
              <w:bottom w:val="single" w:color="000000" w:sz="4" w:space="0"/>
              <w:right w:val="single" w:color="000000" w:sz="4" w:space="0"/>
            </w:tcBorders>
          </w:tcPr>
          <w:p>
            <w:pPr>
              <w:pStyle w:val="19"/>
              <w:jc w:val="left"/>
              <w:rPr>
                <w:rFonts w:ascii="Times New Roman"/>
                <w:sz w:val="22"/>
              </w:rPr>
            </w:pPr>
          </w:p>
        </w:tc>
        <w:tc>
          <w:tcPr>
            <w:tcW w:w="7289" w:type="dxa"/>
            <w:gridSpan w:val="4"/>
            <w:tcBorders>
              <w:left w:val="single" w:color="000000" w:sz="4" w:space="0"/>
              <w:bottom w:val="single" w:color="000000" w:sz="4" w:space="0"/>
              <w:right w:val="single" w:color="000000" w:sz="4" w:space="0"/>
            </w:tcBorders>
          </w:tcPr>
          <w:p>
            <w:pPr>
              <w:pStyle w:val="19"/>
              <w:spacing w:before="33"/>
              <w:ind w:left="2049" w:right="2034"/>
              <w:rPr>
                <w:sz w:val="21"/>
              </w:rPr>
            </w:pPr>
            <w:r>
              <w:rPr>
                <w:sz w:val="21"/>
              </w:rPr>
              <w:t xml:space="preserve">厂址周边 </w:t>
            </w:r>
            <w:r>
              <w:rPr>
                <w:rFonts w:ascii="Times New Roman" w:eastAsia="Times New Roman"/>
                <w:sz w:val="21"/>
              </w:rPr>
              <w:t xml:space="preserve">5km </w:t>
            </w:r>
            <w:r>
              <w:rPr>
                <w:sz w:val="21"/>
              </w:rPr>
              <w:t>范围内人口数小计</w:t>
            </w:r>
          </w:p>
        </w:tc>
        <w:tc>
          <w:tcPr>
            <w:tcW w:w="1213" w:type="dxa"/>
            <w:tcBorders>
              <w:left w:val="single" w:color="000000" w:sz="4" w:space="0"/>
              <w:bottom w:val="single" w:color="000000" w:sz="4" w:space="0"/>
            </w:tcBorders>
          </w:tcPr>
          <w:p>
            <w:pPr>
              <w:pStyle w:val="19"/>
              <w:spacing w:before="49"/>
              <w:ind w:left="45" w:right="22"/>
              <w:rPr>
                <w:rFonts w:ascii="Times New Roman"/>
                <w:sz w:val="21"/>
              </w:rPr>
            </w:pPr>
            <w:r>
              <w:rPr>
                <w:rFonts w:ascii="Times New Roman"/>
                <w:sz w:val="21"/>
              </w:rPr>
              <w:t>795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5" w:hRule="atLeast"/>
        </w:trPr>
        <w:tc>
          <w:tcPr>
            <w:tcW w:w="624" w:type="dxa"/>
            <w:vMerge w:val="restart"/>
            <w:tcBorders>
              <w:top w:val="single" w:color="000000" w:sz="4" w:space="0"/>
              <w:right w:val="single" w:color="000000" w:sz="4" w:space="0"/>
            </w:tcBorders>
          </w:tcPr>
          <w:p>
            <w:pPr>
              <w:pStyle w:val="19"/>
              <w:spacing w:before="3"/>
              <w:jc w:val="left"/>
              <w:rPr>
                <w:b/>
                <w:sz w:val="19"/>
              </w:rPr>
            </w:pPr>
          </w:p>
          <w:p>
            <w:pPr>
              <w:pStyle w:val="19"/>
              <w:spacing w:line="244" w:lineRule="auto"/>
              <w:ind w:left="205" w:right="86" w:hanging="104"/>
              <w:jc w:val="left"/>
              <w:rPr>
                <w:sz w:val="21"/>
              </w:rPr>
            </w:pPr>
            <w:r>
              <w:rPr>
                <w:sz w:val="21"/>
              </w:rPr>
              <w:t>地表水</w:t>
            </w:r>
          </w:p>
        </w:tc>
        <w:tc>
          <w:tcPr>
            <w:tcW w:w="8502" w:type="dxa"/>
            <w:gridSpan w:val="5"/>
            <w:tcBorders>
              <w:top w:val="single" w:color="000000" w:sz="4" w:space="0"/>
              <w:left w:val="single" w:color="000000" w:sz="4" w:space="0"/>
              <w:bottom w:val="single" w:color="000000" w:sz="4" w:space="0"/>
            </w:tcBorders>
          </w:tcPr>
          <w:p>
            <w:pPr>
              <w:pStyle w:val="19"/>
              <w:spacing w:before="33"/>
              <w:ind w:left="3230" w:right="3211"/>
              <w:rPr>
                <w:sz w:val="21"/>
              </w:rPr>
            </w:pPr>
            <w:r>
              <w:rPr>
                <w:sz w:val="21"/>
              </w:rPr>
              <w:t>受纳水体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624" w:type="dxa"/>
            <w:vMerge w:val="continue"/>
            <w:tcBorders>
              <w:top w:val="nil"/>
              <w:right w:val="single" w:color="000000" w:sz="4" w:space="0"/>
            </w:tcBorders>
          </w:tcPr>
          <w:p>
            <w:pPr>
              <w:rPr>
                <w:sz w:val="2"/>
                <w:szCs w:val="2"/>
              </w:rPr>
            </w:pPr>
          </w:p>
        </w:tc>
        <w:tc>
          <w:tcPr>
            <w:tcW w:w="584" w:type="dxa"/>
            <w:tcBorders>
              <w:top w:val="single" w:color="000000" w:sz="4" w:space="0"/>
              <w:left w:val="single" w:color="000000" w:sz="4" w:space="0"/>
              <w:bottom w:val="single" w:color="000000" w:sz="4" w:space="0"/>
              <w:right w:val="single" w:color="000000" w:sz="4" w:space="0"/>
            </w:tcBorders>
          </w:tcPr>
          <w:p>
            <w:pPr>
              <w:pStyle w:val="19"/>
              <w:spacing w:before="29"/>
              <w:ind w:left="64" w:right="49"/>
              <w:rPr>
                <w:sz w:val="21"/>
              </w:rPr>
            </w:pPr>
            <w:r>
              <w:rPr>
                <w:sz w:val="21"/>
              </w:rPr>
              <w:t>序号</w:t>
            </w:r>
          </w:p>
        </w:tc>
        <w:tc>
          <w:tcPr>
            <w:tcW w:w="1761" w:type="dxa"/>
            <w:tcBorders>
              <w:top w:val="single" w:color="000000" w:sz="4" w:space="0"/>
              <w:left w:val="single" w:color="000000" w:sz="4" w:space="0"/>
              <w:bottom w:val="single" w:color="000000" w:sz="4" w:space="0"/>
              <w:right w:val="single" w:color="000000" w:sz="4" w:space="0"/>
            </w:tcBorders>
          </w:tcPr>
          <w:p>
            <w:pPr>
              <w:pStyle w:val="19"/>
              <w:spacing w:before="29"/>
              <w:ind w:left="232" w:right="215"/>
              <w:rPr>
                <w:sz w:val="21"/>
              </w:rPr>
            </w:pPr>
            <w:r>
              <w:rPr>
                <w:sz w:val="21"/>
              </w:rPr>
              <w:t>受纳水体名称</w:t>
            </w:r>
          </w:p>
        </w:tc>
        <w:tc>
          <w:tcPr>
            <w:tcW w:w="4224" w:type="dxa"/>
            <w:tcBorders>
              <w:top w:val="single" w:color="000000" w:sz="4" w:space="0"/>
              <w:left w:val="single" w:color="000000" w:sz="4" w:space="0"/>
              <w:bottom w:val="single" w:color="000000" w:sz="4" w:space="0"/>
              <w:right w:val="single" w:color="000000" w:sz="4" w:space="0"/>
            </w:tcBorders>
          </w:tcPr>
          <w:p>
            <w:pPr>
              <w:pStyle w:val="19"/>
              <w:spacing w:before="29"/>
              <w:ind w:left="1149" w:right="1134"/>
              <w:rPr>
                <w:sz w:val="21"/>
              </w:rPr>
            </w:pPr>
            <w:r>
              <w:rPr>
                <w:sz w:val="21"/>
              </w:rPr>
              <w:t>排放点水域环境功能</w:t>
            </w:r>
          </w:p>
        </w:tc>
        <w:tc>
          <w:tcPr>
            <w:tcW w:w="1933" w:type="dxa"/>
            <w:gridSpan w:val="2"/>
            <w:tcBorders>
              <w:top w:val="single" w:color="000000" w:sz="4" w:space="0"/>
              <w:left w:val="single" w:color="000000" w:sz="4" w:space="0"/>
              <w:bottom w:val="single" w:color="000000" w:sz="4" w:space="0"/>
            </w:tcBorders>
          </w:tcPr>
          <w:p>
            <w:pPr>
              <w:pStyle w:val="19"/>
              <w:spacing w:before="29"/>
              <w:ind w:left="126"/>
              <w:jc w:val="left"/>
              <w:rPr>
                <w:rFonts w:ascii="Times New Roman" w:eastAsia="Times New Roman"/>
                <w:sz w:val="21"/>
              </w:rPr>
            </w:pPr>
            <w:r>
              <w:rPr>
                <w:rFonts w:ascii="Times New Roman" w:eastAsia="Times New Roman"/>
                <w:sz w:val="21"/>
              </w:rPr>
              <w:t>24h</w:t>
            </w:r>
            <w:r>
              <w:rPr>
                <w:sz w:val="21"/>
              </w:rPr>
              <w:t>内流经范围</w:t>
            </w:r>
            <w:r>
              <w:rPr>
                <w:rFonts w:ascii="Times New Roman" w:eastAsia="Times New Roman"/>
                <w:sz w:val="21"/>
              </w:rPr>
              <w:t>/km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4" w:hRule="atLeast"/>
        </w:trPr>
        <w:tc>
          <w:tcPr>
            <w:tcW w:w="624" w:type="dxa"/>
            <w:vMerge w:val="continue"/>
            <w:tcBorders>
              <w:top w:val="nil"/>
              <w:right w:val="single" w:color="000000" w:sz="4" w:space="0"/>
            </w:tcBorders>
          </w:tcPr>
          <w:p>
            <w:pPr>
              <w:rPr>
                <w:sz w:val="2"/>
                <w:szCs w:val="2"/>
              </w:rPr>
            </w:pPr>
          </w:p>
        </w:tc>
        <w:tc>
          <w:tcPr>
            <w:tcW w:w="584" w:type="dxa"/>
            <w:tcBorders>
              <w:top w:val="single" w:color="000000" w:sz="4" w:space="0"/>
              <w:left w:val="single" w:color="000000" w:sz="4" w:space="0"/>
              <w:right w:val="single" w:color="000000" w:sz="4" w:space="0"/>
            </w:tcBorders>
          </w:tcPr>
          <w:p>
            <w:pPr>
              <w:pStyle w:val="19"/>
              <w:spacing w:before="43"/>
              <w:ind w:left="18"/>
              <w:rPr>
                <w:rFonts w:ascii="Times New Roman"/>
                <w:sz w:val="21"/>
              </w:rPr>
            </w:pPr>
            <w:r>
              <w:rPr>
                <w:rFonts w:ascii="Times New Roman"/>
                <w:w w:val="99"/>
                <w:sz w:val="21"/>
              </w:rPr>
              <w:t>1</w:t>
            </w:r>
          </w:p>
        </w:tc>
        <w:tc>
          <w:tcPr>
            <w:tcW w:w="1761" w:type="dxa"/>
            <w:tcBorders>
              <w:top w:val="single" w:color="000000" w:sz="4" w:space="0"/>
              <w:left w:val="single" w:color="000000" w:sz="4" w:space="0"/>
              <w:right w:val="single" w:color="000000" w:sz="4" w:space="0"/>
            </w:tcBorders>
          </w:tcPr>
          <w:p>
            <w:pPr>
              <w:pStyle w:val="19"/>
              <w:spacing w:before="29"/>
              <w:ind w:left="232" w:right="215"/>
              <w:rPr>
                <w:sz w:val="21"/>
              </w:rPr>
            </w:pPr>
            <w:r>
              <w:rPr>
                <w:sz w:val="21"/>
              </w:rPr>
              <w:t>安邦河</w:t>
            </w:r>
          </w:p>
        </w:tc>
        <w:tc>
          <w:tcPr>
            <w:tcW w:w="4224" w:type="dxa"/>
            <w:tcBorders>
              <w:top w:val="single" w:color="000000" w:sz="4" w:space="0"/>
              <w:left w:val="single" w:color="000000" w:sz="4" w:space="0"/>
              <w:right w:val="single" w:color="000000" w:sz="4" w:space="0"/>
            </w:tcBorders>
          </w:tcPr>
          <w:p>
            <w:pPr>
              <w:pStyle w:val="19"/>
              <w:spacing w:before="29"/>
              <w:ind w:left="15"/>
              <w:rPr>
                <w:sz w:val="21"/>
              </w:rPr>
            </w:pPr>
            <w:r>
              <w:rPr>
                <w:w w:val="99"/>
                <w:sz w:val="21"/>
              </w:rPr>
              <w:t>Ⅱ</w:t>
            </w:r>
          </w:p>
        </w:tc>
        <w:tc>
          <w:tcPr>
            <w:tcW w:w="1933" w:type="dxa"/>
            <w:gridSpan w:val="2"/>
            <w:tcBorders>
              <w:top w:val="single" w:color="000000" w:sz="4" w:space="0"/>
              <w:left w:val="single" w:color="000000" w:sz="4" w:space="0"/>
            </w:tcBorders>
          </w:tcPr>
          <w:p>
            <w:pPr>
              <w:pStyle w:val="19"/>
              <w:spacing w:before="43"/>
              <w:ind w:left="24"/>
              <w:rPr>
                <w:rFonts w:ascii="Times New Roman"/>
                <w:sz w:val="21"/>
              </w:rPr>
            </w:pPr>
            <w:r>
              <w:rPr>
                <w:rFonts w:ascii="Times New Roman"/>
                <w:w w:val="99"/>
                <w:sz w:val="21"/>
              </w:rPr>
              <w:t>/</w:t>
            </w:r>
          </w:p>
        </w:tc>
      </w:tr>
    </w:tbl>
    <w:p>
      <w:pPr>
        <w:pStyle w:val="5"/>
        <w:numPr>
          <w:ilvl w:val="1"/>
          <w:numId w:val="79"/>
        </w:numPr>
        <w:tabs>
          <w:tab w:val="left" w:pos="2676"/>
        </w:tabs>
        <w:spacing w:before="2" w:after="0" w:line="240" w:lineRule="auto"/>
        <w:ind w:left="2676" w:right="0" w:hanging="658"/>
        <w:jc w:val="left"/>
      </w:pPr>
      <w:bookmarkStart w:id="656" w:name="11.3 环境风险识别"/>
      <w:bookmarkEnd w:id="656"/>
      <w:bookmarkStart w:id="657" w:name="_bookmark63"/>
      <w:bookmarkEnd w:id="657"/>
      <w:bookmarkStart w:id="658" w:name="_bookmark63"/>
      <w:bookmarkEnd w:id="658"/>
      <w:r>
        <w:t>环境风险识别</w:t>
      </w:r>
    </w:p>
    <w:p>
      <w:pPr>
        <w:pStyle w:val="9"/>
        <w:spacing w:before="199" w:line="364" w:lineRule="auto"/>
        <w:ind w:left="1418" w:right="1416" w:firstLine="480"/>
      </w:pPr>
      <w:r>
        <w:t>本煤矿环境风险评价重点为柴油罐泄露及硝铵炸药爆炸的环境风险以及对环境造成的影响。</w:t>
      </w:r>
    </w:p>
    <w:p>
      <w:pPr>
        <w:pStyle w:val="9"/>
        <w:spacing w:line="306" w:lineRule="exact"/>
        <w:ind w:left="1898"/>
      </w:pPr>
      <w:r>
        <w:t>本项目风险识别具体内容见下表。</w:t>
      </w:r>
    </w:p>
    <w:p>
      <w:pPr>
        <w:spacing w:before="159"/>
        <w:ind w:left="5" w:right="0" w:firstLine="0"/>
        <w:jc w:val="center"/>
        <w:rPr>
          <w:b/>
          <w:sz w:val="21"/>
        </w:rPr>
      </w:pPr>
      <w:r>
        <w:rPr>
          <w:b/>
          <w:sz w:val="21"/>
        </w:rPr>
        <w:t xml:space="preserve">表 </w:t>
      </w:r>
      <w:r>
        <w:rPr>
          <w:rFonts w:ascii="Times New Roman" w:eastAsia="Times New Roman"/>
          <w:b/>
          <w:sz w:val="21"/>
        </w:rPr>
        <w:t xml:space="preserve">11.3-1 </w:t>
      </w:r>
      <w:r>
        <w:rPr>
          <w:b/>
          <w:sz w:val="21"/>
        </w:rPr>
        <w:t>建设项目环境风险识别</w:t>
      </w:r>
    </w:p>
    <w:p>
      <w:pPr>
        <w:pStyle w:val="9"/>
        <w:spacing w:before="11"/>
        <w:rPr>
          <w:b/>
          <w:sz w:val="10"/>
        </w:rPr>
      </w:pPr>
    </w:p>
    <w:tbl>
      <w:tblPr>
        <w:tblStyle w:val="15"/>
        <w:tblW w:w="0" w:type="auto"/>
        <w:tblInd w:w="13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83"/>
        <w:gridCol w:w="1965"/>
        <w:gridCol w:w="1200"/>
        <w:gridCol w:w="1244"/>
        <w:gridCol w:w="1185"/>
        <w:gridCol w:w="2266"/>
        <w:gridCol w:w="73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683" w:type="dxa"/>
            <w:tcBorders>
              <w:bottom w:val="single" w:color="000000" w:sz="4" w:space="0"/>
              <w:right w:val="single" w:color="000000" w:sz="4" w:space="0"/>
            </w:tcBorders>
          </w:tcPr>
          <w:p>
            <w:pPr>
              <w:pStyle w:val="19"/>
              <w:spacing w:before="134"/>
              <w:ind w:left="94" w:right="82"/>
              <w:rPr>
                <w:sz w:val="21"/>
              </w:rPr>
            </w:pPr>
            <w:r>
              <w:rPr>
                <w:sz w:val="21"/>
              </w:rPr>
              <w:t>序号</w:t>
            </w:r>
          </w:p>
        </w:tc>
        <w:tc>
          <w:tcPr>
            <w:tcW w:w="1965" w:type="dxa"/>
            <w:tcBorders>
              <w:left w:val="single" w:color="000000" w:sz="4" w:space="0"/>
              <w:bottom w:val="single" w:color="000000" w:sz="4" w:space="0"/>
              <w:right w:val="single" w:color="000000" w:sz="4" w:space="0"/>
            </w:tcBorders>
          </w:tcPr>
          <w:p>
            <w:pPr>
              <w:pStyle w:val="19"/>
              <w:spacing w:before="134"/>
              <w:ind w:left="334" w:right="315"/>
              <w:rPr>
                <w:sz w:val="21"/>
              </w:rPr>
            </w:pPr>
            <w:r>
              <w:rPr>
                <w:sz w:val="21"/>
              </w:rPr>
              <w:t>风险源</w:t>
            </w:r>
          </w:p>
        </w:tc>
        <w:tc>
          <w:tcPr>
            <w:tcW w:w="1200" w:type="dxa"/>
            <w:tcBorders>
              <w:left w:val="single" w:color="000000" w:sz="4" w:space="0"/>
              <w:bottom w:val="single" w:color="000000" w:sz="4" w:space="0"/>
              <w:right w:val="single" w:color="000000" w:sz="4" w:space="0"/>
            </w:tcBorders>
          </w:tcPr>
          <w:p>
            <w:pPr>
              <w:pStyle w:val="19"/>
              <w:ind w:left="162" w:right="148"/>
              <w:rPr>
                <w:sz w:val="21"/>
              </w:rPr>
            </w:pPr>
            <w:r>
              <w:rPr>
                <w:sz w:val="21"/>
              </w:rPr>
              <w:t>主要危险</w:t>
            </w:r>
          </w:p>
          <w:p>
            <w:pPr>
              <w:pStyle w:val="19"/>
              <w:spacing w:before="2" w:line="253" w:lineRule="exact"/>
              <w:ind w:left="162" w:right="145"/>
              <w:rPr>
                <w:sz w:val="21"/>
              </w:rPr>
            </w:pPr>
            <w:r>
              <w:rPr>
                <w:sz w:val="21"/>
              </w:rPr>
              <w:t>物质</w:t>
            </w:r>
          </w:p>
        </w:tc>
        <w:tc>
          <w:tcPr>
            <w:tcW w:w="1244" w:type="dxa"/>
            <w:tcBorders>
              <w:left w:val="single" w:color="000000" w:sz="4" w:space="0"/>
              <w:bottom w:val="single" w:color="000000" w:sz="4" w:space="0"/>
              <w:right w:val="single" w:color="000000" w:sz="4" w:space="0"/>
            </w:tcBorders>
          </w:tcPr>
          <w:p>
            <w:pPr>
              <w:pStyle w:val="19"/>
              <w:ind w:left="186" w:right="168"/>
              <w:rPr>
                <w:sz w:val="21"/>
              </w:rPr>
            </w:pPr>
            <w:r>
              <w:rPr>
                <w:sz w:val="21"/>
              </w:rPr>
              <w:t>环境风险</w:t>
            </w:r>
          </w:p>
          <w:p>
            <w:pPr>
              <w:pStyle w:val="19"/>
              <w:spacing w:before="2" w:line="253" w:lineRule="exact"/>
              <w:ind w:left="184" w:right="168"/>
              <w:rPr>
                <w:sz w:val="21"/>
              </w:rPr>
            </w:pPr>
            <w:r>
              <w:rPr>
                <w:sz w:val="21"/>
              </w:rPr>
              <w:t>类型</w:t>
            </w:r>
          </w:p>
        </w:tc>
        <w:tc>
          <w:tcPr>
            <w:tcW w:w="1185" w:type="dxa"/>
            <w:tcBorders>
              <w:left w:val="single" w:color="000000" w:sz="4" w:space="0"/>
              <w:bottom w:val="single" w:color="000000" w:sz="4" w:space="0"/>
              <w:right w:val="single" w:color="000000" w:sz="4" w:space="0"/>
            </w:tcBorders>
          </w:tcPr>
          <w:p>
            <w:pPr>
              <w:pStyle w:val="19"/>
              <w:ind w:left="154" w:right="141"/>
              <w:rPr>
                <w:sz w:val="21"/>
              </w:rPr>
            </w:pPr>
            <w:r>
              <w:rPr>
                <w:sz w:val="21"/>
              </w:rPr>
              <w:t>环境影响</w:t>
            </w:r>
          </w:p>
          <w:p>
            <w:pPr>
              <w:pStyle w:val="19"/>
              <w:spacing w:before="2" w:line="253" w:lineRule="exact"/>
              <w:ind w:left="154" w:right="138"/>
              <w:rPr>
                <w:sz w:val="21"/>
              </w:rPr>
            </w:pPr>
            <w:r>
              <w:rPr>
                <w:sz w:val="21"/>
              </w:rPr>
              <w:t>途径</w:t>
            </w:r>
          </w:p>
        </w:tc>
        <w:tc>
          <w:tcPr>
            <w:tcW w:w="2266" w:type="dxa"/>
            <w:tcBorders>
              <w:left w:val="single" w:color="000000" w:sz="4" w:space="0"/>
              <w:bottom w:val="single" w:color="000000" w:sz="4" w:space="0"/>
              <w:right w:val="single" w:color="000000" w:sz="4" w:space="0"/>
            </w:tcBorders>
          </w:tcPr>
          <w:p>
            <w:pPr>
              <w:pStyle w:val="19"/>
              <w:ind w:left="42" w:right="24"/>
              <w:rPr>
                <w:sz w:val="21"/>
              </w:rPr>
            </w:pPr>
            <w:r>
              <w:rPr>
                <w:sz w:val="21"/>
              </w:rPr>
              <w:t>可能受影响的环境敏</w:t>
            </w:r>
          </w:p>
          <w:p>
            <w:pPr>
              <w:pStyle w:val="19"/>
              <w:spacing w:before="2" w:line="253" w:lineRule="exact"/>
              <w:ind w:left="40" w:right="24"/>
              <w:rPr>
                <w:sz w:val="21"/>
              </w:rPr>
            </w:pPr>
            <w:r>
              <w:rPr>
                <w:sz w:val="21"/>
              </w:rPr>
              <w:t>感目标</w:t>
            </w:r>
          </w:p>
        </w:tc>
        <w:tc>
          <w:tcPr>
            <w:tcW w:w="737" w:type="dxa"/>
            <w:tcBorders>
              <w:left w:val="single" w:color="000000" w:sz="4" w:space="0"/>
              <w:bottom w:val="single" w:color="000000" w:sz="4" w:space="0"/>
            </w:tcBorders>
          </w:tcPr>
          <w:p>
            <w:pPr>
              <w:pStyle w:val="19"/>
              <w:spacing w:before="134"/>
              <w:ind w:left="161"/>
              <w:jc w:val="left"/>
              <w:rPr>
                <w:sz w:val="21"/>
              </w:rPr>
            </w:pPr>
            <w:r>
              <w:rPr>
                <w:sz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683" w:type="dxa"/>
            <w:tcBorders>
              <w:top w:val="single" w:color="000000" w:sz="4" w:space="0"/>
              <w:bottom w:val="single" w:color="000000" w:sz="4" w:space="0"/>
              <w:right w:val="single" w:color="000000" w:sz="4" w:space="0"/>
            </w:tcBorders>
          </w:tcPr>
          <w:p>
            <w:pPr>
              <w:pStyle w:val="19"/>
              <w:spacing w:before="151"/>
              <w:ind w:left="11"/>
              <w:rPr>
                <w:rFonts w:ascii="Times New Roman"/>
                <w:sz w:val="21"/>
              </w:rPr>
            </w:pPr>
            <w:r>
              <w:rPr>
                <w:rFonts w:ascii="Times New Roman"/>
                <w:w w:val="99"/>
                <w:sz w:val="21"/>
              </w:rPr>
              <w:t>1</w:t>
            </w:r>
          </w:p>
        </w:tc>
        <w:tc>
          <w:tcPr>
            <w:tcW w:w="1965" w:type="dxa"/>
            <w:tcBorders>
              <w:top w:val="single" w:color="000000" w:sz="4" w:space="0"/>
              <w:left w:val="single" w:color="000000" w:sz="4" w:space="0"/>
              <w:bottom w:val="single" w:color="000000" w:sz="4" w:space="0"/>
              <w:right w:val="single" w:color="000000" w:sz="4" w:space="0"/>
            </w:tcBorders>
          </w:tcPr>
          <w:p>
            <w:pPr>
              <w:pStyle w:val="19"/>
              <w:spacing w:before="137"/>
              <w:ind w:left="334" w:right="315"/>
              <w:rPr>
                <w:sz w:val="21"/>
              </w:rPr>
            </w:pPr>
            <w:r>
              <w:rPr>
                <w:sz w:val="21"/>
              </w:rPr>
              <w:t>柴油罐</w:t>
            </w:r>
          </w:p>
        </w:tc>
        <w:tc>
          <w:tcPr>
            <w:tcW w:w="1200" w:type="dxa"/>
            <w:tcBorders>
              <w:top w:val="single" w:color="000000" w:sz="4" w:space="0"/>
              <w:left w:val="single" w:color="000000" w:sz="4" w:space="0"/>
              <w:bottom w:val="single" w:color="000000" w:sz="4" w:space="0"/>
              <w:right w:val="single" w:color="000000" w:sz="4" w:space="0"/>
            </w:tcBorders>
          </w:tcPr>
          <w:p>
            <w:pPr>
              <w:pStyle w:val="19"/>
              <w:spacing w:before="137"/>
              <w:ind w:left="162" w:right="148"/>
              <w:rPr>
                <w:sz w:val="21"/>
              </w:rPr>
            </w:pPr>
            <w:r>
              <w:rPr>
                <w:sz w:val="21"/>
              </w:rPr>
              <w:t>油类物质</w:t>
            </w:r>
          </w:p>
        </w:tc>
        <w:tc>
          <w:tcPr>
            <w:tcW w:w="1244" w:type="dxa"/>
            <w:tcBorders>
              <w:top w:val="single" w:color="000000" w:sz="4" w:space="0"/>
              <w:left w:val="single" w:color="000000" w:sz="4" w:space="0"/>
              <w:bottom w:val="single" w:color="000000" w:sz="4" w:space="0"/>
              <w:right w:val="single" w:color="000000" w:sz="4" w:space="0"/>
            </w:tcBorders>
          </w:tcPr>
          <w:p>
            <w:pPr>
              <w:pStyle w:val="19"/>
              <w:ind w:left="186" w:right="168"/>
              <w:rPr>
                <w:sz w:val="21"/>
              </w:rPr>
            </w:pPr>
            <w:r>
              <w:rPr>
                <w:sz w:val="21"/>
              </w:rPr>
              <w:t>危险物质</w:t>
            </w:r>
          </w:p>
          <w:p>
            <w:pPr>
              <w:pStyle w:val="19"/>
              <w:spacing w:before="4" w:line="251" w:lineRule="exact"/>
              <w:ind w:left="184" w:right="168"/>
              <w:rPr>
                <w:sz w:val="21"/>
              </w:rPr>
            </w:pPr>
            <w:r>
              <w:rPr>
                <w:sz w:val="21"/>
              </w:rPr>
              <w:t>泄露</w:t>
            </w:r>
          </w:p>
        </w:tc>
        <w:tc>
          <w:tcPr>
            <w:tcW w:w="1185" w:type="dxa"/>
            <w:tcBorders>
              <w:top w:val="single" w:color="000000" w:sz="4" w:space="0"/>
              <w:left w:val="single" w:color="000000" w:sz="4" w:space="0"/>
              <w:bottom w:val="single" w:color="000000" w:sz="4" w:space="0"/>
              <w:right w:val="single" w:color="000000" w:sz="4" w:space="0"/>
            </w:tcBorders>
          </w:tcPr>
          <w:p>
            <w:pPr>
              <w:pStyle w:val="19"/>
              <w:ind w:left="154" w:right="141"/>
              <w:rPr>
                <w:sz w:val="21"/>
              </w:rPr>
            </w:pPr>
            <w:r>
              <w:rPr>
                <w:sz w:val="21"/>
              </w:rPr>
              <w:t>漫流、下</w:t>
            </w:r>
          </w:p>
          <w:p>
            <w:pPr>
              <w:pStyle w:val="19"/>
              <w:spacing w:before="4" w:line="251" w:lineRule="exact"/>
              <w:ind w:left="18"/>
              <w:rPr>
                <w:sz w:val="21"/>
              </w:rPr>
            </w:pPr>
            <w:r>
              <w:rPr>
                <w:w w:val="99"/>
                <w:sz w:val="21"/>
              </w:rPr>
              <w:t>渗</w:t>
            </w:r>
          </w:p>
        </w:tc>
        <w:tc>
          <w:tcPr>
            <w:tcW w:w="2266" w:type="dxa"/>
            <w:tcBorders>
              <w:top w:val="single" w:color="000000" w:sz="4" w:space="0"/>
              <w:left w:val="single" w:color="000000" w:sz="4" w:space="0"/>
              <w:bottom w:val="single" w:color="000000" w:sz="4" w:space="0"/>
              <w:right w:val="single" w:color="000000" w:sz="4" w:space="0"/>
            </w:tcBorders>
          </w:tcPr>
          <w:p>
            <w:pPr>
              <w:pStyle w:val="19"/>
              <w:ind w:left="91" w:right="24"/>
              <w:rPr>
                <w:sz w:val="21"/>
              </w:rPr>
            </w:pPr>
            <w:r>
              <w:rPr>
                <w:sz w:val="21"/>
              </w:rPr>
              <w:t>工业广场下游地下水、</w:t>
            </w:r>
          </w:p>
          <w:p>
            <w:pPr>
              <w:pStyle w:val="19"/>
              <w:spacing w:before="4" w:line="251" w:lineRule="exact"/>
              <w:ind w:left="42" w:right="24"/>
              <w:rPr>
                <w:sz w:val="21"/>
              </w:rPr>
            </w:pPr>
            <w:r>
              <w:rPr>
                <w:sz w:val="21"/>
              </w:rPr>
              <w:t>地表水水质</w:t>
            </w:r>
          </w:p>
        </w:tc>
        <w:tc>
          <w:tcPr>
            <w:tcW w:w="737" w:type="dxa"/>
            <w:tcBorders>
              <w:top w:val="single" w:color="000000" w:sz="4" w:space="0"/>
              <w:left w:val="single" w:color="000000" w:sz="4" w:space="0"/>
              <w:bottom w:val="single" w:color="000000" w:sz="4" w:space="0"/>
            </w:tcBorders>
          </w:tcPr>
          <w:p>
            <w:pPr>
              <w:pStyle w:val="19"/>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683" w:type="dxa"/>
            <w:tcBorders>
              <w:top w:val="single" w:color="000000" w:sz="4" w:space="0"/>
              <w:right w:val="single" w:color="000000" w:sz="4" w:space="0"/>
            </w:tcBorders>
          </w:tcPr>
          <w:p>
            <w:pPr>
              <w:pStyle w:val="19"/>
              <w:spacing w:before="16" w:line="236" w:lineRule="exact"/>
              <w:ind w:left="11"/>
              <w:rPr>
                <w:rFonts w:ascii="Times New Roman"/>
                <w:sz w:val="21"/>
              </w:rPr>
            </w:pPr>
            <w:r>
              <w:rPr>
                <w:rFonts w:ascii="Times New Roman"/>
                <w:w w:val="99"/>
                <w:sz w:val="21"/>
              </w:rPr>
              <w:t>2</w:t>
            </w:r>
          </w:p>
        </w:tc>
        <w:tc>
          <w:tcPr>
            <w:tcW w:w="1965" w:type="dxa"/>
            <w:tcBorders>
              <w:top w:val="single" w:color="000000" w:sz="4" w:space="0"/>
              <w:left w:val="single" w:color="000000" w:sz="4" w:space="0"/>
              <w:right w:val="single" w:color="000000" w:sz="4" w:space="0"/>
            </w:tcBorders>
          </w:tcPr>
          <w:p>
            <w:pPr>
              <w:pStyle w:val="19"/>
              <w:spacing w:before="2" w:line="250" w:lineRule="exact"/>
              <w:ind w:left="334" w:right="320"/>
              <w:rPr>
                <w:sz w:val="21"/>
              </w:rPr>
            </w:pPr>
            <w:r>
              <w:rPr>
                <w:sz w:val="21"/>
              </w:rPr>
              <w:t>硝铵炸药爆炸</w:t>
            </w:r>
          </w:p>
        </w:tc>
        <w:tc>
          <w:tcPr>
            <w:tcW w:w="1200" w:type="dxa"/>
            <w:tcBorders>
              <w:top w:val="single" w:color="000000" w:sz="4" w:space="0"/>
              <w:left w:val="single" w:color="000000" w:sz="4" w:space="0"/>
              <w:right w:val="single" w:color="000000" w:sz="4" w:space="0"/>
            </w:tcBorders>
          </w:tcPr>
          <w:p>
            <w:pPr>
              <w:pStyle w:val="19"/>
              <w:spacing w:before="16" w:line="236" w:lineRule="exact"/>
              <w:ind w:left="17"/>
              <w:rPr>
                <w:rFonts w:ascii="Times New Roman"/>
                <w:sz w:val="21"/>
              </w:rPr>
            </w:pPr>
            <w:r>
              <w:rPr>
                <w:rFonts w:ascii="Times New Roman"/>
                <w:w w:val="99"/>
                <w:sz w:val="21"/>
              </w:rPr>
              <w:t>/</w:t>
            </w:r>
          </w:p>
        </w:tc>
        <w:tc>
          <w:tcPr>
            <w:tcW w:w="1244" w:type="dxa"/>
            <w:tcBorders>
              <w:top w:val="single" w:color="000000" w:sz="4" w:space="0"/>
              <w:left w:val="single" w:color="000000" w:sz="4" w:space="0"/>
              <w:right w:val="single" w:color="000000" w:sz="4" w:space="0"/>
            </w:tcBorders>
          </w:tcPr>
          <w:p>
            <w:pPr>
              <w:pStyle w:val="19"/>
              <w:spacing w:before="2" w:line="250" w:lineRule="exact"/>
              <w:ind w:left="111"/>
              <w:jc w:val="left"/>
              <w:rPr>
                <w:sz w:val="21"/>
              </w:rPr>
            </w:pPr>
            <w:r>
              <w:rPr>
                <w:sz w:val="21"/>
              </w:rPr>
              <w:t>爆炸、火灾</w:t>
            </w:r>
          </w:p>
        </w:tc>
        <w:tc>
          <w:tcPr>
            <w:tcW w:w="1185" w:type="dxa"/>
            <w:tcBorders>
              <w:top w:val="single" w:color="000000" w:sz="4" w:space="0"/>
              <w:left w:val="single" w:color="000000" w:sz="4" w:space="0"/>
              <w:right w:val="single" w:color="000000" w:sz="4" w:space="0"/>
            </w:tcBorders>
          </w:tcPr>
          <w:p>
            <w:pPr>
              <w:pStyle w:val="19"/>
              <w:spacing w:before="2" w:line="250" w:lineRule="exact"/>
              <w:ind w:left="175"/>
              <w:jc w:val="left"/>
              <w:rPr>
                <w:sz w:val="21"/>
              </w:rPr>
            </w:pPr>
            <w:r>
              <w:rPr>
                <w:sz w:val="21"/>
              </w:rPr>
              <w:t>产生废气</w:t>
            </w:r>
          </w:p>
        </w:tc>
        <w:tc>
          <w:tcPr>
            <w:tcW w:w="2266" w:type="dxa"/>
            <w:tcBorders>
              <w:top w:val="single" w:color="000000" w:sz="4" w:space="0"/>
              <w:left w:val="single" w:color="000000" w:sz="4" w:space="0"/>
              <w:right w:val="single" w:color="000000" w:sz="4" w:space="0"/>
            </w:tcBorders>
          </w:tcPr>
          <w:p>
            <w:pPr>
              <w:pStyle w:val="19"/>
              <w:spacing w:before="2" w:line="250" w:lineRule="exact"/>
              <w:ind w:left="718"/>
              <w:jc w:val="left"/>
              <w:rPr>
                <w:sz w:val="21"/>
              </w:rPr>
            </w:pPr>
            <w:r>
              <w:rPr>
                <w:sz w:val="21"/>
              </w:rPr>
              <w:t>环境空气</w:t>
            </w:r>
          </w:p>
        </w:tc>
        <w:tc>
          <w:tcPr>
            <w:tcW w:w="737" w:type="dxa"/>
            <w:tcBorders>
              <w:top w:val="single" w:color="000000" w:sz="4" w:space="0"/>
              <w:left w:val="single" w:color="000000" w:sz="4" w:space="0"/>
            </w:tcBorders>
          </w:tcPr>
          <w:p>
            <w:pPr>
              <w:pStyle w:val="19"/>
              <w:jc w:val="left"/>
              <w:rPr>
                <w:rFonts w:ascii="Times New Roman"/>
                <w:sz w:val="20"/>
              </w:rPr>
            </w:pPr>
          </w:p>
        </w:tc>
      </w:tr>
    </w:tbl>
    <w:p>
      <w:pPr>
        <w:pStyle w:val="5"/>
        <w:numPr>
          <w:ilvl w:val="1"/>
          <w:numId w:val="79"/>
        </w:numPr>
        <w:tabs>
          <w:tab w:val="left" w:pos="2676"/>
        </w:tabs>
        <w:spacing w:before="4" w:after="0" w:line="240" w:lineRule="auto"/>
        <w:ind w:left="2676" w:right="0" w:hanging="658"/>
        <w:jc w:val="left"/>
      </w:pPr>
      <w:bookmarkStart w:id="659" w:name="11.4 环境风险分析"/>
      <w:bookmarkEnd w:id="659"/>
      <w:bookmarkStart w:id="660" w:name="_bookmark64"/>
      <w:bookmarkEnd w:id="660"/>
      <w:bookmarkStart w:id="661" w:name="_bookmark64"/>
      <w:bookmarkEnd w:id="661"/>
      <w:r>
        <w:t>环境风险分析</w:t>
      </w:r>
    </w:p>
    <w:p>
      <w:pPr>
        <w:pStyle w:val="6"/>
        <w:numPr>
          <w:ilvl w:val="2"/>
          <w:numId w:val="79"/>
        </w:numPr>
        <w:tabs>
          <w:tab w:val="left" w:pos="2818"/>
        </w:tabs>
        <w:spacing w:before="200" w:after="0" w:line="240" w:lineRule="auto"/>
        <w:ind w:left="2817" w:right="0" w:hanging="841"/>
        <w:jc w:val="left"/>
      </w:pPr>
      <w:r>
        <w:t>柴油罐泄漏风险事故影响分析</w:t>
      </w:r>
    </w:p>
    <w:p>
      <w:pPr>
        <w:pStyle w:val="9"/>
        <w:spacing w:before="183"/>
        <w:ind w:left="1898"/>
      </w:pPr>
      <w:r>
        <w:rPr>
          <w:rFonts w:ascii="Times New Roman" w:eastAsia="Times New Roman"/>
        </w:rPr>
        <w:t>1</w:t>
      </w:r>
      <w:r>
        <w:t>、柴油罐泄露源项分析</w:t>
      </w:r>
    </w:p>
    <w:p>
      <w:pPr>
        <w:pStyle w:val="9"/>
        <w:spacing w:before="160" w:line="362" w:lineRule="auto"/>
        <w:ind w:left="1418" w:right="1416" w:firstLine="480"/>
      </w:pPr>
      <w:r>
        <w:t xml:space="preserve">本项目柴油罐储量为 </w:t>
      </w:r>
      <w:r>
        <w:rPr>
          <w:rFonts w:ascii="Times New Roman" w:eastAsia="Times New Roman"/>
        </w:rPr>
        <w:t>20t</w:t>
      </w:r>
      <w:r>
        <w:t>，在发生柴油罐损坏破裂后会在短时间内泄漏出一定量的油品。</w:t>
      </w:r>
    </w:p>
    <w:p>
      <w:pPr>
        <w:pStyle w:val="9"/>
        <w:spacing w:before="5"/>
        <w:ind w:left="1898"/>
      </w:pPr>
      <w:r>
        <w:rPr>
          <w:rFonts w:ascii="Times New Roman" w:eastAsia="Times New Roman"/>
        </w:rPr>
        <w:t>2</w:t>
      </w:r>
      <w:r>
        <w:t>、柴油罐泄露风险分析</w:t>
      </w:r>
    </w:p>
    <w:p>
      <w:pPr>
        <w:pStyle w:val="9"/>
        <w:spacing w:before="161" w:line="364" w:lineRule="auto"/>
        <w:ind w:left="1418" w:right="1411" w:firstLine="480"/>
        <w:jc w:val="both"/>
      </w:pPr>
      <w:r>
        <w:rPr>
          <w:spacing w:val="-4"/>
        </w:rPr>
        <w:t>事故性的泄漏可能渗入土壤环境、地下水水环境，从而对柴油罐周边的土壤及地下</w:t>
      </w:r>
      <w:r>
        <w:rPr>
          <w:spacing w:val="-6"/>
        </w:rPr>
        <w:t>水环境产生一定的影响。但一般情况下，柴油罐发生泄漏事故而成品油泄漏于地表的量</w:t>
      </w:r>
      <w:r>
        <w:rPr>
          <w:spacing w:val="-5"/>
        </w:rPr>
        <w:t>有限，且按照应急管理要求，柴油罐设有事故池</w:t>
      </w:r>
      <w:r>
        <w:t>（</w:t>
      </w:r>
      <w:r>
        <w:rPr>
          <w:spacing w:val="-3"/>
        </w:rPr>
        <w:t>即集油</w:t>
      </w:r>
      <w:r>
        <w:t>（水</w:t>
      </w:r>
      <w:r>
        <w:rPr>
          <w:spacing w:val="-8"/>
        </w:rPr>
        <w:t>）</w:t>
      </w:r>
      <w:r>
        <w:t>坑</w:t>
      </w:r>
      <w:r>
        <w:rPr>
          <w:spacing w:val="-7"/>
        </w:rPr>
        <w:t>）</w:t>
      </w:r>
      <w:r>
        <w:rPr>
          <w:spacing w:val="-5"/>
        </w:rPr>
        <w:t>，如果处理及时得</w:t>
      </w:r>
      <w:r>
        <w:t>当，则可有效地控制对周围环境的影响。</w:t>
      </w:r>
    </w:p>
    <w:p>
      <w:pPr>
        <w:pStyle w:val="6"/>
        <w:numPr>
          <w:ilvl w:val="2"/>
          <w:numId w:val="79"/>
        </w:numPr>
        <w:tabs>
          <w:tab w:val="left" w:pos="2818"/>
        </w:tabs>
        <w:spacing w:before="0" w:after="0" w:line="357" w:lineRule="exact"/>
        <w:ind w:left="2817" w:right="0" w:hanging="841"/>
        <w:jc w:val="left"/>
      </w:pPr>
      <w:r>
        <w:t>火药雷管库爆炸风险事故影响分析</w:t>
      </w:r>
    </w:p>
    <w:p>
      <w:pPr>
        <w:pStyle w:val="9"/>
        <w:spacing w:before="12"/>
        <w:rPr>
          <w:b/>
          <w:sz w:val="27"/>
        </w:rPr>
      </w:pPr>
    </w:p>
    <w:p>
      <w:pPr>
        <w:pStyle w:val="18"/>
        <w:numPr>
          <w:ilvl w:val="0"/>
          <w:numId w:val="80"/>
        </w:numPr>
        <w:tabs>
          <w:tab w:val="left" w:pos="2500"/>
        </w:tabs>
        <w:spacing w:before="0" w:after="0" w:line="240" w:lineRule="auto"/>
        <w:ind w:left="2499" w:right="0" w:hanging="602"/>
        <w:jc w:val="left"/>
        <w:rPr>
          <w:sz w:val="24"/>
        </w:rPr>
      </w:pPr>
      <w:r>
        <w:rPr>
          <w:sz w:val="24"/>
        </w:rPr>
        <w:t>炸药爆炸事故源项分析</w:t>
      </w:r>
    </w:p>
    <w:p>
      <w:pPr>
        <w:pStyle w:val="9"/>
        <w:spacing w:before="213" w:line="405" w:lineRule="auto"/>
        <w:ind w:left="1418" w:right="1417" w:firstLine="480"/>
        <w:jc w:val="both"/>
      </w:pPr>
      <w:r>
        <w:rPr>
          <w:spacing w:val="-4"/>
        </w:rPr>
        <w:t>本工程在生产过程中涉及的主要环境风险为炸药的爆炸。由于炸药的敏感性和危险</w:t>
      </w:r>
      <w:r>
        <w:rPr>
          <w:spacing w:val="-8"/>
        </w:rPr>
        <w:t>性，本工程所用炸药在运输、使用过程中的碰撞、摩擦、挤压以及遇明火的条件下都会</w:t>
      </w:r>
      <w:r>
        <w:t>产生剧烈的爆炸。</w:t>
      </w:r>
    </w:p>
    <w:p>
      <w:pPr>
        <w:pStyle w:val="18"/>
        <w:numPr>
          <w:ilvl w:val="0"/>
          <w:numId w:val="80"/>
        </w:numPr>
        <w:tabs>
          <w:tab w:val="left" w:pos="2500"/>
        </w:tabs>
        <w:spacing w:before="1" w:after="0" w:line="240" w:lineRule="auto"/>
        <w:ind w:left="2499" w:right="0" w:hanging="602"/>
        <w:jc w:val="left"/>
        <w:rPr>
          <w:sz w:val="24"/>
        </w:rPr>
      </w:pPr>
      <w:r>
        <w:rPr>
          <w:sz w:val="24"/>
        </w:rPr>
        <w:t>炸药、导爆管等爆破器材风险分析</w:t>
      </w:r>
    </w:p>
    <w:p>
      <w:pPr>
        <w:pStyle w:val="9"/>
        <w:spacing w:before="213"/>
        <w:ind w:left="1898"/>
      </w:pPr>
      <w:r>
        <w:t>①炸药使用过程中风险影响分析</w:t>
      </w:r>
    </w:p>
    <w:p>
      <w:pPr>
        <w:spacing w:after="0"/>
        <w:sectPr>
          <w:pgSz w:w="11910" w:h="16840"/>
          <w:pgMar w:top="1400" w:right="0" w:bottom="880" w:left="0" w:header="0" w:footer="681" w:gutter="0"/>
        </w:sectPr>
      </w:pPr>
    </w:p>
    <w:p>
      <w:pPr>
        <w:pStyle w:val="9"/>
        <w:spacing w:before="36" w:line="405" w:lineRule="auto"/>
        <w:ind w:left="1418" w:right="1417" w:firstLine="480"/>
        <w:jc w:val="both"/>
      </w:pPr>
      <w:r>
        <w:rPr>
          <w:spacing w:val="-3"/>
        </w:rPr>
        <w:t>本工程存在于炸药因装卸不慎或遇明火而发生爆炸或周边生产矿工撤离不及时，对</w:t>
      </w:r>
      <w:r>
        <w:rPr>
          <w:spacing w:val="-5"/>
        </w:rPr>
        <w:t>周边矿工的安全构成威胁。本工程爆破由经过专门培训有爆破许可证的工人负责，作业工人不得穿化纤类工作服，进入作业现场，要认真检查，确认安全后方可作业。只要做好爆破前做好安全防范，对周边村庄履行告知义务，禁止随便进入矿区，就不会造成地</w:t>
      </w:r>
      <w:r>
        <w:t>面人员伤亡与财产损失。</w:t>
      </w:r>
    </w:p>
    <w:p>
      <w:pPr>
        <w:pStyle w:val="9"/>
        <w:spacing w:before="1"/>
        <w:ind w:left="1898"/>
      </w:pPr>
      <w:r>
        <w:t>②炸药运输环节环境风险影响评价</w:t>
      </w:r>
    </w:p>
    <w:p>
      <w:pPr>
        <w:pStyle w:val="9"/>
        <w:spacing w:before="213" w:line="405" w:lineRule="auto"/>
        <w:ind w:left="1418" w:right="1365" w:firstLine="480"/>
        <w:jc w:val="both"/>
      </w:pPr>
      <w:r>
        <w:t>本工程炸药运输由专业的爆破公司运至临时存放点。炸药在运输过程中的挤压、碰撞、遇热的情况下可能爆炸。炸药爆炸时如果恰好道路两侧有村庄或人群等敏感目标， 会给群众带来生命财产的损失，但这种机率是非常小的。另外，爆炸产生的废气主要是粉尘和氮氧化合物，对周围大气影响较小。</w:t>
      </w:r>
    </w:p>
    <w:p>
      <w:pPr>
        <w:pStyle w:val="9"/>
        <w:spacing w:before="3"/>
        <w:ind w:left="1898"/>
      </w:pPr>
      <w:r>
        <w:t>③地质灾害</w:t>
      </w:r>
    </w:p>
    <w:p>
      <w:pPr>
        <w:pStyle w:val="9"/>
        <w:spacing w:before="34" w:line="520" w:lineRule="exact"/>
        <w:ind w:left="1418" w:right="1417" w:firstLine="480"/>
        <w:jc w:val="both"/>
      </w:pPr>
      <w:r>
        <w:rPr>
          <w:spacing w:val="-4"/>
        </w:rPr>
        <w:t>地质灾害主要是由不良地质影响、矿山设计及推进方向不合理等原因造成的。事故</w:t>
      </w:r>
      <w:r>
        <w:t>发生概率</w:t>
      </w:r>
      <w:r>
        <w:rPr>
          <w:rFonts w:ascii="Times New Roman" w:eastAsia="Times New Roman"/>
        </w:rPr>
        <w:t>:</w:t>
      </w:r>
      <w:r>
        <w:rPr>
          <w:spacing w:val="-9"/>
        </w:rPr>
        <w:t>本项目矿山地质较稳定，如不发生违章作业和严重的突发性自然灾害，一般不</w:t>
      </w:r>
      <w:r>
        <w:t>会发生坍塌、滑坡等事故</w:t>
      </w:r>
      <w:r>
        <w:rPr>
          <w:rFonts w:ascii="Times New Roman" w:eastAsia="Times New Roman"/>
        </w:rPr>
        <w:t>;</w:t>
      </w:r>
      <w:r>
        <w:t>但由于操作不当，发生局部坍塌的可能性存在。</w:t>
      </w:r>
    </w:p>
    <w:p>
      <w:pPr>
        <w:pStyle w:val="5"/>
        <w:numPr>
          <w:ilvl w:val="1"/>
          <w:numId w:val="79"/>
        </w:numPr>
        <w:tabs>
          <w:tab w:val="left" w:pos="2602"/>
        </w:tabs>
        <w:spacing w:before="4" w:after="0" w:line="240" w:lineRule="auto"/>
        <w:ind w:left="2601" w:right="0" w:hanging="584"/>
        <w:jc w:val="left"/>
      </w:pPr>
      <w:bookmarkStart w:id="662" w:name="_bookmark65"/>
      <w:bookmarkEnd w:id="662"/>
      <w:bookmarkStart w:id="663" w:name="11.5环境风险防范措施及环应急要求"/>
      <w:bookmarkEnd w:id="663"/>
      <w:bookmarkStart w:id="664" w:name="_bookmark65"/>
      <w:bookmarkEnd w:id="664"/>
      <w:r>
        <w:t>环境风险防范措施及环应急要求</w:t>
      </w:r>
    </w:p>
    <w:p>
      <w:pPr>
        <w:pStyle w:val="6"/>
        <w:numPr>
          <w:ilvl w:val="2"/>
          <w:numId w:val="79"/>
        </w:numPr>
        <w:tabs>
          <w:tab w:val="left" w:pos="2801"/>
        </w:tabs>
        <w:spacing w:before="199" w:after="0" w:line="240" w:lineRule="auto"/>
        <w:ind w:left="2800" w:right="0" w:hanging="824"/>
        <w:jc w:val="left"/>
      </w:pPr>
      <w:r>
        <w:t>环境风险防范措施</w:t>
      </w:r>
    </w:p>
    <w:p>
      <w:pPr>
        <w:pStyle w:val="9"/>
        <w:spacing w:before="185"/>
        <w:ind w:left="1898"/>
      </w:pPr>
      <w:r>
        <w:rPr>
          <w:rFonts w:ascii="Times New Roman" w:eastAsia="Times New Roman"/>
        </w:rPr>
        <w:t>1</w:t>
      </w:r>
      <w:r>
        <w:t>、柴油罐风险事故防范措施</w:t>
      </w:r>
    </w:p>
    <w:p>
      <w:pPr>
        <w:pStyle w:val="18"/>
        <w:numPr>
          <w:ilvl w:val="0"/>
          <w:numId w:val="81"/>
        </w:numPr>
        <w:tabs>
          <w:tab w:val="left" w:pos="2500"/>
        </w:tabs>
        <w:spacing w:before="159" w:after="0" w:line="240" w:lineRule="auto"/>
        <w:ind w:left="2499" w:right="0" w:hanging="602"/>
        <w:jc w:val="left"/>
        <w:rPr>
          <w:sz w:val="24"/>
        </w:rPr>
      </w:pPr>
      <w:r>
        <w:rPr>
          <w:sz w:val="24"/>
        </w:rPr>
        <w:t>柴油罐设有防治流体流散的设施和集油（水）</w:t>
      </w:r>
      <w:r>
        <w:rPr>
          <w:spacing w:val="-11"/>
          <w:sz w:val="24"/>
        </w:rPr>
        <w:t xml:space="preserve">坑，地面按 </w:t>
      </w:r>
      <w:r>
        <w:rPr>
          <w:rFonts w:ascii="Times New Roman" w:hAnsi="Times New Roman" w:eastAsia="Times New Roman"/>
          <w:sz w:val="24"/>
        </w:rPr>
        <w:t>5‰</w:t>
      </w:r>
      <w:r>
        <w:rPr>
          <w:sz w:val="24"/>
        </w:rPr>
        <w:t>坡度设集油坑。</w:t>
      </w:r>
    </w:p>
    <w:p>
      <w:pPr>
        <w:pStyle w:val="18"/>
        <w:numPr>
          <w:ilvl w:val="0"/>
          <w:numId w:val="81"/>
        </w:numPr>
        <w:tabs>
          <w:tab w:val="left" w:pos="2504"/>
        </w:tabs>
        <w:spacing w:before="160" w:after="0" w:line="362" w:lineRule="auto"/>
        <w:ind w:left="1418" w:right="1418" w:firstLine="480"/>
        <w:jc w:val="left"/>
        <w:rPr>
          <w:sz w:val="24"/>
        </w:rPr>
      </w:pPr>
      <w:r>
        <w:rPr>
          <w:sz w:val="24"/>
        </w:rPr>
        <w:t>设立标志，加强巡检，防止人为破坏。建成营运后，要提髙操作人员的素质和管理水平，防止或减少事故风险的发生，确保柴油罐状况正常。</w:t>
      </w:r>
    </w:p>
    <w:p>
      <w:pPr>
        <w:pStyle w:val="9"/>
        <w:spacing w:before="3"/>
        <w:ind w:left="1898"/>
      </w:pPr>
      <w:r>
        <w:rPr>
          <w:rFonts w:ascii="Times New Roman" w:eastAsia="Times New Roman"/>
        </w:rPr>
        <w:t>2</w:t>
      </w:r>
      <w:r>
        <w:t>、炸药库风险事故防范措施</w:t>
      </w:r>
    </w:p>
    <w:p>
      <w:pPr>
        <w:pStyle w:val="18"/>
        <w:numPr>
          <w:ilvl w:val="0"/>
          <w:numId w:val="82"/>
        </w:numPr>
        <w:tabs>
          <w:tab w:val="left" w:pos="2504"/>
        </w:tabs>
        <w:spacing w:before="160" w:after="0" w:line="364" w:lineRule="auto"/>
        <w:ind w:left="1418" w:right="1418" w:firstLine="480"/>
        <w:jc w:val="left"/>
        <w:rPr>
          <w:sz w:val="24"/>
        </w:rPr>
      </w:pPr>
      <w:r>
        <w:rPr>
          <w:sz w:val="24"/>
        </w:rPr>
        <w:t>储存、使用爆炸物品，必须按国家《民用爆炸物品管理条例》等有关规定， 建设符合安全标准和设计要求的专用库房，并安装全部配套设施和安全防护装置。</w:t>
      </w:r>
    </w:p>
    <w:p>
      <w:pPr>
        <w:pStyle w:val="18"/>
        <w:numPr>
          <w:ilvl w:val="0"/>
          <w:numId w:val="82"/>
        </w:numPr>
        <w:tabs>
          <w:tab w:val="left" w:pos="2504"/>
        </w:tabs>
        <w:spacing w:before="0" w:after="0" w:line="364" w:lineRule="auto"/>
        <w:ind w:left="1418" w:right="1418" w:firstLine="480"/>
        <w:jc w:val="left"/>
        <w:rPr>
          <w:sz w:val="24"/>
        </w:rPr>
      </w:pPr>
      <w:r>
        <w:rPr>
          <w:sz w:val="24"/>
        </w:rPr>
        <w:t>爆破器材必须入库储存，按规定和安全要求存于专用库房内，由经过专业培训并持证上岗的专职库管员管理和监护，由警卫人员昼夜看守。</w:t>
      </w:r>
    </w:p>
    <w:p>
      <w:pPr>
        <w:pStyle w:val="18"/>
        <w:numPr>
          <w:ilvl w:val="0"/>
          <w:numId w:val="82"/>
        </w:numPr>
        <w:tabs>
          <w:tab w:val="left" w:pos="2504"/>
        </w:tabs>
        <w:spacing w:before="0" w:after="0" w:line="364" w:lineRule="auto"/>
        <w:ind w:left="1418" w:right="1418" w:firstLine="480"/>
        <w:jc w:val="left"/>
        <w:rPr>
          <w:sz w:val="24"/>
        </w:rPr>
      </w:pPr>
      <w:r>
        <w:rPr>
          <w:sz w:val="24"/>
        </w:rPr>
        <w:t>炸药和雷管必须分库储存，并保持安全距离。一次库存量不得超过储存许可证允许的容量和超过一个月的使用量。</w:t>
      </w:r>
    </w:p>
    <w:p>
      <w:pPr>
        <w:pStyle w:val="18"/>
        <w:numPr>
          <w:ilvl w:val="0"/>
          <w:numId w:val="82"/>
        </w:numPr>
        <w:tabs>
          <w:tab w:val="left" w:pos="2504"/>
        </w:tabs>
        <w:spacing w:before="0" w:after="0" w:line="306" w:lineRule="exact"/>
        <w:ind w:left="2503" w:right="0" w:hanging="606"/>
        <w:jc w:val="left"/>
        <w:rPr>
          <w:sz w:val="24"/>
        </w:rPr>
      </w:pPr>
      <w:r>
        <w:rPr>
          <w:sz w:val="24"/>
        </w:rPr>
        <w:t>不同型号的药必须分别堆放。库房内每堆应有标志牌：标明数量、规格及进</w:t>
      </w:r>
    </w:p>
    <w:p>
      <w:pPr>
        <w:spacing w:after="0" w:line="306" w:lineRule="exact"/>
        <w:jc w:val="left"/>
        <w:rPr>
          <w:sz w:val="24"/>
        </w:rPr>
        <w:sectPr>
          <w:pgSz w:w="11910" w:h="16840"/>
          <w:pgMar w:top="1540" w:right="0" w:bottom="880" w:left="0" w:header="0" w:footer="681" w:gutter="0"/>
        </w:sectPr>
      </w:pPr>
    </w:p>
    <w:p>
      <w:pPr>
        <w:pStyle w:val="9"/>
        <w:spacing w:before="41" w:line="362" w:lineRule="auto"/>
        <w:ind w:left="1418" w:right="1297"/>
      </w:pPr>
      <w:r>
        <w:rPr>
          <w:spacing w:val="-15"/>
        </w:rPr>
        <w:t>库时间、生产厂家等。堆间距离、离墙距离、通道宽度等应符合相关要求，并堆放整齐、</w:t>
      </w:r>
      <w:r>
        <w:t>稳固。</w:t>
      </w:r>
    </w:p>
    <w:p>
      <w:pPr>
        <w:pStyle w:val="18"/>
        <w:numPr>
          <w:ilvl w:val="0"/>
          <w:numId w:val="82"/>
        </w:numPr>
        <w:tabs>
          <w:tab w:val="left" w:pos="2504"/>
        </w:tabs>
        <w:spacing w:before="5" w:after="0" w:line="364" w:lineRule="auto"/>
        <w:ind w:left="1418" w:right="1418" w:firstLine="480"/>
        <w:jc w:val="left"/>
        <w:rPr>
          <w:sz w:val="24"/>
        </w:rPr>
      </w:pPr>
      <w:r>
        <w:rPr>
          <w:sz w:val="24"/>
        </w:rPr>
        <w:t>爆破器材必须做到先进先出，收、发必须按正规手续及时签字、记帐，做到日清、旬结，帐目清楚。账、卡、物相符，矿主管部门每月必须核实一次。</w:t>
      </w:r>
    </w:p>
    <w:p>
      <w:pPr>
        <w:pStyle w:val="18"/>
        <w:numPr>
          <w:ilvl w:val="0"/>
          <w:numId w:val="82"/>
        </w:numPr>
        <w:tabs>
          <w:tab w:val="left" w:pos="2504"/>
        </w:tabs>
        <w:spacing w:before="0" w:after="0" w:line="364" w:lineRule="auto"/>
        <w:ind w:left="1418" w:right="1418" w:firstLine="480"/>
        <w:jc w:val="left"/>
        <w:rPr>
          <w:sz w:val="24"/>
        </w:rPr>
      </w:pPr>
      <w:r>
        <w:rPr>
          <w:sz w:val="24"/>
        </w:rPr>
        <w:t>库房和发药点都要配置温度计和湿度计，并每天记录。库房内要每天开窗通</w:t>
      </w:r>
      <w:r>
        <w:rPr>
          <w:spacing w:val="-5"/>
          <w:sz w:val="24"/>
        </w:rPr>
        <w:t xml:space="preserve">风，通风时间一般不少于 </w:t>
      </w:r>
      <w:r>
        <w:rPr>
          <w:rFonts w:ascii="Times New Roman" w:eastAsia="Times New Roman"/>
          <w:sz w:val="24"/>
        </w:rPr>
        <w:t>5</w:t>
      </w:r>
      <w:r>
        <w:rPr>
          <w:sz w:val="24"/>
        </w:rPr>
        <w:t>～</w:t>
      </w:r>
      <w:r>
        <w:rPr>
          <w:rFonts w:ascii="Times New Roman" w:eastAsia="Times New Roman"/>
          <w:sz w:val="24"/>
        </w:rPr>
        <w:t xml:space="preserve">6 </w:t>
      </w:r>
      <w:r>
        <w:rPr>
          <w:sz w:val="24"/>
        </w:rPr>
        <w:t>小时。</w:t>
      </w:r>
    </w:p>
    <w:p>
      <w:pPr>
        <w:pStyle w:val="18"/>
        <w:numPr>
          <w:ilvl w:val="0"/>
          <w:numId w:val="82"/>
        </w:numPr>
        <w:tabs>
          <w:tab w:val="left" w:pos="2504"/>
        </w:tabs>
        <w:spacing w:before="0" w:after="0" w:line="364" w:lineRule="auto"/>
        <w:ind w:left="1418" w:right="1365" w:firstLine="480"/>
        <w:jc w:val="both"/>
        <w:rPr>
          <w:sz w:val="24"/>
        </w:rPr>
      </w:pPr>
      <w:r>
        <w:rPr>
          <w:sz w:val="24"/>
        </w:rPr>
        <w:t>加强安全管理和事故防范，凡接触爆炸物品的人员，必须穿棉布或抗静电衣</w:t>
      </w:r>
      <w:r>
        <w:rPr>
          <w:spacing w:val="-7"/>
          <w:sz w:val="24"/>
        </w:rPr>
        <w:t>服，非工作需要或未经批准，任何人员不得接近炸药和雷管库。库区禁止一切火种、火</w:t>
      </w:r>
      <w:r>
        <w:rPr>
          <w:spacing w:val="-8"/>
          <w:sz w:val="24"/>
        </w:rPr>
        <w:t xml:space="preserve">具、易燃易爆等危险品进入，发现事故隐患或预兆，要立即报告主管领导和有关部门， </w:t>
      </w:r>
      <w:r>
        <w:rPr>
          <w:sz w:val="24"/>
        </w:rPr>
        <w:t>及时整改和处理。严禁在储存库、发放间对爆炸材料进行加工作业。</w:t>
      </w:r>
    </w:p>
    <w:p>
      <w:pPr>
        <w:pStyle w:val="18"/>
        <w:numPr>
          <w:ilvl w:val="0"/>
          <w:numId w:val="82"/>
        </w:numPr>
        <w:tabs>
          <w:tab w:val="left" w:pos="2504"/>
        </w:tabs>
        <w:spacing w:before="0" w:after="0" w:line="364" w:lineRule="auto"/>
        <w:ind w:left="1418" w:right="1418" w:firstLine="480"/>
        <w:jc w:val="left"/>
        <w:rPr>
          <w:sz w:val="24"/>
        </w:rPr>
      </w:pPr>
      <w:r>
        <w:rPr>
          <w:sz w:val="24"/>
        </w:rPr>
        <w:t>发现爆破器材丢失、被盗或帐实不符时，必须及时报告矿安保科、公安机关和有关部门，立即组织力量追查、破案或清查，并将结果及时报告上级有关部门。</w:t>
      </w:r>
    </w:p>
    <w:p>
      <w:pPr>
        <w:pStyle w:val="18"/>
        <w:numPr>
          <w:ilvl w:val="0"/>
          <w:numId w:val="82"/>
        </w:numPr>
        <w:tabs>
          <w:tab w:val="left" w:pos="2504"/>
        </w:tabs>
        <w:spacing w:before="0" w:after="0" w:line="364" w:lineRule="auto"/>
        <w:ind w:left="1418" w:right="1418" w:firstLine="480"/>
        <w:jc w:val="left"/>
        <w:rPr>
          <w:sz w:val="24"/>
        </w:rPr>
      </w:pPr>
      <w:r>
        <w:rPr>
          <w:sz w:val="24"/>
        </w:rPr>
        <w:t>爆炸物品在装卸、运输、储存、发放等业务操作过程中稍有不慎或操作不当就可能引发事故。因此，必须加强涉爆作业环境安全操作管理。</w:t>
      </w:r>
    </w:p>
    <w:p>
      <w:pPr>
        <w:pStyle w:val="6"/>
        <w:numPr>
          <w:ilvl w:val="2"/>
          <w:numId w:val="79"/>
        </w:numPr>
        <w:tabs>
          <w:tab w:val="left" w:pos="2732"/>
        </w:tabs>
        <w:spacing w:before="0" w:after="0" w:line="240" w:lineRule="auto"/>
        <w:ind w:left="2731" w:right="0" w:hanging="755"/>
        <w:jc w:val="left"/>
      </w:pPr>
      <w:r>
        <w:t>应急要求</w:t>
      </w:r>
    </w:p>
    <w:p>
      <w:pPr>
        <w:pStyle w:val="18"/>
        <w:numPr>
          <w:ilvl w:val="0"/>
          <w:numId w:val="83"/>
        </w:numPr>
        <w:tabs>
          <w:tab w:val="left" w:pos="2500"/>
        </w:tabs>
        <w:spacing w:before="179" w:after="0" w:line="240" w:lineRule="auto"/>
        <w:ind w:left="2499" w:right="0" w:hanging="602"/>
        <w:jc w:val="left"/>
        <w:rPr>
          <w:sz w:val="24"/>
        </w:rPr>
      </w:pPr>
      <w:r>
        <w:rPr>
          <w:sz w:val="24"/>
        </w:rPr>
        <w:t>组织机构及职责</w:t>
      </w:r>
    </w:p>
    <w:p>
      <w:pPr>
        <w:pStyle w:val="9"/>
        <w:spacing w:before="160"/>
        <w:ind w:left="1898"/>
      </w:pPr>
      <w:r>
        <w:t>建设单位应设置专门机构负责项目建设及运营期的环境安全。其职责包括：</w:t>
      </w:r>
    </w:p>
    <w:p>
      <w:pPr>
        <w:pStyle w:val="9"/>
        <w:spacing w:before="159" w:line="364" w:lineRule="auto"/>
        <w:ind w:left="1418" w:right="1417" w:firstLine="480"/>
        <w:jc w:val="both"/>
      </w:pPr>
      <w:r>
        <w:rPr>
          <w:spacing w:val="-4"/>
        </w:rPr>
        <w:t>①负责统一协调突发环境事件的应对工作，负责应急统一指挥，同时还负责与矿区</w:t>
      </w:r>
      <w:r>
        <w:rPr>
          <w:spacing w:val="-6"/>
        </w:rPr>
        <w:t>外界保持紧密联系，将事态的发展向外部的支持保障机构发出信号，并及时将反馈信息</w:t>
      </w:r>
      <w:r>
        <w:t>应用于事故应急的领导和指挥当中。</w:t>
      </w:r>
    </w:p>
    <w:p>
      <w:pPr>
        <w:pStyle w:val="9"/>
        <w:spacing w:line="364" w:lineRule="auto"/>
        <w:ind w:left="1418" w:right="1297" w:firstLine="480"/>
      </w:pPr>
      <w:r>
        <w:rPr>
          <w:spacing w:val="-4"/>
        </w:rPr>
        <w:t>②保证应对事故的各项资源，包括建立企业救援队，并与社会可利用资源建立长期</w:t>
      </w:r>
      <w:r>
        <w:rPr>
          <w:spacing w:val="-15"/>
        </w:rPr>
        <w:t xml:space="preserve">合作关系；当建设单位内部资源不足、不能应对环境事故，需要区域内其他部门增援时， </w:t>
      </w:r>
      <w:r>
        <w:t>由建设单位的环境安全管理部门提出增援请求。</w:t>
      </w:r>
    </w:p>
    <w:p>
      <w:pPr>
        <w:pStyle w:val="9"/>
        <w:spacing w:line="364" w:lineRule="auto"/>
        <w:ind w:left="1418" w:right="1354" w:firstLine="480"/>
      </w:pPr>
      <w:r>
        <w:t>③在事故处理终止或者处理过程中，要向公众及时、准确地发布反映环境安全事故的信息，引导正确的舆论导向，对社会和公众负责。</w:t>
      </w:r>
    </w:p>
    <w:p>
      <w:pPr>
        <w:pStyle w:val="18"/>
        <w:numPr>
          <w:ilvl w:val="0"/>
          <w:numId w:val="83"/>
        </w:numPr>
        <w:tabs>
          <w:tab w:val="left" w:pos="2500"/>
        </w:tabs>
        <w:spacing w:before="0" w:after="0" w:line="240" w:lineRule="auto"/>
        <w:ind w:left="2499" w:right="0" w:hanging="602"/>
        <w:jc w:val="left"/>
        <w:rPr>
          <w:sz w:val="24"/>
        </w:rPr>
      </w:pPr>
      <w:r>
        <w:rPr>
          <w:sz w:val="24"/>
        </w:rPr>
        <w:t>应急预案内容</w:t>
      </w:r>
    </w:p>
    <w:p>
      <w:pPr>
        <w:pStyle w:val="9"/>
        <w:spacing w:before="155" w:line="364" w:lineRule="auto"/>
        <w:ind w:left="1418" w:right="1297" w:firstLine="480"/>
      </w:pPr>
      <w:r>
        <w:rPr>
          <w:spacing w:val="-10"/>
        </w:rPr>
        <w:t>建设单位应对本次评价提出的可能的环境事故，根据《突发环境事件应急管理办法》</w:t>
      </w:r>
      <w:r>
        <w:rPr>
          <w:spacing w:val="-7"/>
        </w:rPr>
        <w:t>相关要求，编制《双鸭山盟度矿业有限公司突发环境事件应急预案》，并在相关环保部门进行备案。</w:t>
      </w:r>
    </w:p>
    <w:p>
      <w:pPr>
        <w:pStyle w:val="9"/>
        <w:spacing w:line="307" w:lineRule="exact"/>
        <w:ind w:left="1898"/>
      </w:pPr>
      <w:r>
        <w:t>从应急工作程序上，可以分为预防预警、应急响应、应急处理、应急终止、信息发</w:t>
      </w:r>
    </w:p>
    <w:p>
      <w:pPr>
        <w:spacing w:after="0" w:line="307" w:lineRule="exact"/>
        <w:sectPr>
          <w:pgSz w:w="11910" w:h="16840"/>
          <w:pgMar w:top="1360" w:right="0" w:bottom="880" w:left="0" w:header="0" w:footer="681" w:gutter="0"/>
        </w:sectPr>
      </w:pPr>
    </w:p>
    <w:p>
      <w:pPr>
        <w:pStyle w:val="9"/>
        <w:spacing w:before="41" w:line="362" w:lineRule="auto"/>
        <w:ind w:left="1418" w:right="1417"/>
      </w:pPr>
      <w:r>
        <w:rPr>
          <w:spacing w:val="-7"/>
        </w:rPr>
        <w:t>布五个步骤。建设单位编制的环境事故应急预案应对以下内容进行细化，并明确各项工</w:t>
      </w:r>
      <w:r>
        <w:t>作的责任人。</w:t>
      </w:r>
    </w:p>
    <w:p>
      <w:pPr>
        <w:pStyle w:val="9"/>
        <w:spacing w:before="5"/>
        <w:ind w:left="1898"/>
      </w:pPr>
      <w:r>
        <w:t>①预防预警</w:t>
      </w:r>
    </w:p>
    <w:p>
      <w:pPr>
        <w:pStyle w:val="9"/>
        <w:spacing w:before="161"/>
        <w:ind w:left="1898"/>
      </w:pPr>
      <w:r>
        <w:t>预防与预警是处理环境安全突发事件的必要前提。</w:t>
      </w:r>
    </w:p>
    <w:p>
      <w:pPr>
        <w:pStyle w:val="9"/>
        <w:spacing w:before="158" w:line="364" w:lineRule="auto"/>
        <w:ind w:left="1418" w:right="1354" w:firstLine="480"/>
      </w:pPr>
      <w:r>
        <w:t>根据突发事件的严重性、紧急程度和可能波及的范围，划分预警级别，并根据事态的发展情况和采取措施的效果，提高或者降低应急预警级别。</w:t>
      </w:r>
    </w:p>
    <w:p>
      <w:pPr>
        <w:pStyle w:val="9"/>
        <w:spacing w:line="306" w:lineRule="exact"/>
        <w:ind w:left="1898"/>
      </w:pPr>
      <w:r>
        <w:t>② 应急响应</w:t>
      </w:r>
    </w:p>
    <w:p>
      <w:pPr>
        <w:pStyle w:val="9"/>
        <w:spacing w:before="160" w:line="364" w:lineRule="auto"/>
        <w:ind w:left="1418" w:right="1417" w:firstLine="480"/>
        <w:jc w:val="both"/>
      </w:pPr>
      <w:r>
        <w:rPr>
          <w:spacing w:val="-5"/>
        </w:rPr>
        <w:t>环境风险突发事件发生后，应立即启动并实施相应应急预案，及时向晋中市生态环</w:t>
      </w:r>
      <w:r>
        <w:rPr>
          <w:spacing w:val="-7"/>
        </w:rPr>
        <w:t>境局寿阳分局、寿阳县政府上报；同时，启动建设单位应急专业指挥机构；应急救援力</w:t>
      </w:r>
      <w:r>
        <w:rPr>
          <w:spacing w:val="-5"/>
        </w:rPr>
        <w:t>量应立即开展应急救援工作；需要其他应急救援力量支援时，应及时向寿阳县政府提出</w:t>
      </w:r>
      <w:r>
        <w:t>申请。</w:t>
      </w:r>
    </w:p>
    <w:p>
      <w:pPr>
        <w:pStyle w:val="9"/>
        <w:spacing w:line="305" w:lineRule="exact"/>
        <w:ind w:left="1898"/>
      </w:pPr>
      <w:r>
        <w:t>③应急处理</w:t>
      </w:r>
    </w:p>
    <w:p>
      <w:pPr>
        <w:pStyle w:val="9"/>
        <w:spacing w:before="158" w:line="364" w:lineRule="auto"/>
        <w:ind w:left="1898" w:right="1297"/>
      </w:pPr>
      <w:r>
        <w:rPr>
          <w:spacing w:val="-13"/>
        </w:rPr>
        <w:t>对各类环境事故，根据相应的救援方案进行救援的处理，同时应进行应急环境监测。</w:t>
      </w:r>
      <w:r>
        <w:rPr>
          <w:spacing w:val="-5"/>
        </w:rPr>
        <w:t>根据监测结果，综合分析突发环境事件污染变化趋势，并通过专家咨询和讨论的方</w:t>
      </w:r>
    </w:p>
    <w:p>
      <w:pPr>
        <w:pStyle w:val="9"/>
        <w:spacing w:before="1" w:line="362" w:lineRule="auto"/>
        <w:ind w:left="1418" w:right="1417"/>
      </w:pPr>
      <w:r>
        <w:rPr>
          <w:spacing w:val="-8"/>
        </w:rPr>
        <w:t>式，预测并报告突发环境事件的发展情况和污染物的变化情况，作为突发环境事件应急</w:t>
      </w:r>
      <w:r>
        <w:t>决策的依据。</w:t>
      </w:r>
    </w:p>
    <w:p>
      <w:pPr>
        <w:pStyle w:val="9"/>
        <w:spacing w:before="5"/>
        <w:ind w:left="1898"/>
      </w:pPr>
      <w:r>
        <w:t>④ 应急终止</w:t>
      </w:r>
    </w:p>
    <w:p>
      <w:pPr>
        <w:pStyle w:val="9"/>
        <w:spacing w:before="158" w:line="362" w:lineRule="auto"/>
        <w:ind w:left="1418" w:right="1354" w:firstLine="480"/>
      </w:pPr>
      <w:r>
        <w:t>应急终止须经现场救援指挥部确认，由现场救援指挥部向所属各专业应急救援队伍下达应急终止命令。</w:t>
      </w:r>
    </w:p>
    <w:p>
      <w:pPr>
        <w:pStyle w:val="9"/>
        <w:spacing w:before="5" w:line="364" w:lineRule="auto"/>
        <w:ind w:left="1418" w:right="1360" w:firstLine="480"/>
      </w:pPr>
      <w:r>
        <w:t>应急状态终止后，建设单位应根据上级有关指示和实际情况，继续进行环境监测和评价工作，直至其他补救措施无需继续进行为止。</w:t>
      </w:r>
    </w:p>
    <w:p>
      <w:pPr>
        <w:pStyle w:val="9"/>
        <w:spacing w:line="306" w:lineRule="exact"/>
        <w:ind w:left="1898"/>
      </w:pPr>
      <w:r>
        <w:t>⑤信息发布</w:t>
      </w:r>
    </w:p>
    <w:p>
      <w:pPr>
        <w:pStyle w:val="9"/>
        <w:spacing w:before="161" w:line="362" w:lineRule="auto"/>
        <w:ind w:left="1418" w:right="1354" w:firstLine="480"/>
      </w:pPr>
      <w:r>
        <w:t>突发环境安全事件终止后，要通过报纸、广播、电视和网络等多种媒体方式，及时发布准确、权威的信息，正确引导社会舆论，增强对于环境安全应急措施的透明度。</w:t>
      </w:r>
    </w:p>
    <w:p>
      <w:pPr>
        <w:pStyle w:val="18"/>
        <w:numPr>
          <w:ilvl w:val="0"/>
          <w:numId w:val="83"/>
        </w:numPr>
        <w:tabs>
          <w:tab w:val="left" w:pos="2500"/>
        </w:tabs>
        <w:spacing w:before="5" w:after="0" w:line="240" w:lineRule="auto"/>
        <w:ind w:left="2499" w:right="0" w:hanging="602"/>
        <w:jc w:val="left"/>
        <w:rPr>
          <w:sz w:val="24"/>
        </w:rPr>
      </w:pPr>
      <w:r>
        <w:rPr>
          <w:sz w:val="24"/>
        </w:rPr>
        <w:t>监督管理</w:t>
      </w:r>
    </w:p>
    <w:p>
      <w:pPr>
        <w:pStyle w:val="9"/>
        <w:spacing w:before="158"/>
        <w:ind w:left="1898"/>
      </w:pPr>
      <w:r>
        <w:t>① 预案演练</w:t>
      </w:r>
    </w:p>
    <w:p>
      <w:pPr>
        <w:pStyle w:val="9"/>
        <w:spacing w:before="161" w:line="362" w:lineRule="auto"/>
        <w:ind w:left="1418" w:right="1354" w:firstLine="480"/>
      </w:pPr>
      <w:r>
        <w:t>按照环境应急预案及相关单项预案，建设单位应定期组织不同类型的环境应急实战演练，提高防范和处置突发环境事件的技能，增强实战能力。</w:t>
      </w:r>
    </w:p>
    <w:p>
      <w:pPr>
        <w:pStyle w:val="9"/>
        <w:spacing w:before="4"/>
        <w:ind w:left="1898"/>
      </w:pPr>
      <w:r>
        <w:t>②宣传与培训</w:t>
      </w:r>
    </w:p>
    <w:p>
      <w:pPr>
        <w:pStyle w:val="9"/>
        <w:spacing w:before="159"/>
        <w:ind w:left="1898"/>
      </w:pPr>
      <w:r>
        <w:t>建设单位加强环境保护科普宣传教育工作，普及环境污染事件预防常识，编印、发</w:t>
      </w:r>
    </w:p>
    <w:p>
      <w:pPr>
        <w:spacing w:after="0"/>
        <w:sectPr>
          <w:footerReference r:id="rId27" w:type="default"/>
          <w:pgSz w:w="11910" w:h="16840"/>
          <w:pgMar w:top="1360" w:right="0" w:bottom="880" w:left="0" w:header="0" w:footer="681" w:gutter="0"/>
          <w:pgNumType w:start="180"/>
        </w:sectPr>
      </w:pPr>
    </w:p>
    <w:p>
      <w:pPr>
        <w:pStyle w:val="9"/>
        <w:spacing w:before="61" w:line="362" w:lineRule="auto"/>
        <w:ind w:left="1418" w:right="1367"/>
      </w:pPr>
      <w:r>
        <w:t>放有毒有害物质污染公众防护</w:t>
      </w:r>
      <w:r>
        <w:rPr>
          <w:rFonts w:ascii="Times New Roman" w:hAnsi="Times New Roman" w:eastAsia="Times New Roman"/>
        </w:rPr>
        <w:t>“</w:t>
      </w:r>
      <w:r>
        <w:t>明白卡</w:t>
      </w:r>
      <w:r>
        <w:rPr>
          <w:rFonts w:ascii="Times New Roman" w:hAnsi="Times New Roman" w:eastAsia="Times New Roman"/>
        </w:rPr>
        <w:t>”</w:t>
      </w:r>
      <w:r>
        <w:t>，增强公众的防范意识和相关心理准备，提高公众的防范能力。</w:t>
      </w:r>
    </w:p>
    <w:p>
      <w:pPr>
        <w:pStyle w:val="9"/>
        <w:spacing w:before="5" w:line="364" w:lineRule="auto"/>
        <w:ind w:left="1418" w:right="1354" w:firstLine="480"/>
      </w:pPr>
      <w:r>
        <w:t>企业内工作人员应积极主动接受日常培训，企业应对重要目标工作人员进行培训和管理。</w:t>
      </w:r>
    </w:p>
    <w:p>
      <w:pPr>
        <w:pStyle w:val="9"/>
        <w:spacing w:line="306" w:lineRule="exact"/>
        <w:ind w:left="1898"/>
      </w:pPr>
      <w:r>
        <w:t>③监督与评价</w:t>
      </w:r>
    </w:p>
    <w:p>
      <w:pPr>
        <w:pStyle w:val="9"/>
        <w:spacing w:before="161" w:line="364" w:lineRule="auto"/>
        <w:ind w:left="1418" w:right="1365" w:firstLine="480"/>
        <w:jc w:val="both"/>
      </w:pPr>
      <w:r>
        <w:t>为保障环境应急体系始终处于良好的战备状态，并实现持续改进，建设单位应在环境应急能力评价体系中实行自上而下的监督、检查和考核机制。监督和评价内容包括： 应急机构的设置；应急工作程序的建立与执行情况；应急救援队伍的建设；应急人员培训与考核情况；应急装备使用和经费管理情况等。</w:t>
      </w:r>
    </w:p>
    <w:p>
      <w:pPr>
        <w:pStyle w:val="5"/>
        <w:numPr>
          <w:ilvl w:val="1"/>
          <w:numId w:val="79"/>
        </w:numPr>
        <w:tabs>
          <w:tab w:val="left" w:pos="2676"/>
        </w:tabs>
        <w:spacing w:before="0" w:after="0" w:line="382" w:lineRule="exact"/>
        <w:ind w:left="2676" w:right="0" w:hanging="658"/>
        <w:jc w:val="left"/>
      </w:pPr>
      <w:bookmarkStart w:id="665" w:name="_bookmark66"/>
      <w:bookmarkEnd w:id="665"/>
      <w:bookmarkStart w:id="666" w:name="_bookmark66"/>
      <w:bookmarkEnd w:id="666"/>
      <w:bookmarkStart w:id="667" w:name="11.6 分析结论"/>
      <w:bookmarkEnd w:id="667"/>
      <w:r>
        <w:t>分析结论</w:t>
      </w:r>
    </w:p>
    <w:p>
      <w:pPr>
        <w:pStyle w:val="9"/>
        <w:spacing w:before="198" w:line="364" w:lineRule="auto"/>
        <w:ind w:left="1418" w:right="1417" w:firstLine="480"/>
        <w:jc w:val="both"/>
      </w:pPr>
      <w:r>
        <w:rPr>
          <w:spacing w:val="-4"/>
        </w:rPr>
        <w:t>本项目风险源项主要为柴油罐泄露、硝铵炸药爆炸，所在区域主要环境敏感目标为</w:t>
      </w:r>
      <w:r>
        <w:rPr>
          <w:spacing w:val="-7"/>
        </w:rPr>
        <w:t>周边村民住户，本项目环境风险可防控，已根据本项目可能影响的范围和程度逐项提出</w:t>
      </w:r>
      <w:r>
        <w:t>缓解环境风险的建议措施。</w:t>
      </w:r>
    </w:p>
    <w:p>
      <w:pPr>
        <w:pStyle w:val="9"/>
        <w:spacing w:line="307" w:lineRule="exact"/>
        <w:ind w:left="1898"/>
      </w:pPr>
      <w:r>
        <w:t>基于本次环境风险评价内容，建设项目环境风险简单分析内容汇总见下表。</w:t>
      </w:r>
    </w:p>
    <w:p>
      <w:pPr>
        <w:spacing w:before="157"/>
        <w:ind w:left="12" w:right="0" w:firstLine="0"/>
        <w:jc w:val="center"/>
        <w:rPr>
          <w:b/>
          <w:sz w:val="21"/>
        </w:rPr>
      </w:pPr>
      <w:r>
        <w:rPr>
          <w:b/>
          <w:spacing w:val="-28"/>
          <w:sz w:val="21"/>
        </w:rPr>
        <w:t xml:space="preserve">表 </w:t>
      </w:r>
      <w:r>
        <w:rPr>
          <w:rFonts w:ascii="Times New Roman" w:eastAsia="Times New Roman"/>
          <w:b/>
          <w:sz w:val="21"/>
        </w:rPr>
        <w:t>11.6-1</w:t>
      </w:r>
      <w:r>
        <w:rPr>
          <w:rFonts w:ascii="Times New Roman" w:eastAsia="Times New Roman"/>
          <w:b/>
          <w:spacing w:val="52"/>
          <w:sz w:val="21"/>
        </w:rPr>
        <w:t xml:space="preserve"> </w:t>
      </w:r>
      <w:r>
        <w:rPr>
          <w:b/>
          <w:sz w:val="21"/>
        </w:rPr>
        <w:t>建设项目环境风险简单分析内容表</w:t>
      </w:r>
    </w:p>
    <w:p>
      <w:pPr>
        <w:pStyle w:val="9"/>
        <w:spacing w:before="11"/>
        <w:rPr>
          <w:b/>
          <w:sz w:val="10"/>
        </w:rPr>
      </w:pPr>
    </w:p>
    <w:tbl>
      <w:tblPr>
        <w:tblStyle w:val="15"/>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80"/>
        <w:gridCol w:w="2860"/>
        <w:gridCol w:w="2423"/>
        <w:gridCol w:w="242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1580" w:type="dxa"/>
            <w:tcBorders>
              <w:bottom w:val="single" w:color="000000" w:sz="4" w:space="0"/>
              <w:right w:val="single" w:color="000000" w:sz="4" w:space="0"/>
            </w:tcBorders>
          </w:tcPr>
          <w:p>
            <w:pPr>
              <w:pStyle w:val="19"/>
              <w:spacing w:before="165"/>
              <w:ind w:left="137" w:right="128"/>
              <w:rPr>
                <w:sz w:val="21"/>
              </w:rPr>
            </w:pPr>
            <w:r>
              <w:rPr>
                <w:sz w:val="21"/>
              </w:rPr>
              <w:t>建设项目名称</w:t>
            </w:r>
          </w:p>
        </w:tc>
        <w:tc>
          <w:tcPr>
            <w:tcW w:w="7706" w:type="dxa"/>
            <w:gridSpan w:val="3"/>
            <w:tcBorders>
              <w:left w:val="single" w:color="000000" w:sz="4" w:space="0"/>
              <w:bottom w:val="single" w:color="000000" w:sz="4" w:space="0"/>
            </w:tcBorders>
          </w:tcPr>
          <w:p>
            <w:pPr>
              <w:pStyle w:val="19"/>
              <w:spacing w:before="2"/>
              <w:ind w:left="56" w:right="35"/>
              <w:rPr>
                <w:sz w:val="21"/>
              </w:rPr>
            </w:pPr>
            <w:r>
              <w:rPr>
                <w:sz w:val="21"/>
              </w:rPr>
              <w:t>双鸭山盟度矿业有限责任公司（原双鸭山双兴时代矿业有限责任公司第二煤矿）资</w:t>
            </w:r>
          </w:p>
          <w:p>
            <w:pPr>
              <w:pStyle w:val="19"/>
              <w:spacing w:before="57"/>
              <w:ind w:left="56" w:right="33"/>
              <w:rPr>
                <w:sz w:val="21"/>
              </w:rPr>
            </w:pPr>
            <w:r>
              <w:rPr>
                <w:sz w:val="21"/>
              </w:rPr>
              <w:t>源整合项目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580" w:type="dxa"/>
            <w:tcBorders>
              <w:top w:val="single" w:color="000000" w:sz="4" w:space="0"/>
              <w:bottom w:val="single" w:color="000000" w:sz="4" w:space="0"/>
              <w:right w:val="single" w:color="000000" w:sz="4" w:space="0"/>
            </w:tcBorders>
          </w:tcPr>
          <w:p>
            <w:pPr>
              <w:pStyle w:val="19"/>
              <w:spacing w:before="65"/>
              <w:ind w:left="154" w:right="143"/>
              <w:rPr>
                <w:sz w:val="21"/>
              </w:rPr>
            </w:pPr>
            <w:r>
              <w:rPr>
                <w:sz w:val="21"/>
              </w:rPr>
              <w:t>建设地点</w:t>
            </w:r>
          </w:p>
        </w:tc>
        <w:tc>
          <w:tcPr>
            <w:tcW w:w="2860" w:type="dxa"/>
            <w:tcBorders>
              <w:top w:val="single" w:color="000000" w:sz="4" w:space="0"/>
              <w:left w:val="single" w:color="000000" w:sz="4" w:space="0"/>
              <w:bottom w:val="single" w:color="000000" w:sz="4" w:space="0"/>
              <w:right w:val="single" w:color="000000" w:sz="4" w:space="0"/>
            </w:tcBorders>
          </w:tcPr>
          <w:p>
            <w:pPr>
              <w:pStyle w:val="19"/>
              <w:spacing w:before="65"/>
              <w:ind w:left="782" w:right="768"/>
              <w:rPr>
                <w:sz w:val="21"/>
              </w:rPr>
            </w:pPr>
            <w:r>
              <w:rPr>
                <w:sz w:val="21"/>
              </w:rPr>
              <w:t>黑龙江（省）</w:t>
            </w:r>
          </w:p>
        </w:tc>
        <w:tc>
          <w:tcPr>
            <w:tcW w:w="2423" w:type="dxa"/>
            <w:tcBorders>
              <w:top w:val="single" w:color="000000" w:sz="4" w:space="0"/>
              <w:left w:val="single" w:color="000000" w:sz="4" w:space="0"/>
              <w:bottom w:val="single" w:color="000000" w:sz="4" w:space="0"/>
              <w:right w:val="single" w:color="000000" w:sz="4" w:space="0"/>
            </w:tcBorders>
          </w:tcPr>
          <w:p>
            <w:pPr>
              <w:pStyle w:val="19"/>
              <w:spacing w:before="65"/>
              <w:ind w:left="585"/>
              <w:jc w:val="left"/>
              <w:rPr>
                <w:sz w:val="21"/>
              </w:rPr>
            </w:pPr>
            <w:r>
              <w:rPr>
                <w:sz w:val="21"/>
              </w:rPr>
              <w:t>双鸭山（市）</w:t>
            </w:r>
          </w:p>
        </w:tc>
        <w:tc>
          <w:tcPr>
            <w:tcW w:w="2423" w:type="dxa"/>
            <w:tcBorders>
              <w:top w:val="single" w:color="000000" w:sz="4" w:space="0"/>
              <w:left w:val="single" w:color="000000" w:sz="4" w:space="0"/>
              <w:bottom w:val="single" w:color="000000" w:sz="4" w:space="0"/>
            </w:tcBorders>
          </w:tcPr>
          <w:p>
            <w:pPr>
              <w:pStyle w:val="19"/>
              <w:spacing w:before="65"/>
              <w:ind w:left="983" w:right="965"/>
              <w:rPr>
                <w:sz w:val="21"/>
              </w:rPr>
            </w:pP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580" w:type="dxa"/>
            <w:vMerge w:val="restart"/>
            <w:tcBorders>
              <w:top w:val="single" w:color="000000" w:sz="4" w:space="0"/>
              <w:bottom w:val="single" w:color="000000" w:sz="4" w:space="0"/>
              <w:right w:val="single" w:color="000000" w:sz="4" w:space="0"/>
            </w:tcBorders>
          </w:tcPr>
          <w:p>
            <w:pPr>
              <w:pStyle w:val="19"/>
              <w:spacing w:before="2"/>
              <w:jc w:val="left"/>
              <w:rPr>
                <w:b/>
                <w:sz w:val="23"/>
              </w:rPr>
            </w:pPr>
          </w:p>
          <w:p>
            <w:pPr>
              <w:pStyle w:val="19"/>
              <w:ind w:left="369"/>
              <w:jc w:val="left"/>
              <w:rPr>
                <w:sz w:val="21"/>
              </w:rPr>
            </w:pPr>
            <w:r>
              <w:rPr>
                <w:sz w:val="21"/>
              </w:rPr>
              <w:t>地理坐标</w:t>
            </w:r>
          </w:p>
        </w:tc>
        <w:tc>
          <w:tcPr>
            <w:tcW w:w="2860" w:type="dxa"/>
            <w:tcBorders>
              <w:top w:val="single" w:color="000000" w:sz="4" w:space="0"/>
              <w:left w:val="single" w:color="000000" w:sz="4" w:space="0"/>
              <w:bottom w:val="single" w:color="000000" w:sz="4" w:space="0"/>
              <w:right w:val="single" w:color="000000" w:sz="4" w:space="0"/>
            </w:tcBorders>
          </w:tcPr>
          <w:p>
            <w:pPr>
              <w:pStyle w:val="19"/>
              <w:spacing w:before="64"/>
              <w:ind w:left="782" w:right="768"/>
              <w:rPr>
                <w:sz w:val="21"/>
              </w:rPr>
            </w:pPr>
            <w:r>
              <w:rPr>
                <w:sz w:val="21"/>
              </w:rPr>
              <w:t>东经</w:t>
            </w:r>
          </w:p>
        </w:tc>
        <w:tc>
          <w:tcPr>
            <w:tcW w:w="4846" w:type="dxa"/>
            <w:gridSpan w:val="2"/>
            <w:tcBorders>
              <w:top w:val="single" w:color="000000" w:sz="4" w:space="0"/>
              <w:left w:val="single" w:color="000000" w:sz="4" w:space="0"/>
              <w:bottom w:val="single" w:color="000000" w:sz="4" w:space="0"/>
            </w:tcBorders>
          </w:tcPr>
          <w:p>
            <w:pPr>
              <w:pStyle w:val="19"/>
              <w:spacing w:before="64"/>
              <w:ind w:left="1173"/>
              <w:jc w:val="left"/>
              <w:rPr>
                <w:rFonts w:ascii="Times New Roman" w:hAnsi="Times New Roman" w:eastAsia="Times New Roman"/>
                <w:sz w:val="21"/>
              </w:rPr>
            </w:pPr>
            <w:r>
              <w:rPr>
                <w:rFonts w:ascii="Times New Roman" w:hAnsi="Times New Roman" w:eastAsia="Times New Roman"/>
                <w:sz w:val="21"/>
              </w:rPr>
              <w:t>131° 5'55.82"</w:t>
            </w:r>
            <w:r>
              <w:rPr>
                <w:sz w:val="21"/>
              </w:rPr>
              <w:t>；</w:t>
            </w:r>
            <w:r>
              <w:rPr>
                <w:rFonts w:ascii="Times New Roman" w:hAnsi="Times New Roman" w:eastAsia="Times New Roman"/>
                <w:sz w:val="21"/>
              </w:rPr>
              <w:t>131° 6'49.98"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580" w:type="dxa"/>
            <w:vMerge w:val="continue"/>
            <w:tcBorders>
              <w:top w:val="nil"/>
              <w:bottom w:val="single" w:color="000000" w:sz="4" w:space="0"/>
              <w:right w:val="single" w:color="000000" w:sz="4" w:space="0"/>
            </w:tcBorders>
          </w:tcPr>
          <w:p>
            <w:pPr>
              <w:rPr>
                <w:sz w:val="2"/>
                <w:szCs w:val="2"/>
              </w:rPr>
            </w:pPr>
          </w:p>
        </w:tc>
        <w:tc>
          <w:tcPr>
            <w:tcW w:w="2860" w:type="dxa"/>
            <w:tcBorders>
              <w:top w:val="single" w:color="000000" w:sz="4" w:space="0"/>
              <w:left w:val="single" w:color="000000" w:sz="4" w:space="0"/>
              <w:bottom w:val="single" w:color="000000" w:sz="4" w:space="0"/>
              <w:right w:val="single" w:color="000000" w:sz="4" w:space="0"/>
            </w:tcBorders>
          </w:tcPr>
          <w:p>
            <w:pPr>
              <w:pStyle w:val="19"/>
              <w:spacing w:before="63"/>
              <w:ind w:left="782" w:right="768"/>
              <w:rPr>
                <w:sz w:val="21"/>
              </w:rPr>
            </w:pPr>
            <w:r>
              <w:rPr>
                <w:sz w:val="21"/>
              </w:rPr>
              <w:t>北纬</w:t>
            </w:r>
          </w:p>
        </w:tc>
        <w:tc>
          <w:tcPr>
            <w:tcW w:w="4846" w:type="dxa"/>
            <w:gridSpan w:val="2"/>
            <w:tcBorders>
              <w:top w:val="single" w:color="000000" w:sz="4" w:space="0"/>
              <w:left w:val="single" w:color="000000" w:sz="4" w:space="0"/>
              <w:bottom w:val="single" w:color="000000" w:sz="4" w:space="0"/>
            </w:tcBorders>
          </w:tcPr>
          <w:p>
            <w:pPr>
              <w:pStyle w:val="19"/>
              <w:spacing w:before="63"/>
              <w:ind w:left="1171"/>
              <w:jc w:val="left"/>
              <w:rPr>
                <w:rFonts w:ascii="Times New Roman" w:hAnsi="Times New Roman" w:eastAsia="Times New Roman"/>
                <w:sz w:val="21"/>
              </w:rPr>
            </w:pPr>
            <w:r>
              <w:rPr>
                <w:rFonts w:ascii="Times New Roman" w:hAnsi="Times New Roman" w:eastAsia="Times New Roman"/>
                <w:sz w:val="21"/>
              </w:rPr>
              <w:t>46°24'40.38"</w:t>
            </w:r>
            <w:r>
              <w:rPr>
                <w:sz w:val="21"/>
              </w:rPr>
              <w:t xml:space="preserve">； </w:t>
            </w:r>
            <w:r>
              <w:rPr>
                <w:rFonts w:ascii="Times New Roman" w:hAnsi="Times New Roman" w:eastAsia="Times New Roman"/>
                <w:sz w:val="21"/>
              </w:rPr>
              <w:t>46°24'59.05"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1580" w:type="dxa"/>
            <w:tcBorders>
              <w:top w:val="single" w:color="000000" w:sz="4" w:space="0"/>
              <w:bottom w:val="single" w:color="000000" w:sz="4" w:space="0"/>
              <w:right w:val="single" w:color="000000" w:sz="4" w:space="0"/>
            </w:tcBorders>
          </w:tcPr>
          <w:p>
            <w:pPr>
              <w:pStyle w:val="19"/>
              <w:ind w:left="137" w:right="128"/>
              <w:rPr>
                <w:sz w:val="21"/>
              </w:rPr>
            </w:pPr>
            <w:r>
              <w:rPr>
                <w:sz w:val="21"/>
              </w:rPr>
              <w:t>主要危险物质</w:t>
            </w:r>
          </w:p>
          <w:p>
            <w:pPr>
              <w:pStyle w:val="19"/>
              <w:spacing w:before="57"/>
              <w:ind w:left="157" w:right="143"/>
              <w:rPr>
                <w:sz w:val="21"/>
              </w:rPr>
            </w:pPr>
            <w:r>
              <w:rPr>
                <w:sz w:val="21"/>
              </w:rPr>
              <w:t>及分布</w:t>
            </w:r>
          </w:p>
        </w:tc>
        <w:tc>
          <w:tcPr>
            <w:tcW w:w="7706" w:type="dxa"/>
            <w:gridSpan w:val="3"/>
            <w:tcBorders>
              <w:top w:val="single" w:color="000000" w:sz="4" w:space="0"/>
              <w:left w:val="single" w:color="000000" w:sz="4" w:space="0"/>
              <w:bottom w:val="single" w:color="000000" w:sz="4" w:space="0"/>
            </w:tcBorders>
          </w:tcPr>
          <w:p>
            <w:pPr>
              <w:pStyle w:val="19"/>
              <w:ind w:left="112"/>
              <w:jc w:val="left"/>
              <w:rPr>
                <w:sz w:val="21"/>
              </w:rPr>
            </w:pPr>
            <w:r>
              <w:rPr>
                <w:sz w:val="21"/>
              </w:rPr>
              <w:t xml:space="preserve">主要危险物质为丙类油脂（如润滑油、机油、重油及闪点大于或等于 </w:t>
            </w:r>
            <w:r>
              <w:rPr>
                <w:rFonts w:ascii="Times New Roman" w:eastAsia="Times New Roman"/>
                <w:sz w:val="21"/>
              </w:rPr>
              <w:t xml:space="preserve">60 </w:t>
            </w:r>
            <w:r>
              <w:rPr>
                <w:sz w:val="21"/>
              </w:rPr>
              <w:t>摄氏度的</w:t>
            </w:r>
          </w:p>
          <w:p>
            <w:pPr>
              <w:pStyle w:val="19"/>
              <w:spacing w:before="57"/>
              <w:ind w:left="112"/>
              <w:jc w:val="left"/>
              <w:rPr>
                <w:sz w:val="21"/>
              </w:rPr>
            </w:pPr>
            <w:r>
              <w:rPr>
                <w:sz w:val="21"/>
              </w:rPr>
              <w:t xml:space="preserve">柴油等），储存于柴油罐；硝铵炸药储存于距工业广场 </w:t>
            </w:r>
            <w:r>
              <w:rPr>
                <w:rFonts w:ascii="Times New Roman" w:eastAsia="Times New Roman"/>
                <w:sz w:val="21"/>
              </w:rPr>
              <w:t xml:space="preserve">350m </w:t>
            </w:r>
            <w:r>
              <w:rPr>
                <w:sz w:val="21"/>
              </w:rPr>
              <w:t>炸药库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1580" w:type="dxa"/>
            <w:tcBorders>
              <w:top w:val="single" w:color="000000" w:sz="4" w:space="0"/>
              <w:bottom w:val="single" w:color="000000" w:sz="4" w:space="0"/>
              <w:right w:val="single" w:color="000000" w:sz="4" w:space="0"/>
            </w:tcBorders>
          </w:tcPr>
          <w:p>
            <w:pPr>
              <w:pStyle w:val="19"/>
              <w:spacing w:before="164" w:line="288" w:lineRule="auto"/>
              <w:ind w:left="264" w:right="146" w:hanging="106"/>
              <w:jc w:val="left"/>
              <w:rPr>
                <w:sz w:val="21"/>
              </w:rPr>
            </w:pPr>
            <w:r>
              <w:rPr>
                <w:sz w:val="21"/>
              </w:rPr>
              <w:t>环境影响途径及危害后果</w:t>
            </w:r>
          </w:p>
        </w:tc>
        <w:tc>
          <w:tcPr>
            <w:tcW w:w="7706" w:type="dxa"/>
            <w:gridSpan w:val="3"/>
            <w:tcBorders>
              <w:top w:val="single" w:color="000000" w:sz="4" w:space="0"/>
              <w:left w:val="single" w:color="000000" w:sz="4" w:space="0"/>
              <w:bottom w:val="single" w:color="000000" w:sz="4" w:space="0"/>
            </w:tcBorders>
          </w:tcPr>
          <w:p>
            <w:pPr>
              <w:pStyle w:val="19"/>
              <w:spacing w:before="1" w:line="288" w:lineRule="auto"/>
              <w:ind w:left="112" w:right="-29"/>
              <w:jc w:val="left"/>
              <w:rPr>
                <w:sz w:val="21"/>
              </w:rPr>
            </w:pPr>
            <w:r>
              <w:rPr>
                <w:spacing w:val="-13"/>
                <w:sz w:val="21"/>
              </w:rPr>
              <w:t xml:space="preserve">最不利情况下，柴油罐发生泄漏事故造成丙类油脂泄漏于地表，如果处理及时得当， </w:t>
            </w:r>
            <w:r>
              <w:rPr>
                <w:spacing w:val="-16"/>
                <w:sz w:val="21"/>
              </w:rPr>
              <w:t>则可有效地控制对周围环境的影响；按国家《民用爆炸物品管理条例》等有关规定</w:t>
            </w:r>
          </w:p>
          <w:p>
            <w:pPr>
              <w:pStyle w:val="19"/>
              <w:spacing w:before="7"/>
              <w:ind w:left="112"/>
              <w:jc w:val="left"/>
              <w:rPr>
                <w:sz w:val="21"/>
              </w:rPr>
            </w:pPr>
            <w:r>
              <w:rPr>
                <w:sz w:val="21"/>
              </w:rPr>
              <w:t>储存、使用爆炸物品，可将爆炸造成的环境危害降至最低。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1580" w:type="dxa"/>
            <w:tcBorders>
              <w:top w:val="single" w:color="000000" w:sz="4" w:space="0"/>
              <w:bottom w:val="single" w:color="000000" w:sz="4" w:space="0"/>
              <w:right w:val="single" w:color="000000" w:sz="4" w:space="0"/>
            </w:tcBorders>
          </w:tcPr>
          <w:p>
            <w:pPr>
              <w:pStyle w:val="19"/>
              <w:spacing w:before="163" w:line="290" w:lineRule="auto"/>
              <w:ind w:left="578" w:right="146" w:hanging="420"/>
              <w:jc w:val="left"/>
              <w:rPr>
                <w:sz w:val="21"/>
              </w:rPr>
            </w:pPr>
            <w:r>
              <w:rPr>
                <w:sz w:val="21"/>
              </w:rPr>
              <w:t>风险防范措施要求</w:t>
            </w:r>
          </w:p>
        </w:tc>
        <w:tc>
          <w:tcPr>
            <w:tcW w:w="7706" w:type="dxa"/>
            <w:gridSpan w:val="3"/>
            <w:tcBorders>
              <w:top w:val="single" w:color="000000" w:sz="4" w:space="0"/>
              <w:left w:val="single" w:color="000000" w:sz="4" w:space="0"/>
              <w:bottom w:val="single" w:color="000000" w:sz="4" w:space="0"/>
            </w:tcBorders>
          </w:tcPr>
          <w:p>
            <w:pPr>
              <w:pStyle w:val="19"/>
              <w:spacing w:before="2" w:line="288" w:lineRule="auto"/>
              <w:ind w:left="112" w:right="122"/>
              <w:jc w:val="left"/>
              <w:rPr>
                <w:sz w:val="21"/>
              </w:rPr>
            </w:pPr>
            <w:r>
              <w:rPr>
                <w:rFonts w:ascii="Times New Roman" w:eastAsia="Times New Roman"/>
                <w:w w:val="95"/>
                <w:sz w:val="21"/>
              </w:rPr>
              <w:t>1</w:t>
            </w:r>
            <w:r>
              <w:rPr>
                <w:w w:val="95"/>
                <w:sz w:val="21"/>
              </w:rPr>
              <w:t xml:space="preserve">、设立标志，加强巡检，防止人为破坏。建成营运后，要提髙操作人员的素质和  </w:t>
            </w:r>
            <w:r>
              <w:rPr>
                <w:sz w:val="21"/>
              </w:rPr>
              <w:t>管理水平，防止或减少事故风险的发生，确保柴油罐状态正常。</w:t>
            </w:r>
          </w:p>
          <w:p>
            <w:pPr>
              <w:pStyle w:val="19"/>
              <w:spacing w:before="7"/>
              <w:ind w:left="112"/>
              <w:jc w:val="left"/>
              <w:rPr>
                <w:sz w:val="21"/>
              </w:rPr>
            </w:pPr>
            <w:r>
              <w:rPr>
                <w:rFonts w:ascii="Times New Roman" w:eastAsia="Times New Roman"/>
                <w:sz w:val="21"/>
              </w:rPr>
              <w:t>2</w:t>
            </w:r>
            <w:r>
              <w:rPr>
                <w:sz w:val="21"/>
              </w:rPr>
              <w:t>、重视环境管理工作，加强监督，及时发现各设施存在的环境隐患。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9286" w:type="dxa"/>
            <w:gridSpan w:val="4"/>
            <w:tcBorders>
              <w:top w:val="single" w:color="000000" w:sz="4" w:space="0"/>
            </w:tcBorders>
          </w:tcPr>
          <w:p>
            <w:pPr>
              <w:pStyle w:val="19"/>
              <w:spacing w:before="62"/>
              <w:ind w:left="108"/>
              <w:jc w:val="left"/>
              <w:rPr>
                <w:sz w:val="21"/>
              </w:rPr>
            </w:pPr>
            <w:r>
              <w:rPr>
                <w:sz w:val="21"/>
              </w:rPr>
              <w:t>填表说明：无</w:t>
            </w:r>
          </w:p>
        </w:tc>
      </w:tr>
    </w:tbl>
    <w:p>
      <w:pPr>
        <w:spacing w:after="0"/>
        <w:jc w:val="left"/>
        <w:rPr>
          <w:sz w:val="21"/>
        </w:rPr>
        <w:sectPr>
          <w:pgSz w:w="11910" w:h="16840"/>
          <w:pgMar w:top="1340" w:right="0" w:bottom="880" w:left="0" w:header="0" w:footer="681" w:gutter="0"/>
        </w:sect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spacing w:before="4"/>
        <w:rPr>
          <w:b/>
          <w:sz w:val="18"/>
        </w:rPr>
      </w:pPr>
    </w:p>
    <w:p>
      <w:pPr>
        <w:pStyle w:val="3"/>
        <w:numPr>
          <w:ilvl w:val="2"/>
          <w:numId w:val="14"/>
        </w:numPr>
        <w:tabs>
          <w:tab w:val="left" w:pos="3833"/>
        </w:tabs>
        <w:spacing w:before="61" w:after="0" w:line="240" w:lineRule="auto"/>
        <w:ind w:left="3832" w:right="0" w:hanging="3831"/>
        <w:jc w:val="left"/>
        <w:rPr>
          <w:rFonts w:ascii="Times New Roman" w:eastAsia="Times New Roman"/>
          <w:sz w:val="34"/>
        </w:rPr>
      </w:pPr>
      <w:bookmarkStart w:id="668" w:name="_bookmark67"/>
      <w:bookmarkEnd w:id="668"/>
      <w:bookmarkStart w:id="669" w:name="12.资源综合利用与清洁生产评价"/>
      <w:bookmarkEnd w:id="669"/>
      <w:bookmarkStart w:id="670" w:name="_bookmark67"/>
      <w:bookmarkEnd w:id="670"/>
      <w:r>
        <w:t>资源综合利用与清洁生产评价</w:t>
      </w:r>
    </w:p>
    <w:p>
      <w:pPr>
        <w:pStyle w:val="5"/>
        <w:numPr>
          <w:ilvl w:val="1"/>
          <w:numId w:val="84"/>
        </w:numPr>
        <w:tabs>
          <w:tab w:val="left" w:pos="2019"/>
        </w:tabs>
        <w:spacing w:before="240" w:after="0" w:line="240" w:lineRule="auto"/>
        <w:ind w:left="2018" w:right="0" w:hanging="601"/>
        <w:jc w:val="left"/>
      </w:pPr>
      <w:bookmarkStart w:id="671" w:name="12.1资源综合利用"/>
      <w:bookmarkEnd w:id="671"/>
      <w:bookmarkStart w:id="672" w:name="_bookmark68"/>
      <w:bookmarkEnd w:id="672"/>
      <w:bookmarkStart w:id="673" w:name="_bookmark68"/>
      <w:bookmarkEnd w:id="673"/>
      <w:r>
        <w:t>资源综合利用</w:t>
      </w:r>
    </w:p>
    <w:p>
      <w:pPr>
        <w:pStyle w:val="9"/>
        <w:spacing w:before="198"/>
        <w:ind w:left="2018"/>
      </w:pPr>
      <w:r>
        <w:rPr>
          <w:rFonts w:ascii="Times New Roman" w:eastAsia="Times New Roman"/>
        </w:rPr>
        <w:t xml:space="preserve">2008 </w:t>
      </w:r>
      <w:r>
        <w:t xml:space="preserve">年 </w:t>
      </w:r>
      <w:r>
        <w:rPr>
          <w:rFonts w:ascii="Times New Roman" w:eastAsia="Times New Roman"/>
        </w:rPr>
        <w:t xml:space="preserve">8 </w:t>
      </w:r>
      <w:r>
        <w:t xml:space="preserve">月 </w:t>
      </w:r>
      <w:r>
        <w:rPr>
          <w:rFonts w:ascii="Times New Roman" w:eastAsia="Times New Roman"/>
        </w:rPr>
        <w:t xml:space="preserve">29 </w:t>
      </w:r>
      <w:r>
        <w:t>日，第十一届全国人民代表大会常务委员会第四次会议通过了《中</w:t>
      </w:r>
    </w:p>
    <w:p>
      <w:pPr>
        <w:pStyle w:val="9"/>
        <w:spacing w:before="158" w:line="364" w:lineRule="auto"/>
        <w:ind w:left="1418" w:right="1417"/>
      </w:pPr>
      <w:r>
        <w:rPr>
          <w:spacing w:val="-4"/>
        </w:rPr>
        <w:t xml:space="preserve">华人民共和国循环经济促进法》，自 </w:t>
      </w:r>
      <w:r>
        <w:rPr>
          <w:rFonts w:ascii="Times New Roman" w:hAnsi="Times New Roman" w:eastAsia="Times New Roman"/>
        </w:rPr>
        <w:t xml:space="preserve">2009 </w:t>
      </w:r>
      <w:r>
        <w:rPr>
          <w:spacing w:val="-30"/>
        </w:rPr>
        <w:t xml:space="preserve">年 </w:t>
      </w:r>
      <w:r>
        <w:rPr>
          <w:rFonts w:ascii="Times New Roman" w:hAnsi="Times New Roman" w:eastAsia="Times New Roman"/>
        </w:rPr>
        <w:t xml:space="preserve">1 </w:t>
      </w:r>
      <w:r>
        <w:rPr>
          <w:spacing w:val="-30"/>
        </w:rPr>
        <w:t xml:space="preserve">月 </w:t>
      </w:r>
      <w:r>
        <w:rPr>
          <w:rFonts w:ascii="Times New Roman" w:hAnsi="Times New Roman" w:eastAsia="Times New Roman"/>
        </w:rPr>
        <w:t xml:space="preserve">1 </w:t>
      </w:r>
      <w:r>
        <w:t>日起实施。其中第九条规定：企业</w:t>
      </w:r>
      <w:r>
        <w:rPr>
          <w:spacing w:val="-5"/>
        </w:rPr>
        <w:t>事业单位应当建立健全管理制度，采取措施，降低资源消耗，减少废物的产生量和排放</w:t>
      </w:r>
      <w:r>
        <w:t>量，提高废物的再利用和资源化水平。煤炭企业作为煤炭生产单位，长期受到</w:t>
      </w:r>
      <w:r>
        <w:rPr>
          <w:rFonts w:ascii="Times New Roman" w:hAnsi="Times New Roman" w:eastAsia="Times New Roman"/>
        </w:rPr>
        <w:t>“</w:t>
      </w:r>
      <w:r>
        <w:t>高度开采、高度排放、低度利用</w:t>
      </w:r>
      <w:r>
        <w:rPr>
          <w:rFonts w:ascii="Times New Roman" w:hAnsi="Times New Roman" w:eastAsia="Times New Roman"/>
        </w:rPr>
        <w:t>”</w:t>
      </w:r>
      <w:r>
        <w:t>的</w:t>
      </w:r>
      <w:r>
        <w:rPr>
          <w:rFonts w:ascii="Times New Roman" w:hAnsi="Times New Roman" w:eastAsia="Times New Roman"/>
        </w:rPr>
        <w:t>“</w:t>
      </w:r>
      <w:r>
        <w:t>两高一低</w:t>
      </w:r>
      <w:r>
        <w:rPr>
          <w:rFonts w:ascii="Times New Roman" w:hAnsi="Times New Roman" w:eastAsia="Times New Roman"/>
        </w:rPr>
        <w:t>”</w:t>
      </w:r>
      <w:r>
        <w:t>生产模式的影响，资源浪费严重，生态环境遭</w:t>
      </w:r>
    </w:p>
    <w:p>
      <w:pPr>
        <w:spacing w:after="0" w:line="364" w:lineRule="auto"/>
        <w:sectPr>
          <w:pgSz w:w="11910" w:h="16840"/>
          <w:pgMar w:top="1580" w:right="0" w:bottom="880" w:left="0" w:header="0" w:footer="681" w:gutter="0"/>
        </w:sectPr>
      </w:pPr>
    </w:p>
    <w:p>
      <w:pPr>
        <w:pStyle w:val="9"/>
        <w:spacing w:before="41" w:line="364" w:lineRule="auto"/>
        <w:ind w:left="1418" w:right="1365"/>
        <w:jc w:val="both"/>
      </w:pPr>
      <w:r>
        <w:rPr>
          <w:spacing w:val="-1"/>
        </w:rPr>
        <w:t xml:space="preserve">到极大破坏，严重阻碍了资源的可持续利用和企业的可持续发展。大力发展循环经济， </w:t>
      </w:r>
      <w:r>
        <w:rPr>
          <w:spacing w:val="-5"/>
        </w:rPr>
        <w:t>推进煤炭企业生产方式转变，走资源利用率高、安全有保障、经济效益好、环境污染少</w:t>
      </w:r>
      <w:r>
        <w:rPr>
          <w:spacing w:val="-9"/>
        </w:rPr>
        <w:t>的可持续发展之路，符合科学发展观和可持续发展理念的经济增长模式，成为新时期煤炭企业的必然选择。</w:t>
      </w:r>
    </w:p>
    <w:p>
      <w:pPr>
        <w:pStyle w:val="6"/>
        <w:numPr>
          <w:ilvl w:val="2"/>
          <w:numId w:val="84"/>
        </w:numPr>
        <w:tabs>
          <w:tab w:val="left" w:pos="2189"/>
        </w:tabs>
        <w:spacing w:before="118" w:after="0" w:line="240" w:lineRule="auto"/>
        <w:ind w:left="2188" w:right="0" w:hanging="771"/>
        <w:jc w:val="left"/>
      </w:pPr>
      <w:bookmarkStart w:id="674" w:name="12.1.1煤炭企业实现循环经济生产模式的基本思路"/>
      <w:bookmarkEnd w:id="674"/>
      <w:bookmarkStart w:id="675" w:name="12.1.1煤炭企业实现循环经济生产模式的基本思路"/>
      <w:bookmarkEnd w:id="675"/>
      <w:r>
        <w:t>煤炭企业实现循环经济生产模式的基本思路</w:t>
      </w:r>
    </w:p>
    <w:p>
      <w:pPr>
        <w:pStyle w:val="9"/>
        <w:spacing w:before="8"/>
        <w:rPr>
          <w:b/>
          <w:sz w:val="26"/>
        </w:rPr>
      </w:pPr>
    </w:p>
    <w:p>
      <w:pPr>
        <w:pStyle w:val="9"/>
        <w:spacing w:before="1" w:line="364" w:lineRule="auto"/>
        <w:ind w:left="1418" w:right="1417" w:firstLine="520"/>
        <w:jc w:val="both"/>
      </w:pPr>
      <w:r>
        <w:rPr>
          <w:spacing w:val="-7"/>
        </w:rPr>
        <w:t>煤炭企业是煤炭生产的主体，其活动包括从煤炭资源开采到产品加工，从组织生产到产品销售，以及废弃物产生的全过程。因此，煤炭企业内部循环经济的实施，要根据</w:t>
      </w:r>
      <w:r>
        <w:rPr>
          <w:spacing w:val="-6"/>
        </w:rPr>
        <w:t>煤炭产品的生命周期，整合煤炭开采、煤产品加工、煤炭利用及废弃的各个阶段，推行</w:t>
      </w:r>
      <w:r>
        <w:rPr>
          <w:spacing w:val="-8"/>
        </w:rPr>
        <w:t>清洁生产，节能降耗，减少产品和服务中物料和能源的使用量，实现污染物排放的最小</w:t>
      </w:r>
      <w:r>
        <w:t>化。</w:t>
      </w:r>
    </w:p>
    <w:p>
      <w:pPr>
        <w:pStyle w:val="9"/>
        <w:spacing w:line="364" w:lineRule="auto"/>
        <w:ind w:left="1418" w:right="1417" w:firstLine="520"/>
        <w:jc w:val="both"/>
      </w:pPr>
      <w:r>
        <w:rPr>
          <w:spacing w:val="-8"/>
        </w:rPr>
        <w:t>在煤炭开采过程中，采用合理的开采顺序、方法和选矿工艺。在开采主要矿种的同</w:t>
      </w:r>
      <w:r>
        <w:rPr>
          <w:spacing w:val="-7"/>
        </w:rPr>
        <w:t>时：应当对具有工业价值的共生和伴生矿实行综合开采、合理利用；对必须同时采出而</w:t>
      </w:r>
      <w:r>
        <w:rPr>
          <w:spacing w:val="-5"/>
        </w:rPr>
        <w:t>暂时不能利用的矿产，以及含有有用组分的尾矿，应当采取保护措施，防止资源损失和</w:t>
      </w:r>
      <w:r>
        <w:t>生态破坏。</w:t>
      </w:r>
    </w:p>
    <w:p>
      <w:pPr>
        <w:pStyle w:val="9"/>
        <w:spacing w:line="364" w:lineRule="auto"/>
        <w:ind w:left="1418" w:right="1417" w:firstLine="520"/>
        <w:jc w:val="both"/>
      </w:pPr>
      <w:r>
        <w:rPr>
          <w:spacing w:val="-7"/>
        </w:rPr>
        <w:t>在煤炭生产加工和利用方面，煤炭企业应积极实施洁净煤战略，加强选煤厂配套建</w:t>
      </w:r>
      <w:r>
        <w:rPr>
          <w:spacing w:val="-8"/>
        </w:rPr>
        <w:t>设，提高原煤洗选率，有效控制煤炭在利用之前可能排放的污染物，提高煤质，减少煤</w:t>
      </w:r>
      <w:r>
        <w:t>炭运输过程中的能源消耗。</w:t>
      </w:r>
    </w:p>
    <w:p>
      <w:pPr>
        <w:pStyle w:val="9"/>
        <w:spacing w:line="364" w:lineRule="auto"/>
        <w:ind w:left="1418" w:right="1417" w:firstLine="520"/>
        <w:jc w:val="both"/>
      </w:pPr>
      <w:r>
        <w:rPr>
          <w:spacing w:val="-8"/>
        </w:rPr>
        <w:t>在废弃物处理再利用方面，对产生的粉煤灰、煤矸石、尾矿、废石、废料、废气等</w:t>
      </w:r>
      <w:r>
        <w:rPr>
          <w:spacing w:val="-5"/>
        </w:rPr>
        <w:t>工业废物进行综合利用，最大限度地循环使用煤炭开采加工过程中的一切物质资源，实</w:t>
      </w:r>
      <w:r>
        <w:t>现废弃物资源化，保护和改善生态环境。</w:t>
      </w:r>
    </w:p>
    <w:p>
      <w:pPr>
        <w:spacing w:after="0" w:line="364" w:lineRule="auto"/>
        <w:jc w:val="both"/>
        <w:sectPr>
          <w:pgSz w:w="11910" w:h="16840"/>
          <w:pgMar w:top="1360" w:right="0" w:bottom="880" w:left="0" w:header="0" w:footer="681" w:gutter="0"/>
        </w:sectPr>
      </w:pPr>
    </w:p>
    <w:p>
      <w:pPr>
        <w:pStyle w:val="9"/>
        <w:ind w:left="1661"/>
        <w:rPr>
          <w:sz w:val="20"/>
        </w:rPr>
      </w:pPr>
      <w:r>
        <w:rPr>
          <w:sz w:val="20"/>
        </w:rPr>
        <w:drawing>
          <wp:inline distT="0" distB="0" distL="0" distR="0">
            <wp:extent cx="5484495" cy="2783840"/>
            <wp:effectExtent l="0" t="0" r="0" b="0"/>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8.jpeg"/>
                    <pic:cNvPicPr>
                      <a:picLocks noChangeAspect="1"/>
                    </pic:cNvPicPr>
                  </pic:nvPicPr>
                  <pic:blipFill>
                    <a:blip r:embed="rId71" cstate="print"/>
                    <a:stretch>
                      <a:fillRect/>
                    </a:stretch>
                  </pic:blipFill>
                  <pic:spPr>
                    <a:xfrm>
                      <a:off x="0" y="0"/>
                      <a:ext cx="5484850" cy="2784348"/>
                    </a:xfrm>
                    <a:prstGeom prst="rect">
                      <a:avLst/>
                    </a:prstGeom>
                  </pic:spPr>
                </pic:pic>
              </a:graphicData>
            </a:graphic>
          </wp:inline>
        </w:drawing>
      </w:r>
    </w:p>
    <w:p>
      <w:pPr>
        <w:pStyle w:val="9"/>
        <w:spacing w:before="2"/>
        <w:rPr>
          <w:sz w:val="7"/>
        </w:rPr>
      </w:pPr>
    </w:p>
    <w:p>
      <w:pPr>
        <w:spacing w:before="77"/>
        <w:ind w:left="7" w:right="0" w:firstLine="0"/>
        <w:jc w:val="center"/>
        <w:rPr>
          <w:b/>
          <w:sz w:val="21"/>
        </w:rPr>
      </w:pPr>
      <w:r>
        <w:rPr>
          <w:b/>
          <w:spacing w:val="-26"/>
          <w:sz w:val="21"/>
        </w:rPr>
        <w:t xml:space="preserve">图 </w:t>
      </w:r>
      <w:r>
        <w:rPr>
          <w:rFonts w:ascii="Times New Roman" w:eastAsia="Times New Roman"/>
          <w:b/>
          <w:sz w:val="21"/>
        </w:rPr>
        <w:t>12.1-1</w:t>
      </w:r>
      <w:r>
        <w:rPr>
          <w:rFonts w:ascii="Times New Roman" w:eastAsia="Times New Roman"/>
          <w:b/>
          <w:spacing w:val="52"/>
          <w:sz w:val="21"/>
        </w:rPr>
        <w:t xml:space="preserve"> </w:t>
      </w:r>
      <w:r>
        <w:rPr>
          <w:b/>
          <w:sz w:val="21"/>
        </w:rPr>
        <w:t>煤炭企业循环经济生产模式图</w:t>
      </w:r>
    </w:p>
    <w:p>
      <w:pPr>
        <w:pStyle w:val="9"/>
        <w:spacing w:before="4"/>
        <w:rPr>
          <w:b/>
          <w:sz w:val="20"/>
        </w:rPr>
      </w:pPr>
    </w:p>
    <w:p>
      <w:pPr>
        <w:pStyle w:val="6"/>
        <w:numPr>
          <w:ilvl w:val="2"/>
          <w:numId w:val="84"/>
        </w:numPr>
        <w:tabs>
          <w:tab w:val="left" w:pos="2189"/>
        </w:tabs>
        <w:spacing w:before="1" w:after="0" w:line="240" w:lineRule="auto"/>
        <w:ind w:left="2188" w:right="0" w:hanging="771"/>
        <w:jc w:val="left"/>
      </w:pPr>
      <w:bookmarkStart w:id="676" w:name="12.1.2本项目可实施的循环经济生产项目"/>
      <w:bookmarkEnd w:id="676"/>
      <w:bookmarkStart w:id="677" w:name="12.1.2本项目可实施的循环经济生产项目"/>
      <w:bookmarkEnd w:id="677"/>
      <w:r>
        <w:t>本项目可实施的循环经济生产项目</w:t>
      </w:r>
    </w:p>
    <w:p>
      <w:pPr>
        <w:pStyle w:val="9"/>
        <w:spacing w:before="7"/>
        <w:rPr>
          <w:b/>
          <w:sz w:val="26"/>
        </w:rPr>
      </w:pPr>
    </w:p>
    <w:p>
      <w:pPr>
        <w:pStyle w:val="9"/>
        <w:spacing w:before="1"/>
        <w:ind w:left="1898"/>
      </w:pPr>
      <w:r>
        <w:rPr>
          <w:rFonts w:ascii="Times New Roman" w:eastAsia="Times New Roman"/>
        </w:rPr>
        <w:t>1</w:t>
      </w:r>
      <w:r>
        <w:t>、污废水的综合利用</w:t>
      </w:r>
    </w:p>
    <w:p>
      <w:pPr>
        <w:pStyle w:val="18"/>
        <w:numPr>
          <w:ilvl w:val="3"/>
          <w:numId w:val="84"/>
        </w:numPr>
        <w:tabs>
          <w:tab w:val="left" w:pos="2500"/>
        </w:tabs>
        <w:spacing w:before="160" w:after="0" w:line="240" w:lineRule="auto"/>
        <w:ind w:left="2499" w:right="0" w:hanging="602"/>
        <w:jc w:val="left"/>
        <w:rPr>
          <w:sz w:val="24"/>
        </w:rPr>
      </w:pPr>
      <w:r>
        <w:rPr>
          <w:sz w:val="24"/>
        </w:rPr>
        <w:t>采煤废水综合利用</w:t>
      </w:r>
    </w:p>
    <w:p>
      <w:pPr>
        <w:pStyle w:val="9"/>
        <w:spacing w:before="158" w:line="364" w:lineRule="auto"/>
        <w:ind w:left="1418" w:right="1417" w:firstLine="480"/>
        <w:jc w:val="both"/>
      </w:pPr>
      <w:r>
        <w:rPr>
          <w:spacing w:val="-7"/>
        </w:rPr>
        <w:t xml:space="preserve">矿井水正常涌水量 </w:t>
      </w:r>
      <w:r>
        <w:rPr>
          <w:rFonts w:ascii="Times New Roman" w:eastAsia="Times New Roman"/>
          <w:spacing w:val="-3"/>
        </w:rPr>
        <w:t>1440m</w:t>
      </w:r>
      <w:r>
        <w:rPr>
          <w:rFonts w:ascii="Times New Roman" w:eastAsia="Times New Roman"/>
          <w:spacing w:val="-3"/>
          <w:position w:val="8"/>
          <w:sz w:val="15"/>
        </w:rPr>
        <w:t>3</w:t>
      </w:r>
      <w:r>
        <w:rPr>
          <w:rFonts w:ascii="Times New Roman" w:eastAsia="Times New Roman"/>
          <w:spacing w:val="-3"/>
        </w:rPr>
        <w:t>/d</w:t>
      </w:r>
      <w:r>
        <w:rPr>
          <w:spacing w:val="-6"/>
        </w:rPr>
        <w:t xml:space="preserve">，矿井水处理站处理能力为 </w:t>
      </w:r>
      <w:r>
        <w:rPr>
          <w:rFonts w:ascii="Times New Roman" w:eastAsia="Times New Roman"/>
          <w:spacing w:val="-3"/>
        </w:rPr>
        <w:t>1600</w:t>
      </w:r>
      <w:r>
        <w:rPr>
          <w:rFonts w:ascii="Times New Roman" w:eastAsia="Times New Roman"/>
          <w:spacing w:val="-3"/>
          <w:sz w:val="21"/>
        </w:rPr>
        <w:t>m</w:t>
      </w:r>
      <w:r>
        <w:rPr>
          <w:rFonts w:ascii="Times New Roman" w:eastAsia="Times New Roman"/>
          <w:spacing w:val="-3"/>
          <w:position w:val="7"/>
          <w:sz w:val="13"/>
        </w:rPr>
        <w:t>3</w:t>
      </w:r>
      <w:r>
        <w:rPr>
          <w:rFonts w:ascii="Times New Roman" w:eastAsia="Times New Roman"/>
          <w:spacing w:val="-3"/>
          <w:sz w:val="21"/>
        </w:rPr>
        <w:t>/d</w:t>
      </w:r>
      <w:r>
        <w:rPr>
          <w:spacing w:val="-7"/>
        </w:rPr>
        <w:t>，部分，部分回用于井下生产用水、洗浴用水、洗衣用水和锅炉补水等非饮用生活用水，剩余部分达标排</w:t>
      </w:r>
      <w:r>
        <w:t>入矿区附近排水水渠，最终汇入安邦。</w:t>
      </w:r>
    </w:p>
    <w:p>
      <w:pPr>
        <w:pStyle w:val="18"/>
        <w:numPr>
          <w:ilvl w:val="3"/>
          <w:numId w:val="84"/>
        </w:numPr>
        <w:tabs>
          <w:tab w:val="left" w:pos="2500"/>
        </w:tabs>
        <w:spacing w:before="0" w:after="0" w:line="307" w:lineRule="exact"/>
        <w:ind w:left="2499" w:right="0" w:hanging="602"/>
        <w:jc w:val="left"/>
        <w:rPr>
          <w:sz w:val="24"/>
        </w:rPr>
      </w:pPr>
      <w:r>
        <w:rPr>
          <w:sz w:val="24"/>
        </w:rPr>
        <w:t>生活污水处理综合利用</w:t>
      </w:r>
    </w:p>
    <w:p>
      <w:pPr>
        <w:pStyle w:val="9"/>
        <w:spacing w:before="158" w:line="364" w:lineRule="auto"/>
        <w:ind w:left="1418" w:right="1297" w:firstLine="480"/>
      </w:pPr>
      <w:r>
        <w:rPr>
          <w:spacing w:val="-4"/>
        </w:rPr>
        <w:t>生活污废水通过一体化综合污水处理装置</w:t>
      </w:r>
      <w:r>
        <w:t>（</w:t>
      </w:r>
      <w:r>
        <w:rPr>
          <w:rFonts w:ascii="Times New Roman" w:eastAsia="Times New Roman"/>
        </w:rPr>
        <w:t>SBR+</w:t>
      </w:r>
      <w:r>
        <w:t>消毒</w:t>
      </w:r>
      <w:r>
        <w:rPr>
          <w:spacing w:val="-65"/>
        </w:rPr>
        <w:t>）</w:t>
      </w:r>
      <w:r>
        <w:rPr>
          <w:spacing w:val="-14"/>
        </w:rPr>
        <w:t xml:space="preserve">处理，处理规模为 </w:t>
      </w:r>
      <w:r>
        <w:rPr>
          <w:rFonts w:ascii="Times New Roman" w:eastAsia="Times New Roman"/>
          <w:spacing w:val="-3"/>
        </w:rPr>
        <w:t>200m</w:t>
      </w:r>
      <w:r>
        <w:rPr>
          <w:rFonts w:ascii="Times New Roman" w:eastAsia="Times New Roman"/>
          <w:spacing w:val="-3"/>
          <w:position w:val="8"/>
          <w:sz w:val="15"/>
        </w:rPr>
        <w:t>3</w:t>
      </w:r>
      <w:r>
        <w:rPr>
          <w:rFonts w:ascii="Times New Roman" w:eastAsia="Times New Roman"/>
          <w:spacing w:val="-3"/>
        </w:rPr>
        <w:t>/d</w:t>
      </w:r>
      <w:r>
        <w:rPr>
          <w:spacing w:val="-3"/>
        </w:rPr>
        <w:t xml:space="preserve">， </w:t>
      </w:r>
      <w:r>
        <w:t>处理后全部回用于井下生产、临时排矸场抑尘及道路洒水，不外排。</w:t>
      </w:r>
    </w:p>
    <w:p>
      <w:pPr>
        <w:pStyle w:val="9"/>
        <w:spacing w:line="364" w:lineRule="auto"/>
        <w:ind w:left="1418" w:right="1297" w:firstLine="566"/>
      </w:pPr>
      <w:r>
        <w:rPr>
          <w:spacing w:val="-2"/>
        </w:rPr>
        <w:t>设计中认真贯彻国家有关节水技术政策和技术标准，在给水排水设计上进行优化。</w:t>
      </w:r>
      <w:r>
        <w:rPr>
          <w:spacing w:val="-3"/>
        </w:rPr>
        <w:t>矿井生产供水水源采用处理后的井下涌水，井下涌水经提升后进入地面井下水处理站调</w:t>
      </w:r>
      <w:r>
        <w:rPr>
          <w:spacing w:val="-10"/>
        </w:rPr>
        <w:t>节水池，经混凝沉淀</w:t>
      </w:r>
      <w:r>
        <w:rPr>
          <w:rFonts w:ascii="Times New Roman" w:eastAsia="Times New Roman"/>
        </w:rPr>
        <w:t>+</w:t>
      </w:r>
      <w:r>
        <w:rPr>
          <w:spacing w:val="-21"/>
        </w:rPr>
        <w:t xml:space="preserve">过虑 </w:t>
      </w:r>
      <w:r>
        <w:rPr>
          <w:rFonts w:ascii="Times New Roman" w:eastAsia="Times New Roman"/>
        </w:rPr>
        <w:t xml:space="preserve">MBR </w:t>
      </w:r>
      <w:r>
        <w:rPr>
          <w:spacing w:val="-3"/>
        </w:rPr>
        <w:t>膜消毒处理后的井下水部分回用于井下生产用水、洗浴用水、洗衣用水和锅炉补水等非饮用生活用水。</w:t>
      </w:r>
    </w:p>
    <w:p>
      <w:pPr>
        <w:pStyle w:val="9"/>
        <w:spacing w:line="305" w:lineRule="exact"/>
        <w:ind w:left="1984"/>
      </w:pPr>
      <w:r>
        <w:rPr>
          <w:rFonts w:ascii="Times New Roman" w:eastAsia="Times New Roman"/>
        </w:rPr>
        <w:t>2</w:t>
      </w:r>
      <w:r>
        <w:t>、固体废物的综合利用</w:t>
      </w:r>
    </w:p>
    <w:p>
      <w:pPr>
        <w:pStyle w:val="9"/>
        <w:spacing w:before="160" w:line="364" w:lineRule="auto"/>
        <w:ind w:left="1418" w:right="1365" w:firstLine="480"/>
        <w:jc w:val="both"/>
      </w:pPr>
      <w:r>
        <w:rPr>
          <w:spacing w:val="-3"/>
        </w:rPr>
        <w:t>前期产生的矸石主要用于修路和工业场地的平整，后期矸石主要用于填充采空区及</w:t>
      </w:r>
      <w:r>
        <w:rPr>
          <w:spacing w:val="-8"/>
        </w:rPr>
        <w:t>塌陷区、修路和制砖。固体废物的资源化利用缓解了矸石大量堆放压站土地现象，在综</w:t>
      </w:r>
      <w:r>
        <w:rPr>
          <w:spacing w:val="-9"/>
        </w:rPr>
        <w:t xml:space="preserve">合利用不畅时，则运往矸石场地临时堆存，在条件允许情况下，周转场矸石及时清运， </w:t>
      </w:r>
      <w:r>
        <w:t>避免长期堆存，产生扬尘。</w:t>
      </w:r>
    </w:p>
    <w:p>
      <w:pPr>
        <w:spacing w:after="0" w:line="364" w:lineRule="auto"/>
        <w:jc w:val="both"/>
        <w:sectPr>
          <w:pgSz w:w="11910" w:h="16840"/>
          <w:pgMar w:top="1500" w:right="0" w:bottom="880" w:left="0" w:header="0" w:footer="681" w:gutter="0"/>
        </w:sectPr>
      </w:pPr>
    </w:p>
    <w:p>
      <w:pPr>
        <w:pStyle w:val="5"/>
        <w:numPr>
          <w:ilvl w:val="1"/>
          <w:numId w:val="84"/>
        </w:numPr>
        <w:tabs>
          <w:tab w:val="left" w:pos="2019"/>
        </w:tabs>
        <w:spacing w:before="44" w:after="0" w:line="240" w:lineRule="auto"/>
        <w:ind w:left="2018" w:right="0" w:hanging="601"/>
        <w:jc w:val="left"/>
      </w:pPr>
      <w:bookmarkStart w:id="678" w:name="12.2清洁生产分析"/>
      <w:bookmarkEnd w:id="678"/>
      <w:bookmarkStart w:id="679" w:name="_bookmark69"/>
      <w:bookmarkEnd w:id="679"/>
      <w:bookmarkStart w:id="680" w:name="_bookmark69"/>
      <w:bookmarkEnd w:id="680"/>
      <w:r>
        <w:t>清洁生产分析</w:t>
      </w:r>
    </w:p>
    <w:p>
      <w:pPr>
        <w:pStyle w:val="9"/>
        <w:spacing w:before="196" w:line="364" w:lineRule="auto"/>
        <w:ind w:left="1418" w:right="1297" w:firstLine="410"/>
      </w:pPr>
      <w:r>
        <w:t>清洁生产是一个系统工程，是对生产全过程以及产品的整个生命周期采取污染预防</w:t>
      </w:r>
      <w:r>
        <w:rPr>
          <w:spacing w:val="-6"/>
        </w:rPr>
        <w:t>的综合措施。清洁生产技术的实施；首先必须技术上可行；其次要达到节能、降耗、减</w:t>
      </w:r>
      <w:r>
        <w:rPr>
          <w:spacing w:val="-16"/>
        </w:rPr>
        <w:t xml:space="preserve">污的目标，满足环境保护法规的要求；第三是在经济上能够获利，做到经济效益最大化， </w:t>
      </w:r>
      <w:r>
        <w:t>充分体现经济效益、环境效益和社会效益的高度统一。</w:t>
      </w:r>
    </w:p>
    <w:p>
      <w:pPr>
        <w:pStyle w:val="9"/>
        <w:spacing w:line="305" w:lineRule="exact"/>
        <w:ind w:left="1828"/>
      </w:pPr>
      <w:r>
        <w:t>清洁生产的内容包括：</w:t>
      </w:r>
    </w:p>
    <w:p>
      <w:pPr>
        <w:pStyle w:val="18"/>
        <w:numPr>
          <w:ilvl w:val="0"/>
          <w:numId w:val="85"/>
        </w:numPr>
        <w:tabs>
          <w:tab w:val="left" w:pos="2430"/>
        </w:tabs>
        <w:spacing w:before="160" w:after="0" w:line="362" w:lineRule="auto"/>
        <w:ind w:left="1418" w:right="1315" w:firstLine="410"/>
        <w:jc w:val="left"/>
        <w:rPr>
          <w:sz w:val="24"/>
        </w:rPr>
      </w:pPr>
      <w:r>
        <w:rPr>
          <w:spacing w:val="-1"/>
          <w:sz w:val="24"/>
        </w:rPr>
        <w:t>清洁的能源，包括常规能源的清洁利用、可再生能源的利用、新能源的利用、</w:t>
      </w:r>
      <w:r>
        <w:rPr>
          <w:sz w:val="24"/>
        </w:rPr>
        <w:t>节能技术；</w:t>
      </w:r>
    </w:p>
    <w:p>
      <w:pPr>
        <w:pStyle w:val="18"/>
        <w:numPr>
          <w:ilvl w:val="0"/>
          <w:numId w:val="85"/>
        </w:numPr>
        <w:tabs>
          <w:tab w:val="left" w:pos="2430"/>
        </w:tabs>
        <w:spacing w:before="5" w:after="0" w:line="364" w:lineRule="auto"/>
        <w:ind w:left="1418" w:right="1417" w:firstLine="410"/>
        <w:jc w:val="both"/>
        <w:rPr>
          <w:sz w:val="24"/>
        </w:rPr>
      </w:pPr>
      <w:r>
        <w:rPr>
          <w:spacing w:val="-6"/>
          <w:sz w:val="24"/>
        </w:rPr>
        <w:t>清洁的生产过程，尽量少用或不用有毒有害的原料、有毒有害的中间产品、</w:t>
      </w:r>
      <w:r>
        <w:rPr>
          <w:spacing w:val="-7"/>
          <w:sz w:val="24"/>
        </w:rPr>
        <w:t>减少生产过程中的各种危险因素、少废或无废的工艺和高效的设备、物料的再循环</w:t>
      </w:r>
      <w:r>
        <w:rPr>
          <w:sz w:val="24"/>
        </w:rPr>
        <w:t>（厂</w:t>
      </w:r>
      <w:r>
        <w:rPr>
          <w:spacing w:val="-9"/>
          <w:sz w:val="24"/>
        </w:rPr>
        <w:t>内外</w:t>
      </w:r>
      <w:r>
        <w:rPr>
          <w:sz w:val="24"/>
        </w:rPr>
        <w:t>）、简便可靠的操作和控制、完善的管理；</w:t>
      </w:r>
    </w:p>
    <w:p>
      <w:pPr>
        <w:pStyle w:val="18"/>
        <w:numPr>
          <w:ilvl w:val="0"/>
          <w:numId w:val="85"/>
        </w:numPr>
        <w:tabs>
          <w:tab w:val="left" w:pos="2430"/>
        </w:tabs>
        <w:spacing w:before="0" w:after="0" w:line="364" w:lineRule="auto"/>
        <w:ind w:left="1418" w:right="1297" w:firstLine="410"/>
        <w:jc w:val="left"/>
        <w:rPr>
          <w:sz w:val="24"/>
        </w:rPr>
      </w:pPr>
      <w:r>
        <w:rPr>
          <w:spacing w:val="-12"/>
          <w:sz w:val="24"/>
        </w:rPr>
        <w:t>清洁的产品，节约原料和能源并少用昂贵和稀缺的原料、利用二次资源作原料</w:t>
      </w:r>
      <w:r>
        <w:rPr>
          <w:spacing w:val="-6"/>
          <w:sz w:val="24"/>
        </w:rPr>
        <w:t>、产品在使用过程中以及使用后不会危害人体健康和生态环境、易于回收复用和再生、</w:t>
      </w:r>
      <w:r>
        <w:rPr>
          <w:sz w:val="24"/>
        </w:rPr>
        <w:t>合理包装、合理的使用功能和使用寿命、易处置和易降解；</w:t>
      </w:r>
    </w:p>
    <w:p>
      <w:pPr>
        <w:pStyle w:val="9"/>
        <w:spacing w:line="364" w:lineRule="auto"/>
        <w:ind w:left="1418" w:right="1293" w:firstLine="410"/>
      </w:pPr>
      <w:r>
        <w:t>清洁生产的基本要求是：符合国家环保、产业政策要求，采用国内外先进的煤炭洗</w:t>
      </w:r>
      <w:r>
        <w:rPr>
          <w:spacing w:val="-14"/>
        </w:rPr>
        <w:t>选、煤泥水闭路循环、煤炭贮运生产工艺和技术设备。符合国家、地方和行业有关法律、</w:t>
      </w:r>
      <w:r>
        <w:rPr>
          <w:spacing w:val="-8"/>
        </w:rPr>
        <w:t>法规、规范、产业政策、技术标准要求，污染物排放达到国家和地方排放标准、满足污染物总量控制和排污许可证管理要求。</w:t>
      </w:r>
    </w:p>
    <w:p>
      <w:pPr>
        <w:pStyle w:val="9"/>
        <w:spacing w:line="364" w:lineRule="auto"/>
        <w:ind w:left="1418" w:right="1417" w:firstLine="480"/>
        <w:jc w:val="both"/>
      </w:pPr>
      <w:r>
        <w:rPr>
          <w:rFonts w:ascii="Times New Roman" w:hAnsi="Times New Roman" w:eastAsia="Times New Roman"/>
        </w:rPr>
        <w:t xml:space="preserve">2019 </w:t>
      </w:r>
      <w:r>
        <w:rPr>
          <w:spacing w:val="-30"/>
        </w:rPr>
        <w:t xml:space="preserve">年 </w:t>
      </w:r>
      <w:r>
        <w:rPr>
          <w:rFonts w:ascii="Times New Roman" w:hAnsi="Times New Roman" w:eastAsia="Times New Roman"/>
        </w:rPr>
        <w:t xml:space="preserve">9 </w:t>
      </w:r>
      <w:r>
        <w:rPr>
          <w:spacing w:val="-21"/>
        </w:rPr>
        <w:t>月，国家发展和改革委员会、生态环境部、工业和信息化部联合发布了《煤</w:t>
      </w:r>
      <w:r>
        <w:rPr>
          <w:spacing w:val="-5"/>
        </w:rPr>
        <w:t>炭采选业清洁生产评价指标体系》，该指标体系将清洁生产指标分为五类，即生产工艺</w:t>
      </w:r>
      <w:r>
        <w:rPr>
          <w:spacing w:val="-6"/>
        </w:rPr>
        <w:t>及装备指标、资源能源消耗指标、资源综合利用指标、生态环境指标和清洁生产管理指</w:t>
      </w:r>
      <w:r>
        <w:rPr>
          <w:spacing w:val="-9"/>
        </w:rPr>
        <w:t>标。该指标体系依据综合评价所得分值将清洁生产等级划分为三级，Ⅰ级为国际清洁生</w:t>
      </w:r>
      <w:r>
        <w:t>产领先水平，Ⅱ级为国内清洁生产先进水平，Ⅲ级为国内清洁生产一般水平。</w:t>
      </w:r>
    </w:p>
    <w:p>
      <w:pPr>
        <w:pStyle w:val="9"/>
        <w:spacing w:line="306" w:lineRule="exact"/>
        <w:ind w:left="1898"/>
      </w:pPr>
      <w:r>
        <w:t>对比情况见下表。</w:t>
      </w:r>
    </w:p>
    <w:p>
      <w:pPr>
        <w:spacing w:after="0" w:line="306" w:lineRule="exact"/>
        <w:sectPr>
          <w:pgSz w:w="11910" w:h="16840"/>
          <w:pgMar w:top="1360" w:right="0" w:bottom="880" w:left="0" w:header="0" w:footer="681" w:gutter="0"/>
        </w:sectPr>
      </w:pPr>
    </w:p>
    <w:p>
      <w:pPr>
        <w:pStyle w:val="9"/>
        <w:spacing w:before="8"/>
        <w:rPr>
          <w:sz w:val="18"/>
        </w:rPr>
      </w:pPr>
    </w:p>
    <w:p>
      <w:pPr>
        <w:pStyle w:val="8"/>
        <w:spacing w:before="74"/>
        <w:ind w:left="5038" w:right="4546" w:firstLine="0"/>
        <w:jc w:val="center"/>
      </w:pPr>
      <w:r>
        <w:t xml:space="preserve">表 </w:t>
      </w:r>
      <w:r>
        <w:rPr>
          <w:rFonts w:ascii="Times New Roman" w:eastAsia="Times New Roman"/>
        </w:rPr>
        <w:t xml:space="preserve">12.2-1 </w:t>
      </w:r>
      <w:r>
        <w:t>煤炭采选业清洁生产评价指标体系</w:t>
      </w:r>
    </w:p>
    <w:p>
      <w:pPr>
        <w:pStyle w:val="9"/>
        <w:spacing w:before="5"/>
        <w:rPr>
          <w:b/>
          <w:sz w:val="12"/>
        </w:rPr>
      </w:pPr>
    </w:p>
    <w:tbl>
      <w:tblPr>
        <w:tblStyle w:val="15"/>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181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9"/>
              <w:spacing w:before="164"/>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9"/>
              <w:spacing w:before="1"/>
              <w:ind w:left="16"/>
              <w:rPr>
                <w:sz w:val="21"/>
              </w:rPr>
            </w:pPr>
            <w:r>
              <w:rPr>
                <w:sz w:val="21"/>
              </w:rPr>
              <w:t>一级指标指</w:t>
            </w:r>
          </w:p>
          <w:p>
            <w:pPr>
              <w:pStyle w:val="19"/>
              <w:spacing w:before="57"/>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9"/>
              <w:spacing w:before="1"/>
              <w:ind w:left="13" w:right="-15"/>
              <w:rPr>
                <w:sz w:val="21"/>
              </w:rPr>
            </w:pPr>
            <w:r>
              <w:rPr>
                <w:sz w:val="21"/>
              </w:rPr>
              <w:t>一级指标权</w:t>
            </w:r>
          </w:p>
          <w:p>
            <w:pPr>
              <w:pStyle w:val="19"/>
              <w:spacing w:before="57"/>
              <w:ind w:left="306" w:right="290"/>
              <w:rPr>
                <w:sz w:val="21"/>
              </w:rPr>
            </w:pPr>
            <w:r>
              <w:rPr>
                <w:sz w:val="21"/>
              </w:rPr>
              <w:t>重值</w:t>
            </w:r>
          </w:p>
        </w:tc>
        <w:tc>
          <w:tcPr>
            <w:tcW w:w="1818" w:type="dxa"/>
            <w:tcBorders>
              <w:left w:val="single" w:color="000000" w:sz="4" w:space="0"/>
              <w:bottom w:val="single" w:color="000000" w:sz="4" w:space="0"/>
              <w:right w:val="single" w:color="000000" w:sz="4" w:space="0"/>
            </w:tcBorders>
          </w:tcPr>
          <w:p>
            <w:pPr>
              <w:pStyle w:val="19"/>
              <w:spacing w:before="164"/>
              <w:ind w:right="157"/>
              <w:jc w:val="right"/>
              <w:rPr>
                <w:sz w:val="21"/>
              </w:rPr>
            </w:pPr>
            <w:r>
              <w:rPr>
                <w:w w:val="95"/>
                <w:sz w:val="21"/>
              </w:rPr>
              <w:t>二级指标指标项</w:t>
            </w:r>
          </w:p>
        </w:tc>
        <w:tc>
          <w:tcPr>
            <w:tcW w:w="835" w:type="dxa"/>
            <w:tcBorders>
              <w:left w:val="single" w:color="000000" w:sz="4" w:space="0"/>
              <w:bottom w:val="single" w:color="000000" w:sz="4" w:space="0"/>
              <w:right w:val="single" w:color="000000" w:sz="4" w:space="0"/>
            </w:tcBorders>
          </w:tcPr>
          <w:p>
            <w:pPr>
              <w:pStyle w:val="19"/>
              <w:spacing w:before="164"/>
              <w:ind w:left="211"/>
              <w:jc w:val="left"/>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9"/>
              <w:spacing w:before="1"/>
              <w:ind w:left="51"/>
              <w:jc w:val="left"/>
              <w:rPr>
                <w:sz w:val="21"/>
              </w:rPr>
            </w:pPr>
            <w:r>
              <w:rPr>
                <w:w w:val="95"/>
                <w:sz w:val="21"/>
              </w:rPr>
              <w:t>二级指标</w:t>
            </w:r>
          </w:p>
          <w:p>
            <w:pPr>
              <w:pStyle w:val="19"/>
              <w:spacing w:before="57"/>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9"/>
              <w:spacing w:before="164"/>
              <w:ind w:left="778" w:right="762"/>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9"/>
              <w:spacing w:before="164"/>
              <w:ind w:left="397" w:right="382"/>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9"/>
              <w:spacing w:before="164"/>
              <w:ind w:left="35" w:right="20"/>
              <w:rPr>
                <w:sz w:val="21"/>
              </w:rPr>
            </w:pPr>
            <w:r>
              <w:rPr>
                <w:sz w:val="21"/>
              </w:rPr>
              <w:t>Ⅲ级基准值</w:t>
            </w:r>
          </w:p>
        </w:tc>
        <w:tc>
          <w:tcPr>
            <w:tcW w:w="1165" w:type="dxa"/>
            <w:tcBorders>
              <w:left w:val="single" w:color="000000" w:sz="4" w:space="0"/>
              <w:bottom w:val="single" w:color="000000" w:sz="4" w:space="0"/>
            </w:tcBorders>
          </w:tcPr>
          <w:p>
            <w:pPr>
              <w:pStyle w:val="19"/>
              <w:spacing w:before="1"/>
              <w:ind w:left="24" w:right="5"/>
              <w:rPr>
                <w:sz w:val="21"/>
              </w:rPr>
            </w:pPr>
            <w:r>
              <w:rPr>
                <w:sz w:val="21"/>
              </w:rPr>
              <w:t>本煤矿扩建</w:t>
            </w:r>
          </w:p>
          <w:p>
            <w:pPr>
              <w:pStyle w:val="19"/>
              <w:spacing w:before="57"/>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572" w:type="dxa"/>
            <w:tcBorders>
              <w:top w:val="single" w:color="000000" w:sz="4" w:space="0"/>
              <w:bottom w:val="single" w:color="000000" w:sz="4" w:space="0"/>
              <w:right w:val="single" w:color="000000" w:sz="4" w:space="0"/>
            </w:tcBorders>
          </w:tcPr>
          <w:p>
            <w:pPr>
              <w:pStyle w:val="19"/>
              <w:spacing w:before="181"/>
              <w:ind w:left="18"/>
              <w:rPr>
                <w:rFonts w:ascii="Times New Roman"/>
                <w:sz w:val="21"/>
              </w:rPr>
            </w:pPr>
            <w:r>
              <w:rPr>
                <w:rFonts w:ascii="Times New Roman"/>
                <w:w w:val="99"/>
                <w:sz w:val="21"/>
              </w:rPr>
              <w:t>1</w:t>
            </w:r>
          </w:p>
        </w:tc>
        <w:tc>
          <w:tcPr>
            <w:tcW w:w="1090" w:type="dxa"/>
            <w:vMerge w:val="restart"/>
            <w:tcBorders>
              <w:top w:val="single" w:color="000000" w:sz="4" w:space="0"/>
              <w:left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8"/>
              <w:jc w:val="left"/>
              <w:rPr>
                <w:b/>
                <w:sz w:val="29"/>
              </w:rPr>
            </w:pPr>
          </w:p>
          <w:p>
            <w:pPr>
              <w:pStyle w:val="19"/>
              <w:spacing w:line="292" w:lineRule="auto"/>
              <w:ind w:left="23" w:right="5"/>
              <w:rPr>
                <w:sz w:val="21"/>
              </w:rPr>
            </w:pPr>
            <w:r>
              <w:rPr>
                <w:sz w:val="21"/>
              </w:rPr>
              <w:t>（一）生产工艺及装备指标</w:t>
            </w:r>
          </w:p>
        </w:tc>
        <w:tc>
          <w:tcPr>
            <w:tcW w:w="1068" w:type="dxa"/>
            <w:vMerge w:val="restart"/>
            <w:tcBorders>
              <w:top w:val="single" w:color="000000" w:sz="4" w:space="0"/>
              <w:left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7"/>
              <w:jc w:val="left"/>
              <w:rPr>
                <w:b/>
                <w:sz w:val="32"/>
              </w:rPr>
            </w:pPr>
          </w:p>
          <w:p>
            <w:pPr>
              <w:pStyle w:val="19"/>
              <w:ind w:left="354"/>
              <w:jc w:val="left"/>
              <w:rPr>
                <w:rFonts w:ascii="Times New Roman"/>
                <w:sz w:val="21"/>
              </w:rPr>
            </w:pPr>
            <w:r>
              <w:rPr>
                <w:rFonts w:ascii="Times New Roman"/>
                <w:sz w:val="21"/>
              </w:rPr>
              <w:t>0.25</w:t>
            </w:r>
          </w:p>
        </w:tc>
        <w:tc>
          <w:tcPr>
            <w:tcW w:w="1818" w:type="dxa"/>
            <w:tcBorders>
              <w:top w:val="single" w:color="000000" w:sz="4" w:space="0"/>
              <w:left w:val="single" w:color="000000" w:sz="4" w:space="0"/>
              <w:bottom w:val="single" w:color="000000" w:sz="4" w:space="0"/>
              <w:right w:val="single" w:color="000000" w:sz="4" w:space="0"/>
            </w:tcBorders>
          </w:tcPr>
          <w:p>
            <w:pPr>
              <w:pStyle w:val="19"/>
              <w:spacing w:line="268" w:lineRule="exact"/>
              <w:ind w:left="41" w:right="24"/>
              <w:rPr>
                <w:sz w:val="21"/>
              </w:rPr>
            </w:pPr>
            <w:r>
              <w:rPr>
                <w:rFonts w:ascii="Times New Roman" w:eastAsia="Times New Roman"/>
                <w:w w:val="95"/>
                <w:sz w:val="21"/>
              </w:rPr>
              <w:t>*</w:t>
            </w:r>
            <w:r>
              <w:rPr>
                <w:w w:val="95"/>
                <w:sz w:val="21"/>
              </w:rPr>
              <w:t>煤矿机械化掘进比</w:t>
            </w:r>
          </w:p>
          <w:p>
            <w:pPr>
              <w:pStyle w:val="19"/>
              <w:spacing w:before="57"/>
              <w:ind w:left="17"/>
              <w:rPr>
                <w:sz w:val="21"/>
              </w:rPr>
            </w:pPr>
            <w:r>
              <w:rPr>
                <w:w w:val="99"/>
                <w:sz w:val="21"/>
              </w:rPr>
              <w:t>例</w:t>
            </w:r>
          </w:p>
        </w:tc>
        <w:tc>
          <w:tcPr>
            <w:tcW w:w="835" w:type="dxa"/>
            <w:tcBorders>
              <w:top w:val="single" w:color="000000" w:sz="4" w:space="0"/>
              <w:left w:val="single" w:color="000000" w:sz="4" w:space="0"/>
              <w:bottom w:val="single" w:color="000000" w:sz="4" w:space="0"/>
              <w:right w:val="single" w:color="000000" w:sz="4" w:space="0"/>
            </w:tcBorders>
          </w:tcPr>
          <w:p>
            <w:pPr>
              <w:pStyle w:val="19"/>
              <w:spacing w:before="181"/>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9"/>
              <w:spacing w:before="181"/>
              <w:ind w:left="286"/>
              <w:jc w:val="left"/>
              <w:rPr>
                <w:rFonts w:ascii="Times New Roman"/>
                <w:sz w:val="21"/>
              </w:rPr>
            </w:pPr>
            <w:r>
              <w:rPr>
                <w:rFonts w:ascii="Times New Roman"/>
                <w:sz w:val="21"/>
              </w:rPr>
              <w:t>0.08</w:t>
            </w:r>
          </w:p>
        </w:tc>
        <w:tc>
          <w:tcPr>
            <w:tcW w:w="2641" w:type="dxa"/>
            <w:tcBorders>
              <w:top w:val="single" w:color="000000" w:sz="4" w:space="0"/>
              <w:left w:val="single" w:color="000000" w:sz="4" w:space="0"/>
              <w:bottom w:val="single" w:color="000000" w:sz="4" w:space="0"/>
              <w:right w:val="single" w:color="000000" w:sz="4" w:space="0"/>
            </w:tcBorders>
          </w:tcPr>
          <w:p>
            <w:pPr>
              <w:pStyle w:val="19"/>
              <w:spacing w:before="181"/>
              <w:ind w:left="778" w:right="758"/>
              <w:rPr>
                <w:rFonts w:ascii="Times New Roman" w:hAnsi="Times New Roman"/>
                <w:sz w:val="21"/>
              </w:rPr>
            </w:pPr>
            <w:r>
              <w:rPr>
                <w:rFonts w:ascii="Times New Roman" w:hAnsi="Times New Roman"/>
                <w:sz w:val="21"/>
              </w:rPr>
              <w:t>≥90</w:t>
            </w:r>
          </w:p>
        </w:tc>
        <w:tc>
          <w:tcPr>
            <w:tcW w:w="1879" w:type="dxa"/>
            <w:tcBorders>
              <w:top w:val="single" w:color="000000" w:sz="4" w:space="0"/>
              <w:left w:val="single" w:color="000000" w:sz="4" w:space="0"/>
              <w:bottom w:val="single" w:color="000000" w:sz="4" w:space="0"/>
              <w:right w:val="single" w:color="000000" w:sz="4" w:space="0"/>
            </w:tcBorders>
          </w:tcPr>
          <w:p>
            <w:pPr>
              <w:pStyle w:val="19"/>
              <w:spacing w:before="181"/>
              <w:ind w:left="397" w:right="380"/>
              <w:rPr>
                <w:rFonts w:ascii="Times New Roman" w:hAnsi="Times New Roman"/>
                <w:sz w:val="21"/>
              </w:rPr>
            </w:pPr>
            <w:r>
              <w:rPr>
                <w:rFonts w:ascii="Times New Roman" w:hAnsi="Times New Roman"/>
                <w:sz w:val="21"/>
              </w:rPr>
              <w:t>≥85</w:t>
            </w:r>
          </w:p>
        </w:tc>
        <w:tc>
          <w:tcPr>
            <w:tcW w:w="2021" w:type="dxa"/>
            <w:tcBorders>
              <w:top w:val="single" w:color="000000" w:sz="4" w:space="0"/>
              <w:left w:val="single" w:color="000000" w:sz="4" w:space="0"/>
              <w:bottom w:val="single" w:color="000000" w:sz="4" w:space="0"/>
              <w:right w:val="single" w:color="000000" w:sz="4" w:space="0"/>
            </w:tcBorders>
          </w:tcPr>
          <w:p>
            <w:pPr>
              <w:pStyle w:val="19"/>
              <w:spacing w:before="181"/>
              <w:ind w:left="39" w:right="20"/>
              <w:rPr>
                <w:rFonts w:ascii="Times New Roman" w:hAnsi="Times New Roman"/>
                <w:sz w:val="21"/>
              </w:rPr>
            </w:pPr>
            <w:r>
              <w:rPr>
                <w:rFonts w:ascii="Times New Roman" w:hAnsi="Times New Roman"/>
                <w:sz w:val="21"/>
              </w:rPr>
              <w:t>≥80</w:t>
            </w:r>
          </w:p>
        </w:tc>
        <w:tc>
          <w:tcPr>
            <w:tcW w:w="1165" w:type="dxa"/>
            <w:tcBorders>
              <w:top w:val="single" w:color="000000" w:sz="4" w:space="0"/>
              <w:left w:val="single" w:color="000000" w:sz="4" w:space="0"/>
              <w:bottom w:val="single" w:color="000000" w:sz="4" w:space="0"/>
            </w:tcBorders>
          </w:tcPr>
          <w:p>
            <w:pPr>
              <w:pStyle w:val="19"/>
              <w:spacing w:before="181"/>
              <w:ind w:right="402"/>
              <w:jc w:val="right"/>
              <w:rPr>
                <w:rFonts w:ascii="Times New Roman" w:hAnsi="Times New Roman"/>
                <w:sz w:val="21"/>
              </w:rPr>
            </w:pPr>
            <w:r>
              <w:rPr>
                <w:rFonts w:ascii="Times New Roman" w:hAnsi="Times New Roman"/>
                <w:w w:val="95"/>
                <w:sz w:val="21"/>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572" w:type="dxa"/>
            <w:tcBorders>
              <w:top w:val="single" w:color="000000" w:sz="4" w:space="0"/>
              <w:bottom w:val="single" w:color="000000" w:sz="4" w:space="0"/>
              <w:right w:val="single" w:color="000000" w:sz="4" w:space="0"/>
            </w:tcBorders>
          </w:tcPr>
          <w:p>
            <w:pPr>
              <w:pStyle w:val="19"/>
              <w:spacing w:before="175"/>
              <w:ind w:left="18"/>
              <w:rPr>
                <w:rFonts w:ascii="Times New Roman"/>
                <w:sz w:val="21"/>
              </w:rPr>
            </w:pPr>
            <w:r>
              <w:rPr>
                <w:rFonts w:ascii="Times New Roman"/>
                <w:w w:val="99"/>
                <w:sz w:val="21"/>
              </w:rPr>
              <w:t>2</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9"/>
              <w:spacing w:line="265" w:lineRule="exact"/>
              <w:ind w:left="41" w:right="24"/>
              <w:rPr>
                <w:sz w:val="21"/>
              </w:rPr>
            </w:pPr>
            <w:r>
              <w:rPr>
                <w:rFonts w:ascii="Times New Roman" w:eastAsia="Times New Roman"/>
                <w:w w:val="95"/>
                <w:sz w:val="21"/>
              </w:rPr>
              <w:t>*</w:t>
            </w:r>
            <w:r>
              <w:rPr>
                <w:w w:val="95"/>
                <w:sz w:val="21"/>
              </w:rPr>
              <w:t>煤矿机械化采煤比</w:t>
            </w:r>
          </w:p>
          <w:p>
            <w:pPr>
              <w:pStyle w:val="19"/>
              <w:spacing w:before="57"/>
              <w:ind w:left="17"/>
              <w:rPr>
                <w:sz w:val="21"/>
              </w:rPr>
            </w:pPr>
            <w:r>
              <w:rPr>
                <w:w w:val="99"/>
                <w:sz w:val="21"/>
              </w:rPr>
              <w:t>例</w:t>
            </w:r>
          </w:p>
        </w:tc>
        <w:tc>
          <w:tcPr>
            <w:tcW w:w="835" w:type="dxa"/>
            <w:tcBorders>
              <w:top w:val="single" w:color="000000" w:sz="4" w:space="0"/>
              <w:left w:val="single" w:color="000000" w:sz="4" w:space="0"/>
              <w:bottom w:val="single" w:color="000000" w:sz="4" w:space="0"/>
              <w:right w:val="single" w:color="000000" w:sz="4" w:space="0"/>
            </w:tcBorders>
          </w:tcPr>
          <w:p>
            <w:pPr>
              <w:pStyle w:val="19"/>
              <w:spacing w:before="175"/>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9"/>
              <w:spacing w:before="175"/>
              <w:ind w:left="286"/>
              <w:jc w:val="left"/>
              <w:rPr>
                <w:rFonts w:ascii="Times New Roman"/>
                <w:sz w:val="21"/>
              </w:rPr>
            </w:pPr>
            <w:r>
              <w:rPr>
                <w:rFonts w:ascii="Times New Roman"/>
                <w:sz w:val="21"/>
              </w:rPr>
              <w:t>0.08</w:t>
            </w:r>
          </w:p>
        </w:tc>
        <w:tc>
          <w:tcPr>
            <w:tcW w:w="2641" w:type="dxa"/>
            <w:tcBorders>
              <w:top w:val="single" w:color="000000" w:sz="4" w:space="0"/>
              <w:left w:val="single" w:color="000000" w:sz="4" w:space="0"/>
              <w:bottom w:val="single" w:color="000000" w:sz="4" w:space="0"/>
              <w:right w:val="single" w:color="000000" w:sz="4" w:space="0"/>
            </w:tcBorders>
          </w:tcPr>
          <w:p>
            <w:pPr>
              <w:pStyle w:val="19"/>
              <w:spacing w:before="175"/>
              <w:ind w:left="778" w:right="758"/>
              <w:rPr>
                <w:rFonts w:ascii="Times New Roman" w:hAnsi="Times New Roman"/>
                <w:sz w:val="21"/>
              </w:rPr>
            </w:pPr>
            <w:r>
              <w:rPr>
                <w:rFonts w:ascii="Times New Roman" w:hAnsi="Times New Roman"/>
                <w:sz w:val="21"/>
              </w:rPr>
              <w:t>≥95</w:t>
            </w:r>
          </w:p>
        </w:tc>
        <w:tc>
          <w:tcPr>
            <w:tcW w:w="1879" w:type="dxa"/>
            <w:tcBorders>
              <w:top w:val="single" w:color="000000" w:sz="4" w:space="0"/>
              <w:left w:val="single" w:color="000000" w:sz="4" w:space="0"/>
              <w:bottom w:val="single" w:color="000000" w:sz="4" w:space="0"/>
              <w:right w:val="single" w:color="000000" w:sz="4" w:space="0"/>
            </w:tcBorders>
          </w:tcPr>
          <w:p>
            <w:pPr>
              <w:pStyle w:val="19"/>
              <w:spacing w:before="175"/>
              <w:ind w:left="397" w:right="380"/>
              <w:rPr>
                <w:rFonts w:ascii="Times New Roman" w:hAnsi="Times New Roman"/>
                <w:sz w:val="21"/>
              </w:rPr>
            </w:pPr>
            <w:r>
              <w:rPr>
                <w:rFonts w:ascii="Times New Roman" w:hAnsi="Times New Roman"/>
                <w:sz w:val="21"/>
              </w:rPr>
              <w:t>≥90</w:t>
            </w:r>
          </w:p>
        </w:tc>
        <w:tc>
          <w:tcPr>
            <w:tcW w:w="2021" w:type="dxa"/>
            <w:tcBorders>
              <w:top w:val="single" w:color="000000" w:sz="4" w:space="0"/>
              <w:left w:val="single" w:color="000000" w:sz="4" w:space="0"/>
              <w:bottom w:val="single" w:color="000000" w:sz="4" w:space="0"/>
              <w:right w:val="single" w:color="000000" w:sz="4" w:space="0"/>
            </w:tcBorders>
          </w:tcPr>
          <w:p>
            <w:pPr>
              <w:pStyle w:val="19"/>
              <w:spacing w:before="175"/>
              <w:ind w:left="39" w:right="20"/>
              <w:rPr>
                <w:rFonts w:ascii="Times New Roman" w:hAnsi="Times New Roman"/>
                <w:sz w:val="21"/>
              </w:rPr>
            </w:pPr>
            <w:r>
              <w:rPr>
                <w:rFonts w:ascii="Times New Roman" w:hAnsi="Times New Roman"/>
                <w:sz w:val="21"/>
              </w:rPr>
              <w:t>≥85</w:t>
            </w:r>
          </w:p>
        </w:tc>
        <w:tc>
          <w:tcPr>
            <w:tcW w:w="1165" w:type="dxa"/>
            <w:tcBorders>
              <w:top w:val="single" w:color="000000" w:sz="4" w:space="0"/>
              <w:left w:val="single" w:color="000000" w:sz="4" w:space="0"/>
              <w:bottom w:val="single" w:color="000000" w:sz="4" w:space="0"/>
            </w:tcBorders>
          </w:tcPr>
          <w:p>
            <w:pPr>
              <w:pStyle w:val="19"/>
              <w:spacing w:before="175"/>
              <w:ind w:right="402"/>
              <w:jc w:val="right"/>
              <w:rPr>
                <w:rFonts w:ascii="Times New Roman" w:hAnsi="Times New Roman"/>
                <w:sz w:val="21"/>
              </w:rPr>
            </w:pPr>
            <w:r>
              <w:rPr>
                <w:rFonts w:ascii="Times New Roman" w:hAnsi="Times New Roman"/>
                <w:w w:val="95"/>
                <w:sz w:val="21"/>
              </w:rPr>
              <w:t>≥95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4" w:hRule="atLeast"/>
        </w:trPr>
        <w:tc>
          <w:tcPr>
            <w:tcW w:w="572" w:type="dxa"/>
            <w:tcBorders>
              <w:top w:val="single" w:color="000000" w:sz="4" w:space="0"/>
              <w:bottom w:val="single" w:color="000000" w:sz="4" w:space="0"/>
              <w:right w:val="single" w:color="000000" w:sz="4" w:space="0"/>
            </w:tcBorders>
          </w:tcPr>
          <w:p>
            <w:pPr>
              <w:pStyle w:val="19"/>
              <w:jc w:val="left"/>
              <w:rPr>
                <w:b/>
                <w:sz w:val="22"/>
              </w:rPr>
            </w:pPr>
          </w:p>
          <w:p>
            <w:pPr>
              <w:pStyle w:val="19"/>
              <w:spacing w:before="12"/>
              <w:jc w:val="left"/>
              <w:rPr>
                <w:b/>
                <w:sz w:val="29"/>
              </w:rPr>
            </w:pPr>
          </w:p>
          <w:p>
            <w:pPr>
              <w:pStyle w:val="19"/>
              <w:ind w:left="18"/>
              <w:rPr>
                <w:rFonts w:ascii="Times New Roman"/>
                <w:sz w:val="21"/>
              </w:rPr>
            </w:pPr>
            <w:r>
              <w:rPr>
                <w:rFonts w:ascii="Times New Roman"/>
                <w:w w:val="99"/>
                <w:sz w:val="21"/>
              </w:rPr>
              <w:t>3</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12"/>
              <w:jc w:val="left"/>
              <w:rPr>
                <w:b/>
                <w:sz w:val="17"/>
              </w:rPr>
            </w:pPr>
          </w:p>
          <w:p>
            <w:pPr>
              <w:pStyle w:val="19"/>
              <w:spacing w:line="288" w:lineRule="auto"/>
              <w:ind w:left="599" w:right="54" w:hanging="526"/>
              <w:jc w:val="left"/>
              <w:rPr>
                <w:sz w:val="21"/>
              </w:rPr>
            </w:pPr>
            <w:r>
              <w:rPr>
                <w:sz w:val="21"/>
              </w:rPr>
              <w:t>井下煤炭输送工艺及装备</w:t>
            </w:r>
          </w:p>
        </w:tc>
        <w:tc>
          <w:tcPr>
            <w:tcW w:w="835"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spacing w:before="134"/>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spacing w:before="12"/>
              <w:jc w:val="left"/>
              <w:rPr>
                <w:b/>
                <w:sz w:val="29"/>
              </w:rPr>
            </w:pPr>
          </w:p>
          <w:p>
            <w:pPr>
              <w:pStyle w:val="19"/>
              <w:ind w:left="286"/>
              <w:jc w:val="left"/>
              <w:rPr>
                <w:rFonts w:ascii="Times New Roman"/>
                <w:sz w:val="21"/>
              </w:rPr>
            </w:pPr>
            <w:r>
              <w:rPr>
                <w:rFonts w:ascii="Times New Roman"/>
                <w:sz w:val="21"/>
              </w:rPr>
              <w:t>0.04</w:t>
            </w:r>
          </w:p>
        </w:tc>
        <w:tc>
          <w:tcPr>
            <w:tcW w:w="2641" w:type="dxa"/>
            <w:tcBorders>
              <w:top w:val="single" w:color="000000" w:sz="4" w:space="0"/>
              <w:left w:val="single" w:color="000000" w:sz="4" w:space="0"/>
              <w:bottom w:val="single" w:color="000000" w:sz="4" w:space="0"/>
              <w:right w:val="single" w:color="000000" w:sz="4" w:space="0"/>
            </w:tcBorders>
          </w:tcPr>
          <w:p>
            <w:pPr>
              <w:pStyle w:val="19"/>
              <w:jc w:val="left"/>
              <w:rPr>
                <w:b/>
                <w:sz w:val="25"/>
              </w:rPr>
            </w:pPr>
          </w:p>
          <w:p>
            <w:pPr>
              <w:pStyle w:val="19"/>
              <w:spacing w:line="290" w:lineRule="auto"/>
              <w:ind w:left="8" w:right="-15"/>
              <w:jc w:val="both"/>
              <w:rPr>
                <w:sz w:val="21"/>
              </w:rPr>
            </w:pPr>
            <w:r>
              <w:rPr>
                <w:w w:val="95"/>
                <w:sz w:val="21"/>
              </w:rPr>
              <w:t>长距离井下至井口带式输送</w:t>
            </w:r>
            <w:r>
              <w:rPr>
                <w:sz w:val="21"/>
              </w:rPr>
              <w:t>机连续运输（实现集控）立井采用机车牵引矿车运输</w:t>
            </w:r>
          </w:p>
        </w:tc>
        <w:tc>
          <w:tcPr>
            <w:tcW w:w="1879" w:type="dxa"/>
            <w:tcBorders>
              <w:top w:val="single" w:color="000000" w:sz="4" w:space="0"/>
              <w:left w:val="single" w:color="000000" w:sz="4" w:space="0"/>
              <w:bottom w:val="single" w:color="000000" w:sz="4" w:space="0"/>
              <w:right w:val="single" w:color="000000" w:sz="4" w:space="0"/>
            </w:tcBorders>
          </w:tcPr>
          <w:p>
            <w:pPr>
              <w:pStyle w:val="19"/>
              <w:jc w:val="left"/>
              <w:rPr>
                <w:b/>
                <w:sz w:val="25"/>
              </w:rPr>
            </w:pPr>
          </w:p>
          <w:p>
            <w:pPr>
              <w:pStyle w:val="19"/>
              <w:spacing w:line="290" w:lineRule="auto"/>
              <w:ind w:left="9" w:right="-15"/>
              <w:jc w:val="both"/>
              <w:rPr>
                <w:sz w:val="21"/>
              </w:rPr>
            </w:pPr>
            <w:r>
              <w:rPr>
                <w:w w:val="95"/>
                <w:sz w:val="21"/>
              </w:rPr>
              <w:t>采区采用带式输送</w:t>
            </w:r>
            <w:r>
              <w:rPr>
                <w:sz w:val="21"/>
              </w:rPr>
              <w:t>机，井下大巷采用机车牵引矿车运输</w:t>
            </w:r>
          </w:p>
        </w:tc>
        <w:tc>
          <w:tcPr>
            <w:tcW w:w="2021"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12"/>
              <w:jc w:val="left"/>
              <w:rPr>
                <w:b/>
                <w:sz w:val="17"/>
              </w:rPr>
            </w:pPr>
          </w:p>
          <w:p>
            <w:pPr>
              <w:pStyle w:val="19"/>
              <w:spacing w:line="288" w:lineRule="auto"/>
              <w:ind w:left="10" w:right="-15"/>
              <w:jc w:val="left"/>
              <w:rPr>
                <w:sz w:val="21"/>
              </w:rPr>
            </w:pPr>
            <w:r>
              <w:rPr>
                <w:spacing w:val="12"/>
                <w:w w:val="95"/>
                <w:sz w:val="21"/>
              </w:rPr>
              <w:t>采用以矿车为主的运</w:t>
            </w:r>
            <w:r>
              <w:rPr>
                <w:spacing w:val="12"/>
                <w:sz w:val="21"/>
              </w:rPr>
              <w:t>输方式</w:t>
            </w:r>
          </w:p>
        </w:tc>
        <w:tc>
          <w:tcPr>
            <w:tcW w:w="1165" w:type="dxa"/>
            <w:tcBorders>
              <w:top w:val="single" w:color="000000" w:sz="4" w:space="0"/>
              <w:left w:val="single" w:color="000000" w:sz="4" w:space="0"/>
              <w:bottom w:val="single" w:color="000000" w:sz="4" w:space="0"/>
            </w:tcBorders>
          </w:tcPr>
          <w:p>
            <w:pPr>
              <w:pStyle w:val="19"/>
              <w:spacing w:line="292" w:lineRule="auto"/>
              <w:ind w:left="60" w:right="38"/>
              <w:jc w:val="both"/>
              <w:rPr>
                <w:sz w:val="21"/>
              </w:rPr>
            </w:pPr>
            <w:r>
              <w:rPr>
                <w:spacing w:val="-3"/>
                <w:sz w:val="21"/>
              </w:rPr>
              <w:t>采区采用带式输送机， 井下大巷采</w:t>
            </w:r>
            <w:r>
              <w:rPr>
                <w:spacing w:val="-3"/>
                <w:w w:val="95"/>
                <w:sz w:val="21"/>
              </w:rPr>
              <w:t>用机车牵引</w:t>
            </w:r>
          </w:p>
          <w:p>
            <w:pPr>
              <w:pStyle w:val="19"/>
              <w:spacing w:line="264" w:lineRule="exact"/>
              <w:ind w:left="163"/>
              <w:jc w:val="left"/>
              <w:rPr>
                <w:sz w:val="21"/>
              </w:rPr>
            </w:pPr>
            <w:r>
              <w:rPr>
                <w:w w:val="95"/>
                <w:sz w:val="21"/>
              </w:rPr>
              <w:t>矿车运输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4" w:hRule="atLeast"/>
        </w:trPr>
        <w:tc>
          <w:tcPr>
            <w:tcW w:w="572" w:type="dxa"/>
            <w:tcBorders>
              <w:top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spacing w:before="2"/>
              <w:jc w:val="left"/>
              <w:rPr>
                <w:b/>
                <w:sz w:val="24"/>
              </w:rPr>
            </w:pPr>
          </w:p>
          <w:p>
            <w:pPr>
              <w:pStyle w:val="19"/>
              <w:ind w:left="18"/>
              <w:rPr>
                <w:rFonts w:ascii="Times New Roman"/>
                <w:sz w:val="21"/>
              </w:rPr>
            </w:pPr>
            <w:r>
              <w:rPr>
                <w:rFonts w:ascii="Times New Roman"/>
                <w:w w:val="99"/>
                <w:sz w:val="21"/>
              </w:rPr>
              <w:t>4</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spacing w:before="11"/>
              <w:jc w:val="left"/>
              <w:rPr>
                <w:b/>
                <w:sz w:val="28"/>
              </w:rPr>
            </w:pPr>
          </w:p>
          <w:p>
            <w:pPr>
              <w:pStyle w:val="19"/>
              <w:ind w:left="282"/>
              <w:jc w:val="left"/>
              <w:rPr>
                <w:sz w:val="21"/>
              </w:rPr>
            </w:pPr>
            <w:r>
              <w:rPr>
                <w:sz w:val="21"/>
              </w:rPr>
              <w:t>井巷支护工艺</w:t>
            </w:r>
          </w:p>
        </w:tc>
        <w:tc>
          <w:tcPr>
            <w:tcW w:w="835"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spacing w:before="11"/>
              <w:jc w:val="left"/>
              <w:rPr>
                <w:b/>
                <w:sz w:val="28"/>
              </w:rPr>
            </w:pPr>
          </w:p>
          <w:p>
            <w:pPr>
              <w:pStyle w:val="19"/>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spacing w:before="2"/>
              <w:jc w:val="left"/>
              <w:rPr>
                <w:b/>
                <w:sz w:val="24"/>
              </w:rPr>
            </w:pPr>
          </w:p>
          <w:p>
            <w:pPr>
              <w:pStyle w:val="19"/>
              <w:ind w:left="286"/>
              <w:jc w:val="left"/>
              <w:rPr>
                <w:rFonts w:ascii="Times New Roman"/>
                <w:sz w:val="21"/>
              </w:rPr>
            </w:pPr>
            <w:r>
              <w:rPr>
                <w:rFonts w:ascii="Times New Roman"/>
                <w:sz w:val="21"/>
              </w:rPr>
              <w:t>0.04</w:t>
            </w:r>
          </w:p>
        </w:tc>
        <w:tc>
          <w:tcPr>
            <w:tcW w:w="2641"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9"/>
              <w:jc w:val="left"/>
              <w:rPr>
                <w:b/>
                <w:sz w:val="17"/>
              </w:rPr>
            </w:pPr>
          </w:p>
          <w:p>
            <w:pPr>
              <w:pStyle w:val="19"/>
              <w:spacing w:line="292" w:lineRule="auto"/>
              <w:ind w:left="8" w:right="-15"/>
              <w:jc w:val="both"/>
              <w:rPr>
                <w:sz w:val="21"/>
              </w:rPr>
            </w:pPr>
            <w:r>
              <w:rPr>
                <w:spacing w:val="-10"/>
                <w:sz w:val="21"/>
              </w:rPr>
              <w:t>井筒岩巷光爆锚喷、锚杆、锚</w:t>
            </w:r>
            <w:r>
              <w:rPr>
                <w:spacing w:val="-15"/>
                <w:sz w:val="21"/>
              </w:rPr>
              <w:t>索等支护技术，煤巷采用锚网喷或锚网、锚索支护；斜井明</w:t>
            </w:r>
            <w:r>
              <w:rPr>
                <w:spacing w:val="8"/>
                <w:w w:val="95"/>
                <w:sz w:val="21"/>
              </w:rPr>
              <w:t>槽开挖段及立井井筒采用砌</w:t>
            </w:r>
            <w:r>
              <w:rPr>
                <w:spacing w:val="8"/>
                <w:sz w:val="21"/>
              </w:rPr>
              <w:t>壁支护</w:t>
            </w:r>
          </w:p>
        </w:tc>
        <w:tc>
          <w:tcPr>
            <w:tcW w:w="3900" w:type="dxa"/>
            <w:gridSpan w:val="2"/>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spacing w:before="134" w:line="292" w:lineRule="auto"/>
              <w:ind w:left="9" w:right="-15"/>
              <w:jc w:val="both"/>
              <w:rPr>
                <w:sz w:val="21"/>
              </w:rPr>
            </w:pPr>
            <w:r>
              <w:rPr>
                <w:spacing w:val="6"/>
                <w:w w:val="95"/>
                <w:sz w:val="21"/>
              </w:rPr>
              <w:t>大部分井筒岩巷和大巷采用光爆锚喷、锚</w:t>
            </w:r>
            <w:r>
              <w:rPr>
                <w:spacing w:val="-11"/>
                <w:w w:val="95"/>
                <w:sz w:val="21"/>
              </w:rPr>
              <w:t>杆、锚索等支护技术，部分井筒及大巷采用</w:t>
            </w:r>
            <w:r>
              <w:rPr>
                <w:spacing w:val="-13"/>
                <w:sz w:val="21"/>
              </w:rPr>
              <w:t>砌壁支护。采区巷道采用锚杆、锚索、网喷支护或金属棚支护。</w:t>
            </w:r>
          </w:p>
        </w:tc>
        <w:tc>
          <w:tcPr>
            <w:tcW w:w="1165" w:type="dxa"/>
            <w:tcBorders>
              <w:top w:val="single" w:color="000000" w:sz="4" w:space="0"/>
              <w:left w:val="single" w:color="000000" w:sz="4" w:space="0"/>
              <w:bottom w:val="single" w:color="000000" w:sz="4" w:space="0"/>
            </w:tcBorders>
          </w:tcPr>
          <w:p>
            <w:pPr>
              <w:pStyle w:val="19"/>
              <w:spacing w:line="290" w:lineRule="auto"/>
              <w:ind w:left="60" w:right="38"/>
              <w:jc w:val="both"/>
              <w:rPr>
                <w:sz w:val="21"/>
              </w:rPr>
            </w:pPr>
            <w:r>
              <w:rPr>
                <w:spacing w:val="-3"/>
                <w:sz w:val="21"/>
              </w:rPr>
              <w:t>井筒岩巷和大巷采用光爆锚喷、锚杆、锚索等支护技术， 部分井筒及</w:t>
            </w:r>
            <w:r>
              <w:rPr>
                <w:spacing w:val="-3"/>
                <w:w w:val="95"/>
                <w:sz w:val="21"/>
              </w:rPr>
              <w:t>大巷采用砌</w:t>
            </w:r>
          </w:p>
          <w:p>
            <w:pPr>
              <w:pStyle w:val="19"/>
              <w:spacing w:before="2"/>
              <w:ind w:left="163"/>
              <w:jc w:val="left"/>
              <w:rPr>
                <w:sz w:val="21"/>
              </w:rPr>
            </w:pPr>
            <w:r>
              <w:rPr>
                <w:w w:val="95"/>
                <w:sz w:val="21"/>
              </w:rPr>
              <w:t>壁支护。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7" w:hRule="atLeast"/>
        </w:trPr>
        <w:tc>
          <w:tcPr>
            <w:tcW w:w="572" w:type="dxa"/>
            <w:tcBorders>
              <w:top w:val="single" w:color="000000" w:sz="4" w:space="0"/>
              <w:bottom w:val="single" w:color="000000" w:sz="4" w:space="0"/>
              <w:right w:val="single" w:color="000000" w:sz="4" w:space="0"/>
            </w:tcBorders>
          </w:tcPr>
          <w:p>
            <w:pPr>
              <w:pStyle w:val="19"/>
              <w:jc w:val="left"/>
              <w:rPr>
                <w:b/>
                <w:sz w:val="22"/>
              </w:rPr>
            </w:pPr>
          </w:p>
          <w:p>
            <w:pPr>
              <w:pStyle w:val="19"/>
              <w:spacing w:before="4"/>
              <w:jc w:val="left"/>
              <w:rPr>
                <w:b/>
                <w:sz w:val="17"/>
              </w:rPr>
            </w:pPr>
          </w:p>
          <w:p>
            <w:pPr>
              <w:pStyle w:val="19"/>
              <w:ind w:left="18"/>
              <w:rPr>
                <w:rFonts w:ascii="Times New Roman"/>
                <w:sz w:val="21"/>
              </w:rPr>
            </w:pPr>
            <w:r>
              <w:rPr>
                <w:rFonts w:ascii="Times New Roman"/>
                <w:w w:val="99"/>
                <w:sz w:val="21"/>
              </w:rPr>
              <w:t>5</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11"/>
              <w:jc w:val="left"/>
              <w:rPr>
                <w:b/>
                <w:sz w:val="17"/>
              </w:rPr>
            </w:pPr>
          </w:p>
          <w:p>
            <w:pPr>
              <w:pStyle w:val="19"/>
              <w:ind w:right="119"/>
              <w:jc w:val="right"/>
              <w:rPr>
                <w:sz w:val="21"/>
              </w:rPr>
            </w:pPr>
            <w:r>
              <w:rPr>
                <w:w w:val="95"/>
                <w:sz w:val="21"/>
              </w:rPr>
              <w:t>采空区处理（防灾</w:t>
            </w:r>
          </w:p>
        </w:tc>
        <w:tc>
          <w:tcPr>
            <w:tcW w:w="835"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11"/>
              <w:jc w:val="left"/>
              <w:rPr>
                <w:b/>
                <w:sz w:val="17"/>
              </w:rPr>
            </w:pPr>
          </w:p>
          <w:p>
            <w:pPr>
              <w:pStyle w:val="19"/>
              <w:tabs>
                <w:tab w:val="left" w:pos="317"/>
              </w:tabs>
              <w:ind w:left="-130"/>
              <w:jc w:val="left"/>
              <w:rPr>
                <w:sz w:val="21"/>
              </w:rPr>
            </w:pPr>
            <w:r>
              <w:rPr>
                <w:sz w:val="21"/>
              </w:rPr>
              <w:t>）</w:t>
            </w:r>
            <w:r>
              <w:rPr>
                <w:sz w:val="21"/>
              </w:rPr>
              <w:tab/>
            </w:r>
            <w:r>
              <w:rPr>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spacing w:before="4"/>
              <w:jc w:val="left"/>
              <w:rPr>
                <w:b/>
                <w:sz w:val="17"/>
              </w:rPr>
            </w:pPr>
          </w:p>
          <w:p>
            <w:pPr>
              <w:pStyle w:val="19"/>
              <w:ind w:left="286"/>
              <w:jc w:val="left"/>
              <w:rPr>
                <w:rFonts w:ascii="Times New Roman"/>
                <w:sz w:val="21"/>
              </w:rPr>
            </w:pPr>
            <w:r>
              <w:rPr>
                <w:rFonts w:ascii="Times New Roman"/>
                <w:sz w:val="21"/>
              </w:rPr>
              <w:t>0.08</w:t>
            </w:r>
          </w:p>
        </w:tc>
        <w:tc>
          <w:tcPr>
            <w:tcW w:w="2641" w:type="dxa"/>
            <w:tcBorders>
              <w:top w:val="single" w:color="000000" w:sz="4" w:space="0"/>
              <w:left w:val="single" w:color="000000" w:sz="4" w:space="0"/>
              <w:bottom w:val="single" w:color="000000" w:sz="4" w:space="0"/>
              <w:right w:val="single" w:color="000000" w:sz="4" w:space="0"/>
            </w:tcBorders>
          </w:tcPr>
          <w:p>
            <w:pPr>
              <w:pStyle w:val="19"/>
              <w:spacing w:line="290" w:lineRule="auto"/>
              <w:ind w:left="8" w:right="-15"/>
              <w:jc w:val="both"/>
              <w:rPr>
                <w:sz w:val="21"/>
              </w:rPr>
            </w:pPr>
            <w:r>
              <w:rPr>
                <w:spacing w:val="8"/>
                <w:w w:val="95"/>
                <w:sz w:val="21"/>
              </w:rPr>
              <w:t>对于重要的含水层通过充填开采或离层注浆等措施进行</w:t>
            </w:r>
            <w:r>
              <w:rPr>
                <w:spacing w:val="-16"/>
                <w:sz w:val="21"/>
              </w:rPr>
              <w:t>保护，并取得较好效果的。</w:t>
            </w:r>
            <w:r>
              <w:rPr>
                <w:rFonts w:ascii="Times New Roman" w:eastAsia="Times New Roman"/>
                <w:sz w:val="21"/>
              </w:rPr>
              <w:t>(</w:t>
            </w:r>
            <w:r>
              <w:rPr>
                <w:sz w:val="21"/>
              </w:rPr>
              <w:t>防</w:t>
            </w:r>
          </w:p>
          <w:p>
            <w:pPr>
              <w:pStyle w:val="19"/>
              <w:ind w:left="8"/>
              <w:jc w:val="left"/>
              <w:rPr>
                <w:rFonts w:ascii="Times New Roman" w:eastAsia="Times New Roman"/>
                <w:sz w:val="21"/>
              </w:rPr>
            </w:pPr>
            <w:r>
              <w:rPr>
                <w:sz w:val="21"/>
              </w:rPr>
              <w:t>火、冲击地压</w:t>
            </w:r>
            <w:r>
              <w:rPr>
                <w:rFonts w:ascii="Times New Roman" w:eastAsia="Times New Roman"/>
                <w:sz w:val="21"/>
              </w:rPr>
              <w:t>)</w:t>
            </w:r>
          </w:p>
        </w:tc>
        <w:tc>
          <w:tcPr>
            <w:tcW w:w="3900" w:type="dxa"/>
            <w:gridSpan w:val="2"/>
            <w:tcBorders>
              <w:top w:val="single" w:color="000000" w:sz="4" w:space="0"/>
              <w:left w:val="single" w:color="000000" w:sz="4" w:space="0"/>
              <w:bottom w:val="single" w:color="000000" w:sz="4" w:space="0"/>
              <w:right w:val="single" w:color="000000" w:sz="4" w:space="0"/>
            </w:tcBorders>
          </w:tcPr>
          <w:p>
            <w:pPr>
              <w:pStyle w:val="19"/>
              <w:spacing w:before="159" w:line="290" w:lineRule="auto"/>
              <w:ind w:left="9" w:right="-15"/>
              <w:jc w:val="left"/>
              <w:rPr>
                <w:sz w:val="21"/>
              </w:rPr>
            </w:pPr>
            <w:r>
              <w:rPr>
                <w:spacing w:val="-9"/>
                <w:w w:val="95"/>
                <w:sz w:val="21"/>
              </w:rPr>
              <w:t>顶板垮落法管理采空区，对于重要的含水层</w:t>
            </w:r>
            <w:r>
              <w:rPr>
                <w:spacing w:val="-9"/>
                <w:sz w:val="21"/>
              </w:rPr>
              <w:t>通过充填开采或离层注浆等措施进行保护并取得一般效果的。</w:t>
            </w:r>
          </w:p>
        </w:tc>
        <w:tc>
          <w:tcPr>
            <w:tcW w:w="1165" w:type="dxa"/>
            <w:tcBorders>
              <w:top w:val="single" w:color="000000" w:sz="4" w:space="0"/>
              <w:left w:val="single" w:color="000000" w:sz="4" w:space="0"/>
              <w:bottom w:val="single" w:color="000000" w:sz="4" w:space="0"/>
            </w:tcBorders>
          </w:tcPr>
          <w:p>
            <w:pPr>
              <w:pStyle w:val="19"/>
              <w:spacing w:before="1"/>
              <w:jc w:val="left"/>
              <w:rPr>
                <w:b/>
                <w:sz w:val="25"/>
              </w:rPr>
            </w:pPr>
          </w:p>
          <w:p>
            <w:pPr>
              <w:pStyle w:val="19"/>
              <w:spacing w:before="1" w:line="216" w:lineRule="exact"/>
              <w:ind w:left="60"/>
              <w:jc w:val="left"/>
              <w:rPr>
                <w:sz w:val="21"/>
              </w:rPr>
            </w:pPr>
            <w:r>
              <w:rPr>
                <w:w w:val="95"/>
                <w:sz w:val="21"/>
              </w:rPr>
              <w:t>顶板垮落法</w:t>
            </w:r>
          </w:p>
          <w:p>
            <w:pPr>
              <w:pStyle w:val="19"/>
              <w:spacing w:line="163" w:lineRule="exact"/>
              <w:ind w:left="-111"/>
              <w:jc w:val="left"/>
              <w:rPr>
                <w:sz w:val="21"/>
              </w:rPr>
            </w:pPr>
            <w:r>
              <w:rPr>
                <w:w w:val="99"/>
                <w:sz w:val="21"/>
              </w:rPr>
              <w:t>，</w:t>
            </w:r>
          </w:p>
          <w:p>
            <w:pPr>
              <w:pStyle w:val="19"/>
              <w:spacing w:line="216" w:lineRule="exact"/>
              <w:ind w:left="60"/>
              <w:jc w:val="left"/>
              <w:rPr>
                <w:sz w:val="21"/>
              </w:rPr>
            </w:pPr>
            <w:r>
              <w:rPr>
                <w:w w:val="95"/>
                <w:sz w:val="21"/>
              </w:rPr>
              <w:t>管理采空区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2" w:hRule="atLeast"/>
        </w:trPr>
        <w:tc>
          <w:tcPr>
            <w:tcW w:w="572" w:type="dxa"/>
            <w:tcBorders>
              <w:top w:val="single" w:color="000000" w:sz="4" w:space="0"/>
              <w:right w:val="single" w:color="000000" w:sz="4" w:space="0"/>
            </w:tcBorders>
          </w:tcPr>
          <w:p>
            <w:pPr>
              <w:pStyle w:val="19"/>
              <w:spacing w:before="5"/>
              <w:jc w:val="left"/>
              <w:rPr>
                <w:b/>
                <w:sz w:val="26"/>
              </w:rPr>
            </w:pPr>
          </w:p>
          <w:p>
            <w:pPr>
              <w:pStyle w:val="19"/>
              <w:ind w:left="18"/>
              <w:rPr>
                <w:rFonts w:ascii="Times New Roman"/>
                <w:sz w:val="21"/>
              </w:rPr>
            </w:pPr>
            <w:r>
              <w:rPr>
                <w:rFonts w:ascii="Times New Roman"/>
                <w:w w:val="99"/>
                <w:sz w:val="21"/>
              </w:rPr>
              <w:t>6</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right w:val="single" w:color="000000" w:sz="4" w:space="0"/>
            </w:tcBorders>
          </w:tcPr>
          <w:p>
            <w:pPr>
              <w:pStyle w:val="19"/>
              <w:spacing w:before="158" w:line="290" w:lineRule="auto"/>
              <w:ind w:left="808" w:right="54" w:hanging="735"/>
              <w:jc w:val="left"/>
              <w:rPr>
                <w:sz w:val="21"/>
              </w:rPr>
            </w:pPr>
            <w:r>
              <w:rPr>
                <w:sz w:val="21"/>
              </w:rPr>
              <w:t>贮煤设施工艺及装备</w:t>
            </w:r>
          </w:p>
        </w:tc>
        <w:tc>
          <w:tcPr>
            <w:tcW w:w="835" w:type="dxa"/>
            <w:tcBorders>
              <w:top w:val="single" w:color="000000" w:sz="4" w:space="0"/>
              <w:left w:val="single" w:color="000000" w:sz="4" w:space="0"/>
              <w:right w:val="single" w:color="000000" w:sz="4" w:space="0"/>
            </w:tcBorders>
          </w:tcPr>
          <w:p>
            <w:pPr>
              <w:pStyle w:val="19"/>
              <w:spacing w:before="1"/>
              <w:jc w:val="left"/>
              <w:rPr>
                <w:b/>
                <w:sz w:val="25"/>
              </w:rPr>
            </w:pPr>
          </w:p>
          <w:p>
            <w:pPr>
              <w:pStyle w:val="19"/>
              <w:ind w:left="18"/>
              <w:rPr>
                <w:sz w:val="21"/>
              </w:rPr>
            </w:pPr>
            <w:r>
              <w:rPr>
                <w:w w:val="99"/>
                <w:sz w:val="21"/>
              </w:rPr>
              <w:t>━</w:t>
            </w:r>
          </w:p>
        </w:tc>
        <w:tc>
          <w:tcPr>
            <w:tcW w:w="933" w:type="dxa"/>
            <w:tcBorders>
              <w:top w:val="single" w:color="000000" w:sz="4" w:space="0"/>
              <w:left w:val="single" w:color="000000" w:sz="4" w:space="0"/>
              <w:right w:val="single" w:color="000000" w:sz="4" w:space="0"/>
            </w:tcBorders>
          </w:tcPr>
          <w:p>
            <w:pPr>
              <w:pStyle w:val="19"/>
              <w:spacing w:before="5"/>
              <w:jc w:val="left"/>
              <w:rPr>
                <w:b/>
                <w:sz w:val="26"/>
              </w:rPr>
            </w:pPr>
          </w:p>
          <w:p>
            <w:pPr>
              <w:pStyle w:val="19"/>
              <w:ind w:left="286"/>
              <w:jc w:val="left"/>
              <w:rPr>
                <w:rFonts w:ascii="Times New Roman"/>
                <w:sz w:val="21"/>
              </w:rPr>
            </w:pPr>
            <w:r>
              <w:rPr>
                <w:rFonts w:ascii="Times New Roman"/>
                <w:sz w:val="21"/>
              </w:rPr>
              <w:t>0.08</w:t>
            </w:r>
          </w:p>
        </w:tc>
        <w:tc>
          <w:tcPr>
            <w:tcW w:w="2641" w:type="dxa"/>
            <w:tcBorders>
              <w:top w:val="single" w:color="000000" w:sz="4" w:space="0"/>
              <w:left w:val="single" w:color="000000" w:sz="4" w:space="0"/>
              <w:right w:val="single" w:color="000000" w:sz="4" w:space="0"/>
            </w:tcBorders>
          </w:tcPr>
          <w:p>
            <w:pPr>
              <w:pStyle w:val="19"/>
              <w:spacing w:before="158" w:line="290" w:lineRule="auto"/>
              <w:ind w:left="8" w:right="-15"/>
              <w:jc w:val="left"/>
              <w:rPr>
                <w:sz w:val="21"/>
              </w:rPr>
            </w:pPr>
            <w:r>
              <w:rPr>
                <w:spacing w:val="8"/>
                <w:w w:val="95"/>
                <w:sz w:val="21"/>
              </w:rPr>
              <w:t>原煤进筒仓或全封闭的贮煤</w:t>
            </w:r>
            <w:r>
              <w:rPr>
                <w:spacing w:val="8"/>
                <w:sz w:val="21"/>
              </w:rPr>
              <w:t>场</w:t>
            </w:r>
          </w:p>
        </w:tc>
        <w:tc>
          <w:tcPr>
            <w:tcW w:w="3900" w:type="dxa"/>
            <w:gridSpan w:val="2"/>
            <w:tcBorders>
              <w:top w:val="single" w:color="000000" w:sz="4" w:space="0"/>
              <w:left w:val="single" w:color="000000" w:sz="4" w:space="0"/>
              <w:right w:val="single" w:color="000000" w:sz="4" w:space="0"/>
            </w:tcBorders>
          </w:tcPr>
          <w:p>
            <w:pPr>
              <w:pStyle w:val="19"/>
              <w:spacing w:before="158" w:line="290" w:lineRule="auto"/>
              <w:ind w:left="9" w:right="100"/>
              <w:jc w:val="left"/>
              <w:rPr>
                <w:sz w:val="21"/>
              </w:rPr>
            </w:pPr>
            <w:r>
              <w:rPr>
                <w:w w:val="95"/>
                <w:sz w:val="21"/>
              </w:rPr>
              <w:t>储煤场设有挡风抑尘措施和洒水喷淋装置</w:t>
            </w:r>
            <w:r>
              <w:rPr>
                <w:sz w:val="21"/>
              </w:rPr>
              <w:t>上层有棚顶或苫盖</w:t>
            </w:r>
          </w:p>
        </w:tc>
        <w:tc>
          <w:tcPr>
            <w:tcW w:w="1165" w:type="dxa"/>
            <w:tcBorders>
              <w:top w:val="single" w:color="000000" w:sz="4" w:space="0"/>
              <w:left w:val="single" w:color="000000" w:sz="4" w:space="0"/>
            </w:tcBorders>
          </w:tcPr>
          <w:p>
            <w:pPr>
              <w:pStyle w:val="19"/>
              <w:spacing w:line="212" w:lineRule="exact"/>
              <w:ind w:left="60"/>
              <w:jc w:val="left"/>
              <w:rPr>
                <w:sz w:val="21"/>
              </w:rPr>
            </w:pPr>
            <w:r>
              <w:rPr>
                <w:w w:val="95"/>
                <w:sz w:val="21"/>
              </w:rPr>
              <w:t>储煤场设有</w:t>
            </w:r>
          </w:p>
          <w:p>
            <w:pPr>
              <w:pStyle w:val="19"/>
              <w:spacing w:line="163" w:lineRule="exact"/>
              <w:ind w:left="-111"/>
              <w:jc w:val="left"/>
              <w:rPr>
                <w:sz w:val="21"/>
              </w:rPr>
            </w:pPr>
            <w:r>
              <w:rPr>
                <w:w w:val="99"/>
                <w:sz w:val="21"/>
              </w:rPr>
              <w:t>，</w:t>
            </w:r>
          </w:p>
          <w:p>
            <w:pPr>
              <w:pStyle w:val="19"/>
              <w:spacing w:line="216" w:lineRule="exact"/>
              <w:ind w:left="60"/>
              <w:jc w:val="left"/>
              <w:rPr>
                <w:sz w:val="21"/>
              </w:rPr>
            </w:pPr>
            <w:r>
              <w:rPr>
                <w:w w:val="95"/>
                <w:sz w:val="21"/>
              </w:rPr>
              <w:t>挡风抑尘措</w:t>
            </w:r>
          </w:p>
          <w:p>
            <w:pPr>
              <w:pStyle w:val="19"/>
              <w:spacing w:before="57"/>
              <w:ind w:left="60"/>
              <w:jc w:val="left"/>
              <w:rPr>
                <w:sz w:val="21"/>
              </w:rPr>
            </w:pPr>
            <w:r>
              <w:rPr>
                <w:w w:val="95"/>
                <w:sz w:val="21"/>
              </w:rPr>
              <w:t>施和洒水喷</w:t>
            </w:r>
          </w:p>
        </w:tc>
      </w:tr>
    </w:tbl>
    <w:p>
      <w:pPr>
        <w:spacing w:after="0"/>
        <w:jc w:val="left"/>
        <w:rPr>
          <w:sz w:val="21"/>
        </w:rPr>
        <w:sectPr>
          <w:footerReference r:id="rId28" w:type="default"/>
          <w:pgSz w:w="16840" w:h="11910" w:orient="landscape"/>
          <w:pgMar w:top="1100" w:right="1280" w:bottom="800" w:left="1280" w:header="0" w:footer="601" w:gutter="0"/>
          <w:pgNumType w:start="186"/>
        </w:sectPr>
      </w:pPr>
    </w:p>
    <w:p>
      <w:pPr>
        <w:pStyle w:val="9"/>
        <w:spacing w:before="1"/>
        <w:rPr>
          <w:rFonts w:ascii="Times New Roman"/>
          <w:sz w:val="27"/>
        </w:rPr>
      </w:pPr>
    </w:p>
    <w:tbl>
      <w:tblPr>
        <w:tblStyle w:val="15"/>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750"/>
        <w:gridCol w:w="106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9"/>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9"/>
              <w:spacing w:before="2"/>
              <w:ind w:left="16"/>
              <w:rPr>
                <w:sz w:val="21"/>
              </w:rPr>
            </w:pPr>
            <w:r>
              <w:rPr>
                <w:sz w:val="21"/>
              </w:rPr>
              <w:t>一级指标指</w:t>
            </w:r>
          </w:p>
          <w:p>
            <w:pPr>
              <w:pStyle w:val="19"/>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9"/>
              <w:spacing w:before="2"/>
              <w:ind w:left="13" w:right="-15"/>
              <w:rPr>
                <w:sz w:val="21"/>
              </w:rPr>
            </w:pPr>
            <w:r>
              <w:rPr>
                <w:sz w:val="21"/>
              </w:rPr>
              <w:t>一级指标权</w:t>
            </w:r>
          </w:p>
          <w:p>
            <w:pPr>
              <w:pStyle w:val="19"/>
              <w:spacing w:before="55"/>
              <w:ind w:left="306" w:right="290"/>
              <w:rPr>
                <w:sz w:val="21"/>
              </w:rPr>
            </w:pPr>
            <w:r>
              <w:rPr>
                <w:sz w:val="21"/>
              </w:rPr>
              <w:t>重值</w:t>
            </w:r>
          </w:p>
        </w:tc>
        <w:tc>
          <w:tcPr>
            <w:tcW w:w="1818" w:type="dxa"/>
            <w:gridSpan w:val="2"/>
            <w:tcBorders>
              <w:left w:val="single" w:color="000000" w:sz="4" w:space="0"/>
              <w:bottom w:val="single" w:color="000000" w:sz="4" w:space="0"/>
              <w:right w:val="single" w:color="000000" w:sz="4" w:space="0"/>
            </w:tcBorders>
          </w:tcPr>
          <w:p>
            <w:pPr>
              <w:pStyle w:val="19"/>
              <w:spacing w:before="165"/>
              <w:ind w:left="179"/>
              <w:jc w:val="left"/>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9"/>
              <w:spacing w:before="165"/>
              <w:ind w:left="190" w:right="174"/>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9"/>
              <w:spacing w:before="2"/>
              <w:ind w:left="51"/>
              <w:jc w:val="left"/>
              <w:rPr>
                <w:sz w:val="21"/>
              </w:rPr>
            </w:pPr>
            <w:r>
              <w:rPr>
                <w:w w:val="95"/>
                <w:sz w:val="21"/>
              </w:rPr>
              <w:t>二级指标</w:t>
            </w:r>
          </w:p>
          <w:p>
            <w:pPr>
              <w:pStyle w:val="19"/>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9"/>
              <w:spacing w:before="165"/>
              <w:ind w:left="800"/>
              <w:jc w:val="left"/>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9"/>
              <w:spacing w:before="165"/>
              <w:ind w:left="417"/>
              <w:jc w:val="left"/>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9"/>
              <w:spacing w:before="165"/>
              <w:ind w:left="35" w:right="20"/>
              <w:rPr>
                <w:sz w:val="21"/>
              </w:rPr>
            </w:pPr>
            <w:r>
              <w:rPr>
                <w:sz w:val="21"/>
              </w:rPr>
              <w:t>Ⅲ级基准值</w:t>
            </w:r>
          </w:p>
        </w:tc>
        <w:tc>
          <w:tcPr>
            <w:tcW w:w="1165" w:type="dxa"/>
            <w:tcBorders>
              <w:left w:val="single" w:color="000000" w:sz="4" w:space="0"/>
              <w:bottom w:val="single" w:color="000000" w:sz="4" w:space="0"/>
            </w:tcBorders>
          </w:tcPr>
          <w:p>
            <w:pPr>
              <w:pStyle w:val="19"/>
              <w:spacing w:before="2"/>
              <w:ind w:left="24" w:right="5"/>
              <w:rPr>
                <w:sz w:val="21"/>
              </w:rPr>
            </w:pPr>
            <w:r>
              <w:rPr>
                <w:sz w:val="21"/>
              </w:rPr>
              <w:t>本煤矿扩建</w:t>
            </w:r>
          </w:p>
          <w:p>
            <w:pPr>
              <w:pStyle w:val="19"/>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8" w:hRule="atLeast"/>
        </w:trPr>
        <w:tc>
          <w:tcPr>
            <w:tcW w:w="572" w:type="dxa"/>
            <w:vMerge w:val="restart"/>
            <w:tcBorders>
              <w:top w:val="single" w:color="000000" w:sz="4" w:space="0"/>
              <w:bottom w:val="single" w:color="000000" w:sz="4" w:space="0"/>
              <w:right w:val="single" w:color="000000" w:sz="4" w:space="0"/>
            </w:tcBorders>
          </w:tcPr>
          <w:p>
            <w:pPr>
              <w:pStyle w:val="19"/>
              <w:jc w:val="left"/>
              <w:rPr>
                <w:rFonts w:ascii="Times New Roman"/>
                <w:sz w:val="20"/>
              </w:rPr>
            </w:pPr>
          </w:p>
        </w:tc>
        <w:tc>
          <w:tcPr>
            <w:tcW w:w="1090" w:type="dxa"/>
            <w:vMerge w:val="restart"/>
            <w:tcBorders>
              <w:top w:val="single" w:color="000000" w:sz="4" w:space="0"/>
              <w:left w:val="single" w:color="000000" w:sz="4" w:space="0"/>
              <w:right w:val="single" w:color="000000" w:sz="4" w:space="0"/>
            </w:tcBorders>
          </w:tcPr>
          <w:p>
            <w:pPr>
              <w:pStyle w:val="19"/>
              <w:jc w:val="left"/>
              <w:rPr>
                <w:rFonts w:ascii="Times New Roman"/>
                <w:sz w:val="20"/>
              </w:rPr>
            </w:pPr>
          </w:p>
        </w:tc>
        <w:tc>
          <w:tcPr>
            <w:tcW w:w="1068" w:type="dxa"/>
            <w:vMerge w:val="restart"/>
            <w:tcBorders>
              <w:top w:val="single" w:color="000000" w:sz="4" w:space="0"/>
              <w:left w:val="single" w:color="000000" w:sz="4" w:space="0"/>
              <w:right w:val="single" w:color="000000" w:sz="4" w:space="0"/>
            </w:tcBorders>
          </w:tcPr>
          <w:p>
            <w:pPr>
              <w:pStyle w:val="19"/>
              <w:jc w:val="left"/>
              <w:rPr>
                <w:rFonts w:ascii="Times New Roman"/>
                <w:sz w:val="20"/>
              </w:rPr>
            </w:pPr>
          </w:p>
        </w:tc>
        <w:tc>
          <w:tcPr>
            <w:tcW w:w="1818" w:type="dxa"/>
            <w:gridSpan w:val="2"/>
            <w:vMerge w:val="restart"/>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835" w:type="dxa"/>
            <w:vMerge w:val="restart"/>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933" w:type="dxa"/>
            <w:vMerge w:val="restart"/>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2641" w:type="dxa"/>
            <w:vMerge w:val="restart"/>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3900" w:type="dxa"/>
            <w:gridSpan w:val="2"/>
            <w:vMerge w:val="restart"/>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165" w:type="dxa"/>
            <w:tcBorders>
              <w:top w:val="single" w:color="000000" w:sz="4" w:space="0"/>
              <w:left w:val="single" w:color="000000" w:sz="4" w:space="0"/>
              <w:bottom w:val="nil"/>
            </w:tcBorders>
          </w:tcPr>
          <w:p>
            <w:pPr>
              <w:pStyle w:val="19"/>
              <w:spacing w:line="268" w:lineRule="exact"/>
              <w:ind w:left="24" w:right="5"/>
              <w:rPr>
                <w:sz w:val="21"/>
              </w:rPr>
            </w:pPr>
            <w:r>
              <w:rPr>
                <w:sz w:val="21"/>
              </w:rPr>
              <w:t>淋装置，上</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572" w:type="dxa"/>
            <w:vMerge w:val="continue"/>
            <w:tcBorders>
              <w:top w:val="nil"/>
              <w:bottom w:val="single" w:color="000000" w:sz="4" w:space="0"/>
              <w:right w:val="single" w:color="000000" w:sz="4" w:space="0"/>
            </w:tcBorders>
          </w:tcPr>
          <w:p>
            <w:pPr>
              <w:rPr>
                <w:sz w:val="2"/>
                <w:szCs w:val="2"/>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835" w:type="dxa"/>
            <w:vMerge w:val="continue"/>
            <w:tcBorders>
              <w:top w:val="nil"/>
              <w:left w:val="single" w:color="000000" w:sz="4" w:space="0"/>
              <w:bottom w:val="single" w:color="000000" w:sz="4" w:space="0"/>
              <w:right w:val="single" w:color="000000" w:sz="4" w:space="0"/>
            </w:tcBorders>
          </w:tcPr>
          <w:p>
            <w:pPr>
              <w:rPr>
                <w:sz w:val="2"/>
                <w:szCs w:val="2"/>
              </w:rPr>
            </w:pPr>
          </w:p>
        </w:tc>
        <w:tc>
          <w:tcPr>
            <w:tcW w:w="933" w:type="dxa"/>
            <w:vMerge w:val="continue"/>
            <w:tcBorders>
              <w:top w:val="nil"/>
              <w:left w:val="single" w:color="000000" w:sz="4" w:space="0"/>
              <w:bottom w:val="single" w:color="000000" w:sz="4" w:space="0"/>
              <w:right w:val="single" w:color="000000" w:sz="4" w:space="0"/>
            </w:tcBorders>
          </w:tcPr>
          <w:p>
            <w:pPr>
              <w:rPr>
                <w:sz w:val="2"/>
                <w:szCs w:val="2"/>
              </w:rPr>
            </w:pPr>
          </w:p>
        </w:tc>
        <w:tc>
          <w:tcPr>
            <w:tcW w:w="2641" w:type="dxa"/>
            <w:vMerge w:val="continue"/>
            <w:tcBorders>
              <w:top w:val="nil"/>
              <w:left w:val="single" w:color="000000" w:sz="4" w:space="0"/>
              <w:bottom w:val="single" w:color="000000" w:sz="4" w:space="0"/>
              <w:right w:val="single" w:color="000000" w:sz="4" w:space="0"/>
            </w:tcBorders>
          </w:tcPr>
          <w:p>
            <w:pPr>
              <w:rPr>
                <w:sz w:val="2"/>
                <w:szCs w:val="2"/>
              </w:rPr>
            </w:pPr>
          </w:p>
        </w:tc>
        <w:tc>
          <w:tcPr>
            <w:tcW w:w="390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165" w:type="dxa"/>
            <w:tcBorders>
              <w:top w:val="nil"/>
              <w:left w:val="single" w:color="000000" w:sz="4" w:space="0"/>
              <w:bottom w:val="nil"/>
            </w:tcBorders>
          </w:tcPr>
          <w:p>
            <w:pPr>
              <w:pStyle w:val="19"/>
              <w:spacing w:before="18" w:line="268" w:lineRule="exact"/>
              <w:ind w:left="24" w:right="5"/>
              <w:rPr>
                <w:sz w:val="21"/>
              </w:rPr>
            </w:pPr>
            <w:r>
              <w:rPr>
                <w:sz w:val="21"/>
              </w:rPr>
              <w:t>层有棚顶或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0" w:hRule="atLeast"/>
        </w:trPr>
        <w:tc>
          <w:tcPr>
            <w:tcW w:w="572" w:type="dxa"/>
            <w:vMerge w:val="continue"/>
            <w:tcBorders>
              <w:top w:val="nil"/>
              <w:bottom w:val="single" w:color="000000" w:sz="4" w:space="0"/>
              <w:right w:val="single" w:color="000000" w:sz="4" w:space="0"/>
            </w:tcBorders>
          </w:tcPr>
          <w:p>
            <w:pPr>
              <w:rPr>
                <w:sz w:val="2"/>
                <w:szCs w:val="2"/>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835" w:type="dxa"/>
            <w:vMerge w:val="continue"/>
            <w:tcBorders>
              <w:top w:val="nil"/>
              <w:left w:val="single" w:color="000000" w:sz="4" w:space="0"/>
              <w:bottom w:val="single" w:color="000000" w:sz="4" w:space="0"/>
              <w:right w:val="single" w:color="000000" w:sz="4" w:space="0"/>
            </w:tcBorders>
          </w:tcPr>
          <w:p>
            <w:pPr>
              <w:rPr>
                <w:sz w:val="2"/>
                <w:szCs w:val="2"/>
              </w:rPr>
            </w:pPr>
          </w:p>
        </w:tc>
        <w:tc>
          <w:tcPr>
            <w:tcW w:w="933" w:type="dxa"/>
            <w:vMerge w:val="continue"/>
            <w:tcBorders>
              <w:top w:val="nil"/>
              <w:left w:val="single" w:color="000000" w:sz="4" w:space="0"/>
              <w:bottom w:val="single" w:color="000000" w:sz="4" w:space="0"/>
              <w:right w:val="single" w:color="000000" w:sz="4" w:space="0"/>
            </w:tcBorders>
          </w:tcPr>
          <w:p>
            <w:pPr>
              <w:rPr>
                <w:sz w:val="2"/>
                <w:szCs w:val="2"/>
              </w:rPr>
            </w:pPr>
          </w:p>
        </w:tc>
        <w:tc>
          <w:tcPr>
            <w:tcW w:w="2641" w:type="dxa"/>
            <w:vMerge w:val="continue"/>
            <w:tcBorders>
              <w:top w:val="nil"/>
              <w:left w:val="single" w:color="000000" w:sz="4" w:space="0"/>
              <w:bottom w:val="single" w:color="000000" w:sz="4" w:space="0"/>
              <w:right w:val="single" w:color="000000" w:sz="4" w:space="0"/>
            </w:tcBorders>
          </w:tcPr>
          <w:p>
            <w:pPr>
              <w:rPr>
                <w:sz w:val="2"/>
                <w:szCs w:val="2"/>
              </w:rPr>
            </w:pPr>
          </w:p>
        </w:tc>
        <w:tc>
          <w:tcPr>
            <w:tcW w:w="390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165" w:type="dxa"/>
            <w:tcBorders>
              <w:top w:val="nil"/>
              <w:left w:val="single" w:color="000000" w:sz="4" w:space="0"/>
              <w:bottom w:val="single" w:color="000000" w:sz="4" w:space="0"/>
            </w:tcBorders>
          </w:tcPr>
          <w:p>
            <w:pPr>
              <w:pStyle w:val="19"/>
              <w:spacing w:before="18"/>
              <w:ind w:left="22" w:right="5"/>
              <w:rPr>
                <w:sz w:val="21"/>
              </w:rPr>
            </w:pPr>
            <w:r>
              <w:rPr>
                <w:sz w:val="21"/>
              </w:rPr>
              <w:t>苫盖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572" w:type="dxa"/>
            <w:tcBorders>
              <w:top w:val="single" w:color="000000" w:sz="4" w:space="0"/>
              <w:bottom w:val="single" w:color="000000" w:sz="4" w:space="0"/>
              <w:right w:val="single" w:color="000000" w:sz="4" w:space="0"/>
            </w:tcBorders>
          </w:tcPr>
          <w:p>
            <w:pPr>
              <w:pStyle w:val="19"/>
              <w:spacing w:before="20"/>
              <w:ind w:left="18"/>
              <w:rPr>
                <w:rFonts w:ascii="Times New Roman"/>
                <w:sz w:val="21"/>
              </w:rPr>
            </w:pPr>
            <w:r>
              <w:rPr>
                <w:rFonts w:ascii="Times New Roman"/>
                <w:w w:val="99"/>
                <w:sz w:val="21"/>
              </w:rPr>
              <w:t>7</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9"/>
              <w:spacing w:before="1"/>
              <w:ind w:left="388"/>
              <w:jc w:val="left"/>
              <w:rPr>
                <w:sz w:val="21"/>
              </w:rPr>
            </w:pPr>
            <w:r>
              <w:rPr>
                <w:sz w:val="21"/>
              </w:rPr>
              <w:t>原煤入选率</w:t>
            </w:r>
          </w:p>
        </w:tc>
        <w:tc>
          <w:tcPr>
            <w:tcW w:w="835" w:type="dxa"/>
            <w:tcBorders>
              <w:top w:val="single" w:color="000000" w:sz="4" w:space="0"/>
              <w:left w:val="single" w:color="000000" w:sz="4" w:space="0"/>
              <w:bottom w:val="single" w:color="000000" w:sz="4" w:space="0"/>
              <w:right w:val="single" w:color="000000" w:sz="4" w:space="0"/>
            </w:tcBorders>
          </w:tcPr>
          <w:p>
            <w:pPr>
              <w:pStyle w:val="19"/>
              <w:spacing w:before="20"/>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9"/>
              <w:spacing w:before="20"/>
              <w:ind w:left="266" w:right="248"/>
              <w:rPr>
                <w:rFonts w:ascii="Times New Roman"/>
                <w:sz w:val="21"/>
              </w:rPr>
            </w:pPr>
            <w:r>
              <w:rPr>
                <w:rFonts w:ascii="Times New Roman"/>
                <w:sz w:val="21"/>
              </w:rPr>
              <w:t>0.1</w:t>
            </w:r>
          </w:p>
        </w:tc>
        <w:tc>
          <w:tcPr>
            <w:tcW w:w="2641" w:type="dxa"/>
            <w:tcBorders>
              <w:top w:val="single" w:color="000000" w:sz="4" w:space="0"/>
              <w:left w:val="single" w:color="000000" w:sz="4" w:space="0"/>
              <w:bottom w:val="single" w:color="000000" w:sz="4" w:space="0"/>
              <w:right w:val="single" w:color="000000" w:sz="4" w:space="0"/>
            </w:tcBorders>
          </w:tcPr>
          <w:p>
            <w:pPr>
              <w:pStyle w:val="19"/>
              <w:spacing w:before="20"/>
              <w:ind w:left="778" w:right="758"/>
              <w:rPr>
                <w:rFonts w:ascii="Times New Roman"/>
                <w:sz w:val="21"/>
              </w:rPr>
            </w:pPr>
            <w:r>
              <w:rPr>
                <w:rFonts w:ascii="Times New Roman"/>
                <w:sz w:val="21"/>
              </w:rPr>
              <w:t>100</w:t>
            </w:r>
          </w:p>
        </w:tc>
        <w:tc>
          <w:tcPr>
            <w:tcW w:w="1879" w:type="dxa"/>
            <w:tcBorders>
              <w:top w:val="single" w:color="000000" w:sz="4" w:space="0"/>
              <w:left w:val="single" w:color="000000" w:sz="4" w:space="0"/>
              <w:bottom w:val="single" w:color="000000" w:sz="4" w:space="0"/>
              <w:right w:val="single" w:color="000000" w:sz="4" w:space="0"/>
            </w:tcBorders>
          </w:tcPr>
          <w:p>
            <w:pPr>
              <w:pStyle w:val="19"/>
              <w:spacing w:before="20"/>
              <w:ind w:left="397" w:right="380"/>
              <w:rPr>
                <w:rFonts w:ascii="Times New Roman" w:hAnsi="Times New Roman"/>
                <w:sz w:val="21"/>
              </w:rPr>
            </w:pPr>
            <w:r>
              <w:rPr>
                <w:rFonts w:ascii="Times New Roman" w:hAnsi="Times New Roman"/>
                <w:sz w:val="21"/>
              </w:rPr>
              <w:t>≥90</w:t>
            </w:r>
          </w:p>
        </w:tc>
        <w:tc>
          <w:tcPr>
            <w:tcW w:w="2021" w:type="dxa"/>
            <w:tcBorders>
              <w:top w:val="single" w:color="000000" w:sz="4" w:space="0"/>
              <w:left w:val="single" w:color="000000" w:sz="4" w:space="0"/>
              <w:bottom w:val="single" w:color="000000" w:sz="4" w:space="0"/>
              <w:right w:val="single" w:color="000000" w:sz="4" w:space="0"/>
            </w:tcBorders>
          </w:tcPr>
          <w:p>
            <w:pPr>
              <w:pStyle w:val="19"/>
              <w:spacing w:before="20"/>
              <w:ind w:left="39" w:right="20"/>
              <w:rPr>
                <w:rFonts w:ascii="Times New Roman" w:hAnsi="Times New Roman"/>
                <w:sz w:val="21"/>
              </w:rPr>
            </w:pPr>
            <w:r>
              <w:rPr>
                <w:rFonts w:ascii="Times New Roman" w:hAnsi="Times New Roman"/>
                <w:sz w:val="21"/>
              </w:rPr>
              <w:t>≥80</w:t>
            </w:r>
          </w:p>
        </w:tc>
        <w:tc>
          <w:tcPr>
            <w:tcW w:w="1165" w:type="dxa"/>
            <w:tcBorders>
              <w:top w:val="single" w:color="000000" w:sz="4" w:space="0"/>
              <w:left w:val="single" w:color="000000" w:sz="4" w:space="0"/>
              <w:bottom w:val="single" w:color="000000" w:sz="4" w:space="0"/>
            </w:tcBorders>
          </w:tcPr>
          <w:p>
            <w:pPr>
              <w:pStyle w:val="19"/>
              <w:spacing w:before="20"/>
              <w:ind w:left="24" w:right="4"/>
              <w:rPr>
                <w:rFonts w:ascii="Times New Roman"/>
                <w:sz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572" w:type="dxa"/>
            <w:tcBorders>
              <w:top w:val="single" w:color="000000" w:sz="4" w:space="0"/>
              <w:bottom w:val="nil"/>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1068"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4520" w:type="dxa"/>
            <w:gridSpan w:val="2"/>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2021" w:type="dxa"/>
            <w:tcBorders>
              <w:top w:val="single" w:color="000000" w:sz="4" w:space="0"/>
              <w:left w:val="single" w:color="000000" w:sz="4" w:space="0"/>
              <w:bottom w:val="nil"/>
              <w:right w:val="single" w:color="000000" w:sz="4" w:space="0"/>
            </w:tcBorders>
          </w:tcPr>
          <w:p>
            <w:pPr>
              <w:pStyle w:val="19"/>
              <w:spacing w:line="306" w:lineRule="exact"/>
              <w:ind w:left="45" w:right="20"/>
              <w:rPr>
                <w:sz w:val="21"/>
              </w:rPr>
            </w:pPr>
            <w:r>
              <w:rPr>
                <w:spacing w:val="9"/>
                <w:w w:val="95"/>
                <w:sz w:val="24"/>
              </w:rPr>
              <w:t>由</w:t>
            </w:r>
            <w:r>
              <w:rPr>
                <w:spacing w:val="9"/>
                <w:w w:val="95"/>
                <w:sz w:val="21"/>
              </w:rPr>
              <w:t>箱车或矿车将原煤</w:t>
            </w:r>
          </w:p>
        </w:tc>
        <w:tc>
          <w:tcPr>
            <w:tcW w:w="1165" w:type="dxa"/>
            <w:tcBorders>
              <w:top w:val="single" w:color="000000" w:sz="4" w:space="0"/>
              <w:left w:val="single" w:color="000000" w:sz="4" w:space="0"/>
              <w:bottom w:val="nil"/>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5" w:hRule="atLeast"/>
        </w:trPr>
        <w:tc>
          <w:tcPr>
            <w:tcW w:w="572" w:type="dxa"/>
            <w:tcBorders>
              <w:top w:val="nil"/>
              <w:bottom w:val="single" w:color="000000" w:sz="4" w:space="0"/>
              <w:right w:val="single" w:color="000000" w:sz="4" w:space="0"/>
            </w:tcBorders>
          </w:tcPr>
          <w:p>
            <w:pPr>
              <w:pStyle w:val="19"/>
              <w:spacing w:before="6"/>
              <w:jc w:val="left"/>
              <w:rPr>
                <w:rFonts w:ascii="Times New Roman"/>
                <w:sz w:val="19"/>
              </w:rPr>
            </w:pPr>
          </w:p>
          <w:p>
            <w:pPr>
              <w:pStyle w:val="19"/>
              <w:ind w:left="18"/>
              <w:rPr>
                <w:rFonts w:ascii="Times New Roman"/>
                <w:sz w:val="21"/>
              </w:rPr>
            </w:pPr>
            <w:r>
              <w:rPr>
                <w:rFonts w:ascii="Times New Roman"/>
                <w:w w:val="99"/>
                <w:sz w:val="21"/>
              </w:rPr>
              <w:t>8</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nil"/>
              <w:left w:val="single" w:color="000000" w:sz="4" w:space="0"/>
              <w:bottom w:val="single" w:color="000000" w:sz="4" w:space="0"/>
              <w:right w:val="single" w:color="000000" w:sz="4" w:space="0"/>
            </w:tcBorders>
          </w:tcPr>
          <w:p>
            <w:pPr>
              <w:pStyle w:val="19"/>
              <w:spacing w:before="42" w:line="290" w:lineRule="auto"/>
              <w:ind w:left="275" w:right="44" w:hanging="212"/>
              <w:jc w:val="left"/>
              <w:rPr>
                <w:sz w:val="21"/>
              </w:rPr>
            </w:pPr>
            <w:r>
              <w:rPr>
                <w:sz w:val="21"/>
              </w:rPr>
              <w:t>原煤运输</w:t>
            </w:r>
          </w:p>
        </w:tc>
        <w:tc>
          <w:tcPr>
            <w:tcW w:w="1068" w:type="dxa"/>
            <w:tcBorders>
              <w:top w:val="nil"/>
              <w:left w:val="single" w:color="000000" w:sz="4" w:space="0"/>
              <w:bottom w:val="single" w:color="000000" w:sz="4" w:space="0"/>
              <w:right w:val="single" w:color="000000" w:sz="4" w:space="0"/>
            </w:tcBorders>
          </w:tcPr>
          <w:p>
            <w:pPr>
              <w:pStyle w:val="19"/>
              <w:spacing w:before="42" w:line="290" w:lineRule="auto"/>
              <w:ind w:left="432" w:right="-15" w:hanging="420"/>
              <w:jc w:val="left"/>
              <w:rPr>
                <w:sz w:val="21"/>
              </w:rPr>
            </w:pPr>
            <w:r>
              <w:rPr>
                <w:sz w:val="21"/>
              </w:rPr>
              <w:t>矿井型选煤厂</w:t>
            </w:r>
          </w:p>
        </w:tc>
        <w:tc>
          <w:tcPr>
            <w:tcW w:w="835" w:type="dxa"/>
            <w:tcBorders>
              <w:top w:val="nil"/>
              <w:left w:val="single" w:color="000000" w:sz="4" w:space="0"/>
              <w:bottom w:val="single" w:color="000000" w:sz="4" w:space="0"/>
              <w:right w:val="single" w:color="000000" w:sz="4" w:space="0"/>
            </w:tcBorders>
          </w:tcPr>
          <w:p>
            <w:pPr>
              <w:pStyle w:val="19"/>
              <w:spacing w:before="1"/>
              <w:jc w:val="left"/>
              <w:rPr>
                <w:rFonts w:ascii="Times New Roman"/>
                <w:sz w:val="18"/>
              </w:rPr>
            </w:pPr>
          </w:p>
          <w:p>
            <w:pPr>
              <w:pStyle w:val="19"/>
              <w:ind w:left="18"/>
              <w:rPr>
                <w:sz w:val="21"/>
              </w:rPr>
            </w:pPr>
            <w:r>
              <w:rPr>
                <w:w w:val="99"/>
                <w:sz w:val="21"/>
              </w:rPr>
              <w:t>━</w:t>
            </w:r>
          </w:p>
        </w:tc>
        <w:tc>
          <w:tcPr>
            <w:tcW w:w="933" w:type="dxa"/>
            <w:tcBorders>
              <w:top w:val="nil"/>
              <w:left w:val="single" w:color="000000" w:sz="4" w:space="0"/>
              <w:bottom w:val="single" w:color="000000" w:sz="4" w:space="0"/>
              <w:right w:val="single" w:color="000000" w:sz="4" w:space="0"/>
            </w:tcBorders>
          </w:tcPr>
          <w:p>
            <w:pPr>
              <w:pStyle w:val="19"/>
              <w:spacing w:before="6"/>
              <w:jc w:val="left"/>
              <w:rPr>
                <w:rFonts w:ascii="Times New Roman"/>
                <w:sz w:val="19"/>
              </w:rPr>
            </w:pPr>
          </w:p>
          <w:p>
            <w:pPr>
              <w:pStyle w:val="19"/>
              <w:ind w:left="266" w:right="248"/>
              <w:rPr>
                <w:rFonts w:ascii="Times New Roman"/>
                <w:sz w:val="21"/>
              </w:rPr>
            </w:pPr>
            <w:r>
              <w:rPr>
                <w:rFonts w:ascii="Times New Roman"/>
                <w:sz w:val="21"/>
              </w:rPr>
              <w:t>0.08</w:t>
            </w:r>
          </w:p>
        </w:tc>
        <w:tc>
          <w:tcPr>
            <w:tcW w:w="4520" w:type="dxa"/>
            <w:gridSpan w:val="2"/>
            <w:tcBorders>
              <w:top w:val="nil"/>
              <w:left w:val="single" w:color="000000" w:sz="4" w:space="0"/>
              <w:bottom w:val="single" w:color="000000" w:sz="4" w:space="0"/>
              <w:right w:val="single" w:color="000000" w:sz="4" w:space="0"/>
            </w:tcBorders>
          </w:tcPr>
          <w:p>
            <w:pPr>
              <w:pStyle w:val="19"/>
              <w:spacing w:before="42" w:line="290" w:lineRule="auto"/>
              <w:ind w:left="8" w:right="-15"/>
              <w:jc w:val="left"/>
              <w:rPr>
                <w:sz w:val="21"/>
              </w:rPr>
            </w:pPr>
            <w:r>
              <w:rPr>
                <w:spacing w:val="3"/>
                <w:w w:val="95"/>
                <w:sz w:val="21"/>
              </w:rPr>
              <w:t xml:space="preserve">由封闭皮带运输机将原煤直接运进矿井选煤厂全 </w:t>
            </w:r>
            <w:r>
              <w:rPr>
                <w:spacing w:val="3"/>
                <w:sz w:val="21"/>
              </w:rPr>
              <w:t>封闭的贮煤设施</w:t>
            </w:r>
          </w:p>
        </w:tc>
        <w:tc>
          <w:tcPr>
            <w:tcW w:w="2021" w:type="dxa"/>
            <w:tcBorders>
              <w:top w:val="nil"/>
              <w:left w:val="single" w:color="000000" w:sz="4" w:space="0"/>
              <w:bottom w:val="single" w:color="000000" w:sz="4" w:space="0"/>
              <w:right w:val="single" w:color="000000" w:sz="4" w:space="0"/>
            </w:tcBorders>
          </w:tcPr>
          <w:p>
            <w:pPr>
              <w:pStyle w:val="19"/>
              <w:spacing w:before="23" w:line="290" w:lineRule="auto"/>
              <w:ind w:left="10" w:right="-15"/>
              <w:jc w:val="left"/>
              <w:rPr>
                <w:sz w:val="21"/>
              </w:rPr>
            </w:pPr>
            <w:r>
              <w:rPr>
                <w:spacing w:val="12"/>
                <w:w w:val="95"/>
                <w:sz w:val="21"/>
              </w:rPr>
              <w:t>运进矿井选煤厂全面</w:t>
            </w:r>
            <w:r>
              <w:rPr>
                <w:spacing w:val="12"/>
                <w:sz w:val="21"/>
              </w:rPr>
              <w:t>防尘的贮煤设施</w:t>
            </w:r>
          </w:p>
        </w:tc>
        <w:tc>
          <w:tcPr>
            <w:tcW w:w="1165" w:type="dxa"/>
            <w:tcBorders>
              <w:top w:val="nil"/>
              <w:left w:val="single" w:color="000000" w:sz="4" w:space="0"/>
              <w:bottom w:val="single" w:color="000000" w:sz="4" w:space="0"/>
            </w:tcBorders>
          </w:tcPr>
          <w:p>
            <w:pPr>
              <w:pStyle w:val="19"/>
              <w:spacing w:before="6"/>
              <w:jc w:val="left"/>
              <w:rPr>
                <w:rFonts w:ascii="Times New Roman"/>
                <w:sz w:val="19"/>
              </w:rPr>
            </w:pPr>
          </w:p>
          <w:p>
            <w:pPr>
              <w:pStyle w:val="19"/>
              <w:ind w:left="19"/>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trPr>
        <w:tc>
          <w:tcPr>
            <w:tcW w:w="572" w:type="dxa"/>
            <w:tcBorders>
              <w:top w:val="single" w:color="000000" w:sz="4" w:space="0"/>
              <w:bottom w:val="nil"/>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2641" w:type="dxa"/>
            <w:tcBorders>
              <w:top w:val="single" w:color="000000" w:sz="4" w:space="0"/>
              <w:left w:val="single" w:color="000000" w:sz="4" w:space="0"/>
              <w:bottom w:val="nil"/>
              <w:right w:val="single" w:color="000000" w:sz="4" w:space="0"/>
            </w:tcBorders>
          </w:tcPr>
          <w:p>
            <w:pPr>
              <w:pStyle w:val="19"/>
              <w:spacing w:line="264" w:lineRule="exact"/>
              <w:ind w:left="8" w:right="-15"/>
              <w:jc w:val="left"/>
              <w:rPr>
                <w:sz w:val="21"/>
              </w:rPr>
            </w:pPr>
            <w:r>
              <w:rPr>
                <w:spacing w:val="-11"/>
                <w:sz w:val="21"/>
              </w:rPr>
              <w:t>原煤分级筛、破碎机等干法作</w:t>
            </w:r>
          </w:p>
        </w:tc>
        <w:tc>
          <w:tcPr>
            <w:tcW w:w="1879" w:type="dxa"/>
            <w:tcBorders>
              <w:top w:val="single" w:color="000000" w:sz="4" w:space="0"/>
              <w:left w:val="single" w:color="000000" w:sz="4" w:space="0"/>
              <w:bottom w:val="nil"/>
              <w:right w:val="single" w:color="000000" w:sz="4" w:space="0"/>
            </w:tcBorders>
          </w:tcPr>
          <w:p>
            <w:pPr>
              <w:pStyle w:val="19"/>
              <w:spacing w:line="264" w:lineRule="exact"/>
              <w:ind w:left="9" w:right="-15"/>
              <w:jc w:val="left"/>
              <w:rPr>
                <w:sz w:val="21"/>
              </w:rPr>
            </w:pPr>
            <w:r>
              <w:rPr>
                <w:spacing w:val="22"/>
                <w:w w:val="95"/>
                <w:sz w:val="21"/>
              </w:rPr>
              <w:t>分级筛及相关转载</w:t>
            </w:r>
          </w:p>
        </w:tc>
        <w:tc>
          <w:tcPr>
            <w:tcW w:w="2021" w:type="dxa"/>
            <w:vMerge w:val="restart"/>
            <w:tcBorders>
              <w:top w:val="single" w:color="000000" w:sz="4" w:space="0"/>
              <w:left w:val="single" w:color="000000" w:sz="4" w:space="0"/>
              <w:bottom w:val="single" w:color="000000" w:sz="4" w:space="0"/>
              <w:right w:val="single" w:color="000000" w:sz="4" w:space="0"/>
            </w:tcBorders>
          </w:tcPr>
          <w:p>
            <w:pPr>
              <w:pStyle w:val="19"/>
              <w:spacing w:before="158" w:line="290" w:lineRule="auto"/>
              <w:ind w:left="10" w:right="-15"/>
              <w:jc w:val="left"/>
              <w:rPr>
                <w:sz w:val="21"/>
              </w:rPr>
            </w:pPr>
            <w:r>
              <w:rPr>
                <w:sz w:val="21"/>
              </w:rPr>
              <w:t>破碎机、带式输送机</w:t>
            </w:r>
            <w:r>
              <w:rPr>
                <w:spacing w:val="12"/>
                <w:w w:val="95"/>
                <w:sz w:val="21"/>
              </w:rPr>
              <w:t>转载点等设喷雾降尘</w:t>
            </w:r>
            <w:r>
              <w:rPr>
                <w:spacing w:val="12"/>
                <w:sz w:val="21"/>
              </w:rPr>
              <w:t>系统</w:t>
            </w:r>
          </w:p>
        </w:tc>
        <w:tc>
          <w:tcPr>
            <w:tcW w:w="1165" w:type="dxa"/>
            <w:vMerge w:val="restart"/>
            <w:tcBorders>
              <w:top w:val="single" w:color="000000" w:sz="4" w:space="0"/>
              <w:left w:val="single" w:color="000000" w:sz="4" w:space="0"/>
              <w:bottom w:val="single" w:color="000000" w:sz="4" w:space="0"/>
            </w:tcBorders>
          </w:tcPr>
          <w:p>
            <w:pPr>
              <w:pStyle w:val="19"/>
              <w:spacing w:line="212" w:lineRule="exact"/>
              <w:ind w:left="60"/>
              <w:jc w:val="left"/>
              <w:rPr>
                <w:sz w:val="21"/>
              </w:rPr>
            </w:pPr>
            <w:r>
              <w:rPr>
                <w:w w:val="95"/>
                <w:sz w:val="21"/>
              </w:rPr>
              <w:t>本项目无破</w:t>
            </w:r>
          </w:p>
          <w:p>
            <w:pPr>
              <w:pStyle w:val="19"/>
              <w:spacing w:line="163" w:lineRule="exact"/>
              <w:ind w:left="-123"/>
              <w:jc w:val="left"/>
              <w:rPr>
                <w:sz w:val="21"/>
              </w:rPr>
            </w:pPr>
            <w:r>
              <w:rPr>
                <w:w w:val="99"/>
                <w:sz w:val="21"/>
              </w:rPr>
              <w:t>、</w:t>
            </w:r>
          </w:p>
          <w:p>
            <w:pPr>
              <w:pStyle w:val="19"/>
              <w:spacing w:line="216" w:lineRule="exact"/>
              <w:ind w:left="60"/>
              <w:jc w:val="left"/>
              <w:rPr>
                <w:sz w:val="21"/>
              </w:rPr>
            </w:pPr>
            <w:r>
              <w:rPr>
                <w:w w:val="95"/>
                <w:sz w:val="21"/>
              </w:rPr>
              <w:t>碎工序，原</w:t>
            </w:r>
          </w:p>
          <w:p>
            <w:pPr>
              <w:pStyle w:val="19"/>
              <w:spacing w:before="5" w:line="328" w:lineRule="exact"/>
              <w:ind w:left="269" w:right="38" w:hanging="209"/>
              <w:jc w:val="left"/>
              <w:rPr>
                <w:sz w:val="21"/>
              </w:rPr>
            </w:pPr>
            <w:r>
              <w:rPr>
                <w:sz w:val="21"/>
              </w:rPr>
              <w:t>煤分级筛封闭作业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3" w:hRule="atLeast"/>
        </w:trPr>
        <w:tc>
          <w:tcPr>
            <w:tcW w:w="572" w:type="dxa"/>
            <w:tcBorders>
              <w:top w:val="nil"/>
              <w:bottom w:val="nil"/>
              <w:right w:val="single" w:color="000000" w:sz="4" w:space="0"/>
            </w:tcBorders>
          </w:tcPr>
          <w:p>
            <w:pPr>
              <w:pStyle w:val="19"/>
              <w:spacing w:before="4"/>
              <w:jc w:val="left"/>
              <w:rPr>
                <w:rFonts w:ascii="Times New Roman"/>
                <w:sz w:val="17"/>
              </w:rPr>
            </w:pPr>
          </w:p>
          <w:p>
            <w:pPr>
              <w:pStyle w:val="19"/>
              <w:ind w:left="18"/>
              <w:rPr>
                <w:rFonts w:ascii="Times New Roman"/>
                <w:sz w:val="21"/>
              </w:rPr>
            </w:pPr>
            <w:r>
              <w:rPr>
                <w:rFonts w:ascii="Times New Roman"/>
                <w:w w:val="99"/>
                <w:sz w:val="21"/>
              </w:rPr>
              <w:t>9</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nil"/>
              <w:left w:val="single" w:color="000000" w:sz="4" w:space="0"/>
              <w:bottom w:val="nil"/>
              <w:right w:val="single" w:color="000000" w:sz="4" w:space="0"/>
            </w:tcBorders>
          </w:tcPr>
          <w:p>
            <w:pPr>
              <w:pStyle w:val="19"/>
              <w:spacing w:before="9"/>
              <w:jc w:val="left"/>
              <w:rPr>
                <w:rFonts w:ascii="Times New Roman"/>
                <w:sz w:val="15"/>
              </w:rPr>
            </w:pPr>
          </w:p>
          <w:p>
            <w:pPr>
              <w:pStyle w:val="19"/>
              <w:ind w:left="493"/>
              <w:jc w:val="left"/>
              <w:rPr>
                <w:sz w:val="21"/>
              </w:rPr>
            </w:pPr>
            <w:r>
              <w:rPr>
                <w:sz w:val="21"/>
              </w:rPr>
              <w:t>粉尘控制</w:t>
            </w:r>
          </w:p>
        </w:tc>
        <w:tc>
          <w:tcPr>
            <w:tcW w:w="835" w:type="dxa"/>
            <w:tcBorders>
              <w:top w:val="nil"/>
              <w:left w:val="single" w:color="000000" w:sz="4" w:space="0"/>
              <w:bottom w:val="nil"/>
              <w:right w:val="single" w:color="000000" w:sz="4" w:space="0"/>
            </w:tcBorders>
          </w:tcPr>
          <w:p>
            <w:pPr>
              <w:pStyle w:val="19"/>
              <w:spacing w:before="9"/>
              <w:jc w:val="left"/>
              <w:rPr>
                <w:rFonts w:ascii="Times New Roman"/>
                <w:sz w:val="15"/>
              </w:rPr>
            </w:pPr>
          </w:p>
          <w:p>
            <w:pPr>
              <w:pStyle w:val="19"/>
              <w:ind w:left="18"/>
              <w:rPr>
                <w:sz w:val="21"/>
              </w:rPr>
            </w:pPr>
            <w:r>
              <w:rPr>
                <w:w w:val="99"/>
                <w:sz w:val="21"/>
              </w:rPr>
              <w:t>━</w:t>
            </w:r>
          </w:p>
        </w:tc>
        <w:tc>
          <w:tcPr>
            <w:tcW w:w="933" w:type="dxa"/>
            <w:tcBorders>
              <w:top w:val="nil"/>
              <w:left w:val="single" w:color="000000" w:sz="4" w:space="0"/>
              <w:bottom w:val="nil"/>
              <w:right w:val="single" w:color="000000" w:sz="4" w:space="0"/>
            </w:tcBorders>
          </w:tcPr>
          <w:p>
            <w:pPr>
              <w:pStyle w:val="19"/>
              <w:spacing w:before="4"/>
              <w:jc w:val="left"/>
              <w:rPr>
                <w:rFonts w:ascii="Times New Roman"/>
                <w:sz w:val="17"/>
              </w:rPr>
            </w:pPr>
          </w:p>
          <w:p>
            <w:pPr>
              <w:pStyle w:val="19"/>
              <w:ind w:left="266" w:right="248"/>
              <w:rPr>
                <w:rFonts w:ascii="Times New Roman"/>
                <w:sz w:val="21"/>
              </w:rPr>
            </w:pPr>
            <w:r>
              <w:rPr>
                <w:rFonts w:ascii="Times New Roman"/>
                <w:sz w:val="21"/>
              </w:rPr>
              <w:t>0.1</w:t>
            </w:r>
          </w:p>
        </w:tc>
        <w:tc>
          <w:tcPr>
            <w:tcW w:w="2641" w:type="dxa"/>
            <w:tcBorders>
              <w:top w:val="nil"/>
              <w:left w:val="single" w:color="000000" w:sz="4" w:space="0"/>
              <w:bottom w:val="nil"/>
              <w:right w:val="single" w:color="000000" w:sz="4" w:space="0"/>
            </w:tcBorders>
          </w:tcPr>
          <w:p>
            <w:pPr>
              <w:pStyle w:val="19"/>
              <w:spacing w:before="18"/>
              <w:ind w:left="8" w:right="-15"/>
              <w:jc w:val="left"/>
              <w:rPr>
                <w:sz w:val="21"/>
              </w:rPr>
            </w:pPr>
            <w:r>
              <w:rPr>
                <w:spacing w:val="8"/>
                <w:w w:val="95"/>
                <w:sz w:val="21"/>
              </w:rPr>
              <w:t>业及相关转载环节全部封闭</w:t>
            </w:r>
          </w:p>
          <w:p>
            <w:pPr>
              <w:pStyle w:val="19"/>
              <w:spacing w:before="57"/>
              <w:ind w:left="8" w:right="-15"/>
              <w:jc w:val="left"/>
              <w:rPr>
                <w:sz w:val="21"/>
              </w:rPr>
            </w:pPr>
            <w:r>
              <w:rPr>
                <w:spacing w:val="-11"/>
                <w:w w:val="95"/>
                <w:sz w:val="21"/>
              </w:rPr>
              <w:t>作业，并设有集尘系统，车间</w:t>
            </w:r>
          </w:p>
        </w:tc>
        <w:tc>
          <w:tcPr>
            <w:tcW w:w="1879" w:type="dxa"/>
            <w:tcBorders>
              <w:top w:val="nil"/>
              <w:left w:val="single" w:color="000000" w:sz="4" w:space="0"/>
              <w:bottom w:val="nil"/>
              <w:right w:val="single" w:color="000000" w:sz="4" w:space="0"/>
            </w:tcBorders>
          </w:tcPr>
          <w:p>
            <w:pPr>
              <w:pStyle w:val="19"/>
              <w:spacing w:before="18"/>
              <w:ind w:left="9" w:right="-15"/>
              <w:jc w:val="left"/>
              <w:rPr>
                <w:sz w:val="21"/>
              </w:rPr>
            </w:pPr>
            <w:r>
              <w:rPr>
                <w:spacing w:val="-3"/>
                <w:w w:val="95"/>
                <w:sz w:val="21"/>
              </w:rPr>
              <w:t>环节设集尘罩，带式</w:t>
            </w:r>
          </w:p>
          <w:p>
            <w:pPr>
              <w:pStyle w:val="19"/>
              <w:spacing w:before="57"/>
              <w:ind w:left="9" w:right="-15"/>
              <w:jc w:val="left"/>
              <w:rPr>
                <w:sz w:val="21"/>
              </w:rPr>
            </w:pPr>
            <w:r>
              <w:rPr>
                <w:spacing w:val="22"/>
                <w:w w:val="95"/>
                <w:sz w:val="21"/>
              </w:rPr>
              <w:t>输送机设喷雾除尘</w:t>
            </w: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trPr>
        <w:tc>
          <w:tcPr>
            <w:tcW w:w="572" w:type="dxa"/>
            <w:tcBorders>
              <w:top w:val="nil"/>
              <w:bottom w:val="single" w:color="000000" w:sz="4" w:space="0"/>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835"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933"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2641" w:type="dxa"/>
            <w:tcBorders>
              <w:top w:val="nil"/>
              <w:left w:val="single" w:color="000000" w:sz="4" w:space="0"/>
              <w:bottom w:val="single" w:color="000000" w:sz="4" w:space="0"/>
              <w:right w:val="single" w:color="000000" w:sz="4" w:space="0"/>
            </w:tcBorders>
          </w:tcPr>
          <w:p>
            <w:pPr>
              <w:pStyle w:val="19"/>
              <w:spacing w:before="19"/>
              <w:ind w:left="8"/>
              <w:jc w:val="left"/>
              <w:rPr>
                <w:sz w:val="21"/>
              </w:rPr>
            </w:pPr>
            <w:r>
              <w:rPr>
                <w:sz w:val="21"/>
              </w:rPr>
              <w:t>有机械通风措施</w:t>
            </w:r>
          </w:p>
        </w:tc>
        <w:tc>
          <w:tcPr>
            <w:tcW w:w="1879" w:type="dxa"/>
            <w:tcBorders>
              <w:top w:val="nil"/>
              <w:left w:val="single" w:color="000000" w:sz="4" w:space="0"/>
              <w:bottom w:val="single" w:color="000000" w:sz="4" w:space="0"/>
              <w:right w:val="single" w:color="000000" w:sz="4" w:space="0"/>
            </w:tcBorders>
          </w:tcPr>
          <w:p>
            <w:pPr>
              <w:pStyle w:val="19"/>
              <w:spacing w:before="19"/>
              <w:ind w:left="9"/>
              <w:jc w:val="left"/>
              <w:rPr>
                <w:sz w:val="21"/>
              </w:rPr>
            </w:pPr>
            <w:r>
              <w:rPr>
                <w:sz w:val="21"/>
              </w:rPr>
              <w:t>系统</w:t>
            </w: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5" w:hRule="atLeast"/>
        </w:trPr>
        <w:tc>
          <w:tcPr>
            <w:tcW w:w="572" w:type="dxa"/>
            <w:tcBorders>
              <w:top w:val="single" w:color="000000" w:sz="4" w:space="0"/>
              <w:bottom w:val="nil"/>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1068"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2641" w:type="dxa"/>
            <w:tcBorders>
              <w:top w:val="single" w:color="000000" w:sz="4" w:space="0"/>
              <w:left w:val="single" w:color="000000" w:sz="4" w:space="0"/>
              <w:bottom w:val="nil"/>
              <w:right w:val="single" w:color="000000" w:sz="4" w:space="0"/>
            </w:tcBorders>
          </w:tcPr>
          <w:p>
            <w:pPr>
              <w:pStyle w:val="19"/>
              <w:spacing w:before="159" w:line="266" w:lineRule="exact"/>
              <w:ind w:left="8" w:right="-15"/>
              <w:jc w:val="left"/>
              <w:rPr>
                <w:sz w:val="21"/>
              </w:rPr>
            </w:pPr>
            <w:r>
              <w:rPr>
                <w:spacing w:val="-10"/>
                <w:sz w:val="21"/>
              </w:rPr>
              <w:t>存于封闭的储存设施。运输有</w:t>
            </w:r>
          </w:p>
        </w:tc>
        <w:tc>
          <w:tcPr>
            <w:tcW w:w="3900" w:type="dxa"/>
            <w:gridSpan w:val="2"/>
            <w:tcBorders>
              <w:top w:val="single" w:color="000000" w:sz="4" w:space="0"/>
              <w:left w:val="single" w:color="000000" w:sz="4" w:space="0"/>
              <w:bottom w:val="nil"/>
              <w:right w:val="single" w:color="000000" w:sz="4" w:space="0"/>
            </w:tcBorders>
          </w:tcPr>
          <w:p>
            <w:pPr>
              <w:pStyle w:val="19"/>
              <w:spacing w:before="159" w:line="266" w:lineRule="exact"/>
              <w:ind w:left="9"/>
              <w:jc w:val="left"/>
              <w:rPr>
                <w:sz w:val="21"/>
              </w:rPr>
            </w:pPr>
            <w:r>
              <w:rPr>
                <w:sz w:val="21"/>
              </w:rPr>
              <w:t>存于半封闭且配有洒水喷淋装置的储存场</w:t>
            </w:r>
          </w:p>
        </w:tc>
        <w:tc>
          <w:tcPr>
            <w:tcW w:w="1165" w:type="dxa"/>
            <w:vMerge w:val="restart"/>
            <w:tcBorders>
              <w:top w:val="single" w:color="000000" w:sz="4" w:space="0"/>
              <w:left w:val="single" w:color="000000" w:sz="4" w:space="0"/>
              <w:bottom w:val="single" w:color="000000" w:sz="4" w:space="0"/>
            </w:tcBorders>
          </w:tcPr>
          <w:p>
            <w:pPr>
              <w:pStyle w:val="19"/>
              <w:spacing w:line="212" w:lineRule="exact"/>
              <w:ind w:left="163"/>
              <w:jc w:val="left"/>
              <w:rPr>
                <w:sz w:val="21"/>
              </w:rPr>
            </w:pPr>
            <w:r>
              <w:rPr>
                <w:sz w:val="21"/>
              </w:rPr>
              <w:t>全封闭煤</w:t>
            </w:r>
          </w:p>
          <w:p>
            <w:pPr>
              <w:pStyle w:val="19"/>
              <w:spacing w:line="163" w:lineRule="exact"/>
              <w:ind w:left="-111"/>
              <w:jc w:val="left"/>
              <w:rPr>
                <w:sz w:val="21"/>
              </w:rPr>
            </w:pPr>
            <w:r>
              <w:rPr>
                <w:w w:val="99"/>
                <w:sz w:val="21"/>
              </w:rPr>
              <w:t>。</w:t>
            </w:r>
          </w:p>
          <w:p>
            <w:pPr>
              <w:pStyle w:val="19"/>
              <w:spacing w:line="216" w:lineRule="exact"/>
              <w:ind w:left="60"/>
              <w:jc w:val="left"/>
              <w:rPr>
                <w:sz w:val="21"/>
              </w:rPr>
            </w:pPr>
            <w:r>
              <w:rPr>
                <w:w w:val="95"/>
                <w:sz w:val="21"/>
              </w:rPr>
              <w:t>仓，汽车公</w:t>
            </w:r>
          </w:p>
          <w:p>
            <w:pPr>
              <w:pStyle w:val="19"/>
              <w:spacing w:before="6" w:line="320" w:lineRule="atLeast"/>
              <w:ind w:left="60" w:right="38"/>
              <w:jc w:val="left"/>
              <w:rPr>
                <w:sz w:val="21"/>
              </w:rPr>
            </w:pPr>
            <w:r>
              <w:rPr>
                <w:spacing w:val="-3"/>
                <w:sz w:val="21"/>
              </w:rPr>
              <w:t>路外运采用</w:t>
            </w:r>
            <w:r>
              <w:rPr>
                <w:spacing w:val="-3"/>
                <w:w w:val="95"/>
                <w:sz w:val="21"/>
              </w:rPr>
              <w:t>全封闭车厢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572" w:type="dxa"/>
            <w:tcBorders>
              <w:top w:val="nil"/>
              <w:bottom w:val="nil"/>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nil"/>
              <w:left w:val="single" w:color="000000" w:sz="4" w:space="0"/>
              <w:bottom w:val="nil"/>
              <w:right w:val="single" w:color="000000" w:sz="4" w:space="0"/>
            </w:tcBorders>
          </w:tcPr>
          <w:p>
            <w:pPr>
              <w:pStyle w:val="19"/>
              <w:jc w:val="left"/>
              <w:rPr>
                <w:rFonts w:ascii="Times New Roman"/>
                <w:sz w:val="20"/>
              </w:rPr>
            </w:pPr>
          </w:p>
        </w:tc>
        <w:tc>
          <w:tcPr>
            <w:tcW w:w="1068" w:type="dxa"/>
            <w:tcBorders>
              <w:top w:val="nil"/>
              <w:left w:val="single" w:color="000000" w:sz="4" w:space="0"/>
              <w:bottom w:val="nil"/>
              <w:right w:val="single" w:color="000000" w:sz="4" w:space="0"/>
            </w:tcBorders>
          </w:tcPr>
          <w:p>
            <w:pPr>
              <w:pStyle w:val="19"/>
              <w:spacing w:before="20"/>
              <w:ind w:left="10" w:right="-15"/>
              <w:jc w:val="left"/>
              <w:rPr>
                <w:sz w:val="21"/>
              </w:rPr>
            </w:pPr>
            <w:r>
              <w:rPr>
                <w:sz w:val="21"/>
              </w:rPr>
              <w:t>精煤、中煤</w:t>
            </w:r>
          </w:p>
        </w:tc>
        <w:tc>
          <w:tcPr>
            <w:tcW w:w="835" w:type="dxa"/>
            <w:tcBorders>
              <w:top w:val="nil"/>
              <w:left w:val="single" w:color="000000" w:sz="4" w:space="0"/>
              <w:bottom w:val="nil"/>
              <w:right w:val="single" w:color="000000" w:sz="4" w:space="0"/>
            </w:tcBorders>
          </w:tcPr>
          <w:p>
            <w:pPr>
              <w:pStyle w:val="19"/>
              <w:spacing w:before="20"/>
              <w:ind w:left="18"/>
              <w:rPr>
                <w:sz w:val="21"/>
              </w:rPr>
            </w:pPr>
            <w:r>
              <w:rPr>
                <w:w w:val="99"/>
                <w:sz w:val="21"/>
              </w:rPr>
              <w:t>━</w:t>
            </w:r>
          </w:p>
        </w:tc>
        <w:tc>
          <w:tcPr>
            <w:tcW w:w="933" w:type="dxa"/>
            <w:tcBorders>
              <w:top w:val="nil"/>
              <w:left w:val="single" w:color="000000" w:sz="4" w:space="0"/>
              <w:bottom w:val="nil"/>
              <w:right w:val="single" w:color="000000" w:sz="4" w:space="0"/>
            </w:tcBorders>
          </w:tcPr>
          <w:p>
            <w:pPr>
              <w:pStyle w:val="19"/>
              <w:spacing w:before="36"/>
              <w:ind w:left="266" w:right="248"/>
              <w:rPr>
                <w:rFonts w:ascii="Times New Roman"/>
                <w:sz w:val="21"/>
              </w:rPr>
            </w:pPr>
            <w:r>
              <w:rPr>
                <w:rFonts w:ascii="Times New Roman"/>
                <w:sz w:val="21"/>
              </w:rPr>
              <w:t>0.06</w:t>
            </w:r>
          </w:p>
        </w:tc>
        <w:tc>
          <w:tcPr>
            <w:tcW w:w="2641" w:type="dxa"/>
            <w:tcBorders>
              <w:top w:val="nil"/>
              <w:left w:val="single" w:color="000000" w:sz="4" w:space="0"/>
              <w:bottom w:val="nil"/>
              <w:right w:val="single" w:color="000000" w:sz="4" w:space="0"/>
            </w:tcBorders>
          </w:tcPr>
          <w:p>
            <w:pPr>
              <w:pStyle w:val="19"/>
              <w:spacing w:before="20"/>
              <w:ind w:left="8" w:right="-15"/>
              <w:jc w:val="left"/>
              <w:rPr>
                <w:sz w:val="21"/>
              </w:rPr>
            </w:pPr>
            <w:r>
              <w:rPr>
                <w:spacing w:val="8"/>
                <w:w w:val="95"/>
                <w:sz w:val="21"/>
              </w:rPr>
              <w:t>铁路专用线及铁路快速装车</w:t>
            </w:r>
          </w:p>
        </w:tc>
        <w:tc>
          <w:tcPr>
            <w:tcW w:w="3900" w:type="dxa"/>
            <w:gridSpan w:val="2"/>
            <w:tcBorders>
              <w:top w:val="nil"/>
              <w:left w:val="single" w:color="000000" w:sz="4" w:space="0"/>
              <w:bottom w:val="nil"/>
              <w:right w:val="single" w:color="000000" w:sz="4" w:space="0"/>
            </w:tcBorders>
          </w:tcPr>
          <w:p>
            <w:pPr>
              <w:pStyle w:val="19"/>
              <w:spacing w:before="20"/>
              <w:ind w:left="9" w:right="-15"/>
              <w:jc w:val="left"/>
              <w:rPr>
                <w:sz w:val="21"/>
              </w:rPr>
            </w:pPr>
            <w:r>
              <w:rPr>
                <w:spacing w:val="-9"/>
                <w:sz w:val="21"/>
              </w:rPr>
              <w:t>运输有铁路专用线、铁路快速装车系统，汽</w:t>
            </w: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5" w:hRule="atLeast"/>
        </w:trPr>
        <w:tc>
          <w:tcPr>
            <w:tcW w:w="572" w:type="dxa"/>
            <w:tcBorders>
              <w:top w:val="nil"/>
              <w:bottom w:val="nil"/>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nil"/>
              <w:left w:val="single" w:color="000000" w:sz="4" w:space="0"/>
              <w:bottom w:val="nil"/>
              <w:right w:val="single" w:color="000000" w:sz="4" w:space="0"/>
            </w:tcBorders>
          </w:tcPr>
          <w:p>
            <w:pPr>
              <w:pStyle w:val="19"/>
              <w:jc w:val="left"/>
              <w:rPr>
                <w:rFonts w:ascii="Times New Roman"/>
                <w:sz w:val="20"/>
              </w:rPr>
            </w:pPr>
          </w:p>
        </w:tc>
        <w:tc>
          <w:tcPr>
            <w:tcW w:w="1068"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835"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933"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2641" w:type="dxa"/>
            <w:tcBorders>
              <w:top w:val="nil"/>
              <w:left w:val="single" w:color="000000" w:sz="4" w:space="0"/>
              <w:bottom w:val="single" w:color="000000" w:sz="4" w:space="0"/>
              <w:right w:val="single" w:color="000000" w:sz="4" w:space="0"/>
            </w:tcBorders>
          </w:tcPr>
          <w:p>
            <w:pPr>
              <w:pStyle w:val="19"/>
              <w:spacing w:before="9"/>
              <w:ind w:left="8"/>
              <w:jc w:val="left"/>
              <w:rPr>
                <w:sz w:val="21"/>
              </w:rPr>
            </w:pPr>
            <w:r>
              <w:rPr>
                <w:sz w:val="21"/>
              </w:rPr>
              <w:t>系统</w:t>
            </w:r>
          </w:p>
        </w:tc>
        <w:tc>
          <w:tcPr>
            <w:tcW w:w="3900" w:type="dxa"/>
            <w:gridSpan w:val="2"/>
            <w:tcBorders>
              <w:top w:val="nil"/>
              <w:left w:val="single" w:color="000000" w:sz="4" w:space="0"/>
              <w:bottom w:val="single" w:color="000000" w:sz="4" w:space="0"/>
              <w:right w:val="single" w:color="000000" w:sz="4" w:space="0"/>
            </w:tcBorders>
          </w:tcPr>
          <w:p>
            <w:pPr>
              <w:pStyle w:val="19"/>
              <w:spacing w:before="9"/>
              <w:ind w:left="9"/>
              <w:jc w:val="left"/>
              <w:rPr>
                <w:sz w:val="21"/>
              </w:rPr>
            </w:pPr>
            <w:r>
              <w:rPr>
                <w:sz w:val="21"/>
              </w:rPr>
              <w:t>车公路外运采用全封闭车厢</w:t>
            </w: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 w:hRule="atLeast"/>
        </w:trPr>
        <w:tc>
          <w:tcPr>
            <w:tcW w:w="572" w:type="dxa"/>
            <w:tcBorders>
              <w:top w:val="nil"/>
              <w:bottom w:val="nil"/>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nil"/>
              <w:left w:val="single" w:color="000000" w:sz="4" w:space="0"/>
              <w:bottom w:val="nil"/>
              <w:right w:val="single" w:color="000000" w:sz="4" w:space="0"/>
            </w:tcBorders>
          </w:tcPr>
          <w:p>
            <w:pPr>
              <w:pStyle w:val="19"/>
              <w:spacing w:line="258" w:lineRule="exact"/>
              <w:ind w:left="43" w:right="26"/>
              <w:rPr>
                <w:sz w:val="21"/>
              </w:rPr>
            </w:pPr>
            <w:r>
              <w:rPr>
                <w:sz w:val="21"/>
              </w:rPr>
              <w:t>产品的</w:t>
            </w:r>
          </w:p>
        </w:tc>
        <w:tc>
          <w:tcPr>
            <w:tcW w:w="1068"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6541" w:type="dxa"/>
            <w:gridSpan w:val="3"/>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1165" w:type="dxa"/>
            <w:tcBorders>
              <w:top w:val="single" w:color="000000" w:sz="4" w:space="0"/>
              <w:left w:val="single" w:color="000000" w:sz="4" w:space="0"/>
              <w:bottom w:val="nil"/>
            </w:tcBorders>
          </w:tcPr>
          <w:p>
            <w:pPr>
              <w:pStyle w:val="19"/>
              <w:spacing w:line="259" w:lineRule="exact"/>
              <w:ind w:left="24" w:right="5"/>
              <w:rPr>
                <w:sz w:val="21"/>
              </w:rPr>
            </w:pPr>
            <w:r>
              <w:rPr>
                <w:sz w:val="21"/>
              </w:rPr>
              <w:t>不设立永久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4" w:hRule="atLeast"/>
        </w:trPr>
        <w:tc>
          <w:tcPr>
            <w:tcW w:w="572" w:type="dxa"/>
            <w:tcBorders>
              <w:top w:val="nil"/>
              <w:bottom w:val="nil"/>
              <w:right w:val="single" w:color="000000" w:sz="4" w:space="0"/>
            </w:tcBorders>
          </w:tcPr>
          <w:p>
            <w:pPr>
              <w:pStyle w:val="19"/>
              <w:spacing w:before="34"/>
              <w:ind w:left="56" w:right="38"/>
              <w:rPr>
                <w:rFonts w:ascii="Times New Roman"/>
                <w:sz w:val="21"/>
              </w:rPr>
            </w:pPr>
            <w:r>
              <w:rPr>
                <w:rFonts w:ascii="Times New Roman"/>
                <w:sz w:val="21"/>
              </w:rPr>
              <w:t>10</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nil"/>
              <w:left w:val="single" w:color="000000" w:sz="4" w:space="0"/>
              <w:bottom w:val="nil"/>
              <w:right w:val="single" w:color="000000" w:sz="4" w:space="0"/>
            </w:tcBorders>
          </w:tcPr>
          <w:p>
            <w:pPr>
              <w:pStyle w:val="19"/>
              <w:spacing w:before="15"/>
              <w:ind w:left="43" w:right="26"/>
              <w:rPr>
                <w:sz w:val="21"/>
              </w:rPr>
            </w:pPr>
            <w:r>
              <w:rPr>
                <w:sz w:val="21"/>
              </w:rPr>
              <w:t>储运方</w:t>
            </w:r>
          </w:p>
        </w:tc>
        <w:tc>
          <w:tcPr>
            <w:tcW w:w="1068" w:type="dxa"/>
            <w:tcBorders>
              <w:top w:val="nil"/>
              <w:left w:val="single" w:color="000000" w:sz="4" w:space="0"/>
              <w:bottom w:val="nil"/>
              <w:right w:val="single" w:color="000000" w:sz="4" w:space="0"/>
            </w:tcBorders>
          </w:tcPr>
          <w:p>
            <w:pPr>
              <w:pStyle w:val="19"/>
              <w:jc w:val="left"/>
              <w:rPr>
                <w:rFonts w:ascii="Times New Roman"/>
                <w:sz w:val="20"/>
              </w:rPr>
            </w:pPr>
          </w:p>
        </w:tc>
        <w:tc>
          <w:tcPr>
            <w:tcW w:w="835" w:type="dxa"/>
            <w:tcBorders>
              <w:top w:val="nil"/>
              <w:left w:val="single" w:color="000000" w:sz="4" w:space="0"/>
              <w:bottom w:val="nil"/>
              <w:right w:val="single" w:color="000000" w:sz="4" w:space="0"/>
            </w:tcBorders>
          </w:tcPr>
          <w:p>
            <w:pPr>
              <w:pStyle w:val="19"/>
              <w:jc w:val="left"/>
              <w:rPr>
                <w:rFonts w:ascii="Times New Roman"/>
                <w:sz w:val="20"/>
              </w:rPr>
            </w:pPr>
          </w:p>
        </w:tc>
        <w:tc>
          <w:tcPr>
            <w:tcW w:w="933" w:type="dxa"/>
            <w:tcBorders>
              <w:top w:val="nil"/>
              <w:left w:val="single" w:color="000000" w:sz="4" w:space="0"/>
              <w:bottom w:val="nil"/>
              <w:right w:val="single" w:color="000000" w:sz="4" w:space="0"/>
            </w:tcBorders>
          </w:tcPr>
          <w:p>
            <w:pPr>
              <w:pStyle w:val="19"/>
              <w:jc w:val="left"/>
              <w:rPr>
                <w:rFonts w:ascii="Times New Roman"/>
                <w:sz w:val="20"/>
              </w:rPr>
            </w:pPr>
          </w:p>
        </w:tc>
        <w:tc>
          <w:tcPr>
            <w:tcW w:w="6541" w:type="dxa"/>
            <w:gridSpan w:val="3"/>
            <w:tcBorders>
              <w:top w:val="nil"/>
              <w:left w:val="single" w:color="000000" w:sz="4" w:space="0"/>
              <w:bottom w:val="nil"/>
              <w:right w:val="single" w:color="000000" w:sz="4" w:space="0"/>
            </w:tcBorders>
          </w:tcPr>
          <w:p>
            <w:pPr>
              <w:pStyle w:val="19"/>
              <w:jc w:val="left"/>
              <w:rPr>
                <w:rFonts w:ascii="Times New Roman"/>
                <w:sz w:val="20"/>
              </w:rPr>
            </w:pPr>
          </w:p>
        </w:tc>
        <w:tc>
          <w:tcPr>
            <w:tcW w:w="1165" w:type="dxa"/>
            <w:tcBorders>
              <w:top w:val="nil"/>
              <w:left w:val="single" w:color="000000" w:sz="4" w:space="0"/>
              <w:bottom w:val="nil"/>
            </w:tcBorders>
          </w:tcPr>
          <w:p>
            <w:pPr>
              <w:pStyle w:val="19"/>
              <w:spacing w:before="23"/>
              <w:ind w:left="24" w:right="5"/>
              <w:rPr>
                <w:sz w:val="21"/>
              </w:rPr>
            </w:pPr>
            <w:r>
              <w:rPr>
                <w:sz w:val="21"/>
              </w:rPr>
              <w:t>矸石山，矸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7" w:hRule="atLeast"/>
        </w:trPr>
        <w:tc>
          <w:tcPr>
            <w:tcW w:w="572" w:type="dxa"/>
            <w:tcBorders>
              <w:top w:val="nil"/>
              <w:bottom w:val="nil"/>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nil"/>
              <w:left w:val="single" w:color="000000" w:sz="4" w:space="0"/>
              <w:bottom w:val="nil"/>
              <w:right w:val="single" w:color="000000" w:sz="4" w:space="0"/>
            </w:tcBorders>
          </w:tcPr>
          <w:p>
            <w:pPr>
              <w:pStyle w:val="19"/>
              <w:spacing w:before="8"/>
              <w:ind w:left="19"/>
              <w:rPr>
                <w:sz w:val="21"/>
              </w:rPr>
            </w:pPr>
            <w:r>
              <w:rPr>
                <w:w w:val="99"/>
                <w:sz w:val="21"/>
              </w:rPr>
              <w:t>式</w:t>
            </w:r>
          </w:p>
        </w:tc>
        <w:tc>
          <w:tcPr>
            <w:tcW w:w="1068" w:type="dxa"/>
            <w:tcBorders>
              <w:top w:val="nil"/>
              <w:left w:val="single" w:color="000000" w:sz="4" w:space="0"/>
              <w:bottom w:val="nil"/>
              <w:right w:val="single" w:color="000000" w:sz="4" w:space="0"/>
            </w:tcBorders>
          </w:tcPr>
          <w:p>
            <w:pPr>
              <w:pStyle w:val="19"/>
              <w:spacing w:before="178" w:line="290" w:lineRule="auto"/>
              <w:ind w:left="10" w:right="-15"/>
              <w:jc w:val="left"/>
              <w:rPr>
                <w:sz w:val="21"/>
              </w:rPr>
            </w:pPr>
            <w:r>
              <w:rPr>
                <w:spacing w:val="-3"/>
                <w:sz w:val="21"/>
              </w:rPr>
              <w:t>煤矸石、煤</w:t>
            </w:r>
            <w:r>
              <w:rPr>
                <w:sz w:val="21"/>
              </w:rPr>
              <w:t>泥</w:t>
            </w:r>
          </w:p>
        </w:tc>
        <w:tc>
          <w:tcPr>
            <w:tcW w:w="835" w:type="dxa"/>
            <w:tcBorders>
              <w:top w:val="nil"/>
              <w:left w:val="single" w:color="000000" w:sz="4" w:space="0"/>
              <w:bottom w:val="nil"/>
              <w:right w:val="single" w:color="000000" w:sz="4" w:space="0"/>
            </w:tcBorders>
          </w:tcPr>
          <w:p>
            <w:pPr>
              <w:pStyle w:val="19"/>
              <w:spacing w:before="8"/>
              <w:jc w:val="left"/>
              <w:rPr>
                <w:rFonts w:ascii="Times New Roman"/>
                <w:sz w:val="29"/>
              </w:rPr>
            </w:pPr>
          </w:p>
          <w:p>
            <w:pPr>
              <w:pStyle w:val="19"/>
              <w:ind w:left="18"/>
              <w:rPr>
                <w:sz w:val="21"/>
              </w:rPr>
            </w:pPr>
            <w:r>
              <w:rPr>
                <w:w w:val="99"/>
                <w:sz w:val="21"/>
              </w:rPr>
              <w:t>━</w:t>
            </w:r>
          </w:p>
        </w:tc>
        <w:tc>
          <w:tcPr>
            <w:tcW w:w="933" w:type="dxa"/>
            <w:tcBorders>
              <w:top w:val="nil"/>
              <w:left w:val="single" w:color="000000" w:sz="4" w:space="0"/>
              <w:bottom w:val="nil"/>
              <w:right w:val="single" w:color="000000" w:sz="4" w:space="0"/>
            </w:tcBorders>
          </w:tcPr>
          <w:p>
            <w:pPr>
              <w:pStyle w:val="19"/>
              <w:spacing w:before="1"/>
              <w:jc w:val="left"/>
              <w:rPr>
                <w:rFonts w:ascii="Times New Roman"/>
                <w:sz w:val="31"/>
              </w:rPr>
            </w:pPr>
          </w:p>
          <w:p>
            <w:pPr>
              <w:pStyle w:val="19"/>
              <w:ind w:left="266" w:right="248"/>
              <w:rPr>
                <w:rFonts w:ascii="Times New Roman"/>
                <w:sz w:val="21"/>
              </w:rPr>
            </w:pPr>
            <w:r>
              <w:rPr>
                <w:rFonts w:ascii="Times New Roman"/>
                <w:sz w:val="21"/>
              </w:rPr>
              <w:t>0.06</w:t>
            </w:r>
          </w:p>
        </w:tc>
        <w:tc>
          <w:tcPr>
            <w:tcW w:w="6541" w:type="dxa"/>
            <w:gridSpan w:val="3"/>
            <w:tcBorders>
              <w:top w:val="nil"/>
              <w:left w:val="single" w:color="000000" w:sz="4" w:space="0"/>
              <w:bottom w:val="nil"/>
              <w:right w:val="single" w:color="000000" w:sz="4" w:space="0"/>
            </w:tcBorders>
          </w:tcPr>
          <w:p>
            <w:pPr>
              <w:pStyle w:val="19"/>
              <w:spacing w:before="178" w:line="290" w:lineRule="auto"/>
              <w:ind w:left="8" w:right="-15"/>
              <w:jc w:val="left"/>
              <w:rPr>
                <w:sz w:val="21"/>
              </w:rPr>
            </w:pPr>
            <w:r>
              <w:rPr>
                <w:sz w:val="21"/>
              </w:rPr>
              <w:t>首先考虑综合利用，不能利用的暂时存于封闭或半封闭的储存设施，地面不设立永久矸石山，煤矸石、煤泥外运采用全封闭车厢</w:t>
            </w:r>
          </w:p>
        </w:tc>
        <w:tc>
          <w:tcPr>
            <w:tcW w:w="1165" w:type="dxa"/>
            <w:tcBorders>
              <w:top w:val="nil"/>
              <w:left w:val="single" w:color="000000" w:sz="4" w:space="0"/>
              <w:bottom w:val="nil"/>
            </w:tcBorders>
          </w:tcPr>
          <w:p>
            <w:pPr>
              <w:pStyle w:val="19"/>
              <w:spacing w:before="15"/>
              <w:ind w:left="163" w:hanging="104"/>
              <w:jc w:val="left"/>
              <w:rPr>
                <w:sz w:val="21"/>
              </w:rPr>
            </w:pPr>
            <w:r>
              <w:rPr>
                <w:w w:val="95"/>
                <w:sz w:val="21"/>
              </w:rPr>
              <w:t>石暂存于煤</w:t>
            </w:r>
          </w:p>
          <w:p>
            <w:pPr>
              <w:pStyle w:val="19"/>
              <w:spacing w:before="6" w:line="320" w:lineRule="atLeast"/>
              <w:ind w:left="60" w:right="38" w:firstLine="103"/>
              <w:jc w:val="left"/>
              <w:rPr>
                <w:sz w:val="21"/>
              </w:rPr>
            </w:pPr>
            <w:r>
              <w:rPr>
                <w:sz w:val="21"/>
              </w:rPr>
              <w:t>矸石暂存</w:t>
            </w:r>
            <w:r>
              <w:rPr>
                <w:spacing w:val="-3"/>
                <w:w w:val="95"/>
                <w:sz w:val="21"/>
              </w:rPr>
              <w:t>厂，用于铺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572" w:type="dxa"/>
            <w:tcBorders>
              <w:top w:val="nil"/>
              <w:bottom w:val="nil"/>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nil"/>
              <w:left w:val="single" w:color="000000" w:sz="4" w:space="0"/>
              <w:bottom w:val="nil"/>
              <w:right w:val="single" w:color="000000" w:sz="4" w:space="0"/>
            </w:tcBorders>
          </w:tcPr>
          <w:p>
            <w:pPr>
              <w:pStyle w:val="19"/>
              <w:jc w:val="left"/>
              <w:rPr>
                <w:rFonts w:ascii="Times New Roman"/>
                <w:sz w:val="20"/>
              </w:rPr>
            </w:pPr>
          </w:p>
        </w:tc>
        <w:tc>
          <w:tcPr>
            <w:tcW w:w="1068" w:type="dxa"/>
            <w:tcBorders>
              <w:top w:val="nil"/>
              <w:left w:val="single" w:color="000000" w:sz="4" w:space="0"/>
              <w:bottom w:val="nil"/>
              <w:right w:val="single" w:color="000000" w:sz="4" w:space="0"/>
            </w:tcBorders>
          </w:tcPr>
          <w:p>
            <w:pPr>
              <w:pStyle w:val="19"/>
              <w:jc w:val="left"/>
              <w:rPr>
                <w:rFonts w:ascii="Times New Roman"/>
                <w:sz w:val="20"/>
              </w:rPr>
            </w:pPr>
          </w:p>
        </w:tc>
        <w:tc>
          <w:tcPr>
            <w:tcW w:w="835" w:type="dxa"/>
            <w:tcBorders>
              <w:top w:val="nil"/>
              <w:left w:val="single" w:color="000000" w:sz="4" w:space="0"/>
              <w:bottom w:val="nil"/>
              <w:right w:val="single" w:color="000000" w:sz="4" w:space="0"/>
            </w:tcBorders>
          </w:tcPr>
          <w:p>
            <w:pPr>
              <w:pStyle w:val="19"/>
              <w:jc w:val="left"/>
              <w:rPr>
                <w:rFonts w:ascii="Times New Roman"/>
                <w:sz w:val="20"/>
              </w:rPr>
            </w:pPr>
          </w:p>
        </w:tc>
        <w:tc>
          <w:tcPr>
            <w:tcW w:w="933" w:type="dxa"/>
            <w:tcBorders>
              <w:top w:val="nil"/>
              <w:left w:val="single" w:color="000000" w:sz="4" w:space="0"/>
              <w:bottom w:val="nil"/>
              <w:right w:val="single" w:color="000000" w:sz="4" w:space="0"/>
            </w:tcBorders>
          </w:tcPr>
          <w:p>
            <w:pPr>
              <w:pStyle w:val="19"/>
              <w:jc w:val="left"/>
              <w:rPr>
                <w:rFonts w:ascii="Times New Roman"/>
                <w:sz w:val="20"/>
              </w:rPr>
            </w:pPr>
          </w:p>
        </w:tc>
        <w:tc>
          <w:tcPr>
            <w:tcW w:w="6541" w:type="dxa"/>
            <w:gridSpan w:val="3"/>
            <w:tcBorders>
              <w:top w:val="nil"/>
              <w:left w:val="single" w:color="000000" w:sz="4" w:space="0"/>
              <w:bottom w:val="nil"/>
              <w:right w:val="single" w:color="000000" w:sz="4" w:space="0"/>
            </w:tcBorders>
          </w:tcPr>
          <w:p>
            <w:pPr>
              <w:pStyle w:val="19"/>
              <w:jc w:val="left"/>
              <w:rPr>
                <w:rFonts w:ascii="Times New Roman"/>
                <w:sz w:val="20"/>
              </w:rPr>
            </w:pPr>
          </w:p>
        </w:tc>
        <w:tc>
          <w:tcPr>
            <w:tcW w:w="1165" w:type="dxa"/>
            <w:tcBorders>
              <w:top w:val="nil"/>
              <w:left w:val="single" w:color="000000" w:sz="4" w:space="0"/>
              <w:bottom w:val="nil"/>
            </w:tcBorders>
          </w:tcPr>
          <w:p>
            <w:pPr>
              <w:pStyle w:val="19"/>
              <w:spacing w:before="19" w:line="267" w:lineRule="exact"/>
              <w:ind w:left="24" w:right="5"/>
              <w:rPr>
                <w:sz w:val="21"/>
              </w:rPr>
            </w:pPr>
            <w:r>
              <w:rPr>
                <w:sz w:val="21"/>
              </w:rPr>
              <w:t>路及回填采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trPr>
        <w:tc>
          <w:tcPr>
            <w:tcW w:w="572" w:type="dxa"/>
            <w:tcBorders>
              <w:top w:val="nil"/>
              <w:bottom w:val="single" w:color="000000" w:sz="4" w:space="0"/>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1068"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835"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933"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6541" w:type="dxa"/>
            <w:gridSpan w:val="3"/>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1165" w:type="dxa"/>
            <w:tcBorders>
              <w:top w:val="nil"/>
              <w:left w:val="single" w:color="000000" w:sz="4" w:space="0"/>
              <w:bottom w:val="single" w:color="000000" w:sz="4" w:space="0"/>
            </w:tcBorders>
          </w:tcPr>
          <w:p>
            <w:pPr>
              <w:pStyle w:val="19"/>
              <w:spacing w:before="17"/>
              <w:ind w:left="22" w:right="5"/>
              <w:rPr>
                <w:sz w:val="21"/>
              </w:rPr>
            </w:pPr>
            <w:r>
              <w:rPr>
                <w:sz w:val="21"/>
              </w:rPr>
              <w:t>空区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2" w:hRule="atLeast"/>
        </w:trPr>
        <w:tc>
          <w:tcPr>
            <w:tcW w:w="572" w:type="dxa"/>
            <w:tcBorders>
              <w:top w:val="single" w:color="000000" w:sz="4" w:space="0"/>
              <w:right w:val="single" w:color="000000" w:sz="4" w:space="0"/>
            </w:tcBorders>
          </w:tcPr>
          <w:p>
            <w:pPr>
              <w:pStyle w:val="19"/>
              <w:spacing w:before="19"/>
              <w:ind w:left="56" w:right="38"/>
              <w:rPr>
                <w:rFonts w:ascii="Times New Roman"/>
                <w:sz w:val="21"/>
              </w:rPr>
            </w:pPr>
            <w:r>
              <w:rPr>
                <w:rFonts w:ascii="Times New Roman"/>
                <w:sz w:val="21"/>
              </w:rPr>
              <w:t>11</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right w:val="single" w:color="000000" w:sz="4" w:space="0"/>
            </w:tcBorders>
          </w:tcPr>
          <w:p>
            <w:pPr>
              <w:pStyle w:val="19"/>
              <w:spacing w:before="3"/>
              <w:ind w:left="282"/>
              <w:jc w:val="left"/>
              <w:rPr>
                <w:sz w:val="21"/>
              </w:rPr>
            </w:pPr>
            <w:r>
              <w:rPr>
                <w:sz w:val="21"/>
              </w:rPr>
              <w:t>选煤工艺装备</w:t>
            </w:r>
          </w:p>
        </w:tc>
        <w:tc>
          <w:tcPr>
            <w:tcW w:w="835" w:type="dxa"/>
            <w:tcBorders>
              <w:top w:val="single" w:color="000000" w:sz="4" w:space="0"/>
              <w:left w:val="single" w:color="000000" w:sz="4" w:space="0"/>
              <w:right w:val="single" w:color="000000" w:sz="4" w:space="0"/>
            </w:tcBorders>
          </w:tcPr>
          <w:p>
            <w:pPr>
              <w:pStyle w:val="19"/>
              <w:spacing w:before="3"/>
              <w:ind w:left="18"/>
              <w:rPr>
                <w:sz w:val="21"/>
              </w:rPr>
            </w:pPr>
            <w:r>
              <w:rPr>
                <w:w w:val="99"/>
                <w:sz w:val="21"/>
              </w:rPr>
              <w:t>━</w:t>
            </w:r>
          </w:p>
        </w:tc>
        <w:tc>
          <w:tcPr>
            <w:tcW w:w="933" w:type="dxa"/>
            <w:tcBorders>
              <w:top w:val="single" w:color="000000" w:sz="4" w:space="0"/>
              <w:left w:val="single" w:color="000000" w:sz="4" w:space="0"/>
              <w:right w:val="single" w:color="000000" w:sz="4" w:space="0"/>
            </w:tcBorders>
          </w:tcPr>
          <w:p>
            <w:pPr>
              <w:pStyle w:val="19"/>
              <w:spacing w:before="19"/>
              <w:ind w:left="266" w:right="248"/>
              <w:rPr>
                <w:rFonts w:ascii="Times New Roman"/>
                <w:sz w:val="21"/>
              </w:rPr>
            </w:pPr>
            <w:r>
              <w:rPr>
                <w:rFonts w:ascii="Times New Roman"/>
                <w:sz w:val="21"/>
              </w:rPr>
              <w:t>0.08</w:t>
            </w:r>
          </w:p>
        </w:tc>
        <w:tc>
          <w:tcPr>
            <w:tcW w:w="4520" w:type="dxa"/>
            <w:gridSpan w:val="2"/>
            <w:tcBorders>
              <w:top w:val="single" w:color="000000" w:sz="4" w:space="0"/>
              <w:left w:val="single" w:color="000000" w:sz="4" w:space="0"/>
              <w:right w:val="single" w:color="000000" w:sz="4" w:space="0"/>
            </w:tcBorders>
          </w:tcPr>
          <w:p>
            <w:pPr>
              <w:pStyle w:val="19"/>
              <w:spacing w:before="3"/>
              <w:ind w:left="8" w:right="-15"/>
              <w:jc w:val="left"/>
              <w:rPr>
                <w:sz w:val="21"/>
              </w:rPr>
            </w:pPr>
            <w:r>
              <w:rPr>
                <w:spacing w:val="3"/>
                <w:w w:val="95"/>
                <w:sz w:val="21"/>
              </w:rPr>
              <w:t>采用先进的选煤工艺和设备，实现数量、质量自</w:t>
            </w:r>
          </w:p>
        </w:tc>
        <w:tc>
          <w:tcPr>
            <w:tcW w:w="2021" w:type="dxa"/>
            <w:tcBorders>
              <w:top w:val="single" w:color="000000" w:sz="4" w:space="0"/>
              <w:left w:val="single" w:color="000000" w:sz="4" w:space="0"/>
              <w:right w:val="single" w:color="000000" w:sz="4" w:space="0"/>
            </w:tcBorders>
          </w:tcPr>
          <w:p>
            <w:pPr>
              <w:pStyle w:val="19"/>
              <w:spacing w:before="3"/>
              <w:ind w:left="45" w:right="20"/>
              <w:rPr>
                <w:sz w:val="21"/>
              </w:rPr>
            </w:pPr>
            <w:r>
              <w:rPr>
                <w:spacing w:val="12"/>
                <w:w w:val="95"/>
                <w:sz w:val="21"/>
              </w:rPr>
              <w:t>采用成熟的选煤工艺</w:t>
            </w:r>
          </w:p>
        </w:tc>
        <w:tc>
          <w:tcPr>
            <w:tcW w:w="1165" w:type="dxa"/>
            <w:tcBorders>
              <w:top w:val="single" w:color="000000" w:sz="4" w:space="0"/>
              <w:left w:val="single" w:color="000000" w:sz="4" w:space="0"/>
            </w:tcBorders>
          </w:tcPr>
          <w:p>
            <w:pPr>
              <w:pStyle w:val="19"/>
              <w:spacing w:before="19"/>
              <w:ind w:left="19"/>
              <w:rPr>
                <w:rFonts w:ascii="Times New Roman"/>
                <w:sz w:val="21"/>
              </w:rPr>
            </w:pPr>
            <w:r>
              <w:rPr>
                <w:rFonts w:ascii="Times New Roman"/>
                <w:w w:val="99"/>
                <w:sz w:val="21"/>
              </w:rPr>
              <w:t>-</w:t>
            </w:r>
          </w:p>
        </w:tc>
      </w:tr>
    </w:tbl>
    <w:p>
      <w:pPr>
        <w:spacing w:after="0"/>
        <w:rPr>
          <w:rFonts w:ascii="Times New Roman"/>
          <w:sz w:val="21"/>
        </w:rPr>
        <w:sectPr>
          <w:pgSz w:w="16840" w:h="11910" w:orient="landscape"/>
          <w:pgMar w:top="1100" w:right="1280" w:bottom="800" w:left="1280" w:header="0" w:footer="601" w:gutter="0"/>
        </w:sectPr>
      </w:pPr>
    </w:p>
    <w:p>
      <w:pPr>
        <w:pStyle w:val="9"/>
        <w:spacing w:before="1"/>
        <w:rPr>
          <w:rFonts w:ascii="Times New Roman"/>
          <w:sz w:val="27"/>
        </w:rPr>
      </w:pPr>
    </w:p>
    <w:tbl>
      <w:tblPr>
        <w:tblStyle w:val="15"/>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750"/>
        <w:gridCol w:w="106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9"/>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9"/>
              <w:spacing w:before="2"/>
              <w:ind w:left="16"/>
              <w:rPr>
                <w:sz w:val="21"/>
              </w:rPr>
            </w:pPr>
            <w:r>
              <w:rPr>
                <w:sz w:val="21"/>
              </w:rPr>
              <w:t>一级指标指</w:t>
            </w:r>
          </w:p>
          <w:p>
            <w:pPr>
              <w:pStyle w:val="19"/>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9"/>
              <w:spacing w:before="2"/>
              <w:ind w:left="13" w:right="-15"/>
              <w:rPr>
                <w:sz w:val="21"/>
              </w:rPr>
            </w:pPr>
            <w:r>
              <w:rPr>
                <w:sz w:val="21"/>
              </w:rPr>
              <w:t>一级指标权</w:t>
            </w:r>
          </w:p>
          <w:p>
            <w:pPr>
              <w:pStyle w:val="19"/>
              <w:spacing w:before="55"/>
              <w:ind w:left="306" w:right="290"/>
              <w:rPr>
                <w:sz w:val="21"/>
              </w:rPr>
            </w:pPr>
            <w:r>
              <w:rPr>
                <w:sz w:val="21"/>
              </w:rPr>
              <w:t>重值</w:t>
            </w:r>
          </w:p>
        </w:tc>
        <w:tc>
          <w:tcPr>
            <w:tcW w:w="1818" w:type="dxa"/>
            <w:gridSpan w:val="2"/>
            <w:tcBorders>
              <w:left w:val="single" w:color="000000" w:sz="4" w:space="0"/>
              <w:bottom w:val="single" w:color="000000" w:sz="4" w:space="0"/>
              <w:right w:val="single" w:color="000000" w:sz="4" w:space="0"/>
            </w:tcBorders>
          </w:tcPr>
          <w:p>
            <w:pPr>
              <w:pStyle w:val="19"/>
              <w:spacing w:before="165"/>
              <w:ind w:left="179"/>
              <w:jc w:val="left"/>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9"/>
              <w:spacing w:before="165"/>
              <w:ind w:right="193"/>
              <w:jc w:val="right"/>
              <w:rPr>
                <w:sz w:val="21"/>
              </w:rPr>
            </w:pPr>
            <w:r>
              <w:rPr>
                <w:w w:val="95"/>
                <w:sz w:val="21"/>
              </w:rPr>
              <w:t>单位</w:t>
            </w:r>
          </w:p>
        </w:tc>
        <w:tc>
          <w:tcPr>
            <w:tcW w:w="933" w:type="dxa"/>
            <w:tcBorders>
              <w:left w:val="single" w:color="000000" w:sz="4" w:space="0"/>
              <w:bottom w:val="single" w:color="000000" w:sz="4" w:space="0"/>
              <w:right w:val="single" w:color="000000" w:sz="4" w:space="0"/>
            </w:tcBorders>
          </w:tcPr>
          <w:p>
            <w:pPr>
              <w:pStyle w:val="19"/>
              <w:spacing w:before="2"/>
              <w:ind w:left="51"/>
              <w:jc w:val="left"/>
              <w:rPr>
                <w:sz w:val="21"/>
              </w:rPr>
            </w:pPr>
            <w:r>
              <w:rPr>
                <w:w w:val="95"/>
                <w:sz w:val="21"/>
              </w:rPr>
              <w:t>二级指标</w:t>
            </w:r>
          </w:p>
          <w:p>
            <w:pPr>
              <w:pStyle w:val="19"/>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9"/>
              <w:spacing w:before="165"/>
              <w:ind w:left="800"/>
              <w:jc w:val="left"/>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9"/>
              <w:spacing w:before="165"/>
              <w:ind w:left="397" w:right="382"/>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9"/>
              <w:spacing w:before="165"/>
              <w:ind w:left="35" w:right="20"/>
              <w:rPr>
                <w:sz w:val="21"/>
              </w:rPr>
            </w:pPr>
            <w:r>
              <w:rPr>
                <w:sz w:val="21"/>
              </w:rPr>
              <w:t>Ⅲ级基准值</w:t>
            </w:r>
          </w:p>
        </w:tc>
        <w:tc>
          <w:tcPr>
            <w:tcW w:w="1165" w:type="dxa"/>
            <w:tcBorders>
              <w:left w:val="single" w:color="000000" w:sz="4" w:space="0"/>
              <w:bottom w:val="single" w:color="000000" w:sz="4" w:space="0"/>
            </w:tcBorders>
          </w:tcPr>
          <w:p>
            <w:pPr>
              <w:pStyle w:val="19"/>
              <w:spacing w:before="2"/>
              <w:ind w:left="24" w:right="5"/>
              <w:rPr>
                <w:sz w:val="21"/>
              </w:rPr>
            </w:pPr>
            <w:r>
              <w:rPr>
                <w:sz w:val="21"/>
              </w:rPr>
              <w:t>本煤矿扩建</w:t>
            </w:r>
          </w:p>
          <w:p>
            <w:pPr>
              <w:pStyle w:val="19"/>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572" w:type="dxa"/>
            <w:tcBorders>
              <w:top w:val="single" w:color="000000" w:sz="4" w:space="0"/>
              <w:bottom w:val="single" w:color="000000" w:sz="4" w:space="0"/>
              <w:right w:val="single" w:color="000000" w:sz="4" w:space="0"/>
            </w:tcBorders>
          </w:tcPr>
          <w:p>
            <w:pPr>
              <w:pStyle w:val="19"/>
              <w:jc w:val="left"/>
              <w:rPr>
                <w:rFonts w:ascii="Times New Roman"/>
                <w:sz w:val="20"/>
              </w:rPr>
            </w:pPr>
          </w:p>
        </w:tc>
        <w:tc>
          <w:tcPr>
            <w:tcW w:w="1090" w:type="dxa"/>
            <w:vMerge w:val="restart"/>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068" w:type="dxa"/>
            <w:vMerge w:val="restart"/>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83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933"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4520" w:type="dxa"/>
            <w:gridSpan w:val="2"/>
            <w:tcBorders>
              <w:top w:val="single" w:color="000000" w:sz="4" w:space="0"/>
              <w:left w:val="single" w:color="000000" w:sz="4" w:space="0"/>
              <w:bottom w:val="single" w:color="000000" w:sz="4" w:space="0"/>
              <w:right w:val="single" w:color="000000" w:sz="4" w:space="0"/>
            </w:tcBorders>
          </w:tcPr>
          <w:p>
            <w:pPr>
              <w:pStyle w:val="19"/>
              <w:ind w:left="8"/>
              <w:jc w:val="left"/>
              <w:rPr>
                <w:sz w:val="21"/>
              </w:rPr>
            </w:pPr>
            <w:r>
              <w:rPr>
                <w:sz w:val="21"/>
              </w:rPr>
              <w:t>动监测控制和信息化管理</w:t>
            </w:r>
          </w:p>
        </w:tc>
        <w:tc>
          <w:tcPr>
            <w:tcW w:w="2021" w:type="dxa"/>
            <w:tcBorders>
              <w:top w:val="single" w:color="000000" w:sz="4" w:space="0"/>
              <w:left w:val="single" w:color="000000" w:sz="4" w:space="0"/>
              <w:bottom w:val="single" w:color="000000" w:sz="4" w:space="0"/>
              <w:right w:val="single" w:color="000000" w:sz="4" w:space="0"/>
            </w:tcBorders>
          </w:tcPr>
          <w:p>
            <w:pPr>
              <w:pStyle w:val="19"/>
              <w:ind w:left="10" w:right="-15"/>
              <w:jc w:val="left"/>
              <w:rPr>
                <w:sz w:val="21"/>
              </w:rPr>
            </w:pPr>
            <w:r>
              <w:rPr>
                <w:spacing w:val="-10"/>
                <w:w w:val="95"/>
                <w:sz w:val="21"/>
              </w:rPr>
              <w:t>和设备，实现单元作业</w:t>
            </w:r>
          </w:p>
          <w:p>
            <w:pPr>
              <w:pStyle w:val="19"/>
              <w:spacing w:before="7" w:line="320" w:lineRule="atLeast"/>
              <w:ind w:left="10" w:right="-15"/>
              <w:jc w:val="left"/>
              <w:rPr>
                <w:sz w:val="21"/>
              </w:rPr>
            </w:pPr>
            <w:r>
              <w:rPr>
                <w:spacing w:val="-9"/>
                <w:w w:val="95"/>
                <w:sz w:val="21"/>
              </w:rPr>
              <w:t>操作程序自动化，设有</w:t>
            </w:r>
            <w:r>
              <w:rPr>
                <w:spacing w:val="-9"/>
                <w:sz w:val="21"/>
              </w:rPr>
              <w:t>全过程自动控制手段</w:t>
            </w:r>
          </w:p>
        </w:tc>
        <w:tc>
          <w:tcPr>
            <w:tcW w:w="1165" w:type="dxa"/>
            <w:tcBorders>
              <w:top w:val="single" w:color="000000" w:sz="4" w:space="0"/>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9"/>
              <w:spacing w:before="25"/>
              <w:ind w:left="56" w:right="38"/>
              <w:rPr>
                <w:rFonts w:ascii="Times New Roman"/>
                <w:sz w:val="21"/>
              </w:rPr>
            </w:pPr>
            <w:r>
              <w:rPr>
                <w:rFonts w:ascii="Times New Roman"/>
                <w:sz w:val="21"/>
              </w:rPr>
              <w:t>12</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9"/>
              <w:spacing w:before="6"/>
              <w:ind w:left="388"/>
              <w:jc w:val="left"/>
              <w:rPr>
                <w:sz w:val="21"/>
              </w:rPr>
            </w:pPr>
            <w:r>
              <w:rPr>
                <w:sz w:val="21"/>
              </w:rPr>
              <w:t>煤泥水管理</w:t>
            </w:r>
          </w:p>
        </w:tc>
        <w:tc>
          <w:tcPr>
            <w:tcW w:w="835" w:type="dxa"/>
            <w:tcBorders>
              <w:top w:val="single" w:color="000000" w:sz="4" w:space="0"/>
              <w:left w:val="single" w:color="000000" w:sz="4" w:space="0"/>
              <w:bottom w:val="single" w:color="000000" w:sz="4" w:space="0"/>
              <w:right w:val="single" w:color="000000" w:sz="4" w:space="0"/>
            </w:tcBorders>
          </w:tcPr>
          <w:p>
            <w:pPr>
              <w:pStyle w:val="19"/>
              <w:spacing w:before="6"/>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9"/>
              <w:spacing w:before="25"/>
              <w:ind w:left="266" w:right="248"/>
              <w:rPr>
                <w:rFonts w:ascii="Times New Roman"/>
                <w:sz w:val="21"/>
              </w:rPr>
            </w:pPr>
            <w:r>
              <w:rPr>
                <w:rFonts w:ascii="Times New Roman"/>
                <w:sz w:val="21"/>
              </w:rPr>
              <w:t>0.06</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9"/>
              <w:spacing w:before="6"/>
              <w:ind w:left="8"/>
              <w:jc w:val="left"/>
              <w:rPr>
                <w:sz w:val="21"/>
              </w:rPr>
            </w:pPr>
            <w:r>
              <w:rPr>
                <w:sz w:val="21"/>
              </w:rPr>
              <w:t>洗水一级闭路循环、煤泥全部利用或无害化处置</w:t>
            </w:r>
          </w:p>
        </w:tc>
        <w:tc>
          <w:tcPr>
            <w:tcW w:w="1165" w:type="dxa"/>
            <w:tcBorders>
              <w:top w:val="single" w:color="000000" w:sz="4" w:space="0"/>
              <w:left w:val="single" w:color="000000" w:sz="4" w:space="0"/>
              <w:bottom w:val="single" w:color="000000" w:sz="4" w:space="0"/>
            </w:tcBorders>
          </w:tcPr>
          <w:p>
            <w:pPr>
              <w:pStyle w:val="19"/>
              <w:spacing w:before="25"/>
              <w:ind w:left="19"/>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9"/>
              <w:spacing w:before="25"/>
              <w:ind w:left="56" w:right="38"/>
              <w:rPr>
                <w:rFonts w:ascii="Times New Roman"/>
                <w:sz w:val="21"/>
              </w:rPr>
            </w:pPr>
            <w:r>
              <w:rPr>
                <w:rFonts w:ascii="Times New Roman"/>
                <w:sz w:val="21"/>
              </w:rPr>
              <w:t>13</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9"/>
              <w:spacing w:before="7"/>
              <w:ind w:left="73"/>
              <w:jc w:val="left"/>
              <w:rPr>
                <w:sz w:val="21"/>
              </w:rPr>
            </w:pPr>
            <w:r>
              <w:rPr>
                <w:sz w:val="21"/>
              </w:rPr>
              <w:t>矿井瓦斯抽采要求</w:t>
            </w:r>
          </w:p>
        </w:tc>
        <w:tc>
          <w:tcPr>
            <w:tcW w:w="835" w:type="dxa"/>
            <w:tcBorders>
              <w:top w:val="single" w:color="000000" w:sz="4" w:space="0"/>
              <w:left w:val="single" w:color="000000" w:sz="4" w:space="0"/>
              <w:bottom w:val="single" w:color="000000" w:sz="4" w:space="0"/>
              <w:right w:val="single" w:color="000000" w:sz="4" w:space="0"/>
            </w:tcBorders>
          </w:tcPr>
          <w:p>
            <w:pPr>
              <w:pStyle w:val="19"/>
              <w:spacing w:before="7"/>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9"/>
              <w:spacing w:before="25"/>
              <w:ind w:left="266" w:right="248"/>
              <w:rPr>
                <w:rFonts w:ascii="Times New Roman"/>
                <w:sz w:val="21"/>
              </w:rPr>
            </w:pPr>
            <w:r>
              <w:rPr>
                <w:rFonts w:ascii="Times New Roman"/>
                <w:sz w:val="21"/>
              </w:rPr>
              <w:t>0.06</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9"/>
              <w:spacing w:before="7"/>
              <w:ind w:left="8"/>
              <w:jc w:val="left"/>
              <w:rPr>
                <w:sz w:val="21"/>
              </w:rPr>
            </w:pPr>
            <w:r>
              <w:rPr>
                <w:sz w:val="21"/>
              </w:rPr>
              <w:t>符合《煤矿瓦斯抽采达标暂行规定》等相关要求</w:t>
            </w:r>
          </w:p>
        </w:tc>
        <w:tc>
          <w:tcPr>
            <w:tcW w:w="1165" w:type="dxa"/>
            <w:tcBorders>
              <w:top w:val="single" w:color="000000" w:sz="4" w:space="0"/>
              <w:left w:val="single" w:color="000000" w:sz="4" w:space="0"/>
              <w:bottom w:val="single" w:color="000000" w:sz="4" w:space="0"/>
            </w:tcBorders>
          </w:tcPr>
          <w:p>
            <w:pPr>
              <w:pStyle w:val="19"/>
              <w:spacing w:before="25"/>
              <w:ind w:left="19"/>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6" w:hRule="atLeast"/>
        </w:trPr>
        <w:tc>
          <w:tcPr>
            <w:tcW w:w="572" w:type="dxa"/>
            <w:tcBorders>
              <w:top w:val="single" w:color="000000" w:sz="4" w:space="0"/>
              <w:bottom w:val="single" w:color="000000" w:sz="4" w:space="0"/>
              <w:right w:val="single" w:color="000000" w:sz="4" w:space="0"/>
            </w:tcBorders>
          </w:tcPr>
          <w:p>
            <w:pPr>
              <w:pStyle w:val="19"/>
              <w:jc w:val="left"/>
              <w:rPr>
                <w:rFonts w:ascii="Times New Roman"/>
                <w:sz w:val="22"/>
              </w:rPr>
            </w:pPr>
          </w:p>
          <w:p>
            <w:pPr>
              <w:pStyle w:val="19"/>
              <w:spacing w:before="2"/>
              <w:jc w:val="left"/>
              <w:rPr>
                <w:rFonts w:ascii="Times New Roman"/>
                <w:sz w:val="22"/>
              </w:rPr>
            </w:pPr>
          </w:p>
          <w:p>
            <w:pPr>
              <w:pStyle w:val="19"/>
              <w:ind w:left="56" w:right="38"/>
              <w:rPr>
                <w:rFonts w:ascii="Times New Roman"/>
                <w:sz w:val="21"/>
              </w:rPr>
            </w:pPr>
            <w:r>
              <w:rPr>
                <w:rFonts w:ascii="Times New Roman"/>
                <w:sz w:val="21"/>
              </w:rPr>
              <w:t>14</w:t>
            </w:r>
          </w:p>
        </w:tc>
        <w:tc>
          <w:tcPr>
            <w:tcW w:w="1090" w:type="dxa"/>
            <w:vMerge w:val="restart"/>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spacing w:before="5"/>
              <w:jc w:val="left"/>
              <w:rPr>
                <w:rFonts w:ascii="Times New Roman"/>
                <w:sz w:val="25"/>
              </w:rPr>
            </w:pPr>
          </w:p>
          <w:p>
            <w:pPr>
              <w:pStyle w:val="19"/>
              <w:spacing w:line="290" w:lineRule="auto"/>
              <w:ind w:left="129" w:right="110"/>
              <w:jc w:val="both"/>
              <w:rPr>
                <w:sz w:val="21"/>
              </w:rPr>
            </w:pPr>
            <w:r>
              <w:rPr>
                <w:sz w:val="21"/>
              </w:rPr>
              <w:t>（二）资源能源消耗指标</w:t>
            </w:r>
          </w:p>
        </w:tc>
        <w:tc>
          <w:tcPr>
            <w:tcW w:w="1068" w:type="dxa"/>
            <w:vMerge w:val="restart"/>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spacing w:before="5"/>
              <w:jc w:val="left"/>
              <w:rPr>
                <w:rFonts w:ascii="Times New Roman"/>
                <w:sz w:val="21"/>
              </w:rPr>
            </w:pPr>
          </w:p>
          <w:p>
            <w:pPr>
              <w:pStyle w:val="19"/>
              <w:ind w:left="307" w:right="288"/>
              <w:rPr>
                <w:rFonts w:ascii="Times New Roman"/>
                <w:sz w:val="21"/>
              </w:rPr>
            </w:pPr>
            <w:r>
              <w:rPr>
                <w:rFonts w:ascii="Times New Roman"/>
                <w:sz w:val="21"/>
              </w:rPr>
              <w:t>0.2</w:t>
            </w:r>
          </w:p>
        </w:tc>
        <w:tc>
          <w:tcPr>
            <w:tcW w:w="1818" w:type="dxa"/>
            <w:gridSpan w:val="2"/>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2"/>
              </w:rPr>
            </w:pPr>
          </w:p>
          <w:p>
            <w:pPr>
              <w:pStyle w:val="19"/>
              <w:spacing w:before="9"/>
              <w:jc w:val="left"/>
              <w:rPr>
                <w:rFonts w:ascii="Times New Roman"/>
                <w:sz w:val="20"/>
              </w:rPr>
            </w:pPr>
          </w:p>
          <w:p>
            <w:pPr>
              <w:pStyle w:val="19"/>
              <w:ind w:left="335"/>
              <w:jc w:val="left"/>
              <w:rPr>
                <w:sz w:val="21"/>
              </w:rPr>
            </w:pPr>
            <w:r>
              <w:rPr>
                <w:rFonts w:ascii="Times New Roman" w:eastAsia="Times New Roman"/>
                <w:sz w:val="21"/>
              </w:rPr>
              <w:t>*</w:t>
            </w:r>
            <w:r>
              <w:rPr>
                <w:sz w:val="21"/>
              </w:rPr>
              <w:t>采区回采率</w:t>
            </w:r>
          </w:p>
        </w:tc>
        <w:tc>
          <w:tcPr>
            <w:tcW w:w="83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p>
            <w:pPr>
              <w:pStyle w:val="19"/>
              <w:spacing w:before="9"/>
              <w:jc w:val="left"/>
              <w:rPr>
                <w:rFonts w:ascii="Times New Roman"/>
                <w:sz w:val="22"/>
              </w:rPr>
            </w:pPr>
          </w:p>
          <w:p>
            <w:pPr>
              <w:pStyle w:val="19"/>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2"/>
              </w:rPr>
            </w:pPr>
          </w:p>
          <w:p>
            <w:pPr>
              <w:pStyle w:val="19"/>
              <w:spacing w:before="2"/>
              <w:jc w:val="left"/>
              <w:rPr>
                <w:rFonts w:ascii="Times New Roman"/>
                <w:sz w:val="22"/>
              </w:rPr>
            </w:pPr>
          </w:p>
          <w:p>
            <w:pPr>
              <w:pStyle w:val="19"/>
              <w:ind w:left="266" w:right="248"/>
              <w:rPr>
                <w:rFonts w:ascii="Times New Roman"/>
                <w:sz w:val="21"/>
              </w:rPr>
            </w:pPr>
            <w:r>
              <w:rPr>
                <w:rFonts w:ascii="Times New Roman"/>
                <w:sz w:val="21"/>
              </w:rPr>
              <w:t>0.3</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p>
            <w:pPr>
              <w:pStyle w:val="19"/>
              <w:spacing w:before="9"/>
              <w:jc w:val="left"/>
              <w:rPr>
                <w:rFonts w:ascii="Times New Roman"/>
                <w:sz w:val="22"/>
              </w:rPr>
            </w:pPr>
          </w:p>
          <w:p>
            <w:pPr>
              <w:pStyle w:val="19"/>
              <w:ind w:left="8"/>
              <w:jc w:val="left"/>
              <w:rPr>
                <w:sz w:val="21"/>
              </w:rPr>
            </w:pPr>
            <w:r>
              <w:rPr>
                <w:sz w:val="21"/>
              </w:rPr>
              <w:t>满足《生产煤矿回采率管理暂行规定》的要求</w:t>
            </w:r>
          </w:p>
        </w:tc>
        <w:tc>
          <w:tcPr>
            <w:tcW w:w="1165" w:type="dxa"/>
            <w:tcBorders>
              <w:top w:val="single" w:color="000000" w:sz="4" w:space="0"/>
              <w:left w:val="single" w:color="000000" w:sz="4" w:space="0"/>
              <w:bottom w:val="single" w:color="000000" w:sz="4" w:space="0"/>
            </w:tcBorders>
          </w:tcPr>
          <w:p>
            <w:pPr>
              <w:pStyle w:val="19"/>
              <w:spacing w:line="292" w:lineRule="auto"/>
              <w:ind w:left="60" w:right="38"/>
              <w:jc w:val="both"/>
              <w:rPr>
                <w:sz w:val="21"/>
              </w:rPr>
            </w:pPr>
            <w:r>
              <w:rPr>
                <w:spacing w:val="-3"/>
                <w:sz w:val="21"/>
              </w:rPr>
              <w:t>满足《生产煤矿回采率</w:t>
            </w:r>
            <w:r>
              <w:rPr>
                <w:spacing w:val="-3"/>
                <w:w w:val="95"/>
                <w:sz w:val="21"/>
              </w:rPr>
              <w:t>管理暂行规</w:t>
            </w:r>
          </w:p>
          <w:p>
            <w:pPr>
              <w:pStyle w:val="19"/>
              <w:spacing w:line="266" w:lineRule="exact"/>
              <w:ind w:left="60"/>
              <w:jc w:val="left"/>
              <w:rPr>
                <w:sz w:val="21"/>
              </w:rPr>
            </w:pPr>
            <w:r>
              <w:rPr>
                <w:w w:val="95"/>
                <w:sz w:val="21"/>
              </w:rPr>
              <w:t>定》的要求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1" w:hRule="atLeast"/>
        </w:trPr>
        <w:tc>
          <w:tcPr>
            <w:tcW w:w="572" w:type="dxa"/>
            <w:tcBorders>
              <w:top w:val="single" w:color="000000" w:sz="4" w:space="0"/>
              <w:bottom w:val="single" w:color="000000" w:sz="4" w:space="0"/>
              <w:right w:val="single" w:color="000000" w:sz="4" w:space="0"/>
            </w:tcBorders>
          </w:tcPr>
          <w:p>
            <w:pPr>
              <w:pStyle w:val="19"/>
              <w:jc w:val="left"/>
              <w:rPr>
                <w:rFonts w:ascii="Times New Roman"/>
                <w:sz w:val="30"/>
              </w:rPr>
            </w:pPr>
          </w:p>
          <w:p>
            <w:pPr>
              <w:pStyle w:val="19"/>
              <w:ind w:left="56" w:right="38"/>
              <w:rPr>
                <w:rFonts w:ascii="Times New Roman"/>
                <w:sz w:val="21"/>
              </w:rPr>
            </w:pPr>
            <w:r>
              <w:rPr>
                <w:rFonts w:ascii="Times New Roman"/>
                <w:sz w:val="21"/>
              </w:rPr>
              <w:t>15</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9"/>
              <w:spacing w:before="5"/>
              <w:jc w:val="left"/>
              <w:rPr>
                <w:rFonts w:ascii="Times New Roman"/>
                <w:sz w:val="28"/>
              </w:rPr>
            </w:pPr>
          </w:p>
          <w:p>
            <w:pPr>
              <w:pStyle w:val="19"/>
              <w:ind w:left="20"/>
              <w:jc w:val="left"/>
              <w:rPr>
                <w:sz w:val="21"/>
              </w:rPr>
            </w:pPr>
            <w:r>
              <w:rPr>
                <w:rFonts w:ascii="Times New Roman" w:eastAsia="Times New Roman"/>
                <w:sz w:val="21"/>
              </w:rPr>
              <w:t>*</w:t>
            </w:r>
            <w:r>
              <w:rPr>
                <w:sz w:val="21"/>
              </w:rPr>
              <w:t>原煤生产综合能耗</w:t>
            </w:r>
          </w:p>
        </w:tc>
        <w:tc>
          <w:tcPr>
            <w:tcW w:w="83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30"/>
              </w:rPr>
            </w:pPr>
          </w:p>
          <w:p>
            <w:pPr>
              <w:pStyle w:val="19"/>
              <w:ind w:right="145"/>
              <w:jc w:val="right"/>
              <w:rPr>
                <w:rFonts w:ascii="Times New Roman"/>
                <w:sz w:val="21"/>
              </w:rPr>
            </w:pPr>
            <w:r>
              <w:rPr>
                <w:rFonts w:ascii="Times New Roman"/>
                <w:sz w:val="21"/>
              </w:rPr>
              <w:t>kgce/t</w:t>
            </w:r>
          </w:p>
        </w:tc>
        <w:tc>
          <w:tcPr>
            <w:tcW w:w="933"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30"/>
              </w:rPr>
            </w:pPr>
          </w:p>
          <w:p>
            <w:pPr>
              <w:pStyle w:val="19"/>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9"/>
              <w:spacing w:before="5"/>
              <w:jc w:val="left"/>
              <w:rPr>
                <w:rFonts w:ascii="Times New Roman"/>
                <w:sz w:val="28"/>
              </w:rPr>
            </w:pPr>
          </w:p>
          <w:p>
            <w:pPr>
              <w:pStyle w:val="19"/>
              <w:ind w:left="8"/>
              <w:jc w:val="left"/>
              <w:rPr>
                <w:sz w:val="21"/>
              </w:rPr>
            </w:pPr>
            <w:r>
              <w:rPr>
                <w:sz w:val="21"/>
              </w:rPr>
              <w:t xml:space="preserve">按 </w:t>
            </w:r>
            <w:r>
              <w:rPr>
                <w:rFonts w:ascii="Times New Roman" w:eastAsia="Times New Roman"/>
                <w:sz w:val="21"/>
              </w:rPr>
              <w:t xml:space="preserve">GB29444 </w:t>
            </w:r>
            <w:r>
              <w:rPr>
                <w:sz w:val="21"/>
              </w:rPr>
              <w:t>先进值要求</w:t>
            </w:r>
          </w:p>
        </w:tc>
        <w:tc>
          <w:tcPr>
            <w:tcW w:w="1879" w:type="dxa"/>
            <w:tcBorders>
              <w:top w:val="single" w:color="000000" w:sz="4" w:space="0"/>
              <w:left w:val="single" w:color="000000" w:sz="4" w:space="0"/>
              <w:bottom w:val="single" w:color="000000" w:sz="4" w:space="0"/>
              <w:right w:val="single" w:color="000000" w:sz="4" w:space="0"/>
            </w:tcBorders>
          </w:tcPr>
          <w:p>
            <w:pPr>
              <w:pStyle w:val="19"/>
              <w:spacing w:before="163" w:line="290" w:lineRule="auto"/>
              <w:ind w:left="9" w:right="-15"/>
              <w:jc w:val="left"/>
              <w:rPr>
                <w:sz w:val="21"/>
              </w:rPr>
            </w:pPr>
            <w:r>
              <w:rPr>
                <w:spacing w:val="-15"/>
                <w:sz w:val="21"/>
              </w:rPr>
              <w:t xml:space="preserve">按 </w:t>
            </w:r>
            <w:r>
              <w:rPr>
                <w:rFonts w:ascii="Times New Roman" w:eastAsia="Times New Roman"/>
                <w:sz w:val="21"/>
              </w:rPr>
              <w:t>GB29444</w:t>
            </w:r>
            <w:r>
              <w:rPr>
                <w:rFonts w:ascii="Times New Roman" w:eastAsia="Times New Roman"/>
                <w:spacing w:val="26"/>
                <w:sz w:val="21"/>
              </w:rPr>
              <w:t xml:space="preserve"> </w:t>
            </w:r>
            <w:r>
              <w:rPr>
                <w:spacing w:val="14"/>
                <w:sz w:val="21"/>
              </w:rPr>
              <w:t>准入值</w:t>
            </w:r>
            <w:r>
              <w:rPr>
                <w:sz w:val="21"/>
              </w:rPr>
              <w:t>要求</w:t>
            </w:r>
          </w:p>
        </w:tc>
        <w:tc>
          <w:tcPr>
            <w:tcW w:w="2021" w:type="dxa"/>
            <w:tcBorders>
              <w:top w:val="single" w:color="000000" w:sz="4" w:space="0"/>
              <w:left w:val="single" w:color="000000" w:sz="4" w:space="0"/>
              <w:bottom w:val="single" w:color="000000" w:sz="4" w:space="0"/>
              <w:right w:val="single" w:color="000000" w:sz="4" w:space="0"/>
            </w:tcBorders>
          </w:tcPr>
          <w:p>
            <w:pPr>
              <w:pStyle w:val="19"/>
              <w:spacing w:before="163" w:line="290" w:lineRule="auto"/>
              <w:ind w:left="10" w:right="-15"/>
              <w:jc w:val="left"/>
              <w:rPr>
                <w:sz w:val="21"/>
              </w:rPr>
            </w:pPr>
            <w:r>
              <w:rPr>
                <w:spacing w:val="-25"/>
                <w:sz w:val="21"/>
              </w:rPr>
              <w:t xml:space="preserve">按 </w:t>
            </w:r>
            <w:r>
              <w:rPr>
                <w:rFonts w:ascii="Times New Roman" w:eastAsia="Times New Roman"/>
                <w:sz w:val="21"/>
              </w:rPr>
              <w:t>GB29444</w:t>
            </w:r>
            <w:r>
              <w:rPr>
                <w:rFonts w:ascii="Times New Roman" w:eastAsia="Times New Roman"/>
                <w:spacing w:val="6"/>
                <w:sz w:val="21"/>
              </w:rPr>
              <w:t xml:space="preserve"> </w:t>
            </w:r>
            <w:r>
              <w:rPr>
                <w:spacing w:val="3"/>
                <w:sz w:val="21"/>
              </w:rPr>
              <w:t>限定值要</w:t>
            </w:r>
            <w:r>
              <w:rPr>
                <w:sz w:val="21"/>
              </w:rPr>
              <w:t>求</w:t>
            </w:r>
          </w:p>
        </w:tc>
        <w:tc>
          <w:tcPr>
            <w:tcW w:w="1165" w:type="dxa"/>
            <w:tcBorders>
              <w:top w:val="single" w:color="000000" w:sz="4" w:space="0"/>
              <w:left w:val="single" w:color="000000" w:sz="4" w:space="0"/>
              <w:bottom w:val="single" w:color="000000" w:sz="4" w:space="0"/>
            </w:tcBorders>
          </w:tcPr>
          <w:p>
            <w:pPr>
              <w:pStyle w:val="19"/>
              <w:ind w:left="22" w:right="5"/>
              <w:rPr>
                <w:sz w:val="21"/>
              </w:rPr>
            </w:pPr>
            <w:r>
              <w:rPr>
                <w:sz w:val="21"/>
              </w:rPr>
              <w:t>满足</w:t>
            </w:r>
          </w:p>
          <w:p>
            <w:pPr>
              <w:pStyle w:val="19"/>
              <w:spacing w:before="58"/>
              <w:ind w:left="24" w:right="5"/>
              <w:rPr>
                <w:sz w:val="21"/>
              </w:rPr>
            </w:pPr>
            <w:r>
              <w:rPr>
                <w:rFonts w:ascii="Times New Roman" w:eastAsia="Times New Roman"/>
                <w:sz w:val="21"/>
              </w:rPr>
              <w:t xml:space="preserve">GB29444 </w:t>
            </w:r>
            <w:r>
              <w:rPr>
                <w:sz w:val="21"/>
              </w:rPr>
              <w:t>先</w:t>
            </w:r>
          </w:p>
          <w:p>
            <w:pPr>
              <w:pStyle w:val="19"/>
              <w:spacing w:before="57"/>
              <w:ind w:left="19" w:right="5"/>
              <w:rPr>
                <w:sz w:val="21"/>
              </w:rPr>
            </w:pPr>
            <w:r>
              <w:rPr>
                <w:sz w:val="21"/>
              </w:rPr>
              <w:t>进值要求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9"/>
              <w:spacing w:before="24"/>
              <w:ind w:left="56" w:right="38"/>
              <w:rPr>
                <w:rFonts w:ascii="Times New Roman"/>
                <w:sz w:val="21"/>
              </w:rPr>
            </w:pPr>
            <w:r>
              <w:rPr>
                <w:rFonts w:ascii="Times New Roman"/>
                <w:sz w:val="21"/>
              </w:rPr>
              <w:t>16</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9"/>
              <w:spacing w:before="5"/>
              <w:ind w:left="282"/>
              <w:jc w:val="left"/>
              <w:rPr>
                <w:sz w:val="21"/>
              </w:rPr>
            </w:pPr>
            <w:r>
              <w:rPr>
                <w:sz w:val="21"/>
              </w:rPr>
              <w:t>原煤生产电耗</w:t>
            </w:r>
          </w:p>
        </w:tc>
        <w:tc>
          <w:tcPr>
            <w:tcW w:w="835" w:type="dxa"/>
            <w:tcBorders>
              <w:top w:val="single" w:color="000000" w:sz="4" w:space="0"/>
              <w:left w:val="single" w:color="000000" w:sz="4" w:space="0"/>
              <w:bottom w:val="single" w:color="000000" w:sz="4" w:space="0"/>
              <w:right w:val="single" w:color="000000" w:sz="4" w:space="0"/>
            </w:tcBorders>
          </w:tcPr>
          <w:p>
            <w:pPr>
              <w:pStyle w:val="19"/>
              <w:spacing w:before="24"/>
              <w:ind w:right="140"/>
              <w:jc w:val="right"/>
              <w:rPr>
                <w:rFonts w:ascii="Times New Roman"/>
                <w:sz w:val="21"/>
              </w:rPr>
            </w:pPr>
            <w:r>
              <w:rPr>
                <w:rFonts w:ascii="Times New Roman"/>
                <w:sz w:val="21"/>
              </w:rPr>
              <w:t>kWh/t</w:t>
            </w:r>
          </w:p>
        </w:tc>
        <w:tc>
          <w:tcPr>
            <w:tcW w:w="933" w:type="dxa"/>
            <w:tcBorders>
              <w:top w:val="single" w:color="000000" w:sz="4" w:space="0"/>
              <w:left w:val="single" w:color="000000" w:sz="4" w:space="0"/>
              <w:bottom w:val="single" w:color="000000" w:sz="4" w:space="0"/>
              <w:right w:val="single" w:color="000000" w:sz="4" w:space="0"/>
            </w:tcBorders>
          </w:tcPr>
          <w:p>
            <w:pPr>
              <w:pStyle w:val="19"/>
              <w:spacing w:before="24"/>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9"/>
              <w:spacing w:before="24"/>
              <w:ind w:left="778" w:right="758"/>
              <w:rPr>
                <w:rFonts w:ascii="Times New Roman" w:hAnsi="Times New Roman"/>
                <w:sz w:val="21"/>
              </w:rPr>
            </w:pPr>
            <w:r>
              <w:rPr>
                <w:rFonts w:ascii="Times New Roman" w:hAnsi="Times New Roman"/>
                <w:sz w:val="21"/>
              </w:rPr>
              <w:t>≤18</w:t>
            </w:r>
          </w:p>
        </w:tc>
        <w:tc>
          <w:tcPr>
            <w:tcW w:w="1879" w:type="dxa"/>
            <w:tcBorders>
              <w:top w:val="single" w:color="000000" w:sz="4" w:space="0"/>
              <w:left w:val="single" w:color="000000" w:sz="4" w:space="0"/>
              <w:bottom w:val="single" w:color="000000" w:sz="4" w:space="0"/>
              <w:right w:val="single" w:color="000000" w:sz="4" w:space="0"/>
            </w:tcBorders>
          </w:tcPr>
          <w:p>
            <w:pPr>
              <w:pStyle w:val="19"/>
              <w:spacing w:before="24"/>
              <w:ind w:left="397" w:right="380"/>
              <w:rPr>
                <w:rFonts w:ascii="Times New Roman" w:hAnsi="Times New Roman"/>
                <w:sz w:val="21"/>
              </w:rPr>
            </w:pPr>
            <w:r>
              <w:rPr>
                <w:rFonts w:ascii="Times New Roman" w:hAnsi="Times New Roman"/>
                <w:sz w:val="21"/>
              </w:rPr>
              <w:t>≤22</w:t>
            </w:r>
          </w:p>
        </w:tc>
        <w:tc>
          <w:tcPr>
            <w:tcW w:w="2021" w:type="dxa"/>
            <w:tcBorders>
              <w:top w:val="single" w:color="000000" w:sz="4" w:space="0"/>
              <w:left w:val="single" w:color="000000" w:sz="4" w:space="0"/>
              <w:bottom w:val="single" w:color="000000" w:sz="4" w:space="0"/>
              <w:right w:val="single" w:color="000000" w:sz="4" w:space="0"/>
            </w:tcBorders>
          </w:tcPr>
          <w:p>
            <w:pPr>
              <w:pStyle w:val="19"/>
              <w:spacing w:before="24"/>
              <w:ind w:left="39" w:right="20"/>
              <w:rPr>
                <w:rFonts w:ascii="Times New Roman" w:hAnsi="Times New Roman"/>
                <w:sz w:val="21"/>
              </w:rPr>
            </w:pPr>
            <w:r>
              <w:rPr>
                <w:rFonts w:ascii="Times New Roman" w:hAnsi="Times New Roman"/>
                <w:sz w:val="21"/>
              </w:rPr>
              <w:t>≤25</w:t>
            </w:r>
          </w:p>
        </w:tc>
        <w:tc>
          <w:tcPr>
            <w:tcW w:w="1165" w:type="dxa"/>
            <w:tcBorders>
              <w:top w:val="single" w:color="000000" w:sz="4" w:space="0"/>
              <w:left w:val="single" w:color="000000" w:sz="4" w:space="0"/>
              <w:bottom w:val="single" w:color="000000" w:sz="4" w:space="0"/>
            </w:tcBorders>
          </w:tcPr>
          <w:p>
            <w:pPr>
              <w:pStyle w:val="19"/>
              <w:spacing w:before="24"/>
              <w:ind w:left="24" w:right="4"/>
              <w:rPr>
                <w:rFonts w:ascii="Times New Roman"/>
                <w:sz w:val="21"/>
              </w:rPr>
            </w:pPr>
            <w:r>
              <w:rPr>
                <w:rFonts w:ascii="Times New Roman"/>
                <w:sz w:val="21"/>
              </w:rPr>
              <w:t>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9"/>
              <w:spacing w:before="24"/>
              <w:ind w:left="56" w:right="38"/>
              <w:rPr>
                <w:rFonts w:ascii="Times New Roman"/>
                <w:sz w:val="21"/>
              </w:rPr>
            </w:pPr>
            <w:r>
              <w:rPr>
                <w:rFonts w:ascii="Times New Roman"/>
                <w:sz w:val="21"/>
              </w:rPr>
              <w:t>17</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9"/>
              <w:spacing w:before="6"/>
              <w:ind w:left="282"/>
              <w:jc w:val="left"/>
              <w:rPr>
                <w:sz w:val="21"/>
              </w:rPr>
            </w:pPr>
            <w:r>
              <w:rPr>
                <w:sz w:val="21"/>
              </w:rPr>
              <w:t>原煤生产水耗</w:t>
            </w:r>
          </w:p>
        </w:tc>
        <w:tc>
          <w:tcPr>
            <w:tcW w:w="835" w:type="dxa"/>
            <w:tcBorders>
              <w:top w:val="single" w:color="000000" w:sz="4" w:space="0"/>
              <w:left w:val="single" w:color="000000" w:sz="4" w:space="0"/>
              <w:bottom w:val="single" w:color="000000" w:sz="4" w:space="0"/>
              <w:right w:val="single" w:color="000000" w:sz="4" w:space="0"/>
            </w:tcBorders>
          </w:tcPr>
          <w:p>
            <w:pPr>
              <w:pStyle w:val="19"/>
              <w:spacing w:before="24"/>
              <w:ind w:right="226"/>
              <w:jc w:val="right"/>
              <w:rPr>
                <w:rFonts w:ascii="Times New Roman"/>
                <w:sz w:val="21"/>
              </w:rPr>
            </w:pPr>
            <w:r>
              <w:rPr>
                <w:rFonts w:ascii="Times New Roman"/>
                <w:sz w:val="21"/>
              </w:rPr>
              <w:t>m</w:t>
            </w:r>
            <w:r>
              <w:rPr>
                <w:rFonts w:ascii="Times New Roman"/>
                <w:position w:val="7"/>
                <w:sz w:val="13"/>
              </w:rPr>
              <w:t>3</w:t>
            </w:r>
            <w:r>
              <w:rPr>
                <w:rFonts w:ascii="Times New Roman"/>
                <w:sz w:val="21"/>
              </w:rPr>
              <w:t>/t</w:t>
            </w:r>
          </w:p>
        </w:tc>
        <w:tc>
          <w:tcPr>
            <w:tcW w:w="933" w:type="dxa"/>
            <w:tcBorders>
              <w:top w:val="single" w:color="000000" w:sz="4" w:space="0"/>
              <w:left w:val="single" w:color="000000" w:sz="4" w:space="0"/>
              <w:bottom w:val="single" w:color="000000" w:sz="4" w:space="0"/>
              <w:right w:val="single" w:color="000000" w:sz="4" w:space="0"/>
            </w:tcBorders>
          </w:tcPr>
          <w:p>
            <w:pPr>
              <w:pStyle w:val="19"/>
              <w:spacing w:before="24"/>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9"/>
              <w:spacing w:before="24"/>
              <w:ind w:left="778" w:right="758"/>
              <w:rPr>
                <w:rFonts w:ascii="Times New Roman" w:hAnsi="Times New Roman"/>
                <w:sz w:val="21"/>
              </w:rPr>
            </w:pPr>
            <w:r>
              <w:rPr>
                <w:rFonts w:ascii="Times New Roman" w:hAnsi="Times New Roman"/>
                <w:sz w:val="21"/>
              </w:rPr>
              <w:t>≤0.1</w:t>
            </w:r>
          </w:p>
        </w:tc>
        <w:tc>
          <w:tcPr>
            <w:tcW w:w="1879" w:type="dxa"/>
            <w:tcBorders>
              <w:top w:val="single" w:color="000000" w:sz="4" w:space="0"/>
              <w:left w:val="single" w:color="000000" w:sz="4" w:space="0"/>
              <w:bottom w:val="single" w:color="000000" w:sz="4" w:space="0"/>
              <w:right w:val="single" w:color="000000" w:sz="4" w:space="0"/>
            </w:tcBorders>
          </w:tcPr>
          <w:p>
            <w:pPr>
              <w:pStyle w:val="19"/>
              <w:spacing w:before="24"/>
              <w:ind w:left="397" w:right="376"/>
              <w:rPr>
                <w:rFonts w:ascii="Times New Roman" w:hAnsi="Times New Roman"/>
                <w:sz w:val="21"/>
              </w:rPr>
            </w:pPr>
            <w:r>
              <w:rPr>
                <w:rFonts w:ascii="Times New Roman" w:hAnsi="Times New Roman"/>
                <w:sz w:val="21"/>
              </w:rPr>
              <w:t>≤0.2</w:t>
            </w:r>
          </w:p>
        </w:tc>
        <w:tc>
          <w:tcPr>
            <w:tcW w:w="2021" w:type="dxa"/>
            <w:tcBorders>
              <w:top w:val="single" w:color="000000" w:sz="4" w:space="0"/>
              <w:left w:val="single" w:color="000000" w:sz="4" w:space="0"/>
              <w:bottom w:val="single" w:color="000000" w:sz="4" w:space="0"/>
              <w:right w:val="single" w:color="000000" w:sz="4" w:space="0"/>
            </w:tcBorders>
          </w:tcPr>
          <w:p>
            <w:pPr>
              <w:pStyle w:val="19"/>
              <w:spacing w:before="24"/>
              <w:ind w:left="39" w:right="20"/>
              <w:rPr>
                <w:rFonts w:ascii="Times New Roman" w:hAnsi="Times New Roman"/>
                <w:sz w:val="21"/>
              </w:rPr>
            </w:pPr>
            <w:r>
              <w:rPr>
                <w:rFonts w:ascii="Times New Roman" w:hAnsi="Times New Roman"/>
                <w:sz w:val="21"/>
              </w:rPr>
              <w:t>≤0.3</w:t>
            </w:r>
          </w:p>
        </w:tc>
        <w:tc>
          <w:tcPr>
            <w:tcW w:w="1165" w:type="dxa"/>
            <w:tcBorders>
              <w:top w:val="single" w:color="000000" w:sz="4" w:space="0"/>
              <w:left w:val="single" w:color="000000" w:sz="4" w:space="0"/>
              <w:bottom w:val="single" w:color="000000" w:sz="4" w:space="0"/>
            </w:tcBorders>
          </w:tcPr>
          <w:p>
            <w:pPr>
              <w:pStyle w:val="19"/>
              <w:spacing w:before="24"/>
              <w:ind w:left="24" w:right="4"/>
              <w:rPr>
                <w:rFonts w:ascii="Times New Roman"/>
                <w:sz w:val="21"/>
              </w:rPr>
            </w:pPr>
            <w:r>
              <w:rPr>
                <w:rFonts w:ascii="Times New Roman"/>
                <w:sz w:val="21"/>
              </w:rPr>
              <w:t>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572" w:type="dxa"/>
            <w:tcBorders>
              <w:top w:val="single" w:color="000000" w:sz="4" w:space="0"/>
              <w:bottom w:val="single" w:color="000000" w:sz="4" w:space="0"/>
              <w:right w:val="single" w:color="000000" w:sz="4" w:space="0"/>
            </w:tcBorders>
          </w:tcPr>
          <w:p>
            <w:pPr>
              <w:pStyle w:val="19"/>
              <w:spacing w:before="181"/>
              <w:ind w:left="56" w:right="38"/>
              <w:rPr>
                <w:rFonts w:ascii="Times New Roman"/>
                <w:sz w:val="21"/>
              </w:rPr>
            </w:pPr>
            <w:r>
              <w:rPr>
                <w:rFonts w:ascii="Times New Roman"/>
                <w:sz w:val="21"/>
              </w:rPr>
              <w:t>18</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750" w:type="dxa"/>
            <w:tcBorders>
              <w:top w:val="single" w:color="000000" w:sz="4" w:space="0"/>
              <w:left w:val="single" w:color="000000" w:sz="4" w:space="0"/>
              <w:bottom w:val="single" w:color="000000" w:sz="4" w:space="0"/>
              <w:right w:val="single" w:color="000000" w:sz="4" w:space="0"/>
            </w:tcBorders>
          </w:tcPr>
          <w:p>
            <w:pPr>
              <w:pStyle w:val="19"/>
              <w:spacing w:line="268" w:lineRule="exact"/>
              <w:ind w:left="64"/>
              <w:jc w:val="left"/>
              <w:rPr>
                <w:sz w:val="21"/>
              </w:rPr>
            </w:pPr>
            <w:r>
              <w:rPr>
                <w:w w:val="95"/>
                <w:sz w:val="21"/>
              </w:rPr>
              <w:t>选煤吨</w:t>
            </w:r>
          </w:p>
          <w:p>
            <w:pPr>
              <w:pStyle w:val="19"/>
              <w:spacing w:before="57"/>
              <w:ind w:left="64"/>
              <w:jc w:val="left"/>
              <w:rPr>
                <w:sz w:val="21"/>
              </w:rPr>
            </w:pPr>
            <w:r>
              <w:rPr>
                <w:w w:val="95"/>
                <w:sz w:val="21"/>
              </w:rPr>
              <w:t>煤电耗</w:t>
            </w:r>
          </w:p>
        </w:tc>
        <w:tc>
          <w:tcPr>
            <w:tcW w:w="1068" w:type="dxa"/>
            <w:tcBorders>
              <w:top w:val="single" w:color="000000" w:sz="4" w:space="0"/>
              <w:left w:val="single" w:color="000000" w:sz="4" w:space="0"/>
              <w:bottom w:val="single" w:color="000000" w:sz="4" w:space="0"/>
              <w:right w:val="single" w:color="000000" w:sz="4" w:space="0"/>
            </w:tcBorders>
          </w:tcPr>
          <w:p>
            <w:pPr>
              <w:pStyle w:val="19"/>
              <w:spacing w:before="162"/>
              <w:ind w:left="223"/>
              <w:jc w:val="left"/>
              <w:rPr>
                <w:sz w:val="21"/>
              </w:rPr>
            </w:pPr>
            <w:r>
              <w:rPr>
                <w:sz w:val="21"/>
              </w:rPr>
              <w:t>动力煤</w:t>
            </w:r>
          </w:p>
        </w:tc>
        <w:tc>
          <w:tcPr>
            <w:tcW w:w="835" w:type="dxa"/>
            <w:tcBorders>
              <w:top w:val="single" w:color="000000" w:sz="4" w:space="0"/>
              <w:left w:val="single" w:color="000000" w:sz="4" w:space="0"/>
              <w:bottom w:val="single" w:color="000000" w:sz="4" w:space="0"/>
              <w:right w:val="single" w:color="000000" w:sz="4" w:space="0"/>
            </w:tcBorders>
          </w:tcPr>
          <w:p>
            <w:pPr>
              <w:pStyle w:val="19"/>
              <w:spacing w:before="181"/>
              <w:ind w:right="140"/>
              <w:jc w:val="right"/>
              <w:rPr>
                <w:rFonts w:ascii="Times New Roman"/>
                <w:sz w:val="21"/>
              </w:rPr>
            </w:pPr>
            <w:r>
              <w:rPr>
                <w:rFonts w:ascii="Times New Roman"/>
                <w:sz w:val="21"/>
              </w:rPr>
              <w:t>kWh/t</w:t>
            </w:r>
          </w:p>
        </w:tc>
        <w:tc>
          <w:tcPr>
            <w:tcW w:w="933" w:type="dxa"/>
            <w:tcBorders>
              <w:top w:val="single" w:color="000000" w:sz="4" w:space="0"/>
              <w:left w:val="single" w:color="000000" w:sz="4" w:space="0"/>
              <w:bottom w:val="single" w:color="000000" w:sz="4" w:space="0"/>
              <w:right w:val="single" w:color="000000" w:sz="4" w:space="0"/>
            </w:tcBorders>
          </w:tcPr>
          <w:p>
            <w:pPr>
              <w:pStyle w:val="19"/>
              <w:spacing w:before="181"/>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9"/>
              <w:spacing w:before="162"/>
              <w:ind w:left="8"/>
              <w:jc w:val="left"/>
              <w:rPr>
                <w:sz w:val="21"/>
              </w:rPr>
            </w:pPr>
            <w:r>
              <w:rPr>
                <w:sz w:val="21"/>
              </w:rPr>
              <w:t xml:space="preserve">按 </w:t>
            </w:r>
            <w:r>
              <w:rPr>
                <w:rFonts w:ascii="Times New Roman" w:eastAsia="Times New Roman"/>
                <w:sz w:val="21"/>
              </w:rPr>
              <w:t xml:space="preserve">GB29446 </w:t>
            </w:r>
            <w:r>
              <w:rPr>
                <w:sz w:val="21"/>
              </w:rPr>
              <w:t>先进值要求</w:t>
            </w:r>
          </w:p>
        </w:tc>
        <w:tc>
          <w:tcPr>
            <w:tcW w:w="1879" w:type="dxa"/>
            <w:tcBorders>
              <w:top w:val="single" w:color="000000" w:sz="4" w:space="0"/>
              <w:left w:val="single" w:color="000000" w:sz="4" w:space="0"/>
              <w:bottom w:val="single" w:color="000000" w:sz="4" w:space="0"/>
              <w:right w:val="single" w:color="000000" w:sz="4" w:space="0"/>
            </w:tcBorders>
          </w:tcPr>
          <w:p>
            <w:pPr>
              <w:pStyle w:val="19"/>
              <w:spacing w:line="268" w:lineRule="exact"/>
              <w:ind w:left="9" w:right="-15"/>
              <w:jc w:val="left"/>
              <w:rPr>
                <w:sz w:val="21"/>
              </w:rPr>
            </w:pPr>
            <w:r>
              <w:rPr>
                <w:spacing w:val="-15"/>
                <w:sz w:val="21"/>
              </w:rPr>
              <w:t xml:space="preserve">按 </w:t>
            </w:r>
            <w:r>
              <w:rPr>
                <w:rFonts w:ascii="Times New Roman" w:eastAsia="Times New Roman"/>
                <w:sz w:val="21"/>
              </w:rPr>
              <w:t>GB29446</w:t>
            </w:r>
            <w:r>
              <w:rPr>
                <w:rFonts w:ascii="Times New Roman" w:eastAsia="Times New Roman"/>
                <w:spacing w:val="26"/>
                <w:sz w:val="21"/>
              </w:rPr>
              <w:t xml:space="preserve"> </w:t>
            </w:r>
            <w:r>
              <w:rPr>
                <w:spacing w:val="14"/>
                <w:sz w:val="21"/>
              </w:rPr>
              <w:t>准入值</w:t>
            </w:r>
          </w:p>
          <w:p>
            <w:pPr>
              <w:pStyle w:val="19"/>
              <w:spacing w:before="57"/>
              <w:ind w:left="9"/>
              <w:jc w:val="left"/>
              <w:rPr>
                <w:sz w:val="21"/>
              </w:rPr>
            </w:pPr>
            <w:r>
              <w:rPr>
                <w:sz w:val="21"/>
              </w:rPr>
              <w:t>要求</w:t>
            </w:r>
          </w:p>
        </w:tc>
        <w:tc>
          <w:tcPr>
            <w:tcW w:w="2021" w:type="dxa"/>
            <w:tcBorders>
              <w:top w:val="single" w:color="000000" w:sz="4" w:space="0"/>
              <w:left w:val="single" w:color="000000" w:sz="4" w:space="0"/>
              <w:bottom w:val="single" w:color="000000" w:sz="4" w:space="0"/>
              <w:right w:val="single" w:color="000000" w:sz="4" w:space="0"/>
            </w:tcBorders>
          </w:tcPr>
          <w:p>
            <w:pPr>
              <w:pStyle w:val="19"/>
              <w:spacing w:line="268" w:lineRule="exact"/>
              <w:ind w:left="10" w:right="-15"/>
              <w:jc w:val="left"/>
              <w:rPr>
                <w:sz w:val="21"/>
              </w:rPr>
            </w:pPr>
            <w:r>
              <w:rPr>
                <w:spacing w:val="-25"/>
                <w:sz w:val="21"/>
              </w:rPr>
              <w:t xml:space="preserve">按 </w:t>
            </w:r>
            <w:r>
              <w:rPr>
                <w:rFonts w:ascii="Times New Roman" w:eastAsia="Times New Roman"/>
                <w:sz w:val="21"/>
              </w:rPr>
              <w:t>GB29446</w:t>
            </w:r>
            <w:r>
              <w:rPr>
                <w:rFonts w:ascii="Times New Roman" w:eastAsia="Times New Roman"/>
                <w:spacing w:val="6"/>
                <w:sz w:val="21"/>
              </w:rPr>
              <w:t xml:space="preserve"> </w:t>
            </w:r>
            <w:r>
              <w:rPr>
                <w:spacing w:val="3"/>
                <w:sz w:val="21"/>
              </w:rPr>
              <w:t>限定值要</w:t>
            </w:r>
          </w:p>
          <w:p>
            <w:pPr>
              <w:pStyle w:val="19"/>
              <w:spacing w:before="57"/>
              <w:ind w:left="10"/>
              <w:jc w:val="left"/>
              <w:rPr>
                <w:sz w:val="21"/>
              </w:rPr>
            </w:pPr>
            <w:r>
              <w:rPr>
                <w:w w:val="99"/>
                <w:sz w:val="21"/>
              </w:rPr>
              <w:t>求</w:t>
            </w:r>
          </w:p>
        </w:tc>
        <w:tc>
          <w:tcPr>
            <w:tcW w:w="1165" w:type="dxa"/>
            <w:tcBorders>
              <w:top w:val="single" w:color="000000" w:sz="4" w:space="0"/>
              <w:left w:val="single" w:color="000000" w:sz="4" w:space="0"/>
              <w:bottom w:val="single" w:color="000000" w:sz="4" w:space="0"/>
            </w:tcBorders>
          </w:tcPr>
          <w:p>
            <w:pPr>
              <w:pStyle w:val="19"/>
              <w:spacing w:before="181"/>
              <w:ind w:left="19"/>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572" w:type="dxa"/>
            <w:tcBorders>
              <w:top w:val="single" w:color="000000" w:sz="4" w:space="0"/>
              <w:bottom w:val="single" w:color="000000" w:sz="4" w:space="0"/>
              <w:right w:val="single" w:color="000000" w:sz="4" w:space="0"/>
            </w:tcBorders>
          </w:tcPr>
          <w:p>
            <w:pPr>
              <w:pStyle w:val="19"/>
              <w:spacing w:before="180"/>
              <w:ind w:left="56" w:right="38"/>
              <w:rPr>
                <w:rFonts w:ascii="Times New Roman"/>
                <w:sz w:val="21"/>
              </w:rPr>
            </w:pPr>
            <w:r>
              <w:rPr>
                <w:rFonts w:ascii="Times New Roman"/>
                <w:sz w:val="21"/>
              </w:rPr>
              <w:t>19</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9"/>
              <w:spacing w:before="1"/>
              <w:ind w:left="41" w:right="24"/>
              <w:rPr>
                <w:sz w:val="21"/>
              </w:rPr>
            </w:pPr>
            <w:r>
              <w:rPr>
                <w:sz w:val="21"/>
              </w:rPr>
              <w:t>单位入选原煤取水</w:t>
            </w:r>
          </w:p>
          <w:p>
            <w:pPr>
              <w:pStyle w:val="19"/>
              <w:spacing w:before="57"/>
              <w:ind w:left="17"/>
              <w:rPr>
                <w:sz w:val="21"/>
              </w:rPr>
            </w:pPr>
            <w:r>
              <w:rPr>
                <w:w w:val="99"/>
                <w:sz w:val="21"/>
              </w:rPr>
              <w:t>量</w:t>
            </w:r>
          </w:p>
        </w:tc>
        <w:tc>
          <w:tcPr>
            <w:tcW w:w="835" w:type="dxa"/>
            <w:tcBorders>
              <w:top w:val="single" w:color="000000" w:sz="4" w:space="0"/>
              <w:left w:val="single" w:color="000000" w:sz="4" w:space="0"/>
              <w:bottom w:val="single" w:color="000000" w:sz="4" w:space="0"/>
              <w:right w:val="single" w:color="000000" w:sz="4" w:space="0"/>
            </w:tcBorders>
          </w:tcPr>
          <w:p>
            <w:pPr>
              <w:pStyle w:val="19"/>
              <w:spacing w:before="180"/>
              <w:ind w:right="226"/>
              <w:jc w:val="right"/>
              <w:rPr>
                <w:rFonts w:ascii="Times New Roman"/>
                <w:sz w:val="21"/>
              </w:rPr>
            </w:pPr>
            <w:r>
              <w:rPr>
                <w:rFonts w:ascii="Times New Roman"/>
                <w:sz w:val="21"/>
              </w:rPr>
              <w:t>m</w:t>
            </w:r>
            <w:r>
              <w:rPr>
                <w:rFonts w:ascii="Times New Roman"/>
                <w:position w:val="7"/>
                <w:sz w:val="13"/>
              </w:rPr>
              <w:t>3</w:t>
            </w:r>
            <w:r>
              <w:rPr>
                <w:rFonts w:ascii="Times New Roman"/>
                <w:sz w:val="21"/>
              </w:rPr>
              <w:t>/t</w:t>
            </w:r>
          </w:p>
        </w:tc>
        <w:tc>
          <w:tcPr>
            <w:tcW w:w="933" w:type="dxa"/>
            <w:tcBorders>
              <w:top w:val="single" w:color="000000" w:sz="4" w:space="0"/>
              <w:left w:val="single" w:color="000000" w:sz="4" w:space="0"/>
              <w:bottom w:val="single" w:color="000000" w:sz="4" w:space="0"/>
              <w:right w:val="single" w:color="000000" w:sz="4" w:space="0"/>
            </w:tcBorders>
          </w:tcPr>
          <w:p>
            <w:pPr>
              <w:pStyle w:val="19"/>
              <w:spacing w:before="180"/>
              <w:ind w:left="266" w:right="248"/>
              <w:rPr>
                <w:rFonts w:ascii="Times New Roman"/>
                <w:sz w:val="21"/>
              </w:rPr>
            </w:pPr>
            <w:r>
              <w:rPr>
                <w:rFonts w:ascii="Times New Roman"/>
                <w:sz w:val="21"/>
              </w:rPr>
              <w:t>0.1</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9"/>
              <w:spacing w:before="164"/>
              <w:ind w:left="8"/>
              <w:jc w:val="left"/>
              <w:rPr>
                <w:sz w:val="21"/>
              </w:rPr>
            </w:pPr>
            <w:r>
              <w:rPr>
                <w:sz w:val="21"/>
              </w:rPr>
              <w:t>符合《</w:t>
            </w:r>
            <w:r>
              <w:rPr>
                <w:rFonts w:ascii="Times New Roman" w:eastAsia="Times New Roman"/>
                <w:sz w:val="21"/>
              </w:rPr>
              <w:t xml:space="preserve">GB/T18916.11 </w:t>
            </w:r>
            <w:r>
              <w:rPr>
                <w:sz w:val="21"/>
              </w:rPr>
              <w:t xml:space="preserve">取水定额第 </w:t>
            </w:r>
            <w:r>
              <w:rPr>
                <w:rFonts w:ascii="Times New Roman" w:eastAsia="Times New Roman"/>
                <w:sz w:val="21"/>
              </w:rPr>
              <w:t xml:space="preserve">11 </w:t>
            </w:r>
            <w:r>
              <w:rPr>
                <w:sz w:val="21"/>
              </w:rPr>
              <w:t>部分：选煤》要求</w:t>
            </w:r>
          </w:p>
        </w:tc>
        <w:tc>
          <w:tcPr>
            <w:tcW w:w="1165" w:type="dxa"/>
            <w:tcBorders>
              <w:top w:val="single" w:color="000000" w:sz="4" w:space="0"/>
              <w:left w:val="single" w:color="000000" w:sz="4" w:space="0"/>
              <w:bottom w:val="single" w:color="000000" w:sz="4" w:space="0"/>
            </w:tcBorders>
          </w:tcPr>
          <w:p>
            <w:pPr>
              <w:pStyle w:val="19"/>
              <w:spacing w:before="180"/>
              <w:ind w:left="19"/>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9" w:hRule="atLeast"/>
        </w:trPr>
        <w:tc>
          <w:tcPr>
            <w:tcW w:w="572" w:type="dxa"/>
            <w:tcBorders>
              <w:top w:val="single" w:color="000000" w:sz="4" w:space="0"/>
              <w:bottom w:val="single" w:color="000000" w:sz="4" w:space="0"/>
              <w:right w:val="single" w:color="000000" w:sz="4" w:space="0"/>
            </w:tcBorders>
          </w:tcPr>
          <w:p>
            <w:pPr>
              <w:pStyle w:val="19"/>
              <w:spacing w:before="181"/>
              <w:ind w:left="56" w:right="38"/>
              <w:rPr>
                <w:rFonts w:ascii="Times New Roman"/>
                <w:sz w:val="21"/>
              </w:rPr>
            </w:pPr>
            <w:r>
              <w:rPr>
                <w:rFonts w:ascii="Times New Roman"/>
                <w:sz w:val="21"/>
              </w:rPr>
              <w:t>20</w:t>
            </w:r>
          </w:p>
        </w:tc>
        <w:tc>
          <w:tcPr>
            <w:tcW w:w="1090" w:type="dxa"/>
            <w:vMerge w:val="restart"/>
            <w:tcBorders>
              <w:top w:val="single" w:color="000000" w:sz="4" w:space="0"/>
              <w:left w:val="single" w:color="000000" w:sz="4" w:space="0"/>
              <w:right w:val="single" w:color="000000" w:sz="4" w:space="0"/>
            </w:tcBorders>
          </w:tcPr>
          <w:p>
            <w:pPr>
              <w:pStyle w:val="19"/>
              <w:jc w:val="left"/>
              <w:rPr>
                <w:rFonts w:ascii="Times New Roman"/>
                <w:sz w:val="20"/>
              </w:rPr>
            </w:pPr>
          </w:p>
          <w:p>
            <w:pPr>
              <w:pStyle w:val="19"/>
              <w:jc w:val="left"/>
              <w:rPr>
                <w:rFonts w:ascii="Times New Roman"/>
                <w:sz w:val="20"/>
              </w:rPr>
            </w:pPr>
          </w:p>
          <w:p>
            <w:pPr>
              <w:pStyle w:val="19"/>
              <w:spacing w:before="9"/>
              <w:jc w:val="left"/>
              <w:rPr>
                <w:rFonts w:ascii="Times New Roman"/>
                <w:sz w:val="18"/>
              </w:rPr>
            </w:pPr>
          </w:p>
          <w:p>
            <w:pPr>
              <w:pStyle w:val="19"/>
              <w:spacing w:line="290" w:lineRule="auto"/>
              <w:ind w:left="23" w:right="5"/>
              <w:rPr>
                <w:sz w:val="21"/>
              </w:rPr>
            </w:pPr>
            <w:r>
              <w:rPr>
                <w:sz w:val="21"/>
              </w:rPr>
              <w:t>（三）资源综合利用指标</w:t>
            </w:r>
          </w:p>
        </w:tc>
        <w:tc>
          <w:tcPr>
            <w:tcW w:w="1068" w:type="dxa"/>
            <w:vMerge w:val="restart"/>
            <w:tcBorders>
              <w:top w:val="single" w:color="000000" w:sz="4" w:space="0"/>
              <w:left w:val="single" w:color="000000" w:sz="4" w:space="0"/>
              <w:right w:val="single" w:color="000000" w:sz="4" w:space="0"/>
            </w:tcBorders>
          </w:tcPr>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spacing w:before="7"/>
              <w:jc w:val="left"/>
              <w:rPr>
                <w:rFonts w:ascii="Times New Roman"/>
                <w:sz w:val="22"/>
              </w:rPr>
            </w:pPr>
          </w:p>
          <w:p>
            <w:pPr>
              <w:pStyle w:val="19"/>
              <w:ind w:left="354"/>
              <w:jc w:val="left"/>
              <w:rPr>
                <w:rFonts w:ascii="Times New Roman"/>
                <w:sz w:val="21"/>
              </w:rPr>
            </w:pPr>
            <w:r>
              <w:rPr>
                <w:rFonts w:ascii="Times New Roman"/>
                <w:sz w:val="21"/>
              </w:rPr>
              <w:t>0.15</w:t>
            </w:r>
          </w:p>
        </w:tc>
        <w:tc>
          <w:tcPr>
            <w:tcW w:w="1818" w:type="dxa"/>
            <w:gridSpan w:val="2"/>
            <w:tcBorders>
              <w:top w:val="single" w:color="000000" w:sz="4" w:space="0"/>
              <w:left w:val="single" w:color="000000" w:sz="4" w:space="0"/>
              <w:bottom w:val="single" w:color="000000" w:sz="4" w:space="0"/>
              <w:right w:val="single" w:color="000000" w:sz="4" w:space="0"/>
            </w:tcBorders>
          </w:tcPr>
          <w:p>
            <w:pPr>
              <w:pStyle w:val="19"/>
              <w:spacing w:before="2"/>
              <w:ind w:left="41" w:right="24"/>
              <w:rPr>
                <w:sz w:val="21"/>
              </w:rPr>
            </w:pPr>
            <w:r>
              <w:rPr>
                <w:rFonts w:ascii="Times New Roman" w:eastAsia="Times New Roman"/>
                <w:w w:val="95"/>
                <w:sz w:val="21"/>
              </w:rPr>
              <w:t>*</w:t>
            </w:r>
            <w:r>
              <w:rPr>
                <w:w w:val="95"/>
                <w:sz w:val="21"/>
              </w:rPr>
              <w:t>当年产生煤矸石综</w:t>
            </w:r>
          </w:p>
          <w:p>
            <w:pPr>
              <w:pStyle w:val="19"/>
              <w:spacing w:before="57"/>
              <w:ind w:left="41" w:right="24"/>
              <w:rPr>
                <w:sz w:val="21"/>
              </w:rPr>
            </w:pPr>
            <w:r>
              <w:rPr>
                <w:sz w:val="21"/>
              </w:rPr>
              <w:t>合利用率</w:t>
            </w:r>
          </w:p>
        </w:tc>
        <w:tc>
          <w:tcPr>
            <w:tcW w:w="835" w:type="dxa"/>
            <w:tcBorders>
              <w:top w:val="single" w:color="000000" w:sz="4" w:space="0"/>
              <w:left w:val="single" w:color="000000" w:sz="4" w:space="0"/>
              <w:bottom w:val="single" w:color="000000" w:sz="4" w:space="0"/>
              <w:right w:val="single" w:color="000000" w:sz="4" w:space="0"/>
            </w:tcBorders>
          </w:tcPr>
          <w:p>
            <w:pPr>
              <w:pStyle w:val="19"/>
              <w:spacing w:before="181"/>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9"/>
              <w:spacing w:before="181"/>
              <w:ind w:left="266" w:right="248"/>
              <w:rPr>
                <w:rFonts w:ascii="Times New Roman"/>
                <w:sz w:val="21"/>
              </w:rPr>
            </w:pPr>
            <w:r>
              <w:rPr>
                <w:rFonts w:ascii="Times New Roman"/>
                <w:sz w:val="21"/>
              </w:rPr>
              <w:t>0.3</w:t>
            </w:r>
          </w:p>
        </w:tc>
        <w:tc>
          <w:tcPr>
            <w:tcW w:w="2641" w:type="dxa"/>
            <w:tcBorders>
              <w:top w:val="single" w:color="000000" w:sz="4" w:space="0"/>
              <w:left w:val="single" w:color="000000" w:sz="4" w:space="0"/>
              <w:bottom w:val="single" w:color="000000" w:sz="4" w:space="0"/>
              <w:right w:val="single" w:color="000000" w:sz="4" w:space="0"/>
            </w:tcBorders>
          </w:tcPr>
          <w:p>
            <w:pPr>
              <w:pStyle w:val="19"/>
              <w:spacing w:before="181"/>
              <w:ind w:left="778" w:right="758"/>
              <w:rPr>
                <w:rFonts w:ascii="Times New Roman" w:hAnsi="Times New Roman"/>
                <w:sz w:val="21"/>
              </w:rPr>
            </w:pPr>
            <w:r>
              <w:rPr>
                <w:rFonts w:ascii="Times New Roman" w:hAnsi="Times New Roman"/>
                <w:sz w:val="21"/>
              </w:rPr>
              <w:t>≥85</w:t>
            </w:r>
          </w:p>
        </w:tc>
        <w:tc>
          <w:tcPr>
            <w:tcW w:w="1879" w:type="dxa"/>
            <w:tcBorders>
              <w:top w:val="single" w:color="000000" w:sz="4" w:space="0"/>
              <w:left w:val="single" w:color="000000" w:sz="4" w:space="0"/>
              <w:bottom w:val="single" w:color="000000" w:sz="4" w:space="0"/>
              <w:right w:val="single" w:color="000000" w:sz="4" w:space="0"/>
            </w:tcBorders>
          </w:tcPr>
          <w:p>
            <w:pPr>
              <w:pStyle w:val="19"/>
              <w:spacing w:before="181"/>
              <w:ind w:left="397" w:right="380"/>
              <w:rPr>
                <w:rFonts w:ascii="Times New Roman" w:hAnsi="Times New Roman"/>
                <w:sz w:val="21"/>
              </w:rPr>
            </w:pPr>
            <w:r>
              <w:rPr>
                <w:rFonts w:ascii="Times New Roman" w:hAnsi="Times New Roman"/>
                <w:sz w:val="21"/>
              </w:rPr>
              <w:t>≥80</w:t>
            </w:r>
          </w:p>
        </w:tc>
        <w:tc>
          <w:tcPr>
            <w:tcW w:w="2021" w:type="dxa"/>
            <w:tcBorders>
              <w:top w:val="single" w:color="000000" w:sz="4" w:space="0"/>
              <w:left w:val="single" w:color="000000" w:sz="4" w:space="0"/>
              <w:bottom w:val="single" w:color="000000" w:sz="4" w:space="0"/>
              <w:right w:val="single" w:color="000000" w:sz="4" w:space="0"/>
            </w:tcBorders>
          </w:tcPr>
          <w:p>
            <w:pPr>
              <w:pStyle w:val="19"/>
              <w:spacing w:before="181"/>
              <w:ind w:left="39" w:right="20"/>
              <w:rPr>
                <w:rFonts w:ascii="Times New Roman" w:hAnsi="Times New Roman"/>
                <w:sz w:val="21"/>
              </w:rPr>
            </w:pPr>
            <w:r>
              <w:rPr>
                <w:rFonts w:ascii="Times New Roman" w:hAnsi="Times New Roman"/>
                <w:sz w:val="21"/>
              </w:rPr>
              <w:t>≥75</w:t>
            </w:r>
          </w:p>
        </w:tc>
        <w:tc>
          <w:tcPr>
            <w:tcW w:w="1165" w:type="dxa"/>
            <w:tcBorders>
              <w:top w:val="single" w:color="000000" w:sz="4" w:space="0"/>
              <w:left w:val="single" w:color="000000" w:sz="4" w:space="0"/>
              <w:bottom w:val="single" w:color="000000" w:sz="4" w:space="0"/>
            </w:tcBorders>
          </w:tcPr>
          <w:p>
            <w:pPr>
              <w:pStyle w:val="19"/>
              <w:spacing w:before="181"/>
              <w:ind w:left="21" w:right="5"/>
              <w:rPr>
                <w:rFonts w:ascii="Times New Roman" w:hAnsi="Times New Roman"/>
                <w:sz w:val="21"/>
              </w:rPr>
            </w:pPr>
            <w:r>
              <w:rPr>
                <w:rFonts w:ascii="Times New Roman" w:hAnsi="Times New Roman"/>
                <w:sz w:val="21"/>
              </w:rPr>
              <w:t>≥85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572" w:type="dxa"/>
            <w:tcBorders>
              <w:top w:val="single" w:color="000000" w:sz="4" w:space="0"/>
              <w:bottom w:val="single" w:color="000000" w:sz="4" w:space="0"/>
              <w:right w:val="single" w:color="000000" w:sz="4" w:space="0"/>
            </w:tcBorders>
          </w:tcPr>
          <w:p>
            <w:pPr>
              <w:pStyle w:val="19"/>
              <w:spacing w:before="174"/>
              <w:ind w:left="56" w:right="38"/>
              <w:rPr>
                <w:rFonts w:ascii="Times New Roman"/>
                <w:sz w:val="21"/>
              </w:rPr>
            </w:pPr>
            <w:r>
              <w:rPr>
                <w:rFonts w:ascii="Times New Roman"/>
                <w:sz w:val="21"/>
              </w:rPr>
              <w:t>21</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single" w:color="000000" w:sz="4" w:space="0"/>
              <w:left w:val="single" w:color="000000" w:sz="4" w:space="0"/>
              <w:bottom w:val="single" w:color="000000" w:sz="4" w:space="0"/>
              <w:right w:val="single" w:color="000000" w:sz="4" w:space="0"/>
            </w:tcBorders>
          </w:tcPr>
          <w:p>
            <w:pPr>
              <w:pStyle w:val="19"/>
              <w:spacing w:line="264" w:lineRule="exact"/>
              <w:ind w:left="11" w:right="-15"/>
              <w:jc w:val="left"/>
              <w:rPr>
                <w:sz w:val="21"/>
              </w:rPr>
            </w:pPr>
            <w:r>
              <w:rPr>
                <w:rFonts w:ascii="Times New Roman" w:eastAsia="Times New Roman"/>
                <w:sz w:val="21"/>
              </w:rPr>
              <w:t>*</w:t>
            </w:r>
            <w:r>
              <w:rPr>
                <w:sz w:val="21"/>
              </w:rPr>
              <w:t>矿井水</w:t>
            </w:r>
          </w:p>
          <w:p>
            <w:pPr>
              <w:pStyle w:val="19"/>
              <w:spacing w:before="57"/>
              <w:ind w:left="64"/>
              <w:jc w:val="left"/>
              <w:rPr>
                <w:sz w:val="21"/>
              </w:rPr>
            </w:pPr>
            <w:r>
              <w:rPr>
                <w:sz w:val="21"/>
              </w:rPr>
              <w:t>利用率</w:t>
            </w:r>
          </w:p>
        </w:tc>
        <w:tc>
          <w:tcPr>
            <w:tcW w:w="1068" w:type="dxa"/>
            <w:tcBorders>
              <w:top w:val="single" w:color="000000" w:sz="4" w:space="0"/>
              <w:left w:val="single" w:color="000000" w:sz="4" w:space="0"/>
              <w:bottom w:val="single" w:color="000000" w:sz="4" w:space="0"/>
              <w:right w:val="single" w:color="000000" w:sz="4" w:space="0"/>
            </w:tcBorders>
          </w:tcPr>
          <w:p>
            <w:pPr>
              <w:pStyle w:val="19"/>
              <w:spacing w:line="264" w:lineRule="exact"/>
              <w:ind w:left="12" w:right="-15"/>
              <w:rPr>
                <w:sz w:val="21"/>
              </w:rPr>
            </w:pPr>
            <w:r>
              <w:rPr>
                <w:sz w:val="21"/>
              </w:rPr>
              <w:t>水资源短缺</w:t>
            </w:r>
          </w:p>
          <w:p>
            <w:pPr>
              <w:pStyle w:val="19"/>
              <w:spacing w:before="57"/>
              <w:ind w:left="307" w:right="289"/>
              <w:rPr>
                <w:sz w:val="21"/>
              </w:rPr>
            </w:pPr>
            <w:r>
              <w:rPr>
                <w:sz w:val="21"/>
              </w:rPr>
              <w:t>矿区</w:t>
            </w:r>
          </w:p>
        </w:tc>
        <w:tc>
          <w:tcPr>
            <w:tcW w:w="835" w:type="dxa"/>
            <w:tcBorders>
              <w:top w:val="single" w:color="000000" w:sz="4" w:space="0"/>
              <w:left w:val="single" w:color="000000" w:sz="4" w:space="0"/>
              <w:bottom w:val="single" w:color="000000" w:sz="4" w:space="0"/>
              <w:right w:val="single" w:color="000000" w:sz="4" w:space="0"/>
            </w:tcBorders>
          </w:tcPr>
          <w:p>
            <w:pPr>
              <w:pStyle w:val="19"/>
              <w:spacing w:before="174"/>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9"/>
              <w:spacing w:before="174"/>
              <w:ind w:left="266" w:right="248"/>
              <w:rPr>
                <w:rFonts w:ascii="Times New Roman"/>
                <w:sz w:val="21"/>
              </w:rPr>
            </w:pPr>
            <w:r>
              <w:rPr>
                <w:rFonts w:ascii="Times New Roman"/>
                <w:sz w:val="21"/>
              </w:rPr>
              <w:t>0.3</w:t>
            </w:r>
          </w:p>
        </w:tc>
        <w:tc>
          <w:tcPr>
            <w:tcW w:w="2641" w:type="dxa"/>
            <w:tcBorders>
              <w:top w:val="single" w:color="000000" w:sz="4" w:space="0"/>
              <w:left w:val="single" w:color="000000" w:sz="4" w:space="0"/>
              <w:bottom w:val="single" w:color="000000" w:sz="4" w:space="0"/>
              <w:right w:val="single" w:color="000000" w:sz="4" w:space="0"/>
            </w:tcBorders>
          </w:tcPr>
          <w:p>
            <w:pPr>
              <w:pStyle w:val="19"/>
              <w:spacing w:before="174"/>
              <w:ind w:left="778" w:right="758"/>
              <w:rPr>
                <w:rFonts w:ascii="Times New Roman" w:hAnsi="Times New Roman"/>
                <w:sz w:val="21"/>
              </w:rPr>
            </w:pPr>
            <w:r>
              <w:rPr>
                <w:rFonts w:ascii="Times New Roman" w:hAnsi="Times New Roman"/>
                <w:sz w:val="21"/>
              </w:rPr>
              <w:t>≥95</w:t>
            </w:r>
          </w:p>
        </w:tc>
        <w:tc>
          <w:tcPr>
            <w:tcW w:w="1879" w:type="dxa"/>
            <w:tcBorders>
              <w:top w:val="single" w:color="000000" w:sz="4" w:space="0"/>
              <w:left w:val="single" w:color="000000" w:sz="4" w:space="0"/>
              <w:bottom w:val="single" w:color="000000" w:sz="4" w:space="0"/>
              <w:right w:val="single" w:color="000000" w:sz="4" w:space="0"/>
            </w:tcBorders>
          </w:tcPr>
          <w:p>
            <w:pPr>
              <w:pStyle w:val="19"/>
              <w:spacing w:before="174"/>
              <w:ind w:left="397" w:right="380"/>
              <w:rPr>
                <w:rFonts w:ascii="Times New Roman" w:hAnsi="Times New Roman"/>
                <w:sz w:val="21"/>
              </w:rPr>
            </w:pPr>
            <w:r>
              <w:rPr>
                <w:rFonts w:ascii="Times New Roman" w:hAnsi="Times New Roman"/>
                <w:sz w:val="21"/>
              </w:rPr>
              <w:t>≥90</w:t>
            </w:r>
          </w:p>
        </w:tc>
        <w:tc>
          <w:tcPr>
            <w:tcW w:w="2021" w:type="dxa"/>
            <w:tcBorders>
              <w:top w:val="single" w:color="000000" w:sz="4" w:space="0"/>
              <w:left w:val="single" w:color="000000" w:sz="4" w:space="0"/>
              <w:bottom w:val="single" w:color="000000" w:sz="4" w:space="0"/>
              <w:right w:val="single" w:color="000000" w:sz="4" w:space="0"/>
            </w:tcBorders>
          </w:tcPr>
          <w:p>
            <w:pPr>
              <w:pStyle w:val="19"/>
              <w:spacing w:before="174"/>
              <w:ind w:left="39" w:right="20"/>
              <w:rPr>
                <w:rFonts w:ascii="Times New Roman" w:hAnsi="Times New Roman"/>
                <w:sz w:val="21"/>
              </w:rPr>
            </w:pPr>
            <w:r>
              <w:rPr>
                <w:rFonts w:ascii="Times New Roman" w:hAnsi="Times New Roman"/>
                <w:sz w:val="21"/>
              </w:rPr>
              <w:t>≥85</w:t>
            </w:r>
          </w:p>
        </w:tc>
        <w:tc>
          <w:tcPr>
            <w:tcW w:w="1165" w:type="dxa"/>
            <w:tcBorders>
              <w:top w:val="single" w:color="000000" w:sz="4" w:space="0"/>
              <w:left w:val="single" w:color="000000" w:sz="4" w:space="0"/>
              <w:bottom w:val="single" w:color="000000" w:sz="4" w:space="0"/>
            </w:tcBorders>
          </w:tcPr>
          <w:p>
            <w:pPr>
              <w:pStyle w:val="19"/>
              <w:spacing w:before="174"/>
              <w:ind w:left="21" w:right="5"/>
              <w:rPr>
                <w:rFonts w:ascii="Times New Roman" w:hAnsi="Times New Roman"/>
                <w:sz w:val="21"/>
              </w:rPr>
            </w:pPr>
            <w:r>
              <w:rPr>
                <w:rFonts w:ascii="Times New Roman" w:hAnsi="Times New Roman"/>
                <w:sz w:val="21"/>
              </w:rPr>
              <w:t>≥95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572" w:type="dxa"/>
            <w:tcBorders>
              <w:top w:val="single" w:color="000000" w:sz="4" w:space="0"/>
              <w:bottom w:val="single" w:color="000000" w:sz="4" w:space="0"/>
              <w:right w:val="single" w:color="000000" w:sz="4" w:space="0"/>
            </w:tcBorders>
          </w:tcPr>
          <w:p>
            <w:pPr>
              <w:pStyle w:val="19"/>
              <w:spacing w:before="176"/>
              <w:ind w:left="56" w:right="38"/>
              <w:rPr>
                <w:rFonts w:ascii="Times New Roman"/>
                <w:sz w:val="21"/>
              </w:rPr>
            </w:pPr>
            <w:r>
              <w:rPr>
                <w:rFonts w:ascii="Times New Roman"/>
                <w:sz w:val="21"/>
              </w:rPr>
              <w:t>22</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9"/>
              <w:spacing w:line="266" w:lineRule="exact"/>
              <w:ind w:left="41" w:right="24"/>
              <w:rPr>
                <w:sz w:val="21"/>
              </w:rPr>
            </w:pPr>
            <w:r>
              <w:rPr>
                <w:sz w:val="21"/>
              </w:rPr>
              <w:t>矿区生活污水综合</w:t>
            </w:r>
          </w:p>
          <w:p>
            <w:pPr>
              <w:pStyle w:val="19"/>
              <w:spacing w:before="55"/>
              <w:ind w:left="43" w:right="24"/>
              <w:rPr>
                <w:sz w:val="21"/>
              </w:rPr>
            </w:pPr>
            <w:r>
              <w:rPr>
                <w:sz w:val="21"/>
              </w:rPr>
              <w:t>利用率</w:t>
            </w:r>
          </w:p>
        </w:tc>
        <w:tc>
          <w:tcPr>
            <w:tcW w:w="835" w:type="dxa"/>
            <w:tcBorders>
              <w:top w:val="single" w:color="000000" w:sz="4" w:space="0"/>
              <w:left w:val="single" w:color="000000" w:sz="4" w:space="0"/>
              <w:bottom w:val="single" w:color="000000" w:sz="4" w:space="0"/>
              <w:right w:val="single" w:color="000000" w:sz="4" w:space="0"/>
            </w:tcBorders>
          </w:tcPr>
          <w:p>
            <w:pPr>
              <w:pStyle w:val="19"/>
              <w:spacing w:before="176"/>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9"/>
              <w:spacing w:before="176"/>
              <w:ind w:left="266" w:right="248"/>
              <w:rPr>
                <w:rFonts w:ascii="Times New Roman"/>
                <w:sz w:val="21"/>
              </w:rPr>
            </w:pPr>
            <w:r>
              <w:rPr>
                <w:rFonts w:ascii="Times New Roman"/>
                <w:sz w:val="21"/>
              </w:rPr>
              <w:t>0.2</w:t>
            </w:r>
          </w:p>
        </w:tc>
        <w:tc>
          <w:tcPr>
            <w:tcW w:w="2641" w:type="dxa"/>
            <w:tcBorders>
              <w:top w:val="single" w:color="000000" w:sz="4" w:space="0"/>
              <w:left w:val="single" w:color="000000" w:sz="4" w:space="0"/>
              <w:bottom w:val="single" w:color="000000" w:sz="4" w:space="0"/>
              <w:right w:val="single" w:color="000000" w:sz="4" w:space="0"/>
            </w:tcBorders>
          </w:tcPr>
          <w:p>
            <w:pPr>
              <w:pStyle w:val="19"/>
              <w:spacing w:before="176"/>
              <w:ind w:left="778" w:right="758"/>
              <w:rPr>
                <w:rFonts w:ascii="Times New Roman"/>
                <w:sz w:val="21"/>
              </w:rPr>
            </w:pPr>
            <w:r>
              <w:rPr>
                <w:rFonts w:ascii="Times New Roman"/>
                <w:sz w:val="21"/>
              </w:rPr>
              <w:t>100</w:t>
            </w:r>
          </w:p>
        </w:tc>
        <w:tc>
          <w:tcPr>
            <w:tcW w:w="1879" w:type="dxa"/>
            <w:tcBorders>
              <w:top w:val="single" w:color="000000" w:sz="4" w:space="0"/>
              <w:left w:val="single" w:color="000000" w:sz="4" w:space="0"/>
              <w:bottom w:val="single" w:color="000000" w:sz="4" w:space="0"/>
              <w:right w:val="single" w:color="000000" w:sz="4" w:space="0"/>
            </w:tcBorders>
          </w:tcPr>
          <w:p>
            <w:pPr>
              <w:pStyle w:val="19"/>
              <w:spacing w:before="176"/>
              <w:ind w:left="397" w:right="380"/>
              <w:rPr>
                <w:rFonts w:ascii="Times New Roman" w:hAnsi="Times New Roman"/>
                <w:sz w:val="21"/>
              </w:rPr>
            </w:pPr>
            <w:r>
              <w:rPr>
                <w:rFonts w:ascii="Times New Roman" w:hAnsi="Times New Roman"/>
                <w:sz w:val="21"/>
              </w:rPr>
              <w:t>≥95</w:t>
            </w:r>
          </w:p>
        </w:tc>
        <w:tc>
          <w:tcPr>
            <w:tcW w:w="2021" w:type="dxa"/>
            <w:tcBorders>
              <w:top w:val="single" w:color="000000" w:sz="4" w:space="0"/>
              <w:left w:val="single" w:color="000000" w:sz="4" w:space="0"/>
              <w:bottom w:val="single" w:color="000000" w:sz="4" w:space="0"/>
              <w:right w:val="single" w:color="000000" w:sz="4" w:space="0"/>
            </w:tcBorders>
          </w:tcPr>
          <w:p>
            <w:pPr>
              <w:pStyle w:val="19"/>
              <w:spacing w:before="176"/>
              <w:ind w:left="39" w:right="20"/>
              <w:rPr>
                <w:rFonts w:ascii="Times New Roman" w:hAnsi="Times New Roman"/>
                <w:sz w:val="21"/>
              </w:rPr>
            </w:pPr>
            <w:r>
              <w:rPr>
                <w:rFonts w:ascii="Times New Roman" w:hAnsi="Times New Roman"/>
                <w:sz w:val="21"/>
              </w:rPr>
              <w:t>≥90</w:t>
            </w:r>
          </w:p>
        </w:tc>
        <w:tc>
          <w:tcPr>
            <w:tcW w:w="1165" w:type="dxa"/>
            <w:tcBorders>
              <w:top w:val="single" w:color="000000" w:sz="4" w:space="0"/>
              <w:left w:val="single" w:color="000000" w:sz="4" w:space="0"/>
              <w:bottom w:val="single" w:color="000000" w:sz="4" w:space="0"/>
            </w:tcBorders>
          </w:tcPr>
          <w:p>
            <w:pPr>
              <w:pStyle w:val="19"/>
              <w:spacing w:before="176"/>
              <w:ind w:left="24" w:right="4"/>
              <w:rPr>
                <w:rFonts w:ascii="Times New Roman"/>
                <w:sz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2" w:hRule="atLeast"/>
        </w:trPr>
        <w:tc>
          <w:tcPr>
            <w:tcW w:w="572" w:type="dxa"/>
            <w:tcBorders>
              <w:top w:val="single" w:color="000000" w:sz="4" w:space="0"/>
              <w:right w:val="single" w:color="000000" w:sz="4" w:space="0"/>
            </w:tcBorders>
          </w:tcPr>
          <w:p>
            <w:pPr>
              <w:pStyle w:val="19"/>
              <w:spacing w:before="19"/>
              <w:ind w:left="56" w:right="38"/>
              <w:rPr>
                <w:rFonts w:ascii="Times New Roman"/>
                <w:sz w:val="21"/>
              </w:rPr>
            </w:pPr>
            <w:r>
              <w:rPr>
                <w:rFonts w:ascii="Times New Roman"/>
                <w:sz w:val="21"/>
              </w:rPr>
              <w:t>23</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right w:val="single" w:color="000000" w:sz="4" w:space="0"/>
            </w:tcBorders>
          </w:tcPr>
          <w:p>
            <w:pPr>
              <w:pStyle w:val="19"/>
              <w:ind w:left="73"/>
              <w:jc w:val="left"/>
              <w:rPr>
                <w:sz w:val="21"/>
              </w:rPr>
            </w:pPr>
            <w:r>
              <w:rPr>
                <w:sz w:val="21"/>
              </w:rPr>
              <w:t>高瓦斯矿井当年抽</w:t>
            </w:r>
          </w:p>
        </w:tc>
        <w:tc>
          <w:tcPr>
            <w:tcW w:w="835" w:type="dxa"/>
            <w:tcBorders>
              <w:top w:val="single" w:color="000000" w:sz="4" w:space="0"/>
              <w:left w:val="single" w:color="000000" w:sz="4" w:space="0"/>
              <w:right w:val="single" w:color="000000" w:sz="4" w:space="0"/>
            </w:tcBorders>
          </w:tcPr>
          <w:p>
            <w:pPr>
              <w:pStyle w:val="19"/>
              <w:spacing w:before="19"/>
              <w:ind w:left="17"/>
              <w:rPr>
                <w:rFonts w:ascii="Times New Roman"/>
                <w:sz w:val="21"/>
              </w:rPr>
            </w:pPr>
            <w:r>
              <w:rPr>
                <w:rFonts w:ascii="Times New Roman"/>
                <w:w w:val="99"/>
                <w:sz w:val="21"/>
              </w:rPr>
              <w:t>%</w:t>
            </w:r>
          </w:p>
        </w:tc>
        <w:tc>
          <w:tcPr>
            <w:tcW w:w="933" w:type="dxa"/>
            <w:tcBorders>
              <w:top w:val="single" w:color="000000" w:sz="4" w:space="0"/>
              <w:left w:val="single" w:color="000000" w:sz="4" w:space="0"/>
              <w:right w:val="single" w:color="000000" w:sz="4" w:space="0"/>
            </w:tcBorders>
          </w:tcPr>
          <w:p>
            <w:pPr>
              <w:pStyle w:val="19"/>
              <w:spacing w:before="19"/>
              <w:ind w:left="266" w:right="248"/>
              <w:rPr>
                <w:rFonts w:ascii="Times New Roman"/>
                <w:sz w:val="21"/>
              </w:rPr>
            </w:pPr>
            <w:r>
              <w:rPr>
                <w:rFonts w:ascii="Times New Roman"/>
                <w:sz w:val="21"/>
              </w:rPr>
              <w:t>0.2</w:t>
            </w:r>
          </w:p>
        </w:tc>
        <w:tc>
          <w:tcPr>
            <w:tcW w:w="2641" w:type="dxa"/>
            <w:tcBorders>
              <w:top w:val="single" w:color="000000" w:sz="4" w:space="0"/>
              <w:left w:val="single" w:color="000000" w:sz="4" w:space="0"/>
              <w:right w:val="single" w:color="000000" w:sz="4" w:space="0"/>
            </w:tcBorders>
          </w:tcPr>
          <w:p>
            <w:pPr>
              <w:pStyle w:val="19"/>
              <w:spacing w:before="19"/>
              <w:ind w:left="778" w:right="758"/>
              <w:rPr>
                <w:rFonts w:ascii="Times New Roman" w:hAnsi="Times New Roman"/>
                <w:sz w:val="21"/>
              </w:rPr>
            </w:pPr>
            <w:r>
              <w:rPr>
                <w:rFonts w:ascii="Times New Roman" w:hAnsi="Times New Roman"/>
                <w:sz w:val="21"/>
              </w:rPr>
              <w:t>≥85</w:t>
            </w:r>
          </w:p>
        </w:tc>
        <w:tc>
          <w:tcPr>
            <w:tcW w:w="1879" w:type="dxa"/>
            <w:tcBorders>
              <w:top w:val="single" w:color="000000" w:sz="4" w:space="0"/>
              <w:left w:val="single" w:color="000000" w:sz="4" w:space="0"/>
              <w:right w:val="single" w:color="000000" w:sz="4" w:space="0"/>
            </w:tcBorders>
          </w:tcPr>
          <w:p>
            <w:pPr>
              <w:pStyle w:val="19"/>
              <w:spacing w:before="19"/>
              <w:ind w:left="397" w:right="380"/>
              <w:rPr>
                <w:rFonts w:ascii="Times New Roman" w:hAnsi="Times New Roman"/>
                <w:sz w:val="21"/>
              </w:rPr>
            </w:pPr>
            <w:r>
              <w:rPr>
                <w:rFonts w:ascii="Times New Roman" w:hAnsi="Times New Roman"/>
                <w:sz w:val="21"/>
              </w:rPr>
              <w:t>≥70</w:t>
            </w:r>
          </w:p>
        </w:tc>
        <w:tc>
          <w:tcPr>
            <w:tcW w:w="2021" w:type="dxa"/>
            <w:tcBorders>
              <w:top w:val="single" w:color="000000" w:sz="4" w:space="0"/>
              <w:left w:val="single" w:color="000000" w:sz="4" w:space="0"/>
              <w:right w:val="single" w:color="000000" w:sz="4" w:space="0"/>
            </w:tcBorders>
          </w:tcPr>
          <w:p>
            <w:pPr>
              <w:pStyle w:val="19"/>
              <w:spacing w:before="19"/>
              <w:ind w:left="39" w:right="20"/>
              <w:rPr>
                <w:rFonts w:ascii="Times New Roman" w:hAnsi="Times New Roman"/>
                <w:sz w:val="21"/>
              </w:rPr>
            </w:pPr>
            <w:r>
              <w:rPr>
                <w:rFonts w:ascii="Times New Roman" w:hAnsi="Times New Roman"/>
                <w:sz w:val="21"/>
              </w:rPr>
              <w:t>≥60</w:t>
            </w:r>
          </w:p>
        </w:tc>
        <w:tc>
          <w:tcPr>
            <w:tcW w:w="1165" w:type="dxa"/>
            <w:tcBorders>
              <w:top w:val="single" w:color="000000" w:sz="4" w:space="0"/>
              <w:left w:val="single" w:color="000000" w:sz="4" w:space="0"/>
            </w:tcBorders>
          </w:tcPr>
          <w:p>
            <w:pPr>
              <w:pStyle w:val="19"/>
              <w:ind w:left="24" w:right="5"/>
              <w:rPr>
                <w:sz w:val="21"/>
              </w:rPr>
            </w:pPr>
            <w:r>
              <w:rPr>
                <w:sz w:val="21"/>
              </w:rPr>
              <w:t>抽采瓦斯浓</w:t>
            </w:r>
          </w:p>
        </w:tc>
      </w:tr>
    </w:tbl>
    <w:p>
      <w:pPr>
        <w:spacing w:after="0"/>
        <w:rPr>
          <w:sz w:val="21"/>
        </w:rPr>
        <w:sectPr>
          <w:pgSz w:w="16840" w:h="11910" w:orient="landscape"/>
          <w:pgMar w:top="1100" w:right="1280" w:bottom="800" w:left="1280" w:header="0" w:footer="601" w:gutter="0"/>
        </w:sectPr>
      </w:pPr>
    </w:p>
    <w:p>
      <w:pPr>
        <w:pStyle w:val="9"/>
        <w:spacing w:before="1"/>
        <w:rPr>
          <w:rFonts w:ascii="Times New Roman"/>
          <w:sz w:val="27"/>
        </w:rPr>
      </w:pPr>
    </w:p>
    <w:tbl>
      <w:tblPr>
        <w:tblStyle w:val="15"/>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181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9"/>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9"/>
              <w:spacing w:before="2"/>
              <w:ind w:left="16"/>
              <w:rPr>
                <w:sz w:val="21"/>
              </w:rPr>
            </w:pPr>
            <w:r>
              <w:rPr>
                <w:sz w:val="21"/>
              </w:rPr>
              <w:t>一级指标指</w:t>
            </w:r>
          </w:p>
          <w:p>
            <w:pPr>
              <w:pStyle w:val="19"/>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9"/>
              <w:spacing w:before="2"/>
              <w:ind w:left="13" w:right="-15"/>
              <w:rPr>
                <w:sz w:val="21"/>
              </w:rPr>
            </w:pPr>
            <w:r>
              <w:rPr>
                <w:sz w:val="21"/>
              </w:rPr>
              <w:t>一级指标权</w:t>
            </w:r>
          </w:p>
          <w:p>
            <w:pPr>
              <w:pStyle w:val="19"/>
              <w:spacing w:before="55"/>
              <w:ind w:left="306" w:right="290"/>
              <w:rPr>
                <w:sz w:val="21"/>
              </w:rPr>
            </w:pPr>
            <w:r>
              <w:rPr>
                <w:sz w:val="21"/>
              </w:rPr>
              <w:t>重值</w:t>
            </w:r>
          </w:p>
        </w:tc>
        <w:tc>
          <w:tcPr>
            <w:tcW w:w="1818" w:type="dxa"/>
            <w:tcBorders>
              <w:left w:val="single" w:color="000000" w:sz="4" w:space="0"/>
              <w:bottom w:val="single" w:color="000000" w:sz="4" w:space="0"/>
              <w:right w:val="single" w:color="000000" w:sz="4" w:space="0"/>
            </w:tcBorders>
          </w:tcPr>
          <w:p>
            <w:pPr>
              <w:pStyle w:val="19"/>
              <w:spacing w:before="165"/>
              <w:ind w:left="43" w:right="24"/>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9"/>
              <w:spacing w:before="165"/>
              <w:ind w:left="190" w:right="174"/>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9"/>
              <w:spacing w:before="2"/>
              <w:ind w:left="51"/>
              <w:jc w:val="left"/>
              <w:rPr>
                <w:sz w:val="21"/>
              </w:rPr>
            </w:pPr>
            <w:r>
              <w:rPr>
                <w:w w:val="95"/>
                <w:sz w:val="21"/>
              </w:rPr>
              <w:t>二级指标</w:t>
            </w:r>
          </w:p>
          <w:p>
            <w:pPr>
              <w:pStyle w:val="19"/>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9"/>
              <w:spacing w:before="165"/>
              <w:ind w:left="778" w:right="762"/>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9"/>
              <w:spacing w:before="165"/>
              <w:ind w:left="397" w:right="382"/>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9"/>
              <w:spacing w:before="165"/>
              <w:ind w:left="35" w:right="20"/>
              <w:rPr>
                <w:sz w:val="21"/>
              </w:rPr>
            </w:pPr>
            <w:r>
              <w:rPr>
                <w:sz w:val="21"/>
              </w:rPr>
              <w:t>Ⅲ级基准值</w:t>
            </w:r>
          </w:p>
        </w:tc>
        <w:tc>
          <w:tcPr>
            <w:tcW w:w="1165" w:type="dxa"/>
            <w:tcBorders>
              <w:left w:val="single" w:color="000000" w:sz="4" w:space="0"/>
              <w:bottom w:val="single" w:color="000000" w:sz="4" w:space="0"/>
            </w:tcBorders>
          </w:tcPr>
          <w:p>
            <w:pPr>
              <w:pStyle w:val="19"/>
              <w:spacing w:before="2"/>
              <w:ind w:left="24" w:right="5"/>
              <w:rPr>
                <w:sz w:val="21"/>
              </w:rPr>
            </w:pPr>
            <w:r>
              <w:rPr>
                <w:sz w:val="21"/>
              </w:rPr>
              <w:t>本煤矿扩建</w:t>
            </w:r>
          </w:p>
          <w:p>
            <w:pPr>
              <w:pStyle w:val="19"/>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3" w:hRule="atLeast"/>
        </w:trPr>
        <w:tc>
          <w:tcPr>
            <w:tcW w:w="572" w:type="dxa"/>
            <w:tcBorders>
              <w:top w:val="single" w:color="000000" w:sz="4" w:space="0"/>
              <w:bottom w:val="single" w:color="000000" w:sz="4" w:space="0"/>
              <w:right w:val="single" w:color="000000" w:sz="4" w:space="0"/>
            </w:tcBorders>
          </w:tcPr>
          <w:p>
            <w:pPr>
              <w:pStyle w:val="19"/>
              <w:jc w:val="left"/>
              <w:rPr>
                <w:rFonts w:ascii="Times New Roman"/>
                <w:sz w:val="20"/>
              </w:rPr>
            </w:pPr>
          </w:p>
        </w:tc>
        <w:tc>
          <w:tcPr>
            <w:tcW w:w="1090"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068"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818" w:type="dxa"/>
            <w:tcBorders>
              <w:top w:val="single" w:color="000000" w:sz="4" w:space="0"/>
              <w:left w:val="single" w:color="000000" w:sz="4" w:space="0"/>
              <w:bottom w:val="single" w:color="000000" w:sz="4" w:space="0"/>
              <w:right w:val="single" w:color="000000" w:sz="4" w:space="0"/>
            </w:tcBorders>
          </w:tcPr>
          <w:p>
            <w:pPr>
              <w:pStyle w:val="19"/>
              <w:ind w:left="38" w:right="24"/>
              <w:rPr>
                <w:sz w:val="21"/>
              </w:rPr>
            </w:pPr>
            <w:r>
              <w:rPr>
                <w:sz w:val="21"/>
              </w:rPr>
              <w:t>采瓦斯利用率</w:t>
            </w:r>
          </w:p>
        </w:tc>
        <w:tc>
          <w:tcPr>
            <w:tcW w:w="83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933"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2641"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879"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2021"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165" w:type="dxa"/>
            <w:tcBorders>
              <w:top w:val="single" w:color="000000" w:sz="4" w:space="0"/>
              <w:left w:val="single" w:color="000000" w:sz="4" w:space="0"/>
              <w:bottom w:val="single" w:color="000000" w:sz="4" w:space="0"/>
            </w:tcBorders>
          </w:tcPr>
          <w:p>
            <w:pPr>
              <w:pStyle w:val="19"/>
              <w:spacing w:line="290" w:lineRule="auto"/>
              <w:ind w:left="60" w:right="31" w:hanging="10"/>
              <w:jc w:val="both"/>
              <w:rPr>
                <w:sz w:val="21"/>
              </w:rPr>
            </w:pPr>
            <w:r>
              <w:rPr>
                <w:spacing w:val="-18"/>
                <w:sz w:val="21"/>
              </w:rPr>
              <w:t xml:space="preserve">度在 </w:t>
            </w:r>
            <w:r>
              <w:rPr>
                <w:rFonts w:ascii="Times New Roman" w:eastAsia="Times New Roman"/>
                <w:sz w:val="21"/>
              </w:rPr>
              <w:t>30%</w:t>
            </w:r>
            <w:r>
              <w:rPr>
                <w:spacing w:val="-16"/>
                <w:sz w:val="21"/>
              </w:rPr>
              <w:t>以</w:t>
            </w:r>
            <w:r>
              <w:rPr>
                <w:sz w:val="21"/>
              </w:rPr>
              <w:t>下且暂未进行资源化利用，直接排</w:t>
            </w:r>
          </w:p>
          <w:p>
            <w:pPr>
              <w:pStyle w:val="19"/>
              <w:spacing w:before="3"/>
              <w:ind w:left="19"/>
              <w:rPr>
                <w:sz w:val="21"/>
              </w:rPr>
            </w:pPr>
            <w:r>
              <w:rPr>
                <w:w w:val="99"/>
                <w:sz w:val="21"/>
              </w:rPr>
              <w:t>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572" w:type="dxa"/>
            <w:tcBorders>
              <w:top w:val="single" w:color="000000" w:sz="4" w:space="0"/>
              <w:bottom w:val="single" w:color="000000" w:sz="4" w:space="0"/>
              <w:right w:val="single" w:color="000000" w:sz="4" w:space="0"/>
            </w:tcBorders>
          </w:tcPr>
          <w:p>
            <w:pPr>
              <w:pStyle w:val="19"/>
              <w:spacing w:before="180"/>
              <w:ind w:left="56" w:right="38"/>
              <w:rPr>
                <w:rFonts w:ascii="Times New Roman"/>
                <w:sz w:val="21"/>
              </w:rPr>
            </w:pPr>
            <w:r>
              <w:rPr>
                <w:rFonts w:ascii="Times New Roman"/>
                <w:sz w:val="21"/>
              </w:rPr>
              <w:t>24</w:t>
            </w:r>
          </w:p>
        </w:tc>
        <w:tc>
          <w:tcPr>
            <w:tcW w:w="1090" w:type="dxa"/>
            <w:vMerge w:val="restart"/>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p>
            <w:pPr>
              <w:pStyle w:val="19"/>
              <w:jc w:val="left"/>
              <w:rPr>
                <w:rFonts w:ascii="Times New Roman"/>
                <w:sz w:val="20"/>
              </w:rPr>
            </w:pPr>
          </w:p>
          <w:p>
            <w:pPr>
              <w:pStyle w:val="19"/>
              <w:spacing w:before="3"/>
              <w:jc w:val="left"/>
              <w:rPr>
                <w:rFonts w:ascii="Times New Roman"/>
                <w:sz w:val="19"/>
              </w:rPr>
            </w:pPr>
          </w:p>
          <w:p>
            <w:pPr>
              <w:pStyle w:val="19"/>
              <w:spacing w:line="290" w:lineRule="auto"/>
              <w:ind w:left="129" w:right="5" w:hanging="106"/>
              <w:jc w:val="left"/>
              <w:rPr>
                <w:sz w:val="21"/>
              </w:rPr>
            </w:pPr>
            <w:r>
              <w:rPr>
                <w:sz w:val="21"/>
              </w:rPr>
              <w:t>（四）生态环境指标</w:t>
            </w:r>
          </w:p>
        </w:tc>
        <w:tc>
          <w:tcPr>
            <w:tcW w:w="1068" w:type="dxa"/>
            <w:vMerge w:val="restart"/>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2"/>
              </w:rPr>
            </w:pPr>
          </w:p>
          <w:p>
            <w:pPr>
              <w:pStyle w:val="19"/>
              <w:jc w:val="left"/>
              <w:rPr>
                <w:rFonts w:ascii="Times New Roman"/>
                <w:sz w:val="22"/>
              </w:rPr>
            </w:pPr>
          </w:p>
          <w:p>
            <w:pPr>
              <w:pStyle w:val="19"/>
              <w:spacing w:before="1"/>
              <w:jc w:val="left"/>
              <w:rPr>
                <w:rFonts w:ascii="Times New Roman"/>
                <w:sz w:val="31"/>
              </w:rPr>
            </w:pPr>
          </w:p>
          <w:p>
            <w:pPr>
              <w:pStyle w:val="19"/>
              <w:ind w:left="354"/>
              <w:jc w:val="left"/>
              <w:rPr>
                <w:rFonts w:ascii="Times New Roman"/>
                <w:sz w:val="21"/>
              </w:rPr>
            </w:pPr>
            <w:r>
              <w:rPr>
                <w:rFonts w:ascii="Times New Roman"/>
                <w:sz w:val="21"/>
              </w:rPr>
              <w:t>0.15</w:t>
            </w:r>
          </w:p>
        </w:tc>
        <w:tc>
          <w:tcPr>
            <w:tcW w:w="1818" w:type="dxa"/>
            <w:tcBorders>
              <w:top w:val="single" w:color="000000" w:sz="4" w:space="0"/>
              <w:left w:val="single" w:color="000000" w:sz="4" w:space="0"/>
              <w:bottom w:val="single" w:color="000000" w:sz="4" w:space="0"/>
              <w:right w:val="single" w:color="000000" w:sz="4" w:space="0"/>
            </w:tcBorders>
          </w:tcPr>
          <w:p>
            <w:pPr>
              <w:pStyle w:val="19"/>
              <w:ind w:left="44" w:right="21"/>
              <w:rPr>
                <w:sz w:val="21"/>
              </w:rPr>
            </w:pPr>
            <w:r>
              <w:rPr>
                <w:spacing w:val="-11"/>
                <w:w w:val="95"/>
                <w:sz w:val="21"/>
              </w:rPr>
              <w:t>煤矸石、煤泥、粉煤</w:t>
            </w:r>
          </w:p>
          <w:p>
            <w:pPr>
              <w:pStyle w:val="19"/>
              <w:spacing w:before="57"/>
              <w:ind w:left="38" w:right="24"/>
              <w:rPr>
                <w:sz w:val="21"/>
              </w:rPr>
            </w:pPr>
            <w:r>
              <w:rPr>
                <w:sz w:val="21"/>
              </w:rPr>
              <w:t>灰安全处置率</w:t>
            </w:r>
          </w:p>
        </w:tc>
        <w:tc>
          <w:tcPr>
            <w:tcW w:w="835" w:type="dxa"/>
            <w:tcBorders>
              <w:top w:val="single" w:color="000000" w:sz="4" w:space="0"/>
              <w:left w:val="single" w:color="000000" w:sz="4" w:space="0"/>
              <w:bottom w:val="single" w:color="000000" w:sz="4" w:space="0"/>
              <w:right w:val="single" w:color="000000" w:sz="4" w:space="0"/>
            </w:tcBorders>
          </w:tcPr>
          <w:p>
            <w:pPr>
              <w:pStyle w:val="19"/>
              <w:spacing w:before="180"/>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9"/>
              <w:spacing w:before="180"/>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9"/>
              <w:spacing w:before="180"/>
              <w:ind w:left="778" w:right="758"/>
              <w:rPr>
                <w:rFonts w:ascii="Times New Roman"/>
                <w:sz w:val="21"/>
              </w:rPr>
            </w:pPr>
            <w:r>
              <w:rPr>
                <w:rFonts w:ascii="Times New Roman"/>
                <w:sz w:val="21"/>
              </w:rPr>
              <w:t>100</w:t>
            </w:r>
          </w:p>
        </w:tc>
        <w:tc>
          <w:tcPr>
            <w:tcW w:w="1879" w:type="dxa"/>
            <w:tcBorders>
              <w:top w:val="single" w:color="000000" w:sz="4" w:space="0"/>
              <w:left w:val="single" w:color="000000" w:sz="4" w:space="0"/>
              <w:bottom w:val="single" w:color="000000" w:sz="4" w:space="0"/>
              <w:right w:val="single" w:color="000000" w:sz="4" w:space="0"/>
            </w:tcBorders>
          </w:tcPr>
          <w:p>
            <w:pPr>
              <w:pStyle w:val="19"/>
              <w:spacing w:before="180"/>
              <w:ind w:left="397" w:right="376"/>
              <w:rPr>
                <w:rFonts w:ascii="Times New Roman"/>
                <w:sz w:val="21"/>
              </w:rPr>
            </w:pPr>
            <w:r>
              <w:rPr>
                <w:rFonts w:ascii="Times New Roman"/>
                <w:sz w:val="21"/>
              </w:rPr>
              <w:t>100</w:t>
            </w:r>
          </w:p>
        </w:tc>
        <w:tc>
          <w:tcPr>
            <w:tcW w:w="2021" w:type="dxa"/>
            <w:tcBorders>
              <w:top w:val="single" w:color="000000" w:sz="4" w:space="0"/>
              <w:left w:val="single" w:color="000000" w:sz="4" w:space="0"/>
              <w:bottom w:val="single" w:color="000000" w:sz="4" w:space="0"/>
              <w:right w:val="single" w:color="000000" w:sz="4" w:space="0"/>
            </w:tcBorders>
          </w:tcPr>
          <w:p>
            <w:pPr>
              <w:pStyle w:val="19"/>
              <w:spacing w:before="180"/>
              <w:ind w:left="39" w:right="20"/>
              <w:rPr>
                <w:rFonts w:ascii="Times New Roman"/>
                <w:sz w:val="21"/>
              </w:rPr>
            </w:pPr>
            <w:r>
              <w:rPr>
                <w:rFonts w:ascii="Times New Roman"/>
                <w:sz w:val="21"/>
              </w:rPr>
              <w:t>100</w:t>
            </w:r>
          </w:p>
        </w:tc>
        <w:tc>
          <w:tcPr>
            <w:tcW w:w="1165" w:type="dxa"/>
            <w:tcBorders>
              <w:top w:val="single" w:color="000000" w:sz="4" w:space="0"/>
              <w:left w:val="single" w:color="000000" w:sz="4" w:space="0"/>
              <w:bottom w:val="single" w:color="000000" w:sz="4" w:space="0"/>
            </w:tcBorders>
          </w:tcPr>
          <w:p>
            <w:pPr>
              <w:pStyle w:val="19"/>
              <w:spacing w:before="180"/>
              <w:ind w:left="24" w:right="4"/>
              <w:rPr>
                <w:rFonts w:ascii="Times New Roman"/>
                <w:sz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1" w:hRule="atLeast"/>
        </w:trPr>
        <w:tc>
          <w:tcPr>
            <w:tcW w:w="572" w:type="dxa"/>
            <w:tcBorders>
              <w:top w:val="single" w:color="000000" w:sz="4" w:space="0"/>
              <w:bottom w:val="single" w:color="000000" w:sz="4" w:space="0"/>
              <w:right w:val="single" w:color="000000" w:sz="4" w:space="0"/>
            </w:tcBorders>
          </w:tcPr>
          <w:p>
            <w:pPr>
              <w:pStyle w:val="19"/>
              <w:spacing w:before="25"/>
              <w:ind w:left="56" w:right="38"/>
              <w:rPr>
                <w:rFonts w:ascii="Times New Roman"/>
                <w:sz w:val="21"/>
              </w:rPr>
            </w:pPr>
            <w:r>
              <w:rPr>
                <w:rFonts w:ascii="Times New Roman"/>
                <w:sz w:val="21"/>
              </w:rPr>
              <w:t>25</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9"/>
              <w:spacing w:before="7"/>
              <w:ind w:left="38" w:right="24"/>
              <w:rPr>
                <w:sz w:val="21"/>
              </w:rPr>
            </w:pPr>
            <w:r>
              <w:rPr>
                <w:sz w:val="21"/>
              </w:rPr>
              <w:t>沉陷区治理率</w:t>
            </w:r>
          </w:p>
        </w:tc>
        <w:tc>
          <w:tcPr>
            <w:tcW w:w="835" w:type="dxa"/>
            <w:tcBorders>
              <w:top w:val="single" w:color="000000" w:sz="4" w:space="0"/>
              <w:left w:val="single" w:color="000000" w:sz="4" w:space="0"/>
              <w:bottom w:val="single" w:color="000000" w:sz="4" w:space="0"/>
              <w:right w:val="single" w:color="000000" w:sz="4" w:space="0"/>
            </w:tcBorders>
          </w:tcPr>
          <w:p>
            <w:pPr>
              <w:pStyle w:val="19"/>
              <w:spacing w:before="25"/>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9"/>
              <w:spacing w:before="25"/>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9"/>
              <w:spacing w:before="25"/>
              <w:ind w:left="778" w:right="758"/>
              <w:rPr>
                <w:rFonts w:ascii="Times New Roman"/>
                <w:sz w:val="21"/>
              </w:rPr>
            </w:pPr>
            <w:r>
              <w:rPr>
                <w:rFonts w:ascii="Times New Roman"/>
                <w:sz w:val="21"/>
              </w:rPr>
              <w:t>90</w:t>
            </w:r>
          </w:p>
        </w:tc>
        <w:tc>
          <w:tcPr>
            <w:tcW w:w="1879" w:type="dxa"/>
            <w:tcBorders>
              <w:top w:val="single" w:color="000000" w:sz="4" w:space="0"/>
              <w:left w:val="single" w:color="000000" w:sz="4" w:space="0"/>
              <w:bottom w:val="single" w:color="000000" w:sz="4" w:space="0"/>
              <w:right w:val="single" w:color="000000" w:sz="4" w:space="0"/>
            </w:tcBorders>
          </w:tcPr>
          <w:p>
            <w:pPr>
              <w:pStyle w:val="19"/>
              <w:spacing w:before="25"/>
              <w:ind w:left="397" w:right="380"/>
              <w:rPr>
                <w:rFonts w:ascii="Times New Roman"/>
                <w:sz w:val="21"/>
              </w:rPr>
            </w:pPr>
            <w:r>
              <w:rPr>
                <w:rFonts w:ascii="Times New Roman"/>
                <w:sz w:val="21"/>
              </w:rPr>
              <w:t>80</w:t>
            </w:r>
          </w:p>
        </w:tc>
        <w:tc>
          <w:tcPr>
            <w:tcW w:w="2021" w:type="dxa"/>
            <w:tcBorders>
              <w:top w:val="single" w:color="000000" w:sz="4" w:space="0"/>
              <w:left w:val="single" w:color="000000" w:sz="4" w:space="0"/>
              <w:bottom w:val="single" w:color="000000" w:sz="4" w:space="0"/>
              <w:right w:val="single" w:color="000000" w:sz="4" w:space="0"/>
            </w:tcBorders>
          </w:tcPr>
          <w:p>
            <w:pPr>
              <w:pStyle w:val="19"/>
              <w:spacing w:before="25"/>
              <w:ind w:left="39" w:right="20"/>
              <w:rPr>
                <w:rFonts w:ascii="Times New Roman"/>
                <w:sz w:val="21"/>
              </w:rPr>
            </w:pPr>
            <w:r>
              <w:rPr>
                <w:rFonts w:ascii="Times New Roman"/>
                <w:sz w:val="21"/>
              </w:rPr>
              <w:t>70</w:t>
            </w:r>
          </w:p>
        </w:tc>
        <w:tc>
          <w:tcPr>
            <w:tcW w:w="1165" w:type="dxa"/>
            <w:tcBorders>
              <w:top w:val="single" w:color="000000" w:sz="4" w:space="0"/>
              <w:left w:val="single" w:color="000000" w:sz="4" w:space="0"/>
              <w:bottom w:val="single" w:color="000000" w:sz="4" w:space="0"/>
            </w:tcBorders>
          </w:tcPr>
          <w:p>
            <w:pPr>
              <w:pStyle w:val="19"/>
              <w:spacing w:before="25"/>
              <w:ind w:left="24" w:right="4"/>
              <w:rPr>
                <w:rFonts w:ascii="Times New Roman"/>
                <w:sz w:val="21"/>
              </w:rPr>
            </w:pPr>
            <w:r>
              <w:rPr>
                <w:rFonts w:ascii="Times New Roman"/>
                <w:sz w:val="21"/>
              </w:rPr>
              <w:t>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572" w:type="dxa"/>
            <w:tcBorders>
              <w:top w:val="single" w:color="000000" w:sz="4" w:space="0"/>
              <w:bottom w:val="single" w:color="000000" w:sz="4" w:space="0"/>
              <w:right w:val="single" w:color="000000" w:sz="4" w:space="0"/>
            </w:tcBorders>
          </w:tcPr>
          <w:p>
            <w:pPr>
              <w:pStyle w:val="19"/>
              <w:spacing w:before="181"/>
              <w:ind w:left="56" w:right="38"/>
              <w:rPr>
                <w:rFonts w:ascii="Times New Roman"/>
                <w:sz w:val="21"/>
              </w:rPr>
            </w:pPr>
            <w:r>
              <w:rPr>
                <w:rFonts w:ascii="Times New Roman"/>
                <w:sz w:val="21"/>
              </w:rPr>
              <w:t>26</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9"/>
              <w:spacing w:before="1"/>
              <w:ind w:left="41" w:right="24"/>
              <w:rPr>
                <w:sz w:val="21"/>
              </w:rPr>
            </w:pPr>
            <w:r>
              <w:rPr>
                <w:rFonts w:ascii="Times New Roman" w:eastAsia="Times New Roman"/>
                <w:w w:val="95"/>
                <w:sz w:val="21"/>
              </w:rPr>
              <w:t>*</w:t>
            </w:r>
            <w:r>
              <w:rPr>
                <w:w w:val="95"/>
                <w:sz w:val="21"/>
              </w:rPr>
              <w:t>塌陷稳定后土地复</w:t>
            </w:r>
          </w:p>
          <w:p>
            <w:pPr>
              <w:pStyle w:val="19"/>
              <w:spacing w:before="58"/>
              <w:ind w:left="38" w:right="24"/>
              <w:rPr>
                <w:sz w:val="21"/>
              </w:rPr>
            </w:pPr>
            <w:r>
              <w:rPr>
                <w:sz w:val="21"/>
              </w:rPr>
              <w:t>垦率</w:t>
            </w:r>
          </w:p>
        </w:tc>
        <w:tc>
          <w:tcPr>
            <w:tcW w:w="835" w:type="dxa"/>
            <w:tcBorders>
              <w:top w:val="single" w:color="000000" w:sz="4" w:space="0"/>
              <w:left w:val="single" w:color="000000" w:sz="4" w:space="0"/>
              <w:bottom w:val="single" w:color="000000" w:sz="4" w:space="0"/>
              <w:right w:val="single" w:color="000000" w:sz="4" w:space="0"/>
            </w:tcBorders>
          </w:tcPr>
          <w:p>
            <w:pPr>
              <w:pStyle w:val="19"/>
              <w:spacing w:before="181"/>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9"/>
              <w:spacing w:before="181"/>
              <w:ind w:left="266" w:right="248"/>
              <w:rPr>
                <w:rFonts w:ascii="Times New Roman"/>
                <w:sz w:val="21"/>
              </w:rPr>
            </w:pPr>
            <w:r>
              <w:rPr>
                <w:rFonts w:ascii="Times New Roman"/>
                <w:sz w:val="21"/>
              </w:rPr>
              <w:t>0.2</w:t>
            </w:r>
          </w:p>
        </w:tc>
        <w:tc>
          <w:tcPr>
            <w:tcW w:w="2641" w:type="dxa"/>
            <w:tcBorders>
              <w:top w:val="single" w:color="000000" w:sz="4" w:space="0"/>
              <w:left w:val="single" w:color="000000" w:sz="4" w:space="0"/>
              <w:bottom w:val="single" w:color="000000" w:sz="4" w:space="0"/>
              <w:right w:val="single" w:color="000000" w:sz="4" w:space="0"/>
            </w:tcBorders>
          </w:tcPr>
          <w:p>
            <w:pPr>
              <w:pStyle w:val="19"/>
              <w:spacing w:before="181"/>
              <w:ind w:left="778" w:right="758"/>
              <w:rPr>
                <w:rFonts w:ascii="Times New Roman" w:hAnsi="Times New Roman"/>
                <w:sz w:val="21"/>
              </w:rPr>
            </w:pPr>
            <w:r>
              <w:rPr>
                <w:rFonts w:ascii="Times New Roman" w:hAnsi="Times New Roman"/>
                <w:sz w:val="21"/>
              </w:rPr>
              <w:t>≥80</w:t>
            </w:r>
          </w:p>
        </w:tc>
        <w:tc>
          <w:tcPr>
            <w:tcW w:w="1879" w:type="dxa"/>
            <w:tcBorders>
              <w:top w:val="single" w:color="000000" w:sz="4" w:space="0"/>
              <w:left w:val="single" w:color="000000" w:sz="4" w:space="0"/>
              <w:bottom w:val="single" w:color="000000" w:sz="4" w:space="0"/>
              <w:right w:val="single" w:color="000000" w:sz="4" w:space="0"/>
            </w:tcBorders>
          </w:tcPr>
          <w:p>
            <w:pPr>
              <w:pStyle w:val="19"/>
              <w:spacing w:before="181"/>
              <w:ind w:left="397" w:right="380"/>
              <w:rPr>
                <w:rFonts w:ascii="Times New Roman" w:hAnsi="Times New Roman"/>
                <w:sz w:val="21"/>
              </w:rPr>
            </w:pPr>
            <w:r>
              <w:rPr>
                <w:rFonts w:ascii="Times New Roman" w:hAnsi="Times New Roman"/>
                <w:sz w:val="21"/>
              </w:rPr>
              <w:t>≥75</w:t>
            </w:r>
          </w:p>
        </w:tc>
        <w:tc>
          <w:tcPr>
            <w:tcW w:w="2021" w:type="dxa"/>
            <w:tcBorders>
              <w:top w:val="single" w:color="000000" w:sz="4" w:space="0"/>
              <w:left w:val="single" w:color="000000" w:sz="4" w:space="0"/>
              <w:bottom w:val="single" w:color="000000" w:sz="4" w:space="0"/>
              <w:right w:val="single" w:color="000000" w:sz="4" w:space="0"/>
            </w:tcBorders>
          </w:tcPr>
          <w:p>
            <w:pPr>
              <w:pStyle w:val="19"/>
              <w:spacing w:before="181"/>
              <w:ind w:left="39" w:right="20"/>
              <w:rPr>
                <w:rFonts w:ascii="Times New Roman" w:hAnsi="Times New Roman"/>
                <w:sz w:val="21"/>
              </w:rPr>
            </w:pPr>
            <w:r>
              <w:rPr>
                <w:rFonts w:ascii="Times New Roman" w:hAnsi="Times New Roman"/>
                <w:sz w:val="21"/>
              </w:rPr>
              <w:t>≥70</w:t>
            </w:r>
          </w:p>
        </w:tc>
        <w:tc>
          <w:tcPr>
            <w:tcW w:w="1165" w:type="dxa"/>
            <w:tcBorders>
              <w:top w:val="single" w:color="000000" w:sz="4" w:space="0"/>
              <w:left w:val="single" w:color="000000" w:sz="4" w:space="0"/>
              <w:bottom w:val="single" w:color="000000" w:sz="4" w:space="0"/>
            </w:tcBorders>
          </w:tcPr>
          <w:p>
            <w:pPr>
              <w:pStyle w:val="19"/>
              <w:spacing w:before="181"/>
              <w:ind w:left="21" w:right="5"/>
              <w:rPr>
                <w:rFonts w:ascii="Times New Roman" w:hAnsi="Times New Roman"/>
                <w:sz w:val="21"/>
              </w:rPr>
            </w:pPr>
            <w:r>
              <w:rPr>
                <w:rFonts w:ascii="Times New Roman" w:hAnsi="Times New Roman"/>
                <w:sz w:val="21"/>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9"/>
              <w:spacing w:before="23"/>
              <w:ind w:left="56" w:right="38"/>
              <w:rPr>
                <w:rFonts w:ascii="Times New Roman"/>
                <w:sz w:val="21"/>
              </w:rPr>
            </w:pPr>
            <w:r>
              <w:rPr>
                <w:rFonts w:ascii="Times New Roman"/>
                <w:sz w:val="21"/>
              </w:rPr>
              <w:t>27</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9"/>
              <w:spacing w:before="7"/>
              <w:ind w:left="43" w:right="24"/>
              <w:rPr>
                <w:sz w:val="21"/>
              </w:rPr>
            </w:pPr>
            <w:r>
              <w:rPr>
                <w:sz w:val="21"/>
              </w:rPr>
              <w:t>工业广场绿化率</w:t>
            </w:r>
          </w:p>
        </w:tc>
        <w:tc>
          <w:tcPr>
            <w:tcW w:w="835" w:type="dxa"/>
            <w:tcBorders>
              <w:top w:val="single" w:color="000000" w:sz="4" w:space="0"/>
              <w:left w:val="single" w:color="000000" w:sz="4" w:space="0"/>
              <w:bottom w:val="single" w:color="000000" w:sz="4" w:space="0"/>
              <w:right w:val="single" w:color="000000" w:sz="4" w:space="0"/>
            </w:tcBorders>
          </w:tcPr>
          <w:p>
            <w:pPr>
              <w:pStyle w:val="19"/>
              <w:spacing w:before="23"/>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9"/>
              <w:spacing w:before="23"/>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9"/>
              <w:spacing w:before="23"/>
              <w:ind w:left="778" w:right="758"/>
              <w:rPr>
                <w:rFonts w:ascii="Times New Roman" w:hAnsi="Times New Roman"/>
                <w:sz w:val="21"/>
              </w:rPr>
            </w:pPr>
            <w:r>
              <w:rPr>
                <w:rFonts w:ascii="Times New Roman" w:hAnsi="Times New Roman"/>
                <w:sz w:val="21"/>
              </w:rPr>
              <w:t>≥30</w:t>
            </w:r>
          </w:p>
        </w:tc>
        <w:tc>
          <w:tcPr>
            <w:tcW w:w="1879" w:type="dxa"/>
            <w:tcBorders>
              <w:top w:val="single" w:color="000000" w:sz="4" w:space="0"/>
              <w:left w:val="single" w:color="000000" w:sz="4" w:space="0"/>
              <w:bottom w:val="single" w:color="000000" w:sz="4" w:space="0"/>
              <w:right w:val="single" w:color="000000" w:sz="4" w:space="0"/>
            </w:tcBorders>
          </w:tcPr>
          <w:p>
            <w:pPr>
              <w:pStyle w:val="19"/>
              <w:spacing w:before="23"/>
              <w:ind w:left="397" w:right="380"/>
              <w:rPr>
                <w:rFonts w:ascii="Times New Roman" w:hAnsi="Times New Roman"/>
                <w:sz w:val="21"/>
              </w:rPr>
            </w:pPr>
            <w:r>
              <w:rPr>
                <w:rFonts w:ascii="Times New Roman" w:hAnsi="Times New Roman"/>
                <w:sz w:val="21"/>
              </w:rPr>
              <w:t>≥25</w:t>
            </w:r>
          </w:p>
        </w:tc>
        <w:tc>
          <w:tcPr>
            <w:tcW w:w="2021" w:type="dxa"/>
            <w:tcBorders>
              <w:top w:val="single" w:color="000000" w:sz="4" w:space="0"/>
              <w:left w:val="single" w:color="000000" w:sz="4" w:space="0"/>
              <w:bottom w:val="single" w:color="000000" w:sz="4" w:space="0"/>
              <w:right w:val="single" w:color="000000" w:sz="4" w:space="0"/>
            </w:tcBorders>
          </w:tcPr>
          <w:p>
            <w:pPr>
              <w:pStyle w:val="19"/>
              <w:spacing w:before="23"/>
              <w:ind w:left="39" w:right="20"/>
              <w:rPr>
                <w:rFonts w:ascii="Times New Roman" w:hAnsi="Times New Roman"/>
                <w:sz w:val="21"/>
              </w:rPr>
            </w:pPr>
            <w:r>
              <w:rPr>
                <w:rFonts w:ascii="Times New Roman" w:hAnsi="Times New Roman"/>
                <w:sz w:val="21"/>
              </w:rPr>
              <w:t>≥20</w:t>
            </w:r>
          </w:p>
        </w:tc>
        <w:tc>
          <w:tcPr>
            <w:tcW w:w="1165" w:type="dxa"/>
            <w:tcBorders>
              <w:top w:val="single" w:color="000000" w:sz="4" w:space="0"/>
              <w:left w:val="single" w:color="000000" w:sz="4" w:space="0"/>
              <w:bottom w:val="single" w:color="000000" w:sz="4" w:space="0"/>
            </w:tcBorders>
          </w:tcPr>
          <w:p>
            <w:pPr>
              <w:pStyle w:val="19"/>
              <w:spacing w:before="23"/>
              <w:ind w:left="21" w:right="5"/>
              <w:rPr>
                <w:rFonts w:ascii="Times New Roman" w:hAnsi="Times New Roman"/>
                <w:sz w:val="21"/>
              </w:rPr>
            </w:pPr>
            <w:r>
              <w:rPr>
                <w:rFonts w:ascii="Times New Roman" w:hAns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2" w:hRule="atLeast"/>
        </w:trPr>
        <w:tc>
          <w:tcPr>
            <w:tcW w:w="572" w:type="dxa"/>
            <w:tcBorders>
              <w:top w:val="single" w:color="000000" w:sz="4" w:space="0"/>
              <w:bottom w:val="single" w:color="000000" w:sz="4" w:space="0"/>
              <w:right w:val="single" w:color="000000" w:sz="4" w:space="0"/>
            </w:tcBorders>
          </w:tcPr>
          <w:p>
            <w:pPr>
              <w:pStyle w:val="19"/>
              <w:jc w:val="left"/>
              <w:rPr>
                <w:rFonts w:ascii="Times New Roman"/>
                <w:sz w:val="22"/>
              </w:rPr>
            </w:pPr>
          </w:p>
          <w:p>
            <w:pPr>
              <w:pStyle w:val="19"/>
              <w:jc w:val="left"/>
              <w:rPr>
                <w:rFonts w:ascii="Times New Roman"/>
                <w:sz w:val="22"/>
              </w:rPr>
            </w:pPr>
          </w:p>
          <w:p>
            <w:pPr>
              <w:pStyle w:val="19"/>
              <w:ind w:left="56" w:right="38"/>
              <w:rPr>
                <w:rFonts w:ascii="Times New Roman"/>
                <w:sz w:val="21"/>
              </w:rPr>
            </w:pPr>
            <w:r>
              <w:rPr>
                <w:rFonts w:ascii="Times New Roman"/>
                <w:sz w:val="21"/>
              </w:rPr>
              <w:t>28</w:t>
            </w:r>
          </w:p>
        </w:tc>
        <w:tc>
          <w:tcPr>
            <w:tcW w:w="1090" w:type="dxa"/>
            <w:vMerge w:val="restart"/>
            <w:tcBorders>
              <w:top w:val="single" w:color="000000" w:sz="4" w:space="0"/>
              <w:left w:val="single" w:color="000000" w:sz="4" w:space="0"/>
              <w:right w:val="single" w:color="000000" w:sz="4" w:space="0"/>
            </w:tcBorders>
          </w:tcPr>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spacing w:before="2"/>
              <w:jc w:val="left"/>
              <w:rPr>
                <w:rFonts w:ascii="Times New Roman"/>
                <w:sz w:val="17"/>
              </w:rPr>
            </w:pPr>
          </w:p>
          <w:p>
            <w:pPr>
              <w:pStyle w:val="19"/>
              <w:spacing w:line="290" w:lineRule="auto"/>
              <w:ind w:left="23" w:right="5"/>
              <w:rPr>
                <w:sz w:val="21"/>
              </w:rPr>
            </w:pPr>
            <w:r>
              <w:rPr>
                <w:sz w:val="21"/>
              </w:rPr>
              <w:t>（五）清洁生产管理指标</w:t>
            </w:r>
          </w:p>
        </w:tc>
        <w:tc>
          <w:tcPr>
            <w:tcW w:w="1068" w:type="dxa"/>
            <w:vMerge w:val="restart"/>
            <w:tcBorders>
              <w:top w:val="single" w:color="000000" w:sz="4" w:space="0"/>
              <w:left w:val="single" w:color="000000" w:sz="4" w:space="0"/>
              <w:right w:val="single" w:color="000000" w:sz="4" w:space="0"/>
            </w:tcBorders>
          </w:tcPr>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spacing w:before="126"/>
              <w:ind w:left="354"/>
              <w:jc w:val="left"/>
              <w:rPr>
                <w:rFonts w:ascii="Times New Roman"/>
                <w:sz w:val="21"/>
              </w:rPr>
            </w:pPr>
            <w:r>
              <w:rPr>
                <w:rFonts w:ascii="Times New Roman"/>
                <w:sz w:val="21"/>
              </w:rPr>
              <w:t>0.25</w:t>
            </w:r>
          </w:p>
        </w:tc>
        <w:tc>
          <w:tcPr>
            <w:tcW w:w="1818" w:type="dxa"/>
            <w:tcBorders>
              <w:top w:val="single" w:color="000000" w:sz="4" w:space="0"/>
              <w:left w:val="single" w:color="000000" w:sz="4" w:space="0"/>
              <w:bottom w:val="single" w:color="000000" w:sz="4" w:space="0"/>
              <w:right w:val="single" w:color="000000" w:sz="4" w:space="0"/>
            </w:tcBorders>
          </w:tcPr>
          <w:p>
            <w:pPr>
              <w:pStyle w:val="19"/>
              <w:spacing w:before="4"/>
              <w:jc w:val="left"/>
              <w:rPr>
                <w:rFonts w:ascii="Times New Roman"/>
                <w:sz w:val="28"/>
              </w:rPr>
            </w:pPr>
          </w:p>
          <w:p>
            <w:pPr>
              <w:pStyle w:val="19"/>
              <w:spacing w:before="1" w:line="290" w:lineRule="auto"/>
              <w:ind w:left="388" w:right="1" w:hanging="368"/>
              <w:jc w:val="left"/>
              <w:rPr>
                <w:sz w:val="21"/>
              </w:rPr>
            </w:pPr>
            <w:r>
              <w:rPr>
                <w:rFonts w:ascii="Times New Roman" w:eastAsia="Times New Roman"/>
                <w:sz w:val="21"/>
              </w:rPr>
              <w:t>*</w:t>
            </w:r>
            <w:r>
              <w:rPr>
                <w:sz w:val="21"/>
              </w:rPr>
              <w:t>环境法律法规标准政策符合性</w:t>
            </w:r>
          </w:p>
        </w:tc>
        <w:tc>
          <w:tcPr>
            <w:tcW w:w="83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p>
            <w:pPr>
              <w:pStyle w:val="19"/>
              <w:spacing w:before="7"/>
              <w:jc w:val="left"/>
              <w:rPr>
                <w:rFonts w:ascii="Times New Roman"/>
                <w:sz w:val="22"/>
              </w:rPr>
            </w:pPr>
          </w:p>
          <w:p>
            <w:pPr>
              <w:pStyle w:val="19"/>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2"/>
              </w:rPr>
            </w:pPr>
          </w:p>
          <w:p>
            <w:pPr>
              <w:pStyle w:val="19"/>
              <w:jc w:val="left"/>
              <w:rPr>
                <w:rFonts w:ascii="Times New Roman"/>
                <w:sz w:val="22"/>
              </w:rPr>
            </w:pPr>
          </w:p>
          <w:p>
            <w:pPr>
              <w:pStyle w:val="19"/>
              <w:ind w:left="266" w:right="248"/>
              <w:rPr>
                <w:rFonts w:ascii="Times New Roman"/>
                <w:sz w:val="21"/>
              </w:rPr>
            </w:pPr>
            <w:r>
              <w:rPr>
                <w:rFonts w:ascii="Times New Roman"/>
                <w:sz w:val="21"/>
              </w:rPr>
              <w:t>0.15</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9"/>
              <w:spacing w:line="290" w:lineRule="auto"/>
              <w:ind w:left="8" w:right="-15"/>
              <w:jc w:val="both"/>
              <w:rPr>
                <w:sz w:val="21"/>
              </w:rPr>
            </w:pPr>
            <w:r>
              <w:rPr>
                <w:sz w:val="21"/>
              </w:rPr>
              <w:t>符合国家、地方和行业有关法律、法规、规范、产业政策、技术标准要求，污染物排放达到国家、地方和行业排放标准、满足污染物总量控制和排污许可证管理要求。建设项目环保手续齐全，严格执行国家关于煤</w:t>
            </w:r>
          </w:p>
          <w:p>
            <w:pPr>
              <w:pStyle w:val="19"/>
              <w:spacing w:before="3"/>
              <w:ind w:left="8"/>
              <w:jc w:val="left"/>
              <w:rPr>
                <w:sz w:val="21"/>
              </w:rPr>
            </w:pPr>
            <w:r>
              <w:rPr>
                <w:sz w:val="21"/>
              </w:rPr>
              <w:t>矿生产能力管理、淘汰落后产能的相关政策措施</w:t>
            </w:r>
          </w:p>
        </w:tc>
        <w:tc>
          <w:tcPr>
            <w:tcW w:w="1165" w:type="dxa"/>
            <w:tcBorders>
              <w:top w:val="single" w:color="000000" w:sz="4" w:space="0"/>
              <w:left w:val="single" w:color="000000" w:sz="4" w:space="0"/>
              <w:bottom w:val="single" w:color="000000" w:sz="4" w:space="0"/>
            </w:tcBorders>
          </w:tcPr>
          <w:p>
            <w:pPr>
              <w:pStyle w:val="19"/>
              <w:jc w:val="left"/>
              <w:rPr>
                <w:rFonts w:ascii="Times New Roman"/>
                <w:sz w:val="20"/>
              </w:rPr>
            </w:pPr>
          </w:p>
          <w:p>
            <w:pPr>
              <w:pStyle w:val="19"/>
              <w:spacing w:before="7"/>
              <w:jc w:val="left"/>
              <w:rPr>
                <w:rFonts w:ascii="Times New Roman"/>
                <w:sz w:val="22"/>
              </w:rPr>
            </w:pPr>
          </w:p>
          <w:p>
            <w:pPr>
              <w:pStyle w:val="19"/>
              <w:ind w:left="19" w:right="5"/>
              <w:rPr>
                <w:sz w:val="21"/>
              </w:rPr>
            </w:pPr>
            <w:r>
              <w:rPr>
                <w:sz w:val="21"/>
              </w:rPr>
              <w:t>符合要求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7" w:hRule="atLeast"/>
        </w:trPr>
        <w:tc>
          <w:tcPr>
            <w:tcW w:w="572" w:type="dxa"/>
            <w:tcBorders>
              <w:top w:val="single" w:color="000000" w:sz="4" w:space="0"/>
              <w:bottom w:val="single" w:color="000000" w:sz="4" w:space="0"/>
              <w:right w:val="single" w:color="000000" w:sz="4" w:space="0"/>
            </w:tcBorders>
          </w:tcPr>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spacing w:before="5"/>
              <w:jc w:val="left"/>
              <w:rPr>
                <w:rFonts w:ascii="Times New Roman"/>
                <w:sz w:val="20"/>
              </w:rPr>
            </w:pPr>
          </w:p>
          <w:p>
            <w:pPr>
              <w:pStyle w:val="19"/>
              <w:ind w:left="56" w:right="38"/>
              <w:rPr>
                <w:rFonts w:ascii="Times New Roman"/>
                <w:sz w:val="21"/>
              </w:rPr>
            </w:pPr>
            <w:r>
              <w:rPr>
                <w:rFonts w:ascii="Times New Roman"/>
                <w:sz w:val="21"/>
              </w:rPr>
              <w:t>29</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spacing w:before="9"/>
              <w:jc w:val="left"/>
              <w:rPr>
                <w:rFonts w:ascii="Times New Roman"/>
                <w:sz w:val="24"/>
              </w:rPr>
            </w:pPr>
          </w:p>
          <w:p>
            <w:pPr>
              <w:pStyle w:val="19"/>
              <w:ind w:left="38" w:right="24"/>
              <w:rPr>
                <w:sz w:val="21"/>
              </w:rPr>
            </w:pPr>
            <w:r>
              <w:rPr>
                <w:sz w:val="21"/>
              </w:rPr>
              <w:t>清洁生产管理</w:t>
            </w:r>
          </w:p>
        </w:tc>
        <w:tc>
          <w:tcPr>
            <w:tcW w:w="83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spacing w:before="9"/>
              <w:jc w:val="left"/>
              <w:rPr>
                <w:rFonts w:ascii="Times New Roman"/>
                <w:sz w:val="24"/>
              </w:rPr>
            </w:pPr>
          </w:p>
          <w:p>
            <w:pPr>
              <w:pStyle w:val="19"/>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spacing w:before="5"/>
              <w:jc w:val="left"/>
              <w:rPr>
                <w:rFonts w:ascii="Times New Roman"/>
                <w:sz w:val="20"/>
              </w:rPr>
            </w:pPr>
          </w:p>
          <w:p>
            <w:pPr>
              <w:pStyle w:val="19"/>
              <w:ind w:left="266" w:right="248"/>
              <w:rPr>
                <w:rFonts w:ascii="Times New Roman"/>
                <w:sz w:val="21"/>
              </w:rPr>
            </w:pPr>
            <w:r>
              <w:rPr>
                <w:rFonts w:ascii="Times New Roman"/>
                <w:sz w:val="21"/>
              </w:rPr>
              <w:t>0.15</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9"/>
              <w:spacing w:line="290" w:lineRule="auto"/>
              <w:ind w:left="8" w:right="-15"/>
              <w:jc w:val="both"/>
              <w:rPr>
                <w:sz w:val="21"/>
              </w:rPr>
            </w:pPr>
            <w:r>
              <w:rPr>
                <w:sz w:val="21"/>
              </w:rPr>
              <w:t>建有负责清洁生产的领导机构，各成员单位及主管人员职责分工明确； 有健全的清洁生产管理制度和奖励管理办法，有执行情况检查记录；制定有清洁生产工作规划及年度工作计划，对规划、计划提出的目标、指标、清洁生产方案，认真组织落实；资源、能源、环保设施运行统计台账齐全；建立、制定环境突发性事件应急预案（预案要通过相应环保部门备案）并定期演练。按行业无组织排放监管的相关政策要求，加强对</w:t>
            </w:r>
          </w:p>
          <w:p>
            <w:pPr>
              <w:pStyle w:val="19"/>
              <w:spacing w:before="3"/>
              <w:ind w:left="8"/>
              <w:jc w:val="left"/>
              <w:rPr>
                <w:sz w:val="21"/>
              </w:rPr>
            </w:pPr>
            <w:r>
              <w:rPr>
                <w:sz w:val="21"/>
              </w:rPr>
              <w:t>无组织排放的防控措施，减少生产过程无组织排放。</w:t>
            </w:r>
          </w:p>
        </w:tc>
        <w:tc>
          <w:tcPr>
            <w:tcW w:w="1165" w:type="dxa"/>
            <w:tcBorders>
              <w:top w:val="single" w:color="000000" w:sz="4" w:space="0"/>
              <w:left w:val="single" w:color="000000" w:sz="4" w:space="0"/>
              <w:bottom w:val="single" w:color="000000" w:sz="4" w:space="0"/>
            </w:tcBorders>
          </w:tcPr>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spacing w:before="9"/>
              <w:jc w:val="left"/>
              <w:rPr>
                <w:rFonts w:ascii="Times New Roman"/>
                <w:sz w:val="24"/>
              </w:rPr>
            </w:pPr>
          </w:p>
          <w:p>
            <w:pPr>
              <w:pStyle w:val="19"/>
              <w:ind w:left="19" w:right="5"/>
              <w:rPr>
                <w:sz w:val="21"/>
              </w:rPr>
            </w:pPr>
            <w:r>
              <w:rPr>
                <w:sz w:val="21"/>
              </w:rPr>
              <w:t>符合要求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2" w:hRule="atLeast"/>
        </w:trPr>
        <w:tc>
          <w:tcPr>
            <w:tcW w:w="572" w:type="dxa"/>
            <w:tcBorders>
              <w:top w:val="single" w:color="000000" w:sz="4" w:space="0"/>
              <w:right w:val="single" w:color="000000" w:sz="4" w:space="0"/>
            </w:tcBorders>
          </w:tcPr>
          <w:p>
            <w:pPr>
              <w:pStyle w:val="19"/>
              <w:spacing w:before="6"/>
              <w:jc w:val="left"/>
              <w:rPr>
                <w:rFonts w:ascii="Times New Roman"/>
                <w:sz w:val="29"/>
              </w:rPr>
            </w:pPr>
          </w:p>
          <w:p>
            <w:pPr>
              <w:pStyle w:val="19"/>
              <w:ind w:left="56" w:right="38"/>
              <w:rPr>
                <w:rFonts w:ascii="Times New Roman"/>
                <w:sz w:val="21"/>
              </w:rPr>
            </w:pPr>
            <w:r>
              <w:rPr>
                <w:rFonts w:ascii="Times New Roman"/>
                <w:sz w:val="21"/>
              </w:rPr>
              <w:t>30</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right w:val="single" w:color="000000" w:sz="4" w:space="0"/>
            </w:tcBorders>
          </w:tcPr>
          <w:p>
            <w:pPr>
              <w:pStyle w:val="19"/>
              <w:spacing w:before="10"/>
              <w:jc w:val="left"/>
              <w:rPr>
                <w:rFonts w:ascii="Times New Roman"/>
                <w:sz w:val="27"/>
              </w:rPr>
            </w:pPr>
          </w:p>
          <w:p>
            <w:pPr>
              <w:pStyle w:val="19"/>
              <w:ind w:left="38" w:right="24"/>
              <w:rPr>
                <w:sz w:val="21"/>
              </w:rPr>
            </w:pPr>
            <w:r>
              <w:rPr>
                <w:sz w:val="21"/>
              </w:rPr>
              <w:t>清洁生产审核</w:t>
            </w:r>
          </w:p>
        </w:tc>
        <w:tc>
          <w:tcPr>
            <w:tcW w:w="835" w:type="dxa"/>
            <w:tcBorders>
              <w:top w:val="single" w:color="000000" w:sz="4" w:space="0"/>
              <w:left w:val="single" w:color="000000" w:sz="4" w:space="0"/>
              <w:right w:val="single" w:color="000000" w:sz="4" w:space="0"/>
            </w:tcBorders>
          </w:tcPr>
          <w:p>
            <w:pPr>
              <w:pStyle w:val="19"/>
              <w:spacing w:before="10"/>
              <w:jc w:val="left"/>
              <w:rPr>
                <w:rFonts w:ascii="Times New Roman"/>
                <w:sz w:val="27"/>
              </w:rPr>
            </w:pPr>
          </w:p>
          <w:p>
            <w:pPr>
              <w:pStyle w:val="19"/>
              <w:ind w:left="18"/>
              <w:rPr>
                <w:sz w:val="21"/>
              </w:rPr>
            </w:pPr>
            <w:r>
              <w:rPr>
                <w:w w:val="99"/>
                <w:sz w:val="21"/>
              </w:rPr>
              <w:t>━</w:t>
            </w:r>
          </w:p>
        </w:tc>
        <w:tc>
          <w:tcPr>
            <w:tcW w:w="933" w:type="dxa"/>
            <w:tcBorders>
              <w:top w:val="single" w:color="000000" w:sz="4" w:space="0"/>
              <w:left w:val="single" w:color="000000" w:sz="4" w:space="0"/>
              <w:right w:val="single" w:color="000000" w:sz="4" w:space="0"/>
            </w:tcBorders>
          </w:tcPr>
          <w:p>
            <w:pPr>
              <w:pStyle w:val="19"/>
              <w:spacing w:before="6"/>
              <w:jc w:val="left"/>
              <w:rPr>
                <w:rFonts w:ascii="Times New Roman"/>
                <w:sz w:val="29"/>
              </w:rPr>
            </w:pPr>
          </w:p>
          <w:p>
            <w:pPr>
              <w:pStyle w:val="19"/>
              <w:ind w:left="266" w:right="248"/>
              <w:rPr>
                <w:rFonts w:ascii="Times New Roman"/>
                <w:sz w:val="21"/>
              </w:rPr>
            </w:pPr>
            <w:r>
              <w:rPr>
                <w:rFonts w:ascii="Times New Roman"/>
                <w:sz w:val="21"/>
              </w:rPr>
              <w:t>0.05</w:t>
            </w:r>
          </w:p>
        </w:tc>
        <w:tc>
          <w:tcPr>
            <w:tcW w:w="6541" w:type="dxa"/>
            <w:gridSpan w:val="3"/>
            <w:tcBorders>
              <w:top w:val="single" w:color="000000" w:sz="4" w:space="0"/>
              <w:left w:val="single" w:color="000000" w:sz="4" w:space="0"/>
              <w:right w:val="single" w:color="000000" w:sz="4" w:space="0"/>
            </w:tcBorders>
          </w:tcPr>
          <w:p>
            <w:pPr>
              <w:pStyle w:val="19"/>
              <w:spacing w:before="10"/>
              <w:jc w:val="left"/>
              <w:rPr>
                <w:rFonts w:ascii="Times New Roman"/>
                <w:sz w:val="27"/>
              </w:rPr>
            </w:pPr>
          </w:p>
          <w:p>
            <w:pPr>
              <w:pStyle w:val="19"/>
              <w:ind w:left="8"/>
              <w:jc w:val="left"/>
              <w:rPr>
                <w:sz w:val="21"/>
              </w:rPr>
            </w:pPr>
            <w:r>
              <w:rPr>
                <w:sz w:val="21"/>
              </w:rPr>
              <w:t>按照国家和地方要求，定期开展清洁生产审核</w:t>
            </w:r>
          </w:p>
        </w:tc>
        <w:tc>
          <w:tcPr>
            <w:tcW w:w="1165" w:type="dxa"/>
            <w:tcBorders>
              <w:top w:val="single" w:color="000000" w:sz="4" w:space="0"/>
              <w:left w:val="single" w:color="000000" w:sz="4" w:space="0"/>
            </w:tcBorders>
          </w:tcPr>
          <w:p>
            <w:pPr>
              <w:pStyle w:val="19"/>
              <w:spacing w:line="264" w:lineRule="exact"/>
              <w:ind w:left="60"/>
              <w:jc w:val="left"/>
              <w:rPr>
                <w:sz w:val="21"/>
              </w:rPr>
            </w:pPr>
            <w:r>
              <w:rPr>
                <w:w w:val="95"/>
                <w:sz w:val="21"/>
              </w:rPr>
              <w:t>按照国家和</w:t>
            </w:r>
          </w:p>
          <w:p>
            <w:pPr>
              <w:pStyle w:val="19"/>
              <w:spacing w:before="6" w:line="320" w:lineRule="atLeast"/>
              <w:ind w:left="60" w:right="38"/>
              <w:jc w:val="left"/>
              <w:rPr>
                <w:sz w:val="21"/>
              </w:rPr>
            </w:pPr>
            <w:r>
              <w:rPr>
                <w:spacing w:val="-3"/>
                <w:sz w:val="21"/>
              </w:rPr>
              <w:t xml:space="preserve">地方要求， </w:t>
            </w:r>
            <w:r>
              <w:rPr>
                <w:spacing w:val="-3"/>
                <w:w w:val="95"/>
                <w:sz w:val="21"/>
              </w:rPr>
              <w:t>定期开展清</w:t>
            </w:r>
          </w:p>
        </w:tc>
      </w:tr>
    </w:tbl>
    <w:p>
      <w:pPr>
        <w:spacing w:after="0" w:line="320" w:lineRule="atLeast"/>
        <w:jc w:val="left"/>
        <w:rPr>
          <w:sz w:val="21"/>
        </w:rPr>
        <w:sectPr>
          <w:pgSz w:w="16840" w:h="11910" w:orient="landscape"/>
          <w:pgMar w:top="1100" w:right="1280" w:bottom="800" w:left="1280" w:header="0" w:footer="601" w:gutter="0"/>
        </w:sectPr>
      </w:pPr>
    </w:p>
    <w:p>
      <w:pPr>
        <w:pStyle w:val="9"/>
        <w:spacing w:before="1"/>
        <w:rPr>
          <w:rFonts w:ascii="Times New Roman"/>
          <w:sz w:val="27"/>
        </w:rPr>
      </w:pPr>
    </w:p>
    <w:tbl>
      <w:tblPr>
        <w:tblStyle w:val="15"/>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181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9"/>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9"/>
              <w:spacing w:before="2"/>
              <w:ind w:left="16"/>
              <w:rPr>
                <w:sz w:val="21"/>
              </w:rPr>
            </w:pPr>
            <w:r>
              <w:rPr>
                <w:sz w:val="21"/>
              </w:rPr>
              <w:t>一级指标指</w:t>
            </w:r>
          </w:p>
          <w:p>
            <w:pPr>
              <w:pStyle w:val="19"/>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9"/>
              <w:spacing w:before="2"/>
              <w:ind w:left="13" w:right="-15"/>
              <w:rPr>
                <w:sz w:val="21"/>
              </w:rPr>
            </w:pPr>
            <w:r>
              <w:rPr>
                <w:sz w:val="21"/>
              </w:rPr>
              <w:t>一级指标权</w:t>
            </w:r>
          </w:p>
          <w:p>
            <w:pPr>
              <w:pStyle w:val="19"/>
              <w:spacing w:before="55"/>
              <w:ind w:left="306" w:right="290"/>
              <w:rPr>
                <w:sz w:val="21"/>
              </w:rPr>
            </w:pPr>
            <w:r>
              <w:rPr>
                <w:sz w:val="21"/>
              </w:rPr>
              <w:t>重值</w:t>
            </w:r>
          </w:p>
        </w:tc>
        <w:tc>
          <w:tcPr>
            <w:tcW w:w="1818" w:type="dxa"/>
            <w:tcBorders>
              <w:left w:val="single" w:color="000000" w:sz="4" w:space="0"/>
              <w:bottom w:val="single" w:color="000000" w:sz="4" w:space="0"/>
              <w:right w:val="single" w:color="000000" w:sz="4" w:space="0"/>
            </w:tcBorders>
          </w:tcPr>
          <w:p>
            <w:pPr>
              <w:pStyle w:val="19"/>
              <w:spacing w:before="165"/>
              <w:ind w:left="43" w:right="24"/>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9"/>
              <w:spacing w:before="165"/>
              <w:ind w:left="190" w:right="174"/>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9"/>
              <w:spacing w:before="2"/>
              <w:ind w:left="51"/>
              <w:jc w:val="left"/>
              <w:rPr>
                <w:sz w:val="21"/>
              </w:rPr>
            </w:pPr>
            <w:r>
              <w:rPr>
                <w:w w:val="95"/>
                <w:sz w:val="21"/>
              </w:rPr>
              <w:t>二级指标</w:t>
            </w:r>
          </w:p>
          <w:p>
            <w:pPr>
              <w:pStyle w:val="19"/>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9"/>
              <w:spacing w:before="165"/>
              <w:ind w:left="800"/>
              <w:jc w:val="left"/>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9"/>
              <w:spacing w:before="165"/>
              <w:ind w:left="417"/>
              <w:jc w:val="left"/>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9"/>
              <w:spacing w:before="165"/>
              <w:ind w:left="490"/>
              <w:jc w:val="left"/>
              <w:rPr>
                <w:sz w:val="21"/>
              </w:rPr>
            </w:pPr>
            <w:r>
              <w:rPr>
                <w:sz w:val="21"/>
              </w:rPr>
              <w:t>Ⅲ级基准值</w:t>
            </w:r>
          </w:p>
        </w:tc>
        <w:tc>
          <w:tcPr>
            <w:tcW w:w="1165" w:type="dxa"/>
            <w:tcBorders>
              <w:left w:val="single" w:color="000000" w:sz="4" w:space="0"/>
              <w:bottom w:val="single" w:color="000000" w:sz="4" w:space="0"/>
            </w:tcBorders>
          </w:tcPr>
          <w:p>
            <w:pPr>
              <w:pStyle w:val="19"/>
              <w:spacing w:before="2"/>
              <w:ind w:left="24" w:right="5"/>
              <w:rPr>
                <w:sz w:val="21"/>
              </w:rPr>
            </w:pPr>
            <w:r>
              <w:rPr>
                <w:sz w:val="21"/>
              </w:rPr>
              <w:t>本煤矿扩建</w:t>
            </w:r>
          </w:p>
          <w:p>
            <w:pPr>
              <w:pStyle w:val="19"/>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5" w:hRule="atLeast"/>
        </w:trPr>
        <w:tc>
          <w:tcPr>
            <w:tcW w:w="572" w:type="dxa"/>
            <w:tcBorders>
              <w:top w:val="single" w:color="000000" w:sz="4" w:space="0"/>
              <w:bottom w:val="single" w:color="000000" w:sz="4" w:space="0"/>
              <w:right w:val="single" w:color="000000" w:sz="4" w:space="0"/>
            </w:tcBorders>
          </w:tcPr>
          <w:p>
            <w:pPr>
              <w:pStyle w:val="19"/>
              <w:jc w:val="left"/>
              <w:rPr>
                <w:rFonts w:ascii="Times New Roman"/>
                <w:sz w:val="20"/>
              </w:rPr>
            </w:pPr>
          </w:p>
        </w:tc>
        <w:tc>
          <w:tcPr>
            <w:tcW w:w="1090" w:type="dxa"/>
            <w:vMerge w:val="restart"/>
            <w:tcBorders>
              <w:top w:val="single" w:color="000000" w:sz="4" w:space="0"/>
              <w:left w:val="single" w:color="000000" w:sz="4" w:space="0"/>
              <w:right w:val="single" w:color="000000" w:sz="4" w:space="0"/>
            </w:tcBorders>
          </w:tcPr>
          <w:p>
            <w:pPr>
              <w:pStyle w:val="19"/>
              <w:jc w:val="left"/>
              <w:rPr>
                <w:rFonts w:ascii="Times New Roman"/>
                <w:sz w:val="20"/>
              </w:rPr>
            </w:pPr>
          </w:p>
        </w:tc>
        <w:tc>
          <w:tcPr>
            <w:tcW w:w="1068" w:type="dxa"/>
            <w:vMerge w:val="restart"/>
            <w:tcBorders>
              <w:top w:val="single" w:color="000000" w:sz="4" w:space="0"/>
              <w:left w:val="single" w:color="000000" w:sz="4" w:space="0"/>
              <w:right w:val="single" w:color="000000" w:sz="4" w:space="0"/>
            </w:tcBorders>
          </w:tcPr>
          <w:p>
            <w:pPr>
              <w:pStyle w:val="19"/>
              <w:jc w:val="left"/>
              <w:rPr>
                <w:rFonts w:ascii="Times New Roman"/>
                <w:sz w:val="20"/>
              </w:rPr>
            </w:pPr>
          </w:p>
        </w:tc>
        <w:tc>
          <w:tcPr>
            <w:tcW w:w="1818"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83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933"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6541" w:type="dxa"/>
            <w:gridSpan w:val="3"/>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165" w:type="dxa"/>
            <w:tcBorders>
              <w:top w:val="single" w:color="000000" w:sz="4" w:space="0"/>
              <w:left w:val="single" w:color="000000" w:sz="4" w:space="0"/>
              <w:bottom w:val="single" w:color="000000" w:sz="4" w:space="0"/>
            </w:tcBorders>
          </w:tcPr>
          <w:p>
            <w:pPr>
              <w:pStyle w:val="19"/>
              <w:ind w:left="24" w:right="5"/>
              <w:rPr>
                <w:sz w:val="21"/>
              </w:rPr>
            </w:pPr>
            <w:r>
              <w:rPr>
                <w:sz w:val="21"/>
              </w:rPr>
              <w:t>洁生产审核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1" w:hRule="atLeast"/>
        </w:trPr>
        <w:tc>
          <w:tcPr>
            <w:tcW w:w="572" w:type="dxa"/>
            <w:tcBorders>
              <w:top w:val="single" w:color="000000" w:sz="4" w:space="0"/>
              <w:bottom w:val="nil"/>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6541" w:type="dxa"/>
            <w:gridSpan w:val="3"/>
            <w:tcBorders>
              <w:top w:val="single" w:color="000000" w:sz="4" w:space="0"/>
              <w:left w:val="single" w:color="000000" w:sz="4" w:space="0"/>
              <w:bottom w:val="nil"/>
              <w:right w:val="single" w:color="000000" w:sz="4" w:space="0"/>
            </w:tcBorders>
          </w:tcPr>
          <w:p>
            <w:pPr>
              <w:pStyle w:val="19"/>
              <w:spacing w:line="262" w:lineRule="exact"/>
              <w:ind w:left="8" w:right="-15"/>
              <w:jc w:val="left"/>
              <w:rPr>
                <w:sz w:val="21"/>
              </w:rPr>
            </w:pPr>
            <w:r>
              <w:rPr>
                <w:sz w:val="21"/>
              </w:rPr>
              <w:t>按照《中华人民共和国固体废物污染环境防治法》、《煤矸石综合利用</w:t>
            </w:r>
          </w:p>
        </w:tc>
        <w:tc>
          <w:tcPr>
            <w:tcW w:w="1165" w:type="dxa"/>
            <w:tcBorders>
              <w:top w:val="single" w:color="000000" w:sz="4" w:space="0"/>
              <w:left w:val="single" w:color="000000" w:sz="4" w:space="0"/>
              <w:bottom w:val="nil"/>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572" w:type="dxa"/>
            <w:tcBorders>
              <w:top w:val="nil"/>
              <w:bottom w:val="nil"/>
              <w:right w:val="single" w:color="000000" w:sz="4" w:space="0"/>
            </w:tcBorders>
          </w:tcPr>
          <w:p>
            <w:pPr>
              <w:pStyle w:val="19"/>
              <w:spacing w:before="36"/>
              <w:ind w:left="56" w:right="38"/>
              <w:rPr>
                <w:rFonts w:ascii="Times New Roman"/>
                <w:sz w:val="21"/>
              </w:rPr>
            </w:pPr>
            <w:r>
              <w:rPr>
                <w:rFonts w:ascii="Times New Roman"/>
                <w:sz w:val="21"/>
              </w:rPr>
              <w:t>31</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9"/>
              <w:spacing w:before="20"/>
              <w:ind w:left="38" w:right="24"/>
              <w:rPr>
                <w:sz w:val="21"/>
              </w:rPr>
            </w:pPr>
            <w:r>
              <w:rPr>
                <w:sz w:val="21"/>
              </w:rPr>
              <w:t>固体废物处置</w:t>
            </w:r>
          </w:p>
        </w:tc>
        <w:tc>
          <w:tcPr>
            <w:tcW w:w="835" w:type="dxa"/>
            <w:tcBorders>
              <w:top w:val="nil"/>
              <w:left w:val="single" w:color="000000" w:sz="4" w:space="0"/>
              <w:bottom w:val="nil"/>
              <w:right w:val="single" w:color="000000" w:sz="4" w:space="0"/>
            </w:tcBorders>
          </w:tcPr>
          <w:p>
            <w:pPr>
              <w:pStyle w:val="19"/>
              <w:spacing w:before="20"/>
              <w:ind w:left="18"/>
              <w:rPr>
                <w:sz w:val="21"/>
              </w:rPr>
            </w:pPr>
            <w:r>
              <w:rPr>
                <w:w w:val="99"/>
                <w:sz w:val="21"/>
              </w:rPr>
              <w:t>━</w:t>
            </w:r>
          </w:p>
        </w:tc>
        <w:tc>
          <w:tcPr>
            <w:tcW w:w="933" w:type="dxa"/>
            <w:tcBorders>
              <w:top w:val="nil"/>
              <w:left w:val="single" w:color="000000" w:sz="4" w:space="0"/>
              <w:bottom w:val="nil"/>
              <w:right w:val="single" w:color="000000" w:sz="4" w:space="0"/>
            </w:tcBorders>
          </w:tcPr>
          <w:p>
            <w:pPr>
              <w:pStyle w:val="19"/>
              <w:spacing w:before="36"/>
              <w:ind w:left="266" w:right="248"/>
              <w:rPr>
                <w:rFonts w:ascii="Times New Roman"/>
                <w:sz w:val="21"/>
              </w:rPr>
            </w:pPr>
            <w:r>
              <w:rPr>
                <w:rFonts w:ascii="Times New Roman"/>
                <w:sz w:val="21"/>
              </w:rPr>
              <w:t>0.05</w:t>
            </w:r>
          </w:p>
        </w:tc>
        <w:tc>
          <w:tcPr>
            <w:tcW w:w="6541" w:type="dxa"/>
            <w:gridSpan w:val="3"/>
            <w:tcBorders>
              <w:top w:val="nil"/>
              <w:left w:val="single" w:color="000000" w:sz="4" w:space="0"/>
              <w:bottom w:val="nil"/>
              <w:right w:val="single" w:color="000000" w:sz="4" w:space="0"/>
            </w:tcBorders>
          </w:tcPr>
          <w:p>
            <w:pPr>
              <w:pStyle w:val="19"/>
              <w:spacing w:before="20"/>
              <w:ind w:left="8" w:right="-15"/>
              <w:jc w:val="left"/>
              <w:rPr>
                <w:sz w:val="21"/>
              </w:rPr>
            </w:pPr>
            <w:r>
              <w:rPr>
                <w:sz w:val="21"/>
              </w:rPr>
              <w:t>管理办法》的有关要求，建立完善的标识、申报登记、源头分类、应急</w:t>
            </w:r>
          </w:p>
        </w:tc>
        <w:tc>
          <w:tcPr>
            <w:tcW w:w="1165" w:type="dxa"/>
            <w:tcBorders>
              <w:top w:val="nil"/>
              <w:left w:val="single" w:color="000000" w:sz="4" w:space="0"/>
              <w:bottom w:val="nil"/>
            </w:tcBorders>
          </w:tcPr>
          <w:p>
            <w:pPr>
              <w:pStyle w:val="19"/>
              <w:spacing w:before="20"/>
              <w:ind w:left="19" w:right="5"/>
              <w:rPr>
                <w:sz w:val="21"/>
              </w:rPr>
            </w:pPr>
            <w:r>
              <w:rPr>
                <w:sz w:val="21"/>
              </w:rPr>
              <w:t>符合要求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572" w:type="dxa"/>
            <w:tcBorders>
              <w:top w:val="nil"/>
              <w:bottom w:val="single" w:color="000000" w:sz="4" w:space="0"/>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835"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933"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6541" w:type="dxa"/>
            <w:gridSpan w:val="3"/>
            <w:tcBorders>
              <w:top w:val="nil"/>
              <w:left w:val="single" w:color="000000" w:sz="4" w:space="0"/>
              <w:bottom w:val="single" w:color="000000" w:sz="4" w:space="0"/>
              <w:right w:val="single" w:color="000000" w:sz="4" w:space="0"/>
            </w:tcBorders>
          </w:tcPr>
          <w:p>
            <w:pPr>
              <w:pStyle w:val="19"/>
              <w:spacing w:before="9"/>
              <w:ind w:left="8"/>
              <w:jc w:val="left"/>
              <w:rPr>
                <w:sz w:val="21"/>
              </w:rPr>
            </w:pPr>
            <w:r>
              <w:rPr>
                <w:sz w:val="21"/>
              </w:rPr>
              <w:t>预案等管理制度，制定合理的煤矸石综合利用方案及安全处置措施</w:t>
            </w:r>
          </w:p>
        </w:tc>
        <w:tc>
          <w:tcPr>
            <w:tcW w:w="1165" w:type="dxa"/>
            <w:tcBorders>
              <w:top w:val="nil"/>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trPr>
        <w:tc>
          <w:tcPr>
            <w:tcW w:w="572" w:type="dxa"/>
            <w:tcBorders>
              <w:top w:val="single" w:color="000000" w:sz="4" w:space="0"/>
              <w:bottom w:val="nil"/>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2641"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1879" w:type="dxa"/>
            <w:tcBorders>
              <w:top w:val="single" w:color="000000" w:sz="4" w:space="0"/>
              <w:left w:val="single" w:color="000000" w:sz="4" w:space="0"/>
              <w:bottom w:val="nil"/>
              <w:right w:val="single" w:color="000000" w:sz="4" w:space="0"/>
            </w:tcBorders>
          </w:tcPr>
          <w:p>
            <w:pPr>
              <w:pStyle w:val="19"/>
              <w:spacing w:line="264" w:lineRule="exact"/>
              <w:ind w:left="9" w:right="-15"/>
              <w:jc w:val="left"/>
              <w:rPr>
                <w:sz w:val="21"/>
              </w:rPr>
            </w:pPr>
            <w:r>
              <w:rPr>
                <w:spacing w:val="22"/>
                <w:w w:val="95"/>
                <w:sz w:val="21"/>
              </w:rPr>
              <w:t>定期开展绿色低碳</w:t>
            </w:r>
          </w:p>
        </w:tc>
        <w:tc>
          <w:tcPr>
            <w:tcW w:w="2021" w:type="dxa"/>
            <w:vMerge w:val="restart"/>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2"/>
              </w:rPr>
            </w:pPr>
          </w:p>
          <w:p>
            <w:pPr>
              <w:pStyle w:val="19"/>
              <w:spacing w:before="3"/>
              <w:jc w:val="left"/>
              <w:rPr>
                <w:rFonts w:ascii="Times New Roman"/>
                <w:sz w:val="20"/>
              </w:rPr>
            </w:pPr>
          </w:p>
          <w:p>
            <w:pPr>
              <w:pStyle w:val="19"/>
              <w:spacing w:line="290" w:lineRule="auto"/>
              <w:ind w:left="10" w:right="-15"/>
              <w:jc w:val="both"/>
              <w:rPr>
                <w:sz w:val="21"/>
              </w:rPr>
            </w:pPr>
            <w:r>
              <w:rPr>
                <w:spacing w:val="12"/>
                <w:w w:val="95"/>
                <w:sz w:val="21"/>
              </w:rPr>
              <w:t>定期开展绿色低碳宣</w:t>
            </w:r>
            <w:r>
              <w:rPr>
                <w:spacing w:val="-9"/>
                <w:w w:val="95"/>
                <w:sz w:val="21"/>
              </w:rPr>
              <w:t>传，在国家规定的重要</w:t>
            </w:r>
            <w:r>
              <w:rPr>
                <w:spacing w:val="-16"/>
                <w:sz w:val="21"/>
              </w:rPr>
              <w:t>节能环保日</w:t>
            </w:r>
            <w:r>
              <w:rPr>
                <w:sz w:val="21"/>
              </w:rPr>
              <w:t>（周</w:t>
            </w:r>
            <w:r>
              <w:rPr>
                <w:spacing w:val="-44"/>
                <w:sz w:val="21"/>
              </w:rPr>
              <w:t>）</w:t>
            </w:r>
            <w:r>
              <w:rPr>
                <w:spacing w:val="-6"/>
                <w:sz w:val="21"/>
              </w:rPr>
              <w:t>开展</w:t>
            </w:r>
            <w:r>
              <w:rPr>
                <w:spacing w:val="-10"/>
                <w:sz w:val="21"/>
              </w:rPr>
              <w:t>宣传活动，每年开展节</w:t>
            </w:r>
            <w:r>
              <w:rPr>
                <w:spacing w:val="12"/>
                <w:w w:val="95"/>
                <w:sz w:val="21"/>
              </w:rPr>
              <w:t>能环保专业培训不少</w:t>
            </w:r>
            <w:r>
              <w:rPr>
                <w:spacing w:val="-21"/>
                <w:sz w:val="21"/>
              </w:rPr>
              <w:t xml:space="preserve">于 </w:t>
            </w:r>
            <w:r>
              <w:rPr>
                <w:rFonts w:ascii="Times New Roman" w:eastAsia="Times New Roman"/>
                <w:sz w:val="21"/>
              </w:rPr>
              <w:t xml:space="preserve">1 </w:t>
            </w:r>
            <w:r>
              <w:rPr>
                <w:sz w:val="21"/>
              </w:rPr>
              <w:t>次</w:t>
            </w:r>
          </w:p>
        </w:tc>
        <w:tc>
          <w:tcPr>
            <w:tcW w:w="1165" w:type="dxa"/>
            <w:vMerge w:val="restart"/>
            <w:tcBorders>
              <w:top w:val="single" w:color="000000" w:sz="4" w:space="0"/>
              <w:left w:val="single" w:color="000000" w:sz="4" w:space="0"/>
              <w:bottom w:val="single" w:color="000000" w:sz="4" w:space="0"/>
            </w:tcBorders>
          </w:tcPr>
          <w:p>
            <w:pPr>
              <w:pStyle w:val="19"/>
              <w:spacing w:before="160" w:line="290" w:lineRule="auto"/>
              <w:ind w:left="60" w:right="38"/>
              <w:rPr>
                <w:sz w:val="21"/>
              </w:rPr>
            </w:pPr>
            <w:r>
              <w:rPr>
                <w:spacing w:val="-3"/>
                <w:sz w:val="21"/>
              </w:rPr>
              <w:t>制定有绿色低碳宣传和节能环保培</w:t>
            </w:r>
            <w:r>
              <w:rPr>
                <w:sz w:val="21"/>
              </w:rPr>
              <w:t xml:space="preserve">训年度计 </w:t>
            </w:r>
            <w:r>
              <w:rPr>
                <w:spacing w:val="-3"/>
                <w:sz w:val="21"/>
              </w:rPr>
              <w:t>划，并付诸实施；在国家规定的重</w:t>
            </w:r>
            <w:r>
              <w:rPr>
                <w:sz w:val="21"/>
              </w:rPr>
              <w:t>要节能环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5" w:hRule="atLeast"/>
        </w:trPr>
        <w:tc>
          <w:tcPr>
            <w:tcW w:w="572" w:type="dxa"/>
            <w:tcBorders>
              <w:top w:val="nil"/>
              <w:bottom w:val="nil"/>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9"/>
              <w:jc w:val="left"/>
              <w:rPr>
                <w:rFonts w:ascii="Times New Roman"/>
                <w:sz w:val="20"/>
              </w:rPr>
            </w:pPr>
          </w:p>
        </w:tc>
        <w:tc>
          <w:tcPr>
            <w:tcW w:w="835" w:type="dxa"/>
            <w:tcBorders>
              <w:top w:val="nil"/>
              <w:left w:val="single" w:color="000000" w:sz="4" w:space="0"/>
              <w:bottom w:val="nil"/>
              <w:right w:val="single" w:color="000000" w:sz="4" w:space="0"/>
            </w:tcBorders>
          </w:tcPr>
          <w:p>
            <w:pPr>
              <w:pStyle w:val="19"/>
              <w:jc w:val="left"/>
              <w:rPr>
                <w:rFonts w:ascii="Times New Roman"/>
                <w:sz w:val="20"/>
              </w:rPr>
            </w:pPr>
          </w:p>
        </w:tc>
        <w:tc>
          <w:tcPr>
            <w:tcW w:w="933" w:type="dxa"/>
            <w:tcBorders>
              <w:top w:val="nil"/>
              <w:left w:val="single" w:color="000000" w:sz="4" w:space="0"/>
              <w:bottom w:val="nil"/>
              <w:right w:val="single" w:color="000000" w:sz="4" w:space="0"/>
            </w:tcBorders>
          </w:tcPr>
          <w:p>
            <w:pPr>
              <w:pStyle w:val="19"/>
              <w:jc w:val="left"/>
              <w:rPr>
                <w:rFonts w:ascii="Times New Roman"/>
                <w:sz w:val="20"/>
              </w:rPr>
            </w:pPr>
          </w:p>
        </w:tc>
        <w:tc>
          <w:tcPr>
            <w:tcW w:w="2641" w:type="dxa"/>
            <w:tcBorders>
              <w:top w:val="nil"/>
              <w:left w:val="single" w:color="000000" w:sz="4" w:space="0"/>
              <w:bottom w:val="nil"/>
              <w:right w:val="single" w:color="000000" w:sz="4" w:space="0"/>
            </w:tcBorders>
          </w:tcPr>
          <w:p>
            <w:pPr>
              <w:pStyle w:val="19"/>
              <w:spacing w:before="17" w:line="268" w:lineRule="exact"/>
              <w:ind w:left="8" w:right="-15"/>
              <w:jc w:val="left"/>
              <w:rPr>
                <w:sz w:val="21"/>
              </w:rPr>
            </w:pPr>
            <w:r>
              <w:rPr>
                <w:spacing w:val="8"/>
                <w:w w:val="95"/>
                <w:sz w:val="21"/>
              </w:rPr>
              <w:t>制定有绿色低碳宣传和节能</w:t>
            </w:r>
          </w:p>
        </w:tc>
        <w:tc>
          <w:tcPr>
            <w:tcW w:w="1879" w:type="dxa"/>
            <w:tcBorders>
              <w:top w:val="nil"/>
              <w:left w:val="single" w:color="000000" w:sz="4" w:space="0"/>
              <w:bottom w:val="nil"/>
              <w:right w:val="single" w:color="000000" w:sz="4" w:space="0"/>
            </w:tcBorders>
          </w:tcPr>
          <w:p>
            <w:pPr>
              <w:pStyle w:val="19"/>
              <w:spacing w:before="17" w:line="268" w:lineRule="exact"/>
              <w:ind w:left="9" w:right="-15"/>
              <w:jc w:val="left"/>
              <w:rPr>
                <w:sz w:val="21"/>
              </w:rPr>
            </w:pPr>
            <w:r>
              <w:rPr>
                <w:spacing w:val="-5"/>
                <w:sz w:val="21"/>
              </w:rPr>
              <w:t>宣传，在国家规定的</w:t>
            </w: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8" w:hRule="atLeast"/>
        </w:trPr>
        <w:tc>
          <w:tcPr>
            <w:tcW w:w="572" w:type="dxa"/>
            <w:tcBorders>
              <w:top w:val="nil"/>
              <w:bottom w:val="nil"/>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9"/>
              <w:jc w:val="left"/>
              <w:rPr>
                <w:rFonts w:ascii="Times New Roman"/>
                <w:sz w:val="20"/>
              </w:rPr>
            </w:pPr>
          </w:p>
        </w:tc>
        <w:tc>
          <w:tcPr>
            <w:tcW w:w="835" w:type="dxa"/>
            <w:tcBorders>
              <w:top w:val="nil"/>
              <w:left w:val="single" w:color="000000" w:sz="4" w:space="0"/>
              <w:bottom w:val="nil"/>
              <w:right w:val="single" w:color="000000" w:sz="4" w:space="0"/>
            </w:tcBorders>
          </w:tcPr>
          <w:p>
            <w:pPr>
              <w:pStyle w:val="19"/>
              <w:jc w:val="left"/>
              <w:rPr>
                <w:rFonts w:ascii="Times New Roman"/>
                <w:sz w:val="20"/>
              </w:rPr>
            </w:pPr>
          </w:p>
        </w:tc>
        <w:tc>
          <w:tcPr>
            <w:tcW w:w="933" w:type="dxa"/>
            <w:tcBorders>
              <w:top w:val="nil"/>
              <w:left w:val="single" w:color="000000" w:sz="4" w:space="0"/>
              <w:bottom w:val="nil"/>
              <w:right w:val="single" w:color="000000" w:sz="4" w:space="0"/>
            </w:tcBorders>
          </w:tcPr>
          <w:p>
            <w:pPr>
              <w:pStyle w:val="19"/>
              <w:jc w:val="left"/>
              <w:rPr>
                <w:rFonts w:ascii="Times New Roman"/>
                <w:sz w:val="20"/>
              </w:rPr>
            </w:pPr>
          </w:p>
        </w:tc>
        <w:tc>
          <w:tcPr>
            <w:tcW w:w="2641" w:type="dxa"/>
            <w:tcBorders>
              <w:top w:val="nil"/>
              <w:left w:val="single" w:color="000000" w:sz="4" w:space="0"/>
              <w:bottom w:val="nil"/>
              <w:right w:val="single" w:color="000000" w:sz="4" w:space="0"/>
            </w:tcBorders>
          </w:tcPr>
          <w:p>
            <w:pPr>
              <w:pStyle w:val="19"/>
              <w:spacing w:before="18"/>
              <w:ind w:left="8" w:right="-15"/>
              <w:jc w:val="left"/>
              <w:rPr>
                <w:sz w:val="21"/>
              </w:rPr>
            </w:pPr>
            <w:r>
              <w:rPr>
                <w:spacing w:val="-10"/>
                <w:sz w:val="21"/>
              </w:rPr>
              <w:t>环保培训年度计划，并付诸实</w:t>
            </w:r>
          </w:p>
        </w:tc>
        <w:tc>
          <w:tcPr>
            <w:tcW w:w="1879" w:type="dxa"/>
            <w:tcBorders>
              <w:top w:val="nil"/>
              <w:left w:val="single" w:color="000000" w:sz="4" w:space="0"/>
              <w:bottom w:val="nil"/>
              <w:right w:val="single" w:color="000000" w:sz="4" w:space="0"/>
            </w:tcBorders>
          </w:tcPr>
          <w:p>
            <w:pPr>
              <w:pStyle w:val="19"/>
              <w:spacing w:before="20" w:line="268" w:lineRule="exact"/>
              <w:ind w:left="9" w:right="-15"/>
              <w:jc w:val="left"/>
              <w:rPr>
                <w:sz w:val="21"/>
              </w:rPr>
            </w:pPr>
            <w:r>
              <w:rPr>
                <w:spacing w:val="-22"/>
                <w:sz w:val="21"/>
              </w:rPr>
              <w:t>重 要 节 能 环 保 日</w:t>
            </w: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4" w:hRule="atLeast"/>
        </w:trPr>
        <w:tc>
          <w:tcPr>
            <w:tcW w:w="572" w:type="dxa"/>
            <w:tcBorders>
              <w:top w:val="nil"/>
              <w:bottom w:val="nil"/>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9"/>
              <w:jc w:val="left"/>
              <w:rPr>
                <w:rFonts w:ascii="Times New Roman"/>
                <w:sz w:val="20"/>
              </w:rPr>
            </w:pPr>
          </w:p>
        </w:tc>
        <w:tc>
          <w:tcPr>
            <w:tcW w:w="835" w:type="dxa"/>
            <w:tcBorders>
              <w:top w:val="nil"/>
              <w:left w:val="single" w:color="000000" w:sz="4" w:space="0"/>
              <w:bottom w:val="nil"/>
              <w:right w:val="single" w:color="000000" w:sz="4" w:space="0"/>
            </w:tcBorders>
          </w:tcPr>
          <w:p>
            <w:pPr>
              <w:pStyle w:val="19"/>
              <w:jc w:val="left"/>
              <w:rPr>
                <w:rFonts w:ascii="Times New Roman"/>
                <w:sz w:val="20"/>
              </w:rPr>
            </w:pPr>
          </w:p>
        </w:tc>
        <w:tc>
          <w:tcPr>
            <w:tcW w:w="933" w:type="dxa"/>
            <w:tcBorders>
              <w:top w:val="nil"/>
              <w:left w:val="single" w:color="000000" w:sz="4" w:space="0"/>
              <w:bottom w:val="nil"/>
              <w:right w:val="single" w:color="000000" w:sz="4" w:space="0"/>
            </w:tcBorders>
          </w:tcPr>
          <w:p>
            <w:pPr>
              <w:pStyle w:val="19"/>
              <w:jc w:val="left"/>
              <w:rPr>
                <w:rFonts w:ascii="Times New Roman"/>
                <w:sz w:val="20"/>
              </w:rPr>
            </w:pPr>
          </w:p>
        </w:tc>
        <w:tc>
          <w:tcPr>
            <w:tcW w:w="2641" w:type="dxa"/>
            <w:tcBorders>
              <w:top w:val="nil"/>
              <w:left w:val="single" w:color="000000" w:sz="4" w:space="0"/>
              <w:bottom w:val="nil"/>
              <w:right w:val="single" w:color="000000" w:sz="4" w:space="0"/>
            </w:tcBorders>
          </w:tcPr>
          <w:p>
            <w:pPr>
              <w:pStyle w:val="19"/>
              <w:spacing w:before="18" w:line="266" w:lineRule="exact"/>
              <w:ind w:left="8" w:right="-15"/>
              <w:jc w:val="left"/>
              <w:rPr>
                <w:sz w:val="21"/>
              </w:rPr>
            </w:pPr>
            <w:r>
              <w:rPr>
                <w:spacing w:val="-11"/>
                <w:sz w:val="21"/>
              </w:rPr>
              <w:t>施；在国家规定的重要节能环</w:t>
            </w:r>
          </w:p>
        </w:tc>
        <w:tc>
          <w:tcPr>
            <w:tcW w:w="1879" w:type="dxa"/>
            <w:tcBorders>
              <w:top w:val="nil"/>
              <w:left w:val="single" w:color="000000" w:sz="4" w:space="0"/>
              <w:bottom w:val="nil"/>
              <w:right w:val="single" w:color="000000" w:sz="4" w:space="0"/>
            </w:tcBorders>
          </w:tcPr>
          <w:p>
            <w:pPr>
              <w:pStyle w:val="19"/>
              <w:spacing w:before="18" w:line="266" w:lineRule="exact"/>
              <w:ind w:left="9" w:right="-15"/>
              <w:jc w:val="left"/>
              <w:rPr>
                <w:sz w:val="21"/>
              </w:rPr>
            </w:pPr>
            <w:r>
              <w:rPr>
                <w:sz w:val="21"/>
              </w:rPr>
              <w:t>（</w:t>
            </w:r>
            <w:r>
              <w:rPr>
                <w:spacing w:val="-28"/>
                <w:sz w:val="21"/>
              </w:rPr>
              <w:t xml:space="preserve"> 周</w:t>
            </w:r>
            <w:r>
              <w:rPr>
                <w:sz w:val="21"/>
              </w:rPr>
              <w:t>）</w:t>
            </w:r>
            <w:r>
              <w:rPr>
                <w:spacing w:val="4"/>
                <w:sz w:val="21"/>
              </w:rPr>
              <w:t xml:space="preserve"> 开展宣传活</w:t>
            </w: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4" w:hRule="atLeast"/>
        </w:trPr>
        <w:tc>
          <w:tcPr>
            <w:tcW w:w="572" w:type="dxa"/>
            <w:tcBorders>
              <w:top w:val="nil"/>
              <w:bottom w:val="nil"/>
              <w:right w:val="single" w:color="000000" w:sz="4" w:space="0"/>
            </w:tcBorders>
          </w:tcPr>
          <w:p>
            <w:pPr>
              <w:pStyle w:val="19"/>
              <w:spacing w:before="36"/>
              <w:ind w:left="56" w:right="38"/>
              <w:rPr>
                <w:rFonts w:ascii="Times New Roman"/>
                <w:sz w:val="21"/>
              </w:rPr>
            </w:pPr>
            <w:r>
              <w:rPr>
                <w:rFonts w:ascii="Times New Roman"/>
                <w:sz w:val="21"/>
              </w:rPr>
              <w:t>32</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9"/>
              <w:spacing w:before="20"/>
              <w:ind w:left="41" w:right="24"/>
              <w:rPr>
                <w:sz w:val="21"/>
              </w:rPr>
            </w:pPr>
            <w:r>
              <w:rPr>
                <w:sz w:val="21"/>
              </w:rPr>
              <w:t>宣传培训</w:t>
            </w:r>
          </w:p>
        </w:tc>
        <w:tc>
          <w:tcPr>
            <w:tcW w:w="835" w:type="dxa"/>
            <w:tcBorders>
              <w:top w:val="nil"/>
              <w:left w:val="single" w:color="000000" w:sz="4" w:space="0"/>
              <w:bottom w:val="nil"/>
              <w:right w:val="single" w:color="000000" w:sz="4" w:space="0"/>
            </w:tcBorders>
          </w:tcPr>
          <w:p>
            <w:pPr>
              <w:pStyle w:val="19"/>
              <w:spacing w:before="20"/>
              <w:ind w:left="18"/>
              <w:rPr>
                <w:sz w:val="21"/>
              </w:rPr>
            </w:pPr>
            <w:r>
              <w:rPr>
                <w:w w:val="99"/>
                <w:sz w:val="21"/>
              </w:rPr>
              <w:t>━</w:t>
            </w:r>
          </w:p>
        </w:tc>
        <w:tc>
          <w:tcPr>
            <w:tcW w:w="933" w:type="dxa"/>
            <w:tcBorders>
              <w:top w:val="nil"/>
              <w:left w:val="single" w:color="000000" w:sz="4" w:space="0"/>
              <w:bottom w:val="nil"/>
              <w:right w:val="single" w:color="000000" w:sz="4" w:space="0"/>
            </w:tcBorders>
          </w:tcPr>
          <w:p>
            <w:pPr>
              <w:pStyle w:val="19"/>
              <w:spacing w:before="36"/>
              <w:ind w:left="266" w:right="248"/>
              <w:rPr>
                <w:rFonts w:ascii="Times New Roman"/>
                <w:sz w:val="21"/>
              </w:rPr>
            </w:pPr>
            <w:r>
              <w:rPr>
                <w:rFonts w:ascii="Times New Roman"/>
                <w:sz w:val="21"/>
              </w:rPr>
              <w:t>0.1</w:t>
            </w:r>
          </w:p>
        </w:tc>
        <w:tc>
          <w:tcPr>
            <w:tcW w:w="2641" w:type="dxa"/>
            <w:tcBorders>
              <w:top w:val="nil"/>
              <w:left w:val="single" w:color="000000" w:sz="4" w:space="0"/>
              <w:bottom w:val="nil"/>
              <w:right w:val="single" w:color="000000" w:sz="4" w:space="0"/>
            </w:tcBorders>
          </w:tcPr>
          <w:p>
            <w:pPr>
              <w:pStyle w:val="19"/>
              <w:spacing w:before="20"/>
              <w:ind w:left="8" w:right="-15"/>
              <w:jc w:val="left"/>
              <w:rPr>
                <w:sz w:val="21"/>
              </w:rPr>
            </w:pPr>
            <w:r>
              <w:rPr>
                <w:spacing w:val="-15"/>
                <w:w w:val="95"/>
                <w:sz w:val="21"/>
              </w:rPr>
              <w:t>保日</w:t>
            </w:r>
            <w:r>
              <w:rPr>
                <w:w w:val="95"/>
                <w:sz w:val="21"/>
              </w:rPr>
              <w:t>（周</w:t>
            </w:r>
            <w:r>
              <w:rPr>
                <w:spacing w:val="-34"/>
                <w:w w:val="95"/>
                <w:sz w:val="21"/>
              </w:rPr>
              <w:t>）</w:t>
            </w:r>
            <w:r>
              <w:rPr>
                <w:spacing w:val="-5"/>
                <w:w w:val="95"/>
                <w:sz w:val="21"/>
              </w:rPr>
              <w:t>开展宣传活动；每</w:t>
            </w:r>
          </w:p>
        </w:tc>
        <w:tc>
          <w:tcPr>
            <w:tcW w:w="1879" w:type="dxa"/>
            <w:tcBorders>
              <w:top w:val="nil"/>
              <w:left w:val="single" w:color="000000" w:sz="4" w:space="0"/>
              <w:bottom w:val="nil"/>
              <w:right w:val="single" w:color="000000" w:sz="4" w:space="0"/>
            </w:tcBorders>
          </w:tcPr>
          <w:p>
            <w:pPr>
              <w:pStyle w:val="19"/>
              <w:spacing w:before="20"/>
              <w:ind w:left="9" w:right="-15"/>
              <w:jc w:val="left"/>
              <w:rPr>
                <w:sz w:val="21"/>
              </w:rPr>
            </w:pPr>
            <w:r>
              <w:rPr>
                <w:spacing w:val="-5"/>
                <w:sz w:val="21"/>
              </w:rPr>
              <w:t>动；每年开展节能环</w:t>
            </w: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5" w:hRule="atLeast"/>
        </w:trPr>
        <w:tc>
          <w:tcPr>
            <w:tcW w:w="572" w:type="dxa"/>
            <w:tcBorders>
              <w:top w:val="nil"/>
              <w:bottom w:val="nil"/>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9"/>
              <w:jc w:val="left"/>
              <w:rPr>
                <w:rFonts w:ascii="Times New Roman"/>
                <w:sz w:val="20"/>
              </w:rPr>
            </w:pPr>
          </w:p>
        </w:tc>
        <w:tc>
          <w:tcPr>
            <w:tcW w:w="835" w:type="dxa"/>
            <w:tcBorders>
              <w:top w:val="nil"/>
              <w:left w:val="single" w:color="000000" w:sz="4" w:space="0"/>
              <w:bottom w:val="nil"/>
              <w:right w:val="single" w:color="000000" w:sz="4" w:space="0"/>
            </w:tcBorders>
          </w:tcPr>
          <w:p>
            <w:pPr>
              <w:pStyle w:val="19"/>
              <w:jc w:val="left"/>
              <w:rPr>
                <w:rFonts w:ascii="Times New Roman"/>
                <w:sz w:val="20"/>
              </w:rPr>
            </w:pPr>
          </w:p>
        </w:tc>
        <w:tc>
          <w:tcPr>
            <w:tcW w:w="933" w:type="dxa"/>
            <w:tcBorders>
              <w:top w:val="nil"/>
              <w:left w:val="single" w:color="000000" w:sz="4" w:space="0"/>
              <w:bottom w:val="nil"/>
              <w:right w:val="single" w:color="000000" w:sz="4" w:space="0"/>
            </w:tcBorders>
          </w:tcPr>
          <w:p>
            <w:pPr>
              <w:pStyle w:val="19"/>
              <w:jc w:val="left"/>
              <w:rPr>
                <w:rFonts w:ascii="Times New Roman"/>
                <w:sz w:val="20"/>
              </w:rPr>
            </w:pPr>
          </w:p>
        </w:tc>
        <w:tc>
          <w:tcPr>
            <w:tcW w:w="2641" w:type="dxa"/>
            <w:tcBorders>
              <w:top w:val="nil"/>
              <w:left w:val="single" w:color="000000" w:sz="4" w:space="0"/>
              <w:bottom w:val="nil"/>
              <w:right w:val="single" w:color="000000" w:sz="4" w:space="0"/>
            </w:tcBorders>
          </w:tcPr>
          <w:p>
            <w:pPr>
              <w:pStyle w:val="19"/>
              <w:spacing w:before="12"/>
              <w:ind w:left="8" w:right="-15"/>
              <w:jc w:val="left"/>
              <w:rPr>
                <w:sz w:val="21"/>
              </w:rPr>
            </w:pPr>
            <w:r>
              <w:rPr>
                <w:spacing w:val="8"/>
                <w:w w:val="95"/>
                <w:sz w:val="21"/>
              </w:rPr>
              <w:t>年开展节能环保专业培训不</w:t>
            </w:r>
          </w:p>
        </w:tc>
        <w:tc>
          <w:tcPr>
            <w:tcW w:w="1879" w:type="dxa"/>
            <w:tcBorders>
              <w:top w:val="nil"/>
              <w:left w:val="single" w:color="000000" w:sz="4" w:space="0"/>
              <w:bottom w:val="nil"/>
              <w:right w:val="single" w:color="000000" w:sz="4" w:space="0"/>
            </w:tcBorders>
          </w:tcPr>
          <w:p>
            <w:pPr>
              <w:pStyle w:val="19"/>
              <w:spacing w:before="12"/>
              <w:ind w:left="9"/>
              <w:jc w:val="left"/>
              <w:rPr>
                <w:rFonts w:ascii="Times New Roman" w:eastAsia="Times New Roman"/>
                <w:sz w:val="21"/>
              </w:rPr>
            </w:pPr>
            <w:r>
              <w:rPr>
                <w:spacing w:val="-7"/>
                <w:sz w:val="21"/>
              </w:rPr>
              <w:t xml:space="preserve">保专业培训不少于 </w:t>
            </w:r>
            <w:r>
              <w:rPr>
                <w:rFonts w:ascii="Times New Roman" w:eastAsia="Times New Roman"/>
                <w:sz w:val="21"/>
              </w:rPr>
              <w:t>1</w:t>
            </w: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9" w:hRule="atLeast"/>
        </w:trPr>
        <w:tc>
          <w:tcPr>
            <w:tcW w:w="572" w:type="dxa"/>
            <w:tcBorders>
              <w:top w:val="nil"/>
              <w:bottom w:val="nil"/>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9"/>
              <w:jc w:val="left"/>
              <w:rPr>
                <w:rFonts w:ascii="Times New Roman"/>
                <w:sz w:val="20"/>
              </w:rPr>
            </w:pPr>
          </w:p>
        </w:tc>
        <w:tc>
          <w:tcPr>
            <w:tcW w:w="835" w:type="dxa"/>
            <w:tcBorders>
              <w:top w:val="nil"/>
              <w:left w:val="single" w:color="000000" w:sz="4" w:space="0"/>
              <w:bottom w:val="nil"/>
              <w:right w:val="single" w:color="000000" w:sz="4" w:space="0"/>
            </w:tcBorders>
          </w:tcPr>
          <w:p>
            <w:pPr>
              <w:pStyle w:val="19"/>
              <w:jc w:val="left"/>
              <w:rPr>
                <w:rFonts w:ascii="Times New Roman"/>
                <w:sz w:val="20"/>
              </w:rPr>
            </w:pPr>
          </w:p>
        </w:tc>
        <w:tc>
          <w:tcPr>
            <w:tcW w:w="933" w:type="dxa"/>
            <w:tcBorders>
              <w:top w:val="nil"/>
              <w:left w:val="single" w:color="000000" w:sz="4" w:space="0"/>
              <w:bottom w:val="nil"/>
              <w:right w:val="single" w:color="000000" w:sz="4" w:space="0"/>
            </w:tcBorders>
          </w:tcPr>
          <w:p>
            <w:pPr>
              <w:pStyle w:val="19"/>
              <w:jc w:val="left"/>
              <w:rPr>
                <w:rFonts w:ascii="Times New Roman"/>
                <w:sz w:val="20"/>
              </w:rPr>
            </w:pPr>
          </w:p>
        </w:tc>
        <w:tc>
          <w:tcPr>
            <w:tcW w:w="2641" w:type="dxa"/>
            <w:tcBorders>
              <w:top w:val="nil"/>
              <w:left w:val="single" w:color="000000" w:sz="4" w:space="0"/>
              <w:bottom w:val="nil"/>
              <w:right w:val="single" w:color="000000" w:sz="4" w:space="0"/>
            </w:tcBorders>
          </w:tcPr>
          <w:p>
            <w:pPr>
              <w:pStyle w:val="19"/>
              <w:spacing w:before="13"/>
              <w:ind w:left="8" w:right="-15"/>
              <w:jc w:val="left"/>
              <w:rPr>
                <w:sz w:val="21"/>
              </w:rPr>
            </w:pPr>
            <w:r>
              <w:rPr>
                <w:spacing w:val="-19"/>
                <w:sz w:val="21"/>
              </w:rPr>
              <w:t xml:space="preserve">少于 </w:t>
            </w:r>
            <w:r>
              <w:rPr>
                <w:rFonts w:ascii="Times New Roman" w:eastAsia="Times New Roman"/>
                <w:sz w:val="21"/>
              </w:rPr>
              <w:t>2</w:t>
            </w:r>
            <w:r>
              <w:rPr>
                <w:rFonts w:ascii="Times New Roman" w:eastAsia="Times New Roman"/>
                <w:spacing w:val="-2"/>
                <w:sz w:val="21"/>
              </w:rPr>
              <w:t xml:space="preserve"> </w:t>
            </w:r>
            <w:r>
              <w:rPr>
                <w:spacing w:val="-12"/>
                <w:sz w:val="21"/>
              </w:rPr>
              <w:t>次，所有在岗人员进行</w:t>
            </w:r>
          </w:p>
        </w:tc>
        <w:tc>
          <w:tcPr>
            <w:tcW w:w="1879" w:type="dxa"/>
            <w:tcBorders>
              <w:top w:val="nil"/>
              <w:left w:val="single" w:color="000000" w:sz="4" w:space="0"/>
              <w:bottom w:val="nil"/>
              <w:right w:val="single" w:color="000000" w:sz="4" w:space="0"/>
            </w:tcBorders>
          </w:tcPr>
          <w:p>
            <w:pPr>
              <w:pStyle w:val="19"/>
              <w:spacing w:before="13"/>
              <w:ind w:left="9" w:right="-15"/>
              <w:jc w:val="left"/>
              <w:rPr>
                <w:sz w:val="21"/>
              </w:rPr>
            </w:pPr>
            <w:r>
              <w:rPr>
                <w:spacing w:val="-5"/>
                <w:sz w:val="21"/>
              </w:rPr>
              <w:t>次，主要岗位人员进</w:t>
            </w: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572" w:type="dxa"/>
            <w:tcBorders>
              <w:top w:val="nil"/>
              <w:bottom w:val="nil"/>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9"/>
              <w:jc w:val="left"/>
              <w:rPr>
                <w:rFonts w:ascii="Times New Roman"/>
                <w:sz w:val="20"/>
              </w:rPr>
            </w:pPr>
          </w:p>
        </w:tc>
        <w:tc>
          <w:tcPr>
            <w:tcW w:w="835" w:type="dxa"/>
            <w:tcBorders>
              <w:top w:val="nil"/>
              <w:left w:val="single" w:color="000000" w:sz="4" w:space="0"/>
              <w:bottom w:val="nil"/>
              <w:right w:val="single" w:color="000000" w:sz="4" w:space="0"/>
            </w:tcBorders>
          </w:tcPr>
          <w:p>
            <w:pPr>
              <w:pStyle w:val="19"/>
              <w:jc w:val="left"/>
              <w:rPr>
                <w:rFonts w:ascii="Times New Roman"/>
                <w:sz w:val="20"/>
              </w:rPr>
            </w:pPr>
          </w:p>
        </w:tc>
        <w:tc>
          <w:tcPr>
            <w:tcW w:w="933" w:type="dxa"/>
            <w:tcBorders>
              <w:top w:val="nil"/>
              <w:left w:val="single" w:color="000000" w:sz="4" w:space="0"/>
              <w:bottom w:val="nil"/>
              <w:right w:val="single" w:color="000000" w:sz="4" w:space="0"/>
            </w:tcBorders>
          </w:tcPr>
          <w:p>
            <w:pPr>
              <w:pStyle w:val="19"/>
              <w:jc w:val="left"/>
              <w:rPr>
                <w:rFonts w:ascii="Times New Roman"/>
                <w:sz w:val="20"/>
              </w:rPr>
            </w:pPr>
          </w:p>
        </w:tc>
        <w:tc>
          <w:tcPr>
            <w:tcW w:w="2641" w:type="dxa"/>
            <w:tcBorders>
              <w:top w:val="nil"/>
              <w:left w:val="single" w:color="000000" w:sz="4" w:space="0"/>
              <w:bottom w:val="nil"/>
              <w:right w:val="single" w:color="000000" w:sz="4" w:space="0"/>
            </w:tcBorders>
          </w:tcPr>
          <w:p>
            <w:pPr>
              <w:pStyle w:val="19"/>
              <w:spacing w:before="10"/>
              <w:ind w:left="8" w:right="-15"/>
              <w:jc w:val="left"/>
              <w:rPr>
                <w:sz w:val="21"/>
              </w:rPr>
            </w:pPr>
            <w:r>
              <w:rPr>
                <w:spacing w:val="-11"/>
                <w:sz w:val="21"/>
              </w:rPr>
              <w:t>过岗前培训，有岗位培训记录</w:t>
            </w:r>
          </w:p>
        </w:tc>
        <w:tc>
          <w:tcPr>
            <w:tcW w:w="1879" w:type="dxa"/>
            <w:tcBorders>
              <w:top w:val="nil"/>
              <w:left w:val="single" w:color="000000" w:sz="4" w:space="0"/>
              <w:bottom w:val="nil"/>
              <w:right w:val="single" w:color="000000" w:sz="4" w:space="0"/>
            </w:tcBorders>
          </w:tcPr>
          <w:p>
            <w:pPr>
              <w:pStyle w:val="19"/>
              <w:spacing w:before="13" w:line="268" w:lineRule="exact"/>
              <w:ind w:left="9" w:right="-15"/>
              <w:jc w:val="left"/>
              <w:rPr>
                <w:sz w:val="21"/>
              </w:rPr>
            </w:pPr>
            <w:r>
              <w:rPr>
                <w:spacing w:val="-3"/>
                <w:sz w:val="21"/>
              </w:rPr>
              <w:t>行过岗前培训，有岗</w:t>
            </w: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8" w:hRule="atLeast"/>
        </w:trPr>
        <w:tc>
          <w:tcPr>
            <w:tcW w:w="572" w:type="dxa"/>
            <w:tcBorders>
              <w:top w:val="nil"/>
              <w:bottom w:val="single" w:color="000000" w:sz="4" w:space="0"/>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835"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933"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2641" w:type="dxa"/>
            <w:tcBorders>
              <w:top w:val="nil"/>
              <w:left w:val="single" w:color="000000" w:sz="4" w:space="0"/>
              <w:bottom w:val="single" w:color="000000" w:sz="4" w:space="0"/>
              <w:right w:val="single" w:color="000000" w:sz="4" w:space="0"/>
            </w:tcBorders>
          </w:tcPr>
          <w:p>
            <w:pPr>
              <w:pStyle w:val="19"/>
              <w:jc w:val="left"/>
              <w:rPr>
                <w:rFonts w:ascii="Times New Roman"/>
                <w:sz w:val="20"/>
              </w:rPr>
            </w:pPr>
          </w:p>
        </w:tc>
        <w:tc>
          <w:tcPr>
            <w:tcW w:w="1879" w:type="dxa"/>
            <w:tcBorders>
              <w:top w:val="nil"/>
              <w:left w:val="single" w:color="000000" w:sz="4" w:space="0"/>
              <w:bottom w:val="single" w:color="000000" w:sz="4" w:space="0"/>
              <w:right w:val="single" w:color="000000" w:sz="4" w:space="0"/>
            </w:tcBorders>
          </w:tcPr>
          <w:p>
            <w:pPr>
              <w:pStyle w:val="19"/>
              <w:spacing w:before="18"/>
              <w:ind w:left="9"/>
              <w:jc w:val="left"/>
              <w:rPr>
                <w:sz w:val="21"/>
              </w:rPr>
            </w:pPr>
            <w:r>
              <w:rPr>
                <w:sz w:val="21"/>
              </w:rPr>
              <w:t>位培训记录</w:t>
            </w: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9" w:hRule="atLeast"/>
        </w:trPr>
        <w:tc>
          <w:tcPr>
            <w:tcW w:w="572" w:type="dxa"/>
            <w:tcBorders>
              <w:top w:val="single" w:color="000000" w:sz="4" w:space="0"/>
              <w:bottom w:val="nil"/>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2641" w:type="dxa"/>
            <w:tcBorders>
              <w:top w:val="single" w:color="000000" w:sz="4" w:space="0"/>
              <w:left w:val="single" w:color="000000" w:sz="4" w:space="0"/>
              <w:bottom w:val="nil"/>
              <w:right w:val="single" w:color="000000" w:sz="4" w:space="0"/>
            </w:tcBorders>
          </w:tcPr>
          <w:p>
            <w:pPr>
              <w:pStyle w:val="19"/>
              <w:jc w:val="left"/>
              <w:rPr>
                <w:rFonts w:ascii="Times New Roman"/>
                <w:sz w:val="20"/>
              </w:rPr>
            </w:pPr>
          </w:p>
        </w:tc>
        <w:tc>
          <w:tcPr>
            <w:tcW w:w="1879" w:type="dxa"/>
            <w:tcBorders>
              <w:top w:val="single" w:color="000000" w:sz="4" w:space="0"/>
              <w:left w:val="single" w:color="000000" w:sz="4" w:space="0"/>
              <w:bottom w:val="nil"/>
              <w:right w:val="single" w:color="000000" w:sz="4" w:space="0"/>
            </w:tcBorders>
          </w:tcPr>
          <w:p>
            <w:pPr>
              <w:pStyle w:val="19"/>
              <w:jc w:val="left"/>
              <w:rPr>
                <w:rFonts w:ascii="Times New Roman"/>
                <w:sz w:val="22"/>
              </w:rPr>
            </w:pPr>
          </w:p>
          <w:p>
            <w:pPr>
              <w:pStyle w:val="19"/>
              <w:spacing w:before="6"/>
              <w:jc w:val="left"/>
              <w:rPr>
                <w:rFonts w:ascii="Times New Roman"/>
                <w:sz w:val="18"/>
              </w:rPr>
            </w:pPr>
          </w:p>
          <w:p>
            <w:pPr>
              <w:pStyle w:val="19"/>
              <w:ind w:left="9" w:right="-15"/>
              <w:jc w:val="left"/>
              <w:rPr>
                <w:rFonts w:ascii="Times New Roman" w:eastAsia="Times New Roman"/>
                <w:sz w:val="21"/>
              </w:rPr>
            </w:pPr>
            <w:r>
              <w:rPr>
                <w:spacing w:val="-15"/>
                <w:sz w:val="21"/>
              </w:rPr>
              <w:t xml:space="preserve">建 立 有 </w:t>
            </w:r>
            <w:r>
              <w:rPr>
                <w:rFonts w:ascii="Times New Roman" w:eastAsia="Times New Roman"/>
                <w:sz w:val="21"/>
              </w:rPr>
              <w:t>GB/T24001</w:t>
            </w:r>
          </w:p>
        </w:tc>
        <w:tc>
          <w:tcPr>
            <w:tcW w:w="2021" w:type="dxa"/>
            <w:vMerge w:val="restart"/>
            <w:tcBorders>
              <w:top w:val="single" w:color="000000" w:sz="4" w:space="0"/>
              <w:left w:val="single" w:color="000000" w:sz="4" w:space="0"/>
              <w:right w:val="single" w:color="000000" w:sz="4" w:space="0"/>
            </w:tcBorders>
          </w:tcPr>
          <w:p>
            <w:pPr>
              <w:pStyle w:val="19"/>
              <w:jc w:val="left"/>
              <w:rPr>
                <w:rFonts w:ascii="Times New Roman"/>
                <w:sz w:val="20"/>
              </w:rPr>
            </w:pPr>
          </w:p>
          <w:p>
            <w:pPr>
              <w:pStyle w:val="19"/>
              <w:jc w:val="left"/>
              <w:rPr>
                <w:rFonts w:ascii="Times New Roman"/>
                <w:sz w:val="20"/>
              </w:rPr>
            </w:pPr>
          </w:p>
          <w:p>
            <w:pPr>
              <w:pStyle w:val="19"/>
              <w:spacing w:before="169" w:line="290" w:lineRule="auto"/>
              <w:ind w:left="10" w:right="-15"/>
              <w:jc w:val="both"/>
              <w:rPr>
                <w:sz w:val="21"/>
              </w:rPr>
            </w:pPr>
            <w:r>
              <w:rPr>
                <w:spacing w:val="-3"/>
                <w:sz w:val="21"/>
              </w:rPr>
              <w:t xml:space="preserve">建立有 </w:t>
            </w:r>
            <w:r>
              <w:rPr>
                <w:rFonts w:ascii="Times New Roman" w:hAnsi="Times New Roman" w:eastAsia="Times New Roman"/>
                <w:sz w:val="21"/>
              </w:rPr>
              <w:t xml:space="preserve">GB/T24001 </w:t>
            </w:r>
            <w:r>
              <w:rPr>
                <w:spacing w:val="-11"/>
                <w:sz w:val="21"/>
              </w:rPr>
              <w:t>环</w:t>
            </w:r>
            <w:r>
              <w:rPr>
                <w:spacing w:val="-10"/>
                <w:w w:val="95"/>
                <w:sz w:val="21"/>
              </w:rPr>
              <w:t>境管理体系，并能有效</w:t>
            </w:r>
            <w:r>
              <w:rPr>
                <w:spacing w:val="-14"/>
                <w:sz w:val="21"/>
              </w:rPr>
              <w:t>运行；完成年度环境目</w:t>
            </w:r>
            <w:r>
              <w:rPr>
                <w:spacing w:val="-12"/>
                <w:w w:val="95"/>
                <w:sz w:val="21"/>
              </w:rPr>
              <w:t>标、指标和环境管理方</w:t>
            </w:r>
            <w:r>
              <w:rPr>
                <w:spacing w:val="7"/>
                <w:sz w:val="21"/>
              </w:rPr>
              <w:t>案</w:t>
            </w:r>
            <w:r>
              <w:rPr>
                <w:rFonts w:ascii="Times New Roman" w:hAnsi="Times New Roman" w:eastAsia="Times New Roman"/>
                <w:spacing w:val="2"/>
                <w:sz w:val="21"/>
              </w:rPr>
              <w:t>≥60%</w:t>
            </w:r>
            <w:r>
              <w:rPr>
                <w:spacing w:val="1"/>
                <w:sz w:val="21"/>
              </w:rPr>
              <w:t>，部分达到环</w:t>
            </w:r>
            <w:r>
              <w:rPr>
                <w:spacing w:val="-9"/>
                <w:sz w:val="21"/>
              </w:rPr>
              <w:t>境持续改进的要求；环</w:t>
            </w:r>
            <w:r>
              <w:rPr>
                <w:spacing w:val="-15"/>
                <w:w w:val="95"/>
                <w:sz w:val="21"/>
              </w:rPr>
              <w:t>境管理手册、程序文件</w:t>
            </w:r>
            <w:r>
              <w:rPr>
                <w:spacing w:val="-15"/>
                <w:sz w:val="21"/>
              </w:rPr>
              <w:t>及作业文件齐备。</w:t>
            </w:r>
          </w:p>
        </w:tc>
        <w:tc>
          <w:tcPr>
            <w:tcW w:w="1165" w:type="dxa"/>
            <w:vMerge w:val="restart"/>
            <w:tcBorders>
              <w:top w:val="single" w:color="000000" w:sz="4" w:space="0"/>
              <w:left w:val="single" w:color="000000" w:sz="4" w:space="0"/>
            </w:tcBorders>
          </w:tcPr>
          <w:p>
            <w:pPr>
              <w:pStyle w:val="19"/>
              <w:spacing w:line="265" w:lineRule="exact"/>
              <w:ind w:left="22" w:right="5"/>
              <w:rPr>
                <w:sz w:val="21"/>
              </w:rPr>
            </w:pPr>
            <w:r>
              <w:rPr>
                <w:sz w:val="21"/>
              </w:rPr>
              <w:t>建立有</w:t>
            </w:r>
          </w:p>
          <w:p>
            <w:pPr>
              <w:pStyle w:val="19"/>
              <w:spacing w:before="57"/>
              <w:ind w:left="24" w:right="4"/>
              <w:rPr>
                <w:rFonts w:ascii="Times New Roman"/>
                <w:sz w:val="21"/>
              </w:rPr>
            </w:pPr>
            <w:r>
              <w:rPr>
                <w:rFonts w:ascii="Times New Roman"/>
                <w:sz w:val="21"/>
              </w:rPr>
              <w:t>GB/T24001</w:t>
            </w:r>
          </w:p>
          <w:p>
            <w:pPr>
              <w:pStyle w:val="19"/>
              <w:spacing w:before="49" w:line="290" w:lineRule="auto"/>
              <w:ind w:left="19" w:firstLine="40"/>
              <w:jc w:val="both"/>
              <w:rPr>
                <w:sz w:val="21"/>
              </w:rPr>
            </w:pPr>
            <w:r>
              <w:rPr>
                <w:sz w:val="21"/>
              </w:rPr>
              <w:t>环境管理体系，并能有效运行；完成年度环境目标、指标和环境管理方案</w:t>
            </w:r>
            <w:r>
              <w:rPr>
                <w:rFonts w:ascii="Times New Roman" w:hAnsi="Times New Roman" w:eastAsia="Times New Roman"/>
                <w:spacing w:val="-3"/>
                <w:sz w:val="21"/>
              </w:rPr>
              <w:t>≥80%</w:t>
            </w:r>
            <w:r>
              <w:rPr>
                <w:spacing w:val="-3"/>
                <w:sz w:val="21"/>
              </w:rPr>
              <w:t xml:space="preserve">， </w:t>
            </w:r>
            <w:r>
              <w:rPr>
                <w:sz w:val="21"/>
              </w:rPr>
              <w:t>达到环境持续改进的要</w:t>
            </w:r>
          </w:p>
          <w:p>
            <w:pPr>
              <w:pStyle w:val="19"/>
              <w:spacing w:before="10"/>
              <w:ind w:left="24" w:right="5"/>
              <w:rPr>
                <w:sz w:val="21"/>
              </w:rPr>
            </w:pPr>
            <w:r>
              <w:rPr>
                <w:sz w:val="21"/>
              </w:rPr>
              <w:t>求；环境管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 w:hRule="atLeast"/>
        </w:trPr>
        <w:tc>
          <w:tcPr>
            <w:tcW w:w="572" w:type="dxa"/>
            <w:tcBorders>
              <w:top w:val="nil"/>
              <w:bottom w:val="nil"/>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9"/>
              <w:jc w:val="left"/>
              <w:rPr>
                <w:rFonts w:ascii="Times New Roman"/>
                <w:sz w:val="20"/>
              </w:rPr>
            </w:pPr>
          </w:p>
        </w:tc>
        <w:tc>
          <w:tcPr>
            <w:tcW w:w="835" w:type="dxa"/>
            <w:tcBorders>
              <w:top w:val="nil"/>
              <w:left w:val="single" w:color="000000" w:sz="4" w:space="0"/>
              <w:bottom w:val="nil"/>
              <w:right w:val="single" w:color="000000" w:sz="4" w:space="0"/>
            </w:tcBorders>
          </w:tcPr>
          <w:p>
            <w:pPr>
              <w:pStyle w:val="19"/>
              <w:jc w:val="left"/>
              <w:rPr>
                <w:rFonts w:ascii="Times New Roman"/>
                <w:sz w:val="20"/>
              </w:rPr>
            </w:pPr>
          </w:p>
        </w:tc>
        <w:tc>
          <w:tcPr>
            <w:tcW w:w="933" w:type="dxa"/>
            <w:tcBorders>
              <w:top w:val="nil"/>
              <w:left w:val="single" w:color="000000" w:sz="4" w:space="0"/>
              <w:bottom w:val="nil"/>
              <w:right w:val="single" w:color="000000" w:sz="4" w:space="0"/>
            </w:tcBorders>
          </w:tcPr>
          <w:p>
            <w:pPr>
              <w:pStyle w:val="19"/>
              <w:jc w:val="left"/>
              <w:rPr>
                <w:rFonts w:ascii="Times New Roman"/>
                <w:sz w:val="20"/>
              </w:rPr>
            </w:pPr>
          </w:p>
        </w:tc>
        <w:tc>
          <w:tcPr>
            <w:tcW w:w="2641" w:type="dxa"/>
            <w:tcBorders>
              <w:top w:val="nil"/>
              <w:left w:val="single" w:color="000000" w:sz="4" w:space="0"/>
              <w:bottom w:val="nil"/>
              <w:right w:val="single" w:color="000000" w:sz="4" w:space="0"/>
            </w:tcBorders>
          </w:tcPr>
          <w:p>
            <w:pPr>
              <w:pStyle w:val="19"/>
              <w:spacing w:before="15"/>
              <w:ind w:left="8" w:right="-15"/>
              <w:jc w:val="left"/>
              <w:rPr>
                <w:sz w:val="21"/>
              </w:rPr>
            </w:pPr>
            <w:r>
              <w:rPr>
                <w:spacing w:val="-8"/>
                <w:sz w:val="21"/>
              </w:rPr>
              <w:t xml:space="preserve">建立有 </w:t>
            </w:r>
            <w:r>
              <w:rPr>
                <w:rFonts w:ascii="Times New Roman" w:eastAsia="Times New Roman"/>
                <w:sz w:val="21"/>
              </w:rPr>
              <w:t>GB/T24001</w:t>
            </w:r>
            <w:r>
              <w:rPr>
                <w:rFonts w:ascii="Times New Roman" w:eastAsia="Times New Roman"/>
                <w:spacing w:val="2"/>
                <w:sz w:val="21"/>
              </w:rPr>
              <w:t xml:space="preserve"> </w:t>
            </w:r>
            <w:r>
              <w:rPr>
                <w:spacing w:val="6"/>
                <w:sz w:val="21"/>
              </w:rPr>
              <w:t>环境管理</w:t>
            </w:r>
          </w:p>
        </w:tc>
        <w:tc>
          <w:tcPr>
            <w:tcW w:w="1879" w:type="dxa"/>
            <w:tcBorders>
              <w:top w:val="nil"/>
              <w:left w:val="single" w:color="000000" w:sz="4" w:space="0"/>
              <w:bottom w:val="nil"/>
              <w:right w:val="single" w:color="000000" w:sz="4" w:space="0"/>
            </w:tcBorders>
          </w:tcPr>
          <w:p>
            <w:pPr>
              <w:pStyle w:val="19"/>
              <w:spacing w:before="12"/>
              <w:ind w:left="9" w:right="-15"/>
              <w:jc w:val="left"/>
              <w:rPr>
                <w:sz w:val="21"/>
              </w:rPr>
            </w:pPr>
            <w:r>
              <w:rPr>
                <w:spacing w:val="-3"/>
                <w:sz w:val="21"/>
              </w:rPr>
              <w:t>环境管理体系，并能</w:t>
            </w:r>
          </w:p>
        </w:tc>
        <w:tc>
          <w:tcPr>
            <w:tcW w:w="2021" w:type="dxa"/>
            <w:vMerge w:val="continue"/>
            <w:tcBorders>
              <w:top w:val="nil"/>
              <w:left w:val="single" w:color="000000" w:sz="4" w:space="0"/>
              <w:right w:val="single" w:color="000000" w:sz="4" w:space="0"/>
            </w:tcBorders>
          </w:tcPr>
          <w:p>
            <w:pPr>
              <w:rPr>
                <w:sz w:val="2"/>
                <w:szCs w:val="2"/>
              </w:rPr>
            </w:pPr>
          </w:p>
        </w:tc>
        <w:tc>
          <w:tcPr>
            <w:tcW w:w="116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8" w:hRule="atLeast"/>
        </w:trPr>
        <w:tc>
          <w:tcPr>
            <w:tcW w:w="572" w:type="dxa"/>
            <w:tcBorders>
              <w:top w:val="nil"/>
              <w:bottom w:val="nil"/>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9"/>
              <w:jc w:val="left"/>
              <w:rPr>
                <w:rFonts w:ascii="Times New Roman"/>
                <w:sz w:val="20"/>
              </w:rPr>
            </w:pPr>
          </w:p>
        </w:tc>
        <w:tc>
          <w:tcPr>
            <w:tcW w:w="835" w:type="dxa"/>
            <w:tcBorders>
              <w:top w:val="nil"/>
              <w:left w:val="single" w:color="000000" w:sz="4" w:space="0"/>
              <w:bottom w:val="nil"/>
              <w:right w:val="single" w:color="000000" w:sz="4" w:space="0"/>
            </w:tcBorders>
          </w:tcPr>
          <w:p>
            <w:pPr>
              <w:pStyle w:val="19"/>
              <w:jc w:val="left"/>
              <w:rPr>
                <w:rFonts w:ascii="Times New Roman"/>
                <w:sz w:val="20"/>
              </w:rPr>
            </w:pPr>
          </w:p>
        </w:tc>
        <w:tc>
          <w:tcPr>
            <w:tcW w:w="933" w:type="dxa"/>
            <w:tcBorders>
              <w:top w:val="nil"/>
              <w:left w:val="single" w:color="000000" w:sz="4" w:space="0"/>
              <w:bottom w:val="nil"/>
              <w:right w:val="single" w:color="000000" w:sz="4" w:space="0"/>
            </w:tcBorders>
          </w:tcPr>
          <w:p>
            <w:pPr>
              <w:pStyle w:val="19"/>
              <w:jc w:val="left"/>
              <w:rPr>
                <w:rFonts w:ascii="Times New Roman"/>
                <w:sz w:val="20"/>
              </w:rPr>
            </w:pPr>
          </w:p>
        </w:tc>
        <w:tc>
          <w:tcPr>
            <w:tcW w:w="2641" w:type="dxa"/>
            <w:tcBorders>
              <w:top w:val="nil"/>
              <w:left w:val="single" w:color="000000" w:sz="4" w:space="0"/>
              <w:bottom w:val="nil"/>
              <w:right w:val="single" w:color="000000" w:sz="4" w:space="0"/>
            </w:tcBorders>
          </w:tcPr>
          <w:p>
            <w:pPr>
              <w:pStyle w:val="19"/>
              <w:spacing w:before="10" w:line="268" w:lineRule="exact"/>
              <w:ind w:left="8" w:right="-15"/>
              <w:jc w:val="left"/>
              <w:rPr>
                <w:sz w:val="21"/>
              </w:rPr>
            </w:pPr>
            <w:r>
              <w:rPr>
                <w:spacing w:val="-11"/>
                <w:sz w:val="21"/>
              </w:rPr>
              <w:t>体系，并取得认证，能有效运</w:t>
            </w:r>
          </w:p>
        </w:tc>
        <w:tc>
          <w:tcPr>
            <w:tcW w:w="1879" w:type="dxa"/>
            <w:tcBorders>
              <w:top w:val="nil"/>
              <w:left w:val="single" w:color="000000" w:sz="4" w:space="0"/>
              <w:bottom w:val="nil"/>
              <w:right w:val="single" w:color="000000" w:sz="4" w:space="0"/>
            </w:tcBorders>
          </w:tcPr>
          <w:p>
            <w:pPr>
              <w:pStyle w:val="19"/>
              <w:spacing w:before="10" w:line="268" w:lineRule="exact"/>
              <w:ind w:left="9" w:right="-15"/>
              <w:jc w:val="left"/>
              <w:rPr>
                <w:sz w:val="21"/>
              </w:rPr>
            </w:pPr>
            <w:r>
              <w:rPr>
                <w:spacing w:val="-4"/>
                <w:sz w:val="21"/>
              </w:rPr>
              <w:t>有效运行；完成年度</w:t>
            </w:r>
          </w:p>
        </w:tc>
        <w:tc>
          <w:tcPr>
            <w:tcW w:w="2021" w:type="dxa"/>
            <w:vMerge w:val="continue"/>
            <w:tcBorders>
              <w:top w:val="nil"/>
              <w:left w:val="single" w:color="000000" w:sz="4" w:space="0"/>
              <w:right w:val="single" w:color="000000" w:sz="4" w:space="0"/>
            </w:tcBorders>
          </w:tcPr>
          <w:p>
            <w:pPr>
              <w:rPr>
                <w:sz w:val="2"/>
                <w:szCs w:val="2"/>
              </w:rPr>
            </w:pPr>
          </w:p>
        </w:tc>
        <w:tc>
          <w:tcPr>
            <w:tcW w:w="116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9" w:hRule="atLeast"/>
        </w:trPr>
        <w:tc>
          <w:tcPr>
            <w:tcW w:w="572" w:type="dxa"/>
            <w:tcBorders>
              <w:top w:val="nil"/>
              <w:bottom w:val="nil"/>
              <w:right w:val="single" w:color="000000" w:sz="4" w:space="0"/>
            </w:tcBorders>
          </w:tcPr>
          <w:p>
            <w:pPr>
              <w:pStyle w:val="19"/>
              <w:spacing w:before="6"/>
              <w:jc w:val="left"/>
              <w:rPr>
                <w:rFonts w:ascii="Times New Roman"/>
                <w:sz w:val="31"/>
              </w:rPr>
            </w:pPr>
          </w:p>
          <w:p>
            <w:pPr>
              <w:pStyle w:val="19"/>
              <w:spacing w:before="1"/>
              <w:ind w:left="56" w:right="38"/>
              <w:rPr>
                <w:rFonts w:ascii="Times New Roman"/>
                <w:sz w:val="21"/>
              </w:rPr>
            </w:pPr>
            <w:r>
              <w:rPr>
                <w:rFonts w:ascii="Times New Roman"/>
                <w:sz w:val="21"/>
              </w:rPr>
              <w:t>33</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9"/>
              <w:spacing w:before="9"/>
              <w:jc w:val="left"/>
              <w:rPr>
                <w:rFonts w:ascii="Times New Roman"/>
                <w:sz w:val="15"/>
              </w:rPr>
            </w:pPr>
          </w:p>
          <w:p>
            <w:pPr>
              <w:pStyle w:val="19"/>
              <w:spacing w:line="290" w:lineRule="auto"/>
              <w:ind w:left="702" w:right="54" w:hanging="629"/>
              <w:jc w:val="left"/>
              <w:rPr>
                <w:sz w:val="21"/>
              </w:rPr>
            </w:pPr>
            <w:r>
              <w:rPr>
                <w:sz w:val="21"/>
              </w:rPr>
              <w:t>建立健全环境管理体系</w:t>
            </w:r>
          </w:p>
        </w:tc>
        <w:tc>
          <w:tcPr>
            <w:tcW w:w="835" w:type="dxa"/>
            <w:tcBorders>
              <w:top w:val="nil"/>
              <w:left w:val="single" w:color="000000" w:sz="4" w:space="0"/>
              <w:bottom w:val="nil"/>
              <w:right w:val="single" w:color="000000" w:sz="4" w:space="0"/>
            </w:tcBorders>
          </w:tcPr>
          <w:p>
            <w:pPr>
              <w:pStyle w:val="19"/>
              <w:spacing w:before="11"/>
              <w:jc w:val="left"/>
              <w:rPr>
                <w:rFonts w:ascii="Times New Roman"/>
                <w:sz w:val="29"/>
              </w:rPr>
            </w:pPr>
          </w:p>
          <w:p>
            <w:pPr>
              <w:pStyle w:val="19"/>
              <w:ind w:left="18"/>
              <w:rPr>
                <w:sz w:val="21"/>
              </w:rPr>
            </w:pPr>
            <w:r>
              <w:rPr>
                <w:w w:val="99"/>
                <w:sz w:val="21"/>
              </w:rPr>
              <w:t>━</w:t>
            </w:r>
          </w:p>
        </w:tc>
        <w:tc>
          <w:tcPr>
            <w:tcW w:w="933" w:type="dxa"/>
            <w:tcBorders>
              <w:top w:val="nil"/>
              <w:left w:val="single" w:color="000000" w:sz="4" w:space="0"/>
              <w:bottom w:val="nil"/>
              <w:right w:val="single" w:color="000000" w:sz="4" w:space="0"/>
            </w:tcBorders>
          </w:tcPr>
          <w:p>
            <w:pPr>
              <w:pStyle w:val="19"/>
              <w:spacing w:before="6"/>
              <w:jc w:val="left"/>
              <w:rPr>
                <w:rFonts w:ascii="Times New Roman"/>
                <w:sz w:val="31"/>
              </w:rPr>
            </w:pPr>
          </w:p>
          <w:p>
            <w:pPr>
              <w:pStyle w:val="19"/>
              <w:spacing w:before="1"/>
              <w:ind w:left="266" w:right="248"/>
              <w:rPr>
                <w:rFonts w:ascii="Times New Roman"/>
                <w:sz w:val="21"/>
              </w:rPr>
            </w:pPr>
            <w:r>
              <w:rPr>
                <w:rFonts w:ascii="Times New Roman"/>
                <w:sz w:val="21"/>
              </w:rPr>
              <w:t>0.05</w:t>
            </w:r>
          </w:p>
        </w:tc>
        <w:tc>
          <w:tcPr>
            <w:tcW w:w="2641" w:type="dxa"/>
            <w:tcBorders>
              <w:top w:val="nil"/>
              <w:left w:val="single" w:color="000000" w:sz="4" w:space="0"/>
              <w:bottom w:val="nil"/>
              <w:right w:val="single" w:color="000000" w:sz="4" w:space="0"/>
            </w:tcBorders>
          </w:tcPr>
          <w:p>
            <w:pPr>
              <w:pStyle w:val="19"/>
              <w:spacing w:before="18"/>
              <w:ind w:left="8" w:right="-29"/>
              <w:jc w:val="left"/>
              <w:rPr>
                <w:sz w:val="21"/>
              </w:rPr>
            </w:pPr>
            <w:r>
              <w:rPr>
                <w:spacing w:val="-7"/>
                <w:w w:val="95"/>
                <w:sz w:val="21"/>
              </w:rPr>
              <w:t>行；全部完成年度环境目标、</w:t>
            </w:r>
          </w:p>
          <w:p>
            <w:pPr>
              <w:pStyle w:val="19"/>
              <w:spacing w:before="6" w:line="320" w:lineRule="atLeast"/>
              <w:ind w:left="8" w:right="-15"/>
              <w:jc w:val="left"/>
              <w:rPr>
                <w:sz w:val="21"/>
              </w:rPr>
            </w:pPr>
            <w:r>
              <w:rPr>
                <w:spacing w:val="-10"/>
                <w:sz w:val="21"/>
              </w:rPr>
              <w:t>指标和环境管理方案，并达到</w:t>
            </w:r>
            <w:r>
              <w:rPr>
                <w:spacing w:val="-16"/>
                <w:w w:val="95"/>
                <w:sz w:val="21"/>
              </w:rPr>
              <w:t>环境持续改进的要求；环境管</w:t>
            </w:r>
          </w:p>
        </w:tc>
        <w:tc>
          <w:tcPr>
            <w:tcW w:w="1879" w:type="dxa"/>
            <w:tcBorders>
              <w:top w:val="nil"/>
              <w:left w:val="single" w:color="000000" w:sz="4" w:space="0"/>
              <w:bottom w:val="nil"/>
              <w:right w:val="single" w:color="000000" w:sz="4" w:space="0"/>
            </w:tcBorders>
          </w:tcPr>
          <w:p>
            <w:pPr>
              <w:pStyle w:val="19"/>
              <w:spacing w:before="18"/>
              <w:ind w:left="9" w:right="-15"/>
              <w:jc w:val="left"/>
              <w:rPr>
                <w:sz w:val="21"/>
              </w:rPr>
            </w:pPr>
            <w:r>
              <w:rPr>
                <w:spacing w:val="-4"/>
                <w:w w:val="95"/>
                <w:sz w:val="21"/>
              </w:rPr>
              <w:t>环境目标、指标和环</w:t>
            </w:r>
          </w:p>
          <w:p>
            <w:pPr>
              <w:pStyle w:val="19"/>
              <w:spacing w:before="6" w:line="320" w:lineRule="atLeast"/>
              <w:ind w:left="9" w:right="-15"/>
              <w:jc w:val="left"/>
              <w:rPr>
                <w:sz w:val="21"/>
              </w:rPr>
            </w:pPr>
            <w:r>
              <w:rPr>
                <w:spacing w:val="-1"/>
                <w:w w:val="99"/>
                <w:sz w:val="21"/>
              </w:rPr>
              <w:t>境管理方案</w:t>
            </w:r>
            <w:r>
              <w:rPr>
                <w:rFonts w:ascii="Times New Roman" w:hAnsi="Times New Roman" w:eastAsia="Times New Roman"/>
                <w:w w:val="99"/>
                <w:sz w:val="21"/>
              </w:rPr>
              <w:t>≥</w:t>
            </w:r>
            <w:r>
              <w:rPr>
                <w:rFonts w:ascii="Times New Roman" w:hAnsi="Times New Roman" w:eastAsia="Times New Roman"/>
                <w:spacing w:val="1"/>
                <w:w w:val="99"/>
                <w:sz w:val="21"/>
              </w:rPr>
              <w:t>80</w:t>
            </w:r>
            <w:r>
              <w:rPr>
                <w:rFonts w:ascii="Times New Roman" w:hAnsi="Times New Roman" w:eastAsia="Times New Roman"/>
                <w:spacing w:val="-2"/>
                <w:w w:val="99"/>
                <w:sz w:val="21"/>
              </w:rPr>
              <w:t>%</w:t>
            </w:r>
            <w:r>
              <w:rPr>
                <w:spacing w:val="-55"/>
                <w:w w:val="99"/>
                <w:sz w:val="21"/>
              </w:rPr>
              <w:t>，达</w:t>
            </w:r>
            <w:r>
              <w:rPr>
                <w:spacing w:val="22"/>
                <w:w w:val="95"/>
                <w:sz w:val="21"/>
              </w:rPr>
              <w:t>到环境持续改进的</w:t>
            </w:r>
          </w:p>
        </w:tc>
        <w:tc>
          <w:tcPr>
            <w:tcW w:w="2021" w:type="dxa"/>
            <w:vMerge w:val="continue"/>
            <w:tcBorders>
              <w:top w:val="nil"/>
              <w:left w:val="single" w:color="000000" w:sz="4" w:space="0"/>
              <w:right w:val="single" w:color="000000" w:sz="4" w:space="0"/>
            </w:tcBorders>
          </w:tcPr>
          <w:p>
            <w:pPr>
              <w:rPr>
                <w:sz w:val="2"/>
                <w:szCs w:val="2"/>
              </w:rPr>
            </w:pPr>
          </w:p>
        </w:tc>
        <w:tc>
          <w:tcPr>
            <w:tcW w:w="116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572" w:type="dxa"/>
            <w:tcBorders>
              <w:top w:val="nil"/>
              <w:bottom w:val="nil"/>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9"/>
              <w:jc w:val="left"/>
              <w:rPr>
                <w:rFonts w:ascii="Times New Roman"/>
                <w:sz w:val="20"/>
              </w:rPr>
            </w:pPr>
          </w:p>
        </w:tc>
        <w:tc>
          <w:tcPr>
            <w:tcW w:w="835" w:type="dxa"/>
            <w:tcBorders>
              <w:top w:val="nil"/>
              <w:left w:val="single" w:color="000000" w:sz="4" w:space="0"/>
              <w:bottom w:val="nil"/>
              <w:right w:val="single" w:color="000000" w:sz="4" w:space="0"/>
            </w:tcBorders>
          </w:tcPr>
          <w:p>
            <w:pPr>
              <w:pStyle w:val="19"/>
              <w:jc w:val="left"/>
              <w:rPr>
                <w:rFonts w:ascii="Times New Roman"/>
                <w:sz w:val="20"/>
              </w:rPr>
            </w:pPr>
          </w:p>
        </w:tc>
        <w:tc>
          <w:tcPr>
            <w:tcW w:w="933" w:type="dxa"/>
            <w:tcBorders>
              <w:top w:val="nil"/>
              <w:left w:val="single" w:color="000000" w:sz="4" w:space="0"/>
              <w:bottom w:val="nil"/>
              <w:right w:val="single" w:color="000000" w:sz="4" w:space="0"/>
            </w:tcBorders>
          </w:tcPr>
          <w:p>
            <w:pPr>
              <w:pStyle w:val="19"/>
              <w:jc w:val="left"/>
              <w:rPr>
                <w:rFonts w:ascii="Times New Roman"/>
                <w:sz w:val="20"/>
              </w:rPr>
            </w:pPr>
          </w:p>
        </w:tc>
        <w:tc>
          <w:tcPr>
            <w:tcW w:w="2641" w:type="dxa"/>
            <w:tcBorders>
              <w:top w:val="nil"/>
              <w:left w:val="single" w:color="000000" w:sz="4" w:space="0"/>
              <w:bottom w:val="nil"/>
              <w:right w:val="single" w:color="000000" w:sz="4" w:space="0"/>
            </w:tcBorders>
          </w:tcPr>
          <w:p>
            <w:pPr>
              <w:pStyle w:val="19"/>
              <w:spacing w:before="20" w:line="267" w:lineRule="exact"/>
              <w:ind w:left="8" w:right="-15"/>
              <w:jc w:val="left"/>
              <w:rPr>
                <w:sz w:val="21"/>
              </w:rPr>
            </w:pPr>
            <w:r>
              <w:rPr>
                <w:spacing w:val="-11"/>
                <w:sz w:val="21"/>
              </w:rPr>
              <w:t>理手册、程序文件及作业文件</w:t>
            </w:r>
          </w:p>
        </w:tc>
        <w:tc>
          <w:tcPr>
            <w:tcW w:w="1879" w:type="dxa"/>
            <w:tcBorders>
              <w:top w:val="nil"/>
              <w:left w:val="single" w:color="000000" w:sz="4" w:space="0"/>
              <w:bottom w:val="nil"/>
              <w:right w:val="single" w:color="000000" w:sz="4" w:space="0"/>
            </w:tcBorders>
          </w:tcPr>
          <w:p>
            <w:pPr>
              <w:pStyle w:val="19"/>
              <w:spacing w:before="18"/>
              <w:ind w:left="9" w:right="-15"/>
              <w:jc w:val="left"/>
              <w:rPr>
                <w:sz w:val="21"/>
              </w:rPr>
            </w:pPr>
            <w:r>
              <w:rPr>
                <w:spacing w:val="7"/>
                <w:sz w:val="21"/>
              </w:rPr>
              <w:t>要求； 环境管理手</w:t>
            </w:r>
          </w:p>
        </w:tc>
        <w:tc>
          <w:tcPr>
            <w:tcW w:w="2021" w:type="dxa"/>
            <w:vMerge w:val="continue"/>
            <w:tcBorders>
              <w:top w:val="nil"/>
              <w:left w:val="single" w:color="000000" w:sz="4" w:space="0"/>
              <w:right w:val="single" w:color="000000" w:sz="4" w:space="0"/>
            </w:tcBorders>
          </w:tcPr>
          <w:p>
            <w:pPr>
              <w:rPr>
                <w:sz w:val="2"/>
                <w:szCs w:val="2"/>
              </w:rPr>
            </w:pPr>
          </w:p>
        </w:tc>
        <w:tc>
          <w:tcPr>
            <w:tcW w:w="116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572" w:type="dxa"/>
            <w:tcBorders>
              <w:top w:val="nil"/>
              <w:bottom w:val="nil"/>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9"/>
              <w:jc w:val="left"/>
              <w:rPr>
                <w:rFonts w:ascii="Times New Roman"/>
                <w:sz w:val="20"/>
              </w:rPr>
            </w:pPr>
          </w:p>
        </w:tc>
        <w:tc>
          <w:tcPr>
            <w:tcW w:w="835" w:type="dxa"/>
            <w:tcBorders>
              <w:top w:val="nil"/>
              <w:left w:val="single" w:color="000000" w:sz="4" w:space="0"/>
              <w:bottom w:val="nil"/>
              <w:right w:val="single" w:color="000000" w:sz="4" w:space="0"/>
            </w:tcBorders>
          </w:tcPr>
          <w:p>
            <w:pPr>
              <w:pStyle w:val="19"/>
              <w:jc w:val="left"/>
              <w:rPr>
                <w:rFonts w:ascii="Times New Roman"/>
                <w:sz w:val="20"/>
              </w:rPr>
            </w:pPr>
          </w:p>
        </w:tc>
        <w:tc>
          <w:tcPr>
            <w:tcW w:w="933" w:type="dxa"/>
            <w:tcBorders>
              <w:top w:val="nil"/>
              <w:left w:val="single" w:color="000000" w:sz="4" w:space="0"/>
              <w:bottom w:val="nil"/>
              <w:right w:val="single" w:color="000000" w:sz="4" w:space="0"/>
            </w:tcBorders>
          </w:tcPr>
          <w:p>
            <w:pPr>
              <w:pStyle w:val="19"/>
              <w:jc w:val="left"/>
              <w:rPr>
                <w:rFonts w:ascii="Times New Roman"/>
                <w:sz w:val="20"/>
              </w:rPr>
            </w:pPr>
          </w:p>
        </w:tc>
        <w:tc>
          <w:tcPr>
            <w:tcW w:w="2641" w:type="dxa"/>
            <w:tcBorders>
              <w:top w:val="nil"/>
              <w:left w:val="single" w:color="000000" w:sz="4" w:space="0"/>
              <w:bottom w:val="nil"/>
              <w:right w:val="single" w:color="000000" w:sz="4" w:space="0"/>
            </w:tcBorders>
          </w:tcPr>
          <w:p>
            <w:pPr>
              <w:pStyle w:val="19"/>
              <w:spacing w:before="17"/>
              <w:ind w:left="8"/>
              <w:jc w:val="left"/>
              <w:rPr>
                <w:sz w:val="21"/>
              </w:rPr>
            </w:pPr>
            <w:r>
              <w:rPr>
                <w:sz w:val="21"/>
              </w:rPr>
              <w:t>齐备、有效。</w:t>
            </w:r>
          </w:p>
        </w:tc>
        <w:tc>
          <w:tcPr>
            <w:tcW w:w="1879" w:type="dxa"/>
            <w:tcBorders>
              <w:top w:val="nil"/>
              <w:left w:val="single" w:color="000000" w:sz="4" w:space="0"/>
              <w:bottom w:val="nil"/>
              <w:right w:val="single" w:color="000000" w:sz="4" w:space="0"/>
            </w:tcBorders>
          </w:tcPr>
          <w:p>
            <w:pPr>
              <w:pStyle w:val="19"/>
              <w:spacing w:before="17"/>
              <w:ind w:left="9" w:right="-15"/>
              <w:jc w:val="left"/>
              <w:rPr>
                <w:sz w:val="21"/>
              </w:rPr>
            </w:pPr>
            <w:r>
              <w:rPr>
                <w:spacing w:val="-5"/>
                <w:sz w:val="21"/>
              </w:rPr>
              <w:t>册、程序文件及作业</w:t>
            </w:r>
          </w:p>
        </w:tc>
        <w:tc>
          <w:tcPr>
            <w:tcW w:w="2021" w:type="dxa"/>
            <w:vMerge w:val="continue"/>
            <w:tcBorders>
              <w:top w:val="nil"/>
              <w:left w:val="single" w:color="000000" w:sz="4" w:space="0"/>
              <w:right w:val="single" w:color="000000" w:sz="4" w:space="0"/>
            </w:tcBorders>
          </w:tcPr>
          <w:p>
            <w:pPr>
              <w:rPr>
                <w:sz w:val="2"/>
                <w:szCs w:val="2"/>
              </w:rPr>
            </w:pPr>
          </w:p>
        </w:tc>
        <w:tc>
          <w:tcPr>
            <w:tcW w:w="116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5" w:hRule="atLeast"/>
        </w:trPr>
        <w:tc>
          <w:tcPr>
            <w:tcW w:w="572" w:type="dxa"/>
            <w:tcBorders>
              <w:top w:val="nil"/>
              <w:right w:val="single" w:color="000000" w:sz="4" w:space="0"/>
            </w:tcBorders>
          </w:tcPr>
          <w:p>
            <w:pPr>
              <w:pStyle w:val="19"/>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right w:val="single" w:color="000000" w:sz="4" w:space="0"/>
            </w:tcBorders>
          </w:tcPr>
          <w:p>
            <w:pPr>
              <w:pStyle w:val="19"/>
              <w:jc w:val="left"/>
              <w:rPr>
                <w:rFonts w:ascii="Times New Roman"/>
                <w:sz w:val="20"/>
              </w:rPr>
            </w:pPr>
          </w:p>
        </w:tc>
        <w:tc>
          <w:tcPr>
            <w:tcW w:w="835" w:type="dxa"/>
            <w:tcBorders>
              <w:top w:val="nil"/>
              <w:left w:val="single" w:color="000000" w:sz="4" w:space="0"/>
              <w:right w:val="single" w:color="000000" w:sz="4" w:space="0"/>
            </w:tcBorders>
          </w:tcPr>
          <w:p>
            <w:pPr>
              <w:pStyle w:val="19"/>
              <w:jc w:val="left"/>
              <w:rPr>
                <w:rFonts w:ascii="Times New Roman"/>
                <w:sz w:val="20"/>
              </w:rPr>
            </w:pPr>
          </w:p>
        </w:tc>
        <w:tc>
          <w:tcPr>
            <w:tcW w:w="933" w:type="dxa"/>
            <w:tcBorders>
              <w:top w:val="nil"/>
              <w:left w:val="single" w:color="000000" w:sz="4" w:space="0"/>
              <w:right w:val="single" w:color="000000" w:sz="4" w:space="0"/>
            </w:tcBorders>
          </w:tcPr>
          <w:p>
            <w:pPr>
              <w:pStyle w:val="19"/>
              <w:jc w:val="left"/>
              <w:rPr>
                <w:rFonts w:ascii="Times New Roman"/>
                <w:sz w:val="20"/>
              </w:rPr>
            </w:pPr>
          </w:p>
        </w:tc>
        <w:tc>
          <w:tcPr>
            <w:tcW w:w="2641" w:type="dxa"/>
            <w:tcBorders>
              <w:top w:val="nil"/>
              <w:left w:val="single" w:color="000000" w:sz="4" w:space="0"/>
              <w:right w:val="single" w:color="000000" w:sz="4" w:space="0"/>
            </w:tcBorders>
          </w:tcPr>
          <w:p>
            <w:pPr>
              <w:pStyle w:val="19"/>
              <w:jc w:val="left"/>
              <w:rPr>
                <w:rFonts w:ascii="Times New Roman"/>
                <w:sz w:val="20"/>
              </w:rPr>
            </w:pPr>
          </w:p>
        </w:tc>
        <w:tc>
          <w:tcPr>
            <w:tcW w:w="1879" w:type="dxa"/>
            <w:tcBorders>
              <w:top w:val="nil"/>
              <w:left w:val="single" w:color="000000" w:sz="4" w:space="0"/>
              <w:right w:val="single" w:color="000000" w:sz="4" w:space="0"/>
            </w:tcBorders>
          </w:tcPr>
          <w:p>
            <w:pPr>
              <w:pStyle w:val="19"/>
              <w:spacing w:before="19"/>
              <w:ind w:left="9"/>
              <w:jc w:val="left"/>
              <w:rPr>
                <w:sz w:val="21"/>
              </w:rPr>
            </w:pPr>
            <w:r>
              <w:rPr>
                <w:sz w:val="21"/>
              </w:rPr>
              <w:t>文件齐备、有效。</w:t>
            </w:r>
          </w:p>
        </w:tc>
        <w:tc>
          <w:tcPr>
            <w:tcW w:w="2021" w:type="dxa"/>
            <w:vMerge w:val="continue"/>
            <w:tcBorders>
              <w:top w:val="nil"/>
              <w:left w:val="single" w:color="000000" w:sz="4" w:space="0"/>
              <w:right w:val="single" w:color="000000" w:sz="4" w:space="0"/>
            </w:tcBorders>
          </w:tcPr>
          <w:p>
            <w:pPr>
              <w:rPr>
                <w:sz w:val="2"/>
                <w:szCs w:val="2"/>
              </w:rPr>
            </w:pPr>
          </w:p>
        </w:tc>
        <w:tc>
          <w:tcPr>
            <w:tcW w:w="1165" w:type="dxa"/>
            <w:vMerge w:val="continue"/>
            <w:tcBorders>
              <w:top w:val="nil"/>
              <w:left w:val="single" w:color="000000" w:sz="4" w:space="0"/>
            </w:tcBorders>
          </w:tcPr>
          <w:p>
            <w:pPr>
              <w:rPr>
                <w:sz w:val="2"/>
                <w:szCs w:val="2"/>
              </w:rPr>
            </w:pPr>
          </w:p>
        </w:tc>
      </w:tr>
    </w:tbl>
    <w:p>
      <w:pPr>
        <w:spacing w:after="0"/>
        <w:rPr>
          <w:sz w:val="2"/>
          <w:szCs w:val="2"/>
        </w:rPr>
        <w:sectPr>
          <w:footerReference r:id="rId29" w:type="default"/>
          <w:pgSz w:w="16840" w:h="11910" w:orient="landscape"/>
          <w:pgMar w:top="1100" w:right="1280" w:bottom="800" w:left="1280" w:header="0" w:footer="601" w:gutter="0"/>
          <w:pgNumType w:start="190"/>
        </w:sectPr>
      </w:pPr>
    </w:p>
    <w:p>
      <w:pPr>
        <w:pStyle w:val="9"/>
        <w:spacing w:before="1"/>
        <w:rPr>
          <w:rFonts w:ascii="Times New Roman"/>
          <w:sz w:val="27"/>
        </w:rPr>
      </w:pPr>
    </w:p>
    <w:tbl>
      <w:tblPr>
        <w:tblStyle w:val="15"/>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181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9"/>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9"/>
              <w:spacing w:before="2"/>
              <w:ind w:left="16"/>
              <w:rPr>
                <w:sz w:val="21"/>
              </w:rPr>
            </w:pPr>
            <w:r>
              <w:rPr>
                <w:sz w:val="21"/>
              </w:rPr>
              <w:t>一级指标指</w:t>
            </w:r>
          </w:p>
          <w:p>
            <w:pPr>
              <w:pStyle w:val="19"/>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9"/>
              <w:spacing w:before="2"/>
              <w:ind w:left="13" w:right="-15"/>
              <w:rPr>
                <w:sz w:val="21"/>
              </w:rPr>
            </w:pPr>
            <w:r>
              <w:rPr>
                <w:sz w:val="21"/>
              </w:rPr>
              <w:t>一级指标权</w:t>
            </w:r>
          </w:p>
          <w:p>
            <w:pPr>
              <w:pStyle w:val="19"/>
              <w:spacing w:before="55"/>
              <w:ind w:left="306" w:right="290"/>
              <w:rPr>
                <w:sz w:val="21"/>
              </w:rPr>
            </w:pPr>
            <w:r>
              <w:rPr>
                <w:sz w:val="21"/>
              </w:rPr>
              <w:t>重值</w:t>
            </w:r>
          </w:p>
        </w:tc>
        <w:tc>
          <w:tcPr>
            <w:tcW w:w="1818" w:type="dxa"/>
            <w:tcBorders>
              <w:left w:val="single" w:color="000000" w:sz="4" w:space="0"/>
              <w:bottom w:val="single" w:color="000000" w:sz="4" w:space="0"/>
              <w:right w:val="single" w:color="000000" w:sz="4" w:space="0"/>
            </w:tcBorders>
          </w:tcPr>
          <w:p>
            <w:pPr>
              <w:pStyle w:val="19"/>
              <w:spacing w:before="165"/>
              <w:ind w:left="43" w:right="24"/>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9"/>
              <w:spacing w:before="165"/>
              <w:ind w:left="190" w:right="174"/>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9"/>
              <w:spacing w:before="2"/>
              <w:ind w:left="51"/>
              <w:jc w:val="left"/>
              <w:rPr>
                <w:sz w:val="21"/>
              </w:rPr>
            </w:pPr>
            <w:r>
              <w:rPr>
                <w:w w:val="95"/>
                <w:sz w:val="21"/>
              </w:rPr>
              <w:t>二级指标</w:t>
            </w:r>
          </w:p>
          <w:p>
            <w:pPr>
              <w:pStyle w:val="19"/>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9"/>
              <w:spacing w:before="165"/>
              <w:ind w:left="800"/>
              <w:jc w:val="left"/>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9"/>
              <w:spacing w:before="165"/>
              <w:ind w:left="417"/>
              <w:jc w:val="left"/>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9"/>
              <w:spacing w:before="165"/>
              <w:ind w:left="490"/>
              <w:jc w:val="left"/>
              <w:rPr>
                <w:sz w:val="21"/>
              </w:rPr>
            </w:pPr>
            <w:r>
              <w:rPr>
                <w:sz w:val="21"/>
              </w:rPr>
              <w:t>Ⅲ级基准值</w:t>
            </w:r>
          </w:p>
        </w:tc>
        <w:tc>
          <w:tcPr>
            <w:tcW w:w="1165" w:type="dxa"/>
            <w:tcBorders>
              <w:left w:val="single" w:color="000000" w:sz="4" w:space="0"/>
              <w:bottom w:val="single" w:color="000000" w:sz="4" w:space="0"/>
            </w:tcBorders>
          </w:tcPr>
          <w:p>
            <w:pPr>
              <w:pStyle w:val="19"/>
              <w:spacing w:before="2"/>
              <w:ind w:left="24" w:right="5"/>
              <w:rPr>
                <w:sz w:val="21"/>
              </w:rPr>
            </w:pPr>
            <w:r>
              <w:rPr>
                <w:sz w:val="21"/>
              </w:rPr>
              <w:t>本煤矿扩建</w:t>
            </w:r>
          </w:p>
          <w:p>
            <w:pPr>
              <w:pStyle w:val="19"/>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1" w:hRule="atLeast"/>
        </w:trPr>
        <w:tc>
          <w:tcPr>
            <w:tcW w:w="572" w:type="dxa"/>
            <w:tcBorders>
              <w:top w:val="single" w:color="000000" w:sz="4" w:space="0"/>
              <w:bottom w:val="single" w:color="000000" w:sz="4" w:space="0"/>
              <w:right w:val="single" w:color="000000" w:sz="4" w:space="0"/>
            </w:tcBorders>
          </w:tcPr>
          <w:p>
            <w:pPr>
              <w:pStyle w:val="19"/>
              <w:jc w:val="left"/>
              <w:rPr>
                <w:rFonts w:ascii="Times New Roman"/>
                <w:sz w:val="20"/>
              </w:rPr>
            </w:pPr>
          </w:p>
        </w:tc>
        <w:tc>
          <w:tcPr>
            <w:tcW w:w="1090" w:type="dxa"/>
            <w:vMerge w:val="restart"/>
            <w:tcBorders>
              <w:top w:val="single" w:color="000000" w:sz="4" w:space="0"/>
              <w:left w:val="single" w:color="000000" w:sz="4" w:space="0"/>
              <w:right w:val="single" w:color="000000" w:sz="4" w:space="0"/>
            </w:tcBorders>
          </w:tcPr>
          <w:p>
            <w:pPr>
              <w:pStyle w:val="19"/>
              <w:jc w:val="left"/>
              <w:rPr>
                <w:rFonts w:ascii="Times New Roman"/>
                <w:sz w:val="20"/>
              </w:rPr>
            </w:pPr>
          </w:p>
        </w:tc>
        <w:tc>
          <w:tcPr>
            <w:tcW w:w="1068" w:type="dxa"/>
            <w:vMerge w:val="restart"/>
            <w:tcBorders>
              <w:top w:val="single" w:color="000000" w:sz="4" w:space="0"/>
              <w:left w:val="single" w:color="000000" w:sz="4" w:space="0"/>
              <w:right w:val="single" w:color="000000" w:sz="4" w:space="0"/>
            </w:tcBorders>
          </w:tcPr>
          <w:p>
            <w:pPr>
              <w:pStyle w:val="19"/>
              <w:jc w:val="left"/>
              <w:rPr>
                <w:rFonts w:ascii="Times New Roman"/>
                <w:sz w:val="20"/>
              </w:rPr>
            </w:pPr>
          </w:p>
        </w:tc>
        <w:tc>
          <w:tcPr>
            <w:tcW w:w="1818"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83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933"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2641"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879"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2021"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165" w:type="dxa"/>
            <w:tcBorders>
              <w:top w:val="single" w:color="000000" w:sz="4" w:space="0"/>
              <w:left w:val="single" w:color="000000" w:sz="4" w:space="0"/>
              <w:bottom w:val="single" w:color="000000" w:sz="4" w:space="0"/>
            </w:tcBorders>
          </w:tcPr>
          <w:p>
            <w:pPr>
              <w:pStyle w:val="19"/>
              <w:spacing w:line="290" w:lineRule="auto"/>
              <w:ind w:left="60" w:right="38"/>
              <w:jc w:val="both"/>
              <w:rPr>
                <w:sz w:val="21"/>
              </w:rPr>
            </w:pPr>
            <w:r>
              <w:rPr>
                <w:sz w:val="21"/>
              </w:rPr>
              <w:t>理手册、程序文件及作业文件齐</w:t>
            </w:r>
          </w:p>
          <w:p>
            <w:pPr>
              <w:pStyle w:val="19"/>
              <w:spacing w:before="3"/>
              <w:ind w:left="60"/>
              <w:jc w:val="left"/>
              <w:rPr>
                <w:sz w:val="21"/>
              </w:rPr>
            </w:pPr>
            <w:r>
              <w:rPr>
                <w:sz w:val="21"/>
              </w:rPr>
              <w:t>备、有效。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7" w:hRule="atLeast"/>
        </w:trPr>
        <w:tc>
          <w:tcPr>
            <w:tcW w:w="572" w:type="dxa"/>
            <w:tcBorders>
              <w:top w:val="single" w:color="000000" w:sz="4" w:space="0"/>
              <w:bottom w:val="single" w:color="000000" w:sz="4" w:space="0"/>
              <w:right w:val="single" w:color="000000" w:sz="4" w:space="0"/>
            </w:tcBorders>
          </w:tcPr>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jc w:val="left"/>
              <w:rPr>
                <w:rFonts w:ascii="Times New Roman"/>
                <w:sz w:val="19"/>
              </w:rPr>
            </w:pPr>
          </w:p>
          <w:p>
            <w:pPr>
              <w:pStyle w:val="19"/>
              <w:ind w:left="56" w:right="38"/>
              <w:rPr>
                <w:rFonts w:ascii="Times New Roman"/>
                <w:sz w:val="21"/>
              </w:rPr>
            </w:pPr>
            <w:r>
              <w:rPr>
                <w:rFonts w:ascii="Times New Roman"/>
                <w:sz w:val="21"/>
              </w:rPr>
              <w:t>34</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spacing w:before="151" w:line="290" w:lineRule="auto"/>
              <w:ind w:left="599" w:right="54" w:hanging="526"/>
              <w:jc w:val="left"/>
              <w:rPr>
                <w:sz w:val="21"/>
              </w:rPr>
            </w:pPr>
            <w:r>
              <w:rPr>
                <w:sz w:val="21"/>
              </w:rPr>
              <w:t>管理机构及环境管理制度</w:t>
            </w:r>
          </w:p>
        </w:tc>
        <w:tc>
          <w:tcPr>
            <w:tcW w:w="83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spacing w:before="4"/>
              <w:jc w:val="left"/>
              <w:rPr>
                <w:rFonts w:ascii="Times New Roman"/>
                <w:sz w:val="27"/>
              </w:rPr>
            </w:pPr>
          </w:p>
          <w:p>
            <w:pPr>
              <w:pStyle w:val="19"/>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jc w:val="left"/>
              <w:rPr>
                <w:rFonts w:ascii="Times New Roman"/>
                <w:sz w:val="19"/>
              </w:rPr>
            </w:pPr>
          </w:p>
          <w:p>
            <w:pPr>
              <w:pStyle w:val="19"/>
              <w:ind w:left="339"/>
              <w:jc w:val="left"/>
              <w:rPr>
                <w:rFonts w:ascii="Times New Roman"/>
                <w:sz w:val="21"/>
              </w:rPr>
            </w:pPr>
            <w:r>
              <w:rPr>
                <w:rFonts w:ascii="Times New Roman"/>
                <w:sz w:val="21"/>
              </w:rPr>
              <w:t>0.1</w:t>
            </w:r>
          </w:p>
        </w:tc>
        <w:tc>
          <w:tcPr>
            <w:tcW w:w="4520" w:type="dxa"/>
            <w:gridSpan w:val="2"/>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spacing w:before="11"/>
              <w:jc w:val="left"/>
              <w:rPr>
                <w:rFonts w:ascii="Times New Roman"/>
                <w:sz w:val="18"/>
              </w:rPr>
            </w:pPr>
          </w:p>
          <w:p>
            <w:pPr>
              <w:pStyle w:val="19"/>
              <w:spacing w:line="290" w:lineRule="auto"/>
              <w:ind w:left="8" w:right="-15"/>
              <w:jc w:val="both"/>
              <w:rPr>
                <w:sz w:val="21"/>
              </w:rPr>
            </w:pPr>
            <w:r>
              <w:rPr>
                <w:spacing w:val="3"/>
                <w:w w:val="95"/>
                <w:sz w:val="21"/>
              </w:rPr>
              <w:t xml:space="preserve">设有独立的节能环保管理职能部门，配有专职管 理人员，环境管理制度健全、完善，并纳入日常 </w:t>
            </w:r>
            <w:r>
              <w:rPr>
                <w:spacing w:val="3"/>
                <w:sz w:val="21"/>
              </w:rPr>
              <w:t>管理</w:t>
            </w:r>
          </w:p>
        </w:tc>
        <w:tc>
          <w:tcPr>
            <w:tcW w:w="2021"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spacing w:before="9"/>
              <w:jc w:val="left"/>
              <w:rPr>
                <w:rFonts w:ascii="Times New Roman"/>
                <w:sz w:val="24"/>
              </w:rPr>
            </w:pPr>
          </w:p>
          <w:p>
            <w:pPr>
              <w:pStyle w:val="19"/>
              <w:spacing w:line="290" w:lineRule="auto"/>
              <w:ind w:left="10" w:right="-15"/>
              <w:jc w:val="both"/>
              <w:rPr>
                <w:sz w:val="21"/>
              </w:rPr>
            </w:pPr>
            <w:r>
              <w:rPr>
                <w:spacing w:val="12"/>
                <w:w w:val="95"/>
                <w:sz w:val="21"/>
              </w:rPr>
              <w:t>有明确的节能环保管</w:t>
            </w:r>
            <w:r>
              <w:rPr>
                <w:spacing w:val="-3"/>
                <w:sz w:val="21"/>
              </w:rPr>
              <w:t>理部门和人员，环境管</w:t>
            </w:r>
            <w:r>
              <w:rPr>
                <w:spacing w:val="-12"/>
                <w:sz w:val="21"/>
              </w:rPr>
              <w:t>理制度较完善，并纳入日常管理</w:t>
            </w:r>
          </w:p>
        </w:tc>
        <w:tc>
          <w:tcPr>
            <w:tcW w:w="1165" w:type="dxa"/>
            <w:tcBorders>
              <w:top w:val="single" w:color="000000" w:sz="4" w:space="0"/>
              <w:left w:val="single" w:color="000000" w:sz="4" w:space="0"/>
              <w:bottom w:val="single" w:color="000000" w:sz="4" w:space="0"/>
            </w:tcBorders>
          </w:tcPr>
          <w:p>
            <w:pPr>
              <w:pStyle w:val="19"/>
              <w:spacing w:line="290" w:lineRule="auto"/>
              <w:ind w:left="60" w:right="38"/>
              <w:rPr>
                <w:sz w:val="21"/>
              </w:rPr>
            </w:pPr>
            <w:r>
              <w:rPr>
                <w:spacing w:val="-3"/>
                <w:sz w:val="21"/>
              </w:rPr>
              <w:t>设有独立的节能环保管</w:t>
            </w:r>
            <w:r>
              <w:rPr>
                <w:sz w:val="21"/>
              </w:rPr>
              <w:t xml:space="preserve">理职能部 </w:t>
            </w:r>
            <w:r>
              <w:rPr>
                <w:spacing w:val="-3"/>
                <w:sz w:val="21"/>
              </w:rPr>
              <w:t>门，配有专</w:t>
            </w:r>
            <w:r>
              <w:rPr>
                <w:sz w:val="21"/>
              </w:rPr>
              <w:t xml:space="preserve">职管理人 </w:t>
            </w:r>
            <w:r>
              <w:rPr>
                <w:spacing w:val="-3"/>
                <w:sz w:val="21"/>
              </w:rPr>
              <w:t>员，环境管</w:t>
            </w:r>
            <w:r>
              <w:rPr>
                <w:sz w:val="21"/>
              </w:rPr>
              <w:t xml:space="preserve">理制度健 </w:t>
            </w:r>
            <w:r>
              <w:rPr>
                <w:spacing w:val="-3"/>
                <w:sz w:val="21"/>
              </w:rPr>
              <w:t>全、完善， 并纳入日常</w:t>
            </w:r>
          </w:p>
          <w:p>
            <w:pPr>
              <w:pStyle w:val="19"/>
              <w:spacing w:before="6"/>
              <w:ind w:left="22" w:right="5"/>
              <w:rPr>
                <w:sz w:val="21"/>
              </w:rPr>
            </w:pPr>
            <w:r>
              <w:rPr>
                <w:sz w:val="21"/>
              </w:rPr>
              <w:t>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572" w:type="dxa"/>
            <w:tcBorders>
              <w:top w:val="single" w:color="000000" w:sz="4" w:space="0"/>
              <w:bottom w:val="single" w:color="000000" w:sz="4" w:space="0"/>
              <w:right w:val="single" w:color="000000" w:sz="4" w:space="0"/>
            </w:tcBorders>
          </w:tcPr>
          <w:p>
            <w:pPr>
              <w:pStyle w:val="19"/>
              <w:spacing w:before="20"/>
              <w:ind w:left="56" w:right="38"/>
              <w:rPr>
                <w:rFonts w:ascii="Times New Roman"/>
                <w:sz w:val="21"/>
              </w:rPr>
            </w:pPr>
            <w:r>
              <w:rPr>
                <w:rFonts w:ascii="Times New Roman"/>
                <w:sz w:val="21"/>
              </w:rPr>
              <w:t>35</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9"/>
              <w:spacing w:before="1"/>
              <w:ind w:left="41" w:right="24"/>
              <w:rPr>
                <w:sz w:val="21"/>
              </w:rPr>
            </w:pPr>
            <w:r>
              <w:rPr>
                <w:rFonts w:ascii="Times New Roman" w:eastAsia="Times New Roman"/>
                <w:w w:val="95"/>
                <w:sz w:val="21"/>
              </w:rPr>
              <w:t>*</w:t>
            </w:r>
            <w:r>
              <w:rPr>
                <w:w w:val="95"/>
                <w:sz w:val="21"/>
              </w:rPr>
              <w:t>排污口规范化管理</w:t>
            </w:r>
          </w:p>
        </w:tc>
        <w:tc>
          <w:tcPr>
            <w:tcW w:w="835" w:type="dxa"/>
            <w:tcBorders>
              <w:top w:val="single" w:color="000000" w:sz="4" w:space="0"/>
              <w:left w:val="single" w:color="000000" w:sz="4" w:space="0"/>
              <w:bottom w:val="single" w:color="000000" w:sz="4" w:space="0"/>
              <w:right w:val="single" w:color="000000" w:sz="4" w:space="0"/>
            </w:tcBorders>
          </w:tcPr>
          <w:p>
            <w:pPr>
              <w:pStyle w:val="19"/>
              <w:spacing w:before="1"/>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9"/>
              <w:spacing w:before="20"/>
              <w:ind w:left="339"/>
              <w:jc w:val="left"/>
              <w:rPr>
                <w:rFonts w:ascii="Times New Roman"/>
                <w:sz w:val="21"/>
              </w:rPr>
            </w:pPr>
            <w:r>
              <w:rPr>
                <w:rFonts w:ascii="Times New Roman"/>
                <w:sz w:val="21"/>
              </w:rPr>
              <w:t>0.1</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9"/>
              <w:spacing w:before="1"/>
              <w:ind w:left="8"/>
              <w:jc w:val="left"/>
              <w:rPr>
                <w:sz w:val="21"/>
              </w:rPr>
            </w:pPr>
            <w:r>
              <w:rPr>
                <w:sz w:val="21"/>
              </w:rPr>
              <w:t>排污口设置符合《排污口规范化整治技术要求（试行）》相关要求</w:t>
            </w:r>
          </w:p>
        </w:tc>
        <w:tc>
          <w:tcPr>
            <w:tcW w:w="1165" w:type="dxa"/>
            <w:tcBorders>
              <w:top w:val="single" w:color="000000" w:sz="4" w:space="0"/>
              <w:left w:val="single" w:color="000000" w:sz="4" w:space="0"/>
              <w:bottom w:val="single" w:color="000000" w:sz="4" w:space="0"/>
            </w:tcBorders>
          </w:tcPr>
          <w:p>
            <w:pPr>
              <w:pStyle w:val="19"/>
              <w:spacing w:before="1"/>
              <w:ind w:left="163"/>
              <w:jc w:val="left"/>
              <w:rPr>
                <w:sz w:val="21"/>
              </w:rPr>
            </w:pPr>
            <w:r>
              <w:rPr>
                <w:sz w:val="21"/>
              </w:rPr>
              <w:t>符合要求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0" w:hRule="atLeast"/>
        </w:trPr>
        <w:tc>
          <w:tcPr>
            <w:tcW w:w="572" w:type="dxa"/>
            <w:tcBorders>
              <w:top w:val="single" w:color="000000" w:sz="4" w:space="0"/>
              <w:right w:val="single" w:color="000000" w:sz="4" w:space="0"/>
            </w:tcBorders>
          </w:tcPr>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jc w:val="left"/>
              <w:rPr>
                <w:rFonts w:ascii="Times New Roman"/>
                <w:sz w:val="19"/>
              </w:rPr>
            </w:pPr>
          </w:p>
          <w:p>
            <w:pPr>
              <w:pStyle w:val="19"/>
              <w:spacing w:before="1"/>
              <w:ind w:left="56" w:right="38"/>
              <w:rPr>
                <w:rFonts w:ascii="Times New Roman"/>
                <w:sz w:val="21"/>
              </w:rPr>
            </w:pPr>
            <w:r>
              <w:rPr>
                <w:rFonts w:ascii="Times New Roman"/>
                <w:sz w:val="21"/>
              </w:rPr>
              <w:t>36</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right w:val="single" w:color="000000" w:sz="4" w:space="0"/>
            </w:tcBorders>
          </w:tcPr>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spacing w:before="5"/>
              <w:jc w:val="left"/>
              <w:rPr>
                <w:rFonts w:ascii="Times New Roman"/>
                <w:sz w:val="27"/>
              </w:rPr>
            </w:pPr>
          </w:p>
          <w:p>
            <w:pPr>
              <w:pStyle w:val="19"/>
              <w:ind w:left="41" w:right="24"/>
              <w:rPr>
                <w:sz w:val="21"/>
              </w:rPr>
            </w:pPr>
            <w:r>
              <w:rPr>
                <w:sz w:val="21"/>
              </w:rPr>
              <w:t>生态环境管理规划</w:t>
            </w:r>
          </w:p>
        </w:tc>
        <w:tc>
          <w:tcPr>
            <w:tcW w:w="835" w:type="dxa"/>
            <w:tcBorders>
              <w:top w:val="single" w:color="000000" w:sz="4" w:space="0"/>
              <w:left w:val="single" w:color="000000" w:sz="4" w:space="0"/>
              <w:right w:val="single" w:color="000000" w:sz="4" w:space="0"/>
            </w:tcBorders>
          </w:tcPr>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jc w:val="left"/>
              <w:rPr>
                <w:rFonts w:ascii="Times New Roman"/>
                <w:sz w:val="20"/>
              </w:rPr>
            </w:pPr>
          </w:p>
          <w:p>
            <w:pPr>
              <w:pStyle w:val="19"/>
              <w:spacing w:before="5"/>
              <w:jc w:val="left"/>
              <w:rPr>
                <w:rFonts w:ascii="Times New Roman"/>
                <w:sz w:val="27"/>
              </w:rPr>
            </w:pPr>
          </w:p>
          <w:p>
            <w:pPr>
              <w:pStyle w:val="19"/>
              <w:ind w:left="18"/>
              <w:rPr>
                <w:sz w:val="21"/>
              </w:rPr>
            </w:pPr>
            <w:r>
              <w:rPr>
                <w:w w:val="99"/>
                <w:sz w:val="21"/>
              </w:rPr>
              <w:t>━</w:t>
            </w:r>
          </w:p>
        </w:tc>
        <w:tc>
          <w:tcPr>
            <w:tcW w:w="933" w:type="dxa"/>
            <w:tcBorders>
              <w:top w:val="single" w:color="000000" w:sz="4" w:space="0"/>
              <w:left w:val="single" w:color="000000" w:sz="4" w:space="0"/>
              <w:right w:val="single" w:color="000000" w:sz="4" w:space="0"/>
            </w:tcBorders>
          </w:tcPr>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jc w:val="left"/>
              <w:rPr>
                <w:rFonts w:ascii="Times New Roman"/>
                <w:sz w:val="22"/>
              </w:rPr>
            </w:pPr>
          </w:p>
          <w:p>
            <w:pPr>
              <w:pStyle w:val="19"/>
              <w:jc w:val="left"/>
              <w:rPr>
                <w:rFonts w:ascii="Times New Roman"/>
                <w:sz w:val="19"/>
              </w:rPr>
            </w:pPr>
          </w:p>
          <w:p>
            <w:pPr>
              <w:pStyle w:val="19"/>
              <w:spacing w:before="1"/>
              <w:ind w:left="339"/>
              <w:jc w:val="left"/>
              <w:rPr>
                <w:rFonts w:ascii="Times New Roman"/>
                <w:sz w:val="21"/>
              </w:rPr>
            </w:pPr>
            <w:r>
              <w:rPr>
                <w:rFonts w:ascii="Times New Roman"/>
                <w:sz w:val="21"/>
              </w:rPr>
              <w:t>0.1</w:t>
            </w:r>
          </w:p>
        </w:tc>
        <w:tc>
          <w:tcPr>
            <w:tcW w:w="2641" w:type="dxa"/>
            <w:tcBorders>
              <w:top w:val="single" w:color="000000" w:sz="4" w:space="0"/>
              <w:left w:val="single" w:color="000000" w:sz="4" w:space="0"/>
              <w:right w:val="single" w:color="000000" w:sz="4" w:space="0"/>
            </w:tcBorders>
          </w:tcPr>
          <w:p>
            <w:pPr>
              <w:pStyle w:val="19"/>
              <w:jc w:val="left"/>
              <w:rPr>
                <w:rFonts w:ascii="Times New Roman"/>
                <w:sz w:val="20"/>
              </w:rPr>
            </w:pPr>
          </w:p>
          <w:p>
            <w:pPr>
              <w:pStyle w:val="19"/>
              <w:spacing w:before="3"/>
              <w:jc w:val="left"/>
              <w:rPr>
                <w:rFonts w:ascii="Times New Roman"/>
                <w:sz w:val="22"/>
              </w:rPr>
            </w:pPr>
          </w:p>
          <w:p>
            <w:pPr>
              <w:pStyle w:val="19"/>
              <w:spacing w:line="290" w:lineRule="auto"/>
              <w:ind w:left="8" w:right="-29"/>
              <w:jc w:val="both"/>
              <w:rPr>
                <w:sz w:val="21"/>
              </w:rPr>
            </w:pPr>
            <w:r>
              <w:rPr>
                <w:spacing w:val="8"/>
                <w:sz w:val="21"/>
              </w:rPr>
              <w:t>制定有完整的矿区生产期和服务期满时的矿山生态环境</w:t>
            </w:r>
            <w:r>
              <w:rPr>
                <w:spacing w:val="-8"/>
                <w:sz w:val="21"/>
              </w:rPr>
              <w:t>修复计划、合理可行的节能环</w:t>
            </w:r>
            <w:r>
              <w:rPr>
                <w:spacing w:val="-26"/>
                <w:sz w:val="21"/>
              </w:rPr>
              <w:t>保近、远期规划，包括煤矸石、</w:t>
            </w:r>
            <w:r>
              <w:rPr>
                <w:spacing w:val="-11"/>
                <w:sz w:val="21"/>
              </w:rPr>
              <w:t>煤泥、矿井水、瓦斯气处置及</w:t>
            </w:r>
            <w:r>
              <w:rPr>
                <w:spacing w:val="-14"/>
                <w:sz w:val="21"/>
              </w:rPr>
              <w:t>综合利用、矿山生态恢复及闭矿后的恢复措施计划</w:t>
            </w:r>
          </w:p>
        </w:tc>
        <w:tc>
          <w:tcPr>
            <w:tcW w:w="1879" w:type="dxa"/>
            <w:tcBorders>
              <w:top w:val="single" w:color="000000" w:sz="4" w:space="0"/>
              <w:left w:val="single" w:color="000000" w:sz="4" w:space="0"/>
              <w:right w:val="single" w:color="000000" w:sz="4" w:space="0"/>
            </w:tcBorders>
          </w:tcPr>
          <w:p>
            <w:pPr>
              <w:pStyle w:val="19"/>
              <w:jc w:val="left"/>
              <w:rPr>
                <w:rFonts w:ascii="Times New Roman"/>
                <w:sz w:val="20"/>
              </w:rPr>
            </w:pPr>
          </w:p>
          <w:p>
            <w:pPr>
              <w:pStyle w:val="19"/>
              <w:spacing w:before="3"/>
              <w:jc w:val="left"/>
              <w:rPr>
                <w:rFonts w:ascii="Times New Roman"/>
                <w:sz w:val="22"/>
              </w:rPr>
            </w:pPr>
          </w:p>
          <w:p>
            <w:pPr>
              <w:pStyle w:val="19"/>
              <w:spacing w:line="290" w:lineRule="auto"/>
              <w:ind w:left="9" w:right="-15"/>
              <w:jc w:val="both"/>
              <w:rPr>
                <w:sz w:val="21"/>
              </w:rPr>
            </w:pPr>
            <w:r>
              <w:rPr>
                <w:spacing w:val="22"/>
                <w:w w:val="95"/>
                <w:sz w:val="21"/>
              </w:rPr>
              <w:t>制定有完整的矿区生产期和服务期满时的矿山生态环境</w:t>
            </w:r>
            <w:r>
              <w:rPr>
                <w:spacing w:val="6"/>
                <w:sz w:val="21"/>
              </w:rPr>
              <w:t>修复计划、节能环保</w:t>
            </w:r>
            <w:r>
              <w:rPr>
                <w:spacing w:val="-5"/>
                <w:sz w:val="21"/>
              </w:rPr>
              <w:t>近、远期规划，措施可行，有一定的操作性</w:t>
            </w:r>
          </w:p>
        </w:tc>
        <w:tc>
          <w:tcPr>
            <w:tcW w:w="2021" w:type="dxa"/>
            <w:tcBorders>
              <w:top w:val="single" w:color="000000" w:sz="4" w:space="0"/>
              <w:left w:val="single" w:color="000000" w:sz="4" w:space="0"/>
              <w:right w:val="single" w:color="000000" w:sz="4" w:space="0"/>
            </w:tcBorders>
          </w:tcPr>
          <w:p>
            <w:pPr>
              <w:pStyle w:val="19"/>
              <w:jc w:val="left"/>
              <w:rPr>
                <w:rFonts w:ascii="Times New Roman"/>
                <w:sz w:val="20"/>
              </w:rPr>
            </w:pPr>
          </w:p>
          <w:p>
            <w:pPr>
              <w:pStyle w:val="19"/>
              <w:spacing w:before="3"/>
              <w:jc w:val="left"/>
              <w:rPr>
                <w:rFonts w:ascii="Times New Roman"/>
                <w:sz w:val="22"/>
              </w:rPr>
            </w:pPr>
          </w:p>
          <w:p>
            <w:pPr>
              <w:pStyle w:val="19"/>
              <w:spacing w:line="290" w:lineRule="auto"/>
              <w:ind w:left="10" w:right="-15"/>
              <w:jc w:val="both"/>
              <w:rPr>
                <w:sz w:val="21"/>
              </w:rPr>
            </w:pPr>
            <w:r>
              <w:rPr>
                <w:spacing w:val="12"/>
                <w:w w:val="95"/>
                <w:sz w:val="21"/>
              </w:rPr>
              <w:t>制定有较完整的矿区生产期和服务期满时的矿山生态环境修复</w:t>
            </w:r>
            <w:r>
              <w:rPr>
                <w:spacing w:val="-9"/>
                <w:sz w:val="21"/>
              </w:rPr>
              <w:t>计划、节能环保近期规</w:t>
            </w:r>
            <w:r>
              <w:rPr>
                <w:spacing w:val="12"/>
                <w:w w:val="95"/>
                <w:sz w:val="21"/>
              </w:rPr>
              <w:t>划和远期规划或企业相关规划中节能环保</w:t>
            </w:r>
            <w:r>
              <w:rPr>
                <w:spacing w:val="12"/>
                <w:sz w:val="21"/>
              </w:rPr>
              <w:t>篇章</w:t>
            </w:r>
          </w:p>
        </w:tc>
        <w:tc>
          <w:tcPr>
            <w:tcW w:w="1165" w:type="dxa"/>
            <w:tcBorders>
              <w:top w:val="single" w:color="000000" w:sz="4" w:space="0"/>
              <w:left w:val="single" w:color="000000" w:sz="4" w:space="0"/>
            </w:tcBorders>
          </w:tcPr>
          <w:p>
            <w:pPr>
              <w:pStyle w:val="19"/>
              <w:spacing w:line="290" w:lineRule="auto"/>
              <w:ind w:left="60" w:right="38"/>
              <w:jc w:val="both"/>
              <w:rPr>
                <w:sz w:val="21"/>
              </w:rPr>
            </w:pPr>
            <w:r>
              <w:rPr>
                <w:spacing w:val="-3"/>
                <w:sz w:val="21"/>
              </w:rPr>
              <w:t xml:space="preserve">制定有完整的矿区生产期和服务期满时的矿山生态环境修复计划、节能环保近、远期规划， </w:t>
            </w:r>
            <w:r>
              <w:rPr>
                <w:spacing w:val="-3"/>
                <w:w w:val="95"/>
                <w:sz w:val="21"/>
              </w:rPr>
              <w:t>措施可行，</w:t>
            </w:r>
          </w:p>
          <w:p>
            <w:pPr>
              <w:pStyle w:val="19"/>
              <w:spacing w:before="6"/>
              <w:ind w:left="60"/>
              <w:jc w:val="left"/>
              <w:rPr>
                <w:sz w:val="21"/>
              </w:rPr>
            </w:pPr>
            <w:r>
              <w:rPr>
                <w:w w:val="95"/>
                <w:sz w:val="21"/>
              </w:rPr>
              <w:t>有一定的操</w:t>
            </w:r>
          </w:p>
        </w:tc>
      </w:tr>
    </w:tbl>
    <w:p>
      <w:pPr>
        <w:spacing w:after="0"/>
        <w:jc w:val="left"/>
        <w:rPr>
          <w:sz w:val="21"/>
        </w:rPr>
        <w:sectPr>
          <w:pgSz w:w="16840" w:h="11910" w:orient="landscape"/>
          <w:pgMar w:top="1100" w:right="1280" w:bottom="800" w:left="1280" w:header="0" w:footer="601" w:gutter="0"/>
        </w:sectPr>
      </w:pPr>
    </w:p>
    <w:p>
      <w:pPr>
        <w:pStyle w:val="9"/>
        <w:spacing w:before="1"/>
        <w:rPr>
          <w:rFonts w:ascii="Times New Roman"/>
          <w:sz w:val="27"/>
        </w:rPr>
      </w:pPr>
    </w:p>
    <w:tbl>
      <w:tblPr>
        <w:tblStyle w:val="15"/>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181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9"/>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9"/>
              <w:spacing w:before="2"/>
              <w:ind w:left="16"/>
              <w:rPr>
                <w:sz w:val="21"/>
              </w:rPr>
            </w:pPr>
            <w:r>
              <w:rPr>
                <w:sz w:val="21"/>
              </w:rPr>
              <w:t>一级指标指</w:t>
            </w:r>
          </w:p>
          <w:p>
            <w:pPr>
              <w:pStyle w:val="19"/>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9"/>
              <w:spacing w:before="2"/>
              <w:ind w:left="13" w:right="-15"/>
              <w:rPr>
                <w:sz w:val="21"/>
              </w:rPr>
            </w:pPr>
            <w:r>
              <w:rPr>
                <w:sz w:val="21"/>
              </w:rPr>
              <w:t>一级指标权</w:t>
            </w:r>
          </w:p>
          <w:p>
            <w:pPr>
              <w:pStyle w:val="19"/>
              <w:spacing w:before="55"/>
              <w:ind w:left="306" w:right="290"/>
              <w:rPr>
                <w:sz w:val="21"/>
              </w:rPr>
            </w:pPr>
            <w:r>
              <w:rPr>
                <w:sz w:val="21"/>
              </w:rPr>
              <w:t>重值</w:t>
            </w:r>
          </w:p>
        </w:tc>
        <w:tc>
          <w:tcPr>
            <w:tcW w:w="1818" w:type="dxa"/>
            <w:tcBorders>
              <w:left w:val="single" w:color="000000" w:sz="4" w:space="0"/>
              <w:bottom w:val="single" w:color="000000" w:sz="4" w:space="0"/>
              <w:right w:val="single" w:color="000000" w:sz="4" w:space="0"/>
            </w:tcBorders>
          </w:tcPr>
          <w:p>
            <w:pPr>
              <w:pStyle w:val="19"/>
              <w:spacing w:before="165"/>
              <w:ind w:left="43" w:right="24"/>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9"/>
              <w:spacing w:before="165"/>
              <w:ind w:left="190" w:right="174"/>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9"/>
              <w:spacing w:before="2"/>
              <w:ind w:left="51"/>
              <w:jc w:val="left"/>
              <w:rPr>
                <w:sz w:val="21"/>
              </w:rPr>
            </w:pPr>
            <w:r>
              <w:rPr>
                <w:w w:val="95"/>
                <w:sz w:val="21"/>
              </w:rPr>
              <w:t>二级指标</w:t>
            </w:r>
          </w:p>
          <w:p>
            <w:pPr>
              <w:pStyle w:val="19"/>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9"/>
              <w:spacing w:before="165"/>
              <w:ind w:left="800"/>
              <w:jc w:val="left"/>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9"/>
              <w:spacing w:before="165"/>
              <w:ind w:left="417"/>
              <w:jc w:val="left"/>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9"/>
              <w:spacing w:before="165"/>
              <w:ind w:left="490"/>
              <w:jc w:val="left"/>
              <w:rPr>
                <w:sz w:val="21"/>
              </w:rPr>
            </w:pPr>
            <w:r>
              <w:rPr>
                <w:sz w:val="21"/>
              </w:rPr>
              <w:t>Ⅲ级基准值</w:t>
            </w:r>
          </w:p>
        </w:tc>
        <w:tc>
          <w:tcPr>
            <w:tcW w:w="1165" w:type="dxa"/>
            <w:tcBorders>
              <w:left w:val="single" w:color="000000" w:sz="4" w:space="0"/>
              <w:bottom w:val="single" w:color="000000" w:sz="4" w:space="0"/>
            </w:tcBorders>
          </w:tcPr>
          <w:p>
            <w:pPr>
              <w:pStyle w:val="19"/>
              <w:spacing w:before="2"/>
              <w:ind w:left="24" w:right="5"/>
              <w:rPr>
                <w:sz w:val="21"/>
              </w:rPr>
            </w:pPr>
            <w:r>
              <w:rPr>
                <w:sz w:val="21"/>
              </w:rPr>
              <w:t>本煤矿扩建</w:t>
            </w:r>
          </w:p>
          <w:p>
            <w:pPr>
              <w:pStyle w:val="19"/>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5" w:hRule="atLeast"/>
        </w:trPr>
        <w:tc>
          <w:tcPr>
            <w:tcW w:w="572" w:type="dxa"/>
            <w:tcBorders>
              <w:top w:val="single" w:color="000000" w:sz="4" w:space="0"/>
              <w:bottom w:val="single" w:color="000000" w:sz="4" w:space="0"/>
              <w:right w:val="single" w:color="000000" w:sz="4" w:space="0"/>
            </w:tcBorders>
          </w:tcPr>
          <w:p>
            <w:pPr>
              <w:pStyle w:val="19"/>
              <w:jc w:val="left"/>
              <w:rPr>
                <w:rFonts w:ascii="Times New Roman"/>
                <w:sz w:val="20"/>
              </w:rPr>
            </w:pPr>
          </w:p>
        </w:tc>
        <w:tc>
          <w:tcPr>
            <w:tcW w:w="1090" w:type="dxa"/>
            <w:vMerge w:val="restart"/>
            <w:tcBorders>
              <w:top w:val="single" w:color="000000" w:sz="4" w:space="0"/>
              <w:left w:val="single" w:color="000000" w:sz="4" w:space="0"/>
              <w:right w:val="single" w:color="000000" w:sz="4" w:space="0"/>
            </w:tcBorders>
          </w:tcPr>
          <w:p>
            <w:pPr>
              <w:pStyle w:val="19"/>
              <w:jc w:val="left"/>
              <w:rPr>
                <w:rFonts w:ascii="Times New Roman"/>
                <w:sz w:val="20"/>
              </w:rPr>
            </w:pPr>
          </w:p>
        </w:tc>
        <w:tc>
          <w:tcPr>
            <w:tcW w:w="1068" w:type="dxa"/>
            <w:vMerge w:val="restart"/>
            <w:tcBorders>
              <w:top w:val="single" w:color="000000" w:sz="4" w:space="0"/>
              <w:left w:val="single" w:color="000000" w:sz="4" w:space="0"/>
              <w:right w:val="single" w:color="000000" w:sz="4" w:space="0"/>
            </w:tcBorders>
          </w:tcPr>
          <w:p>
            <w:pPr>
              <w:pStyle w:val="19"/>
              <w:jc w:val="left"/>
              <w:rPr>
                <w:rFonts w:ascii="Times New Roman"/>
                <w:sz w:val="20"/>
              </w:rPr>
            </w:pPr>
          </w:p>
        </w:tc>
        <w:tc>
          <w:tcPr>
            <w:tcW w:w="1818"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835"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933"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2641"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879"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2021"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0"/>
              </w:rPr>
            </w:pPr>
          </w:p>
        </w:tc>
        <w:tc>
          <w:tcPr>
            <w:tcW w:w="1165" w:type="dxa"/>
            <w:tcBorders>
              <w:top w:val="single" w:color="000000" w:sz="4" w:space="0"/>
              <w:left w:val="single" w:color="000000" w:sz="4" w:space="0"/>
              <w:bottom w:val="single" w:color="000000" w:sz="4" w:space="0"/>
            </w:tcBorders>
          </w:tcPr>
          <w:p>
            <w:pPr>
              <w:pStyle w:val="19"/>
              <w:ind w:left="22" w:right="5"/>
              <w:rPr>
                <w:sz w:val="21"/>
              </w:rPr>
            </w:pPr>
            <w:r>
              <w:rPr>
                <w:sz w:val="21"/>
              </w:rPr>
              <w:t>作性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4" w:hRule="atLeast"/>
        </w:trPr>
        <w:tc>
          <w:tcPr>
            <w:tcW w:w="572" w:type="dxa"/>
            <w:tcBorders>
              <w:top w:val="single" w:color="000000" w:sz="4" w:space="0"/>
              <w:right w:val="single" w:color="000000" w:sz="4" w:space="0"/>
            </w:tcBorders>
          </w:tcPr>
          <w:p>
            <w:pPr>
              <w:pStyle w:val="19"/>
              <w:spacing w:before="19"/>
              <w:ind w:left="56" w:right="38"/>
              <w:rPr>
                <w:rFonts w:ascii="Times New Roman"/>
                <w:sz w:val="21"/>
              </w:rPr>
            </w:pPr>
            <w:r>
              <w:rPr>
                <w:rFonts w:ascii="Times New Roman"/>
                <w:sz w:val="21"/>
              </w:rPr>
              <w:t>37</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right w:val="single" w:color="000000" w:sz="4" w:space="0"/>
            </w:tcBorders>
          </w:tcPr>
          <w:p>
            <w:pPr>
              <w:pStyle w:val="19"/>
              <w:ind w:left="38" w:right="24"/>
              <w:rPr>
                <w:sz w:val="21"/>
              </w:rPr>
            </w:pPr>
            <w:r>
              <w:rPr>
                <w:sz w:val="21"/>
              </w:rPr>
              <w:t>环境信息公开</w:t>
            </w:r>
          </w:p>
        </w:tc>
        <w:tc>
          <w:tcPr>
            <w:tcW w:w="835" w:type="dxa"/>
            <w:tcBorders>
              <w:top w:val="single" w:color="000000" w:sz="4" w:space="0"/>
              <w:left w:val="single" w:color="000000" w:sz="4" w:space="0"/>
              <w:right w:val="single" w:color="000000" w:sz="4" w:space="0"/>
            </w:tcBorders>
          </w:tcPr>
          <w:p>
            <w:pPr>
              <w:pStyle w:val="19"/>
              <w:ind w:left="18"/>
              <w:rPr>
                <w:sz w:val="21"/>
              </w:rPr>
            </w:pPr>
            <w:r>
              <w:rPr>
                <w:w w:val="99"/>
                <w:sz w:val="21"/>
              </w:rPr>
              <w:t>━</w:t>
            </w:r>
          </w:p>
        </w:tc>
        <w:tc>
          <w:tcPr>
            <w:tcW w:w="933" w:type="dxa"/>
            <w:tcBorders>
              <w:top w:val="single" w:color="000000" w:sz="4" w:space="0"/>
              <w:left w:val="single" w:color="000000" w:sz="4" w:space="0"/>
              <w:right w:val="single" w:color="000000" w:sz="4" w:space="0"/>
            </w:tcBorders>
          </w:tcPr>
          <w:p>
            <w:pPr>
              <w:pStyle w:val="19"/>
              <w:spacing w:before="19"/>
              <w:ind w:left="286"/>
              <w:jc w:val="left"/>
              <w:rPr>
                <w:rFonts w:ascii="Times New Roman"/>
                <w:sz w:val="21"/>
              </w:rPr>
            </w:pPr>
            <w:r>
              <w:rPr>
                <w:rFonts w:ascii="Times New Roman"/>
                <w:sz w:val="21"/>
              </w:rPr>
              <w:t>0.15</w:t>
            </w:r>
          </w:p>
        </w:tc>
        <w:tc>
          <w:tcPr>
            <w:tcW w:w="6541" w:type="dxa"/>
            <w:gridSpan w:val="3"/>
            <w:tcBorders>
              <w:top w:val="single" w:color="000000" w:sz="4" w:space="0"/>
              <w:left w:val="single" w:color="000000" w:sz="4" w:space="0"/>
              <w:right w:val="single" w:color="000000" w:sz="4" w:space="0"/>
            </w:tcBorders>
          </w:tcPr>
          <w:p>
            <w:pPr>
              <w:pStyle w:val="19"/>
              <w:ind w:left="8" w:right="-15"/>
              <w:jc w:val="left"/>
              <w:rPr>
                <w:sz w:val="21"/>
              </w:rPr>
            </w:pPr>
            <w:r>
              <w:rPr>
                <w:spacing w:val="-3"/>
                <w:sz w:val="21"/>
              </w:rPr>
              <w:t xml:space="preserve">按照国家有关要求公开环境相关信息，按照 </w:t>
            </w:r>
            <w:r>
              <w:rPr>
                <w:rFonts w:ascii="Times New Roman" w:eastAsia="Times New Roman"/>
                <w:sz w:val="21"/>
              </w:rPr>
              <w:t>HJ617</w:t>
            </w:r>
            <w:r>
              <w:rPr>
                <w:rFonts w:ascii="Times New Roman" w:eastAsia="Times New Roman"/>
                <w:spacing w:val="-9"/>
                <w:sz w:val="21"/>
              </w:rPr>
              <w:t xml:space="preserve"> </w:t>
            </w:r>
            <w:r>
              <w:rPr>
                <w:sz w:val="21"/>
              </w:rPr>
              <w:t>编写企业环境报告书</w:t>
            </w:r>
          </w:p>
        </w:tc>
        <w:tc>
          <w:tcPr>
            <w:tcW w:w="1165" w:type="dxa"/>
            <w:tcBorders>
              <w:top w:val="single" w:color="000000" w:sz="4" w:space="0"/>
              <w:left w:val="single" w:color="000000" w:sz="4" w:space="0"/>
            </w:tcBorders>
          </w:tcPr>
          <w:p>
            <w:pPr>
              <w:pStyle w:val="19"/>
              <w:ind w:left="24" w:right="5"/>
              <w:rPr>
                <w:sz w:val="21"/>
              </w:rPr>
            </w:pPr>
            <w:r>
              <w:rPr>
                <w:sz w:val="21"/>
              </w:rPr>
              <w:t>按要求编制</w:t>
            </w:r>
          </w:p>
        </w:tc>
      </w:tr>
    </w:tbl>
    <w:p>
      <w:pPr>
        <w:spacing w:before="1"/>
        <w:ind w:left="138" w:right="0" w:firstLine="0"/>
        <w:jc w:val="left"/>
        <w:rPr>
          <w:sz w:val="21"/>
        </w:rPr>
      </w:pPr>
      <w:r>
        <w:rPr>
          <w:sz w:val="21"/>
        </w:rPr>
        <w:t>注：</w:t>
      </w:r>
      <w:r>
        <w:rPr>
          <w:rFonts w:ascii="Times New Roman" w:eastAsia="Times New Roman"/>
          <w:sz w:val="21"/>
        </w:rPr>
        <w:t>1</w:t>
      </w:r>
      <w:r>
        <w:rPr>
          <w:sz w:val="21"/>
        </w:rPr>
        <w:t>、标注</w:t>
      </w:r>
      <w:r>
        <w:rPr>
          <w:rFonts w:ascii="Times New Roman" w:eastAsia="Times New Roman"/>
          <w:sz w:val="21"/>
        </w:rPr>
        <w:t>*</w:t>
      </w:r>
      <w:r>
        <w:rPr>
          <w:sz w:val="21"/>
        </w:rPr>
        <w:t>的指标项为限定性指标。</w:t>
      </w:r>
    </w:p>
    <w:p>
      <w:pPr>
        <w:spacing w:before="139" w:line="364" w:lineRule="auto"/>
        <w:ind w:left="138" w:right="134" w:firstLine="420"/>
        <w:jc w:val="left"/>
        <w:rPr>
          <w:sz w:val="21"/>
        </w:rPr>
      </w:pPr>
      <w:r>
        <w:rPr>
          <w:rFonts w:ascii="Times New Roman" w:hAnsi="Times New Roman" w:eastAsia="Times New Roman"/>
          <w:sz w:val="21"/>
        </w:rPr>
        <w:t>2</w:t>
      </w:r>
      <w:r>
        <w:rPr>
          <w:sz w:val="21"/>
        </w:rPr>
        <w:t>、水资源短缺矿区，指采煤废水量</w:t>
      </w:r>
      <w:r>
        <w:rPr>
          <w:rFonts w:ascii="Times New Roman" w:hAnsi="Times New Roman" w:eastAsia="Times New Roman"/>
          <w:sz w:val="21"/>
        </w:rPr>
        <w:t xml:space="preserve">≤60 </w:t>
      </w:r>
      <w:r>
        <w:rPr>
          <w:sz w:val="21"/>
        </w:rPr>
        <w:t>立方米</w:t>
      </w:r>
      <w:r>
        <w:rPr>
          <w:rFonts w:ascii="Times New Roman" w:hAnsi="Times New Roman" w:eastAsia="Times New Roman"/>
          <w:sz w:val="21"/>
        </w:rPr>
        <w:t>/</w:t>
      </w:r>
      <w:r>
        <w:rPr>
          <w:sz w:val="21"/>
        </w:rPr>
        <w:t xml:space="preserve">小时；一般水资源矿区，指采煤废水量 </w:t>
      </w:r>
      <w:r>
        <w:rPr>
          <w:rFonts w:ascii="Times New Roman" w:hAnsi="Times New Roman" w:eastAsia="Times New Roman"/>
          <w:sz w:val="21"/>
        </w:rPr>
        <w:t>60</w:t>
      </w:r>
      <w:r>
        <w:rPr>
          <w:sz w:val="21"/>
        </w:rPr>
        <w:t>～</w:t>
      </w:r>
      <w:r>
        <w:rPr>
          <w:rFonts w:ascii="Times New Roman" w:hAnsi="Times New Roman" w:eastAsia="Times New Roman"/>
          <w:sz w:val="21"/>
        </w:rPr>
        <w:t xml:space="preserve">300 </w:t>
      </w:r>
      <w:r>
        <w:rPr>
          <w:sz w:val="21"/>
        </w:rPr>
        <w:t>立方米</w:t>
      </w:r>
      <w:r>
        <w:rPr>
          <w:rFonts w:ascii="Times New Roman" w:hAnsi="Times New Roman" w:eastAsia="Times New Roman"/>
          <w:sz w:val="21"/>
        </w:rPr>
        <w:t>/</w:t>
      </w:r>
      <w:r>
        <w:rPr>
          <w:sz w:val="21"/>
        </w:rPr>
        <w:t>小时；水资源丰富矿区，指采煤废水量</w:t>
      </w:r>
      <w:r>
        <w:rPr>
          <w:rFonts w:ascii="Times New Roman" w:hAnsi="Times New Roman" w:eastAsia="Times New Roman"/>
          <w:sz w:val="21"/>
        </w:rPr>
        <w:t xml:space="preserve">≥300 </w:t>
      </w:r>
      <w:r>
        <w:rPr>
          <w:sz w:val="21"/>
        </w:rPr>
        <w:t>立方米</w:t>
      </w:r>
      <w:r>
        <w:rPr>
          <w:rFonts w:ascii="Times New Roman" w:hAnsi="Times New Roman" w:eastAsia="Times New Roman"/>
          <w:sz w:val="21"/>
        </w:rPr>
        <w:t>/</w:t>
      </w:r>
      <w:r>
        <w:rPr>
          <w:sz w:val="21"/>
        </w:rPr>
        <w:t>小时（采煤废水量一般指正常涌水量）。</w:t>
      </w:r>
    </w:p>
    <w:p>
      <w:pPr>
        <w:spacing w:after="0" w:line="364" w:lineRule="auto"/>
        <w:jc w:val="left"/>
        <w:rPr>
          <w:sz w:val="21"/>
        </w:rPr>
        <w:sectPr>
          <w:pgSz w:w="16840" w:h="11910" w:orient="landscape"/>
          <w:pgMar w:top="1100" w:right="1280" w:bottom="800" w:left="1280" w:header="0" w:footer="601" w:gutter="0"/>
        </w:sectPr>
      </w:pPr>
    </w:p>
    <w:p>
      <w:pPr>
        <w:pStyle w:val="5"/>
        <w:numPr>
          <w:ilvl w:val="1"/>
          <w:numId w:val="84"/>
        </w:numPr>
        <w:tabs>
          <w:tab w:val="left" w:pos="1200"/>
        </w:tabs>
        <w:spacing w:before="43" w:after="0" w:line="240" w:lineRule="auto"/>
        <w:ind w:left="1200" w:right="0" w:hanging="600"/>
        <w:jc w:val="left"/>
      </w:pPr>
      <w:bookmarkStart w:id="681" w:name="_bookmark70"/>
      <w:bookmarkEnd w:id="681"/>
      <w:bookmarkStart w:id="682" w:name="12.3清洁生产管理体系建设"/>
      <w:bookmarkEnd w:id="682"/>
      <w:bookmarkStart w:id="683" w:name="_bookmark70"/>
      <w:bookmarkEnd w:id="683"/>
      <w:r>
        <w:t>清洁生产管理体系建设</w:t>
      </w:r>
    </w:p>
    <w:p>
      <w:pPr>
        <w:pStyle w:val="9"/>
        <w:spacing w:before="199" w:line="364" w:lineRule="auto"/>
        <w:ind w:left="600" w:right="901" w:firstLine="480"/>
      </w:pPr>
      <w:r>
        <w:rPr>
          <w:spacing w:val="-7"/>
        </w:rPr>
        <w:t>要实现生产过程的清洁生产，除了采取先进的生产技术与装备外，还要建立</w:t>
      </w:r>
      <w:r>
        <w:rPr>
          <w:spacing w:val="4"/>
        </w:rPr>
        <w:t>有效的环境管理与清洁生产管理制度，本评价对该项目实施提出相应的环境</w:t>
      </w:r>
      <w:r>
        <w:rPr>
          <w:spacing w:val="8"/>
        </w:rPr>
        <w:t>管理建议，见下表。</w:t>
      </w:r>
    </w:p>
    <w:p>
      <w:pPr>
        <w:spacing w:before="19"/>
        <w:ind w:left="2841" w:right="0" w:firstLine="0"/>
        <w:jc w:val="left"/>
        <w:rPr>
          <w:b/>
          <w:sz w:val="21"/>
        </w:rPr>
      </w:pPr>
      <w:r>
        <w:rPr>
          <w:b/>
          <w:sz w:val="21"/>
        </w:rPr>
        <w:t xml:space="preserve">表 </w:t>
      </w:r>
      <w:r>
        <w:rPr>
          <w:rFonts w:ascii="Times New Roman" w:eastAsia="Times New Roman"/>
          <w:b/>
          <w:sz w:val="21"/>
        </w:rPr>
        <w:t xml:space="preserve">12.3-1 </w:t>
      </w:r>
      <w:r>
        <w:rPr>
          <w:b/>
          <w:sz w:val="21"/>
        </w:rPr>
        <w:t>矿井清洁生产中环境管理要求</w:t>
      </w:r>
    </w:p>
    <w:p>
      <w:pPr>
        <w:pStyle w:val="9"/>
        <w:spacing w:before="11"/>
        <w:rPr>
          <w:b/>
          <w:sz w:val="7"/>
        </w:rPr>
      </w:pPr>
    </w:p>
    <w:tbl>
      <w:tblPr>
        <w:tblStyle w:val="15"/>
        <w:tblW w:w="0" w:type="auto"/>
        <w:tblInd w:w="6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280"/>
        <w:gridCol w:w="578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bottom w:val="single" w:color="000000" w:sz="4" w:space="0"/>
              <w:right w:val="single" w:color="000000" w:sz="4" w:space="0"/>
            </w:tcBorders>
          </w:tcPr>
          <w:p>
            <w:pPr>
              <w:pStyle w:val="19"/>
              <w:spacing w:before="90"/>
              <w:ind w:left="46" w:right="29"/>
              <w:rPr>
                <w:sz w:val="21"/>
              </w:rPr>
            </w:pPr>
            <w:r>
              <w:rPr>
                <w:sz w:val="21"/>
              </w:rPr>
              <w:t>指标</w:t>
            </w:r>
          </w:p>
        </w:tc>
        <w:tc>
          <w:tcPr>
            <w:tcW w:w="5788" w:type="dxa"/>
            <w:tcBorders>
              <w:left w:val="single" w:color="000000" w:sz="4" w:space="0"/>
              <w:bottom w:val="single" w:color="000000" w:sz="4" w:space="0"/>
            </w:tcBorders>
          </w:tcPr>
          <w:p>
            <w:pPr>
              <w:pStyle w:val="19"/>
              <w:spacing w:before="90"/>
              <w:ind w:left="2667" w:right="2646"/>
              <w:rPr>
                <w:sz w:val="21"/>
              </w:rPr>
            </w:pPr>
            <w:r>
              <w:rPr>
                <w:sz w:val="21"/>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8" w:hRule="atLeast"/>
        </w:trPr>
        <w:tc>
          <w:tcPr>
            <w:tcW w:w="3280" w:type="dxa"/>
            <w:tcBorders>
              <w:top w:val="single" w:color="000000" w:sz="4" w:space="0"/>
              <w:bottom w:val="single" w:color="000000" w:sz="4" w:space="0"/>
              <w:right w:val="single" w:color="000000" w:sz="4" w:space="0"/>
            </w:tcBorders>
          </w:tcPr>
          <w:p>
            <w:pPr>
              <w:pStyle w:val="19"/>
              <w:spacing w:before="7"/>
              <w:jc w:val="left"/>
              <w:rPr>
                <w:b/>
                <w:sz w:val="18"/>
              </w:rPr>
            </w:pPr>
          </w:p>
          <w:p>
            <w:pPr>
              <w:pStyle w:val="19"/>
              <w:ind w:left="46" w:right="29"/>
              <w:rPr>
                <w:sz w:val="21"/>
              </w:rPr>
            </w:pPr>
            <w:r>
              <w:rPr>
                <w:sz w:val="21"/>
              </w:rPr>
              <w:t>环境法律法规标准</w:t>
            </w:r>
          </w:p>
        </w:tc>
        <w:tc>
          <w:tcPr>
            <w:tcW w:w="5788" w:type="dxa"/>
            <w:tcBorders>
              <w:top w:val="single" w:color="000000" w:sz="4" w:space="0"/>
              <w:left w:val="single" w:color="000000" w:sz="4" w:space="0"/>
              <w:bottom w:val="single" w:color="000000" w:sz="4" w:space="0"/>
            </w:tcBorders>
          </w:tcPr>
          <w:p>
            <w:pPr>
              <w:pStyle w:val="19"/>
              <w:spacing w:before="51"/>
              <w:ind w:left="10" w:right="-15"/>
              <w:jc w:val="left"/>
              <w:rPr>
                <w:sz w:val="21"/>
              </w:rPr>
            </w:pPr>
            <w:r>
              <w:rPr>
                <w:spacing w:val="-7"/>
                <w:w w:val="95"/>
                <w:sz w:val="21"/>
              </w:rPr>
              <w:t>符合国家和地方有关环境法律、法规，污染物排放达到国家和地</w:t>
            </w:r>
          </w:p>
          <w:p>
            <w:pPr>
              <w:pStyle w:val="19"/>
              <w:spacing w:before="105"/>
              <w:ind w:left="10"/>
              <w:jc w:val="left"/>
              <w:rPr>
                <w:sz w:val="21"/>
              </w:rPr>
            </w:pPr>
            <w:r>
              <w:rPr>
                <w:sz w:val="21"/>
              </w:rPr>
              <w:t>方排放标准、总量控制和排污许可证管理要求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3" w:hRule="atLeast"/>
        </w:trPr>
        <w:tc>
          <w:tcPr>
            <w:tcW w:w="3280" w:type="dxa"/>
            <w:tcBorders>
              <w:top w:val="single" w:color="000000" w:sz="4" w:space="0"/>
              <w:bottom w:val="single" w:color="000000" w:sz="4" w:space="0"/>
              <w:right w:val="single" w:color="000000" w:sz="4" w:space="0"/>
            </w:tcBorders>
          </w:tcPr>
          <w:p>
            <w:pPr>
              <w:pStyle w:val="19"/>
              <w:jc w:val="left"/>
              <w:rPr>
                <w:b/>
                <w:sz w:val="20"/>
              </w:rPr>
            </w:pPr>
          </w:p>
          <w:p>
            <w:pPr>
              <w:pStyle w:val="19"/>
              <w:spacing w:before="168"/>
              <w:ind w:left="46" w:right="27"/>
              <w:rPr>
                <w:sz w:val="21"/>
              </w:rPr>
            </w:pPr>
            <w:r>
              <w:rPr>
                <w:sz w:val="21"/>
              </w:rPr>
              <w:t>环境审核</w:t>
            </w:r>
          </w:p>
        </w:tc>
        <w:tc>
          <w:tcPr>
            <w:tcW w:w="5788" w:type="dxa"/>
            <w:tcBorders>
              <w:top w:val="single" w:color="000000" w:sz="4" w:space="0"/>
              <w:left w:val="single" w:color="000000" w:sz="4" w:space="0"/>
              <w:bottom w:val="single" w:color="000000" w:sz="4" w:space="0"/>
            </w:tcBorders>
          </w:tcPr>
          <w:p>
            <w:pPr>
              <w:pStyle w:val="19"/>
              <w:spacing w:before="50"/>
              <w:ind w:left="10"/>
              <w:jc w:val="left"/>
              <w:rPr>
                <w:sz w:val="21"/>
              </w:rPr>
            </w:pPr>
            <w:r>
              <w:rPr>
                <w:sz w:val="21"/>
              </w:rPr>
              <w:t>按照煤炭行业的企业清洁生产审核指南的要求进行审核；按照</w:t>
            </w:r>
          </w:p>
          <w:p>
            <w:pPr>
              <w:pStyle w:val="19"/>
              <w:spacing w:before="5" w:line="370" w:lineRule="atLeast"/>
              <w:ind w:left="10" w:right="22"/>
              <w:jc w:val="left"/>
              <w:rPr>
                <w:sz w:val="21"/>
              </w:rPr>
            </w:pPr>
            <w:r>
              <w:rPr>
                <w:rFonts w:ascii="Times New Roman" w:eastAsia="Times New Roman"/>
                <w:w w:val="95"/>
                <w:sz w:val="21"/>
              </w:rPr>
              <w:t xml:space="preserve">ISO14001  </w:t>
            </w:r>
            <w:r>
              <w:rPr>
                <w:w w:val="95"/>
                <w:sz w:val="21"/>
              </w:rPr>
              <w:t>建立并运行环境管理体系，环境管理手册、程序文件</w:t>
            </w:r>
            <w:r>
              <w:rPr>
                <w:sz w:val="21"/>
              </w:rPr>
              <w:t>及作业文件齐备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9"/>
              <w:spacing w:before="91"/>
              <w:ind w:left="46" w:right="27"/>
              <w:rPr>
                <w:sz w:val="21"/>
              </w:rPr>
            </w:pPr>
            <w:r>
              <w:rPr>
                <w:sz w:val="21"/>
              </w:rPr>
              <w:t>原料用量及质量</w:t>
            </w:r>
          </w:p>
        </w:tc>
        <w:tc>
          <w:tcPr>
            <w:tcW w:w="5788" w:type="dxa"/>
            <w:tcBorders>
              <w:top w:val="single" w:color="000000" w:sz="4" w:space="0"/>
              <w:left w:val="single" w:color="000000" w:sz="4" w:space="0"/>
              <w:bottom w:val="single" w:color="000000" w:sz="4" w:space="0"/>
            </w:tcBorders>
          </w:tcPr>
          <w:p>
            <w:pPr>
              <w:pStyle w:val="19"/>
              <w:spacing w:before="91"/>
              <w:ind w:left="10"/>
              <w:jc w:val="left"/>
              <w:rPr>
                <w:sz w:val="21"/>
              </w:rPr>
            </w:pPr>
            <w:r>
              <w:rPr>
                <w:sz w:val="21"/>
              </w:rPr>
              <w:t>规定严格的检验、计量控制措施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8" w:hRule="atLeast"/>
        </w:trPr>
        <w:tc>
          <w:tcPr>
            <w:tcW w:w="3280" w:type="dxa"/>
            <w:tcBorders>
              <w:top w:val="single" w:color="000000" w:sz="4" w:space="0"/>
              <w:bottom w:val="single" w:color="000000" w:sz="4" w:space="0"/>
              <w:right w:val="single" w:color="000000" w:sz="4" w:space="0"/>
            </w:tcBorders>
          </w:tcPr>
          <w:p>
            <w:pPr>
              <w:pStyle w:val="19"/>
              <w:spacing w:before="52"/>
              <w:ind w:left="46" w:right="22"/>
              <w:rPr>
                <w:sz w:val="21"/>
              </w:rPr>
            </w:pPr>
            <w:r>
              <w:rPr>
                <w:spacing w:val="-10"/>
                <w:w w:val="95"/>
                <w:sz w:val="21"/>
              </w:rPr>
              <w:t>除尘、矿井水处理处理、生活污水处</w:t>
            </w:r>
          </w:p>
          <w:p>
            <w:pPr>
              <w:pStyle w:val="19"/>
              <w:spacing w:before="105"/>
              <w:ind w:left="46" w:right="29"/>
              <w:rPr>
                <w:sz w:val="21"/>
              </w:rPr>
            </w:pPr>
            <w:r>
              <w:rPr>
                <w:sz w:val="21"/>
              </w:rPr>
              <w:t>理、洒水降尘等环保设备与设施</w:t>
            </w:r>
          </w:p>
        </w:tc>
        <w:tc>
          <w:tcPr>
            <w:tcW w:w="5788" w:type="dxa"/>
            <w:tcBorders>
              <w:top w:val="single" w:color="000000" w:sz="4" w:space="0"/>
              <w:left w:val="single" w:color="000000" w:sz="4" w:space="0"/>
              <w:bottom w:val="single" w:color="000000" w:sz="4" w:space="0"/>
            </w:tcBorders>
          </w:tcPr>
          <w:p>
            <w:pPr>
              <w:pStyle w:val="19"/>
              <w:spacing w:before="8"/>
              <w:jc w:val="left"/>
              <w:rPr>
                <w:b/>
                <w:sz w:val="18"/>
              </w:rPr>
            </w:pPr>
          </w:p>
          <w:p>
            <w:pPr>
              <w:pStyle w:val="19"/>
              <w:ind w:left="10"/>
              <w:jc w:val="left"/>
              <w:rPr>
                <w:rFonts w:ascii="Times New Roman" w:eastAsia="Times New Roman"/>
                <w:sz w:val="21"/>
              </w:rPr>
            </w:pPr>
            <w:r>
              <w:rPr>
                <w:sz w:val="21"/>
              </w:rPr>
              <w:t xml:space="preserve">运行无故障、设备完好率达 </w:t>
            </w:r>
            <w:r>
              <w:rPr>
                <w:rFonts w:ascii="Times New Roman" w:eastAsia="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9"/>
              <w:spacing w:before="89"/>
              <w:ind w:left="46" w:right="27"/>
              <w:rPr>
                <w:sz w:val="21"/>
              </w:rPr>
            </w:pPr>
            <w:r>
              <w:rPr>
                <w:sz w:val="21"/>
              </w:rPr>
              <w:t>岗位培训</w:t>
            </w:r>
          </w:p>
        </w:tc>
        <w:tc>
          <w:tcPr>
            <w:tcW w:w="5788" w:type="dxa"/>
            <w:tcBorders>
              <w:top w:val="single" w:color="000000" w:sz="4" w:space="0"/>
              <w:left w:val="single" w:color="000000" w:sz="4" w:space="0"/>
              <w:bottom w:val="single" w:color="000000" w:sz="4" w:space="0"/>
            </w:tcBorders>
          </w:tcPr>
          <w:p>
            <w:pPr>
              <w:pStyle w:val="19"/>
              <w:spacing w:before="89"/>
              <w:ind w:left="10"/>
              <w:jc w:val="left"/>
              <w:rPr>
                <w:sz w:val="21"/>
              </w:rPr>
            </w:pPr>
            <w:r>
              <w:rPr>
                <w:sz w:val="21"/>
              </w:rPr>
              <w:t>所有岗位操作人员要进行严格培训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8" w:hRule="atLeast"/>
        </w:trPr>
        <w:tc>
          <w:tcPr>
            <w:tcW w:w="3280" w:type="dxa"/>
            <w:tcBorders>
              <w:top w:val="single" w:color="000000" w:sz="4" w:space="0"/>
              <w:bottom w:val="single" w:color="000000" w:sz="4" w:space="0"/>
              <w:right w:val="single" w:color="000000" w:sz="4" w:space="0"/>
            </w:tcBorders>
          </w:tcPr>
          <w:p>
            <w:pPr>
              <w:pStyle w:val="19"/>
              <w:spacing w:before="50"/>
              <w:ind w:left="46" w:right="22"/>
              <w:rPr>
                <w:sz w:val="21"/>
              </w:rPr>
            </w:pPr>
            <w:r>
              <w:rPr>
                <w:spacing w:val="-10"/>
                <w:w w:val="95"/>
                <w:sz w:val="21"/>
              </w:rPr>
              <w:t>生产设备的使用、维护、检修管理制</w:t>
            </w:r>
          </w:p>
          <w:p>
            <w:pPr>
              <w:pStyle w:val="19"/>
              <w:spacing w:before="106"/>
              <w:ind w:left="20"/>
              <w:rPr>
                <w:sz w:val="21"/>
              </w:rPr>
            </w:pPr>
            <w:r>
              <w:rPr>
                <w:w w:val="99"/>
                <w:sz w:val="21"/>
              </w:rPr>
              <w:t>度</w:t>
            </w:r>
          </w:p>
        </w:tc>
        <w:tc>
          <w:tcPr>
            <w:tcW w:w="5788" w:type="dxa"/>
            <w:tcBorders>
              <w:top w:val="single" w:color="000000" w:sz="4" w:space="0"/>
              <w:left w:val="single" w:color="000000" w:sz="4" w:space="0"/>
              <w:bottom w:val="single" w:color="000000" w:sz="4" w:space="0"/>
            </w:tcBorders>
          </w:tcPr>
          <w:p>
            <w:pPr>
              <w:pStyle w:val="19"/>
              <w:spacing w:before="7"/>
              <w:jc w:val="left"/>
              <w:rPr>
                <w:b/>
                <w:sz w:val="18"/>
              </w:rPr>
            </w:pPr>
          </w:p>
          <w:p>
            <w:pPr>
              <w:pStyle w:val="19"/>
              <w:ind w:left="10"/>
              <w:jc w:val="left"/>
              <w:rPr>
                <w:sz w:val="21"/>
              </w:rPr>
            </w:pPr>
            <w:r>
              <w:rPr>
                <w:sz w:val="21"/>
              </w:rPr>
              <w:t>有完善的管理制度，并严格执行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9"/>
              <w:spacing w:before="90"/>
              <w:ind w:left="46" w:right="29"/>
              <w:rPr>
                <w:sz w:val="21"/>
              </w:rPr>
            </w:pPr>
            <w:r>
              <w:rPr>
                <w:sz w:val="21"/>
              </w:rPr>
              <w:t>生产工艺用水、电、汽、煤气管理</w:t>
            </w:r>
          </w:p>
        </w:tc>
        <w:tc>
          <w:tcPr>
            <w:tcW w:w="5788" w:type="dxa"/>
            <w:tcBorders>
              <w:top w:val="single" w:color="000000" w:sz="4" w:space="0"/>
              <w:left w:val="single" w:color="000000" w:sz="4" w:space="0"/>
              <w:bottom w:val="single" w:color="000000" w:sz="4" w:space="0"/>
            </w:tcBorders>
          </w:tcPr>
          <w:p>
            <w:pPr>
              <w:pStyle w:val="19"/>
              <w:spacing w:before="90"/>
              <w:ind w:left="10"/>
              <w:jc w:val="left"/>
              <w:rPr>
                <w:sz w:val="21"/>
              </w:rPr>
            </w:pPr>
            <w:r>
              <w:rPr>
                <w:sz w:val="21"/>
              </w:rPr>
              <w:t>安装计量仪表，并制定严格定量考核制度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top w:val="single" w:color="000000" w:sz="4" w:space="0"/>
              <w:bottom w:val="single" w:color="000000" w:sz="4" w:space="0"/>
              <w:right w:val="single" w:color="000000" w:sz="4" w:space="0"/>
            </w:tcBorders>
          </w:tcPr>
          <w:p>
            <w:pPr>
              <w:pStyle w:val="19"/>
              <w:spacing w:before="90"/>
              <w:ind w:left="46" w:right="29"/>
              <w:rPr>
                <w:sz w:val="21"/>
              </w:rPr>
            </w:pPr>
            <w:r>
              <w:rPr>
                <w:sz w:val="21"/>
              </w:rPr>
              <w:t>事故、非正常生产状况应急</w:t>
            </w:r>
          </w:p>
        </w:tc>
        <w:tc>
          <w:tcPr>
            <w:tcW w:w="5788" w:type="dxa"/>
            <w:tcBorders>
              <w:top w:val="single" w:color="000000" w:sz="4" w:space="0"/>
              <w:left w:val="single" w:color="000000" w:sz="4" w:space="0"/>
              <w:bottom w:val="single" w:color="000000" w:sz="4" w:space="0"/>
            </w:tcBorders>
          </w:tcPr>
          <w:p>
            <w:pPr>
              <w:pStyle w:val="19"/>
              <w:spacing w:before="90"/>
              <w:ind w:left="10"/>
              <w:jc w:val="left"/>
              <w:rPr>
                <w:sz w:val="21"/>
              </w:rPr>
            </w:pPr>
            <w:r>
              <w:rPr>
                <w:sz w:val="21"/>
              </w:rPr>
              <w:t>有具体的应急预案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9"/>
              <w:spacing w:before="89"/>
              <w:ind w:left="46" w:right="29"/>
              <w:rPr>
                <w:sz w:val="21"/>
              </w:rPr>
            </w:pPr>
            <w:r>
              <w:rPr>
                <w:sz w:val="21"/>
              </w:rPr>
              <w:t>环境管理机构</w:t>
            </w:r>
          </w:p>
        </w:tc>
        <w:tc>
          <w:tcPr>
            <w:tcW w:w="5788" w:type="dxa"/>
            <w:tcBorders>
              <w:top w:val="single" w:color="000000" w:sz="4" w:space="0"/>
              <w:left w:val="single" w:color="000000" w:sz="4" w:space="0"/>
              <w:bottom w:val="single" w:color="000000" w:sz="4" w:space="0"/>
            </w:tcBorders>
          </w:tcPr>
          <w:p>
            <w:pPr>
              <w:pStyle w:val="19"/>
              <w:spacing w:before="89"/>
              <w:ind w:left="10" w:right="-15"/>
              <w:jc w:val="left"/>
              <w:rPr>
                <w:sz w:val="21"/>
              </w:rPr>
            </w:pPr>
            <w:r>
              <w:rPr>
                <w:spacing w:val="-9"/>
                <w:w w:val="95"/>
                <w:sz w:val="21"/>
              </w:rPr>
              <w:t>有专人负责，特别应建立起有效的沉陷与生态综合整治专门机构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top w:val="single" w:color="000000" w:sz="4" w:space="0"/>
              <w:bottom w:val="single" w:color="000000" w:sz="4" w:space="0"/>
              <w:right w:val="single" w:color="000000" w:sz="4" w:space="0"/>
            </w:tcBorders>
          </w:tcPr>
          <w:p>
            <w:pPr>
              <w:pStyle w:val="19"/>
              <w:spacing w:before="91"/>
              <w:ind w:left="46" w:right="29"/>
              <w:rPr>
                <w:sz w:val="21"/>
              </w:rPr>
            </w:pPr>
            <w:r>
              <w:rPr>
                <w:sz w:val="21"/>
              </w:rPr>
              <w:t>环境管理制度</w:t>
            </w:r>
          </w:p>
        </w:tc>
        <w:tc>
          <w:tcPr>
            <w:tcW w:w="5788" w:type="dxa"/>
            <w:tcBorders>
              <w:top w:val="single" w:color="000000" w:sz="4" w:space="0"/>
              <w:left w:val="single" w:color="000000" w:sz="4" w:space="0"/>
              <w:bottom w:val="single" w:color="000000" w:sz="4" w:space="0"/>
            </w:tcBorders>
          </w:tcPr>
          <w:p>
            <w:pPr>
              <w:pStyle w:val="19"/>
              <w:spacing w:before="91"/>
              <w:ind w:left="10"/>
              <w:jc w:val="left"/>
              <w:rPr>
                <w:sz w:val="21"/>
              </w:rPr>
            </w:pPr>
            <w:r>
              <w:rPr>
                <w:sz w:val="21"/>
              </w:rPr>
              <w:t>环境管理组织机构与管理制度健全、完善并纳入日常管理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9"/>
              <w:spacing w:before="90"/>
              <w:ind w:left="46" w:right="29"/>
              <w:rPr>
                <w:sz w:val="21"/>
              </w:rPr>
            </w:pPr>
            <w:r>
              <w:rPr>
                <w:sz w:val="21"/>
              </w:rPr>
              <w:t>环境管理计划</w:t>
            </w:r>
          </w:p>
        </w:tc>
        <w:tc>
          <w:tcPr>
            <w:tcW w:w="5788" w:type="dxa"/>
            <w:tcBorders>
              <w:top w:val="single" w:color="000000" w:sz="4" w:space="0"/>
              <w:left w:val="single" w:color="000000" w:sz="4" w:space="0"/>
              <w:bottom w:val="single" w:color="000000" w:sz="4" w:space="0"/>
            </w:tcBorders>
          </w:tcPr>
          <w:p>
            <w:pPr>
              <w:pStyle w:val="19"/>
              <w:spacing w:before="90"/>
              <w:ind w:left="10"/>
              <w:jc w:val="left"/>
              <w:rPr>
                <w:sz w:val="21"/>
              </w:rPr>
            </w:pPr>
            <w:r>
              <w:rPr>
                <w:sz w:val="21"/>
              </w:rPr>
              <w:t>制定近、远期环境保护计划并监督实施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top w:val="single" w:color="000000" w:sz="4" w:space="0"/>
              <w:bottom w:val="single" w:color="000000" w:sz="4" w:space="0"/>
              <w:right w:val="single" w:color="000000" w:sz="4" w:space="0"/>
            </w:tcBorders>
          </w:tcPr>
          <w:p>
            <w:pPr>
              <w:pStyle w:val="19"/>
              <w:spacing w:before="89"/>
              <w:ind w:left="46" w:right="29"/>
              <w:rPr>
                <w:sz w:val="21"/>
              </w:rPr>
            </w:pPr>
            <w:r>
              <w:rPr>
                <w:sz w:val="21"/>
              </w:rPr>
              <w:t>环保设施的运行管理</w:t>
            </w:r>
          </w:p>
        </w:tc>
        <w:tc>
          <w:tcPr>
            <w:tcW w:w="5788" w:type="dxa"/>
            <w:tcBorders>
              <w:top w:val="single" w:color="000000" w:sz="4" w:space="0"/>
              <w:left w:val="single" w:color="000000" w:sz="4" w:space="0"/>
              <w:bottom w:val="single" w:color="000000" w:sz="4" w:space="0"/>
            </w:tcBorders>
          </w:tcPr>
          <w:p>
            <w:pPr>
              <w:pStyle w:val="19"/>
              <w:spacing w:before="89"/>
              <w:ind w:left="10"/>
              <w:jc w:val="left"/>
              <w:rPr>
                <w:sz w:val="21"/>
              </w:rPr>
            </w:pPr>
            <w:r>
              <w:rPr>
                <w:sz w:val="21"/>
              </w:rPr>
              <w:t>记录运行数据并建立环保档案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9"/>
              <w:spacing w:before="90"/>
              <w:ind w:left="46" w:right="27"/>
              <w:rPr>
                <w:sz w:val="21"/>
              </w:rPr>
            </w:pPr>
            <w:r>
              <w:rPr>
                <w:sz w:val="21"/>
              </w:rPr>
              <w:t>污染源监测系统</w:t>
            </w:r>
          </w:p>
        </w:tc>
        <w:tc>
          <w:tcPr>
            <w:tcW w:w="5788" w:type="dxa"/>
            <w:tcBorders>
              <w:top w:val="single" w:color="000000" w:sz="4" w:space="0"/>
              <w:left w:val="single" w:color="000000" w:sz="4" w:space="0"/>
              <w:bottom w:val="single" w:color="000000" w:sz="4" w:space="0"/>
            </w:tcBorders>
          </w:tcPr>
          <w:p>
            <w:pPr>
              <w:pStyle w:val="19"/>
              <w:spacing w:before="90"/>
              <w:ind w:left="10"/>
              <w:jc w:val="left"/>
              <w:rPr>
                <w:sz w:val="21"/>
              </w:rPr>
            </w:pPr>
            <w:r>
              <w:rPr>
                <w:sz w:val="21"/>
              </w:rPr>
              <w:t>水、气主要污染源、主要污染物均具备监测手段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top w:val="single" w:color="000000" w:sz="4" w:space="0"/>
              <w:bottom w:val="single" w:color="000000" w:sz="4" w:space="0"/>
              <w:right w:val="single" w:color="000000" w:sz="4" w:space="0"/>
            </w:tcBorders>
          </w:tcPr>
          <w:p>
            <w:pPr>
              <w:pStyle w:val="19"/>
              <w:spacing w:before="90"/>
              <w:ind w:left="46" w:right="27"/>
              <w:rPr>
                <w:sz w:val="21"/>
              </w:rPr>
            </w:pPr>
            <w:r>
              <w:rPr>
                <w:sz w:val="21"/>
              </w:rPr>
              <w:t>信息交流</w:t>
            </w:r>
          </w:p>
        </w:tc>
        <w:tc>
          <w:tcPr>
            <w:tcW w:w="5788" w:type="dxa"/>
            <w:tcBorders>
              <w:top w:val="single" w:color="000000" w:sz="4" w:space="0"/>
              <w:left w:val="single" w:color="000000" w:sz="4" w:space="0"/>
              <w:bottom w:val="single" w:color="000000" w:sz="4" w:space="0"/>
            </w:tcBorders>
          </w:tcPr>
          <w:p>
            <w:pPr>
              <w:pStyle w:val="19"/>
              <w:spacing w:before="90"/>
              <w:ind w:left="10"/>
              <w:jc w:val="left"/>
              <w:rPr>
                <w:sz w:val="21"/>
              </w:rPr>
            </w:pPr>
            <w:r>
              <w:rPr>
                <w:sz w:val="21"/>
              </w:rPr>
              <w:t>具备计算机网络化管理系统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7" w:hRule="atLeast"/>
        </w:trPr>
        <w:tc>
          <w:tcPr>
            <w:tcW w:w="3280" w:type="dxa"/>
            <w:tcBorders>
              <w:top w:val="single" w:color="000000" w:sz="4" w:space="0"/>
              <w:right w:val="single" w:color="000000" w:sz="4" w:space="0"/>
            </w:tcBorders>
          </w:tcPr>
          <w:p>
            <w:pPr>
              <w:pStyle w:val="19"/>
              <w:spacing w:before="7"/>
              <w:jc w:val="left"/>
              <w:rPr>
                <w:b/>
                <w:sz w:val="18"/>
              </w:rPr>
            </w:pPr>
          </w:p>
          <w:p>
            <w:pPr>
              <w:pStyle w:val="19"/>
              <w:ind w:left="46" w:right="29"/>
              <w:rPr>
                <w:sz w:val="21"/>
              </w:rPr>
            </w:pPr>
            <w:r>
              <w:rPr>
                <w:sz w:val="21"/>
              </w:rPr>
              <w:t>原辅料供应方、协作方、服务方</w:t>
            </w:r>
          </w:p>
        </w:tc>
        <w:tc>
          <w:tcPr>
            <w:tcW w:w="5788" w:type="dxa"/>
            <w:tcBorders>
              <w:top w:val="single" w:color="000000" w:sz="4" w:space="0"/>
              <w:left w:val="single" w:color="000000" w:sz="4" w:space="0"/>
            </w:tcBorders>
          </w:tcPr>
          <w:p>
            <w:pPr>
              <w:pStyle w:val="19"/>
              <w:spacing w:before="51"/>
              <w:ind w:left="10" w:right="-15"/>
              <w:jc w:val="left"/>
              <w:rPr>
                <w:sz w:val="21"/>
              </w:rPr>
            </w:pPr>
            <w:r>
              <w:rPr>
                <w:spacing w:val="-7"/>
                <w:w w:val="95"/>
                <w:sz w:val="21"/>
              </w:rPr>
              <w:t>服协及供货协议中要明确原辅料的包装、运输、装卸等过程中的</w:t>
            </w:r>
          </w:p>
          <w:p>
            <w:pPr>
              <w:pStyle w:val="19"/>
              <w:spacing w:before="105"/>
              <w:ind w:left="10"/>
              <w:jc w:val="left"/>
              <w:rPr>
                <w:sz w:val="21"/>
              </w:rPr>
            </w:pPr>
            <w:r>
              <w:rPr>
                <w:sz w:val="21"/>
              </w:rPr>
              <w:t>安全要求及环保要求</w:t>
            </w:r>
          </w:p>
        </w:tc>
      </w:tr>
    </w:tbl>
    <w:p>
      <w:pPr>
        <w:pStyle w:val="5"/>
        <w:numPr>
          <w:ilvl w:val="1"/>
          <w:numId w:val="84"/>
        </w:numPr>
        <w:tabs>
          <w:tab w:val="left" w:pos="1200"/>
        </w:tabs>
        <w:spacing w:before="172" w:after="0" w:line="240" w:lineRule="auto"/>
        <w:ind w:left="1200" w:right="0" w:hanging="600"/>
        <w:jc w:val="left"/>
      </w:pPr>
      <w:bookmarkStart w:id="684" w:name="_bookmark71"/>
      <w:bookmarkEnd w:id="684"/>
      <w:bookmarkStart w:id="685" w:name="_bookmark71"/>
      <w:bookmarkEnd w:id="685"/>
      <w:bookmarkStart w:id="686" w:name="12.4清洁生产总体评价"/>
      <w:bookmarkEnd w:id="686"/>
      <w:r>
        <w:t>清洁生产总体评价</w:t>
      </w:r>
    </w:p>
    <w:p>
      <w:pPr>
        <w:pStyle w:val="9"/>
        <w:spacing w:before="278" w:line="364" w:lineRule="auto"/>
        <w:ind w:left="600" w:right="892" w:firstLine="480"/>
        <w:jc w:val="both"/>
      </w:pPr>
      <w:r>
        <w:rPr>
          <w:spacing w:val="-6"/>
        </w:rPr>
        <w:t>根据《清洁生产标准煤炭采选行业》</w:t>
      </w:r>
      <w:r>
        <w:t>（</w:t>
      </w:r>
      <w:r>
        <w:rPr>
          <w:rFonts w:ascii="Times New Roman" w:hAnsi="Times New Roman" w:eastAsia="Times New Roman"/>
        </w:rPr>
        <w:t>HJ446-2008</w:t>
      </w:r>
      <w:r>
        <w:t>）</w:t>
      </w:r>
      <w:r>
        <w:rPr>
          <w:spacing w:val="-5"/>
        </w:rPr>
        <w:t>要求。由上表中统计结</w:t>
      </w:r>
      <w:r>
        <w:rPr>
          <w:spacing w:val="-10"/>
        </w:rPr>
        <w:t>果可知，本项目在可研中提出的生产工艺及装备、资源能源利用、产品及废物回</w:t>
      </w:r>
      <w:r>
        <w:rPr>
          <w:spacing w:val="-4"/>
        </w:rPr>
        <w:t xml:space="preserve">收利用指标中，经计算 </w:t>
      </w:r>
      <w:r>
        <w:rPr>
          <w:rFonts w:ascii="Times New Roman" w:hAnsi="Times New Roman" w:eastAsia="Times New Roman"/>
        </w:rPr>
        <w:t>Y</w:t>
      </w:r>
      <w:r>
        <w:rPr>
          <w:position w:val="-2"/>
          <w:sz w:val="12"/>
        </w:rPr>
        <w:t>Ⅰ</w:t>
      </w:r>
      <w:r>
        <w:t>＝</w:t>
      </w:r>
      <w:r>
        <w:rPr>
          <w:rFonts w:ascii="Times New Roman" w:hAnsi="Times New Roman" w:eastAsia="Times New Roman"/>
        </w:rPr>
        <w:t>65</w:t>
      </w:r>
      <w:r>
        <w:t>；</w:t>
      </w:r>
      <w:r>
        <w:rPr>
          <w:rFonts w:ascii="Times New Roman" w:hAnsi="Times New Roman" w:eastAsia="Times New Roman"/>
        </w:rPr>
        <w:t>Y</w:t>
      </w:r>
      <w:r>
        <w:rPr>
          <w:position w:val="-2"/>
          <w:sz w:val="12"/>
        </w:rPr>
        <w:t>Ⅱ</w:t>
      </w:r>
      <w:r>
        <w:t>＝</w:t>
      </w:r>
      <w:r>
        <w:rPr>
          <w:rFonts w:ascii="Times New Roman" w:hAnsi="Times New Roman" w:eastAsia="Times New Roman"/>
        </w:rPr>
        <w:t xml:space="preserve">86.73 </w:t>
      </w:r>
      <w:r>
        <w:t>且限定性指标全部满足Ⅱ级基准限</w:t>
      </w:r>
    </w:p>
    <w:p>
      <w:pPr>
        <w:spacing w:after="0" w:line="364" w:lineRule="auto"/>
        <w:jc w:val="both"/>
        <w:sectPr>
          <w:footerReference r:id="rId30" w:type="default"/>
          <w:pgSz w:w="11910" w:h="16840"/>
          <w:pgMar w:top="1500" w:right="900" w:bottom="1180" w:left="1200" w:header="0" w:footer="993" w:gutter="0"/>
          <w:pgNumType w:start="193"/>
        </w:sectPr>
      </w:pPr>
    </w:p>
    <w:p>
      <w:pPr>
        <w:pStyle w:val="9"/>
        <w:spacing w:before="42"/>
        <w:ind w:left="600"/>
      </w:pPr>
      <w:r>
        <w:t>值要求及以上，本项目符合国内清洁生产先进水平。</w:t>
      </w:r>
    </w:p>
    <w:p>
      <w:pPr>
        <w:pStyle w:val="5"/>
        <w:numPr>
          <w:ilvl w:val="1"/>
          <w:numId w:val="84"/>
        </w:numPr>
        <w:tabs>
          <w:tab w:val="left" w:pos="1200"/>
        </w:tabs>
        <w:spacing w:before="201" w:after="0" w:line="240" w:lineRule="auto"/>
        <w:ind w:left="1200" w:right="0" w:hanging="600"/>
        <w:jc w:val="left"/>
      </w:pPr>
      <w:bookmarkStart w:id="687" w:name="12.5清洁生产建议"/>
      <w:bookmarkEnd w:id="687"/>
      <w:bookmarkStart w:id="688" w:name="_bookmark72"/>
      <w:bookmarkEnd w:id="688"/>
      <w:bookmarkStart w:id="689" w:name="_bookmark72"/>
      <w:bookmarkEnd w:id="689"/>
      <w:r>
        <w:t>清洁生产建议</w:t>
      </w:r>
    </w:p>
    <w:p>
      <w:pPr>
        <w:pStyle w:val="9"/>
        <w:spacing w:before="199" w:line="364" w:lineRule="auto"/>
        <w:ind w:left="600" w:right="805" w:firstLine="480"/>
      </w:pPr>
      <w:r>
        <w:rPr>
          <w:spacing w:val="-1"/>
        </w:rPr>
        <w:t>清洁生产是企业可持续发展的必然选择，同时，清洁生产又是一个相对的、</w:t>
      </w:r>
      <w:r>
        <w:rPr>
          <w:spacing w:val="-9"/>
        </w:rPr>
        <w:t>动态的概念，推行清洁生产本身是一个不断完善的过程，建议企业要适时的提出更新目标，将清洁生产不断的、长期的进行下去，实现企业的可持续发展。</w:t>
      </w:r>
    </w:p>
    <w:p>
      <w:pPr>
        <w:pStyle w:val="18"/>
        <w:numPr>
          <w:ilvl w:val="0"/>
          <w:numId w:val="86"/>
        </w:numPr>
        <w:tabs>
          <w:tab w:val="left" w:pos="1681"/>
        </w:tabs>
        <w:spacing w:before="35" w:after="0" w:line="343" w:lineRule="auto"/>
        <w:ind w:left="600" w:right="897" w:firstLine="480"/>
        <w:jc w:val="both"/>
        <w:rPr>
          <w:sz w:val="24"/>
        </w:rPr>
      </w:pPr>
      <w:r>
        <w:rPr>
          <w:spacing w:val="-1"/>
          <w:sz w:val="24"/>
        </w:rPr>
        <w:t>建立企业清洁生产组织和审核制度，不断的对员工进行清洁生产知识</w:t>
      </w:r>
      <w:r>
        <w:rPr>
          <w:spacing w:val="-10"/>
          <w:sz w:val="24"/>
        </w:rPr>
        <w:t>的培训，提高他们对清洁生产的认识和自觉推行清洁生产的意识，明确个人在清</w:t>
      </w:r>
      <w:r>
        <w:rPr>
          <w:spacing w:val="-8"/>
          <w:sz w:val="24"/>
        </w:rPr>
        <w:t>洁生产工作中的职责，对厂内进行清洁生产审核，动态地实施清洁生产方案，建</w:t>
      </w:r>
      <w:r>
        <w:rPr>
          <w:sz w:val="24"/>
        </w:rPr>
        <w:t>立清洁生产激励机制。</w:t>
      </w:r>
    </w:p>
    <w:p>
      <w:pPr>
        <w:pStyle w:val="18"/>
        <w:numPr>
          <w:ilvl w:val="0"/>
          <w:numId w:val="86"/>
        </w:numPr>
        <w:tabs>
          <w:tab w:val="left" w:pos="1692"/>
        </w:tabs>
        <w:spacing w:before="1" w:after="0" w:line="343" w:lineRule="auto"/>
        <w:ind w:left="600" w:right="897" w:firstLine="480"/>
        <w:jc w:val="both"/>
        <w:rPr>
          <w:sz w:val="24"/>
        </w:rPr>
      </w:pPr>
      <w:r>
        <w:rPr>
          <w:spacing w:val="-9"/>
          <w:sz w:val="24"/>
        </w:rPr>
        <w:t xml:space="preserve">建立并通过 </w:t>
      </w:r>
      <w:r>
        <w:rPr>
          <w:rFonts w:ascii="Times New Roman" w:eastAsia="Times New Roman"/>
          <w:sz w:val="24"/>
        </w:rPr>
        <w:t>ISO14000</w:t>
      </w:r>
      <w:r>
        <w:rPr>
          <w:rFonts w:ascii="Times New Roman" w:eastAsia="Times New Roman"/>
          <w:spacing w:val="7"/>
          <w:sz w:val="24"/>
        </w:rPr>
        <w:t xml:space="preserve"> </w:t>
      </w:r>
      <w:r>
        <w:rPr>
          <w:sz w:val="24"/>
        </w:rPr>
        <w:t>国际环境管理体系，健全程序文件，按其要求进行持续的管理。</w:t>
      </w:r>
    </w:p>
    <w:p>
      <w:pPr>
        <w:pStyle w:val="18"/>
        <w:numPr>
          <w:ilvl w:val="0"/>
          <w:numId w:val="86"/>
        </w:numPr>
        <w:tabs>
          <w:tab w:val="left" w:pos="1681"/>
        </w:tabs>
        <w:spacing w:before="1" w:after="0" w:line="343" w:lineRule="auto"/>
        <w:ind w:left="600" w:right="777" w:firstLine="480"/>
        <w:jc w:val="both"/>
        <w:rPr>
          <w:sz w:val="24"/>
        </w:rPr>
      </w:pPr>
      <w:r>
        <w:rPr>
          <w:sz w:val="24"/>
        </w:rPr>
        <w:t>应加强环保设施及相关设备的正常运行，更好地、持续地进行清洁生</w:t>
      </w:r>
      <w:r>
        <w:rPr>
          <w:spacing w:val="-9"/>
          <w:sz w:val="24"/>
        </w:rPr>
        <w:t>产；另外，重视人员的技能培训，对整个生产过程进行有效管理，根据有关环保</w:t>
      </w:r>
      <w:r>
        <w:rPr>
          <w:spacing w:val="-12"/>
          <w:sz w:val="24"/>
        </w:rPr>
        <w:t>法规和节能、节水以及污染物总量控制规定，明确定量产品的定量消耗指标，实</w:t>
      </w:r>
      <w:r>
        <w:rPr>
          <w:spacing w:val="-16"/>
          <w:sz w:val="24"/>
        </w:rPr>
        <w:t>现最低的物耗、能耗、水耗和最小污染物排放量，进一步提高企业清洁生产水平。</w:t>
      </w:r>
    </w:p>
    <w:p>
      <w:pPr>
        <w:pStyle w:val="18"/>
        <w:numPr>
          <w:ilvl w:val="0"/>
          <w:numId w:val="86"/>
        </w:numPr>
        <w:tabs>
          <w:tab w:val="left" w:pos="1681"/>
        </w:tabs>
        <w:spacing w:before="0" w:after="0" w:line="343" w:lineRule="auto"/>
        <w:ind w:left="600" w:right="900" w:firstLine="480"/>
        <w:jc w:val="left"/>
        <w:rPr>
          <w:sz w:val="24"/>
        </w:rPr>
      </w:pPr>
      <w:r>
        <w:rPr>
          <w:spacing w:val="-1"/>
          <w:sz w:val="24"/>
        </w:rPr>
        <w:t>继续在技术工艺和设备上跟踪国际先进生产，以实现清洁生产持续改</w:t>
      </w:r>
      <w:r>
        <w:rPr>
          <w:sz w:val="24"/>
        </w:rPr>
        <w:t>进，达到节能、降耗、减污、增效的目的，缩短同国际清洁生产水平的差距。</w:t>
      </w:r>
    </w:p>
    <w:p>
      <w:pPr>
        <w:pStyle w:val="18"/>
        <w:numPr>
          <w:ilvl w:val="0"/>
          <w:numId w:val="86"/>
        </w:numPr>
        <w:tabs>
          <w:tab w:val="left" w:pos="1681"/>
        </w:tabs>
        <w:spacing w:before="2" w:after="0" w:line="240" w:lineRule="auto"/>
        <w:ind w:left="1681" w:right="0" w:hanging="601"/>
        <w:jc w:val="left"/>
        <w:rPr>
          <w:sz w:val="24"/>
        </w:rPr>
      </w:pPr>
      <w:r>
        <w:rPr>
          <w:sz w:val="24"/>
        </w:rPr>
        <w:t>建立健全环境管理制度、污染源监测系。</w:t>
      </w:r>
    </w:p>
    <w:p>
      <w:pPr>
        <w:spacing w:after="0" w:line="240" w:lineRule="auto"/>
        <w:jc w:val="left"/>
        <w:rPr>
          <w:sz w:val="24"/>
        </w:rPr>
        <w:sectPr>
          <w:pgSz w:w="11910" w:h="16840"/>
          <w:pgMar w:top="1460" w:right="900" w:bottom="1180" w:left="1200" w:header="0" w:footer="993" w:gutter="0"/>
        </w:sectPr>
      </w:pPr>
    </w:p>
    <w:p>
      <w:pPr>
        <w:pStyle w:val="3"/>
        <w:numPr>
          <w:ilvl w:val="2"/>
          <w:numId w:val="14"/>
        </w:numPr>
        <w:tabs>
          <w:tab w:val="left" w:pos="2993"/>
        </w:tabs>
        <w:spacing w:before="42" w:after="0" w:line="240" w:lineRule="auto"/>
        <w:ind w:left="2992" w:right="0" w:hanging="452"/>
        <w:jc w:val="left"/>
        <w:rPr>
          <w:rFonts w:ascii="Times New Roman" w:eastAsia="Times New Roman"/>
          <w:sz w:val="34"/>
        </w:rPr>
      </w:pPr>
      <w:bookmarkStart w:id="690" w:name="_bookmark73"/>
      <w:bookmarkEnd w:id="690"/>
      <w:bookmarkStart w:id="691" w:name="_bookmark73"/>
      <w:bookmarkEnd w:id="691"/>
      <w:bookmarkStart w:id="692" w:name="13.环境管理与环境监测计划"/>
      <w:bookmarkEnd w:id="692"/>
      <w:r>
        <w:t>环境管理与环境监测计划</w:t>
      </w:r>
    </w:p>
    <w:p>
      <w:pPr>
        <w:pStyle w:val="5"/>
        <w:numPr>
          <w:ilvl w:val="1"/>
          <w:numId w:val="87"/>
        </w:numPr>
        <w:tabs>
          <w:tab w:val="left" w:pos="1200"/>
        </w:tabs>
        <w:spacing w:before="203" w:after="0" w:line="240" w:lineRule="auto"/>
        <w:ind w:left="1200" w:right="0" w:hanging="600"/>
        <w:jc w:val="left"/>
      </w:pPr>
      <w:bookmarkStart w:id="693" w:name="13.1施工期环境管理和环境监理"/>
      <w:bookmarkEnd w:id="693"/>
      <w:bookmarkStart w:id="694" w:name="_bookmark74"/>
      <w:bookmarkEnd w:id="694"/>
      <w:bookmarkStart w:id="695" w:name="_bookmark74"/>
      <w:bookmarkEnd w:id="695"/>
      <w:r>
        <w:t>施工期环境管理和环境监理</w:t>
      </w:r>
    </w:p>
    <w:p>
      <w:pPr>
        <w:pStyle w:val="9"/>
        <w:spacing w:before="199" w:line="364" w:lineRule="auto"/>
        <w:ind w:left="600" w:right="897" w:firstLine="420"/>
        <w:jc w:val="both"/>
      </w:pPr>
      <w:r>
        <w:rPr>
          <w:spacing w:val="3"/>
        </w:rPr>
        <w:t>本项目的施工期是对生态环境影响较大的时期，为确保各项环保措施的落</w:t>
      </w:r>
      <w:r>
        <w:rPr>
          <w:spacing w:val="-13"/>
        </w:rPr>
        <w:t xml:space="preserve">实，最大限度地减轻施工作业对环境的影响，建议项目施工期间建立施工期 </w:t>
      </w:r>
      <w:r>
        <w:rPr>
          <w:rFonts w:ascii="Times New Roman" w:eastAsia="Times New Roman"/>
          <w:spacing w:val="-7"/>
        </w:rPr>
        <w:t xml:space="preserve">HSE </w:t>
      </w:r>
      <w:r>
        <w:t>环境管理体系、引入环境监理、监督机制尤为重要。</w:t>
      </w:r>
    </w:p>
    <w:p>
      <w:pPr>
        <w:pStyle w:val="9"/>
        <w:spacing w:before="2" w:line="364" w:lineRule="auto"/>
        <w:ind w:left="600" w:right="849" w:firstLine="420"/>
      </w:pPr>
      <w:r>
        <w:t>此外，施工承包方的管理水平好坏将直接关系到施工期环境管理的好坏，为此，在施工单位的选择与管理上应提出如下要求：</w:t>
      </w:r>
    </w:p>
    <w:p>
      <w:pPr>
        <w:pStyle w:val="9"/>
        <w:spacing w:before="1" w:line="364" w:lineRule="auto"/>
        <w:ind w:left="600" w:right="895" w:firstLine="420"/>
        <w:jc w:val="both"/>
      </w:pPr>
      <w:r>
        <w:rPr>
          <w:rFonts w:ascii="Times New Roman" w:eastAsia="Times New Roman"/>
        </w:rPr>
        <w:t>1</w:t>
      </w:r>
      <w:r>
        <w:t>、在技术装备、人员素质等同的条件下，选择环境管理水平高、环保业绩</w:t>
      </w:r>
      <w:r>
        <w:rPr>
          <w:spacing w:val="-11"/>
        </w:rPr>
        <w:t>好的承包方。施工期对环境的破坏程度与施工承包方的素质和管理水平有直接的</w:t>
      </w:r>
      <w:r>
        <w:rPr>
          <w:spacing w:val="-10"/>
        </w:rPr>
        <w:t>关系，因此在工程招标过程中，对施工承包方的选择，除要考虑实力、人员素质</w:t>
      </w:r>
      <w:r>
        <w:rPr>
          <w:spacing w:val="-7"/>
        </w:rPr>
        <w:t xml:space="preserve">和技术装备外，还要考虑其 </w:t>
      </w:r>
      <w:r>
        <w:rPr>
          <w:rFonts w:ascii="Times New Roman" w:eastAsia="Times New Roman"/>
        </w:rPr>
        <w:t xml:space="preserve">HSE </w:t>
      </w:r>
      <w:r>
        <w:rPr>
          <w:spacing w:val="-9"/>
        </w:rPr>
        <w:t xml:space="preserve">的业绩，优先选择那些 </w:t>
      </w:r>
      <w:r>
        <w:rPr>
          <w:rFonts w:ascii="Times New Roman" w:eastAsia="Times New Roman"/>
        </w:rPr>
        <w:t xml:space="preserve">HSE </w:t>
      </w:r>
      <w:r>
        <w:rPr>
          <w:spacing w:val="-5"/>
        </w:rPr>
        <w:t>管理水平高、环保</w:t>
      </w:r>
      <w:r>
        <w:t>业绩好的队伍。</w:t>
      </w:r>
    </w:p>
    <w:p>
      <w:pPr>
        <w:pStyle w:val="9"/>
        <w:spacing w:before="3" w:line="364" w:lineRule="auto"/>
        <w:ind w:left="600" w:right="897" w:firstLine="420"/>
        <w:jc w:val="both"/>
      </w:pPr>
      <w:r>
        <w:rPr>
          <w:rFonts w:ascii="Times New Roman" w:eastAsia="Times New Roman"/>
        </w:rPr>
        <w:t>2</w:t>
      </w:r>
      <w:r>
        <w:t xml:space="preserve">、在承包合同中应明确承包方的环保责任和义务，将有关环境保护条款， </w:t>
      </w:r>
      <w:r>
        <w:rPr>
          <w:spacing w:val="-9"/>
        </w:rPr>
        <w:t>如环境保护目标、采取的水、气、声、生态保护及水土保持措施等，列入合同当</w:t>
      </w:r>
      <w:r>
        <w:t>中，并将环保工作的好坏作为工程验收的标准之一。</w:t>
      </w:r>
    </w:p>
    <w:p>
      <w:pPr>
        <w:pStyle w:val="9"/>
        <w:spacing w:before="2" w:line="364" w:lineRule="auto"/>
        <w:ind w:left="600" w:right="777" w:firstLine="420"/>
        <w:jc w:val="both"/>
      </w:pPr>
      <w:r>
        <w:rPr>
          <w:rFonts w:ascii="Times New Roman" w:eastAsia="Times New Roman"/>
        </w:rPr>
        <w:t>3</w:t>
      </w:r>
      <w:r>
        <w:rPr>
          <w:spacing w:val="-6"/>
        </w:rPr>
        <w:t xml:space="preserve">、施工承包方应按公司的要求，建立相应的 </w:t>
      </w:r>
      <w:r>
        <w:rPr>
          <w:rFonts w:ascii="Times New Roman" w:eastAsia="Times New Roman"/>
        </w:rPr>
        <w:t xml:space="preserve">HSE </w:t>
      </w:r>
      <w:r>
        <w:t>管理机构，明确管理人员</w:t>
      </w:r>
      <w:r>
        <w:rPr>
          <w:spacing w:val="-7"/>
        </w:rPr>
        <w:t>及其相应的职责等。在施工作业前，应编制详细的环境管理方案，连同施工计划</w:t>
      </w:r>
      <w:r>
        <w:rPr>
          <w:spacing w:val="-14"/>
        </w:rPr>
        <w:t xml:space="preserve">一起呈报公司的 </w:t>
      </w:r>
      <w:r>
        <w:rPr>
          <w:rFonts w:ascii="Times New Roman" w:eastAsia="Times New Roman"/>
        </w:rPr>
        <w:t xml:space="preserve">HSE </w:t>
      </w:r>
      <w:r>
        <w:rPr>
          <w:spacing w:val="-7"/>
        </w:rPr>
        <w:t>部门及其他相关环保部门。环境管理方案应包括以下措施：</w:t>
      </w:r>
    </w:p>
    <w:p>
      <w:pPr>
        <w:pStyle w:val="18"/>
        <w:numPr>
          <w:ilvl w:val="2"/>
          <w:numId w:val="87"/>
        </w:numPr>
        <w:tabs>
          <w:tab w:val="left" w:pos="1621"/>
        </w:tabs>
        <w:spacing w:before="2" w:after="0" w:line="240" w:lineRule="auto"/>
        <w:ind w:left="1621" w:right="0" w:hanging="601"/>
        <w:jc w:val="left"/>
        <w:rPr>
          <w:sz w:val="24"/>
        </w:rPr>
      </w:pPr>
      <w:r>
        <w:rPr>
          <w:spacing w:val="-3"/>
          <w:sz w:val="24"/>
        </w:rPr>
        <w:t>减少施工扬尘、粉尘、施工机械及车辆废气排放等大气污染防治措施；</w:t>
      </w:r>
    </w:p>
    <w:p>
      <w:pPr>
        <w:pStyle w:val="18"/>
        <w:numPr>
          <w:ilvl w:val="2"/>
          <w:numId w:val="87"/>
        </w:numPr>
        <w:tabs>
          <w:tab w:val="left" w:pos="1628"/>
        </w:tabs>
        <w:spacing w:before="160" w:after="0" w:line="364" w:lineRule="auto"/>
        <w:ind w:left="600" w:right="897" w:firstLine="420"/>
        <w:jc w:val="left"/>
        <w:rPr>
          <w:sz w:val="24"/>
        </w:rPr>
      </w:pPr>
      <w:r>
        <w:rPr>
          <w:sz w:val="24"/>
        </w:rPr>
        <w:t>降低施工机械及车辆噪声、施工噪声，以及在噪声敏感区设置隔声设施等防治噪声污染的措施；</w:t>
      </w:r>
    </w:p>
    <w:p>
      <w:pPr>
        <w:pStyle w:val="18"/>
        <w:numPr>
          <w:ilvl w:val="2"/>
          <w:numId w:val="87"/>
        </w:numPr>
        <w:tabs>
          <w:tab w:val="left" w:pos="1628"/>
        </w:tabs>
        <w:spacing w:before="2" w:after="0" w:line="364" w:lineRule="auto"/>
        <w:ind w:left="600" w:right="897" w:firstLine="420"/>
        <w:jc w:val="left"/>
        <w:rPr>
          <w:sz w:val="24"/>
        </w:rPr>
      </w:pPr>
      <w:r>
        <w:rPr>
          <w:sz w:val="24"/>
        </w:rPr>
        <w:t>减少施工废水、生活污水排放，并加以妥善处理，防止污染地表水环境的措施，在地表水源保护区施工时必须采取有针对性地保护措施；</w:t>
      </w:r>
    </w:p>
    <w:p>
      <w:pPr>
        <w:pStyle w:val="18"/>
        <w:numPr>
          <w:ilvl w:val="2"/>
          <w:numId w:val="87"/>
        </w:numPr>
        <w:tabs>
          <w:tab w:val="left" w:pos="1621"/>
        </w:tabs>
        <w:spacing w:before="1" w:after="0" w:line="240" w:lineRule="auto"/>
        <w:ind w:left="1621" w:right="0" w:hanging="601"/>
        <w:jc w:val="left"/>
        <w:rPr>
          <w:sz w:val="24"/>
        </w:rPr>
      </w:pPr>
      <w:r>
        <w:rPr>
          <w:sz w:val="24"/>
        </w:rPr>
        <w:t>施工废渣、生活垃圾等处理处置措施；</w:t>
      </w:r>
    </w:p>
    <w:p>
      <w:pPr>
        <w:pStyle w:val="18"/>
        <w:numPr>
          <w:ilvl w:val="2"/>
          <w:numId w:val="87"/>
        </w:numPr>
        <w:tabs>
          <w:tab w:val="left" w:pos="1628"/>
        </w:tabs>
        <w:spacing w:before="160" w:after="0" w:line="364" w:lineRule="auto"/>
        <w:ind w:left="600" w:right="897" w:firstLine="420"/>
        <w:jc w:val="left"/>
        <w:rPr>
          <w:sz w:val="24"/>
        </w:rPr>
      </w:pPr>
      <w:r>
        <w:rPr>
          <w:sz w:val="24"/>
        </w:rPr>
        <w:t>限定施工活动范围、减少施工作业对土壤和植被的扰动和破坏、保护动植物等生态保护措施。</w:t>
      </w:r>
    </w:p>
    <w:p>
      <w:pPr>
        <w:pStyle w:val="9"/>
        <w:spacing w:before="1" w:line="364" w:lineRule="auto"/>
        <w:ind w:left="600" w:right="897" w:firstLine="420"/>
        <w:jc w:val="both"/>
      </w:pPr>
      <w:r>
        <w:rPr>
          <w:rFonts w:ascii="Times New Roman" w:eastAsia="Times New Roman"/>
        </w:rPr>
        <w:t>4</w:t>
      </w:r>
      <w:r>
        <w:rPr>
          <w:spacing w:val="-6"/>
        </w:rPr>
        <w:t xml:space="preserve">、施工单位要严格执行施工前的 </w:t>
      </w:r>
      <w:r>
        <w:rPr>
          <w:rFonts w:ascii="Times New Roman" w:eastAsia="Times New Roman"/>
        </w:rPr>
        <w:t xml:space="preserve">HSE </w:t>
      </w:r>
      <w:r>
        <w:rPr>
          <w:spacing w:val="-2"/>
        </w:rPr>
        <w:t>培训考核制度，施工人员必须经过相</w:t>
      </w:r>
      <w:r>
        <w:rPr>
          <w:spacing w:val="-7"/>
        </w:rPr>
        <w:t>关部门的环保知识的宣传、教育和培训考核之后，成绩合格者方能进行施工，施</w:t>
      </w:r>
      <w:r>
        <w:t>工时要做到文明施工，环保施工。</w:t>
      </w:r>
    </w:p>
    <w:p>
      <w:pPr>
        <w:spacing w:after="0" w:line="364" w:lineRule="auto"/>
        <w:jc w:val="both"/>
        <w:sectPr>
          <w:pgSz w:w="11910" w:h="16840"/>
          <w:pgMar w:top="1460" w:right="900" w:bottom="1180" w:left="1200" w:header="0" w:footer="993" w:gutter="0"/>
        </w:sectPr>
      </w:pPr>
    </w:p>
    <w:p>
      <w:pPr>
        <w:pStyle w:val="9"/>
        <w:spacing w:before="62" w:line="364" w:lineRule="auto"/>
        <w:ind w:left="600" w:right="897" w:firstLine="420"/>
        <w:jc w:val="both"/>
      </w:pPr>
      <w:r>
        <w:rPr>
          <w:rFonts w:ascii="Times New Roman" w:eastAsia="Times New Roman"/>
        </w:rPr>
        <w:t>5</w:t>
      </w:r>
      <w:r>
        <w:t>、施工单位要严格执行施工期的各项环保规定，落实各项环保措施，按要</w:t>
      </w:r>
      <w:r>
        <w:rPr>
          <w:spacing w:val="-7"/>
        </w:rPr>
        <w:t>求选择适宜的施工时间、尽量缩少施工范围、废渣和垃圾集中堆放、泥浆和废土</w:t>
      </w:r>
      <w:r>
        <w:t>等按规定进行处置、施工结束后做到工完料净、按规定对土地进行恢复。</w:t>
      </w:r>
    </w:p>
    <w:p>
      <w:pPr>
        <w:pStyle w:val="9"/>
        <w:spacing w:before="2" w:line="364" w:lineRule="auto"/>
        <w:ind w:left="600" w:right="897" w:firstLine="420"/>
      </w:pPr>
      <w:r>
        <w:rPr>
          <w:rFonts w:ascii="Times New Roman" w:eastAsia="Times New Roman"/>
        </w:rPr>
        <w:t>6</w:t>
      </w:r>
      <w:r>
        <w:t>、为加强管理施工单位作业范围，明确施工人员作业区域，应在施工作业带两侧树立明显标志，严禁跨区域施工。</w:t>
      </w:r>
    </w:p>
    <w:p>
      <w:pPr>
        <w:pStyle w:val="9"/>
        <w:spacing w:before="1" w:line="364" w:lineRule="auto"/>
        <w:ind w:left="600" w:right="897" w:firstLine="420"/>
      </w:pPr>
      <w:r>
        <w:rPr>
          <w:rFonts w:ascii="Times New Roman" w:eastAsia="Times New Roman"/>
        </w:rPr>
        <w:t>7</w:t>
      </w:r>
      <w:r>
        <w:t>、建设单位的环境监管人员应随时对施工现场的环保设施、作业环境，以及环保措施的落实执行情况进行认真的检查，并做好记录。</w:t>
      </w:r>
    </w:p>
    <w:p>
      <w:pPr>
        <w:pStyle w:val="9"/>
        <w:spacing w:before="1"/>
        <w:ind w:left="1020"/>
      </w:pPr>
      <w:r>
        <w:rPr>
          <w:rFonts w:ascii="Times New Roman" w:eastAsia="Times New Roman"/>
        </w:rPr>
        <w:t>8</w:t>
      </w:r>
      <w:r>
        <w:t>、对施工中出现的与环保有关的问题进行及时的协调和解决。</w:t>
      </w:r>
    </w:p>
    <w:p>
      <w:pPr>
        <w:pStyle w:val="9"/>
        <w:spacing w:before="161" w:line="364" w:lineRule="auto"/>
        <w:ind w:left="600" w:right="897" w:firstLine="420"/>
      </w:pPr>
      <w:r>
        <w:rPr>
          <w:rFonts w:ascii="Times New Roman" w:eastAsia="Times New Roman"/>
        </w:rPr>
        <w:t>9</w:t>
      </w:r>
      <w:r>
        <w:t>、施工单位应根据当地环境合理选择布设施工营地，制定施工营地管理条例，条例中应包括对人员活动范围、生活垃圾及其他废物的管理。</w:t>
      </w:r>
    </w:p>
    <w:p>
      <w:pPr>
        <w:pStyle w:val="5"/>
        <w:numPr>
          <w:ilvl w:val="1"/>
          <w:numId w:val="87"/>
        </w:numPr>
        <w:tabs>
          <w:tab w:val="left" w:pos="1200"/>
        </w:tabs>
        <w:spacing w:before="42" w:after="0" w:line="240" w:lineRule="auto"/>
        <w:ind w:left="1200" w:right="0" w:hanging="600"/>
        <w:jc w:val="left"/>
      </w:pPr>
      <w:bookmarkStart w:id="696" w:name="_bookmark75"/>
      <w:bookmarkEnd w:id="696"/>
      <w:bookmarkStart w:id="697" w:name="_bookmark75"/>
      <w:bookmarkEnd w:id="697"/>
      <w:bookmarkStart w:id="698" w:name="13.2环境管理机构及职责"/>
      <w:bookmarkEnd w:id="698"/>
      <w:r>
        <w:t>环境管理机构及职责</w:t>
      </w:r>
    </w:p>
    <w:p>
      <w:pPr>
        <w:pStyle w:val="6"/>
        <w:numPr>
          <w:ilvl w:val="2"/>
          <w:numId w:val="88"/>
        </w:numPr>
        <w:tabs>
          <w:tab w:val="left" w:pos="1371"/>
        </w:tabs>
        <w:spacing w:before="252" w:after="0" w:line="240" w:lineRule="auto"/>
        <w:ind w:left="1370" w:right="0" w:hanging="771"/>
        <w:jc w:val="left"/>
      </w:pPr>
      <w:bookmarkStart w:id="699" w:name="13.2.1环境管理目的"/>
      <w:bookmarkEnd w:id="699"/>
      <w:bookmarkStart w:id="700" w:name="13.2.1环境管理目的"/>
      <w:bookmarkEnd w:id="700"/>
      <w:r>
        <w:t>环境管理目的</w:t>
      </w:r>
    </w:p>
    <w:p>
      <w:pPr>
        <w:pStyle w:val="9"/>
        <w:spacing w:before="212" w:line="364" w:lineRule="auto"/>
        <w:ind w:left="600" w:right="775" w:firstLine="420"/>
      </w:pPr>
      <w:r>
        <w:rPr>
          <w:spacing w:val="-4"/>
        </w:rPr>
        <w:t>通过环境管理，使工程环保措施得以落实，及时发现和改进环保措施的不足</w:t>
      </w:r>
      <w:r>
        <w:rPr>
          <w:spacing w:val="-11"/>
        </w:rPr>
        <w:t>之处，以便有效地控制环境污染。使工程建设符合国家经济建设和环境保护的有</w:t>
      </w:r>
      <w:r>
        <w:rPr>
          <w:spacing w:val="-17"/>
        </w:rPr>
        <w:t>关要求，使地方环保部门具有可监督的依据。监督检查</w:t>
      </w:r>
      <w:r>
        <w:rPr>
          <w:rFonts w:ascii="Times New Roman" w:hAnsi="Times New Roman" w:eastAsia="Times New Roman"/>
        </w:rPr>
        <w:t>“</w:t>
      </w:r>
      <w:r>
        <w:t>三同时</w:t>
      </w:r>
      <w:r>
        <w:rPr>
          <w:rFonts w:ascii="Times New Roman" w:hAnsi="Times New Roman" w:eastAsia="Times New Roman"/>
        </w:rPr>
        <w:t>”</w:t>
      </w:r>
      <w:r>
        <w:rPr>
          <w:spacing w:val="-3"/>
        </w:rPr>
        <w:t>方针的执行情况。</w:t>
      </w:r>
      <w:r>
        <w:rPr>
          <w:spacing w:val="-6"/>
        </w:rPr>
        <w:t>通过环保措施的实施及环境管理，把矿山建设对周围环境带来的不利影响，减轻到最低程度。</w:t>
      </w:r>
    </w:p>
    <w:p>
      <w:pPr>
        <w:pStyle w:val="6"/>
        <w:numPr>
          <w:ilvl w:val="2"/>
          <w:numId w:val="88"/>
        </w:numPr>
        <w:tabs>
          <w:tab w:val="left" w:pos="1371"/>
        </w:tabs>
        <w:spacing w:before="56" w:after="0" w:line="240" w:lineRule="auto"/>
        <w:ind w:left="1370" w:right="0" w:hanging="771"/>
        <w:jc w:val="left"/>
      </w:pPr>
      <w:bookmarkStart w:id="701" w:name="13.2.2环境管理体系"/>
      <w:bookmarkEnd w:id="701"/>
      <w:bookmarkStart w:id="702" w:name="13.2.2环境管理体系"/>
      <w:bookmarkEnd w:id="702"/>
      <w:r>
        <w:t>环境管理体系</w:t>
      </w:r>
    </w:p>
    <w:p>
      <w:pPr>
        <w:pStyle w:val="9"/>
        <w:spacing w:before="212" w:line="364" w:lineRule="auto"/>
        <w:ind w:left="600" w:right="805" w:firstLine="480"/>
      </w:pPr>
      <w:r>
        <w:rPr>
          <w:spacing w:val="-5"/>
        </w:rPr>
        <w:t>企业环境管理体系作为企业管理体系中的一部分，应与之相协调统一。实行企业矿长领导下的</w:t>
      </w:r>
      <w:r>
        <w:rPr>
          <w:rFonts w:ascii="Times New Roman" w:hAnsi="Times New Roman" w:eastAsia="Times New Roman"/>
          <w:spacing w:val="-5"/>
        </w:rPr>
        <w:t>“</w:t>
      </w:r>
      <w:r>
        <w:rPr>
          <w:spacing w:val="-5"/>
        </w:rPr>
        <w:t>一人主管，分工负责；职能部门，各负其责；落实基层，监督考核</w:t>
      </w:r>
      <w:r>
        <w:rPr>
          <w:rFonts w:ascii="Times New Roman" w:hAnsi="Times New Roman" w:eastAsia="Times New Roman"/>
          <w:spacing w:val="-5"/>
        </w:rPr>
        <w:t>”</w:t>
      </w:r>
      <w:r>
        <w:rPr>
          <w:spacing w:val="-5"/>
        </w:rPr>
        <w:t>的原则，建立以企业领导为核心，环保人员为基础的全员责任制的环境</w:t>
      </w:r>
      <w:r>
        <w:rPr>
          <w:spacing w:val="-6"/>
        </w:rPr>
        <w:t xml:space="preserve">管理体系。使环境管理贯穿于企业管理的整个过程，并落实到企业的各个层次， </w:t>
      </w:r>
      <w:r>
        <w:rPr>
          <w:spacing w:val="-7"/>
        </w:rPr>
        <w:t>分解到生产的各个环节，把企业管理与环境管理紧密地结合起来，不但要建立完</w:t>
      </w:r>
      <w:r>
        <w:rPr>
          <w:spacing w:val="-13"/>
        </w:rPr>
        <w:t>善的企业管理体系和各项规章制度，也要建立完善的环境管理体系和各项规章制度，使企业的环境管理工作真正落到实处。</w:t>
      </w:r>
    </w:p>
    <w:p>
      <w:pPr>
        <w:pStyle w:val="9"/>
        <w:spacing w:before="4" w:line="364" w:lineRule="auto"/>
        <w:ind w:left="600" w:right="775" w:firstLine="480"/>
        <w:jc w:val="both"/>
      </w:pPr>
      <w:r>
        <w:rPr>
          <w:spacing w:val="-8"/>
        </w:rPr>
        <w:t>本项目建设后，应设兼职环保监督人员，配备必要的现代化管理手段；建立</w:t>
      </w:r>
      <w:r>
        <w:rPr>
          <w:spacing w:val="-13"/>
        </w:rPr>
        <w:t>严格的环保岗位责任制，在污水排放和矸石临时堆放场地、井下水仓等关键环节</w:t>
      </w:r>
      <w:r>
        <w:rPr>
          <w:spacing w:val="-19"/>
        </w:rPr>
        <w:t>上必须管理看护；另外应建立计算机辅助管理系统，使之更好地利用经济、技术、</w:t>
      </w:r>
    </w:p>
    <w:p>
      <w:pPr>
        <w:spacing w:after="0" w:line="364" w:lineRule="auto"/>
        <w:jc w:val="both"/>
        <w:sectPr>
          <w:pgSz w:w="11910" w:h="16840"/>
          <w:pgMar w:top="1440" w:right="900" w:bottom="1180" w:left="1200" w:header="0" w:footer="993" w:gutter="0"/>
        </w:sectPr>
      </w:pPr>
    </w:p>
    <w:p>
      <w:pPr>
        <w:pStyle w:val="9"/>
        <w:spacing w:before="42" w:line="364" w:lineRule="auto"/>
        <w:ind w:left="600" w:right="897"/>
      </w:pPr>
      <w:r>
        <w:rPr>
          <w:spacing w:val="-9"/>
        </w:rPr>
        <w:t>行政和教育手段，对损害环境质量的生产活动加以限制，协调好发展经济与环境</w:t>
      </w:r>
      <w:r>
        <w:t>保护的关系，使经济效益与环境效益相协调统一。</w:t>
      </w:r>
    </w:p>
    <w:p>
      <w:pPr>
        <w:pStyle w:val="6"/>
        <w:numPr>
          <w:ilvl w:val="2"/>
          <w:numId w:val="88"/>
        </w:numPr>
        <w:tabs>
          <w:tab w:val="left" w:pos="1371"/>
        </w:tabs>
        <w:spacing w:before="55" w:after="0" w:line="240" w:lineRule="auto"/>
        <w:ind w:left="1370" w:right="0" w:hanging="771"/>
        <w:jc w:val="left"/>
      </w:pPr>
      <w:bookmarkStart w:id="703" w:name="13.2.3环保管理职责"/>
      <w:bookmarkEnd w:id="703"/>
      <w:bookmarkStart w:id="704" w:name="13.2.3环保管理职责"/>
      <w:bookmarkEnd w:id="704"/>
      <w:r>
        <w:t>环保管理职责</w:t>
      </w:r>
    </w:p>
    <w:p>
      <w:pPr>
        <w:pStyle w:val="18"/>
        <w:numPr>
          <w:ilvl w:val="3"/>
          <w:numId w:val="88"/>
        </w:numPr>
        <w:tabs>
          <w:tab w:val="left" w:pos="1681"/>
        </w:tabs>
        <w:spacing w:before="211" w:after="0" w:line="240" w:lineRule="auto"/>
        <w:ind w:left="1681" w:right="0" w:hanging="601"/>
        <w:jc w:val="left"/>
        <w:rPr>
          <w:sz w:val="24"/>
        </w:rPr>
      </w:pPr>
      <w:r>
        <w:rPr>
          <w:sz w:val="24"/>
        </w:rPr>
        <w:t>贯彻执行国家及地方环境保护的有关方针、政策、法规等。</w:t>
      </w:r>
    </w:p>
    <w:p>
      <w:pPr>
        <w:pStyle w:val="18"/>
        <w:numPr>
          <w:ilvl w:val="3"/>
          <w:numId w:val="88"/>
        </w:numPr>
        <w:tabs>
          <w:tab w:val="left" w:pos="1681"/>
        </w:tabs>
        <w:spacing w:before="161" w:after="0" w:line="364" w:lineRule="auto"/>
        <w:ind w:left="600" w:right="900" w:firstLine="480"/>
        <w:jc w:val="left"/>
        <w:rPr>
          <w:sz w:val="24"/>
        </w:rPr>
      </w:pPr>
      <w:r>
        <w:rPr>
          <w:spacing w:val="-1"/>
          <w:sz w:val="24"/>
        </w:rPr>
        <w:t>结合本企业情况及排污特点，制定企业的环境管理计划和环境监测计</w:t>
      </w:r>
      <w:r>
        <w:rPr>
          <w:sz w:val="24"/>
        </w:rPr>
        <w:t>划，并监督落实。</w:t>
      </w:r>
    </w:p>
    <w:p>
      <w:pPr>
        <w:pStyle w:val="18"/>
        <w:numPr>
          <w:ilvl w:val="3"/>
          <w:numId w:val="88"/>
        </w:numPr>
        <w:tabs>
          <w:tab w:val="left" w:pos="1681"/>
        </w:tabs>
        <w:spacing w:before="1" w:after="0" w:line="364" w:lineRule="auto"/>
        <w:ind w:left="600" w:right="897" w:firstLine="480"/>
        <w:jc w:val="both"/>
        <w:rPr>
          <w:sz w:val="24"/>
        </w:rPr>
      </w:pPr>
      <w:r>
        <w:rPr>
          <w:spacing w:val="-1"/>
          <w:sz w:val="24"/>
        </w:rPr>
        <w:t>审定，落实并督促实施污染治理方案，监督企业污染治理资金的落实</w:t>
      </w:r>
      <w:r>
        <w:rPr>
          <w:spacing w:val="-11"/>
          <w:sz w:val="24"/>
        </w:rPr>
        <w:t>和使用情况。负责全矿的环境管理、污染源监测及各项环保设施的正常运行的监</w:t>
      </w:r>
      <w:r>
        <w:rPr>
          <w:sz w:val="24"/>
        </w:rPr>
        <w:t>督管理工作。</w:t>
      </w:r>
    </w:p>
    <w:p>
      <w:pPr>
        <w:pStyle w:val="18"/>
        <w:numPr>
          <w:ilvl w:val="3"/>
          <w:numId w:val="88"/>
        </w:numPr>
        <w:tabs>
          <w:tab w:val="left" w:pos="1681"/>
        </w:tabs>
        <w:spacing w:before="2" w:after="0" w:line="364" w:lineRule="auto"/>
        <w:ind w:left="600" w:right="900" w:firstLine="480"/>
        <w:jc w:val="left"/>
        <w:rPr>
          <w:sz w:val="24"/>
        </w:rPr>
      </w:pPr>
      <w:r>
        <w:rPr>
          <w:spacing w:val="-1"/>
          <w:sz w:val="24"/>
        </w:rPr>
        <w:t>组织有关部门制定出本企业环境管理办法和企业的污染事故的应急措</w:t>
      </w:r>
      <w:r>
        <w:rPr>
          <w:sz w:val="24"/>
        </w:rPr>
        <w:t>施，制止或减缓对周围环境的污染。</w:t>
      </w:r>
    </w:p>
    <w:p>
      <w:pPr>
        <w:pStyle w:val="18"/>
        <w:numPr>
          <w:ilvl w:val="3"/>
          <w:numId w:val="88"/>
        </w:numPr>
        <w:tabs>
          <w:tab w:val="left" w:pos="1681"/>
        </w:tabs>
        <w:spacing w:before="1" w:after="0" w:line="364" w:lineRule="auto"/>
        <w:ind w:left="600" w:right="897" w:firstLine="480"/>
        <w:jc w:val="both"/>
        <w:rPr>
          <w:sz w:val="24"/>
        </w:rPr>
      </w:pPr>
      <w:r>
        <w:rPr>
          <w:spacing w:val="-1"/>
          <w:sz w:val="24"/>
        </w:rPr>
        <w:t>协同上级环境管理部门检查本企业的环境保护工作、污染治理设施的</w:t>
      </w:r>
      <w:r>
        <w:rPr>
          <w:spacing w:val="-10"/>
          <w:sz w:val="24"/>
        </w:rPr>
        <w:t>运行情况。定期对厂内污染情况进行分析总结，为环保设施的更新改造提供可靠</w:t>
      </w:r>
      <w:r>
        <w:rPr>
          <w:sz w:val="24"/>
        </w:rPr>
        <w:t>依据。</w:t>
      </w:r>
    </w:p>
    <w:p>
      <w:pPr>
        <w:pStyle w:val="18"/>
        <w:numPr>
          <w:ilvl w:val="3"/>
          <w:numId w:val="88"/>
        </w:numPr>
        <w:tabs>
          <w:tab w:val="left" w:pos="1681"/>
        </w:tabs>
        <w:spacing w:before="2" w:after="0" w:line="364" w:lineRule="auto"/>
        <w:ind w:left="600" w:right="900" w:firstLine="480"/>
        <w:jc w:val="left"/>
        <w:rPr>
          <w:sz w:val="24"/>
        </w:rPr>
      </w:pPr>
      <w:r>
        <w:rPr>
          <w:spacing w:val="-1"/>
          <w:sz w:val="24"/>
        </w:rPr>
        <w:t>组织宣传教育，与本单位的有关部门一起大力普及全矿职工的环境法</w:t>
      </w:r>
      <w:r>
        <w:rPr>
          <w:sz w:val="24"/>
        </w:rPr>
        <w:t>规及环境科学知识，提高职工的环境保护意识。</w:t>
      </w:r>
    </w:p>
    <w:p>
      <w:pPr>
        <w:pStyle w:val="18"/>
        <w:numPr>
          <w:ilvl w:val="3"/>
          <w:numId w:val="88"/>
        </w:numPr>
        <w:tabs>
          <w:tab w:val="left" w:pos="1681"/>
        </w:tabs>
        <w:spacing w:before="1" w:after="0" w:line="364" w:lineRule="auto"/>
        <w:ind w:left="600" w:right="777" w:firstLine="480"/>
        <w:jc w:val="left"/>
        <w:rPr>
          <w:sz w:val="24"/>
        </w:rPr>
      </w:pPr>
      <w:r>
        <w:rPr>
          <w:spacing w:val="-6"/>
          <w:sz w:val="24"/>
        </w:rPr>
        <w:t>宣传清洁生产思想，协同生产技术部门对现有生产设施进行技术改造</w:t>
      </w:r>
      <w:r>
        <w:rPr>
          <w:spacing w:val="-4"/>
          <w:sz w:val="24"/>
        </w:rPr>
        <w:t>，尽可能将污染控制在生产过程中。</w:t>
      </w:r>
    </w:p>
    <w:p>
      <w:pPr>
        <w:pStyle w:val="18"/>
        <w:numPr>
          <w:ilvl w:val="3"/>
          <w:numId w:val="88"/>
        </w:numPr>
        <w:tabs>
          <w:tab w:val="left" w:pos="1681"/>
        </w:tabs>
        <w:spacing w:before="1" w:after="0" w:line="364" w:lineRule="auto"/>
        <w:ind w:left="600" w:right="900" w:firstLine="480"/>
        <w:jc w:val="left"/>
        <w:rPr>
          <w:sz w:val="24"/>
        </w:rPr>
      </w:pPr>
      <w:r>
        <w:rPr>
          <w:spacing w:val="-1"/>
          <w:sz w:val="24"/>
        </w:rPr>
        <w:t>建立全矿污染源、污染物治理、排放浓度及总量等数据库。编制企业</w:t>
      </w:r>
      <w:r>
        <w:rPr>
          <w:sz w:val="24"/>
        </w:rPr>
        <w:t>污染源监测的月报表、年报表及环境管理质量报告。</w:t>
      </w:r>
    </w:p>
    <w:p>
      <w:pPr>
        <w:pStyle w:val="18"/>
        <w:numPr>
          <w:ilvl w:val="3"/>
          <w:numId w:val="88"/>
        </w:numPr>
        <w:tabs>
          <w:tab w:val="left" w:pos="1681"/>
        </w:tabs>
        <w:spacing w:before="1" w:after="0" w:line="240" w:lineRule="auto"/>
        <w:ind w:left="1681" w:right="0" w:hanging="601"/>
        <w:jc w:val="left"/>
        <w:rPr>
          <w:sz w:val="24"/>
        </w:rPr>
      </w:pPr>
      <w:r>
        <w:rPr>
          <w:sz w:val="24"/>
        </w:rPr>
        <w:t>加强沉陷区的监测管理，发现问题，随时处理。</w:t>
      </w:r>
    </w:p>
    <w:p>
      <w:pPr>
        <w:pStyle w:val="6"/>
        <w:numPr>
          <w:ilvl w:val="2"/>
          <w:numId w:val="88"/>
        </w:numPr>
        <w:tabs>
          <w:tab w:val="left" w:pos="1371"/>
        </w:tabs>
        <w:spacing w:before="215" w:after="0" w:line="240" w:lineRule="auto"/>
        <w:ind w:left="1370" w:right="0" w:hanging="771"/>
        <w:jc w:val="left"/>
      </w:pPr>
      <w:bookmarkStart w:id="705" w:name="13.2.4管理手段"/>
      <w:bookmarkEnd w:id="705"/>
      <w:bookmarkStart w:id="706" w:name="13.2.4管理手段"/>
      <w:bookmarkEnd w:id="706"/>
      <w:r>
        <w:t>管理手段</w:t>
      </w:r>
    </w:p>
    <w:p>
      <w:pPr>
        <w:pStyle w:val="18"/>
        <w:numPr>
          <w:ilvl w:val="0"/>
          <w:numId w:val="89"/>
        </w:numPr>
        <w:tabs>
          <w:tab w:val="left" w:pos="1681"/>
        </w:tabs>
        <w:spacing w:before="211" w:after="0" w:line="240" w:lineRule="auto"/>
        <w:ind w:left="1681" w:right="0" w:hanging="601"/>
        <w:jc w:val="left"/>
        <w:rPr>
          <w:sz w:val="24"/>
        </w:rPr>
      </w:pPr>
      <w:r>
        <w:rPr>
          <w:sz w:val="24"/>
        </w:rPr>
        <w:t>行政手段</w:t>
      </w:r>
    </w:p>
    <w:p>
      <w:pPr>
        <w:pStyle w:val="9"/>
        <w:spacing w:before="161" w:line="364" w:lineRule="auto"/>
        <w:ind w:left="600" w:right="897" w:firstLine="480"/>
      </w:pPr>
      <w:r>
        <w:rPr>
          <w:spacing w:val="-7"/>
        </w:rPr>
        <w:t>将环境保护列入岗位责任制，以行政手段指导、督促和检查生产部门的环保</w:t>
      </w:r>
      <w:r>
        <w:t>工作，促使生产单位按要求完成环保任务。</w:t>
      </w:r>
    </w:p>
    <w:p>
      <w:pPr>
        <w:pStyle w:val="18"/>
        <w:numPr>
          <w:ilvl w:val="0"/>
          <w:numId w:val="89"/>
        </w:numPr>
        <w:tabs>
          <w:tab w:val="left" w:pos="1681"/>
        </w:tabs>
        <w:spacing w:before="1" w:after="0" w:line="240" w:lineRule="auto"/>
        <w:ind w:left="1681" w:right="0" w:hanging="601"/>
        <w:jc w:val="left"/>
        <w:rPr>
          <w:sz w:val="24"/>
        </w:rPr>
      </w:pPr>
      <w:r>
        <w:rPr>
          <w:sz w:val="24"/>
        </w:rPr>
        <w:t>法律手段</w:t>
      </w:r>
    </w:p>
    <w:p>
      <w:pPr>
        <w:pStyle w:val="9"/>
        <w:spacing w:before="160" w:line="364" w:lineRule="auto"/>
        <w:ind w:left="600" w:right="777" w:firstLine="480"/>
      </w:pPr>
      <w:r>
        <w:rPr>
          <w:spacing w:val="-5"/>
        </w:rPr>
        <w:t>环境管理部门在处理企业日常环境污染问题时，依据环境保护法律法规对违</w:t>
      </w:r>
      <w:r>
        <w:rPr>
          <w:spacing w:val="-16"/>
        </w:rPr>
        <w:t>反环境法律法规的单位和个人给予批评、警告、罚款，并对违法者追究法律责任。</w:t>
      </w:r>
    </w:p>
    <w:p>
      <w:pPr>
        <w:pStyle w:val="18"/>
        <w:numPr>
          <w:ilvl w:val="0"/>
          <w:numId w:val="89"/>
        </w:numPr>
        <w:tabs>
          <w:tab w:val="left" w:pos="1681"/>
        </w:tabs>
        <w:spacing w:before="2" w:after="0" w:line="240" w:lineRule="auto"/>
        <w:ind w:left="1681" w:right="0" w:hanging="601"/>
        <w:jc w:val="left"/>
        <w:rPr>
          <w:sz w:val="24"/>
        </w:rPr>
      </w:pPr>
      <w:r>
        <w:rPr>
          <w:sz w:val="24"/>
        </w:rPr>
        <w:t>经济手段</w:t>
      </w:r>
    </w:p>
    <w:p>
      <w:pPr>
        <w:spacing w:after="0" w:line="240" w:lineRule="auto"/>
        <w:jc w:val="left"/>
        <w:rPr>
          <w:sz w:val="24"/>
        </w:rPr>
        <w:sectPr>
          <w:pgSz w:w="11910" w:h="16840"/>
          <w:pgMar w:top="1460" w:right="900" w:bottom="1180" w:left="1200" w:header="0" w:footer="993" w:gutter="0"/>
        </w:sectPr>
      </w:pPr>
    </w:p>
    <w:p>
      <w:pPr>
        <w:pStyle w:val="9"/>
        <w:spacing w:before="42" w:line="364" w:lineRule="auto"/>
        <w:ind w:left="600" w:right="897" w:firstLine="480"/>
      </w:pPr>
      <w:r>
        <w:rPr>
          <w:spacing w:val="-5"/>
        </w:rPr>
        <w:t>对企业内部违反规定造成严重污染的生产部门和个人处以罚款，对积极开展</w:t>
      </w:r>
      <w:r>
        <w:t>废物综合利用的单位和个人给予奖励。</w:t>
      </w:r>
    </w:p>
    <w:p>
      <w:pPr>
        <w:pStyle w:val="18"/>
        <w:numPr>
          <w:ilvl w:val="0"/>
          <w:numId w:val="89"/>
        </w:numPr>
        <w:tabs>
          <w:tab w:val="left" w:pos="1681"/>
        </w:tabs>
        <w:spacing w:before="1" w:after="0" w:line="240" w:lineRule="auto"/>
        <w:ind w:left="1681" w:right="0" w:hanging="601"/>
        <w:jc w:val="left"/>
        <w:rPr>
          <w:sz w:val="24"/>
        </w:rPr>
      </w:pPr>
      <w:r>
        <w:rPr>
          <w:sz w:val="24"/>
        </w:rPr>
        <w:t>技术手段</w:t>
      </w:r>
    </w:p>
    <w:p>
      <w:pPr>
        <w:pStyle w:val="9"/>
        <w:spacing w:before="161" w:line="364" w:lineRule="auto"/>
        <w:ind w:left="600" w:right="805" w:firstLine="480"/>
      </w:pPr>
      <w:r>
        <w:t>通过环境监测对企业内部污染状况进行调查，组织开展环境影响评价工作， 在企业内部优先选用污染物产生量少的先进生产工艺、设备和与主体工程相配套防治污染治理设施。</w:t>
      </w:r>
    </w:p>
    <w:p>
      <w:pPr>
        <w:pStyle w:val="18"/>
        <w:numPr>
          <w:ilvl w:val="0"/>
          <w:numId w:val="89"/>
        </w:numPr>
        <w:tabs>
          <w:tab w:val="left" w:pos="1681"/>
        </w:tabs>
        <w:spacing w:before="1" w:after="0" w:line="240" w:lineRule="auto"/>
        <w:ind w:left="1681" w:right="0" w:hanging="601"/>
        <w:jc w:val="left"/>
        <w:rPr>
          <w:sz w:val="24"/>
        </w:rPr>
      </w:pPr>
      <w:r>
        <w:rPr>
          <w:sz w:val="24"/>
        </w:rPr>
        <w:t>教育手段</w:t>
      </w:r>
    </w:p>
    <w:p>
      <w:pPr>
        <w:pStyle w:val="9"/>
        <w:spacing w:before="161" w:line="364" w:lineRule="auto"/>
        <w:ind w:left="600" w:right="897" w:firstLine="480"/>
      </w:pPr>
      <w:r>
        <w:rPr>
          <w:spacing w:val="-7"/>
        </w:rPr>
        <w:t>定期组织环保专业业务培训，开展环境教育，提高职工的环境意识，使职工</w:t>
      </w:r>
      <w:r>
        <w:t>自觉地为保护环境进行不懈的努力。</w:t>
      </w:r>
    </w:p>
    <w:p>
      <w:pPr>
        <w:pStyle w:val="6"/>
        <w:numPr>
          <w:ilvl w:val="2"/>
          <w:numId w:val="88"/>
        </w:numPr>
        <w:tabs>
          <w:tab w:val="left" w:pos="1371"/>
        </w:tabs>
        <w:spacing w:before="55" w:after="0" w:line="240" w:lineRule="auto"/>
        <w:ind w:left="1370" w:right="0" w:hanging="771"/>
        <w:jc w:val="left"/>
      </w:pPr>
      <w:bookmarkStart w:id="707" w:name="13.2.5环境管理目标"/>
      <w:bookmarkEnd w:id="707"/>
      <w:bookmarkStart w:id="708" w:name="13.2.5环境管理目标"/>
      <w:bookmarkEnd w:id="708"/>
      <w:r>
        <w:rPr>
          <w:spacing w:val="-1"/>
          <w:w w:val="95"/>
        </w:rPr>
        <w:t>环境管理目标</w:t>
      </w:r>
    </w:p>
    <w:p>
      <w:pPr>
        <w:pStyle w:val="9"/>
        <w:spacing w:before="211" w:line="364" w:lineRule="auto"/>
        <w:ind w:left="600" w:right="805" w:firstLine="480"/>
        <w:jc w:val="both"/>
      </w:pPr>
      <w:r>
        <w:rPr>
          <w:spacing w:val="-4"/>
        </w:rPr>
        <w:t>本评价对该项目建设所带来的各种环境问题及所排污染物，分别提出了有效</w:t>
      </w:r>
      <w:r>
        <w:rPr>
          <w:spacing w:val="-12"/>
        </w:rPr>
        <w:t>污染防治措施，建设单位应认真履行，落实并监督环保设施的运行情况并加强管</w:t>
      </w:r>
      <w:r>
        <w:rPr>
          <w:spacing w:val="-13"/>
        </w:rPr>
        <w:t>理，定期监测各污染物排放浓度以达到预定的处理效果，具体管理目标见下表。</w:t>
      </w:r>
    </w:p>
    <w:p>
      <w:pPr>
        <w:spacing w:before="20"/>
        <w:ind w:left="2932" w:right="0" w:firstLine="0"/>
        <w:jc w:val="both"/>
        <w:rPr>
          <w:b/>
          <w:sz w:val="21"/>
        </w:rPr>
      </w:pPr>
      <w:r>
        <w:rPr>
          <w:b/>
          <w:spacing w:val="-26"/>
          <w:sz w:val="21"/>
        </w:rPr>
        <w:t xml:space="preserve">表 </w:t>
      </w:r>
      <w:r>
        <w:rPr>
          <w:rFonts w:ascii="Times New Roman" w:eastAsia="Times New Roman"/>
          <w:b/>
          <w:sz w:val="21"/>
        </w:rPr>
        <w:t>13.2-1</w:t>
      </w:r>
      <w:r>
        <w:rPr>
          <w:rFonts w:ascii="Times New Roman" w:eastAsia="Times New Roman"/>
          <w:b/>
          <w:spacing w:val="52"/>
          <w:sz w:val="21"/>
        </w:rPr>
        <w:t xml:space="preserve"> </w:t>
      </w:r>
      <w:r>
        <w:rPr>
          <w:b/>
          <w:sz w:val="21"/>
        </w:rPr>
        <w:t>环保处理设施和管理目标清单</w:t>
      </w:r>
    </w:p>
    <w:p>
      <w:pPr>
        <w:pStyle w:val="9"/>
        <w:spacing w:before="11"/>
        <w:rPr>
          <w:b/>
          <w:sz w:val="7"/>
        </w:rPr>
      </w:pPr>
    </w:p>
    <w:tbl>
      <w:tblPr>
        <w:tblStyle w:val="15"/>
        <w:tblW w:w="0" w:type="auto"/>
        <w:tblInd w:w="2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53"/>
        <w:gridCol w:w="1091"/>
        <w:gridCol w:w="1763"/>
        <w:gridCol w:w="4035"/>
        <w:gridCol w:w="14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tcBorders>
              <w:bottom w:val="single" w:color="000000" w:sz="4" w:space="0"/>
              <w:right w:val="single" w:color="000000" w:sz="4" w:space="0"/>
            </w:tcBorders>
          </w:tcPr>
          <w:p>
            <w:pPr>
              <w:pStyle w:val="19"/>
              <w:spacing w:before="76"/>
              <w:ind w:left="144" w:right="134"/>
              <w:rPr>
                <w:sz w:val="21"/>
              </w:rPr>
            </w:pPr>
            <w:r>
              <w:rPr>
                <w:sz w:val="21"/>
              </w:rPr>
              <w:t>序号</w:t>
            </w:r>
          </w:p>
        </w:tc>
        <w:tc>
          <w:tcPr>
            <w:tcW w:w="1091" w:type="dxa"/>
            <w:tcBorders>
              <w:left w:val="single" w:color="000000" w:sz="4" w:space="0"/>
              <w:bottom w:val="single" w:color="000000" w:sz="4" w:space="0"/>
              <w:right w:val="single" w:color="000000" w:sz="4" w:space="0"/>
            </w:tcBorders>
          </w:tcPr>
          <w:p>
            <w:pPr>
              <w:pStyle w:val="19"/>
              <w:spacing w:before="76"/>
              <w:ind w:left="317" w:right="303"/>
              <w:rPr>
                <w:sz w:val="21"/>
              </w:rPr>
            </w:pPr>
            <w:r>
              <w:rPr>
                <w:sz w:val="21"/>
              </w:rPr>
              <w:t>种类</w:t>
            </w:r>
          </w:p>
        </w:tc>
        <w:tc>
          <w:tcPr>
            <w:tcW w:w="1763" w:type="dxa"/>
            <w:tcBorders>
              <w:left w:val="single" w:color="000000" w:sz="4" w:space="0"/>
              <w:bottom w:val="single" w:color="000000" w:sz="4" w:space="0"/>
              <w:right w:val="single" w:color="000000" w:sz="4" w:space="0"/>
            </w:tcBorders>
          </w:tcPr>
          <w:p>
            <w:pPr>
              <w:pStyle w:val="19"/>
              <w:spacing w:before="76"/>
              <w:ind w:left="23" w:right="5"/>
              <w:rPr>
                <w:sz w:val="21"/>
              </w:rPr>
            </w:pPr>
            <w:r>
              <w:rPr>
                <w:sz w:val="21"/>
              </w:rPr>
              <w:t>主要污染物</w:t>
            </w:r>
          </w:p>
        </w:tc>
        <w:tc>
          <w:tcPr>
            <w:tcW w:w="4035" w:type="dxa"/>
            <w:tcBorders>
              <w:left w:val="single" w:color="000000" w:sz="4" w:space="0"/>
              <w:bottom w:val="single" w:color="000000" w:sz="4" w:space="0"/>
              <w:right w:val="single" w:color="000000" w:sz="4" w:space="0"/>
            </w:tcBorders>
          </w:tcPr>
          <w:p>
            <w:pPr>
              <w:pStyle w:val="19"/>
              <w:spacing w:before="76"/>
              <w:ind w:left="14"/>
              <w:rPr>
                <w:sz w:val="21"/>
              </w:rPr>
            </w:pPr>
            <w:r>
              <w:rPr>
                <w:sz w:val="21"/>
              </w:rPr>
              <w:t>环保设施</w:t>
            </w:r>
          </w:p>
        </w:tc>
        <w:tc>
          <w:tcPr>
            <w:tcW w:w="1480" w:type="dxa"/>
            <w:tcBorders>
              <w:left w:val="single" w:color="000000" w:sz="4" w:space="0"/>
              <w:bottom w:val="single" w:color="000000" w:sz="4" w:space="0"/>
            </w:tcBorders>
          </w:tcPr>
          <w:p>
            <w:pPr>
              <w:pStyle w:val="19"/>
              <w:spacing w:before="76"/>
              <w:ind w:left="19"/>
              <w:rPr>
                <w:sz w:val="21"/>
              </w:rPr>
            </w:pPr>
            <w:r>
              <w:rPr>
                <w:sz w:val="21"/>
              </w:rPr>
              <w:t>管理目标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6" w:hRule="atLeast"/>
        </w:trPr>
        <w:tc>
          <w:tcPr>
            <w:tcW w:w="753" w:type="dxa"/>
            <w:vMerge w:val="restart"/>
            <w:tcBorders>
              <w:top w:val="single" w:color="000000" w:sz="4" w:space="0"/>
              <w:bottom w:val="single" w:color="000000" w:sz="4" w:space="0"/>
              <w:right w:val="single" w:color="000000" w:sz="4" w:space="0"/>
            </w:tcBorders>
          </w:tcPr>
          <w:p>
            <w:pPr>
              <w:pStyle w:val="19"/>
              <w:jc w:val="left"/>
              <w:rPr>
                <w:b/>
                <w:sz w:val="22"/>
              </w:rPr>
            </w:pPr>
          </w:p>
          <w:p>
            <w:pPr>
              <w:pStyle w:val="19"/>
              <w:spacing w:before="9"/>
              <w:jc w:val="left"/>
              <w:rPr>
                <w:b/>
                <w:sz w:val="29"/>
              </w:rPr>
            </w:pPr>
          </w:p>
          <w:p>
            <w:pPr>
              <w:pStyle w:val="19"/>
              <w:ind w:left="13"/>
              <w:rPr>
                <w:rFonts w:ascii="Times New Roman"/>
                <w:sz w:val="21"/>
              </w:rPr>
            </w:pPr>
            <w:r>
              <w:rPr>
                <w:rFonts w:ascii="Times New Roman"/>
                <w:w w:val="99"/>
                <w:sz w:val="21"/>
              </w:rPr>
              <w:t>1</w:t>
            </w:r>
          </w:p>
        </w:tc>
        <w:tc>
          <w:tcPr>
            <w:tcW w:w="1091"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spacing w:before="136"/>
              <w:ind w:left="130"/>
              <w:jc w:val="left"/>
              <w:rPr>
                <w:sz w:val="21"/>
              </w:rPr>
            </w:pPr>
            <w:r>
              <w:rPr>
                <w:sz w:val="21"/>
              </w:rPr>
              <w:t>水污染物</w:t>
            </w:r>
          </w:p>
        </w:tc>
        <w:tc>
          <w:tcPr>
            <w:tcW w:w="1763" w:type="dxa"/>
            <w:tcBorders>
              <w:top w:val="single" w:color="000000" w:sz="4" w:space="0"/>
              <w:left w:val="single" w:color="000000" w:sz="4" w:space="0"/>
              <w:bottom w:val="single" w:color="000000" w:sz="4" w:space="0"/>
              <w:right w:val="single" w:color="000000" w:sz="4" w:space="0"/>
            </w:tcBorders>
          </w:tcPr>
          <w:p>
            <w:pPr>
              <w:pStyle w:val="19"/>
              <w:spacing w:before="11"/>
              <w:jc w:val="left"/>
              <w:rPr>
                <w:b/>
                <w:sz w:val="25"/>
              </w:rPr>
            </w:pPr>
          </w:p>
          <w:p>
            <w:pPr>
              <w:pStyle w:val="19"/>
              <w:spacing w:before="1"/>
              <w:ind w:left="23" w:right="10"/>
              <w:rPr>
                <w:sz w:val="21"/>
              </w:rPr>
            </w:pPr>
            <w:r>
              <w:rPr>
                <w:sz w:val="21"/>
              </w:rPr>
              <w:t>采煤废水</w:t>
            </w:r>
          </w:p>
        </w:tc>
        <w:tc>
          <w:tcPr>
            <w:tcW w:w="4035" w:type="dxa"/>
            <w:tcBorders>
              <w:top w:val="single" w:color="000000" w:sz="4" w:space="0"/>
              <w:left w:val="single" w:color="000000" w:sz="4" w:space="0"/>
              <w:bottom w:val="single" w:color="000000" w:sz="4" w:space="0"/>
              <w:right w:val="single" w:color="000000" w:sz="4" w:space="0"/>
            </w:tcBorders>
          </w:tcPr>
          <w:p>
            <w:pPr>
              <w:pStyle w:val="19"/>
              <w:spacing w:before="20" w:line="278" w:lineRule="auto"/>
              <w:ind w:left="33" w:right="12" w:hanging="3"/>
              <w:rPr>
                <w:sz w:val="21"/>
              </w:rPr>
            </w:pPr>
            <w:r>
              <w:rPr>
                <w:sz w:val="21"/>
              </w:rPr>
              <w:t>经过絮凝、沉淀、过滤、</w:t>
            </w:r>
            <w:r>
              <w:rPr>
                <w:rFonts w:ascii="Times New Roman" w:eastAsia="Times New Roman"/>
                <w:sz w:val="21"/>
              </w:rPr>
              <w:t xml:space="preserve">MBR </w:t>
            </w:r>
            <w:r>
              <w:rPr>
                <w:sz w:val="21"/>
              </w:rPr>
              <w:t>膜、消毒用</w:t>
            </w:r>
            <w:r>
              <w:rPr>
                <w:w w:val="95"/>
                <w:sz w:val="21"/>
              </w:rPr>
              <w:t>于井下与地面生产、消防用水。采煤废水日</w:t>
            </w:r>
          </w:p>
          <w:p>
            <w:pPr>
              <w:pStyle w:val="19"/>
              <w:spacing w:line="269" w:lineRule="exact"/>
              <w:ind w:left="16"/>
              <w:rPr>
                <w:sz w:val="21"/>
              </w:rPr>
            </w:pPr>
            <w:r>
              <w:rPr>
                <w:sz w:val="21"/>
              </w:rPr>
              <w:t xml:space="preserve">处理能力为 </w:t>
            </w:r>
            <w:r>
              <w:rPr>
                <w:rFonts w:ascii="Times New Roman" w:eastAsia="Times New Roman"/>
                <w:sz w:val="21"/>
              </w:rPr>
              <w:t>1600m</w:t>
            </w:r>
            <w:r>
              <w:rPr>
                <w:rFonts w:ascii="Times New Roman" w:eastAsia="Times New Roman"/>
                <w:position w:val="7"/>
                <w:sz w:val="13"/>
              </w:rPr>
              <w:t>3</w:t>
            </w:r>
            <w:r>
              <w:rPr>
                <w:rFonts w:ascii="Times New Roman" w:eastAsia="Times New Roman"/>
                <w:sz w:val="21"/>
              </w:rPr>
              <w:t>/d</w:t>
            </w:r>
            <w:r>
              <w:rPr>
                <w:sz w:val="21"/>
              </w:rPr>
              <w:t>。</w:t>
            </w:r>
          </w:p>
        </w:tc>
        <w:tc>
          <w:tcPr>
            <w:tcW w:w="1480" w:type="dxa"/>
            <w:tcBorders>
              <w:top w:val="single" w:color="000000" w:sz="4" w:space="0"/>
              <w:left w:val="single" w:color="000000" w:sz="4" w:space="0"/>
              <w:bottom w:val="single" w:color="000000" w:sz="4" w:space="0"/>
            </w:tcBorders>
          </w:tcPr>
          <w:p>
            <w:pPr>
              <w:pStyle w:val="19"/>
              <w:spacing w:before="176" w:line="278" w:lineRule="auto"/>
              <w:ind w:left="32" w:right="-44"/>
              <w:jc w:val="left"/>
              <w:rPr>
                <w:sz w:val="21"/>
              </w:rPr>
            </w:pPr>
            <w:r>
              <w:rPr>
                <w:spacing w:val="-8"/>
                <w:sz w:val="21"/>
              </w:rPr>
              <w:t>部分回用，剩余部分达标排放。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53" w:type="dxa"/>
            <w:vMerge w:val="continue"/>
            <w:tcBorders>
              <w:top w:val="nil"/>
              <w:bottom w:val="single" w:color="000000" w:sz="4" w:space="0"/>
              <w:right w:val="single" w:color="000000" w:sz="4" w:space="0"/>
            </w:tcBorders>
          </w:tcPr>
          <w:p>
            <w:pPr>
              <w:rPr>
                <w:sz w:val="2"/>
                <w:szCs w:val="2"/>
              </w:rPr>
            </w:pPr>
          </w:p>
        </w:tc>
        <w:tc>
          <w:tcPr>
            <w:tcW w:w="1091" w:type="dxa"/>
            <w:vMerge w:val="continue"/>
            <w:tcBorders>
              <w:top w:val="nil"/>
              <w:left w:val="single" w:color="000000" w:sz="4" w:space="0"/>
              <w:bottom w:val="single" w:color="000000" w:sz="4" w:space="0"/>
              <w:right w:val="single" w:color="000000" w:sz="4" w:space="0"/>
            </w:tcBorders>
          </w:tcPr>
          <w:p>
            <w:pPr>
              <w:rPr>
                <w:sz w:val="2"/>
                <w:szCs w:val="2"/>
              </w:rPr>
            </w:pPr>
          </w:p>
        </w:tc>
        <w:tc>
          <w:tcPr>
            <w:tcW w:w="1763" w:type="dxa"/>
            <w:tcBorders>
              <w:top w:val="single" w:color="000000" w:sz="4" w:space="0"/>
              <w:left w:val="single" w:color="000000" w:sz="4" w:space="0"/>
              <w:bottom w:val="single" w:color="000000" w:sz="4" w:space="0"/>
              <w:right w:val="single" w:color="000000" w:sz="4" w:space="0"/>
            </w:tcBorders>
          </w:tcPr>
          <w:p>
            <w:pPr>
              <w:pStyle w:val="19"/>
              <w:spacing w:before="22"/>
              <w:ind w:left="23" w:right="10"/>
              <w:rPr>
                <w:sz w:val="21"/>
              </w:rPr>
            </w:pPr>
            <w:r>
              <w:rPr>
                <w:sz w:val="21"/>
              </w:rPr>
              <w:t>生活污水及其他废</w:t>
            </w:r>
          </w:p>
          <w:p>
            <w:pPr>
              <w:pStyle w:val="19"/>
              <w:spacing w:before="43"/>
              <w:ind w:left="18"/>
              <w:rPr>
                <w:sz w:val="21"/>
              </w:rPr>
            </w:pPr>
            <w:r>
              <w:rPr>
                <w:w w:val="99"/>
                <w:sz w:val="21"/>
              </w:rPr>
              <w:t>水</w:t>
            </w:r>
          </w:p>
        </w:tc>
        <w:tc>
          <w:tcPr>
            <w:tcW w:w="4035" w:type="dxa"/>
            <w:tcBorders>
              <w:top w:val="single" w:color="000000" w:sz="4" w:space="0"/>
              <w:left w:val="single" w:color="000000" w:sz="4" w:space="0"/>
              <w:bottom w:val="single" w:color="000000" w:sz="4" w:space="0"/>
              <w:right w:val="single" w:color="000000" w:sz="4" w:space="0"/>
            </w:tcBorders>
          </w:tcPr>
          <w:p>
            <w:pPr>
              <w:pStyle w:val="19"/>
              <w:spacing w:before="22"/>
              <w:ind w:left="19"/>
              <w:rPr>
                <w:sz w:val="21"/>
              </w:rPr>
            </w:pPr>
            <w:r>
              <w:rPr>
                <w:sz w:val="21"/>
              </w:rPr>
              <w:t>采用一体化综合污水处理装置（</w:t>
            </w:r>
            <w:r>
              <w:rPr>
                <w:rFonts w:ascii="Times New Roman" w:eastAsia="Times New Roman"/>
                <w:sz w:val="21"/>
              </w:rPr>
              <w:t>SBR+</w:t>
            </w:r>
            <w:r>
              <w:rPr>
                <w:sz w:val="21"/>
              </w:rPr>
              <w:t>消</w:t>
            </w:r>
          </w:p>
          <w:p>
            <w:pPr>
              <w:pStyle w:val="19"/>
              <w:spacing w:before="43"/>
              <w:ind w:left="16"/>
              <w:rPr>
                <w:sz w:val="21"/>
              </w:rPr>
            </w:pPr>
            <w:r>
              <w:rPr>
                <w:sz w:val="21"/>
              </w:rPr>
              <w:t xml:space="preserve">毒），日处理能力为 </w:t>
            </w:r>
            <w:r>
              <w:rPr>
                <w:rFonts w:ascii="Times New Roman" w:eastAsia="Times New Roman"/>
                <w:sz w:val="21"/>
              </w:rPr>
              <w:t>200m</w:t>
            </w:r>
            <w:r>
              <w:rPr>
                <w:rFonts w:ascii="Times New Roman" w:eastAsia="Times New Roman"/>
                <w:position w:val="7"/>
                <w:sz w:val="13"/>
              </w:rPr>
              <w:t>3</w:t>
            </w:r>
            <w:r>
              <w:rPr>
                <w:rFonts w:ascii="Times New Roman" w:eastAsia="Times New Roman"/>
                <w:sz w:val="21"/>
              </w:rPr>
              <w:t>/h</w:t>
            </w:r>
            <w:r>
              <w:rPr>
                <w:sz w:val="21"/>
              </w:rPr>
              <w:t>。</w:t>
            </w:r>
          </w:p>
        </w:tc>
        <w:tc>
          <w:tcPr>
            <w:tcW w:w="1480" w:type="dxa"/>
            <w:tcBorders>
              <w:top w:val="single" w:color="000000" w:sz="4" w:space="0"/>
              <w:left w:val="single" w:color="000000" w:sz="4" w:space="0"/>
              <w:bottom w:val="single" w:color="000000" w:sz="4" w:space="0"/>
            </w:tcBorders>
          </w:tcPr>
          <w:p>
            <w:pPr>
              <w:pStyle w:val="19"/>
              <w:spacing w:before="22"/>
              <w:ind w:left="21"/>
              <w:rPr>
                <w:sz w:val="21"/>
              </w:rPr>
            </w:pPr>
            <w:r>
              <w:rPr>
                <w:spacing w:val="-8"/>
                <w:sz w:val="21"/>
              </w:rPr>
              <w:t>全部回用，不外</w:t>
            </w:r>
          </w:p>
          <w:p>
            <w:pPr>
              <w:pStyle w:val="19"/>
              <w:spacing w:before="43"/>
              <w:ind w:left="24"/>
              <w:rPr>
                <w:sz w:val="21"/>
              </w:rPr>
            </w:pPr>
            <w:r>
              <w:rPr>
                <w:w w:val="99"/>
                <w:sz w:val="21"/>
              </w:rPr>
              <w:t>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vMerge w:val="restart"/>
            <w:tcBorders>
              <w:top w:val="single" w:color="000000" w:sz="4" w:space="0"/>
              <w:bottom w:val="single" w:color="000000" w:sz="4" w:space="0"/>
              <w:right w:val="single" w:color="000000" w:sz="4" w:space="0"/>
            </w:tcBorders>
          </w:tcPr>
          <w:p>
            <w:pPr>
              <w:pStyle w:val="19"/>
              <w:jc w:val="left"/>
              <w:rPr>
                <w:b/>
                <w:sz w:val="22"/>
              </w:rPr>
            </w:pPr>
          </w:p>
          <w:p>
            <w:pPr>
              <w:pStyle w:val="19"/>
              <w:jc w:val="left"/>
              <w:rPr>
                <w:b/>
                <w:sz w:val="19"/>
              </w:rPr>
            </w:pPr>
          </w:p>
          <w:p>
            <w:pPr>
              <w:pStyle w:val="19"/>
              <w:ind w:left="13"/>
              <w:rPr>
                <w:rFonts w:ascii="Times New Roman"/>
                <w:sz w:val="21"/>
              </w:rPr>
            </w:pPr>
            <w:r>
              <w:rPr>
                <w:rFonts w:ascii="Times New Roman"/>
                <w:w w:val="99"/>
                <w:sz w:val="21"/>
              </w:rPr>
              <w:t>2</w:t>
            </w:r>
          </w:p>
        </w:tc>
        <w:tc>
          <w:tcPr>
            <w:tcW w:w="1091" w:type="dxa"/>
            <w:vMerge w:val="restart"/>
            <w:tcBorders>
              <w:top w:val="single" w:color="000000" w:sz="4" w:space="0"/>
              <w:left w:val="single" w:color="000000" w:sz="4" w:space="0"/>
              <w:bottom w:val="single" w:color="000000" w:sz="4" w:space="0"/>
              <w:right w:val="single" w:color="000000" w:sz="4" w:space="0"/>
            </w:tcBorders>
          </w:tcPr>
          <w:p>
            <w:pPr>
              <w:pStyle w:val="19"/>
              <w:spacing w:before="9"/>
              <w:jc w:val="left"/>
              <w:rPr>
                <w:b/>
                <w:sz w:val="27"/>
              </w:rPr>
            </w:pPr>
          </w:p>
          <w:p>
            <w:pPr>
              <w:pStyle w:val="19"/>
              <w:spacing w:line="278" w:lineRule="auto"/>
              <w:ind w:left="338" w:right="214" w:hanging="104"/>
              <w:jc w:val="left"/>
              <w:rPr>
                <w:sz w:val="21"/>
              </w:rPr>
            </w:pPr>
            <w:r>
              <w:rPr>
                <w:sz w:val="21"/>
              </w:rPr>
              <w:t>大气污染物</w:t>
            </w:r>
          </w:p>
        </w:tc>
        <w:tc>
          <w:tcPr>
            <w:tcW w:w="1763" w:type="dxa"/>
            <w:tcBorders>
              <w:top w:val="single" w:color="000000" w:sz="4" w:space="0"/>
              <w:left w:val="single" w:color="000000" w:sz="4" w:space="0"/>
              <w:bottom w:val="single" w:color="000000" w:sz="4" w:space="0"/>
              <w:right w:val="single" w:color="000000" w:sz="4" w:space="0"/>
            </w:tcBorders>
          </w:tcPr>
          <w:p>
            <w:pPr>
              <w:pStyle w:val="19"/>
              <w:spacing w:before="77"/>
              <w:ind w:left="23" w:right="10"/>
              <w:rPr>
                <w:sz w:val="21"/>
              </w:rPr>
            </w:pPr>
            <w:r>
              <w:rPr>
                <w:sz w:val="21"/>
              </w:rPr>
              <w:t>锅炉烟尘</w:t>
            </w:r>
          </w:p>
        </w:tc>
        <w:tc>
          <w:tcPr>
            <w:tcW w:w="4035" w:type="dxa"/>
            <w:tcBorders>
              <w:top w:val="single" w:color="000000" w:sz="4" w:space="0"/>
              <w:left w:val="single" w:color="000000" w:sz="4" w:space="0"/>
              <w:bottom w:val="single" w:color="000000" w:sz="4" w:space="0"/>
              <w:right w:val="single" w:color="000000" w:sz="4" w:space="0"/>
            </w:tcBorders>
          </w:tcPr>
          <w:p>
            <w:pPr>
              <w:pStyle w:val="19"/>
              <w:spacing w:before="77"/>
              <w:ind w:left="19"/>
              <w:rPr>
                <w:sz w:val="21"/>
              </w:rPr>
            </w:pPr>
            <w:r>
              <w:rPr>
                <w:sz w:val="21"/>
              </w:rPr>
              <w:t>布袋除尘器</w:t>
            </w:r>
          </w:p>
        </w:tc>
        <w:tc>
          <w:tcPr>
            <w:tcW w:w="1480" w:type="dxa"/>
            <w:tcBorders>
              <w:top w:val="single" w:color="000000" w:sz="4" w:space="0"/>
              <w:left w:val="single" w:color="000000" w:sz="4" w:space="0"/>
              <w:bottom w:val="single" w:color="000000" w:sz="4" w:space="0"/>
            </w:tcBorders>
          </w:tcPr>
          <w:p>
            <w:pPr>
              <w:pStyle w:val="19"/>
              <w:spacing w:before="77"/>
              <w:ind w:left="19"/>
              <w:rPr>
                <w:sz w:val="21"/>
              </w:rPr>
            </w:pPr>
            <w:r>
              <w:rPr>
                <w:sz w:val="21"/>
              </w:rPr>
              <w:t>达标排放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vMerge w:val="continue"/>
            <w:tcBorders>
              <w:top w:val="nil"/>
              <w:bottom w:val="single" w:color="000000" w:sz="4" w:space="0"/>
              <w:right w:val="single" w:color="000000" w:sz="4" w:space="0"/>
            </w:tcBorders>
          </w:tcPr>
          <w:p>
            <w:pPr>
              <w:rPr>
                <w:sz w:val="2"/>
                <w:szCs w:val="2"/>
              </w:rPr>
            </w:pPr>
          </w:p>
        </w:tc>
        <w:tc>
          <w:tcPr>
            <w:tcW w:w="1091" w:type="dxa"/>
            <w:vMerge w:val="continue"/>
            <w:tcBorders>
              <w:top w:val="nil"/>
              <w:left w:val="single" w:color="000000" w:sz="4" w:space="0"/>
              <w:bottom w:val="single" w:color="000000" w:sz="4" w:space="0"/>
              <w:right w:val="single" w:color="000000" w:sz="4" w:space="0"/>
            </w:tcBorders>
          </w:tcPr>
          <w:p>
            <w:pPr>
              <w:rPr>
                <w:sz w:val="2"/>
                <w:szCs w:val="2"/>
              </w:rPr>
            </w:pPr>
          </w:p>
        </w:tc>
        <w:tc>
          <w:tcPr>
            <w:tcW w:w="1763" w:type="dxa"/>
            <w:tcBorders>
              <w:top w:val="single" w:color="000000" w:sz="4" w:space="0"/>
              <w:left w:val="single" w:color="000000" w:sz="4" w:space="0"/>
              <w:bottom w:val="single" w:color="000000" w:sz="4" w:space="0"/>
              <w:right w:val="single" w:color="000000" w:sz="4" w:space="0"/>
            </w:tcBorders>
          </w:tcPr>
          <w:p>
            <w:pPr>
              <w:pStyle w:val="19"/>
              <w:spacing w:before="76"/>
              <w:ind w:left="23" w:right="7"/>
              <w:rPr>
                <w:sz w:val="21"/>
              </w:rPr>
            </w:pPr>
            <w:r>
              <w:rPr>
                <w:sz w:val="21"/>
              </w:rPr>
              <w:t>无组织排放粉尘</w:t>
            </w:r>
          </w:p>
        </w:tc>
        <w:tc>
          <w:tcPr>
            <w:tcW w:w="4035" w:type="dxa"/>
            <w:tcBorders>
              <w:top w:val="single" w:color="000000" w:sz="4" w:space="0"/>
              <w:left w:val="single" w:color="000000" w:sz="4" w:space="0"/>
              <w:bottom w:val="single" w:color="000000" w:sz="4" w:space="0"/>
              <w:right w:val="single" w:color="000000" w:sz="4" w:space="0"/>
            </w:tcBorders>
          </w:tcPr>
          <w:p>
            <w:pPr>
              <w:pStyle w:val="19"/>
              <w:spacing w:before="76"/>
              <w:ind w:left="19"/>
              <w:rPr>
                <w:sz w:val="21"/>
              </w:rPr>
            </w:pPr>
            <w:r>
              <w:rPr>
                <w:sz w:val="21"/>
              </w:rPr>
              <w:t>拟采用洒水降尘措施</w:t>
            </w:r>
          </w:p>
        </w:tc>
        <w:tc>
          <w:tcPr>
            <w:tcW w:w="1480" w:type="dxa"/>
            <w:tcBorders>
              <w:top w:val="single" w:color="000000" w:sz="4" w:space="0"/>
              <w:left w:val="single" w:color="000000" w:sz="4" w:space="0"/>
              <w:bottom w:val="single" w:color="000000" w:sz="4" w:space="0"/>
            </w:tcBorders>
          </w:tcPr>
          <w:p>
            <w:pPr>
              <w:pStyle w:val="19"/>
              <w:spacing w:before="76"/>
              <w:ind w:left="19"/>
              <w:rPr>
                <w:sz w:val="21"/>
              </w:rPr>
            </w:pPr>
            <w:r>
              <w:rPr>
                <w:sz w:val="21"/>
              </w:rPr>
              <w:t>达标排放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vMerge w:val="continue"/>
            <w:tcBorders>
              <w:top w:val="nil"/>
              <w:bottom w:val="single" w:color="000000" w:sz="4" w:space="0"/>
              <w:right w:val="single" w:color="000000" w:sz="4" w:space="0"/>
            </w:tcBorders>
          </w:tcPr>
          <w:p>
            <w:pPr>
              <w:rPr>
                <w:sz w:val="2"/>
                <w:szCs w:val="2"/>
              </w:rPr>
            </w:pPr>
          </w:p>
        </w:tc>
        <w:tc>
          <w:tcPr>
            <w:tcW w:w="1091" w:type="dxa"/>
            <w:vMerge w:val="continue"/>
            <w:tcBorders>
              <w:top w:val="nil"/>
              <w:left w:val="single" w:color="000000" w:sz="4" w:space="0"/>
              <w:bottom w:val="single" w:color="000000" w:sz="4" w:space="0"/>
              <w:right w:val="single" w:color="000000" w:sz="4" w:space="0"/>
            </w:tcBorders>
          </w:tcPr>
          <w:p>
            <w:pPr>
              <w:rPr>
                <w:sz w:val="2"/>
                <w:szCs w:val="2"/>
              </w:rPr>
            </w:pPr>
          </w:p>
        </w:tc>
        <w:tc>
          <w:tcPr>
            <w:tcW w:w="1763" w:type="dxa"/>
            <w:tcBorders>
              <w:top w:val="single" w:color="000000" w:sz="4" w:space="0"/>
              <w:left w:val="single" w:color="000000" w:sz="4" w:space="0"/>
              <w:bottom w:val="single" w:color="000000" w:sz="4" w:space="0"/>
              <w:right w:val="single" w:color="000000" w:sz="4" w:space="0"/>
            </w:tcBorders>
          </w:tcPr>
          <w:p>
            <w:pPr>
              <w:pStyle w:val="19"/>
              <w:spacing w:before="78"/>
              <w:ind w:left="23" w:right="10"/>
              <w:rPr>
                <w:sz w:val="21"/>
              </w:rPr>
            </w:pPr>
            <w:r>
              <w:rPr>
                <w:sz w:val="21"/>
              </w:rPr>
              <w:t>食堂油烟</w:t>
            </w:r>
          </w:p>
        </w:tc>
        <w:tc>
          <w:tcPr>
            <w:tcW w:w="4035" w:type="dxa"/>
            <w:tcBorders>
              <w:top w:val="single" w:color="000000" w:sz="4" w:space="0"/>
              <w:left w:val="single" w:color="000000" w:sz="4" w:space="0"/>
              <w:bottom w:val="single" w:color="000000" w:sz="4" w:space="0"/>
              <w:right w:val="single" w:color="000000" w:sz="4" w:space="0"/>
            </w:tcBorders>
          </w:tcPr>
          <w:p>
            <w:pPr>
              <w:pStyle w:val="19"/>
              <w:spacing w:before="78"/>
              <w:ind w:left="16"/>
              <w:rPr>
                <w:sz w:val="21"/>
              </w:rPr>
            </w:pPr>
            <w:r>
              <w:rPr>
                <w:sz w:val="21"/>
              </w:rPr>
              <w:t>油烟净化装置</w:t>
            </w:r>
          </w:p>
        </w:tc>
        <w:tc>
          <w:tcPr>
            <w:tcW w:w="1480" w:type="dxa"/>
            <w:tcBorders>
              <w:top w:val="single" w:color="000000" w:sz="4" w:space="0"/>
              <w:left w:val="single" w:color="000000" w:sz="4" w:space="0"/>
              <w:bottom w:val="single" w:color="000000" w:sz="4" w:space="0"/>
            </w:tcBorders>
          </w:tcPr>
          <w:p>
            <w:pPr>
              <w:pStyle w:val="19"/>
              <w:spacing w:before="78"/>
              <w:ind w:left="19"/>
              <w:rPr>
                <w:sz w:val="21"/>
              </w:rPr>
            </w:pPr>
            <w:r>
              <w:rPr>
                <w:sz w:val="21"/>
              </w:rPr>
              <w:t>达标排放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vMerge w:val="restart"/>
            <w:tcBorders>
              <w:top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7"/>
              <w:jc w:val="left"/>
              <w:rPr>
                <w:b/>
                <w:sz w:val="19"/>
              </w:rPr>
            </w:pPr>
          </w:p>
          <w:p>
            <w:pPr>
              <w:pStyle w:val="19"/>
              <w:ind w:left="13"/>
              <w:rPr>
                <w:rFonts w:ascii="Times New Roman"/>
                <w:sz w:val="21"/>
              </w:rPr>
            </w:pPr>
            <w:r>
              <w:rPr>
                <w:rFonts w:ascii="Times New Roman"/>
                <w:w w:val="99"/>
                <w:sz w:val="21"/>
              </w:rPr>
              <w:t>3</w:t>
            </w:r>
          </w:p>
        </w:tc>
        <w:tc>
          <w:tcPr>
            <w:tcW w:w="1091"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5"/>
              <w:jc w:val="left"/>
              <w:rPr>
                <w:b/>
                <w:sz w:val="26"/>
              </w:rPr>
            </w:pPr>
          </w:p>
          <w:p>
            <w:pPr>
              <w:pStyle w:val="19"/>
              <w:spacing w:before="1"/>
              <w:ind w:left="130"/>
              <w:jc w:val="left"/>
              <w:rPr>
                <w:sz w:val="21"/>
              </w:rPr>
            </w:pPr>
            <w:r>
              <w:rPr>
                <w:sz w:val="21"/>
              </w:rPr>
              <w:t>固体废物</w:t>
            </w:r>
          </w:p>
        </w:tc>
        <w:tc>
          <w:tcPr>
            <w:tcW w:w="1763" w:type="dxa"/>
            <w:tcBorders>
              <w:top w:val="single" w:color="000000" w:sz="4" w:space="0"/>
              <w:left w:val="single" w:color="000000" w:sz="4" w:space="0"/>
              <w:bottom w:val="single" w:color="000000" w:sz="4" w:space="0"/>
              <w:right w:val="single" w:color="000000" w:sz="4" w:space="0"/>
            </w:tcBorders>
          </w:tcPr>
          <w:p>
            <w:pPr>
              <w:pStyle w:val="19"/>
              <w:spacing w:before="77"/>
              <w:ind w:left="23" w:right="10"/>
              <w:rPr>
                <w:sz w:val="21"/>
              </w:rPr>
            </w:pPr>
            <w:r>
              <w:rPr>
                <w:sz w:val="21"/>
              </w:rPr>
              <w:t>生活垃圾</w:t>
            </w:r>
          </w:p>
        </w:tc>
        <w:tc>
          <w:tcPr>
            <w:tcW w:w="4035" w:type="dxa"/>
            <w:tcBorders>
              <w:top w:val="single" w:color="000000" w:sz="4" w:space="0"/>
              <w:left w:val="single" w:color="000000" w:sz="4" w:space="0"/>
              <w:bottom w:val="single" w:color="000000" w:sz="4" w:space="0"/>
              <w:right w:val="single" w:color="000000" w:sz="4" w:space="0"/>
            </w:tcBorders>
          </w:tcPr>
          <w:p>
            <w:pPr>
              <w:pStyle w:val="19"/>
              <w:spacing w:before="77"/>
              <w:ind w:left="16"/>
              <w:rPr>
                <w:sz w:val="21"/>
              </w:rPr>
            </w:pPr>
            <w:r>
              <w:rPr>
                <w:sz w:val="21"/>
              </w:rPr>
              <w:t>生活垃圾按环卫部门要求统一处理</w:t>
            </w:r>
          </w:p>
        </w:tc>
        <w:tc>
          <w:tcPr>
            <w:tcW w:w="1480" w:type="dxa"/>
            <w:tcBorders>
              <w:top w:val="single" w:color="000000" w:sz="4" w:space="0"/>
              <w:left w:val="single" w:color="000000" w:sz="4" w:space="0"/>
              <w:bottom w:val="single" w:color="000000" w:sz="4" w:space="0"/>
            </w:tcBorders>
          </w:tcPr>
          <w:p>
            <w:pPr>
              <w:pStyle w:val="19"/>
              <w:spacing w:before="77"/>
              <w:ind w:left="21"/>
              <w:rPr>
                <w:sz w:val="21"/>
              </w:rPr>
            </w:pPr>
            <w:r>
              <w:rPr>
                <w:sz w:val="21"/>
              </w:rPr>
              <w:t>全部综合利用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vMerge w:val="continue"/>
            <w:tcBorders>
              <w:top w:val="nil"/>
              <w:bottom w:val="single" w:color="000000" w:sz="4" w:space="0"/>
              <w:right w:val="single" w:color="000000" w:sz="4" w:space="0"/>
            </w:tcBorders>
          </w:tcPr>
          <w:p>
            <w:pPr>
              <w:rPr>
                <w:sz w:val="2"/>
                <w:szCs w:val="2"/>
              </w:rPr>
            </w:pPr>
          </w:p>
        </w:tc>
        <w:tc>
          <w:tcPr>
            <w:tcW w:w="1091" w:type="dxa"/>
            <w:vMerge w:val="continue"/>
            <w:tcBorders>
              <w:top w:val="nil"/>
              <w:left w:val="single" w:color="000000" w:sz="4" w:space="0"/>
              <w:bottom w:val="single" w:color="000000" w:sz="4" w:space="0"/>
              <w:right w:val="single" w:color="000000" w:sz="4" w:space="0"/>
            </w:tcBorders>
          </w:tcPr>
          <w:p>
            <w:pPr>
              <w:rPr>
                <w:sz w:val="2"/>
                <w:szCs w:val="2"/>
              </w:rPr>
            </w:pPr>
          </w:p>
        </w:tc>
        <w:tc>
          <w:tcPr>
            <w:tcW w:w="1763" w:type="dxa"/>
            <w:tcBorders>
              <w:top w:val="single" w:color="000000" w:sz="4" w:space="0"/>
              <w:left w:val="single" w:color="000000" w:sz="4" w:space="0"/>
              <w:bottom w:val="single" w:color="000000" w:sz="4" w:space="0"/>
              <w:right w:val="single" w:color="000000" w:sz="4" w:space="0"/>
            </w:tcBorders>
          </w:tcPr>
          <w:p>
            <w:pPr>
              <w:pStyle w:val="19"/>
              <w:spacing w:before="77"/>
              <w:ind w:left="23" w:right="10"/>
              <w:rPr>
                <w:sz w:val="21"/>
              </w:rPr>
            </w:pPr>
            <w:r>
              <w:rPr>
                <w:sz w:val="21"/>
              </w:rPr>
              <w:t>厨余垃圾</w:t>
            </w:r>
          </w:p>
        </w:tc>
        <w:tc>
          <w:tcPr>
            <w:tcW w:w="4035" w:type="dxa"/>
            <w:tcBorders>
              <w:top w:val="single" w:color="000000" w:sz="4" w:space="0"/>
              <w:left w:val="single" w:color="000000" w:sz="4" w:space="0"/>
              <w:bottom w:val="single" w:color="000000" w:sz="4" w:space="0"/>
              <w:right w:val="single" w:color="000000" w:sz="4" w:space="0"/>
            </w:tcBorders>
          </w:tcPr>
          <w:p>
            <w:pPr>
              <w:pStyle w:val="19"/>
              <w:spacing w:before="77"/>
              <w:ind w:left="16"/>
              <w:rPr>
                <w:sz w:val="21"/>
              </w:rPr>
            </w:pPr>
            <w:r>
              <w:rPr>
                <w:sz w:val="21"/>
              </w:rPr>
              <w:t>分类存放，由市政部门统一清运</w:t>
            </w:r>
          </w:p>
        </w:tc>
        <w:tc>
          <w:tcPr>
            <w:tcW w:w="1480" w:type="dxa"/>
            <w:tcBorders>
              <w:top w:val="single" w:color="000000" w:sz="4" w:space="0"/>
              <w:left w:val="single" w:color="000000" w:sz="4" w:space="0"/>
              <w:bottom w:val="single" w:color="000000" w:sz="4" w:space="0"/>
            </w:tcBorders>
          </w:tcPr>
          <w:p>
            <w:pPr>
              <w:pStyle w:val="19"/>
              <w:spacing w:before="77"/>
              <w:ind w:left="21"/>
              <w:rPr>
                <w:sz w:val="21"/>
              </w:rPr>
            </w:pPr>
            <w:r>
              <w:rPr>
                <w:sz w:val="21"/>
              </w:rPr>
              <w:t>全部委托处理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vMerge w:val="continue"/>
            <w:tcBorders>
              <w:top w:val="nil"/>
              <w:bottom w:val="single" w:color="000000" w:sz="4" w:space="0"/>
              <w:right w:val="single" w:color="000000" w:sz="4" w:space="0"/>
            </w:tcBorders>
          </w:tcPr>
          <w:p>
            <w:pPr>
              <w:rPr>
                <w:sz w:val="2"/>
                <w:szCs w:val="2"/>
              </w:rPr>
            </w:pPr>
          </w:p>
        </w:tc>
        <w:tc>
          <w:tcPr>
            <w:tcW w:w="1091" w:type="dxa"/>
            <w:vMerge w:val="continue"/>
            <w:tcBorders>
              <w:top w:val="nil"/>
              <w:left w:val="single" w:color="000000" w:sz="4" w:space="0"/>
              <w:bottom w:val="single" w:color="000000" w:sz="4" w:space="0"/>
              <w:right w:val="single" w:color="000000" w:sz="4" w:space="0"/>
            </w:tcBorders>
          </w:tcPr>
          <w:p>
            <w:pPr>
              <w:rPr>
                <w:sz w:val="2"/>
                <w:szCs w:val="2"/>
              </w:rPr>
            </w:pPr>
          </w:p>
        </w:tc>
        <w:tc>
          <w:tcPr>
            <w:tcW w:w="1763" w:type="dxa"/>
            <w:tcBorders>
              <w:top w:val="single" w:color="000000" w:sz="4" w:space="0"/>
              <w:left w:val="single" w:color="000000" w:sz="4" w:space="0"/>
              <w:bottom w:val="single" w:color="000000" w:sz="4" w:space="0"/>
              <w:right w:val="single" w:color="000000" w:sz="4" w:space="0"/>
            </w:tcBorders>
          </w:tcPr>
          <w:p>
            <w:pPr>
              <w:pStyle w:val="19"/>
              <w:spacing w:before="76"/>
              <w:ind w:left="23" w:right="10"/>
              <w:rPr>
                <w:sz w:val="21"/>
              </w:rPr>
            </w:pPr>
            <w:r>
              <w:rPr>
                <w:sz w:val="21"/>
              </w:rPr>
              <w:t>锅炉灰渣</w:t>
            </w:r>
          </w:p>
        </w:tc>
        <w:tc>
          <w:tcPr>
            <w:tcW w:w="4035" w:type="dxa"/>
            <w:tcBorders>
              <w:top w:val="single" w:color="000000" w:sz="4" w:space="0"/>
              <w:left w:val="single" w:color="000000" w:sz="4" w:space="0"/>
              <w:bottom w:val="single" w:color="000000" w:sz="4" w:space="0"/>
              <w:right w:val="single" w:color="000000" w:sz="4" w:space="0"/>
            </w:tcBorders>
          </w:tcPr>
          <w:p>
            <w:pPr>
              <w:pStyle w:val="19"/>
              <w:spacing w:before="76"/>
              <w:ind w:left="16"/>
              <w:rPr>
                <w:sz w:val="21"/>
              </w:rPr>
            </w:pPr>
            <w:r>
              <w:rPr>
                <w:sz w:val="21"/>
              </w:rPr>
              <w:t>锅炉灰渣全部作为农肥原料外售</w:t>
            </w:r>
          </w:p>
        </w:tc>
        <w:tc>
          <w:tcPr>
            <w:tcW w:w="1480" w:type="dxa"/>
            <w:tcBorders>
              <w:top w:val="single" w:color="000000" w:sz="4" w:space="0"/>
              <w:left w:val="single" w:color="000000" w:sz="4" w:space="0"/>
              <w:bottom w:val="single" w:color="000000" w:sz="4" w:space="0"/>
            </w:tcBorders>
          </w:tcPr>
          <w:p>
            <w:pPr>
              <w:pStyle w:val="19"/>
              <w:spacing w:before="76"/>
              <w:ind w:left="21"/>
              <w:rPr>
                <w:sz w:val="21"/>
              </w:rPr>
            </w:pPr>
            <w:r>
              <w:rPr>
                <w:sz w:val="21"/>
              </w:rPr>
              <w:t>全部综合利用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753" w:type="dxa"/>
            <w:vMerge w:val="continue"/>
            <w:tcBorders>
              <w:top w:val="nil"/>
              <w:bottom w:val="single" w:color="000000" w:sz="4" w:space="0"/>
              <w:right w:val="single" w:color="000000" w:sz="4" w:space="0"/>
            </w:tcBorders>
          </w:tcPr>
          <w:p>
            <w:pPr>
              <w:rPr>
                <w:sz w:val="2"/>
                <w:szCs w:val="2"/>
              </w:rPr>
            </w:pPr>
          </w:p>
        </w:tc>
        <w:tc>
          <w:tcPr>
            <w:tcW w:w="1091" w:type="dxa"/>
            <w:vMerge w:val="continue"/>
            <w:tcBorders>
              <w:top w:val="nil"/>
              <w:left w:val="single" w:color="000000" w:sz="4" w:space="0"/>
              <w:bottom w:val="single" w:color="000000" w:sz="4" w:space="0"/>
              <w:right w:val="single" w:color="000000" w:sz="4" w:space="0"/>
            </w:tcBorders>
          </w:tcPr>
          <w:p>
            <w:pPr>
              <w:rPr>
                <w:sz w:val="2"/>
                <w:szCs w:val="2"/>
              </w:rPr>
            </w:pPr>
          </w:p>
        </w:tc>
        <w:tc>
          <w:tcPr>
            <w:tcW w:w="1763" w:type="dxa"/>
            <w:tcBorders>
              <w:top w:val="single" w:color="000000" w:sz="4" w:space="0"/>
              <w:left w:val="single" w:color="000000" w:sz="4" w:space="0"/>
              <w:bottom w:val="single" w:color="000000" w:sz="4" w:space="0"/>
              <w:right w:val="single" w:color="000000" w:sz="4" w:space="0"/>
            </w:tcBorders>
          </w:tcPr>
          <w:p>
            <w:pPr>
              <w:pStyle w:val="19"/>
              <w:spacing w:before="176"/>
              <w:ind w:left="23" w:right="7"/>
              <w:rPr>
                <w:sz w:val="21"/>
              </w:rPr>
            </w:pPr>
            <w:r>
              <w:rPr>
                <w:sz w:val="21"/>
              </w:rPr>
              <w:t>矸石</w:t>
            </w:r>
          </w:p>
        </w:tc>
        <w:tc>
          <w:tcPr>
            <w:tcW w:w="4035" w:type="dxa"/>
            <w:tcBorders>
              <w:top w:val="single" w:color="000000" w:sz="4" w:space="0"/>
              <w:left w:val="single" w:color="000000" w:sz="4" w:space="0"/>
              <w:bottom w:val="single" w:color="000000" w:sz="4" w:space="0"/>
              <w:right w:val="single" w:color="000000" w:sz="4" w:space="0"/>
            </w:tcBorders>
          </w:tcPr>
          <w:p>
            <w:pPr>
              <w:pStyle w:val="19"/>
              <w:spacing w:before="20"/>
              <w:ind w:left="19"/>
              <w:rPr>
                <w:sz w:val="21"/>
              </w:rPr>
            </w:pPr>
            <w:r>
              <w:rPr>
                <w:sz w:val="21"/>
              </w:rPr>
              <w:t>矸石在矸石临时堆放场地暂存，主要用于填</w:t>
            </w:r>
          </w:p>
          <w:p>
            <w:pPr>
              <w:pStyle w:val="19"/>
              <w:spacing w:before="43"/>
              <w:ind w:left="16"/>
              <w:rPr>
                <w:sz w:val="21"/>
              </w:rPr>
            </w:pPr>
            <w:r>
              <w:rPr>
                <w:sz w:val="21"/>
              </w:rPr>
              <w:t>充采空区及塌陷区、修路、制砖。</w:t>
            </w:r>
          </w:p>
        </w:tc>
        <w:tc>
          <w:tcPr>
            <w:tcW w:w="1480" w:type="dxa"/>
            <w:tcBorders>
              <w:top w:val="single" w:color="000000" w:sz="4" w:space="0"/>
              <w:left w:val="single" w:color="000000" w:sz="4" w:space="0"/>
              <w:bottom w:val="single" w:color="000000" w:sz="4" w:space="0"/>
            </w:tcBorders>
          </w:tcPr>
          <w:p>
            <w:pPr>
              <w:pStyle w:val="19"/>
              <w:spacing w:before="176"/>
              <w:ind w:left="21"/>
              <w:rPr>
                <w:sz w:val="21"/>
              </w:rPr>
            </w:pPr>
            <w:r>
              <w:rPr>
                <w:sz w:val="21"/>
              </w:rPr>
              <w:t>全部综合利用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53" w:type="dxa"/>
            <w:vMerge w:val="continue"/>
            <w:tcBorders>
              <w:top w:val="nil"/>
              <w:bottom w:val="single" w:color="000000" w:sz="4" w:space="0"/>
              <w:right w:val="single" w:color="000000" w:sz="4" w:space="0"/>
            </w:tcBorders>
          </w:tcPr>
          <w:p>
            <w:pPr>
              <w:rPr>
                <w:sz w:val="2"/>
                <w:szCs w:val="2"/>
              </w:rPr>
            </w:pPr>
          </w:p>
        </w:tc>
        <w:tc>
          <w:tcPr>
            <w:tcW w:w="1091" w:type="dxa"/>
            <w:vMerge w:val="continue"/>
            <w:tcBorders>
              <w:top w:val="nil"/>
              <w:left w:val="single" w:color="000000" w:sz="4" w:space="0"/>
              <w:bottom w:val="single" w:color="000000" w:sz="4" w:space="0"/>
              <w:right w:val="single" w:color="000000" w:sz="4" w:space="0"/>
            </w:tcBorders>
          </w:tcPr>
          <w:p>
            <w:pPr>
              <w:rPr>
                <w:sz w:val="2"/>
                <w:szCs w:val="2"/>
              </w:rPr>
            </w:pPr>
          </w:p>
        </w:tc>
        <w:tc>
          <w:tcPr>
            <w:tcW w:w="1763" w:type="dxa"/>
            <w:tcBorders>
              <w:top w:val="single" w:color="000000" w:sz="4" w:space="0"/>
              <w:left w:val="single" w:color="000000" w:sz="4" w:space="0"/>
              <w:bottom w:val="single" w:color="000000" w:sz="4" w:space="0"/>
              <w:right w:val="single" w:color="000000" w:sz="4" w:space="0"/>
            </w:tcBorders>
          </w:tcPr>
          <w:p>
            <w:pPr>
              <w:pStyle w:val="19"/>
              <w:spacing w:before="176"/>
              <w:ind w:left="23" w:right="7"/>
              <w:rPr>
                <w:sz w:val="21"/>
              </w:rPr>
            </w:pPr>
            <w:r>
              <w:rPr>
                <w:sz w:val="21"/>
              </w:rPr>
              <w:t>污水处理站污泥</w:t>
            </w:r>
          </w:p>
        </w:tc>
        <w:tc>
          <w:tcPr>
            <w:tcW w:w="4035" w:type="dxa"/>
            <w:tcBorders>
              <w:top w:val="single" w:color="000000" w:sz="4" w:space="0"/>
              <w:left w:val="single" w:color="000000" w:sz="4" w:space="0"/>
              <w:bottom w:val="single" w:color="000000" w:sz="4" w:space="0"/>
              <w:right w:val="single" w:color="000000" w:sz="4" w:space="0"/>
            </w:tcBorders>
          </w:tcPr>
          <w:p>
            <w:pPr>
              <w:pStyle w:val="19"/>
              <w:spacing w:before="20"/>
              <w:ind w:left="16"/>
              <w:rPr>
                <w:sz w:val="21"/>
              </w:rPr>
            </w:pPr>
            <w:r>
              <w:rPr>
                <w:sz w:val="21"/>
              </w:rPr>
              <w:t>矿井水处理站污泥外售；综合污水处理站污</w:t>
            </w:r>
          </w:p>
          <w:p>
            <w:pPr>
              <w:pStyle w:val="19"/>
              <w:spacing w:before="43"/>
              <w:ind w:left="16"/>
              <w:rPr>
                <w:sz w:val="21"/>
              </w:rPr>
            </w:pPr>
            <w:r>
              <w:rPr>
                <w:sz w:val="21"/>
              </w:rPr>
              <w:t>泥按市政环卫部门要求统一处理</w:t>
            </w:r>
          </w:p>
        </w:tc>
        <w:tc>
          <w:tcPr>
            <w:tcW w:w="1480" w:type="dxa"/>
            <w:tcBorders>
              <w:top w:val="single" w:color="000000" w:sz="4" w:space="0"/>
              <w:left w:val="single" w:color="000000" w:sz="4" w:space="0"/>
              <w:bottom w:val="single" w:color="000000" w:sz="4" w:space="0"/>
            </w:tcBorders>
          </w:tcPr>
          <w:p>
            <w:pPr>
              <w:pStyle w:val="19"/>
              <w:spacing w:before="176"/>
              <w:ind w:left="21"/>
              <w:rPr>
                <w:sz w:val="21"/>
              </w:rPr>
            </w:pPr>
            <w:r>
              <w:rPr>
                <w:sz w:val="21"/>
              </w:rPr>
              <w:t>全部综合利用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vMerge w:val="continue"/>
            <w:tcBorders>
              <w:top w:val="nil"/>
              <w:bottom w:val="single" w:color="000000" w:sz="4" w:space="0"/>
              <w:right w:val="single" w:color="000000" w:sz="4" w:space="0"/>
            </w:tcBorders>
          </w:tcPr>
          <w:p>
            <w:pPr>
              <w:rPr>
                <w:sz w:val="2"/>
                <w:szCs w:val="2"/>
              </w:rPr>
            </w:pPr>
          </w:p>
        </w:tc>
        <w:tc>
          <w:tcPr>
            <w:tcW w:w="1091" w:type="dxa"/>
            <w:vMerge w:val="continue"/>
            <w:tcBorders>
              <w:top w:val="nil"/>
              <w:left w:val="single" w:color="000000" w:sz="4" w:space="0"/>
              <w:bottom w:val="single" w:color="000000" w:sz="4" w:space="0"/>
              <w:right w:val="single" w:color="000000" w:sz="4" w:space="0"/>
            </w:tcBorders>
          </w:tcPr>
          <w:p>
            <w:pPr>
              <w:rPr>
                <w:sz w:val="2"/>
                <w:szCs w:val="2"/>
              </w:rPr>
            </w:pPr>
          </w:p>
        </w:tc>
        <w:tc>
          <w:tcPr>
            <w:tcW w:w="1763" w:type="dxa"/>
            <w:tcBorders>
              <w:top w:val="single" w:color="000000" w:sz="4" w:space="0"/>
              <w:left w:val="single" w:color="000000" w:sz="4" w:space="0"/>
              <w:bottom w:val="single" w:color="000000" w:sz="4" w:space="0"/>
              <w:right w:val="single" w:color="000000" w:sz="4" w:space="0"/>
            </w:tcBorders>
          </w:tcPr>
          <w:p>
            <w:pPr>
              <w:pStyle w:val="19"/>
              <w:spacing w:before="77"/>
              <w:ind w:left="23" w:right="7"/>
              <w:rPr>
                <w:sz w:val="21"/>
              </w:rPr>
            </w:pPr>
            <w:r>
              <w:rPr>
                <w:sz w:val="21"/>
              </w:rPr>
              <w:t>废机油</w:t>
            </w:r>
          </w:p>
        </w:tc>
        <w:tc>
          <w:tcPr>
            <w:tcW w:w="4035" w:type="dxa"/>
            <w:tcBorders>
              <w:top w:val="single" w:color="000000" w:sz="4" w:space="0"/>
              <w:left w:val="single" w:color="000000" w:sz="4" w:space="0"/>
              <w:bottom w:val="single" w:color="000000" w:sz="4" w:space="0"/>
              <w:right w:val="single" w:color="000000" w:sz="4" w:space="0"/>
            </w:tcBorders>
          </w:tcPr>
          <w:p>
            <w:pPr>
              <w:pStyle w:val="19"/>
              <w:spacing w:before="77"/>
              <w:ind w:left="16"/>
              <w:rPr>
                <w:sz w:val="21"/>
              </w:rPr>
            </w:pPr>
            <w:r>
              <w:rPr>
                <w:sz w:val="21"/>
              </w:rPr>
              <w:t>委托有资质的单位处理</w:t>
            </w:r>
          </w:p>
        </w:tc>
        <w:tc>
          <w:tcPr>
            <w:tcW w:w="1480" w:type="dxa"/>
            <w:tcBorders>
              <w:top w:val="single" w:color="000000" w:sz="4" w:space="0"/>
              <w:left w:val="single" w:color="000000" w:sz="4" w:space="0"/>
              <w:bottom w:val="single" w:color="000000" w:sz="4" w:space="0"/>
            </w:tcBorders>
          </w:tcPr>
          <w:p>
            <w:pPr>
              <w:pStyle w:val="19"/>
              <w:spacing w:before="77"/>
              <w:ind w:left="21"/>
              <w:rPr>
                <w:sz w:val="21"/>
              </w:rPr>
            </w:pPr>
            <w:r>
              <w:rPr>
                <w:sz w:val="21"/>
              </w:rPr>
              <w:t>全部委托处理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tcBorders>
              <w:top w:val="single" w:color="000000" w:sz="4" w:space="0"/>
              <w:bottom w:val="single" w:color="000000" w:sz="4" w:space="0"/>
              <w:right w:val="single" w:color="000000" w:sz="4" w:space="0"/>
            </w:tcBorders>
          </w:tcPr>
          <w:p>
            <w:pPr>
              <w:pStyle w:val="19"/>
              <w:spacing w:before="90"/>
              <w:ind w:left="13"/>
              <w:rPr>
                <w:rFonts w:ascii="Times New Roman"/>
                <w:sz w:val="21"/>
              </w:rPr>
            </w:pPr>
            <w:r>
              <w:rPr>
                <w:rFonts w:ascii="Times New Roman"/>
                <w:w w:val="99"/>
                <w:sz w:val="21"/>
              </w:rPr>
              <w:t>4</w:t>
            </w:r>
          </w:p>
        </w:tc>
        <w:tc>
          <w:tcPr>
            <w:tcW w:w="1091" w:type="dxa"/>
            <w:tcBorders>
              <w:top w:val="single" w:color="000000" w:sz="4" w:space="0"/>
              <w:left w:val="single" w:color="000000" w:sz="4" w:space="0"/>
              <w:bottom w:val="single" w:color="000000" w:sz="4" w:space="0"/>
              <w:right w:val="single" w:color="000000" w:sz="4" w:space="0"/>
            </w:tcBorders>
          </w:tcPr>
          <w:p>
            <w:pPr>
              <w:pStyle w:val="19"/>
              <w:spacing w:before="77"/>
              <w:ind w:left="317" w:right="303"/>
              <w:rPr>
                <w:sz w:val="21"/>
              </w:rPr>
            </w:pPr>
            <w:r>
              <w:rPr>
                <w:sz w:val="21"/>
              </w:rPr>
              <w:t>噪声</w:t>
            </w:r>
          </w:p>
        </w:tc>
        <w:tc>
          <w:tcPr>
            <w:tcW w:w="1763" w:type="dxa"/>
            <w:tcBorders>
              <w:top w:val="single" w:color="000000" w:sz="4" w:space="0"/>
              <w:left w:val="single" w:color="000000" w:sz="4" w:space="0"/>
              <w:bottom w:val="single" w:color="000000" w:sz="4" w:space="0"/>
              <w:right w:val="single" w:color="000000" w:sz="4" w:space="0"/>
            </w:tcBorders>
          </w:tcPr>
          <w:p>
            <w:pPr>
              <w:pStyle w:val="19"/>
              <w:spacing w:before="77"/>
              <w:ind w:left="23" w:right="10"/>
              <w:rPr>
                <w:sz w:val="21"/>
              </w:rPr>
            </w:pPr>
            <w:r>
              <w:rPr>
                <w:sz w:val="21"/>
              </w:rPr>
              <w:t>设备噪声</w:t>
            </w:r>
          </w:p>
        </w:tc>
        <w:tc>
          <w:tcPr>
            <w:tcW w:w="4035" w:type="dxa"/>
            <w:tcBorders>
              <w:top w:val="single" w:color="000000" w:sz="4" w:space="0"/>
              <w:left w:val="single" w:color="000000" w:sz="4" w:space="0"/>
              <w:bottom w:val="single" w:color="000000" w:sz="4" w:space="0"/>
              <w:right w:val="single" w:color="000000" w:sz="4" w:space="0"/>
            </w:tcBorders>
          </w:tcPr>
          <w:p>
            <w:pPr>
              <w:pStyle w:val="19"/>
              <w:spacing w:before="77"/>
              <w:ind w:left="19"/>
              <w:rPr>
                <w:sz w:val="21"/>
              </w:rPr>
            </w:pPr>
            <w:r>
              <w:rPr>
                <w:sz w:val="21"/>
              </w:rPr>
              <w:t>减震、消声、隔声等</w:t>
            </w:r>
          </w:p>
        </w:tc>
        <w:tc>
          <w:tcPr>
            <w:tcW w:w="1480" w:type="dxa"/>
            <w:tcBorders>
              <w:top w:val="single" w:color="000000" w:sz="4" w:space="0"/>
              <w:left w:val="single" w:color="000000" w:sz="4" w:space="0"/>
              <w:bottom w:val="single" w:color="000000" w:sz="4" w:space="0"/>
            </w:tcBorders>
          </w:tcPr>
          <w:p>
            <w:pPr>
              <w:pStyle w:val="19"/>
              <w:spacing w:before="77"/>
              <w:ind w:left="19"/>
              <w:rPr>
                <w:sz w:val="21"/>
              </w:rPr>
            </w:pPr>
            <w:r>
              <w:rPr>
                <w:sz w:val="21"/>
              </w:rPr>
              <w:t>厂界达标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753" w:type="dxa"/>
            <w:tcBorders>
              <w:top w:val="single" w:color="000000" w:sz="4" w:space="0"/>
              <w:right w:val="single" w:color="000000" w:sz="4" w:space="0"/>
            </w:tcBorders>
          </w:tcPr>
          <w:p>
            <w:pPr>
              <w:pStyle w:val="19"/>
              <w:spacing w:before="90"/>
              <w:ind w:left="13"/>
              <w:rPr>
                <w:rFonts w:ascii="Times New Roman"/>
                <w:sz w:val="21"/>
              </w:rPr>
            </w:pPr>
            <w:r>
              <w:rPr>
                <w:rFonts w:ascii="Times New Roman"/>
                <w:w w:val="99"/>
                <w:sz w:val="21"/>
              </w:rPr>
              <w:t>5</w:t>
            </w:r>
          </w:p>
        </w:tc>
        <w:tc>
          <w:tcPr>
            <w:tcW w:w="2854" w:type="dxa"/>
            <w:gridSpan w:val="2"/>
            <w:tcBorders>
              <w:top w:val="single" w:color="000000" w:sz="4" w:space="0"/>
              <w:left w:val="single" w:color="000000" w:sz="4" w:space="0"/>
              <w:right w:val="single" w:color="000000" w:sz="4" w:space="0"/>
            </w:tcBorders>
          </w:tcPr>
          <w:p>
            <w:pPr>
              <w:pStyle w:val="19"/>
              <w:spacing w:before="76"/>
              <w:ind w:left="989" w:right="974"/>
              <w:rPr>
                <w:sz w:val="21"/>
              </w:rPr>
            </w:pPr>
            <w:r>
              <w:rPr>
                <w:sz w:val="21"/>
              </w:rPr>
              <w:t>污染事故</w:t>
            </w:r>
          </w:p>
        </w:tc>
        <w:tc>
          <w:tcPr>
            <w:tcW w:w="5515" w:type="dxa"/>
            <w:gridSpan w:val="2"/>
            <w:tcBorders>
              <w:top w:val="single" w:color="000000" w:sz="4" w:space="0"/>
              <w:left w:val="single" w:color="000000" w:sz="4" w:space="0"/>
            </w:tcBorders>
          </w:tcPr>
          <w:p>
            <w:pPr>
              <w:pStyle w:val="19"/>
              <w:spacing w:before="76"/>
              <w:ind w:left="1185"/>
              <w:jc w:val="left"/>
              <w:rPr>
                <w:sz w:val="21"/>
              </w:rPr>
            </w:pPr>
            <w:r>
              <w:rPr>
                <w:sz w:val="21"/>
              </w:rPr>
              <w:t>及时上报环保部门并立即进行处理</w:t>
            </w:r>
          </w:p>
        </w:tc>
      </w:tr>
    </w:tbl>
    <w:p>
      <w:pPr>
        <w:spacing w:after="0"/>
        <w:jc w:val="left"/>
        <w:rPr>
          <w:sz w:val="21"/>
        </w:rPr>
        <w:sectPr>
          <w:pgSz w:w="11910" w:h="16840"/>
          <w:pgMar w:top="1460" w:right="900" w:bottom="1180" w:left="1200" w:header="0" w:footer="993" w:gutter="0"/>
        </w:sectPr>
      </w:pPr>
    </w:p>
    <w:p>
      <w:pPr>
        <w:pStyle w:val="6"/>
        <w:numPr>
          <w:ilvl w:val="2"/>
          <w:numId w:val="88"/>
        </w:numPr>
        <w:tabs>
          <w:tab w:val="left" w:pos="1371"/>
        </w:tabs>
        <w:spacing w:before="55" w:after="0" w:line="240" w:lineRule="auto"/>
        <w:ind w:left="1370" w:right="0" w:hanging="771"/>
        <w:jc w:val="left"/>
      </w:pPr>
      <w:bookmarkStart w:id="709" w:name="13.2.6环境监理计划"/>
      <w:bookmarkEnd w:id="709"/>
      <w:bookmarkStart w:id="710" w:name="13.2.6环境监理计划"/>
      <w:bookmarkEnd w:id="710"/>
      <w:r>
        <w:rPr>
          <w:spacing w:val="-1"/>
          <w:w w:val="95"/>
        </w:rPr>
        <w:t>环境监理计划</w:t>
      </w:r>
    </w:p>
    <w:p>
      <w:pPr>
        <w:pStyle w:val="9"/>
        <w:spacing w:before="212" w:line="364" w:lineRule="auto"/>
        <w:ind w:left="600" w:right="805" w:firstLine="480"/>
      </w:pPr>
      <w:r>
        <w:rPr>
          <w:spacing w:val="-5"/>
        </w:rPr>
        <w:t xml:space="preserve">本项目应配备环境监理工程师 </w:t>
      </w:r>
      <w:r>
        <w:rPr>
          <w:rFonts w:ascii="Times New Roman" w:hAnsi="Times New Roman" w:eastAsia="Times New Roman"/>
        </w:rPr>
        <w:t xml:space="preserve">1 </w:t>
      </w:r>
      <w:r>
        <w:rPr>
          <w:spacing w:val="-1"/>
        </w:rPr>
        <w:t xml:space="preserve">名，负责编制工程施工期的环境保护计划， </w:t>
      </w:r>
      <w:r>
        <w:rPr>
          <w:spacing w:val="4"/>
        </w:rPr>
        <w:t>监督检查环境影响报告书中所提出的各项环保防治措施的落实情况及</w:t>
      </w:r>
      <w:r>
        <w:rPr>
          <w:rFonts w:ascii="Times New Roman" w:hAnsi="Times New Roman" w:eastAsia="Times New Roman"/>
          <w:spacing w:val="3"/>
        </w:rPr>
        <w:t>“</w:t>
      </w:r>
      <w:r>
        <w:rPr>
          <w:spacing w:val="5"/>
        </w:rPr>
        <w:t>三同时</w:t>
      </w:r>
      <w:r>
        <w:rPr>
          <w:rFonts w:ascii="Times New Roman" w:hAnsi="Times New Roman" w:eastAsia="Times New Roman"/>
        </w:rPr>
        <w:t xml:space="preserve">” </w:t>
      </w:r>
      <w:r>
        <w:rPr>
          <w:spacing w:val="-9"/>
        </w:rPr>
        <w:t>的执行情况，监督检查环境监测计划的编制、实施情况及存在的问题，制定和实</w:t>
      </w:r>
      <w:r>
        <w:rPr>
          <w:spacing w:val="-13"/>
        </w:rPr>
        <w:t>施事故应急计划。认真贯彻执行国家和省内各项环境保护法规，普及环境保护知识，增加工作人员的环境保护意识。</w:t>
      </w:r>
    </w:p>
    <w:p>
      <w:pPr>
        <w:pStyle w:val="5"/>
        <w:numPr>
          <w:ilvl w:val="1"/>
          <w:numId w:val="87"/>
        </w:numPr>
        <w:tabs>
          <w:tab w:val="left" w:pos="1200"/>
        </w:tabs>
        <w:spacing w:before="44" w:after="0" w:line="240" w:lineRule="auto"/>
        <w:ind w:left="1200" w:right="0" w:hanging="600"/>
        <w:jc w:val="left"/>
      </w:pPr>
      <w:bookmarkStart w:id="711" w:name="_bookmark76"/>
      <w:bookmarkEnd w:id="711"/>
      <w:bookmarkStart w:id="712" w:name="13.3污染物排放管理要求"/>
      <w:bookmarkEnd w:id="712"/>
      <w:bookmarkStart w:id="713" w:name="_bookmark76"/>
      <w:bookmarkEnd w:id="713"/>
      <w:r>
        <w:t>污染物排放管理要求</w:t>
      </w:r>
    </w:p>
    <w:p>
      <w:pPr>
        <w:pStyle w:val="6"/>
        <w:spacing w:before="252"/>
        <w:ind w:left="600" w:firstLine="0"/>
      </w:pPr>
      <w:bookmarkStart w:id="714" w:name="13.3.1污染物排放清单"/>
      <w:bookmarkEnd w:id="714"/>
      <w:r>
        <w:rPr>
          <w:rFonts w:ascii="Times New Roman" w:eastAsia="Times New Roman"/>
        </w:rPr>
        <w:t xml:space="preserve">13.3.1 </w:t>
      </w:r>
      <w:r>
        <w:t>污染物排放清单</w:t>
      </w:r>
    </w:p>
    <w:p>
      <w:pPr>
        <w:pStyle w:val="9"/>
        <w:spacing w:before="212"/>
        <w:ind w:left="1082"/>
      </w:pPr>
      <w:r>
        <w:t>本项目污染物排放清单见下表。</w:t>
      </w:r>
    </w:p>
    <w:p>
      <w:pPr>
        <w:spacing w:before="179"/>
        <w:ind w:left="3334" w:right="3626" w:firstLine="0"/>
        <w:jc w:val="center"/>
        <w:rPr>
          <w:b/>
          <w:sz w:val="21"/>
        </w:rPr>
      </w:pPr>
      <w:r>
        <w:rPr>
          <w:b/>
          <w:spacing w:val="-28"/>
          <w:sz w:val="21"/>
        </w:rPr>
        <w:t xml:space="preserve">表 </w:t>
      </w:r>
      <w:r>
        <w:rPr>
          <w:rFonts w:ascii="Times New Roman" w:eastAsia="Times New Roman"/>
          <w:b/>
          <w:sz w:val="21"/>
        </w:rPr>
        <w:t>13.3-1</w:t>
      </w:r>
      <w:r>
        <w:rPr>
          <w:rFonts w:ascii="Times New Roman" w:eastAsia="Times New Roman"/>
          <w:b/>
          <w:spacing w:val="52"/>
          <w:sz w:val="21"/>
        </w:rPr>
        <w:t xml:space="preserve"> </w:t>
      </w:r>
      <w:r>
        <w:rPr>
          <w:b/>
          <w:sz w:val="21"/>
        </w:rPr>
        <w:t>污染物排放清单</w:t>
      </w:r>
    </w:p>
    <w:p>
      <w:pPr>
        <w:pStyle w:val="9"/>
        <w:spacing w:before="10" w:after="1"/>
        <w:rPr>
          <w:b/>
          <w:sz w:val="7"/>
        </w:rPr>
      </w:pPr>
    </w:p>
    <w:tbl>
      <w:tblPr>
        <w:tblStyle w:val="15"/>
        <w:tblW w:w="0" w:type="auto"/>
        <w:tblInd w:w="50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5"/>
        <w:gridCol w:w="588"/>
        <w:gridCol w:w="1520"/>
        <w:gridCol w:w="1193"/>
        <w:gridCol w:w="1237"/>
        <w:gridCol w:w="1239"/>
        <w:gridCol w:w="22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535" w:type="dxa"/>
            <w:tcBorders>
              <w:bottom w:val="single" w:color="000000" w:sz="4" w:space="0"/>
              <w:right w:val="single" w:color="000000" w:sz="4" w:space="0"/>
            </w:tcBorders>
          </w:tcPr>
          <w:p>
            <w:pPr>
              <w:pStyle w:val="19"/>
              <w:spacing w:before="21"/>
              <w:ind w:left="160"/>
              <w:jc w:val="left"/>
              <w:rPr>
                <w:sz w:val="21"/>
              </w:rPr>
            </w:pPr>
            <w:r>
              <w:rPr>
                <w:w w:val="99"/>
                <w:sz w:val="21"/>
              </w:rPr>
              <w:t>时</w:t>
            </w:r>
          </w:p>
          <w:p>
            <w:pPr>
              <w:pStyle w:val="19"/>
              <w:spacing w:before="43"/>
              <w:ind w:left="160"/>
              <w:jc w:val="left"/>
              <w:rPr>
                <w:sz w:val="21"/>
              </w:rPr>
            </w:pPr>
            <w:r>
              <w:rPr>
                <w:w w:val="99"/>
                <w:sz w:val="21"/>
              </w:rPr>
              <w:t>段</w:t>
            </w:r>
          </w:p>
        </w:tc>
        <w:tc>
          <w:tcPr>
            <w:tcW w:w="588" w:type="dxa"/>
            <w:tcBorders>
              <w:left w:val="single" w:color="000000" w:sz="4" w:space="0"/>
              <w:bottom w:val="single" w:color="000000" w:sz="4" w:space="0"/>
              <w:right w:val="single" w:color="000000" w:sz="4" w:space="0"/>
            </w:tcBorders>
          </w:tcPr>
          <w:p>
            <w:pPr>
              <w:pStyle w:val="19"/>
              <w:spacing w:before="21"/>
              <w:ind w:left="192"/>
              <w:jc w:val="left"/>
              <w:rPr>
                <w:sz w:val="21"/>
              </w:rPr>
            </w:pPr>
            <w:r>
              <w:rPr>
                <w:w w:val="99"/>
                <w:sz w:val="21"/>
              </w:rPr>
              <w:t>类</w:t>
            </w:r>
          </w:p>
          <w:p>
            <w:pPr>
              <w:pStyle w:val="19"/>
              <w:spacing w:before="43"/>
              <w:ind w:left="192"/>
              <w:jc w:val="left"/>
              <w:rPr>
                <w:sz w:val="21"/>
              </w:rPr>
            </w:pPr>
            <w:r>
              <w:rPr>
                <w:w w:val="99"/>
                <w:sz w:val="21"/>
              </w:rPr>
              <w:t>别</w:t>
            </w:r>
          </w:p>
        </w:tc>
        <w:tc>
          <w:tcPr>
            <w:tcW w:w="1520" w:type="dxa"/>
            <w:tcBorders>
              <w:left w:val="single" w:color="000000" w:sz="4" w:space="0"/>
              <w:bottom w:val="single" w:color="000000" w:sz="4" w:space="0"/>
              <w:right w:val="single" w:color="000000" w:sz="4" w:space="0"/>
            </w:tcBorders>
          </w:tcPr>
          <w:p>
            <w:pPr>
              <w:pStyle w:val="19"/>
              <w:spacing w:before="177"/>
              <w:ind w:left="113" w:right="96"/>
              <w:rPr>
                <w:sz w:val="21"/>
              </w:rPr>
            </w:pPr>
            <w:r>
              <w:rPr>
                <w:sz w:val="21"/>
              </w:rPr>
              <w:t>排放源</w:t>
            </w:r>
          </w:p>
        </w:tc>
        <w:tc>
          <w:tcPr>
            <w:tcW w:w="1193" w:type="dxa"/>
            <w:tcBorders>
              <w:left w:val="single" w:color="000000" w:sz="4" w:space="0"/>
              <w:bottom w:val="single" w:color="000000" w:sz="4" w:space="0"/>
              <w:right w:val="single" w:color="000000" w:sz="4" w:space="0"/>
            </w:tcBorders>
          </w:tcPr>
          <w:p>
            <w:pPr>
              <w:pStyle w:val="19"/>
              <w:spacing w:before="177"/>
              <w:ind w:left="131" w:right="115"/>
              <w:rPr>
                <w:sz w:val="21"/>
              </w:rPr>
            </w:pPr>
            <w:r>
              <w:rPr>
                <w:sz w:val="21"/>
              </w:rPr>
              <w:t>污染物</w:t>
            </w:r>
          </w:p>
        </w:tc>
        <w:tc>
          <w:tcPr>
            <w:tcW w:w="1237" w:type="dxa"/>
            <w:tcBorders>
              <w:left w:val="single" w:color="000000" w:sz="4" w:space="0"/>
              <w:bottom w:val="single" w:color="000000" w:sz="4" w:space="0"/>
              <w:right w:val="single" w:color="000000" w:sz="4" w:space="0"/>
            </w:tcBorders>
          </w:tcPr>
          <w:p>
            <w:pPr>
              <w:pStyle w:val="19"/>
              <w:spacing w:before="21"/>
              <w:ind w:left="182" w:right="165"/>
              <w:rPr>
                <w:sz w:val="21"/>
              </w:rPr>
            </w:pPr>
            <w:r>
              <w:rPr>
                <w:sz w:val="21"/>
              </w:rPr>
              <w:t>排放浓度</w:t>
            </w:r>
          </w:p>
          <w:p>
            <w:pPr>
              <w:pStyle w:val="19"/>
              <w:spacing w:before="57"/>
              <w:ind w:left="182" w:right="161"/>
              <w:rPr>
                <w:rFonts w:ascii="Times New Roman"/>
                <w:b/>
                <w:sz w:val="13"/>
              </w:rPr>
            </w:pPr>
            <w:r>
              <w:rPr>
                <w:rFonts w:ascii="Times New Roman"/>
                <w:sz w:val="21"/>
              </w:rPr>
              <w:t>mg/m</w:t>
            </w:r>
            <w:r>
              <w:rPr>
                <w:rFonts w:ascii="Times New Roman"/>
                <w:b/>
                <w:position w:val="7"/>
                <w:sz w:val="13"/>
              </w:rPr>
              <w:t>3</w:t>
            </w:r>
          </w:p>
        </w:tc>
        <w:tc>
          <w:tcPr>
            <w:tcW w:w="1239" w:type="dxa"/>
            <w:tcBorders>
              <w:left w:val="single" w:color="000000" w:sz="4" w:space="0"/>
              <w:bottom w:val="single" w:color="000000" w:sz="4" w:space="0"/>
              <w:right w:val="single" w:color="000000" w:sz="4" w:space="0"/>
            </w:tcBorders>
          </w:tcPr>
          <w:p>
            <w:pPr>
              <w:pStyle w:val="19"/>
              <w:spacing w:before="177"/>
              <w:ind w:left="178"/>
              <w:jc w:val="left"/>
              <w:rPr>
                <w:rFonts w:ascii="Times New Roman" w:eastAsia="Times New Roman"/>
                <w:sz w:val="21"/>
              </w:rPr>
            </w:pPr>
            <w:r>
              <w:rPr>
                <w:sz w:val="21"/>
              </w:rPr>
              <w:t xml:space="preserve">排放量 </w:t>
            </w:r>
            <w:r>
              <w:rPr>
                <w:rFonts w:ascii="Times New Roman" w:eastAsia="Times New Roman"/>
                <w:sz w:val="21"/>
              </w:rPr>
              <w:t>t/a</w:t>
            </w:r>
          </w:p>
        </w:tc>
        <w:tc>
          <w:tcPr>
            <w:tcW w:w="2205" w:type="dxa"/>
            <w:tcBorders>
              <w:left w:val="single" w:color="000000" w:sz="4" w:space="0"/>
              <w:bottom w:val="single" w:color="000000" w:sz="4" w:space="0"/>
            </w:tcBorders>
          </w:tcPr>
          <w:p>
            <w:pPr>
              <w:pStyle w:val="19"/>
              <w:spacing w:before="177"/>
              <w:ind w:left="686"/>
              <w:jc w:val="left"/>
              <w:rPr>
                <w:sz w:val="21"/>
              </w:rPr>
            </w:pPr>
            <w:r>
              <w:rPr>
                <w:sz w:val="21"/>
              </w:rPr>
              <w:t>处理措施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1" w:hRule="atLeast"/>
        </w:trPr>
        <w:tc>
          <w:tcPr>
            <w:tcW w:w="535" w:type="dxa"/>
            <w:vMerge w:val="restart"/>
            <w:tcBorders>
              <w:top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2"/>
              <w:jc w:val="left"/>
              <w:rPr>
                <w:b/>
                <w:sz w:val="27"/>
              </w:rPr>
            </w:pPr>
          </w:p>
          <w:p>
            <w:pPr>
              <w:pStyle w:val="19"/>
              <w:spacing w:line="278" w:lineRule="auto"/>
              <w:ind w:left="160" w:right="148"/>
              <w:jc w:val="both"/>
              <w:rPr>
                <w:sz w:val="21"/>
              </w:rPr>
            </w:pPr>
            <w:r>
              <w:rPr>
                <w:sz w:val="21"/>
              </w:rPr>
              <w:t>运营期</w:t>
            </w:r>
          </w:p>
        </w:tc>
        <w:tc>
          <w:tcPr>
            <w:tcW w:w="588" w:type="dxa"/>
            <w:vMerge w:val="restart"/>
            <w:tcBorders>
              <w:top w:val="single" w:color="000000" w:sz="4" w:space="0"/>
              <w:left w:val="single" w:color="000000" w:sz="4" w:space="0"/>
              <w:bottom w:val="single" w:color="000000" w:sz="4" w:space="0"/>
              <w:right w:val="single" w:color="000000" w:sz="4" w:space="0"/>
            </w:tcBorders>
          </w:tcPr>
          <w:p>
            <w:pPr>
              <w:pStyle w:val="19"/>
              <w:spacing w:before="4"/>
              <w:jc w:val="left"/>
              <w:rPr>
                <w:b/>
                <w:sz w:val="26"/>
              </w:rPr>
            </w:pPr>
          </w:p>
          <w:p>
            <w:pPr>
              <w:pStyle w:val="19"/>
              <w:spacing w:line="278" w:lineRule="auto"/>
              <w:ind w:left="192" w:right="174"/>
              <w:jc w:val="both"/>
              <w:rPr>
                <w:sz w:val="21"/>
              </w:rPr>
            </w:pPr>
            <w:r>
              <w:rPr>
                <w:sz w:val="21"/>
              </w:rPr>
              <w:t>水污染物</w:t>
            </w:r>
          </w:p>
        </w:tc>
        <w:tc>
          <w:tcPr>
            <w:tcW w:w="1520" w:type="dxa"/>
            <w:tcBorders>
              <w:top w:val="single" w:color="000000" w:sz="4" w:space="0"/>
              <w:left w:val="single" w:color="000000" w:sz="4" w:space="0"/>
              <w:bottom w:val="single" w:color="000000" w:sz="4" w:space="0"/>
              <w:right w:val="single" w:color="000000" w:sz="4" w:space="0"/>
            </w:tcBorders>
          </w:tcPr>
          <w:p>
            <w:pPr>
              <w:pStyle w:val="19"/>
              <w:spacing w:before="176" w:line="278" w:lineRule="auto"/>
              <w:ind w:left="449" w:right="115" w:hanging="315"/>
              <w:jc w:val="left"/>
              <w:rPr>
                <w:sz w:val="21"/>
              </w:rPr>
            </w:pPr>
            <w:r>
              <w:rPr>
                <w:sz w:val="21"/>
              </w:rPr>
              <w:t>生活污水、生产废水</w:t>
            </w:r>
          </w:p>
        </w:tc>
        <w:tc>
          <w:tcPr>
            <w:tcW w:w="1193" w:type="dxa"/>
            <w:tcBorders>
              <w:top w:val="single" w:color="000000" w:sz="4" w:space="0"/>
              <w:left w:val="single" w:color="000000" w:sz="4" w:space="0"/>
              <w:bottom w:val="single" w:color="000000" w:sz="4" w:space="0"/>
              <w:right w:val="single" w:color="000000" w:sz="4" w:space="0"/>
            </w:tcBorders>
          </w:tcPr>
          <w:p>
            <w:pPr>
              <w:pStyle w:val="19"/>
              <w:spacing w:before="20"/>
              <w:ind w:left="133" w:right="115"/>
              <w:rPr>
                <w:sz w:val="21"/>
              </w:rPr>
            </w:pPr>
            <w:r>
              <w:rPr>
                <w:rFonts w:ascii="Times New Roman" w:eastAsia="Times New Roman"/>
                <w:spacing w:val="-1"/>
                <w:w w:val="95"/>
                <w:sz w:val="21"/>
              </w:rPr>
              <w:t>COD</w:t>
            </w:r>
            <w:r>
              <w:rPr>
                <w:w w:val="95"/>
                <w:sz w:val="21"/>
              </w:rPr>
              <w:t>、</w:t>
            </w:r>
          </w:p>
          <w:p>
            <w:pPr>
              <w:pStyle w:val="19"/>
              <w:spacing w:before="5" w:line="310" w:lineRule="atLeast"/>
              <w:ind w:left="136" w:right="115"/>
              <w:rPr>
                <w:rFonts w:ascii="Times New Roman" w:eastAsia="Times New Roman"/>
                <w:sz w:val="21"/>
              </w:rPr>
            </w:pPr>
            <w:r>
              <w:rPr>
                <w:rFonts w:ascii="Times New Roman" w:eastAsia="Times New Roman"/>
                <w:position w:val="2"/>
                <w:sz w:val="21"/>
              </w:rPr>
              <w:t>BOD</w:t>
            </w:r>
            <w:r>
              <w:rPr>
                <w:rFonts w:ascii="Times New Roman" w:eastAsia="Times New Roman"/>
                <w:position w:val="2"/>
                <w:sz w:val="21"/>
                <w:vertAlign w:val="subscript"/>
              </w:rPr>
              <w:t>5</w:t>
            </w:r>
            <w:r>
              <w:rPr>
                <w:spacing w:val="-9"/>
                <w:position w:val="2"/>
                <w:sz w:val="21"/>
                <w:vertAlign w:val="baseline"/>
              </w:rPr>
              <w:t>、氨</w:t>
            </w:r>
            <w:r>
              <w:rPr>
                <w:sz w:val="21"/>
                <w:vertAlign w:val="baseline"/>
              </w:rPr>
              <w:t>氮、</w:t>
            </w:r>
            <w:r>
              <w:rPr>
                <w:rFonts w:ascii="Times New Roman" w:eastAsia="Times New Roman"/>
                <w:sz w:val="21"/>
                <w:vertAlign w:val="baseline"/>
              </w:rPr>
              <w:t>SS</w:t>
            </w:r>
          </w:p>
        </w:tc>
        <w:tc>
          <w:tcPr>
            <w:tcW w:w="4681" w:type="dxa"/>
            <w:gridSpan w:val="3"/>
            <w:tcBorders>
              <w:top w:val="single" w:color="000000" w:sz="4" w:space="0"/>
              <w:left w:val="single" w:color="000000" w:sz="4" w:space="0"/>
              <w:bottom w:val="single" w:color="000000" w:sz="4" w:space="0"/>
            </w:tcBorders>
          </w:tcPr>
          <w:p>
            <w:pPr>
              <w:pStyle w:val="19"/>
              <w:spacing w:before="176" w:line="278" w:lineRule="auto"/>
              <w:ind w:left="1715" w:right="87" w:hanging="1601"/>
              <w:jc w:val="left"/>
              <w:rPr>
                <w:sz w:val="21"/>
              </w:rPr>
            </w:pPr>
            <w:r>
              <w:rPr>
                <w:spacing w:val="-2"/>
                <w:w w:val="95"/>
                <w:sz w:val="21"/>
              </w:rPr>
              <w:t>一体化综合污水处理装置</w:t>
            </w:r>
            <w:r>
              <w:rPr>
                <w:w w:val="95"/>
                <w:sz w:val="21"/>
              </w:rPr>
              <w:t>（</w:t>
            </w:r>
            <w:r>
              <w:rPr>
                <w:rFonts w:ascii="Times New Roman" w:eastAsia="Times New Roman"/>
                <w:w w:val="95"/>
                <w:sz w:val="21"/>
              </w:rPr>
              <w:t>SBR+</w:t>
            </w:r>
            <w:r>
              <w:rPr>
                <w:w w:val="95"/>
                <w:sz w:val="21"/>
              </w:rPr>
              <w:t>消毒</w:t>
            </w:r>
            <w:r>
              <w:rPr>
                <w:spacing w:val="-20"/>
                <w:w w:val="95"/>
                <w:sz w:val="21"/>
              </w:rPr>
              <w:t>）</w:t>
            </w:r>
            <w:r>
              <w:rPr>
                <w:w w:val="95"/>
                <w:sz w:val="21"/>
              </w:rPr>
              <w:t xml:space="preserve">处理后全 </w:t>
            </w:r>
            <w:r>
              <w:rPr>
                <w:sz w:val="21"/>
              </w:rPr>
              <w:t>部回用不外排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6"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bottom w:val="single" w:color="000000" w:sz="4" w:space="0"/>
              <w:right w:val="single" w:color="000000" w:sz="4" w:space="0"/>
            </w:tcBorders>
          </w:tcPr>
          <w:p>
            <w:pPr>
              <w:rPr>
                <w:sz w:val="2"/>
                <w:szCs w:val="2"/>
              </w:rPr>
            </w:pPr>
          </w:p>
        </w:tc>
        <w:tc>
          <w:tcPr>
            <w:tcW w:w="1520" w:type="dxa"/>
            <w:tcBorders>
              <w:top w:val="single" w:color="000000" w:sz="4" w:space="0"/>
              <w:left w:val="single" w:color="000000" w:sz="4" w:space="0"/>
              <w:bottom w:val="single" w:color="000000" w:sz="4" w:space="0"/>
              <w:right w:val="single" w:color="000000" w:sz="4" w:space="0"/>
            </w:tcBorders>
          </w:tcPr>
          <w:p>
            <w:pPr>
              <w:pStyle w:val="19"/>
              <w:spacing w:before="6"/>
              <w:jc w:val="left"/>
              <w:rPr>
                <w:b/>
                <w:sz w:val="25"/>
              </w:rPr>
            </w:pPr>
          </w:p>
          <w:p>
            <w:pPr>
              <w:pStyle w:val="19"/>
              <w:ind w:left="110" w:right="96"/>
              <w:rPr>
                <w:sz w:val="21"/>
              </w:rPr>
            </w:pPr>
            <w:r>
              <w:rPr>
                <w:sz w:val="21"/>
              </w:rPr>
              <w:t>采煤废水</w:t>
            </w:r>
          </w:p>
        </w:tc>
        <w:tc>
          <w:tcPr>
            <w:tcW w:w="1193" w:type="dxa"/>
            <w:tcBorders>
              <w:top w:val="single" w:color="000000" w:sz="4" w:space="0"/>
              <w:left w:val="single" w:color="000000" w:sz="4" w:space="0"/>
              <w:bottom w:val="single" w:color="000000" w:sz="4" w:space="0"/>
              <w:right w:val="single" w:color="000000" w:sz="4" w:space="0"/>
            </w:tcBorders>
          </w:tcPr>
          <w:p>
            <w:pPr>
              <w:pStyle w:val="19"/>
              <w:spacing w:before="6"/>
              <w:jc w:val="left"/>
              <w:rPr>
                <w:b/>
                <w:sz w:val="25"/>
              </w:rPr>
            </w:pPr>
          </w:p>
          <w:p>
            <w:pPr>
              <w:pStyle w:val="19"/>
              <w:ind w:left="44" w:right="115"/>
              <w:rPr>
                <w:rFonts w:ascii="Times New Roman" w:eastAsia="Times New Roman"/>
                <w:sz w:val="21"/>
              </w:rPr>
            </w:pPr>
            <w:r>
              <w:rPr>
                <w:rFonts w:ascii="Times New Roman" w:eastAsia="Times New Roman"/>
                <w:sz w:val="21"/>
              </w:rPr>
              <w:t>COD</w:t>
            </w:r>
            <w:r>
              <w:rPr>
                <w:sz w:val="21"/>
              </w:rPr>
              <w:t>、</w:t>
            </w:r>
            <w:r>
              <w:rPr>
                <w:rFonts w:ascii="Times New Roman" w:eastAsia="Times New Roman"/>
                <w:sz w:val="21"/>
              </w:rPr>
              <w:t>SS</w:t>
            </w:r>
          </w:p>
        </w:tc>
        <w:tc>
          <w:tcPr>
            <w:tcW w:w="4681" w:type="dxa"/>
            <w:gridSpan w:val="3"/>
            <w:tcBorders>
              <w:top w:val="single" w:color="000000" w:sz="4" w:space="0"/>
              <w:left w:val="single" w:color="000000" w:sz="4" w:space="0"/>
              <w:bottom w:val="single" w:color="000000" w:sz="4" w:space="0"/>
            </w:tcBorders>
          </w:tcPr>
          <w:p>
            <w:pPr>
              <w:pStyle w:val="19"/>
              <w:spacing w:before="15" w:line="278" w:lineRule="auto"/>
              <w:ind w:left="138" w:right="116" w:hanging="1"/>
              <w:rPr>
                <w:sz w:val="21"/>
              </w:rPr>
            </w:pPr>
            <w:r>
              <w:rPr>
                <w:w w:val="95"/>
                <w:sz w:val="21"/>
              </w:rPr>
              <w:t>矿井水处理站处理后部分回用于井下生产用水、 洗浴用水、洗衣用水和锅炉补水等非饮用生活用</w:t>
            </w:r>
          </w:p>
          <w:p>
            <w:pPr>
              <w:pStyle w:val="19"/>
              <w:spacing w:line="267" w:lineRule="exact"/>
              <w:ind w:left="1274" w:right="1252"/>
              <w:rPr>
                <w:sz w:val="21"/>
              </w:rPr>
            </w:pPr>
            <w:r>
              <w:rPr>
                <w:sz w:val="21"/>
              </w:rPr>
              <w:t>水，部分排放到安邦河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8" w:hRule="atLeast"/>
        </w:trPr>
        <w:tc>
          <w:tcPr>
            <w:tcW w:w="535" w:type="dxa"/>
            <w:vMerge w:val="continue"/>
            <w:tcBorders>
              <w:top w:val="nil"/>
              <w:right w:val="single" w:color="000000" w:sz="4" w:space="0"/>
            </w:tcBorders>
          </w:tcPr>
          <w:p>
            <w:pPr>
              <w:rPr>
                <w:sz w:val="2"/>
                <w:szCs w:val="2"/>
              </w:rPr>
            </w:pPr>
          </w:p>
        </w:tc>
        <w:tc>
          <w:tcPr>
            <w:tcW w:w="588"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spacing w:before="1"/>
              <w:jc w:val="left"/>
              <w:rPr>
                <w:b/>
                <w:sz w:val="17"/>
              </w:rPr>
            </w:pPr>
          </w:p>
          <w:p>
            <w:pPr>
              <w:pStyle w:val="19"/>
              <w:spacing w:before="1" w:line="278" w:lineRule="auto"/>
              <w:ind w:left="192" w:right="174"/>
              <w:jc w:val="both"/>
              <w:rPr>
                <w:sz w:val="21"/>
              </w:rPr>
            </w:pPr>
            <w:r>
              <w:rPr>
                <w:sz w:val="21"/>
              </w:rPr>
              <w:t>大气污染物</w:t>
            </w:r>
          </w:p>
        </w:tc>
        <w:tc>
          <w:tcPr>
            <w:tcW w:w="1520"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10"/>
              <w:jc w:val="left"/>
              <w:rPr>
                <w:b/>
                <w:sz w:val="17"/>
              </w:rPr>
            </w:pPr>
          </w:p>
          <w:p>
            <w:pPr>
              <w:pStyle w:val="19"/>
              <w:spacing w:before="1"/>
              <w:ind w:left="113" w:right="96"/>
              <w:rPr>
                <w:sz w:val="21"/>
              </w:rPr>
            </w:pPr>
            <w:r>
              <w:rPr>
                <w:sz w:val="21"/>
              </w:rPr>
              <w:t>原煤转载储运</w:t>
            </w:r>
          </w:p>
        </w:tc>
        <w:tc>
          <w:tcPr>
            <w:tcW w:w="1193"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10"/>
              <w:jc w:val="left"/>
              <w:rPr>
                <w:b/>
                <w:sz w:val="17"/>
              </w:rPr>
            </w:pPr>
          </w:p>
          <w:p>
            <w:pPr>
              <w:pStyle w:val="19"/>
              <w:spacing w:before="1"/>
              <w:ind w:left="131" w:right="115"/>
              <w:rPr>
                <w:sz w:val="21"/>
              </w:rPr>
            </w:pPr>
            <w:r>
              <w:rPr>
                <w:sz w:val="21"/>
              </w:rPr>
              <w:t>颗粒物</w:t>
            </w:r>
          </w:p>
        </w:tc>
        <w:tc>
          <w:tcPr>
            <w:tcW w:w="2476" w:type="dxa"/>
            <w:gridSpan w:val="2"/>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10"/>
              <w:jc w:val="left"/>
              <w:rPr>
                <w:b/>
                <w:sz w:val="17"/>
              </w:rPr>
            </w:pPr>
          </w:p>
          <w:p>
            <w:pPr>
              <w:pStyle w:val="19"/>
              <w:spacing w:before="1"/>
              <w:ind w:left="717"/>
              <w:jc w:val="left"/>
              <w:rPr>
                <w:sz w:val="21"/>
              </w:rPr>
            </w:pPr>
            <w:r>
              <w:rPr>
                <w:sz w:val="21"/>
              </w:rPr>
              <w:t>无组织扬尘</w:t>
            </w:r>
          </w:p>
        </w:tc>
        <w:tc>
          <w:tcPr>
            <w:tcW w:w="2205" w:type="dxa"/>
            <w:tcBorders>
              <w:top w:val="single" w:color="000000" w:sz="4" w:space="0"/>
              <w:left w:val="single" w:color="000000" w:sz="4" w:space="0"/>
              <w:bottom w:val="single" w:color="000000" w:sz="4" w:space="0"/>
            </w:tcBorders>
          </w:tcPr>
          <w:p>
            <w:pPr>
              <w:pStyle w:val="19"/>
              <w:spacing w:before="17" w:line="278" w:lineRule="auto"/>
              <w:ind w:left="113" w:right="87"/>
              <w:jc w:val="both"/>
              <w:rPr>
                <w:sz w:val="21"/>
              </w:rPr>
            </w:pPr>
            <w:r>
              <w:rPr>
                <w:sz w:val="21"/>
              </w:rPr>
              <w:t>转载点设置喷雾洒水装置；煤炭场内输送采用全封闭式输送栈</w:t>
            </w:r>
          </w:p>
          <w:p>
            <w:pPr>
              <w:pStyle w:val="19"/>
              <w:spacing w:line="265" w:lineRule="exact"/>
              <w:ind w:left="113"/>
              <w:jc w:val="left"/>
              <w:rPr>
                <w:sz w:val="21"/>
              </w:rPr>
            </w:pPr>
            <w:r>
              <w:rPr>
                <w:w w:val="99"/>
                <w:sz w:val="21"/>
              </w:rPr>
              <w:t>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bottom w:val="single" w:color="000000" w:sz="4" w:space="0"/>
              <w:right w:val="single" w:color="000000" w:sz="4" w:space="0"/>
            </w:tcBorders>
          </w:tcPr>
          <w:p>
            <w:pPr>
              <w:rPr>
                <w:sz w:val="2"/>
                <w:szCs w:val="2"/>
              </w:rPr>
            </w:pPr>
          </w:p>
        </w:tc>
        <w:tc>
          <w:tcPr>
            <w:tcW w:w="1520" w:type="dxa"/>
            <w:tcBorders>
              <w:top w:val="single" w:color="000000" w:sz="4" w:space="0"/>
              <w:left w:val="single" w:color="000000" w:sz="4" w:space="0"/>
              <w:bottom w:val="single" w:color="000000" w:sz="4" w:space="0"/>
              <w:right w:val="single" w:color="000000" w:sz="4" w:space="0"/>
            </w:tcBorders>
          </w:tcPr>
          <w:p>
            <w:pPr>
              <w:pStyle w:val="19"/>
              <w:spacing w:before="86"/>
              <w:ind w:left="113" w:right="96"/>
              <w:rPr>
                <w:sz w:val="21"/>
              </w:rPr>
            </w:pPr>
            <w:r>
              <w:rPr>
                <w:sz w:val="21"/>
              </w:rPr>
              <w:t>储煤场</w:t>
            </w:r>
          </w:p>
        </w:tc>
        <w:tc>
          <w:tcPr>
            <w:tcW w:w="1193" w:type="dxa"/>
            <w:tcBorders>
              <w:top w:val="single" w:color="000000" w:sz="4" w:space="0"/>
              <w:left w:val="single" w:color="000000" w:sz="4" w:space="0"/>
              <w:bottom w:val="single" w:color="000000" w:sz="4" w:space="0"/>
              <w:right w:val="single" w:color="000000" w:sz="4" w:space="0"/>
            </w:tcBorders>
          </w:tcPr>
          <w:p>
            <w:pPr>
              <w:pStyle w:val="19"/>
              <w:spacing w:before="86"/>
              <w:ind w:left="131" w:right="115"/>
              <w:rPr>
                <w:sz w:val="21"/>
              </w:rPr>
            </w:pPr>
            <w:r>
              <w:rPr>
                <w:sz w:val="21"/>
              </w:rPr>
              <w:t>颗粒物</w:t>
            </w:r>
          </w:p>
        </w:tc>
        <w:tc>
          <w:tcPr>
            <w:tcW w:w="2476" w:type="dxa"/>
            <w:gridSpan w:val="2"/>
            <w:tcBorders>
              <w:top w:val="single" w:color="000000" w:sz="4" w:space="0"/>
              <w:left w:val="single" w:color="000000" w:sz="4" w:space="0"/>
              <w:bottom w:val="single" w:color="000000" w:sz="4" w:space="0"/>
              <w:right w:val="single" w:color="000000" w:sz="4" w:space="0"/>
            </w:tcBorders>
          </w:tcPr>
          <w:p>
            <w:pPr>
              <w:pStyle w:val="19"/>
              <w:spacing w:before="86"/>
              <w:ind w:left="717"/>
              <w:jc w:val="left"/>
              <w:rPr>
                <w:sz w:val="21"/>
              </w:rPr>
            </w:pPr>
            <w:r>
              <w:rPr>
                <w:sz w:val="21"/>
              </w:rPr>
              <w:t>无组织扬尘</w:t>
            </w:r>
          </w:p>
        </w:tc>
        <w:tc>
          <w:tcPr>
            <w:tcW w:w="2205" w:type="dxa"/>
            <w:tcBorders>
              <w:top w:val="single" w:color="000000" w:sz="4" w:space="0"/>
              <w:left w:val="single" w:color="000000" w:sz="4" w:space="0"/>
              <w:bottom w:val="single" w:color="000000" w:sz="4" w:space="0"/>
            </w:tcBorders>
          </w:tcPr>
          <w:p>
            <w:pPr>
              <w:pStyle w:val="19"/>
              <w:spacing w:before="86"/>
              <w:ind w:left="113"/>
              <w:jc w:val="left"/>
              <w:rPr>
                <w:sz w:val="21"/>
              </w:rPr>
            </w:pPr>
            <w:r>
              <w:rPr>
                <w:sz w:val="21"/>
              </w:rPr>
              <w:t>安装洒水降尘设施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4"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bottom w:val="single" w:color="000000" w:sz="4" w:space="0"/>
              <w:right w:val="single" w:color="000000" w:sz="4" w:space="0"/>
            </w:tcBorders>
          </w:tcPr>
          <w:p>
            <w:pPr>
              <w:rPr>
                <w:sz w:val="2"/>
                <w:szCs w:val="2"/>
              </w:rPr>
            </w:pPr>
          </w:p>
        </w:tc>
        <w:tc>
          <w:tcPr>
            <w:tcW w:w="1520" w:type="dxa"/>
            <w:tcBorders>
              <w:top w:val="single" w:color="000000" w:sz="4" w:space="0"/>
              <w:left w:val="single" w:color="000000" w:sz="4" w:space="0"/>
              <w:bottom w:val="single" w:color="000000" w:sz="4" w:space="0"/>
              <w:right w:val="single" w:color="000000" w:sz="4" w:space="0"/>
            </w:tcBorders>
          </w:tcPr>
          <w:p>
            <w:pPr>
              <w:pStyle w:val="19"/>
              <w:spacing w:before="15"/>
              <w:ind w:left="113" w:right="96"/>
              <w:rPr>
                <w:sz w:val="21"/>
              </w:rPr>
            </w:pPr>
            <w:r>
              <w:rPr>
                <w:sz w:val="21"/>
              </w:rPr>
              <w:t>矸石临时堆放</w:t>
            </w:r>
          </w:p>
          <w:p>
            <w:pPr>
              <w:pStyle w:val="19"/>
              <w:spacing w:before="43" w:line="266" w:lineRule="exact"/>
              <w:ind w:left="113" w:right="96"/>
              <w:rPr>
                <w:sz w:val="21"/>
              </w:rPr>
            </w:pPr>
            <w:r>
              <w:rPr>
                <w:sz w:val="21"/>
              </w:rPr>
              <w:t>场地</w:t>
            </w:r>
          </w:p>
        </w:tc>
        <w:tc>
          <w:tcPr>
            <w:tcW w:w="1193" w:type="dxa"/>
            <w:tcBorders>
              <w:top w:val="single" w:color="000000" w:sz="4" w:space="0"/>
              <w:left w:val="single" w:color="000000" w:sz="4" w:space="0"/>
              <w:bottom w:val="single" w:color="000000" w:sz="4" w:space="0"/>
              <w:right w:val="single" w:color="000000" w:sz="4" w:space="0"/>
            </w:tcBorders>
          </w:tcPr>
          <w:p>
            <w:pPr>
              <w:pStyle w:val="19"/>
              <w:spacing w:before="172"/>
              <w:ind w:left="131" w:right="115"/>
              <w:rPr>
                <w:sz w:val="21"/>
              </w:rPr>
            </w:pPr>
            <w:r>
              <w:rPr>
                <w:sz w:val="21"/>
              </w:rPr>
              <w:t>颗粒物</w:t>
            </w:r>
          </w:p>
        </w:tc>
        <w:tc>
          <w:tcPr>
            <w:tcW w:w="2476" w:type="dxa"/>
            <w:gridSpan w:val="2"/>
            <w:tcBorders>
              <w:top w:val="single" w:color="000000" w:sz="4" w:space="0"/>
              <w:left w:val="single" w:color="000000" w:sz="4" w:space="0"/>
              <w:bottom w:val="single" w:color="000000" w:sz="4" w:space="0"/>
              <w:right w:val="single" w:color="000000" w:sz="4" w:space="0"/>
            </w:tcBorders>
          </w:tcPr>
          <w:p>
            <w:pPr>
              <w:pStyle w:val="19"/>
              <w:spacing w:before="172"/>
              <w:ind w:left="717"/>
              <w:jc w:val="left"/>
              <w:rPr>
                <w:sz w:val="21"/>
              </w:rPr>
            </w:pPr>
            <w:r>
              <w:rPr>
                <w:sz w:val="21"/>
              </w:rPr>
              <w:t>无组织扬尘</w:t>
            </w:r>
          </w:p>
        </w:tc>
        <w:tc>
          <w:tcPr>
            <w:tcW w:w="2205" w:type="dxa"/>
            <w:tcBorders>
              <w:top w:val="single" w:color="000000" w:sz="4" w:space="0"/>
              <w:left w:val="single" w:color="000000" w:sz="4" w:space="0"/>
              <w:bottom w:val="single" w:color="000000" w:sz="4" w:space="0"/>
            </w:tcBorders>
          </w:tcPr>
          <w:p>
            <w:pPr>
              <w:pStyle w:val="19"/>
              <w:spacing w:before="172"/>
              <w:ind w:left="113"/>
              <w:jc w:val="left"/>
              <w:rPr>
                <w:sz w:val="21"/>
              </w:rPr>
            </w:pPr>
            <w:r>
              <w:rPr>
                <w:sz w:val="21"/>
              </w:rPr>
              <w:t>安装洒水降尘设施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bottom w:val="single" w:color="000000" w:sz="4" w:space="0"/>
              <w:right w:val="single" w:color="000000" w:sz="4" w:space="0"/>
            </w:tcBorders>
          </w:tcPr>
          <w:p>
            <w:pPr>
              <w:rPr>
                <w:sz w:val="2"/>
                <w:szCs w:val="2"/>
              </w:rPr>
            </w:pPr>
          </w:p>
        </w:tc>
        <w:tc>
          <w:tcPr>
            <w:tcW w:w="1520" w:type="dxa"/>
            <w:tcBorders>
              <w:top w:val="single" w:color="000000" w:sz="4" w:space="0"/>
              <w:left w:val="single" w:color="000000" w:sz="4" w:space="0"/>
              <w:bottom w:val="single" w:color="000000" w:sz="4" w:space="0"/>
              <w:right w:val="single" w:color="000000" w:sz="4" w:space="0"/>
            </w:tcBorders>
          </w:tcPr>
          <w:p>
            <w:pPr>
              <w:pStyle w:val="19"/>
              <w:spacing w:before="15" w:line="267" w:lineRule="exact"/>
              <w:ind w:left="110" w:right="96"/>
              <w:rPr>
                <w:sz w:val="21"/>
              </w:rPr>
            </w:pPr>
            <w:r>
              <w:rPr>
                <w:sz w:val="21"/>
              </w:rPr>
              <w:t>筛分车间</w:t>
            </w:r>
          </w:p>
        </w:tc>
        <w:tc>
          <w:tcPr>
            <w:tcW w:w="1193" w:type="dxa"/>
            <w:tcBorders>
              <w:top w:val="single" w:color="000000" w:sz="4" w:space="0"/>
              <w:left w:val="single" w:color="000000" w:sz="4" w:space="0"/>
              <w:bottom w:val="single" w:color="000000" w:sz="4" w:space="0"/>
              <w:right w:val="single" w:color="000000" w:sz="4" w:space="0"/>
            </w:tcBorders>
          </w:tcPr>
          <w:p>
            <w:pPr>
              <w:pStyle w:val="19"/>
              <w:spacing w:before="15" w:line="267" w:lineRule="exact"/>
              <w:ind w:left="131" w:right="115"/>
              <w:rPr>
                <w:sz w:val="21"/>
              </w:rPr>
            </w:pPr>
            <w:r>
              <w:rPr>
                <w:sz w:val="21"/>
              </w:rPr>
              <w:t>颗粒物</w:t>
            </w:r>
          </w:p>
        </w:tc>
        <w:tc>
          <w:tcPr>
            <w:tcW w:w="4681" w:type="dxa"/>
            <w:gridSpan w:val="3"/>
            <w:tcBorders>
              <w:top w:val="single" w:color="000000" w:sz="4" w:space="0"/>
              <w:left w:val="single" w:color="000000" w:sz="4" w:space="0"/>
              <w:bottom w:val="single" w:color="000000" w:sz="4" w:space="0"/>
            </w:tcBorders>
          </w:tcPr>
          <w:p>
            <w:pPr>
              <w:pStyle w:val="19"/>
              <w:spacing w:before="15" w:line="267" w:lineRule="exact"/>
              <w:ind w:left="1272" w:right="1252"/>
              <w:rPr>
                <w:sz w:val="21"/>
              </w:rPr>
            </w:pPr>
            <w:r>
              <w:rPr>
                <w:sz w:val="21"/>
              </w:rPr>
              <w:t>布袋除尘器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bottom w:val="single" w:color="000000" w:sz="4" w:space="0"/>
              <w:right w:val="single" w:color="000000" w:sz="4" w:space="0"/>
            </w:tcBorders>
          </w:tcPr>
          <w:p>
            <w:pPr>
              <w:rPr>
                <w:sz w:val="2"/>
                <w:szCs w:val="2"/>
              </w:rPr>
            </w:pPr>
          </w:p>
        </w:tc>
        <w:tc>
          <w:tcPr>
            <w:tcW w:w="1520" w:type="dxa"/>
            <w:tcBorders>
              <w:top w:val="single" w:color="000000" w:sz="4" w:space="0"/>
              <w:left w:val="single" w:color="000000" w:sz="4" w:space="0"/>
              <w:bottom w:val="single" w:color="000000" w:sz="4" w:space="0"/>
              <w:right w:val="single" w:color="000000" w:sz="4" w:space="0"/>
            </w:tcBorders>
          </w:tcPr>
          <w:p>
            <w:pPr>
              <w:pStyle w:val="19"/>
              <w:spacing w:before="15" w:line="267" w:lineRule="exact"/>
              <w:ind w:left="113" w:right="96"/>
              <w:rPr>
                <w:sz w:val="21"/>
              </w:rPr>
            </w:pPr>
            <w:r>
              <w:rPr>
                <w:sz w:val="21"/>
              </w:rPr>
              <w:t>锅炉及热风炉</w:t>
            </w:r>
          </w:p>
        </w:tc>
        <w:tc>
          <w:tcPr>
            <w:tcW w:w="1193" w:type="dxa"/>
            <w:tcBorders>
              <w:top w:val="single" w:color="000000" w:sz="4" w:space="0"/>
              <w:left w:val="single" w:color="000000" w:sz="4" w:space="0"/>
              <w:bottom w:val="single" w:color="000000" w:sz="4" w:space="0"/>
              <w:right w:val="single" w:color="000000" w:sz="4" w:space="0"/>
            </w:tcBorders>
          </w:tcPr>
          <w:p>
            <w:pPr>
              <w:pStyle w:val="19"/>
              <w:spacing w:before="15" w:line="267" w:lineRule="exact"/>
              <w:ind w:left="131" w:right="115"/>
              <w:rPr>
                <w:sz w:val="21"/>
              </w:rPr>
            </w:pPr>
            <w:r>
              <w:rPr>
                <w:sz w:val="21"/>
              </w:rPr>
              <w:t>颗粒物</w:t>
            </w:r>
          </w:p>
        </w:tc>
        <w:tc>
          <w:tcPr>
            <w:tcW w:w="4681" w:type="dxa"/>
            <w:gridSpan w:val="3"/>
            <w:tcBorders>
              <w:top w:val="single" w:color="000000" w:sz="4" w:space="0"/>
              <w:left w:val="single" w:color="000000" w:sz="4" w:space="0"/>
              <w:bottom w:val="single" w:color="000000" w:sz="4" w:space="0"/>
            </w:tcBorders>
          </w:tcPr>
          <w:p>
            <w:pPr>
              <w:pStyle w:val="19"/>
              <w:spacing w:before="15" w:line="267" w:lineRule="exact"/>
              <w:ind w:left="1272" w:right="1252"/>
              <w:rPr>
                <w:sz w:val="21"/>
              </w:rPr>
            </w:pPr>
            <w:r>
              <w:rPr>
                <w:sz w:val="21"/>
              </w:rPr>
              <w:t>布袋除尘器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3" w:hRule="atLeast"/>
        </w:trPr>
        <w:tc>
          <w:tcPr>
            <w:tcW w:w="535" w:type="dxa"/>
            <w:vMerge w:val="continue"/>
            <w:tcBorders>
              <w:top w:val="nil"/>
              <w:right w:val="single" w:color="000000" w:sz="4" w:space="0"/>
            </w:tcBorders>
          </w:tcPr>
          <w:p>
            <w:pPr>
              <w:rPr>
                <w:sz w:val="2"/>
                <w:szCs w:val="2"/>
              </w:rPr>
            </w:pPr>
          </w:p>
        </w:tc>
        <w:tc>
          <w:tcPr>
            <w:tcW w:w="588" w:type="dxa"/>
            <w:tcBorders>
              <w:top w:val="single" w:color="000000" w:sz="4" w:space="0"/>
              <w:left w:val="single" w:color="000000" w:sz="4" w:space="0"/>
              <w:bottom w:val="single" w:color="000000" w:sz="4" w:space="0"/>
              <w:right w:val="single" w:color="000000" w:sz="4" w:space="0"/>
            </w:tcBorders>
          </w:tcPr>
          <w:p>
            <w:pPr>
              <w:pStyle w:val="19"/>
              <w:spacing w:before="17"/>
              <w:ind w:left="192"/>
              <w:jc w:val="left"/>
              <w:rPr>
                <w:sz w:val="21"/>
              </w:rPr>
            </w:pPr>
            <w:r>
              <w:rPr>
                <w:w w:val="99"/>
                <w:sz w:val="21"/>
              </w:rPr>
              <w:t>噪</w:t>
            </w:r>
          </w:p>
          <w:p>
            <w:pPr>
              <w:pStyle w:val="19"/>
              <w:spacing w:before="43" w:line="265" w:lineRule="exact"/>
              <w:ind w:left="192"/>
              <w:jc w:val="left"/>
              <w:rPr>
                <w:sz w:val="21"/>
              </w:rPr>
            </w:pPr>
            <w:r>
              <w:rPr>
                <w:w w:val="99"/>
                <w:sz w:val="21"/>
              </w:rPr>
              <w:t>声</w:t>
            </w:r>
          </w:p>
        </w:tc>
        <w:tc>
          <w:tcPr>
            <w:tcW w:w="1520" w:type="dxa"/>
            <w:tcBorders>
              <w:top w:val="single" w:color="000000" w:sz="4" w:space="0"/>
              <w:left w:val="single" w:color="000000" w:sz="4" w:space="0"/>
              <w:bottom w:val="single" w:color="000000" w:sz="4" w:space="0"/>
              <w:right w:val="single" w:color="000000" w:sz="4" w:space="0"/>
            </w:tcBorders>
          </w:tcPr>
          <w:p>
            <w:pPr>
              <w:pStyle w:val="19"/>
              <w:spacing w:before="173"/>
              <w:ind w:left="113" w:right="94"/>
              <w:rPr>
                <w:sz w:val="21"/>
              </w:rPr>
            </w:pPr>
            <w:r>
              <w:rPr>
                <w:sz w:val="21"/>
              </w:rPr>
              <w:t>高噪声设备</w:t>
            </w:r>
          </w:p>
        </w:tc>
        <w:tc>
          <w:tcPr>
            <w:tcW w:w="1193" w:type="dxa"/>
            <w:tcBorders>
              <w:top w:val="single" w:color="000000" w:sz="4" w:space="0"/>
              <w:left w:val="single" w:color="000000" w:sz="4" w:space="0"/>
              <w:bottom w:val="single" w:color="000000" w:sz="4" w:space="0"/>
              <w:right w:val="single" w:color="000000" w:sz="4" w:space="0"/>
            </w:tcBorders>
          </w:tcPr>
          <w:p>
            <w:pPr>
              <w:pStyle w:val="19"/>
              <w:spacing w:before="173"/>
              <w:ind w:left="131" w:right="115"/>
              <w:rPr>
                <w:sz w:val="21"/>
              </w:rPr>
            </w:pPr>
            <w:r>
              <w:rPr>
                <w:sz w:val="21"/>
              </w:rPr>
              <w:t>噪声</w:t>
            </w:r>
          </w:p>
        </w:tc>
        <w:tc>
          <w:tcPr>
            <w:tcW w:w="2476" w:type="dxa"/>
            <w:gridSpan w:val="2"/>
            <w:tcBorders>
              <w:top w:val="single" w:color="000000" w:sz="4" w:space="0"/>
              <w:left w:val="single" w:color="000000" w:sz="4" w:space="0"/>
              <w:bottom w:val="single" w:color="000000" w:sz="4" w:space="0"/>
              <w:right w:val="single" w:color="000000" w:sz="4" w:space="0"/>
            </w:tcBorders>
          </w:tcPr>
          <w:p>
            <w:pPr>
              <w:pStyle w:val="19"/>
              <w:spacing w:before="187"/>
              <w:ind w:left="707"/>
              <w:jc w:val="left"/>
              <w:rPr>
                <w:rFonts w:ascii="Times New Roman"/>
                <w:sz w:val="21"/>
              </w:rPr>
            </w:pPr>
            <w:r>
              <w:rPr>
                <w:rFonts w:ascii="Times New Roman"/>
                <w:sz w:val="21"/>
              </w:rPr>
              <w:t>60~78dB(A)</w:t>
            </w:r>
          </w:p>
        </w:tc>
        <w:tc>
          <w:tcPr>
            <w:tcW w:w="2205" w:type="dxa"/>
            <w:tcBorders>
              <w:top w:val="single" w:color="000000" w:sz="4" w:space="0"/>
              <w:left w:val="single" w:color="000000" w:sz="4" w:space="0"/>
              <w:bottom w:val="single" w:color="000000" w:sz="4" w:space="0"/>
            </w:tcBorders>
          </w:tcPr>
          <w:p>
            <w:pPr>
              <w:pStyle w:val="19"/>
              <w:spacing w:before="173"/>
              <w:ind w:left="266"/>
              <w:jc w:val="left"/>
              <w:rPr>
                <w:sz w:val="21"/>
              </w:rPr>
            </w:pPr>
            <w:r>
              <w:rPr>
                <w:sz w:val="21"/>
              </w:rPr>
              <w:t>减震、隔声等措施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535" w:type="dxa"/>
            <w:vMerge w:val="continue"/>
            <w:tcBorders>
              <w:top w:val="nil"/>
              <w:right w:val="single" w:color="000000" w:sz="4" w:space="0"/>
            </w:tcBorders>
          </w:tcPr>
          <w:p>
            <w:pPr>
              <w:rPr>
                <w:sz w:val="2"/>
                <w:szCs w:val="2"/>
              </w:rPr>
            </w:pPr>
          </w:p>
        </w:tc>
        <w:tc>
          <w:tcPr>
            <w:tcW w:w="588" w:type="dxa"/>
            <w:vMerge w:val="restart"/>
            <w:tcBorders>
              <w:top w:val="single" w:color="000000" w:sz="4" w:space="0"/>
              <w:left w:val="single" w:color="000000" w:sz="4" w:space="0"/>
              <w:right w:val="single" w:color="000000" w:sz="4" w:space="0"/>
            </w:tcBorders>
          </w:tcPr>
          <w:p>
            <w:pPr>
              <w:pStyle w:val="19"/>
              <w:jc w:val="left"/>
              <w:rPr>
                <w:b/>
                <w:sz w:val="20"/>
              </w:rPr>
            </w:pPr>
          </w:p>
          <w:p>
            <w:pPr>
              <w:pStyle w:val="19"/>
              <w:spacing w:before="12"/>
              <w:jc w:val="left"/>
              <w:rPr>
                <w:b/>
                <w:sz w:val="18"/>
              </w:rPr>
            </w:pPr>
          </w:p>
          <w:p>
            <w:pPr>
              <w:pStyle w:val="19"/>
              <w:spacing w:line="278" w:lineRule="auto"/>
              <w:ind w:left="192" w:right="174"/>
              <w:jc w:val="both"/>
              <w:rPr>
                <w:sz w:val="21"/>
              </w:rPr>
            </w:pPr>
            <w:r>
              <w:rPr>
                <w:sz w:val="21"/>
              </w:rPr>
              <w:t>固体废物</w:t>
            </w:r>
          </w:p>
        </w:tc>
        <w:tc>
          <w:tcPr>
            <w:tcW w:w="2713" w:type="dxa"/>
            <w:gridSpan w:val="2"/>
            <w:tcBorders>
              <w:top w:val="single" w:color="000000" w:sz="4" w:space="0"/>
              <w:left w:val="single" w:color="000000" w:sz="4" w:space="0"/>
              <w:bottom w:val="single" w:color="000000" w:sz="4" w:space="0"/>
              <w:right w:val="single" w:color="000000" w:sz="4" w:space="0"/>
            </w:tcBorders>
          </w:tcPr>
          <w:p>
            <w:pPr>
              <w:pStyle w:val="19"/>
              <w:spacing w:before="16" w:line="265" w:lineRule="exact"/>
              <w:ind w:left="500" w:right="483"/>
              <w:rPr>
                <w:sz w:val="21"/>
              </w:rPr>
            </w:pPr>
            <w:r>
              <w:rPr>
                <w:sz w:val="21"/>
              </w:rPr>
              <w:t>生活垃圾</w:t>
            </w:r>
          </w:p>
        </w:tc>
        <w:tc>
          <w:tcPr>
            <w:tcW w:w="2476" w:type="dxa"/>
            <w:gridSpan w:val="2"/>
            <w:tcBorders>
              <w:top w:val="single" w:color="000000" w:sz="4" w:space="0"/>
              <w:left w:val="single" w:color="000000" w:sz="4" w:space="0"/>
              <w:bottom w:val="single" w:color="000000" w:sz="4" w:space="0"/>
              <w:right w:val="single" w:color="000000" w:sz="4" w:space="0"/>
            </w:tcBorders>
          </w:tcPr>
          <w:p>
            <w:pPr>
              <w:pStyle w:val="19"/>
              <w:spacing w:before="30"/>
              <w:ind w:left="854" w:right="836"/>
              <w:rPr>
                <w:rFonts w:ascii="Times New Roman"/>
                <w:sz w:val="21"/>
              </w:rPr>
            </w:pPr>
            <w:r>
              <w:rPr>
                <w:rFonts w:ascii="Times New Roman"/>
                <w:sz w:val="21"/>
              </w:rPr>
              <w:t>37.23t/a</w:t>
            </w:r>
          </w:p>
        </w:tc>
        <w:tc>
          <w:tcPr>
            <w:tcW w:w="2205" w:type="dxa"/>
            <w:tcBorders>
              <w:top w:val="single" w:color="000000" w:sz="4" w:space="0"/>
              <w:left w:val="single" w:color="000000" w:sz="4" w:space="0"/>
              <w:bottom w:val="single" w:color="000000" w:sz="4" w:space="0"/>
            </w:tcBorders>
          </w:tcPr>
          <w:p>
            <w:pPr>
              <w:pStyle w:val="19"/>
              <w:spacing w:before="16" w:line="265" w:lineRule="exact"/>
              <w:ind w:left="161"/>
              <w:jc w:val="left"/>
              <w:rPr>
                <w:sz w:val="21"/>
              </w:rPr>
            </w:pPr>
            <w:r>
              <w:rPr>
                <w:sz w:val="21"/>
              </w:rPr>
              <w:t>由市政部门统一清运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4"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right w:val="single" w:color="000000" w:sz="4" w:space="0"/>
            </w:tcBorders>
          </w:tcPr>
          <w:p>
            <w:pPr>
              <w:rPr>
                <w:sz w:val="2"/>
                <w:szCs w:val="2"/>
              </w:rPr>
            </w:pPr>
          </w:p>
        </w:tc>
        <w:tc>
          <w:tcPr>
            <w:tcW w:w="2713" w:type="dxa"/>
            <w:gridSpan w:val="2"/>
            <w:tcBorders>
              <w:top w:val="single" w:color="000000" w:sz="4" w:space="0"/>
              <w:left w:val="single" w:color="000000" w:sz="4" w:space="0"/>
              <w:bottom w:val="single" w:color="000000" w:sz="4" w:space="0"/>
              <w:right w:val="single" w:color="000000" w:sz="4" w:space="0"/>
            </w:tcBorders>
          </w:tcPr>
          <w:p>
            <w:pPr>
              <w:pStyle w:val="19"/>
              <w:spacing w:before="172"/>
              <w:ind w:left="500" w:right="483"/>
              <w:rPr>
                <w:sz w:val="21"/>
              </w:rPr>
            </w:pPr>
            <w:r>
              <w:rPr>
                <w:sz w:val="21"/>
              </w:rPr>
              <w:t>厨余垃圾</w:t>
            </w:r>
          </w:p>
        </w:tc>
        <w:tc>
          <w:tcPr>
            <w:tcW w:w="2476" w:type="dxa"/>
            <w:gridSpan w:val="2"/>
            <w:tcBorders>
              <w:top w:val="single" w:color="000000" w:sz="4" w:space="0"/>
              <w:left w:val="single" w:color="000000" w:sz="4" w:space="0"/>
              <w:bottom w:val="single" w:color="000000" w:sz="4" w:space="0"/>
              <w:right w:val="single" w:color="000000" w:sz="4" w:space="0"/>
            </w:tcBorders>
          </w:tcPr>
          <w:p>
            <w:pPr>
              <w:pStyle w:val="19"/>
              <w:spacing w:before="186"/>
              <w:ind w:left="854" w:right="836"/>
              <w:rPr>
                <w:rFonts w:ascii="Times New Roman"/>
                <w:sz w:val="21"/>
              </w:rPr>
            </w:pPr>
            <w:r>
              <w:rPr>
                <w:rFonts w:ascii="Times New Roman"/>
                <w:sz w:val="21"/>
              </w:rPr>
              <w:t>29.8t/a</w:t>
            </w:r>
          </w:p>
        </w:tc>
        <w:tc>
          <w:tcPr>
            <w:tcW w:w="2205" w:type="dxa"/>
            <w:tcBorders>
              <w:top w:val="single" w:color="000000" w:sz="4" w:space="0"/>
              <w:left w:val="single" w:color="000000" w:sz="4" w:space="0"/>
              <w:bottom w:val="single" w:color="000000" w:sz="4" w:space="0"/>
            </w:tcBorders>
          </w:tcPr>
          <w:p>
            <w:pPr>
              <w:pStyle w:val="19"/>
              <w:spacing w:before="16"/>
              <w:ind w:left="140" w:right="120"/>
              <w:rPr>
                <w:sz w:val="21"/>
              </w:rPr>
            </w:pPr>
            <w:r>
              <w:rPr>
                <w:sz w:val="21"/>
              </w:rPr>
              <w:t>分类存放，由市政部</w:t>
            </w:r>
          </w:p>
          <w:p>
            <w:pPr>
              <w:pStyle w:val="19"/>
              <w:spacing w:before="43" w:line="266" w:lineRule="exact"/>
              <w:ind w:left="140" w:right="120"/>
              <w:rPr>
                <w:sz w:val="21"/>
              </w:rPr>
            </w:pPr>
            <w:r>
              <w:rPr>
                <w:sz w:val="21"/>
              </w:rPr>
              <w:t>门统一清运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3"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right w:val="single" w:color="000000" w:sz="4" w:space="0"/>
            </w:tcBorders>
          </w:tcPr>
          <w:p>
            <w:pPr>
              <w:rPr>
                <w:sz w:val="2"/>
                <w:szCs w:val="2"/>
              </w:rPr>
            </w:pPr>
          </w:p>
        </w:tc>
        <w:tc>
          <w:tcPr>
            <w:tcW w:w="2713" w:type="dxa"/>
            <w:gridSpan w:val="2"/>
            <w:tcBorders>
              <w:top w:val="single" w:color="000000" w:sz="4" w:space="0"/>
              <w:left w:val="single" w:color="000000" w:sz="4" w:space="0"/>
              <w:bottom w:val="single" w:color="000000" w:sz="4" w:space="0"/>
              <w:right w:val="single" w:color="000000" w:sz="4" w:space="0"/>
            </w:tcBorders>
          </w:tcPr>
          <w:p>
            <w:pPr>
              <w:pStyle w:val="19"/>
              <w:spacing w:before="172"/>
              <w:ind w:left="500" w:right="483"/>
              <w:rPr>
                <w:sz w:val="21"/>
              </w:rPr>
            </w:pPr>
            <w:r>
              <w:rPr>
                <w:sz w:val="21"/>
              </w:rPr>
              <w:t>锅炉灰渣</w:t>
            </w:r>
          </w:p>
        </w:tc>
        <w:tc>
          <w:tcPr>
            <w:tcW w:w="2476" w:type="dxa"/>
            <w:gridSpan w:val="2"/>
            <w:tcBorders>
              <w:top w:val="single" w:color="000000" w:sz="4" w:space="0"/>
              <w:left w:val="single" w:color="000000" w:sz="4" w:space="0"/>
              <w:bottom w:val="single" w:color="000000" w:sz="4" w:space="0"/>
              <w:right w:val="single" w:color="000000" w:sz="4" w:space="0"/>
            </w:tcBorders>
          </w:tcPr>
          <w:p>
            <w:pPr>
              <w:pStyle w:val="19"/>
              <w:spacing w:before="185"/>
              <w:ind w:left="854" w:right="836"/>
              <w:rPr>
                <w:rFonts w:ascii="Times New Roman"/>
                <w:sz w:val="21"/>
              </w:rPr>
            </w:pPr>
            <w:r>
              <w:rPr>
                <w:rFonts w:ascii="Times New Roman"/>
                <w:sz w:val="21"/>
              </w:rPr>
              <w:t>400t/a</w:t>
            </w:r>
          </w:p>
        </w:tc>
        <w:tc>
          <w:tcPr>
            <w:tcW w:w="2205" w:type="dxa"/>
            <w:tcBorders>
              <w:top w:val="single" w:color="000000" w:sz="4" w:space="0"/>
              <w:left w:val="single" w:color="000000" w:sz="4" w:space="0"/>
              <w:bottom w:val="single" w:color="000000" w:sz="4" w:space="0"/>
            </w:tcBorders>
          </w:tcPr>
          <w:p>
            <w:pPr>
              <w:pStyle w:val="19"/>
              <w:spacing w:before="16"/>
              <w:ind w:left="140" w:right="120"/>
              <w:rPr>
                <w:sz w:val="21"/>
              </w:rPr>
            </w:pPr>
            <w:r>
              <w:rPr>
                <w:sz w:val="21"/>
              </w:rPr>
              <w:t>锅炉灰渣全部作为农</w:t>
            </w:r>
          </w:p>
          <w:p>
            <w:pPr>
              <w:pStyle w:val="19"/>
              <w:spacing w:before="42" w:line="266" w:lineRule="exact"/>
              <w:ind w:left="140" w:right="120"/>
              <w:rPr>
                <w:sz w:val="21"/>
              </w:rPr>
            </w:pPr>
            <w:r>
              <w:rPr>
                <w:sz w:val="21"/>
              </w:rPr>
              <w:t>肥原料外售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6"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right w:val="single" w:color="000000" w:sz="4" w:space="0"/>
            </w:tcBorders>
          </w:tcPr>
          <w:p>
            <w:pPr>
              <w:rPr>
                <w:sz w:val="2"/>
                <w:szCs w:val="2"/>
              </w:rPr>
            </w:pPr>
          </w:p>
        </w:tc>
        <w:tc>
          <w:tcPr>
            <w:tcW w:w="2713" w:type="dxa"/>
            <w:gridSpan w:val="2"/>
            <w:tcBorders>
              <w:top w:val="single" w:color="000000" w:sz="4" w:space="0"/>
              <w:left w:val="single" w:color="000000" w:sz="4" w:space="0"/>
              <w:right w:val="single" w:color="000000" w:sz="4" w:space="0"/>
            </w:tcBorders>
          </w:tcPr>
          <w:p>
            <w:pPr>
              <w:pStyle w:val="19"/>
              <w:spacing w:before="171"/>
              <w:ind w:left="497" w:right="483"/>
              <w:rPr>
                <w:sz w:val="21"/>
              </w:rPr>
            </w:pPr>
            <w:r>
              <w:rPr>
                <w:sz w:val="21"/>
              </w:rPr>
              <w:t>矸石</w:t>
            </w:r>
          </w:p>
        </w:tc>
        <w:tc>
          <w:tcPr>
            <w:tcW w:w="2476" w:type="dxa"/>
            <w:gridSpan w:val="2"/>
            <w:tcBorders>
              <w:top w:val="single" w:color="000000" w:sz="4" w:space="0"/>
              <w:left w:val="single" w:color="000000" w:sz="4" w:space="0"/>
              <w:right w:val="single" w:color="000000" w:sz="4" w:space="0"/>
            </w:tcBorders>
          </w:tcPr>
          <w:p>
            <w:pPr>
              <w:pStyle w:val="19"/>
              <w:spacing w:before="185"/>
              <w:ind w:left="854" w:right="836"/>
              <w:rPr>
                <w:rFonts w:ascii="Times New Roman"/>
                <w:sz w:val="21"/>
              </w:rPr>
            </w:pPr>
            <w:r>
              <w:rPr>
                <w:rFonts w:ascii="Times New Roman"/>
                <w:sz w:val="21"/>
              </w:rPr>
              <w:t>30000t/a</w:t>
            </w:r>
          </w:p>
        </w:tc>
        <w:tc>
          <w:tcPr>
            <w:tcW w:w="2205" w:type="dxa"/>
            <w:tcBorders>
              <w:top w:val="single" w:color="000000" w:sz="4" w:space="0"/>
              <w:left w:val="single" w:color="000000" w:sz="4" w:space="0"/>
            </w:tcBorders>
          </w:tcPr>
          <w:p>
            <w:pPr>
              <w:pStyle w:val="19"/>
              <w:spacing w:before="15"/>
              <w:ind w:left="140" w:right="120"/>
              <w:rPr>
                <w:sz w:val="21"/>
              </w:rPr>
            </w:pPr>
            <w:r>
              <w:rPr>
                <w:sz w:val="21"/>
              </w:rPr>
              <w:t>回填采空区和塌陷</w:t>
            </w:r>
          </w:p>
          <w:p>
            <w:pPr>
              <w:pStyle w:val="19"/>
              <w:spacing w:before="43"/>
              <w:ind w:left="140" w:right="120"/>
              <w:rPr>
                <w:sz w:val="21"/>
              </w:rPr>
            </w:pPr>
            <w:r>
              <w:rPr>
                <w:sz w:val="21"/>
              </w:rPr>
              <w:t>区、修路</w:t>
            </w:r>
          </w:p>
        </w:tc>
      </w:tr>
    </w:tbl>
    <w:p>
      <w:pPr>
        <w:spacing w:after="0"/>
        <w:rPr>
          <w:sz w:val="21"/>
        </w:rPr>
        <w:sectPr>
          <w:pgSz w:w="11910" w:h="16840"/>
          <w:pgMar w:top="1500" w:right="900" w:bottom="1180" w:left="1200" w:header="0" w:footer="993" w:gutter="0"/>
        </w:sectPr>
      </w:pPr>
    </w:p>
    <w:tbl>
      <w:tblPr>
        <w:tblStyle w:val="15"/>
        <w:tblW w:w="0" w:type="auto"/>
        <w:tblInd w:w="50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5"/>
        <w:gridCol w:w="588"/>
        <w:gridCol w:w="2713"/>
        <w:gridCol w:w="2476"/>
        <w:gridCol w:w="22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9" w:hRule="atLeast"/>
        </w:trPr>
        <w:tc>
          <w:tcPr>
            <w:tcW w:w="535" w:type="dxa"/>
            <w:vMerge w:val="restart"/>
            <w:tcBorders>
              <w:right w:val="single" w:color="000000" w:sz="4" w:space="0"/>
            </w:tcBorders>
          </w:tcPr>
          <w:p>
            <w:pPr>
              <w:pStyle w:val="19"/>
              <w:jc w:val="left"/>
              <w:rPr>
                <w:rFonts w:ascii="Times New Roman"/>
                <w:sz w:val="22"/>
              </w:rPr>
            </w:pPr>
          </w:p>
        </w:tc>
        <w:tc>
          <w:tcPr>
            <w:tcW w:w="588" w:type="dxa"/>
            <w:vMerge w:val="restart"/>
            <w:tcBorders>
              <w:left w:val="single" w:color="000000" w:sz="4" w:space="0"/>
              <w:right w:val="single" w:color="000000" w:sz="4" w:space="0"/>
            </w:tcBorders>
          </w:tcPr>
          <w:p>
            <w:pPr>
              <w:pStyle w:val="19"/>
              <w:jc w:val="left"/>
              <w:rPr>
                <w:rFonts w:ascii="Times New Roman"/>
                <w:sz w:val="22"/>
              </w:rPr>
            </w:pPr>
          </w:p>
        </w:tc>
        <w:tc>
          <w:tcPr>
            <w:tcW w:w="2713" w:type="dxa"/>
            <w:tcBorders>
              <w:left w:val="single" w:color="000000" w:sz="4" w:space="0"/>
              <w:bottom w:val="single" w:color="000000" w:sz="4" w:space="0"/>
              <w:right w:val="single" w:color="000000" w:sz="4" w:space="0"/>
            </w:tcBorders>
          </w:tcPr>
          <w:p>
            <w:pPr>
              <w:pStyle w:val="19"/>
              <w:spacing w:before="177"/>
              <w:ind w:left="500" w:right="483"/>
              <w:rPr>
                <w:sz w:val="21"/>
              </w:rPr>
            </w:pPr>
            <w:r>
              <w:rPr>
                <w:sz w:val="21"/>
              </w:rPr>
              <w:t>采煤废水处理污泥</w:t>
            </w:r>
          </w:p>
        </w:tc>
        <w:tc>
          <w:tcPr>
            <w:tcW w:w="2476" w:type="dxa"/>
            <w:tcBorders>
              <w:left w:val="single" w:color="000000" w:sz="4" w:space="0"/>
              <w:bottom w:val="single" w:color="000000" w:sz="4" w:space="0"/>
              <w:right w:val="single" w:color="000000" w:sz="4" w:space="0"/>
            </w:tcBorders>
          </w:tcPr>
          <w:p>
            <w:pPr>
              <w:pStyle w:val="19"/>
              <w:spacing w:before="191"/>
              <w:ind w:left="928"/>
              <w:jc w:val="left"/>
              <w:rPr>
                <w:rFonts w:ascii="Times New Roman"/>
                <w:sz w:val="21"/>
              </w:rPr>
            </w:pPr>
            <w:r>
              <w:rPr>
                <w:rFonts w:ascii="Times New Roman"/>
                <w:sz w:val="21"/>
              </w:rPr>
              <w:t>1500t/a</w:t>
            </w:r>
          </w:p>
        </w:tc>
        <w:tc>
          <w:tcPr>
            <w:tcW w:w="2205" w:type="dxa"/>
            <w:tcBorders>
              <w:left w:val="single" w:color="000000" w:sz="4" w:space="0"/>
              <w:bottom w:val="single" w:color="000000" w:sz="4" w:space="0"/>
            </w:tcBorders>
          </w:tcPr>
          <w:p>
            <w:pPr>
              <w:pStyle w:val="19"/>
              <w:spacing w:before="21"/>
              <w:ind w:left="140" w:right="120"/>
              <w:rPr>
                <w:sz w:val="21"/>
              </w:rPr>
            </w:pPr>
            <w:r>
              <w:rPr>
                <w:sz w:val="21"/>
              </w:rPr>
              <w:t>矿井水处理站污泥外</w:t>
            </w:r>
          </w:p>
          <w:p>
            <w:pPr>
              <w:pStyle w:val="19"/>
              <w:spacing w:before="43" w:line="266" w:lineRule="exact"/>
              <w:ind w:left="21"/>
              <w:rPr>
                <w:sz w:val="21"/>
              </w:rPr>
            </w:pPr>
            <w:r>
              <w:rPr>
                <w:w w:val="99"/>
                <w:sz w:val="21"/>
              </w:rPr>
              <w:t>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6"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right w:val="single" w:color="000000" w:sz="4" w:space="0"/>
            </w:tcBorders>
          </w:tcPr>
          <w:p>
            <w:pPr>
              <w:rPr>
                <w:sz w:val="2"/>
                <w:szCs w:val="2"/>
              </w:rPr>
            </w:pPr>
          </w:p>
        </w:tc>
        <w:tc>
          <w:tcPr>
            <w:tcW w:w="2713" w:type="dxa"/>
            <w:tcBorders>
              <w:top w:val="single" w:color="000000" w:sz="4" w:space="0"/>
              <w:left w:val="single" w:color="000000" w:sz="4" w:space="0"/>
              <w:bottom w:val="single" w:color="000000" w:sz="4" w:space="0"/>
              <w:right w:val="single" w:color="000000" w:sz="4" w:space="0"/>
            </w:tcBorders>
          </w:tcPr>
          <w:p>
            <w:pPr>
              <w:pStyle w:val="19"/>
              <w:spacing w:before="7"/>
              <w:jc w:val="left"/>
              <w:rPr>
                <w:b/>
                <w:sz w:val="25"/>
              </w:rPr>
            </w:pPr>
          </w:p>
          <w:p>
            <w:pPr>
              <w:pStyle w:val="19"/>
              <w:ind w:left="500" w:right="483"/>
              <w:rPr>
                <w:sz w:val="21"/>
              </w:rPr>
            </w:pPr>
            <w:r>
              <w:rPr>
                <w:sz w:val="21"/>
              </w:rPr>
              <w:t>生活污水处理污泥</w:t>
            </w:r>
          </w:p>
        </w:tc>
        <w:tc>
          <w:tcPr>
            <w:tcW w:w="2476" w:type="dxa"/>
            <w:tcBorders>
              <w:top w:val="single" w:color="000000" w:sz="4" w:space="0"/>
              <w:left w:val="single" w:color="000000" w:sz="4" w:space="0"/>
              <w:bottom w:val="single" w:color="000000" w:sz="4" w:space="0"/>
              <w:right w:val="single" w:color="000000" w:sz="4" w:space="0"/>
            </w:tcBorders>
          </w:tcPr>
          <w:p>
            <w:pPr>
              <w:pStyle w:val="19"/>
              <w:spacing w:before="8"/>
              <w:jc w:val="left"/>
              <w:rPr>
                <w:b/>
                <w:sz w:val="26"/>
              </w:rPr>
            </w:pPr>
          </w:p>
          <w:p>
            <w:pPr>
              <w:pStyle w:val="19"/>
              <w:ind w:left="981"/>
              <w:jc w:val="left"/>
              <w:rPr>
                <w:rFonts w:ascii="Times New Roman"/>
                <w:sz w:val="21"/>
              </w:rPr>
            </w:pPr>
            <w:r>
              <w:rPr>
                <w:rFonts w:ascii="Times New Roman"/>
                <w:sz w:val="21"/>
              </w:rPr>
              <w:t>190t/a</w:t>
            </w:r>
          </w:p>
        </w:tc>
        <w:tc>
          <w:tcPr>
            <w:tcW w:w="2205" w:type="dxa"/>
            <w:tcBorders>
              <w:top w:val="single" w:color="000000" w:sz="4" w:space="0"/>
              <w:left w:val="single" w:color="000000" w:sz="4" w:space="0"/>
              <w:bottom w:val="single" w:color="000000" w:sz="4" w:space="0"/>
            </w:tcBorders>
          </w:tcPr>
          <w:p>
            <w:pPr>
              <w:pStyle w:val="19"/>
              <w:spacing w:before="15" w:line="278" w:lineRule="auto"/>
              <w:ind w:left="160" w:right="138"/>
              <w:rPr>
                <w:sz w:val="21"/>
              </w:rPr>
            </w:pPr>
            <w:r>
              <w:rPr>
                <w:sz w:val="21"/>
              </w:rPr>
              <w:t>污水处理站污泥按市政环卫部门要求统一</w:t>
            </w:r>
          </w:p>
          <w:p>
            <w:pPr>
              <w:pStyle w:val="19"/>
              <w:spacing w:line="266" w:lineRule="exact"/>
              <w:ind w:left="138" w:right="120"/>
              <w:rPr>
                <w:sz w:val="21"/>
              </w:rPr>
            </w:pPr>
            <w:r>
              <w:rPr>
                <w:sz w:val="21"/>
              </w:rPr>
              <w:t>处理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8"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right w:val="single" w:color="000000" w:sz="4" w:space="0"/>
            </w:tcBorders>
          </w:tcPr>
          <w:p>
            <w:pPr>
              <w:rPr>
                <w:sz w:val="2"/>
                <w:szCs w:val="2"/>
              </w:rPr>
            </w:pPr>
          </w:p>
        </w:tc>
        <w:tc>
          <w:tcPr>
            <w:tcW w:w="2713" w:type="dxa"/>
            <w:tcBorders>
              <w:top w:val="single" w:color="000000" w:sz="4" w:space="0"/>
              <w:left w:val="single" w:color="000000" w:sz="4" w:space="0"/>
              <w:right w:val="single" w:color="000000" w:sz="4" w:space="0"/>
            </w:tcBorders>
          </w:tcPr>
          <w:p>
            <w:pPr>
              <w:pStyle w:val="19"/>
              <w:spacing w:before="171"/>
              <w:ind w:left="497" w:right="483"/>
              <w:rPr>
                <w:sz w:val="21"/>
              </w:rPr>
            </w:pPr>
            <w:r>
              <w:rPr>
                <w:sz w:val="21"/>
              </w:rPr>
              <w:t>废机油</w:t>
            </w:r>
          </w:p>
        </w:tc>
        <w:tc>
          <w:tcPr>
            <w:tcW w:w="2476" w:type="dxa"/>
            <w:tcBorders>
              <w:top w:val="single" w:color="000000" w:sz="4" w:space="0"/>
              <w:left w:val="single" w:color="000000" w:sz="4" w:space="0"/>
              <w:right w:val="single" w:color="000000" w:sz="4" w:space="0"/>
            </w:tcBorders>
          </w:tcPr>
          <w:p>
            <w:pPr>
              <w:pStyle w:val="19"/>
              <w:spacing w:before="185"/>
              <w:ind w:left="854" w:right="834"/>
              <w:rPr>
                <w:rFonts w:ascii="Times New Roman"/>
                <w:sz w:val="21"/>
              </w:rPr>
            </w:pPr>
            <w:r>
              <w:rPr>
                <w:rFonts w:ascii="Times New Roman"/>
                <w:sz w:val="21"/>
              </w:rPr>
              <w:t>2t/a</w:t>
            </w:r>
          </w:p>
        </w:tc>
        <w:tc>
          <w:tcPr>
            <w:tcW w:w="2205" w:type="dxa"/>
            <w:tcBorders>
              <w:top w:val="single" w:color="000000" w:sz="4" w:space="0"/>
              <w:left w:val="single" w:color="000000" w:sz="4" w:space="0"/>
            </w:tcBorders>
          </w:tcPr>
          <w:p>
            <w:pPr>
              <w:pStyle w:val="19"/>
              <w:spacing w:before="15"/>
              <w:ind w:left="140" w:right="120"/>
              <w:rPr>
                <w:sz w:val="21"/>
              </w:rPr>
            </w:pPr>
            <w:r>
              <w:rPr>
                <w:sz w:val="21"/>
              </w:rPr>
              <w:t>委托有资质的单位处</w:t>
            </w:r>
          </w:p>
          <w:p>
            <w:pPr>
              <w:pStyle w:val="19"/>
              <w:spacing w:before="43"/>
              <w:ind w:left="21"/>
              <w:rPr>
                <w:sz w:val="21"/>
              </w:rPr>
            </w:pPr>
            <w:r>
              <w:rPr>
                <w:w w:val="99"/>
                <w:sz w:val="21"/>
              </w:rPr>
              <w:t>理</w:t>
            </w:r>
          </w:p>
        </w:tc>
      </w:tr>
    </w:tbl>
    <w:p>
      <w:pPr>
        <w:pStyle w:val="5"/>
        <w:numPr>
          <w:ilvl w:val="1"/>
          <w:numId w:val="87"/>
        </w:numPr>
        <w:tabs>
          <w:tab w:val="left" w:pos="1200"/>
        </w:tabs>
        <w:spacing w:before="121" w:after="0" w:line="240" w:lineRule="auto"/>
        <w:ind w:left="1200" w:right="0" w:hanging="600"/>
        <w:jc w:val="left"/>
      </w:pPr>
      <w:bookmarkStart w:id="715" w:name="13.4环境监测计划"/>
      <w:bookmarkEnd w:id="715"/>
      <w:bookmarkStart w:id="716" w:name="_bookmark77"/>
      <w:bookmarkEnd w:id="716"/>
      <w:bookmarkStart w:id="717" w:name="_bookmark77"/>
      <w:bookmarkEnd w:id="717"/>
      <w:r>
        <w:t>环境监测计划</w:t>
      </w:r>
    </w:p>
    <w:p>
      <w:pPr>
        <w:pStyle w:val="9"/>
        <w:spacing w:before="199" w:line="364" w:lineRule="auto"/>
        <w:ind w:left="600" w:right="897" w:firstLine="480"/>
        <w:jc w:val="both"/>
      </w:pPr>
      <w:r>
        <w:rPr>
          <w:spacing w:val="-6"/>
        </w:rPr>
        <w:t>为了保证本项目各项环保设施的正常运行，并进行科学管理，由双鸭山市环境监测站定期监测各污染物的处理情况，以达到预期的处理效果。环境监测应采</w:t>
      </w:r>
      <w:r>
        <w:rPr>
          <w:spacing w:val="-9"/>
        </w:rPr>
        <w:t>用国家规定的标准监测方法，监测本项目所排的各项污染物是否符合本报告书所</w:t>
      </w:r>
      <w:r>
        <w:t>提的排放标准，定期向上级主管部门上报本单位的环境污染情况报表。</w:t>
      </w:r>
    </w:p>
    <w:p>
      <w:pPr>
        <w:pStyle w:val="6"/>
        <w:spacing w:before="56"/>
        <w:ind w:left="600" w:firstLine="0"/>
      </w:pPr>
      <w:bookmarkStart w:id="718" w:name="13.4.1常规监测项目"/>
      <w:bookmarkEnd w:id="718"/>
      <w:r>
        <w:rPr>
          <w:rFonts w:ascii="Times New Roman" w:eastAsia="Times New Roman"/>
        </w:rPr>
        <w:t xml:space="preserve">13.4.1 </w:t>
      </w:r>
      <w:r>
        <w:t>常规监测项目</w:t>
      </w:r>
    </w:p>
    <w:p>
      <w:pPr>
        <w:pStyle w:val="9"/>
        <w:spacing w:before="212" w:line="364" w:lineRule="auto"/>
        <w:ind w:left="600" w:right="897" w:firstLine="480"/>
      </w:pPr>
      <w:r>
        <w:rPr>
          <w:spacing w:val="-8"/>
        </w:rPr>
        <w:t>根据本企业的排污特点及《环境监测工作的实施细则》，确定服务期环境监</w:t>
      </w:r>
      <w:r>
        <w:t>测计划。</w:t>
      </w:r>
    </w:p>
    <w:p>
      <w:pPr>
        <w:pStyle w:val="9"/>
        <w:spacing w:before="1" w:line="364" w:lineRule="auto"/>
        <w:ind w:left="1080" w:right="7285" w:hanging="480"/>
      </w:pPr>
      <w:r>
        <w:rPr>
          <w:rFonts w:ascii="Times New Roman" w:eastAsia="Times New Roman"/>
        </w:rPr>
        <w:t>1</w:t>
      </w:r>
      <w:r>
        <w:t>、生态环境监测详见第四章。</w:t>
      </w:r>
    </w:p>
    <w:p>
      <w:pPr>
        <w:pStyle w:val="9"/>
        <w:spacing w:before="1"/>
        <w:ind w:left="600"/>
      </w:pPr>
      <w:r>
        <w:rPr>
          <w:rFonts w:ascii="Times New Roman" w:eastAsia="Times New Roman"/>
        </w:rPr>
        <w:t>2</w:t>
      </w:r>
      <w:r>
        <w:t>、地下水环境监测</w:t>
      </w:r>
    </w:p>
    <w:p>
      <w:pPr>
        <w:pStyle w:val="9"/>
        <w:spacing w:before="161"/>
        <w:ind w:left="1080"/>
      </w:pPr>
      <w:r>
        <w:t>监测点位：水质监测对照井、污染监视监测井、污染扩散监测井</w:t>
      </w:r>
    </w:p>
    <w:p>
      <w:pPr>
        <w:pStyle w:val="9"/>
        <w:spacing w:before="160" w:line="364" w:lineRule="auto"/>
        <w:ind w:left="600" w:right="900" w:firstLine="480"/>
      </w:pPr>
      <w:r>
        <w:t>监测项目：水位、</w:t>
      </w:r>
      <w:r>
        <w:rPr>
          <w:rFonts w:ascii="Times New Roman" w:eastAsia="Times New Roman"/>
        </w:rPr>
        <w:t>pH</w:t>
      </w:r>
      <w:r>
        <w:t>、石油类、动植物油、氨氮、总铁、总锰、总汞、总镉、六价铬、总铅、总砷、总锌、氟化物、总大肠菌群等</w:t>
      </w:r>
    </w:p>
    <w:p>
      <w:pPr>
        <w:pStyle w:val="9"/>
        <w:spacing w:before="2" w:line="364" w:lineRule="auto"/>
        <w:ind w:left="600" w:right="897" w:firstLine="480"/>
      </w:pPr>
      <w:r>
        <w:t>执行标准：执行《地下水质量标准》（</w:t>
      </w:r>
      <w:r>
        <w:rPr>
          <w:rFonts w:ascii="Times New Roman" w:hAnsi="Times New Roman" w:eastAsia="Times New Roman"/>
        </w:rPr>
        <w:t>GB/T14848-2017</w:t>
      </w:r>
      <w:r>
        <w:t>）中的Ⅲ类水质标准。</w:t>
      </w:r>
    </w:p>
    <w:p>
      <w:pPr>
        <w:pStyle w:val="9"/>
        <w:spacing w:before="1"/>
        <w:ind w:left="1080"/>
      </w:pPr>
      <w:r>
        <w:t xml:space="preserve">监测时间：每年进行水质 </w:t>
      </w:r>
      <w:r>
        <w:rPr>
          <w:rFonts w:ascii="Times New Roman" w:eastAsia="Times New Roman"/>
        </w:rPr>
        <w:t xml:space="preserve">2 </w:t>
      </w:r>
      <w:r>
        <w:t>次监测</w:t>
      </w:r>
    </w:p>
    <w:p>
      <w:pPr>
        <w:pStyle w:val="9"/>
        <w:spacing w:before="160"/>
        <w:ind w:left="600"/>
      </w:pPr>
      <w:r>
        <w:rPr>
          <w:rFonts w:ascii="Times New Roman" w:eastAsia="Times New Roman"/>
        </w:rPr>
        <w:t>3</w:t>
      </w:r>
      <w:r>
        <w:t>、大气环境监测</w:t>
      </w:r>
    </w:p>
    <w:p>
      <w:pPr>
        <w:pStyle w:val="9"/>
        <w:spacing w:before="161" w:line="362" w:lineRule="auto"/>
        <w:ind w:left="1080" w:right="3685"/>
        <w:rPr>
          <w:rFonts w:ascii="Times New Roman" w:eastAsia="Times New Roman"/>
        </w:rPr>
      </w:pPr>
      <w:r>
        <w:t>监测点位：工业场地上、下风向各设一个监测点</w:t>
      </w:r>
      <w:r>
        <w:rPr>
          <w:position w:val="2"/>
        </w:rPr>
        <w:t>监测项目：颗粒物、</w:t>
      </w:r>
      <w:r>
        <w:rPr>
          <w:rFonts w:ascii="Times New Roman" w:eastAsia="Times New Roman"/>
          <w:position w:val="2"/>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NO</w:t>
      </w:r>
      <w:r>
        <w:rPr>
          <w:rFonts w:ascii="Times New Roman" w:eastAsia="Times New Roman"/>
          <w:position w:val="2"/>
          <w:vertAlign w:val="subscript"/>
        </w:rPr>
        <w:t>2</w:t>
      </w:r>
    </w:p>
    <w:p>
      <w:pPr>
        <w:pStyle w:val="9"/>
        <w:spacing w:before="3" w:line="364" w:lineRule="auto"/>
        <w:ind w:left="600" w:right="895" w:firstLine="480"/>
      </w:pPr>
      <w:r>
        <w:rPr>
          <w:spacing w:val="-7"/>
        </w:rPr>
        <w:t>执行标准：《煤炭工业污染物排放标准》</w:t>
      </w:r>
      <w:r>
        <w:t>（</w:t>
      </w:r>
      <w:r>
        <w:rPr>
          <w:rFonts w:ascii="Times New Roman" w:eastAsia="Times New Roman"/>
        </w:rPr>
        <w:t>GB20426-2006</w:t>
      </w:r>
      <w:r>
        <w:t>）</w:t>
      </w:r>
      <w:r>
        <w:rPr>
          <w:spacing w:val="-33"/>
        </w:rPr>
        <w:t xml:space="preserve">表 </w:t>
      </w:r>
      <w:r>
        <w:rPr>
          <w:rFonts w:ascii="Times New Roman" w:eastAsia="Times New Roman"/>
        </w:rPr>
        <w:t>4</w:t>
      </w:r>
      <w:r>
        <w:rPr>
          <w:spacing w:val="-27"/>
        </w:rPr>
        <w:t xml:space="preserve">、表 </w:t>
      </w:r>
      <w:r>
        <w:rPr>
          <w:rFonts w:ascii="Times New Roman" w:eastAsia="Times New Roman"/>
        </w:rPr>
        <w:t xml:space="preserve">5 </w:t>
      </w:r>
      <w:r>
        <w:rPr>
          <w:spacing w:val="-8"/>
        </w:rPr>
        <w:t>标准</w:t>
      </w:r>
      <w:r>
        <w:t>限值</w:t>
      </w:r>
    </w:p>
    <w:p>
      <w:pPr>
        <w:pStyle w:val="9"/>
        <w:spacing w:before="1"/>
        <w:ind w:left="1080"/>
      </w:pPr>
      <w:r>
        <w:t xml:space="preserve">监测时间：每年进行 </w:t>
      </w:r>
      <w:r>
        <w:rPr>
          <w:rFonts w:ascii="Times New Roman" w:eastAsia="Times New Roman"/>
        </w:rPr>
        <w:t xml:space="preserve">2 </w:t>
      </w:r>
      <w:r>
        <w:t>次监测</w:t>
      </w:r>
    </w:p>
    <w:p>
      <w:pPr>
        <w:pStyle w:val="9"/>
        <w:spacing w:before="160"/>
        <w:ind w:left="600"/>
      </w:pPr>
      <w:r>
        <w:rPr>
          <w:rFonts w:ascii="Times New Roman" w:eastAsia="Times New Roman"/>
        </w:rPr>
        <w:t>4</w:t>
      </w:r>
      <w:r>
        <w:t>、土壤环境监测</w:t>
      </w:r>
    </w:p>
    <w:p>
      <w:pPr>
        <w:spacing w:after="0"/>
        <w:sectPr>
          <w:footerReference r:id="rId31" w:type="default"/>
          <w:pgSz w:w="11910" w:h="16840"/>
          <w:pgMar w:top="1420" w:right="900" w:bottom="1100" w:left="1200" w:header="0" w:footer="913" w:gutter="0"/>
          <w:pgNumType w:start="200"/>
        </w:sectPr>
      </w:pPr>
    </w:p>
    <w:p>
      <w:pPr>
        <w:pStyle w:val="9"/>
        <w:spacing w:before="42"/>
        <w:ind w:left="1080"/>
      </w:pPr>
      <w:r>
        <w:t>监测点位：工业场地。</w:t>
      </w:r>
    </w:p>
    <w:p>
      <w:pPr>
        <w:pStyle w:val="9"/>
        <w:spacing w:before="160"/>
        <w:ind w:left="1080"/>
      </w:pPr>
      <w:r>
        <w:t>监测项目：</w:t>
      </w:r>
      <w:r>
        <w:rPr>
          <w:rFonts w:ascii="Times New Roman" w:eastAsia="Times New Roman"/>
        </w:rPr>
        <w:t>pH</w:t>
      </w:r>
      <w:r>
        <w:t>、镉、汞、砷、铜、铅、铬、锌、镍</w:t>
      </w:r>
    </w:p>
    <w:p>
      <w:pPr>
        <w:pStyle w:val="9"/>
        <w:spacing w:before="161"/>
        <w:ind w:left="1080"/>
      </w:pPr>
      <w:r>
        <w:t>执行标准：《土壤环境质量农用地土壤污染风险管控标准（ 试行）》</w:t>
      </w:r>
    </w:p>
    <w:p>
      <w:pPr>
        <w:pStyle w:val="9"/>
        <w:spacing w:before="160"/>
        <w:ind w:left="600"/>
      </w:pPr>
      <w:r>
        <w:t>（</w:t>
      </w:r>
      <w:r>
        <w:rPr>
          <w:rFonts w:ascii="Times New Roman" w:eastAsia="Times New Roman"/>
        </w:rPr>
        <w:t>GB/15618-2018</w:t>
      </w:r>
      <w:r>
        <w:t>）</w:t>
      </w:r>
    </w:p>
    <w:p>
      <w:pPr>
        <w:pStyle w:val="9"/>
        <w:spacing w:before="161"/>
        <w:ind w:left="1080"/>
      </w:pPr>
      <w:r>
        <w:t>监测时间：根据需要不定期监测</w:t>
      </w:r>
    </w:p>
    <w:p>
      <w:pPr>
        <w:pStyle w:val="9"/>
        <w:spacing w:before="160"/>
        <w:ind w:left="600"/>
      </w:pPr>
      <w:r>
        <w:rPr>
          <w:rFonts w:ascii="Times New Roman" w:eastAsia="Times New Roman"/>
        </w:rPr>
        <w:t>5</w:t>
      </w:r>
      <w:r>
        <w:t>、大气污染源监测</w:t>
      </w:r>
    </w:p>
    <w:p>
      <w:pPr>
        <w:pStyle w:val="9"/>
        <w:spacing w:before="161"/>
        <w:ind w:left="1080"/>
      </w:pPr>
      <w:r>
        <w:t>监测点位：锅炉烟道、热风炉烟道、筛分车间排气筒</w:t>
      </w:r>
    </w:p>
    <w:p>
      <w:pPr>
        <w:pStyle w:val="9"/>
        <w:spacing w:before="157"/>
        <w:ind w:left="1080"/>
      </w:pPr>
      <w:r>
        <w:rPr>
          <w:position w:val="2"/>
        </w:rPr>
        <w:t>监测项目：（</w:t>
      </w:r>
      <w:r>
        <w:rPr>
          <w:rFonts w:ascii="Times New Roman" w:eastAsia="Times New Roman"/>
          <w:position w:val="2"/>
        </w:rPr>
        <w:t>1</w:t>
      </w:r>
      <w:r>
        <w:rPr>
          <w:position w:val="2"/>
        </w:rPr>
        <w:t>）锅炉烟道、热风炉烟道：颗粒物、</w:t>
      </w:r>
      <w:r>
        <w:rPr>
          <w:rFonts w:ascii="Times New Roman" w:eastAsia="Times New Roman"/>
          <w:position w:val="2"/>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NOx</w:t>
      </w:r>
      <w:r>
        <w:rPr>
          <w:position w:val="2"/>
          <w:vertAlign w:val="baseline"/>
        </w:rPr>
        <w:t>；</w:t>
      </w:r>
    </w:p>
    <w:p>
      <w:pPr>
        <w:pStyle w:val="9"/>
        <w:spacing w:before="159"/>
        <w:ind w:left="2280"/>
      </w:pPr>
      <w:r>
        <w:t>（</w:t>
      </w:r>
      <w:r>
        <w:rPr>
          <w:rFonts w:ascii="Times New Roman" w:eastAsia="Times New Roman"/>
        </w:rPr>
        <w:t>2</w:t>
      </w:r>
      <w:r>
        <w:t>）筛分车间排气筒：颗粒物</w:t>
      </w:r>
    </w:p>
    <w:p>
      <w:pPr>
        <w:pStyle w:val="9"/>
        <w:spacing w:before="161" w:line="364" w:lineRule="auto"/>
        <w:ind w:left="600" w:right="844" w:firstLine="480"/>
      </w:pPr>
      <w:r>
        <w:t>执行标准：（</w:t>
      </w:r>
      <w:r>
        <w:rPr>
          <w:rFonts w:ascii="Times New Roman" w:eastAsia="Times New Roman"/>
        </w:rPr>
        <w:t>1</w:t>
      </w:r>
      <w:r>
        <w:t>）锅炉：《锅炉大气污染物排放标准》（</w:t>
      </w:r>
      <w:r>
        <w:rPr>
          <w:rFonts w:ascii="Times New Roman" w:eastAsia="Times New Roman"/>
        </w:rPr>
        <w:t>GB13271-2014</w:t>
      </w:r>
      <w:r>
        <w:t>）标准限值要求；</w:t>
      </w:r>
    </w:p>
    <w:p>
      <w:pPr>
        <w:pStyle w:val="18"/>
        <w:numPr>
          <w:ilvl w:val="0"/>
          <w:numId w:val="90"/>
        </w:numPr>
        <w:tabs>
          <w:tab w:val="left" w:pos="2821"/>
        </w:tabs>
        <w:spacing w:before="1" w:after="0" w:line="364" w:lineRule="auto"/>
        <w:ind w:left="1020" w:right="775" w:firstLine="1200"/>
        <w:jc w:val="left"/>
        <w:rPr>
          <w:sz w:val="24"/>
        </w:rPr>
      </w:pPr>
      <w:r>
        <w:rPr>
          <w:spacing w:val="-14"/>
          <w:sz w:val="24"/>
        </w:rPr>
        <w:t xml:space="preserve">热风炉：《工业炉窑大气污染物排放标准》 </w:t>
      </w:r>
      <w:r>
        <w:rPr>
          <w:spacing w:val="-3"/>
          <w:sz w:val="24"/>
        </w:rPr>
        <w:t>（</w:t>
      </w:r>
      <w:r>
        <w:rPr>
          <w:rFonts w:ascii="Times New Roman" w:eastAsia="Times New Roman"/>
          <w:spacing w:val="-3"/>
          <w:sz w:val="24"/>
        </w:rPr>
        <w:t>GB9078-1996</w:t>
      </w:r>
      <w:r>
        <w:rPr>
          <w:spacing w:val="-3"/>
          <w:sz w:val="24"/>
        </w:rPr>
        <w:t>）</w:t>
      </w:r>
      <w:r>
        <w:rPr>
          <w:spacing w:val="-20"/>
          <w:sz w:val="24"/>
        </w:rPr>
        <w:t xml:space="preserve">中表 </w:t>
      </w:r>
      <w:r>
        <w:rPr>
          <w:rFonts w:ascii="Times New Roman" w:eastAsia="Times New Roman"/>
          <w:sz w:val="24"/>
        </w:rPr>
        <w:t xml:space="preserve">2 </w:t>
      </w:r>
      <w:r>
        <w:rPr>
          <w:spacing w:val="-20"/>
          <w:sz w:val="24"/>
        </w:rPr>
        <w:t xml:space="preserve">及表 </w:t>
      </w:r>
      <w:r>
        <w:rPr>
          <w:rFonts w:ascii="Times New Roman" w:eastAsia="Times New Roman"/>
          <w:sz w:val="24"/>
        </w:rPr>
        <w:t>4</w:t>
      </w:r>
      <w:r>
        <w:rPr>
          <w:rFonts w:ascii="Times New Roman" w:eastAsia="Times New Roman"/>
          <w:spacing w:val="1"/>
          <w:sz w:val="24"/>
        </w:rPr>
        <w:t xml:space="preserve"> </w:t>
      </w:r>
      <w:r>
        <w:rPr>
          <w:sz w:val="24"/>
        </w:rPr>
        <w:t>要求；</w:t>
      </w:r>
    </w:p>
    <w:p>
      <w:pPr>
        <w:pStyle w:val="18"/>
        <w:numPr>
          <w:ilvl w:val="0"/>
          <w:numId w:val="90"/>
        </w:numPr>
        <w:tabs>
          <w:tab w:val="left" w:pos="2821"/>
        </w:tabs>
        <w:spacing w:before="1" w:after="0" w:line="364" w:lineRule="auto"/>
        <w:ind w:left="1020" w:right="775" w:firstLine="1200"/>
        <w:jc w:val="left"/>
        <w:rPr>
          <w:sz w:val="24"/>
        </w:rPr>
      </w:pPr>
      <w:r>
        <w:rPr>
          <w:spacing w:val="-8"/>
          <w:sz w:val="24"/>
        </w:rPr>
        <w:t>筛分车间：《煤炭工业污染物排放标准》</w:t>
      </w:r>
      <w:r>
        <w:rPr>
          <w:spacing w:val="-3"/>
          <w:sz w:val="24"/>
        </w:rPr>
        <w:t>（</w:t>
      </w:r>
      <w:r>
        <w:rPr>
          <w:rFonts w:ascii="Times New Roman" w:eastAsia="Times New Roman"/>
          <w:spacing w:val="-3"/>
          <w:sz w:val="24"/>
        </w:rPr>
        <w:t>GB20426-2006</w:t>
      </w:r>
      <w:r>
        <w:rPr>
          <w:spacing w:val="-3"/>
          <w:sz w:val="24"/>
        </w:rPr>
        <w:t xml:space="preserve">） </w:t>
      </w:r>
      <w:r>
        <w:rPr>
          <w:spacing w:val="-30"/>
          <w:sz w:val="24"/>
        </w:rPr>
        <w:t xml:space="preserve">表 </w:t>
      </w:r>
      <w:r>
        <w:rPr>
          <w:rFonts w:ascii="Times New Roman" w:eastAsia="Times New Roman"/>
          <w:sz w:val="24"/>
        </w:rPr>
        <w:t xml:space="preserve">4 </w:t>
      </w:r>
      <w:r>
        <w:rPr>
          <w:spacing w:val="-20"/>
          <w:sz w:val="24"/>
        </w:rPr>
        <w:t xml:space="preserve">及表 </w:t>
      </w:r>
      <w:r>
        <w:rPr>
          <w:rFonts w:ascii="Times New Roman" w:eastAsia="Times New Roman"/>
          <w:sz w:val="24"/>
        </w:rPr>
        <w:t xml:space="preserve">5 </w:t>
      </w:r>
      <w:r>
        <w:rPr>
          <w:sz w:val="24"/>
        </w:rPr>
        <w:t>标准限值</w:t>
      </w:r>
    </w:p>
    <w:p>
      <w:pPr>
        <w:pStyle w:val="9"/>
        <w:spacing w:before="2"/>
        <w:ind w:left="1080"/>
      </w:pPr>
      <w:r>
        <w:t xml:space="preserve">监测时间：每年进行 </w:t>
      </w:r>
      <w:r>
        <w:rPr>
          <w:rFonts w:ascii="Times New Roman" w:eastAsia="Times New Roman"/>
        </w:rPr>
        <w:t xml:space="preserve">2 </w:t>
      </w:r>
      <w:r>
        <w:t>次监测</w:t>
      </w:r>
    </w:p>
    <w:p>
      <w:pPr>
        <w:pStyle w:val="9"/>
        <w:spacing w:before="160"/>
        <w:ind w:left="600"/>
      </w:pPr>
      <w:r>
        <w:rPr>
          <w:rFonts w:ascii="Times New Roman" w:eastAsia="Times New Roman"/>
        </w:rPr>
        <w:t>6</w:t>
      </w:r>
      <w:r>
        <w:t>、水污染源监测</w:t>
      </w:r>
    </w:p>
    <w:p>
      <w:pPr>
        <w:pStyle w:val="9"/>
        <w:spacing w:before="161" w:line="364" w:lineRule="auto"/>
        <w:ind w:left="1080" w:right="2725"/>
      </w:pPr>
      <w:r>
        <w:t>监测点位：污水处理站和矿井水处理站进水口、出水口。监测项目：</w:t>
      </w:r>
    </w:p>
    <w:p>
      <w:pPr>
        <w:pStyle w:val="18"/>
        <w:numPr>
          <w:ilvl w:val="0"/>
          <w:numId w:val="91"/>
        </w:numPr>
        <w:tabs>
          <w:tab w:val="left" w:pos="1681"/>
        </w:tabs>
        <w:spacing w:before="0" w:after="0" w:line="364" w:lineRule="auto"/>
        <w:ind w:left="600" w:right="897" w:firstLine="480"/>
        <w:jc w:val="left"/>
        <w:rPr>
          <w:sz w:val="24"/>
        </w:rPr>
      </w:pPr>
      <w:r>
        <w:rPr>
          <w:spacing w:val="-1"/>
          <w:position w:val="2"/>
          <w:sz w:val="24"/>
        </w:rPr>
        <w:t>生活污水：</w:t>
      </w:r>
      <w:r>
        <w:rPr>
          <w:rFonts w:ascii="Times New Roman" w:eastAsia="Times New Roman"/>
          <w:spacing w:val="-5"/>
          <w:position w:val="2"/>
          <w:sz w:val="24"/>
        </w:rPr>
        <w:t>COD</w:t>
      </w:r>
      <w:r>
        <w:rPr>
          <w:spacing w:val="-17"/>
          <w:position w:val="2"/>
          <w:sz w:val="24"/>
        </w:rPr>
        <w:t>、</w:t>
      </w:r>
      <w:r>
        <w:rPr>
          <w:rFonts w:ascii="Times New Roman" w:eastAsia="Times New Roman"/>
          <w:position w:val="2"/>
          <w:sz w:val="24"/>
        </w:rPr>
        <w:t>BOD</w:t>
      </w:r>
      <w:r>
        <w:rPr>
          <w:rFonts w:ascii="Times New Roman" w:eastAsia="Times New Roman"/>
          <w:position w:val="2"/>
          <w:sz w:val="24"/>
          <w:vertAlign w:val="subscript"/>
        </w:rPr>
        <w:t>5</w:t>
      </w:r>
      <w:r>
        <w:rPr>
          <w:spacing w:val="-10"/>
          <w:position w:val="2"/>
          <w:sz w:val="24"/>
          <w:vertAlign w:val="baseline"/>
        </w:rPr>
        <w:t>、氨氮、动植物油、大肠菌群、阴离子表面活</w:t>
      </w:r>
      <w:r>
        <w:rPr>
          <w:sz w:val="24"/>
          <w:vertAlign w:val="baseline"/>
        </w:rPr>
        <w:t>性剂</w:t>
      </w:r>
    </w:p>
    <w:p>
      <w:pPr>
        <w:pStyle w:val="18"/>
        <w:numPr>
          <w:ilvl w:val="0"/>
          <w:numId w:val="91"/>
        </w:numPr>
        <w:tabs>
          <w:tab w:val="left" w:pos="1681"/>
        </w:tabs>
        <w:spacing w:before="0" w:after="0" w:line="364" w:lineRule="auto"/>
        <w:ind w:left="600" w:right="775" w:firstLine="480"/>
        <w:jc w:val="left"/>
        <w:rPr>
          <w:sz w:val="24"/>
        </w:rPr>
      </w:pPr>
      <w:r>
        <w:rPr>
          <w:spacing w:val="-2"/>
          <w:sz w:val="24"/>
        </w:rPr>
        <w:t>采煤废水：</w:t>
      </w:r>
      <w:r>
        <w:rPr>
          <w:rFonts w:ascii="Times New Roman" w:eastAsia="Times New Roman"/>
          <w:spacing w:val="-10"/>
          <w:sz w:val="24"/>
        </w:rPr>
        <w:t>PH</w:t>
      </w:r>
      <w:r>
        <w:rPr>
          <w:spacing w:val="-12"/>
          <w:sz w:val="24"/>
        </w:rPr>
        <w:t>、悬浮物、</w:t>
      </w:r>
      <w:r>
        <w:rPr>
          <w:rFonts w:ascii="Times New Roman" w:eastAsia="Times New Roman"/>
          <w:sz w:val="24"/>
        </w:rPr>
        <w:t>BOD</w:t>
      </w:r>
      <w:r>
        <w:rPr>
          <w:spacing w:val="-27"/>
          <w:sz w:val="24"/>
        </w:rPr>
        <w:t>、</w:t>
      </w:r>
      <w:r>
        <w:rPr>
          <w:rFonts w:ascii="Times New Roman" w:eastAsia="Times New Roman"/>
          <w:sz w:val="24"/>
        </w:rPr>
        <w:t>COD</w:t>
      </w:r>
      <w:r>
        <w:rPr>
          <w:spacing w:val="-10"/>
          <w:sz w:val="24"/>
        </w:rPr>
        <w:t>、石油类、挥发性酚类、氟化物、硫化物、氨氮等</w:t>
      </w:r>
    </w:p>
    <w:p>
      <w:pPr>
        <w:pStyle w:val="9"/>
        <w:spacing w:line="364" w:lineRule="auto"/>
        <w:ind w:left="600" w:right="1351" w:firstLine="480"/>
      </w:pPr>
      <w:r>
        <w:t>执行标准：《地表水环境质量标准》（</w:t>
      </w:r>
      <w:r>
        <w:rPr>
          <w:rFonts w:ascii="Times New Roman" w:hAnsi="Times New Roman" w:eastAsia="Times New Roman"/>
        </w:rPr>
        <w:t>GB3838-2002</w:t>
      </w:r>
      <w:r>
        <w:t>）中Ⅳ类标准限值及《煤炭工业污染物排放标准》（</w:t>
      </w:r>
      <w:r>
        <w:rPr>
          <w:rFonts w:ascii="Times New Roman" w:hAnsi="Times New Roman" w:eastAsia="Times New Roman"/>
        </w:rPr>
        <w:t>GB20426-2006</w:t>
      </w:r>
      <w:r>
        <w:t xml:space="preserve">）表 </w:t>
      </w:r>
      <w:r>
        <w:rPr>
          <w:rFonts w:ascii="Times New Roman" w:hAnsi="Times New Roman" w:eastAsia="Times New Roman"/>
        </w:rPr>
        <w:t>1</w:t>
      </w:r>
      <w:r>
        <w:t>、</w:t>
      </w:r>
      <w:r>
        <w:rPr>
          <w:rFonts w:ascii="Times New Roman" w:hAnsi="Times New Roman" w:eastAsia="Times New Roman"/>
        </w:rPr>
        <w:t xml:space="preserve">2 </w:t>
      </w:r>
      <w:r>
        <w:t>标准限值</w:t>
      </w:r>
    </w:p>
    <w:p>
      <w:pPr>
        <w:pStyle w:val="9"/>
        <w:ind w:left="1080"/>
      </w:pPr>
      <w:r>
        <w:t xml:space="preserve">监测时间：生活污水根据需要不定期监测，采煤废水每年进行 </w:t>
      </w:r>
      <w:r>
        <w:rPr>
          <w:rFonts w:ascii="Times New Roman" w:eastAsia="Times New Roman"/>
        </w:rPr>
        <w:t xml:space="preserve">2 </w:t>
      </w:r>
      <w:r>
        <w:t>次监测</w:t>
      </w:r>
    </w:p>
    <w:p>
      <w:pPr>
        <w:pStyle w:val="9"/>
        <w:spacing w:before="160"/>
        <w:ind w:left="600"/>
      </w:pPr>
      <w:r>
        <w:rPr>
          <w:rFonts w:ascii="Times New Roman" w:eastAsia="Times New Roman"/>
        </w:rPr>
        <w:t>7</w:t>
      </w:r>
      <w:r>
        <w:t>、噪声源监测</w:t>
      </w:r>
    </w:p>
    <w:p>
      <w:pPr>
        <w:pStyle w:val="9"/>
        <w:spacing w:before="161"/>
        <w:ind w:left="1080"/>
        <w:rPr>
          <w:rFonts w:ascii="Times New Roman" w:eastAsia="Times New Roman"/>
        </w:rPr>
      </w:pPr>
      <w:r>
        <w:t xml:space="preserve">监测点位：工业场地四周厂界外 </w:t>
      </w:r>
      <w:r>
        <w:rPr>
          <w:rFonts w:ascii="Times New Roman" w:eastAsia="Times New Roman"/>
        </w:rPr>
        <w:t>1m</w:t>
      </w:r>
    </w:p>
    <w:p>
      <w:pPr>
        <w:pStyle w:val="9"/>
        <w:spacing w:before="160"/>
        <w:ind w:left="1080"/>
      </w:pPr>
      <w:r>
        <w:t xml:space="preserve">监测项目：噪声等效连续 </w:t>
      </w:r>
      <w:r>
        <w:rPr>
          <w:rFonts w:ascii="Times New Roman" w:eastAsia="Times New Roman"/>
        </w:rPr>
        <w:t xml:space="preserve">A </w:t>
      </w:r>
      <w:r>
        <w:t>声级</w:t>
      </w:r>
    </w:p>
    <w:p>
      <w:pPr>
        <w:spacing w:after="0"/>
        <w:sectPr>
          <w:pgSz w:w="11910" w:h="16840"/>
          <w:pgMar w:top="1460" w:right="900" w:bottom="1180" w:left="1200" w:header="0" w:footer="913" w:gutter="0"/>
        </w:sectPr>
      </w:pPr>
    </w:p>
    <w:p>
      <w:pPr>
        <w:pStyle w:val="9"/>
        <w:spacing w:before="62" w:line="364" w:lineRule="auto"/>
        <w:ind w:left="600" w:right="897" w:firstLine="480"/>
      </w:pPr>
      <w:r>
        <w:t>执行标准：《工业企业厂界环境噪声排放标准》（</w:t>
      </w:r>
      <w:r>
        <w:rPr>
          <w:rFonts w:ascii="Times New Roman" w:eastAsia="Times New Roman"/>
        </w:rPr>
        <w:t>GB12348-2008</w:t>
      </w:r>
      <w:r>
        <w:t xml:space="preserve">）的 </w:t>
      </w:r>
      <w:r>
        <w:rPr>
          <w:rFonts w:ascii="Times New Roman" w:eastAsia="Times New Roman"/>
        </w:rPr>
        <w:t xml:space="preserve">2 </w:t>
      </w:r>
      <w:r>
        <w:t>类标准</w:t>
      </w:r>
    </w:p>
    <w:p>
      <w:pPr>
        <w:pStyle w:val="9"/>
        <w:spacing w:before="1"/>
        <w:ind w:left="1080"/>
      </w:pPr>
      <w:r>
        <w:t xml:space="preserve">监测时间：每年进行 </w:t>
      </w:r>
      <w:r>
        <w:rPr>
          <w:rFonts w:ascii="Times New Roman" w:eastAsia="Times New Roman"/>
        </w:rPr>
        <w:t xml:space="preserve">2 </w:t>
      </w:r>
      <w:r>
        <w:t>次监测</w:t>
      </w:r>
    </w:p>
    <w:p>
      <w:pPr>
        <w:pStyle w:val="9"/>
        <w:spacing w:before="161" w:line="364" w:lineRule="auto"/>
        <w:ind w:left="600" w:right="897" w:firstLine="480"/>
      </w:pPr>
      <w:r>
        <w:rPr>
          <w:spacing w:val="-7"/>
        </w:rPr>
        <w:t>综合以上各专题监测计划，运行期环境监测内容及计划详见下表。具体监测</w:t>
      </w:r>
      <w:r>
        <w:t>时间、频率、点位服从当地环保部门的规定和要求。</w:t>
      </w:r>
    </w:p>
    <w:p>
      <w:pPr>
        <w:spacing w:before="19"/>
        <w:ind w:left="3667" w:right="0" w:firstLine="0"/>
        <w:jc w:val="left"/>
        <w:rPr>
          <w:b/>
          <w:sz w:val="21"/>
        </w:rPr>
      </w:pPr>
      <w:r>
        <w:rPr>
          <w:b/>
          <w:spacing w:val="-26"/>
          <w:sz w:val="21"/>
        </w:rPr>
        <w:t xml:space="preserve">表 </w:t>
      </w:r>
      <w:r>
        <w:rPr>
          <w:rFonts w:ascii="Times New Roman" w:eastAsia="Times New Roman"/>
          <w:b/>
          <w:sz w:val="21"/>
        </w:rPr>
        <w:t>13.4-1</w:t>
      </w:r>
      <w:r>
        <w:rPr>
          <w:rFonts w:ascii="Times New Roman" w:eastAsia="Times New Roman"/>
          <w:b/>
          <w:spacing w:val="52"/>
          <w:sz w:val="21"/>
        </w:rPr>
        <w:t xml:space="preserve"> </w:t>
      </w:r>
      <w:r>
        <w:rPr>
          <w:b/>
          <w:sz w:val="21"/>
        </w:rPr>
        <w:t>环境监测计划</w:t>
      </w:r>
    </w:p>
    <w:p>
      <w:pPr>
        <w:pStyle w:val="9"/>
        <w:spacing w:before="11"/>
        <w:rPr>
          <w:b/>
          <w:sz w:val="7"/>
        </w:rPr>
      </w:pPr>
    </w:p>
    <w:tbl>
      <w:tblPr>
        <w:tblStyle w:val="15"/>
        <w:tblW w:w="0" w:type="auto"/>
        <w:tblInd w:w="5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8"/>
        <w:gridCol w:w="614"/>
        <w:gridCol w:w="1016"/>
        <w:gridCol w:w="5314"/>
        <w:gridCol w:w="9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88" w:type="dxa"/>
            <w:tcBorders>
              <w:bottom w:val="single" w:color="000000" w:sz="4" w:space="0"/>
              <w:right w:val="single" w:color="000000" w:sz="4" w:space="0"/>
            </w:tcBorders>
          </w:tcPr>
          <w:p>
            <w:pPr>
              <w:pStyle w:val="19"/>
              <w:spacing w:before="2"/>
              <w:ind w:left="189"/>
              <w:jc w:val="left"/>
              <w:rPr>
                <w:sz w:val="21"/>
              </w:rPr>
            </w:pPr>
            <w:r>
              <w:rPr>
                <w:w w:val="99"/>
                <w:sz w:val="21"/>
              </w:rPr>
              <w:t>序</w:t>
            </w:r>
          </w:p>
          <w:p>
            <w:pPr>
              <w:pStyle w:val="19"/>
              <w:spacing w:before="57"/>
              <w:ind w:left="189"/>
              <w:jc w:val="left"/>
              <w:rPr>
                <w:sz w:val="21"/>
              </w:rPr>
            </w:pPr>
            <w:r>
              <w:rPr>
                <w:w w:val="99"/>
                <w:sz w:val="21"/>
              </w:rPr>
              <w:t>号</w:t>
            </w:r>
          </w:p>
        </w:tc>
        <w:tc>
          <w:tcPr>
            <w:tcW w:w="1630" w:type="dxa"/>
            <w:gridSpan w:val="2"/>
            <w:tcBorders>
              <w:left w:val="single" w:color="000000" w:sz="4" w:space="0"/>
              <w:bottom w:val="single" w:color="000000" w:sz="4" w:space="0"/>
              <w:right w:val="single" w:color="000000" w:sz="4" w:space="0"/>
            </w:tcBorders>
          </w:tcPr>
          <w:p>
            <w:pPr>
              <w:pStyle w:val="19"/>
              <w:spacing w:before="165"/>
              <w:ind w:left="400"/>
              <w:jc w:val="left"/>
              <w:rPr>
                <w:sz w:val="21"/>
              </w:rPr>
            </w:pPr>
            <w:r>
              <w:rPr>
                <w:sz w:val="21"/>
              </w:rPr>
              <w:t>监测项目</w:t>
            </w:r>
          </w:p>
        </w:tc>
        <w:tc>
          <w:tcPr>
            <w:tcW w:w="5314" w:type="dxa"/>
            <w:tcBorders>
              <w:left w:val="single" w:color="000000" w:sz="4" w:space="0"/>
              <w:bottom w:val="single" w:color="000000" w:sz="4" w:space="0"/>
              <w:right w:val="single" w:color="000000" w:sz="4" w:space="0"/>
            </w:tcBorders>
          </w:tcPr>
          <w:p>
            <w:pPr>
              <w:pStyle w:val="19"/>
              <w:spacing w:before="165"/>
              <w:ind w:left="2011" w:right="1993"/>
              <w:rPr>
                <w:sz w:val="21"/>
              </w:rPr>
            </w:pPr>
            <w:r>
              <w:rPr>
                <w:sz w:val="21"/>
              </w:rPr>
              <w:t>主要技术要求</w:t>
            </w:r>
          </w:p>
        </w:tc>
        <w:tc>
          <w:tcPr>
            <w:tcW w:w="987" w:type="dxa"/>
            <w:tcBorders>
              <w:left w:val="single" w:color="000000" w:sz="4" w:space="0"/>
              <w:bottom w:val="single" w:color="000000" w:sz="4" w:space="0"/>
            </w:tcBorders>
          </w:tcPr>
          <w:p>
            <w:pPr>
              <w:pStyle w:val="19"/>
              <w:spacing w:before="2"/>
              <w:ind w:left="160" w:right="141"/>
              <w:rPr>
                <w:sz w:val="21"/>
              </w:rPr>
            </w:pPr>
            <w:r>
              <w:rPr>
                <w:sz w:val="21"/>
              </w:rPr>
              <w:t>监督机</w:t>
            </w:r>
          </w:p>
          <w:p>
            <w:pPr>
              <w:pStyle w:val="19"/>
              <w:spacing w:before="57"/>
              <w:ind w:left="22"/>
              <w:rPr>
                <w:sz w:val="21"/>
              </w:rPr>
            </w:pPr>
            <w:r>
              <w:rPr>
                <w:w w:val="99"/>
                <w:sz w:val="21"/>
              </w:rPr>
              <w:t>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6" w:hRule="atLeast"/>
        </w:trPr>
        <w:tc>
          <w:tcPr>
            <w:tcW w:w="588" w:type="dxa"/>
            <w:tcBorders>
              <w:top w:val="single" w:color="000000" w:sz="4" w:space="0"/>
              <w:bottom w:val="single" w:color="000000" w:sz="4" w:space="0"/>
              <w:right w:val="single" w:color="000000" w:sz="4" w:space="0"/>
            </w:tcBorders>
          </w:tcPr>
          <w:p>
            <w:pPr>
              <w:pStyle w:val="19"/>
              <w:jc w:val="left"/>
              <w:rPr>
                <w:b/>
                <w:sz w:val="22"/>
              </w:rPr>
            </w:pPr>
          </w:p>
          <w:p>
            <w:pPr>
              <w:pStyle w:val="19"/>
              <w:spacing w:before="6"/>
              <w:jc w:val="left"/>
              <w:rPr>
                <w:b/>
                <w:sz w:val="17"/>
              </w:rPr>
            </w:pPr>
          </w:p>
          <w:p>
            <w:pPr>
              <w:pStyle w:val="19"/>
              <w:ind w:left="239"/>
              <w:jc w:val="left"/>
              <w:rPr>
                <w:rFonts w:ascii="Times New Roman"/>
                <w:sz w:val="21"/>
              </w:rPr>
            </w:pPr>
            <w:r>
              <w:rPr>
                <w:rFonts w:ascii="Times New Roman"/>
                <w:w w:val="99"/>
                <w:sz w:val="21"/>
              </w:rPr>
              <w:t>1</w:t>
            </w:r>
          </w:p>
        </w:tc>
        <w:tc>
          <w:tcPr>
            <w:tcW w:w="614"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4"/>
              <w:jc w:val="left"/>
              <w:rPr>
                <w:b/>
                <w:sz w:val="20"/>
              </w:rPr>
            </w:pPr>
          </w:p>
          <w:p>
            <w:pPr>
              <w:pStyle w:val="19"/>
              <w:spacing w:line="290" w:lineRule="auto"/>
              <w:ind w:left="206" w:right="186"/>
              <w:jc w:val="both"/>
              <w:rPr>
                <w:sz w:val="21"/>
              </w:rPr>
            </w:pPr>
            <w:r>
              <w:rPr>
                <w:sz w:val="21"/>
              </w:rPr>
              <w:t>生态环境</w:t>
            </w:r>
          </w:p>
        </w:tc>
        <w:tc>
          <w:tcPr>
            <w:tcW w:w="1016" w:type="dxa"/>
            <w:tcBorders>
              <w:top w:val="single" w:color="000000" w:sz="4" w:space="0"/>
              <w:left w:val="single" w:color="000000" w:sz="4" w:space="0"/>
              <w:bottom w:val="single" w:color="000000" w:sz="4" w:space="0"/>
              <w:right w:val="single" w:color="000000" w:sz="4" w:space="0"/>
            </w:tcBorders>
          </w:tcPr>
          <w:p>
            <w:pPr>
              <w:pStyle w:val="19"/>
              <w:spacing w:before="6"/>
              <w:jc w:val="left"/>
              <w:rPr>
                <w:b/>
                <w:sz w:val="25"/>
              </w:rPr>
            </w:pPr>
          </w:p>
          <w:p>
            <w:pPr>
              <w:pStyle w:val="19"/>
              <w:spacing w:line="290" w:lineRule="auto"/>
              <w:ind w:left="197" w:right="178"/>
              <w:jc w:val="left"/>
              <w:rPr>
                <w:sz w:val="21"/>
              </w:rPr>
            </w:pPr>
            <w:r>
              <w:rPr>
                <w:sz w:val="21"/>
              </w:rPr>
              <w:t>施工现场清理</w:t>
            </w:r>
          </w:p>
        </w:tc>
        <w:tc>
          <w:tcPr>
            <w:tcW w:w="5314" w:type="dxa"/>
            <w:tcBorders>
              <w:top w:val="single" w:color="000000" w:sz="4" w:space="0"/>
              <w:left w:val="single" w:color="000000" w:sz="4" w:space="0"/>
              <w:bottom w:val="single" w:color="000000" w:sz="4" w:space="0"/>
              <w:right w:val="single" w:color="000000" w:sz="4" w:space="0"/>
            </w:tcBorders>
          </w:tcPr>
          <w:p>
            <w:pPr>
              <w:pStyle w:val="19"/>
              <w:numPr>
                <w:ilvl w:val="0"/>
                <w:numId w:val="92"/>
              </w:numPr>
              <w:tabs>
                <w:tab w:val="left" w:pos="272"/>
              </w:tabs>
              <w:spacing w:before="0" w:after="0" w:line="290" w:lineRule="auto"/>
              <w:ind w:left="112" w:right="92" w:firstLine="0"/>
              <w:jc w:val="left"/>
              <w:rPr>
                <w:sz w:val="21"/>
              </w:rPr>
            </w:pPr>
            <w:r>
              <w:rPr>
                <w:spacing w:val="-9"/>
                <w:w w:val="95"/>
                <w:sz w:val="21"/>
              </w:rPr>
              <w:t xml:space="preserve">监测项目：施工结束后，施工现场的弃土、石、渣等固 </w:t>
            </w:r>
            <w:r>
              <w:rPr>
                <w:spacing w:val="-9"/>
                <w:sz w:val="21"/>
              </w:rPr>
              <w:t>废处理和生态环境恢复情况。</w:t>
            </w:r>
          </w:p>
          <w:p>
            <w:pPr>
              <w:pStyle w:val="19"/>
              <w:numPr>
                <w:ilvl w:val="0"/>
                <w:numId w:val="92"/>
              </w:numPr>
              <w:tabs>
                <w:tab w:val="left" w:pos="272"/>
              </w:tabs>
              <w:spacing w:before="1" w:after="0" w:line="240" w:lineRule="auto"/>
              <w:ind w:left="271" w:right="0" w:hanging="160"/>
              <w:jc w:val="left"/>
              <w:rPr>
                <w:sz w:val="21"/>
              </w:rPr>
            </w:pPr>
            <w:r>
              <w:rPr>
                <w:spacing w:val="-5"/>
                <w:sz w:val="21"/>
              </w:rPr>
              <w:t xml:space="preserve">监测频率：施工结束后 </w:t>
            </w:r>
            <w:r>
              <w:rPr>
                <w:rFonts w:ascii="Times New Roman" w:eastAsia="Times New Roman"/>
                <w:sz w:val="21"/>
              </w:rPr>
              <w:t>1</w:t>
            </w:r>
            <w:r>
              <w:rPr>
                <w:rFonts w:ascii="Times New Roman" w:eastAsia="Times New Roman"/>
                <w:spacing w:val="-1"/>
                <w:sz w:val="21"/>
              </w:rPr>
              <w:t xml:space="preserve"> </w:t>
            </w:r>
            <w:r>
              <w:rPr>
                <w:sz w:val="21"/>
              </w:rPr>
              <w:t>次。</w:t>
            </w:r>
          </w:p>
          <w:p>
            <w:pPr>
              <w:pStyle w:val="19"/>
              <w:numPr>
                <w:ilvl w:val="0"/>
                <w:numId w:val="92"/>
              </w:numPr>
              <w:tabs>
                <w:tab w:val="left" w:pos="272"/>
              </w:tabs>
              <w:spacing w:before="58" w:after="0" w:line="240" w:lineRule="auto"/>
              <w:ind w:left="271" w:right="0" w:hanging="160"/>
              <w:jc w:val="left"/>
              <w:rPr>
                <w:sz w:val="21"/>
              </w:rPr>
            </w:pPr>
            <w:r>
              <w:rPr>
                <w:sz w:val="21"/>
              </w:rPr>
              <w:t>监测点：各施工区。</w:t>
            </w:r>
          </w:p>
        </w:tc>
        <w:tc>
          <w:tcPr>
            <w:tcW w:w="987" w:type="dxa"/>
            <w:tcBorders>
              <w:top w:val="single" w:color="000000" w:sz="4" w:space="0"/>
              <w:left w:val="single" w:color="000000" w:sz="4" w:space="0"/>
              <w:bottom w:val="single" w:color="000000" w:sz="4" w:space="0"/>
            </w:tcBorders>
          </w:tcPr>
          <w:p>
            <w:pPr>
              <w:pStyle w:val="19"/>
              <w:spacing w:before="163"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61" w:hRule="atLeast"/>
        </w:trPr>
        <w:tc>
          <w:tcPr>
            <w:tcW w:w="588" w:type="dxa"/>
            <w:tcBorders>
              <w:top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1"/>
              </w:rPr>
            </w:pPr>
          </w:p>
          <w:p>
            <w:pPr>
              <w:pStyle w:val="19"/>
              <w:ind w:left="239"/>
              <w:jc w:val="left"/>
              <w:rPr>
                <w:rFonts w:ascii="Times New Roman"/>
                <w:sz w:val="21"/>
              </w:rPr>
            </w:pPr>
            <w:r>
              <w:rPr>
                <w:rFonts w:ascii="Times New Roman"/>
                <w:w w:val="99"/>
                <w:sz w:val="21"/>
              </w:rPr>
              <w:t>2</w:t>
            </w:r>
          </w:p>
        </w:tc>
        <w:tc>
          <w:tcPr>
            <w:tcW w:w="614" w:type="dxa"/>
            <w:vMerge w:val="continue"/>
            <w:tcBorders>
              <w:top w:val="nil"/>
              <w:left w:val="single" w:color="000000" w:sz="4" w:space="0"/>
              <w:bottom w:val="single" w:color="000000" w:sz="4" w:space="0"/>
              <w:right w:val="single" w:color="000000" w:sz="4" w:space="0"/>
            </w:tcBorders>
          </w:tcPr>
          <w:p>
            <w:pPr>
              <w:rPr>
                <w:sz w:val="2"/>
                <w:szCs w:val="2"/>
              </w:rPr>
            </w:pPr>
          </w:p>
        </w:tc>
        <w:tc>
          <w:tcPr>
            <w:tcW w:w="1016"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spacing w:before="141" w:line="290" w:lineRule="auto"/>
              <w:ind w:left="408" w:right="178" w:hanging="212"/>
              <w:jc w:val="left"/>
              <w:rPr>
                <w:sz w:val="21"/>
              </w:rPr>
            </w:pPr>
            <w:r>
              <w:rPr>
                <w:sz w:val="21"/>
              </w:rPr>
              <w:t>土壤侵蚀</w:t>
            </w:r>
          </w:p>
        </w:tc>
        <w:tc>
          <w:tcPr>
            <w:tcW w:w="5314" w:type="dxa"/>
            <w:tcBorders>
              <w:top w:val="single" w:color="000000" w:sz="4" w:space="0"/>
              <w:left w:val="single" w:color="000000" w:sz="4" w:space="0"/>
              <w:bottom w:val="single" w:color="000000" w:sz="4" w:space="0"/>
              <w:right w:val="single" w:color="000000" w:sz="4" w:space="0"/>
            </w:tcBorders>
          </w:tcPr>
          <w:p>
            <w:pPr>
              <w:pStyle w:val="19"/>
              <w:numPr>
                <w:ilvl w:val="0"/>
                <w:numId w:val="93"/>
              </w:numPr>
              <w:tabs>
                <w:tab w:val="left" w:pos="272"/>
              </w:tabs>
              <w:spacing w:before="0" w:after="0" w:line="240" w:lineRule="auto"/>
              <w:ind w:left="271" w:right="0" w:hanging="160"/>
              <w:jc w:val="left"/>
              <w:rPr>
                <w:sz w:val="21"/>
              </w:rPr>
            </w:pPr>
            <w:r>
              <w:rPr>
                <w:sz w:val="21"/>
              </w:rPr>
              <w:t>监测项目：土壤侵蚀类型、侵蚀量。</w:t>
            </w:r>
          </w:p>
          <w:p>
            <w:pPr>
              <w:pStyle w:val="19"/>
              <w:numPr>
                <w:ilvl w:val="0"/>
                <w:numId w:val="93"/>
              </w:numPr>
              <w:tabs>
                <w:tab w:val="left" w:pos="272"/>
              </w:tabs>
              <w:spacing w:before="58" w:after="0" w:line="240" w:lineRule="auto"/>
              <w:ind w:left="271" w:right="0" w:hanging="160"/>
              <w:jc w:val="left"/>
              <w:rPr>
                <w:sz w:val="21"/>
              </w:rPr>
            </w:pPr>
            <w:r>
              <w:rPr>
                <w:spacing w:val="-7"/>
                <w:sz w:val="21"/>
              </w:rPr>
              <w:t xml:space="preserve">监测频率：每年 </w:t>
            </w:r>
            <w:r>
              <w:rPr>
                <w:rFonts w:ascii="Times New Roman" w:eastAsia="Times New Roman"/>
                <w:sz w:val="21"/>
              </w:rPr>
              <w:t>1</w:t>
            </w:r>
            <w:r>
              <w:rPr>
                <w:rFonts w:ascii="Times New Roman" w:eastAsia="Times New Roman"/>
                <w:spacing w:val="1"/>
                <w:sz w:val="21"/>
              </w:rPr>
              <w:t xml:space="preserve"> </w:t>
            </w:r>
            <w:r>
              <w:rPr>
                <w:sz w:val="21"/>
              </w:rPr>
              <w:t>次。</w:t>
            </w:r>
          </w:p>
          <w:p>
            <w:pPr>
              <w:pStyle w:val="19"/>
              <w:numPr>
                <w:ilvl w:val="0"/>
                <w:numId w:val="93"/>
              </w:numPr>
              <w:tabs>
                <w:tab w:val="left" w:pos="272"/>
              </w:tabs>
              <w:spacing w:before="57" w:after="0" w:line="240" w:lineRule="auto"/>
              <w:ind w:left="271" w:right="0" w:hanging="160"/>
              <w:jc w:val="left"/>
              <w:rPr>
                <w:sz w:val="21"/>
              </w:rPr>
            </w:pPr>
            <w:r>
              <w:rPr>
                <w:spacing w:val="-6"/>
                <w:sz w:val="21"/>
              </w:rPr>
              <w:t xml:space="preserve">监测点：施工区域 </w:t>
            </w:r>
            <w:r>
              <w:rPr>
                <w:rFonts w:ascii="Times New Roman" w:eastAsia="Times New Roman"/>
                <w:sz w:val="21"/>
              </w:rPr>
              <w:t>3</w:t>
            </w:r>
            <w:r>
              <w:rPr>
                <w:sz w:val="21"/>
              </w:rPr>
              <w:t>～</w:t>
            </w:r>
            <w:r>
              <w:rPr>
                <w:rFonts w:ascii="Times New Roman" w:eastAsia="Times New Roman"/>
                <w:sz w:val="21"/>
              </w:rPr>
              <w:t>5</w:t>
            </w:r>
            <w:r>
              <w:rPr>
                <w:rFonts w:ascii="Times New Roman" w:eastAsia="Times New Roman"/>
                <w:spacing w:val="-1"/>
                <w:sz w:val="21"/>
              </w:rPr>
              <w:t xml:space="preserve"> </w:t>
            </w:r>
            <w:r>
              <w:rPr>
                <w:sz w:val="21"/>
              </w:rPr>
              <w:t>个代表点。</w:t>
            </w:r>
          </w:p>
          <w:p>
            <w:pPr>
              <w:pStyle w:val="19"/>
              <w:numPr>
                <w:ilvl w:val="0"/>
                <w:numId w:val="93"/>
              </w:numPr>
              <w:tabs>
                <w:tab w:val="left" w:pos="272"/>
              </w:tabs>
              <w:spacing w:before="57" w:after="0" w:line="240" w:lineRule="auto"/>
              <w:ind w:left="271" w:right="0" w:hanging="160"/>
              <w:jc w:val="left"/>
              <w:rPr>
                <w:sz w:val="21"/>
              </w:rPr>
            </w:pPr>
            <w:r>
              <w:rPr>
                <w:sz w:val="21"/>
              </w:rPr>
              <w:t>监测方法：定期观察。</w:t>
            </w:r>
          </w:p>
          <w:p>
            <w:pPr>
              <w:pStyle w:val="19"/>
              <w:numPr>
                <w:ilvl w:val="0"/>
                <w:numId w:val="93"/>
              </w:numPr>
              <w:tabs>
                <w:tab w:val="left" w:pos="272"/>
              </w:tabs>
              <w:spacing w:before="5" w:after="0" w:line="328" w:lineRule="exact"/>
              <w:ind w:left="112" w:right="92" w:firstLine="0"/>
              <w:jc w:val="left"/>
              <w:rPr>
                <w:sz w:val="21"/>
              </w:rPr>
            </w:pPr>
            <w:r>
              <w:rPr>
                <w:spacing w:val="-10"/>
                <w:w w:val="95"/>
                <w:sz w:val="21"/>
              </w:rPr>
              <w:t xml:space="preserve">技术要求：参照水土保持相关规范，采用记录、统计方 </w:t>
            </w:r>
            <w:r>
              <w:rPr>
                <w:spacing w:val="-10"/>
                <w:sz w:val="21"/>
              </w:rPr>
              <w:t>法，形成分析报告。</w:t>
            </w:r>
          </w:p>
        </w:tc>
        <w:tc>
          <w:tcPr>
            <w:tcW w:w="987" w:type="dxa"/>
            <w:tcBorders>
              <w:top w:val="single" w:color="000000" w:sz="4" w:space="0"/>
              <w:left w:val="single" w:color="000000" w:sz="4" w:space="0"/>
              <w:bottom w:val="single" w:color="000000" w:sz="4" w:space="0"/>
            </w:tcBorders>
          </w:tcPr>
          <w:p>
            <w:pPr>
              <w:pStyle w:val="19"/>
              <w:jc w:val="left"/>
              <w:rPr>
                <w:b/>
                <w:sz w:val="20"/>
              </w:rPr>
            </w:pPr>
          </w:p>
          <w:p>
            <w:pPr>
              <w:pStyle w:val="19"/>
              <w:spacing w:before="3"/>
              <w:jc w:val="left"/>
              <w:rPr>
                <w:b/>
                <w:sz w:val="18"/>
              </w:rPr>
            </w:pPr>
          </w:p>
          <w:p>
            <w:pPr>
              <w:pStyle w:val="19"/>
              <w:spacing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7" w:hRule="atLeast"/>
        </w:trPr>
        <w:tc>
          <w:tcPr>
            <w:tcW w:w="588" w:type="dxa"/>
            <w:tcBorders>
              <w:top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spacing w:before="152"/>
              <w:ind w:left="239"/>
              <w:jc w:val="left"/>
              <w:rPr>
                <w:rFonts w:ascii="Times New Roman"/>
                <w:sz w:val="21"/>
              </w:rPr>
            </w:pPr>
            <w:r>
              <w:rPr>
                <w:rFonts w:ascii="Times New Roman"/>
                <w:w w:val="99"/>
                <w:sz w:val="21"/>
              </w:rPr>
              <w:t>3</w:t>
            </w:r>
          </w:p>
        </w:tc>
        <w:tc>
          <w:tcPr>
            <w:tcW w:w="614" w:type="dxa"/>
            <w:vMerge w:val="continue"/>
            <w:tcBorders>
              <w:top w:val="nil"/>
              <w:left w:val="single" w:color="000000" w:sz="4" w:space="0"/>
              <w:bottom w:val="single" w:color="000000" w:sz="4" w:space="0"/>
              <w:right w:val="single" w:color="000000" w:sz="4" w:space="0"/>
            </w:tcBorders>
          </w:tcPr>
          <w:p>
            <w:pPr>
              <w:rPr>
                <w:sz w:val="2"/>
                <w:szCs w:val="2"/>
              </w:rPr>
            </w:pPr>
          </w:p>
        </w:tc>
        <w:tc>
          <w:tcPr>
            <w:tcW w:w="1016"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spacing w:before="5"/>
              <w:jc w:val="left"/>
              <w:rPr>
                <w:b/>
                <w:sz w:val="16"/>
              </w:rPr>
            </w:pPr>
          </w:p>
          <w:p>
            <w:pPr>
              <w:pStyle w:val="19"/>
              <w:ind w:left="194" w:right="178"/>
              <w:rPr>
                <w:sz w:val="21"/>
              </w:rPr>
            </w:pPr>
            <w:r>
              <w:rPr>
                <w:sz w:val="21"/>
              </w:rPr>
              <w:t>植被</w:t>
            </w:r>
          </w:p>
        </w:tc>
        <w:tc>
          <w:tcPr>
            <w:tcW w:w="5314" w:type="dxa"/>
            <w:tcBorders>
              <w:top w:val="single" w:color="000000" w:sz="4" w:space="0"/>
              <w:left w:val="single" w:color="000000" w:sz="4" w:space="0"/>
              <w:bottom w:val="single" w:color="000000" w:sz="4" w:space="0"/>
              <w:right w:val="single" w:color="000000" w:sz="4" w:space="0"/>
            </w:tcBorders>
          </w:tcPr>
          <w:p>
            <w:pPr>
              <w:pStyle w:val="19"/>
              <w:numPr>
                <w:ilvl w:val="0"/>
                <w:numId w:val="94"/>
              </w:numPr>
              <w:tabs>
                <w:tab w:val="left" w:pos="272"/>
              </w:tabs>
              <w:spacing w:before="0" w:after="0" w:line="290" w:lineRule="auto"/>
              <w:ind w:left="112" w:right="93" w:firstLine="0"/>
              <w:jc w:val="left"/>
              <w:rPr>
                <w:sz w:val="21"/>
              </w:rPr>
            </w:pPr>
            <w:r>
              <w:rPr>
                <w:spacing w:val="-9"/>
                <w:w w:val="95"/>
                <w:sz w:val="21"/>
              </w:rPr>
              <w:t xml:space="preserve">监测项目：植被类型，植物种类、草群高度、盖度、生 </w:t>
            </w:r>
            <w:r>
              <w:rPr>
                <w:spacing w:val="-9"/>
                <w:sz w:val="21"/>
              </w:rPr>
              <w:t>物量。</w:t>
            </w:r>
          </w:p>
          <w:p>
            <w:pPr>
              <w:pStyle w:val="19"/>
              <w:numPr>
                <w:ilvl w:val="0"/>
                <w:numId w:val="94"/>
              </w:numPr>
              <w:tabs>
                <w:tab w:val="left" w:pos="272"/>
              </w:tabs>
              <w:spacing w:before="1" w:after="0" w:line="240" w:lineRule="auto"/>
              <w:ind w:left="271" w:right="0" w:hanging="160"/>
              <w:jc w:val="left"/>
              <w:rPr>
                <w:sz w:val="21"/>
              </w:rPr>
            </w:pPr>
            <w:r>
              <w:rPr>
                <w:spacing w:val="-7"/>
                <w:sz w:val="21"/>
              </w:rPr>
              <w:t xml:space="preserve">监测频率：每年 </w:t>
            </w:r>
            <w:r>
              <w:rPr>
                <w:rFonts w:ascii="Times New Roman" w:eastAsia="Times New Roman"/>
                <w:sz w:val="21"/>
              </w:rPr>
              <w:t>1</w:t>
            </w:r>
            <w:r>
              <w:rPr>
                <w:rFonts w:ascii="Times New Roman" w:eastAsia="Times New Roman"/>
                <w:spacing w:val="1"/>
                <w:sz w:val="21"/>
              </w:rPr>
              <w:t xml:space="preserve"> </w:t>
            </w:r>
            <w:r>
              <w:rPr>
                <w:sz w:val="21"/>
              </w:rPr>
              <w:t>次。</w:t>
            </w:r>
          </w:p>
          <w:p>
            <w:pPr>
              <w:pStyle w:val="19"/>
              <w:numPr>
                <w:ilvl w:val="0"/>
                <w:numId w:val="94"/>
              </w:numPr>
              <w:tabs>
                <w:tab w:val="left" w:pos="272"/>
              </w:tabs>
              <w:spacing w:before="58" w:after="0" w:line="240" w:lineRule="auto"/>
              <w:ind w:left="271" w:right="0" w:hanging="160"/>
              <w:jc w:val="left"/>
              <w:rPr>
                <w:sz w:val="21"/>
              </w:rPr>
            </w:pPr>
            <w:r>
              <w:rPr>
                <w:spacing w:val="-6"/>
                <w:sz w:val="21"/>
              </w:rPr>
              <w:t xml:space="preserve">监测点：项目实施区 </w:t>
            </w:r>
            <w:r>
              <w:rPr>
                <w:rFonts w:ascii="Times New Roman" w:eastAsia="Times New Roman"/>
                <w:sz w:val="21"/>
              </w:rPr>
              <w:t>3</w:t>
            </w:r>
            <w:r>
              <w:rPr>
                <w:sz w:val="21"/>
              </w:rPr>
              <w:t>～</w:t>
            </w:r>
            <w:r>
              <w:rPr>
                <w:rFonts w:ascii="Times New Roman" w:eastAsia="Times New Roman"/>
                <w:sz w:val="21"/>
              </w:rPr>
              <w:t>5</w:t>
            </w:r>
            <w:r>
              <w:rPr>
                <w:rFonts w:ascii="Times New Roman" w:eastAsia="Times New Roman"/>
                <w:spacing w:val="1"/>
                <w:sz w:val="21"/>
              </w:rPr>
              <w:t xml:space="preserve"> </w:t>
            </w:r>
            <w:r>
              <w:rPr>
                <w:sz w:val="21"/>
              </w:rPr>
              <w:t>个点。</w:t>
            </w:r>
          </w:p>
          <w:p>
            <w:pPr>
              <w:pStyle w:val="19"/>
              <w:numPr>
                <w:ilvl w:val="0"/>
                <w:numId w:val="94"/>
              </w:numPr>
              <w:tabs>
                <w:tab w:val="left" w:pos="272"/>
              </w:tabs>
              <w:spacing w:before="59" w:after="0" w:line="240" w:lineRule="auto"/>
              <w:ind w:left="271" w:right="0" w:hanging="160"/>
              <w:jc w:val="left"/>
              <w:rPr>
                <w:sz w:val="21"/>
              </w:rPr>
            </w:pPr>
            <w:r>
              <w:rPr>
                <w:sz w:val="21"/>
              </w:rPr>
              <w:t>监测方法：定期观察。</w:t>
            </w:r>
          </w:p>
          <w:p>
            <w:pPr>
              <w:pStyle w:val="19"/>
              <w:numPr>
                <w:ilvl w:val="0"/>
                <w:numId w:val="94"/>
              </w:numPr>
              <w:tabs>
                <w:tab w:val="left" w:pos="272"/>
              </w:tabs>
              <w:spacing w:before="7" w:after="0" w:line="320" w:lineRule="atLeast"/>
              <w:ind w:left="112" w:right="94" w:firstLine="0"/>
              <w:jc w:val="left"/>
              <w:rPr>
                <w:sz w:val="21"/>
              </w:rPr>
            </w:pPr>
            <w:r>
              <w:rPr>
                <w:spacing w:val="-11"/>
                <w:w w:val="95"/>
                <w:sz w:val="21"/>
              </w:rPr>
              <w:t xml:space="preserve">技术要求：遥感监测和巡查相结合，对监测项目指标变 </w:t>
            </w:r>
            <w:r>
              <w:rPr>
                <w:spacing w:val="-11"/>
                <w:sz w:val="21"/>
              </w:rPr>
              <w:t>化量进行统计，并分析原因。</w:t>
            </w:r>
          </w:p>
        </w:tc>
        <w:tc>
          <w:tcPr>
            <w:tcW w:w="987" w:type="dxa"/>
            <w:tcBorders>
              <w:top w:val="single" w:color="000000" w:sz="4" w:space="0"/>
              <w:left w:val="single" w:color="000000" w:sz="4" w:space="0"/>
              <w:bottom w:val="single" w:color="000000" w:sz="4" w:space="0"/>
            </w:tcBorders>
          </w:tcPr>
          <w:p>
            <w:pPr>
              <w:pStyle w:val="19"/>
              <w:jc w:val="left"/>
              <w:rPr>
                <w:b/>
                <w:sz w:val="20"/>
              </w:rPr>
            </w:pPr>
          </w:p>
          <w:p>
            <w:pPr>
              <w:pStyle w:val="19"/>
              <w:jc w:val="left"/>
              <w:rPr>
                <w:b/>
                <w:sz w:val="20"/>
              </w:rPr>
            </w:pPr>
          </w:p>
          <w:p>
            <w:pPr>
              <w:pStyle w:val="19"/>
              <w:spacing w:before="140"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60" w:hRule="atLeast"/>
        </w:trPr>
        <w:tc>
          <w:tcPr>
            <w:tcW w:w="588" w:type="dxa"/>
            <w:tcBorders>
              <w:top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spacing w:before="1"/>
              <w:jc w:val="left"/>
              <w:rPr>
                <w:b/>
                <w:sz w:val="21"/>
              </w:rPr>
            </w:pPr>
          </w:p>
          <w:p>
            <w:pPr>
              <w:pStyle w:val="19"/>
              <w:ind w:left="239"/>
              <w:jc w:val="left"/>
              <w:rPr>
                <w:rFonts w:ascii="Times New Roman"/>
                <w:sz w:val="21"/>
              </w:rPr>
            </w:pPr>
            <w:r>
              <w:rPr>
                <w:rFonts w:ascii="Times New Roman"/>
                <w:w w:val="99"/>
                <w:sz w:val="21"/>
              </w:rPr>
              <w:t>4</w:t>
            </w:r>
          </w:p>
        </w:tc>
        <w:tc>
          <w:tcPr>
            <w:tcW w:w="614" w:type="dxa"/>
            <w:vMerge w:val="continue"/>
            <w:tcBorders>
              <w:top w:val="nil"/>
              <w:left w:val="single" w:color="000000" w:sz="4" w:space="0"/>
              <w:bottom w:val="single" w:color="000000" w:sz="4" w:space="0"/>
              <w:right w:val="single" w:color="000000" w:sz="4" w:space="0"/>
            </w:tcBorders>
          </w:tcPr>
          <w:p>
            <w:pPr>
              <w:rPr>
                <w:sz w:val="2"/>
                <w:szCs w:val="2"/>
              </w:rPr>
            </w:pPr>
          </w:p>
        </w:tc>
        <w:tc>
          <w:tcPr>
            <w:tcW w:w="1016"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spacing w:before="142" w:line="288" w:lineRule="auto"/>
              <w:ind w:left="408" w:right="178" w:hanging="212"/>
              <w:jc w:val="left"/>
              <w:rPr>
                <w:sz w:val="21"/>
              </w:rPr>
            </w:pPr>
            <w:r>
              <w:rPr>
                <w:sz w:val="21"/>
              </w:rPr>
              <w:t>土壤环境</w:t>
            </w:r>
          </w:p>
        </w:tc>
        <w:tc>
          <w:tcPr>
            <w:tcW w:w="5314" w:type="dxa"/>
            <w:tcBorders>
              <w:top w:val="single" w:color="000000" w:sz="4" w:space="0"/>
              <w:left w:val="single" w:color="000000" w:sz="4" w:space="0"/>
              <w:bottom w:val="single" w:color="000000" w:sz="4" w:space="0"/>
              <w:right w:val="single" w:color="000000" w:sz="4" w:space="0"/>
            </w:tcBorders>
          </w:tcPr>
          <w:p>
            <w:pPr>
              <w:pStyle w:val="19"/>
              <w:numPr>
                <w:ilvl w:val="0"/>
                <w:numId w:val="95"/>
              </w:numPr>
              <w:tabs>
                <w:tab w:val="left" w:pos="272"/>
              </w:tabs>
              <w:spacing w:before="2" w:after="0" w:line="240" w:lineRule="auto"/>
              <w:ind w:left="271" w:right="0" w:hanging="160"/>
              <w:jc w:val="left"/>
              <w:rPr>
                <w:sz w:val="21"/>
              </w:rPr>
            </w:pPr>
            <w:r>
              <w:rPr>
                <w:sz w:val="21"/>
              </w:rPr>
              <w:t>监测项目：</w:t>
            </w:r>
            <w:r>
              <w:rPr>
                <w:rFonts w:ascii="Times New Roman" w:eastAsia="Times New Roman"/>
                <w:sz w:val="21"/>
              </w:rPr>
              <w:t>pH</w:t>
            </w:r>
            <w:r>
              <w:rPr>
                <w:spacing w:val="-8"/>
                <w:sz w:val="21"/>
              </w:rPr>
              <w:t xml:space="preserve">、有机质、全 </w:t>
            </w:r>
            <w:r>
              <w:rPr>
                <w:rFonts w:ascii="Times New Roman" w:eastAsia="Times New Roman"/>
                <w:sz w:val="21"/>
              </w:rPr>
              <w:t>N</w:t>
            </w:r>
            <w:r>
              <w:rPr>
                <w:spacing w:val="-14"/>
                <w:sz w:val="21"/>
              </w:rPr>
              <w:t xml:space="preserve">、有效 </w:t>
            </w:r>
            <w:r>
              <w:rPr>
                <w:rFonts w:ascii="Times New Roman" w:eastAsia="Times New Roman"/>
                <w:sz w:val="21"/>
              </w:rPr>
              <w:t>P</w:t>
            </w:r>
            <w:r>
              <w:rPr>
                <w:sz w:val="21"/>
              </w:rPr>
              <w:t>、</w:t>
            </w:r>
            <w:r>
              <w:rPr>
                <w:rFonts w:ascii="Times New Roman" w:eastAsia="Times New Roman"/>
                <w:sz w:val="21"/>
              </w:rPr>
              <w:t>K</w:t>
            </w:r>
            <w:r>
              <w:rPr>
                <w:sz w:val="21"/>
              </w:rPr>
              <w:t>。</w:t>
            </w:r>
          </w:p>
          <w:p>
            <w:pPr>
              <w:pStyle w:val="19"/>
              <w:numPr>
                <w:ilvl w:val="0"/>
                <w:numId w:val="95"/>
              </w:numPr>
              <w:tabs>
                <w:tab w:val="left" w:pos="272"/>
              </w:tabs>
              <w:spacing w:before="55" w:after="0" w:line="240" w:lineRule="auto"/>
              <w:ind w:left="271" w:right="0" w:hanging="160"/>
              <w:jc w:val="left"/>
              <w:rPr>
                <w:sz w:val="21"/>
              </w:rPr>
            </w:pPr>
            <w:r>
              <w:rPr>
                <w:spacing w:val="-7"/>
                <w:sz w:val="21"/>
              </w:rPr>
              <w:t xml:space="preserve">监测频率：每年 </w:t>
            </w:r>
            <w:r>
              <w:rPr>
                <w:rFonts w:ascii="Times New Roman" w:eastAsia="Times New Roman"/>
                <w:sz w:val="21"/>
              </w:rPr>
              <w:t>1</w:t>
            </w:r>
            <w:r>
              <w:rPr>
                <w:rFonts w:ascii="Times New Roman" w:eastAsia="Times New Roman"/>
                <w:spacing w:val="1"/>
                <w:sz w:val="21"/>
              </w:rPr>
              <w:t xml:space="preserve"> </w:t>
            </w:r>
            <w:r>
              <w:rPr>
                <w:sz w:val="21"/>
              </w:rPr>
              <w:t>次。</w:t>
            </w:r>
          </w:p>
          <w:p>
            <w:pPr>
              <w:pStyle w:val="19"/>
              <w:numPr>
                <w:ilvl w:val="0"/>
                <w:numId w:val="95"/>
              </w:numPr>
              <w:tabs>
                <w:tab w:val="left" w:pos="272"/>
              </w:tabs>
              <w:spacing w:before="60" w:after="0" w:line="240" w:lineRule="auto"/>
              <w:ind w:left="271" w:right="0" w:hanging="160"/>
              <w:jc w:val="left"/>
              <w:rPr>
                <w:sz w:val="21"/>
              </w:rPr>
            </w:pPr>
            <w:r>
              <w:rPr>
                <w:spacing w:val="-6"/>
                <w:sz w:val="21"/>
              </w:rPr>
              <w:t xml:space="preserve">监测点：项目实施区 </w:t>
            </w:r>
            <w:r>
              <w:rPr>
                <w:rFonts w:ascii="Times New Roman" w:eastAsia="Times New Roman"/>
                <w:sz w:val="21"/>
              </w:rPr>
              <w:t>3</w:t>
            </w:r>
            <w:r>
              <w:rPr>
                <w:sz w:val="21"/>
              </w:rPr>
              <w:t>～</w:t>
            </w:r>
            <w:r>
              <w:rPr>
                <w:rFonts w:ascii="Times New Roman" w:eastAsia="Times New Roman"/>
                <w:sz w:val="21"/>
              </w:rPr>
              <w:t>5</w:t>
            </w:r>
            <w:r>
              <w:rPr>
                <w:rFonts w:ascii="Times New Roman" w:eastAsia="Times New Roman"/>
                <w:spacing w:val="1"/>
                <w:sz w:val="21"/>
              </w:rPr>
              <w:t xml:space="preserve"> </w:t>
            </w:r>
            <w:r>
              <w:rPr>
                <w:sz w:val="21"/>
              </w:rPr>
              <w:t>个点。</w:t>
            </w:r>
          </w:p>
          <w:p>
            <w:pPr>
              <w:pStyle w:val="19"/>
              <w:numPr>
                <w:ilvl w:val="0"/>
                <w:numId w:val="95"/>
              </w:numPr>
              <w:tabs>
                <w:tab w:val="left" w:pos="272"/>
              </w:tabs>
              <w:spacing w:before="57" w:after="0" w:line="240" w:lineRule="auto"/>
              <w:ind w:left="271" w:right="0" w:hanging="160"/>
              <w:jc w:val="left"/>
              <w:rPr>
                <w:sz w:val="21"/>
              </w:rPr>
            </w:pPr>
            <w:r>
              <w:rPr>
                <w:sz w:val="21"/>
              </w:rPr>
              <w:t>监测方法：定期观察。</w:t>
            </w:r>
          </w:p>
          <w:p>
            <w:pPr>
              <w:pStyle w:val="19"/>
              <w:numPr>
                <w:ilvl w:val="0"/>
                <w:numId w:val="95"/>
              </w:numPr>
              <w:tabs>
                <w:tab w:val="left" w:pos="272"/>
              </w:tabs>
              <w:spacing w:before="6" w:after="0" w:line="320" w:lineRule="atLeast"/>
              <w:ind w:left="112" w:right="94" w:firstLine="0"/>
              <w:jc w:val="left"/>
              <w:rPr>
                <w:sz w:val="21"/>
              </w:rPr>
            </w:pPr>
            <w:r>
              <w:rPr>
                <w:spacing w:val="-11"/>
                <w:w w:val="95"/>
                <w:sz w:val="21"/>
              </w:rPr>
              <w:t xml:space="preserve">技术要求：定期取样，实验室分析粒径组成，形成分析 </w:t>
            </w:r>
            <w:r>
              <w:rPr>
                <w:spacing w:val="-11"/>
                <w:sz w:val="21"/>
              </w:rPr>
              <w:t>报告。</w:t>
            </w:r>
          </w:p>
        </w:tc>
        <w:tc>
          <w:tcPr>
            <w:tcW w:w="987" w:type="dxa"/>
            <w:tcBorders>
              <w:top w:val="single" w:color="000000" w:sz="4" w:space="0"/>
              <w:left w:val="single" w:color="000000" w:sz="4" w:space="0"/>
              <w:bottom w:val="single" w:color="000000" w:sz="4" w:space="0"/>
            </w:tcBorders>
          </w:tcPr>
          <w:p>
            <w:pPr>
              <w:pStyle w:val="19"/>
              <w:jc w:val="left"/>
              <w:rPr>
                <w:b/>
                <w:sz w:val="20"/>
              </w:rPr>
            </w:pPr>
          </w:p>
          <w:p>
            <w:pPr>
              <w:pStyle w:val="19"/>
              <w:spacing w:before="2"/>
              <w:jc w:val="left"/>
              <w:rPr>
                <w:b/>
                <w:sz w:val="18"/>
              </w:rPr>
            </w:pPr>
          </w:p>
          <w:p>
            <w:pPr>
              <w:pStyle w:val="19"/>
              <w:spacing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61" w:hRule="atLeast"/>
        </w:trPr>
        <w:tc>
          <w:tcPr>
            <w:tcW w:w="588" w:type="dxa"/>
            <w:tcBorders>
              <w:top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spacing w:before="1"/>
              <w:jc w:val="left"/>
              <w:rPr>
                <w:b/>
                <w:sz w:val="21"/>
              </w:rPr>
            </w:pPr>
          </w:p>
          <w:p>
            <w:pPr>
              <w:pStyle w:val="19"/>
              <w:ind w:left="239"/>
              <w:jc w:val="left"/>
              <w:rPr>
                <w:rFonts w:ascii="Times New Roman"/>
                <w:sz w:val="21"/>
              </w:rPr>
            </w:pPr>
            <w:r>
              <w:rPr>
                <w:rFonts w:ascii="Times New Roman"/>
                <w:w w:val="99"/>
                <w:sz w:val="21"/>
              </w:rPr>
              <w:t>5</w:t>
            </w:r>
          </w:p>
        </w:tc>
        <w:tc>
          <w:tcPr>
            <w:tcW w:w="614" w:type="dxa"/>
            <w:vMerge w:val="continue"/>
            <w:tcBorders>
              <w:top w:val="nil"/>
              <w:left w:val="single" w:color="000000" w:sz="4" w:space="0"/>
              <w:bottom w:val="single" w:color="000000" w:sz="4" w:space="0"/>
              <w:right w:val="single" w:color="000000" w:sz="4" w:space="0"/>
            </w:tcBorders>
          </w:tcPr>
          <w:p>
            <w:pPr>
              <w:rPr>
                <w:sz w:val="2"/>
                <w:szCs w:val="2"/>
              </w:rPr>
            </w:pPr>
          </w:p>
        </w:tc>
        <w:tc>
          <w:tcPr>
            <w:tcW w:w="1016"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4"/>
              <w:jc w:val="left"/>
              <w:rPr>
                <w:b/>
                <w:sz w:val="18"/>
              </w:rPr>
            </w:pPr>
          </w:p>
          <w:p>
            <w:pPr>
              <w:pStyle w:val="19"/>
              <w:spacing w:line="290" w:lineRule="auto"/>
              <w:ind w:left="197" w:right="178"/>
              <w:rPr>
                <w:sz w:val="21"/>
              </w:rPr>
            </w:pPr>
            <w:r>
              <w:rPr>
                <w:sz w:val="21"/>
              </w:rPr>
              <w:t>建筑物变形情况</w:t>
            </w:r>
          </w:p>
        </w:tc>
        <w:tc>
          <w:tcPr>
            <w:tcW w:w="5314" w:type="dxa"/>
            <w:tcBorders>
              <w:top w:val="single" w:color="000000" w:sz="4" w:space="0"/>
              <w:left w:val="single" w:color="000000" w:sz="4" w:space="0"/>
              <w:bottom w:val="single" w:color="000000" w:sz="4" w:space="0"/>
              <w:right w:val="single" w:color="000000" w:sz="4" w:space="0"/>
            </w:tcBorders>
          </w:tcPr>
          <w:p>
            <w:pPr>
              <w:pStyle w:val="19"/>
              <w:numPr>
                <w:ilvl w:val="0"/>
                <w:numId w:val="96"/>
              </w:numPr>
              <w:tabs>
                <w:tab w:val="left" w:pos="272"/>
              </w:tabs>
              <w:spacing w:before="1" w:after="0" w:line="240" w:lineRule="auto"/>
              <w:ind w:left="271" w:right="0" w:hanging="160"/>
              <w:jc w:val="left"/>
              <w:rPr>
                <w:sz w:val="21"/>
              </w:rPr>
            </w:pPr>
            <w:r>
              <w:rPr>
                <w:w w:val="95"/>
                <w:sz w:val="21"/>
              </w:rPr>
              <w:t>监测项目：村民房屋。</w:t>
            </w:r>
          </w:p>
          <w:p>
            <w:pPr>
              <w:pStyle w:val="19"/>
              <w:numPr>
                <w:ilvl w:val="0"/>
                <w:numId w:val="96"/>
              </w:numPr>
              <w:tabs>
                <w:tab w:val="left" w:pos="272"/>
              </w:tabs>
              <w:spacing w:before="58" w:after="0" w:line="240" w:lineRule="auto"/>
              <w:ind w:left="271" w:right="0" w:hanging="160"/>
              <w:jc w:val="left"/>
              <w:rPr>
                <w:sz w:val="21"/>
              </w:rPr>
            </w:pPr>
            <w:r>
              <w:rPr>
                <w:spacing w:val="-8"/>
                <w:sz w:val="21"/>
              </w:rPr>
              <w:t xml:space="preserve">监测频率：每年 </w:t>
            </w:r>
            <w:r>
              <w:rPr>
                <w:rFonts w:ascii="Times New Roman" w:eastAsia="Times New Roman"/>
                <w:sz w:val="21"/>
              </w:rPr>
              <w:t>1</w:t>
            </w:r>
            <w:r>
              <w:rPr>
                <w:rFonts w:ascii="Times New Roman" w:eastAsia="Times New Roman"/>
                <w:spacing w:val="-3"/>
                <w:sz w:val="21"/>
              </w:rPr>
              <w:t xml:space="preserve"> </w:t>
            </w:r>
            <w:r>
              <w:rPr>
                <w:sz w:val="21"/>
              </w:rPr>
              <w:t>次。</w:t>
            </w:r>
          </w:p>
          <w:p>
            <w:pPr>
              <w:pStyle w:val="19"/>
              <w:numPr>
                <w:ilvl w:val="0"/>
                <w:numId w:val="96"/>
              </w:numPr>
              <w:tabs>
                <w:tab w:val="left" w:pos="272"/>
              </w:tabs>
              <w:spacing w:before="57" w:after="0" w:line="240" w:lineRule="auto"/>
              <w:ind w:left="271" w:right="0" w:hanging="160"/>
              <w:jc w:val="left"/>
              <w:rPr>
                <w:sz w:val="21"/>
              </w:rPr>
            </w:pPr>
            <w:r>
              <w:rPr>
                <w:sz w:val="21"/>
              </w:rPr>
              <w:t>监测点：周边村庄。</w:t>
            </w:r>
          </w:p>
          <w:p>
            <w:pPr>
              <w:pStyle w:val="19"/>
              <w:numPr>
                <w:ilvl w:val="0"/>
                <w:numId w:val="96"/>
              </w:numPr>
              <w:tabs>
                <w:tab w:val="left" w:pos="272"/>
              </w:tabs>
              <w:spacing w:before="57" w:after="0" w:line="240" w:lineRule="auto"/>
              <w:ind w:left="271" w:right="0" w:hanging="160"/>
              <w:jc w:val="left"/>
              <w:rPr>
                <w:sz w:val="21"/>
              </w:rPr>
            </w:pPr>
            <w:r>
              <w:rPr>
                <w:sz w:val="21"/>
              </w:rPr>
              <w:t>监测方法：定期观测。</w:t>
            </w:r>
          </w:p>
          <w:p>
            <w:pPr>
              <w:pStyle w:val="19"/>
              <w:numPr>
                <w:ilvl w:val="0"/>
                <w:numId w:val="96"/>
              </w:numPr>
              <w:tabs>
                <w:tab w:val="left" w:pos="272"/>
              </w:tabs>
              <w:spacing w:before="5" w:after="0" w:line="328" w:lineRule="exact"/>
              <w:ind w:left="112" w:right="94" w:firstLine="0"/>
              <w:jc w:val="left"/>
              <w:rPr>
                <w:sz w:val="21"/>
              </w:rPr>
            </w:pPr>
            <w:r>
              <w:rPr>
                <w:spacing w:val="-11"/>
                <w:w w:val="95"/>
                <w:sz w:val="21"/>
              </w:rPr>
              <w:t xml:space="preserve">技术要求：遥感监测和巡查相结合，对监测项目指标变 </w:t>
            </w:r>
            <w:r>
              <w:rPr>
                <w:spacing w:val="-11"/>
                <w:sz w:val="21"/>
              </w:rPr>
              <w:t>化量进行统计，并分析原因。</w:t>
            </w:r>
          </w:p>
        </w:tc>
        <w:tc>
          <w:tcPr>
            <w:tcW w:w="987" w:type="dxa"/>
            <w:tcBorders>
              <w:top w:val="single" w:color="000000" w:sz="4" w:space="0"/>
              <w:left w:val="single" w:color="000000" w:sz="4" w:space="0"/>
              <w:bottom w:val="single" w:color="000000" w:sz="4" w:space="0"/>
            </w:tcBorders>
          </w:tcPr>
          <w:p>
            <w:pPr>
              <w:pStyle w:val="19"/>
              <w:jc w:val="left"/>
              <w:rPr>
                <w:b/>
                <w:sz w:val="20"/>
              </w:rPr>
            </w:pPr>
          </w:p>
          <w:p>
            <w:pPr>
              <w:pStyle w:val="19"/>
              <w:spacing w:before="4"/>
              <w:jc w:val="left"/>
              <w:rPr>
                <w:b/>
                <w:sz w:val="18"/>
              </w:rPr>
            </w:pPr>
          </w:p>
          <w:p>
            <w:pPr>
              <w:pStyle w:val="19"/>
              <w:spacing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1" w:hRule="atLeast"/>
        </w:trPr>
        <w:tc>
          <w:tcPr>
            <w:tcW w:w="588" w:type="dxa"/>
            <w:tcBorders>
              <w:top w:val="single" w:color="000000" w:sz="4" w:space="0"/>
              <w:right w:val="single" w:color="000000" w:sz="4" w:space="0"/>
            </w:tcBorders>
          </w:tcPr>
          <w:p>
            <w:pPr>
              <w:pStyle w:val="19"/>
              <w:spacing w:before="180"/>
              <w:ind w:left="239"/>
              <w:jc w:val="left"/>
              <w:rPr>
                <w:rFonts w:ascii="Times New Roman"/>
                <w:sz w:val="21"/>
              </w:rPr>
            </w:pPr>
            <w:r>
              <w:rPr>
                <w:rFonts w:ascii="Times New Roman"/>
                <w:w w:val="99"/>
                <w:sz w:val="21"/>
              </w:rPr>
              <w:t>6</w:t>
            </w:r>
          </w:p>
        </w:tc>
        <w:tc>
          <w:tcPr>
            <w:tcW w:w="614" w:type="dxa"/>
            <w:tcBorders>
              <w:top w:val="single" w:color="000000" w:sz="4" w:space="0"/>
              <w:left w:val="single" w:color="000000" w:sz="4" w:space="0"/>
              <w:right w:val="single" w:color="000000" w:sz="4" w:space="0"/>
            </w:tcBorders>
          </w:tcPr>
          <w:p>
            <w:pPr>
              <w:pStyle w:val="19"/>
              <w:spacing w:before="164"/>
              <w:ind w:left="206"/>
              <w:jc w:val="left"/>
              <w:rPr>
                <w:sz w:val="21"/>
              </w:rPr>
            </w:pPr>
            <w:r>
              <w:rPr>
                <w:w w:val="99"/>
                <w:sz w:val="21"/>
              </w:rPr>
              <w:t>地</w:t>
            </w:r>
          </w:p>
        </w:tc>
        <w:tc>
          <w:tcPr>
            <w:tcW w:w="1016" w:type="dxa"/>
            <w:tcBorders>
              <w:top w:val="single" w:color="000000" w:sz="4" w:space="0"/>
              <w:left w:val="single" w:color="000000" w:sz="4" w:space="0"/>
              <w:right w:val="single" w:color="000000" w:sz="4" w:space="0"/>
            </w:tcBorders>
          </w:tcPr>
          <w:p>
            <w:pPr>
              <w:pStyle w:val="19"/>
              <w:spacing w:before="164"/>
              <w:ind w:left="194" w:right="178"/>
              <w:rPr>
                <w:sz w:val="21"/>
              </w:rPr>
            </w:pPr>
            <w:r>
              <w:rPr>
                <w:sz w:val="21"/>
              </w:rPr>
              <w:t>水质</w:t>
            </w:r>
          </w:p>
        </w:tc>
        <w:tc>
          <w:tcPr>
            <w:tcW w:w="5314" w:type="dxa"/>
            <w:tcBorders>
              <w:top w:val="single" w:color="000000" w:sz="4" w:space="0"/>
              <w:left w:val="single" w:color="000000" w:sz="4" w:space="0"/>
              <w:right w:val="single" w:color="000000" w:sz="4" w:space="0"/>
            </w:tcBorders>
          </w:tcPr>
          <w:p>
            <w:pPr>
              <w:pStyle w:val="19"/>
              <w:spacing w:before="1"/>
              <w:ind w:left="112"/>
              <w:jc w:val="left"/>
              <w:rPr>
                <w:sz w:val="21"/>
              </w:rPr>
            </w:pPr>
            <w:r>
              <w:rPr>
                <w:rFonts w:ascii="Times New Roman" w:eastAsia="Times New Roman"/>
                <w:sz w:val="21"/>
              </w:rPr>
              <w:t>1.</w:t>
            </w:r>
            <w:r>
              <w:rPr>
                <w:sz w:val="21"/>
              </w:rPr>
              <w:t>监测项目：</w:t>
            </w:r>
            <w:r>
              <w:rPr>
                <w:rFonts w:ascii="Times New Roman" w:eastAsia="Times New Roman"/>
                <w:sz w:val="21"/>
              </w:rPr>
              <w:t>pH</w:t>
            </w:r>
            <w:r>
              <w:rPr>
                <w:sz w:val="21"/>
              </w:rPr>
              <w:t>、总硬度、</w:t>
            </w:r>
            <w:r>
              <w:rPr>
                <w:rFonts w:ascii="Times New Roman" w:eastAsia="Times New Roman"/>
                <w:sz w:val="21"/>
              </w:rPr>
              <w:t>TDS</w:t>
            </w:r>
            <w:r>
              <w:rPr>
                <w:sz w:val="21"/>
              </w:rPr>
              <w:t>、</w:t>
            </w:r>
            <w:r>
              <w:rPr>
                <w:rFonts w:ascii="Times New Roman" w:eastAsia="Times New Roman"/>
                <w:sz w:val="21"/>
              </w:rPr>
              <w:t>COD</w:t>
            </w:r>
            <w:r>
              <w:rPr>
                <w:sz w:val="21"/>
              </w:rPr>
              <w:t>、</w:t>
            </w:r>
            <w:r>
              <w:rPr>
                <w:rFonts w:ascii="Times New Roman" w:eastAsia="Times New Roman"/>
                <w:sz w:val="21"/>
              </w:rPr>
              <w:t>NO</w:t>
            </w:r>
            <w:r>
              <w:rPr>
                <w:rFonts w:ascii="Times New Roman" w:eastAsia="Times New Roman"/>
                <w:position w:val="7"/>
                <w:sz w:val="13"/>
              </w:rPr>
              <w:t>3-</w:t>
            </w:r>
            <w:r>
              <w:rPr>
                <w:sz w:val="21"/>
              </w:rPr>
              <w:t>、</w:t>
            </w:r>
            <w:r>
              <w:rPr>
                <w:rFonts w:ascii="Times New Roman" w:eastAsia="Times New Roman"/>
                <w:sz w:val="21"/>
              </w:rPr>
              <w:t>NO</w:t>
            </w:r>
            <w:r>
              <w:rPr>
                <w:rFonts w:ascii="Times New Roman" w:eastAsia="Times New Roman"/>
                <w:position w:val="7"/>
                <w:sz w:val="13"/>
              </w:rPr>
              <w:t>2-</w:t>
            </w:r>
            <w:r>
              <w:rPr>
                <w:sz w:val="21"/>
              </w:rPr>
              <w:t>、</w:t>
            </w:r>
          </w:p>
          <w:p>
            <w:pPr>
              <w:pStyle w:val="19"/>
              <w:tabs>
                <w:tab w:val="right" w:pos="1899"/>
              </w:tabs>
              <w:spacing w:before="248" w:line="21" w:lineRule="auto"/>
              <w:ind w:left="381" w:right="-29" w:hanging="269"/>
              <w:jc w:val="left"/>
              <w:rPr>
                <w:rFonts w:ascii="Times New Roman" w:eastAsia="Times New Roman"/>
                <w:sz w:val="13"/>
              </w:rPr>
            </w:pPr>
            <w:r>
              <w:rPr>
                <w:rFonts w:ascii="Times New Roman" w:eastAsia="Times New Roman"/>
                <w:sz w:val="21"/>
              </w:rPr>
              <w:t>SO</w:t>
            </w:r>
            <w:r>
              <w:rPr>
                <w:rFonts w:ascii="Times New Roman" w:eastAsia="Times New Roman"/>
                <w:spacing w:val="14"/>
                <w:sz w:val="21"/>
              </w:rPr>
              <w:t xml:space="preserve"> </w:t>
            </w:r>
            <w:r>
              <w:rPr>
                <w:rFonts w:ascii="Times New Roman" w:eastAsia="Times New Roman"/>
                <w:position w:val="7"/>
                <w:sz w:val="13"/>
              </w:rPr>
              <w:t>2-</w:t>
            </w:r>
            <w:r>
              <w:rPr>
                <w:spacing w:val="-25"/>
                <w:sz w:val="21"/>
              </w:rPr>
              <w:t>、</w:t>
            </w:r>
            <w:r>
              <w:rPr>
                <w:rFonts w:ascii="Times New Roman" w:eastAsia="Times New Roman"/>
                <w:sz w:val="21"/>
              </w:rPr>
              <w:t>F</w:t>
            </w:r>
            <w:r>
              <w:rPr>
                <w:rFonts w:ascii="Times New Roman" w:eastAsia="Times New Roman"/>
                <w:position w:val="7"/>
                <w:sz w:val="13"/>
              </w:rPr>
              <w:t>-</w:t>
            </w:r>
            <w:r>
              <w:rPr>
                <w:spacing w:val="-25"/>
                <w:sz w:val="21"/>
              </w:rPr>
              <w:t>、</w:t>
            </w:r>
            <w:r>
              <w:rPr>
                <w:rFonts w:ascii="Times New Roman" w:eastAsia="Times New Roman"/>
                <w:sz w:val="21"/>
              </w:rPr>
              <w:t>Cl</w:t>
            </w:r>
            <w:r>
              <w:rPr>
                <w:rFonts w:ascii="Times New Roman" w:eastAsia="Times New Roman"/>
                <w:position w:val="7"/>
                <w:sz w:val="13"/>
              </w:rPr>
              <w:t>-</w:t>
            </w:r>
            <w:r>
              <w:rPr>
                <w:spacing w:val="-25"/>
                <w:sz w:val="21"/>
              </w:rPr>
              <w:t>、</w:t>
            </w:r>
            <w:r>
              <w:rPr>
                <w:rFonts w:ascii="Times New Roman" w:eastAsia="Times New Roman"/>
                <w:sz w:val="21"/>
              </w:rPr>
              <w:t>NH</w:t>
            </w:r>
            <w:r>
              <w:rPr>
                <w:rFonts w:ascii="Times New Roman" w:eastAsia="Times New Roman"/>
                <w:spacing w:val="14"/>
                <w:sz w:val="21"/>
              </w:rPr>
              <w:t xml:space="preserve"> </w:t>
            </w:r>
            <w:r>
              <w:rPr>
                <w:rFonts w:ascii="Times New Roman" w:eastAsia="Times New Roman"/>
                <w:position w:val="7"/>
                <w:sz w:val="13"/>
              </w:rPr>
              <w:t>+</w:t>
            </w:r>
            <w:r>
              <w:rPr>
                <w:spacing w:val="-25"/>
                <w:sz w:val="21"/>
              </w:rPr>
              <w:t>、</w:t>
            </w:r>
            <w:r>
              <w:rPr>
                <w:sz w:val="21"/>
              </w:rPr>
              <w:t>挥发性酚类</w:t>
            </w:r>
            <w:r>
              <w:rPr>
                <w:spacing w:val="4"/>
                <w:sz w:val="21"/>
              </w:rPr>
              <w:t>类</w:t>
            </w:r>
            <w:r>
              <w:rPr>
                <w:spacing w:val="-25"/>
                <w:sz w:val="21"/>
              </w:rPr>
              <w:t>、</w:t>
            </w:r>
            <w:r>
              <w:rPr>
                <w:sz w:val="21"/>
              </w:rPr>
              <w:t>氰化物</w:t>
            </w:r>
            <w:r>
              <w:rPr>
                <w:spacing w:val="-22"/>
                <w:sz w:val="21"/>
              </w:rPr>
              <w:t>、</w:t>
            </w:r>
            <w:r>
              <w:rPr>
                <w:rFonts w:ascii="Times New Roman" w:eastAsia="Times New Roman"/>
                <w:sz w:val="21"/>
              </w:rPr>
              <w:t>Fe</w:t>
            </w:r>
            <w:r>
              <w:rPr>
                <w:spacing w:val="-22"/>
                <w:sz w:val="21"/>
              </w:rPr>
              <w:t>、</w:t>
            </w:r>
            <w:r>
              <w:rPr>
                <w:rFonts w:ascii="Times New Roman" w:eastAsia="Times New Roman"/>
                <w:sz w:val="21"/>
              </w:rPr>
              <w:t>Mn</w:t>
            </w:r>
            <w:r>
              <w:rPr>
                <w:sz w:val="21"/>
              </w:rPr>
              <w:t xml:space="preserve">、 </w:t>
            </w:r>
            <w:r>
              <w:rPr>
                <w:rFonts w:ascii="Times New Roman" w:eastAsia="Times New Roman"/>
                <w:sz w:val="13"/>
              </w:rPr>
              <w:t>4</w:t>
            </w:r>
            <w:r>
              <w:rPr>
                <w:rFonts w:ascii="Times New Roman" w:eastAsia="Times New Roman"/>
                <w:sz w:val="13"/>
              </w:rPr>
              <w:tab/>
            </w:r>
            <w:r>
              <w:rPr>
                <w:rFonts w:ascii="Times New Roman" w:eastAsia="Times New Roman"/>
                <w:sz w:val="13"/>
              </w:rPr>
              <w:t>4</w:t>
            </w:r>
          </w:p>
        </w:tc>
        <w:tc>
          <w:tcPr>
            <w:tcW w:w="987" w:type="dxa"/>
            <w:tcBorders>
              <w:top w:val="single" w:color="000000" w:sz="4" w:space="0"/>
              <w:left w:val="single" w:color="000000" w:sz="4" w:space="0"/>
            </w:tcBorders>
          </w:tcPr>
          <w:p>
            <w:pPr>
              <w:pStyle w:val="19"/>
              <w:spacing w:before="1"/>
              <w:ind w:left="181"/>
              <w:jc w:val="left"/>
              <w:rPr>
                <w:sz w:val="21"/>
              </w:rPr>
            </w:pPr>
            <w:r>
              <w:rPr>
                <w:w w:val="95"/>
                <w:sz w:val="21"/>
              </w:rPr>
              <w:t>双鸭山</w:t>
            </w:r>
          </w:p>
          <w:p>
            <w:pPr>
              <w:pStyle w:val="19"/>
              <w:spacing w:before="57"/>
              <w:ind w:left="181"/>
              <w:jc w:val="left"/>
              <w:rPr>
                <w:sz w:val="21"/>
              </w:rPr>
            </w:pPr>
            <w:r>
              <w:rPr>
                <w:w w:val="95"/>
                <w:sz w:val="21"/>
              </w:rPr>
              <w:t>市生态</w:t>
            </w:r>
          </w:p>
        </w:tc>
      </w:tr>
    </w:tbl>
    <w:p>
      <w:pPr>
        <w:spacing w:after="0"/>
        <w:jc w:val="left"/>
        <w:rPr>
          <w:sz w:val="21"/>
        </w:rPr>
        <w:sectPr>
          <w:pgSz w:w="11910" w:h="16840"/>
          <w:pgMar w:top="1440" w:right="900" w:bottom="1180" w:left="1200" w:header="0" w:footer="913" w:gutter="0"/>
        </w:sectPr>
      </w:pPr>
    </w:p>
    <w:tbl>
      <w:tblPr>
        <w:tblStyle w:val="15"/>
        <w:tblW w:w="0" w:type="auto"/>
        <w:tblInd w:w="5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8"/>
        <w:gridCol w:w="614"/>
        <w:gridCol w:w="1016"/>
        <w:gridCol w:w="5314"/>
        <w:gridCol w:w="9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7" w:hRule="atLeast"/>
        </w:trPr>
        <w:tc>
          <w:tcPr>
            <w:tcW w:w="588" w:type="dxa"/>
            <w:tcBorders>
              <w:bottom w:val="single" w:color="000000" w:sz="4" w:space="0"/>
              <w:right w:val="single" w:color="000000" w:sz="4" w:space="0"/>
            </w:tcBorders>
          </w:tcPr>
          <w:p>
            <w:pPr>
              <w:pStyle w:val="19"/>
              <w:jc w:val="left"/>
              <w:rPr>
                <w:rFonts w:ascii="Times New Roman"/>
                <w:sz w:val="20"/>
              </w:rPr>
            </w:pPr>
          </w:p>
        </w:tc>
        <w:tc>
          <w:tcPr>
            <w:tcW w:w="614" w:type="dxa"/>
            <w:vMerge w:val="restart"/>
            <w:tcBorders>
              <w:left w:val="single" w:color="000000" w:sz="4" w:space="0"/>
              <w:bottom w:val="single" w:color="000000" w:sz="4" w:space="0"/>
              <w:right w:val="single" w:color="000000" w:sz="4" w:space="0"/>
            </w:tcBorders>
          </w:tcPr>
          <w:p>
            <w:pPr>
              <w:pStyle w:val="19"/>
              <w:spacing w:line="290" w:lineRule="auto"/>
              <w:ind w:left="206" w:right="186"/>
              <w:jc w:val="both"/>
              <w:rPr>
                <w:sz w:val="21"/>
              </w:rPr>
            </w:pPr>
            <w:r>
              <w:rPr>
                <w:sz w:val="21"/>
              </w:rPr>
              <w:t>下水环境</w:t>
            </w:r>
          </w:p>
        </w:tc>
        <w:tc>
          <w:tcPr>
            <w:tcW w:w="1016" w:type="dxa"/>
            <w:tcBorders>
              <w:left w:val="single" w:color="000000" w:sz="4" w:space="0"/>
              <w:bottom w:val="single" w:color="000000" w:sz="4" w:space="0"/>
              <w:right w:val="single" w:color="000000" w:sz="4" w:space="0"/>
            </w:tcBorders>
          </w:tcPr>
          <w:p>
            <w:pPr>
              <w:pStyle w:val="19"/>
              <w:jc w:val="left"/>
              <w:rPr>
                <w:rFonts w:ascii="Times New Roman"/>
                <w:sz w:val="20"/>
              </w:rPr>
            </w:pPr>
          </w:p>
        </w:tc>
        <w:tc>
          <w:tcPr>
            <w:tcW w:w="5314" w:type="dxa"/>
            <w:tcBorders>
              <w:left w:val="single" w:color="000000" w:sz="4" w:space="0"/>
              <w:bottom w:val="single" w:color="000000" w:sz="4" w:space="0"/>
              <w:right w:val="single" w:color="000000" w:sz="4" w:space="0"/>
            </w:tcBorders>
          </w:tcPr>
          <w:p>
            <w:pPr>
              <w:pStyle w:val="19"/>
              <w:spacing w:line="288" w:lineRule="auto"/>
              <w:ind w:left="112" w:right="941"/>
              <w:jc w:val="left"/>
              <w:rPr>
                <w:sz w:val="21"/>
              </w:rPr>
            </w:pPr>
            <w:r>
              <w:rPr>
                <w:rFonts w:ascii="Times New Roman" w:eastAsia="Times New Roman"/>
                <w:sz w:val="21"/>
              </w:rPr>
              <w:t>Pb</w:t>
            </w:r>
            <w:r>
              <w:rPr>
                <w:sz w:val="21"/>
              </w:rPr>
              <w:t>、</w:t>
            </w:r>
            <w:r>
              <w:rPr>
                <w:rFonts w:ascii="Times New Roman" w:eastAsia="Times New Roman"/>
                <w:sz w:val="21"/>
              </w:rPr>
              <w:t>As</w:t>
            </w:r>
            <w:r>
              <w:rPr>
                <w:sz w:val="21"/>
              </w:rPr>
              <w:t>、</w:t>
            </w:r>
            <w:r>
              <w:rPr>
                <w:rFonts w:ascii="Times New Roman" w:eastAsia="Times New Roman"/>
                <w:sz w:val="21"/>
              </w:rPr>
              <w:t>Hg</w:t>
            </w:r>
            <w:r>
              <w:rPr>
                <w:sz w:val="21"/>
              </w:rPr>
              <w:t>、</w:t>
            </w:r>
            <w:r>
              <w:rPr>
                <w:rFonts w:ascii="Times New Roman" w:eastAsia="Times New Roman"/>
                <w:sz w:val="21"/>
              </w:rPr>
              <w:t>Cd</w:t>
            </w:r>
            <w:r>
              <w:rPr>
                <w:sz w:val="21"/>
              </w:rPr>
              <w:t>、</w:t>
            </w:r>
            <w:r>
              <w:rPr>
                <w:rFonts w:ascii="Times New Roman" w:eastAsia="Times New Roman"/>
                <w:sz w:val="21"/>
              </w:rPr>
              <w:t>Cr</w:t>
            </w:r>
            <w:r>
              <w:rPr>
                <w:rFonts w:ascii="Times New Roman" w:eastAsia="Times New Roman"/>
                <w:position w:val="7"/>
                <w:sz w:val="13"/>
              </w:rPr>
              <w:t>6+</w:t>
            </w:r>
            <w:r>
              <w:rPr>
                <w:sz w:val="21"/>
              </w:rPr>
              <w:t>、细菌总数、大肠菌群</w:t>
            </w:r>
            <w:r>
              <w:rPr>
                <w:rFonts w:ascii="Times New Roman" w:eastAsia="Times New Roman"/>
                <w:sz w:val="21"/>
              </w:rPr>
              <w:t>2.</w:t>
            </w:r>
            <w:r>
              <w:rPr>
                <w:sz w:val="21"/>
              </w:rPr>
              <w:t>监测频率：</w:t>
            </w:r>
            <w:r>
              <w:rPr>
                <w:rFonts w:ascii="Times New Roman" w:eastAsia="Times New Roman"/>
                <w:sz w:val="21"/>
              </w:rPr>
              <w:t>6</w:t>
            </w:r>
            <w:r>
              <w:rPr>
                <w:sz w:val="21"/>
              </w:rPr>
              <w:t>月、</w:t>
            </w:r>
            <w:r>
              <w:rPr>
                <w:rFonts w:ascii="Times New Roman" w:eastAsia="Times New Roman"/>
                <w:sz w:val="21"/>
              </w:rPr>
              <w:t>11</w:t>
            </w:r>
            <w:r>
              <w:rPr>
                <w:sz w:val="21"/>
              </w:rPr>
              <w:t>月各监测一次</w:t>
            </w:r>
          </w:p>
          <w:p>
            <w:pPr>
              <w:pStyle w:val="19"/>
              <w:ind w:left="112"/>
              <w:jc w:val="left"/>
              <w:rPr>
                <w:sz w:val="21"/>
              </w:rPr>
            </w:pPr>
            <w:r>
              <w:rPr>
                <w:rFonts w:ascii="Times New Roman" w:eastAsia="Times New Roman"/>
                <w:sz w:val="21"/>
              </w:rPr>
              <w:t>3.</w:t>
            </w:r>
            <w:r>
              <w:rPr>
                <w:spacing w:val="-10"/>
                <w:sz w:val="21"/>
              </w:rPr>
              <w:t>监测点位：水质监测对照井、污染监视监测井、污染扩</w:t>
            </w:r>
          </w:p>
          <w:p>
            <w:pPr>
              <w:pStyle w:val="19"/>
              <w:spacing w:before="56"/>
              <w:ind w:left="112"/>
              <w:jc w:val="left"/>
              <w:rPr>
                <w:sz w:val="21"/>
              </w:rPr>
            </w:pPr>
            <w:r>
              <w:rPr>
                <w:sz w:val="21"/>
              </w:rPr>
              <w:t>散监测井。</w:t>
            </w:r>
          </w:p>
        </w:tc>
        <w:tc>
          <w:tcPr>
            <w:tcW w:w="987" w:type="dxa"/>
            <w:tcBorders>
              <w:left w:val="single" w:color="000000" w:sz="4" w:space="0"/>
              <w:bottom w:val="single" w:color="000000" w:sz="4" w:space="0"/>
            </w:tcBorders>
          </w:tcPr>
          <w:p>
            <w:pPr>
              <w:pStyle w:val="19"/>
              <w:spacing w:line="261" w:lineRule="exact"/>
              <w:ind w:left="181"/>
              <w:jc w:val="left"/>
              <w:rPr>
                <w:sz w:val="21"/>
              </w:rPr>
            </w:pPr>
            <w:r>
              <w:rPr>
                <w:sz w:val="21"/>
              </w:rPr>
              <w:t>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7" w:hRule="atLeast"/>
        </w:trPr>
        <w:tc>
          <w:tcPr>
            <w:tcW w:w="588" w:type="dxa"/>
            <w:tcBorders>
              <w:top w:val="single" w:color="000000" w:sz="4" w:space="0"/>
              <w:bottom w:val="single" w:color="000000" w:sz="4" w:space="0"/>
              <w:right w:val="single" w:color="000000" w:sz="4" w:space="0"/>
            </w:tcBorders>
          </w:tcPr>
          <w:p>
            <w:pPr>
              <w:pStyle w:val="19"/>
              <w:jc w:val="left"/>
              <w:rPr>
                <w:b/>
                <w:sz w:val="22"/>
              </w:rPr>
            </w:pPr>
          </w:p>
          <w:p>
            <w:pPr>
              <w:pStyle w:val="19"/>
              <w:spacing w:before="8"/>
              <w:jc w:val="left"/>
              <w:rPr>
                <w:b/>
                <w:sz w:val="17"/>
              </w:rPr>
            </w:pPr>
          </w:p>
          <w:p>
            <w:pPr>
              <w:pStyle w:val="19"/>
              <w:spacing w:before="1"/>
              <w:ind w:left="10"/>
              <w:rPr>
                <w:rFonts w:ascii="Times New Roman"/>
                <w:sz w:val="21"/>
              </w:rPr>
            </w:pPr>
            <w:r>
              <w:rPr>
                <w:rFonts w:ascii="Times New Roman"/>
                <w:w w:val="99"/>
                <w:sz w:val="21"/>
              </w:rPr>
              <w:t>7</w:t>
            </w:r>
          </w:p>
        </w:tc>
        <w:tc>
          <w:tcPr>
            <w:tcW w:w="614" w:type="dxa"/>
            <w:vMerge w:val="continue"/>
            <w:tcBorders>
              <w:top w:val="nil"/>
              <w:left w:val="single" w:color="000000" w:sz="4" w:space="0"/>
              <w:bottom w:val="single" w:color="000000" w:sz="4" w:space="0"/>
              <w:right w:val="single" w:color="000000" w:sz="4" w:space="0"/>
            </w:tcBorders>
          </w:tcPr>
          <w:p>
            <w:pPr>
              <w:rPr>
                <w:sz w:val="2"/>
                <w:szCs w:val="2"/>
              </w:rPr>
            </w:pPr>
          </w:p>
        </w:tc>
        <w:tc>
          <w:tcPr>
            <w:tcW w:w="1016"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5"/>
              <w:jc w:val="left"/>
              <w:rPr>
                <w:b/>
                <w:sz w:val="18"/>
              </w:rPr>
            </w:pPr>
          </w:p>
          <w:p>
            <w:pPr>
              <w:pStyle w:val="19"/>
              <w:ind w:left="302"/>
              <w:jc w:val="left"/>
              <w:rPr>
                <w:sz w:val="21"/>
              </w:rPr>
            </w:pPr>
            <w:r>
              <w:rPr>
                <w:sz w:val="21"/>
              </w:rPr>
              <w:t>水位</w:t>
            </w:r>
          </w:p>
        </w:tc>
        <w:tc>
          <w:tcPr>
            <w:tcW w:w="5314" w:type="dxa"/>
            <w:tcBorders>
              <w:top w:val="single" w:color="000000" w:sz="4" w:space="0"/>
              <w:left w:val="single" w:color="000000" w:sz="4" w:space="0"/>
              <w:bottom w:val="single" w:color="000000" w:sz="4" w:space="0"/>
              <w:right w:val="single" w:color="000000" w:sz="4" w:space="0"/>
            </w:tcBorders>
          </w:tcPr>
          <w:p>
            <w:pPr>
              <w:pStyle w:val="19"/>
              <w:numPr>
                <w:ilvl w:val="0"/>
                <w:numId w:val="97"/>
              </w:numPr>
              <w:tabs>
                <w:tab w:val="left" w:pos="272"/>
              </w:tabs>
              <w:spacing w:before="0" w:after="0" w:line="240" w:lineRule="auto"/>
              <w:ind w:left="271" w:right="0" w:hanging="160"/>
              <w:jc w:val="left"/>
              <w:rPr>
                <w:sz w:val="21"/>
              </w:rPr>
            </w:pPr>
            <w:r>
              <w:rPr>
                <w:sz w:val="21"/>
              </w:rPr>
              <w:t>监测项目：水位标高</w:t>
            </w:r>
          </w:p>
          <w:p>
            <w:pPr>
              <w:pStyle w:val="19"/>
              <w:numPr>
                <w:ilvl w:val="0"/>
                <w:numId w:val="97"/>
              </w:numPr>
              <w:tabs>
                <w:tab w:val="left" w:pos="272"/>
              </w:tabs>
              <w:spacing w:before="57" w:after="0" w:line="240" w:lineRule="auto"/>
              <w:ind w:left="271" w:right="0" w:hanging="160"/>
              <w:jc w:val="left"/>
              <w:rPr>
                <w:sz w:val="21"/>
              </w:rPr>
            </w:pPr>
            <w:r>
              <w:rPr>
                <w:sz w:val="21"/>
              </w:rPr>
              <w:t>监测频率：</w:t>
            </w:r>
            <w:r>
              <w:rPr>
                <w:rFonts w:ascii="Times New Roman" w:eastAsia="Times New Roman"/>
                <w:sz w:val="21"/>
              </w:rPr>
              <w:t>6</w:t>
            </w:r>
            <w:r>
              <w:rPr>
                <w:sz w:val="21"/>
              </w:rPr>
              <w:t>月、</w:t>
            </w:r>
            <w:r>
              <w:rPr>
                <w:rFonts w:ascii="Times New Roman" w:eastAsia="Times New Roman"/>
                <w:spacing w:val="-4"/>
                <w:sz w:val="21"/>
              </w:rPr>
              <w:t>11</w:t>
            </w:r>
            <w:r>
              <w:rPr>
                <w:sz w:val="21"/>
              </w:rPr>
              <w:t>月各监测一次</w:t>
            </w:r>
          </w:p>
          <w:p>
            <w:pPr>
              <w:pStyle w:val="19"/>
              <w:numPr>
                <w:ilvl w:val="0"/>
                <w:numId w:val="97"/>
              </w:numPr>
              <w:tabs>
                <w:tab w:val="left" w:pos="272"/>
              </w:tabs>
              <w:spacing w:before="5" w:after="0" w:line="328" w:lineRule="exact"/>
              <w:ind w:left="112" w:right="92" w:firstLine="0"/>
              <w:jc w:val="left"/>
              <w:rPr>
                <w:sz w:val="21"/>
              </w:rPr>
            </w:pPr>
            <w:r>
              <w:rPr>
                <w:spacing w:val="-10"/>
                <w:w w:val="95"/>
                <w:sz w:val="21"/>
              </w:rPr>
              <w:t xml:space="preserve">监测点位：丰水期、平水期、枯水期各一次，并采取月 </w:t>
            </w:r>
            <w:r>
              <w:rPr>
                <w:spacing w:val="-10"/>
                <w:sz w:val="21"/>
              </w:rPr>
              <w:t>报的形式。</w:t>
            </w:r>
          </w:p>
        </w:tc>
        <w:tc>
          <w:tcPr>
            <w:tcW w:w="987" w:type="dxa"/>
            <w:tcBorders>
              <w:top w:val="single" w:color="000000" w:sz="4" w:space="0"/>
              <w:left w:val="single" w:color="000000" w:sz="4" w:space="0"/>
              <w:bottom w:val="single" w:color="000000" w:sz="4" w:space="0"/>
            </w:tcBorders>
          </w:tcPr>
          <w:p>
            <w:pPr>
              <w:pStyle w:val="19"/>
              <w:spacing w:before="163"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588" w:type="dxa"/>
            <w:tcBorders>
              <w:top w:val="single" w:color="000000" w:sz="4" w:space="0"/>
              <w:bottom w:val="single" w:color="000000" w:sz="4" w:space="0"/>
              <w:right w:val="single" w:color="000000" w:sz="4" w:space="0"/>
            </w:tcBorders>
          </w:tcPr>
          <w:p>
            <w:pPr>
              <w:pStyle w:val="19"/>
              <w:spacing w:before="11"/>
              <w:jc w:val="left"/>
              <w:rPr>
                <w:b/>
                <w:sz w:val="26"/>
              </w:rPr>
            </w:pPr>
          </w:p>
          <w:p>
            <w:pPr>
              <w:pStyle w:val="19"/>
              <w:spacing w:before="1"/>
              <w:ind w:left="10"/>
              <w:rPr>
                <w:rFonts w:ascii="Times New Roman"/>
                <w:sz w:val="21"/>
              </w:rPr>
            </w:pPr>
            <w:r>
              <w:rPr>
                <w:rFonts w:ascii="Times New Roman"/>
                <w:w w:val="99"/>
                <w:sz w:val="21"/>
              </w:rPr>
              <w:t>8</w:t>
            </w:r>
          </w:p>
        </w:tc>
        <w:tc>
          <w:tcPr>
            <w:tcW w:w="1630" w:type="dxa"/>
            <w:gridSpan w:val="2"/>
            <w:tcBorders>
              <w:top w:val="single" w:color="000000" w:sz="4" w:space="0"/>
              <w:left w:val="single" w:color="000000" w:sz="4" w:space="0"/>
              <w:bottom w:val="single" w:color="000000" w:sz="4" w:space="0"/>
              <w:right w:val="single" w:color="000000" w:sz="4" w:space="0"/>
            </w:tcBorders>
          </w:tcPr>
          <w:p>
            <w:pPr>
              <w:pStyle w:val="19"/>
              <w:spacing w:before="5"/>
              <w:jc w:val="left"/>
              <w:rPr>
                <w:b/>
                <w:sz w:val="25"/>
              </w:rPr>
            </w:pPr>
          </w:p>
          <w:p>
            <w:pPr>
              <w:pStyle w:val="19"/>
              <w:spacing w:before="1"/>
              <w:ind w:left="400"/>
              <w:jc w:val="left"/>
              <w:rPr>
                <w:sz w:val="21"/>
              </w:rPr>
            </w:pPr>
            <w:r>
              <w:rPr>
                <w:sz w:val="21"/>
              </w:rPr>
              <w:t>大气环境</w:t>
            </w:r>
          </w:p>
        </w:tc>
        <w:tc>
          <w:tcPr>
            <w:tcW w:w="5314" w:type="dxa"/>
            <w:tcBorders>
              <w:top w:val="single" w:color="000000" w:sz="4" w:space="0"/>
              <w:left w:val="single" w:color="000000" w:sz="4" w:space="0"/>
              <w:bottom w:val="single" w:color="000000" w:sz="4" w:space="0"/>
              <w:right w:val="single" w:color="000000" w:sz="4" w:space="0"/>
            </w:tcBorders>
          </w:tcPr>
          <w:p>
            <w:pPr>
              <w:pStyle w:val="19"/>
              <w:numPr>
                <w:ilvl w:val="0"/>
                <w:numId w:val="98"/>
              </w:numPr>
              <w:tabs>
                <w:tab w:val="left" w:pos="272"/>
              </w:tabs>
              <w:spacing w:before="0" w:after="0" w:line="272" w:lineRule="exact"/>
              <w:ind w:left="271" w:right="0" w:hanging="160"/>
              <w:jc w:val="left"/>
              <w:rPr>
                <w:sz w:val="21"/>
              </w:rPr>
            </w:pPr>
            <w:r>
              <w:rPr>
                <w:position w:val="2"/>
                <w:sz w:val="21"/>
              </w:rPr>
              <w:t>监测项目：颗粒物、</w:t>
            </w:r>
            <w:r>
              <w:rPr>
                <w:rFonts w:ascii="Times New Roman" w:eastAsia="Times New Roman"/>
                <w:position w:val="2"/>
                <w:sz w:val="21"/>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NO</w:t>
            </w:r>
            <w:r>
              <w:rPr>
                <w:rFonts w:ascii="Times New Roman" w:eastAsia="Times New Roman"/>
                <w:position w:val="2"/>
                <w:sz w:val="21"/>
                <w:vertAlign w:val="subscript"/>
              </w:rPr>
              <w:t>2</w:t>
            </w:r>
            <w:r>
              <w:rPr>
                <w:position w:val="2"/>
                <w:sz w:val="21"/>
                <w:vertAlign w:val="baseline"/>
              </w:rPr>
              <w:t>。</w:t>
            </w:r>
          </w:p>
          <w:p>
            <w:pPr>
              <w:pStyle w:val="19"/>
              <w:numPr>
                <w:ilvl w:val="0"/>
                <w:numId w:val="98"/>
              </w:numPr>
              <w:tabs>
                <w:tab w:val="left" w:pos="272"/>
              </w:tabs>
              <w:spacing w:before="54" w:after="0" w:line="240" w:lineRule="auto"/>
              <w:ind w:left="271" w:right="0" w:hanging="160"/>
              <w:jc w:val="left"/>
              <w:rPr>
                <w:sz w:val="21"/>
              </w:rPr>
            </w:pPr>
            <w:r>
              <w:rPr>
                <w:spacing w:val="-7"/>
                <w:sz w:val="21"/>
              </w:rPr>
              <w:t xml:space="preserve">监测频率：每年 </w:t>
            </w:r>
            <w:r>
              <w:rPr>
                <w:rFonts w:ascii="Times New Roman" w:eastAsia="Times New Roman"/>
                <w:sz w:val="21"/>
              </w:rPr>
              <w:t>2</w:t>
            </w:r>
            <w:r>
              <w:rPr>
                <w:rFonts w:ascii="Times New Roman" w:eastAsia="Times New Roman"/>
                <w:spacing w:val="1"/>
                <w:sz w:val="21"/>
              </w:rPr>
              <w:t xml:space="preserve"> </w:t>
            </w:r>
            <w:r>
              <w:rPr>
                <w:sz w:val="21"/>
              </w:rPr>
              <w:t>次。</w:t>
            </w:r>
          </w:p>
          <w:p>
            <w:pPr>
              <w:pStyle w:val="19"/>
              <w:numPr>
                <w:ilvl w:val="0"/>
                <w:numId w:val="98"/>
              </w:numPr>
              <w:tabs>
                <w:tab w:val="left" w:pos="272"/>
              </w:tabs>
              <w:spacing w:before="57" w:after="0" w:line="240" w:lineRule="auto"/>
              <w:ind w:left="271" w:right="0" w:hanging="160"/>
              <w:jc w:val="left"/>
              <w:rPr>
                <w:sz w:val="21"/>
              </w:rPr>
            </w:pPr>
            <w:r>
              <w:rPr>
                <w:sz w:val="21"/>
              </w:rPr>
              <w:t>监测点位：工业场地上、下风向各设一个监测点。</w:t>
            </w:r>
          </w:p>
        </w:tc>
        <w:tc>
          <w:tcPr>
            <w:tcW w:w="987" w:type="dxa"/>
            <w:tcBorders>
              <w:top w:val="single" w:color="000000" w:sz="4" w:space="0"/>
              <w:left w:val="single" w:color="000000" w:sz="4" w:space="0"/>
              <w:bottom w:val="single" w:color="000000" w:sz="4" w:space="0"/>
            </w:tcBorders>
          </w:tcPr>
          <w:p>
            <w:pPr>
              <w:pStyle w:val="19"/>
              <w:ind w:left="181"/>
              <w:jc w:val="left"/>
              <w:rPr>
                <w:sz w:val="21"/>
              </w:rPr>
            </w:pPr>
            <w:r>
              <w:rPr>
                <w:w w:val="95"/>
                <w:sz w:val="21"/>
              </w:rPr>
              <w:t>双鸭山</w:t>
            </w:r>
          </w:p>
          <w:p>
            <w:pPr>
              <w:pStyle w:val="19"/>
              <w:spacing w:before="6" w:line="320" w:lineRule="atLeast"/>
              <w:ind w:left="181" w:right="159"/>
              <w:jc w:val="left"/>
              <w:rPr>
                <w:sz w:val="21"/>
              </w:rPr>
            </w:pPr>
            <w:r>
              <w:rPr>
                <w:spacing w:val="-6"/>
                <w:sz w:val="21"/>
              </w:rPr>
              <w:t>市生态</w:t>
            </w:r>
            <w:r>
              <w:rPr>
                <w:spacing w:val="-6"/>
                <w:w w:val="95"/>
                <w:sz w:val="21"/>
              </w:rPr>
              <w:t>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588" w:type="dxa"/>
            <w:tcBorders>
              <w:top w:val="single" w:color="000000" w:sz="4" w:space="0"/>
              <w:bottom w:val="single" w:color="000000" w:sz="4" w:space="0"/>
              <w:right w:val="single" w:color="000000" w:sz="4" w:space="0"/>
            </w:tcBorders>
          </w:tcPr>
          <w:p>
            <w:pPr>
              <w:pStyle w:val="19"/>
              <w:spacing w:before="10"/>
              <w:jc w:val="left"/>
              <w:rPr>
                <w:b/>
                <w:sz w:val="26"/>
              </w:rPr>
            </w:pPr>
          </w:p>
          <w:p>
            <w:pPr>
              <w:pStyle w:val="19"/>
              <w:ind w:left="10"/>
              <w:rPr>
                <w:rFonts w:ascii="Times New Roman"/>
                <w:sz w:val="21"/>
              </w:rPr>
            </w:pPr>
            <w:r>
              <w:rPr>
                <w:rFonts w:ascii="Times New Roman"/>
                <w:w w:val="99"/>
                <w:sz w:val="21"/>
              </w:rPr>
              <w:t>9</w:t>
            </w:r>
          </w:p>
        </w:tc>
        <w:tc>
          <w:tcPr>
            <w:tcW w:w="1630" w:type="dxa"/>
            <w:gridSpan w:val="2"/>
            <w:tcBorders>
              <w:top w:val="single" w:color="000000" w:sz="4" w:space="0"/>
              <w:left w:val="single" w:color="000000" w:sz="4" w:space="0"/>
              <w:bottom w:val="single" w:color="000000" w:sz="4" w:space="0"/>
              <w:right w:val="single" w:color="000000" w:sz="4" w:space="0"/>
            </w:tcBorders>
          </w:tcPr>
          <w:p>
            <w:pPr>
              <w:pStyle w:val="19"/>
              <w:spacing w:before="4"/>
              <w:jc w:val="left"/>
              <w:rPr>
                <w:b/>
                <w:sz w:val="25"/>
              </w:rPr>
            </w:pPr>
          </w:p>
          <w:p>
            <w:pPr>
              <w:pStyle w:val="19"/>
              <w:ind w:left="400"/>
              <w:jc w:val="left"/>
              <w:rPr>
                <w:sz w:val="21"/>
              </w:rPr>
            </w:pPr>
            <w:r>
              <w:rPr>
                <w:sz w:val="21"/>
              </w:rPr>
              <w:t>土壤环境</w:t>
            </w:r>
          </w:p>
        </w:tc>
        <w:tc>
          <w:tcPr>
            <w:tcW w:w="5314" w:type="dxa"/>
            <w:tcBorders>
              <w:top w:val="single" w:color="000000" w:sz="4" w:space="0"/>
              <w:left w:val="single" w:color="000000" w:sz="4" w:space="0"/>
              <w:bottom w:val="single" w:color="000000" w:sz="4" w:space="0"/>
              <w:right w:val="single" w:color="000000" w:sz="4" w:space="0"/>
            </w:tcBorders>
          </w:tcPr>
          <w:p>
            <w:pPr>
              <w:pStyle w:val="19"/>
              <w:numPr>
                <w:ilvl w:val="0"/>
                <w:numId w:val="99"/>
              </w:numPr>
              <w:tabs>
                <w:tab w:val="left" w:pos="272"/>
              </w:tabs>
              <w:spacing w:before="1" w:after="0" w:line="240" w:lineRule="auto"/>
              <w:ind w:left="271" w:right="0" w:hanging="160"/>
              <w:jc w:val="left"/>
              <w:rPr>
                <w:sz w:val="21"/>
              </w:rPr>
            </w:pPr>
            <w:r>
              <w:rPr>
                <w:sz w:val="21"/>
              </w:rPr>
              <w:t>监测项目：</w:t>
            </w:r>
            <w:r>
              <w:rPr>
                <w:rFonts w:ascii="Times New Roman" w:eastAsia="Times New Roman"/>
                <w:sz w:val="21"/>
              </w:rPr>
              <w:t>pH</w:t>
            </w:r>
            <w:r>
              <w:rPr>
                <w:sz w:val="21"/>
              </w:rPr>
              <w:t>、镉、汞、砷、铜、铅、铬、锌、镍。</w:t>
            </w:r>
          </w:p>
          <w:p>
            <w:pPr>
              <w:pStyle w:val="19"/>
              <w:numPr>
                <w:ilvl w:val="0"/>
                <w:numId w:val="99"/>
              </w:numPr>
              <w:tabs>
                <w:tab w:val="left" w:pos="272"/>
              </w:tabs>
              <w:spacing w:before="55" w:after="0" w:line="240" w:lineRule="auto"/>
              <w:ind w:left="271" w:right="0" w:hanging="160"/>
              <w:jc w:val="left"/>
              <w:rPr>
                <w:sz w:val="21"/>
              </w:rPr>
            </w:pPr>
            <w:r>
              <w:rPr>
                <w:sz w:val="21"/>
              </w:rPr>
              <w:t>监测频率：根据需要不定期监测。</w:t>
            </w:r>
          </w:p>
          <w:p>
            <w:pPr>
              <w:pStyle w:val="19"/>
              <w:numPr>
                <w:ilvl w:val="0"/>
                <w:numId w:val="99"/>
              </w:numPr>
              <w:tabs>
                <w:tab w:val="left" w:pos="272"/>
              </w:tabs>
              <w:spacing w:before="59" w:after="0" w:line="240" w:lineRule="auto"/>
              <w:ind w:left="271" w:right="0" w:hanging="160"/>
              <w:jc w:val="left"/>
              <w:rPr>
                <w:sz w:val="21"/>
              </w:rPr>
            </w:pPr>
            <w:r>
              <w:rPr>
                <w:sz w:val="21"/>
              </w:rPr>
              <w:t>监测点位：工业场地</w:t>
            </w:r>
          </w:p>
        </w:tc>
        <w:tc>
          <w:tcPr>
            <w:tcW w:w="987" w:type="dxa"/>
            <w:tcBorders>
              <w:top w:val="single" w:color="000000" w:sz="4" w:space="0"/>
              <w:left w:val="single" w:color="000000" w:sz="4" w:space="0"/>
              <w:bottom w:val="single" w:color="000000" w:sz="4" w:space="0"/>
            </w:tcBorders>
          </w:tcPr>
          <w:p>
            <w:pPr>
              <w:pStyle w:val="19"/>
              <w:spacing w:before="1" w:line="288" w:lineRule="auto"/>
              <w:ind w:left="181" w:right="159"/>
              <w:jc w:val="left"/>
              <w:rPr>
                <w:sz w:val="21"/>
              </w:rPr>
            </w:pPr>
            <w:r>
              <w:rPr>
                <w:spacing w:val="-6"/>
                <w:sz w:val="21"/>
              </w:rPr>
              <w:t>双鸭山</w:t>
            </w:r>
            <w:r>
              <w:rPr>
                <w:spacing w:val="-6"/>
                <w:w w:val="95"/>
                <w:sz w:val="21"/>
              </w:rPr>
              <w:t>市生态</w:t>
            </w:r>
          </w:p>
          <w:p>
            <w:pPr>
              <w:pStyle w:val="19"/>
              <w:spacing w:before="7"/>
              <w:ind w:left="181"/>
              <w:jc w:val="left"/>
              <w:rPr>
                <w:sz w:val="21"/>
              </w:rPr>
            </w:pPr>
            <w:r>
              <w:rPr>
                <w:w w:val="95"/>
                <w:sz w:val="21"/>
              </w:rPr>
              <w:t>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1" w:hRule="atLeast"/>
        </w:trPr>
        <w:tc>
          <w:tcPr>
            <w:tcW w:w="588" w:type="dxa"/>
            <w:vMerge w:val="restart"/>
            <w:tcBorders>
              <w:top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3"/>
              <w:jc w:val="left"/>
              <w:rPr>
                <w:b/>
                <w:sz w:val="16"/>
              </w:rPr>
            </w:pPr>
          </w:p>
          <w:p>
            <w:pPr>
              <w:pStyle w:val="19"/>
              <w:ind w:left="189"/>
              <w:jc w:val="left"/>
              <w:rPr>
                <w:rFonts w:ascii="Times New Roman"/>
                <w:sz w:val="21"/>
              </w:rPr>
            </w:pPr>
            <w:r>
              <w:rPr>
                <w:rFonts w:ascii="Times New Roman"/>
                <w:sz w:val="21"/>
              </w:rPr>
              <w:t>10</w:t>
            </w:r>
          </w:p>
        </w:tc>
        <w:tc>
          <w:tcPr>
            <w:tcW w:w="1630" w:type="dxa"/>
            <w:gridSpan w:val="2"/>
            <w:vMerge w:val="restart"/>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spacing w:before="10"/>
              <w:jc w:val="left"/>
              <w:rPr>
                <w:b/>
                <w:sz w:val="22"/>
              </w:rPr>
            </w:pPr>
          </w:p>
          <w:p>
            <w:pPr>
              <w:pStyle w:val="19"/>
              <w:ind w:left="295"/>
              <w:jc w:val="left"/>
              <w:rPr>
                <w:sz w:val="21"/>
              </w:rPr>
            </w:pPr>
            <w:r>
              <w:rPr>
                <w:sz w:val="21"/>
              </w:rPr>
              <w:t>大气污染源</w:t>
            </w:r>
          </w:p>
        </w:tc>
        <w:tc>
          <w:tcPr>
            <w:tcW w:w="5314" w:type="dxa"/>
            <w:tcBorders>
              <w:top w:val="single" w:color="000000" w:sz="4" w:space="0"/>
              <w:left w:val="single" w:color="000000" w:sz="4" w:space="0"/>
              <w:bottom w:val="single" w:color="000000" w:sz="4" w:space="0"/>
              <w:right w:val="single" w:color="000000" w:sz="4" w:space="0"/>
            </w:tcBorders>
          </w:tcPr>
          <w:p>
            <w:pPr>
              <w:pStyle w:val="19"/>
              <w:numPr>
                <w:ilvl w:val="0"/>
                <w:numId w:val="100"/>
              </w:numPr>
              <w:tabs>
                <w:tab w:val="left" w:pos="272"/>
              </w:tabs>
              <w:spacing w:before="0" w:after="0" w:line="274" w:lineRule="exact"/>
              <w:ind w:left="271" w:right="0" w:hanging="160"/>
              <w:jc w:val="left"/>
              <w:rPr>
                <w:sz w:val="21"/>
              </w:rPr>
            </w:pPr>
            <w:r>
              <w:rPr>
                <w:position w:val="2"/>
                <w:sz w:val="21"/>
              </w:rPr>
              <w:t>监测项目：颗粒物、</w:t>
            </w:r>
            <w:r>
              <w:rPr>
                <w:rFonts w:ascii="Times New Roman" w:eastAsia="Times New Roman"/>
                <w:position w:val="2"/>
                <w:sz w:val="21"/>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NOx</w:t>
            </w:r>
            <w:r>
              <w:rPr>
                <w:position w:val="2"/>
                <w:sz w:val="21"/>
                <w:vertAlign w:val="baseline"/>
              </w:rPr>
              <w:t>。</w:t>
            </w:r>
          </w:p>
          <w:p>
            <w:pPr>
              <w:pStyle w:val="19"/>
              <w:numPr>
                <w:ilvl w:val="0"/>
                <w:numId w:val="100"/>
              </w:numPr>
              <w:tabs>
                <w:tab w:val="left" w:pos="272"/>
              </w:tabs>
              <w:spacing w:before="51" w:after="0" w:line="240" w:lineRule="auto"/>
              <w:ind w:left="271" w:right="0" w:hanging="160"/>
              <w:jc w:val="left"/>
              <w:rPr>
                <w:sz w:val="21"/>
              </w:rPr>
            </w:pPr>
            <w:r>
              <w:rPr>
                <w:spacing w:val="-7"/>
                <w:sz w:val="21"/>
              </w:rPr>
              <w:t xml:space="preserve">监测频率：每年 </w:t>
            </w:r>
            <w:r>
              <w:rPr>
                <w:rFonts w:ascii="Times New Roman" w:eastAsia="Times New Roman"/>
                <w:sz w:val="21"/>
              </w:rPr>
              <w:t>2</w:t>
            </w:r>
            <w:r>
              <w:rPr>
                <w:rFonts w:ascii="Times New Roman" w:eastAsia="Times New Roman"/>
                <w:spacing w:val="1"/>
                <w:sz w:val="21"/>
              </w:rPr>
              <w:t xml:space="preserve"> </w:t>
            </w:r>
            <w:r>
              <w:rPr>
                <w:sz w:val="21"/>
              </w:rPr>
              <w:t>次。</w:t>
            </w:r>
          </w:p>
          <w:p>
            <w:pPr>
              <w:pStyle w:val="19"/>
              <w:numPr>
                <w:ilvl w:val="0"/>
                <w:numId w:val="100"/>
              </w:numPr>
              <w:tabs>
                <w:tab w:val="left" w:pos="272"/>
              </w:tabs>
              <w:spacing w:before="60" w:after="0" w:line="240" w:lineRule="auto"/>
              <w:ind w:left="271" w:right="0" w:hanging="160"/>
              <w:jc w:val="left"/>
              <w:rPr>
                <w:sz w:val="21"/>
              </w:rPr>
            </w:pPr>
            <w:r>
              <w:rPr>
                <w:sz w:val="21"/>
              </w:rPr>
              <w:t>监测点位：锅炉除尘器前后各设一个监测点。</w:t>
            </w:r>
          </w:p>
        </w:tc>
        <w:tc>
          <w:tcPr>
            <w:tcW w:w="987" w:type="dxa"/>
            <w:vMerge w:val="restart"/>
            <w:tcBorders>
              <w:top w:val="single" w:color="000000" w:sz="4" w:space="0"/>
              <w:left w:val="single" w:color="000000" w:sz="4" w:space="0"/>
              <w:bottom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spacing w:before="4"/>
              <w:jc w:val="left"/>
              <w:rPr>
                <w:b/>
                <w:sz w:val="17"/>
              </w:rPr>
            </w:pPr>
          </w:p>
          <w:p>
            <w:pPr>
              <w:pStyle w:val="19"/>
              <w:spacing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588" w:type="dxa"/>
            <w:vMerge w:val="continue"/>
            <w:tcBorders>
              <w:top w:val="nil"/>
              <w:bottom w:val="single" w:color="000000" w:sz="4" w:space="0"/>
              <w:right w:val="single" w:color="000000" w:sz="4" w:space="0"/>
            </w:tcBorders>
          </w:tcPr>
          <w:p>
            <w:pPr>
              <w:rPr>
                <w:sz w:val="2"/>
                <w:szCs w:val="2"/>
              </w:rPr>
            </w:pPr>
          </w:p>
        </w:tc>
        <w:tc>
          <w:tcPr>
            <w:tcW w:w="163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5314" w:type="dxa"/>
            <w:tcBorders>
              <w:top w:val="single" w:color="000000" w:sz="4" w:space="0"/>
              <w:left w:val="single" w:color="000000" w:sz="4" w:space="0"/>
              <w:bottom w:val="single" w:color="000000" w:sz="4" w:space="0"/>
              <w:right w:val="single" w:color="000000" w:sz="4" w:space="0"/>
            </w:tcBorders>
          </w:tcPr>
          <w:p>
            <w:pPr>
              <w:pStyle w:val="19"/>
              <w:numPr>
                <w:ilvl w:val="0"/>
                <w:numId w:val="101"/>
              </w:numPr>
              <w:tabs>
                <w:tab w:val="left" w:pos="272"/>
              </w:tabs>
              <w:spacing w:before="0" w:after="0" w:line="272" w:lineRule="exact"/>
              <w:ind w:left="271" w:right="0" w:hanging="160"/>
              <w:jc w:val="left"/>
              <w:rPr>
                <w:sz w:val="21"/>
              </w:rPr>
            </w:pPr>
            <w:r>
              <w:rPr>
                <w:position w:val="2"/>
                <w:sz w:val="21"/>
              </w:rPr>
              <w:t>监测项目：颗粒物、</w:t>
            </w:r>
            <w:r>
              <w:rPr>
                <w:rFonts w:ascii="Times New Roman" w:eastAsia="Times New Roman"/>
                <w:position w:val="2"/>
                <w:sz w:val="21"/>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NOx</w:t>
            </w:r>
            <w:r>
              <w:rPr>
                <w:position w:val="2"/>
                <w:sz w:val="21"/>
                <w:vertAlign w:val="baseline"/>
              </w:rPr>
              <w:t>。</w:t>
            </w:r>
          </w:p>
          <w:p>
            <w:pPr>
              <w:pStyle w:val="19"/>
              <w:numPr>
                <w:ilvl w:val="0"/>
                <w:numId w:val="101"/>
              </w:numPr>
              <w:tabs>
                <w:tab w:val="left" w:pos="272"/>
              </w:tabs>
              <w:spacing w:before="54" w:after="0" w:line="240" w:lineRule="auto"/>
              <w:ind w:left="271" w:right="0" w:hanging="160"/>
              <w:jc w:val="left"/>
              <w:rPr>
                <w:sz w:val="21"/>
              </w:rPr>
            </w:pPr>
            <w:r>
              <w:rPr>
                <w:spacing w:val="-7"/>
                <w:sz w:val="21"/>
              </w:rPr>
              <w:t xml:space="preserve">监测频率：每年 </w:t>
            </w:r>
            <w:r>
              <w:rPr>
                <w:rFonts w:ascii="Times New Roman" w:eastAsia="Times New Roman"/>
                <w:sz w:val="21"/>
              </w:rPr>
              <w:t>2</w:t>
            </w:r>
            <w:r>
              <w:rPr>
                <w:rFonts w:ascii="Times New Roman" w:eastAsia="Times New Roman"/>
                <w:spacing w:val="1"/>
                <w:sz w:val="21"/>
              </w:rPr>
              <w:t xml:space="preserve"> </w:t>
            </w:r>
            <w:r>
              <w:rPr>
                <w:sz w:val="21"/>
              </w:rPr>
              <w:t>次。</w:t>
            </w:r>
          </w:p>
          <w:p>
            <w:pPr>
              <w:pStyle w:val="19"/>
              <w:numPr>
                <w:ilvl w:val="0"/>
                <w:numId w:val="101"/>
              </w:numPr>
              <w:tabs>
                <w:tab w:val="left" w:pos="272"/>
              </w:tabs>
              <w:spacing w:before="57" w:after="0" w:line="240" w:lineRule="auto"/>
              <w:ind w:left="271" w:right="0" w:hanging="160"/>
              <w:jc w:val="left"/>
              <w:rPr>
                <w:sz w:val="21"/>
              </w:rPr>
            </w:pPr>
            <w:r>
              <w:rPr>
                <w:sz w:val="21"/>
              </w:rPr>
              <w:t>监测点位：热风炉除尘器前后各设一个监测点。</w:t>
            </w:r>
          </w:p>
        </w:tc>
        <w:tc>
          <w:tcPr>
            <w:tcW w:w="98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588" w:type="dxa"/>
            <w:vMerge w:val="continue"/>
            <w:tcBorders>
              <w:top w:val="nil"/>
              <w:bottom w:val="single" w:color="000000" w:sz="4" w:space="0"/>
              <w:right w:val="single" w:color="000000" w:sz="4" w:space="0"/>
            </w:tcBorders>
          </w:tcPr>
          <w:p>
            <w:pPr>
              <w:rPr>
                <w:sz w:val="2"/>
                <w:szCs w:val="2"/>
              </w:rPr>
            </w:pPr>
          </w:p>
        </w:tc>
        <w:tc>
          <w:tcPr>
            <w:tcW w:w="163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5314" w:type="dxa"/>
            <w:tcBorders>
              <w:top w:val="single" w:color="000000" w:sz="4" w:space="0"/>
              <w:left w:val="single" w:color="000000" w:sz="4" w:space="0"/>
              <w:bottom w:val="single" w:color="000000" w:sz="4" w:space="0"/>
              <w:right w:val="single" w:color="000000" w:sz="4" w:space="0"/>
            </w:tcBorders>
          </w:tcPr>
          <w:p>
            <w:pPr>
              <w:pStyle w:val="19"/>
              <w:numPr>
                <w:ilvl w:val="0"/>
                <w:numId w:val="102"/>
              </w:numPr>
              <w:tabs>
                <w:tab w:val="left" w:pos="272"/>
              </w:tabs>
              <w:spacing w:before="1" w:after="0" w:line="240" w:lineRule="auto"/>
              <w:ind w:left="271" w:right="0" w:hanging="160"/>
              <w:jc w:val="left"/>
              <w:rPr>
                <w:sz w:val="21"/>
              </w:rPr>
            </w:pPr>
            <w:r>
              <w:rPr>
                <w:sz w:val="21"/>
              </w:rPr>
              <w:t>监测项目：颗粒物</w:t>
            </w:r>
          </w:p>
          <w:p>
            <w:pPr>
              <w:pStyle w:val="19"/>
              <w:numPr>
                <w:ilvl w:val="0"/>
                <w:numId w:val="102"/>
              </w:numPr>
              <w:tabs>
                <w:tab w:val="left" w:pos="272"/>
              </w:tabs>
              <w:spacing w:before="57" w:after="0" w:line="240" w:lineRule="auto"/>
              <w:ind w:left="271" w:right="0" w:hanging="160"/>
              <w:jc w:val="left"/>
              <w:rPr>
                <w:sz w:val="21"/>
              </w:rPr>
            </w:pPr>
            <w:r>
              <w:rPr>
                <w:spacing w:val="-7"/>
                <w:sz w:val="21"/>
              </w:rPr>
              <w:t xml:space="preserve">监测频率：每年 </w:t>
            </w:r>
            <w:r>
              <w:rPr>
                <w:rFonts w:ascii="Times New Roman" w:eastAsia="Times New Roman"/>
                <w:sz w:val="21"/>
              </w:rPr>
              <w:t>2</w:t>
            </w:r>
            <w:r>
              <w:rPr>
                <w:rFonts w:ascii="Times New Roman" w:eastAsia="Times New Roman"/>
                <w:spacing w:val="1"/>
                <w:sz w:val="21"/>
              </w:rPr>
              <w:t xml:space="preserve"> </w:t>
            </w:r>
            <w:r>
              <w:rPr>
                <w:sz w:val="21"/>
              </w:rPr>
              <w:t>次。</w:t>
            </w:r>
          </w:p>
          <w:p>
            <w:pPr>
              <w:pStyle w:val="19"/>
              <w:numPr>
                <w:ilvl w:val="0"/>
                <w:numId w:val="102"/>
              </w:numPr>
              <w:tabs>
                <w:tab w:val="left" w:pos="272"/>
              </w:tabs>
              <w:spacing w:before="58" w:after="0" w:line="240" w:lineRule="auto"/>
              <w:ind w:left="271" w:right="0" w:hanging="160"/>
              <w:jc w:val="left"/>
              <w:rPr>
                <w:sz w:val="21"/>
              </w:rPr>
            </w:pPr>
            <w:r>
              <w:rPr>
                <w:sz w:val="21"/>
              </w:rPr>
              <w:t>监测点位：除尘器后设一个监测点。</w:t>
            </w:r>
          </w:p>
        </w:tc>
        <w:tc>
          <w:tcPr>
            <w:tcW w:w="98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7" w:hRule="atLeast"/>
        </w:trPr>
        <w:tc>
          <w:tcPr>
            <w:tcW w:w="588" w:type="dxa"/>
            <w:tcBorders>
              <w:top w:val="single" w:color="000000" w:sz="4" w:space="0"/>
              <w:bottom w:val="single" w:color="000000" w:sz="4" w:space="0"/>
              <w:right w:val="single" w:color="000000" w:sz="4" w:space="0"/>
            </w:tcBorders>
          </w:tcPr>
          <w:p>
            <w:pPr>
              <w:pStyle w:val="19"/>
              <w:jc w:val="left"/>
              <w:rPr>
                <w:b/>
                <w:sz w:val="22"/>
              </w:rPr>
            </w:pPr>
          </w:p>
          <w:p>
            <w:pPr>
              <w:pStyle w:val="19"/>
              <w:spacing w:before="7"/>
              <w:jc w:val="left"/>
              <w:rPr>
                <w:b/>
                <w:sz w:val="17"/>
              </w:rPr>
            </w:pPr>
          </w:p>
          <w:p>
            <w:pPr>
              <w:pStyle w:val="19"/>
              <w:ind w:left="169" w:right="154"/>
              <w:rPr>
                <w:rFonts w:ascii="Times New Roman"/>
                <w:sz w:val="21"/>
              </w:rPr>
            </w:pPr>
            <w:r>
              <w:rPr>
                <w:rFonts w:ascii="Times New Roman"/>
                <w:sz w:val="21"/>
              </w:rPr>
              <w:t>11</w:t>
            </w:r>
          </w:p>
        </w:tc>
        <w:tc>
          <w:tcPr>
            <w:tcW w:w="1630" w:type="dxa"/>
            <w:gridSpan w:val="2"/>
            <w:vMerge w:val="restart"/>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spacing w:before="8"/>
              <w:jc w:val="left"/>
              <w:rPr>
                <w:b/>
                <w:sz w:val="29"/>
              </w:rPr>
            </w:pPr>
          </w:p>
          <w:p>
            <w:pPr>
              <w:pStyle w:val="19"/>
              <w:ind w:left="400"/>
              <w:jc w:val="left"/>
              <w:rPr>
                <w:sz w:val="21"/>
              </w:rPr>
            </w:pPr>
            <w:r>
              <w:rPr>
                <w:sz w:val="21"/>
              </w:rPr>
              <w:t>水污染源</w:t>
            </w:r>
          </w:p>
        </w:tc>
        <w:tc>
          <w:tcPr>
            <w:tcW w:w="5314" w:type="dxa"/>
            <w:tcBorders>
              <w:top w:val="single" w:color="000000" w:sz="4" w:space="0"/>
              <w:left w:val="single" w:color="000000" w:sz="4" w:space="0"/>
              <w:bottom w:val="single" w:color="000000" w:sz="4" w:space="0"/>
              <w:right w:val="single" w:color="000000" w:sz="4" w:space="0"/>
            </w:tcBorders>
          </w:tcPr>
          <w:p>
            <w:pPr>
              <w:pStyle w:val="19"/>
              <w:numPr>
                <w:ilvl w:val="0"/>
                <w:numId w:val="103"/>
              </w:numPr>
              <w:tabs>
                <w:tab w:val="left" w:pos="272"/>
              </w:tabs>
              <w:spacing w:before="0" w:after="0" w:line="285" w:lineRule="auto"/>
              <w:ind w:left="112" w:right="-15" w:firstLine="0"/>
              <w:jc w:val="left"/>
              <w:rPr>
                <w:sz w:val="21"/>
              </w:rPr>
            </w:pPr>
            <w:r>
              <w:rPr>
                <w:spacing w:val="-2"/>
                <w:w w:val="95"/>
                <w:position w:val="2"/>
                <w:sz w:val="21"/>
              </w:rPr>
              <w:t>监测项目：</w:t>
            </w:r>
            <w:r>
              <w:rPr>
                <w:rFonts w:ascii="Times New Roman" w:eastAsia="Times New Roman"/>
                <w:spacing w:val="-6"/>
                <w:w w:val="95"/>
                <w:position w:val="2"/>
                <w:sz w:val="21"/>
              </w:rPr>
              <w:t>COD</w:t>
            </w:r>
            <w:r>
              <w:rPr>
                <w:spacing w:val="-20"/>
                <w:w w:val="95"/>
                <w:position w:val="2"/>
                <w:sz w:val="21"/>
              </w:rPr>
              <w:t>、</w:t>
            </w:r>
            <w:r>
              <w:rPr>
                <w:rFonts w:ascii="Times New Roman" w:eastAsia="Times New Roman"/>
                <w:w w:val="95"/>
                <w:position w:val="2"/>
                <w:sz w:val="21"/>
              </w:rPr>
              <w:t>BOD</w:t>
            </w:r>
            <w:r>
              <w:rPr>
                <w:rFonts w:ascii="Times New Roman" w:eastAsia="Times New Roman"/>
                <w:w w:val="95"/>
                <w:position w:val="2"/>
                <w:sz w:val="21"/>
                <w:vertAlign w:val="subscript"/>
              </w:rPr>
              <w:t>5</w:t>
            </w:r>
            <w:r>
              <w:rPr>
                <w:spacing w:val="-9"/>
                <w:w w:val="95"/>
                <w:position w:val="2"/>
                <w:sz w:val="21"/>
                <w:vertAlign w:val="baseline"/>
              </w:rPr>
              <w:t xml:space="preserve">、氨氮、动植物油、大肠菌群、 </w:t>
            </w:r>
            <w:r>
              <w:rPr>
                <w:spacing w:val="-9"/>
                <w:sz w:val="21"/>
                <w:vertAlign w:val="baseline"/>
              </w:rPr>
              <w:t>阴离子表面活性剂。</w:t>
            </w:r>
          </w:p>
          <w:p>
            <w:pPr>
              <w:pStyle w:val="19"/>
              <w:numPr>
                <w:ilvl w:val="0"/>
                <w:numId w:val="103"/>
              </w:numPr>
              <w:tabs>
                <w:tab w:val="left" w:pos="272"/>
              </w:tabs>
              <w:spacing w:before="7" w:after="0" w:line="240" w:lineRule="auto"/>
              <w:ind w:left="271" w:right="0" w:hanging="160"/>
              <w:jc w:val="left"/>
              <w:rPr>
                <w:sz w:val="21"/>
              </w:rPr>
            </w:pPr>
            <w:r>
              <w:rPr>
                <w:sz w:val="21"/>
              </w:rPr>
              <w:t>监测频率：根据需要不定期监测。</w:t>
            </w:r>
          </w:p>
          <w:p>
            <w:pPr>
              <w:pStyle w:val="19"/>
              <w:numPr>
                <w:ilvl w:val="0"/>
                <w:numId w:val="103"/>
              </w:numPr>
              <w:tabs>
                <w:tab w:val="left" w:pos="272"/>
              </w:tabs>
              <w:spacing w:before="57" w:after="0" w:line="240" w:lineRule="auto"/>
              <w:ind w:left="271" w:right="0" w:hanging="160"/>
              <w:jc w:val="left"/>
              <w:rPr>
                <w:sz w:val="21"/>
              </w:rPr>
            </w:pPr>
            <w:r>
              <w:rPr>
                <w:sz w:val="21"/>
              </w:rPr>
              <w:t>监测点位：污水处理站进水口、出水口。</w:t>
            </w:r>
          </w:p>
        </w:tc>
        <w:tc>
          <w:tcPr>
            <w:tcW w:w="987" w:type="dxa"/>
            <w:tcBorders>
              <w:top w:val="single" w:color="000000" w:sz="4" w:space="0"/>
              <w:left w:val="single" w:color="000000" w:sz="4" w:space="0"/>
              <w:bottom w:val="single" w:color="000000" w:sz="4" w:space="0"/>
            </w:tcBorders>
          </w:tcPr>
          <w:p>
            <w:pPr>
              <w:pStyle w:val="19"/>
              <w:spacing w:before="162"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6" w:hRule="atLeast"/>
        </w:trPr>
        <w:tc>
          <w:tcPr>
            <w:tcW w:w="588" w:type="dxa"/>
            <w:tcBorders>
              <w:top w:val="single" w:color="000000" w:sz="4" w:space="0"/>
              <w:bottom w:val="single" w:color="000000" w:sz="4" w:space="0"/>
              <w:right w:val="single" w:color="000000" w:sz="4" w:space="0"/>
            </w:tcBorders>
          </w:tcPr>
          <w:p>
            <w:pPr>
              <w:pStyle w:val="19"/>
              <w:jc w:val="left"/>
              <w:rPr>
                <w:b/>
                <w:sz w:val="22"/>
              </w:rPr>
            </w:pPr>
          </w:p>
          <w:p>
            <w:pPr>
              <w:pStyle w:val="19"/>
              <w:spacing w:before="8"/>
              <w:jc w:val="left"/>
              <w:rPr>
                <w:b/>
                <w:sz w:val="17"/>
              </w:rPr>
            </w:pPr>
          </w:p>
          <w:p>
            <w:pPr>
              <w:pStyle w:val="19"/>
              <w:ind w:left="169" w:right="154"/>
              <w:rPr>
                <w:rFonts w:ascii="Times New Roman"/>
                <w:sz w:val="21"/>
              </w:rPr>
            </w:pPr>
            <w:r>
              <w:rPr>
                <w:rFonts w:ascii="Times New Roman"/>
                <w:sz w:val="21"/>
              </w:rPr>
              <w:t>12</w:t>
            </w:r>
          </w:p>
        </w:tc>
        <w:tc>
          <w:tcPr>
            <w:tcW w:w="163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5314" w:type="dxa"/>
            <w:tcBorders>
              <w:top w:val="single" w:color="000000" w:sz="4" w:space="0"/>
              <w:left w:val="single" w:color="000000" w:sz="4" w:space="0"/>
              <w:bottom w:val="single" w:color="000000" w:sz="4" w:space="0"/>
              <w:right w:val="single" w:color="000000" w:sz="4" w:space="0"/>
            </w:tcBorders>
          </w:tcPr>
          <w:p>
            <w:pPr>
              <w:pStyle w:val="19"/>
              <w:numPr>
                <w:ilvl w:val="0"/>
                <w:numId w:val="104"/>
              </w:numPr>
              <w:tabs>
                <w:tab w:val="left" w:pos="272"/>
              </w:tabs>
              <w:spacing w:before="0" w:after="0" w:line="288" w:lineRule="auto"/>
              <w:ind w:left="112" w:right="84" w:firstLine="0"/>
              <w:jc w:val="left"/>
              <w:rPr>
                <w:sz w:val="21"/>
              </w:rPr>
            </w:pPr>
            <w:r>
              <w:rPr>
                <w:spacing w:val="-1"/>
                <w:w w:val="95"/>
                <w:position w:val="2"/>
                <w:sz w:val="21"/>
              </w:rPr>
              <w:t>监测项目：</w:t>
            </w:r>
            <w:r>
              <w:rPr>
                <w:rFonts w:ascii="Times New Roman" w:eastAsia="Times New Roman"/>
                <w:spacing w:val="-3"/>
                <w:w w:val="95"/>
                <w:position w:val="2"/>
                <w:sz w:val="21"/>
              </w:rPr>
              <w:t>PH</w:t>
            </w:r>
            <w:r>
              <w:rPr>
                <w:spacing w:val="-5"/>
                <w:w w:val="95"/>
                <w:position w:val="2"/>
                <w:sz w:val="21"/>
              </w:rPr>
              <w:t>、悬浮物、</w:t>
            </w:r>
            <w:r>
              <w:rPr>
                <w:rFonts w:ascii="Times New Roman" w:eastAsia="Times New Roman"/>
                <w:w w:val="95"/>
                <w:position w:val="2"/>
                <w:sz w:val="21"/>
              </w:rPr>
              <w:t>BOD</w:t>
            </w:r>
            <w:r>
              <w:rPr>
                <w:rFonts w:ascii="Times New Roman" w:eastAsia="Times New Roman"/>
                <w:w w:val="95"/>
                <w:position w:val="2"/>
                <w:sz w:val="21"/>
                <w:vertAlign w:val="subscript"/>
              </w:rPr>
              <w:t>5</w:t>
            </w:r>
            <w:r>
              <w:rPr>
                <w:spacing w:val="-8"/>
                <w:w w:val="95"/>
                <w:position w:val="2"/>
                <w:sz w:val="21"/>
                <w:vertAlign w:val="baseline"/>
              </w:rPr>
              <w:t>、</w:t>
            </w:r>
            <w:r>
              <w:rPr>
                <w:rFonts w:ascii="Times New Roman" w:eastAsia="Times New Roman"/>
                <w:w w:val="95"/>
                <w:position w:val="2"/>
                <w:sz w:val="21"/>
                <w:vertAlign w:val="baseline"/>
              </w:rPr>
              <w:t>COD</w:t>
            </w:r>
            <w:r>
              <w:rPr>
                <w:spacing w:val="-5"/>
                <w:w w:val="95"/>
                <w:position w:val="2"/>
                <w:sz w:val="21"/>
                <w:vertAlign w:val="baseline"/>
              </w:rPr>
              <w:t xml:space="preserve">、石油类、挥发 </w:t>
            </w:r>
            <w:r>
              <w:rPr>
                <w:spacing w:val="-5"/>
                <w:sz w:val="21"/>
                <w:vertAlign w:val="baseline"/>
              </w:rPr>
              <w:t>性酚类、氟化物、硫化物、氨氮等。</w:t>
            </w:r>
          </w:p>
          <w:p>
            <w:pPr>
              <w:pStyle w:val="19"/>
              <w:numPr>
                <w:ilvl w:val="0"/>
                <w:numId w:val="104"/>
              </w:numPr>
              <w:tabs>
                <w:tab w:val="left" w:pos="272"/>
              </w:tabs>
              <w:spacing w:before="0" w:after="0" w:line="240" w:lineRule="auto"/>
              <w:ind w:left="271" w:right="0" w:hanging="160"/>
              <w:jc w:val="left"/>
              <w:rPr>
                <w:sz w:val="21"/>
              </w:rPr>
            </w:pPr>
            <w:r>
              <w:rPr>
                <w:spacing w:val="-6"/>
                <w:sz w:val="21"/>
              </w:rPr>
              <w:t xml:space="preserve">监测频率：每年进行 </w:t>
            </w:r>
            <w:r>
              <w:rPr>
                <w:rFonts w:ascii="Times New Roman" w:eastAsia="Times New Roman"/>
                <w:sz w:val="21"/>
              </w:rPr>
              <w:t>2</w:t>
            </w:r>
            <w:r>
              <w:rPr>
                <w:rFonts w:ascii="Times New Roman" w:eastAsia="Times New Roman"/>
                <w:spacing w:val="1"/>
                <w:sz w:val="21"/>
              </w:rPr>
              <w:t xml:space="preserve"> </w:t>
            </w:r>
            <w:r>
              <w:rPr>
                <w:sz w:val="21"/>
              </w:rPr>
              <w:t>次监测。</w:t>
            </w:r>
          </w:p>
          <w:p>
            <w:pPr>
              <w:pStyle w:val="19"/>
              <w:numPr>
                <w:ilvl w:val="0"/>
                <w:numId w:val="104"/>
              </w:numPr>
              <w:tabs>
                <w:tab w:val="left" w:pos="272"/>
              </w:tabs>
              <w:spacing w:before="60" w:after="0" w:line="240" w:lineRule="auto"/>
              <w:ind w:left="271" w:right="0" w:hanging="160"/>
              <w:jc w:val="left"/>
              <w:rPr>
                <w:sz w:val="21"/>
              </w:rPr>
            </w:pPr>
            <w:r>
              <w:rPr>
                <w:sz w:val="21"/>
              </w:rPr>
              <w:t>监测点位：矿井水处理站进水口、出水口。</w:t>
            </w:r>
          </w:p>
        </w:tc>
        <w:tc>
          <w:tcPr>
            <w:tcW w:w="987" w:type="dxa"/>
            <w:tcBorders>
              <w:top w:val="single" w:color="000000" w:sz="4" w:space="0"/>
              <w:left w:val="single" w:color="000000" w:sz="4" w:space="0"/>
              <w:bottom w:val="single" w:color="000000" w:sz="4" w:space="0"/>
            </w:tcBorders>
          </w:tcPr>
          <w:p>
            <w:pPr>
              <w:pStyle w:val="19"/>
              <w:spacing w:before="162"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1" w:hRule="atLeast"/>
        </w:trPr>
        <w:tc>
          <w:tcPr>
            <w:tcW w:w="588" w:type="dxa"/>
            <w:tcBorders>
              <w:top w:val="single" w:color="000000" w:sz="4" w:space="0"/>
              <w:bottom w:val="single" w:color="000000" w:sz="4" w:space="0"/>
              <w:right w:val="single" w:color="000000" w:sz="4" w:space="0"/>
            </w:tcBorders>
          </w:tcPr>
          <w:p>
            <w:pPr>
              <w:pStyle w:val="19"/>
              <w:spacing w:before="12"/>
              <w:jc w:val="left"/>
              <w:rPr>
                <w:b/>
                <w:sz w:val="26"/>
              </w:rPr>
            </w:pPr>
          </w:p>
          <w:p>
            <w:pPr>
              <w:pStyle w:val="19"/>
              <w:ind w:left="169" w:right="154"/>
              <w:rPr>
                <w:rFonts w:ascii="Times New Roman"/>
                <w:sz w:val="21"/>
              </w:rPr>
            </w:pPr>
            <w:r>
              <w:rPr>
                <w:rFonts w:ascii="Times New Roman"/>
                <w:sz w:val="21"/>
              </w:rPr>
              <w:t>13</w:t>
            </w:r>
          </w:p>
        </w:tc>
        <w:tc>
          <w:tcPr>
            <w:tcW w:w="1630" w:type="dxa"/>
            <w:gridSpan w:val="2"/>
            <w:tcBorders>
              <w:top w:val="single" w:color="000000" w:sz="4" w:space="0"/>
              <w:left w:val="single" w:color="000000" w:sz="4" w:space="0"/>
              <w:bottom w:val="single" w:color="000000" w:sz="4" w:space="0"/>
              <w:right w:val="single" w:color="000000" w:sz="4" w:space="0"/>
            </w:tcBorders>
          </w:tcPr>
          <w:p>
            <w:pPr>
              <w:pStyle w:val="19"/>
              <w:spacing w:before="6"/>
              <w:jc w:val="left"/>
              <w:rPr>
                <w:b/>
                <w:sz w:val="25"/>
              </w:rPr>
            </w:pPr>
          </w:p>
          <w:p>
            <w:pPr>
              <w:pStyle w:val="19"/>
              <w:ind w:left="481" w:right="465"/>
              <w:rPr>
                <w:sz w:val="21"/>
              </w:rPr>
            </w:pPr>
            <w:r>
              <w:rPr>
                <w:sz w:val="21"/>
              </w:rPr>
              <w:t>噪声</w:t>
            </w:r>
          </w:p>
        </w:tc>
        <w:tc>
          <w:tcPr>
            <w:tcW w:w="5314" w:type="dxa"/>
            <w:tcBorders>
              <w:top w:val="single" w:color="000000" w:sz="4" w:space="0"/>
              <w:left w:val="single" w:color="000000" w:sz="4" w:space="0"/>
              <w:bottom w:val="single" w:color="000000" w:sz="4" w:space="0"/>
              <w:right w:val="single" w:color="000000" w:sz="4" w:space="0"/>
            </w:tcBorders>
          </w:tcPr>
          <w:p>
            <w:pPr>
              <w:pStyle w:val="19"/>
              <w:numPr>
                <w:ilvl w:val="0"/>
                <w:numId w:val="105"/>
              </w:numPr>
              <w:tabs>
                <w:tab w:val="left" w:pos="272"/>
              </w:tabs>
              <w:spacing w:before="0" w:after="0" w:line="240" w:lineRule="auto"/>
              <w:ind w:left="271" w:right="0" w:hanging="160"/>
              <w:jc w:val="left"/>
              <w:rPr>
                <w:sz w:val="21"/>
              </w:rPr>
            </w:pPr>
            <w:r>
              <w:rPr>
                <w:spacing w:val="-5"/>
                <w:sz w:val="21"/>
              </w:rPr>
              <w:t xml:space="preserve">监测项目：噪声等效连续 </w:t>
            </w:r>
            <w:r>
              <w:rPr>
                <w:rFonts w:ascii="Times New Roman" w:eastAsia="Times New Roman"/>
                <w:sz w:val="21"/>
              </w:rPr>
              <w:t xml:space="preserve">A </w:t>
            </w:r>
            <w:r>
              <w:rPr>
                <w:sz w:val="21"/>
              </w:rPr>
              <w:t>声级。</w:t>
            </w:r>
          </w:p>
          <w:p>
            <w:pPr>
              <w:pStyle w:val="19"/>
              <w:numPr>
                <w:ilvl w:val="0"/>
                <w:numId w:val="105"/>
              </w:numPr>
              <w:tabs>
                <w:tab w:val="left" w:pos="272"/>
              </w:tabs>
              <w:spacing w:before="57" w:after="0" w:line="240" w:lineRule="auto"/>
              <w:ind w:left="271" w:right="0" w:hanging="160"/>
              <w:jc w:val="left"/>
              <w:rPr>
                <w:sz w:val="21"/>
              </w:rPr>
            </w:pPr>
            <w:r>
              <w:rPr>
                <w:spacing w:val="-6"/>
                <w:sz w:val="21"/>
              </w:rPr>
              <w:t xml:space="preserve">监测频率：每年进行 </w:t>
            </w:r>
            <w:r>
              <w:rPr>
                <w:rFonts w:ascii="Times New Roman" w:eastAsia="Times New Roman"/>
                <w:sz w:val="21"/>
              </w:rPr>
              <w:t>2</w:t>
            </w:r>
            <w:r>
              <w:rPr>
                <w:rFonts w:ascii="Times New Roman" w:eastAsia="Times New Roman"/>
                <w:spacing w:val="1"/>
                <w:sz w:val="21"/>
              </w:rPr>
              <w:t xml:space="preserve"> </w:t>
            </w:r>
            <w:r>
              <w:rPr>
                <w:sz w:val="21"/>
              </w:rPr>
              <w:t>次监测</w:t>
            </w:r>
          </w:p>
          <w:p>
            <w:pPr>
              <w:pStyle w:val="19"/>
              <w:numPr>
                <w:ilvl w:val="0"/>
                <w:numId w:val="105"/>
              </w:numPr>
              <w:tabs>
                <w:tab w:val="left" w:pos="272"/>
              </w:tabs>
              <w:spacing w:before="58" w:after="0" w:line="240" w:lineRule="auto"/>
              <w:ind w:left="271" w:right="0" w:hanging="160"/>
              <w:jc w:val="left"/>
              <w:rPr>
                <w:sz w:val="21"/>
              </w:rPr>
            </w:pPr>
            <w:r>
              <w:rPr>
                <w:spacing w:val="-4"/>
                <w:sz w:val="21"/>
              </w:rPr>
              <w:t xml:space="preserve">监测点位：工业场地四周厂界外 </w:t>
            </w:r>
            <w:r>
              <w:rPr>
                <w:rFonts w:ascii="Times New Roman" w:eastAsia="Times New Roman"/>
                <w:sz w:val="21"/>
              </w:rPr>
              <w:t>1m</w:t>
            </w:r>
            <w:r>
              <w:rPr>
                <w:sz w:val="21"/>
              </w:rPr>
              <w:t>。</w:t>
            </w:r>
          </w:p>
        </w:tc>
        <w:tc>
          <w:tcPr>
            <w:tcW w:w="987" w:type="dxa"/>
            <w:tcBorders>
              <w:top w:val="single" w:color="000000" w:sz="4" w:space="0"/>
              <w:left w:val="single" w:color="000000" w:sz="4" w:space="0"/>
              <w:bottom w:val="single" w:color="000000" w:sz="4" w:space="0"/>
            </w:tcBorders>
          </w:tcPr>
          <w:p>
            <w:pPr>
              <w:pStyle w:val="19"/>
              <w:ind w:left="181"/>
              <w:jc w:val="left"/>
              <w:rPr>
                <w:sz w:val="21"/>
              </w:rPr>
            </w:pPr>
            <w:r>
              <w:rPr>
                <w:w w:val="95"/>
                <w:sz w:val="21"/>
              </w:rPr>
              <w:t>双鸭山</w:t>
            </w:r>
          </w:p>
          <w:p>
            <w:pPr>
              <w:pStyle w:val="19"/>
              <w:spacing w:before="6" w:line="320" w:lineRule="atLeast"/>
              <w:ind w:left="181" w:right="159"/>
              <w:jc w:val="left"/>
              <w:rPr>
                <w:sz w:val="21"/>
              </w:rPr>
            </w:pPr>
            <w:r>
              <w:rPr>
                <w:spacing w:val="-6"/>
                <w:sz w:val="21"/>
              </w:rPr>
              <w:t>市生态</w:t>
            </w:r>
            <w:r>
              <w:rPr>
                <w:spacing w:val="-6"/>
                <w:w w:val="95"/>
                <w:sz w:val="21"/>
              </w:rPr>
              <w:t>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588" w:type="dxa"/>
            <w:tcBorders>
              <w:top w:val="single" w:color="000000" w:sz="4" w:space="0"/>
              <w:bottom w:val="single" w:color="000000" w:sz="4" w:space="0"/>
              <w:right w:val="single" w:color="000000" w:sz="4" w:space="0"/>
            </w:tcBorders>
          </w:tcPr>
          <w:p>
            <w:pPr>
              <w:pStyle w:val="19"/>
              <w:spacing w:before="10"/>
              <w:jc w:val="left"/>
              <w:rPr>
                <w:b/>
                <w:sz w:val="26"/>
              </w:rPr>
            </w:pPr>
          </w:p>
          <w:p>
            <w:pPr>
              <w:pStyle w:val="19"/>
              <w:ind w:left="169" w:right="154"/>
              <w:rPr>
                <w:rFonts w:ascii="Times New Roman"/>
                <w:sz w:val="21"/>
              </w:rPr>
            </w:pPr>
            <w:r>
              <w:rPr>
                <w:rFonts w:ascii="Times New Roman"/>
                <w:sz w:val="21"/>
              </w:rPr>
              <w:t>14</w:t>
            </w:r>
          </w:p>
        </w:tc>
        <w:tc>
          <w:tcPr>
            <w:tcW w:w="1630" w:type="dxa"/>
            <w:gridSpan w:val="2"/>
            <w:tcBorders>
              <w:top w:val="single" w:color="000000" w:sz="4" w:space="0"/>
              <w:left w:val="single" w:color="000000" w:sz="4" w:space="0"/>
              <w:bottom w:val="single" w:color="000000" w:sz="4" w:space="0"/>
              <w:right w:val="single" w:color="000000" w:sz="4" w:space="0"/>
            </w:tcBorders>
          </w:tcPr>
          <w:p>
            <w:pPr>
              <w:pStyle w:val="19"/>
              <w:spacing w:before="6"/>
              <w:jc w:val="left"/>
              <w:rPr>
                <w:b/>
                <w:sz w:val="25"/>
              </w:rPr>
            </w:pPr>
          </w:p>
          <w:p>
            <w:pPr>
              <w:pStyle w:val="19"/>
              <w:ind w:left="400"/>
              <w:jc w:val="left"/>
              <w:rPr>
                <w:sz w:val="21"/>
              </w:rPr>
            </w:pPr>
            <w:r>
              <w:rPr>
                <w:sz w:val="21"/>
              </w:rPr>
              <w:t>固体废物</w:t>
            </w:r>
          </w:p>
        </w:tc>
        <w:tc>
          <w:tcPr>
            <w:tcW w:w="5314" w:type="dxa"/>
            <w:tcBorders>
              <w:top w:val="single" w:color="000000" w:sz="4" w:space="0"/>
              <w:left w:val="single" w:color="000000" w:sz="4" w:space="0"/>
              <w:bottom w:val="single" w:color="000000" w:sz="4" w:space="0"/>
              <w:right w:val="single" w:color="000000" w:sz="4" w:space="0"/>
            </w:tcBorders>
          </w:tcPr>
          <w:p>
            <w:pPr>
              <w:pStyle w:val="19"/>
              <w:numPr>
                <w:ilvl w:val="0"/>
                <w:numId w:val="106"/>
              </w:numPr>
              <w:tabs>
                <w:tab w:val="left" w:pos="272"/>
              </w:tabs>
              <w:spacing w:before="0" w:after="0" w:line="240" w:lineRule="auto"/>
              <w:ind w:left="271" w:right="0" w:hanging="160"/>
              <w:jc w:val="left"/>
              <w:rPr>
                <w:sz w:val="21"/>
              </w:rPr>
            </w:pPr>
            <w:r>
              <w:rPr>
                <w:sz w:val="21"/>
              </w:rPr>
              <w:t>监测项目：固体废弃物排放量及处置方式。</w:t>
            </w:r>
          </w:p>
          <w:p>
            <w:pPr>
              <w:pStyle w:val="19"/>
              <w:numPr>
                <w:ilvl w:val="0"/>
                <w:numId w:val="106"/>
              </w:numPr>
              <w:tabs>
                <w:tab w:val="left" w:pos="272"/>
              </w:tabs>
              <w:spacing w:before="57" w:after="0" w:line="240" w:lineRule="auto"/>
              <w:ind w:left="271" w:right="0" w:hanging="160"/>
              <w:jc w:val="left"/>
              <w:rPr>
                <w:sz w:val="21"/>
              </w:rPr>
            </w:pPr>
            <w:r>
              <w:rPr>
                <w:sz w:val="21"/>
              </w:rPr>
              <w:t>监测频率：不定期。</w:t>
            </w:r>
          </w:p>
          <w:p>
            <w:pPr>
              <w:pStyle w:val="19"/>
              <w:numPr>
                <w:ilvl w:val="0"/>
                <w:numId w:val="106"/>
              </w:numPr>
              <w:tabs>
                <w:tab w:val="left" w:pos="272"/>
              </w:tabs>
              <w:spacing w:before="58" w:after="0" w:line="240" w:lineRule="auto"/>
              <w:ind w:left="271" w:right="0" w:hanging="160"/>
              <w:jc w:val="left"/>
              <w:rPr>
                <w:sz w:val="21"/>
              </w:rPr>
            </w:pPr>
            <w:r>
              <w:rPr>
                <w:sz w:val="21"/>
              </w:rPr>
              <w:t>监测点位：厂区所有环保设施。</w:t>
            </w:r>
          </w:p>
        </w:tc>
        <w:tc>
          <w:tcPr>
            <w:tcW w:w="987" w:type="dxa"/>
            <w:tcBorders>
              <w:top w:val="single" w:color="000000" w:sz="4" w:space="0"/>
              <w:left w:val="single" w:color="000000" w:sz="4" w:space="0"/>
              <w:bottom w:val="single" w:color="000000" w:sz="4" w:space="0"/>
            </w:tcBorders>
          </w:tcPr>
          <w:p>
            <w:pPr>
              <w:pStyle w:val="19"/>
              <w:ind w:left="181"/>
              <w:jc w:val="left"/>
              <w:rPr>
                <w:sz w:val="21"/>
              </w:rPr>
            </w:pPr>
            <w:r>
              <w:rPr>
                <w:w w:val="95"/>
                <w:sz w:val="21"/>
              </w:rPr>
              <w:t>双鸭山</w:t>
            </w:r>
          </w:p>
          <w:p>
            <w:pPr>
              <w:pStyle w:val="19"/>
              <w:spacing w:before="6" w:line="320" w:lineRule="atLeast"/>
              <w:ind w:left="181" w:right="159"/>
              <w:jc w:val="left"/>
              <w:rPr>
                <w:sz w:val="21"/>
              </w:rPr>
            </w:pPr>
            <w:r>
              <w:rPr>
                <w:spacing w:val="-6"/>
                <w:sz w:val="21"/>
              </w:rPr>
              <w:t>市生态</w:t>
            </w:r>
            <w:r>
              <w:rPr>
                <w:spacing w:val="-6"/>
                <w:w w:val="95"/>
                <w:sz w:val="21"/>
              </w:rPr>
              <w:t>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588" w:type="dxa"/>
            <w:tcBorders>
              <w:top w:val="single" w:color="000000" w:sz="4" w:space="0"/>
              <w:bottom w:val="single" w:color="000000" w:sz="4" w:space="0"/>
              <w:right w:val="single" w:color="000000" w:sz="4" w:space="0"/>
            </w:tcBorders>
          </w:tcPr>
          <w:p>
            <w:pPr>
              <w:pStyle w:val="19"/>
              <w:spacing w:before="11"/>
              <w:jc w:val="left"/>
              <w:rPr>
                <w:b/>
                <w:sz w:val="26"/>
              </w:rPr>
            </w:pPr>
          </w:p>
          <w:p>
            <w:pPr>
              <w:pStyle w:val="19"/>
              <w:ind w:left="169" w:right="154"/>
              <w:rPr>
                <w:rFonts w:ascii="Times New Roman"/>
                <w:sz w:val="21"/>
              </w:rPr>
            </w:pPr>
            <w:r>
              <w:rPr>
                <w:rFonts w:ascii="Times New Roman"/>
                <w:sz w:val="21"/>
              </w:rPr>
              <w:t>15</w:t>
            </w:r>
          </w:p>
        </w:tc>
        <w:tc>
          <w:tcPr>
            <w:tcW w:w="1630" w:type="dxa"/>
            <w:gridSpan w:val="2"/>
            <w:tcBorders>
              <w:top w:val="single" w:color="000000" w:sz="4" w:space="0"/>
              <w:left w:val="single" w:color="000000" w:sz="4" w:space="0"/>
              <w:bottom w:val="single" w:color="000000" w:sz="4" w:space="0"/>
              <w:right w:val="single" w:color="000000" w:sz="4" w:space="0"/>
            </w:tcBorders>
          </w:tcPr>
          <w:p>
            <w:pPr>
              <w:pStyle w:val="19"/>
              <w:spacing w:before="7"/>
              <w:jc w:val="left"/>
              <w:rPr>
                <w:b/>
                <w:sz w:val="25"/>
              </w:rPr>
            </w:pPr>
          </w:p>
          <w:p>
            <w:pPr>
              <w:pStyle w:val="19"/>
              <w:ind w:left="400"/>
              <w:jc w:val="left"/>
              <w:rPr>
                <w:sz w:val="21"/>
              </w:rPr>
            </w:pPr>
            <w:r>
              <w:rPr>
                <w:sz w:val="21"/>
              </w:rPr>
              <w:t>环保设施</w:t>
            </w:r>
          </w:p>
        </w:tc>
        <w:tc>
          <w:tcPr>
            <w:tcW w:w="5314" w:type="dxa"/>
            <w:tcBorders>
              <w:top w:val="single" w:color="000000" w:sz="4" w:space="0"/>
              <w:left w:val="single" w:color="000000" w:sz="4" w:space="0"/>
              <w:bottom w:val="single" w:color="000000" w:sz="4" w:space="0"/>
              <w:right w:val="single" w:color="000000" w:sz="4" w:space="0"/>
            </w:tcBorders>
          </w:tcPr>
          <w:p>
            <w:pPr>
              <w:pStyle w:val="19"/>
              <w:numPr>
                <w:ilvl w:val="0"/>
                <w:numId w:val="107"/>
              </w:numPr>
              <w:tabs>
                <w:tab w:val="left" w:pos="272"/>
              </w:tabs>
              <w:spacing w:before="164" w:after="0" w:line="240" w:lineRule="auto"/>
              <w:ind w:left="271" w:right="0" w:hanging="160"/>
              <w:jc w:val="left"/>
              <w:rPr>
                <w:sz w:val="21"/>
              </w:rPr>
            </w:pPr>
            <w:r>
              <w:rPr>
                <w:sz w:val="21"/>
              </w:rPr>
              <w:t>监测项目：环保设施运行情况，绿化系数。</w:t>
            </w:r>
          </w:p>
          <w:p>
            <w:pPr>
              <w:pStyle w:val="19"/>
              <w:numPr>
                <w:ilvl w:val="0"/>
                <w:numId w:val="107"/>
              </w:numPr>
              <w:tabs>
                <w:tab w:val="left" w:pos="272"/>
              </w:tabs>
              <w:spacing w:before="58" w:after="0" w:line="240" w:lineRule="auto"/>
              <w:ind w:left="271" w:right="0" w:hanging="160"/>
              <w:jc w:val="left"/>
              <w:rPr>
                <w:sz w:val="21"/>
              </w:rPr>
            </w:pPr>
            <w:r>
              <w:rPr>
                <w:sz w:val="21"/>
              </w:rPr>
              <w:t>监测频率：不定期。</w:t>
            </w:r>
          </w:p>
        </w:tc>
        <w:tc>
          <w:tcPr>
            <w:tcW w:w="987" w:type="dxa"/>
            <w:tcBorders>
              <w:top w:val="single" w:color="000000" w:sz="4" w:space="0"/>
              <w:left w:val="single" w:color="000000" w:sz="4" w:space="0"/>
              <w:bottom w:val="single" w:color="000000" w:sz="4" w:space="0"/>
            </w:tcBorders>
          </w:tcPr>
          <w:p>
            <w:pPr>
              <w:pStyle w:val="19"/>
              <w:spacing w:before="1"/>
              <w:ind w:left="181"/>
              <w:jc w:val="left"/>
              <w:rPr>
                <w:sz w:val="21"/>
              </w:rPr>
            </w:pPr>
            <w:r>
              <w:rPr>
                <w:w w:val="95"/>
                <w:sz w:val="21"/>
              </w:rPr>
              <w:t>双鸭山</w:t>
            </w:r>
          </w:p>
          <w:p>
            <w:pPr>
              <w:pStyle w:val="19"/>
              <w:spacing w:before="7" w:line="320" w:lineRule="atLeast"/>
              <w:ind w:left="181" w:right="159"/>
              <w:jc w:val="left"/>
              <w:rPr>
                <w:sz w:val="21"/>
              </w:rPr>
            </w:pPr>
            <w:r>
              <w:rPr>
                <w:spacing w:val="-6"/>
                <w:sz w:val="21"/>
              </w:rPr>
              <w:t>市生态</w:t>
            </w:r>
            <w:r>
              <w:rPr>
                <w:spacing w:val="-6"/>
                <w:w w:val="95"/>
                <w:sz w:val="21"/>
              </w:rPr>
              <w:t>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70" w:hRule="atLeast"/>
        </w:trPr>
        <w:tc>
          <w:tcPr>
            <w:tcW w:w="588" w:type="dxa"/>
            <w:tcBorders>
              <w:top w:val="single" w:color="000000" w:sz="4" w:space="0"/>
              <w:right w:val="single" w:color="000000" w:sz="4" w:space="0"/>
            </w:tcBorders>
          </w:tcPr>
          <w:p>
            <w:pPr>
              <w:pStyle w:val="19"/>
              <w:spacing w:before="179"/>
              <w:ind w:left="169" w:right="154"/>
              <w:rPr>
                <w:rFonts w:ascii="Times New Roman"/>
                <w:sz w:val="21"/>
              </w:rPr>
            </w:pPr>
            <w:r>
              <w:rPr>
                <w:rFonts w:ascii="Times New Roman"/>
                <w:sz w:val="21"/>
              </w:rPr>
              <w:t>16</w:t>
            </w:r>
          </w:p>
        </w:tc>
        <w:tc>
          <w:tcPr>
            <w:tcW w:w="1630" w:type="dxa"/>
            <w:gridSpan w:val="2"/>
            <w:tcBorders>
              <w:top w:val="single" w:color="000000" w:sz="4" w:space="0"/>
              <w:left w:val="single" w:color="000000" w:sz="4" w:space="0"/>
              <w:right w:val="single" w:color="000000" w:sz="4" w:space="0"/>
            </w:tcBorders>
          </w:tcPr>
          <w:p>
            <w:pPr>
              <w:pStyle w:val="19"/>
              <w:spacing w:before="162"/>
              <w:ind w:left="400"/>
              <w:jc w:val="left"/>
              <w:rPr>
                <w:sz w:val="21"/>
              </w:rPr>
            </w:pPr>
            <w:r>
              <w:rPr>
                <w:sz w:val="21"/>
              </w:rPr>
              <w:t>事故监测</w:t>
            </w:r>
          </w:p>
        </w:tc>
        <w:tc>
          <w:tcPr>
            <w:tcW w:w="5314" w:type="dxa"/>
            <w:tcBorders>
              <w:top w:val="single" w:color="000000" w:sz="4" w:space="0"/>
              <w:left w:val="single" w:color="000000" w:sz="4" w:space="0"/>
              <w:right w:val="single" w:color="000000" w:sz="4" w:space="0"/>
            </w:tcBorders>
          </w:tcPr>
          <w:p>
            <w:pPr>
              <w:pStyle w:val="19"/>
              <w:spacing w:line="290" w:lineRule="auto"/>
              <w:ind w:left="112" w:right="94"/>
              <w:jc w:val="left"/>
              <w:rPr>
                <w:sz w:val="21"/>
              </w:rPr>
            </w:pPr>
            <w:r>
              <w:rPr>
                <w:rFonts w:ascii="Times New Roman" w:eastAsia="Times New Roman"/>
                <w:w w:val="95"/>
                <w:sz w:val="21"/>
              </w:rPr>
              <w:t>1.</w:t>
            </w:r>
            <w:r>
              <w:rPr>
                <w:spacing w:val="-10"/>
                <w:w w:val="95"/>
                <w:sz w:val="21"/>
              </w:rPr>
              <w:t xml:space="preserve">监测项目：事故发生的类型、原因、污染程度及采取的 </w:t>
            </w:r>
            <w:r>
              <w:rPr>
                <w:spacing w:val="-10"/>
                <w:sz w:val="21"/>
              </w:rPr>
              <w:t>措施。</w:t>
            </w:r>
          </w:p>
        </w:tc>
        <w:tc>
          <w:tcPr>
            <w:tcW w:w="987" w:type="dxa"/>
            <w:tcBorders>
              <w:top w:val="single" w:color="000000" w:sz="4" w:space="0"/>
              <w:left w:val="single" w:color="000000" w:sz="4" w:space="0"/>
            </w:tcBorders>
          </w:tcPr>
          <w:p>
            <w:pPr>
              <w:pStyle w:val="19"/>
              <w:spacing w:line="290" w:lineRule="auto"/>
              <w:ind w:left="181" w:right="159"/>
              <w:jc w:val="left"/>
              <w:rPr>
                <w:sz w:val="21"/>
              </w:rPr>
            </w:pPr>
            <w:r>
              <w:rPr>
                <w:sz w:val="21"/>
              </w:rPr>
              <w:t>双鸭山市生态</w:t>
            </w:r>
          </w:p>
        </w:tc>
      </w:tr>
    </w:tbl>
    <w:p>
      <w:pPr>
        <w:spacing w:after="0" w:line="290" w:lineRule="auto"/>
        <w:jc w:val="left"/>
        <w:rPr>
          <w:sz w:val="21"/>
        </w:rPr>
        <w:sectPr>
          <w:pgSz w:w="11910" w:h="16840"/>
          <w:pgMar w:top="1420" w:right="900" w:bottom="1100" w:left="1200" w:header="0" w:footer="913" w:gutter="0"/>
        </w:sectPr>
      </w:pPr>
    </w:p>
    <w:tbl>
      <w:tblPr>
        <w:tblStyle w:val="15"/>
        <w:tblW w:w="0" w:type="auto"/>
        <w:tblInd w:w="5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8"/>
        <w:gridCol w:w="1630"/>
        <w:gridCol w:w="5314"/>
        <w:gridCol w:w="9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588" w:type="dxa"/>
            <w:tcBorders>
              <w:right w:val="single" w:color="000000" w:sz="4" w:space="0"/>
            </w:tcBorders>
          </w:tcPr>
          <w:p>
            <w:pPr>
              <w:pStyle w:val="19"/>
              <w:jc w:val="left"/>
              <w:rPr>
                <w:rFonts w:ascii="Times New Roman"/>
                <w:sz w:val="24"/>
              </w:rPr>
            </w:pPr>
          </w:p>
        </w:tc>
        <w:tc>
          <w:tcPr>
            <w:tcW w:w="1630" w:type="dxa"/>
            <w:tcBorders>
              <w:left w:val="single" w:color="000000" w:sz="4" w:space="0"/>
              <w:right w:val="single" w:color="000000" w:sz="4" w:space="0"/>
            </w:tcBorders>
          </w:tcPr>
          <w:p>
            <w:pPr>
              <w:pStyle w:val="19"/>
              <w:jc w:val="left"/>
              <w:rPr>
                <w:rFonts w:ascii="Times New Roman"/>
                <w:sz w:val="24"/>
              </w:rPr>
            </w:pPr>
          </w:p>
        </w:tc>
        <w:tc>
          <w:tcPr>
            <w:tcW w:w="5314" w:type="dxa"/>
            <w:tcBorders>
              <w:left w:val="single" w:color="000000" w:sz="4" w:space="0"/>
              <w:right w:val="single" w:color="000000" w:sz="4" w:space="0"/>
            </w:tcBorders>
          </w:tcPr>
          <w:p>
            <w:pPr>
              <w:pStyle w:val="19"/>
              <w:numPr>
                <w:ilvl w:val="0"/>
                <w:numId w:val="108"/>
              </w:numPr>
              <w:tabs>
                <w:tab w:val="left" w:pos="272"/>
              </w:tabs>
              <w:spacing w:before="0" w:after="0" w:line="261" w:lineRule="exact"/>
              <w:ind w:left="271" w:right="0" w:hanging="160"/>
              <w:jc w:val="left"/>
              <w:rPr>
                <w:sz w:val="21"/>
              </w:rPr>
            </w:pPr>
            <w:r>
              <w:rPr>
                <w:sz w:val="21"/>
              </w:rPr>
              <w:t>监测频率：不定期。</w:t>
            </w:r>
          </w:p>
          <w:p>
            <w:pPr>
              <w:pStyle w:val="19"/>
              <w:numPr>
                <w:ilvl w:val="0"/>
                <w:numId w:val="108"/>
              </w:numPr>
              <w:tabs>
                <w:tab w:val="left" w:pos="272"/>
              </w:tabs>
              <w:spacing w:before="55" w:after="0" w:line="240" w:lineRule="auto"/>
              <w:ind w:left="271" w:right="0" w:hanging="160"/>
              <w:jc w:val="left"/>
              <w:rPr>
                <w:sz w:val="21"/>
              </w:rPr>
            </w:pPr>
            <w:r>
              <w:rPr>
                <w:sz w:val="21"/>
              </w:rPr>
              <w:t>监测点位：污水处理设施、矸石临时堆放场地等。</w:t>
            </w:r>
          </w:p>
        </w:tc>
        <w:tc>
          <w:tcPr>
            <w:tcW w:w="987" w:type="dxa"/>
            <w:tcBorders>
              <w:left w:val="single" w:color="000000" w:sz="4" w:space="0"/>
            </w:tcBorders>
          </w:tcPr>
          <w:p>
            <w:pPr>
              <w:pStyle w:val="19"/>
              <w:spacing w:line="261" w:lineRule="exact"/>
              <w:ind w:left="181"/>
              <w:jc w:val="left"/>
              <w:rPr>
                <w:sz w:val="21"/>
              </w:rPr>
            </w:pPr>
            <w:r>
              <w:rPr>
                <w:sz w:val="21"/>
              </w:rPr>
              <w:t>环境局</w:t>
            </w:r>
          </w:p>
        </w:tc>
      </w:tr>
    </w:tbl>
    <w:p>
      <w:pPr>
        <w:pStyle w:val="5"/>
        <w:numPr>
          <w:ilvl w:val="1"/>
          <w:numId w:val="87"/>
        </w:numPr>
        <w:tabs>
          <w:tab w:val="left" w:pos="1200"/>
        </w:tabs>
        <w:spacing w:before="119" w:after="0" w:line="240" w:lineRule="auto"/>
        <w:ind w:left="1200" w:right="0" w:hanging="600"/>
        <w:jc w:val="left"/>
      </w:pPr>
      <w:bookmarkStart w:id="719" w:name="_bookmark78"/>
      <w:bookmarkEnd w:id="719"/>
      <w:bookmarkStart w:id="720" w:name="13.5排污口规范化管理"/>
      <w:bookmarkEnd w:id="720"/>
      <w:bookmarkStart w:id="721" w:name="_bookmark78"/>
      <w:bookmarkEnd w:id="721"/>
      <w:r>
        <w:t>排污口规范化管理</w:t>
      </w:r>
    </w:p>
    <w:p>
      <w:pPr>
        <w:pStyle w:val="9"/>
        <w:spacing w:before="201" w:line="364" w:lineRule="auto"/>
        <w:ind w:left="600" w:right="897" w:firstLine="480"/>
        <w:jc w:val="both"/>
      </w:pPr>
      <w:r>
        <w:t>根据国家环境保护总局环发（</w:t>
      </w:r>
      <w:r>
        <w:rPr>
          <w:rFonts w:ascii="Times New Roman" w:hAnsi="Times New Roman" w:eastAsia="Times New Roman"/>
        </w:rPr>
        <w:t>1999</w:t>
      </w:r>
      <w:r>
        <w:t>）</w:t>
      </w:r>
      <w:r>
        <w:rPr>
          <w:rFonts w:ascii="Times New Roman" w:hAnsi="Times New Roman" w:eastAsia="Times New Roman"/>
        </w:rPr>
        <w:t xml:space="preserve">24 </w:t>
      </w:r>
      <w:r>
        <w:t>号文件的规定，一切新建、扩建、</w:t>
      </w:r>
      <w:r>
        <w:rPr>
          <w:spacing w:val="-5"/>
        </w:rPr>
        <w:t>改建的排污单位必须在建设污染治理设施的同时建设规范化排污口，作为落实环</w:t>
      </w:r>
      <w:r>
        <w:t>境保护</w:t>
      </w:r>
      <w:r>
        <w:rPr>
          <w:rFonts w:ascii="Times New Roman" w:hAnsi="Times New Roman" w:eastAsia="Times New Roman"/>
        </w:rPr>
        <w:t>“</w:t>
      </w:r>
      <w:r>
        <w:t>三同时</w:t>
      </w:r>
      <w:r>
        <w:rPr>
          <w:rFonts w:ascii="Times New Roman" w:hAnsi="Times New Roman" w:eastAsia="Times New Roman"/>
        </w:rPr>
        <w:t>”</w:t>
      </w:r>
      <w:r>
        <w:t>制度的必要组成和项目验收内容之一。</w:t>
      </w:r>
    </w:p>
    <w:p>
      <w:pPr>
        <w:pStyle w:val="6"/>
        <w:numPr>
          <w:ilvl w:val="2"/>
          <w:numId w:val="109"/>
        </w:numPr>
        <w:tabs>
          <w:tab w:val="left" w:pos="1371"/>
        </w:tabs>
        <w:spacing w:before="53" w:after="0" w:line="240" w:lineRule="auto"/>
        <w:ind w:left="1370" w:right="0" w:hanging="771"/>
        <w:jc w:val="left"/>
      </w:pPr>
      <w:bookmarkStart w:id="722" w:name="13.5.1排污口规范化管理的基本原则"/>
      <w:bookmarkEnd w:id="722"/>
      <w:bookmarkStart w:id="723" w:name="13.5.1排污口规范化管理的基本原则"/>
      <w:bookmarkEnd w:id="723"/>
      <w:r>
        <w:t>排污口规范化管理的基本原则</w:t>
      </w:r>
    </w:p>
    <w:p>
      <w:pPr>
        <w:pStyle w:val="18"/>
        <w:numPr>
          <w:ilvl w:val="3"/>
          <w:numId w:val="109"/>
        </w:numPr>
        <w:tabs>
          <w:tab w:val="left" w:pos="1681"/>
        </w:tabs>
        <w:spacing w:before="212" w:after="0" w:line="240" w:lineRule="auto"/>
        <w:ind w:left="1681" w:right="0" w:hanging="601"/>
        <w:jc w:val="left"/>
        <w:rPr>
          <w:sz w:val="24"/>
        </w:rPr>
      </w:pPr>
      <w:r>
        <w:rPr>
          <w:sz w:val="24"/>
        </w:rPr>
        <w:t>向环境排放污染物的排污口必须规范化。</w:t>
      </w:r>
    </w:p>
    <w:p>
      <w:pPr>
        <w:pStyle w:val="18"/>
        <w:numPr>
          <w:ilvl w:val="3"/>
          <w:numId w:val="109"/>
        </w:numPr>
        <w:tabs>
          <w:tab w:val="left" w:pos="1681"/>
        </w:tabs>
        <w:spacing w:before="160" w:after="0" w:line="240" w:lineRule="auto"/>
        <w:ind w:left="1681" w:right="0" w:hanging="601"/>
        <w:jc w:val="left"/>
        <w:rPr>
          <w:sz w:val="24"/>
        </w:rPr>
      </w:pPr>
      <w:r>
        <w:rPr>
          <w:position w:val="2"/>
          <w:sz w:val="24"/>
        </w:rPr>
        <w:t>列入总量控制指标的污染物中废水</w:t>
      </w:r>
      <w:r>
        <w:rPr>
          <w:rFonts w:ascii="Times New Roman" w:eastAsia="Times New Roman"/>
          <w:position w:val="2"/>
          <w:sz w:val="24"/>
        </w:rPr>
        <w:t>COD</w:t>
      </w:r>
      <w:r>
        <w:rPr>
          <w:spacing w:val="-19"/>
          <w:position w:val="2"/>
          <w:sz w:val="24"/>
        </w:rPr>
        <w:t>、氨氮和废气排放的烟尘、</w:t>
      </w:r>
      <w:r>
        <w:rPr>
          <w:rFonts w:ascii="Times New Roman" w:eastAsia="Times New Roman"/>
          <w:position w:val="2"/>
          <w:sz w:val="24"/>
        </w:rPr>
        <w:t>NO</w:t>
      </w:r>
      <w:r>
        <w:rPr>
          <w:rFonts w:ascii="Times New Roman" w:eastAsia="Times New Roman"/>
          <w:position w:val="2"/>
          <w:sz w:val="24"/>
          <w:vertAlign w:val="subscript"/>
        </w:rPr>
        <w:t>x</w:t>
      </w:r>
      <w:r>
        <w:rPr>
          <w:position w:val="2"/>
          <w:sz w:val="24"/>
          <w:vertAlign w:val="baseline"/>
        </w:rPr>
        <w:t>、</w:t>
      </w:r>
    </w:p>
    <w:p>
      <w:pPr>
        <w:pStyle w:val="9"/>
        <w:spacing w:before="156"/>
        <w:ind w:left="600"/>
      </w:pPr>
      <w:r>
        <w:rPr>
          <w:rFonts w:ascii="Times New Roman" w:eastAsia="Times New Roman"/>
          <w:position w:val="2"/>
        </w:rPr>
        <w:t>SO</w:t>
      </w:r>
      <w:r>
        <w:rPr>
          <w:rFonts w:ascii="Times New Roman" w:eastAsia="Times New Roman"/>
          <w:position w:val="2"/>
          <w:vertAlign w:val="subscript"/>
        </w:rPr>
        <w:t>2</w:t>
      </w:r>
      <w:r>
        <w:rPr>
          <w:position w:val="2"/>
          <w:vertAlign w:val="baseline"/>
        </w:rPr>
        <w:t>为管理重点。</w:t>
      </w:r>
    </w:p>
    <w:p>
      <w:pPr>
        <w:pStyle w:val="18"/>
        <w:numPr>
          <w:ilvl w:val="3"/>
          <w:numId w:val="109"/>
        </w:numPr>
        <w:tabs>
          <w:tab w:val="left" w:pos="1681"/>
        </w:tabs>
        <w:spacing w:before="157" w:after="0" w:line="240" w:lineRule="auto"/>
        <w:ind w:left="1681" w:right="0" w:hanging="601"/>
        <w:jc w:val="left"/>
        <w:rPr>
          <w:sz w:val="24"/>
        </w:rPr>
      </w:pPr>
      <w:r>
        <w:rPr>
          <w:sz w:val="24"/>
        </w:rPr>
        <w:t>排污口应便于采样与计量监测，便于日常现场监督检查。</w:t>
      </w:r>
    </w:p>
    <w:p>
      <w:pPr>
        <w:pStyle w:val="6"/>
        <w:numPr>
          <w:ilvl w:val="2"/>
          <w:numId w:val="109"/>
        </w:numPr>
        <w:tabs>
          <w:tab w:val="left" w:pos="1371"/>
        </w:tabs>
        <w:spacing w:before="214" w:after="0" w:line="240" w:lineRule="auto"/>
        <w:ind w:left="1370" w:right="0" w:hanging="771"/>
        <w:jc w:val="left"/>
      </w:pPr>
      <w:bookmarkStart w:id="724" w:name="13.5.2排污口的技术要求"/>
      <w:bookmarkEnd w:id="724"/>
      <w:bookmarkStart w:id="725" w:name="13.5.2排污口的技术要求"/>
      <w:bookmarkEnd w:id="725"/>
      <w:r>
        <w:t>排污口的技术要求</w:t>
      </w:r>
    </w:p>
    <w:p>
      <w:pPr>
        <w:pStyle w:val="18"/>
        <w:numPr>
          <w:ilvl w:val="0"/>
          <w:numId w:val="110"/>
        </w:numPr>
        <w:tabs>
          <w:tab w:val="left" w:pos="1681"/>
        </w:tabs>
        <w:spacing w:before="211" w:after="0" w:line="364" w:lineRule="auto"/>
        <w:ind w:left="600" w:right="897" w:firstLine="480"/>
        <w:jc w:val="left"/>
        <w:rPr>
          <w:sz w:val="24"/>
        </w:rPr>
      </w:pPr>
      <w:r>
        <w:rPr>
          <w:spacing w:val="-4"/>
          <w:sz w:val="24"/>
        </w:rPr>
        <w:t>排污口的位置必须合理确定，按环监</w:t>
      </w:r>
      <w:r>
        <w:rPr>
          <w:spacing w:val="-3"/>
          <w:sz w:val="24"/>
        </w:rPr>
        <w:t>（</w:t>
      </w:r>
      <w:r>
        <w:rPr>
          <w:rFonts w:ascii="Times New Roman" w:eastAsia="Times New Roman"/>
          <w:spacing w:val="-3"/>
          <w:sz w:val="24"/>
        </w:rPr>
        <w:t>1996</w:t>
      </w:r>
      <w:r>
        <w:rPr>
          <w:spacing w:val="-3"/>
          <w:sz w:val="24"/>
        </w:rPr>
        <w:t>）</w:t>
      </w:r>
      <w:r>
        <w:rPr>
          <w:rFonts w:ascii="Times New Roman" w:eastAsia="Times New Roman"/>
          <w:spacing w:val="-3"/>
          <w:sz w:val="24"/>
        </w:rPr>
        <w:t>470</w:t>
      </w:r>
      <w:r>
        <w:rPr>
          <w:sz w:val="24"/>
        </w:rPr>
        <w:t xml:space="preserve">号文件要求进行规 </w:t>
      </w:r>
      <w:r>
        <w:rPr>
          <w:spacing w:val="-4"/>
          <w:sz w:val="24"/>
        </w:rPr>
        <w:t>范化管理。</w:t>
      </w:r>
    </w:p>
    <w:p>
      <w:pPr>
        <w:pStyle w:val="18"/>
        <w:numPr>
          <w:ilvl w:val="0"/>
          <w:numId w:val="110"/>
        </w:numPr>
        <w:tabs>
          <w:tab w:val="left" w:pos="1681"/>
        </w:tabs>
        <w:spacing w:before="2" w:after="0" w:line="364" w:lineRule="auto"/>
        <w:ind w:left="600" w:right="900" w:firstLine="480"/>
        <w:jc w:val="left"/>
        <w:rPr>
          <w:sz w:val="24"/>
        </w:rPr>
      </w:pPr>
      <w:r>
        <w:rPr>
          <w:spacing w:val="-1"/>
          <w:sz w:val="24"/>
        </w:rPr>
        <w:t>排放污染物的采样点设置应按《污染源监测技术规范》要求，设置在</w:t>
      </w:r>
      <w:r>
        <w:rPr>
          <w:sz w:val="24"/>
        </w:rPr>
        <w:t>矿井水及生活污水排放口、主厂房排气筒等处。</w:t>
      </w:r>
    </w:p>
    <w:p>
      <w:pPr>
        <w:pStyle w:val="6"/>
        <w:numPr>
          <w:ilvl w:val="2"/>
          <w:numId w:val="109"/>
        </w:numPr>
        <w:tabs>
          <w:tab w:val="left" w:pos="1371"/>
        </w:tabs>
        <w:spacing w:before="54" w:after="0" w:line="240" w:lineRule="auto"/>
        <w:ind w:left="1370" w:right="0" w:hanging="771"/>
        <w:jc w:val="left"/>
      </w:pPr>
      <w:bookmarkStart w:id="726" w:name="13.5.3排污口立标管理"/>
      <w:bookmarkEnd w:id="726"/>
      <w:bookmarkStart w:id="727" w:name="13.5.3排污口立标管理"/>
      <w:bookmarkEnd w:id="727"/>
      <w:r>
        <w:t>排污口立标管理</w:t>
      </w:r>
    </w:p>
    <w:p>
      <w:pPr>
        <w:pStyle w:val="18"/>
        <w:numPr>
          <w:ilvl w:val="0"/>
          <w:numId w:val="111"/>
        </w:numPr>
        <w:tabs>
          <w:tab w:val="left" w:pos="1707"/>
        </w:tabs>
        <w:spacing w:before="212" w:after="0" w:line="240" w:lineRule="auto"/>
        <w:ind w:left="1706" w:right="0" w:hanging="627"/>
        <w:jc w:val="left"/>
        <w:rPr>
          <w:sz w:val="24"/>
        </w:rPr>
      </w:pPr>
      <w:r>
        <w:rPr>
          <w:spacing w:val="6"/>
          <w:sz w:val="24"/>
        </w:rPr>
        <w:t>企业污染物排放口的标志，应按国家《环境保护图形标志排放口》</w:t>
      </w:r>
    </w:p>
    <w:p>
      <w:pPr>
        <w:pStyle w:val="9"/>
        <w:spacing w:before="161"/>
        <w:ind w:left="600"/>
        <w:rPr>
          <w:rFonts w:ascii="Times New Roman" w:eastAsia="Times New Roman"/>
        </w:rPr>
      </w:pPr>
      <w:r>
        <w:t>（</w:t>
      </w:r>
      <w:r>
        <w:rPr>
          <w:rFonts w:ascii="Times New Roman" w:eastAsia="Times New Roman"/>
        </w:rPr>
        <w:t>15562.1</w:t>
      </w:r>
      <w:r>
        <w:t>－</w:t>
      </w:r>
      <w:r>
        <w:rPr>
          <w:rFonts w:ascii="Times New Roman" w:eastAsia="Times New Roman"/>
        </w:rPr>
        <w:t>1995</w:t>
      </w:r>
      <w:r>
        <w:t>）及《环境保护图形标志固体废物贮存（处置）场》（</w:t>
      </w:r>
      <w:r>
        <w:rPr>
          <w:rFonts w:ascii="Times New Roman" w:eastAsia="Times New Roman"/>
        </w:rPr>
        <w:t>15562.2</w:t>
      </w:r>
    </w:p>
    <w:p>
      <w:pPr>
        <w:pStyle w:val="9"/>
        <w:spacing w:before="160"/>
        <w:ind w:left="600"/>
      </w:pPr>
      <w:r>
        <w:rPr>
          <w:spacing w:val="-6"/>
        </w:rPr>
        <w:t>－</w:t>
      </w:r>
      <w:r>
        <w:rPr>
          <w:rFonts w:ascii="Times New Roman" w:eastAsia="Times New Roman"/>
          <w:spacing w:val="-6"/>
        </w:rPr>
        <w:t>1995</w:t>
      </w:r>
      <w:r>
        <w:rPr>
          <w:spacing w:val="-6"/>
        </w:rPr>
        <w:t>）</w:t>
      </w:r>
      <w:r>
        <w:rPr>
          <w:spacing w:val="-8"/>
        </w:rPr>
        <w:t>的规定，设置国家环保总局统一制作的环境保护图形标志牌。示例见表</w:t>
      </w:r>
    </w:p>
    <w:p>
      <w:pPr>
        <w:pStyle w:val="9"/>
        <w:spacing w:before="161"/>
        <w:ind w:left="600"/>
      </w:pPr>
      <w:r>
        <w:rPr>
          <w:rFonts w:ascii="Times New Roman" w:eastAsia="Times New Roman"/>
        </w:rPr>
        <w:t>13.4-1</w:t>
      </w:r>
      <w:r>
        <w:t>。</w:t>
      </w:r>
    </w:p>
    <w:p>
      <w:pPr>
        <w:pStyle w:val="18"/>
        <w:numPr>
          <w:ilvl w:val="0"/>
          <w:numId w:val="111"/>
        </w:numPr>
        <w:tabs>
          <w:tab w:val="left" w:pos="1681"/>
        </w:tabs>
        <w:spacing w:before="160" w:after="0" w:line="364" w:lineRule="auto"/>
        <w:ind w:left="600" w:right="900" w:firstLine="480"/>
        <w:jc w:val="left"/>
        <w:rPr>
          <w:sz w:val="24"/>
        </w:rPr>
      </w:pPr>
      <w:r>
        <w:rPr>
          <w:spacing w:val="-1"/>
          <w:sz w:val="24"/>
        </w:rPr>
        <w:t>污染物排放口的环保图形标志牌应设置在靠近采样点的醒目处，标志</w:t>
      </w:r>
      <w:r>
        <w:rPr>
          <w:sz w:val="24"/>
        </w:rPr>
        <w:t>牌设置高度为其上缘距地面</w:t>
      </w:r>
      <w:r>
        <w:rPr>
          <w:rFonts w:ascii="Times New Roman" w:eastAsia="Times New Roman"/>
          <w:sz w:val="24"/>
        </w:rPr>
        <w:t>2m</w:t>
      </w:r>
      <w:r>
        <w:rPr>
          <w:sz w:val="24"/>
        </w:rPr>
        <w:t>。</w:t>
      </w:r>
    </w:p>
    <w:p>
      <w:pPr>
        <w:spacing w:after="0" w:line="364" w:lineRule="auto"/>
        <w:jc w:val="left"/>
        <w:rPr>
          <w:sz w:val="24"/>
        </w:rPr>
        <w:sectPr>
          <w:pgSz w:w="11910" w:h="16840"/>
          <w:pgMar w:top="1420" w:right="900" w:bottom="1100" w:left="1200" w:header="0" w:footer="913" w:gutter="0"/>
        </w:sectPr>
      </w:pPr>
    </w:p>
    <w:p>
      <w:pPr>
        <w:pStyle w:val="9"/>
        <w:ind w:left="600"/>
        <w:rPr>
          <w:sz w:val="20"/>
        </w:rPr>
      </w:pPr>
      <w:r>
        <w:rPr>
          <w:sz w:val="20"/>
        </w:rPr>
        <w:drawing>
          <wp:inline distT="0" distB="0" distL="0" distR="0">
            <wp:extent cx="5332730" cy="2733675"/>
            <wp:effectExtent l="0" t="0" r="0" b="0"/>
            <wp:docPr id="6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9.jpeg"/>
                    <pic:cNvPicPr>
                      <a:picLocks noChangeAspect="1"/>
                    </pic:cNvPicPr>
                  </pic:nvPicPr>
                  <pic:blipFill>
                    <a:blip r:embed="rId72" cstate="print"/>
                    <a:stretch>
                      <a:fillRect/>
                    </a:stretch>
                  </pic:blipFill>
                  <pic:spPr>
                    <a:xfrm>
                      <a:off x="0" y="0"/>
                      <a:ext cx="5333256" cy="2733675"/>
                    </a:xfrm>
                    <a:prstGeom prst="rect">
                      <a:avLst/>
                    </a:prstGeom>
                  </pic:spPr>
                </pic:pic>
              </a:graphicData>
            </a:graphic>
          </wp:inline>
        </w:drawing>
      </w:r>
    </w:p>
    <w:p>
      <w:pPr>
        <w:pStyle w:val="9"/>
        <w:rPr>
          <w:sz w:val="13"/>
        </w:rPr>
      </w:pPr>
    </w:p>
    <w:p>
      <w:pPr>
        <w:spacing w:after="0"/>
        <w:rPr>
          <w:sz w:val="13"/>
        </w:rPr>
        <w:sectPr>
          <w:pgSz w:w="11910" w:h="16840"/>
          <w:pgMar w:top="1460" w:right="900" w:bottom="1180" w:left="1200" w:header="0" w:footer="913" w:gutter="0"/>
        </w:sectPr>
      </w:pPr>
    </w:p>
    <w:p>
      <w:pPr>
        <w:pStyle w:val="9"/>
        <w:rPr>
          <w:sz w:val="30"/>
        </w:rPr>
      </w:pPr>
    </w:p>
    <w:p>
      <w:pPr>
        <w:pStyle w:val="6"/>
        <w:numPr>
          <w:ilvl w:val="2"/>
          <w:numId w:val="109"/>
        </w:numPr>
        <w:tabs>
          <w:tab w:val="left" w:pos="1371"/>
        </w:tabs>
        <w:spacing w:before="196" w:after="0" w:line="240" w:lineRule="auto"/>
        <w:ind w:left="1370" w:right="0" w:hanging="771"/>
        <w:jc w:val="left"/>
      </w:pPr>
      <w:bookmarkStart w:id="728" w:name="13.5.4排污口建档管理"/>
      <w:bookmarkEnd w:id="728"/>
      <w:bookmarkStart w:id="729" w:name="13.5.4排污口建档管理"/>
      <w:bookmarkEnd w:id="729"/>
      <w:r>
        <w:rPr>
          <w:spacing w:val="-2"/>
        </w:rPr>
        <w:t>排污口建档管理</w:t>
      </w:r>
    </w:p>
    <w:p>
      <w:pPr>
        <w:spacing w:before="76"/>
        <w:ind w:left="-26" w:right="0" w:firstLine="0"/>
        <w:jc w:val="left"/>
        <w:rPr>
          <w:b/>
          <w:sz w:val="21"/>
        </w:rPr>
      </w:pPr>
      <w:r>
        <w:br w:type="column"/>
      </w:r>
      <w:r>
        <w:rPr>
          <w:b/>
          <w:spacing w:val="-26"/>
          <w:sz w:val="21"/>
        </w:rPr>
        <w:t xml:space="preserve">图 </w:t>
      </w:r>
      <w:r>
        <w:rPr>
          <w:rFonts w:ascii="Times New Roman" w:eastAsia="Times New Roman"/>
          <w:b/>
          <w:sz w:val="21"/>
        </w:rPr>
        <w:t>13.5-1</w:t>
      </w:r>
      <w:r>
        <w:rPr>
          <w:rFonts w:ascii="Times New Roman" w:eastAsia="Times New Roman"/>
          <w:b/>
          <w:spacing w:val="52"/>
          <w:sz w:val="21"/>
        </w:rPr>
        <w:t xml:space="preserve"> </w:t>
      </w:r>
      <w:r>
        <w:rPr>
          <w:b/>
          <w:sz w:val="21"/>
        </w:rPr>
        <w:t>排污口图形标志示例</w:t>
      </w:r>
    </w:p>
    <w:p>
      <w:pPr>
        <w:spacing w:after="0"/>
        <w:jc w:val="left"/>
        <w:rPr>
          <w:sz w:val="21"/>
        </w:rPr>
        <w:sectPr>
          <w:type w:val="continuous"/>
          <w:pgSz w:w="11910" w:h="16840"/>
          <w:pgMar w:top="1580" w:right="900" w:bottom="280" w:left="1200" w:header="720" w:footer="720" w:gutter="0"/>
          <w:cols w:equalWidth="0" w:num="2">
            <w:col w:w="3339" w:space="40"/>
            <w:col w:w="6431"/>
          </w:cols>
        </w:sectPr>
      </w:pPr>
    </w:p>
    <w:p>
      <w:pPr>
        <w:pStyle w:val="9"/>
        <w:spacing w:before="7"/>
        <w:rPr>
          <w:b/>
          <w:sz w:val="10"/>
        </w:rPr>
      </w:pPr>
    </w:p>
    <w:p>
      <w:pPr>
        <w:pStyle w:val="18"/>
        <w:numPr>
          <w:ilvl w:val="0"/>
          <w:numId w:val="112"/>
        </w:numPr>
        <w:tabs>
          <w:tab w:val="left" w:pos="1681"/>
        </w:tabs>
        <w:spacing w:before="76" w:after="0" w:line="364" w:lineRule="auto"/>
        <w:ind w:left="600" w:right="900" w:firstLine="480"/>
        <w:jc w:val="left"/>
        <w:rPr>
          <w:sz w:val="24"/>
        </w:rPr>
      </w:pPr>
      <w:r>
        <w:rPr>
          <w:spacing w:val="-1"/>
          <w:sz w:val="24"/>
        </w:rPr>
        <w:t>要求使用国家环保局统一印刷的《中华人民共和国规范化排污口标志</w:t>
      </w:r>
      <w:r>
        <w:rPr>
          <w:sz w:val="24"/>
        </w:rPr>
        <w:t>登记证》，并按要求填写有关内容。</w:t>
      </w:r>
    </w:p>
    <w:p>
      <w:pPr>
        <w:pStyle w:val="18"/>
        <w:numPr>
          <w:ilvl w:val="0"/>
          <w:numId w:val="112"/>
        </w:numPr>
        <w:tabs>
          <w:tab w:val="left" w:pos="1681"/>
        </w:tabs>
        <w:spacing w:before="1" w:after="0" w:line="364" w:lineRule="auto"/>
        <w:ind w:left="600" w:right="900" w:firstLine="480"/>
        <w:jc w:val="left"/>
        <w:rPr>
          <w:sz w:val="24"/>
        </w:rPr>
      </w:pPr>
      <w:r>
        <w:rPr>
          <w:spacing w:val="-1"/>
          <w:sz w:val="24"/>
        </w:rPr>
        <w:t>根据排污口管理档案内容要求，项目建成后，应将主要污染物种类、</w:t>
      </w:r>
      <w:r>
        <w:rPr>
          <w:sz w:val="24"/>
        </w:rPr>
        <w:t>数量、浓度、排放去向、达标情况及设施运行情况记录于档案。</w:t>
      </w:r>
    </w:p>
    <w:p>
      <w:pPr>
        <w:pStyle w:val="5"/>
        <w:numPr>
          <w:ilvl w:val="1"/>
          <w:numId w:val="87"/>
        </w:numPr>
        <w:tabs>
          <w:tab w:val="left" w:pos="1200"/>
        </w:tabs>
        <w:spacing w:before="42" w:after="0" w:line="240" w:lineRule="auto"/>
        <w:ind w:left="1200" w:right="0" w:hanging="600"/>
        <w:jc w:val="left"/>
      </w:pPr>
      <w:bookmarkStart w:id="730" w:name="13.6环境保护竣工验收"/>
      <w:bookmarkEnd w:id="730"/>
      <w:bookmarkStart w:id="731" w:name="_bookmark79"/>
      <w:bookmarkEnd w:id="731"/>
      <w:bookmarkStart w:id="732" w:name="_bookmark79"/>
      <w:bookmarkEnd w:id="732"/>
      <w:r>
        <w:t>环境保护竣工验收</w:t>
      </w:r>
    </w:p>
    <w:p>
      <w:pPr>
        <w:pStyle w:val="9"/>
        <w:spacing w:before="199" w:line="364" w:lineRule="auto"/>
        <w:ind w:left="600" w:right="897" w:firstLine="540"/>
      </w:pPr>
      <w:r>
        <w:t>本工程竣工后，应进行环保设施竣工验收，并应与主体工程同步进行，环保设施竣工验收主要内容见下表。</w:t>
      </w:r>
    </w:p>
    <w:p>
      <w:pPr>
        <w:spacing w:before="139"/>
        <w:ind w:left="3144" w:right="0" w:firstLine="0"/>
        <w:jc w:val="left"/>
        <w:rPr>
          <w:b/>
          <w:sz w:val="21"/>
        </w:rPr>
      </w:pPr>
      <w:r>
        <w:rPr>
          <w:b/>
          <w:spacing w:val="-28"/>
          <w:sz w:val="21"/>
        </w:rPr>
        <w:t xml:space="preserve">表 </w:t>
      </w:r>
      <w:r>
        <w:rPr>
          <w:rFonts w:ascii="Times New Roman" w:eastAsia="Times New Roman"/>
          <w:b/>
          <w:sz w:val="21"/>
        </w:rPr>
        <w:t>13.6-1</w:t>
      </w:r>
      <w:r>
        <w:rPr>
          <w:rFonts w:ascii="Times New Roman" w:eastAsia="Times New Roman"/>
          <w:b/>
          <w:spacing w:val="52"/>
          <w:sz w:val="21"/>
        </w:rPr>
        <w:t xml:space="preserve"> </w:t>
      </w:r>
      <w:r>
        <w:rPr>
          <w:b/>
          <w:sz w:val="21"/>
        </w:rPr>
        <w:t>环保设施竣工验收一览表</w:t>
      </w:r>
    </w:p>
    <w:p>
      <w:pPr>
        <w:pStyle w:val="9"/>
        <w:spacing w:before="11"/>
        <w:rPr>
          <w:b/>
          <w:sz w:val="7"/>
        </w:rPr>
      </w:pPr>
    </w:p>
    <w:tbl>
      <w:tblPr>
        <w:tblStyle w:val="15"/>
        <w:tblW w:w="0" w:type="auto"/>
        <w:tblInd w:w="5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5"/>
        <w:gridCol w:w="629"/>
        <w:gridCol w:w="965"/>
        <w:gridCol w:w="3621"/>
        <w:gridCol w:w="26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9" w:hRule="atLeast"/>
        </w:trPr>
        <w:tc>
          <w:tcPr>
            <w:tcW w:w="625" w:type="dxa"/>
            <w:tcBorders>
              <w:bottom w:val="single" w:color="000000" w:sz="4" w:space="0"/>
              <w:right w:val="single" w:color="000000" w:sz="4" w:space="0"/>
            </w:tcBorders>
          </w:tcPr>
          <w:p>
            <w:pPr>
              <w:pStyle w:val="19"/>
              <w:spacing w:before="52"/>
              <w:ind w:left="207"/>
              <w:jc w:val="left"/>
              <w:rPr>
                <w:sz w:val="21"/>
              </w:rPr>
            </w:pPr>
            <w:r>
              <w:rPr>
                <w:w w:val="99"/>
                <w:sz w:val="21"/>
              </w:rPr>
              <w:t>序</w:t>
            </w:r>
          </w:p>
          <w:p>
            <w:pPr>
              <w:pStyle w:val="19"/>
              <w:spacing w:before="105"/>
              <w:ind w:left="207"/>
              <w:jc w:val="left"/>
              <w:rPr>
                <w:sz w:val="21"/>
              </w:rPr>
            </w:pPr>
            <w:r>
              <w:rPr>
                <w:w w:val="99"/>
                <w:sz w:val="21"/>
              </w:rPr>
              <w:t>号</w:t>
            </w:r>
          </w:p>
        </w:tc>
        <w:tc>
          <w:tcPr>
            <w:tcW w:w="1594" w:type="dxa"/>
            <w:gridSpan w:val="2"/>
            <w:tcBorders>
              <w:left w:val="single" w:color="000000" w:sz="4" w:space="0"/>
              <w:bottom w:val="single" w:color="000000" w:sz="4" w:space="0"/>
              <w:right w:val="single" w:color="000000" w:sz="4" w:space="0"/>
            </w:tcBorders>
          </w:tcPr>
          <w:p>
            <w:pPr>
              <w:pStyle w:val="19"/>
              <w:spacing w:before="8"/>
              <w:jc w:val="left"/>
              <w:rPr>
                <w:b/>
                <w:sz w:val="18"/>
              </w:rPr>
            </w:pPr>
          </w:p>
          <w:p>
            <w:pPr>
              <w:pStyle w:val="19"/>
              <w:ind w:left="149" w:right="135"/>
              <w:rPr>
                <w:sz w:val="21"/>
              </w:rPr>
            </w:pPr>
            <w:r>
              <w:rPr>
                <w:sz w:val="21"/>
              </w:rPr>
              <w:t>类别</w:t>
            </w:r>
          </w:p>
        </w:tc>
        <w:tc>
          <w:tcPr>
            <w:tcW w:w="3621" w:type="dxa"/>
            <w:tcBorders>
              <w:left w:val="single" w:color="000000" w:sz="4" w:space="0"/>
              <w:bottom w:val="single" w:color="000000" w:sz="4" w:space="0"/>
              <w:right w:val="single" w:color="000000" w:sz="4" w:space="0"/>
            </w:tcBorders>
          </w:tcPr>
          <w:p>
            <w:pPr>
              <w:pStyle w:val="19"/>
              <w:spacing w:before="8"/>
              <w:jc w:val="left"/>
              <w:rPr>
                <w:b/>
                <w:sz w:val="18"/>
              </w:rPr>
            </w:pPr>
          </w:p>
          <w:p>
            <w:pPr>
              <w:pStyle w:val="19"/>
              <w:ind w:left="98" w:right="83"/>
              <w:rPr>
                <w:sz w:val="21"/>
              </w:rPr>
            </w:pPr>
            <w:r>
              <w:rPr>
                <w:sz w:val="21"/>
              </w:rPr>
              <w:t>环境保护设施设备</w:t>
            </w:r>
          </w:p>
        </w:tc>
        <w:tc>
          <w:tcPr>
            <w:tcW w:w="2679" w:type="dxa"/>
            <w:tcBorders>
              <w:left w:val="single" w:color="000000" w:sz="4" w:space="0"/>
              <w:bottom w:val="single" w:color="000000" w:sz="4" w:space="0"/>
            </w:tcBorders>
          </w:tcPr>
          <w:p>
            <w:pPr>
              <w:pStyle w:val="19"/>
              <w:spacing w:before="8"/>
              <w:jc w:val="left"/>
              <w:rPr>
                <w:b/>
                <w:sz w:val="18"/>
              </w:rPr>
            </w:pPr>
          </w:p>
          <w:p>
            <w:pPr>
              <w:pStyle w:val="19"/>
              <w:ind w:left="38" w:right="16"/>
              <w:rPr>
                <w:sz w:val="21"/>
              </w:rPr>
            </w:pPr>
            <w:r>
              <w:rPr>
                <w:sz w:val="21"/>
              </w:rPr>
              <w:t>验收要求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25" w:type="dxa"/>
            <w:tcBorders>
              <w:top w:val="single" w:color="000000" w:sz="4" w:space="0"/>
              <w:bottom w:val="nil"/>
              <w:right w:val="single" w:color="000000" w:sz="4" w:space="0"/>
            </w:tcBorders>
          </w:tcPr>
          <w:p>
            <w:pPr>
              <w:pStyle w:val="19"/>
              <w:jc w:val="left"/>
              <w:rPr>
                <w:rFonts w:ascii="Times New Roman"/>
                <w:sz w:val="22"/>
              </w:rPr>
            </w:pPr>
          </w:p>
        </w:tc>
        <w:tc>
          <w:tcPr>
            <w:tcW w:w="629" w:type="dxa"/>
            <w:vMerge w:val="restart"/>
            <w:tcBorders>
              <w:top w:val="single" w:color="000000" w:sz="4" w:space="0"/>
              <w:left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spacing w:before="5"/>
              <w:jc w:val="left"/>
              <w:rPr>
                <w:b/>
                <w:sz w:val="17"/>
              </w:rPr>
            </w:pPr>
          </w:p>
          <w:p>
            <w:pPr>
              <w:pStyle w:val="19"/>
              <w:spacing w:line="333" w:lineRule="auto"/>
              <w:ind w:left="213" w:right="194"/>
              <w:jc w:val="both"/>
              <w:rPr>
                <w:sz w:val="21"/>
              </w:rPr>
            </w:pPr>
            <w:r>
              <w:rPr>
                <w:sz w:val="21"/>
              </w:rPr>
              <w:t>废水处理</w:t>
            </w:r>
          </w:p>
        </w:tc>
        <w:tc>
          <w:tcPr>
            <w:tcW w:w="965" w:type="dxa"/>
            <w:tcBorders>
              <w:top w:val="single" w:color="000000" w:sz="4" w:space="0"/>
              <w:left w:val="single" w:color="000000" w:sz="4" w:space="0"/>
              <w:bottom w:val="nil"/>
              <w:right w:val="single" w:color="000000" w:sz="4" w:space="0"/>
            </w:tcBorders>
          </w:tcPr>
          <w:p>
            <w:pPr>
              <w:pStyle w:val="19"/>
              <w:jc w:val="left"/>
              <w:rPr>
                <w:rFonts w:ascii="Times New Roman"/>
                <w:sz w:val="22"/>
              </w:rPr>
            </w:pPr>
          </w:p>
        </w:tc>
        <w:tc>
          <w:tcPr>
            <w:tcW w:w="3621" w:type="dxa"/>
            <w:tcBorders>
              <w:top w:val="single" w:color="000000" w:sz="4" w:space="0"/>
              <w:left w:val="single" w:color="000000" w:sz="4" w:space="0"/>
              <w:bottom w:val="nil"/>
              <w:right w:val="single" w:color="000000" w:sz="4" w:space="0"/>
            </w:tcBorders>
          </w:tcPr>
          <w:p>
            <w:pPr>
              <w:pStyle w:val="19"/>
              <w:jc w:val="left"/>
              <w:rPr>
                <w:rFonts w:ascii="Times New Roman"/>
                <w:sz w:val="22"/>
              </w:rPr>
            </w:pPr>
          </w:p>
        </w:tc>
        <w:tc>
          <w:tcPr>
            <w:tcW w:w="2679" w:type="dxa"/>
            <w:tcBorders>
              <w:top w:val="single" w:color="000000" w:sz="4" w:space="0"/>
              <w:left w:val="single" w:color="000000" w:sz="4" w:space="0"/>
              <w:bottom w:val="nil"/>
            </w:tcBorders>
          </w:tcPr>
          <w:p>
            <w:pPr>
              <w:pStyle w:val="19"/>
              <w:spacing w:before="51"/>
              <w:ind w:left="36" w:right="16"/>
              <w:rPr>
                <w:sz w:val="21"/>
              </w:rPr>
            </w:pPr>
            <w:r>
              <w:rPr>
                <w:sz w:val="21"/>
              </w:rPr>
              <w:t>满足《城市污水再生利用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5" w:hRule="atLeast"/>
        </w:trPr>
        <w:tc>
          <w:tcPr>
            <w:tcW w:w="625" w:type="dxa"/>
            <w:tcBorders>
              <w:top w:val="nil"/>
              <w:bottom w:val="nil"/>
              <w:right w:val="single" w:color="000000" w:sz="4" w:space="0"/>
            </w:tcBorders>
          </w:tcPr>
          <w:p>
            <w:pPr>
              <w:pStyle w:val="19"/>
              <w:jc w:val="left"/>
              <w:rPr>
                <w:rFonts w:ascii="Times New Roman"/>
                <w:sz w:val="22"/>
              </w:rPr>
            </w:pPr>
          </w:p>
        </w:tc>
        <w:tc>
          <w:tcPr>
            <w:tcW w:w="629" w:type="dxa"/>
            <w:vMerge w:val="continue"/>
            <w:tcBorders>
              <w:top w:val="nil"/>
              <w:left w:val="single" w:color="000000" w:sz="4" w:space="0"/>
              <w:right w:val="single" w:color="000000" w:sz="4" w:space="0"/>
            </w:tcBorders>
          </w:tcPr>
          <w:p>
            <w:pPr>
              <w:rPr>
                <w:sz w:val="2"/>
                <w:szCs w:val="2"/>
              </w:rPr>
            </w:pPr>
          </w:p>
        </w:tc>
        <w:tc>
          <w:tcPr>
            <w:tcW w:w="965" w:type="dxa"/>
            <w:tcBorders>
              <w:top w:val="nil"/>
              <w:left w:val="single" w:color="000000" w:sz="4" w:space="0"/>
              <w:bottom w:val="nil"/>
              <w:right w:val="single" w:color="000000" w:sz="4" w:space="0"/>
            </w:tcBorders>
          </w:tcPr>
          <w:p>
            <w:pPr>
              <w:pStyle w:val="19"/>
              <w:spacing w:before="48"/>
              <w:ind w:left="149" w:right="135"/>
              <w:rPr>
                <w:sz w:val="21"/>
              </w:rPr>
            </w:pPr>
            <w:r>
              <w:rPr>
                <w:sz w:val="21"/>
              </w:rPr>
              <w:t>生活污</w:t>
            </w:r>
          </w:p>
        </w:tc>
        <w:tc>
          <w:tcPr>
            <w:tcW w:w="3621" w:type="dxa"/>
            <w:tcBorders>
              <w:top w:val="nil"/>
              <w:left w:val="single" w:color="000000" w:sz="4" w:space="0"/>
              <w:bottom w:val="nil"/>
              <w:right w:val="single" w:color="000000" w:sz="4" w:space="0"/>
            </w:tcBorders>
          </w:tcPr>
          <w:p>
            <w:pPr>
              <w:pStyle w:val="19"/>
              <w:spacing w:before="48"/>
              <w:ind w:left="102" w:right="83"/>
              <w:rPr>
                <w:sz w:val="21"/>
              </w:rPr>
            </w:pPr>
            <w:r>
              <w:rPr>
                <w:sz w:val="21"/>
              </w:rPr>
              <w:t xml:space="preserve">处理能力 </w:t>
            </w:r>
            <w:r>
              <w:rPr>
                <w:rFonts w:ascii="Times New Roman" w:eastAsia="Times New Roman"/>
                <w:sz w:val="21"/>
              </w:rPr>
              <w:t>200m</w:t>
            </w:r>
            <w:r>
              <w:rPr>
                <w:rFonts w:ascii="Times New Roman" w:eastAsia="Times New Roman"/>
                <w:position w:val="7"/>
                <w:sz w:val="13"/>
              </w:rPr>
              <w:t>3</w:t>
            </w:r>
            <w:r>
              <w:rPr>
                <w:rFonts w:ascii="Times New Roman" w:eastAsia="Times New Roman"/>
                <w:sz w:val="21"/>
              </w:rPr>
              <w:t xml:space="preserve">/d </w:t>
            </w:r>
            <w:r>
              <w:rPr>
                <w:sz w:val="21"/>
              </w:rPr>
              <w:t>一座，一体化综合</w:t>
            </w:r>
          </w:p>
        </w:tc>
        <w:tc>
          <w:tcPr>
            <w:tcW w:w="2679" w:type="dxa"/>
            <w:tcBorders>
              <w:top w:val="nil"/>
              <w:left w:val="single" w:color="000000" w:sz="4" w:space="0"/>
              <w:bottom w:val="nil"/>
            </w:tcBorders>
          </w:tcPr>
          <w:p>
            <w:pPr>
              <w:pStyle w:val="19"/>
              <w:spacing w:before="48"/>
              <w:ind w:left="38" w:right="16"/>
              <w:rPr>
                <w:sz w:val="21"/>
              </w:rPr>
            </w:pPr>
            <w:r>
              <w:rPr>
                <w:sz w:val="21"/>
              </w:rPr>
              <w:t>城市杂用水水质》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25" w:type="dxa"/>
            <w:tcBorders>
              <w:top w:val="nil"/>
              <w:bottom w:val="nil"/>
              <w:right w:val="single" w:color="000000" w:sz="4" w:space="0"/>
            </w:tcBorders>
          </w:tcPr>
          <w:p>
            <w:pPr>
              <w:pStyle w:val="19"/>
              <w:jc w:val="left"/>
              <w:rPr>
                <w:rFonts w:ascii="Times New Roman"/>
                <w:sz w:val="22"/>
              </w:rPr>
            </w:pPr>
          </w:p>
        </w:tc>
        <w:tc>
          <w:tcPr>
            <w:tcW w:w="629" w:type="dxa"/>
            <w:vMerge w:val="continue"/>
            <w:tcBorders>
              <w:top w:val="nil"/>
              <w:left w:val="single" w:color="000000" w:sz="4" w:space="0"/>
              <w:right w:val="single" w:color="000000" w:sz="4" w:space="0"/>
            </w:tcBorders>
          </w:tcPr>
          <w:p>
            <w:pPr>
              <w:rPr>
                <w:sz w:val="2"/>
                <w:szCs w:val="2"/>
              </w:rPr>
            </w:pPr>
          </w:p>
        </w:tc>
        <w:tc>
          <w:tcPr>
            <w:tcW w:w="965" w:type="dxa"/>
            <w:tcBorders>
              <w:top w:val="nil"/>
              <w:left w:val="single" w:color="000000" w:sz="4" w:space="0"/>
              <w:bottom w:val="nil"/>
              <w:right w:val="single" w:color="000000" w:sz="4" w:space="0"/>
            </w:tcBorders>
          </w:tcPr>
          <w:p>
            <w:pPr>
              <w:pStyle w:val="19"/>
              <w:spacing w:before="37"/>
              <w:ind w:left="149" w:right="135"/>
              <w:rPr>
                <w:sz w:val="21"/>
              </w:rPr>
            </w:pPr>
            <w:r>
              <w:rPr>
                <w:sz w:val="21"/>
              </w:rPr>
              <w:t>水处理</w:t>
            </w:r>
          </w:p>
        </w:tc>
        <w:tc>
          <w:tcPr>
            <w:tcW w:w="3621" w:type="dxa"/>
            <w:tcBorders>
              <w:top w:val="nil"/>
              <w:left w:val="single" w:color="000000" w:sz="4" w:space="0"/>
              <w:bottom w:val="nil"/>
              <w:right w:val="single" w:color="000000" w:sz="4" w:space="0"/>
            </w:tcBorders>
          </w:tcPr>
          <w:p>
            <w:pPr>
              <w:pStyle w:val="19"/>
              <w:spacing w:before="37"/>
              <w:ind w:left="102" w:right="82"/>
              <w:rPr>
                <w:sz w:val="21"/>
              </w:rPr>
            </w:pPr>
            <w:r>
              <w:rPr>
                <w:sz w:val="21"/>
              </w:rPr>
              <w:t>污水处理装置（</w:t>
            </w:r>
            <w:r>
              <w:rPr>
                <w:rFonts w:ascii="Times New Roman" w:eastAsia="Times New Roman"/>
                <w:sz w:val="21"/>
              </w:rPr>
              <w:t>SBR+</w:t>
            </w:r>
            <w:r>
              <w:rPr>
                <w:sz w:val="21"/>
              </w:rPr>
              <w:t>消毒）</w:t>
            </w:r>
          </w:p>
        </w:tc>
        <w:tc>
          <w:tcPr>
            <w:tcW w:w="2679" w:type="dxa"/>
            <w:tcBorders>
              <w:top w:val="nil"/>
              <w:left w:val="single" w:color="000000" w:sz="4" w:space="0"/>
              <w:bottom w:val="nil"/>
            </w:tcBorders>
          </w:tcPr>
          <w:p>
            <w:pPr>
              <w:pStyle w:val="19"/>
              <w:spacing w:before="37"/>
              <w:ind w:left="40" w:right="16"/>
              <w:rPr>
                <w:sz w:val="21"/>
              </w:rPr>
            </w:pPr>
            <w:r>
              <w:rPr>
                <w:sz w:val="21"/>
              </w:rPr>
              <w:t>（</w:t>
            </w:r>
            <w:r>
              <w:rPr>
                <w:rFonts w:ascii="Times New Roman" w:eastAsia="Times New Roman"/>
                <w:sz w:val="21"/>
              </w:rPr>
              <w:t>GB/T18920-2002</w:t>
            </w:r>
            <w:r>
              <w:rPr>
                <w:sz w:val="21"/>
              </w:rPr>
              <w:t>）道路清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1" w:hRule="atLeast"/>
        </w:trPr>
        <w:tc>
          <w:tcPr>
            <w:tcW w:w="625" w:type="dxa"/>
            <w:tcBorders>
              <w:top w:val="nil"/>
              <w:bottom w:val="nil"/>
              <w:right w:val="single" w:color="000000" w:sz="4" w:space="0"/>
            </w:tcBorders>
          </w:tcPr>
          <w:p>
            <w:pPr>
              <w:pStyle w:val="19"/>
              <w:jc w:val="left"/>
              <w:rPr>
                <w:rFonts w:ascii="Times New Roman"/>
                <w:sz w:val="22"/>
              </w:rPr>
            </w:pPr>
          </w:p>
        </w:tc>
        <w:tc>
          <w:tcPr>
            <w:tcW w:w="629" w:type="dxa"/>
            <w:vMerge w:val="continue"/>
            <w:tcBorders>
              <w:top w:val="nil"/>
              <w:left w:val="single" w:color="000000" w:sz="4" w:space="0"/>
              <w:right w:val="single" w:color="000000" w:sz="4" w:space="0"/>
            </w:tcBorders>
          </w:tcPr>
          <w:p>
            <w:pPr>
              <w:rPr>
                <w:sz w:val="2"/>
                <w:szCs w:val="2"/>
              </w:rPr>
            </w:pPr>
          </w:p>
        </w:tc>
        <w:tc>
          <w:tcPr>
            <w:tcW w:w="965" w:type="dxa"/>
            <w:tcBorders>
              <w:top w:val="nil"/>
              <w:left w:val="single" w:color="000000" w:sz="4" w:space="0"/>
              <w:bottom w:val="single" w:color="000000" w:sz="4" w:space="0"/>
              <w:right w:val="single" w:color="000000" w:sz="4" w:space="0"/>
            </w:tcBorders>
          </w:tcPr>
          <w:p>
            <w:pPr>
              <w:pStyle w:val="19"/>
              <w:jc w:val="left"/>
              <w:rPr>
                <w:rFonts w:ascii="Times New Roman"/>
                <w:sz w:val="22"/>
              </w:rPr>
            </w:pPr>
          </w:p>
        </w:tc>
        <w:tc>
          <w:tcPr>
            <w:tcW w:w="3621" w:type="dxa"/>
            <w:tcBorders>
              <w:top w:val="nil"/>
              <w:left w:val="single" w:color="000000" w:sz="4" w:space="0"/>
              <w:bottom w:val="single" w:color="000000" w:sz="4" w:space="0"/>
              <w:right w:val="single" w:color="000000" w:sz="4" w:space="0"/>
            </w:tcBorders>
          </w:tcPr>
          <w:p>
            <w:pPr>
              <w:pStyle w:val="19"/>
              <w:jc w:val="left"/>
              <w:rPr>
                <w:rFonts w:ascii="Times New Roman"/>
                <w:sz w:val="22"/>
              </w:rPr>
            </w:pPr>
          </w:p>
        </w:tc>
        <w:tc>
          <w:tcPr>
            <w:tcW w:w="2679" w:type="dxa"/>
            <w:tcBorders>
              <w:top w:val="nil"/>
              <w:left w:val="single" w:color="000000" w:sz="4" w:space="0"/>
              <w:bottom w:val="single" w:color="000000" w:sz="4" w:space="0"/>
            </w:tcBorders>
          </w:tcPr>
          <w:p>
            <w:pPr>
              <w:pStyle w:val="19"/>
              <w:spacing w:before="34"/>
              <w:ind w:left="38" w:right="16"/>
              <w:rPr>
                <w:sz w:val="21"/>
              </w:rPr>
            </w:pPr>
            <w:r>
              <w:rPr>
                <w:sz w:val="21"/>
              </w:rPr>
              <w:t>扫、消防用水标准。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625" w:type="dxa"/>
            <w:tcBorders>
              <w:top w:val="nil"/>
              <w:bottom w:val="nil"/>
              <w:right w:val="single" w:color="000000" w:sz="4" w:space="0"/>
            </w:tcBorders>
          </w:tcPr>
          <w:p>
            <w:pPr>
              <w:pStyle w:val="19"/>
              <w:spacing w:before="55"/>
              <w:ind w:left="14"/>
              <w:rPr>
                <w:rFonts w:ascii="Times New Roman"/>
                <w:sz w:val="21"/>
              </w:rPr>
            </w:pPr>
            <w:r>
              <w:rPr>
                <w:rFonts w:ascii="Times New Roman"/>
                <w:w w:val="99"/>
                <w:sz w:val="21"/>
              </w:rPr>
              <w:t>1</w:t>
            </w:r>
          </w:p>
        </w:tc>
        <w:tc>
          <w:tcPr>
            <w:tcW w:w="629" w:type="dxa"/>
            <w:vMerge w:val="continue"/>
            <w:tcBorders>
              <w:top w:val="nil"/>
              <w:left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nil"/>
              <w:right w:val="single" w:color="000000" w:sz="4" w:space="0"/>
            </w:tcBorders>
          </w:tcPr>
          <w:p>
            <w:pPr>
              <w:pStyle w:val="19"/>
              <w:jc w:val="left"/>
              <w:rPr>
                <w:rFonts w:ascii="Times New Roman"/>
                <w:sz w:val="22"/>
              </w:rPr>
            </w:pPr>
          </w:p>
        </w:tc>
        <w:tc>
          <w:tcPr>
            <w:tcW w:w="3621" w:type="dxa"/>
            <w:tcBorders>
              <w:top w:val="single" w:color="000000" w:sz="4" w:space="0"/>
              <w:left w:val="single" w:color="000000" w:sz="4" w:space="0"/>
              <w:bottom w:val="nil"/>
              <w:right w:val="single" w:color="000000" w:sz="4" w:space="0"/>
            </w:tcBorders>
          </w:tcPr>
          <w:p>
            <w:pPr>
              <w:pStyle w:val="19"/>
              <w:jc w:val="left"/>
              <w:rPr>
                <w:rFonts w:ascii="Times New Roman"/>
                <w:sz w:val="22"/>
              </w:rPr>
            </w:pPr>
          </w:p>
        </w:tc>
        <w:tc>
          <w:tcPr>
            <w:tcW w:w="2679" w:type="dxa"/>
            <w:tcBorders>
              <w:top w:val="single" w:color="000000" w:sz="4" w:space="0"/>
              <w:left w:val="single" w:color="000000" w:sz="4" w:space="0"/>
              <w:bottom w:val="nil"/>
            </w:tcBorders>
          </w:tcPr>
          <w:p>
            <w:pPr>
              <w:pStyle w:val="19"/>
              <w:spacing w:before="46"/>
              <w:ind w:left="38" w:right="16"/>
              <w:rPr>
                <w:sz w:val="21"/>
              </w:rPr>
            </w:pPr>
            <w:r>
              <w:rPr>
                <w:sz w:val="21"/>
              </w:rPr>
              <w:t>满足《煤炭工业污染物排放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7" w:hRule="atLeast"/>
        </w:trPr>
        <w:tc>
          <w:tcPr>
            <w:tcW w:w="625" w:type="dxa"/>
            <w:tcBorders>
              <w:top w:val="nil"/>
              <w:bottom w:val="nil"/>
              <w:right w:val="single" w:color="000000" w:sz="4" w:space="0"/>
            </w:tcBorders>
          </w:tcPr>
          <w:p>
            <w:pPr>
              <w:pStyle w:val="19"/>
              <w:jc w:val="left"/>
              <w:rPr>
                <w:rFonts w:ascii="Times New Roman"/>
                <w:sz w:val="22"/>
              </w:rPr>
            </w:pPr>
          </w:p>
        </w:tc>
        <w:tc>
          <w:tcPr>
            <w:tcW w:w="629" w:type="dxa"/>
            <w:vMerge w:val="continue"/>
            <w:tcBorders>
              <w:top w:val="nil"/>
              <w:left w:val="single" w:color="000000" w:sz="4" w:space="0"/>
              <w:right w:val="single" w:color="000000" w:sz="4" w:space="0"/>
            </w:tcBorders>
          </w:tcPr>
          <w:p>
            <w:pPr>
              <w:rPr>
                <w:sz w:val="2"/>
                <w:szCs w:val="2"/>
              </w:rPr>
            </w:pPr>
          </w:p>
        </w:tc>
        <w:tc>
          <w:tcPr>
            <w:tcW w:w="965" w:type="dxa"/>
            <w:tcBorders>
              <w:top w:val="nil"/>
              <w:left w:val="single" w:color="000000" w:sz="4" w:space="0"/>
              <w:bottom w:val="nil"/>
              <w:right w:val="single" w:color="000000" w:sz="4" w:space="0"/>
            </w:tcBorders>
          </w:tcPr>
          <w:p>
            <w:pPr>
              <w:pStyle w:val="19"/>
              <w:spacing w:before="9"/>
              <w:jc w:val="left"/>
              <w:rPr>
                <w:b/>
                <w:sz w:val="17"/>
              </w:rPr>
            </w:pPr>
          </w:p>
          <w:p>
            <w:pPr>
              <w:pStyle w:val="19"/>
              <w:spacing w:line="333" w:lineRule="auto"/>
              <w:ind w:left="275" w:right="153" w:hanging="106"/>
              <w:jc w:val="left"/>
              <w:rPr>
                <w:sz w:val="21"/>
              </w:rPr>
            </w:pPr>
            <w:r>
              <w:rPr>
                <w:sz w:val="21"/>
              </w:rPr>
              <w:t>矿井水处理</w:t>
            </w:r>
          </w:p>
        </w:tc>
        <w:tc>
          <w:tcPr>
            <w:tcW w:w="3621" w:type="dxa"/>
            <w:tcBorders>
              <w:top w:val="nil"/>
              <w:left w:val="single" w:color="000000" w:sz="4" w:space="0"/>
              <w:bottom w:val="nil"/>
              <w:right w:val="single" w:color="000000" w:sz="4" w:space="0"/>
            </w:tcBorders>
          </w:tcPr>
          <w:p>
            <w:pPr>
              <w:pStyle w:val="19"/>
              <w:spacing w:before="9"/>
              <w:jc w:val="left"/>
              <w:rPr>
                <w:b/>
                <w:sz w:val="17"/>
              </w:rPr>
            </w:pPr>
          </w:p>
          <w:p>
            <w:pPr>
              <w:pStyle w:val="19"/>
              <w:spacing w:line="333" w:lineRule="auto"/>
              <w:ind w:left="585" w:right="90" w:hanging="473"/>
              <w:jc w:val="left"/>
              <w:rPr>
                <w:sz w:val="21"/>
              </w:rPr>
            </w:pPr>
            <w:r>
              <w:rPr>
                <w:spacing w:val="-12"/>
                <w:sz w:val="21"/>
              </w:rPr>
              <w:t xml:space="preserve">处理能力 </w:t>
            </w:r>
            <w:r>
              <w:rPr>
                <w:rFonts w:ascii="Times New Roman" w:eastAsia="Times New Roman"/>
                <w:sz w:val="21"/>
              </w:rPr>
              <w:t>1600m</w:t>
            </w:r>
            <w:r>
              <w:rPr>
                <w:rFonts w:ascii="Times New Roman" w:eastAsia="Times New Roman"/>
                <w:position w:val="7"/>
                <w:sz w:val="13"/>
              </w:rPr>
              <w:t>3</w:t>
            </w:r>
            <w:r>
              <w:rPr>
                <w:rFonts w:ascii="Times New Roman" w:eastAsia="Times New Roman"/>
                <w:sz w:val="21"/>
              </w:rPr>
              <w:t xml:space="preserve">/d </w:t>
            </w:r>
            <w:r>
              <w:rPr>
                <w:spacing w:val="-6"/>
                <w:sz w:val="21"/>
              </w:rPr>
              <w:t>一座，混凝沉淀过</w:t>
            </w:r>
            <w:r>
              <w:rPr>
                <w:spacing w:val="-31"/>
                <w:sz w:val="21"/>
              </w:rPr>
              <w:t xml:space="preserve">滤 </w:t>
            </w:r>
            <w:r>
              <w:rPr>
                <w:rFonts w:ascii="Times New Roman" w:eastAsia="Times New Roman"/>
                <w:sz w:val="21"/>
              </w:rPr>
              <w:t xml:space="preserve">MBR </w:t>
            </w:r>
            <w:r>
              <w:rPr>
                <w:sz w:val="21"/>
              </w:rPr>
              <w:t>膜及消毒处理工艺</w:t>
            </w:r>
          </w:p>
        </w:tc>
        <w:tc>
          <w:tcPr>
            <w:tcW w:w="2679" w:type="dxa"/>
            <w:tcBorders>
              <w:top w:val="nil"/>
              <w:left w:val="single" w:color="000000" w:sz="4" w:space="0"/>
              <w:bottom w:val="nil"/>
            </w:tcBorders>
          </w:tcPr>
          <w:p>
            <w:pPr>
              <w:pStyle w:val="19"/>
              <w:spacing w:before="40"/>
              <w:ind w:left="40" w:right="16"/>
              <w:rPr>
                <w:sz w:val="21"/>
              </w:rPr>
            </w:pPr>
            <w:r>
              <w:rPr>
                <w:sz w:val="21"/>
              </w:rPr>
              <w:t>标准》（</w:t>
            </w:r>
            <w:r>
              <w:rPr>
                <w:rFonts w:ascii="Times New Roman" w:eastAsia="Times New Roman"/>
                <w:sz w:val="21"/>
              </w:rPr>
              <w:t>GB20426-2006</w:t>
            </w:r>
            <w:r>
              <w:rPr>
                <w:sz w:val="21"/>
              </w:rPr>
              <w:t>）表</w:t>
            </w:r>
          </w:p>
          <w:p>
            <w:pPr>
              <w:pStyle w:val="19"/>
              <w:spacing w:before="45" w:line="350" w:lineRule="atLeast"/>
              <w:ind w:left="146" w:right="124"/>
              <w:rPr>
                <w:sz w:val="21"/>
              </w:rPr>
            </w:pPr>
            <w:r>
              <w:rPr>
                <w:rFonts w:ascii="Times New Roman" w:eastAsia="Times New Roman"/>
                <w:sz w:val="21"/>
              </w:rPr>
              <w:t>1</w:t>
            </w:r>
            <w:r>
              <w:rPr>
                <w:sz w:val="21"/>
              </w:rPr>
              <w:t>、</w:t>
            </w:r>
            <w:r>
              <w:rPr>
                <w:rFonts w:ascii="Times New Roman" w:eastAsia="Times New Roman"/>
                <w:sz w:val="21"/>
              </w:rPr>
              <w:t xml:space="preserve">2 </w:t>
            </w:r>
            <w:r>
              <w:rPr>
                <w:sz w:val="21"/>
              </w:rPr>
              <w:t>标准限值；</w:t>
            </w:r>
            <w:r>
              <w:rPr>
                <w:sz w:val="24"/>
              </w:rPr>
              <w:t>《</w:t>
            </w:r>
            <w:r>
              <w:rPr>
                <w:sz w:val="21"/>
              </w:rPr>
              <w:t>地表水环境质量标准》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6" w:hRule="atLeast"/>
        </w:trPr>
        <w:tc>
          <w:tcPr>
            <w:tcW w:w="625" w:type="dxa"/>
            <w:tcBorders>
              <w:top w:val="nil"/>
              <w:right w:val="single" w:color="000000" w:sz="4" w:space="0"/>
            </w:tcBorders>
          </w:tcPr>
          <w:p>
            <w:pPr>
              <w:pStyle w:val="19"/>
              <w:jc w:val="left"/>
              <w:rPr>
                <w:rFonts w:ascii="Times New Roman"/>
                <w:sz w:val="22"/>
              </w:rPr>
            </w:pPr>
          </w:p>
        </w:tc>
        <w:tc>
          <w:tcPr>
            <w:tcW w:w="629" w:type="dxa"/>
            <w:vMerge w:val="continue"/>
            <w:tcBorders>
              <w:top w:val="nil"/>
              <w:left w:val="single" w:color="000000" w:sz="4" w:space="0"/>
              <w:right w:val="single" w:color="000000" w:sz="4" w:space="0"/>
            </w:tcBorders>
          </w:tcPr>
          <w:p>
            <w:pPr>
              <w:rPr>
                <w:sz w:val="2"/>
                <w:szCs w:val="2"/>
              </w:rPr>
            </w:pPr>
          </w:p>
        </w:tc>
        <w:tc>
          <w:tcPr>
            <w:tcW w:w="965" w:type="dxa"/>
            <w:tcBorders>
              <w:top w:val="nil"/>
              <w:left w:val="single" w:color="000000" w:sz="4" w:space="0"/>
              <w:right w:val="single" w:color="000000" w:sz="4" w:space="0"/>
            </w:tcBorders>
          </w:tcPr>
          <w:p>
            <w:pPr>
              <w:pStyle w:val="19"/>
              <w:jc w:val="left"/>
              <w:rPr>
                <w:rFonts w:ascii="Times New Roman"/>
                <w:sz w:val="22"/>
              </w:rPr>
            </w:pPr>
          </w:p>
        </w:tc>
        <w:tc>
          <w:tcPr>
            <w:tcW w:w="3621" w:type="dxa"/>
            <w:tcBorders>
              <w:top w:val="nil"/>
              <w:left w:val="single" w:color="000000" w:sz="4" w:space="0"/>
              <w:right w:val="single" w:color="000000" w:sz="4" w:space="0"/>
            </w:tcBorders>
          </w:tcPr>
          <w:p>
            <w:pPr>
              <w:pStyle w:val="19"/>
              <w:jc w:val="left"/>
              <w:rPr>
                <w:rFonts w:ascii="Times New Roman"/>
                <w:sz w:val="22"/>
              </w:rPr>
            </w:pPr>
          </w:p>
        </w:tc>
        <w:tc>
          <w:tcPr>
            <w:tcW w:w="2679" w:type="dxa"/>
            <w:tcBorders>
              <w:top w:val="nil"/>
              <w:left w:val="single" w:color="000000" w:sz="4" w:space="0"/>
            </w:tcBorders>
          </w:tcPr>
          <w:p>
            <w:pPr>
              <w:pStyle w:val="19"/>
              <w:spacing w:before="45"/>
              <w:ind w:left="38" w:right="16"/>
              <w:rPr>
                <w:sz w:val="21"/>
              </w:rPr>
            </w:pPr>
            <w:r>
              <w:rPr>
                <w:sz w:val="21"/>
              </w:rPr>
              <w:t>（</w:t>
            </w:r>
            <w:r>
              <w:rPr>
                <w:rFonts w:ascii="Times New Roman" w:hAnsi="Times New Roman" w:eastAsia="Times New Roman"/>
                <w:sz w:val="21"/>
              </w:rPr>
              <w:t>GB3838-2002</w:t>
            </w:r>
            <w:r>
              <w:rPr>
                <w:sz w:val="21"/>
              </w:rPr>
              <w:t>）中Ⅱ类标</w:t>
            </w:r>
          </w:p>
        </w:tc>
      </w:tr>
    </w:tbl>
    <w:p>
      <w:pPr>
        <w:spacing w:after="0"/>
        <w:rPr>
          <w:sz w:val="21"/>
        </w:rPr>
        <w:sectPr>
          <w:type w:val="continuous"/>
          <w:pgSz w:w="11910" w:h="16840"/>
          <w:pgMar w:top="1580" w:right="900" w:bottom="280" w:left="1200" w:header="720" w:footer="720" w:gutter="0"/>
        </w:sectPr>
      </w:pPr>
    </w:p>
    <w:tbl>
      <w:tblPr>
        <w:tblStyle w:val="15"/>
        <w:tblW w:w="0" w:type="auto"/>
        <w:tblInd w:w="5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5"/>
        <w:gridCol w:w="629"/>
        <w:gridCol w:w="965"/>
        <w:gridCol w:w="3621"/>
        <w:gridCol w:w="26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54" w:hRule="atLeast"/>
        </w:trPr>
        <w:tc>
          <w:tcPr>
            <w:tcW w:w="625" w:type="dxa"/>
            <w:tcBorders>
              <w:bottom w:val="single" w:color="000000" w:sz="4" w:space="0"/>
              <w:right w:val="single" w:color="000000" w:sz="4" w:space="0"/>
            </w:tcBorders>
          </w:tcPr>
          <w:p>
            <w:pPr>
              <w:pStyle w:val="19"/>
              <w:jc w:val="left"/>
              <w:rPr>
                <w:rFonts w:ascii="Times New Roman"/>
                <w:sz w:val="20"/>
              </w:rPr>
            </w:pPr>
          </w:p>
        </w:tc>
        <w:tc>
          <w:tcPr>
            <w:tcW w:w="629" w:type="dxa"/>
            <w:tcBorders>
              <w:left w:val="single" w:color="000000" w:sz="4" w:space="0"/>
              <w:bottom w:val="single" w:color="000000" w:sz="4" w:space="0"/>
              <w:right w:val="single" w:color="000000" w:sz="4" w:space="0"/>
            </w:tcBorders>
          </w:tcPr>
          <w:p>
            <w:pPr>
              <w:pStyle w:val="19"/>
              <w:jc w:val="left"/>
              <w:rPr>
                <w:rFonts w:ascii="Times New Roman"/>
                <w:sz w:val="20"/>
              </w:rPr>
            </w:pPr>
          </w:p>
        </w:tc>
        <w:tc>
          <w:tcPr>
            <w:tcW w:w="965" w:type="dxa"/>
            <w:tcBorders>
              <w:left w:val="single" w:color="000000" w:sz="4" w:space="0"/>
              <w:bottom w:val="single" w:color="000000" w:sz="4" w:space="0"/>
              <w:right w:val="single" w:color="000000" w:sz="4" w:space="0"/>
            </w:tcBorders>
          </w:tcPr>
          <w:p>
            <w:pPr>
              <w:pStyle w:val="19"/>
              <w:jc w:val="left"/>
              <w:rPr>
                <w:rFonts w:ascii="Times New Roman"/>
                <w:sz w:val="20"/>
              </w:rPr>
            </w:pPr>
          </w:p>
        </w:tc>
        <w:tc>
          <w:tcPr>
            <w:tcW w:w="3621" w:type="dxa"/>
            <w:tcBorders>
              <w:left w:val="single" w:color="000000" w:sz="4" w:space="0"/>
              <w:bottom w:val="single" w:color="000000" w:sz="4" w:space="0"/>
              <w:right w:val="single" w:color="000000" w:sz="4" w:space="0"/>
            </w:tcBorders>
          </w:tcPr>
          <w:p>
            <w:pPr>
              <w:pStyle w:val="19"/>
              <w:jc w:val="left"/>
              <w:rPr>
                <w:rFonts w:ascii="Times New Roman"/>
                <w:sz w:val="20"/>
              </w:rPr>
            </w:pPr>
          </w:p>
        </w:tc>
        <w:tc>
          <w:tcPr>
            <w:tcW w:w="2679" w:type="dxa"/>
            <w:tcBorders>
              <w:left w:val="single" w:color="000000" w:sz="4" w:space="0"/>
              <w:bottom w:val="single" w:color="000000" w:sz="4" w:space="0"/>
            </w:tcBorders>
          </w:tcPr>
          <w:p>
            <w:pPr>
              <w:pStyle w:val="19"/>
              <w:spacing w:before="42"/>
              <w:ind w:left="36" w:right="16"/>
              <w:rPr>
                <w:sz w:val="21"/>
              </w:rPr>
            </w:pPr>
            <w:r>
              <w:rPr>
                <w:sz w:val="21"/>
              </w:rPr>
              <w:t>准限值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9" w:hRule="atLeast"/>
        </w:trPr>
        <w:tc>
          <w:tcPr>
            <w:tcW w:w="625" w:type="dxa"/>
            <w:vMerge w:val="restart"/>
            <w:tcBorders>
              <w:top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1"/>
              <w:jc w:val="left"/>
              <w:rPr>
                <w:b/>
                <w:sz w:val="28"/>
              </w:rPr>
            </w:pPr>
          </w:p>
          <w:p>
            <w:pPr>
              <w:pStyle w:val="19"/>
              <w:ind w:left="14"/>
              <w:rPr>
                <w:rFonts w:ascii="Times New Roman"/>
                <w:sz w:val="21"/>
              </w:rPr>
            </w:pPr>
            <w:r>
              <w:rPr>
                <w:rFonts w:ascii="Times New Roman"/>
                <w:w w:val="99"/>
                <w:sz w:val="21"/>
              </w:rPr>
              <w:t>2</w:t>
            </w:r>
          </w:p>
        </w:tc>
        <w:tc>
          <w:tcPr>
            <w:tcW w:w="629"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0"/>
              </w:rPr>
            </w:pPr>
          </w:p>
          <w:p>
            <w:pPr>
              <w:pStyle w:val="19"/>
              <w:jc w:val="left"/>
              <w:rPr>
                <w:b/>
                <w:sz w:val="25"/>
              </w:rPr>
            </w:pPr>
          </w:p>
          <w:p>
            <w:pPr>
              <w:pStyle w:val="19"/>
              <w:spacing w:line="333" w:lineRule="auto"/>
              <w:ind w:left="213" w:right="194"/>
              <w:jc w:val="both"/>
              <w:rPr>
                <w:sz w:val="21"/>
              </w:rPr>
            </w:pPr>
            <w:r>
              <w:rPr>
                <w:sz w:val="21"/>
              </w:rPr>
              <w:t>大气防治</w:t>
            </w:r>
          </w:p>
        </w:tc>
        <w:tc>
          <w:tcPr>
            <w:tcW w:w="965" w:type="dxa"/>
            <w:tcBorders>
              <w:top w:val="single" w:color="000000" w:sz="4" w:space="0"/>
              <w:left w:val="single" w:color="000000" w:sz="4" w:space="0"/>
              <w:bottom w:val="single" w:color="000000" w:sz="4" w:space="0"/>
              <w:right w:val="single" w:color="000000" w:sz="4" w:space="0"/>
            </w:tcBorders>
          </w:tcPr>
          <w:p>
            <w:pPr>
              <w:pStyle w:val="19"/>
              <w:spacing w:before="51"/>
              <w:ind w:left="170"/>
              <w:jc w:val="left"/>
              <w:rPr>
                <w:sz w:val="21"/>
              </w:rPr>
            </w:pPr>
            <w:r>
              <w:rPr>
                <w:w w:val="95"/>
                <w:sz w:val="21"/>
              </w:rPr>
              <w:t>筛分粉</w:t>
            </w:r>
          </w:p>
          <w:p>
            <w:pPr>
              <w:pStyle w:val="19"/>
              <w:spacing w:before="105"/>
              <w:ind w:left="170"/>
              <w:jc w:val="left"/>
              <w:rPr>
                <w:sz w:val="21"/>
              </w:rPr>
            </w:pPr>
            <w:r>
              <w:rPr>
                <w:w w:val="95"/>
                <w:sz w:val="21"/>
              </w:rPr>
              <w:t>尘治理</w:t>
            </w:r>
          </w:p>
        </w:tc>
        <w:tc>
          <w:tcPr>
            <w:tcW w:w="3621" w:type="dxa"/>
            <w:tcBorders>
              <w:top w:val="single" w:color="000000" w:sz="4" w:space="0"/>
              <w:left w:val="single" w:color="000000" w:sz="4" w:space="0"/>
              <w:bottom w:val="single" w:color="000000" w:sz="4" w:space="0"/>
              <w:right w:val="single" w:color="000000" w:sz="4" w:space="0"/>
            </w:tcBorders>
          </w:tcPr>
          <w:p>
            <w:pPr>
              <w:pStyle w:val="19"/>
              <w:spacing w:before="7"/>
              <w:jc w:val="left"/>
              <w:rPr>
                <w:b/>
                <w:sz w:val="18"/>
              </w:rPr>
            </w:pPr>
          </w:p>
          <w:p>
            <w:pPr>
              <w:pStyle w:val="19"/>
              <w:ind w:left="98" w:right="83"/>
              <w:rPr>
                <w:sz w:val="21"/>
              </w:rPr>
            </w:pPr>
            <w:r>
              <w:rPr>
                <w:sz w:val="21"/>
              </w:rPr>
              <w:t>喷雾洒水</w:t>
            </w:r>
          </w:p>
        </w:tc>
        <w:tc>
          <w:tcPr>
            <w:tcW w:w="2679" w:type="dxa"/>
            <w:vMerge w:val="restart"/>
            <w:tcBorders>
              <w:top w:val="single" w:color="000000" w:sz="4" w:space="0"/>
              <w:left w:val="single" w:color="000000" w:sz="4" w:space="0"/>
              <w:bottom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154" w:line="333" w:lineRule="auto"/>
              <w:ind w:left="113" w:right="86" w:hanging="3"/>
              <w:rPr>
                <w:rFonts w:ascii="Times New Roman" w:hAnsi="Times New Roman" w:eastAsia="Times New Roman"/>
                <w:sz w:val="13"/>
              </w:rPr>
            </w:pPr>
            <w:r>
              <w:rPr>
                <w:spacing w:val="-8"/>
                <w:w w:val="95"/>
                <w:sz w:val="21"/>
              </w:rPr>
              <w:t>满足《煤炭工业污染物排放</w:t>
            </w:r>
            <w:r>
              <w:rPr>
                <w:spacing w:val="-29"/>
                <w:sz w:val="21"/>
              </w:rPr>
              <w:t>标准》</w:t>
            </w:r>
            <w:r>
              <w:rPr>
                <w:spacing w:val="-3"/>
                <w:sz w:val="21"/>
              </w:rPr>
              <w:t>（</w:t>
            </w:r>
            <w:r>
              <w:rPr>
                <w:rFonts w:ascii="Times New Roman" w:hAnsi="Times New Roman" w:eastAsia="Times New Roman"/>
                <w:spacing w:val="-3"/>
                <w:sz w:val="21"/>
              </w:rPr>
              <w:t>GB20426-2006</w:t>
            </w:r>
            <w:r>
              <w:rPr>
                <w:spacing w:val="-3"/>
                <w:sz w:val="21"/>
              </w:rPr>
              <w:t>）</w:t>
            </w:r>
            <w:r>
              <w:rPr>
                <w:spacing w:val="-13"/>
                <w:sz w:val="21"/>
              </w:rPr>
              <w:t>表</w:t>
            </w:r>
            <w:r>
              <w:rPr>
                <w:rFonts w:ascii="Times New Roman" w:hAnsi="Times New Roman" w:eastAsia="Times New Roman"/>
                <w:sz w:val="21"/>
              </w:rPr>
              <w:t>4</w:t>
            </w:r>
            <w:r>
              <w:rPr>
                <w:spacing w:val="-19"/>
                <w:sz w:val="21"/>
              </w:rPr>
              <w:t xml:space="preserve">、表 </w:t>
            </w:r>
            <w:r>
              <w:rPr>
                <w:rFonts w:ascii="Times New Roman" w:hAnsi="Times New Roman" w:eastAsia="Times New Roman"/>
                <w:sz w:val="21"/>
              </w:rPr>
              <w:t xml:space="preserve">5 </w:t>
            </w:r>
            <w:r>
              <w:rPr>
                <w:sz w:val="21"/>
              </w:rPr>
              <w:t>标准限值，颗粒物周界外浓度</w:t>
            </w:r>
            <w:r>
              <w:rPr>
                <w:rFonts w:ascii="Times New Roman" w:hAnsi="Times New Roman" w:eastAsia="Times New Roman"/>
                <w:sz w:val="21"/>
              </w:rPr>
              <w:t>≤1mg/m</w:t>
            </w:r>
            <w:r>
              <w:rPr>
                <w:rFonts w:ascii="Times New Roman" w:hAnsi="Times New Roman" w:eastAsia="Times New Roman"/>
                <w:position w:val="7"/>
                <w:sz w:val="13"/>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2"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tcPr>
          <w:p>
            <w:pPr>
              <w:pStyle w:val="19"/>
              <w:spacing w:before="50"/>
              <w:ind w:left="170"/>
              <w:jc w:val="left"/>
              <w:rPr>
                <w:sz w:val="21"/>
              </w:rPr>
            </w:pPr>
            <w:r>
              <w:rPr>
                <w:sz w:val="21"/>
              </w:rPr>
              <w:t>储煤场</w:t>
            </w:r>
          </w:p>
          <w:p>
            <w:pPr>
              <w:pStyle w:val="19"/>
              <w:spacing w:before="5" w:line="370" w:lineRule="atLeast"/>
              <w:ind w:left="381" w:right="153" w:hanging="212"/>
              <w:jc w:val="left"/>
              <w:rPr>
                <w:sz w:val="21"/>
              </w:rPr>
            </w:pPr>
            <w:r>
              <w:rPr>
                <w:sz w:val="21"/>
              </w:rPr>
              <w:t>粉尘治理</w:t>
            </w:r>
          </w:p>
        </w:tc>
        <w:tc>
          <w:tcPr>
            <w:tcW w:w="3621"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168"/>
              <w:ind w:left="100" w:right="83"/>
              <w:rPr>
                <w:sz w:val="21"/>
              </w:rPr>
            </w:pPr>
            <w:r>
              <w:rPr>
                <w:sz w:val="21"/>
              </w:rPr>
              <w:t>洒水降尘系统</w:t>
            </w:r>
          </w:p>
        </w:tc>
        <w:tc>
          <w:tcPr>
            <w:tcW w:w="26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2"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tcPr>
          <w:p>
            <w:pPr>
              <w:pStyle w:val="19"/>
              <w:spacing w:before="53"/>
              <w:ind w:left="170"/>
              <w:jc w:val="left"/>
              <w:rPr>
                <w:sz w:val="21"/>
              </w:rPr>
            </w:pPr>
            <w:r>
              <w:rPr>
                <w:sz w:val="21"/>
              </w:rPr>
              <w:t>矸石临</w:t>
            </w:r>
          </w:p>
          <w:p>
            <w:pPr>
              <w:pStyle w:val="19"/>
              <w:spacing w:before="4" w:line="370" w:lineRule="atLeast"/>
              <w:ind w:left="275" w:right="153" w:hanging="106"/>
              <w:jc w:val="left"/>
              <w:rPr>
                <w:sz w:val="21"/>
              </w:rPr>
            </w:pPr>
            <w:r>
              <w:rPr>
                <w:sz w:val="21"/>
              </w:rPr>
              <w:t>时堆放场地</w:t>
            </w:r>
          </w:p>
        </w:tc>
        <w:tc>
          <w:tcPr>
            <w:tcW w:w="3621" w:type="dxa"/>
            <w:tcBorders>
              <w:top w:val="single" w:color="000000" w:sz="4" w:space="0"/>
              <w:left w:val="single" w:color="000000" w:sz="4" w:space="0"/>
              <w:bottom w:val="single" w:color="000000" w:sz="4" w:space="0"/>
              <w:right w:val="single" w:color="000000" w:sz="4" w:space="0"/>
            </w:tcBorders>
          </w:tcPr>
          <w:p>
            <w:pPr>
              <w:pStyle w:val="19"/>
              <w:spacing w:before="9"/>
              <w:jc w:val="left"/>
              <w:rPr>
                <w:b/>
                <w:sz w:val="18"/>
              </w:rPr>
            </w:pPr>
          </w:p>
          <w:p>
            <w:pPr>
              <w:pStyle w:val="19"/>
              <w:spacing w:line="331" w:lineRule="auto"/>
              <w:ind w:left="112" w:right="93"/>
              <w:jc w:val="left"/>
              <w:rPr>
                <w:sz w:val="21"/>
              </w:rPr>
            </w:pPr>
            <w:r>
              <w:rPr>
                <w:sz w:val="21"/>
              </w:rPr>
              <w:t>矸石临时堆放场地周围设置拦矸坝和截流沟，布置洒水降尘系统。</w:t>
            </w:r>
          </w:p>
        </w:tc>
        <w:tc>
          <w:tcPr>
            <w:tcW w:w="26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98"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tcPr>
          <w:p>
            <w:pPr>
              <w:pStyle w:val="19"/>
              <w:spacing w:before="52" w:line="333" w:lineRule="auto"/>
              <w:ind w:left="112" w:right="93" w:firstLine="57"/>
              <w:jc w:val="both"/>
              <w:rPr>
                <w:sz w:val="21"/>
              </w:rPr>
            </w:pPr>
            <w:r>
              <w:rPr>
                <w:sz w:val="21"/>
              </w:rPr>
              <w:t>工业广</w:t>
            </w:r>
            <w:r>
              <w:rPr>
                <w:spacing w:val="-27"/>
                <w:sz w:val="21"/>
              </w:rPr>
              <w:t>场、道路</w:t>
            </w:r>
            <w:r>
              <w:rPr>
                <w:sz w:val="21"/>
              </w:rPr>
              <w:t>扬尘治</w:t>
            </w:r>
          </w:p>
          <w:p>
            <w:pPr>
              <w:pStyle w:val="19"/>
              <w:spacing w:before="2"/>
              <w:ind w:left="17"/>
              <w:rPr>
                <w:sz w:val="21"/>
              </w:rPr>
            </w:pPr>
            <w:r>
              <w:rPr>
                <w:w w:val="99"/>
                <w:sz w:val="21"/>
              </w:rPr>
              <w:t>理</w:t>
            </w:r>
          </w:p>
        </w:tc>
        <w:tc>
          <w:tcPr>
            <w:tcW w:w="3621"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12"/>
              <w:jc w:val="left"/>
              <w:rPr>
                <w:b/>
                <w:sz w:val="27"/>
              </w:rPr>
            </w:pPr>
          </w:p>
          <w:p>
            <w:pPr>
              <w:pStyle w:val="19"/>
              <w:ind w:left="100" w:right="83"/>
              <w:rPr>
                <w:sz w:val="21"/>
              </w:rPr>
            </w:pPr>
            <w:r>
              <w:rPr>
                <w:sz w:val="21"/>
              </w:rPr>
              <w:t>配备洒水车一台，定期洒水抑尘</w:t>
            </w:r>
          </w:p>
        </w:tc>
        <w:tc>
          <w:tcPr>
            <w:tcW w:w="26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2"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tcPr>
          <w:p>
            <w:pPr>
              <w:pStyle w:val="19"/>
              <w:spacing w:before="8"/>
              <w:jc w:val="left"/>
              <w:rPr>
                <w:b/>
                <w:sz w:val="18"/>
              </w:rPr>
            </w:pPr>
          </w:p>
          <w:p>
            <w:pPr>
              <w:pStyle w:val="19"/>
              <w:spacing w:line="331" w:lineRule="auto"/>
              <w:ind w:left="170" w:right="153"/>
              <w:jc w:val="left"/>
              <w:rPr>
                <w:sz w:val="21"/>
              </w:rPr>
            </w:pPr>
            <w:r>
              <w:rPr>
                <w:sz w:val="21"/>
              </w:rPr>
              <w:t>食堂油烟治理</w:t>
            </w:r>
          </w:p>
        </w:tc>
        <w:tc>
          <w:tcPr>
            <w:tcW w:w="3621" w:type="dxa"/>
            <w:tcBorders>
              <w:top w:val="single" w:color="000000" w:sz="4" w:space="0"/>
              <w:left w:val="single" w:color="000000" w:sz="4" w:space="0"/>
              <w:bottom w:val="single" w:color="000000" w:sz="4" w:space="0"/>
              <w:right w:val="single" w:color="000000" w:sz="4" w:space="0"/>
            </w:tcBorders>
          </w:tcPr>
          <w:p>
            <w:pPr>
              <w:pStyle w:val="19"/>
              <w:jc w:val="left"/>
              <w:rPr>
                <w:b/>
                <w:sz w:val="22"/>
              </w:rPr>
            </w:pPr>
          </w:p>
          <w:p>
            <w:pPr>
              <w:pStyle w:val="19"/>
              <w:spacing w:before="144"/>
              <w:ind w:left="102" w:right="82"/>
              <w:rPr>
                <w:sz w:val="21"/>
              </w:rPr>
            </w:pPr>
            <w:r>
              <w:rPr>
                <w:sz w:val="21"/>
              </w:rPr>
              <w:t xml:space="preserve">食堂安装油烟净化装置 </w:t>
            </w:r>
            <w:r>
              <w:rPr>
                <w:rFonts w:ascii="Times New Roman" w:eastAsia="Times New Roman"/>
                <w:sz w:val="21"/>
              </w:rPr>
              <w:t xml:space="preserve">1 </w:t>
            </w:r>
            <w:r>
              <w:rPr>
                <w:sz w:val="21"/>
              </w:rPr>
              <w:t>台</w:t>
            </w:r>
          </w:p>
        </w:tc>
        <w:tc>
          <w:tcPr>
            <w:tcW w:w="2679" w:type="dxa"/>
            <w:tcBorders>
              <w:top w:val="single" w:color="000000" w:sz="4" w:space="0"/>
              <w:left w:val="single" w:color="000000" w:sz="4" w:space="0"/>
              <w:bottom w:val="single" w:color="000000" w:sz="4" w:space="0"/>
            </w:tcBorders>
          </w:tcPr>
          <w:p>
            <w:pPr>
              <w:pStyle w:val="19"/>
              <w:spacing w:before="51"/>
              <w:ind w:left="113"/>
              <w:jc w:val="left"/>
              <w:rPr>
                <w:sz w:val="21"/>
              </w:rPr>
            </w:pPr>
            <w:r>
              <w:rPr>
                <w:spacing w:val="-8"/>
                <w:w w:val="95"/>
                <w:sz w:val="21"/>
              </w:rPr>
              <w:t>满足《饮食业油烟排放标准</w:t>
            </w:r>
          </w:p>
          <w:p>
            <w:pPr>
              <w:pStyle w:val="19"/>
              <w:spacing w:before="5" w:line="370" w:lineRule="atLeast"/>
              <w:ind w:left="115" w:right="-29" w:hanging="3"/>
              <w:jc w:val="left"/>
              <w:rPr>
                <w:rFonts w:ascii="Times New Roman" w:hAnsi="Times New Roman" w:eastAsia="Times New Roman"/>
                <w:sz w:val="13"/>
              </w:rPr>
            </w:pPr>
            <w:r>
              <w:rPr>
                <w:sz w:val="21"/>
              </w:rPr>
              <w:t>（试行</w:t>
            </w:r>
            <w:r>
              <w:rPr>
                <w:spacing w:val="-70"/>
                <w:sz w:val="21"/>
              </w:rPr>
              <w:t>）</w:t>
            </w:r>
            <w:r>
              <w:rPr>
                <w:spacing w:val="-137"/>
                <w:sz w:val="21"/>
              </w:rPr>
              <w:t>》</w:t>
            </w:r>
            <w:r>
              <w:rPr>
                <w:sz w:val="21"/>
              </w:rPr>
              <w:t>（</w:t>
            </w:r>
            <w:r>
              <w:rPr>
                <w:rFonts w:ascii="Times New Roman" w:hAnsi="Times New Roman" w:eastAsia="Times New Roman"/>
                <w:sz w:val="21"/>
              </w:rPr>
              <w:t>GB18483-2001</w:t>
            </w:r>
            <w:r>
              <w:rPr>
                <w:sz w:val="21"/>
              </w:rPr>
              <w:t>） 中标准限值，油烟</w:t>
            </w:r>
            <w:r>
              <w:rPr>
                <w:rFonts w:ascii="Times New Roman" w:hAnsi="Times New Roman" w:eastAsia="Times New Roman"/>
                <w:sz w:val="21"/>
              </w:rPr>
              <w:t>≤2mg/m</w:t>
            </w:r>
            <w:r>
              <w:rPr>
                <w:rFonts w:ascii="Times New Roman" w:hAnsi="Times New Roman" w:eastAsia="Times New Roman"/>
                <w:position w:val="7"/>
                <w:sz w:val="13"/>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97"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169" w:line="333" w:lineRule="auto"/>
              <w:ind w:left="170" w:right="153"/>
              <w:jc w:val="left"/>
              <w:rPr>
                <w:sz w:val="21"/>
              </w:rPr>
            </w:pPr>
            <w:r>
              <w:rPr>
                <w:sz w:val="21"/>
              </w:rPr>
              <w:t>锅炉烟尘治理</w:t>
            </w:r>
          </w:p>
        </w:tc>
        <w:tc>
          <w:tcPr>
            <w:tcW w:w="3621" w:type="dxa"/>
            <w:tcBorders>
              <w:top w:val="single" w:color="000000" w:sz="4" w:space="0"/>
              <w:left w:val="single" w:color="000000" w:sz="4" w:space="0"/>
              <w:bottom w:val="single" w:color="000000" w:sz="4" w:space="0"/>
              <w:right w:val="single" w:color="000000" w:sz="4" w:space="0"/>
            </w:tcBorders>
          </w:tcPr>
          <w:p>
            <w:pPr>
              <w:pStyle w:val="19"/>
              <w:spacing w:before="51" w:line="333" w:lineRule="auto"/>
              <w:ind w:left="112" w:right="90"/>
              <w:jc w:val="both"/>
              <w:rPr>
                <w:sz w:val="21"/>
              </w:rPr>
            </w:pPr>
            <w:r>
              <w:rPr>
                <w:sz w:val="21"/>
              </w:rPr>
              <w:t>洗浴锅炉烟尘经布袋除尘器处理后经</w:t>
            </w:r>
            <w:r>
              <w:rPr>
                <w:rFonts w:ascii="Times New Roman" w:eastAsia="Times New Roman"/>
                <w:sz w:val="21"/>
              </w:rPr>
              <w:t xml:space="preserve">15m </w:t>
            </w:r>
            <w:r>
              <w:rPr>
                <w:sz w:val="21"/>
              </w:rPr>
              <w:t>烟囱排放；井口加热及供暖锅炉</w:t>
            </w:r>
            <w:r>
              <w:rPr>
                <w:spacing w:val="-5"/>
                <w:sz w:val="21"/>
              </w:rPr>
              <w:t xml:space="preserve">烟尘经布袋除尘器处理后经 </w:t>
            </w:r>
            <w:r>
              <w:rPr>
                <w:rFonts w:ascii="Times New Roman" w:eastAsia="Times New Roman"/>
                <w:sz w:val="21"/>
              </w:rPr>
              <w:t xml:space="preserve">30m </w:t>
            </w:r>
            <w:r>
              <w:rPr>
                <w:sz w:val="21"/>
              </w:rPr>
              <w:t>烟囱</w:t>
            </w:r>
          </w:p>
          <w:p>
            <w:pPr>
              <w:pStyle w:val="19"/>
              <w:spacing w:before="2"/>
              <w:ind w:left="112"/>
              <w:jc w:val="left"/>
              <w:rPr>
                <w:sz w:val="21"/>
              </w:rPr>
            </w:pPr>
            <w:r>
              <w:rPr>
                <w:sz w:val="21"/>
              </w:rPr>
              <w:t>排放</w:t>
            </w:r>
          </w:p>
        </w:tc>
        <w:tc>
          <w:tcPr>
            <w:tcW w:w="2679" w:type="dxa"/>
            <w:tcBorders>
              <w:top w:val="single" w:color="000000" w:sz="4" w:space="0"/>
              <w:left w:val="single" w:color="000000" w:sz="4" w:space="0"/>
              <w:bottom w:val="single" w:color="000000" w:sz="4" w:space="0"/>
            </w:tcBorders>
          </w:tcPr>
          <w:p>
            <w:pPr>
              <w:pStyle w:val="19"/>
              <w:spacing w:before="8"/>
              <w:jc w:val="left"/>
              <w:rPr>
                <w:b/>
                <w:sz w:val="18"/>
              </w:rPr>
            </w:pPr>
          </w:p>
          <w:p>
            <w:pPr>
              <w:pStyle w:val="19"/>
              <w:spacing w:line="333" w:lineRule="auto"/>
              <w:ind w:left="113" w:right="86" w:hanging="3"/>
              <w:rPr>
                <w:sz w:val="21"/>
              </w:rPr>
            </w:pPr>
            <w:r>
              <w:rPr>
                <w:spacing w:val="-8"/>
                <w:w w:val="95"/>
                <w:sz w:val="21"/>
              </w:rPr>
              <w:t>满足《锅炉大气污染物排放</w:t>
            </w:r>
            <w:r>
              <w:rPr>
                <w:spacing w:val="-29"/>
                <w:sz w:val="21"/>
              </w:rPr>
              <w:t>标准》</w:t>
            </w:r>
            <w:r>
              <w:rPr>
                <w:spacing w:val="-3"/>
                <w:sz w:val="21"/>
              </w:rPr>
              <w:t>（</w:t>
            </w:r>
            <w:r>
              <w:rPr>
                <w:rFonts w:ascii="Times New Roman" w:eastAsia="Times New Roman"/>
                <w:spacing w:val="-3"/>
                <w:sz w:val="21"/>
              </w:rPr>
              <w:t>GB13271-2014</w:t>
            </w:r>
            <w:r>
              <w:rPr>
                <w:spacing w:val="-3"/>
                <w:sz w:val="21"/>
              </w:rPr>
              <w:t>）</w:t>
            </w:r>
            <w:r>
              <w:rPr>
                <w:spacing w:val="-13"/>
                <w:sz w:val="21"/>
              </w:rPr>
              <w:t>新</w:t>
            </w:r>
            <w:r>
              <w:rPr>
                <w:sz w:val="21"/>
              </w:rPr>
              <w:t>建锅炉标准限值要求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97" w:hRule="atLeast"/>
        </w:trPr>
        <w:tc>
          <w:tcPr>
            <w:tcW w:w="625" w:type="dxa"/>
            <w:tcBorders>
              <w:top w:val="single" w:color="000000" w:sz="4" w:space="0"/>
              <w:bottom w:val="single" w:color="000000" w:sz="4" w:space="0"/>
              <w:right w:val="single" w:color="000000" w:sz="4" w:space="0"/>
            </w:tcBorders>
          </w:tcPr>
          <w:p>
            <w:pPr>
              <w:pStyle w:val="19"/>
              <w:jc w:val="left"/>
              <w:rPr>
                <w:b/>
                <w:sz w:val="22"/>
              </w:rPr>
            </w:pPr>
          </w:p>
          <w:p>
            <w:pPr>
              <w:pStyle w:val="19"/>
              <w:spacing w:before="11"/>
              <w:jc w:val="left"/>
              <w:rPr>
                <w:b/>
                <w:sz w:val="26"/>
              </w:rPr>
            </w:pPr>
          </w:p>
          <w:p>
            <w:pPr>
              <w:pStyle w:val="19"/>
              <w:ind w:left="14"/>
              <w:rPr>
                <w:rFonts w:ascii="Times New Roman"/>
                <w:sz w:val="21"/>
              </w:rPr>
            </w:pPr>
            <w:r>
              <w:rPr>
                <w:rFonts w:ascii="Times New Roman"/>
                <w:w w:val="99"/>
                <w:sz w:val="21"/>
              </w:rPr>
              <w:t>3</w:t>
            </w:r>
          </w:p>
        </w:tc>
        <w:tc>
          <w:tcPr>
            <w:tcW w:w="629" w:type="dxa"/>
            <w:tcBorders>
              <w:top w:val="single" w:color="000000" w:sz="4" w:space="0"/>
              <w:left w:val="single" w:color="000000" w:sz="4" w:space="0"/>
              <w:bottom w:val="single" w:color="000000" w:sz="4" w:space="0"/>
              <w:right w:val="single" w:color="000000" w:sz="4" w:space="0"/>
            </w:tcBorders>
          </w:tcPr>
          <w:p>
            <w:pPr>
              <w:pStyle w:val="19"/>
              <w:spacing w:before="50" w:line="333" w:lineRule="auto"/>
              <w:ind w:left="213" w:right="194"/>
              <w:jc w:val="both"/>
              <w:rPr>
                <w:sz w:val="21"/>
              </w:rPr>
            </w:pPr>
            <w:r>
              <w:rPr>
                <w:sz w:val="21"/>
              </w:rPr>
              <w:t>噪声防</w:t>
            </w:r>
          </w:p>
          <w:p>
            <w:pPr>
              <w:pStyle w:val="19"/>
              <w:spacing w:before="2"/>
              <w:ind w:left="213"/>
              <w:jc w:val="left"/>
              <w:rPr>
                <w:sz w:val="21"/>
              </w:rPr>
            </w:pPr>
            <w:r>
              <w:rPr>
                <w:w w:val="99"/>
                <w:sz w:val="21"/>
              </w:rPr>
              <w:t>治</w:t>
            </w:r>
          </w:p>
        </w:tc>
        <w:tc>
          <w:tcPr>
            <w:tcW w:w="965"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169" w:line="333" w:lineRule="auto"/>
              <w:ind w:left="381" w:right="153" w:hanging="212"/>
              <w:jc w:val="left"/>
              <w:rPr>
                <w:sz w:val="21"/>
              </w:rPr>
            </w:pPr>
            <w:r>
              <w:rPr>
                <w:sz w:val="21"/>
              </w:rPr>
              <w:t>工业场地</w:t>
            </w:r>
          </w:p>
        </w:tc>
        <w:tc>
          <w:tcPr>
            <w:tcW w:w="3621"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10"/>
              <w:jc w:val="left"/>
              <w:rPr>
                <w:b/>
                <w:sz w:val="27"/>
              </w:rPr>
            </w:pPr>
          </w:p>
          <w:p>
            <w:pPr>
              <w:pStyle w:val="19"/>
              <w:ind w:left="100" w:right="83"/>
              <w:rPr>
                <w:sz w:val="21"/>
              </w:rPr>
            </w:pPr>
            <w:r>
              <w:rPr>
                <w:sz w:val="21"/>
              </w:rPr>
              <w:t>采用吸声、消声、隔声等降噪措施</w:t>
            </w:r>
          </w:p>
        </w:tc>
        <w:tc>
          <w:tcPr>
            <w:tcW w:w="2679" w:type="dxa"/>
            <w:tcBorders>
              <w:top w:val="single" w:color="000000" w:sz="4" w:space="0"/>
              <w:left w:val="single" w:color="000000" w:sz="4" w:space="0"/>
              <w:bottom w:val="single" w:color="000000" w:sz="4" w:space="0"/>
            </w:tcBorders>
          </w:tcPr>
          <w:p>
            <w:pPr>
              <w:pStyle w:val="19"/>
              <w:spacing w:before="50" w:line="333" w:lineRule="auto"/>
              <w:ind w:left="113" w:right="88"/>
              <w:rPr>
                <w:sz w:val="21"/>
              </w:rPr>
            </w:pPr>
            <w:r>
              <w:rPr>
                <w:w w:val="95"/>
                <w:sz w:val="21"/>
              </w:rPr>
              <w:t>厂界处满足《工业企业厂界</w:t>
            </w:r>
            <w:r>
              <w:rPr>
                <w:sz w:val="21"/>
              </w:rPr>
              <w:t>环境噪声排放标准》</w:t>
            </w:r>
          </w:p>
          <w:p>
            <w:pPr>
              <w:pStyle w:val="19"/>
              <w:spacing w:before="1"/>
              <w:ind w:left="38" w:right="16"/>
              <w:rPr>
                <w:sz w:val="21"/>
              </w:rPr>
            </w:pPr>
            <w:r>
              <w:rPr>
                <w:spacing w:val="2"/>
                <w:w w:val="99"/>
                <w:sz w:val="21"/>
              </w:rPr>
              <w:t>（</w:t>
            </w:r>
            <w:r>
              <w:rPr>
                <w:rFonts w:ascii="Times New Roman" w:eastAsia="Times New Roman"/>
                <w:w w:val="99"/>
                <w:sz w:val="21"/>
              </w:rPr>
              <w:t>G</w:t>
            </w:r>
            <w:r>
              <w:rPr>
                <w:rFonts w:ascii="Times New Roman" w:eastAsia="Times New Roman"/>
                <w:spacing w:val="-1"/>
                <w:w w:val="99"/>
                <w:sz w:val="21"/>
              </w:rPr>
              <w:t>B</w:t>
            </w:r>
            <w:r>
              <w:rPr>
                <w:rFonts w:ascii="Times New Roman" w:eastAsia="Times New Roman"/>
                <w:spacing w:val="1"/>
                <w:w w:val="99"/>
                <w:sz w:val="21"/>
              </w:rPr>
              <w:t>1234</w:t>
            </w:r>
            <w:r>
              <w:rPr>
                <w:rFonts w:ascii="Times New Roman" w:eastAsia="Times New Roman"/>
                <w:spacing w:val="-2"/>
                <w:w w:val="99"/>
                <w:sz w:val="21"/>
              </w:rPr>
              <w:t>8</w:t>
            </w:r>
            <w:r>
              <w:rPr>
                <w:rFonts w:ascii="Times New Roman" w:eastAsia="Times New Roman"/>
                <w:w w:val="99"/>
                <w:sz w:val="21"/>
              </w:rPr>
              <w:t>-</w:t>
            </w:r>
            <w:r>
              <w:rPr>
                <w:rFonts w:ascii="Times New Roman" w:eastAsia="Times New Roman"/>
                <w:spacing w:val="1"/>
                <w:w w:val="99"/>
                <w:sz w:val="21"/>
              </w:rPr>
              <w:t>200</w:t>
            </w:r>
            <w:r>
              <w:rPr>
                <w:rFonts w:ascii="Times New Roman" w:eastAsia="Times New Roman"/>
                <w:spacing w:val="-2"/>
                <w:w w:val="99"/>
                <w:sz w:val="21"/>
              </w:rPr>
              <w:t>8</w:t>
            </w:r>
            <w:r>
              <w:rPr>
                <w:spacing w:val="-104"/>
                <w:w w:val="99"/>
                <w:sz w:val="21"/>
              </w:rPr>
              <w:t>）</w:t>
            </w:r>
            <w:r>
              <w:rPr>
                <w:w w:val="99"/>
                <w:sz w:val="21"/>
              </w:rPr>
              <w:t>中</w:t>
            </w:r>
            <w:r>
              <w:rPr>
                <w:spacing w:val="-50"/>
                <w:sz w:val="21"/>
              </w:rPr>
              <w:t xml:space="preserve"> </w:t>
            </w:r>
            <w:r>
              <w:rPr>
                <w:rFonts w:ascii="Times New Roman" w:eastAsia="Times New Roman"/>
                <w:w w:val="99"/>
                <w:sz w:val="21"/>
              </w:rPr>
              <w:t>2</w:t>
            </w:r>
            <w:r>
              <w:rPr>
                <w:rFonts w:ascii="Times New Roman" w:eastAsia="Times New Roman"/>
                <w:spacing w:val="-1"/>
                <w:sz w:val="21"/>
              </w:rPr>
              <w:t xml:space="preserve"> </w:t>
            </w:r>
            <w:r>
              <w:rPr>
                <w:spacing w:val="-1"/>
                <w:w w:val="99"/>
                <w:sz w:val="21"/>
              </w:rPr>
              <w:t>类标</w:t>
            </w:r>
          </w:p>
          <w:p>
            <w:pPr>
              <w:pStyle w:val="19"/>
              <w:spacing w:before="106"/>
              <w:ind w:left="22"/>
              <w:rPr>
                <w:sz w:val="21"/>
              </w:rPr>
            </w:pPr>
            <w:r>
              <w:rPr>
                <w:w w:val="99"/>
                <w:sz w:val="21"/>
              </w:rPr>
              <w:t>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625" w:type="dxa"/>
            <w:vMerge w:val="restart"/>
            <w:tcBorders>
              <w:top w:val="single" w:color="000000" w:sz="4" w:space="0"/>
              <w:bottom w:val="single" w:color="000000" w:sz="4" w:space="0"/>
              <w:right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3"/>
              <w:jc w:val="left"/>
              <w:rPr>
                <w:b/>
                <w:sz w:val="16"/>
              </w:rPr>
            </w:pPr>
          </w:p>
          <w:p>
            <w:pPr>
              <w:pStyle w:val="19"/>
              <w:ind w:left="14"/>
              <w:rPr>
                <w:rFonts w:ascii="Times New Roman"/>
                <w:sz w:val="21"/>
              </w:rPr>
            </w:pPr>
            <w:r>
              <w:rPr>
                <w:rFonts w:ascii="Times New Roman"/>
                <w:w w:val="99"/>
                <w:sz w:val="21"/>
              </w:rPr>
              <w:t>4</w:t>
            </w:r>
          </w:p>
        </w:tc>
        <w:tc>
          <w:tcPr>
            <w:tcW w:w="629" w:type="dxa"/>
            <w:vMerge w:val="restart"/>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jc w:val="left"/>
              <w:rPr>
                <w:b/>
                <w:sz w:val="20"/>
              </w:rPr>
            </w:pPr>
          </w:p>
          <w:p>
            <w:pPr>
              <w:pStyle w:val="19"/>
              <w:jc w:val="left"/>
              <w:rPr>
                <w:b/>
                <w:sz w:val="20"/>
              </w:rPr>
            </w:pPr>
          </w:p>
          <w:p>
            <w:pPr>
              <w:pStyle w:val="19"/>
              <w:spacing w:before="4"/>
              <w:jc w:val="left"/>
              <w:rPr>
                <w:b/>
                <w:sz w:val="21"/>
              </w:rPr>
            </w:pPr>
          </w:p>
          <w:p>
            <w:pPr>
              <w:pStyle w:val="19"/>
              <w:spacing w:line="333" w:lineRule="auto"/>
              <w:ind w:left="213" w:right="194"/>
              <w:jc w:val="both"/>
              <w:rPr>
                <w:sz w:val="21"/>
              </w:rPr>
            </w:pPr>
            <w:r>
              <w:rPr>
                <w:sz w:val="21"/>
              </w:rPr>
              <w:t>固废处置</w:t>
            </w:r>
          </w:p>
        </w:tc>
        <w:tc>
          <w:tcPr>
            <w:tcW w:w="965" w:type="dxa"/>
            <w:vMerge w:val="restart"/>
            <w:tcBorders>
              <w:top w:val="single" w:color="000000" w:sz="4" w:space="0"/>
              <w:left w:val="single" w:color="000000" w:sz="4" w:space="0"/>
              <w:bottom w:val="single" w:color="000000" w:sz="4" w:space="0"/>
              <w:right w:val="single" w:color="000000" w:sz="4" w:space="0"/>
            </w:tcBorders>
          </w:tcPr>
          <w:p>
            <w:pPr>
              <w:pStyle w:val="19"/>
              <w:spacing w:before="51" w:line="333" w:lineRule="auto"/>
              <w:ind w:left="170" w:right="153"/>
              <w:rPr>
                <w:sz w:val="21"/>
              </w:rPr>
            </w:pPr>
            <w:r>
              <w:rPr>
                <w:spacing w:val="-6"/>
                <w:sz w:val="21"/>
              </w:rPr>
              <w:t>矸石临</w:t>
            </w:r>
            <w:r>
              <w:rPr>
                <w:spacing w:val="-6"/>
                <w:w w:val="95"/>
                <w:sz w:val="21"/>
              </w:rPr>
              <w:t>时堆放</w:t>
            </w:r>
          </w:p>
          <w:p>
            <w:pPr>
              <w:pStyle w:val="19"/>
              <w:spacing w:before="1"/>
              <w:ind w:left="149" w:right="135"/>
              <w:rPr>
                <w:sz w:val="21"/>
              </w:rPr>
            </w:pPr>
            <w:r>
              <w:rPr>
                <w:spacing w:val="-1"/>
                <w:w w:val="95"/>
                <w:sz w:val="21"/>
              </w:rPr>
              <w:t>场地</w:t>
            </w:r>
          </w:p>
        </w:tc>
        <w:tc>
          <w:tcPr>
            <w:tcW w:w="3621" w:type="dxa"/>
            <w:tcBorders>
              <w:top w:val="single" w:color="000000" w:sz="4" w:space="0"/>
              <w:left w:val="single" w:color="000000" w:sz="4" w:space="0"/>
              <w:bottom w:val="single" w:color="000000" w:sz="4" w:space="0"/>
              <w:right w:val="single" w:color="000000" w:sz="4" w:space="0"/>
            </w:tcBorders>
          </w:tcPr>
          <w:p>
            <w:pPr>
              <w:pStyle w:val="19"/>
              <w:spacing w:before="91"/>
              <w:ind w:left="98" w:right="83"/>
              <w:rPr>
                <w:sz w:val="21"/>
              </w:rPr>
            </w:pPr>
            <w:r>
              <w:rPr>
                <w:sz w:val="21"/>
              </w:rPr>
              <w:t>回填、修路、制砖</w:t>
            </w:r>
          </w:p>
        </w:tc>
        <w:tc>
          <w:tcPr>
            <w:tcW w:w="2679" w:type="dxa"/>
            <w:vMerge w:val="restart"/>
            <w:tcBorders>
              <w:top w:val="single" w:color="000000" w:sz="4" w:space="0"/>
              <w:left w:val="single" w:color="000000" w:sz="4" w:space="0"/>
              <w:bottom w:val="single" w:color="000000" w:sz="4" w:space="0"/>
            </w:tcBorders>
          </w:tcPr>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jc w:val="left"/>
              <w:rPr>
                <w:b/>
                <w:sz w:val="22"/>
              </w:rPr>
            </w:pPr>
          </w:p>
          <w:p>
            <w:pPr>
              <w:pStyle w:val="19"/>
              <w:spacing w:before="194"/>
              <w:ind w:left="233"/>
              <w:jc w:val="left"/>
              <w:rPr>
                <w:rFonts w:ascii="Times New Roman" w:eastAsia="Times New Roman"/>
                <w:sz w:val="21"/>
              </w:rPr>
            </w:pPr>
            <w:r>
              <w:rPr>
                <w:sz w:val="21"/>
              </w:rPr>
              <w:t xml:space="preserve">固体废物处理率达 </w:t>
            </w:r>
            <w:r>
              <w:rPr>
                <w:rFonts w:ascii="Times New Roman" w:eastAsia="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8"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vMerge w:val="continue"/>
            <w:tcBorders>
              <w:top w:val="nil"/>
              <w:left w:val="single" w:color="000000" w:sz="4" w:space="0"/>
              <w:bottom w:val="single" w:color="000000" w:sz="4" w:space="0"/>
              <w:right w:val="single" w:color="000000" w:sz="4" w:space="0"/>
            </w:tcBorders>
          </w:tcPr>
          <w:p>
            <w:pPr>
              <w:rPr>
                <w:sz w:val="2"/>
                <w:szCs w:val="2"/>
              </w:rPr>
            </w:pPr>
          </w:p>
        </w:tc>
        <w:tc>
          <w:tcPr>
            <w:tcW w:w="3621" w:type="dxa"/>
            <w:tcBorders>
              <w:top w:val="single" w:color="000000" w:sz="4" w:space="0"/>
              <w:left w:val="single" w:color="000000" w:sz="4" w:space="0"/>
              <w:bottom w:val="single" w:color="000000" w:sz="4" w:space="0"/>
              <w:right w:val="single" w:color="000000" w:sz="4" w:space="0"/>
            </w:tcBorders>
          </w:tcPr>
          <w:p>
            <w:pPr>
              <w:pStyle w:val="19"/>
              <w:spacing w:before="2"/>
              <w:jc w:val="left"/>
              <w:rPr>
                <w:b/>
                <w:sz w:val="15"/>
              </w:rPr>
            </w:pPr>
          </w:p>
          <w:p>
            <w:pPr>
              <w:pStyle w:val="19"/>
              <w:ind w:left="100" w:right="83"/>
              <w:rPr>
                <w:sz w:val="21"/>
              </w:rPr>
            </w:pPr>
            <w:r>
              <w:rPr>
                <w:sz w:val="21"/>
              </w:rPr>
              <w:t>周围设置拦矸坝和截流沟</w:t>
            </w:r>
          </w:p>
        </w:tc>
        <w:tc>
          <w:tcPr>
            <w:tcW w:w="26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9"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tcPr>
          <w:p>
            <w:pPr>
              <w:pStyle w:val="19"/>
              <w:spacing w:before="53"/>
              <w:ind w:left="170"/>
              <w:jc w:val="left"/>
              <w:rPr>
                <w:sz w:val="21"/>
              </w:rPr>
            </w:pPr>
            <w:r>
              <w:rPr>
                <w:w w:val="95"/>
                <w:sz w:val="21"/>
              </w:rPr>
              <w:t>生活垃</w:t>
            </w:r>
          </w:p>
          <w:p>
            <w:pPr>
              <w:pStyle w:val="19"/>
              <w:spacing w:before="103"/>
              <w:ind w:left="170"/>
              <w:jc w:val="left"/>
              <w:rPr>
                <w:sz w:val="21"/>
              </w:rPr>
            </w:pPr>
            <w:r>
              <w:rPr>
                <w:w w:val="95"/>
                <w:sz w:val="21"/>
              </w:rPr>
              <w:t>圾处理</w:t>
            </w:r>
          </w:p>
        </w:tc>
        <w:tc>
          <w:tcPr>
            <w:tcW w:w="3621" w:type="dxa"/>
            <w:tcBorders>
              <w:top w:val="single" w:color="000000" w:sz="4" w:space="0"/>
              <w:left w:val="single" w:color="000000" w:sz="4" w:space="0"/>
              <w:bottom w:val="single" w:color="000000" w:sz="4" w:space="0"/>
              <w:right w:val="single" w:color="000000" w:sz="4" w:space="0"/>
            </w:tcBorders>
          </w:tcPr>
          <w:p>
            <w:pPr>
              <w:pStyle w:val="19"/>
              <w:spacing w:before="53"/>
              <w:ind w:left="98" w:right="83"/>
              <w:rPr>
                <w:sz w:val="21"/>
              </w:rPr>
            </w:pPr>
            <w:r>
              <w:rPr>
                <w:sz w:val="21"/>
              </w:rPr>
              <w:t>设置垃圾箱收集，按环卫部门要求处</w:t>
            </w:r>
          </w:p>
          <w:p>
            <w:pPr>
              <w:pStyle w:val="19"/>
              <w:spacing w:before="103"/>
              <w:ind w:left="15"/>
              <w:rPr>
                <w:sz w:val="21"/>
              </w:rPr>
            </w:pPr>
            <w:r>
              <w:rPr>
                <w:w w:val="99"/>
                <w:sz w:val="21"/>
              </w:rPr>
              <w:t>理</w:t>
            </w:r>
          </w:p>
        </w:tc>
        <w:tc>
          <w:tcPr>
            <w:tcW w:w="26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2"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tcPr>
          <w:p>
            <w:pPr>
              <w:pStyle w:val="19"/>
              <w:spacing w:before="9"/>
              <w:jc w:val="left"/>
              <w:rPr>
                <w:b/>
                <w:sz w:val="18"/>
              </w:rPr>
            </w:pPr>
          </w:p>
          <w:p>
            <w:pPr>
              <w:pStyle w:val="19"/>
              <w:spacing w:line="333" w:lineRule="auto"/>
              <w:ind w:left="170" w:right="153"/>
              <w:jc w:val="left"/>
              <w:rPr>
                <w:sz w:val="21"/>
              </w:rPr>
            </w:pPr>
            <w:r>
              <w:rPr>
                <w:sz w:val="21"/>
              </w:rPr>
              <w:t>污水处理污泥</w:t>
            </w:r>
          </w:p>
        </w:tc>
        <w:tc>
          <w:tcPr>
            <w:tcW w:w="3621" w:type="dxa"/>
            <w:tcBorders>
              <w:top w:val="single" w:color="000000" w:sz="4" w:space="0"/>
              <w:left w:val="single" w:color="000000" w:sz="4" w:space="0"/>
              <w:bottom w:val="single" w:color="000000" w:sz="4" w:space="0"/>
              <w:right w:val="single" w:color="000000" w:sz="4" w:space="0"/>
            </w:tcBorders>
          </w:tcPr>
          <w:p>
            <w:pPr>
              <w:pStyle w:val="19"/>
              <w:spacing w:before="52"/>
              <w:ind w:left="134"/>
              <w:jc w:val="left"/>
              <w:rPr>
                <w:sz w:val="21"/>
              </w:rPr>
            </w:pPr>
            <w:r>
              <w:rPr>
                <w:sz w:val="21"/>
              </w:rPr>
              <w:t>矿井水处理站污泥压滤后外售；综合</w:t>
            </w:r>
          </w:p>
          <w:p>
            <w:pPr>
              <w:pStyle w:val="19"/>
              <w:spacing w:before="5" w:line="370" w:lineRule="atLeast"/>
              <w:ind w:left="1394" w:right="117" w:hanging="1260"/>
              <w:jc w:val="left"/>
              <w:rPr>
                <w:sz w:val="21"/>
              </w:rPr>
            </w:pPr>
            <w:r>
              <w:rPr>
                <w:sz w:val="21"/>
              </w:rPr>
              <w:t>污水处理站污泥按市政环卫部门要求统一处理</w:t>
            </w:r>
          </w:p>
        </w:tc>
        <w:tc>
          <w:tcPr>
            <w:tcW w:w="26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tcPr>
          <w:p>
            <w:pPr>
              <w:pStyle w:val="19"/>
              <w:spacing w:before="91"/>
              <w:ind w:left="149" w:right="135"/>
              <w:rPr>
                <w:sz w:val="21"/>
              </w:rPr>
            </w:pPr>
            <w:r>
              <w:rPr>
                <w:sz w:val="21"/>
              </w:rPr>
              <w:t>废机油</w:t>
            </w:r>
          </w:p>
        </w:tc>
        <w:tc>
          <w:tcPr>
            <w:tcW w:w="3621" w:type="dxa"/>
            <w:tcBorders>
              <w:top w:val="single" w:color="000000" w:sz="4" w:space="0"/>
              <w:left w:val="single" w:color="000000" w:sz="4" w:space="0"/>
              <w:bottom w:val="single" w:color="000000" w:sz="4" w:space="0"/>
              <w:right w:val="single" w:color="000000" w:sz="4" w:space="0"/>
            </w:tcBorders>
          </w:tcPr>
          <w:p>
            <w:pPr>
              <w:pStyle w:val="19"/>
              <w:spacing w:before="91"/>
              <w:ind w:left="100" w:right="83"/>
              <w:rPr>
                <w:sz w:val="21"/>
              </w:rPr>
            </w:pPr>
            <w:r>
              <w:rPr>
                <w:sz w:val="21"/>
              </w:rPr>
              <w:t>委托有资质的单位处理</w:t>
            </w:r>
          </w:p>
        </w:tc>
        <w:tc>
          <w:tcPr>
            <w:tcW w:w="26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625" w:type="dxa"/>
            <w:vMerge w:val="restart"/>
            <w:tcBorders>
              <w:top w:val="single" w:color="000000" w:sz="4" w:space="0"/>
              <w:right w:val="single" w:color="000000" w:sz="4" w:space="0"/>
            </w:tcBorders>
          </w:tcPr>
          <w:p>
            <w:pPr>
              <w:pStyle w:val="19"/>
              <w:jc w:val="left"/>
              <w:rPr>
                <w:b/>
                <w:sz w:val="22"/>
              </w:rPr>
            </w:pPr>
          </w:p>
          <w:p>
            <w:pPr>
              <w:pStyle w:val="19"/>
              <w:spacing w:before="9"/>
              <w:jc w:val="left"/>
              <w:rPr>
                <w:b/>
                <w:sz w:val="15"/>
              </w:rPr>
            </w:pPr>
          </w:p>
          <w:p>
            <w:pPr>
              <w:pStyle w:val="19"/>
              <w:ind w:left="14"/>
              <w:rPr>
                <w:rFonts w:ascii="Times New Roman"/>
                <w:sz w:val="21"/>
              </w:rPr>
            </w:pPr>
            <w:r>
              <w:rPr>
                <w:rFonts w:ascii="Times New Roman"/>
                <w:w w:val="99"/>
                <w:sz w:val="21"/>
              </w:rPr>
              <w:t>5</w:t>
            </w:r>
          </w:p>
        </w:tc>
        <w:tc>
          <w:tcPr>
            <w:tcW w:w="629" w:type="dxa"/>
            <w:vMerge w:val="restart"/>
            <w:tcBorders>
              <w:top w:val="single" w:color="000000" w:sz="4" w:space="0"/>
              <w:left w:val="single" w:color="000000" w:sz="4" w:space="0"/>
              <w:right w:val="single" w:color="000000" w:sz="4" w:space="0"/>
            </w:tcBorders>
          </w:tcPr>
          <w:p>
            <w:pPr>
              <w:pStyle w:val="19"/>
              <w:spacing w:before="97" w:line="331" w:lineRule="auto"/>
              <w:ind w:left="213" w:right="194"/>
              <w:jc w:val="left"/>
              <w:rPr>
                <w:sz w:val="21"/>
              </w:rPr>
            </w:pPr>
            <w:r>
              <w:rPr>
                <w:sz w:val="21"/>
              </w:rPr>
              <w:t>生态</w:t>
            </w:r>
          </w:p>
          <w:p>
            <w:pPr>
              <w:pStyle w:val="19"/>
              <w:spacing w:before="4"/>
              <w:ind w:left="213"/>
              <w:jc w:val="left"/>
              <w:rPr>
                <w:sz w:val="21"/>
              </w:rPr>
            </w:pPr>
            <w:r>
              <w:rPr>
                <w:w w:val="99"/>
                <w:sz w:val="21"/>
              </w:rPr>
              <w:t>保</w:t>
            </w:r>
          </w:p>
        </w:tc>
        <w:tc>
          <w:tcPr>
            <w:tcW w:w="965" w:type="dxa"/>
            <w:tcBorders>
              <w:top w:val="single" w:color="000000" w:sz="4" w:space="0"/>
              <w:left w:val="single" w:color="000000" w:sz="4" w:space="0"/>
              <w:bottom w:val="single" w:color="000000" w:sz="4" w:space="0"/>
              <w:right w:val="single" w:color="000000" w:sz="4" w:space="0"/>
            </w:tcBorders>
          </w:tcPr>
          <w:p>
            <w:pPr>
              <w:pStyle w:val="19"/>
              <w:spacing w:before="90"/>
              <w:ind w:left="149" w:right="135"/>
              <w:rPr>
                <w:sz w:val="21"/>
              </w:rPr>
            </w:pPr>
            <w:r>
              <w:rPr>
                <w:sz w:val="21"/>
              </w:rPr>
              <w:t>绿化</w:t>
            </w:r>
          </w:p>
        </w:tc>
        <w:tc>
          <w:tcPr>
            <w:tcW w:w="3621" w:type="dxa"/>
            <w:tcBorders>
              <w:top w:val="single" w:color="000000" w:sz="4" w:space="0"/>
              <w:left w:val="single" w:color="000000" w:sz="4" w:space="0"/>
              <w:bottom w:val="single" w:color="000000" w:sz="4" w:space="0"/>
              <w:right w:val="single" w:color="000000" w:sz="4" w:space="0"/>
            </w:tcBorders>
          </w:tcPr>
          <w:p>
            <w:pPr>
              <w:pStyle w:val="19"/>
              <w:spacing w:before="90"/>
              <w:ind w:left="98" w:right="83"/>
              <w:rPr>
                <w:sz w:val="21"/>
              </w:rPr>
            </w:pPr>
            <w:r>
              <w:rPr>
                <w:sz w:val="21"/>
              </w:rPr>
              <w:t>厂区四周植树种草</w:t>
            </w:r>
          </w:p>
        </w:tc>
        <w:tc>
          <w:tcPr>
            <w:tcW w:w="2679" w:type="dxa"/>
            <w:tcBorders>
              <w:top w:val="single" w:color="000000" w:sz="4" w:space="0"/>
              <w:left w:val="single" w:color="000000" w:sz="4" w:space="0"/>
              <w:bottom w:val="single" w:color="000000" w:sz="4" w:space="0"/>
            </w:tcBorders>
          </w:tcPr>
          <w:p>
            <w:pPr>
              <w:pStyle w:val="19"/>
              <w:spacing w:before="90"/>
              <w:ind w:left="39" w:right="16"/>
              <w:rPr>
                <w:rFonts w:ascii="Times New Roman" w:eastAsia="Times New Roman"/>
                <w:sz w:val="21"/>
              </w:rPr>
            </w:pPr>
            <w:r>
              <w:rPr>
                <w:sz w:val="21"/>
              </w:rPr>
              <w:t xml:space="preserve">厂区绿化 </w:t>
            </w:r>
            <w:r>
              <w:rPr>
                <w:rFonts w:ascii="Times New Roman" w:eastAsia="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1" w:hRule="atLeast"/>
        </w:trPr>
        <w:tc>
          <w:tcPr>
            <w:tcW w:w="625" w:type="dxa"/>
            <w:vMerge w:val="continue"/>
            <w:tcBorders>
              <w:top w:val="nil"/>
              <w:right w:val="single" w:color="000000" w:sz="4" w:space="0"/>
            </w:tcBorders>
          </w:tcPr>
          <w:p>
            <w:pPr>
              <w:rPr>
                <w:sz w:val="2"/>
                <w:szCs w:val="2"/>
              </w:rPr>
            </w:pPr>
          </w:p>
        </w:tc>
        <w:tc>
          <w:tcPr>
            <w:tcW w:w="629" w:type="dxa"/>
            <w:vMerge w:val="continue"/>
            <w:tcBorders>
              <w:top w:val="nil"/>
              <w:left w:val="single" w:color="000000" w:sz="4" w:space="0"/>
              <w:right w:val="single" w:color="000000" w:sz="4" w:space="0"/>
            </w:tcBorders>
          </w:tcPr>
          <w:p>
            <w:pPr>
              <w:rPr>
                <w:sz w:val="2"/>
                <w:szCs w:val="2"/>
              </w:rPr>
            </w:pPr>
          </w:p>
        </w:tc>
        <w:tc>
          <w:tcPr>
            <w:tcW w:w="965" w:type="dxa"/>
            <w:tcBorders>
              <w:top w:val="single" w:color="000000" w:sz="4" w:space="0"/>
              <w:left w:val="single" w:color="000000" w:sz="4" w:space="0"/>
              <w:right w:val="single" w:color="000000" w:sz="4" w:space="0"/>
            </w:tcBorders>
          </w:tcPr>
          <w:p>
            <w:pPr>
              <w:pStyle w:val="19"/>
              <w:spacing w:before="48"/>
              <w:ind w:left="170"/>
              <w:jc w:val="left"/>
              <w:rPr>
                <w:sz w:val="21"/>
              </w:rPr>
            </w:pPr>
            <w:r>
              <w:rPr>
                <w:w w:val="95"/>
                <w:sz w:val="21"/>
              </w:rPr>
              <w:t>水土保</w:t>
            </w:r>
          </w:p>
          <w:p>
            <w:pPr>
              <w:pStyle w:val="19"/>
              <w:spacing w:before="103"/>
              <w:ind w:left="170"/>
              <w:jc w:val="left"/>
              <w:rPr>
                <w:sz w:val="21"/>
              </w:rPr>
            </w:pPr>
            <w:r>
              <w:rPr>
                <w:w w:val="95"/>
                <w:sz w:val="21"/>
              </w:rPr>
              <w:t>持措施</w:t>
            </w:r>
          </w:p>
        </w:tc>
        <w:tc>
          <w:tcPr>
            <w:tcW w:w="3621" w:type="dxa"/>
            <w:tcBorders>
              <w:top w:val="single" w:color="000000" w:sz="4" w:space="0"/>
              <w:left w:val="single" w:color="000000" w:sz="4" w:space="0"/>
              <w:right w:val="single" w:color="000000" w:sz="4" w:space="0"/>
            </w:tcBorders>
          </w:tcPr>
          <w:p>
            <w:pPr>
              <w:pStyle w:val="19"/>
              <w:spacing w:before="2"/>
              <w:jc w:val="left"/>
              <w:rPr>
                <w:b/>
                <w:sz w:val="18"/>
              </w:rPr>
            </w:pPr>
          </w:p>
          <w:p>
            <w:pPr>
              <w:pStyle w:val="19"/>
              <w:ind w:left="98" w:right="83"/>
              <w:rPr>
                <w:sz w:val="21"/>
              </w:rPr>
            </w:pPr>
            <w:r>
              <w:rPr>
                <w:sz w:val="21"/>
              </w:rPr>
              <w:t>采用种草植树等方式</w:t>
            </w:r>
          </w:p>
        </w:tc>
        <w:tc>
          <w:tcPr>
            <w:tcW w:w="2679" w:type="dxa"/>
            <w:tcBorders>
              <w:top w:val="single" w:color="000000" w:sz="4" w:space="0"/>
              <w:left w:val="single" w:color="000000" w:sz="4" w:space="0"/>
            </w:tcBorders>
          </w:tcPr>
          <w:p>
            <w:pPr>
              <w:pStyle w:val="19"/>
              <w:spacing w:before="48"/>
              <w:ind w:left="38" w:right="16"/>
              <w:rPr>
                <w:sz w:val="21"/>
              </w:rPr>
            </w:pPr>
            <w:r>
              <w:rPr>
                <w:sz w:val="21"/>
              </w:rPr>
              <w:t>降低水土流失量，保护生态</w:t>
            </w:r>
          </w:p>
          <w:p>
            <w:pPr>
              <w:pStyle w:val="19"/>
              <w:spacing w:before="103"/>
              <w:ind w:left="36" w:right="16"/>
              <w:rPr>
                <w:sz w:val="21"/>
              </w:rPr>
            </w:pPr>
            <w:r>
              <w:rPr>
                <w:sz w:val="21"/>
              </w:rPr>
              <w:t>环境</w:t>
            </w:r>
          </w:p>
        </w:tc>
      </w:tr>
    </w:tbl>
    <w:p>
      <w:pPr>
        <w:spacing w:after="0"/>
        <w:rPr>
          <w:sz w:val="21"/>
        </w:rPr>
        <w:sectPr>
          <w:pgSz w:w="11910" w:h="16840"/>
          <w:pgMar w:top="1420" w:right="900" w:bottom="1100" w:left="1200" w:header="0" w:footer="913" w:gutter="0"/>
        </w:sectPr>
      </w:pPr>
    </w:p>
    <w:tbl>
      <w:tblPr>
        <w:tblStyle w:val="15"/>
        <w:tblW w:w="0" w:type="auto"/>
        <w:tblInd w:w="5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5"/>
        <w:gridCol w:w="629"/>
        <w:gridCol w:w="965"/>
        <w:gridCol w:w="3621"/>
        <w:gridCol w:w="26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4" w:hRule="atLeast"/>
        </w:trPr>
        <w:tc>
          <w:tcPr>
            <w:tcW w:w="625" w:type="dxa"/>
            <w:tcBorders>
              <w:bottom w:val="single" w:color="000000" w:sz="4" w:space="0"/>
              <w:right w:val="single" w:color="000000" w:sz="4" w:space="0"/>
            </w:tcBorders>
          </w:tcPr>
          <w:p>
            <w:pPr>
              <w:pStyle w:val="19"/>
              <w:jc w:val="left"/>
              <w:rPr>
                <w:rFonts w:ascii="Times New Roman"/>
                <w:sz w:val="20"/>
              </w:rPr>
            </w:pPr>
          </w:p>
        </w:tc>
        <w:tc>
          <w:tcPr>
            <w:tcW w:w="629" w:type="dxa"/>
            <w:tcBorders>
              <w:left w:val="single" w:color="000000" w:sz="4" w:space="0"/>
              <w:bottom w:val="single" w:color="000000" w:sz="4" w:space="0"/>
              <w:right w:val="single" w:color="000000" w:sz="4" w:space="0"/>
            </w:tcBorders>
          </w:tcPr>
          <w:p>
            <w:pPr>
              <w:pStyle w:val="19"/>
              <w:spacing w:before="42"/>
              <w:ind w:left="213"/>
              <w:jc w:val="left"/>
              <w:rPr>
                <w:sz w:val="21"/>
              </w:rPr>
            </w:pPr>
            <w:r>
              <w:rPr>
                <w:w w:val="99"/>
                <w:sz w:val="21"/>
              </w:rPr>
              <w:t>护</w:t>
            </w:r>
          </w:p>
        </w:tc>
        <w:tc>
          <w:tcPr>
            <w:tcW w:w="965" w:type="dxa"/>
            <w:tcBorders>
              <w:left w:val="single" w:color="000000" w:sz="4" w:space="0"/>
              <w:bottom w:val="single" w:color="000000" w:sz="4" w:space="0"/>
              <w:right w:val="single" w:color="000000" w:sz="4" w:space="0"/>
            </w:tcBorders>
          </w:tcPr>
          <w:p>
            <w:pPr>
              <w:pStyle w:val="19"/>
              <w:jc w:val="left"/>
              <w:rPr>
                <w:rFonts w:ascii="Times New Roman"/>
                <w:sz w:val="20"/>
              </w:rPr>
            </w:pPr>
          </w:p>
        </w:tc>
        <w:tc>
          <w:tcPr>
            <w:tcW w:w="3621" w:type="dxa"/>
            <w:tcBorders>
              <w:left w:val="single" w:color="000000" w:sz="4" w:space="0"/>
              <w:bottom w:val="single" w:color="000000" w:sz="4" w:space="0"/>
              <w:right w:val="single" w:color="000000" w:sz="4" w:space="0"/>
            </w:tcBorders>
          </w:tcPr>
          <w:p>
            <w:pPr>
              <w:pStyle w:val="19"/>
              <w:jc w:val="left"/>
              <w:rPr>
                <w:rFonts w:ascii="Times New Roman"/>
                <w:sz w:val="20"/>
              </w:rPr>
            </w:pPr>
          </w:p>
        </w:tc>
        <w:tc>
          <w:tcPr>
            <w:tcW w:w="2679" w:type="dxa"/>
            <w:tcBorders>
              <w:left w:val="single" w:color="000000" w:sz="4" w:space="0"/>
              <w:bottom w:val="single" w:color="000000" w:sz="4" w:space="0"/>
            </w:tcBorders>
          </w:tcPr>
          <w:p>
            <w:pPr>
              <w:pStyle w:val="19"/>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98" w:hRule="atLeast"/>
        </w:trPr>
        <w:tc>
          <w:tcPr>
            <w:tcW w:w="625" w:type="dxa"/>
            <w:tcBorders>
              <w:top w:val="single" w:color="000000" w:sz="4" w:space="0"/>
              <w:bottom w:val="single" w:color="000000" w:sz="4" w:space="0"/>
              <w:right w:val="single" w:color="000000" w:sz="4" w:space="0"/>
            </w:tcBorders>
          </w:tcPr>
          <w:p>
            <w:pPr>
              <w:pStyle w:val="19"/>
              <w:jc w:val="left"/>
              <w:rPr>
                <w:b/>
                <w:sz w:val="22"/>
              </w:rPr>
            </w:pPr>
          </w:p>
          <w:p>
            <w:pPr>
              <w:pStyle w:val="19"/>
              <w:spacing w:before="12"/>
              <w:jc w:val="left"/>
              <w:rPr>
                <w:b/>
                <w:sz w:val="26"/>
              </w:rPr>
            </w:pPr>
          </w:p>
          <w:p>
            <w:pPr>
              <w:pStyle w:val="19"/>
              <w:ind w:left="14"/>
              <w:rPr>
                <w:rFonts w:ascii="Times New Roman"/>
                <w:sz w:val="21"/>
              </w:rPr>
            </w:pPr>
            <w:r>
              <w:rPr>
                <w:rFonts w:ascii="Times New Roman"/>
                <w:w w:val="99"/>
                <w:sz w:val="21"/>
              </w:rPr>
              <w:t>6</w:t>
            </w:r>
          </w:p>
        </w:tc>
        <w:tc>
          <w:tcPr>
            <w:tcW w:w="629" w:type="dxa"/>
            <w:tcBorders>
              <w:top w:val="single" w:color="000000" w:sz="4" w:space="0"/>
              <w:left w:val="single" w:color="000000" w:sz="4" w:space="0"/>
              <w:bottom w:val="single" w:color="000000" w:sz="4" w:space="0"/>
              <w:right w:val="single" w:color="000000" w:sz="4" w:space="0"/>
            </w:tcBorders>
          </w:tcPr>
          <w:p>
            <w:pPr>
              <w:pStyle w:val="19"/>
              <w:spacing w:before="51" w:line="333" w:lineRule="auto"/>
              <w:ind w:left="213" w:right="194"/>
              <w:jc w:val="both"/>
              <w:rPr>
                <w:sz w:val="21"/>
              </w:rPr>
            </w:pPr>
            <w:r>
              <w:rPr>
                <w:sz w:val="21"/>
              </w:rPr>
              <w:t>风险防</w:t>
            </w:r>
          </w:p>
          <w:p>
            <w:pPr>
              <w:pStyle w:val="19"/>
              <w:spacing w:before="2"/>
              <w:ind w:left="213"/>
              <w:jc w:val="left"/>
              <w:rPr>
                <w:sz w:val="21"/>
              </w:rPr>
            </w:pPr>
            <w:r>
              <w:rPr>
                <w:w w:val="99"/>
                <w:sz w:val="21"/>
              </w:rPr>
              <w:t>范</w:t>
            </w:r>
          </w:p>
        </w:tc>
        <w:tc>
          <w:tcPr>
            <w:tcW w:w="965" w:type="dxa"/>
            <w:tcBorders>
              <w:top w:val="single" w:color="000000" w:sz="4" w:space="0"/>
              <w:left w:val="single" w:color="000000" w:sz="4" w:space="0"/>
              <w:bottom w:val="single" w:color="000000" w:sz="4" w:space="0"/>
              <w:right w:val="single" w:color="000000" w:sz="4" w:space="0"/>
            </w:tcBorders>
          </w:tcPr>
          <w:p>
            <w:pPr>
              <w:pStyle w:val="19"/>
              <w:spacing w:before="8"/>
              <w:jc w:val="left"/>
              <w:rPr>
                <w:b/>
                <w:sz w:val="18"/>
              </w:rPr>
            </w:pPr>
          </w:p>
          <w:p>
            <w:pPr>
              <w:pStyle w:val="19"/>
              <w:spacing w:line="333" w:lineRule="auto"/>
              <w:ind w:left="170" w:right="153"/>
              <w:jc w:val="both"/>
              <w:rPr>
                <w:sz w:val="21"/>
              </w:rPr>
            </w:pPr>
            <w:r>
              <w:rPr>
                <w:sz w:val="21"/>
              </w:rPr>
              <w:t>突发事件应急预案</w:t>
            </w:r>
          </w:p>
        </w:tc>
        <w:tc>
          <w:tcPr>
            <w:tcW w:w="3621" w:type="dxa"/>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169" w:line="333" w:lineRule="auto"/>
              <w:ind w:left="1185" w:right="117" w:hanging="1052"/>
              <w:jc w:val="left"/>
              <w:rPr>
                <w:sz w:val="21"/>
              </w:rPr>
            </w:pPr>
            <w:r>
              <w:rPr>
                <w:w w:val="95"/>
                <w:sz w:val="21"/>
              </w:rPr>
              <w:t>落实风险减缓措施、管理措施，做好</w:t>
            </w:r>
            <w:r>
              <w:rPr>
                <w:sz w:val="21"/>
              </w:rPr>
              <w:t>风险应急预案</w:t>
            </w:r>
          </w:p>
        </w:tc>
        <w:tc>
          <w:tcPr>
            <w:tcW w:w="2679" w:type="dxa"/>
            <w:tcBorders>
              <w:top w:val="single" w:color="000000" w:sz="4" w:space="0"/>
              <w:left w:val="single" w:color="000000" w:sz="4" w:space="0"/>
              <w:bottom w:val="single" w:color="000000" w:sz="4" w:space="0"/>
            </w:tcBorders>
          </w:tcPr>
          <w:p>
            <w:pPr>
              <w:pStyle w:val="19"/>
              <w:jc w:val="left"/>
              <w:rPr>
                <w:b/>
                <w:sz w:val="20"/>
              </w:rPr>
            </w:pPr>
          </w:p>
          <w:p>
            <w:pPr>
              <w:pStyle w:val="19"/>
              <w:spacing w:before="169" w:line="333" w:lineRule="auto"/>
              <w:ind w:left="1027" w:right="165" w:hanging="840"/>
              <w:jc w:val="left"/>
              <w:rPr>
                <w:sz w:val="21"/>
              </w:rPr>
            </w:pPr>
            <w:r>
              <w:rPr>
                <w:sz w:val="21"/>
              </w:rPr>
              <w:t>减免或降低风险事故发生几率。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96" w:hRule="atLeast"/>
        </w:trPr>
        <w:tc>
          <w:tcPr>
            <w:tcW w:w="625" w:type="dxa"/>
            <w:tcBorders>
              <w:top w:val="single" w:color="000000" w:sz="4" w:space="0"/>
              <w:bottom w:val="single" w:color="000000" w:sz="4" w:space="0"/>
              <w:right w:val="single" w:color="000000" w:sz="4" w:space="0"/>
            </w:tcBorders>
          </w:tcPr>
          <w:p>
            <w:pPr>
              <w:pStyle w:val="19"/>
              <w:jc w:val="left"/>
              <w:rPr>
                <w:b/>
                <w:sz w:val="22"/>
              </w:rPr>
            </w:pPr>
          </w:p>
          <w:p>
            <w:pPr>
              <w:pStyle w:val="19"/>
              <w:spacing w:before="11"/>
              <w:jc w:val="left"/>
              <w:rPr>
                <w:b/>
                <w:sz w:val="26"/>
              </w:rPr>
            </w:pPr>
          </w:p>
          <w:p>
            <w:pPr>
              <w:pStyle w:val="19"/>
              <w:ind w:left="14"/>
              <w:rPr>
                <w:rFonts w:ascii="Times New Roman"/>
                <w:sz w:val="21"/>
              </w:rPr>
            </w:pPr>
            <w:r>
              <w:rPr>
                <w:rFonts w:ascii="Times New Roman"/>
                <w:w w:val="99"/>
                <w:sz w:val="21"/>
              </w:rPr>
              <w:t>7</w:t>
            </w:r>
          </w:p>
        </w:tc>
        <w:tc>
          <w:tcPr>
            <w:tcW w:w="1594" w:type="dxa"/>
            <w:gridSpan w:val="2"/>
            <w:tcBorders>
              <w:top w:val="single" w:color="000000" w:sz="4" w:space="0"/>
              <w:left w:val="single" w:color="000000" w:sz="4" w:space="0"/>
              <w:bottom w:val="single" w:color="000000" w:sz="4" w:space="0"/>
              <w:right w:val="single" w:color="000000" w:sz="4" w:space="0"/>
            </w:tcBorders>
          </w:tcPr>
          <w:p>
            <w:pPr>
              <w:pStyle w:val="19"/>
              <w:jc w:val="left"/>
              <w:rPr>
                <w:b/>
                <w:sz w:val="20"/>
              </w:rPr>
            </w:pPr>
          </w:p>
          <w:p>
            <w:pPr>
              <w:pStyle w:val="19"/>
              <w:spacing w:before="169" w:line="333" w:lineRule="auto"/>
              <w:ind w:left="487" w:right="153" w:hanging="317"/>
              <w:jc w:val="left"/>
              <w:rPr>
                <w:sz w:val="21"/>
              </w:rPr>
            </w:pPr>
            <w:r>
              <w:rPr>
                <w:sz w:val="21"/>
              </w:rPr>
              <w:t>环境管理与环境监测</w:t>
            </w:r>
          </w:p>
        </w:tc>
        <w:tc>
          <w:tcPr>
            <w:tcW w:w="3621" w:type="dxa"/>
            <w:tcBorders>
              <w:top w:val="single" w:color="000000" w:sz="4" w:space="0"/>
              <w:left w:val="single" w:color="000000" w:sz="4" w:space="0"/>
              <w:bottom w:val="single" w:color="000000" w:sz="4" w:space="0"/>
              <w:right w:val="single" w:color="000000" w:sz="4" w:space="0"/>
            </w:tcBorders>
          </w:tcPr>
          <w:p>
            <w:pPr>
              <w:pStyle w:val="19"/>
              <w:spacing w:before="7"/>
              <w:jc w:val="left"/>
              <w:rPr>
                <w:b/>
                <w:sz w:val="18"/>
              </w:rPr>
            </w:pPr>
          </w:p>
          <w:p>
            <w:pPr>
              <w:pStyle w:val="19"/>
              <w:spacing w:line="331" w:lineRule="auto"/>
              <w:ind w:left="112" w:right="90"/>
              <w:jc w:val="left"/>
              <w:rPr>
                <w:sz w:val="21"/>
              </w:rPr>
            </w:pPr>
            <w:r>
              <w:rPr>
                <w:rFonts w:ascii="Times New Roman" w:eastAsia="Times New Roman"/>
                <w:sz w:val="21"/>
              </w:rPr>
              <w:t>1</w:t>
            </w:r>
            <w:r>
              <w:rPr>
                <w:spacing w:val="-12"/>
                <w:sz w:val="21"/>
              </w:rPr>
              <w:t xml:space="preserve">、设有环境保护管理机构，有 </w:t>
            </w:r>
            <w:r>
              <w:rPr>
                <w:rFonts w:ascii="Times New Roman" w:eastAsia="Times New Roman"/>
                <w:sz w:val="21"/>
              </w:rPr>
              <w:t xml:space="preserve">2 </w:t>
            </w:r>
            <w:r>
              <w:rPr>
                <w:spacing w:val="-6"/>
                <w:sz w:val="21"/>
              </w:rPr>
              <w:t>名专</w:t>
            </w:r>
            <w:r>
              <w:rPr>
                <w:sz w:val="21"/>
              </w:rPr>
              <w:t>职环保管理人员；</w:t>
            </w:r>
          </w:p>
          <w:p>
            <w:pPr>
              <w:pStyle w:val="19"/>
              <w:spacing w:before="4"/>
              <w:ind w:left="112"/>
              <w:jc w:val="left"/>
              <w:rPr>
                <w:sz w:val="21"/>
              </w:rPr>
            </w:pPr>
            <w:r>
              <w:rPr>
                <w:rFonts w:ascii="Times New Roman" w:eastAsia="Times New Roman"/>
                <w:sz w:val="21"/>
              </w:rPr>
              <w:t>2</w:t>
            </w:r>
            <w:r>
              <w:rPr>
                <w:sz w:val="21"/>
              </w:rPr>
              <w:t>、定期开展监测工作</w:t>
            </w:r>
          </w:p>
        </w:tc>
        <w:tc>
          <w:tcPr>
            <w:tcW w:w="2679" w:type="dxa"/>
            <w:tcBorders>
              <w:top w:val="single" w:color="000000" w:sz="4" w:space="0"/>
              <w:left w:val="single" w:color="000000" w:sz="4" w:space="0"/>
              <w:bottom w:val="single" w:color="000000" w:sz="4" w:space="0"/>
            </w:tcBorders>
          </w:tcPr>
          <w:p>
            <w:pPr>
              <w:pStyle w:val="19"/>
              <w:spacing w:before="50" w:line="333" w:lineRule="auto"/>
              <w:ind w:left="113" w:right="86"/>
              <w:jc w:val="both"/>
              <w:rPr>
                <w:sz w:val="21"/>
              </w:rPr>
            </w:pPr>
            <w:r>
              <w:rPr>
                <w:rFonts w:ascii="Times New Roman" w:eastAsia="Times New Roman"/>
                <w:spacing w:val="3"/>
                <w:sz w:val="21"/>
              </w:rPr>
              <w:t>1</w:t>
            </w:r>
            <w:r>
              <w:rPr>
                <w:spacing w:val="2"/>
                <w:sz w:val="21"/>
              </w:rPr>
              <w:t>、设有环境保护管理与监</w:t>
            </w:r>
            <w:r>
              <w:rPr>
                <w:spacing w:val="-20"/>
                <w:sz w:val="21"/>
              </w:rPr>
              <w:t xml:space="preserve">测机构，有 </w:t>
            </w:r>
            <w:r>
              <w:rPr>
                <w:rFonts w:ascii="Times New Roman" w:eastAsia="Times New Roman"/>
                <w:sz w:val="21"/>
              </w:rPr>
              <w:t xml:space="preserve">2 </w:t>
            </w:r>
            <w:r>
              <w:rPr>
                <w:spacing w:val="-2"/>
                <w:sz w:val="21"/>
              </w:rPr>
              <w:t>名专职环保管</w:t>
            </w:r>
            <w:r>
              <w:rPr>
                <w:spacing w:val="3"/>
                <w:sz w:val="21"/>
              </w:rPr>
              <w:t>理人员；</w:t>
            </w:r>
            <w:r>
              <w:rPr>
                <w:rFonts w:ascii="Times New Roman" w:eastAsia="Times New Roman"/>
                <w:spacing w:val="3"/>
                <w:sz w:val="21"/>
              </w:rPr>
              <w:t>2</w:t>
            </w:r>
            <w:r>
              <w:rPr>
                <w:spacing w:val="1"/>
                <w:sz w:val="21"/>
              </w:rPr>
              <w:t>、有完善的环境</w:t>
            </w:r>
          </w:p>
          <w:p>
            <w:pPr>
              <w:pStyle w:val="19"/>
              <w:spacing w:before="2"/>
              <w:ind w:left="113"/>
              <w:jc w:val="left"/>
              <w:rPr>
                <w:sz w:val="21"/>
              </w:rPr>
            </w:pPr>
            <w:r>
              <w:rPr>
                <w:sz w:val="21"/>
              </w:rPr>
              <w:t>管理和环境监测工作制度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8" w:hRule="atLeast"/>
        </w:trPr>
        <w:tc>
          <w:tcPr>
            <w:tcW w:w="625" w:type="dxa"/>
            <w:tcBorders>
              <w:top w:val="single" w:color="000000" w:sz="4" w:space="0"/>
              <w:right w:val="single" w:color="000000" w:sz="4" w:space="0"/>
            </w:tcBorders>
          </w:tcPr>
          <w:p>
            <w:pPr>
              <w:pStyle w:val="19"/>
              <w:spacing w:before="8"/>
              <w:jc w:val="left"/>
              <w:rPr>
                <w:b/>
                <w:sz w:val="19"/>
              </w:rPr>
            </w:pPr>
          </w:p>
          <w:p>
            <w:pPr>
              <w:pStyle w:val="19"/>
              <w:ind w:left="14"/>
              <w:rPr>
                <w:rFonts w:ascii="Times New Roman"/>
                <w:sz w:val="21"/>
              </w:rPr>
            </w:pPr>
            <w:r>
              <w:rPr>
                <w:rFonts w:ascii="Times New Roman"/>
                <w:w w:val="99"/>
                <w:sz w:val="21"/>
              </w:rPr>
              <w:t>8</w:t>
            </w:r>
          </w:p>
        </w:tc>
        <w:tc>
          <w:tcPr>
            <w:tcW w:w="1594" w:type="dxa"/>
            <w:gridSpan w:val="2"/>
            <w:tcBorders>
              <w:top w:val="single" w:color="000000" w:sz="4" w:space="0"/>
              <w:left w:val="single" w:color="000000" w:sz="4" w:space="0"/>
              <w:right w:val="single" w:color="000000" w:sz="4" w:space="0"/>
            </w:tcBorders>
          </w:tcPr>
          <w:p>
            <w:pPr>
              <w:pStyle w:val="19"/>
              <w:spacing w:before="51"/>
              <w:ind w:left="149" w:right="135"/>
              <w:rPr>
                <w:sz w:val="21"/>
              </w:rPr>
            </w:pPr>
            <w:r>
              <w:rPr>
                <w:sz w:val="21"/>
              </w:rPr>
              <w:t>服务期满设施</w:t>
            </w:r>
          </w:p>
          <w:p>
            <w:pPr>
              <w:pStyle w:val="19"/>
              <w:spacing w:before="105"/>
              <w:ind w:left="149" w:right="135"/>
              <w:rPr>
                <w:sz w:val="21"/>
              </w:rPr>
            </w:pPr>
            <w:r>
              <w:rPr>
                <w:sz w:val="21"/>
              </w:rPr>
              <w:t>关闭</w:t>
            </w:r>
          </w:p>
        </w:tc>
        <w:tc>
          <w:tcPr>
            <w:tcW w:w="3621" w:type="dxa"/>
            <w:tcBorders>
              <w:top w:val="single" w:color="000000" w:sz="4" w:space="0"/>
              <w:left w:val="single" w:color="000000" w:sz="4" w:space="0"/>
              <w:right w:val="single" w:color="000000" w:sz="4" w:space="0"/>
            </w:tcBorders>
          </w:tcPr>
          <w:p>
            <w:pPr>
              <w:pStyle w:val="19"/>
              <w:spacing w:before="51"/>
              <w:ind w:left="98" w:right="83"/>
              <w:rPr>
                <w:sz w:val="21"/>
              </w:rPr>
            </w:pPr>
            <w:r>
              <w:rPr>
                <w:sz w:val="21"/>
              </w:rPr>
              <w:t>井口、设立警示牌，编制闭矿报告、</w:t>
            </w:r>
          </w:p>
          <w:p>
            <w:pPr>
              <w:pStyle w:val="19"/>
              <w:spacing w:before="105"/>
              <w:ind w:left="100" w:right="83"/>
              <w:rPr>
                <w:sz w:val="21"/>
              </w:rPr>
            </w:pPr>
            <w:r>
              <w:rPr>
                <w:sz w:val="21"/>
              </w:rPr>
              <w:t>水土保持方案等</w:t>
            </w:r>
          </w:p>
        </w:tc>
        <w:tc>
          <w:tcPr>
            <w:tcW w:w="2679" w:type="dxa"/>
            <w:tcBorders>
              <w:top w:val="single" w:color="000000" w:sz="4" w:space="0"/>
              <w:left w:val="single" w:color="000000" w:sz="4" w:space="0"/>
            </w:tcBorders>
          </w:tcPr>
          <w:p>
            <w:pPr>
              <w:pStyle w:val="19"/>
              <w:spacing w:before="51"/>
              <w:ind w:left="38" w:right="16"/>
              <w:rPr>
                <w:sz w:val="21"/>
              </w:rPr>
            </w:pPr>
            <w:r>
              <w:rPr>
                <w:sz w:val="21"/>
              </w:rPr>
              <w:t>恢复生态环境，保护人民生</w:t>
            </w:r>
          </w:p>
          <w:p>
            <w:pPr>
              <w:pStyle w:val="19"/>
              <w:spacing w:before="105"/>
              <w:ind w:left="36" w:right="16"/>
              <w:rPr>
                <w:sz w:val="21"/>
              </w:rPr>
            </w:pPr>
            <w:r>
              <w:rPr>
                <w:sz w:val="21"/>
              </w:rPr>
              <w:t>命安全</w:t>
            </w:r>
          </w:p>
        </w:tc>
      </w:tr>
    </w:tbl>
    <w:p>
      <w:pPr>
        <w:spacing w:after="0"/>
        <w:rPr>
          <w:sz w:val="21"/>
        </w:rPr>
        <w:sectPr>
          <w:pgSz w:w="11910" w:h="16840"/>
          <w:pgMar w:top="1420" w:right="900" w:bottom="1100" w:left="1200" w:header="0" w:footer="913" w:gutter="0"/>
        </w:sectPr>
      </w:pPr>
    </w:p>
    <w:p>
      <w:pPr>
        <w:pStyle w:val="3"/>
        <w:numPr>
          <w:ilvl w:val="2"/>
          <w:numId w:val="14"/>
        </w:numPr>
        <w:tabs>
          <w:tab w:val="left" w:pos="3535"/>
        </w:tabs>
        <w:spacing w:before="42" w:after="0" w:line="240" w:lineRule="auto"/>
        <w:ind w:left="3535" w:right="0" w:hanging="451"/>
        <w:jc w:val="left"/>
        <w:rPr>
          <w:rFonts w:ascii="Times New Roman" w:eastAsia="Times New Roman"/>
          <w:sz w:val="34"/>
        </w:rPr>
      </w:pPr>
      <w:bookmarkStart w:id="733" w:name="_bookmark80"/>
      <w:bookmarkEnd w:id="733"/>
      <w:bookmarkStart w:id="734" w:name="14.环境经济损益分析"/>
      <w:bookmarkEnd w:id="734"/>
      <w:bookmarkStart w:id="735" w:name="_bookmark80"/>
      <w:bookmarkEnd w:id="735"/>
      <w:r>
        <w:t>环境经济损益分析</w:t>
      </w:r>
    </w:p>
    <w:p>
      <w:pPr>
        <w:pStyle w:val="5"/>
        <w:numPr>
          <w:ilvl w:val="1"/>
          <w:numId w:val="113"/>
        </w:numPr>
        <w:tabs>
          <w:tab w:val="left" w:pos="1200"/>
        </w:tabs>
        <w:spacing w:before="203" w:after="0" w:line="240" w:lineRule="auto"/>
        <w:ind w:left="1200" w:right="0" w:hanging="600"/>
        <w:jc w:val="left"/>
      </w:pPr>
      <w:bookmarkStart w:id="736" w:name="_bookmark81"/>
      <w:bookmarkEnd w:id="736"/>
      <w:bookmarkStart w:id="737" w:name="_bookmark81"/>
      <w:bookmarkEnd w:id="737"/>
      <w:bookmarkStart w:id="738" w:name="14.1环境保护工程投资分析"/>
      <w:bookmarkEnd w:id="738"/>
      <w:r>
        <w:t>环境保护工程投资分析</w:t>
      </w:r>
    </w:p>
    <w:p>
      <w:pPr>
        <w:pStyle w:val="9"/>
        <w:spacing w:before="199"/>
        <w:ind w:left="1080"/>
      </w:pPr>
      <w:r>
        <w:t>本项目环境保护投资估算结果见下表。</w:t>
      </w:r>
    </w:p>
    <w:p>
      <w:pPr>
        <w:pStyle w:val="9"/>
        <w:spacing w:before="4"/>
        <w:rPr>
          <w:sz w:val="23"/>
        </w:rPr>
      </w:pPr>
    </w:p>
    <w:p>
      <w:pPr>
        <w:spacing w:before="0"/>
        <w:ind w:left="3334" w:right="3626" w:firstLine="0"/>
        <w:jc w:val="center"/>
        <w:rPr>
          <w:b/>
          <w:sz w:val="21"/>
        </w:rPr>
      </w:pPr>
      <w:r>
        <w:rPr>
          <w:b/>
          <w:spacing w:val="-26"/>
          <w:sz w:val="21"/>
        </w:rPr>
        <w:t xml:space="preserve">表 </w:t>
      </w:r>
      <w:r>
        <w:rPr>
          <w:rFonts w:ascii="Times New Roman" w:eastAsia="Times New Roman"/>
          <w:b/>
          <w:sz w:val="21"/>
        </w:rPr>
        <w:t>14.1-1</w:t>
      </w:r>
      <w:r>
        <w:rPr>
          <w:rFonts w:ascii="Times New Roman" w:eastAsia="Times New Roman"/>
          <w:b/>
          <w:spacing w:val="52"/>
          <w:sz w:val="21"/>
        </w:rPr>
        <w:t xml:space="preserve"> </w:t>
      </w:r>
      <w:r>
        <w:rPr>
          <w:b/>
          <w:sz w:val="21"/>
        </w:rPr>
        <w:t>矿井环保投资估算表</w:t>
      </w:r>
    </w:p>
    <w:p>
      <w:pPr>
        <w:pStyle w:val="9"/>
        <w:spacing w:before="11"/>
        <w:rPr>
          <w:b/>
          <w:sz w:val="7"/>
        </w:rPr>
      </w:pPr>
    </w:p>
    <w:tbl>
      <w:tblPr>
        <w:tblStyle w:val="15"/>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99"/>
        <w:gridCol w:w="2589"/>
        <w:gridCol w:w="4527"/>
        <w:gridCol w:w="137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799" w:type="dxa"/>
            <w:tcBorders>
              <w:bottom w:val="single" w:color="000000" w:sz="4" w:space="0"/>
              <w:right w:val="single" w:color="000000" w:sz="4" w:space="0"/>
            </w:tcBorders>
          </w:tcPr>
          <w:p>
            <w:pPr>
              <w:pStyle w:val="19"/>
              <w:spacing w:before="177"/>
              <w:ind w:left="168" w:right="156"/>
              <w:rPr>
                <w:sz w:val="21"/>
              </w:rPr>
            </w:pPr>
            <w:r>
              <w:rPr>
                <w:sz w:val="21"/>
              </w:rPr>
              <w:t>序号</w:t>
            </w:r>
          </w:p>
        </w:tc>
        <w:tc>
          <w:tcPr>
            <w:tcW w:w="2589" w:type="dxa"/>
            <w:tcBorders>
              <w:left w:val="single" w:color="000000" w:sz="4" w:space="0"/>
              <w:bottom w:val="single" w:color="000000" w:sz="4" w:space="0"/>
              <w:right w:val="single" w:color="000000" w:sz="4" w:space="0"/>
            </w:tcBorders>
          </w:tcPr>
          <w:p>
            <w:pPr>
              <w:pStyle w:val="19"/>
              <w:spacing w:before="177"/>
              <w:ind w:left="72" w:right="56"/>
              <w:rPr>
                <w:sz w:val="21"/>
              </w:rPr>
            </w:pPr>
            <w:r>
              <w:rPr>
                <w:sz w:val="21"/>
              </w:rPr>
              <w:t>环保项目</w:t>
            </w:r>
          </w:p>
        </w:tc>
        <w:tc>
          <w:tcPr>
            <w:tcW w:w="4527" w:type="dxa"/>
            <w:tcBorders>
              <w:left w:val="single" w:color="000000" w:sz="4" w:space="0"/>
              <w:bottom w:val="single" w:color="000000" w:sz="4" w:space="0"/>
              <w:right w:val="single" w:color="000000" w:sz="4" w:space="0"/>
            </w:tcBorders>
          </w:tcPr>
          <w:p>
            <w:pPr>
              <w:pStyle w:val="19"/>
              <w:spacing w:before="177"/>
              <w:ind w:left="38" w:right="25"/>
              <w:rPr>
                <w:sz w:val="21"/>
              </w:rPr>
            </w:pPr>
            <w:r>
              <w:rPr>
                <w:sz w:val="21"/>
              </w:rPr>
              <w:t>简要说明</w:t>
            </w:r>
          </w:p>
        </w:tc>
        <w:tc>
          <w:tcPr>
            <w:tcW w:w="1371" w:type="dxa"/>
            <w:tcBorders>
              <w:left w:val="single" w:color="000000" w:sz="4" w:space="0"/>
              <w:bottom w:val="single" w:color="000000" w:sz="4" w:space="0"/>
            </w:tcBorders>
          </w:tcPr>
          <w:p>
            <w:pPr>
              <w:pStyle w:val="19"/>
              <w:spacing w:before="21"/>
              <w:ind w:left="269"/>
              <w:jc w:val="left"/>
              <w:rPr>
                <w:sz w:val="21"/>
              </w:rPr>
            </w:pPr>
            <w:r>
              <w:rPr>
                <w:w w:val="95"/>
                <w:sz w:val="21"/>
              </w:rPr>
              <w:t>投资估算</w:t>
            </w:r>
          </w:p>
          <w:p>
            <w:pPr>
              <w:pStyle w:val="19"/>
              <w:spacing w:before="43"/>
              <w:ind w:left="269"/>
              <w:jc w:val="left"/>
              <w:rPr>
                <w:sz w:val="21"/>
              </w:rPr>
            </w:pPr>
            <w:r>
              <w:rPr>
                <w:w w:val="95"/>
                <w:sz w:val="21"/>
              </w:rPr>
              <w:t>（万元）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9" w:type="dxa"/>
            <w:tcBorders>
              <w:top w:val="single" w:color="000000" w:sz="4" w:space="0"/>
              <w:bottom w:val="single" w:color="000000" w:sz="4" w:space="0"/>
              <w:right w:val="single" w:color="000000" w:sz="4" w:space="0"/>
            </w:tcBorders>
          </w:tcPr>
          <w:p>
            <w:pPr>
              <w:pStyle w:val="19"/>
              <w:spacing w:before="63"/>
              <w:ind w:left="10"/>
              <w:rPr>
                <w:sz w:val="21"/>
              </w:rPr>
            </w:pPr>
            <w:r>
              <w:rPr>
                <w:w w:val="99"/>
                <w:sz w:val="21"/>
              </w:rPr>
              <w:t>一</w:t>
            </w:r>
          </w:p>
        </w:tc>
        <w:tc>
          <w:tcPr>
            <w:tcW w:w="2589" w:type="dxa"/>
            <w:tcBorders>
              <w:top w:val="single" w:color="000000" w:sz="4" w:space="0"/>
              <w:left w:val="single" w:color="000000" w:sz="4" w:space="0"/>
              <w:bottom w:val="single" w:color="000000" w:sz="4" w:space="0"/>
              <w:right w:val="single" w:color="000000" w:sz="4" w:space="0"/>
            </w:tcBorders>
          </w:tcPr>
          <w:p>
            <w:pPr>
              <w:pStyle w:val="19"/>
              <w:spacing w:before="63"/>
              <w:ind w:left="72" w:right="56"/>
              <w:rPr>
                <w:sz w:val="21"/>
              </w:rPr>
            </w:pPr>
            <w:r>
              <w:rPr>
                <w:sz w:val="21"/>
              </w:rPr>
              <w:t>污水处理</w:t>
            </w:r>
          </w:p>
        </w:tc>
        <w:tc>
          <w:tcPr>
            <w:tcW w:w="4527"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2"/>
              </w:rPr>
            </w:pPr>
          </w:p>
        </w:tc>
        <w:tc>
          <w:tcPr>
            <w:tcW w:w="1371" w:type="dxa"/>
            <w:tcBorders>
              <w:top w:val="single" w:color="000000" w:sz="4" w:space="0"/>
              <w:left w:val="single" w:color="000000" w:sz="4" w:space="0"/>
              <w:bottom w:val="single" w:color="000000" w:sz="4" w:space="0"/>
            </w:tcBorders>
          </w:tcPr>
          <w:p>
            <w:pPr>
              <w:pStyle w:val="19"/>
              <w:spacing w:before="77"/>
              <w:ind w:left="379" w:right="356"/>
              <w:rPr>
                <w:rFonts w:ascii="Times New Roman"/>
                <w:sz w:val="21"/>
              </w:rPr>
            </w:pPr>
            <w:r>
              <w:rPr>
                <w:rFonts w:ascii="Times New Roman"/>
                <w:sz w:val="21"/>
              </w:rPr>
              <w:t>115.39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9" w:type="dxa"/>
            <w:tcBorders>
              <w:top w:val="single" w:color="000000" w:sz="4" w:space="0"/>
              <w:bottom w:val="single" w:color="000000" w:sz="4" w:space="0"/>
              <w:right w:val="single" w:color="000000" w:sz="4" w:space="0"/>
            </w:tcBorders>
          </w:tcPr>
          <w:p>
            <w:pPr>
              <w:pStyle w:val="19"/>
              <w:spacing w:before="76"/>
              <w:ind w:left="11"/>
              <w:rPr>
                <w:rFonts w:ascii="Times New Roman"/>
                <w:sz w:val="21"/>
              </w:rPr>
            </w:pPr>
            <w:r>
              <w:rPr>
                <w:rFonts w:ascii="Times New Roman"/>
                <w:w w:val="99"/>
                <w:sz w:val="21"/>
              </w:rPr>
              <w:t>1</w:t>
            </w:r>
          </w:p>
        </w:tc>
        <w:tc>
          <w:tcPr>
            <w:tcW w:w="2589" w:type="dxa"/>
            <w:tcBorders>
              <w:top w:val="single" w:color="000000" w:sz="4" w:space="0"/>
              <w:left w:val="single" w:color="000000" w:sz="4" w:space="0"/>
              <w:bottom w:val="single" w:color="000000" w:sz="4" w:space="0"/>
              <w:right w:val="single" w:color="000000" w:sz="4" w:space="0"/>
            </w:tcBorders>
          </w:tcPr>
          <w:p>
            <w:pPr>
              <w:pStyle w:val="19"/>
              <w:spacing w:before="62"/>
              <w:ind w:left="667"/>
              <w:jc w:val="left"/>
              <w:rPr>
                <w:sz w:val="21"/>
              </w:rPr>
            </w:pPr>
            <w:r>
              <w:rPr>
                <w:sz w:val="21"/>
              </w:rPr>
              <w:t>生活污水处理</w:t>
            </w:r>
          </w:p>
        </w:tc>
        <w:tc>
          <w:tcPr>
            <w:tcW w:w="4527" w:type="dxa"/>
            <w:tcBorders>
              <w:top w:val="single" w:color="000000" w:sz="4" w:space="0"/>
              <w:left w:val="single" w:color="000000" w:sz="4" w:space="0"/>
              <w:bottom w:val="single" w:color="000000" w:sz="4" w:space="0"/>
              <w:right w:val="single" w:color="000000" w:sz="4" w:space="0"/>
            </w:tcBorders>
          </w:tcPr>
          <w:p>
            <w:pPr>
              <w:pStyle w:val="19"/>
              <w:spacing w:before="62"/>
              <w:ind w:left="41" w:right="24"/>
              <w:rPr>
                <w:rFonts w:ascii="Times New Roman" w:eastAsia="Times New Roman"/>
                <w:sz w:val="21"/>
              </w:rPr>
            </w:pPr>
            <w:r>
              <w:rPr>
                <w:sz w:val="21"/>
              </w:rPr>
              <w:t xml:space="preserve">处理能力 </w:t>
            </w:r>
            <w:r>
              <w:rPr>
                <w:rFonts w:ascii="Times New Roman" w:eastAsia="Times New Roman"/>
                <w:sz w:val="21"/>
              </w:rPr>
              <w:t>200m</w:t>
            </w:r>
            <w:r>
              <w:rPr>
                <w:rFonts w:ascii="Times New Roman" w:eastAsia="Times New Roman"/>
                <w:position w:val="7"/>
                <w:sz w:val="13"/>
              </w:rPr>
              <w:t>3</w:t>
            </w:r>
            <w:r>
              <w:rPr>
                <w:rFonts w:ascii="Times New Roman" w:eastAsia="Times New Roman"/>
                <w:sz w:val="21"/>
              </w:rPr>
              <w:t>/d</w:t>
            </w:r>
          </w:p>
        </w:tc>
        <w:tc>
          <w:tcPr>
            <w:tcW w:w="1371" w:type="dxa"/>
            <w:tcBorders>
              <w:top w:val="single" w:color="000000" w:sz="4" w:space="0"/>
              <w:left w:val="single" w:color="000000" w:sz="4" w:space="0"/>
              <w:bottom w:val="single" w:color="000000" w:sz="4" w:space="0"/>
            </w:tcBorders>
          </w:tcPr>
          <w:p>
            <w:pPr>
              <w:pStyle w:val="19"/>
              <w:spacing w:before="76"/>
              <w:ind w:left="377" w:right="356"/>
              <w:rPr>
                <w:rFonts w:ascii="Times New Roman"/>
                <w:sz w:val="21"/>
              </w:rPr>
            </w:pPr>
            <w:r>
              <w:rPr>
                <w:rFonts w:ascii="Times New Roman"/>
                <w:sz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799" w:type="dxa"/>
            <w:tcBorders>
              <w:top w:val="single" w:color="000000" w:sz="4" w:space="0"/>
              <w:bottom w:val="single" w:color="000000" w:sz="4" w:space="0"/>
              <w:right w:val="single" w:color="000000" w:sz="4" w:space="0"/>
            </w:tcBorders>
          </w:tcPr>
          <w:p>
            <w:pPr>
              <w:pStyle w:val="19"/>
              <w:spacing w:before="77"/>
              <w:ind w:left="11"/>
              <w:rPr>
                <w:rFonts w:ascii="Times New Roman"/>
                <w:sz w:val="21"/>
              </w:rPr>
            </w:pPr>
            <w:r>
              <w:rPr>
                <w:rFonts w:ascii="Times New Roman"/>
                <w:w w:val="99"/>
                <w:sz w:val="21"/>
              </w:rPr>
              <w:t>2</w:t>
            </w:r>
          </w:p>
        </w:tc>
        <w:tc>
          <w:tcPr>
            <w:tcW w:w="2589" w:type="dxa"/>
            <w:tcBorders>
              <w:top w:val="single" w:color="000000" w:sz="4" w:space="0"/>
              <w:left w:val="single" w:color="000000" w:sz="4" w:space="0"/>
              <w:bottom w:val="single" w:color="000000" w:sz="4" w:space="0"/>
              <w:right w:val="single" w:color="000000" w:sz="4" w:space="0"/>
            </w:tcBorders>
          </w:tcPr>
          <w:p>
            <w:pPr>
              <w:pStyle w:val="19"/>
              <w:spacing w:before="63"/>
              <w:ind w:left="773"/>
              <w:jc w:val="left"/>
              <w:rPr>
                <w:sz w:val="21"/>
              </w:rPr>
            </w:pPr>
            <w:r>
              <w:rPr>
                <w:sz w:val="21"/>
              </w:rPr>
              <w:t>矿井水处理</w:t>
            </w:r>
          </w:p>
        </w:tc>
        <w:tc>
          <w:tcPr>
            <w:tcW w:w="4527" w:type="dxa"/>
            <w:tcBorders>
              <w:top w:val="single" w:color="000000" w:sz="4" w:space="0"/>
              <w:left w:val="single" w:color="000000" w:sz="4" w:space="0"/>
              <w:bottom w:val="single" w:color="000000" w:sz="4" w:space="0"/>
              <w:right w:val="single" w:color="000000" w:sz="4" w:space="0"/>
            </w:tcBorders>
          </w:tcPr>
          <w:p>
            <w:pPr>
              <w:pStyle w:val="19"/>
              <w:spacing w:before="63"/>
              <w:ind w:left="41" w:right="24"/>
              <w:rPr>
                <w:rFonts w:ascii="Times New Roman" w:eastAsia="Times New Roman"/>
                <w:sz w:val="21"/>
              </w:rPr>
            </w:pPr>
            <w:r>
              <w:rPr>
                <w:sz w:val="21"/>
              </w:rPr>
              <w:t xml:space="preserve">处理能力 </w:t>
            </w:r>
            <w:r>
              <w:rPr>
                <w:rFonts w:ascii="Times New Roman" w:eastAsia="Times New Roman"/>
                <w:sz w:val="21"/>
              </w:rPr>
              <w:t>1600m</w:t>
            </w:r>
            <w:r>
              <w:rPr>
                <w:rFonts w:ascii="Times New Roman" w:eastAsia="Times New Roman"/>
                <w:position w:val="7"/>
                <w:sz w:val="13"/>
              </w:rPr>
              <w:t>3</w:t>
            </w:r>
            <w:r>
              <w:rPr>
                <w:rFonts w:ascii="Times New Roman" w:eastAsia="Times New Roman"/>
                <w:sz w:val="21"/>
              </w:rPr>
              <w:t>/d</w:t>
            </w:r>
          </w:p>
        </w:tc>
        <w:tc>
          <w:tcPr>
            <w:tcW w:w="1371" w:type="dxa"/>
            <w:tcBorders>
              <w:top w:val="single" w:color="000000" w:sz="4" w:space="0"/>
              <w:left w:val="single" w:color="000000" w:sz="4" w:space="0"/>
              <w:bottom w:val="single" w:color="000000" w:sz="4" w:space="0"/>
            </w:tcBorders>
          </w:tcPr>
          <w:p>
            <w:pPr>
              <w:pStyle w:val="19"/>
              <w:spacing w:before="77"/>
              <w:ind w:left="379" w:right="356"/>
              <w:rPr>
                <w:rFonts w:ascii="Times New Roman"/>
                <w:sz w:val="21"/>
              </w:rPr>
            </w:pPr>
            <w:r>
              <w:rPr>
                <w:rFonts w:ascii="Times New Roman"/>
                <w:sz w:val="21"/>
              </w:rPr>
              <w:t>75.39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9" w:type="dxa"/>
            <w:tcBorders>
              <w:top w:val="single" w:color="000000" w:sz="4" w:space="0"/>
              <w:bottom w:val="single" w:color="000000" w:sz="4" w:space="0"/>
              <w:right w:val="single" w:color="000000" w:sz="4" w:space="0"/>
            </w:tcBorders>
          </w:tcPr>
          <w:p>
            <w:pPr>
              <w:pStyle w:val="19"/>
              <w:spacing w:before="64"/>
              <w:ind w:left="10"/>
              <w:rPr>
                <w:sz w:val="21"/>
              </w:rPr>
            </w:pPr>
            <w:r>
              <w:rPr>
                <w:w w:val="99"/>
                <w:sz w:val="21"/>
              </w:rPr>
              <w:t>二</w:t>
            </w:r>
          </w:p>
        </w:tc>
        <w:tc>
          <w:tcPr>
            <w:tcW w:w="2589" w:type="dxa"/>
            <w:tcBorders>
              <w:top w:val="single" w:color="000000" w:sz="4" w:space="0"/>
              <w:left w:val="single" w:color="000000" w:sz="4" w:space="0"/>
              <w:bottom w:val="single" w:color="000000" w:sz="4" w:space="0"/>
              <w:right w:val="single" w:color="000000" w:sz="4" w:space="0"/>
            </w:tcBorders>
          </w:tcPr>
          <w:p>
            <w:pPr>
              <w:pStyle w:val="19"/>
              <w:spacing w:before="64"/>
              <w:ind w:left="667"/>
              <w:jc w:val="left"/>
              <w:rPr>
                <w:sz w:val="21"/>
              </w:rPr>
            </w:pPr>
            <w:r>
              <w:rPr>
                <w:sz w:val="21"/>
              </w:rPr>
              <w:t>大气污染防治</w:t>
            </w:r>
          </w:p>
        </w:tc>
        <w:tc>
          <w:tcPr>
            <w:tcW w:w="4527" w:type="dxa"/>
            <w:tcBorders>
              <w:top w:val="single" w:color="000000" w:sz="4" w:space="0"/>
              <w:left w:val="single" w:color="000000" w:sz="4" w:space="0"/>
              <w:bottom w:val="single" w:color="000000" w:sz="4" w:space="0"/>
              <w:right w:val="single" w:color="000000" w:sz="4" w:space="0"/>
            </w:tcBorders>
          </w:tcPr>
          <w:p>
            <w:pPr>
              <w:pStyle w:val="19"/>
              <w:jc w:val="left"/>
              <w:rPr>
                <w:rFonts w:ascii="Times New Roman"/>
                <w:sz w:val="22"/>
              </w:rPr>
            </w:pPr>
          </w:p>
        </w:tc>
        <w:tc>
          <w:tcPr>
            <w:tcW w:w="1371" w:type="dxa"/>
            <w:tcBorders>
              <w:top w:val="single" w:color="000000" w:sz="4" w:space="0"/>
              <w:left w:val="single" w:color="000000" w:sz="4" w:space="0"/>
              <w:bottom w:val="single" w:color="000000" w:sz="4" w:space="0"/>
            </w:tcBorders>
          </w:tcPr>
          <w:p>
            <w:pPr>
              <w:pStyle w:val="19"/>
              <w:spacing w:before="78"/>
              <w:ind w:left="377" w:right="356"/>
              <w:rPr>
                <w:rFonts w:ascii="Times New Roman"/>
                <w:sz w:val="21"/>
              </w:rPr>
            </w:pPr>
            <w:r>
              <w:rPr>
                <w:rFonts w:ascii="Times New Roman"/>
                <w:sz w:val="21"/>
              </w:rPr>
              <w:t>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799" w:type="dxa"/>
            <w:tcBorders>
              <w:top w:val="single" w:color="000000" w:sz="4" w:space="0"/>
              <w:bottom w:val="single" w:color="000000" w:sz="4" w:space="0"/>
              <w:right w:val="single" w:color="000000" w:sz="4" w:space="0"/>
            </w:tcBorders>
          </w:tcPr>
          <w:p>
            <w:pPr>
              <w:pStyle w:val="19"/>
              <w:spacing w:before="76"/>
              <w:ind w:left="11"/>
              <w:rPr>
                <w:rFonts w:ascii="Times New Roman"/>
                <w:sz w:val="21"/>
              </w:rPr>
            </w:pPr>
            <w:r>
              <w:rPr>
                <w:rFonts w:ascii="Times New Roman"/>
                <w:w w:val="99"/>
                <w:sz w:val="21"/>
              </w:rPr>
              <w:t>1</w:t>
            </w:r>
          </w:p>
        </w:tc>
        <w:tc>
          <w:tcPr>
            <w:tcW w:w="2589" w:type="dxa"/>
            <w:tcBorders>
              <w:top w:val="single" w:color="000000" w:sz="4" w:space="0"/>
              <w:left w:val="single" w:color="000000" w:sz="4" w:space="0"/>
              <w:bottom w:val="single" w:color="000000" w:sz="4" w:space="0"/>
              <w:right w:val="single" w:color="000000" w:sz="4" w:space="0"/>
            </w:tcBorders>
          </w:tcPr>
          <w:p>
            <w:pPr>
              <w:pStyle w:val="19"/>
              <w:spacing w:before="63"/>
              <w:ind w:left="247"/>
              <w:jc w:val="left"/>
              <w:rPr>
                <w:sz w:val="21"/>
              </w:rPr>
            </w:pPr>
            <w:r>
              <w:rPr>
                <w:sz w:val="21"/>
              </w:rPr>
              <w:t>筛分、转载点粉尘治理</w:t>
            </w:r>
          </w:p>
        </w:tc>
        <w:tc>
          <w:tcPr>
            <w:tcW w:w="4527" w:type="dxa"/>
            <w:tcBorders>
              <w:top w:val="single" w:color="000000" w:sz="4" w:space="0"/>
              <w:left w:val="single" w:color="000000" w:sz="4" w:space="0"/>
              <w:bottom w:val="single" w:color="000000" w:sz="4" w:space="0"/>
              <w:right w:val="single" w:color="000000" w:sz="4" w:space="0"/>
            </w:tcBorders>
          </w:tcPr>
          <w:p>
            <w:pPr>
              <w:pStyle w:val="19"/>
              <w:spacing w:before="63"/>
              <w:ind w:left="41" w:right="25"/>
              <w:rPr>
                <w:sz w:val="21"/>
              </w:rPr>
            </w:pPr>
            <w:r>
              <w:rPr>
                <w:sz w:val="21"/>
              </w:rPr>
              <w:t>喷雾降尘，定期洒水</w:t>
            </w:r>
          </w:p>
        </w:tc>
        <w:tc>
          <w:tcPr>
            <w:tcW w:w="1371" w:type="dxa"/>
            <w:tcBorders>
              <w:top w:val="single" w:color="000000" w:sz="4" w:space="0"/>
              <w:left w:val="single" w:color="000000" w:sz="4" w:space="0"/>
              <w:bottom w:val="single" w:color="000000" w:sz="4" w:space="0"/>
            </w:tcBorders>
          </w:tcPr>
          <w:p>
            <w:pPr>
              <w:pStyle w:val="19"/>
              <w:spacing w:before="76"/>
              <w:ind w:left="377" w:right="356"/>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9" w:type="dxa"/>
            <w:tcBorders>
              <w:top w:val="single" w:color="000000" w:sz="4" w:space="0"/>
              <w:bottom w:val="single" w:color="000000" w:sz="4" w:space="0"/>
              <w:right w:val="single" w:color="000000" w:sz="4" w:space="0"/>
            </w:tcBorders>
          </w:tcPr>
          <w:p>
            <w:pPr>
              <w:pStyle w:val="19"/>
              <w:spacing w:before="77"/>
              <w:ind w:left="11"/>
              <w:rPr>
                <w:rFonts w:ascii="Times New Roman"/>
                <w:sz w:val="21"/>
              </w:rPr>
            </w:pPr>
            <w:r>
              <w:rPr>
                <w:rFonts w:ascii="Times New Roman"/>
                <w:w w:val="99"/>
                <w:sz w:val="21"/>
              </w:rPr>
              <w:t>2</w:t>
            </w:r>
          </w:p>
        </w:tc>
        <w:tc>
          <w:tcPr>
            <w:tcW w:w="2589" w:type="dxa"/>
            <w:tcBorders>
              <w:top w:val="single" w:color="000000" w:sz="4" w:space="0"/>
              <w:left w:val="single" w:color="000000" w:sz="4" w:space="0"/>
              <w:bottom w:val="single" w:color="000000" w:sz="4" w:space="0"/>
              <w:right w:val="single" w:color="000000" w:sz="4" w:space="0"/>
            </w:tcBorders>
          </w:tcPr>
          <w:p>
            <w:pPr>
              <w:pStyle w:val="19"/>
              <w:spacing w:before="63"/>
              <w:ind w:left="247"/>
              <w:jc w:val="left"/>
              <w:rPr>
                <w:sz w:val="21"/>
              </w:rPr>
            </w:pPr>
            <w:r>
              <w:rPr>
                <w:sz w:val="21"/>
              </w:rPr>
              <w:t>煤矸石转运场洒水抑尘</w:t>
            </w:r>
          </w:p>
        </w:tc>
        <w:tc>
          <w:tcPr>
            <w:tcW w:w="4527" w:type="dxa"/>
            <w:tcBorders>
              <w:top w:val="single" w:color="000000" w:sz="4" w:space="0"/>
              <w:left w:val="single" w:color="000000" w:sz="4" w:space="0"/>
              <w:bottom w:val="single" w:color="000000" w:sz="4" w:space="0"/>
              <w:right w:val="single" w:color="000000" w:sz="4" w:space="0"/>
            </w:tcBorders>
          </w:tcPr>
          <w:p>
            <w:pPr>
              <w:pStyle w:val="19"/>
              <w:spacing w:before="63"/>
              <w:ind w:left="41" w:right="25"/>
              <w:rPr>
                <w:sz w:val="21"/>
              </w:rPr>
            </w:pPr>
            <w:r>
              <w:rPr>
                <w:sz w:val="21"/>
              </w:rPr>
              <w:t>洒水降尘系统，定期洒水</w:t>
            </w:r>
          </w:p>
        </w:tc>
        <w:tc>
          <w:tcPr>
            <w:tcW w:w="1371" w:type="dxa"/>
            <w:tcBorders>
              <w:top w:val="single" w:color="000000" w:sz="4" w:space="0"/>
              <w:left w:val="single" w:color="000000" w:sz="4" w:space="0"/>
              <w:bottom w:val="single" w:color="000000" w:sz="4" w:space="0"/>
            </w:tcBorders>
          </w:tcPr>
          <w:p>
            <w:pPr>
              <w:pStyle w:val="19"/>
              <w:spacing w:before="77"/>
              <w:ind w:left="377" w:right="356"/>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799" w:type="dxa"/>
            <w:tcBorders>
              <w:top w:val="single" w:color="000000" w:sz="4" w:space="0"/>
              <w:bottom w:val="single" w:color="000000" w:sz="4" w:space="0"/>
              <w:right w:val="single" w:color="000000" w:sz="4" w:space="0"/>
            </w:tcBorders>
          </w:tcPr>
          <w:p>
            <w:pPr>
              <w:pStyle w:val="19"/>
              <w:spacing w:before="76"/>
              <w:ind w:left="11"/>
              <w:rPr>
                <w:rFonts w:ascii="Times New Roman"/>
                <w:sz w:val="21"/>
              </w:rPr>
            </w:pPr>
            <w:r>
              <w:rPr>
                <w:rFonts w:ascii="Times New Roman"/>
                <w:w w:val="99"/>
                <w:sz w:val="21"/>
              </w:rPr>
              <w:t>3</w:t>
            </w:r>
          </w:p>
        </w:tc>
        <w:tc>
          <w:tcPr>
            <w:tcW w:w="2589" w:type="dxa"/>
            <w:tcBorders>
              <w:top w:val="single" w:color="000000" w:sz="4" w:space="0"/>
              <w:left w:val="single" w:color="000000" w:sz="4" w:space="0"/>
              <w:bottom w:val="single" w:color="000000" w:sz="4" w:space="0"/>
              <w:right w:val="single" w:color="000000" w:sz="4" w:space="0"/>
            </w:tcBorders>
          </w:tcPr>
          <w:p>
            <w:pPr>
              <w:pStyle w:val="19"/>
              <w:spacing w:before="62"/>
              <w:ind w:left="144"/>
              <w:jc w:val="left"/>
              <w:rPr>
                <w:sz w:val="21"/>
              </w:rPr>
            </w:pPr>
            <w:r>
              <w:rPr>
                <w:sz w:val="21"/>
              </w:rPr>
              <w:t>工业广场、道路扬尘治理</w:t>
            </w:r>
          </w:p>
        </w:tc>
        <w:tc>
          <w:tcPr>
            <w:tcW w:w="4527" w:type="dxa"/>
            <w:tcBorders>
              <w:top w:val="single" w:color="000000" w:sz="4" w:space="0"/>
              <w:left w:val="single" w:color="000000" w:sz="4" w:space="0"/>
              <w:bottom w:val="single" w:color="000000" w:sz="4" w:space="0"/>
              <w:right w:val="single" w:color="000000" w:sz="4" w:space="0"/>
            </w:tcBorders>
          </w:tcPr>
          <w:p>
            <w:pPr>
              <w:pStyle w:val="19"/>
              <w:spacing w:before="62"/>
              <w:ind w:left="41" w:right="25"/>
              <w:rPr>
                <w:sz w:val="21"/>
              </w:rPr>
            </w:pPr>
            <w:r>
              <w:rPr>
                <w:sz w:val="21"/>
              </w:rPr>
              <w:t>洒水车定期洒水</w:t>
            </w:r>
          </w:p>
        </w:tc>
        <w:tc>
          <w:tcPr>
            <w:tcW w:w="1371" w:type="dxa"/>
            <w:tcBorders>
              <w:top w:val="single" w:color="000000" w:sz="4" w:space="0"/>
              <w:left w:val="single" w:color="000000" w:sz="4" w:space="0"/>
              <w:bottom w:val="single" w:color="000000" w:sz="4" w:space="0"/>
            </w:tcBorders>
          </w:tcPr>
          <w:p>
            <w:pPr>
              <w:pStyle w:val="19"/>
              <w:spacing w:before="76"/>
              <w:ind w:left="377" w:right="356"/>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9" w:type="dxa"/>
            <w:tcBorders>
              <w:top w:val="single" w:color="000000" w:sz="4" w:space="0"/>
              <w:bottom w:val="single" w:color="000000" w:sz="4" w:space="0"/>
              <w:right w:val="single" w:color="000000" w:sz="4" w:space="0"/>
            </w:tcBorders>
          </w:tcPr>
          <w:p>
            <w:pPr>
              <w:pStyle w:val="19"/>
              <w:spacing w:before="77"/>
              <w:ind w:left="11"/>
              <w:rPr>
                <w:rFonts w:ascii="Times New Roman"/>
                <w:sz w:val="21"/>
              </w:rPr>
            </w:pPr>
            <w:r>
              <w:rPr>
                <w:rFonts w:ascii="Times New Roman"/>
                <w:w w:val="99"/>
                <w:sz w:val="21"/>
              </w:rPr>
              <w:t>4</w:t>
            </w:r>
          </w:p>
        </w:tc>
        <w:tc>
          <w:tcPr>
            <w:tcW w:w="2589" w:type="dxa"/>
            <w:tcBorders>
              <w:top w:val="single" w:color="000000" w:sz="4" w:space="0"/>
              <w:left w:val="single" w:color="000000" w:sz="4" w:space="0"/>
              <w:bottom w:val="single" w:color="000000" w:sz="4" w:space="0"/>
              <w:right w:val="single" w:color="000000" w:sz="4" w:space="0"/>
            </w:tcBorders>
          </w:tcPr>
          <w:p>
            <w:pPr>
              <w:pStyle w:val="19"/>
              <w:spacing w:before="63"/>
              <w:ind w:left="667"/>
              <w:jc w:val="left"/>
              <w:rPr>
                <w:sz w:val="21"/>
              </w:rPr>
            </w:pPr>
            <w:r>
              <w:rPr>
                <w:sz w:val="21"/>
              </w:rPr>
              <w:t>食堂油烟治理</w:t>
            </w:r>
          </w:p>
        </w:tc>
        <w:tc>
          <w:tcPr>
            <w:tcW w:w="4527" w:type="dxa"/>
            <w:tcBorders>
              <w:top w:val="single" w:color="000000" w:sz="4" w:space="0"/>
              <w:left w:val="single" w:color="000000" w:sz="4" w:space="0"/>
              <w:bottom w:val="single" w:color="000000" w:sz="4" w:space="0"/>
              <w:right w:val="single" w:color="000000" w:sz="4" w:space="0"/>
            </w:tcBorders>
          </w:tcPr>
          <w:p>
            <w:pPr>
              <w:pStyle w:val="19"/>
              <w:spacing w:before="63"/>
              <w:ind w:left="41" w:right="20"/>
              <w:rPr>
                <w:sz w:val="21"/>
              </w:rPr>
            </w:pPr>
            <w:r>
              <w:rPr>
                <w:sz w:val="21"/>
              </w:rPr>
              <w:t xml:space="preserve">油烟净化器 </w:t>
            </w:r>
            <w:r>
              <w:rPr>
                <w:rFonts w:ascii="Times New Roman" w:eastAsia="Times New Roman"/>
                <w:sz w:val="21"/>
              </w:rPr>
              <w:t xml:space="preserve">1 </w:t>
            </w:r>
            <w:r>
              <w:rPr>
                <w:sz w:val="21"/>
              </w:rPr>
              <w:t>台</w:t>
            </w:r>
          </w:p>
        </w:tc>
        <w:tc>
          <w:tcPr>
            <w:tcW w:w="1371" w:type="dxa"/>
            <w:tcBorders>
              <w:top w:val="single" w:color="000000" w:sz="4" w:space="0"/>
              <w:left w:val="single" w:color="000000" w:sz="4" w:space="0"/>
              <w:bottom w:val="single" w:color="000000" w:sz="4" w:space="0"/>
            </w:tcBorders>
          </w:tcPr>
          <w:p>
            <w:pPr>
              <w:pStyle w:val="19"/>
              <w:spacing w:before="77"/>
              <w:ind w:left="21"/>
              <w:rPr>
                <w:rFonts w:ascii="Times New Roman"/>
                <w:sz w:val="21"/>
              </w:rPr>
            </w:pPr>
            <w:r>
              <w:rPr>
                <w:rFonts w:ascii="Times New Roman"/>
                <w:w w:val="99"/>
                <w:sz w:val="21"/>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9" w:type="dxa"/>
            <w:tcBorders>
              <w:top w:val="single" w:color="000000" w:sz="4" w:space="0"/>
              <w:bottom w:val="single" w:color="000000" w:sz="4" w:space="0"/>
              <w:right w:val="single" w:color="000000" w:sz="4" w:space="0"/>
            </w:tcBorders>
          </w:tcPr>
          <w:p>
            <w:pPr>
              <w:pStyle w:val="19"/>
              <w:spacing w:before="76"/>
              <w:ind w:left="11"/>
              <w:rPr>
                <w:rFonts w:ascii="Times New Roman"/>
                <w:sz w:val="21"/>
              </w:rPr>
            </w:pPr>
            <w:r>
              <w:rPr>
                <w:rFonts w:ascii="Times New Roman"/>
                <w:w w:val="99"/>
                <w:sz w:val="21"/>
              </w:rPr>
              <w:t>5</w:t>
            </w:r>
          </w:p>
        </w:tc>
        <w:tc>
          <w:tcPr>
            <w:tcW w:w="2589" w:type="dxa"/>
            <w:tcBorders>
              <w:top w:val="single" w:color="000000" w:sz="4" w:space="0"/>
              <w:left w:val="single" w:color="000000" w:sz="4" w:space="0"/>
              <w:bottom w:val="single" w:color="000000" w:sz="4" w:space="0"/>
              <w:right w:val="single" w:color="000000" w:sz="4" w:space="0"/>
            </w:tcBorders>
          </w:tcPr>
          <w:p>
            <w:pPr>
              <w:pStyle w:val="19"/>
              <w:spacing w:before="62"/>
              <w:ind w:left="667"/>
              <w:jc w:val="left"/>
              <w:rPr>
                <w:sz w:val="21"/>
              </w:rPr>
            </w:pPr>
            <w:r>
              <w:rPr>
                <w:sz w:val="21"/>
              </w:rPr>
              <w:t>锅炉烟气净化</w:t>
            </w:r>
          </w:p>
        </w:tc>
        <w:tc>
          <w:tcPr>
            <w:tcW w:w="4527" w:type="dxa"/>
            <w:tcBorders>
              <w:top w:val="single" w:color="000000" w:sz="4" w:space="0"/>
              <w:left w:val="single" w:color="000000" w:sz="4" w:space="0"/>
              <w:bottom w:val="single" w:color="000000" w:sz="4" w:space="0"/>
              <w:right w:val="single" w:color="000000" w:sz="4" w:space="0"/>
            </w:tcBorders>
          </w:tcPr>
          <w:p>
            <w:pPr>
              <w:pStyle w:val="19"/>
              <w:spacing w:before="62"/>
              <w:ind w:left="41" w:right="20"/>
              <w:rPr>
                <w:sz w:val="21"/>
              </w:rPr>
            </w:pPr>
            <w:r>
              <w:rPr>
                <w:sz w:val="21"/>
              </w:rPr>
              <w:t xml:space="preserve">布袋除尘器 </w:t>
            </w:r>
            <w:r>
              <w:rPr>
                <w:rFonts w:ascii="Times New Roman" w:eastAsia="Times New Roman"/>
                <w:sz w:val="21"/>
              </w:rPr>
              <w:t xml:space="preserve">3 </w:t>
            </w:r>
            <w:r>
              <w:rPr>
                <w:sz w:val="21"/>
              </w:rPr>
              <w:t>台</w:t>
            </w:r>
          </w:p>
        </w:tc>
        <w:tc>
          <w:tcPr>
            <w:tcW w:w="1371" w:type="dxa"/>
            <w:tcBorders>
              <w:top w:val="single" w:color="000000" w:sz="4" w:space="0"/>
              <w:left w:val="single" w:color="000000" w:sz="4" w:space="0"/>
              <w:bottom w:val="single" w:color="000000" w:sz="4" w:space="0"/>
            </w:tcBorders>
          </w:tcPr>
          <w:p>
            <w:pPr>
              <w:pStyle w:val="19"/>
              <w:spacing w:before="76"/>
              <w:ind w:left="377" w:right="356"/>
              <w:rPr>
                <w:rFonts w:ascii="Times New Roman"/>
                <w:sz w:val="21"/>
              </w:rPr>
            </w:pPr>
            <w:r>
              <w:rPr>
                <w:rFonts w:ascii="Times New Roman"/>
                <w:sz w:val="21"/>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99" w:type="dxa"/>
            <w:tcBorders>
              <w:top w:val="single" w:color="000000" w:sz="4" w:space="0"/>
              <w:bottom w:val="single" w:color="000000" w:sz="4" w:space="0"/>
              <w:right w:val="single" w:color="000000" w:sz="4" w:space="0"/>
            </w:tcBorders>
          </w:tcPr>
          <w:p>
            <w:pPr>
              <w:pStyle w:val="19"/>
              <w:spacing w:before="178"/>
              <w:ind w:left="10"/>
              <w:rPr>
                <w:sz w:val="21"/>
              </w:rPr>
            </w:pPr>
            <w:r>
              <w:rPr>
                <w:w w:val="99"/>
                <w:sz w:val="21"/>
              </w:rPr>
              <w:t>三</w:t>
            </w:r>
          </w:p>
        </w:tc>
        <w:tc>
          <w:tcPr>
            <w:tcW w:w="2589" w:type="dxa"/>
            <w:tcBorders>
              <w:top w:val="single" w:color="000000" w:sz="4" w:space="0"/>
              <w:left w:val="single" w:color="000000" w:sz="4" w:space="0"/>
              <w:bottom w:val="single" w:color="000000" w:sz="4" w:space="0"/>
              <w:right w:val="single" w:color="000000" w:sz="4" w:space="0"/>
            </w:tcBorders>
          </w:tcPr>
          <w:p>
            <w:pPr>
              <w:pStyle w:val="19"/>
              <w:spacing w:before="178"/>
              <w:ind w:left="72" w:right="56"/>
              <w:rPr>
                <w:sz w:val="21"/>
              </w:rPr>
            </w:pPr>
            <w:r>
              <w:rPr>
                <w:sz w:val="21"/>
              </w:rPr>
              <w:t>噪声控制</w:t>
            </w:r>
          </w:p>
        </w:tc>
        <w:tc>
          <w:tcPr>
            <w:tcW w:w="4527" w:type="dxa"/>
            <w:tcBorders>
              <w:top w:val="single" w:color="000000" w:sz="4" w:space="0"/>
              <w:left w:val="single" w:color="000000" w:sz="4" w:space="0"/>
              <w:bottom w:val="single" w:color="000000" w:sz="4" w:space="0"/>
              <w:right w:val="single" w:color="000000" w:sz="4" w:space="0"/>
            </w:tcBorders>
          </w:tcPr>
          <w:p>
            <w:pPr>
              <w:pStyle w:val="19"/>
              <w:spacing w:before="22"/>
              <w:ind w:left="41" w:right="25"/>
              <w:rPr>
                <w:sz w:val="21"/>
              </w:rPr>
            </w:pPr>
            <w:r>
              <w:rPr>
                <w:sz w:val="21"/>
              </w:rPr>
              <w:t>包括工业场地设备和厂房隔声、吸声、隔振、消</w:t>
            </w:r>
          </w:p>
          <w:p>
            <w:pPr>
              <w:pStyle w:val="19"/>
              <w:spacing w:before="43"/>
              <w:ind w:left="38" w:right="25"/>
              <w:rPr>
                <w:sz w:val="21"/>
              </w:rPr>
            </w:pPr>
            <w:r>
              <w:rPr>
                <w:sz w:val="21"/>
              </w:rPr>
              <w:t>声等投资</w:t>
            </w:r>
          </w:p>
        </w:tc>
        <w:tc>
          <w:tcPr>
            <w:tcW w:w="1371" w:type="dxa"/>
            <w:tcBorders>
              <w:top w:val="single" w:color="000000" w:sz="4" w:space="0"/>
              <w:left w:val="single" w:color="000000" w:sz="4" w:space="0"/>
              <w:bottom w:val="single" w:color="000000" w:sz="4" w:space="0"/>
            </w:tcBorders>
          </w:tcPr>
          <w:p>
            <w:pPr>
              <w:pStyle w:val="19"/>
              <w:spacing w:before="192"/>
              <w:ind w:left="377" w:right="356"/>
              <w:rPr>
                <w:rFonts w:ascii="Times New Roman"/>
                <w:sz w:val="21"/>
              </w:rPr>
            </w:pPr>
            <w:r>
              <w:rPr>
                <w:rFonts w:asci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799" w:type="dxa"/>
            <w:tcBorders>
              <w:top w:val="single" w:color="000000" w:sz="4" w:space="0"/>
              <w:bottom w:val="single" w:color="000000" w:sz="4" w:space="0"/>
              <w:right w:val="single" w:color="000000" w:sz="4" w:space="0"/>
            </w:tcBorders>
          </w:tcPr>
          <w:p>
            <w:pPr>
              <w:pStyle w:val="19"/>
              <w:spacing w:before="62"/>
              <w:ind w:left="10"/>
              <w:rPr>
                <w:sz w:val="21"/>
              </w:rPr>
            </w:pPr>
            <w:r>
              <w:rPr>
                <w:w w:val="99"/>
                <w:sz w:val="21"/>
              </w:rPr>
              <w:t>四</w:t>
            </w:r>
          </w:p>
        </w:tc>
        <w:tc>
          <w:tcPr>
            <w:tcW w:w="2589" w:type="dxa"/>
            <w:tcBorders>
              <w:top w:val="single" w:color="000000" w:sz="4" w:space="0"/>
              <w:left w:val="single" w:color="000000" w:sz="4" w:space="0"/>
              <w:bottom w:val="single" w:color="000000" w:sz="4" w:space="0"/>
              <w:right w:val="single" w:color="000000" w:sz="4" w:space="0"/>
            </w:tcBorders>
          </w:tcPr>
          <w:p>
            <w:pPr>
              <w:pStyle w:val="19"/>
              <w:spacing w:before="62"/>
              <w:ind w:left="614"/>
              <w:jc w:val="left"/>
              <w:rPr>
                <w:sz w:val="21"/>
              </w:rPr>
            </w:pPr>
            <w:r>
              <w:rPr>
                <w:sz w:val="21"/>
              </w:rPr>
              <w:t>煤矸石转运场</w:t>
            </w:r>
          </w:p>
        </w:tc>
        <w:tc>
          <w:tcPr>
            <w:tcW w:w="4527" w:type="dxa"/>
            <w:tcBorders>
              <w:top w:val="single" w:color="000000" w:sz="4" w:space="0"/>
              <w:left w:val="single" w:color="000000" w:sz="4" w:space="0"/>
              <w:bottom w:val="single" w:color="000000" w:sz="4" w:space="0"/>
              <w:right w:val="single" w:color="000000" w:sz="4" w:space="0"/>
            </w:tcBorders>
          </w:tcPr>
          <w:p>
            <w:pPr>
              <w:pStyle w:val="19"/>
              <w:spacing w:before="62"/>
              <w:ind w:left="41" w:right="25"/>
              <w:rPr>
                <w:sz w:val="21"/>
              </w:rPr>
            </w:pPr>
            <w:r>
              <w:rPr>
                <w:sz w:val="21"/>
              </w:rPr>
              <w:t>周围设拦矸坝和截流沟</w:t>
            </w:r>
          </w:p>
        </w:tc>
        <w:tc>
          <w:tcPr>
            <w:tcW w:w="1371" w:type="dxa"/>
            <w:tcBorders>
              <w:top w:val="single" w:color="000000" w:sz="4" w:space="0"/>
              <w:left w:val="single" w:color="000000" w:sz="4" w:space="0"/>
              <w:bottom w:val="single" w:color="000000" w:sz="4" w:space="0"/>
            </w:tcBorders>
          </w:tcPr>
          <w:p>
            <w:pPr>
              <w:pStyle w:val="19"/>
              <w:spacing w:before="76"/>
              <w:ind w:left="21"/>
              <w:rPr>
                <w:rFonts w:ascii="Times New Roman"/>
                <w:sz w:val="21"/>
              </w:rPr>
            </w:pPr>
            <w:r>
              <w:rPr>
                <w:rFonts w:ascii="Times New Roman"/>
                <w:w w:val="99"/>
                <w:sz w:val="21"/>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799" w:type="dxa"/>
            <w:tcBorders>
              <w:top w:val="single" w:color="000000" w:sz="4" w:space="0"/>
              <w:bottom w:val="single" w:color="000000" w:sz="4" w:space="0"/>
              <w:right w:val="single" w:color="000000" w:sz="4" w:space="0"/>
            </w:tcBorders>
          </w:tcPr>
          <w:p>
            <w:pPr>
              <w:pStyle w:val="19"/>
              <w:spacing w:before="176"/>
              <w:ind w:left="10"/>
              <w:rPr>
                <w:sz w:val="21"/>
              </w:rPr>
            </w:pPr>
            <w:r>
              <w:rPr>
                <w:w w:val="99"/>
                <w:sz w:val="21"/>
              </w:rPr>
              <w:t>五</w:t>
            </w:r>
          </w:p>
        </w:tc>
        <w:tc>
          <w:tcPr>
            <w:tcW w:w="2589" w:type="dxa"/>
            <w:tcBorders>
              <w:top w:val="single" w:color="000000" w:sz="4" w:space="0"/>
              <w:left w:val="single" w:color="000000" w:sz="4" w:space="0"/>
              <w:bottom w:val="single" w:color="000000" w:sz="4" w:space="0"/>
              <w:right w:val="single" w:color="000000" w:sz="4" w:space="0"/>
            </w:tcBorders>
          </w:tcPr>
          <w:p>
            <w:pPr>
              <w:pStyle w:val="19"/>
              <w:spacing w:before="20"/>
              <w:ind w:left="72" w:right="156"/>
              <w:rPr>
                <w:sz w:val="21"/>
              </w:rPr>
            </w:pPr>
            <w:r>
              <w:rPr>
                <w:sz w:val="21"/>
              </w:rPr>
              <w:t>塌陷区综合整治与生态恢</w:t>
            </w:r>
          </w:p>
          <w:p>
            <w:pPr>
              <w:pStyle w:val="19"/>
              <w:spacing w:before="43"/>
              <w:ind w:right="87"/>
              <w:rPr>
                <w:sz w:val="21"/>
              </w:rPr>
            </w:pPr>
            <w:r>
              <w:rPr>
                <w:w w:val="99"/>
                <w:sz w:val="21"/>
              </w:rPr>
              <w:t>复</w:t>
            </w:r>
          </w:p>
        </w:tc>
        <w:tc>
          <w:tcPr>
            <w:tcW w:w="4527" w:type="dxa"/>
            <w:tcBorders>
              <w:top w:val="single" w:color="000000" w:sz="4" w:space="0"/>
              <w:left w:val="single" w:color="000000" w:sz="4" w:space="0"/>
              <w:bottom w:val="single" w:color="000000" w:sz="4" w:space="0"/>
              <w:right w:val="single" w:color="000000" w:sz="4" w:space="0"/>
            </w:tcBorders>
          </w:tcPr>
          <w:p>
            <w:pPr>
              <w:pStyle w:val="19"/>
              <w:spacing w:before="176"/>
              <w:ind w:left="38" w:right="25"/>
              <w:rPr>
                <w:sz w:val="21"/>
              </w:rPr>
            </w:pPr>
            <w:r>
              <w:rPr>
                <w:sz w:val="21"/>
              </w:rPr>
              <w:t>综合整治设备投资</w:t>
            </w:r>
          </w:p>
        </w:tc>
        <w:tc>
          <w:tcPr>
            <w:tcW w:w="1371" w:type="dxa"/>
            <w:tcBorders>
              <w:top w:val="single" w:color="000000" w:sz="4" w:space="0"/>
              <w:left w:val="single" w:color="000000" w:sz="4" w:space="0"/>
              <w:bottom w:val="single" w:color="000000" w:sz="4" w:space="0"/>
            </w:tcBorders>
          </w:tcPr>
          <w:p>
            <w:pPr>
              <w:pStyle w:val="19"/>
              <w:spacing w:before="190"/>
              <w:ind w:left="377" w:right="356"/>
              <w:rPr>
                <w:rFonts w:ascii="Times New Roman"/>
                <w:sz w:val="21"/>
              </w:rPr>
            </w:pPr>
            <w:r>
              <w:rPr>
                <w:rFonts w:asci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799" w:type="dxa"/>
            <w:tcBorders>
              <w:top w:val="single" w:color="000000" w:sz="4" w:space="0"/>
              <w:bottom w:val="single" w:color="000000" w:sz="4" w:space="0"/>
              <w:right w:val="single" w:color="000000" w:sz="4" w:space="0"/>
            </w:tcBorders>
          </w:tcPr>
          <w:p>
            <w:pPr>
              <w:pStyle w:val="19"/>
              <w:spacing w:before="63"/>
              <w:ind w:left="10"/>
              <w:rPr>
                <w:sz w:val="21"/>
              </w:rPr>
            </w:pPr>
            <w:r>
              <w:rPr>
                <w:w w:val="99"/>
                <w:sz w:val="21"/>
              </w:rPr>
              <w:t>六</w:t>
            </w:r>
          </w:p>
        </w:tc>
        <w:tc>
          <w:tcPr>
            <w:tcW w:w="2589" w:type="dxa"/>
            <w:tcBorders>
              <w:top w:val="single" w:color="000000" w:sz="4" w:space="0"/>
              <w:left w:val="single" w:color="000000" w:sz="4" w:space="0"/>
              <w:bottom w:val="single" w:color="000000" w:sz="4" w:space="0"/>
              <w:right w:val="single" w:color="000000" w:sz="4" w:space="0"/>
            </w:tcBorders>
          </w:tcPr>
          <w:p>
            <w:pPr>
              <w:pStyle w:val="19"/>
              <w:spacing w:before="63"/>
              <w:ind w:left="67" w:right="156"/>
              <w:rPr>
                <w:sz w:val="21"/>
              </w:rPr>
            </w:pPr>
            <w:r>
              <w:rPr>
                <w:sz w:val="21"/>
              </w:rPr>
              <w:t>绿化</w:t>
            </w:r>
          </w:p>
        </w:tc>
        <w:tc>
          <w:tcPr>
            <w:tcW w:w="4527" w:type="dxa"/>
            <w:tcBorders>
              <w:top w:val="single" w:color="000000" w:sz="4" w:space="0"/>
              <w:left w:val="single" w:color="000000" w:sz="4" w:space="0"/>
              <w:bottom w:val="single" w:color="000000" w:sz="4" w:space="0"/>
              <w:right w:val="single" w:color="000000" w:sz="4" w:space="0"/>
            </w:tcBorders>
          </w:tcPr>
          <w:p>
            <w:pPr>
              <w:pStyle w:val="19"/>
              <w:spacing w:before="63"/>
              <w:ind w:left="41" w:right="25"/>
              <w:rPr>
                <w:sz w:val="21"/>
              </w:rPr>
            </w:pPr>
            <w:r>
              <w:rPr>
                <w:sz w:val="21"/>
              </w:rPr>
              <w:t>工业场地绿化</w:t>
            </w:r>
          </w:p>
        </w:tc>
        <w:tc>
          <w:tcPr>
            <w:tcW w:w="1371" w:type="dxa"/>
            <w:tcBorders>
              <w:top w:val="single" w:color="000000" w:sz="4" w:space="0"/>
              <w:left w:val="single" w:color="000000" w:sz="4" w:space="0"/>
              <w:bottom w:val="single" w:color="000000" w:sz="4" w:space="0"/>
            </w:tcBorders>
          </w:tcPr>
          <w:p>
            <w:pPr>
              <w:pStyle w:val="19"/>
              <w:spacing w:before="77"/>
              <w:ind w:left="377" w:right="356"/>
              <w:rPr>
                <w:rFonts w:ascii="Times New Roman"/>
                <w:sz w:val="21"/>
              </w:rPr>
            </w:pPr>
            <w:r>
              <w:rPr>
                <w:rFonts w:asci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9" w:type="dxa"/>
            <w:tcBorders>
              <w:top w:val="single" w:color="000000" w:sz="4" w:space="0"/>
              <w:bottom w:val="single" w:color="000000" w:sz="4" w:space="0"/>
              <w:right w:val="single" w:color="000000" w:sz="4" w:space="0"/>
            </w:tcBorders>
          </w:tcPr>
          <w:p>
            <w:pPr>
              <w:pStyle w:val="19"/>
              <w:spacing w:before="64"/>
              <w:ind w:left="10"/>
              <w:rPr>
                <w:sz w:val="21"/>
              </w:rPr>
            </w:pPr>
            <w:r>
              <w:rPr>
                <w:w w:val="99"/>
                <w:sz w:val="21"/>
              </w:rPr>
              <w:t>七</w:t>
            </w:r>
          </w:p>
        </w:tc>
        <w:tc>
          <w:tcPr>
            <w:tcW w:w="2589" w:type="dxa"/>
            <w:tcBorders>
              <w:top w:val="single" w:color="000000" w:sz="4" w:space="0"/>
              <w:left w:val="single" w:color="000000" w:sz="4" w:space="0"/>
              <w:bottom w:val="single" w:color="000000" w:sz="4" w:space="0"/>
              <w:right w:val="single" w:color="000000" w:sz="4" w:space="0"/>
            </w:tcBorders>
          </w:tcPr>
          <w:p>
            <w:pPr>
              <w:pStyle w:val="19"/>
              <w:spacing w:before="64"/>
              <w:ind w:left="144"/>
              <w:jc w:val="left"/>
              <w:rPr>
                <w:sz w:val="21"/>
              </w:rPr>
            </w:pPr>
            <w:r>
              <w:rPr>
                <w:sz w:val="21"/>
              </w:rPr>
              <w:t>环境监测与地表沉陷观测</w:t>
            </w:r>
          </w:p>
        </w:tc>
        <w:tc>
          <w:tcPr>
            <w:tcW w:w="4527" w:type="dxa"/>
            <w:tcBorders>
              <w:top w:val="single" w:color="000000" w:sz="4" w:space="0"/>
              <w:left w:val="single" w:color="000000" w:sz="4" w:space="0"/>
              <w:bottom w:val="single" w:color="000000" w:sz="4" w:space="0"/>
              <w:right w:val="single" w:color="000000" w:sz="4" w:space="0"/>
            </w:tcBorders>
          </w:tcPr>
          <w:p>
            <w:pPr>
              <w:pStyle w:val="19"/>
              <w:spacing w:before="64"/>
              <w:ind w:left="41" w:right="25"/>
              <w:rPr>
                <w:sz w:val="21"/>
              </w:rPr>
            </w:pPr>
            <w:r>
              <w:rPr>
                <w:sz w:val="21"/>
              </w:rPr>
              <w:t>委托监测及购置常规设备</w:t>
            </w:r>
          </w:p>
        </w:tc>
        <w:tc>
          <w:tcPr>
            <w:tcW w:w="1371" w:type="dxa"/>
            <w:tcBorders>
              <w:top w:val="single" w:color="000000" w:sz="4" w:space="0"/>
              <w:left w:val="single" w:color="000000" w:sz="4" w:space="0"/>
              <w:bottom w:val="single" w:color="000000" w:sz="4" w:space="0"/>
            </w:tcBorders>
          </w:tcPr>
          <w:p>
            <w:pPr>
              <w:pStyle w:val="19"/>
              <w:spacing w:before="78"/>
              <w:ind w:left="377" w:right="356"/>
              <w:rPr>
                <w:rFonts w:ascii="Times New Roman"/>
                <w:sz w:val="21"/>
              </w:rPr>
            </w:pPr>
            <w:r>
              <w:rPr>
                <w:rFonts w:asci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9" w:type="dxa"/>
            <w:tcBorders>
              <w:top w:val="single" w:color="000000" w:sz="4" w:space="0"/>
              <w:bottom w:val="single" w:color="000000" w:sz="4" w:space="0"/>
              <w:right w:val="single" w:color="000000" w:sz="4" w:space="0"/>
            </w:tcBorders>
          </w:tcPr>
          <w:p>
            <w:pPr>
              <w:pStyle w:val="19"/>
              <w:spacing w:before="63"/>
              <w:ind w:left="10"/>
              <w:rPr>
                <w:sz w:val="21"/>
              </w:rPr>
            </w:pPr>
            <w:r>
              <w:rPr>
                <w:w w:val="99"/>
                <w:sz w:val="21"/>
              </w:rPr>
              <w:t>八</w:t>
            </w:r>
          </w:p>
        </w:tc>
        <w:tc>
          <w:tcPr>
            <w:tcW w:w="2589" w:type="dxa"/>
            <w:tcBorders>
              <w:top w:val="single" w:color="000000" w:sz="4" w:space="0"/>
              <w:left w:val="single" w:color="000000" w:sz="4" w:space="0"/>
              <w:bottom w:val="single" w:color="000000" w:sz="4" w:space="0"/>
              <w:right w:val="single" w:color="000000" w:sz="4" w:space="0"/>
            </w:tcBorders>
          </w:tcPr>
          <w:p>
            <w:pPr>
              <w:pStyle w:val="19"/>
              <w:spacing w:before="63"/>
              <w:ind w:left="458"/>
              <w:jc w:val="left"/>
              <w:rPr>
                <w:sz w:val="21"/>
              </w:rPr>
            </w:pPr>
            <w:r>
              <w:rPr>
                <w:sz w:val="21"/>
              </w:rPr>
              <w:t>环保设施运行费用</w:t>
            </w:r>
          </w:p>
        </w:tc>
        <w:tc>
          <w:tcPr>
            <w:tcW w:w="4527" w:type="dxa"/>
            <w:tcBorders>
              <w:top w:val="single" w:color="000000" w:sz="4" w:space="0"/>
              <w:left w:val="single" w:color="000000" w:sz="4" w:space="0"/>
              <w:bottom w:val="single" w:color="000000" w:sz="4" w:space="0"/>
              <w:right w:val="single" w:color="000000" w:sz="4" w:space="0"/>
            </w:tcBorders>
          </w:tcPr>
          <w:p>
            <w:pPr>
              <w:pStyle w:val="19"/>
              <w:spacing w:before="76"/>
              <w:ind w:left="16"/>
              <w:rPr>
                <w:rFonts w:ascii="Times New Roman"/>
                <w:sz w:val="21"/>
              </w:rPr>
            </w:pPr>
            <w:r>
              <w:rPr>
                <w:rFonts w:ascii="Times New Roman"/>
                <w:w w:val="99"/>
                <w:sz w:val="21"/>
              </w:rPr>
              <w:t>/</w:t>
            </w:r>
          </w:p>
        </w:tc>
        <w:tc>
          <w:tcPr>
            <w:tcW w:w="1371" w:type="dxa"/>
            <w:tcBorders>
              <w:top w:val="single" w:color="000000" w:sz="4" w:space="0"/>
              <w:left w:val="single" w:color="000000" w:sz="4" w:space="0"/>
              <w:bottom w:val="single" w:color="000000" w:sz="4" w:space="0"/>
            </w:tcBorders>
          </w:tcPr>
          <w:p>
            <w:pPr>
              <w:pStyle w:val="19"/>
              <w:spacing w:before="76"/>
              <w:ind w:left="377" w:right="356"/>
              <w:rPr>
                <w:rFonts w:ascii="Times New Roman"/>
                <w:sz w:val="21"/>
              </w:rPr>
            </w:pPr>
            <w:r>
              <w:rPr>
                <w:rFonts w:asci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799" w:type="dxa"/>
            <w:tcBorders>
              <w:top w:val="single" w:color="000000" w:sz="4" w:space="0"/>
              <w:right w:val="single" w:color="000000" w:sz="4" w:space="0"/>
            </w:tcBorders>
          </w:tcPr>
          <w:p>
            <w:pPr>
              <w:pStyle w:val="19"/>
              <w:spacing w:before="64"/>
              <w:ind w:left="168" w:right="156"/>
              <w:rPr>
                <w:sz w:val="21"/>
              </w:rPr>
            </w:pPr>
            <w:r>
              <w:rPr>
                <w:sz w:val="21"/>
              </w:rPr>
              <w:t>合计</w:t>
            </w:r>
          </w:p>
        </w:tc>
        <w:tc>
          <w:tcPr>
            <w:tcW w:w="2589" w:type="dxa"/>
            <w:tcBorders>
              <w:top w:val="single" w:color="000000" w:sz="4" w:space="0"/>
              <w:left w:val="single" w:color="000000" w:sz="4" w:space="0"/>
              <w:right w:val="single" w:color="000000" w:sz="4" w:space="0"/>
            </w:tcBorders>
          </w:tcPr>
          <w:p>
            <w:pPr>
              <w:pStyle w:val="19"/>
              <w:jc w:val="left"/>
              <w:rPr>
                <w:rFonts w:ascii="Times New Roman"/>
                <w:sz w:val="22"/>
              </w:rPr>
            </w:pPr>
          </w:p>
        </w:tc>
        <w:tc>
          <w:tcPr>
            <w:tcW w:w="4527" w:type="dxa"/>
            <w:tcBorders>
              <w:top w:val="single" w:color="000000" w:sz="4" w:space="0"/>
              <w:left w:val="single" w:color="000000" w:sz="4" w:space="0"/>
              <w:right w:val="single" w:color="000000" w:sz="4" w:space="0"/>
            </w:tcBorders>
          </w:tcPr>
          <w:p>
            <w:pPr>
              <w:pStyle w:val="19"/>
              <w:jc w:val="left"/>
              <w:rPr>
                <w:rFonts w:ascii="Times New Roman"/>
                <w:sz w:val="22"/>
              </w:rPr>
            </w:pPr>
          </w:p>
        </w:tc>
        <w:tc>
          <w:tcPr>
            <w:tcW w:w="1371" w:type="dxa"/>
            <w:tcBorders>
              <w:top w:val="single" w:color="000000" w:sz="4" w:space="0"/>
              <w:left w:val="single" w:color="000000" w:sz="4" w:space="0"/>
            </w:tcBorders>
          </w:tcPr>
          <w:p>
            <w:pPr>
              <w:pStyle w:val="19"/>
              <w:spacing w:before="77"/>
              <w:ind w:left="380" w:right="354"/>
              <w:rPr>
                <w:rFonts w:ascii="Times New Roman"/>
                <w:sz w:val="21"/>
              </w:rPr>
            </w:pPr>
            <w:r>
              <w:rPr>
                <w:rFonts w:ascii="Times New Roman"/>
                <w:sz w:val="21"/>
              </w:rPr>
              <w:t>342.39</w:t>
            </w:r>
          </w:p>
        </w:tc>
      </w:tr>
    </w:tbl>
    <w:p>
      <w:pPr>
        <w:pStyle w:val="9"/>
        <w:spacing w:before="80" w:line="364" w:lineRule="auto"/>
        <w:ind w:left="600" w:right="900" w:firstLine="480"/>
        <w:jc w:val="both"/>
      </w:pPr>
      <w:r>
        <w:rPr>
          <w:spacing w:val="-7"/>
        </w:rPr>
        <w:t xml:space="preserve">本项目建设总投资 </w:t>
      </w:r>
      <w:r>
        <w:rPr>
          <w:rFonts w:ascii="Times New Roman" w:eastAsia="Times New Roman"/>
        </w:rPr>
        <w:t xml:space="preserve">4036.6 </w:t>
      </w:r>
      <w:r>
        <w:rPr>
          <w:spacing w:val="-6"/>
        </w:rPr>
        <w:t xml:space="preserve">万元，环保工程投资 </w:t>
      </w:r>
      <w:r>
        <w:rPr>
          <w:rFonts w:ascii="Times New Roman" w:eastAsia="Times New Roman"/>
        </w:rPr>
        <w:t xml:space="preserve">342.39 </w:t>
      </w:r>
      <w:r>
        <w:rPr>
          <w:spacing w:val="-2"/>
        </w:rPr>
        <w:t>万元，项目环保工程</w:t>
      </w:r>
      <w:r>
        <w:rPr>
          <w:spacing w:val="-5"/>
        </w:rPr>
        <w:t xml:space="preserve">投资占项目建设总投资的比例为 </w:t>
      </w:r>
      <w:r>
        <w:rPr>
          <w:rFonts w:ascii="Times New Roman" w:eastAsia="Times New Roman"/>
        </w:rPr>
        <w:t>8.48%</w:t>
      </w:r>
      <w:r>
        <w:t>。</w:t>
      </w:r>
    </w:p>
    <w:p>
      <w:pPr>
        <w:pStyle w:val="5"/>
        <w:numPr>
          <w:ilvl w:val="1"/>
          <w:numId w:val="113"/>
        </w:numPr>
        <w:tabs>
          <w:tab w:val="left" w:pos="1200"/>
        </w:tabs>
        <w:spacing w:before="42" w:after="0" w:line="240" w:lineRule="auto"/>
        <w:ind w:left="1200" w:right="0" w:hanging="600"/>
        <w:jc w:val="left"/>
      </w:pPr>
      <w:bookmarkStart w:id="739" w:name="14.2环境经济效益分析与评价"/>
      <w:bookmarkEnd w:id="739"/>
      <w:bookmarkStart w:id="740" w:name="_bookmark82"/>
      <w:bookmarkEnd w:id="740"/>
      <w:bookmarkStart w:id="741" w:name="_bookmark82"/>
      <w:bookmarkEnd w:id="741"/>
      <w:r>
        <w:t>环境经济效益分析与评价</w:t>
      </w:r>
    </w:p>
    <w:p>
      <w:pPr>
        <w:pStyle w:val="6"/>
        <w:numPr>
          <w:ilvl w:val="2"/>
          <w:numId w:val="113"/>
        </w:numPr>
        <w:tabs>
          <w:tab w:val="left" w:pos="1371"/>
        </w:tabs>
        <w:spacing w:before="253" w:after="0" w:line="240" w:lineRule="auto"/>
        <w:ind w:left="1370" w:right="0" w:hanging="771"/>
        <w:jc w:val="left"/>
      </w:pPr>
      <w:bookmarkStart w:id="742" w:name="14.2.1环境效益分析"/>
      <w:bookmarkEnd w:id="742"/>
      <w:bookmarkStart w:id="743" w:name="14.2.1环境效益分析"/>
      <w:bookmarkEnd w:id="743"/>
      <w:r>
        <w:t>环境效益分析</w:t>
      </w:r>
    </w:p>
    <w:p>
      <w:pPr>
        <w:pStyle w:val="9"/>
        <w:spacing w:before="211" w:line="364" w:lineRule="auto"/>
        <w:ind w:left="600" w:right="896" w:firstLine="470"/>
        <w:jc w:val="both"/>
      </w:pPr>
      <w:r>
        <w:rPr>
          <w:spacing w:val="-3"/>
        </w:rPr>
        <w:t>尽管本项目采取了比较完善的环境保护措施，但投入运行后仍然存在</w:t>
      </w:r>
      <w:r>
        <w:rPr>
          <w:rFonts w:ascii="Times New Roman" w:hAnsi="Times New Roman" w:eastAsia="Times New Roman"/>
        </w:rPr>
        <w:t>“</w:t>
      </w:r>
      <w:r>
        <w:t>三废</w:t>
      </w:r>
      <w:r>
        <w:rPr>
          <w:rFonts w:ascii="Times New Roman" w:hAnsi="Times New Roman" w:eastAsia="Times New Roman"/>
          <w:spacing w:val="-17"/>
        </w:rPr>
        <w:t xml:space="preserve">” </w:t>
      </w:r>
      <w:r>
        <w:rPr>
          <w:spacing w:val="-8"/>
        </w:rPr>
        <w:t>和噪声排放。也将不可避免地形成地表塌陷，因此对周围环境空气、地面水、地</w:t>
      </w:r>
      <w:r>
        <w:rPr>
          <w:spacing w:val="-11"/>
        </w:rPr>
        <w:t>下水、声学环境、生态环境质量会带来一定程度的负面影响。另一方面本工程建</w:t>
      </w:r>
      <w:r>
        <w:rPr>
          <w:spacing w:val="-7"/>
        </w:rPr>
        <w:t>成后将向社会提供低硫的产品，符合国家的产业政策和环保政策，具有积极的环</w:t>
      </w:r>
    </w:p>
    <w:p>
      <w:pPr>
        <w:spacing w:after="0" w:line="364" w:lineRule="auto"/>
        <w:jc w:val="both"/>
        <w:sectPr>
          <w:pgSz w:w="11910" w:h="16840"/>
          <w:pgMar w:top="1460" w:right="900" w:bottom="1100" w:left="1200" w:header="0" w:footer="913" w:gutter="0"/>
        </w:sectPr>
      </w:pPr>
    </w:p>
    <w:p>
      <w:pPr>
        <w:pStyle w:val="9"/>
        <w:spacing w:before="42"/>
        <w:ind w:left="600"/>
      </w:pPr>
      <w:r>
        <w:t>保意义。</w:t>
      </w:r>
    </w:p>
    <w:p>
      <w:pPr>
        <w:pStyle w:val="6"/>
        <w:numPr>
          <w:ilvl w:val="2"/>
          <w:numId w:val="113"/>
        </w:numPr>
        <w:tabs>
          <w:tab w:val="left" w:pos="1371"/>
        </w:tabs>
        <w:spacing w:before="214" w:after="0" w:line="240" w:lineRule="auto"/>
        <w:ind w:left="1370" w:right="0" w:hanging="771"/>
        <w:jc w:val="left"/>
      </w:pPr>
      <w:bookmarkStart w:id="744" w:name="14.2.2社会效益分析"/>
      <w:bookmarkEnd w:id="744"/>
      <w:bookmarkStart w:id="745" w:name="14.2.2社会效益分析"/>
      <w:bookmarkEnd w:id="745"/>
      <w:r>
        <w:t>社会效益分析</w:t>
      </w:r>
    </w:p>
    <w:p>
      <w:pPr>
        <w:pStyle w:val="9"/>
        <w:spacing w:before="212"/>
        <w:ind w:left="1159"/>
        <w:jc w:val="both"/>
      </w:pPr>
      <w:r>
        <w:t>（</w:t>
      </w:r>
      <w:r>
        <w:rPr>
          <w:spacing w:val="-80"/>
        </w:rPr>
        <w:t xml:space="preserve"> </w:t>
      </w:r>
      <w:r>
        <w:rPr>
          <w:rFonts w:ascii="Times New Roman" w:eastAsia="Times New Roman"/>
          <w:spacing w:val="9"/>
        </w:rPr>
        <w:t>1</w:t>
      </w:r>
      <w:r>
        <w:rPr>
          <w:spacing w:val="9"/>
        </w:rPr>
        <w:t>）</w:t>
      </w:r>
      <w:r>
        <w:rPr>
          <w:spacing w:val="26"/>
        </w:rPr>
        <w:t xml:space="preserve"> 项目建设符合国家产业政策和环境保护政策</w:t>
      </w:r>
    </w:p>
    <w:p>
      <w:pPr>
        <w:pStyle w:val="9"/>
        <w:spacing w:before="160" w:line="364" w:lineRule="auto"/>
        <w:ind w:left="600" w:right="897" w:firstLine="480"/>
        <w:jc w:val="both"/>
      </w:pPr>
      <w:r>
        <w:rPr>
          <w:spacing w:val="-7"/>
        </w:rPr>
        <w:t>目前我国煤炭供应严重短缺，优质动力煤和化工原料煤供应不足，影响了经</w:t>
      </w:r>
      <w:r>
        <w:rPr>
          <w:spacing w:val="-3"/>
        </w:rPr>
        <w:t xml:space="preserve">济的发展。因此本项目建成后每年将向社会提供 </w:t>
      </w:r>
      <w:r>
        <w:rPr>
          <w:rFonts w:ascii="Times New Roman" w:eastAsia="Times New Roman"/>
        </w:rPr>
        <w:t>30</w:t>
      </w:r>
      <w:r>
        <w:rPr>
          <w:rFonts w:ascii="Times New Roman" w:eastAsia="Times New Roman"/>
          <w:spacing w:val="9"/>
        </w:rPr>
        <w:t xml:space="preserve"> </w:t>
      </w:r>
      <w:r>
        <w:rPr>
          <w:spacing w:val="-2"/>
        </w:rPr>
        <w:t>万吨优质动力煤和化工原料</w:t>
      </w:r>
      <w:r>
        <w:t>煤，项目开发符合国家的产业政策。</w:t>
      </w:r>
    </w:p>
    <w:p>
      <w:pPr>
        <w:pStyle w:val="9"/>
        <w:spacing w:before="2"/>
        <w:ind w:left="1080"/>
        <w:jc w:val="both"/>
      </w:pPr>
      <w:r>
        <w:t>（</w:t>
      </w:r>
      <w:r>
        <w:rPr>
          <w:spacing w:val="-80"/>
        </w:rPr>
        <w:t xml:space="preserve"> </w:t>
      </w:r>
      <w:r>
        <w:rPr>
          <w:rFonts w:ascii="Times New Roman" w:eastAsia="Times New Roman"/>
          <w:spacing w:val="9"/>
        </w:rPr>
        <w:t>2</w:t>
      </w:r>
      <w:r>
        <w:rPr>
          <w:spacing w:val="9"/>
        </w:rPr>
        <w:t>）</w:t>
      </w:r>
      <w:r>
        <w:rPr>
          <w:spacing w:val="22"/>
        </w:rPr>
        <w:t xml:space="preserve"> 项目建设对就业的影响</w:t>
      </w:r>
    </w:p>
    <w:p>
      <w:pPr>
        <w:pStyle w:val="9"/>
        <w:spacing w:before="160" w:line="364" w:lineRule="auto"/>
        <w:ind w:left="600" w:right="775" w:firstLine="559"/>
      </w:pPr>
      <w:r>
        <w:rPr>
          <w:spacing w:val="11"/>
        </w:rPr>
        <w:t>本工程投入运行后可增加数百个劳动岗位，同时估计可产生几十个为</w:t>
      </w:r>
      <w:r>
        <w:rPr>
          <w:spacing w:val="-6"/>
        </w:rPr>
        <w:t>矿井生产提供服务的岗位，这对改善当地的就业状况、促进社会稳定有积极意义。</w:t>
      </w:r>
      <w:r>
        <w:rPr>
          <w:spacing w:val="-3"/>
        </w:rPr>
        <w:t>但建设单位应尽可能地安排附近农民从事与矿井生产相关的服务性行业，并且从</w:t>
      </w:r>
      <w:r>
        <w:rPr>
          <w:spacing w:val="-10"/>
        </w:rPr>
        <w:t>严把关。对于确实不能安排的，也要尽可能围绕煤矿生产，引导并为当地农民创</w:t>
      </w:r>
      <w:r>
        <w:rPr>
          <w:spacing w:val="-18"/>
        </w:rPr>
        <w:t xml:space="preserve">造就业条件，充分利用煤炭开采过程中形成的采煤废水、矸石，进行综合性开发， </w:t>
      </w:r>
      <w:r>
        <w:t>补偿提高受影响农民的收入。</w:t>
      </w:r>
    </w:p>
    <w:p>
      <w:pPr>
        <w:pStyle w:val="18"/>
        <w:numPr>
          <w:ilvl w:val="0"/>
          <w:numId w:val="112"/>
        </w:numPr>
        <w:tabs>
          <w:tab w:val="left" w:pos="1681"/>
        </w:tabs>
        <w:spacing w:before="4" w:after="0" w:line="240" w:lineRule="auto"/>
        <w:ind w:left="1681" w:right="0" w:hanging="601"/>
        <w:jc w:val="left"/>
        <w:rPr>
          <w:sz w:val="24"/>
        </w:rPr>
      </w:pPr>
      <w:r>
        <w:rPr>
          <w:sz w:val="24"/>
        </w:rPr>
        <w:t>项目建设对促进当地经济发展的意义</w:t>
      </w:r>
    </w:p>
    <w:p>
      <w:pPr>
        <w:pStyle w:val="9"/>
        <w:spacing w:before="161" w:line="364" w:lineRule="auto"/>
        <w:ind w:left="600" w:right="897" w:firstLine="480"/>
        <w:jc w:val="both"/>
      </w:pPr>
      <w:r>
        <w:rPr>
          <w:spacing w:val="-5"/>
        </w:rPr>
        <w:t xml:space="preserve">本工程建成后每年销售收入为 </w:t>
      </w:r>
      <w:r>
        <w:rPr>
          <w:rFonts w:ascii="Times New Roman" w:eastAsia="Times New Roman"/>
        </w:rPr>
        <w:t xml:space="preserve">12180 </w:t>
      </w:r>
      <w:r>
        <w:t>万元</w:t>
      </w:r>
      <w:r>
        <w:rPr>
          <w:rFonts w:ascii="Times New Roman" w:eastAsia="Times New Roman"/>
          <w:spacing w:val="-10"/>
        </w:rPr>
        <w:t>/a</w:t>
      </w:r>
      <w:r>
        <w:rPr>
          <w:spacing w:val="-4"/>
        </w:rPr>
        <w:t>，这对带动经济发展具有重要意</w:t>
      </w:r>
      <w:r>
        <w:rPr>
          <w:spacing w:val="-11"/>
        </w:rPr>
        <w:t>义。项目建设也将使当地的商业、医疗卫生条件和文化教育设施得到不同程度的</w:t>
      </w:r>
      <w:r>
        <w:rPr>
          <w:spacing w:val="-10"/>
        </w:rPr>
        <w:t>改善，这将间接地促进当地经济的发展。此外本工程建成后，可以利用建成的供</w:t>
      </w:r>
      <w:r>
        <w:rPr>
          <w:spacing w:val="-11"/>
        </w:rPr>
        <w:t>电、供水、供热和交通基础设施，以及工程余水、余渣，进行区域性农业经济开</w:t>
      </w:r>
      <w:r>
        <w:t>发，改善当地居民的生活质量。</w:t>
      </w:r>
    </w:p>
    <w:p>
      <w:pPr>
        <w:pStyle w:val="6"/>
        <w:numPr>
          <w:ilvl w:val="2"/>
          <w:numId w:val="113"/>
        </w:numPr>
        <w:tabs>
          <w:tab w:val="left" w:pos="1371"/>
        </w:tabs>
        <w:spacing w:before="56" w:after="0" w:line="240" w:lineRule="auto"/>
        <w:ind w:left="1370" w:right="0" w:hanging="771"/>
        <w:jc w:val="left"/>
      </w:pPr>
      <w:bookmarkStart w:id="746" w:name="14.2.3经济效益评价"/>
      <w:bookmarkEnd w:id="746"/>
      <w:bookmarkStart w:id="747" w:name="14.2.3经济效益评价"/>
      <w:bookmarkEnd w:id="747"/>
      <w:r>
        <w:t>经济效益评价</w:t>
      </w:r>
    </w:p>
    <w:p>
      <w:pPr>
        <w:pStyle w:val="9"/>
        <w:spacing w:before="212" w:line="364" w:lineRule="auto"/>
        <w:ind w:left="600" w:right="883" w:firstLine="480"/>
        <w:jc w:val="both"/>
      </w:pPr>
      <w:bookmarkStart w:id="748" w:name="_bookmark83"/>
      <w:bookmarkEnd w:id="748"/>
      <w:r>
        <w:t>项目投资财务內部收益率（税前）</w:t>
      </w:r>
      <w:r>
        <w:rPr>
          <w:spacing w:val="-10"/>
        </w:rPr>
        <w:t xml:space="preserve">为 </w:t>
      </w:r>
      <w:r>
        <w:rPr>
          <w:rFonts w:ascii="Times New Roman" w:eastAsia="Times New Roman"/>
        </w:rPr>
        <w:t>65.82%</w:t>
      </w:r>
      <w:r>
        <w:t>，大于项目融资前税前财务基准收益率；项目投资财务内部收益率（税后）</w:t>
      </w:r>
      <w:r>
        <w:rPr>
          <w:spacing w:val="-12"/>
        </w:rPr>
        <w:t xml:space="preserve">为 </w:t>
      </w:r>
      <w:r>
        <w:rPr>
          <w:rFonts w:ascii="Times New Roman" w:eastAsia="Times New Roman"/>
        </w:rPr>
        <w:t>52.16%</w:t>
      </w:r>
      <w:r>
        <w:t>，大于项目融资前税后</w:t>
      </w:r>
      <w:r>
        <w:rPr>
          <w:spacing w:val="-7"/>
        </w:rPr>
        <w:t xml:space="preserve">财务基准收益率；项目资本金财务内部收益率为 </w:t>
      </w:r>
      <w:r>
        <w:rPr>
          <w:rFonts w:ascii="Times New Roman" w:eastAsia="Times New Roman"/>
          <w:spacing w:val="-5"/>
        </w:rPr>
        <w:t>52.6%</w:t>
      </w:r>
      <w:r>
        <w:rPr>
          <w:spacing w:val="-2"/>
        </w:rPr>
        <w:t>，大于项目资本金税后财</w:t>
      </w:r>
      <w:r>
        <w:rPr>
          <w:spacing w:val="-5"/>
        </w:rPr>
        <w:t xml:space="preserve">务基准收益率；总投资收益率及项目资本金净利润率分别为 </w:t>
      </w:r>
      <w:r>
        <w:rPr>
          <w:rFonts w:ascii="Times New Roman" w:eastAsia="Times New Roman"/>
        </w:rPr>
        <w:t>67.41%</w:t>
      </w:r>
      <w:r>
        <w:rPr>
          <w:spacing w:val="-30"/>
        </w:rPr>
        <w:t xml:space="preserve">及 </w:t>
      </w:r>
      <w:r>
        <w:rPr>
          <w:rFonts w:ascii="Times New Roman" w:eastAsia="Times New Roman"/>
        </w:rPr>
        <w:t>63.61%</w:t>
      </w:r>
      <w:r>
        <w:rPr>
          <w:spacing w:val="-16"/>
        </w:rPr>
        <w:t>。</w:t>
      </w:r>
      <w:r>
        <w:t>这些指标显示本项目盈利能力指标满足煤炭行业要求。</w:t>
      </w:r>
    </w:p>
    <w:p>
      <w:pPr>
        <w:pStyle w:val="5"/>
        <w:numPr>
          <w:ilvl w:val="1"/>
          <w:numId w:val="113"/>
        </w:numPr>
        <w:tabs>
          <w:tab w:val="left" w:pos="1200"/>
        </w:tabs>
        <w:spacing w:before="44" w:after="0" w:line="240" w:lineRule="auto"/>
        <w:ind w:left="1200" w:right="0" w:hanging="600"/>
        <w:jc w:val="left"/>
      </w:pPr>
      <w:bookmarkStart w:id="749" w:name="14.3环境经济损益简要分析"/>
      <w:bookmarkEnd w:id="749"/>
      <w:bookmarkStart w:id="750" w:name="14.3环境经济损益简要分析"/>
      <w:bookmarkEnd w:id="750"/>
      <w:r>
        <w:t>环境经济损益简要分析</w:t>
      </w:r>
    </w:p>
    <w:p>
      <w:pPr>
        <w:pStyle w:val="6"/>
        <w:numPr>
          <w:ilvl w:val="2"/>
          <w:numId w:val="113"/>
        </w:numPr>
        <w:tabs>
          <w:tab w:val="left" w:pos="1371"/>
        </w:tabs>
        <w:spacing w:before="252" w:after="0" w:line="240" w:lineRule="auto"/>
        <w:ind w:left="1370" w:right="0" w:hanging="771"/>
        <w:jc w:val="left"/>
      </w:pPr>
      <w:bookmarkStart w:id="751" w:name="14.3.1环保费用的确定和估算"/>
      <w:bookmarkEnd w:id="751"/>
      <w:bookmarkStart w:id="752" w:name="14.3.1环保费用的确定和估算"/>
      <w:bookmarkEnd w:id="752"/>
      <w:r>
        <w:t>环保费用的确定和估算</w:t>
      </w:r>
    </w:p>
    <w:p>
      <w:pPr>
        <w:pStyle w:val="9"/>
        <w:spacing w:before="212"/>
        <w:ind w:left="600"/>
      </w:pPr>
      <w:r>
        <w:t>环保费用一般可分为外部费用和内部费用，用下式表示：</w:t>
      </w:r>
    </w:p>
    <w:p>
      <w:pPr>
        <w:spacing w:after="0"/>
        <w:sectPr>
          <w:pgSz w:w="11910" w:h="16840"/>
          <w:pgMar w:top="1460" w:right="900" w:bottom="1180" w:left="1200" w:header="0" w:footer="913" w:gutter="0"/>
        </w:sectPr>
      </w:pPr>
    </w:p>
    <w:p>
      <w:pPr>
        <w:pStyle w:val="9"/>
        <w:spacing w:before="78"/>
        <w:ind w:left="1560"/>
        <w:rPr>
          <w:rFonts w:ascii="Times New Roman"/>
        </w:rPr>
      </w:pPr>
      <w:r>
        <w:rPr>
          <w:rFonts w:ascii="Times New Roman"/>
        </w:rPr>
        <w:t>Et=Et(O)+Et(I)</w:t>
      </w:r>
    </w:p>
    <w:p>
      <w:pPr>
        <w:pStyle w:val="9"/>
        <w:spacing w:before="176" w:line="364" w:lineRule="auto"/>
        <w:ind w:left="2188" w:right="3911" w:hanging="629"/>
      </w:pPr>
      <w:r>
        <w:t>式中：</w:t>
      </w:r>
      <w:r>
        <w:rPr>
          <w:rFonts w:ascii="Times New Roman" w:hAnsi="Times New Roman" w:eastAsia="Times New Roman"/>
        </w:rPr>
        <w:t>Et—</w:t>
      </w:r>
      <w:r>
        <w:t xml:space="preserve">环境保护费用（万元） </w:t>
      </w:r>
      <w:r>
        <w:rPr>
          <w:rFonts w:ascii="Times New Roman" w:hAnsi="Times New Roman" w:eastAsia="Times New Roman"/>
        </w:rPr>
        <w:t>Et(O)—</w:t>
      </w:r>
      <w:r>
        <w:t>环境保护外部费用（万元</w:t>
      </w:r>
      <w:r>
        <w:rPr>
          <w:spacing w:val="-16"/>
        </w:rPr>
        <w:t xml:space="preserve">） </w:t>
      </w:r>
      <w:r>
        <w:rPr>
          <w:rFonts w:ascii="Times New Roman" w:hAnsi="Times New Roman" w:eastAsia="Times New Roman"/>
        </w:rPr>
        <w:t>Et(I)—</w:t>
      </w:r>
      <w:r>
        <w:t>环境保护内部费用（万元）</w:t>
      </w:r>
    </w:p>
    <w:p>
      <w:pPr>
        <w:pStyle w:val="18"/>
        <w:numPr>
          <w:ilvl w:val="3"/>
          <w:numId w:val="113"/>
        </w:numPr>
        <w:tabs>
          <w:tab w:val="left" w:pos="1681"/>
        </w:tabs>
        <w:spacing w:before="2" w:after="0" w:line="240" w:lineRule="auto"/>
        <w:ind w:left="1681" w:right="0" w:hanging="601"/>
        <w:jc w:val="left"/>
        <w:rPr>
          <w:sz w:val="24"/>
        </w:rPr>
      </w:pPr>
      <w:r>
        <w:rPr>
          <w:sz w:val="24"/>
        </w:rPr>
        <w:t>外部费用的确定与估算</w:t>
      </w:r>
    </w:p>
    <w:p>
      <w:pPr>
        <w:pStyle w:val="9"/>
        <w:spacing w:before="160" w:line="364" w:lineRule="auto"/>
        <w:ind w:left="600" w:right="895" w:firstLine="480"/>
        <w:jc w:val="both"/>
      </w:pPr>
      <w:r>
        <w:rPr>
          <w:spacing w:val="-5"/>
        </w:rPr>
        <w:t>外部费用是指由于项目开发形成对环境损害所带来的费用，主要包括本项目</w:t>
      </w:r>
      <w:r>
        <w:rPr>
          <w:spacing w:val="-17"/>
        </w:rPr>
        <w:t xml:space="preserve">建设征地费、沉陷区损失费用。费用总计 </w:t>
      </w:r>
      <w:r>
        <w:rPr>
          <w:rFonts w:ascii="Times New Roman" w:eastAsia="Times New Roman"/>
        </w:rPr>
        <w:t xml:space="preserve">350 </w:t>
      </w:r>
      <w:r>
        <w:rPr>
          <w:spacing w:val="-13"/>
        </w:rPr>
        <w:t xml:space="preserve">万元，分摊到每年外部费用为 </w:t>
      </w:r>
      <w:r>
        <w:rPr>
          <w:rFonts w:ascii="Times New Roman" w:eastAsia="Times New Roman"/>
          <w:spacing w:val="-4"/>
        </w:rPr>
        <w:t xml:space="preserve">22.29 </w:t>
      </w:r>
      <w:r>
        <w:t>万元。</w:t>
      </w:r>
    </w:p>
    <w:p>
      <w:pPr>
        <w:pStyle w:val="18"/>
        <w:numPr>
          <w:ilvl w:val="3"/>
          <w:numId w:val="113"/>
        </w:numPr>
        <w:tabs>
          <w:tab w:val="left" w:pos="1681"/>
        </w:tabs>
        <w:spacing w:before="2" w:after="0" w:line="240" w:lineRule="auto"/>
        <w:ind w:left="1681" w:right="0" w:hanging="601"/>
        <w:jc w:val="left"/>
        <w:rPr>
          <w:sz w:val="24"/>
        </w:rPr>
      </w:pPr>
      <w:r>
        <w:rPr>
          <w:sz w:val="24"/>
        </w:rPr>
        <w:t>内部费用的确定与估算</w:t>
      </w:r>
    </w:p>
    <w:p>
      <w:pPr>
        <w:pStyle w:val="9"/>
        <w:spacing w:before="161" w:line="364" w:lineRule="auto"/>
        <w:ind w:left="600" w:right="897" w:firstLine="480"/>
        <w:rPr>
          <w:rFonts w:ascii="Times New Roman" w:eastAsia="Times New Roman"/>
        </w:rPr>
      </w:pPr>
      <w:r>
        <w:rPr>
          <w:spacing w:val="-8"/>
        </w:rPr>
        <w:t>内部费用是指项目开发过程中，建设单位为了防止环境污染而付出的环境保</w:t>
      </w:r>
      <w:r>
        <w:t xml:space="preserve">护费用，由基本建设费和运行费两部分组成。环境保护基本建设费用为 </w:t>
      </w:r>
      <w:r>
        <w:rPr>
          <w:rFonts w:ascii="Times New Roman" w:eastAsia="Times New Roman"/>
        </w:rPr>
        <w:t>342.39</w:t>
      </w:r>
    </w:p>
    <w:p>
      <w:pPr>
        <w:pStyle w:val="9"/>
        <w:spacing w:before="1"/>
        <w:ind w:left="600"/>
      </w:pPr>
      <w:r>
        <w:t xml:space="preserve">万元，折算到每年，每年投入的环境保护基本建设费用为 </w:t>
      </w:r>
      <w:r>
        <w:rPr>
          <w:rFonts w:ascii="Times New Roman" w:eastAsia="Times New Roman"/>
        </w:rPr>
        <w:t xml:space="preserve">22.23 </w:t>
      </w:r>
      <w:r>
        <w:t>万元。</w:t>
      </w:r>
    </w:p>
    <w:p>
      <w:pPr>
        <w:pStyle w:val="9"/>
        <w:spacing w:before="160" w:line="364" w:lineRule="auto"/>
        <w:ind w:left="600" w:right="897" w:firstLine="480"/>
        <w:jc w:val="both"/>
      </w:pPr>
      <w:r>
        <w:rPr>
          <w:spacing w:val="-8"/>
        </w:rPr>
        <w:t>运行费用是指矿井各项环保工程、水土保持、绿化、环保监测和管理等环境</w:t>
      </w:r>
      <w:r>
        <w:rPr>
          <w:spacing w:val="-10"/>
        </w:rPr>
        <w:t>保护工程的运行、管理费用，按生产要素计算，运行费用主要由各项环保工程的折旧费、设备大修费用、耗电费、材料消耗费、人工工资及福利费、运输费、设</w:t>
      </w:r>
      <w:r>
        <w:rPr>
          <w:spacing w:val="-8"/>
        </w:rPr>
        <w:t>备维护费和管理费等。对上表中各项环保工程逐项进行运行费用计算，结果为本</w:t>
      </w:r>
      <w:r>
        <w:rPr>
          <w:spacing w:val="-6"/>
        </w:rPr>
        <w:t xml:space="preserve">工程环保工程运行费用为 </w:t>
      </w:r>
      <w:r>
        <w:rPr>
          <w:rFonts w:ascii="Times New Roman" w:eastAsia="Times New Roman"/>
        </w:rPr>
        <w:t xml:space="preserve">10 </w:t>
      </w:r>
      <w:r>
        <w:t>万元</w:t>
      </w:r>
      <w:r>
        <w:rPr>
          <w:rFonts w:ascii="Times New Roman" w:eastAsia="Times New Roman"/>
        </w:rPr>
        <w:t>/</w:t>
      </w:r>
      <w:r>
        <w:t>年。</w:t>
      </w:r>
    </w:p>
    <w:p>
      <w:pPr>
        <w:pStyle w:val="9"/>
        <w:spacing w:before="3"/>
        <w:ind w:left="1080"/>
        <w:jc w:val="both"/>
        <w:rPr>
          <w:rFonts w:ascii="Times New Roman" w:eastAsia="Times New Roman"/>
        </w:rPr>
      </w:pPr>
      <w:r>
        <w:t xml:space="preserve">年环境保护内部费用为 </w:t>
      </w:r>
      <w:r>
        <w:rPr>
          <w:rFonts w:ascii="Times New Roman" w:eastAsia="Times New Roman"/>
        </w:rPr>
        <w:t xml:space="preserve">22.23 </w:t>
      </w:r>
      <w:r>
        <w:t>万元</w:t>
      </w:r>
      <w:r>
        <w:rPr>
          <w:rFonts w:ascii="Times New Roman" w:eastAsia="Times New Roman"/>
        </w:rPr>
        <w:t>/</w:t>
      </w:r>
      <w:r>
        <w:t xml:space="preserve">年，年环境保护外部费用为 </w:t>
      </w:r>
      <w:r>
        <w:rPr>
          <w:rFonts w:ascii="Times New Roman" w:eastAsia="Times New Roman"/>
        </w:rPr>
        <w:t xml:space="preserve">22.29 </w:t>
      </w:r>
      <w:r>
        <w:t>万元</w:t>
      </w:r>
      <w:r>
        <w:rPr>
          <w:rFonts w:ascii="Times New Roman" w:eastAsia="Times New Roman"/>
        </w:rPr>
        <w:t>/</w:t>
      </w:r>
    </w:p>
    <w:p>
      <w:pPr>
        <w:pStyle w:val="9"/>
        <w:spacing w:before="161"/>
        <w:ind w:left="600"/>
      </w:pPr>
      <w:r>
        <w:t xml:space="preserve">年，年环境保护费用为 </w:t>
      </w:r>
      <w:r>
        <w:rPr>
          <w:rFonts w:ascii="Times New Roman" w:eastAsia="Times New Roman"/>
        </w:rPr>
        <w:t xml:space="preserve">45.52 </w:t>
      </w:r>
      <w:r>
        <w:t>万元</w:t>
      </w:r>
      <w:r>
        <w:rPr>
          <w:rFonts w:ascii="Times New Roman" w:eastAsia="Times New Roman"/>
        </w:rPr>
        <w:t>/</w:t>
      </w:r>
      <w:r>
        <w:t>年。</w:t>
      </w:r>
    </w:p>
    <w:p>
      <w:pPr>
        <w:pStyle w:val="6"/>
        <w:numPr>
          <w:ilvl w:val="2"/>
          <w:numId w:val="113"/>
        </w:numPr>
        <w:tabs>
          <w:tab w:val="left" w:pos="1371"/>
        </w:tabs>
        <w:spacing w:before="214" w:after="0" w:line="240" w:lineRule="auto"/>
        <w:ind w:left="1370" w:right="0" w:hanging="771"/>
        <w:jc w:val="left"/>
      </w:pPr>
      <w:bookmarkStart w:id="753" w:name="14.3.2年环境损失费用的确定和估算"/>
      <w:bookmarkEnd w:id="753"/>
      <w:bookmarkStart w:id="754" w:name="14.3.2年环境损失费用的确定和估算"/>
      <w:bookmarkEnd w:id="754"/>
      <w:r>
        <w:t>年环境损失费用的确定和估算</w:t>
      </w:r>
    </w:p>
    <w:p>
      <w:pPr>
        <w:pStyle w:val="9"/>
        <w:spacing w:before="211" w:line="364" w:lineRule="auto"/>
        <w:ind w:left="600" w:right="895" w:firstLine="480"/>
        <w:jc w:val="both"/>
      </w:pPr>
      <w:r>
        <w:t>年环境损失费用</w:t>
      </w:r>
      <w:r>
        <w:rPr>
          <w:rFonts w:ascii="Times New Roman" w:hAnsi="Times New Roman" w:eastAsia="Times New Roman"/>
        </w:rPr>
        <w:t>(Hs)</w:t>
      </w:r>
      <w:r>
        <w:rPr>
          <w:spacing w:val="-2"/>
        </w:rPr>
        <w:t>即指矿井投产后，每年资源的流失和</w:t>
      </w:r>
      <w:r>
        <w:rPr>
          <w:rFonts w:ascii="Times New Roman" w:hAnsi="Times New Roman" w:eastAsia="Times New Roman"/>
        </w:rPr>
        <w:t>“</w:t>
      </w:r>
      <w:r>
        <w:t>三废</w:t>
      </w:r>
      <w:r>
        <w:rPr>
          <w:rFonts w:ascii="Times New Roman" w:hAnsi="Times New Roman" w:eastAsia="Times New Roman"/>
        </w:rPr>
        <w:t>”</w:t>
      </w:r>
      <w:r>
        <w:rPr>
          <w:spacing w:val="-3"/>
        </w:rPr>
        <w:t>及噪声排放</w:t>
      </w:r>
      <w:r>
        <w:rPr>
          <w:spacing w:val="-9"/>
        </w:rPr>
        <w:t>对环境造成的损失，以及原环境功能发生了改变等原因带来的损失。主要包括以</w:t>
      </w:r>
      <w:r>
        <w:t>下几项：</w:t>
      </w:r>
    </w:p>
    <w:p>
      <w:pPr>
        <w:pStyle w:val="18"/>
        <w:numPr>
          <w:ilvl w:val="0"/>
          <w:numId w:val="114"/>
        </w:numPr>
        <w:tabs>
          <w:tab w:val="left" w:pos="281"/>
        </w:tabs>
        <w:spacing w:before="2" w:after="0" w:line="240" w:lineRule="auto"/>
        <w:ind w:left="1120" w:right="6525" w:hanging="1121"/>
        <w:jc w:val="right"/>
        <w:rPr>
          <w:sz w:val="24"/>
        </w:rPr>
      </w:pPr>
      <w:r>
        <w:rPr>
          <w:sz w:val="24"/>
        </w:rPr>
        <w:t>煤炭资源的流失价值</w:t>
      </w:r>
    </w:p>
    <w:p>
      <w:pPr>
        <w:pStyle w:val="9"/>
        <w:spacing w:before="161" w:line="364" w:lineRule="auto"/>
        <w:ind w:left="600" w:right="897" w:firstLine="360"/>
        <w:jc w:val="both"/>
      </w:pPr>
      <w:r>
        <w:rPr>
          <w:spacing w:val="-1"/>
        </w:rPr>
        <w:t>这里煤炭资源流失价值，是指因煤炭外运、装卸、风蚀、雨蚀等原因和矸石</w:t>
      </w:r>
      <w:r>
        <w:rPr>
          <w:spacing w:val="-6"/>
        </w:rPr>
        <w:t>等劣质燃料排弃造成的煤炭资源损失，本项目由于采取了很完善的防治措施，煤</w:t>
      </w:r>
      <w:r>
        <w:t>炭资源流失很少，可以忽略不计。</w:t>
      </w:r>
    </w:p>
    <w:p>
      <w:pPr>
        <w:pStyle w:val="18"/>
        <w:numPr>
          <w:ilvl w:val="0"/>
          <w:numId w:val="114"/>
        </w:numPr>
        <w:tabs>
          <w:tab w:val="left" w:pos="281"/>
        </w:tabs>
        <w:spacing w:before="2" w:after="0" w:line="240" w:lineRule="auto"/>
        <w:ind w:left="1360" w:right="6525" w:hanging="1361"/>
        <w:jc w:val="right"/>
        <w:rPr>
          <w:sz w:val="24"/>
        </w:rPr>
      </w:pPr>
      <w:r>
        <w:rPr>
          <w:sz w:val="24"/>
        </w:rPr>
        <w:t>水资源的流失价值</w:t>
      </w:r>
    </w:p>
    <w:p>
      <w:pPr>
        <w:pStyle w:val="9"/>
        <w:spacing w:before="160"/>
        <w:ind w:left="1080"/>
        <w:jc w:val="both"/>
      </w:pPr>
      <w:r>
        <w:t xml:space="preserve">本项目矿井水部分回用，仍有部分排放，排污费按 </w:t>
      </w:r>
      <w:r>
        <w:rPr>
          <w:rFonts w:ascii="Times New Roman" w:eastAsia="Times New Roman"/>
        </w:rPr>
        <w:t xml:space="preserve">0.2 </w:t>
      </w:r>
      <w:r>
        <w:t>元</w:t>
      </w:r>
      <w:r>
        <w:rPr>
          <w:rFonts w:ascii="Times New Roman" w:eastAsia="Times New Roman"/>
        </w:rPr>
        <w:t>/</w:t>
      </w:r>
      <w:r>
        <w:t>吨计，则每年浪费</w:t>
      </w:r>
    </w:p>
    <w:p>
      <w:pPr>
        <w:spacing w:after="0"/>
        <w:jc w:val="both"/>
        <w:sectPr>
          <w:footerReference r:id="rId32" w:type="default"/>
          <w:pgSz w:w="11910" w:h="16840"/>
          <w:pgMar w:top="1440" w:right="900" w:bottom="1180" w:left="1200" w:header="0" w:footer="993" w:gutter="0"/>
          <w:pgNumType w:start="210"/>
        </w:sectPr>
      </w:pPr>
    </w:p>
    <w:p>
      <w:pPr>
        <w:pStyle w:val="9"/>
        <w:spacing w:before="62"/>
        <w:ind w:left="600"/>
      </w:pPr>
      <w:r>
        <w:t xml:space="preserve">水资源价值约 </w:t>
      </w:r>
      <w:r>
        <w:rPr>
          <w:rFonts w:ascii="Times New Roman" w:eastAsia="Times New Roman"/>
        </w:rPr>
        <w:t xml:space="preserve">9.794 </w:t>
      </w:r>
      <w:r>
        <w:t>万元。</w:t>
      </w:r>
    </w:p>
    <w:p>
      <w:pPr>
        <w:pStyle w:val="18"/>
        <w:numPr>
          <w:ilvl w:val="0"/>
          <w:numId w:val="114"/>
        </w:numPr>
        <w:tabs>
          <w:tab w:val="left" w:pos="1361"/>
        </w:tabs>
        <w:spacing w:before="160" w:after="0" w:line="240" w:lineRule="auto"/>
        <w:ind w:left="1360" w:right="0" w:hanging="281"/>
        <w:jc w:val="left"/>
        <w:rPr>
          <w:sz w:val="24"/>
        </w:rPr>
      </w:pPr>
      <w:r>
        <w:rPr>
          <w:rFonts w:ascii="Times New Roman" w:hAnsi="Times New Roman" w:eastAsia="Times New Roman"/>
          <w:sz w:val="24"/>
        </w:rPr>
        <w:t>“</w:t>
      </w:r>
      <w:r>
        <w:rPr>
          <w:sz w:val="24"/>
        </w:rPr>
        <w:t>三废</w:t>
      </w:r>
      <w:r>
        <w:rPr>
          <w:rFonts w:ascii="Times New Roman" w:hAnsi="Times New Roman" w:eastAsia="Times New Roman"/>
          <w:sz w:val="24"/>
        </w:rPr>
        <w:t>’</w:t>
      </w:r>
      <w:r>
        <w:rPr>
          <w:sz w:val="24"/>
        </w:rPr>
        <w:t>排放和噪声污染带来的损失</w:t>
      </w:r>
    </w:p>
    <w:p>
      <w:pPr>
        <w:pStyle w:val="9"/>
        <w:spacing w:before="161" w:line="364" w:lineRule="auto"/>
        <w:ind w:left="600" w:right="829" w:firstLine="480"/>
        <w:jc w:val="both"/>
      </w:pPr>
      <w:r>
        <w:t>由于本项目排放的</w:t>
      </w:r>
      <w:r>
        <w:rPr>
          <w:rFonts w:ascii="Times New Roman" w:hAnsi="Times New Roman" w:eastAsia="Times New Roman"/>
        </w:rPr>
        <w:t>“</w:t>
      </w:r>
      <w:r>
        <w:t>三废</w:t>
      </w:r>
      <w:r>
        <w:rPr>
          <w:rFonts w:ascii="Times New Roman" w:hAnsi="Times New Roman" w:eastAsia="Times New Roman"/>
        </w:rPr>
        <w:t>”</w:t>
      </w:r>
      <w:r>
        <w:rPr>
          <w:spacing w:val="-1"/>
        </w:rPr>
        <w:t xml:space="preserve">均通过比较完善的污染控制工程进行了妥善处理， </w:t>
      </w:r>
      <w:r>
        <w:rPr>
          <w:spacing w:val="-5"/>
        </w:rPr>
        <w:t>达到国家排放标准和区域环境规划的目标，对周围环境污染很小，但排污必定带</w:t>
      </w:r>
      <w:r>
        <w:rPr>
          <w:spacing w:val="-8"/>
        </w:rPr>
        <w:t xml:space="preserve">来一定的损失，这部分损失按收取的排污费计为 </w:t>
      </w:r>
      <w:r>
        <w:rPr>
          <w:rFonts w:ascii="Times New Roman" w:hAnsi="Times New Roman" w:eastAsia="Times New Roman"/>
        </w:rPr>
        <w:t xml:space="preserve">5 </w:t>
      </w:r>
      <w:r>
        <w:t>万元。</w:t>
      </w:r>
    </w:p>
    <w:p>
      <w:pPr>
        <w:pStyle w:val="9"/>
        <w:spacing w:before="2"/>
        <w:ind w:left="1080"/>
      </w:pPr>
      <w:r>
        <w:t>所以本项目的环境损失费用</w:t>
      </w:r>
      <w:r>
        <w:rPr>
          <w:rFonts w:ascii="Times New Roman" w:eastAsia="Times New Roman"/>
        </w:rPr>
        <w:t xml:space="preserve">(1)+(2)+(3)=14.795 </w:t>
      </w:r>
      <w:r>
        <w:t>万元</w:t>
      </w:r>
      <w:r>
        <w:rPr>
          <w:rFonts w:ascii="Times New Roman" w:eastAsia="Times New Roman"/>
        </w:rPr>
        <w:t>/</w:t>
      </w:r>
      <w:r>
        <w:t>年</w:t>
      </w:r>
    </w:p>
    <w:p>
      <w:pPr>
        <w:pStyle w:val="6"/>
        <w:numPr>
          <w:ilvl w:val="2"/>
          <w:numId w:val="113"/>
        </w:numPr>
        <w:tabs>
          <w:tab w:val="left" w:pos="1371"/>
        </w:tabs>
        <w:spacing w:before="214" w:after="0" w:line="240" w:lineRule="auto"/>
        <w:ind w:left="1370" w:right="0" w:hanging="771"/>
        <w:jc w:val="left"/>
      </w:pPr>
      <w:bookmarkStart w:id="755" w:name="14.3.3环境成本和环境系数的确定与分析"/>
      <w:bookmarkEnd w:id="755"/>
      <w:bookmarkStart w:id="756" w:name="14.3.3环境成本和环境系数的确定与分析"/>
      <w:bookmarkEnd w:id="756"/>
      <w:r>
        <w:t>环境成本和环境系数的确定与分析</w:t>
      </w:r>
    </w:p>
    <w:p>
      <w:pPr>
        <w:pStyle w:val="18"/>
        <w:numPr>
          <w:ilvl w:val="0"/>
          <w:numId w:val="115"/>
        </w:numPr>
        <w:tabs>
          <w:tab w:val="left" w:pos="1361"/>
        </w:tabs>
        <w:spacing w:before="211" w:after="0" w:line="240" w:lineRule="auto"/>
        <w:ind w:left="1360" w:right="0" w:hanging="281"/>
        <w:jc w:val="left"/>
        <w:rPr>
          <w:sz w:val="24"/>
        </w:rPr>
      </w:pPr>
      <w:r>
        <w:rPr>
          <w:sz w:val="24"/>
        </w:rPr>
        <w:t>年环境代价</w:t>
      </w:r>
    </w:p>
    <w:p>
      <w:pPr>
        <w:pStyle w:val="9"/>
        <w:spacing w:before="161" w:line="364" w:lineRule="auto"/>
        <w:ind w:left="600" w:right="895" w:firstLine="600"/>
      </w:pPr>
      <w:r>
        <w:t>年环境代价</w:t>
      </w:r>
      <w:r>
        <w:rPr>
          <w:rFonts w:ascii="Times New Roman" w:eastAsia="Times New Roman"/>
        </w:rPr>
        <w:t xml:space="preserve">Hd </w:t>
      </w:r>
      <w:r>
        <w:t>即是项目投入的年环境保护费用</w:t>
      </w:r>
      <w:r>
        <w:rPr>
          <w:rFonts w:ascii="Times New Roman" w:eastAsia="Times New Roman"/>
        </w:rPr>
        <w:t>Et(</w:t>
      </w:r>
      <w:r>
        <w:t>包括外部费用和内部费用</w:t>
      </w:r>
      <w:r>
        <w:rPr>
          <w:rFonts w:ascii="Times New Roman" w:eastAsia="Times New Roman"/>
        </w:rPr>
        <w:t>)</w:t>
      </w:r>
      <w:r>
        <w:t xml:space="preserve">和年环境损失费用 </w:t>
      </w:r>
      <w:r>
        <w:rPr>
          <w:rFonts w:ascii="Times New Roman" w:eastAsia="Times New Roman"/>
        </w:rPr>
        <w:t xml:space="preserve">Hs </w:t>
      </w:r>
      <w:r>
        <w:t xml:space="preserve">之和，合计为 </w:t>
      </w:r>
      <w:r>
        <w:rPr>
          <w:rFonts w:ascii="Times New Roman" w:eastAsia="Times New Roman"/>
        </w:rPr>
        <w:t xml:space="preserve">45.52 </w:t>
      </w:r>
      <w:r>
        <w:t>万元</w:t>
      </w:r>
      <w:r>
        <w:rPr>
          <w:rFonts w:ascii="Times New Roman" w:eastAsia="Times New Roman"/>
        </w:rPr>
        <w:t>/</w:t>
      </w:r>
      <w:r>
        <w:t>年。</w:t>
      </w:r>
    </w:p>
    <w:p>
      <w:pPr>
        <w:pStyle w:val="18"/>
        <w:numPr>
          <w:ilvl w:val="0"/>
          <w:numId w:val="115"/>
        </w:numPr>
        <w:tabs>
          <w:tab w:val="left" w:pos="1361"/>
        </w:tabs>
        <w:spacing w:before="1" w:after="0" w:line="240" w:lineRule="auto"/>
        <w:ind w:left="1360" w:right="0" w:hanging="281"/>
        <w:jc w:val="left"/>
        <w:rPr>
          <w:sz w:val="24"/>
        </w:rPr>
      </w:pPr>
      <w:r>
        <w:rPr>
          <w:sz w:val="24"/>
        </w:rPr>
        <w:t>环境成本的确定</w:t>
      </w:r>
    </w:p>
    <w:p>
      <w:pPr>
        <w:pStyle w:val="9"/>
        <w:spacing w:before="161" w:line="364" w:lineRule="auto"/>
        <w:ind w:left="600" w:right="892" w:firstLine="480"/>
        <w:jc w:val="both"/>
      </w:pPr>
      <w:r>
        <w:rPr>
          <w:spacing w:val="-12"/>
        </w:rPr>
        <w:t xml:space="preserve">环境成本 </w:t>
      </w:r>
      <w:r>
        <w:rPr>
          <w:rFonts w:ascii="Times New Roman" w:eastAsia="Times New Roman"/>
        </w:rPr>
        <w:t xml:space="preserve">Hb </w:t>
      </w:r>
      <w:r>
        <w:rPr>
          <w:spacing w:val="-7"/>
        </w:rPr>
        <w:t xml:space="preserve">是指开发项目单位产品的环境代价，即 </w:t>
      </w:r>
      <w:r>
        <w:rPr>
          <w:rFonts w:ascii="Times New Roman" w:eastAsia="Times New Roman"/>
          <w:spacing w:val="-6"/>
        </w:rPr>
        <w:t>Hb=Hd</w:t>
      </w:r>
      <w:r>
        <w:rPr>
          <w:spacing w:val="-6"/>
        </w:rPr>
        <w:t>／</w:t>
      </w:r>
      <w:r>
        <w:rPr>
          <w:rFonts w:ascii="Times New Roman" w:eastAsia="Times New Roman"/>
          <w:spacing w:val="-6"/>
        </w:rPr>
        <w:t>M</w:t>
      </w:r>
      <w:r>
        <w:rPr>
          <w:spacing w:val="-6"/>
        </w:rPr>
        <w:t>，</w:t>
      </w:r>
      <w:r>
        <w:rPr>
          <w:rFonts w:ascii="Times New Roman" w:eastAsia="Times New Roman"/>
          <w:spacing w:val="-6"/>
        </w:rPr>
        <w:t xml:space="preserve">M </w:t>
      </w:r>
      <w:r>
        <w:rPr>
          <w:spacing w:val="-4"/>
        </w:rPr>
        <w:t>是产品</w:t>
      </w:r>
      <w:r>
        <w:rPr>
          <w:spacing w:val="2"/>
        </w:rPr>
        <w:t>产量</w:t>
      </w:r>
      <w:r>
        <w:rPr>
          <w:rFonts w:ascii="Times New Roman" w:eastAsia="Times New Roman"/>
        </w:rPr>
        <w:t>(</w:t>
      </w:r>
      <w:r>
        <w:t>按新增原煤产量计</w:t>
      </w:r>
      <w:r>
        <w:rPr>
          <w:rFonts w:ascii="Times New Roman" w:eastAsia="Times New Roman"/>
        </w:rPr>
        <w:t xml:space="preserve">)(17 </w:t>
      </w:r>
      <w:r>
        <w:rPr>
          <w:spacing w:val="-25"/>
        </w:rPr>
        <w:t xml:space="preserve">万 </w:t>
      </w:r>
      <w:r>
        <w:rPr>
          <w:rFonts w:ascii="Times New Roman" w:eastAsia="Times New Roman"/>
        </w:rPr>
        <w:t>t)</w:t>
      </w:r>
      <w:r>
        <w:rPr>
          <w:spacing w:val="-4"/>
        </w:rPr>
        <w:t xml:space="preserve">，经计算，项目的年环境成本为 </w:t>
      </w:r>
      <w:r>
        <w:rPr>
          <w:rFonts w:ascii="Times New Roman" w:eastAsia="Times New Roman"/>
        </w:rPr>
        <w:t xml:space="preserve">2.619 </w:t>
      </w:r>
      <w:r>
        <w:rPr>
          <w:spacing w:val="4"/>
        </w:rPr>
        <w:t>元</w:t>
      </w:r>
      <w:r>
        <w:rPr>
          <w:rFonts w:ascii="Times New Roman" w:eastAsia="Times New Roman"/>
        </w:rPr>
        <w:t>/</w:t>
      </w:r>
      <w:r>
        <w:rPr>
          <w:spacing w:val="2"/>
        </w:rPr>
        <w:t>吨原煤。</w:t>
      </w:r>
    </w:p>
    <w:p>
      <w:pPr>
        <w:pStyle w:val="9"/>
        <w:spacing w:before="1" w:line="364" w:lineRule="auto"/>
        <w:ind w:left="600" w:right="897" w:firstLine="480"/>
      </w:pPr>
      <w:r>
        <w:rPr>
          <w:spacing w:val="-10"/>
        </w:rPr>
        <w:t>总的看来，本项目采取了完善污染防治措施，且由于采煤废水量不大，虽水</w:t>
      </w:r>
      <w:r>
        <w:t>资源利用率低，但付出的环境代价相对不高。</w:t>
      </w:r>
    </w:p>
    <w:p>
      <w:pPr>
        <w:pStyle w:val="5"/>
        <w:numPr>
          <w:ilvl w:val="1"/>
          <w:numId w:val="113"/>
        </w:numPr>
        <w:tabs>
          <w:tab w:val="left" w:pos="1200"/>
        </w:tabs>
        <w:spacing w:before="42" w:after="0" w:line="240" w:lineRule="auto"/>
        <w:ind w:left="1200" w:right="0" w:hanging="600"/>
        <w:jc w:val="left"/>
      </w:pPr>
      <w:bookmarkStart w:id="757" w:name="14.4环境保护工程的经济效益分析"/>
      <w:bookmarkEnd w:id="757"/>
      <w:bookmarkStart w:id="758" w:name="_bookmark84"/>
      <w:bookmarkEnd w:id="758"/>
      <w:bookmarkStart w:id="759" w:name="_bookmark84"/>
      <w:bookmarkEnd w:id="759"/>
      <w:r>
        <w:t>环境保护工程的经济效益分析</w:t>
      </w:r>
    </w:p>
    <w:p>
      <w:pPr>
        <w:pStyle w:val="6"/>
        <w:numPr>
          <w:ilvl w:val="2"/>
          <w:numId w:val="113"/>
        </w:numPr>
        <w:tabs>
          <w:tab w:val="left" w:pos="1371"/>
        </w:tabs>
        <w:spacing w:before="253" w:after="0" w:line="240" w:lineRule="auto"/>
        <w:ind w:left="1370" w:right="0" w:hanging="771"/>
        <w:jc w:val="left"/>
      </w:pPr>
      <w:bookmarkStart w:id="760" w:name="14.4.1环境污染控制措施的经济效益"/>
      <w:bookmarkEnd w:id="760"/>
      <w:bookmarkStart w:id="761" w:name="14.4.1环境污染控制措施的经济效益"/>
      <w:bookmarkEnd w:id="761"/>
      <w:r>
        <w:t>环境污染控制措施的经济效益</w:t>
      </w:r>
    </w:p>
    <w:p>
      <w:pPr>
        <w:pStyle w:val="9"/>
        <w:spacing w:before="208" w:line="362" w:lineRule="auto"/>
        <w:ind w:left="600" w:right="897" w:firstLine="480"/>
      </w:pPr>
      <w:r>
        <w:rPr>
          <w:spacing w:val="-3"/>
          <w:position w:val="2"/>
        </w:rPr>
        <w:t>环境污染控制措施的经济效益包括两方面，一是直接经济效益</w:t>
      </w:r>
      <w:r>
        <w:rPr>
          <w:spacing w:val="-10"/>
          <w:position w:val="2"/>
        </w:rPr>
        <w:t>（</w:t>
      </w:r>
      <w:r>
        <w:rPr>
          <w:rFonts w:ascii="Times New Roman" w:eastAsia="Times New Roman"/>
          <w:spacing w:val="-10"/>
          <w:position w:val="2"/>
        </w:rPr>
        <w:t>R</w:t>
      </w:r>
      <w:r>
        <w:rPr>
          <w:rFonts w:ascii="Times New Roman" w:eastAsia="Times New Roman"/>
          <w:spacing w:val="-10"/>
          <w:position w:val="2"/>
          <w:vertAlign w:val="subscript"/>
        </w:rPr>
        <w:t>1</w:t>
      </w:r>
      <w:r>
        <w:rPr>
          <w:spacing w:val="-10"/>
          <w:position w:val="2"/>
          <w:vertAlign w:val="baseline"/>
        </w:rPr>
        <w:t>），二是</w:t>
      </w:r>
      <w:r>
        <w:rPr>
          <w:position w:val="2"/>
          <w:vertAlign w:val="baseline"/>
        </w:rPr>
        <w:t>间接经济效益（</w:t>
      </w:r>
      <w:r>
        <w:rPr>
          <w:rFonts w:ascii="Times New Roman" w:eastAsia="Times New Roman"/>
          <w:position w:val="2"/>
          <w:vertAlign w:val="baseline"/>
        </w:rPr>
        <w:t>R</w:t>
      </w:r>
      <w:r>
        <w:rPr>
          <w:rFonts w:ascii="Times New Roman" w:eastAsia="Times New Roman"/>
          <w:position w:val="2"/>
          <w:vertAlign w:val="subscript"/>
        </w:rPr>
        <w:t>2</w:t>
      </w:r>
      <w:r>
        <w:rPr>
          <w:position w:val="2"/>
          <w:vertAlign w:val="baseline"/>
        </w:rPr>
        <w:t>）。</w:t>
      </w:r>
    </w:p>
    <w:p>
      <w:pPr>
        <w:tabs>
          <w:tab w:val="left" w:pos="2605"/>
          <w:tab w:val="left" w:pos="3257"/>
        </w:tabs>
        <w:spacing w:before="0" w:line="38" w:lineRule="exact"/>
        <w:ind w:left="1878" w:right="0" w:firstLine="0"/>
        <w:jc w:val="left"/>
        <w:rPr>
          <w:rFonts w:ascii="Times New Roman"/>
          <w:i/>
          <w:sz w:val="11"/>
        </w:rPr>
      </w:pPr>
      <w:r>
        <w:rPr>
          <w:rFonts w:ascii="Times New Roman"/>
          <w:i/>
          <w:sz w:val="11"/>
        </w:rPr>
        <w:t>n</w:t>
      </w:r>
      <w:r>
        <w:rPr>
          <w:rFonts w:ascii="Times New Roman"/>
          <w:i/>
          <w:sz w:val="11"/>
        </w:rPr>
        <w:tab/>
      </w:r>
      <w:r>
        <w:rPr>
          <w:rFonts w:ascii="Times New Roman"/>
          <w:i/>
          <w:sz w:val="11"/>
        </w:rPr>
        <w:t>n</w:t>
      </w:r>
      <w:r>
        <w:rPr>
          <w:rFonts w:ascii="Times New Roman"/>
          <w:i/>
          <w:sz w:val="11"/>
        </w:rPr>
        <w:tab/>
      </w:r>
      <w:r>
        <w:rPr>
          <w:rFonts w:ascii="Times New Roman"/>
          <w:i/>
          <w:sz w:val="11"/>
        </w:rPr>
        <w:t>i</w:t>
      </w:r>
    </w:p>
    <w:p>
      <w:pPr>
        <w:spacing w:before="0" w:line="315" w:lineRule="exact"/>
        <w:ind w:left="1387" w:right="0" w:firstLine="0"/>
        <w:jc w:val="left"/>
        <w:rPr>
          <w:rFonts w:ascii="Times New Roman" w:hAnsi="Times New Roman"/>
          <w:i/>
          <w:sz w:val="11"/>
        </w:rPr>
      </w:pPr>
      <w:r>
        <w:rPr>
          <w:rFonts w:ascii="Times New Roman" w:hAnsi="Times New Roman"/>
          <w:i/>
          <w:spacing w:val="-9"/>
          <w:w w:val="99"/>
          <w:position w:val="1"/>
          <w:sz w:val="29"/>
        </w:rPr>
        <w:t>R</w:t>
      </w:r>
      <w:r>
        <w:rPr>
          <w:rFonts w:ascii="Times New Roman" w:hAnsi="Times New Roman"/>
          <w:w w:val="101"/>
          <w:sz w:val="11"/>
        </w:rPr>
        <w:t>1</w:t>
      </w:r>
      <w:r>
        <w:rPr>
          <w:rFonts w:ascii="Times New Roman" w:hAnsi="Times New Roman"/>
          <w:sz w:val="11"/>
        </w:rPr>
        <w:t xml:space="preserve"> </w:t>
      </w:r>
      <w:r>
        <w:rPr>
          <w:rFonts w:ascii="Times New Roman" w:hAnsi="Times New Roman"/>
          <w:spacing w:val="-14"/>
          <w:sz w:val="11"/>
        </w:rPr>
        <w:t xml:space="preserve"> </w:t>
      </w:r>
      <w:r>
        <w:rPr>
          <w:rFonts w:ascii="Symbol" w:hAnsi="Symbol"/>
          <w:w w:val="101"/>
          <w:position w:val="7"/>
          <w:sz w:val="19"/>
        </w:rPr>
        <w:t></w:t>
      </w:r>
      <w:r>
        <w:rPr>
          <w:rFonts w:ascii="Times New Roman" w:hAnsi="Times New Roman"/>
          <w:spacing w:val="-1"/>
          <w:position w:val="7"/>
          <w:sz w:val="19"/>
        </w:rPr>
        <w:t xml:space="preserve"> </w:t>
      </w:r>
      <w:r>
        <w:rPr>
          <w:rFonts w:ascii="Symbol" w:hAnsi="Symbol"/>
          <w:w w:val="99"/>
          <w:position w:val="3"/>
          <w:sz w:val="29"/>
        </w:rPr>
        <w:t></w:t>
      </w:r>
      <w:r>
        <w:rPr>
          <w:rFonts w:ascii="Times New Roman" w:hAnsi="Times New Roman"/>
          <w:spacing w:val="-47"/>
          <w:position w:val="3"/>
          <w:sz w:val="29"/>
        </w:rPr>
        <w:t xml:space="preserve"> </w:t>
      </w:r>
      <w:r>
        <w:rPr>
          <w:rFonts w:ascii="Times New Roman" w:hAnsi="Times New Roman"/>
          <w:i/>
          <w:spacing w:val="38"/>
          <w:w w:val="99"/>
          <w:position w:val="1"/>
          <w:sz w:val="29"/>
        </w:rPr>
        <w:t>M</w:t>
      </w:r>
      <w:r>
        <w:rPr>
          <w:rFonts w:ascii="Times New Roman" w:hAnsi="Times New Roman"/>
          <w:i/>
          <w:w w:val="101"/>
          <w:sz w:val="11"/>
        </w:rPr>
        <w:t>i</w:t>
      </w:r>
      <w:r>
        <w:rPr>
          <w:rFonts w:ascii="Times New Roman" w:hAnsi="Times New Roman"/>
          <w:i/>
          <w:sz w:val="11"/>
        </w:rPr>
        <w:t xml:space="preserve"> </w:t>
      </w:r>
      <w:r>
        <w:rPr>
          <w:rFonts w:ascii="Times New Roman" w:hAnsi="Times New Roman"/>
          <w:i/>
          <w:spacing w:val="-13"/>
          <w:sz w:val="11"/>
        </w:rPr>
        <w:t xml:space="preserve"> </w:t>
      </w:r>
      <w:r>
        <w:rPr>
          <w:rFonts w:ascii="Symbol" w:hAnsi="Symbol"/>
          <w:w w:val="101"/>
          <w:position w:val="7"/>
          <w:sz w:val="19"/>
        </w:rPr>
        <w:t></w:t>
      </w:r>
      <w:r>
        <w:rPr>
          <w:rFonts w:ascii="Times New Roman" w:hAnsi="Times New Roman"/>
          <w:spacing w:val="-9"/>
          <w:position w:val="7"/>
          <w:sz w:val="19"/>
        </w:rPr>
        <w:t xml:space="preserve"> </w:t>
      </w:r>
      <w:r>
        <w:rPr>
          <w:rFonts w:ascii="Symbol" w:hAnsi="Symbol"/>
          <w:spacing w:val="12"/>
          <w:w w:val="99"/>
          <w:position w:val="3"/>
          <w:sz w:val="29"/>
        </w:rPr>
        <w:t></w:t>
      </w:r>
      <w:r>
        <w:rPr>
          <w:rFonts w:ascii="Times New Roman" w:hAnsi="Times New Roman"/>
          <w:i/>
          <w:spacing w:val="-1"/>
          <w:w w:val="99"/>
          <w:position w:val="1"/>
          <w:sz w:val="29"/>
        </w:rPr>
        <w:t>O</w:t>
      </w:r>
      <w:r>
        <w:rPr>
          <w:rFonts w:ascii="Times New Roman" w:hAnsi="Times New Roman"/>
          <w:i/>
          <w:w w:val="101"/>
          <w:sz w:val="11"/>
        </w:rPr>
        <w:t>i</w:t>
      </w:r>
      <w:r>
        <w:rPr>
          <w:rFonts w:ascii="Times New Roman" w:hAnsi="Times New Roman"/>
          <w:i/>
          <w:sz w:val="11"/>
        </w:rPr>
        <w:t xml:space="preserve"> </w:t>
      </w:r>
      <w:r>
        <w:rPr>
          <w:rFonts w:ascii="Times New Roman" w:hAnsi="Times New Roman"/>
          <w:i/>
          <w:spacing w:val="-13"/>
          <w:sz w:val="11"/>
        </w:rPr>
        <w:t xml:space="preserve"> </w:t>
      </w:r>
      <w:r>
        <w:rPr>
          <w:rFonts w:ascii="Symbol" w:hAnsi="Symbol"/>
          <w:w w:val="101"/>
          <w:position w:val="7"/>
          <w:sz w:val="19"/>
        </w:rPr>
        <w:t></w:t>
      </w:r>
      <w:r>
        <w:rPr>
          <w:rFonts w:ascii="Times New Roman" w:hAnsi="Times New Roman"/>
          <w:spacing w:val="-10"/>
          <w:position w:val="7"/>
          <w:sz w:val="19"/>
        </w:rPr>
        <w:t xml:space="preserve"> </w:t>
      </w:r>
      <w:r>
        <w:rPr>
          <w:rFonts w:ascii="Symbol" w:hAnsi="Symbol"/>
          <w:w w:val="99"/>
          <w:position w:val="3"/>
          <w:sz w:val="29"/>
        </w:rPr>
        <w:t></w:t>
      </w:r>
      <w:r>
        <w:rPr>
          <w:rFonts w:ascii="Times New Roman" w:hAnsi="Times New Roman"/>
          <w:spacing w:val="-47"/>
          <w:position w:val="3"/>
          <w:sz w:val="29"/>
        </w:rPr>
        <w:t xml:space="preserve"> </w:t>
      </w:r>
      <w:r>
        <w:rPr>
          <w:rFonts w:ascii="Times New Roman" w:hAnsi="Times New Roman"/>
          <w:i/>
          <w:spacing w:val="18"/>
          <w:w w:val="99"/>
          <w:position w:val="1"/>
          <w:sz w:val="29"/>
        </w:rPr>
        <w:t>S</w:t>
      </w:r>
      <w:r>
        <w:rPr>
          <w:rFonts w:ascii="Times New Roman" w:hAnsi="Times New Roman"/>
          <w:i/>
          <w:w w:val="101"/>
          <w:sz w:val="11"/>
        </w:rPr>
        <w:t>i</w:t>
      </w:r>
    </w:p>
    <w:p>
      <w:pPr>
        <w:spacing w:after="0" w:line="315" w:lineRule="exact"/>
        <w:jc w:val="left"/>
        <w:rPr>
          <w:rFonts w:ascii="Times New Roman" w:hAnsi="Times New Roman"/>
          <w:sz w:val="11"/>
        </w:rPr>
        <w:sectPr>
          <w:pgSz w:w="11910" w:h="16840"/>
          <w:pgMar w:top="1440" w:right="900" w:bottom="1180" w:left="1200" w:header="0" w:footer="993" w:gutter="0"/>
        </w:sectPr>
      </w:pPr>
    </w:p>
    <w:p>
      <w:pPr>
        <w:spacing w:before="2"/>
        <w:ind w:left="0" w:right="0" w:firstLine="0"/>
        <w:jc w:val="right"/>
        <w:rPr>
          <w:rFonts w:ascii="Times New Roman" w:hAnsi="Times New Roman"/>
          <w:sz w:val="11"/>
        </w:rPr>
      </w:pPr>
      <w:r>
        <w:rPr>
          <w:rFonts w:ascii="Times New Roman" w:hAnsi="Times New Roman"/>
          <w:i/>
          <w:sz w:val="11"/>
        </w:rPr>
        <w:t>i</w:t>
      </w:r>
      <w:r>
        <w:rPr>
          <w:rFonts w:ascii="Symbol" w:hAnsi="Symbol"/>
          <w:sz w:val="11"/>
        </w:rPr>
        <w:t></w:t>
      </w:r>
      <w:r>
        <w:rPr>
          <w:rFonts w:ascii="Times New Roman" w:hAnsi="Times New Roman"/>
          <w:sz w:val="11"/>
        </w:rPr>
        <w:t>1</w:t>
      </w:r>
    </w:p>
    <w:p>
      <w:pPr>
        <w:spacing w:before="2"/>
        <w:ind w:left="0" w:right="0" w:firstLine="0"/>
        <w:jc w:val="right"/>
        <w:rPr>
          <w:rFonts w:ascii="Times New Roman" w:hAnsi="Times New Roman"/>
          <w:sz w:val="11"/>
        </w:rPr>
      </w:pPr>
      <w:r>
        <w:br w:type="column"/>
      </w:r>
      <w:r>
        <w:rPr>
          <w:rFonts w:ascii="Times New Roman" w:hAnsi="Times New Roman"/>
          <w:i/>
          <w:sz w:val="11"/>
        </w:rPr>
        <w:t>i</w:t>
      </w:r>
      <w:r>
        <w:rPr>
          <w:rFonts w:ascii="Symbol" w:hAnsi="Symbol"/>
          <w:sz w:val="11"/>
        </w:rPr>
        <w:t></w:t>
      </w:r>
      <w:r>
        <w:rPr>
          <w:rFonts w:ascii="Times New Roman" w:hAnsi="Times New Roman"/>
          <w:sz w:val="11"/>
        </w:rPr>
        <w:t>1</w:t>
      </w:r>
    </w:p>
    <w:p>
      <w:pPr>
        <w:spacing w:before="2"/>
        <w:ind w:left="452" w:right="0" w:firstLine="0"/>
        <w:jc w:val="left"/>
        <w:rPr>
          <w:rFonts w:ascii="Times New Roman" w:hAnsi="Times New Roman"/>
          <w:sz w:val="11"/>
        </w:rPr>
      </w:pPr>
      <w:r>
        <w:br w:type="column"/>
      </w:r>
      <w:r>
        <w:rPr>
          <w:rFonts w:ascii="Times New Roman" w:hAnsi="Times New Roman"/>
          <w:i/>
          <w:sz w:val="11"/>
        </w:rPr>
        <w:t>i</w:t>
      </w:r>
      <w:r>
        <w:rPr>
          <w:rFonts w:ascii="Symbol" w:hAnsi="Symbol"/>
          <w:sz w:val="11"/>
        </w:rPr>
        <w:t></w:t>
      </w:r>
      <w:r>
        <w:rPr>
          <w:rFonts w:ascii="Times New Roman" w:hAnsi="Times New Roman"/>
          <w:sz w:val="11"/>
        </w:rPr>
        <w:t>1</w:t>
      </w:r>
    </w:p>
    <w:p>
      <w:pPr>
        <w:spacing w:after="0"/>
        <w:jc w:val="left"/>
        <w:rPr>
          <w:rFonts w:ascii="Times New Roman" w:hAnsi="Times New Roman"/>
          <w:sz w:val="11"/>
        </w:rPr>
        <w:sectPr>
          <w:type w:val="continuous"/>
          <w:pgSz w:w="11910" w:h="16840"/>
          <w:pgMar w:top="1580" w:right="900" w:bottom="280" w:left="1200" w:header="720" w:footer="720" w:gutter="0"/>
          <w:cols w:equalWidth="0" w:num="3">
            <w:col w:w="1985" w:space="40"/>
            <w:col w:w="688" w:space="39"/>
            <w:col w:w="7058"/>
          </w:cols>
        </w:sectPr>
      </w:pPr>
    </w:p>
    <w:p>
      <w:pPr>
        <w:pStyle w:val="9"/>
        <w:spacing w:before="133"/>
        <w:ind w:left="1348"/>
      </w:pPr>
      <w:r>
        <w:rPr>
          <w:position w:val="2"/>
        </w:rPr>
        <w:t>式中：</w:t>
      </w:r>
      <w:r>
        <w:rPr>
          <w:rFonts w:ascii="Times New Roman" w:hAnsi="Times New Roman" w:eastAsia="Times New Roman"/>
          <w:position w:val="2"/>
        </w:rPr>
        <w:t>M</w:t>
      </w:r>
      <w:r>
        <w:rPr>
          <w:rFonts w:ascii="Times New Roman" w:hAnsi="Times New Roman" w:eastAsia="Times New Roman"/>
          <w:position w:val="2"/>
          <w:vertAlign w:val="subscript"/>
        </w:rPr>
        <w:t>i——</w:t>
      </w:r>
      <w:r>
        <w:rPr>
          <w:position w:val="2"/>
          <w:vertAlign w:val="baseline"/>
        </w:rPr>
        <w:t>为水资源利用的经济效益</w:t>
      </w:r>
    </w:p>
    <w:p>
      <w:pPr>
        <w:pStyle w:val="9"/>
        <w:spacing w:before="156" w:line="362" w:lineRule="auto"/>
        <w:ind w:left="1348" w:right="5527"/>
      </w:pPr>
      <w:r>
        <w:rPr>
          <w:rFonts w:ascii="Times New Roman" w:hAnsi="Times New Roman" w:eastAsia="Times New Roman"/>
          <w:position w:val="2"/>
        </w:rPr>
        <w:t>O</w:t>
      </w:r>
      <w:r>
        <w:rPr>
          <w:rFonts w:ascii="Times New Roman" w:hAnsi="Times New Roman" w:eastAsia="Times New Roman"/>
          <w:position w:val="2"/>
          <w:vertAlign w:val="subscript"/>
        </w:rPr>
        <w:t>i——</w:t>
      </w:r>
      <w:r>
        <w:rPr>
          <w:position w:val="2"/>
          <w:vertAlign w:val="baseline"/>
        </w:rPr>
        <w:t>为废气利用的经济效益</w:t>
      </w:r>
      <w:r>
        <w:rPr>
          <w:rFonts w:ascii="Times New Roman" w:hAnsi="Times New Roman" w:eastAsia="Times New Roman"/>
          <w:position w:val="2"/>
          <w:vertAlign w:val="baseline"/>
        </w:rPr>
        <w:t>S</w:t>
      </w:r>
      <w:r>
        <w:rPr>
          <w:rFonts w:ascii="Times New Roman" w:hAnsi="Times New Roman" w:eastAsia="Times New Roman"/>
          <w:position w:val="2"/>
          <w:vertAlign w:val="subscript"/>
        </w:rPr>
        <w:t>i——</w:t>
      </w:r>
      <w:r>
        <w:rPr>
          <w:position w:val="2"/>
          <w:vertAlign w:val="baseline"/>
        </w:rPr>
        <w:t>为固废利用的经济效益</w:t>
      </w:r>
    </w:p>
    <w:p>
      <w:pPr>
        <w:tabs>
          <w:tab w:val="left" w:pos="2538"/>
          <w:tab w:val="left" w:pos="3231"/>
        </w:tabs>
        <w:spacing w:before="0" w:line="38" w:lineRule="exact"/>
        <w:ind w:left="1910" w:right="0" w:firstLine="0"/>
        <w:jc w:val="left"/>
        <w:rPr>
          <w:rFonts w:ascii="Times New Roman"/>
          <w:i/>
          <w:sz w:val="11"/>
        </w:rPr>
      </w:pPr>
      <w:r>
        <w:rPr>
          <w:rFonts w:ascii="Times New Roman"/>
          <w:i/>
          <w:sz w:val="11"/>
        </w:rPr>
        <w:t>n</w:t>
      </w:r>
      <w:r>
        <w:rPr>
          <w:rFonts w:ascii="Times New Roman"/>
          <w:i/>
          <w:sz w:val="11"/>
        </w:rPr>
        <w:tab/>
      </w:r>
      <w:r>
        <w:rPr>
          <w:rFonts w:ascii="Times New Roman"/>
          <w:i/>
          <w:sz w:val="11"/>
        </w:rPr>
        <w:t>n</w:t>
      </w:r>
      <w:r>
        <w:rPr>
          <w:rFonts w:ascii="Times New Roman"/>
          <w:i/>
          <w:sz w:val="11"/>
        </w:rPr>
        <w:tab/>
      </w:r>
      <w:r>
        <w:rPr>
          <w:rFonts w:ascii="Times New Roman"/>
          <w:i/>
          <w:sz w:val="11"/>
        </w:rPr>
        <w:t>i</w:t>
      </w:r>
    </w:p>
    <w:p>
      <w:pPr>
        <w:spacing w:before="0" w:line="315" w:lineRule="exact"/>
        <w:ind w:left="1387" w:right="0" w:firstLine="0"/>
        <w:jc w:val="left"/>
        <w:rPr>
          <w:rFonts w:ascii="Times New Roman" w:hAnsi="Times New Roman"/>
          <w:i/>
          <w:sz w:val="11"/>
        </w:rPr>
      </w:pPr>
      <w:r>
        <w:rPr>
          <w:rFonts w:ascii="Times New Roman" w:hAnsi="Times New Roman"/>
          <w:i/>
          <w:spacing w:val="7"/>
          <w:w w:val="99"/>
          <w:position w:val="1"/>
          <w:sz w:val="29"/>
        </w:rPr>
        <w:t>R</w:t>
      </w:r>
      <w:r>
        <w:rPr>
          <w:rFonts w:ascii="Times New Roman" w:hAnsi="Times New Roman"/>
          <w:w w:val="101"/>
          <w:sz w:val="11"/>
        </w:rPr>
        <w:t>2</w:t>
      </w:r>
      <w:r>
        <w:rPr>
          <w:rFonts w:ascii="Times New Roman" w:hAnsi="Times New Roman"/>
          <w:sz w:val="11"/>
        </w:rPr>
        <w:t xml:space="preserve"> </w:t>
      </w:r>
      <w:r>
        <w:rPr>
          <w:rFonts w:ascii="Times New Roman" w:hAnsi="Times New Roman"/>
          <w:spacing w:val="-3"/>
          <w:sz w:val="11"/>
        </w:rPr>
        <w:t xml:space="preserve"> </w:t>
      </w:r>
      <w:r>
        <w:rPr>
          <w:rFonts w:ascii="Symbol" w:hAnsi="Symbol"/>
          <w:w w:val="101"/>
          <w:position w:val="7"/>
          <w:sz w:val="19"/>
        </w:rPr>
        <w:t></w:t>
      </w:r>
      <w:r>
        <w:rPr>
          <w:rFonts w:ascii="Times New Roman" w:hAnsi="Times New Roman"/>
          <w:spacing w:val="3"/>
          <w:position w:val="7"/>
          <w:sz w:val="19"/>
        </w:rPr>
        <w:t xml:space="preserve"> </w:t>
      </w:r>
      <w:r>
        <w:rPr>
          <w:rFonts w:ascii="Symbol" w:hAnsi="Symbol"/>
          <w:w w:val="99"/>
          <w:position w:val="3"/>
          <w:sz w:val="29"/>
        </w:rPr>
        <w:t></w:t>
      </w:r>
      <w:r>
        <w:rPr>
          <w:rFonts w:ascii="Times New Roman" w:hAnsi="Times New Roman"/>
          <w:spacing w:val="-33"/>
          <w:position w:val="3"/>
          <w:sz w:val="29"/>
        </w:rPr>
        <w:t xml:space="preserve"> </w:t>
      </w:r>
      <w:r>
        <w:rPr>
          <w:rFonts w:ascii="Times New Roman" w:hAnsi="Times New Roman"/>
          <w:i/>
          <w:w w:val="99"/>
          <w:position w:val="1"/>
          <w:sz w:val="29"/>
        </w:rPr>
        <w:t>J</w:t>
      </w:r>
      <w:r>
        <w:rPr>
          <w:rFonts w:ascii="Times New Roman" w:hAnsi="Times New Roman"/>
          <w:i/>
          <w:spacing w:val="-40"/>
          <w:position w:val="1"/>
          <w:sz w:val="29"/>
        </w:rPr>
        <w:t xml:space="preserve"> </w:t>
      </w:r>
      <w:r>
        <w:rPr>
          <w:rFonts w:ascii="Times New Roman" w:hAnsi="Times New Roman"/>
          <w:i/>
          <w:w w:val="101"/>
          <w:sz w:val="11"/>
        </w:rPr>
        <w:t>i</w:t>
      </w:r>
      <w:r>
        <w:rPr>
          <w:rFonts w:ascii="Times New Roman" w:hAnsi="Times New Roman"/>
          <w:i/>
          <w:sz w:val="11"/>
        </w:rPr>
        <w:t xml:space="preserve"> </w:t>
      </w:r>
      <w:r>
        <w:rPr>
          <w:rFonts w:ascii="Times New Roman" w:hAnsi="Times New Roman"/>
          <w:i/>
          <w:spacing w:val="-11"/>
          <w:sz w:val="11"/>
        </w:rPr>
        <w:t xml:space="preserve"> </w:t>
      </w:r>
      <w:r>
        <w:rPr>
          <w:rFonts w:ascii="Symbol" w:hAnsi="Symbol"/>
          <w:w w:val="101"/>
          <w:position w:val="7"/>
          <w:sz w:val="19"/>
        </w:rPr>
        <w:t></w:t>
      </w:r>
      <w:r>
        <w:rPr>
          <w:rFonts w:ascii="Times New Roman" w:hAnsi="Times New Roman"/>
          <w:spacing w:val="-7"/>
          <w:position w:val="7"/>
          <w:sz w:val="19"/>
        </w:rPr>
        <w:t xml:space="preserve"> </w:t>
      </w:r>
      <w:r>
        <w:rPr>
          <w:rFonts w:ascii="Symbol" w:hAnsi="Symbol"/>
          <w:w w:val="99"/>
          <w:position w:val="3"/>
          <w:sz w:val="29"/>
        </w:rPr>
        <w:t></w:t>
      </w:r>
      <w:r>
        <w:rPr>
          <w:rFonts w:ascii="Times New Roman" w:hAnsi="Times New Roman"/>
          <w:spacing w:val="-38"/>
          <w:position w:val="3"/>
          <w:sz w:val="29"/>
        </w:rPr>
        <w:t xml:space="preserve"> </w:t>
      </w:r>
      <w:r>
        <w:rPr>
          <w:rFonts w:ascii="Times New Roman" w:hAnsi="Times New Roman"/>
          <w:i/>
          <w:spacing w:val="28"/>
          <w:w w:val="99"/>
          <w:position w:val="1"/>
          <w:sz w:val="29"/>
        </w:rPr>
        <w:t>K</w:t>
      </w:r>
      <w:r>
        <w:rPr>
          <w:rFonts w:ascii="Times New Roman" w:hAnsi="Times New Roman"/>
          <w:i/>
          <w:w w:val="101"/>
          <w:sz w:val="11"/>
        </w:rPr>
        <w:t>i</w:t>
      </w:r>
      <w:r>
        <w:rPr>
          <w:rFonts w:ascii="Times New Roman" w:hAnsi="Times New Roman"/>
          <w:i/>
          <w:sz w:val="11"/>
        </w:rPr>
        <w:t xml:space="preserve"> </w:t>
      </w:r>
      <w:r>
        <w:rPr>
          <w:rFonts w:ascii="Times New Roman" w:hAnsi="Times New Roman"/>
          <w:i/>
          <w:spacing w:val="-11"/>
          <w:sz w:val="11"/>
        </w:rPr>
        <w:t xml:space="preserve"> </w:t>
      </w:r>
      <w:r>
        <w:rPr>
          <w:rFonts w:ascii="Symbol" w:hAnsi="Symbol"/>
          <w:w w:val="101"/>
          <w:position w:val="7"/>
          <w:sz w:val="19"/>
        </w:rPr>
        <w:t></w:t>
      </w:r>
      <w:r>
        <w:rPr>
          <w:rFonts w:ascii="Times New Roman" w:hAnsi="Times New Roman"/>
          <w:spacing w:val="-7"/>
          <w:position w:val="7"/>
          <w:sz w:val="19"/>
        </w:rPr>
        <w:t xml:space="preserve"> </w:t>
      </w:r>
      <w:r>
        <w:rPr>
          <w:rFonts w:ascii="Symbol" w:hAnsi="Symbol"/>
          <w:w w:val="99"/>
          <w:position w:val="3"/>
          <w:sz w:val="29"/>
        </w:rPr>
        <w:t></w:t>
      </w:r>
      <w:r>
        <w:rPr>
          <w:rFonts w:ascii="Times New Roman" w:hAnsi="Times New Roman"/>
          <w:spacing w:val="-37"/>
          <w:position w:val="3"/>
          <w:sz w:val="29"/>
        </w:rPr>
        <w:t xml:space="preserve"> </w:t>
      </w:r>
      <w:r>
        <w:rPr>
          <w:rFonts w:ascii="Times New Roman" w:hAnsi="Times New Roman"/>
          <w:i/>
          <w:spacing w:val="12"/>
          <w:w w:val="99"/>
          <w:position w:val="1"/>
          <w:sz w:val="29"/>
        </w:rPr>
        <w:t>E</w:t>
      </w:r>
      <w:r>
        <w:rPr>
          <w:rFonts w:ascii="Times New Roman" w:hAnsi="Times New Roman"/>
          <w:i/>
          <w:w w:val="101"/>
          <w:sz w:val="11"/>
        </w:rPr>
        <w:t>i</w:t>
      </w:r>
    </w:p>
    <w:p>
      <w:pPr>
        <w:spacing w:after="0" w:line="315" w:lineRule="exact"/>
        <w:jc w:val="left"/>
        <w:rPr>
          <w:rFonts w:ascii="Times New Roman" w:hAnsi="Times New Roman"/>
          <w:sz w:val="11"/>
        </w:rPr>
        <w:sectPr>
          <w:type w:val="continuous"/>
          <w:pgSz w:w="11910" w:h="16840"/>
          <w:pgMar w:top="1580" w:right="900" w:bottom="280" w:left="1200" w:header="720" w:footer="720" w:gutter="0"/>
        </w:sectPr>
      </w:pPr>
    </w:p>
    <w:p>
      <w:pPr>
        <w:spacing w:before="2"/>
        <w:ind w:left="0" w:right="0" w:firstLine="0"/>
        <w:jc w:val="right"/>
        <w:rPr>
          <w:rFonts w:ascii="Times New Roman" w:hAnsi="Times New Roman"/>
          <w:sz w:val="11"/>
        </w:rPr>
      </w:pPr>
      <w:r>
        <w:rPr>
          <w:rFonts w:ascii="Times New Roman" w:hAnsi="Times New Roman"/>
          <w:i/>
          <w:sz w:val="11"/>
        </w:rPr>
        <w:t>i</w:t>
      </w:r>
      <w:r>
        <w:rPr>
          <w:rFonts w:ascii="Symbol" w:hAnsi="Symbol"/>
          <w:sz w:val="11"/>
        </w:rPr>
        <w:t></w:t>
      </w:r>
      <w:r>
        <w:rPr>
          <w:rFonts w:ascii="Times New Roman" w:hAnsi="Times New Roman"/>
          <w:sz w:val="11"/>
        </w:rPr>
        <w:t>1</w:t>
      </w:r>
    </w:p>
    <w:p>
      <w:pPr>
        <w:spacing w:before="2"/>
        <w:ind w:left="0" w:right="0" w:firstLine="0"/>
        <w:jc w:val="right"/>
        <w:rPr>
          <w:rFonts w:ascii="Times New Roman" w:hAnsi="Times New Roman"/>
          <w:sz w:val="11"/>
        </w:rPr>
      </w:pPr>
      <w:r>
        <w:br w:type="column"/>
      </w:r>
      <w:r>
        <w:rPr>
          <w:rFonts w:ascii="Times New Roman" w:hAnsi="Times New Roman"/>
          <w:i/>
          <w:sz w:val="11"/>
        </w:rPr>
        <w:t>i</w:t>
      </w:r>
      <w:r>
        <w:rPr>
          <w:rFonts w:ascii="Symbol" w:hAnsi="Symbol"/>
          <w:sz w:val="11"/>
        </w:rPr>
        <w:t></w:t>
      </w:r>
      <w:r>
        <w:rPr>
          <w:rFonts w:ascii="Times New Roman" w:hAnsi="Times New Roman"/>
          <w:sz w:val="11"/>
        </w:rPr>
        <w:t>1</w:t>
      </w:r>
    </w:p>
    <w:p>
      <w:pPr>
        <w:spacing w:before="2"/>
        <w:ind w:left="490" w:right="0" w:firstLine="0"/>
        <w:jc w:val="left"/>
        <w:rPr>
          <w:rFonts w:ascii="Times New Roman" w:hAnsi="Times New Roman"/>
          <w:sz w:val="11"/>
        </w:rPr>
      </w:pPr>
      <w:r>
        <w:br w:type="column"/>
      </w:r>
      <w:r>
        <w:rPr>
          <w:rFonts w:ascii="Times New Roman" w:hAnsi="Times New Roman"/>
          <w:i/>
          <w:sz w:val="11"/>
        </w:rPr>
        <w:t>i</w:t>
      </w:r>
      <w:r>
        <w:rPr>
          <w:rFonts w:ascii="Symbol" w:hAnsi="Symbol"/>
          <w:sz w:val="11"/>
        </w:rPr>
        <w:t></w:t>
      </w:r>
      <w:r>
        <w:rPr>
          <w:rFonts w:ascii="Times New Roman" w:hAnsi="Times New Roman"/>
          <w:sz w:val="11"/>
        </w:rPr>
        <w:t>1</w:t>
      </w:r>
    </w:p>
    <w:p>
      <w:pPr>
        <w:spacing w:after="0"/>
        <w:jc w:val="left"/>
        <w:rPr>
          <w:rFonts w:ascii="Times New Roman" w:hAnsi="Times New Roman"/>
          <w:sz w:val="11"/>
        </w:rPr>
        <w:sectPr>
          <w:type w:val="continuous"/>
          <w:pgSz w:w="11910" w:h="16840"/>
          <w:pgMar w:top="1580" w:right="900" w:bottom="280" w:left="1200" w:header="720" w:footer="720" w:gutter="0"/>
          <w:cols w:equalWidth="0" w:num="3">
            <w:col w:w="2019" w:space="40"/>
            <w:col w:w="589" w:space="39"/>
            <w:col w:w="7123"/>
          </w:cols>
        </w:sectPr>
      </w:pPr>
    </w:p>
    <w:p>
      <w:pPr>
        <w:pStyle w:val="9"/>
        <w:spacing w:before="133"/>
        <w:ind w:left="1348"/>
      </w:pPr>
      <w:r>
        <w:rPr>
          <w:position w:val="2"/>
        </w:rPr>
        <w:t>式中：</w:t>
      </w:r>
      <w:r>
        <w:rPr>
          <w:rFonts w:ascii="Times New Roman" w:hAnsi="Times New Roman" w:eastAsia="Times New Roman"/>
          <w:position w:val="2"/>
        </w:rPr>
        <w:t>J</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为控制污染后对环境减少的损失</w:t>
      </w:r>
    </w:p>
    <w:p>
      <w:pPr>
        <w:pStyle w:val="9"/>
        <w:spacing w:before="156"/>
        <w:ind w:left="1348"/>
      </w:pPr>
      <w:r>
        <w:rPr>
          <w:rFonts w:ascii="Times New Roman" w:hAnsi="Times New Roman" w:eastAsia="Times New Roman"/>
          <w:position w:val="2"/>
        </w:rPr>
        <w:t>K</w:t>
      </w:r>
      <w:r>
        <w:rPr>
          <w:rFonts w:ascii="Times New Roman" w:hAnsi="Times New Roman" w:eastAsia="Times New Roman"/>
          <w:position w:val="2"/>
          <w:vertAlign w:val="subscript"/>
        </w:rPr>
        <w:t>i——</w:t>
      </w:r>
      <w:r>
        <w:rPr>
          <w:position w:val="2"/>
          <w:vertAlign w:val="baseline"/>
        </w:rPr>
        <w:t>为控制污染后对人体健康减少的损失</w:t>
      </w:r>
    </w:p>
    <w:p>
      <w:pPr>
        <w:pStyle w:val="9"/>
        <w:spacing w:before="156"/>
        <w:ind w:left="1348"/>
      </w:pPr>
      <w:r>
        <w:rPr>
          <w:rFonts w:ascii="Times New Roman" w:hAnsi="Times New Roman" w:eastAsia="Times New Roman"/>
          <w:position w:val="2"/>
        </w:rPr>
        <w:t>E</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为控制污染后减少的排污费、赔偿费、罚款等</w:t>
      </w:r>
    </w:p>
    <w:p>
      <w:pPr>
        <w:spacing w:after="0"/>
        <w:sectPr>
          <w:type w:val="continuous"/>
          <w:pgSz w:w="11910" w:h="16840"/>
          <w:pgMar w:top="1580" w:right="900" w:bottom="280" w:left="1200" w:header="720" w:footer="720" w:gutter="0"/>
        </w:sectPr>
      </w:pPr>
    </w:p>
    <w:p>
      <w:pPr>
        <w:pStyle w:val="9"/>
        <w:spacing w:before="62"/>
        <w:ind w:right="900"/>
        <w:jc w:val="right"/>
      </w:pPr>
      <w:r>
        <w:rPr>
          <w:spacing w:val="-3"/>
        </w:rPr>
        <w:t xml:space="preserve">具体分析如下：每年处理后回用水约 </w:t>
      </w:r>
      <w:r>
        <w:rPr>
          <w:rFonts w:ascii="Times New Roman" w:eastAsia="Times New Roman"/>
        </w:rPr>
        <w:t>11.4</w:t>
      </w:r>
      <w:r>
        <w:rPr>
          <w:rFonts w:ascii="Times New Roman" w:eastAsia="Times New Roman"/>
          <w:spacing w:val="13"/>
        </w:rPr>
        <w:t xml:space="preserve"> </w:t>
      </w:r>
      <w:r>
        <w:rPr>
          <w:spacing w:val="-7"/>
        </w:rPr>
        <w:t xml:space="preserve">万吨，按单价 </w:t>
      </w:r>
      <w:r>
        <w:rPr>
          <w:rFonts w:ascii="Times New Roman" w:eastAsia="Times New Roman"/>
        </w:rPr>
        <w:t>2</w:t>
      </w:r>
      <w:r>
        <w:rPr>
          <w:rFonts w:ascii="Times New Roman" w:eastAsia="Times New Roman"/>
          <w:spacing w:val="13"/>
        </w:rPr>
        <w:t xml:space="preserve"> </w:t>
      </w:r>
      <w:r>
        <w:t>元计算，每年可</w:t>
      </w:r>
    </w:p>
    <w:p>
      <w:pPr>
        <w:pStyle w:val="9"/>
        <w:spacing w:before="160"/>
        <w:ind w:right="895"/>
        <w:jc w:val="right"/>
      </w:pPr>
      <w:r>
        <w:rPr>
          <w:spacing w:val="-20"/>
        </w:rPr>
        <w:t xml:space="preserve">节约 </w:t>
      </w:r>
      <w:r>
        <w:rPr>
          <w:rFonts w:ascii="Times New Roman" w:eastAsia="Times New Roman"/>
        </w:rPr>
        <w:t xml:space="preserve">22.8 </w:t>
      </w:r>
      <w:r>
        <w:rPr>
          <w:spacing w:val="-7"/>
        </w:rPr>
        <w:t xml:space="preserve">万元，同时对废水、噪声和固废的治理每年可减少排污费 </w:t>
      </w:r>
      <w:r>
        <w:rPr>
          <w:rFonts w:ascii="Times New Roman" w:eastAsia="Times New Roman"/>
        </w:rPr>
        <w:t xml:space="preserve">15 </w:t>
      </w:r>
      <w:r>
        <w:rPr>
          <w:spacing w:val="-3"/>
        </w:rPr>
        <w:t>万元，减</w:t>
      </w:r>
    </w:p>
    <w:p>
      <w:pPr>
        <w:pStyle w:val="9"/>
        <w:spacing w:before="161"/>
        <w:ind w:left="600"/>
      </w:pPr>
      <w:r>
        <w:t xml:space="preserve">少赔偿费 </w:t>
      </w:r>
      <w:r>
        <w:rPr>
          <w:rFonts w:ascii="Times New Roman" w:eastAsia="Times New Roman"/>
        </w:rPr>
        <w:t xml:space="preserve">25 </w:t>
      </w:r>
      <w:r>
        <w:t xml:space="preserve">万元，合计 </w:t>
      </w:r>
      <w:r>
        <w:rPr>
          <w:rFonts w:ascii="Times New Roman" w:eastAsia="Times New Roman"/>
        </w:rPr>
        <w:t xml:space="preserve">62.8 </w:t>
      </w:r>
      <w:r>
        <w:t>万元。</w:t>
      </w:r>
    </w:p>
    <w:p>
      <w:pPr>
        <w:pStyle w:val="6"/>
        <w:numPr>
          <w:ilvl w:val="2"/>
          <w:numId w:val="113"/>
        </w:numPr>
        <w:tabs>
          <w:tab w:val="left" w:pos="1371"/>
        </w:tabs>
        <w:spacing w:before="214" w:after="0" w:line="240" w:lineRule="auto"/>
        <w:ind w:left="1370" w:right="0" w:hanging="771"/>
        <w:jc w:val="left"/>
      </w:pPr>
      <w:bookmarkStart w:id="762" w:name="14.4.2费用效益比"/>
      <w:bookmarkEnd w:id="762"/>
      <w:bookmarkStart w:id="763" w:name="14.4.2费用效益比"/>
      <w:bookmarkEnd w:id="763"/>
      <w:r>
        <w:t>费用效益比</w:t>
      </w:r>
    </w:p>
    <w:p>
      <w:pPr>
        <w:pStyle w:val="9"/>
        <w:spacing w:before="212" w:line="364" w:lineRule="auto"/>
        <w:ind w:left="600" w:right="897" w:firstLine="480"/>
      </w:pPr>
      <w:r>
        <w:rPr>
          <w:spacing w:val="-5"/>
        </w:rPr>
        <w:t>费用效益比指因环境污染治理减少的经济损失与年环保费用的百分比，即单</w:t>
      </w:r>
      <w:r>
        <w:t>位环保费用所产生的经济价值。</w:t>
      </w:r>
    </w:p>
    <w:p>
      <w:pPr>
        <w:pStyle w:val="9"/>
        <w:spacing w:before="1"/>
        <w:ind w:left="1080"/>
      </w:pPr>
      <w:r>
        <mc:AlternateContent>
          <mc:Choice Requires="wps">
            <w:drawing>
              <wp:anchor distT="0" distB="0" distL="0" distR="0" simplePos="0" relativeHeight="251782144" behindDoc="1" locked="0" layoutInCell="1" allowOverlap="1">
                <wp:simplePos x="0" y="0"/>
                <wp:positionH relativeFrom="page">
                  <wp:posOffset>1878330</wp:posOffset>
                </wp:positionH>
                <wp:positionV relativeFrom="paragraph">
                  <wp:posOffset>353695</wp:posOffset>
                </wp:positionV>
                <wp:extent cx="44450" cy="97790"/>
                <wp:effectExtent l="0" t="0" r="0" b="0"/>
                <wp:wrapTopAndBottom/>
                <wp:docPr id="163" name="文本框 151"/>
                <wp:cNvGraphicFramePr/>
                <a:graphic xmlns:a="http://schemas.openxmlformats.org/drawingml/2006/main">
                  <a:graphicData uri="http://schemas.microsoft.com/office/word/2010/wordprocessingShape">
                    <wps:wsp>
                      <wps:cNvSpPr txBox="1"/>
                      <wps:spPr>
                        <a:xfrm>
                          <a:off x="0" y="0"/>
                          <a:ext cx="44450" cy="97790"/>
                        </a:xfrm>
                        <a:prstGeom prst="rect">
                          <a:avLst/>
                        </a:prstGeom>
                        <a:noFill/>
                        <a:ln>
                          <a:noFill/>
                        </a:ln>
                      </wps:spPr>
                      <wps:txbx>
                        <w:txbxContent>
                          <w:p>
                            <w:pPr>
                              <w:spacing w:before="0" w:line="154" w:lineRule="exact"/>
                              <w:ind w:left="0" w:right="0" w:firstLine="0"/>
                              <w:jc w:val="left"/>
                              <w:rPr>
                                <w:rFonts w:ascii="Times New Roman"/>
                                <w:i/>
                                <w:sz w:val="14"/>
                              </w:rPr>
                            </w:pPr>
                            <w:r>
                              <w:rPr>
                                <w:rFonts w:ascii="Times New Roman"/>
                                <w:i/>
                                <w:w w:val="99"/>
                                <w:sz w:val="14"/>
                              </w:rPr>
                              <w:t>n</w:t>
                            </w:r>
                          </w:p>
                        </w:txbxContent>
                      </wps:txbx>
                      <wps:bodyPr lIns="0" tIns="0" rIns="0" bIns="0" upright="1"/>
                    </wps:wsp>
                  </a:graphicData>
                </a:graphic>
              </wp:anchor>
            </w:drawing>
          </mc:Choice>
          <mc:Fallback>
            <w:pict>
              <v:shape id="文本框 151" o:spid="_x0000_s1026" o:spt="202" type="#_x0000_t202" style="position:absolute;left:0pt;margin-left:147.9pt;margin-top:27.85pt;height:7.7pt;width:3.5pt;mso-position-horizontal-relative:page;mso-wrap-distance-bottom:0pt;mso-wrap-distance-top:0pt;z-index:-251534336;mso-width-relative:page;mso-height-relative:page;" filled="f" stroked="f" coordsize="21600,21600" o:gfxdata="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1vuORdgAAAAJAQAADwAAAAAA&#10;AAABACAAAAAiAAAAZHJzL2Rvd25yZXYueG1sUEsBAhQAFAAAAAgAh07iQPPnaPGhAQAAJQMAAA4A&#10;AAAAAAAAAQAgAAAAJwEAAGRycy9lMm9Eb2MueG1sUEsFBgAAAAAGAAYAWQEAADoFAAAAAA==&#10;">
                <v:fill on="f" focussize="0,0"/>
                <v:stroke on="f"/>
                <v:imagedata o:title=""/>
                <o:lock v:ext="edit" aspectratio="f"/>
                <v:textbox inset="0mm,0mm,0mm,0mm">
                  <w:txbxContent>
                    <w:p>
                      <w:pPr>
                        <w:spacing w:before="0" w:line="154" w:lineRule="exact"/>
                        <w:ind w:left="0" w:right="0" w:firstLine="0"/>
                        <w:jc w:val="left"/>
                        <w:rPr>
                          <w:rFonts w:ascii="Times New Roman"/>
                          <w:i/>
                          <w:sz w:val="14"/>
                        </w:rPr>
                      </w:pPr>
                      <w:r>
                        <w:rPr>
                          <w:rFonts w:ascii="Times New Roman"/>
                          <w:i/>
                          <w:w w:val="99"/>
                          <w:sz w:val="14"/>
                        </w:rPr>
                        <w:t>n</w:t>
                      </w:r>
                    </w:p>
                  </w:txbxContent>
                </v:textbox>
                <w10:wrap type="topAndBottom"/>
              </v:shape>
            </w:pict>
          </mc:Fallback>
        </mc:AlternateContent>
      </w:r>
      <w:r>
        <w:t>费用效益比按下式计算：</w:t>
      </w:r>
    </w:p>
    <w:p>
      <w:pPr>
        <w:pStyle w:val="9"/>
        <w:spacing w:before="7"/>
        <w:rPr>
          <w:sz w:val="16"/>
        </w:rPr>
      </w:pPr>
    </w:p>
    <w:p>
      <w:pPr>
        <w:spacing w:before="0" w:line="310" w:lineRule="exact"/>
        <w:ind w:left="1666" w:right="0" w:firstLine="0"/>
        <w:jc w:val="left"/>
        <w:rPr>
          <w:rFonts w:ascii="Times New Roman" w:hAnsi="Times New Roman"/>
          <w:i/>
          <w:sz w:val="24"/>
        </w:rPr>
      </w:pPr>
      <w:r>
        <w:rPr>
          <w:rFonts w:ascii="Symbol" w:hAnsi="Symbol"/>
          <w:position w:val="-5"/>
          <w:sz w:val="35"/>
        </w:rPr>
        <w:t></w:t>
      </w:r>
      <w:r>
        <w:rPr>
          <w:rFonts w:ascii="Times New Roman" w:hAnsi="Times New Roman"/>
          <w:spacing w:val="-44"/>
          <w:position w:val="-5"/>
          <w:sz w:val="35"/>
        </w:rPr>
        <w:t xml:space="preserve"> </w:t>
      </w:r>
      <w:r>
        <w:rPr>
          <w:rFonts w:ascii="Times New Roman" w:hAnsi="Times New Roman"/>
          <w:i/>
          <w:sz w:val="24"/>
        </w:rPr>
        <w:t>Ri</w:t>
      </w:r>
    </w:p>
    <w:p>
      <w:pPr>
        <w:tabs>
          <w:tab w:val="left" w:pos="2192"/>
        </w:tabs>
        <w:spacing w:before="0" w:line="225" w:lineRule="exact"/>
        <w:ind w:left="1119" w:right="0" w:firstLine="0"/>
        <w:jc w:val="left"/>
        <w:rPr>
          <w:rFonts w:ascii="Times New Roman" w:hAnsi="Times New Roman"/>
          <w:sz w:val="14"/>
        </w:rPr>
      </w:pPr>
      <w:r>
        <w:rPr>
          <w:rFonts w:ascii="Times New Roman" w:hAnsi="Times New Roman"/>
          <w:i/>
          <w:position w:val="-9"/>
          <w:sz w:val="24"/>
        </w:rPr>
        <w:t xml:space="preserve">ZJ  </w:t>
      </w:r>
      <w:r>
        <w:rPr>
          <w:rFonts w:ascii="Symbol" w:hAnsi="Symbol"/>
          <w:position w:val="-9"/>
          <w:sz w:val="24"/>
        </w:rPr>
        <w:t></w:t>
      </w:r>
      <w:r>
        <w:rPr>
          <w:rFonts w:ascii="Times New Roman" w:hAnsi="Times New Roman"/>
          <w:spacing w:val="33"/>
          <w:sz w:val="24"/>
          <w:u w:val="single"/>
        </w:rPr>
        <w:t xml:space="preserve"> </w:t>
      </w:r>
      <w:r>
        <w:rPr>
          <w:rFonts w:ascii="Times New Roman" w:hAnsi="Times New Roman"/>
          <w:i/>
          <w:sz w:val="14"/>
          <w:u w:val="single"/>
        </w:rPr>
        <w:t>i</w:t>
      </w:r>
      <w:r>
        <w:rPr>
          <w:rFonts w:ascii="Symbol" w:hAnsi="Symbol"/>
          <w:sz w:val="14"/>
          <w:u w:val="single"/>
        </w:rPr>
        <w:t></w:t>
      </w:r>
      <w:r>
        <w:rPr>
          <w:rFonts w:ascii="Times New Roman" w:hAnsi="Times New Roman"/>
          <w:sz w:val="14"/>
          <w:u w:val="single"/>
        </w:rPr>
        <w:t>1</w:t>
      </w:r>
      <w:r>
        <w:rPr>
          <w:rFonts w:ascii="Times New Roman" w:hAnsi="Times New Roman"/>
          <w:sz w:val="14"/>
          <w:u w:val="single"/>
        </w:rPr>
        <w:tab/>
      </w:r>
    </w:p>
    <w:p>
      <w:pPr>
        <w:spacing w:before="0" w:line="231" w:lineRule="exact"/>
        <w:ind w:left="1762" w:right="0" w:firstLine="0"/>
        <w:jc w:val="left"/>
        <w:rPr>
          <w:rFonts w:ascii="Times New Roman"/>
          <w:i/>
          <w:sz w:val="24"/>
        </w:rPr>
      </w:pPr>
      <w:r>
        <w:rPr>
          <w:rFonts w:ascii="Times New Roman"/>
          <w:i/>
          <w:sz w:val="24"/>
        </w:rPr>
        <w:t>HE</w:t>
      </w:r>
    </w:p>
    <w:p>
      <w:pPr>
        <w:pStyle w:val="9"/>
        <w:spacing w:before="224"/>
        <w:ind w:left="1080"/>
      </w:pPr>
      <w:r>
        <w:t>式中：</w:t>
      </w:r>
      <w:r>
        <w:rPr>
          <w:rFonts w:ascii="Times New Roman" w:hAnsi="Times New Roman" w:eastAsia="Times New Roman"/>
        </w:rPr>
        <w:t>ZJ——</w:t>
      </w:r>
      <w:r>
        <w:t>费用效益比</w:t>
      </w:r>
    </w:p>
    <w:p>
      <w:pPr>
        <w:pStyle w:val="9"/>
        <w:spacing w:before="160" w:line="364" w:lineRule="auto"/>
        <w:ind w:left="1080" w:right="4178"/>
      </w:pPr>
      <w:r>
        <w:rPr>
          <w:rFonts w:ascii="Times New Roman" w:hAnsi="Times New Roman" w:eastAsia="Times New Roman"/>
        </w:rPr>
        <w:t>Ri——</w:t>
      </w:r>
      <w:r>
        <w:t>因污染防治而减少的经济损失，万元</w:t>
      </w:r>
      <w:r>
        <w:rPr>
          <w:rFonts w:ascii="Times New Roman" w:hAnsi="Times New Roman" w:eastAsia="Times New Roman"/>
        </w:rPr>
        <w:t>HE——</w:t>
      </w:r>
      <w:r>
        <w:t>年环保费用，万元。</w:t>
      </w:r>
    </w:p>
    <w:p>
      <w:pPr>
        <w:pStyle w:val="9"/>
        <w:spacing w:before="2"/>
        <w:ind w:left="1080"/>
      </w:pPr>
      <w:r>
        <w:t xml:space="preserve">通过计算，费用效益比为 </w:t>
      </w:r>
      <w:r>
        <w:rPr>
          <w:rFonts w:ascii="Times New Roman" w:eastAsia="Times New Roman"/>
        </w:rPr>
        <w:t>1.38</w:t>
      </w:r>
      <w:r>
        <w:t>。说明此项目具有良好的环境效益。</w:t>
      </w:r>
    </w:p>
    <w:p>
      <w:pPr>
        <w:pStyle w:val="5"/>
        <w:numPr>
          <w:ilvl w:val="1"/>
          <w:numId w:val="113"/>
        </w:numPr>
        <w:tabs>
          <w:tab w:val="left" w:pos="1200"/>
        </w:tabs>
        <w:spacing w:before="201" w:after="0" w:line="240" w:lineRule="auto"/>
        <w:ind w:left="1200" w:right="0" w:hanging="600"/>
        <w:jc w:val="left"/>
      </w:pPr>
      <w:bookmarkStart w:id="764" w:name="_bookmark85"/>
      <w:bookmarkEnd w:id="764"/>
      <w:bookmarkStart w:id="765" w:name="14.5环境经济分析结论"/>
      <w:bookmarkEnd w:id="765"/>
      <w:bookmarkStart w:id="766" w:name="_bookmark85"/>
      <w:bookmarkEnd w:id="766"/>
      <w:r>
        <w:t>环境经济分析结论</w:t>
      </w:r>
    </w:p>
    <w:p>
      <w:pPr>
        <w:pStyle w:val="9"/>
        <w:spacing w:before="199" w:line="364" w:lineRule="auto"/>
        <w:ind w:left="600" w:right="897" w:firstLine="559"/>
        <w:jc w:val="both"/>
      </w:pPr>
      <w:r>
        <w:t>通过以上对本工程建设的社会、经济和环境效益分析可知，本项目的建设</w:t>
      </w:r>
      <w:r>
        <w:rPr>
          <w:spacing w:val="-9"/>
        </w:rPr>
        <w:t>能够达到经济效益、社会效益和环境效益的统一。从环境经济角度论证该项目的</w:t>
      </w:r>
      <w:r>
        <w:t>可行性和合理性。</w:t>
      </w:r>
    </w:p>
    <w:p>
      <w:pPr>
        <w:spacing w:after="0" w:line="364" w:lineRule="auto"/>
        <w:jc w:val="both"/>
        <w:sectPr>
          <w:pgSz w:w="11910" w:h="16840"/>
          <w:pgMar w:top="1440" w:right="900" w:bottom="1180" w:left="1200" w:header="0" w:footer="993" w:gutter="0"/>
        </w:sectPr>
      </w:pPr>
    </w:p>
    <w:p>
      <w:pPr>
        <w:pStyle w:val="18"/>
        <w:numPr>
          <w:ilvl w:val="2"/>
          <w:numId w:val="14"/>
        </w:numPr>
        <w:tabs>
          <w:tab w:val="left" w:pos="4152"/>
        </w:tabs>
        <w:spacing w:before="44" w:after="0" w:line="240" w:lineRule="auto"/>
        <w:ind w:left="4151" w:right="302" w:hanging="4152"/>
        <w:jc w:val="left"/>
        <w:rPr>
          <w:rFonts w:ascii="Times New Roman" w:eastAsia="Times New Roman"/>
          <w:b/>
          <w:sz w:val="30"/>
        </w:rPr>
      </w:pPr>
      <w:bookmarkStart w:id="767" w:name="_bookmark86"/>
      <w:bookmarkEnd w:id="767"/>
      <w:bookmarkStart w:id="768" w:name="_bookmark86"/>
      <w:bookmarkEnd w:id="768"/>
      <w:bookmarkStart w:id="769" w:name="15.结论与建议"/>
      <w:bookmarkEnd w:id="769"/>
      <w:r>
        <w:rPr>
          <w:b/>
          <w:sz w:val="32"/>
        </w:rPr>
        <w:t>结论与建议</w:t>
      </w:r>
    </w:p>
    <w:p>
      <w:pPr>
        <w:pStyle w:val="9"/>
        <w:spacing w:before="9"/>
        <w:rPr>
          <w:b/>
          <w:sz w:val="28"/>
        </w:rPr>
      </w:pPr>
    </w:p>
    <w:p>
      <w:pPr>
        <w:pStyle w:val="18"/>
        <w:numPr>
          <w:ilvl w:val="1"/>
          <w:numId w:val="116"/>
        </w:numPr>
        <w:tabs>
          <w:tab w:val="left" w:pos="1320"/>
        </w:tabs>
        <w:spacing w:before="0" w:after="0" w:line="240" w:lineRule="auto"/>
        <w:ind w:left="1320" w:right="0" w:hanging="720"/>
        <w:jc w:val="left"/>
        <w:rPr>
          <w:rFonts w:ascii="Times New Roman" w:eastAsia="Times New Roman"/>
          <w:b/>
          <w:sz w:val="32"/>
        </w:rPr>
      </w:pPr>
      <w:bookmarkStart w:id="770" w:name="_bookmark87"/>
      <w:bookmarkEnd w:id="770"/>
      <w:bookmarkStart w:id="771" w:name="15.1 项目概况及主要建设内容结论"/>
      <w:bookmarkEnd w:id="771"/>
      <w:bookmarkStart w:id="772" w:name="_bookmark87"/>
      <w:bookmarkEnd w:id="772"/>
      <w:r>
        <w:rPr>
          <w:b/>
          <w:sz w:val="32"/>
        </w:rPr>
        <w:t>项目概况及主要建设内容结论</w:t>
      </w:r>
    </w:p>
    <w:p>
      <w:pPr>
        <w:pStyle w:val="6"/>
        <w:numPr>
          <w:ilvl w:val="2"/>
          <w:numId w:val="116"/>
        </w:numPr>
        <w:tabs>
          <w:tab w:val="left" w:pos="1440"/>
        </w:tabs>
        <w:spacing w:before="213" w:after="0" w:line="240" w:lineRule="auto"/>
        <w:ind w:left="1440" w:right="0" w:hanging="840"/>
        <w:jc w:val="left"/>
        <w:rPr>
          <w:rFonts w:ascii="Times New Roman" w:eastAsia="Times New Roman"/>
        </w:rPr>
      </w:pPr>
      <w:bookmarkStart w:id="773" w:name="15.1.1 项目概况"/>
      <w:bookmarkEnd w:id="773"/>
      <w:bookmarkStart w:id="774" w:name="15.1.1 项目概况"/>
      <w:bookmarkEnd w:id="774"/>
      <w:r>
        <w:t>项目概况</w:t>
      </w:r>
    </w:p>
    <w:p>
      <w:pPr>
        <w:pStyle w:val="9"/>
        <w:spacing w:before="265" w:line="364" w:lineRule="auto"/>
        <w:ind w:left="600" w:right="916" w:firstLine="520"/>
        <w:jc w:val="both"/>
      </w:pPr>
      <w:r>
        <w:t>双鸭山盟度矿业有限责任公司（原双鸭山双兴时代矿业有限责任公司第二煤矿）位于盟度公司位于岭东区七道坝，距双鸭山市 35km，矿井行政区划属双鸭山市岭东区管辖。</w:t>
      </w:r>
    </w:p>
    <w:p>
      <w:pPr>
        <w:pStyle w:val="9"/>
        <w:spacing w:line="230" w:lineRule="exact"/>
        <w:ind w:left="1080"/>
      </w:pPr>
      <w:r>
        <w:t>盟度公司原为双鸭山市煤炭工业管理局所属的地方国营煤矿，原为双桦二</w:t>
      </w:r>
    </w:p>
    <w:p>
      <w:pPr>
        <w:pStyle w:val="9"/>
        <w:spacing w:before="158" w:line="364" w:lineRule="auto"/>
        <w:ind w:left="600" w:right="897"/>
        <w:jc w:val="both"/>
      </w:pPr>
      <w:r>
        <w:rPr>
          <w:spacing w:val="-18"/>
        </w:rPr>
        <w:t xml:space="preserve">井，于 </w:t>
      </w:r>
      <w:r>
        <w:rPr>
          <w:rFonts w:ascii="Times New Roman" w:hAnsi="Times New Roman" w:eastAsia="Times New Roman"/>
        </w:rPr>
        <w:t xml:space="preserve">1980 </w:t>
      </w:r>
      <w:r>
        <w:rPr>
          <w:spacing w:val="-1"/>
        </w:rPr>
        <w:t>年筹建，</w:t>
      </w:r>
      <w:r>
        <w:rPr>
          <w:rFonts w:ascii="Times New Roman" w:hAnsi="Times New Roman" w:eastAsia="Times New Roman"/>
          <w:spacing w:val="-3"/>
        </w:rPr>
        <w:t xml:space="preserve">1983 </w:t>
      </w:r>
      <w:r>
        <w:rPr>
          <w:spacing w:val="-8"/>
        </w:rPr>
        <w:t xml:space="preserve">年建成投产，生产规模 </w:t>
      </w:r>
      <w:r>
        <w:rPr>
          <w:rFonts w:ascii="Times New Roman" w:hAnsi="Times New Roman" w:eastAsia="Times New Roman"/>
        </w:rPr>
        <w:t xml:space="preserve">9.00 </w:t>
      </w:r>
      <w:r>
        <w:rPr>
          <w:spacing w:val="-30"/>
        </w:rPr>
        <w:t xml:space="preserve">万 </w:t>
      </w:r>
      <w:r>
        <w:rPr>
          <w:rFonts w:ascii="Times New Roman" w:hAnsi="Times New Roman" w:eastAsia="Times New Roman"/>
        </w:rPr>
        <w:t>t/</w:t>
      </w:r>
      <w:r>
        <w:rPr>
          <w:spacing w:val="-5"/>
        </w:rPr>
        <w:t>年；由于煤炭市场不</w:t>
      </w:r>
      <w:r>
        <w:rPr>
          <w:spacing w:val="-8"/>
        </w:rPr>
        <w:t xml:space="preserve">景气，煤矿连年亏损，上世纪 </w:t>
      </w:r>
      <w:r>
        <w:rPr>
          <w:rFonts w:ascii="Times New Roman" w:hAnsi="Times New Roman" w:eastAsia="Times New Roman"/>
        </w:rPr>
        <w:t xml:space="preserve">90 </w:t>
      </w:r>
      <w:r>
        <w:rPr>
          <w:spacing w:val="-1"/>
        </w:rPr>
        <w:t>年代后期报停，</w:t>
      </w:r>
      <w:r>
        <w:rPr>
          <w:rFonts w:ascii="Times New Roman" w:hAnsi="Times New Roman" w:eastAsia="Times New Roman"/>
          <w:spacing w:val="-3"/>
        </w:rPr>
        <w:t xml:space="preserve">2003 </w:t>
      </w:r>
      <w:r>
        <w:rPr>
          <w:spacing w:val="-2"/>
        </w:rPr>
        <w:t>年双鸭山市双兴时代矿业</w:t>
      </w:r>
      <w:r>
        <w:rPr>
          <w:spacing w:val="-8"/>
        </w:rPr>
        <w:t>有限公司收购该矿。目前证照齐全，开拓方式为片盘斜井，通风方式为中央并列</w:t>
      </w:r>
      <w:r>
        <w:rPr>
          <w:spacing w:val="-4"/>
        </w:rPr>
        <w:t xml:space="preserve">式。各大生产系统运转正常，主井全长 </w:t>
      </w:r>
      <w:r>
        <w:rPr>
          <w:rFonts w:ascii="Times New Roman" w:hAnsi="Times New Roman" w:eastAsia="Times New Roman"/>
        </w:rPr>
        <w:t xml:space="preserve">870m </w:t>
      </w:r>
      <w:r>
        <w:rPr>
          <w:spacing w:val="-6"/>
        </w:rPr>
        <w:t xml:space="preserve">左右，主井平均断面 </w:t>
      </w:r>
      <w:r>
        <w:rPr>
          <w:rFonts w:ascii="Times New Roman" w:hAnsi="Times New Roman" w:eastAsia="Times New Roman"/>
        </w:rPr>
        <w:t xml:space="preserve">5.9 </w:t>
      </w:r>
      <w:r>
        <w:rPr>
          <w:spacing w:val="-4"/>
        </w:rPr>
        <w:t>㎡，风井</w:t>
      </w:r>
      <w:r>
        <w:rPr>
          <w:spacing w:val="-13"/>
        </w:rPr>
        <w:t xml:space="preserve">平均断面 </w:t>
      </w:r>
      <w:r>
        <w:rPr>
          <w:rFonts w:ascii="Times New Roman" w:hAnsi="Times New Roman" w:eastAsia="Times New Roman"/>
        </w:rPr>
        <w:t xml:space="preserve">7 </w:t>
      </w:r>
      <w:r>
        <w:rPr>
          <w:spacing w:val="-5"/>
        </w:rPr>
        <w:t xml:space="preserve">㎡，两条井筒平行，坡度均为 </w:t>
      </w:r>
      <w:r>
        <w:rPr>
          <w:rFonts w:ascii="Times New Roman" w:hAnsi="Times New Roman" w:eastAsia="Times New Roman"/>
        </w:rPr>
        <w:t>23</w:t>
      </w:r>
      <w:r>
        <w:t>°。井底标高</w:t>
      </w:r>
      <w:r>
        <w:rPr>
          <w:rFonts w:ascii="Times New Roman" w:hAnsi="Times New Roman" w:eastAsia="Times New Roman"/>
        </w:rPr>
        <w:t>-31m</w:t>
      </w:r>
      <w:r>
        <w:t>。</w:t>
      </w:r>
    </w:p>
    <w:p>
      <w:pPr>
        <w:pStyle w:val="9"/>
        <w:spacing w:line="364" w:lineRule="auto"/>
        <w:ind w:left="600" w:right="897" w:firstLine="480"/>
        <w:jc w:val="both"/>
      </w:pPr>
      <w:r>
        <w:rPr>
          <w:spacing w:val="-3"/>
        </w:rPr>
        <w:t xml:space="preserve">弘泰第六煤矿原为双鸭山车站二矿，于 </w:t>
      </w:r>
      <w:r>
        <w:rPr>
          <w:rFonts w:ascii="Times New Roman" w:hAnsi="Times New Roman" w:eastAsia="Times New Roman"/>
        </w:rPr>
        <w:t xml:space="preserve">1998 </w:t>
      </w:r>
      <w:r>
        <w:rPr>
          <w:spacing w:val="-1"/>
        </w:rPr>
        <w:t>年建井，当年建成投产。设计</w:t>
      </w:r>
      <w:r>
        <w:rPr>
          <w:spacing w:val="-11"/>
        </w:rPr>
        <w:t xml:space="preserve">生产能力为 </w:t>
      </w:r>
      <w:r>
        <w:rPr>
          <w:rFonts w:ascii="Times New Roman" w:hAnsi="Times New Roman" w:eastAsia="Times New Roman"/>
        </w:rPr>
        <w:t xml:space="preserve">4 </w:t>
      </w:r>
      <w:r>
        <w:rPr>
          <w:spacing w:val="-31"/>
        </w:rPr>
        <w:t xml:space="preserve">万 </w:t>
      </w:r>
      <w:r>
        <w:rPr>
          <w:rFonts w:ascii="Times New Roman" w:hAnsi="Times New Roman" w:eastAsia="Times New Roman"/>
        </w:rPr>
        <w:t>t/</w:t>
      </w:r>
      <w:r>
        <w:rPr>
          <w:spacing w:val="-7"/>
        </w:rPr>
        <w:t>年。开拓方式片盘斜井，中央并列式通风，串车提升、集中排</w:t>
      </w:r>
      <w:r>
        <w:rPr>
          <w:spacing w:val="-8"/>
        </w:rPr>
        <w:t xml:space="preserve">水。主井长度 </w:t>
      </w:r>
      <w:r>
        <w:rPr>
          <w:rFonts w:ascii="Times New Roman" w:hAnsi="Times New Roman" w:eastAsia="Times New Roman"/>
        </w:rPr>
        <w:t>860m</w:t>
      </w:r>
      <w:r>
        <w:rPr>
          <w:spacing w:val="-13"/>
        </w:rPr>
        <w:t xml:space="preserve">，坡度 </w:t>
      </w:r>
      <w:r>
        <w:rPr>
          <w:rFonts w:ascii="Times New Roman" w:hAnsi="Times New Roman" w:eastAsia="Times New Roman"/>
        </w:rPr>
        <w:t>19</w:t>
      </w:r>
      <w:r>
        <w:rPr>
          <w:spacing w:val="-11"/>
        </w:rPr>
        <w:t xml:space="preserve">°，断面 </w:t>
      </w:r>
      <w:r>
        <w:rPr>
          <w:rFonts w:ascii="Times New Roman" w:hAnsi="Times New Roman" w:eastAsia="Times New Roman"/>
        </w:rPr>
        <w:t xml:space="preserve">7.0 </w:t>
      </w:r>
      <w:r>
        <w:rPr>
          <w:spacing w:val="-8"/>
        </w:rPr>
        <w:t xml:space="preserve">㎡。风井长度 </w:t>
      </w:r>
      <w:r>
        <w:rPr>
          <w:rFonts w:ascii="Times New Roman" w:hAnsi="Times New Roman" w:eastAsia="Times New Roman"/>
        </w:rPr>
        <w:t>680m</w:t>
      </w:r>
      <w:r>
        <w:rPr>
          <w:spacing w:val="-13"/>
        </w:rPr>
        <w:t xml:space="preserve">，坡度 </w:t>
      </w:r>
      <w:r>
        <w:rPr>
          <w:rFonts w:ascii="Times New Roman" w:hAnsi="Times New Roman" w:eastAsia="Times New Roman"/>
        </w:rPr>
        <w:t>20</w:t>
      </w:r>
      <w:r>
        <w:t>°，断</w:t>
      </w:r>
      <w:r>
        <w:rPr>
          <w:spacing w:val="-30"/>
        </w:rPr>
        <w:t xml:space="preserve">面 </w:t>
      </w:r>
      <w:r>
        <w:rPr>
          <w:rFonts w:ascii="Times New Roman" w:hAnsi="Times New Roman" w:eastAsia="Times New Roman"/>
        </w:rPr>
        <w:t xml:space="preserve">7.0 </w:t>
      </w:r>
      <w:r>
        <w:t>㎡。两条井筒平行，井底标高为</w:t>
      </w:r>
      <w:r>
        <w:rPr>
          <w:rFonts w:ascii="Times New Roman" w:hAnsi="Times New Roman" w:eastAsia="Times New Roman"/>
        </w:rPr>
        <w:t>+125m</w:t>
      </w:r>
      <w:r>
        <w:rPr>
          <w:spacing w:val="-2"/>
        </w:rPr>
        <w:t>。经省政府批准被列为整合关闭矿</w:t>
      </w:r>
      <w:r>
        <w:t>井。</w:t>
      </w:r>
    </w:p>
    <w:p>
      <w:pPr>
        <w:pStyle w:val="9"/>
        <w:spacing w:line="364" w:lineRule="auto"/>
        <w:ind w:left="600" w:right="897" w:firstLine="480"/>
        <w:jc w:val="both"/>
      </w:pPr>
      <w:r>
        <w:t>依据《黑龙江省人民政府关于印发</w:t>
      </w:r>
      <w:r>
        <w:rPr>
          <w:rFonts w:ascii="Times New Roman" w:eastAsia="Times New Roman"/>
        </w:rPr>
        <w:t>&lt;</w:t>
      </w:r>
      <w:r>
        <w:rPr>
          <w:spacing w:val="-1"/>
        </w:rPr>
        <w:t>黑龙江省煤炭行业淘汰落后产能化解过</w:t>
      </w:r>
      <w:r>
        <w:t>剩产能专项整治工作方案</w:t>
      </w:r>
      <w:r>
        <w:rPr>
          <w:rFonts w:ascii="Times New Roman" w:eastAsia="Times New Roman"/>
        </w:rPr>
        <w:t>&gt;</w:t>
      </w:r>
      <w:r>
        <w:rPr>
          <w:spacing w:val="-5"/>
        </w:rPr>
        <w:t>的通知》</w:t>
      </w:r>
      <w:r>
        <w:t>（</w:t>
      </w:r>
      <w:r>
        <w:rPr>
          <w:spacing w:val="-3"/>
        </w:rPr>
        <w:t>黑政规〔</w:t>
      </w:r>
      <w:r>
        <w:rPr>
          <w:rFonts w:ascii="Times New Roman" w:eastAsia="Times New Roman"/>
        </w:rPr>
        <w:t>2018</w:t>
      </w:r>
      <w:r>
        <w:rPr>
          <w:spacing w:val="-10"/>
        </w:rPr>
        <w:t>〕</w:t>
      </w:r>
      <w:r>
        <w:rPr>
          <w:rFonts w:ascii="Times New Roman" w:eastAsia="Times New Roman"/>
        </w:rPr>
        <w:t xml:space="preserve">13 </w:t>
      </w:r>
      <w:r>
        <w:t>号</w:t>
      </w:r>
      <w:r>
        <w:rPr>
          <w:spacing w:val="-10"/>
        </w:rPr>
        <w:t>）</w:t>
      </w:r>
      <w:r>
        <w:rPr>
          <w:spacing w:val="-2"/>
        </w:rPr>
        <w:t>文件及双鸭山市煤</w:t>
      </w:r>
      <w:r>
        <w:rPr>
          <w:spacing w:val="-11"/>
        </w:rPr>
        <w:t>炭生产安全管理局《双鸭山市煤炭生产安全管理局关于组织上报淘汰落后产能化</w:t>
      </w:r>
      <w:r>
        <w:rPr>
          <w:spacing w:val="-1"/>
        </w:rPr>
        <w:t>解过剩产能保留煤矿项目方案的通知》</w:t>
      </w:r>
      <w:r>
        <w:rPr>
          <w:spacing w:val="-3"/>
        </w:rPr>
        <w:t>（</w:t>
      </w:r>
      <w:r>
        <w:rPr>
          <w:spacing w:val="-2"/>
        </w:rPr>
        <w:t>双煤发〔</w:t>
      </w:r>
      <w:r>
        <w:rPr>
          <w:rFonts w:ascii="Times New Roman" w:eastAsia="Times New Roman"/>
        </w:rPr>
        <w:t>2018</w:t>
      </w:r>
      <w:r>
        <w:rPr>
          <w:spacing w:val="-8"/>
        </w:rPr>
        <w:t>〕</w:t>
      </w:r>
      <w:r>
        <w:rPr>
          <w:rFonts w:ascii="Times New Roman" w:eastAsia="Times New Roman"/>
        </w:rPr>
        <w:t xml:space="preserve">124 </w:t>
      </w:r>
      <w:r>
        <w:t>号</w:t>
      </w:r>
      <w:r>
        <w:rPr>
          <w:spacing w:val="-8"/>
        </w:rPr>
        <w:t>）</w:t>
      </w:r>
      <w:r>
        <w:rPr>
          <w:spacing w:val="-3"/>
        </w:rPr>
        <w:t>等有关文件的</w:t>
      </w:r>
      <w:r>
        <w:rPr>
          <w:spacing w:val="-8"/>
        </w:rPr>
        <w:t xml:space="preserve">指导精神，双鸭山盟度矿业有限责任公司拟资源整合至 </w:t>
      </w:r>
      <w:r>
        <w:rPr>
          <w:rFonts w:ascii="Times New Roman" w:eastAsia="Times New Roman"/>
        </w:rPr>
        <w:t xml:space="preserve">30 </w:t>
      </w:r>
      <w:r>
        <w:t>万吨</w:t>
      </w:r>
      <w:r>
        <w:rPr>
          <w:rFonts w:ascii="Times New Roman" w:eastAsia="Times New Roman"/>
        </w:rPr>
        <w:t>/</w:t>
      </w:r>
      <w:r>
        <w:rPr>
          <w:spacing w:val="-6"/>
        </w:rPr>
        <w:t>年生产规模，本</w:t>
      </w:r>
    </w:p>
    <w:p>
      <w:pPr>
        <w:pStyle w:val="9"/>
        <w:spacing w:line="364" w:lineRule="auto"/>
        <w:ind w:left="600" w:right="895"/>
        <w:jc w:val="both"/>
      </w:pPr>
      <w:r>
        <w:t>矿业升级改造方案经省</w:t>
      </w:r>
      <w:r>
        <w:rPr>
          <w:rFonts w:ascii="Times New Roman" w:hAnsi="Times New Roman" w:eastAsia="Times New Roman"/>
        </w:rPr>
        <w:t>“</w:t>
      </w:r>
      <w:r>
        <w:t>淘化</w:t>
      </w:r>
      <w:r>
        <w:rPr>
          <w:rFonts w:ascii="Times New Roman" w:hAnsi="Times New Roman" w:eastAsia="Times New Roman"/>
        </w:rPr>
        <w:t>”</w:t>
      </w:r>
      <w:r>
        <w:rPr>
          <w:spacing w:val="-11"/>
        </w:rPr>
        <w:t xml:space="preserve">小组办公室审查后，以《关于全省 </w:t>
      </w:r>
      <w:r>
        <w:rPr>
          <w:rFonts w:ascii="Times New Roman" w:hAnsi="Times New Roman" w:eastAsia="Times New Roman"/>
        </w:rPr>
        <w:t xml:space="preserve">167 </w:t>
      </w:r>
      <w:r>
        <w:rPr>
          <w:spacing w:val="-3"/>
        </w:rPr>
        <w:t>处煤矿进入</w:t>
      </w:r>
      <w:r>
        <w:rPr>
          <w:spacing w:val="-8"/>
        </w:rPr>
        <w:t>规划升级改造核准程序名单的批复》</w:t>
      </w:r>
      <w:r>
        <w:rPr>
          <w:rFonts w:ascii="Times New Roman" w:hAnsi="Times New Roman" w:eastAsia="Times New Roman"/>
        </w:rPr>
        <w:t>(</w:t>
      </w:r>
      <w:r>
        <w:t>黑煤整治办</w:t>
      </w:r>
      <w:r>
        <w:rPr>
          <w:rFonts w:ascii="Times New Roman" w:hAnsi="Times New Roman" w:eastAsia="Times New Roman"/>
        </w:rPr>
        <w:t xml:space="preserve">(2020)7 </w:t>
      </w:r>
      <w:r>
        <w:t>号</w:t>
      </w:r>
      <w:r>
        <w:rPr>
          <w:rFonts w:ascii="Times New Roman" w:hAnsi="Times New Roman" w:eastAsia="Times New Roman"/>
        </w:rPr>
        <w:t>)</w:t>
      </w:r>
      <w:r>
        <w:rPr>
          <w:spacing w:val="-2"/>
        </w:rPr>
        <w:t>批复同意该项目进入</w:t>
      </w:r>
      <w:r>
        <w:t>核准程序。</w:t>
      </w:r>
    </w:p>
    <w:p>
      <w:pPr>
        <w:pStyle w:val="6"/>
        <w:numPr>
          <w:ilvl w:val="2"/>
          <w:numId w:val="116"/>
        </w:numPr>
        <w:tabs>
          <w:tab w:val="left" w:pos="1440"/>
        </w:tabs>
        <w:spacing w:before="0" w:after="0" w:line="240" w:lineRule="auto"/>
        <w:ind w:left="1440" w:right="0" w:hanging="840"/>
        <w:jc w:val="left"/>
        <w:rPr>
          <w:rFonts w:ascii="Times New Roman" w:eastAsia="Times New Roman"/>
        </w:rPr>
      </w:pPr>
      <w:bookmarkStart w:id="775" w:name="15.1.2 政策符合性结论"/>
      <w:bookmarkEnd w:id="775"/>
      <w:bookmarkStart w:id="776" w:name="15.1.2 政策符合性结论"/>
      <w:bookmarkEnd w:id="776"/>
      <w:r>
        <w:t>政策符合性结论</w:t>
      </w:r>
    </w:p>
    <w:p>
      <w:pPr>
        <w:pStyle w:val="9"/>
        <w:spacing w:before="178" w:line="362" w:lineRule="auto"/>
        <w:ind w:left="600" w:right="897" w:firstLine="480"/>
        <w:jc w:val="both"/>
      </w:pPr>
      <w:r>
        <w:rPr>
          <w:spacing w:val="-2"/>
        </w:rPr>
        <w:t>本项目属于煤炭开采和洗选业</w:t>
      </w:r>
      <w:r>
        <w:t>（</w:t>
      </w:r>
      <w:r>
        <w:rPr>
          <w:spacing w:val="-6"/>
        </w:rPr>
        <w:t xml:space="preserve">国民经济分类代码为 </w:t>
      </w:r>
      <w:r>
        <w:rPr>
          <w:rFonts w:ascii="Times New Roman" w:eastAsia="Times New Roman"/>
          <w:spacing w:val="-8"/>
        </w:rPr>
        <w:t>B06</w:t>
      </w:r>
      <w:r>
        <w:rPr>
          <w:spacing w:val="-8"/>
        </w:rPr>
        <w:t>），</w:t>
      </w:r>
      <w:r>
        <w:rPr>
          <w:spacing w:val="-7"/>
        </w:rPr>
        <w:t>不属于《产业</w:t>
      </w:r>
      <w:r>
        <w:t>结构调整指导目录（</w:t>
      </w:r>
      <w:r>
        <w:rPr>
          <w:rFonts w:ascii="Times New Roman" w:eastAsia="Times New Roman"/>
        </w:rPr>
        <w:t xml:space="preserve">2019 </w:t>
      </w:r>
      <w:r>
        <w:t>年本）》中的限制类和淘汰类，不违背《产业结构调</w:t>
      </w:r>
    </w:p>
    <w:p>
      <w:pPr>
        <w:spacing w:after="0" w:line="362" w:lineRule="auto"/>
        <w:jc w:val="both"/>
        <w:sectPr>
          <w:pgSz w:w="11910" w:h="16840"/>
          <w:pgMar w:top="1380" w:right="900" w:bottom="1180" w:left="1200" w:header="0" w:footer="993" w:gutter="0"/>
        </w:sectPr>
      </w:pPr>
    </w:p>
    <w:p>
      <w:pPr>
        <w:pStyle w:val="9"/>
        <w:spacing w:before="63"/>
        <w:ind w:left="600"/>
      </w:pPr>
      <w:r>
        <w:t>整指导目录（</w:t>
      </w:r>
      <w:r>
        <w:rPr>
          <w:rFonts w:ascii="Times New Roman" w:eastAsia="Times New Roman"/>
        </w:rPr>
        <w:t xml:space="preserve">2019 </w:t>
      </w:r>
      <w:r>
        <w:t>年本）》要求。</w:t>
      </w:r>
    </w:p>
    <w:p>
      <w:pPr>
        <w:pStyle w:val="9"/>
        <w:spacing w:before="160" w:line="362" w:lineRule="auto"/>
        <w:ind w:left="600" w:right="780" w:firstLine="480"/>
      </w:pPr>
      <w:r>
        <w:t xml:space="preserve">本项目投产后生产规模仍 </w:t>
      </w:r>
      <w:r>
        <w:rPr>
          <w:rFonts w:ascii="Times New Roman" w:eastAsia="Times New Roman"/>
        </w:rPr>
        <w:t xml:space="preserve">30 </w:t>
      </w:r>
      <w:r>
        <w:t>万吨</w:t>
      </w:r>
      <w:r>
        <w:rPr>
          <w:rFonts w:ascii="Times New Roman" w:eastAsia="Times New Roman"/>
        </w:rPr>
        <w:t>/</w:t>
      </w:r>
      <w:r>
        <w:t>年，因此，本项目不违背《黑龙江省人民政府办公厅关于印发黑龙江省化解煤炭过剩产能实施方案的通知》中相关要求。</w:t>
      </w:r>
    </w:p>
    <w:p>
      <w:pPr>
        <w:pStyle w:val="6"/>
        <w:numPr>
          <w:ilvl w:val="2"/>
          <w:numId w:val="116"/>
        </w:numPr>
        <w:tabs>
          <w:tab w:val="left" w:pos="1440"/>
        </w:tabs>
        <w:spacing w:before="6" w:after="0" w:line="240" w:lineRule="auto"/>
        <w:ind w:left="1440" w:right="0" w:hanging="840"/>
        <w:jc w:val="left"/>
        <w:rPr>
          <w:rFonts w:ascii="Times New Roman" w:eastAsia="Times New Roman"/>
        </w:rPr>
      </w:pPr>
      <w:bookmarkStart w:id="777" w:name="15.1.3 规划符合性结论"/>
      <w:bookmarkEnd w:id="777"/>
      <w:bookmarkStart w:id="778" w:name="15.1.3 规划符合性结论"/>
      <w:bookmarkEnd w:id="778"/>
      <w:r>
        <w:t>规划符合性结论</w:t>
      </w:r>
    </w:p>
    <w:p>
      <w:pPr>
        <w:pStyle w:val="9"/>
        <w:spacing w:before="185" w:line="362" w:lineRule="auto"/>
        <w:ind w:left="600" w:right="897" w:firstLine="480"/>
      </w:pPr>
      <w:r>
        <w:rPr>
          <w:spacing w:val="-7"/>
        </w:rPr>
        <w:t>本项目性质和选址与国家和地方有关法规、政策、相关规划、规划环境影响</w:t>
      </w:r>
      <w:r>
        <w:t>评价结论及审查意见相符。</w:t>
      </w:r>
    </w:p>
    <w:p>
      <w:pPr>
        <w:pStyle w:val="4"/>
        <w:numPr>
          <w:ilvl w:val="1"/>
          <w:numId w:val="116"/>
        </w:numPr>
        <w:tabs>
          <w:tab w:val="left" w:pos="1320"/>
        </w:tabs>
        <w:spacing w:before="7" w:after="0" w:line="240" w:lineRule="auto"/>
        <w:ind w:left="1320" w:right="0" w:hanging="720"/>
        <w:jc w:val="left"/>
        <w:rPr>
          <w:rFonts w:ascii="Times New Roman" w:eastAsia="Times New Roman"/>
        </w:rPr>
      </w:pPr>
      <w:bookmarkStart w:id="779" w:name="_bookmark88"/>
      <w:bookmarkEnd w:id="779"/>
      <w:bookmarkStart w:id="780" w:name="_bookmark88"/>
      <w:bookmarkEnd w:id="780"/>
      <w:bookmarkStart w:id="781" w:name="15.2 环境质量现状"/>
      <w:bookmarkEnd w:id="781"/>
      <w:r>
        <w:t>环境质量现状</w:t>
      </w:r>
    </w:p>
    <w:p>
      <w:pPr>
        <w:pStyle w:val="6"/>
        <w:numPr>
          <w:ilvl w:val="2"/>
          <w:numId w:val="116"/>
        </w:numPr>
        <w:tabs>
          <w:tab w:val="left" w:pos="1440"/>
        </w:tabs>
        <w:spacing w:before="211" w:after="0" w:line="240" w:lineRule="auto"/>
        <w:ind w:left="1440" w:right="0" w:hanging="840"/>
        <w:jc w:val="left"/>
        <w:rPr>
          <w:rFonts w:ascii="Times New Roman" w:eastAsia="Times New Roman"/>
        </w:rPr>
      </w:pPr>
      <w:bookmarkStart w:id="782" w:name="15.2.1 环境空气质量现状评价"/>
      <w:bookmarkEnd w:id="782"/>
      <w:bookmarkStart w:id="783" w:name="15.2.1 环境空气质量现状评价"/>
      <w:bookmarkEnd w:id="783"/>
      <w:r>
        <w:t>环境空气质量现状评价</w:t>
      </w:r>
    </w:p>
    <w:p>
      <w:pPr>
        <w:pStyle w:val="9"/>
        <w:spacing w:before="10"/>
        <w:rPr>
          <w:b/>
          <w:sz w:val="26"/>
        </w:rPr>
      </w:pPr>
    </w:p>
    <w:p>
      <w:pPr>
        <w:pStyle w:val="9"/>
        <w:spacing w:line="388" w:lineRule="auto"/>
        <w:ind w:left="600" w:right="765" w:firstLine="480"/>
        <w:jc w:val="both"/>
      </w:pPr>
      <w:r>
        <w:t>根据双鸭山市人民政府网公布的《</w:t>
      </w:r>
      <w:r>
        <w:rPr>
          <w:rFonts w:ascii="Times New Roman" w:hAnsi="Times New Roman" w:eastAsia="Times New Roman"/>
        </w:rPr>
        <w:t xml:space="preserve">2019 </w:t>
      </w:r>
      <w:r>
        <w:t>年双鸭山市环境空气质量状况》所</w:t>
      </w:r>
      <w:r>
        <w:rPr>
          <w:position w:val="2"/>
        </w:rPr>
        <w:t>示，</w:t>
      </w:r>
      <w:r>
        <w:rPr>
          <w:rFonts w:ascii="Times New Roman" w:hAnsi="Times New Roman" w:eastAsia="Times New Roman"/>
          <w:position w:val="2"/>
        </w:rPr>
        <w:t xml:space="preserve">2019 </w:t>
      </w:r>
      <w:r>
        <w:rPr>
          <w:position w:val="2"/>
        </w:rPr>
        <w:t>年双鸭山市环境空气质量现状为：</w:t>
      </w:r>
      <w:r>
        <w:rPr>
          <w:rFonts w:ascii="Times New Roman" w:hAnsi="Times New Roman" w:eastAsia="Times New Roman"/>
          <w:position w:val="2"/>
        </w:rPr>
        <w:t>PM</w:t>
      </w:r>
      <w:r>
        <w:rPr>
          <w:rFonts w:ascii="Times New Roman" w:hAnsi="Times New Roman" w:eastAsia="Times New Roman"/>
          <w:position w:val="2"/>
          <w:vertAlign w:val="subscript"/>
        </w:rPr>
        <w:t>2.5</w:t>
      </w:r>
      <w:r>
        <w:rPr>
          <w:rFonts w:ascii="Times New Roman" w:hAnsi="Times New Roman" w:eastAsia="Times New Roman"/>
          <w:position w:val="2"/>
          <w:vertAlign w:val="baseline"/>
        </w:rPr>
        <w:t xml:space="preserve"> </w:t>
      </w:r>
      <w:r>
        <w:rPr>
          <w:spacing w:val="-6"/>
          <w:position w:val="2"/>
          <w:vertAlign w:val="baseline"/>
        </w:rPr>
        <w:t xml:space="preserve">全年平均浓度值为 </w:t>
      </w:r>
      <w:r>
        <w:rPr>
          <w:rFonts w:ascii="Times New Roman" w:hAnsi="Times New Roman" w:eastAsia="Times New Roman"/>
          <w:position w:val="2"/>
          <w:vertAlign w:val="baseline"/>
        </w:rPr>
        <w:t>29μg/m</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PM</w:t>
      </w:r>
      <w:r>
        <w:rPr>
          <w:rFonts w:ascii="Times New Roman" w:hAnsi="Times New Roman" w:eastAsia="Times New Roman"/>
          <w:position w:val="2"/>
          <w:vertAlign w:val="subscript"/>
        </w:rPr>
        <w:t>10</w:t>
      </w:r>
      <w:r>
        <w:rPr>
          <w:rFonts w:ascii="Times New Roman" w:hAnsi="Times New Roman" w:eastAsia="Times New Roman"/>
          <w:position w:val="2"/>
          <w:vertAlign w:val="baseline"/>
        </w:rPr>
        <w:t xml:space="preserve"> </w:t>
      </w:r>
      <w:r>
        <w:rPr>
          <w:spacing w:val="-7"/>
          <w:position w:val="2"/>
          <w:vertAlign w:val="baseline"/>
        </w:rPr>
        <w:t xml:space="preserve">全年平均浓度值为 </w:t>
      </w:r>
      <w:r>
        <w:rPr>
          <w:rFonts w:ascii="Times New Roman" w:hAnsi="Times New Roman" w:eastAsia="Times New Roman"/>
          <w:position w:val="2"/>
          <w:vertAlign w:val="baseline"/>
        </w:rPr>
        <w:t>50μg/m</w:t>
      </w:r>
      <w:r>
        <w:rPr>
          <w:rFonts w:ascii="Times New Roman" w:hAnsi="Times New Roman" w:eastAsia="Times New Roman"/>
          <w:position w:val="2"/>
          <w:vertAlign w:val="superscript"/>
        </w:rPr>
        <w:t>3</w:t>
      </w:r>
      <w:r>
        <w:rPr>
          <w:spacing w:val="-20"/>
          <w:position w:val="2"/>
          <w:vertAlign w:val="baseline"/>
        </w:rPr>
        <w:t>、</w:t>
      </w:r>
      <w:r>
        <w:rPr>
          <w:rFonts w:ascii="Times New Roman" w:hAnsi="Times New Roman" w:eastAsia="Times New Roman"/>
          <w:position w:val="2"/>
          <w:vertAlign w:val="baseline"/>
        </w:rPr>
        <w:t>SO</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 </w:t>
      </w:r>
      <w:r>
        <w:rPr>
          <w:spacing w:val="-7"/>
          <w:position w:val="2"/>
          <w:vertAlign w:val="baseline"/>
        </w:rPr>
        <w:t xml:space="preserve">全年平均浓度值为 </w:t>
      </w:r>
      <w:r>
        <w:rPr>
          <w:rFonts w:ascii="Times New Roman" w:hAnsi="Times New Roman" w:eastAsia="Times New Roman"/>
          <w:position w:val="2"/>
          <w:vertAlign w:val="baseline"/>
        </w:rPr>
        <w:t>8μg/m</w:t>
      </w:r>
      <w:r>
        <w:rPr>
          <w:rFonts w:ascii="Times New Roman" w:hAnsi="Times New Roman" w:eastAsia="Times New Roman"/>
          <w:position w:val="2"/>
          <w:vertAlign w:val="superscript"/>
        </w:rPr>
        <w:t>3</w:t>
      </w:r>
      <w:r>
        <w:rPr>
          <w:spacing w:val="-20"/>
          <w:position w:val="2"/>
          <w:vertAlign w:val="baseline"/>
        </w:rPr>
        <w:t>、</w:t>
      </w:r>
      <w:r>
        <w:rPr>
          <w:rFonts w:ascii="Times New Roman" w:hAnsi="Times New Roman" w:eastAsia="Times New Roman"/>
          <w:position w:val="2"/>
          <w:vertAlign w:val="baseline"/>
        </w:rPr>
        <w:t>NO</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 </w:t>
      </w:r>
      <w:r>
        <w:rPr>
          <w:position w:val="2"/>
          <w:vertAlign w:val="baseline"/>
        </w:rPr>
        <w:t>全年平均</w:t>
      </w:r>
      <w:r>
        <w:rPr>
          <w:spacing w:val="-12"/>
          <w:vertAlign w:val="baseline"/>
        </w:rPr>
        <w:t xml:space="preserve">浓度值为 </w:t>
      </w:r>
      <w:r>
        <w:rPr>
          <w:rFonts w:ascii="Times New Roman" w:hAnsi="Times New Roman" w:eastAsia="Times New Roman"/>
          <w:vertAlign w:val="baseline"/>
        </w:rPr>
        <w:t>15μg/m</w:t>
      </w:r>
      <w:r>
        <w:rPr>
          <w:rFonts w:ascii="Times New Roman" w:hAnsi="Times New Roman" w:eastAsia="Times New Roman"/>
          <w:position w:val="8"/>
          <w:sz w:val="15"/>
          <w:vertAlign w:val="baseline"/>
        </w:rPr>
        <w:t>3</w:t>
      </w:r>
      <w:r>
        <w:rPr>
          <w:spacing w:val="-44"/>
          <w:vertAlign w:val="baseline"/>
        </w:rPr>
        <w:t>、</w:t>
      </w:r>
      <w:r>
        <w:rPr>
          <w:rFonts w:ascii="Times New Roman" w:hAnsi="Times New Roman" w:eastAsia="Times New Roman"/>
          <w:vertAlign w:val="baseline"/>
        </w:rPr>
        <w:t xml:space="preserve">CO </w:t>
      </w:r>
      <w:r>
        <w:rPr>
          <w:spacing w:val="-7"/>
          <w:vertAlign w:val="baseline"/>
        </w:rPr>
        <w:t xml:space="preserve">全年平均浓度值为 </w:t>
      </w:r>
      <w:r>
        <w:rPr>
          <w:rFonts w:ascii="Times New Roman" w:hAnsi="Times New Roman" w:eastAsia="Times New Roman"/>
          <w:spacing w:val="-6"/>
          <w:vertAlign w:val="baseline"/>
        </w:rPr>
        <w:t>0.7mg/m</w:t>
      </w:r>
      <w:r>
        <w:rPr>
          <w:rFonts w:ascii="Times New Roman" w:hAnsi="Times New Roman" w:eastAsia="Times New Roman"/>
          <w:spacing w:val="-6"/>
          <w:position w:val="8"/>
          <w:sz w:val="15"/>
          <w:vertAlign w:val="baseline"/>
        </w:rPr>
        <w:t>3</w:t>
      </w:r>
      <w:r>
        <w:rPr>
          <w:spacing w:val="-10"/>
          <w:vertAlign w:val="baseline"/>
        </w:rPr>
        <w:t xml:space="preserve">，平均浓度第 </w:t>
      </w:r>
      <w:r>
        <w:rPr>
          <w:rFonts w:ascii="Times New Roman" w:hAnsi="Times New Roman" w:eastAsia="Times New Roman"/>
          <w:vertAlign w:val="baseline"/>
        </w:rPr>
        <w:t xml:space="preserve">95 </w:t>
      </w:r>
      <w:r>
        <w:rPr>
          <w:vertAlign w:val="baseline"/>
        </w:rPr>
        <w:t>百分位数为</w:t>
      </w:r>
      <w:r>
        <w:rPr>
          <w:rFonts w:ascii="Times New Roman" w:hAnsi="Times New Roman" w:eastAsia="Times New Roman"/>
          <w:position w:val="2"/>
          <w:vertAlign w:val="baseline"/>
        </w:rPr>
        <w:t>1.4mg/m</w:t>
      </w:r>
      <w:r>
        <w:rPr>
          <w:rFonts w:ascii="Times New Roman" w:hAnsi="Times New Roman" w:eastAsia="Times New Roman"/>
          <w:position w:val="2"/>
          <w:vertAlign w:val="superscript"/>
        </w:rPr>
        <w:t>3</w:t>
      </w:r>
      <w:r>
        <w:rPr>
          <w:spacing w:val="-120"/>
          <w:position w:val="2"/>
          <w:vertAlign w:val="baseline"/>
        </w:rPr>
        <w:t>、</w:t>
      </w:r>
      <w:r>
        <w:rPr>
          <w:rFonts w:ascii="Times New Roman" w:hAnsi="Times New Roman" w:eastAsia="Times New Roman"/>
          <w:position w:val="2"/>
          <w:vertAlign w:val="baseline"/>
        </w:rPr>
        <w:t>O</w:t>
      </w:r>
      <w:r>
        <w:rPr>
          <w:rFonts w:ascii="Times New Roman" w:hAnsi="Times New Roman" w:eastAsia="Times New Roman"/>
          <w:position w:val="2"/>
          <w:vertAlign w:val="subscript"/>
        </w:rPr>
        <w:t>3</w:t>
      </w:r>
      <w:r>
        <w:rPr>
          <w:rFonts w:ascii="Times New Roman" w:hAnsi="Times New Roman" w:eastAsia="Times New Roman"/>
          <w:position w:val="2"/>
          <w:vertAlign w:val="baseline"/>
        </w:rPr>
        <w:t xml:space="preserve">8h </w:t>
      </w:r>
      <w:r>
        <w:rPr>
          <w:spacing w:val="5"/>
          <w:position w:val="2"/>
          <w:vertAlign w:val="baseline"/>
        </w:rPr>
        <w:t>全年平均浓度值为</w:t>
      </w:r>
      <w:r>
        <w:rPr>
          <w:rFonts w:ascii="Times New Roman" w:hAnsi="Times New Roman" w:eastAsia="Times New Roman"/>
          <w:position w:val="2"/>
          <w:vertAlign w:val="baseline"/>
        </w:rPr>
        <w:t>69μg/m</w:t>
      </w:r>
      <w:r>
        <w:rPr>
          <w:rFonts w:ascii="Times New Roman" w:hAnsi="Times New Roman" w:eastAsia="Times New Roman"/>
          <w:position w:val="2"/>
          <w:vertAlign w:val="superscript"/>
        </w:rPr>
        <w:t>3</w:t>
      </w:r>
      <w:r>
        <w:rPr>
          <w:spacing w:val="-14"/>
          <w:position w:val="2"/>
          <w:vertAlign w:val="baseline"/>
        </w:rPr>
        <w:t>、平均浓度第</w:t>
      </w:r>
      <w:r>
        <w:rPr>
          <w:rFonts w:ascii="Times New Roman" w:hAnsi="Times New Roman" w:eastAsia="Times New Roman"/>
          <w:position w:val="2"/>
          <w:vertAlign w:val="baseline"/>
        </w:rPr>
        <w:t xml:space="preserve">90 </w:t>
      </w:r>
      <w:r>
        <w:rPr>
          <w:spacing w:val="8"/>
          <w:position w:val="2"/>
          <w:vertAlign w:val="baseline"/>
        </w:rPr>
        <w:t>百分位数为</w:t>
      </w:r>
      <w:r>
        <w:rPr>
          <w:rFonts w:ascii="Times New Roman" w:hAnsi="Times New Roman" w:eastAsia="Times New Roman"/>
          <w:spacing w:val="-3"/>
          <w:position w:val="2"/>
          <w:vertAlign w:val="baseline"/>
        </w:rPr>
        <w:t>102μg/m</w:t>
      </w:r>
      <w:r>
        <w:rPr>
          <w:rFonts w:ascii="Times New Roman" w:hAnsi="Times New Roman" w:eastAsia="Times New Roman"/>
          <w:spacing w:val="-3"/>
          <w:position w:val="2"/>
          <w:vertAlign w:val="superscript"/>
        </w:rPr>
        <w:t>3</w:t>
      </w:r>
      <w:r>
        <w:rPr>
          <w:spacing w:val="-3"/>
          <w:position w:val="2"/>
          <w:vertAlign w:val="baseline"/>
        </w:rPr>
        <w:t>，</w:t>
      </w:r>
    </w:p>
    <w:p>
      <w:pPr>
        <w:pStyle w:val="9"/>
        <w:spacing w:line="304" w:lineRule="exact"/>
        <w:ind w:left="600"/>
      </w:pPr>
      <w:r>
        <w:t>总体评价达标。</w:t>
      </w:r>
    </w:p>
    <w:p>
      <w:pPr>
        <w:pStyle w:val="9"/>
        <w:spacing w:before="33" w:line="364" w:lineRule="auto"/>
        <w:ind w:left="600" w:right="897" w:firstLine="480"/>
      </w:pPr>
      <w:r>
        <w:rPr>
          <w:spacing w:val="-5"/>
        </w:rPr>
        <w:t xml:space="preserve">大气其他污染物补充监测点位 </w:t>
      </w:r>
      <w:r>
        <w:rPr>
          <w:rFonts w:ascii="Times New Roman" w:eastAsia="Times New Roman"/>
        </w:rPr>
        <w:t xml:space="preserve">TSP24h </w:t>
      </w:r>
      <w:r>
        <w:rPr>
          <w:spacing w:val="-4"/>
        </w:rPr>
        <w:t>平均浓度监测结果满足《环境空气质</w:t>
      </w:r>
      <w:r>
        <w:t>量标准》（</w:t>
      </w:r>
      <w:r>
        <w:rPr>
          <w:rFonts w:ascii="Times New Roman" w:eastAsia="Times New Roman"/>
        </w:rPr>
        <w:t>GB3095-2012</w:t>
      </w:r>
      <w:r>
        <w:t>）中的二级标准要求。</w:t>
      </w:r>
    </w:p>
    <w:p>
      <w:pPr>
        <w:pStyle w:val="6"/>
        <w:numPr>
          <w:ilvl w:val="2"/>
          <w:numId w:val="116"/>
        </w:numPr>
        <w:tabs>
          <w:tab w:val="left" w:pos="1440"/>
        </w:tabs>
        <w:spacing w:before="0" w:after="0" w:line="358" w:lineRule="exact"/>
        <w:ind w:left="1440" w:right="0" w:hanging="840"/>
        <w:jc w:val="left"/>
        <w:rPr>
          <w:rFonts w:ascii="Times New Roman" w:eastAsia="Times New Roman"/>
        </w:rPr>
      </w:pPr>
      <w:bookmarkStart w:id="784" w:name="15.2.2 地表水环境质量现状评价"/>
      <w:bookmarkEnd w:id="784"/>
      <w:bookmarkStart w:id="785" w:name="15.2.2 地表水环境质量现状评价"/>
      <w:bookmarkEnd w:id="785"/>
      <w:r>
        <w:t>地表水环境质量现状评价</w:t>
      </w:r>
    </w:p>
    <w:p>
      <w:pPr>
        <w:pStyle w:val="9"/>
        <w:spacing w:before="182"/>
        <w:ind w:left="1080"/>
      </w:pPr>
      <w:r>
        <w:rPr>
          <w:position w:val="2"/>
        </w:rPr>
        <w:t xml:space="preserve">纳污水体安邦河除 </w:t>
      </w:r>
      <w:r>
        <w:rPr>
          <w:rFonts w:ascii="Times New Roman" w:eastAsia="Times New Roman"/>
          <w:position w:val="2"/>
        </w:rPr>
        <w:t>COD</w:t>
      </w:r>
      <w:r>
        <w:rPr>
          <w:position w:val="2"/>
        </w:rPr>
        <w:t>、</w:t>
      </w:r>
      <w:r>
        <w:rPr>
          <w:rFonts w:ascii="Times New Roman" w:eastAsia="Times New Roman"/>
          <w:position w:val="2"/>
        </w:rPr>
        <w:t>BOD</w:t>
      </w:r>
      <w:r>
        <w:rPr>
          <w:rFonts w:ascii="Times New Roman" w:eastAsia="Times New Roman"/>
          <w:position w:val="2"/>
          <w:vertAlign w:val="subscript"/>
        </w:rPr>
        <w:t>5</w:t>
      </w:r>
      <w:r>
        <w:rPr>
          <w:rFonts w:ascii="Times New Roman" w:eastAsia="Times New Roman"/>
          <w:position w:val="2"/>
          <w:vertAlign w:val="baseline"/>
        </w:rPr>
        <w:t xml:space="preserve"> </w:t>
      </w:r>
      <w:r>
        <w:rPr>
          <w:position w:val="2"/>
          <w:vertAlign w:val="baseline"/>
        </w:rPr>
        <w:t>外各项指标均符合《地表水环境质量标准》</w:t>
      </w:r>
    </w:p>
    <w:p>
      <w:pPr>
        <w:pStyle w:val="9"/>
        <w:spacing w:before="160"/>
        <w:ind w:left="600"/>
      </w:pPr>
      <w:r>
        <w:rPr>
          <w:rFonts w:ascii="Times New Roman" w:hAnsi="Times New Roman" w:eastAsia="Times New Roman"/>
        </w:rPr>
        <w:t xml:space="preserve">GB3838-2002 </w:t>
      </w:r>
      <w:r>
        <w:t>中的Ⅱ类水体水质标准，为地表水不达标区。</w:t>
      </w:r>
    </w:p>
    <w:p>
      <w:pPr>
        <w:pStyle w:val="6"/>
        <w:numPr>
          <w:ilvl w:val="2"/>
          <w:numId w:val="116"/>
        </w:numPr>
        <w:tabs>
          <w:tab w:val="left" w:pos="1440"/>
        </w:tabs>
        <w:spacing w:before="159" w:after="0" w:line="240" w:lineRule="auto"/>
        <w:ind w:left="1440" w:right="0" w:hanging="840"/>
        <w:jc w:val="left"/>
        <w:rPr>
          <w:rFonts w:ascii="Times New Roman" w:eastAsia="Times New Roman"/>
        </w:rPr>
      </w:pPr>
      <w:bookmarkStart w:id="786" w:name="15.2.3 地下水环境质量现状评价"/>
      <w:bookmarkEnd w:id="786"/>
      <w:bookmarkStart w:id="787" w:name="15.2.3 地下水环境质量现状评价"/>
      <w:bookmarkEnd w:id="787"/>
      <w:r>
        <w:t>地下水环境质量现状评价</w:t>
      </w:r>
    </w:p>
    <w:p>
      <w:pPr>
        <w:pStyle w:val="9"/>
        <w:spacing w:before="185" w:line="364" w:lineRule="auto"/>
        <w:ind w:left="600" w:right="897" w:firstLine="480"/>
      </w:pPr>
      <w:r>
        <w:rPr>
          <w:spacing w:val="-4"/>
        </w:rPr>
        <w:t xml:space="preserve">本次地下水环境质量现状监测点位 </w:t>
      </w:r>
      <w:r>
        <w:rPr>
          <w:rFonts w:ascii="Times New Roman" w:hAnsi="Times New Roman" w:eastAsia="Times New Roman"/>
        </w:rPr>
        <w:t xml:space="preserve">5 </w:t>
      </w:r>
      <w:r>
        <w:rPr>
          <w:spacing w:val="-11"/>
        </w:rPr>
        <w:t>个，监测层位为潜水，各项指标除总硬</w:t>
      </w:r>
      <w:r>
        <w:t>度及锰外均满足《地下水质量标准》（</w:t>
      </w:r>
      <w:r>
        <w:rPr>
          <w:rFonts w:ascii="Times New Roman" w:hAnsi="Times New Roman" w:eastAsia="Times New Roman"/>
        </w:rPr>
        <w:t>GB/T14848-2017</w:t>
      </w:r>
      <w:r>
        <w:t>）中Ⅲ类标准。</w:t>
      </w:r>
    </w:p>
    <w:p>
      <w:pPr>
        <w:pStyle w:val="6"/>
        <w:numPr>
          <w:ilvl w:val="2"/>
          <w:numId w:val="116"/>
        </w:numPr>
        <w:tabs>
          <w:tab w:val="left" w:pos="1440"/>
        </w:tabs>
        <w:spacing w:before="0" w:after="0" w:line="358" w:lineRule="exact"/>
        <w:ind w:left="1440" w:right="0" w:hanging="840"/>
        <w:jc w:val="left"/>
        <w:rPr>
          <w:rFonts w:ascii="Times New Roman" w:eastAsia="Times New Roman"/>
        </w:rPr>
      </w:pPr>
      <w:bookmarkStart w:id="788" w:name="15.2.4 声环境质量现状评价"/>
      <w:bookmarkEnd w:id="788"/>
      <w:bookmarkStart w:id="789" w:name="15.2.4 声环境质量现状评价"/>
      <w:bookmarkEnd w:id="789"/>
      <w:r>
        <w:t>声环境质量现状评价</w:t>
      </w:r>
    </w:p>
    <w:p>
      <w:pPr>
        <w:pStyle w:val="9"/>
        <w:spacing w:before="264" w:line="364" w:lineRule="auto"/>
        <w:ind w:left="600" w:right="775" w:firstLine="480"/>
        <w:jc w:val="both"/>
      </w:pPr>
      <w:r>
        <w:t xml:space="preserve">本项目厂址噪声现状评价结果表明，本项目昼间及夜间工业广场厂界噪声， </w:t>
      </w:r>
      <w:r>
        <w:rPr>
          <w:spacing w:val="-7"/>
        </w:rPr>
        <w:t>均能达到声环境质量标准》</w:t>
      </w:r>
      <w:r>
        <w:rPr>
          <w:spacing w:val="-4"/>
        </w:rPr>
        <w:t>（</w:t>
      </w:r>
      <w:r>
        <w:rPr>
          <w:rFonts w:ascii="Times New Roman" w:eastAsia="Times New Roman"/>
          <w:spacing w:val="-4"/>
        </w:rPr>
        <w:t>GB3096-2008</w:t>
      </w:r>
      <w:r>
        <w:rPr>
          <w:spacing w:val="-4"/>
        </w:rPr>
        <w:t>）</w:t>
      </w:r>
      <w:r>
        <w:rPr>
          <w:spacing w:val="-27"/>
        </w:rPr>
        <w:t xml:space="preserve">中 </w:t>
      </w:r>
      <w:r>
        <w:rPr>
          <w:rFonts w:ascii="Times New Roman" w:eastAsia="Times New Roman"/>
        </w:rPr>
        <w:t xml:space="preserve">2 </w:t>
      </w:r>
      <w:r>
        <w:rPr>
          <w:spacing w:val="-6"/>
        </w:rPr>
        <w:t xml:space="preserve">类标准限值要求，无超标现象， </w:t>
      </w:r>
      <w:r>
        <w:t>声环境质量较好。</w:t>
      </w:r>
    </w:p>
    <w:p>
      <w:pPr>
        <w:pStyle w:val="6"/>
        <w:numPr>
          <w:ilvl w:val="2"/>
          <w:numId w:val="116"/>
        </w:numPr>
        <w:tabs>
          <w:tab w:val="left" w:pos="1440"/>
        </w:tabs>
        <w:spacing w:before="0" w:after="0" w:line="282" w:lineRule="exact"/>
        <w:ind w:left="1440" w:right="0" w:hanging="840"/>
        <w:jc w:val="left"/>
        <w:rPr>
          <w:rFonts w:ascii="Times New Roman" w:eastAsia="Times New Roman"/>
        </w:rPr>
      </w:pPr>
      <w:bookmarkStart w:id="790" w:name="15.2.5 土壤环境质量现状评价"/>
      <w:bookmarkEnd w:id="790"/>
      <w:bookmarkStart w:id="791" w:name="15.2.5 土壤环境质量现状评价"/>
      <w:bookmarkEnd w:id="791"/>
      <w:r>
        <w:t>土壤环境质量现状评价</w:t>
      </w:r>
    </w:p>
    <w:p>
      <w:pPr>
        <w:pStyle w:val="9"/>
        <w:spacing w:before="186"/>
        <w:ind w:left="1080"/>
      </w:pPr>
      <w:r>
        <w:t>本项目工业场地外耕地土壤中各类污染物监测结果低于《土壤环境质量 农</w:t>
      </w:r>
    </w:p>
    <w:p>
      <w:pPr>
        <w:spacing w:after="0"/>
        <w:sectPr>
          <w:pgSz w:w="11910" w:h="16840"/>
          <w:pgMar w:top="1360" w:right="900" w:bottom="1180" w:left="1200" w:header="0" w:footer="993" w:gutter="0"/>
        </w:sectPr>
      </w:pPr>
    </w:p>
    <w:p>
      <w:pPr>
        <w:pStyle w:val="9"/>
        <w:spacing w:before="63" w:line="364" w:lineRule="auto"/>
        <w:ind w:left="600" w:right="895"/>
        <w:jc w:val="both"/>
      </w:pPr>
      <w:r>
        <w:t>用地土壤污染风险管控标准（试行）》（</w:t>
      </w:r>
      <w:r>
        <w:rPr>
          <w:rFonts w:ascii="Times New Roman" w:eastAsia="Times New Roman"/>
        </w:rPr>
        <w:t>GB15618-2018</w:t>
      </w:r>
      <w:r>
        <w:t>）风险筛选值；工业场地内工业用地土壤中各类污染物监测结果低于《土壤环境质量 建设用地土壤污染风险管控标准（试行）》（</w:t>
      </w:r>
      <w:r>
        <w:rPr>
          <w:rFonts w:ascii="Times New Roman" w:eastAsia="Times New Roman"/>
        </w:rPr>
        <w:t>GB36600-2018</w:t>
      </w:r>
      <w:r>
        <w:t>）第二类用地风险筛选值；说明本项目土壤环境影响评价范围内土壤环境质量对人体健康的风险可以忽略。</w:t>
      </w:r>
    </w:p>
    <w:p>
      <w:pPr>
        <w:pStyle w:val="4"/>
        <w:numPr>
          <w:ilvl w:val="1"/>
          <w:numId w:val="116"/>
        </w:numPr>
        <w:tabs>
          <w:tab w:val="left" w:pos="1241"/>
        </w:tabs>
        <w:spacing w:before="0" w:after="0" w:line="409" w:lineRule="exact"/>
        <w:ind w:left="1240" w:right="0" w:hanging="641"/>
        <w:jc w:val="left"/>
        <w:rPr>
          <w:rFonts w:ascii="Times New Roman" w:eastAsia="Times New Roman"/>
        </w:rPr>
      </w:pPr>
      <w:bookmarkStart w:id="792" w:name="15.3环境保护措施"/>
      <w:bookmarkEnd w:id="792"/>
      <w:bookmarkStart w:id="793" w:name="_bookmark89"/>
      <w:bookmarkEnd w:id="793"/>
      <w:bookmarkStart w:id="794" w:name="_bookmark89"/>
      <w:bookmarkEnd w:id="794"/>
      <w:r>
        <w:t>环境保护措施</w:t>
      </w:r>
    </w:p>
    <w:p>
      <w:pPr>
        <w:pStyle w:val="6"/>
        <w:numPr>
          <w:ilvl w:val="2"/>
          <w:numId w:val="116"/>
        </w:numPr>
        <w:tabs>
          <w:tab w:val="left" w:pos="1371"/>
        </w:tabs>
        <w:spacing w:before="292" w:after="0" w:line="240" w:lineRule="auto"/>
        <w:ind w:left="1370" w:right="0" w:hanging="771"/>
        <w:jc w:val="left"/>
        <w:rPr>
          <w:rFonts w:ascii="Times New Roman" w:eastAsia="Times New Roman"/>
        </w:rPr>
      </w:pPr>
      <w:bookmarkStart w:id="795" w:name="15.3.1环境空气"/>
      <w:bookmarkEnd w:id="795"/>
      <w:bookmarkStart w:id="796" w:name="15.3.1环境空气"/>
      <w:bookmarkEnd w:id="796"/>
      <w:r>
        <w:t>环境空气</w:t>
      </w:r>
    </w:p>
    <w:p>
      <w:pPr>
        <w:pStyle w:val="18"/>
        <w:numPr>
          <w:ilvl w:val="3"/>
          <w:numId w:val="116"/>
        </w:numPr>
        <w:tabs>
          <w:tab w:val="left" w:pos="1681"/>
        </w:tabs>
        <w:spacing w:before="82" w:after="0" w:line="362" w:lineRule="auto"/>
        <w:ind w:left="600" w:right="895" w:firstLine="480"/>
        <w:jc w:val="both"/>
        <w:rPr>
          <w:sz w:val="24"/>
        </w:rPr>
      </w:pPr>
      <w:r>
        <w:rPr>
          <w:sz w:val="24"/>
        </w:rPr>
        <w:t>本项目锅炉燃用生物质成型燃料，配套安装布袋除尘器，除尘效率可</w:t>
      </w:r>
      <w:r>
        <w:rPr>
          <w:spacing w:val="-30"/>
          <w:position w:val="2"/>
          <w:sz w:val="24"/>
        </w:rPr>
        <w:t xml:space="preserve">达 </w:t>
      </w:r>
      <w:r>
        <w:rPr>
          <w:rFonts w:ascii="Times New Roman" w:eastAsia="Times New Roman"/>
          <w:spacing w:val="-6"/>
          <w:position w:val="2"/>
          <w:sz w:val="24"/>
        </w:rPr>
        <w:t>99.9%</w:t>
      </w:r>
      <w:r>
        <w:rPr>
          <w:spacing w:val="-6"/>
          <w:position w:val="2"/>
          <w:sz w:val="24"/>
        </w:rPr>
        <w:t>，大气污染物颗粒物、</w:t>
      </w:r>
      <w:r>
        <w:rPr>
          <w:rFonts w:ascii="Times New Roman" w:eastAsia="Times New Roman"/>
          <w:position w:val="2"/>
          <w:sz w:val="24"/>
        </w:rPr>
        <w:t>SO</w:t>
      </w:r>
      <w:r>
        <w:rPr>
          <w:rFonts w:ascii="Times New Roman" w:eastAsia="Times New Roman"/>
          <w:position w:val="2"/>
          <w:sz w:val="24"/>
          <w:vertAlign w:val="subscript"/>
        </w:rPr>
        <w:t>2</w:t>
      </w:r>
      <w:r>
        <w:rPr>
          <w:rFonts w:ascii="Times New Roman" w:eastAsia="Times New Roman"/>
          <w:spacing w:val="-23"/>
          <w:position w:val="2"/>
          <w:sz w:val="24"/>
          <w:vertAlign w:val="baseline"/>
        </w:rPr>
        <w:t xml:space="preserve"> </w:t>
      </w:r>
      <w:r>
        <w:rPr>
          <w:spacing w:val="-30"/>
          <w:position w:val="2"/>
          <w:sz w:val="24"/>
          <w:vertAlign w:val="baseline"/>
        </w:rPr>
        <w:t xml:space="preserve">和 </w:t>
      </w:r>
      <w:r>
        <w:rPr>
          <w:rFonts w:ascii="Times New Roman" w:eastAsia="Times New Roman"/>
          <w:position w:val="2"/>
          <w:sz w:val="24"/>
          <w:vertAlign w:val="baseline"/>
        </w:rPr>
        <w:t>NOx</w:t>
      </w:r>
      <w:r>
        <w:rPr>
          <w:rFonts w:ascii="Times New Roman" w:eastAsia="Times New Roman"/>
          <w:spacing w:val="2"/>
          <w:position w:val="2"/>
          <w:sz w:val="24"/>
          <w:vertAlign w:val="baseline"/>
        </w:rPr>
        <w:t xml:space="preserve"> </w:t>
      </w:r>
      <w:r>
        <w:rPr>
          <w:spacing w:val="-6"/>
          <w:position w:val="2"/>
          <w:sz w:val="24"/>
          <w:vertAlign w:val="baseline"/>
        </w:rPr>
        <w:t>排放浓度可满足《锅炉大气污染物排</w:t>
      </w:r>
      <w:r>
        <w:rPr>
          <w:sz w:val="24"/>
          <w:vertAlign w:val="baseline"/>
        </w:rPr>
        <w:t>放标准》（</w:t>
      </w:r>
      <w:r>
        <w:rPr>
          <w:rFonts w:ascii="Times New Roman" w:eastAsia="Times New Roman"/>
          <w:sz w:val="24"/>
          <w:vertAlign w:val="baseline"/>
        </w:rPr>
        <w:t>GB13271-2014</w:t>
      </w:r>
      <w:r>
        <w:rPr>
          <w:sz w:val="24"/>
          <w:vertAlign w:val="baseline"/>
        </w:rPr>
        <w:t>）</w:t>
      </w:r>
      <w:r>
        <w:rPr>
          <w:spacing w:val="-31"/>
          <w:sz w:val="24"/>
          <w:vertAlign w:val="baseline"/>
        </w:rPr>
        <w:t xml:space="preserve">表 </w:t>
      </w:r>
      <w:r>
        <w:rPr>
          <w:rFonts w:ascii="Times New Roman" w:eastAsia="Times New Roman"/>
          <w:sz w:val="24"/>
          <w:vertAlign w:val="baseline"/>
        </w:rPr>
        <w:t xml:space="preserve">2 </w:t>
      </w:r>
      <w:r>
        <w:rPr>
          <w:sz w:val="24"/>
          <w:vertAlign w:val="baseline"/>
        </w:rPr>
        <w:t>要求。</w:t>
      </w:r>
    </w:p>
    <w:p>
      <w:pPr>
        <w:pStyle w:val="18"/>
        <w:numPr>
          <w:ilvl w:val="3"/>
          <w:numId w:val="116"/>
        </w:numPr>
        <w:tabs>
          <w:tab w:val="left" w:pos="1681"/>
        </w:tabs>
        <w:spacing w:before="2" w:after="0" w:line="362" w:lineRule="auto"/>
        <w:ind w:left="600" w:right="889" w:firstLine="480"/>
        <w:jc w:val="both"/>
        <w:rPr>
          <w:sz w:val="24"/>
        </w:rPr>
      </w:pPr>
      <w:r>
        <w:rPr>
          <w:sz w:val="24"/>
        </w:rPr>
        <w:t>本项目热风炉燃用生物质成型燃料，配套安装布袋除尘器，除尘效率</w:t>
      </w:r>
      <w:r>
        <w:rPr>
          <w:spacing w:val="-20"/>
          <w:position w:val="2"/>
          <w:sz w:val="24"/>
        </w:rPr>
        <w:t xml:space="preserve">可达 </w:t>
      </w:r>
      <w:r>
        <w:rPr>
          <w:rFonts w:ascii="Times New Roman" w:eastAsia="Times New Roman"/>
          <w:position w:val="2"/>
          <w:sz w:val="24"/>
        </w:rPr>
        <w:t>99.9%</w:t>
      </w:r>
      <w:r>
        <w:rPr>
          <w:position w:val="2"/>
          <w:sz w:val="24"/>
        </w:rPr>
        <w:t>，大气污染物颗粒物、</w:t>
      </w:r>
      <w:r>
        <w:rPr>
          <w:rFonts w:ascii="Times New Roman" w:eastAsia="Times New Roman"/>
          <w:position w:val="2"/>
          <w:sz w:val="24"/>
        </w:rPr>
        <w:t>SO</w:t>
      </w:r>
      <w:r>
        <w:rPr>
          <w:rFonts w:ascii="Times New Roman" w:eastAsia="Times New Roman"/>
          <w:position w:val="2"/>
          <w:sz w:val="24"/>
          <w:vertAlign w:val="subscript"/>
        </w:rPr>
        <w:t>2</w:t>
      </w:r>
      <w:r>
        <w:rPr>
          <w:rFonts w:ascii="Times New Roman" w:eastAsia="Times New Roman"/>
          <w:spacing w:val="-21"/>
          <w:position w:val="2"/>
          <w:sz w:val="24"/>
          <w:vertAlign w:val="baseline"/>
        </w:rPr>
        <w:t xml:space="preserve"> </w:t>
      </w:r>
      <w:r>
        <w:rPr>
          <w:spacing w:val="-1"/>
          <w:position w:val="2"/>
          <w:sz w:val="24"/>
          <w:vertAlign w:val="baseline"/>
        </w:rPr>
        <w:t>排放浓度可满足《工业炉窑大气污染物排</w:t>
      </w:r>
      <w:r>
        <w:rPr>
          <w:spacing w:val="-13"/>
          <w:position w:val="2"/>
          <w:sz w:val="24"/>
          <w:vertAlign w:val="baseline"/>
        </w:rPr>
        <w:t>放标准》</w:t>
      </w:r>
      <w:r>
        <w:rPr>
          <w:spacing w:val="-3"/>
          <w:position w:val="2"/>
          <w:sz w:val="24"/>
          <w:vertAlign w:val="baseline"/>
        </w:rPr>
        <w:t>（</w:t>
      </w:r>
      <w:r>
        <w:rPr>
          <w:rFonts w:ascii="Times New Roman" w:eastAsia="Times New Roman"/>
          <w:spacing w:val="-3"/>
          <w:position w:val="2"/>
          <w:sz w:val="24"/>
          <w:vertAlign w:val="baseline"/>
        </w:rPr>
        <w:t>GB9078-1996</w:t>
      </w:r>
      <w:r>
        <w:rPr>
          <w:spacing w:val="-3"/>
          <w:position w:val="2"/>
          <w:sz w:val="24"/>
          <w:vertAlign w:val="baseline"/>
        </w:rPr>
        <w:t>）</w:t>
      </w:r>
      <w:r>
        <w:rPr>
          <w:spacing w:val="-19"/>
          <w:position w:val="2"/>
          <w:sz w:val="24"/>
          <w:vertAlign w:val="baseline"/>
        </w:rPr>
        <w:t xml:space="preserve">中表 </w:t>
      </w:r>
      <w:r>
        <w:rPr>
          <w:rFonts w:ascii="Times New Roman" w:eastAsia="Times New Roman"/>
          <w:position w:val="2"/>
          <w:sz w:val="24"/>
          <w:vertAlign w:val="baseline"/>
        </w:rPr>
        <w:t>2</w:t>
      </w:r>
      <w:r>
        <w:rPr>
          <w:rFonts w:ascii="Times New Roman" w:eastAsia="Times New Roman"/>
          <w:spacing w:val="2"/>
          <w:position w:val="2"/>
          <w:sz w:val="24"/>
          <w:vertAlign w:val="baseline"/>
        </w:rPr>
        <w:t xml:space="preserve"> </w:t>
      </w:r>
      <w:r>
        <w:rPr>
          <w:spacing w:val="-20"/>
          <w:position w:val="2"/>
          <w:sz w:val="24"/>
          <w:vertAlign w:val="baseline"/>
        </w:rPr>
        <w:t xml:space="preserve">及表 </w:t>
      </w:r>
      <w:r>
        <w:rPr>
          <w:rFonts w:ascii="Times New Roman" w:eastAsia="Times New Roman"/>
          <w:position w:val="2"/>
          <w:sz w:val="24"/>
          <w:vertAlign w:val="baseline"/>
        </w:rPr>
        <w:t>4</w:t>
      </w:r>
      <w:r>
        <w:rPr>
          <w:rFonts w:ascii="Times New Roman" w:eastAsia="Times New Roman"/>
          <w:spacing w:val="5"/>
          <w:position w:val="2"/>
          <w:sz w:val="24"/>
          <w:vertAlign w:val="baseline"/>
        </w:rPr>
        <w:t xml:space="preserve"> </w:t>
      </w:r>
      <w:r>
        <w:rPr>
          <w:spacing w:val="-15"/>
          <w:position w:val="2"/>
          <w:sz w:val="24"/>
          <w:vertAlign w:val="baseline"/>
        </w:rPr>
        <w:t xml:space="preserve">中烟尘 </w:t>
      </w:r>
      <w:r>
        <w:rPr>
          <w:rFonts w:ascii="Times New Roman" w:eastAsia="Times New Roman"/>
          <w:position w:val="2"/>
          <w:sz w:val="24"/>
          <w:vertAlign w:val="baseline"/>
        </w:rPr>
        <w:t>200mg/m</w:t>
      </w:r>
      <w:r>
        <w:rPr>
          <w:rFonts w:ascii="Times New Roman" w:eastAsia="Times New Roman"/>
          <w:position w:val="2"/>
          <w:sz w:val="24"/>
          <w:vertAlign w:val="superscript"/>
        </w:rPr>
        <w:t>3</w:t>
      </w:r>
      <w:r>
        <w:rPr>
          <w:spacing w:val="-27"/>
          <w:position w:val="2"/>
          <w:sz w:val="24"/>
          <w:vertAlign w:val="baseline"/>
        </w:rPr>
        <w:t>、</w:t>
      </w:r>
      <w:r>
        <w:rPr>
          <w:rFonts w:ascii="Times New Roman" w:eastAsia="Times New Roman"/>
          <w:position w:val="2"/>
          <w:sz w:val="24"/>
          <w:vertAlign w:val="baseline"/>
        </w:rPr>
        <w:t>SO</w:t>
      </w:r>
      <w:r>
        <w:rPr>
          <w:rFonts w:ascii="Times New Roman" w:eastAsia="Times New Roman"/>
          <w:position w:val="2"/>
          <w:sz w:val="24"/>
          <w:vertAlign w:val="subscript"/>
        </w:rPr>
        <w:t>2</w:t>
      </w:r>
      <w:r>
        <w:rPr>
          <w:rFonts w:ascii="Times New Roman" w:eastAsia="Times New Roman"/>
          <w:position w:val="2"/>
          <w:sz w:val="24"/>
          <w:vertAlign w:val="baseline"/>
        </w:rPr>
        <w:t>850mg/m</w:t>
      </w:r>
      <w:r>
        <w:rPr>
          <w:rFonts w:ascii="Times New Roman" w:eastAsia="Times New Roman"/>
          <w:position w:val="2"/>
          <w:sz w:val="24"/>
          <w:vertAlign w:val="superscript"/>
        </w:rPr>
        <w:t>3</w:t>
      </w:r>
      <w:r>
        <w:rPr>
          <w:rFonts w:ascii="Times New Roman" w:eastAsia="Times New Roman"/>
          <w:spacing w:val="-20"/>
          <w:position w:val="2"/>
          <w:sz w:val="24"/>
          <w:vertAlign w:val="baseline"/>
        </w:rPr>
        <w:t xml:space="preserve"> </w:t>
      </w:r>
      <w:r>
        <w:rPr>
          <w:spacing w:val="-6"/>
          <w:position w:val="2"/>
          <w:sz w:val="24"/>
          <w:vertAlign w:val="baseline"/>
        </w:rPr>
        <w:t>的标准</w:t>
      </w:r>
      <w:r>
        <w:rPr>
          <w:sz w:val="24"/>
          <w:vertAlign w:val="baseline"/>
        </w:rPr>
        <w:t>限值要求。</w:t>
      </w:r>
    </w:p>
    <w:p>
      <w:pPr>
        <w:pStyle w:val="18"/>
        <w:numPr>
          <w:ilvl w:val="3"/>
          <w:numId w:val="116"/>
        </w:numPr>
        <w:tabs>
          <w:tab w:val="left" w:pos="1681"/>
        </w:tabs>
        <w:spacing w:before="1" w:after="0" w:line="364" w:lineRule="auto"/>
        <w:ind w:left="600" w:right="777" w:firstLine="480"/>
        <w:jc w:val="both"/>
        <w:rPr>
          <w:sz w:val="24"/>
        </w:rPr>
      </w:pPr>
      <w:r>
        <w:rPr>
          <w:spacing w:val="-4"/>
          <w:sz w:val="24"/>
        </w:rPr>
        <w:t>筛分车间设置一套布袋除尘器，经布袋除尘器收处理后由排气筒排放</w:t>
      </w:r>
      <w:r>
        <w:rPr>
          <w:spacing w:val="28"/>
          <w:sz w:val="24"/>
        </w:rPr>
        <w:t xml:space="preserve">，除尘器除尘效率 </w:t>
      </w:r>
      <w:r>
        <w:rPr>
          <w:rFonts w:ascii="Times New Roman" w:eastAsia="Times New Roman"/>
          <w:sz w:val="24"/>
        </w:rPr>
        <w:t>99%</w:t>
      </w:r>
      <w:r>
        <w:rPr>
          <w:rFonts w:ascii="Times New Roman" w:eastAsia="Times New Roman"/>
          <w:spacing w:val="-11"/>
          <w:sz w:val="24"/>
        </w:rPr>
        <w:t xml:space="preserve"> </w:t>
      </w:r>
      <w:r>
        <w:rPr>
          <w:spacing w:val="29"/>
          <w:sz w:val="24"/>
        </w:rPr>
        <w:t>， 颗粒物可满足《 煤炭工业污染物排放标准</w:t>
      </w:r>
      <w:r>
        <w:rPr>
          <w:sz w:val="24"/>
        </w:rPr>
        <w:t>》</w:t>
      </w:r>
    </w:p>
    <w:p>
      <w:pPr>
        <w:pStyle w:val="9"/>
        <w:spacing w:line="306" w:lineRule="exact"/>
        <w:ind w:left="600"/>
        <w:jc w:val="both"/>
      </w:pPr>
      <w:r>
        <w:t>（</w:t>
      </w:r>
      <w:r>
        <w:rPr>
          <w:rFonts w:ascii="Times New Roman" w:eastAsia="Times New Roman"/>
        </w:rPr>
        <w:t>GB20426-2006</w:t>
      </w:r>
      <w:r>
        <w:t xml:space="preserve">）表 </w:t>
      </w:r>
      <w:r>
        <w:rPr>
          <w:rFonts w:ascii="Times New Roman" w:eastAsia="Times New Roman"/>
        </w:rPr>
        <w:t xml:space="preserve">4 </w:t>
      </w:r>
      <w:r>
        <w:t>及标准限值</w:t>
      </w:r>
    </w:p>
    <w:p>
      <w:pPr>
        <w:pStyle w:val="18"/>
        <w:numPr>
          <w:ilvl w:val="3"/>
          <w:numId w:val="116"/>
        </w:numPr>
        <w:tabs>
          <w:tab w:val="left" w:pos="1681"/>
        </w:tabs>
        <w:spacing w:before="161" w:after="0" w:line="362" w:lineRule="auto"/>
        <w:ind w:left="600" w:right="900" w:firstLine="480"/>
        <w:jc w:val="left"/>
        <w:rPr>
          <w:sz w:val="24"/>
        </w:rPr>
      </w:pPr>
      <w:r>
        <w:rPr>
          <w:spacing w:val="-1"/>
          <w:sz w:val="24"/>
        </w:rPr>
        <w:t xml:space="preserve">煤炭场内输送采用全封闭式输送栈桥，煤尘很少；采用全封闭煤仓， </w:t>
      </w:r>
      <w:r>
        <w:rPr>
          <w:sz w:val="24"/>
        </w:rPr>
        <w:t>煤尘对环境空气影响较小；矸石临时堆放场内设有喷洒设施，洒水抑尘。</w:t>
      </w:r>
    </w:p>
    <w:p>
      <w:pPr>
        <w:pStyle w:val="18"/>
        <w:numPr>
          <w:ilvl w:val="3"/>
          <w:numId w:val="116"/>
        </w:numPr>
        <w:tabs>
          <w:tab w:val="left" w:pos="1681"/>
        </w:tabs>
        <w:spacing w:before="84" w:after="0" w:line="364" w:lineRule="auto"/>
        <w:ind w:left="600" w:right="895" w:firstLine="480"/>
        <w:jc w:val="left"/>
        <w:rPr>
          <w:sz w:val="24"/>
        </w:rPr>
      </w:pPr>
      <w:r>
        <w:rPr>
          <w:spacing w:val="-2"/>
          <w:sz w:val="24"/>
        </w:rPr>
        <w:t>食堂安装油烟净化设施，油烟去除效率</w:t>
      </w:r>
      <w:r>
        <w:rPr>
          <w:rFonts w:ascii="Times New Roman" w:hAnsi="Times New Roman" w:eastAsia="Times New Roman"/>
          <w:spacing w:val="-4"/>
          <w:sz w:val="24"/>
        </w:rPr>
        <w:t>≥75%</w:t>
      </w:r>
      <w:r>
        <w:rPr>
          <w:spacing w:val="-6"/>
          <w:sz w:val="24"/>
        </w:rPr>
        <w:t>，油烟排放浓度满足《饮</w:t>
      </w:r>
      <w:r>
        <w:rPr>
          <w:sz w:val="24"/>
        </w:rPr>
        <w:t>食业油烟排放标准》（</w:t>
      </w:r>
      <w:r>
        <w:rPr>
          <w:rFonts w:ascii="Times New Roman" w:hAnsi="Times New Roman" w:eastAsia="Times New Roman"/>
          <w:sz w:val="24"/>
        </w:rPr>
        <w:t>GB18483-2001</w:t>
      </w:r>
      <w:r>
        <w:rPr>
          <w:sz w:val="24"/>
        </w:rPr>
        <w:t>）</w:t>
      </w:r>
      <w:r>
        <w:rPr>
          <w:spacing w:val="-7"/>
          <w:sz w:val="24"/>
        </w:rPr>
        <w:t xml:space="preserve">最高允许排放浓度 </w:t>
      </w:r>
      <w:r>
        <w:rPr>
          <w:rFonts w:ascii="Times New Roman" w:hAnsi="Times New Roman" w:eastAsia="Times New Roman"/>
          <w:sz w:val="24"/>
        </w:rPr>
        <w:t>2.0mg/m</w:t>
      </w:r>
      <w:r>
        <w:rPr>
          <w:rFonts w:ascii="Times New Roman" w:hAnsi="Times New Roman" w:eastAsia="Times New Roman"/>
          <w:position w:val="8"/>
          <w:sz w:val="15"/>
        </w:rPr>
        <w:t>3</w:t>
      </w:r>
      <w:r>
        <w:rPr>
          <w:sz w:val="24"/>
        </w:rPr>
        <w:t>。</w:t>
      </w:r>
    </w:p>
    <w:p>
      <w:pPr>
        <w:pStyle w:val="18"/>
        <w:numPr>
          <w:ilvl w:val="3"/>
          <w:numId w:val="116"/>
        </w:numPr>
        <w:tabs>
          <w:tab w:val="left" w:pos="1681"/>
        </w:tabs>
        <w:spacing w:before="1" w:after="0" w:line="364" w:lineRule="auto"/>
        <w:ind w:left="600" w:right="805" w:firstLine="480"/>
        <w:jc w:val="left"/>
        <w:rPr>
          <w:sz w:val="24"/>
        </w:rPr>
      </w:pPr>
      <w:r>
        <w:rPr>
          <w:sz w:val="24"/>
        </w:rPr>
        <w:t>提高路面等级，改善路况，并加强道路两侧及工业场地的绿化，减少</w:t>
      </w:r>
      <w:r>
        <w:rPr>
          <w:spacing w:val="-1"/>
          <w:sz w:val="24"/>
        </w:rPr>
        <w:t xml:space="preserve">裸露地面，严格管理车辆，防止散装物料的撒落，对矿前区公路进行适当洒水， </w:t>
      </w:r>
      <w:r>
        <w:rPr>
          <w:sz w:val="24"/>
        </w:rPr>
        <w:t>以进一步抑尘。</w:t>
      </w:r>
    </w:p>
    <w:p>
      <w:pPr>
        <w:pStyle w:val="18"/>
        <w:numPr>
          <w:ilvl w:val="3"/>
          <w:numId w:val="116"/>
        </w:numPr>
        <w:tabs>
          <w:tab w:val="left" w:pos="1681"/>
        </w:tabs>
        <w:spacing w:before="0" w:after="0" w:line="230" w:lineRule="exact"/>
        <w:ind w:left="1681" w:right="0" w:hanging="601"/>
        <w:jc w:val="left"/>
        <w:rPr>
          <w:sz w:val="24"/>
        </w:rPr>
      </w:pPr>
      <w:r>
        <w:rPr>
          <w:sz w:val="24"/>
        </w:rPr>
        <w:t>运煤车辆的防尘要求</w:t>
      </w:r>
    </w:p>
    <w:p>
      <w:pPr>
        <w:pStyle w:val="9"/>
        <w:spacing w:before="158" w:line="364" w:lineRule="auto"/>
        <w:ind w:left="600" w:right="897" w:firstLine="480"/>
        <w:jc w:val="both"/>
      </w:pPr>
      <w:r>
        <w:rPr>
          <w:spacing w:val="-7"/>
        </w:rPr>
        <w:t>对进出运煤车辆定期进行清洗，清除车辆表面粘附的煤粒、泥土等；车辆表</w:t>
      </w:r>
      <w:r>
        <w:rPr>
          <w:spacing w:val="-10"/>
        </w:rPr>
        <w:t>面要覆盖苫布，经运输线路敏感点时要减速慢行，防止散装煤炭的撒落对敏感点</w:t>
      </w:r>
      <w:r>
        <w:t>环境空气的影响。</w:t>
      </w:r>
    </w:p>
    <w:p>
      <w:pPr>
        <w:pStyle w:val="8"/>
        <w:numPr>
          <w:ilvl w:val="2"/>
          <w:numId w:val="116"/>
        </w:numPr>
        <w:tabs>
          <w:tab w:val="left" w:pos="1320"/>
        </w:tabs>
        <w:spacing w:before="105" w:after="0" w:line="240" w:lineRule="auto"/>
        <w:ind w:left="1320" w:right="0" w:hanging="720"/>
        <w:jc w:val="left"/>
        <w:rPr>
          <w:rFonts w:ascii="Times New Roman" w:eastAsia="Times New Roman"/>
        </w:rPr>
      </w:pPr>
      <w:bookmarkStart w:id="797" w:name="15.3.2 地表水环境"/>
      <w:bookmarkEnd w:id="797"/>
      <w:bookmarkStart w:id="798" w:name="15.3.2 地表水环境"/>
      <w:bookmarkEnd w:id="798"/>
      <w:r>
        <w:t>地表水环境</w:t>
      </w:r>
    </w:p>
    <w:p>
      <w:pPr>
        <w:pStyle w:val="9"/>
        <w:spacing w:before="211"/>
        <w:ind w:left="1080"/>
        <w:rPr>
          <w:rFonts w:ascii="Times New Roman" w:eastAsia="Times New Roman"/>
        </w:rPr>
      </w:pPr>
      <w:r>
        <w:t>本项目矿井水经矿井水处理站（处理规模</w:t>
      </w:r>
      <w:r>
        <w:rPr>
          <w:rFonts w:ascii="Times New Roman" w:eastAsia="Times New Roman"/>
        </w:rPr>
        <w:t>1600m</w:t>
      </w:r>
      <w:r>
        <w:rPr>
          <w:rFonts w:ascii="Times New Roman" w:eastAsia="Times New Roman"/>
          <w:position w:val="8"/>
          <w:sz w:val="15"/>
        </w:rPr>
        <w:t>3</w:t>
      </w:r>
      <w:r>
        <w:rPr>
          <w:rFonts w:ascii="Times New Roman" w:eastAsia="Times New Roman"/>
        </w:rPr>
        <w:t>/d</w:t>
      </w:r>
      <w:r>
        <w:t>，主体工艺：调节</w:t>
      </w:r>
      <w:r>
        <w:rPr>
          <w:rFonts w:ascii="Times New Roman" w:eastAsia="Times New Roman"/>
        </w:rPr>
        <w:t>+</w:t>
      </w:r>
      <w:r>
        <w:t>混凝</w:t>
      </w:r>
      <w:r>
        <w:rPr>
          <w:rFonts w:ascii="Times New Roman" w:eastAsia="Times New Roman"/>
        </w:rPr>
        <w:t>+</w:t>
      </w:r>
    </w:p>
    <w:p>
      <w:pPr>
        <w:spacing w:after="0"/>
        <w:rPr>
          <w:rFonts w:ascii="Times New Roman" w:eastAsia="Times New Roman"/>
        </w:rPr>
        <w:sectPr>
          <w:pgSz w:w="11910" w:h="16840"/>
          <w:pgMar w:top="1360" w:right="900" w:bottom="1180" w:left="1200" w:header="0" w:footer="993" w:gutter="0"/>
        </w:sectPr>
      </w:pPr>
    </w:p>
    <w:p>
      <w:pPr>
        <w:pStyle w:val="9"/>
        <w:spacing w:before="48" w:line="405" w:lineRule="auto"/>
        <w:ind w:left="600" w:right="897"/>
      </w:pPr>
      <w:r>
        <w:t>沉淀</w:t>
      </w:r>
      <w:r>
        <w:rPr>
          <w:rFonts w:ascii="Times New Roman" w:eastAsia="Times New Roman"/>
        </w:rPr>
        <w:t>+</w:t>
      </w:r>
      <w:r>
        <w:t>过滤</w:t>
      </w:r>
      <w:r>
        <w:rPr>
          <w:rFonts w:ascii="Times New Roman" w:eastAsia="Times New Roman"/>
        </w:rPr>
        <w:t>+</w:t>
      </w:r>
      <w:r>
        <w:rPr>
          <w:rFonts w:ascii="Times New Roman" w:eastAsia="Times New Roman"/>
          <w:position w:val="1"/>
          <w:sz w:val="21"/>
        </w:rPr>
        <w:t>MBR</w:t>
      </w:r>
      <w:r>
        <w:rPr>
          <w:position w:val="1"/>
          <w:sz w:val="21"/>
        </w:rPr>
        <w:t>膜</w:t>
      </w:r>
      <w:r>
        <w:rPr>
          <w:rFonts w:ascii="Times New Roman" w:eastAsia="Times New Roman"/>
        </w:rPr>
        <w:t>+</w:t>
      </w:r>
      <w:r>
        <w:t>消毒）处理后，部分回用于井下生产用水、洗浴用水、洗衣用水和锅炉补水等非饮用生活用水；部分达标排放至安邦河。</w:t>
      </w:r>
    </w:p>
    <w:p>
      <w:pPr>
        <w:pStyle w:val="9"/>
        <w:spacing w:line="405" w:lineRule="auto"/>
        <w:ind w:left="600" w:right="833" w:firstLine="480"/>
      </w:pPr>
      <w:r>
        <w:t>本项目生活污水经处理规模为</w:t>
      </w:r>
      <w:r>
        <w:rPr>
          <w:rFonts w:ascii="Times New Roman" w:eastAsia="Times New Roman"/>
        </w:rPr>
        <w:t>200m</w:t>
      </w:r>
      <w:r>
        <w:rPr>
          <w:rFonts w:ascii="Times New Roman" w:eastAsia="Times New Roman"/>
          <w:position w:val="8"/>
          <w:sz w:val="15"/>
        </w:rPr>
        <w:t>3</w:t>
      </w:r>
      <w:r>
        <w:rPr>
          <w:rFonts w:ascii="Times New Roman" w:eastAsia="Times New Roman"/>
        </w:rPr>
        <w:t>/d</w:t>
      </w:r>
      <w:r>
        <w:t>的一体化综合污水处理装置（</w:t>
      </w:r>
      <w:r>
        <w:rPr>
          <w:rFonts w:ascii="Times New Roman" w:eastAsia="Times New Roman"/>
        </w:rPr>
        <w:t>SBR+</w:t>
      </w:r>
      <w:r>
        <w:t>消毒）处理后，全部回用，不外排。</w:t>
      </w:r>
    </w:p>
    <w:p>
      <w:pPr>
        <w:pStyle w:val="8"/>
        <w:numPr>
          <w:ilvl w:val="2"/>
          <w:numId w:val="116"/>
        </w:numPr>
        <w:tabs>
          <w:tab w:val="left" w:pos="1320"/>
        </w:tabs>
        <w:spacing w:before="2" w:after="0" w:line="240" w:lineRule="auto"/>
        <w:ind w:left="1320" w:right="0" w:hanging="720"/>
        <w:jc w:val="left"/>
        <w:rPr>
          <w:rFonts w:ascii="Times New Roman" w:eastAsia="Times New Roman"/>
        </w:rPr>
      </w:pPr>
      <w:bookmarkStart w:id="799" w:name="15.3.3 地下水环境"/>
      <w:bookmarkEnd w:id="799"/>
      <w:bookmarkStart w:id="800" w:name="15.3.3 地下水环境"/>
      <w:bookmarkEnd w:id="800"/>
      <w:r>
        <w:t>地下水环境</w:t>
      </w:r>
    </w:p>
    <w:p>
      <w:pPr>
        <w:pStyle w:val="9"/>
        <w:spacing w:before="108" w:line="364" w:lineRule="auto"/>
        <w:ind w:left="600" w:right="897" w:firstLine="480"/>
        <w:jc w:val="both"/>
      </w:pPr>
      <w:r>
        <w:rPr>
          <w:spacing w:val="-6"/>
        </w:rPr>
        <w:t>本项目地下水污染防控方案主要为分区防渗措施：将工业场地区划分为重点</w:t>
      </w:r>
      <w:r>
        <w:rPr>
          <w:spacing w:val="-7"/>
        </w:rPr>
        <w:t>污染防治区和一般污染防治区，将临时排矸场区域及生活污水处理站、矿井水处理站等区域划分为重点防治区域，对这些区域的地面做防渗处理，防止污染物下</w:t>
      </w:r>
      <w:r>
        <w:rPr>
          <w:spacing w:val="-9"/>
        </w:rPr>
        <w:t>渗造成地下水污染。其它区域划分为一般污染防治区域，对这些区域仅做一般的</w:t>
      </w:r>
      <w:r>
        <w:t>硬化处理。为防止项目对地下水产生污染，场区拟采取以下分区防渗措施：</w:t>
      </w:r>
    </w:p>
    <w:p>
      <w:pPr>
        <w:pStyle w:val="9"/>
        <w:spacing w:line="303" w:lineRule="exact"/>
        <w:ind w:left="1080"/>
      </w:pPr>
      <w:r>
        <w:t>将项目分为重点防渗区、一般防渗区。</w:t>
      </w:r>
    </w:p>
    <w:p>
      <w:pPr>
        <w:pStyle w:val="9"/>
        <w:spacing w:before="161" w:line="362" w:lineRule="auto"/>
        <w:ind w:left="600" w:right="900" w:firstLine="480"/>
      </w:pPr>
      <w:r>
        <w:rPr>
          <w:rFonts w:ascii="Times New Roman" w:hAnsi="Times New Roman" w:eastAsia="Times New Roman"/>
        </w:rPr>
        <w:t>1</w:t>
      </w:r>
      <w:r>
        <w:t xml:space="preserve">、重点防渗区为工业广场矸石山和其生活区污水处理站及化粪池、矿井水处理站，需满足等效黏土防渗层 </w:t>
      </w:r>
      <w:r>
        <w:rPr>
          <w:rFonts w:ascii="Times New Roman" w:hAnsi="Times New Roman" w:eastAsia="Times New Roman"/>
        </w:rPr>
        <w:t>Mb≥6.0m</w:t>
      </w:r>
      <w:r>
        <w:t>，</w:t>
      </w:r>
      <w:r>
        <w:rPr>
          <w:rFonts w:ascii="Times New Roman" w:hAnsi="Times New Roman" w:eastAsia="Times New Roman"/>
        </w:rPr>
        <w:t>K≤1×10</w:t>
      </w:r>
      <w:r>
        <w:rPr>
          <w:rFonts w:ascii="Times New Roman" w:hAnsi="Times New Roman" w:eastAsia="Times New Roman"/>
          <w:position w:val="8"/>
          <w:sz w:val="15"/>
        </w:rPr>
        <w:t>-7</w:t>
      </w:r>
      <w:r>
        <w:rPr>
          <w:rFonts w:ascii="Times New Roman" w:hAnsi="Times New Roman" w:eastAsia="Times New Roman"/>
        </w:rPr>
        <w:t xml:space="preserve">cm/s </w:t>
      </w:r>
      <w:r>
        <w:t>的要求。</w:t>
      </w:r>
    </w:p>
    <w:p>
      <w:pPr>
        <w:pStyle w:val="9"/>
        <w:spacing w:before="5" w:line="362" w:lineRule="auto"/>
        <w:ind w:left="600" w:right="897" w:firstLine="480"/>
      </w:pPr>
      <w:r>
        <w:rPr>
          <w:rFonts w:ascii="Times New Roman" w:hAnsi="Times New Roman" w:eastAsia="Times New Roman"/>
        </w:rPr>
        <w:t xml:space="preserve">2 </w:t>
      </w:r>
      <w:r>
        <w:t xml:space="preserve">、一般防渗区为储煤场等区域， 需满足等效黏土防渗层 </w:t>
      </w:r>
      <w:r>
        <w:rPr>
          <w:rFonts w:ascii="Times New Roman" w:hAnsi="Times New Roman" w:eastAsia="Times New Roman"/>
        </w:rPr>
        <w:t>Mb≥1.5m</w:t>
      </w:r>
      <w:r>
        <w:t xml:space="preserve">， </w:t>
      </w:r>
      <w:r>
        <w:rPr>
          <w:rFonts w:ascii="Times New Roman" w:hAnsi="Times New Roman" w:eastAsia="Times New Roman"/>
        </w:rPr>
        <w:t>K≤1×10</w:t>
      </w:r>
      <w:r>
        <w:rPr>
          <w:rFonts w:ascii="Times New Roman" w:hAnsi="Times New Roman" w:eastAsia="Times New Roman"/>
          <w:position w:val="8"/>
          <w:sz w:val="15"/>
        </w:rPr>
        <w:t>-7</w:t>
      </w:r>
      <w:r>
        <w:rPr>
          <w:rFonts w:ascii="Times New Roman" w:hAnsi="Times New Roman" w:eastAsia="Times New Roman"/>
        </w:rPr>
        <w:t xml:space="preserve">cm/s </w:t>
      </w:r>
      <w:r>
        <w:t>的要求。</w:t>
      </w:r>
    </w:p>
    <w:p>
      <w:pPr>
        <w:pStyle w:val="9"/>
        <w:spacing w:before="4"/>
        <w:ind w:left="1080"/>
      </w:pPr>
      <w:r>
        <w:rPr>
          <w:rFonts w:ascii="Times New Roman" w:eastAsia="Times New Roman"/>
        </w:rPr>
        <w:t>3</w:t>
      </w:r>
      <w:r>
        <w:t>、简单防渗区</w:t>
      </w:r>
    </w:p>
    <w:p>
      <w:pPr>
        <w:pStyle w:val="9"/>
        <w:spacing w:before="159" w:line="364" w:lineRule="auto"/>
        <w:ind w:left="600" w:right="895" w:firstLine="480"/>
      </w:pPr>
      <w:r>
        <w:rPr>
          <w:spacing w:val="-7"/>
        </w:rPr>
        <w:t>简单防渗区为厂区道路、综合办公区域、变电所和职工宿舍大楼等区域，进</w:t>
      </w:r>
      <w:r>
        <w:t>行一般地面硬化。</w:t>
      </w:r>
    </w:p>
    <w:p>
      <w:pPr>
        <w:pStyle w:val="8"/>
        <w:numPr>
          <w:ilvl w:val="2"/>
          <w:numId w:val="116"/>
        </w:numPr>
        <w:tabs>
          <w:tab w:val="left" w:pos="1320"/>
        </w:tabs>
        <w:spacing w:before="104" w:after="0" w:line="240" w:lineRule="auto"/>
        <w:ind w:left="1320" w:right="0" w:hanging="720"/>
        <w:jc w:val="left"/>
        <w:rPr>
          <w:rFonts w:ascii="Times New Roman" w:eastAsia="Times New Roman"/>
        </w:rPr>
      </w:pPr>
      <w:bookmarkStart w:id="801" w:name="15.3.4 声环境"/>
      <w:bookmarkEnd w:id="801"/>
      <w:bookmarkStart w:id="802" w:name="15.3.4 声环境"/>
      <w:bookmarkEnd w:id="802"/>
      <w:r>
        <w:t>声环境</w:t>
      </w:r>
    </w:p>
    <w:p>
      <w:pPr>
        <w:pStyle w:val="9"/>
        <w:spacing w:before="187" w:line="364" w:lineRule="auto"/>
        <w:ind w:left="600" w:right="805" w:firstLine="480"/>
      </w:pPr>
      <w:r>
        <w:rPr>
          <w:spacing w:val="-6"/>
        </w:rPr>
        <w:t>本项目主要噪声源相对较集中。在主井皮带机、空压机房、通风机房、锅炉</w:t>
      </w:r>
      <w:r>
        <w:rPr>
          <w:spacing w:val="-7"/>
        </w:rPr>
        <w:t xml:space="preserve">房等所增加的噪声设备经采用消声减震措施后，再经建筑物的隔声和距离衰减， </w:t>
      </w:r>
      <w:r>
        <w:t>项目建成后对周围环境影响较小；运输线路通过减速行驶、禁止鸣笛等措施。</w:t>
      </w:r>
    </w:p>
    <w:p>
      <w:pPr>
        <w:pStyle w:val="8"/>
        <w:numPr>
          <w:ilvl w:val="2"/>
          <w:numId w:val="116"/>
        </w:numPr>
        <w:tabs>
          <w:tab w:val="left" w:pos="1320"/>
        </w:tabs>
        <w:spacing w:before="28" w:after="0" w:line="240" w:lineRule="auto"/>
        <w:ind w:left="1320" w:right="0" w:hanging="720"/>
        <w:jc w:val="left"/>
        <w:rPr>
          <w:rFonts w:ascii="Times New Roman" w:eastAsia="Times New Roman"/>
        </w:rPr>
      </w:pPr>
      <w:bookmarkStart w:id="803" w:name="15.3.5 固体废物"/>
      <w:bookmarkEnd w:id="803"/>
      <w:bookmarkStart w:id="804" w:name="15.3.5 固体废物"/>
      <w:bookmarkEnd w:id="804"/>
      <w:r>
        <w:t>固体废物</w:t>
      </w:r>
    </w:p>
    <w:p>
      <w:pPr>
        <w:pStyle w:val="9"/>
        <w:spacing w:before="187" w:line="364" w:lineRule="auto"/>
        <w:ind w:left="600" w:right="897" w:firstLine="482"/>
        <w:jc w:val="both"/>
      </w:pPr>
      <w:r>
        <w:rPr>
          <w:spacing w:val="-5"/>
        </w:rPr>
        <w:t>本项目产生生活垃圾集中收集按环卫部门要求统一处理；矸石回填采空区和</w:t>
      </w:r>
      <w:r>
        <w:rPr>
          <w:spacing w:val="-1"/>
        </w:rPr>
        <w:t xml:space="preserve">塌陷区、修路；矿井水污泥主要为矿进水中的煤末，年产生量为 </w:t>
      </w:r>
      <w:r>
        <w:rPr>
          <w:rFonts w:ascii="Times New Roman" w:eastAsia="Times New Roman"/>
        </w:rPr>
        <w:t>1500t/a</w:t>
      </w:r>
      <w:r>
        <w:t>，压滤后外售；废机油委托有资质的单位处理。</w:t>
      </w:r>
    </w:p>
    <w:p>
      <w:pPr>
        <w:pStyle w:val="8"/>
        <w:numPr>
          <w:ilvl w:val="2"/>
          <w:numId w:val="116"/>
        </w:numPr>
        <w:tabs>
          <w:tab w:val="left" w:pos="1320"/>
        </w:tabs>
        <w:spacing w:before="28" w:after="0" w:line="240" w:lineRule="auto"/>
        <w:ind w:left="1320" w:right="0" w:hanging="720"/>
        <w:jc w:val="left"/>
        <w:rPr>
          <w:rFonts w:ascii="Times New Roman" w:eastAsia="Times New Roman"/>
        </w:rPr>
      </w:pPr>
      <w:bookmarkStart w:id="805" w:name="15.3.6 生态环境"/>
      <w:bookmarkEnd w:id="805"/>
      <w:bookmarkStart w:id="806" w:name="15.3.6 生态环境"/>
      <w:bookmarkEnd w:id="806"/>
      <w:r>
        <w:t>生态环境</w:t>
      </w:r>
    </w:p>
    <w:p>
      <w:pPr>
        <w:pStyle w:val="9"/>
        <w:spacing w:before="105" w:line="364" w:lineRule="auto"/>
        <w:ind w:left="600" w:right="925" w:firstLine="460"/>
      </w:pPr>
      <w:r>
        <w:rPr>
          <w:spacing w:val="-6"/>
        </w:rPr>
        <w:t>严格按照项目设计提出的保护煤柱留设方案采煤，禁止越界开采；制定地表</w:t>
      </w:r>
      <w:r>
        <w:rPr>
          <w:spacing w:val="-9"/>
        </w:rPr>
        <w:t>移动和岩移观测计划，制定生态监测计划，在此基础上，实施土地复垦规划。按</w:t>
      </w:r>
    </w:p>
    <w:p>
      <w:pPr>
        <w:spacing w:after="0" w:line="364" w:lineRule="auto"/>
        <w:sectPr>
          <w:pgSz w:w="11910" w:h="16840"/>
          <w:pgMar w:top="1480" w:right="900" w:bottom="1180" w:left="1200" w:header="0" w:footer="993" w:gutter="0"/>
        </w:sectPr>
      </w:pPr>
    </w:p>
    <w:p>
      <w:pPr>
        <w:pStyle w:val="9"/>
        <w:spacing w:before="43" w:line="364" w:lineRule="auto"/>
        <w:ind w:left="600" w:right="925"/>
      </w:pPr>
      <w:r>
        <w:rPr>
          <w:spacing w:val="-15"/>
        </w:rPr>
        <w:t>照批复的</w:t>
      </w:r>
      <w:r>
        <w:fldChar w:fldCharType="begin"/>
      </w:r>
      <w:r>
        <w:instrText xml:space="preserve"> HYPERLINK "https://www.baidu.com/link?url=P3YNckVMbEtkFFl-ifUXUzeJJj39wzUL9xezTa4qQc9euLjhWXtSxIAj1yc8BVZTbe3satEp8qUuHKdPV0nOe_&amp;amp;wd&amp;amp;eqid=f27a657500122e1c000000035f3d4fe3" \h </w:instrText>
      </w:r>
      <w:r>
        <w:fldChar w:fldCharType="separate"/>
      </w:r>
      <w:r>
        <w:t>《矿山地质环境保护与土地复垦方案</w:t>
      </w:r>
      <w:r>
        <w:fldChar w:fldCharType="end"/>
      </w:r>
      <w:r>
        <w:rPr>
          <w:spacing w:val="-9"/>
        </w:rPr>
        <w:t>》开展土地复垦工作和矿区生态恢</w:t>
      </w:r>
      <w:r>
        <w:t>复工作。</w:t>
      </w:r>
    </w:p>
    <w:p>
      <w:pPr>
        <w:pStyle w:val="6"/>
        <w:numPr>
          <w:ilvl w:val="1"/>
          <w:numId w:val="116"/>
        </w:numPr>
        <w:tabs>
          <w:tab w:val="left" w:pos="1229"/>
        </w:tabs>
        <w:spacing w:before="0" w:after="0" w:line="358" w:lineRule="exact"/>
        <w:ind w:left="1228" w:right="0" w:hanging="629"/>
        <w:jc w:val="left"/>
        <w:rPr>
          <w:rFonts w:ascii="Times New Roman" w:eastAsia="Times New Roman"/>
        </w:rPr>
      </w:pPr>
      <w:bookmarkStart w:id="807" w:name="_bookmark90"/>
      <w:bookmarkEnd w:id="807"/>
      <w:bookmarkStart w:id="808" w:name="15.4 主要环境影响"/>
      <w:bookmarkEnd w:id="808"/>
      <w:bookmarkStart w:id="809" w:name="_bookmark90"/>
      <w:bookmarkEnd w:id="809"/>
      <w:r>
        <w:t>主要环境影响</w:t>
      </w:r>
    </w:p>
    <w:p>
      <w:pPr>
        <w:pStyle w:val="9"/>
        <w:spacing w:before="8"/>
        <w:rPr>
          <w:b/>
          <w:sz w:val="22"/>
        </w:rPr>
      </w:pPr>
    </w:p>
    <w:p>
      <w:pPr>
        <w:pStyle w:val="8"/>
        <w:numPr>
          <w:ilvl w:val="2"/>
          <w:numId w:val="116"/>
        </w:numPr>
        <w:tabs>
          <w:tab w:val="left" w:pos="1320"/>
        </w:tabs>
        <w:spacing w:before="1" w:after="0" w:line="240" w:lineRule="auto"/>
        <w:ind w:left="1320" w:right="0" w:hanging="720"/>
        <w:jc w:val="left"/>
        <w:rPr>
          <w:rFonts w:ascii="Times New Roman" w:eastAsia="Times New Roman"/>
        </w:rPr>
      </w:pPr>
      <w:bookmarkStart w:id="810" w:name="15.4.1 大气环境影响分析"/>
      <w:bookmarkEnd w:id="810"/>
      <w:bookmarkStart w:id="811" w:name="15.4.1 大气环境影响分析"/>
      <w:bookmarkEnd w:id="811"/>
      <w:r>
        <w:t>大气环境影响分析</w:t>
      </w:r>
    </w:p>
    <w:p>
      <w:pPr>
        <w:pStyle w:val="9"/>
        <w:spacing w:before="104" w:line="362" w:lineRule="auto"/>
        <w:ind w:left="600" w:right="772" w:firstLine="480"/>
      </w:pPr>
      <w:r>
        <w:rPr>
          <w:spacing w:val="-8"/>
          <w:position w:val="2"/>
        </w:rPr>
        <w:t>本项目服务期，工业广场和锅炉房排放的烟尘、</w:t>
      </w:r>
      <w:r>
        <w:rPr>
          <w:rFonts w:ascii="Times New Roman" w:eastAsia="Times New Roman"/>
          <w:position w:val="2"/>
        </w:rPr>
        <w:t>SO</w:t>
      </w:r>
      <w:r>
        <w:rPr>
          <w:rFonts w:ascii="Times New Roman" w:eastAsia="Times New Roman"/>
          <w:position w:val="2"/>
          <w:vertAlign w:val="subscript"/>
        </w:rPr>
        <w:t>2</w:t>
      </w:r>
      <w:r>
        <w:rPr>
          <w:rFonts w:ascii="Times New Roman" w:eastAsia="Times New Roman"/>
          <w:position w:val="2"/>
          <w:vertAlign w:val="baseline"/>
        </w:rPr>
        <w:t xml:space="preserve"> </w:t>
      </w:r>
      <w:r>
        <w:rPr>
          <w:spacing w:val="-30"/>
          <w:position w:val="2"/>
          <w:vertAlign w:val="baseline"/>
        </w:rPr>
        <w:t xml:space="preserve">和 </w:t>
      </w:r>
      <w:r>
        <w:rPr>
          <w:rFonts w:ascii="Times New Roman" w:eastAsia="Times New Roman"/>
          <w:position w:val="2"/>
          <w:vertAlign w:val="baseline"/>
        </w:rPr>
        <w:t>NO</w:t>
      </w:r>
      <w:r>
        <w:rPr>
          <w:rFonts w:ascii="Times New Roman" w:eastAsia="Times New Roman"/>
          <w:position w:val="2"/>
          <w:vertAlign w:val="subscript"/>
        </w:rPr>
        <w:t>2</w:t>
      </w:r>
      <w:r>
        <w:rPr>
          <w:rFonts w:ascii="Times New Roman" w:eastAsia="Times New Roman"/>
          <w:position w:val="2"/>
          <w:vertAlign w:val="baseline"/>
        </w:rPr>
        <w:t xml:space="preserve"> </w:t>
      </w:r>
      <w:r>
        <w:rPr>
          <w:position w:val="2"/>
          <w:vertAlign w:val="baseline"/>
        </w:rPr>
        <w:t>最大落地浓度均</w:t>
      </w:r>
      <w:r>
        <w:rPr>
          <w:vertAlign w:val="baseline"/>
        </w:rPr>
        <w:t>低于《锅炉大气污染物排放标准》（</w:t>
      </w:r>
      <w:r>
        <w:rPr>
          <w:rFonts w:ascii="Times New Roman" w:eastAsia="Times New Roman"/>
          <w:vertAlign w:val="baseline"/>
        </w:rPr>
        <w:t>GB13271-2014</w:t>
      </w:r>
      <w:r>
        <w:rPr>
          <w:vertAlign w:val="baseline"/>
        </w:rPr>
        <w:t>）标准限值要求，对所在区</w:t>
      </w:r>
      <w:r>
        <w:rPr>
          <w:spacing w:val="-12"/>
          <w:position w:val="2"/>
          <w:vertAlign w:val="baseline"/>
        </w:rPr>
        <w:t>域的环境空气质量影响较小；热风炉大气污染物颗粒物、</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 xml:space="preserve"> </w:t>
      </w:r>
      <w:r>
        <w:rPr>
          <w:spacing w:val="-11"/>
          <w:position w:val="2"/>
          <w:vertAlign w:val="baseline"/>
        </w:rPr>
        <w:t>排放浓度可满足《工</w:t>
      </w:r>
      <w:r>
        <w:rPr>
          <w:spacing w:val="-11"/>
          <w:vertAlign w:val="baseline"/>
        </w:rPr>
        <w:t>业炉窑大气污染物排放标准》</w:t>
      </w:r>
      <w:r>
        <w:rPr>
          <w:vertAlign w:val="baseline"/>
        </w:rPr>
        <w:t>（</w:t>
      </w:r>
      <w:r>
        <w:rPr>
          <w:rFonts w:ascii="Times New Roman" w:eastAsia="Times New Roman"/>
          <w:vertAlign w:val="baseline"/>
        </w:rPr>
        <w:t>GB9078-1996</w:t>
      </w:r>
      <w:r>
        <w:rPr>
          <w:vertAlign w:val="baseline"/>
        </w:rPr>
        <w:t>）</w:t>
      </w:r>
      <w:r>
        <w:rPr>
          <w:spacing w:val="-21"/>
          <w:vertAlign w:val="baseline"/>
        </w:rPr>
        <w:t xml:space="preserve">中表 </w:t>
      </w:r>
      <w:r>
        <w:rPr>
          <w:rFonts w:ascii="Times New Roman" w:eastAsia="Times New Roman"/>
          <w:vertAlign w:val="baseline"/>
        </w:rPr>
        <w:t xml:space="preserve">2 </w:t>
      </w:r>
      <w:r>
        <w:rPr>
          <w:spacing w:val="-20"/>
          <w:vertAlign w:val="baseline"/>
        </w:rPr>
        <w:t xml:space="preserve">及表 </w:t>
      </w:r>
      <w:r>
        <w:rPr>
          <w:rFonts w:ascii="Times New Roman" w:eastAsia="Times New Roman"/>
          <w:vertAlign w:val="baseline"/>
        </w:rPr>
        <w:t xml:space="preserve">4 </w:t>
      </w:r>
      <w:r>
        <w:rPr>
          <w:spacing w:val="-16"/>
          <w:vertAlign w:val="baseline"/>
        </w:rPr>
        <w:t xml:space="preserve">中烟尘 </w:t>
      </w:r>
      <w:r>
        <w:rPr>
          <w:rFonts w:ascii="Times New Roman" w:eastAsia="Times New Roman"/>
          <w:vertAlign w:val="baseline"/>
        </w:rPr>
        <w:t>200mg/m</w:t>
      </w:r>
      <w:r>
        <w:rPr>
          <w:rFonts w:ascii="Times New Roman" w:eastAsia="Times New Roman"/>
          <w:position w:val="8"/>
          <w:sz w:val="15"/>
          <w:vertAlign w:val="baseline"/>
        </w:rPr>
        <w:t>3</w:t>
      </w:r>
      <w:r>
        <w:rPr>
          <w:spacing w:val="-1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850mg/m</w:t>
      </w:r>
      <w:r>
        <w:rPr>
          <w:rFonts w:ascii="Times New Roman" w:eastAsia="Times New Roman"/>
          <w:position w:val="2"/>
          <w:vertAlign w:val="superscript"/>
        </w:rPr>
        <w:t>3</w:t>
      </w:r>
      <w:r>
        <w:rPr>
          <w:rFonts w:ascii="Times New Roman" w:eastAsia="Times New Roman"/>
          <w:position w:val="2"/>
          <w:vertAlign w:val="baseline"/>
        </w:rPr>
        <w:t xml:space="preserve"> </w:t>
      </w:r>
      <w:r>
        <w:rPr>
          <w:spacing w:val="-7"/>
          <w:position w:val="2"/>
          <w:vertAlign w:val="baseline"/>
        </w:rPr>
        <w:t>的标准限值要求；筛分车间设置一套布袋除尘器，经布袋除尘器收</w:t>
      </w:r>
      <w:r>
        <w:rPr>
          <w:spacing w:val="-13"/>
          <w:vertAlign w:val="baseline"/>
        </w:rPr>
        <w:t xml:space="preserve">处理后由排气筒排放，除尘器除尘效率 </w:t>
      </w:r>
      <w:r>
        <w:rPr>
          <w:rFonts w:ascii="Times New Roman" w:eastAsia="Times New Roman"/>
          <w:spacing w:val="-10"/>
          <w:vertAlign w:val="baseline"/>
        </w:rPr>
        <w:t>99%</w:t>
      </w:r>
      <w:r>
        <w:rPr>
          <w:spacing w:val="-8"/>
          <w:vertAlign w:val="baseline"/>
        </w:rPr>
        <w:t>，颗粒物可满足《煤炭工业污染物排</w:t>
      </w:r>
      <w:r>
        <w:rPr>
          <w:spacing w:val="-1"/>
          <w:vertAlign w:val="baseline"/>
        </w:rPr>
        <w:t>放标准》</w:t>
      </w:r>
      <w:r>
        <w:rPr>
          <w:vertAlign w:val="baseline"/>
        </w:rPr>
        <w:t>（</w:t>
      </w:r>
      <w:r>
        <w:rPr>
          <w:rFonts w:ascii="Times New Roman" w:eastAsia="Times New Roman"/>
          <w:vertAlign w:val="baseline"/>
        </w:rPr>
        <w:t>GB20426-2006</w:t>
      </w:r>
      <w:r>
        <w:rPr>
          <w:vertAlign w:val="baseline"/>
        </w:rPr>
        <w:t>）</w:t>
      </w:r>
      <w:r>
        <w:rPr>
          <w:spacing w:val="-25"/>
          <w:vertAlign w:val="baseline"/>
        </w:rPr>
        <w:t xml:space="preserve">表 </w:t>
      </w:r>
      <w:r>
        <w:rPr>
          <w:rFonts w:ascii="Times New Roman" w:eastAsia="Times New Roman"/>
          <w:vertAlign w:val="baseline"/>
        </w:rPr>
        <w:t xml:space="preserve">4 </w:t>
      </w:r>
      <w:r>
        <w:rPr>
          <w:vertAlign w:val="baseline"/>
        </w:rPr>
        <w:t>及标准限值，在采取本评价提出的严格抑尘措</w:t>
      </w:r>
      <w:r>
        <w:rPr>
          <w:spacing w:val="23"/>
          <w:vertAlign w:val="baseline"/>
        </w:rPr>
        <w:t>施后， 本项目扬尘较小。油烟排放浓度满足《饮食业油烟排放标准》</w:t>
      </w:r>
    </w:p>
    <w:p>
      <w:pPr>
        <w:pStyle w:val="9"/>
        <w:spacing w:before="10" w:line="364" w:lineRule="auto"/>
        <w:ind w:left="600" w:right="895"/>
        <w:jc w:val="both"/>
      </w:pPr>
      <w:r>
        <w:t>（</w:t>
      </w:r>
      <w:r>
        <w:rPr>
          <w:rFonts w:ascii="Times New Roman" w:eastAsia="Times New Roman"/>
        </w:rPr>
        <w:t>GB18483-2001</w:t>
      </w:r>
      <w:r>
        <w:t>）</w:t>
      </w:r>
      <w:r>
        <w:rPr>
          <w:spacing w:val="-8"/>
        </w:rPr>
        <w:t xml:space="preserve">最高允许排放浓度 </w:t>
      </w:r>
      <w:r>
        <w:rPr>
          <w:rFonts w:ascii="Times New Roman" w:eastAsia="Times New Roman"/>
        </w:rPr>
        <w:t>2.0mg/m</w:t>
      </w:r>
      <w:r>
        <w:rPr>
          <w:rFonts w:ascii="Times New Roman" w:eastAsia="Times New Roman"/>
          <w:position w:val="8"/>
          <w:sz w:val="15"/>
        </w:rPr>
        <w:t>3</w:t>
      </w:r>
      <w:r>
        <w:rPr>
          <w:spacing w:val="-7"/>
        </w:rPr>
        <w:t xml:space="preserve">，该废气净化后经 </w:t>
      </w:r>
      <w:r>
        <w:rPr>
          <w:rFonts w:ascii="Times New Roman" w:eastAsia="Times New Roman"/>
        </w:rPr>
        <w:t xml:space="preserve">15m </w:t>
      </w:r>
      <w:r>
        <w:rPr>
          <w:spacing w:val="-3"/>
        </w:rPr>
        <w:t>高排气筒</w:t>
      </w:r>
      <w:r>
        <w:rPr>
          <w:spacing w:val="-9"/>
        </w:rPr>
        <w:t>可以达标排放，减少了对周围环境空气的影响。总体来说，本项目对评价区域环</w:t>
      </w:r>
      <w:r>
        <w:t>境空气质量影响很小，排放的大气污染物可被现有环境所接受。</w:t>
      </w:r>
    </w:p>
    <w:p>
      <w:pPr>
        <w:pStyle w:val="8"/>
        <w:numPr>
          <w:ilvl w:val="2"/>
          <w:numId w:val="116"/>
        </w:numPr>
        <w:tabs>
          <w:tab w:val="left" w:pos="1320"/>
        </w:tabs>
        <w:spacing w:before="105" w:after="0" w:line="240" w:lineRule="auto"/>
        <w:ind w:left="1320" w:right="0" w:hanging="720"/>
        <w:jc w:val="both"/>
        <w:rPr>
          <w:rFonts w:ascii="Times New Roman" w:eastAsia="Times New Roman"/>
        </w:rPr>
      </w:pPr>
      <w:bookmarkStart w:id="812" w:name="15.4.2 地表水环境影响分析"/>
      <w:bookmarkEnd w:id="812"/>
      <w:bookmarkStart w:id="813" w:name="15.4.2 地表水环境影响分析"/>
      <w:bookmarkEnd w:id="813"/>
      <w:r>
        <w:t>地表水环境影响分析</w:t>
      </w:r>
    </w:p>
    <w:p>
      <w:pPr>
        <w:pStyle w:val="9"/>
        <w:spacing w:before="211" w:line="405" w:lineRule="auto"/>
        <w:ind w:left="600" w:right="897" w:firstLine="480"/>
      </w:pPr>
      <w:r>
        <w:rPr>
          <w:spacing w:val="-7"/>
        </w:rPr>
        <w:t>本项目生活污水经处理后全部回用，不外排，不会对地表水环境造成不利影</w:t>
      </w:r>
      <w:r>
        <w:t>响。</w:t>
      </w:r>
    </w:p>
    <w:p>
      <w:pPr>
        <w:pStyle w:val="9"/>
        <w:spacing w:line="283" w:lineRule="exact"/>
        <w:ind w:left="1080"/>
      </w:pPr>
      <w:r>
        <w:t>采煤废水采用混凝、沉淀、过滤、消毒处理工艺后，排放入安邦河，外排废</w:t>
      </w:r>
    </w:p>
    <w:p>
      <w:pPr>
        <w:pStyle w:val="9"/>
        <w:spacing w:before="160" w:line="364" w:lineRule="auto"/>
        <w:ind w:left="600" w:right="895"/>
        <w:jc w:val="both"/>
      </w:pPr>
      <w:r>
        <w:rPr>
          <w:spacing w:val="-2"/>
        </w:rPr>
        <w:t>水水质能满足《煤炭工业污染物排放标准》</w:t>
      </w:r>
      <w:r>
        <w:t>（</w:t>
      </w:r>
      <w:r>
        <w:rPr>
          <w:rFonts w:ascii="Times New Roman" w:hAnsi="Times New Roman" w:eastAsia="Times New Roman"/>
        </w:rPr>
        <w:t>GB20426-2006</w:t>
      </w:r>
      <w:r>
        <w:t>）</w:t>
      </w:r>
      <w:r>
        <w:rPr>
          <w:spacing w:val="-31"/>
        </w:rPr>
        <w:t xml:space="preserve">表 </w:t>
      </w:r>
      <w:r>
        <w:rPr>
          <w:rFonts w:ascii="Times New Roman" w:hAnsi="Times New Roman" w:eastAsia="Times New Roman"/>
        </w:rPr>
        <w:t>1</w:t>
      </w:r>
      <w:r>
        <w:rPr>
          <w:spacing w:val="-5"/>
        </w:rPr>
        <w:t>、</w:t>
      </w:r>
      <w:r>
        <w:rPr>
          <w:rFonts w:ascii="Times New Roman" w:hAnsi="Times New Roman" w:eastAsia="Times New Roman"/>
        </w:rPr>
        <w:t xml:space="preserve">2 </w:t>
      </w:r>
      <w:r>
        <w:rPr>
          <w:spacing w:val="-4"/>
        </w:rPr>
        <w:t>标准限值</w:t>
      </w:r>
      <w:r>
        <w:rPr>
          <w:spacing w:val="-3"/>
        </w:rPr>
        <w:t>的要求及《地表水环境质量标准》</w:t>
      </w:r>
      <w:r>
        <w:t>（</w:t>
      </w:r>
      <w:r>
        <w:rPr>
          <w:rFonts w:ascii="Times New Roman" w:hAnsi="Times New Roman" w:eastAsia="Times New Roman"/>
        </w:rPr>
        <w:t>GB3838-2002</w:t>
      </w:r>
      <w:r>
        <w:t>）</w:t>
      </w:r>
      <w:r>
        <w:rPr>
          <w:spacing w:val="-3"/>
        </w:rPr>
        <w:t>中Ⅱ类标准限值，不会对地</w:t>
      </w:r>
      <w:r>
        <w:t>表水环境造成不利影响。</w:t>
      </w:r>
    </w:p>
    <w:p>
      <w:pPr>
        <w:pStyle w:val="8"/>
        <w:numPr>
          <w:ilvl w:val="2"/>
          <w:numId w:val="116"/>
        </w:numPr>
        <w:tabs>
          <w:tab w:val="left" w:pos="1320"/>
        </w:tabs>
        <w:spacing w:before="29" w:after="0" w:line="240" w:lineRule="auto"/>
        <w:ind w:left="1320" w:right="0" w:hanging="720"/>
        <w:jc w:val="both"/>
        <w:rPr>
          <w:rFonts w:ascii="Times New Roman" w:eastAsia="Times New Roman"/>
        </w:rPr>
      </w:pPr>
      <w:bookmarkStart w:id="814" w:name="15.4.3 地下水环境影响分析"/>
      <w:bookmarkEnd w:id="814"/>
      <w:bookmarkStart w:id="815" w:name="15.4.3 地下水环境影响分析"/>
      <w:bookmarkEnd w:id="815"/>
      <w:r>
        <w:t>地下水环境影响分析</w:t>
      </w:r>
    </w:p>
    <w:p>
      <w:pPr>
        <w:pStyle w:val="9"/>
        <w:spacing w:before="184" w:line="364" w:lineRule="auto"/>
        <w:ind w:left="600" w:right="777" w:firstLine="480"/>
      </w:pPr>
      <w:r>
        <w:rPr>
          <w:spacing w:val="-3"/>
        </w:rPr>
        <w:t>建设项目对地下水的污染主要来自污水处理站下渗对地下水造成的污染，本</w:t>
      </w:r>
      <w:r>
        <w:rPr>
          <w:spacing w:val="-7"/>
        </w:rPr>
        <w:t>工程污水处理构筑物及污水管道均采取了防渗处理措施，在运行期间，通过加强</w:t>
      </w:r>
      <w:r>
        <w:rPr>
          <w:spacing w:val="-17"/>
        </w:rPr>
        <w:t xml:space="preserve">管理，严防污染物的跑、冒、滴、漏，将污染物渗漏的环境风险事故降到最低限， </w:t>
      </w:r>
      <w:r>
        <w:t>通过预测结果可以看出本工程污染物渗漏对地下水水质影响较小。</w:t>
      </w:r>
    </w:p>
    <w:p>
      <w:pPr>
        <w:pStyle w:val="8"/>
        <w:numPr>
          <w:ilvl w:val="2"/>
          <w:numId w:val="116"/>
        </w:numPr>
        <w:tabs>
          <w:tab w:val="left" w:pos="1320"/>
        </w:tabs>
        <w:spacing w:before="29" w:after="0" w:line="240" w:lineRule="auto"/>
        <w:ind w:left="1320" w:right="0" w:hanging="720"/>
        <w:jc w:val="left"/>
        <w:rPr>
          <w:rFonts w:ascii="Times New Roman" w:eastAsia="Times New Roman"/>
        </w:rPr>
      </w:pPr>
      <w:bookmarkStart w:id="816" w:name="15.4.4 声环境影响分析"/>
      <w:bookmarkEnd w:id="816"/>
      <w:bookmarkStart w:id="817" w:name="15.4.4 声环境影响分析"/>
      <w:bookmarkEnd w:id="817"/>
      <w:r>
        <w:t>声环境影响分析</w:t>
      </w:r>
    </w:p>
    <w:p>
      <w:pPr>
        <w:pStyle w:val="9"/>
        <w:spacing w:before="187"/>
        <w:ind w:left="1080"/>
      </w:pPr>
      <w:r>
        <w:t>本项目竣工后噪声可以满足《工业企业厂界环境噪声排放标准》</w:t>
      </w:r>
    </w:p>
    <w:p>
      <w:pPr>
        <w:spacing w:after="0"/>
        <w:sectPr>
          <w:pgSz w:w="11910" w:h="16840"/>
          <w:pgMar w:top="1380" w:right="900" w:bottom="1180" w:left="1200" w:header="0" w:footer="993" w:gutter="0"/>
        </w:sectPr>
      </w:pPr>
    </w:p>
    <w:p>
      <w:pPr>
        <w:pStyle w:val="9"/>
        <w:spacing w:before="62" w:line="364" w:lineRule="auto"/>
        <w:ind w:left="1080" w:right="991" w:hanging="480"/>
      </w:pPr>
      <w:r>
        <w:t>（</w:t>
      </w:r>
      <w:r>
        <w:rPr>
          <w:rFonts w:ascii="Times New Roman" w:eastAsia="Times New Roman"/>
        </w:rPr>
        <w:t>GB12348-2008</w:t>
      </w:r>
      <w:r>
        <w:t>）</w:t>
      </w:r>
      <w:r>
        <w:rPr>
          <w:spacing w:val="-31"/>
        </w:rPr>
        <w:t xml:space="preserve">表 </w:t>
      </w:r>
      <w:r>
        <w:rPr>
          <w:rFonts w:ascii="Times New Roman" w:eastAsia="Times New Roman"/>
        </w:rPr>
        <w:t xml:space="preserve">1 </w:t>
      </w:r>
      <w:r>
        <w:rPr>
          <w:spacing w:val="-20"/>
        </w:rPr>
        <w:t xml:space="preserve">中的 </w:t>
      </w:r>
      <w:r>
        <w:rPr>
          <w:rFonts w:ascii="Times New Roman" w:eastAsia="Times New Roman"/>
        </w:rPr>
        <w:t>2</w:t>
      </w:r>
      <w:r>
        <w:rPr>
          <w:rFonts w:ascii="Times New Roman" w:eastAsia="Times New Roman"/>
          <w:spacing w:val="-1"/>
        </w:rPr>
        <w:t xml:space="preserve"> </w:t>
      </w:r>
      <w:r>
        <w:rPr>
          <w:spacing w:val="-1"/>
        </w:rPr>
        <w:t>类标准要求，项目建成后对周围环境影响较小。</w:t>
      </w:r>
      <w:r>
        <w:t>运输线路通过减速行驶、禁止鸣笛等措施，本项目运输噪声影响较小。 因此，从声环境角度而言，本项目在该厂址建设可行。</w:t>
      </w:r>
    </w:p>
    <w:p>
      <w:pPr>
        <w:pStyle w:val="8"/>
        <w:numPr>
          <w:ilvl w:val="2"/>
          <w:numId w:val="116"/>
        </w:numPr>
        <w:tabs>
          <w:tab w:val="left" w:pos="1320"/>
        </w:tabs>
        <w:spacing w:before="28" w:after="0" w:line="240" w:lineRule="auto"/>
        <w:ind w:left="1320" w:right="0" w:hanging="720"/>
        <w:jc w:val="left"/>
        <w:rPr>
          <w:rFonts w:ascii="Times New Roman" w:eastAsia="Times New Roman"/>
        </w:rPr>
      </w:pPr>
      <w:bookmarkStart w:id="818" w:name="15.4.5 固体废物环境影响分析"/>
      <w:bookmarkEnd w:id="818"/>
      <w:bookmarkStart w:id="819" w:name="15.4.5 固体废物环境影响分析"/>
      <w:bookmarkEnd w:id="819"/>
      <w:r>
        <w:t>固体废物环境影响分析</w:t>
      </w:r>
    </w:p>
    <w:p>
      <w:pPr>
        <w:pStyle w:val="9"/>
        <w:spacing w:before="213" w:line="405" w:lineRule="auto"/>
        <w:ind w:left="600" w:right="897" w:firstLine="480"/>
      </w:pPr>
      <w:r>
        <w:rPr>
          <w:spacing w:val="-6"/>
        </w:rPr>
        <w:t>本项目运营期固体废物均可得到妥善处理处置，不会对周围环境造成的不利</w:t>
      </w:r>
      <w:r>
        <w:t>影响，可被环境接受。</w:t>
      </w:r>
    </w:p>
    <w:p>
      <w:pPr>
        <w:pStyle w:val="8"/>
        <w:numPr>
          <w:ilvl w:val="2"/>
          <w:numId w:val="116"/>
        </w:numPr>
        <w:tabs>
          <w:tab w:val="left" w:pos="1320"/>
        </w:tabs>
        <w:spacing w:before="0" w:after="0" w:line="240" w:lineRule="auto"/>
        <w:ind w:left="1320" w:right="0" w:hanging="720"/>
        <w:jc w:val="left"/>
        <w:rPr>
          <w:rFonts w:ascii="Times New Roman" w:eastAsia="Times New Roman"/>
        </w:rPr>
      </w:pPr>
      <w:bookmarkStart w:id="820" w:name="15.4.6 生态环境影响分析"/>
      <w:bookmarkEnd w:id="820"/>
      <w:bookmarkStart w:id="821" w:name="15.4.6 生态环境影响分析"/>
      <w:bookmarkEnd w:id="821"/>
      <w:r>
        <w:t>生态环境影响分析</w:t>
      </w:r>
    </w:p>
    <w:p>
      <w:pPr>
        <w:pStyle w:val="9"/>
        <w:spacing w:before="108" w:line="364" w:lineRule="auto"/>
        <w:ind w:left="600" w:right="895" w:firstLine="480"/>
        <w:jc w:val="both"/>
      </w:pPr>
      <w:r>
        <w:rPr>
          <w:spacing w:val="-7"/>
        </w:rPr>
        <w:t>本项目井田以农业生态系统为主，井田开采完毕后，地形地貌不会发生根本</w:t>
      </w:r>
      <w:r>
        <w:rPr>
          <w:spacing w:val="-3"/>
        </w:rPr>
        <w:t>性变化，只可能在局部地区出现裂缝、塌陷</w:t>
      </w:r>
      <w:r>
        <w:rPr>
          <w:rFonts w:ascii="Times New Roman" w:eastAsia="Times New Roman"/>
        </w:rPr>
        <w:t>(</w:t>
      </w:r>
      <w:r>
        <w:t>不会导致积水</w:t>
      </w:r>
      <w:r>
        <w:rPr>
          <w:rFonts w:ascii="Times New Roman" w:eastAsia="Times New Roman"/>
        </w:rPr>
        <w:t>)</w:t>
      </w:r>
      <w:r>
        <w:rPr>
          <w:spacing w:val="-4"/>
        </w:rPr>
        <w:t>等情况，对该区域自</w:t>
      </w:r>
      <w:r>
        <w:t>然体系的异质化程度影响不大，评价区仍以农业生态系统为主。</w:t>
      </w:r>
    </w:p>
    <w:p>
      <w:pPr>
        <w:pStyle w:val="6"/>
        <w:numPr>
          <w:ilvl w:val="1"/>
          <w:numId w:val="116"/>
        </w:numPr>
        <w:tabs>
          <w:tab w:val="left" w:pos="1229"/>
        </w:tabs>
        <w:spacing w:before="0" w:after="0" w:line="357" w:lineRule="exact"/>
        <w:ind w:left="1228" w:right="0" w:hanging="629"/>
        <w:jc w:val="left"/>
        <w:rPr>
          <w:rFonts w:ascii="Times New Roman" w:eastAsia="Times New Roman"/>
        </w:rPr>
      </w:pPr>
      <w:bookmarkStart w:id="822" w:name="_bookmark91"/>
      <w:bookmarkEnd w:id="822"/>
      <w:bookmarkStart w:id="823" w:name="15.5 污染物排放情况"/>
      <w:bookmarkEnd w:id="823"/>
      <w:bookmarkStart w:id="824" w:name="_bookmark91"/>
      <w:bookmarkEnd w:id="824"/>
      <w:r>
        <w:t>污染物排放情况</w:t>
      </w:r>
    </w:p>
    <w:p>
      <w:pPr>
        <w:pStyle w:val="9"/>
        <w:spacing w:before="184"/>
        <w:ind w:left="1080"/>
        <w:jc w:val="both"/>
      </w:pPr>
      <w:r>
        <w:rPr>
          <w:rFonts w:ascii="Times New Roman" w:eastAsia="Times New Roman"/>
          <w:position w:val="2"/>
        </w:rPr>
        <w:t>SO</w:t>
      </w:r>
      <w:r>
        <w:rPr>
          <w:rFonts w:ascii="Times New Roman" w:eastAsia="Times New Roman"/>
          <w:position w:val="2"/>
          <w:vertAlign w:val="subscript"/>
        </w:rPr>
        <w:t>2</w:t>
      </w:r>
      <w:r>
        <w:rPr>
          <w:rFonts w:ascii="Times New Roman" w:eastAsia="Times New Roman"/>
          <w:position w:val="2"/>
          <w:vertAlign w:val="baseline"/>
        </w:rPr>
        <w:t xml:space="preserve"> </w:t>
      </w:r>
      <w:r>
        <w:rPr>
          <w:position w:val="2"/>
          <w:vertAlign w:val="baseline"/>
        </w:rPr>
        <w:t>排放总量：</w:t>
      </w:r>
      <w:r>
        <w:rPr>
          <w:rFonts w:ascii="Times New Roman" w:eastAsia="Times New Roman"/>
          <w:position w:val="2"/>
          <w:vertAlign w:val="baseline"/>
        </w:rPr>
        <w:t>0.59t/a</w:t>
      </w:r>
      <w:r>
        <w:rPr>
          <w:position w:val="2"/>
          <w:vertAlign w:val="baseline"/>
        </w:rPr>
        <w:t>；</w:t>
      </w:r>
      <w:r>
        <w:rPr>
          <w:rFonts w:ascii="Times New Roman" w:eastAsia="Times New Roman"/>
          <w:position w:val="2"/>
          <w:vertAlign w:val="baseline"/>
        </w:rPr>
        <w:t xml:space="preserve">NOx </w:t>
      </w:r>
      <w:r>
        <w:rPr>
          <w:position w:val="2"/>
          <w:vertAlign w:val="baseline"/>
        </w:rPr>
        <w:t>排放总量：</w:t>
      </w:r>
      <w:r>
        <w:rPr>
          <w:rFonts w:ascii="Times New Roman" w:eastAsia="Times New Roman"/>
          <w:position w:val="2"/>
          <w:vertAlign w:val="baseline"/>
        </w:rPr>
        <w:t>5.14t/a</w:t>
      </w:r>
      <w:r>
        <w:rPr>
          <w:position w:val="2"/>
          <w:vertAlign w:val="baseline"/>
        </w:rPr>
        <w:t>；颗粒物排放总量：</w:t>
      </w:r>
      <w:r>
        <w:rPr>
          <w:rFonts w:ascii="Times New Roman" w:eastAsia="Times New Roman"/>
          <w:position w:val="2"/>
          <w:vertAlign w:val="baseline"/>
        </w:rPr>
        <w:t>0.625t/a</w:t>
      </w:r>
      <w:r>
        <w:rPr>
          <w:position w:val="2"/>
          <w:vertAlign w:val="baseline"/>
        </w:rPr>
        <w:t>。</w:t>
      </w:r>
    </w:p>
    <w:p>
      <w:pPr>
        <w:pStyle w:val="6"/>
        <w:numPr>
          <w:ilvl w:val="1"/>
          <w:numId w:val="116"/>
        </w:numPr>
        <w:tabs>
          <w:tab w:val="left" w:pos="1229"/>
        </w:tabs>
        <w:spacing w:before="158" w:after="0" w:line="240" w:lineRule="auto"/>
        <w:ind w:left="1228" w:right="0" w:hanging="629"/>
        <w:jc w:val="left"/>
        <w:rPr>
          <w:rFonts w:ascii="Times New Roman" w:eastAsia="Times New Roman"/>
        </w:rPr>
      </w:pPr>
      <w:bookmarkStart w:id="825" w:name="_bookmark92"/>
      <w:bookmarkEnd w:id="825"/>
      <w:bookmarkStart w:id="826" w:name="15.6 公众意见采纳情况"/>
      <w:bookmarkEnd w:id="826"/>
      <w:bookmarkStart w:id="827" w:name="_bookmark92"/>
      <w:bookmarkEnd w:id="827"/>
      <w:r>
        <w:t>公众意见采纳情况</w:t>
      </w:r>
    </w:p>
    <w:p>
      <w:pPr>
        <w:pStyle w:val="9"/>
        <w:spacing w:before="185" w:line="364" w:lineRule="auto"/>
        <w:ind w:left="600" w:right="897" w:firstLine="480"/>
        <w:jc w:val="both"/>
      </w:pPr>
      <w:r>
        <w:rPr>
          <w:spacing w:val="-6"/>
        </w:rPr>
        <w:t>双鸭山盟度矿业有限责任公司按照《环境影响评价公众参与办法</w:t>
      </w:r>
      <w:r>
        <w:t>（</w:t>
      </w:r>
      <w:r>
        <w:rPr>
          <w:spacing w:val="-5"/>
        </w:rPr>
        <w:t>生态环境</w:t>
      </w:r>
      <w:r>
        <w:rPr>
          <w:spacing w:val="-12"/>
        </w:rPr>
        <w:t xml:space="preserve">部部令第 </w:t>
      </w:r>
      <w:r>
        <w:rPr>
          <w:rFonts w:ascii="Times New Roman" w:eastAsia="Times New Roman"/>
        </w:rPr>
        <w:t xml:space="preserve">4 </w:t>
      </w:r>
      <w:r>
        <w:t>号</w:t>
      </w:r>
      <w:r>
        <w:rPr>
          <w:spacing w:val="-20"/>
        </w:rPr>
        <w:t>）（</w:t>
      </w:r>
      <w:r>
        <w:rPr>
          <w:spacing w:val="-7"/>
        </w:rPr>
        <w:t>以下简称《办法》</w:t>
      </w:r>
      <w:r>
        <w:rPr>
          <w:spacing w:val="-20"/>
        </w:rPr>
        <w:t>）</w:t>
      </w:r>
      <w:r>
        <w:rPr>
          <w:spacing w:val="-1"/>
        </w:rPr>
        <w:t>在本项目环境影响报告书编制阶段开展了</w:t>
      </w:r>
      <w:r>
        <w:t>公众参与工作。</w:t>
      </w:r>
    </w:p>
    <w:p>
      <w:pPr>
        <w:pStyle w:val="9"/>
        <w:spacing w:line="304" w:lineRule="exact"/>
        <w:ind w:left="1080"/>
        <w:jc w:val="both"/>
      </w:pPr>
      <w:r>
        <w:t xml:space="preserve">建设单位于 </w:t>
      </w:r>
      <w:r>
        <w:rPr>
          <w:rFonts w:ascii="Times New Roman" w:eastAsia="Times New Roman"/>
        </w:rPr>
        <w:t xml:space="preserve">2020 </w:t>
      </w:r>
      <w:r>
        <w:t xml:space="preserve">年 </w:t>
      </w:r>
      <w:r>
        <w:rPr>
          <w:rFonts w:ascii="Times New Roman" w:eastAsia="Times New Roman"/>
        </w:rPr>
        <w:t xml:space="preserve">6 </w:t>
      </w:r>
      <w:r>
        <w:t xml:space="preserve">月 </w:t>
      </w:r>
      <w:r>
        <w:rPr>
          <w:rFonts w:ascii="Times New Roman" w:eastAsia="Times New Roman"/>
        </w:rPr>
        <w:t xml:space="preserve">22 </w:t>
      </w:r>
      <w:r>
        <w:t>日首次公开了本项目环境影响评价信息，公开内</w:t>
      </w:r>
    </w:p>
    <w:p>
      <w:pPr>
        <w:pStyle w:val="9"/>
        <w:spacing w:before="161" w:line="364" w:lineRule="auto"/>
        <w:ind w:left="600" w:right="897"/>
        <w:jc w:val="both"/>
      </w:pPr>
      <w:r>
        <w:rPr>
          <w:spacing w:val="-6"/>
        </w:rPr>
        <w:t>容、日期和方式</w:t>
      </w:r>
      <w:r>
        <w:t>（网络</w:t>
      </w:r>
      <w:r>
        <w:rPr>
          <w:spacing w:val="-17"/>
        </w:rPr>
        <w:t>）</w:t>
      </w:r>
      <w:r>
        <w:rPr>
          <w:spacing w:val="-12"/>
        </w:rPr>
        <w:t xml:space="preserve">均符合《办法》要求；于 </w:t>
      </w:r>
      <w:r>
        <w:rPr>
          <w:rFonts w:ascii="Times New Roman" w:eastAsia="Times New Roman"/>
        </w:rPr>
        <w:t xml:space="preserve">2020 </w:t>
      </w:r>
      <w:r>
        <w:rPr>
          <w:spacing w:val="-30"/>
        </w:rPr>
        <w:t xml:space="preserve">年 </w:t>
      </w:r>
      <w:r>
        <w:rPr>
          <w:rFonts w:ascii="Times New Roman" w:eastAsia="Times New Roman"/>
        </w:rPr>
        <w:t xml:space="preserve">10 </w:t>
      </w:r>
      <w:r>
        <w:rPr>
          <w:spacing w:val="-2"/>
        </w:rPr>
        <w:t>月公开了本项目环</w:t>
      </w:r>
      <w:r>
        <w:t>境影响报告书征求意见稿，公开内容、时限（</w:t>
      </w:r>
      <w:r>
        <w:rPr>
          <w:rFonts w:ascii="Times New Roman" w:eastAsia="Times New Roman"/>
        </w:rPr>
        <w:t xml:space="preserve">10 </w:t>
      </w:r>
      <w:r>
        <w:t>个工作日）</w:t>
      </w:r>
      <w:r>
        <w:rPr>
          <w:spacing w:val="1"/>
        </w:rPr>
        <w:t>和方式</w:t>
      </w:r>
      <w:r>
        <w:t>（网络、报纸和张贴</w:t>
      </w:r>
      <w:r>
        <w:rPr>
          <w:spacing w:val="-24"/>
        </w:rPr>
        <w:t>）</w:t>
      </w:r>
      <w:r>
        <w:rPr>
          <w:spacing w:val="-14"/>
        </w:rPr>
        <w:t xml:space="preserve">均符合《办法》要求；于 </w:t>
      </w:r>
      <w:r>
        <w:rPr>
          <w:rFonts w:ascii="Times New Roman" w:eastAsia="Times New Roman"/>
        </w:rPr>
        <w:t xml:space="preserve">2020 </w:t>
      </w:r>
      <w:r>
        <w:rPr>
          <w:spacing w:val="-30"/>
        </w:rPr>
        <w:t xml:space="preserve">年 </w:t>
      </w:r>
      <w:r>
        <w:rPr>
          <w:rFonts w:ascii="Times New Roman" w:eastAsia="Times New Roman"/>
        </w:rPr>
        <w:t xml:space="preserve">10 </w:t>
      </w:r>
      <w:r>
        <w:rPr>
          <w:spacing w:val="-2"/>
        </w:rPr>
        <w:t>月进行了本项目环境影响报告书</w:t>
      </w:r>
      <w:r>
        <w:t>报批前信息公开。</w:t>
      </w:r>
    </w:p>
    <w:p>
      <w:pPr>
        <w:pStyle w:val="9"/>
        <w:spacing w:line="364" w:lineRule="auto"/>
        <w:ind w:left="1080" w:right="897"/>
      </w:pPr>
      <w:r>
        <w:t>公众参与期间，建设单位未收到公众对本项目提出的环境影响相关意见。</w:t>
      </w:r>
      <w:r>
        <w:rPr>
          <w:spacing w:val="-6"/>
        </w:rPr>
        <w:t>本项目应切实落实各项环境保护措施，加强环境管理，把本项目对环境的不</w:t>
      </w:r>
    </w:p>
    <w:p>
      <w:pPr>
        <w:pStyle w:val="9"/>
        <w:spacing w:line="306" w:lineRule="exact"/>
        <w:ind w:left="600"/>
      </w:pPr>
      <w:r>
        <w:t>利影响降到最低限度，防止生态破坏、环境污染和扰民事故发生。</w:t>
      </w:r>
    </w:p>
    <w:p>
      <w:pPr>
        <w:pStyle w:val="6"/>
        <w:numPr>
          <w:ilvl w:val="1"/>
          <w:numId w:val="116"/>
        </w:numPr>
        <w:tabs>
          <w:tab w:val="left" w:pos="1229"/>
        </w:tabs>
        <w:spacing w:before="159" w:after="0" w:line="240" w:lineRule="auto"/>
        <w:ind w:left="1228" w:right="0" w:hanging="629"/>
        <w:jc w:val="left"/>
        <w:rPr>
          <w:rFonts w:ascii="Times New Roman" w:eastAsia="Times New Roman"/>
        </w:rPr>
      </w:pPr>
      <w:bookmarkStart w:id="828" w:name="_bookmark93"/>
      <w:bookmarkEnd w:id="828"/>
      <w:bookmarkStart w:id="829" w:name="15.7 综合评价结论"/>
      <w:bookmarkEnd w:id="829"/>
      <w:bookmarkStart w:id="830" w:name="_bookmark93"/>
      <w:bookmarkEnd w:id="830"/>
      <w:r>
        <w:t>综合评价结论</w:t>
      </w:r>
    </w:p>
    <w:p>
      <w:pPr>
        <w:pStyle w:val="9"/>
        <w:spacing w:before="185" w:line="364" w:lineRule="auto"/>
        <w:ind w:left="600" w:right="897" w:firstLine="480"/>
        <w:jc w:val="both"/>
      </w:pPr>
      <w:r>
        <w:rPr>
          <w:spacing w:val="-6"/>
        </w:rPr>
        <w:t>项目建设符合国家和地方产业政策和相关规划要求。在采用设计和评价提出</w:t>
      </w:r>
      <w:r>
        <w:rPr>
          <w:spacing w:val="-10"/>
        </w:rPr>
        <w:t>的污染防治、生态保护等措施后，项目运营期对环境造成的不利影响较小，可被环境接受。项目建设可实现环境效益、社会效益和经济效益的统一。从环保角度</w:t>
      </w:r>
      <w:r>
        <w:t>而言，项目建设可行。</w:t>
      </w:r>
    </w:p>
    <w:sectPr>
      <w:pgSz w:w="11910" w:h="16840"/>
      <w:pgMar w:top="1440" w:right="900" w:bottom="1180" w:left="1200" w:header="0" w:footer="9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Symbol">
    <w:panose1 w:val="020B0502040204020203"/>
    <w:charset w:val="00"/>
    <w:family w:val="swiss"/>
    <w:pitch w:val="default"/>
    <w:sig w:usb0="800001E3" w:usb1="1200FFEF" w:usb2="00040000" w:usb3="04000000" w:csb0="00000001" w:csb1="40000000"/>
  </w:font>
  <w:font w:name="Cambria Math">
    <w:panose1 w:val="02040503050406030204"/>
    <w:charset w:val="00"/>
    <w:family w:val="roman"/>
    <w:pitch w:val="default"/>
    <w:sig w:usb0="E00006FF" w:usb1="420024FF" w:usb2="02000000" w:usb3="00000000" w:csb0="2000019F" w:csb1="00000000"/>
  </w:font>
  <w:font w:name="MT Extra">
    <w:panose1 w:val="05050102010205020202"/>
    <w:charset w:val="02"/>
    <w:family w:val="roman"/>
    <w:pitch w:val="default"/>
    <w:sig w:usb0="8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2717568" behindDoc="1" locked="0" layoutInCell="1" allowOverlap="1">
              <wp:simplePos x="0" y="0"/>
              <wp:positionH relativeFrom="page">
                <wp:posOffset>3726180</wp:posOffset>
              </wp:positionH>
              <wp:positionV relativeFrom="page">
                <wp:posOffset>9921240</wp:posOffset>
              </wp:positionV>
              <wp:extent cx="107950" cy="152400"/>
              <wp:effectExtent l="0" t="0" r="0" b="0"/>
              <wp:wrapNone/>
              <wp:docPr id="164" name="文本框 1"/>
              <wp:cNvGraphicFramePr/>
              <a:graphic xmlns:a="http://schemas.openxmlformats.org/drawingml/2006/main">
                <a:graphicData uri="http://schemas.microsoft.com/office/word/2010/wordprocessingShape">
                  <wps:wsp>
                    <wps:cNvSpPr txBox="1"/>
                    <wps:spPr>
                      <a:xfrm>
                        <a:off x="0" y="0"/>
                        <a:ext cx="1079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3.4pt;margin-top:781.2pt;height:12pt;width:8.5pt;mso-position-horizontal-relative:page;mso-position-vertical-relative:page;z-index:-290598912;mso-width-relative:page;mso-height-relative:page;" filled="f" stroked="f" coordsize="21600,21600" o:gfxdata="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7VTC39oAAAANAQAADwAAAAAA&#10;AAABACAAAAAiAAAAZHJzL2Rvd25yZXYueG1sUEsBAhQAFAAAAAgAh07iQD3JB66fAQAAJQMAAA4A&#10;AAAAAAAAAQAgAAAAKQ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2725760"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172" name="文本框 9"/>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76</w:t>
                          </w:r>
                          <w:r>
                            <w:fldChar w:fldCharType="end"/>
                          </w:r>
                        </w:p>
                      </w:txbxContent>
                    </wps:txbx>
                    <wps:bodyPr lIns="0" tIns="0" rIns="0" bIns="0" upright="1"/>
                  </wps:wsp>
                </a:graphicData>
              </a:graphic>
            </wp:anchor>
          </w:drawing>
        </mc:Choice>
        <mc:Fallback>
          <w:pict>
            <v:shape id="文本框 9" o:spid="_x0000_s1026" o:spt="202" type="#_x0000_t202" style="position:absolute;left:0pt;margin-left:291.15pt;margin-top:781.2pt;height:12pt;width:13.1pt;mso-position-horizontal-relative:page;mso-position-vertical-relative:page;z-index:-290590720;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nyfxnbAAAADQEAAA8AAAAA&#10;AAAAAQAgAAAAIgAAAGRycy9kb3ducmV2LnhtbFBLAQIUABQAAAAIAIdO4kApVD6nnwEAACUDAAAO&#10;AAAAAAAAAAEAIAAAACo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76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2726784"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173" name="文本框 10"/>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80</w:t>
                          </w:r>
                          <w:r>
                            <w:fldChar w:fldCharType="end"/>
                          </w:r>
                        </w:p>
                      </w:txbxContent>
                    </wps:txbx>
                    <wps:bodyPr lIns="0" tIns="0" rIns="0" bIns="0" upright="1"/>
                  </wps:wsp>
                </a:graphicData>
              </a:graphic>
            </wp:anchor>
          </w:drawing>
        </mc:Choice>
        <mc:Fallback>
          <w:pict>
            <v:shape id="文本框 10" o:spid="_x0000_s1026" o:spt="202" type="#_x0000_t202" style="position:absolute;left:0pt;margin-left:291.15pt;margin-top:781.2pt;height:12pt;width:13.1pt;mso-position-horizontal-relative:page;mso-position-vertical-relative:page;z-index:-290589696;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6fJ/GdsAAAANAQAADwAAAAAA&#10;AAABACAAAAAiAAAAZHJzL2Rvd25yZXYueG1sUEsBAhQAFAAAAAgAh07iQCZpQ6CeAQAAJgMAAA4A&#10;AAAAAAAAAQAgAAAAKg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80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2727808" behindDoc="1" locked="0" layoutInCell="1" allowOverlap="1">
              <wp:simplePos x="0" y="0"/>
              <wp:positionH relativeFrom="page">
                <wp:posOffset>3697605</wp:posOffset>
              </wp:positionH>
              <wp:positionV relativeFrom="page">
                <wp:posOffset>10119360</wp:posOffset>
              </wp:positionV>
              <wp:extent cx="166370" cy="152400"/>
              <wp:effectExtent l="0" t="0" r="0" b="0"/>
              <wp:wrapNone/>
              <wp:docPr id="174" name="文本框 11"/>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85</w:t>
                          </w:r>
                          <w:r>
                            <w:fldChar w:fldCharType="end"/>
                          </w:r>
                        </w:p>
                      </w:txbxContent>
                    </wps:txbx>
                    <wps:bodyPr lIns="0" tIns="0" rIns="0" bIns="0" upright="1"/>
                  </wps:wsp>
                </a:graphicData>
              </a:graphic>
            </wp:anchor>
          </w:drawing>
        </mc:Choice>
        <mc:Fallback>
          <w:pict>
            <v:shape id="文本框 11" o:spid="_x0000_s1026" o:spt="202" type="#_x0000_t202" style="position:absolute;left:0pt;margin-left:291.15pt;margin-top:796.8pt;height:12pt;width:13.1pt;mso-position-horizontal-relative:page;mso-position-vertical-relative:page;z-index:-290588672;mso-width-relative:page;mso-height-relative:page;" filled="f" stroked="f" coordsize="21600,21600" o:gfxdata="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ybFuF2wAAAA0BAAAPAAAA&#10;AAAAAAEAIAAAACIAAABkcnMvZG93bnJldi54bWxQSwECFAAUAAAACACHTuJAm6Xm8aABAAAmAwAA&#10;DgAAAAAAAAABACAAAAAqAQAAZHJzL2Uyb0RvYy54bWxQSwUGAAAAAAYABgBZAQAAP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85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2728832" behindDoc="1" locked="0" layoutInCell="1" allowOverlap="1">
              <wp:simplePos x="0" y="0"/>
              <wp:positionH relativeFrom="page">
                <wp:posOffset>3697605</wp:posOffset>
              </wp:positionH>
              <wp:positionV relativeFrom="page">
                <wp:posOffset>10119360</wp:posOffset>
              </wp:positionV>
              <wp:extent cx="166370" cy="152400"/>
              <wp:effectExtent l="0" t="0" r="0" b="0"/>
              <wp:wrapNone/>
              <wp:docPr id="175" name="文本框 1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90</w:t>
                          </w:r>
                          <w:r>
                            <w:fldChar w:fldCharType="end"/>
                          </w:r>
                        </w:p>
                      </w:txbxContent>
                    </wps:txbx>
                    <wps:bodyPr lIns="0" tIns="0" rIns="0" bIns="0" upright="1"/>
                  </wps:wsp>
                </a:graphicData>
              </a:graphic>
            </wp:anchor>
          </w:drawing>
        </mc:Choice>
        <mc:Fallback>
          <w:pict>
            <v:shape id="文本框 12" o:spid="_x0000_s1026" o:spt="202" type="#_x0000_t202" style="position:absolute;left:0pt;margin-left:291.15pt;margin-top:796.8pt;height:12pt;width:13.1pt;mso-position-horizontal-relative:page;mso-position-vertical-relative:page;z-index:-290587648;mso-width-relative:page;mso-height-relative:page;" filled="f" stroked="f" coordsize="21600,21600" o:gfxdata="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ybFuF2wAAAA0BAAAPAAAA&#10;AAAAAAEAIAAAACIAAABkcnMvZG93bnJldi54bWxQSwECFAAUAAAACACHTuJAgrSMjKABAAAmAwAA&#10;DgAAAAAAAAABACAAAAAqAQAAZHJzL2Uyb0RvYy54bWxQSwUGAAAAAAYABgBZAQAAP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90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2729856" behindDoc="1" locked="0" layoutInCell="1" allowOverlap="1">
              <wp:simplePos x="0" y="0"/>
              <wp:positionH relativeFrom="page">
                <wp:posOffset>3668395</wp:posOffset>
              </wp:positionH>
              <wp:positionV relativeFrom="page">
                <wp:posOffset>10119360</wp:posOffset>
              </wp:positionV>
              <wp:extent cx="222250" cy="152400"/>
              <wp:effectExtent l="0" t="0" r="0" b="0"/>
              <wp:wrapNone/>
              <wp:docPr id="176" name="文本框 13"/>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100</w:t>
                          </w:r>
                          <w:r>
                            <w:fldChar w:fldCharType="end"/>
                          </w:r>
                        </w:p>
                      </w:txbxContent>
                    </wps:txbx>
                    <wps:bodyPr lIns="0" tIns="0" rIns="0" bIns="0" upright="1"/>
                  </wps:wsp>
                </a:graphicData>
              </a:graphic>
            </wp:anchor>
          </w:drawing>
        </mc:Choice>
        <mc:Fallback>
          <w:pict>
            <v:shape id="文本框 13" o:spid="_x0000_s1026" o:spt="202" type="#_x0000_t202" style="position:absolute;left:0pt;margin-left:288.85pt;margin-top:796.8pt;height:12pt;width:17.5pt;mso-position-horizontal-relative:page;mso-position-vertical-relative:page;z-index:-290586624;mso-width-relative:page;mso-height-relative:page;" filled="f" stroked="f" coordsize="21600,21600" o:gfxdata="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1fs/TaAAAADQEAAA8AAAAA&#10;AAAAAQAgAAAAIgAAAGRycy9kb3ducmV2LnhtbFBLAQIUABQAAAAIAIdO4kC5MEDtoAEAACYDAAAO&#10;AAAAAAAAAAEAIAAAACk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2730880" behindDoc="1" locked="0" layoutInCell="1" allowOverlap="1">
              <wp:simplePos x="0" y="0"/>
              <wp:positionH relativeFrom="page">
                <wp:posOffset>3670300</wp:posOffset>
              </wp:positionH>
              <wp:positionV relativeFrom="page">
                <wp:posOffset>10119360</wp:posOffset>
              </wp:positionV>
              <wp:extent cx="219710" cy="152400"/>
              <wp:effectExtent l="0" t="0" r="0" b="0"/>
              <wp:wrapNone/>
              <wp:docPr id="177" name="文本框 14"/>
              <wp:cNvGraphicFramePr/>
              <a:graphic xmlns:a="http://schemas.openxmlformats.org/drawingml/2006/main">
                <a:graphicData uri="http://schemas.microsoft.com/office/word/2010/wordprocessingShape">
                  <wps:wsp>
                    <wps:cNvSpPr txBox="1"/>
                    <wps:spPr>
                      <a:xfrm>
                        <a:off x="0" y="0"/>
                        <a:ext cx="21971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110</w:t>
                          </w:r>
                          <w:r>
                            <w:fldChar w:fldCharType="end"/>
                          </w:r>
                        </w:p>
                      </w:txbxContent>
                    </wps:txbx>
                    <wps:bodyPr lIns="0" tIns="0" rIns="0" bIns="0" upright="1"/>
                  </wps:wsp>
                </a:graphicData>
              </a:graphic>
            </wp:anchor>
          </w:drawing>
        </mc:Choice>
        <mc:Fallback>
          <w:pict>
            <v:shape id="文本框 14" o:spid="_x0000_s1026" o:spt="202" type="#_x0000_t202" style="position:absolute;left:0pt;margin-left:289pt;margin-top:796.8pt;height:12pt;width:17.3pt;mso-position-horizontal-relative:page;mso-position-vertical-relative:page;z-index:-290585600;mso-width-relative:page;mso-height-relative:page;" filled="f" stroked="f" coordsize="21600,21600" o:gfxdata="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YrCyc2wAAAA0BAAAPAAAA&#10;AAAAAAEAIAAAACIAAABkcnMvZG93bnJldi54bWxQSwECFAAUAAAACACHTuJAto7QWKABAAAmAwAA&#10;DgAAAAAAAAABACAAAAAqAQAAZHJzL2Uyb0RvYy54bWxQSwUGAAAAAAYABgBZAQAAP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110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2731904" behindDoc="1" locked="0" layoutInCell="1" allowOverlap="1">
              <wp:simplePos x="0" y="0"/>
              <wp:positionH relativeFrom="page">
                <wp:posOffset>3668395</wp:posOffset>
              </wp:positionH>
              <wp:positionV relativeFrom="page">
                <wp:posOffset>10119360</wp:posOffset>
              </wp:positionV>
              <wp:extent cx="222250" cy="152400"/>
              <wp:effectExtent l="0" t="0" r="0" b="0"/>
              <wp:wrapNone/>
              <wp:docPr id="178" name="文本框 15"/>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120</w:t>
                          </w:r>
                          <w:r>
                            <w:fldChar w:fldCharType="end"/>
                          </w:r>
                        </w:p>
                      </w:txbxContent>
                    </wps:txbx>
                    <wps:bodyPr lIns="0" tIns="0" rIns="0" bIns="0" upright="1"/>
                  </wps:wsp>
                </a:graphicData>
              </a:graphic>
            </wp:anchor>
          </w:drawing>
        </mc:Choice>
        <mc:Fallback>
          <w:pict>
            <v:shape id="文本框 15" o:spid="_x0000_s1026" o:spt="202" type="#_x0000_t202" style="position:absolute;left:0pt;margin-left:288.85pt;margin-top:796.8pt;height:12pt;width:17.5pt;mso-position-horizontal-relative:page;mso-position-vertical-relative:page;z-index:-290584576;mso-width-relative:page;mso-height-relative:page;" filled="f" stroked="f" coordsize="21600,21600" o:gfxdata="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1fs/TaAAAADQEAAA8AAAAAAAAA&#10;AQAgAAAAIgAAAGRycy9kb3ducmV2LnhtbFBLAQIUABQAAAAIAIdO4kA6dNLfnQEAACYDAAAOAAAA&#10;AAAAAAEAIAAAACkBAABkcnMvZTJvRG9jLnhtbFBLBQYAAAAABgAGAFkBAAA4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120</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2732928" behindDoc="1" locked="0" layoutInCell="1" allowOverlap="1">
              <wp:simplePos x="0" y="0"/>
              <wp:positionH relativeFrom="page">
                <wp:posOffset>3668395</wp:posOffset>
              </wp:positionH>
              <wp:positionV relativeFrom="page">
                <wp:posOffset>10119360</wp:posOffset>
              </wp:positionV>
              <wp:extent cx="222250" cy="152400"/>
              <wp:effectExtent l="0" t="0" r="0" b="0"/>
              <wp:wrapNone/>
              <wp:docPr id="179" name="文本框 16"/>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130</w:t>
                          </w:r>
                          <w:r>
                            <w:fldChar w:fldCharType="end"/>
                          </w:r>
                        </w:p>
                      </w:txbxContent>
                    </wps:txbx>
                    <wps:bodyPr lIns="0" tIns="0" rIns="0" bIns="0" upright="1"/>
                  </wps:wsp>
                </a:graphicData>
              </a:graphic>
            </wp:anchor>
          </w:drawing>
        </mc:Choice>
        <mc:Fallback>
          <w:pict>
            <v:shape id="文本框 16" o:spid="_x0000_s1026" o:spt="202" type="#_x0000_t202" style="position:absolute;left:0pt;margin-left:288.85pt;margin-top:796.8pt;height:12pt;width:17.5pt;mso-position-horizontal-relative:page;mso-position-vertical-relative:page;z-index:-290583552;mso-width-relative:page;mso-height-relative:page;" filled="f" stroked="f" coordsize="21600,21600" o:gfxdata="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1fs/TaAAAADQEAAA8AAAAA&#10;AAAAAQAgAAAAIgAAAGRycy9kb3ducmV2LnhtbFBLAQIUABQAAAAIAIdO4kAjZbiioAEAACYDAAAO&#10;AAAAAAAAAAEAIAAAACk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130</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2733952" behindDoc="1" locked="0" layoutInCell="1" allowOverlap="1">
              <wp:simplePos x="0" y="0"/>
              <wp:positionH relativeFrom="page">
                <wp:posOffset>3668395</wp:posOffset>
              </wp:positionH>
              <wp:positionV relativeFrom="page">
                <wp:posOffset>10119360</wp:posOffset>
              </wp:positionV>
              <wp:extent cx="222250" cy="152400"/>
              <wp:effectExtent l="0" t="0" r="0" b="0"/>
              <wp:wrapNone/>
              <wp:docPr id="180" name="文本框 17"/>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140</w:t>
                          </w:r>
                          <w:r>
                            <w:fldChar w:fldCharType="end"/>
                          </w:r>
                        </w:p>
                      </w:txbxContent>
                    </wps:txbx>
                    <wps:bodyPr lIns="0" tIns="0" rIns="0" bIns="0" upright="1"/>
                  </wps:wsp>
                </a:graphicData>
              </a:graphic>
            </wp:anchor>
          </w:drawing>
        </mc:Choice>
        <mc:Fallback>
          <w:pict>
            <v:shape id="文本框 17" o:spid="_x0000_s1026" o:spt="202" type="#_x0000_t202" style="position:absolute;left:0pt;margin-left:288.85pt;margin-top:796.8pt;height:12pt;width:17.5pt;mso-position-horizontal-relative:page;mso-position-vertical-relative:page;z-index:-290582528;mso-width-relative:page;mso-height-relative:page;" filled="f" stroked="f" coordsize="21600,21600" o:gfxdata="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TV+z9NoAAAANAQAADwAAAAAA&#10;AAABACAAAAAiAAAAZHJzL2Rvd25yZXYueG1sUEsBAhQAFAAAAAgAh07iQBsph2afAQAAJgMAAA4A&#10;AAAAAAAAAQAgAAAAKQ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140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12"/>
      </w:rPr>
    </w:pPr>
    <w:r>
      <mc:AlternateContent>
        <mc:Choice Requires="wps">
          <w:drawing>
            <wp:anchor distT="0" distB="0" distL="114300" distR="114300" simplePos="0" relativeHeight="212718592"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165" name="文本框 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12</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1.15pt;margin-top:781.2pt;height:12pt;width:13.1pt;mso-position-horizontal-relative:page;mso-position-vertical-relative:page;z-index:-290597888;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nyfxnbAAAADQEAAA8AAAAA&#10;AAAAAQAgAAAAIgAAAGRycy9kb3ducmV2LnhtbFBLAQIUABQAAAAIAIdO4kABp46bnwEAACUDAAAO&#10;AAAAAAAAAAEAIAAAACo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2734976" behindDoc="1" locked="0" layoutInCell="1" allowOverlap="1">
              <wp:simplePos x="0" y="0"/>
              <wp:positionH relativeFrom="page">
                <wp:posOffset>3668395</wp:posOffset>
              </wp:positionH>
              <wp:positionV relativeFrom="page">
                <wp:posOffset>10119360</wp:posOffset>
              </wp:positionV>
              <wp:extent cx="222250" cy="152400"/>
              <wp:effectExtent l="0" t="0" r="0" b="0"/>
              <wp:wrapNone/>
              <wp:docPr id="181" name="文本框 18"/>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150</w:t>
                          </w:r>
                          <w:r>
                            <w:fldChar w:fldCharType="end"/>
                          </w:r>
                        </w:p>
                      </w:txbxContent>
                    </wps:txbx>
                    <wps:bodyPr lIns="0" tIns="0" rIns="0" bIns="0" upright="1"/>
                  </wps:wsp>
                </a:graphicData>
              </a:graphic>
            </wp:anchor>
          </w:drawing>
        </mc:Choice>
        <mc:Fallback>
          <w:pict>
            <v:shape id="文本框 18" o:spid="_x0000_s1026" o:spt="202" type="#_x0000_t202" style="position:absolute;left:0pt;margin-left:288.85pt;margin-top:796.8pt;height:12pt;width:17.5pt;mso-position-horizontal-relative:page;mso-position-vertical-relative:page;z-index:-290581504;mso-width-relative:page;mso-height-relative:page;" filled="f" stroked="f" coordsize="21600,21600" o:gfxdata="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TV+z9NoAAAANAQAADwAAAAAA&#10;AAABACAAAAAiAAAAZHJzL2Rvd25yZXYueG1sUEsBAhQAFAAAAAgAh07iQEhY9nKfAQAAJgMAAA4A&#10;AAAAAAAAAQAgAAAAKQ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150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2736000" behindDoc="1" locked="0" layoutInCell="1" allowOverlap="1">
              <wp:simplePos x="0" y="0"/>
              <wp:positionH relativeFrom="page">
                <wp:posOffset>3668395</wp:posOffset>
              </wp:positionH>
              <wp:positionV relativeFrom="page">
                <wp:posOffset>10119360</wp:posOffset>
              </wp:positionV>
              <wp:extent cx="222250" cy="152400"/>
              <wp:effectExtent l="0" t="0" r="0" b="0"/>
              <wp:wrapNone/>
              <wp:docPr id="182" name="文本框 19"/>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155</w:t>
                          </w:r>
                          <w:r>
                            <w:fldChar w:fldCharType="end"/>
                          </w:r>
                        </w:p>
                      </w:txbxContent>
                    </wps:txbx>
                    <wps:bodyPr lIns="0" tIns="0" rIns="0" bIns="0" upright="1"/>
                  </wps:wsp>
                </a:graphicData>
              </a:graphic>
            </wp:anchor>
          </w:drawing>
        </mc:Choice>
        <mc:Fallback>
          <w:pict>
            <v:shape id="文本框 19" o:spid="_x0000_s1026" o:spt="202" type="#_x0000_t202" style="position:absolute;left:0pt;margin-left:288.85pt;margin-top:796.8pt;height:12pt;width:17.5pt;mso-position-horizontal-relative:page;mso-position-vertical-relative:page;z-index:-290580480;mso-width-relative:page;mso-height-relative:page;" filled="f" stroked="f" coordsize="21600,21600" o:gfxdata="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TV+z9NoAAAANAQAADwAAAAAA&#10;AAABACAAAAAiAAAAZHJzL2Rvd25yZXYueG1sUEsBAhQAFAAAAAgAh07iQJq2kWSfAQAAJgMAAA4A&#10;AAAAAAAAAQAgAAAAKQ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155</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12"/>
      </w:rPr>
    </w:pPr>
    <w:r>
      <mc:AlternateContent>
        <mc:Choice Requires="wps">
          <w:drawing>
            <wp:anchor distT="0" distB="0" distL="114300" distR="114300" simplePos="0" relativeHeight="212737024" behindDoc="1" locked="0" layoutInCell="1" allowOverlap="1">
              <wp:simplePos x="0" y="0"/>
              <wp:positionH relativeFrom="page">
                <wp:posOffset>3668395</wp:posOffset>
              </wp:positionH>
              <wp:positionV relativeFrom="page">
                <wp:posOffset>10119360</wp:posOffset>
              </wp:positionV>
              <wp:extent cx="222250" cy="152400"/>
              <wp:effectExtent l="0" t="0" r="0" b="0"/>
              <wp:wrapNone/>
              <wp:docPr id="183" name="文本框 20"/>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161</w:t>
                          </w:r>
                          <w:r>
                            <w:fldChar w:fldCharType="end"/>
                          </w:r>
                        </w:p>
                      </w:txbxContent>
                    </wps:txbx>
                    <wps:bodyPr lIns="0" tIns="0" rIns="0" bIns="0" upright="1"/>
                  </wps:wsp>
                </a:graphicData>
              </a:graphic>
            </wp:anchor>
          </w:drawing>
        </mc:Choice>
        <mc:Fallback>
          <w:pict>
            <v:shape id="文本框 20" o:spid="_x0000_s1026" o:spt="202" type="#_x0000_t202" style="position:absolute;left:0pt;margin-left:288.85pt;margin-top:796.8pt;height:12pt;width:17.5pt;mso-position-horizontal-relative:page;mso-position-vertical-relative:page;z-index:-290579456;mso-width-relative:page;mso-height-relative:page;" filled="f" stroked="f" coordsize="21600,21600" o:gfxdata="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1fs/TaAAAADQEAAA8AAAAAAAAA&#10;AQAgAAAAIgAAAGRycy9kb3ducmV2LnhtbFBLAQIUABQAAAAIAIdO4kA32E2MnQEAACYDAAAOAAAA&#10;AAAAAAEAIAAAACkBAABkcnMvZTJvRG9jLnhtbFBLBQYAAAAABgAGAFkBAAA4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161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2738048" behindDoc="1" locked="0" layoutInCell="1" allowOverlap="1">
              <wp:simplePos x="0" y="0"/>
              <wp:positionH relativeFrom="page">
                <wp:posOffset>3668395</wp:posOffset>
              </wp:positionH>
              <wp:positionV relativeFrom="page">
                <wp:posOffset>10119360</wp:posOffset>
              </wp:positionV>
              <wp:extent cx="222250" cy="152400"/>
              <wp:effectExtent l="0" t="0" r="0" b="0"/>
              <wp:wrapNone/>
              <wp:docPr id="184" name="文本框 21"/>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170</w:t>
                          </w:r>
                          <w:r>
                            <w:fldChar w:fldCharType="end"/>
                          </w:r>
                        </w:p>
                      </w:txbxContent>
                    </wps:txbx>
                    <wps:bodyPr lIns="0" tIns="0" rIns="0" bIns="0" upright="1"/>
                  </wps:wsp>
                </a:graphicData>
              </a:graphic>
            </wp:anchor>
          </w:drawing>
        </mc:Choice>
        <mc:Fallback>
          <w:pict>
            <v:shape id="文本框 21" o:spid="_x0000_s1026" o:spt="202" type="#_x0000_t202" style="position:absolute;left:0pt;margin-left:288.85pt;margin-top:796.8pt;height:12pt;width:17.5pt;mso-position-horizontal-relative:page;mso-position-vertical-relative:page;z-index:-290578432;mso-width-relative:page;mso-height-relative:page;" filled="f" stroked="f" coordsize="21600,21600" o:gfxdata="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TV+z9NoAAAANAQAADwAAAAAA&#10;AAABACAAAAAiAAAAZHJzL2Rvd25yZXYueG1sUEsBAhQAFAAAAAgAh07iQIoU6N2fAQAAJgMAAA4A&#10;AAAAAAAAAQAgAAAAKQ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170</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2739072" behindDoc="1" locked="0" layoutInCell="1" allowOverlap="1">
              <wp:simplePos x="0" y="0"/>
              <wp:positionH relativeFrom="page">
                <wp:posOffset>3668395</wp:posOffset>
              </wp:positionH>
              <wp:positionV relativeFrom="page">
                <wp:posOffset>10119360</wp:posOffset>
              </wp:positionV>
              <wp:extent cx="222250" cy="152400"/>
              <wp:effectExtent l="0" t="0" r="0" b="0"/>
              <wp:wrapNone/>
              <wp:docPr id="185" name="文本框 22"/>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180</w:t>
                          </w:r>
                          <w:r>
                            <w:fldChar w:fldCharType="end"/>
                          </w:r>
                        </w:p>
                      </w:txbxContent>
                    </wps:txbx>
                    <wps:bodyPr lIns="0" tIns="0" rIns="0" bIns="0" upright="1"/>
                  </wps:wsp>
                </a:graphicData>
              </a:graphic>
            </wp:anchor>
          </w:drawing>
        </mc:Choice>
        <mc:Fallback>
          <w:pict>
            <v:shape id="文本框 22" o:spid="_x0000_s1026" o:spt="202" type="#_x0000_t202" style="position:absolute;left:0pt;margin-left:288.85pt;margin-top:796.8pt;height:12pt;width:17.5pt;mso-position-horizontal-relative:page;mso-position-vertical-relative:page;z-index:-290577408;mso-width-relative:page;mso-height-relative:page;" filled="f" stroked="f" coordsize="21600,21600" o:gfxdata="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TV+z9NoAAAANAQAADwAAAAAA&#10;AAABACAAAAAiAAAAZHJzL2Rvd25yZXYueG1sUEsBAhQAFAAAAAgAh07iQJMFgqCfAQAAJgMAAA4A&#10;AAAAAAAAAQAgAAAAKQ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180</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2740096" behindDoc="1" locked="0" layoutInCell="1" allowOverlap="1">
              <wp:simplePos x="0" y="0"/>
              <wp:positionH relativeFrom="page">
                <wp:posOffset>5234940</wp:posOffset>
              </wp:positionH>
              <wp:positionV relativeFrom="page">
                <wp:posOffset>6987540</wp:posOffset>
              </wp:positionV>
              <wp:extent cx="222250" cy="152400"/>
              <wp:effectExtent l="0" t="0" r="0" b="0"/>
              <wp:wrapNone/>
              <wp:docPr id="186" name="文本框 23"/>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186</w:t>
                          </w:r>
                          <w:r>
                            <w:fldChar w:fldCharType="end"/>
                          </w:r>
                        </w:p>
                      </w:txbxContent>
                    </wps:txbx>
                    <wps:bodyPr lIns="0" tIns="0" rIns="0" bIns="0" upright="1"/>
                  </wps:wsp>
                </a:graphicData>
              </a:graphic>
            </wp:anchor>
          </w:drawing>
        </mc:Choice>
        <mc:Fallback>
          <w:pict>
            <v:shape id="文本框 23" o:spid="_x0000_s1026" o:spt="202" type="#_x0000_t202" style="position:absolute;left:0pt;margin-left:412.2pt;margin-top:550.2pt;height:12pt;width:17.5pt;mso-position-horizontal-relative:page;mso-position-vertical-relative:page;z-index:-290576384;mso-width-relative:page;mso-height-relative:page;" filled="f" stroked="f" coordsize="21600,21600" o:gfxdata="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lASu/YAAAADQEAAA8AAAAAAAAA&#10;AQAgAAAAIgAAAGRycy9kb3ducmV2LnhtbFBLAQIUABQAAAAIAIdO4kBB6+W2nwEAACYDAAAOAAAA&#10;AAAAAAEAIAAAACcBAABkcnMvZTJvRG9jLnhtbFBLBQYAAAAABgAGAFkBAAA4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186</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2741120" behindDoc="1" locked="0" layoutInCell="1" allowOverlap="1">
              <wp:simplePos x="0" y="0"/>
              <wp:positionH relativeFrom="page">
                <wp:posOffset>5234940</wp:posOffset>
              </wp:positionH>
              <wp:positionV relativeFrom="page">
                <wp:posOffset>6987540</wp:posOffset>
              </wp:positionV>
              <wp:extent cx="222250" cy="152400"/>
              <wp:effectExtent l="0" t="0" r="0" b="0"/>
              <wp:wrapNone/>
              <wp:docPr id="187" name="文本框 24"/>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190</w:t>
                          </w:r>
                          <w:r>
                            <w:fldChar w:fldCharType="end"/>
                          </w:r>
                        </w:p>
                      </w:txbxContent>
                    </wps:txbx>
                    <wps:bodyPr lIns="0" tIns="0" rIns="0" bIns="0" upright="1"/>
                  </wps:wsp>
                </a:graphicData>
              </a:graphic>
            </wp:anchor>
          </w:drawing>
        </mc:Choice>
        <mc:Fallback>
          <w:pict>
            <v:shape id="文本框 24" o:spid="_x0000_s1026" o:spt="202" type="#_x0000_t202" style="position:absolute;left:0pt;margin-left:412.2pt;margin-top:550.2pt;height:12pt;width:17.5pt;mso-position-horizontal-relative:page;mso-position-vertical-relative:page;z-index:-290575360;mso-width-relative:page;mso-height-relative:page;" filled="f" stroked="f" coordsize="21600,21600" o:gfxdata="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pQErv2AAAAA0BAAAPAAAAAAAA&#10;AAEAIAAAACIAAABkcnMvZG93bnJldi54bWxQSwECFAAUAAAACACHTuJAoSdWWqABAAAmAwAADgAA&#10;AAAAAAABACAAAAAnAQAAZHJzL2Uyb0RvYy54bWxQSwUGAAAAAAYABgBZAQAAOQ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190</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2742144" behindDoc="1" locked="0" layoutInCell="1" allowOverlap="1">
              <wp:simplePos x="0" y="0"/>
              <wp:positionH relativeFrom="page">
                <wp:posOffset>3668395</wp:posOffset>
              </wp:positionH>
              <wp:positionV relativeFrom="page">
                <wp:posOffset>9921240</wp:posOffset>
              </wp:positionV>
              <wp:extent cx="222250" cy="152400"/>
              <wp:effectExtent l="0" t="0" r="0" b="0"/>
              <wp:wrapNone/>
              <wp:docPr id="188" name="文本框 25"/>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193</w:t>
                          </w:r>
                          <w:r>
                            <w:fldChar w:fldCharType="end"/>
                          </w:r>
                        </w:p>
                      </w:txbxContent>
                    </wps:txbx>
                    <wps:bodyPr lIns="0" tIns="0" rIns="0" bIns="0" upright="1"/>
                  </wps:wsp>
                </a:graphicData>
              </a:graphic>
            </wp:anchor>
          </w:drawing>
        </mc:Choice>
        <mc:Fallback>
          <w:pict>
            <v:shape id="文本框 25" o:spid="_x0000_s1026" o:spt="202" type="#_x0000_t202" style="position:absolute;left:0pt;margin-left:288.85pt;margin-top:781.2pt;height:12pt;width:17.5pt;mso-position-horizontal-relative:page;mso-position-vertical-relative:page;z-index:-290574336;mso-width-relative:page;mso-height-relative:page;" filled="f" stroked="f" coordsize="21600,21600" o:gfxdata="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WwZdo2gAAAA0BAAAPAAAAAAAA&#10;AAEAIAAAACIAAABkcnMvZG93bnJldi54bWxQSwECFAAUAAAACACHTuJAwq93hJ4BAAAmAwAADgAA&#10;AAAAAAABACAAAAApAQAAZHJzL2Uyb0RvYy54bWxQSwUGAAAAAAYABgBZAQAAOQ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193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12"/>
      </w:rPr>
    </w:pPr>
    <w:r>
      <mc:AlternateContent>
        <mc:Choice Requires="wps">
          <w:drawing>
            <wp:anchor distT="0" distB="0" distL="114300" distR="114300" simplePos="0" relativeHeight="212743168" behindDoc="1" locked="0" layoutInCell="1" allowOverlap="1">
              <wp:simplePos x="0" y="0"/>
              <wp:positionH relativeFrom="page">
                <wp:posOffset>3668395</wp:posOffset>
              </wp:positionH>
              <wp:positionV relativeFrom="page">
                <wp:posOffset>9921240</wp:posOffset>
              </wp:positionV>
              <wp:extent cx="222250" cy="152400"/>
              <wp:effectExtent l="0" t="0" r="0" b="0"/>
              <wp:wrapNone/>
              <wp:docPr id="189" name="文本框 26"/>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203</w:t>
                          </w:r>
                          <w:r>
                            <w:fldChar w:fldCharType="end"/>
                          </w:r>
                        </w:p>
                      </w:txbxContent>
                    </wps:txbx>
                    <wps:bodyPr lIns="0" tIns="0" rIns="0" bIns="0" upright="1"/>
                  </wps:wsp>
                </a:graphicData>
              </a:graphic>
            </wp:anchor>
          </w:drawing>
        </mc:Choice>
        <mc:Fallback>
          <w:pict>
            <v:shape id="文本框 26" o:spid="_x0000_s1026" o:spt="202" type="#_x0000_t202" style="position:absolute;left:0pt;margin-left:288.85pt;margin-top:781.2pt;height:12pt;width:17.5pt;mso-position-horizontal-relative:page;mso-position-vertical-relative:page;z-index:-290573312;mso-width-relative:page;mso-height-relative:page;" filled="f" stroked="f" coordsize="21600,21600" o:gfxdata="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1sGXaNoAAAANAQAADwAAAAAA&#10;AAABACAAAAAiAAAAZHJzL2Rvd25yZXYueG1sUEsBAhQAFAAAAAgAh07iQNu+HfmfAQAAJgMAAA4A&#10;AAAAAAAAAQAgAAAAKQ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2719616"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166" name="文本框 3"/>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w:t>
                          </w:r>
                          <w:r>
                            <w:fldChar w:fldCharType="end"/>
                          </w:r>
                        </w:p>
                      </w:txbxContent>
                    </wps:txbx>
                    <wps:bodyPr lIns="0" tIns="0" rIns="0" bIns="0" upright="1"/>
                  </wps:wsp>
                </a:graphicData>
              </a:graphic>
            </wp:anchor>
          </w:drawing>
        </mc:Choice>
        <mc:Fallback>
          <w:pict>
            <v:shape id="文本框 3" o:spid="_x0000_s1026" o:spt="202" type="#_x0000_t202" style="position:absolute;left:0pt;margin-left:291.15pt;margin-top:781.2pt;height:12pt;width:13.1pt;mso-position-horizontal-relative:page;mso-position-vertical-relative:page;z-index:-290596864;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nyfxnbAAAADQEAAA8AAAAA&#10;AAAAAQAgAAAAIgAAAGRycy9kb3ducmV2LnhtbFBLAQIUABQAAAAIAIdO4kCD3tEAnwEAACUDAAAO&#10;AAAAAAAAAAEAIAAAACo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2744192" behindDoc="1" locked="0" layoutInCell="1" allowOverlap="1">
              <wp:simplePos x="0" y="0"/>
              <wp:positionH relativeFrom="page">
                <wp:posOffset>3668395</wp:posOffset>
              </wp:positionH>
              <wp:positionV relativeFrom="page">
                <wp:posOffset>9921240</wp:posOffset>
              </wp:positionV>
              <wp:extent cx="222250" cy="152400"/>
              <wp:effectExtent l="0" t="0" r="0" b="0"/>
              <wp:wrapNone/>
              <wp:docPr id="190" name="文本框 27"/>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210</w:t>
                          </w:r>
                          <w:r>
                            <w:fldChar w:fldCharType="end"/>
                          </w:r>
                        </w:p>
                      </w:txbxContent>
                    </wps:txbx>
                    <wps:bodyPr lIns="0" tIns="0" rIns="0" bIns="0" upright="1"/>
                  </wps:wsp>
                </a:graphicData>
              </a:graphic>
            </wp:anchor>
          </w:drawing>
        </mc:Choice>
        <mc:Fallback>
          <w:pict>
            <v:shape id="文本框 27" o:spid="_x0000_s1026" o:spt="202" type="#_x0000_t202" style="position:absolute;left:0pt;margin-left:288.85pt;margin-top:781.2pt;height:12pt;width:17.5pt;mso-position-horizontal-relative:page;mso-position-vertical-relative:page;z-index:-290572288;mso-width-relative:page;mso-height-relative:page;" filled="f" stroked="f" coordsize="21600,21600" o:gfxdata="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1sGXaNoAAAANAQAADwAAAAAA&#10;AAABACAAAAAiAAAAZHJzL2Rvd25yZXYueG1sUEsBAhQAFAAAAAgAh07iQMrrkQKfAQAAJgMAAA4A&#10;AAAAAAAAAQAgAAAAKQ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210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2720640"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167" name="文本框 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wps:txbx>
                    <wps:bodyPr lIns="0" tIns="0" rIns="0" bIns="0" upright="1"/>
                  </wps:wsp>
                </a:graphicData>
              </a:graphic>
            </wp:anchor>
          </w:drawing>
        </mc:Choice>
        <mc:Fallback>
          <w:pict>
            <v:shape id="文本框 4" o:spid="_x0000_s1026" o:spt="202" type="#_x0000_t202" style="position:absolute;left:0pt;margin-left:291.15pt;margin-top:781.2pt;height:12pt;width:13.1pt;mso-position-horizontal-relative:page;mso-position-vertical-relative:page;z-index:-290595840;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nyfxnbAAAADQEAAA8AAAAA&#10;AAAAAQAgAAAAIgAAAGRycy9kb3ducmV2LnhtbFBLAQIUABQAAAAIAIdO4kBTn3WXnwEAACUDAAAO&#10;AAAAAAAAAAEAIAAAACo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2721664"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168" name="文本框 5"/>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40</w:t>
                          </w:r>
                          <w:r>
                            <w:fldChar w:fldCharType="end"/>
                          </w:r>
                        </w:p>
                      </w:txbxContent>
                    </wps:txbx>
                    <wps:bodyPr lIns="0" tIns="0" rIns="0" bIns="0" upright="1"/>
                  </wps:wsp>
                </a:graphicData>
              </a:graphic>
            </wp:anchor>
          </w:drawing>
        </mc:Choice>
        <mc:Fallback>
          <w:pict>
            <v:shape id="文本框 5" o:spid="_x0000_s1026" o:spt="202" type="#_x0000_t202" style="position:absolute;left:0pt;margin-left:291.15pt;margin-top:781.2pt;height:12pt;width:13.1pt;mso-position-horizontal-relative:page;mso-position-vertical-relative:page;z-index:-290594816;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nyfxnbAAAADQEAAA8AAAAA&#10;AAAAAQAgAAAAIgAAAGRycy9kb3ducmV2LnhtbFBLAQIUABQAAAAIAIdO4kDj1x2dnwEAACUDAAAO&#10;AAAAAAAAAAEAIAAAACo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12"/>
      </w:rPr>
    </w:pPr>
    <w:r>
      <mc:AlternateContent>
        <mc:Choice Requires="wps">
          <w:drawing>
            <wp:anchor distT="0" distB="0" distL="114300" distR="114300" simplePos="0" relativeHeight="212722688"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169" name="文本框 6"/>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54</w:t>
                          </w:r>
                          <w:r>
                            <w:fldChar w:fldCharType="end"/>
                          </w:r>
                        </w:p>
                      </w:txbxContent>
                    </wps:txbx>
                    <wps:bodyPr lIns="0" tIns="0" rIns="0" bIns="0" upright="1"/>
                  </wps:wsp>
                </a:graphicData>
              </a:graphic>
            </wp:anchor>
          </w:drawing>
        </mc:Choice>
        <mc:Fallback>
          <w:pict>
            <v:shape id="文本框 6" o:spid="_x0000_s1026" o:spt="202" type="#_x0000_t202" style="position:absolute;left:0pt;margin-left:291.15pt;margin-top:781.2pt;height:12pt;width:13.1pt;mso-position-horizontal-relative:page;mso-position-vertical-relative:page;z-index:-290593792;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nyfxnbAAAADQEAAA8AAAAA&#10;AAAAAQAgAAAAIgAAAGRycy9kb3ducmV2LnhtbFBLAQIUABQAAAAIAIdO4kDKS2CbnwEAACUDAAAO&#10;AAAAAAAAAAEAIAAAACo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2723712"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170" name="文本框 7"/>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60</w:t>
                          </w:r>
                          <w:r>
                            <w:fldChar w:fldCharType="end"/>
                          </w:r>
                        </w:p>
                      </w:txbxContent>
                    </wps:txbx>
                    <wps:bodyPr lIns="0" tIns="0" rIns="0" bIns="0" upright="1"/>
                  </wps:wsp>
                </a:graphicData>
              </a:graphic>
            </wp:anchor>
          </w:drawing>
        </mc:Choice>
        <mc:Fallback>
          <w:pict>
            <v:shape id="文本框 7" o:spid="_x0000_s1026" o:spt="202" type="#_x0000_t202" style="position:absolute;left:0pt;margin-left:291.15pt;margin-top:781.2pt;height:12pt;width:13.1pt;mso-position-horizontal-relative:page;mso-position-vertical-relative:page;z-index:-290592768;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6fJ/GdsAAAANAQAADwAAAAAA&#10;AAABACAAAAAiAAAAZHJzL2Rvd25yZXYueG1sUEsBAhQAFAAAAAgAh07iQMjRB1OeAQAAJQMAAA4A&#10;AAAAAAAAAQAgAAAAKg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2724736"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171" name="文本框 8"/>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70</w:t>
                          </w:r>
                          <w:r>
                            <w:fldChar w:fldCharType="end"/>
                          </w:r>
                        </w:p>
                      </w:txbxContent>
                    </wps:txbx>
                    <wps:bodyPr lIns="0" tIns="0" rIns="0" bIns="0" upright="1"/>
                  </wps:wsp>
                </a:graphicData>
              </a:graphic>
            </wp:anchor>
          </w:drawing>
        </mc:Choice>
        <mc:Fallback>
          <w:pict>
            <v:shape id="文本框 8" o:spid="_x0000_s1026" o:spt="202" type="#_x0000_t202" style="position:absolute;left:0pt;margin-left:291.15pt;margin-top:781.2pt;height:12pt;width:13.1pt;mso-position-horizontal-relative:page;mso-position-vertical-relative:page;z-index:-290591744;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nyfxnbAAAADQEAAA8AAAAA&#10;AAAAAQAgAAAAIgAAAGRycy9kb3ducmV2LnhtbFBLAQIUABQAAAAIAIdO4kCrLWE8nwEAACUDAAAO&#10;AAAAAAAAAAEAIAAAACo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70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4E4E29"/>
    <w:multiLevelType w:val="multilevel"/>
    <w:tmpl w:val="804E4E29"/>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1">
    <w:nsid w:val="813A4B87"/>
    <w:multiLevelType w:val="multilevel"/>
    <w:tmpl w:val="813A4B87"/>
    <w:lvl w:ilvl="0" w:tentative="0">
      <w:start w:val="1"/>
      <w:numFmt w:val="decimal"/>
      <w:lvlText w:val="（%1）"/>
      <w:lvlJc w:val="left"/>
      <w:pPr>
        <w:ind w:left="1387" w:hanging="651"/>
        <w:jc w:val="left"/>
      </w:pPr>
      <w:rPr>
        <w:rFonts w:hint="default" w:ascii="宋体" w:hAnsi="宋体" w:eastAsia="宋体" w:cs="宋体"/>
        <w:spacing w:val="-99"/>
        <w:w w:val="100"/>
        <w:sz w:val="24"/>
        <w:szCs w:val="24"/>
        <w:lang w:val="zh-CN" w:eastAsia="zh-CN" w:bidi="zh-CN"/>
      </w:rPr>
    </w:lvl>
    <w:lvl w:ilvl="1" w:tentative="0">
      <w:start w:val="0"/>
      <w:numFmt w:val="bullet"/>
      <w:lvlText w:val="•"/>
      <w:lvlJc w:val="left"/>
      <w:pPr>
        <w:ind w:left="2196" w:hanging="651"/>
      </w:pPr>
      <w:rPr>
        <w:rFonts w:hint="default"/>
        <w:lang w:val="zh-CN" w:eastAsia="zh-CN" w:bidi="zh-CN"/>
      </w:rPr>
    </w:lvl>
    <w:lvl w:ilvl="2" w:tentative="0">
      <w:start w:val="0"/>
      <w:numFmt w:val="bullet"/>
      <w:lvlText w:val="•"/>
      <w:lvlJc w:val="left"/>
      <w:pPr>
        <w:ind w:left="3013" w:hanging="651"/>
      </w:pPr>
      <w:rPr>
        <w:rFonts w:hint="default"/>
        <w:lang w:val="zh-CN" w:eastAsia="zh-CN" w:bidi="zh-CN"/>
      </w:rPr>
    </w:lvl>
    <w:lvl w:ilvl="3" w:tentative="0">
      <w:start w:val="0"/>
      <w:numFmt w:val="bullet"/>
      <w:lvlText w:val="•"/>
      <w:lvlJc w:val="left"/>
      <w:pPr>
        <w:ind w:left="3829" w:hanging="651"/>
      </w:pPr>
      <w:rPr>
        <w:rFonts w:hint="default"/>
        <w:lang w:val="zh-CN" w:eastAsia="zh-CN" w:bidi="zh-CN"/>
      </w:rPr>
    </w:lvl>
    <w:lvl w:ilvl="4" w:tentative="0">
      <w:start w:val="0"/>
      <w:numFmt w:val="bullet"/>
      <w:lvlText w:val="•"/>
      <w:lvlJc w:val="left"/>
      <w:pPr>
        <w:ind w:left="4646" w:hanging="651"/>
      </w:pPr>
      <w:rPr>
        <w:rFonts w:hint="default"/>
        <w:lang w:val="zh-CN" w:eastAsia="zh-CN" w:bidi="zh-CN"/>
      </w:rPr>
    </w:lvl>
    <w:lvl w:ilvl="5" w:tentative="0">
      <w:start w:val="0"/>
      <w:numFmt w:val="bullet"/>
      <w:lvlText w:val="•"/>
      <w:lvlJc w:val="left"/>
      <w:pPr>
        <w:ind w:left="5463" w:hanging="651"/>
      </w:pPr>
      <w:rPr>
        <w:rFonts w:hint="default"/>
        <w:lang w:val="zh-CN" w:eastAsia="zh-CN" w:bidi="zh-CN"/>
      </w:rPr>
    </w:lvl>
    <w:lvl w:ilvl="6" w:tentative="0">
      <w:start w:val="0"/>
      <w:numFmt w:val="bullet"/>
      <w:lvlText w:val="•"/>
      <w:lvlJc w:val="left"/>
      <w:pPr>
        <w:ind w:left="6279" w:hanging="651"/>
      </w:pPr>
      <w:rPr>
        <w:rFonts w:hint="default"/>
        <w:lang w:val="zh-CN" w:eastAsia="zh-CN" w:bidi="zh-CN"/>
      </w:rPr>
    </w:lvl>
    <w:lvl w:ilvl="7" w:tentative="0">
      <w:start w:val="0"/>
      <w:numFmt w:val="bullet"/>
      <w:lvlText w:val="•"/>
      <w:lvlJc w:val="left"/>
      <w:pPr>
        <w:ind w:left="7096" w:hanging="651"/>
      </w:pPr>
      <w:rPr>
        <w:rFonts w:hint="default"/>
        <w:lang w:val="zh-CN" w:eastAsia="zh-CN" w:bidi="zh-CN"/>
      </w:rPr>
    </w:lvl>
    <w:lvl w:ilvl="8" w:tentative="0">
      <w:start w:val="0"/>
      <w:numFmt w:val="bullet"/>
      <w:lvlText w:val="•"/>
      <w:lvlJc w:val="left"/>
      <w:pPr>
        <w:ind w:left="7912" w:hanging="651"/>
      </w:pPr>
      <w:rPr>
        <w:rFonts w:hint="default"/>
        <w:lang w:val="zh-CN" w:eastAsia="zh-CN" w:bidi="zh-CN"/>
      </w:rPr>
    </w:lvl>
  </w:abstractNum>
  <w:abstractNum w:abstractNumId="2">
    <w:nsid w:val="825EC3C5"/>
    <w:multiLevelType w:val="multilevel"/>
    <w:tmpl w:val="825EC3C5"/>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3">
    <w:nsid w:val="845B5372"/>
    <w:multiLevelType w:val="multilevel"/>
    <w:tmpl w:val="845B5372"/>
    <w:lvl w:ilvl="0" w:tentative="0">
      <w:start w:val="1"/>
      <w:numFmt w:val="decimal"/>
      <w:lvlText w:val="（%1）"/>
      <w:lvlJc w:val="left"/>
      <w:pPr>
        <w:ind w:left="1299" w:hanging="601"/>
        <w:jc w:val="left"/>
      </w:pPr>
      <w:rPr>
        <w:rFonts w:hint="default" w:ascii="宋体" w:hAnsi="宋体" w:eastAsia="宋体" w:cs="宋体"/>
        <w:w w:val="100"/>
        <w:sz w:val="22"/>
        <w:szCs w:val="22"/>
        <w:lang w:val="zh-CN" w:eastAsia="zh-CN" w:bidi="zh-CN"/>
      </w:rPr>
    </w:lvl>
    <w:lvl w:ilvl="1" w:tentative="0">
      <w:start w:val="2"/>
      <w:numFmt w:val="decimal"/>
      <w:lvlText w:val="（%2）"/>
      <w:lvlJc w:val="left"/>
      <w:pPr>
        <w:ind w:left="2501" w:hanging="60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3280" w:hanging="601"/>
      </w:pPr>
      <w:rPr>
        <w:rFonts w:hint="default"/>
        <w:lang w:val="zh-CN" w:eastAsia="zh-CN" w:bidi="zh-CN"/>
      </w:rPr>
    </w:lvl>
    <w:lvl w:ilvl="3" w:tentative="0">
      <w:start w:val="0"/>
      <w:numFmt w:val="bullet"/>
      <w:lvlText w:val="•"/>
      <w:lvlJc w:val="left"/>
      <w:pPr>
        <w:ind w:left="4061" w:hanging="601"/>
      </w:pPr>
      <w:rPr>
        <w:rFonts w:hint="default"/>
        <w:lang w:val="zh-CN" w:eastAsia="zh-CN" w:bidi="zh-CN"/>
      </w:rPr>
    </w:lvl>
    <w:lvl w:ilvl="4" w:tentative="0">
      <w:start w:val="0"/>
      <w:numFmt w:val="bullet"/>
      <w:lvlText w:val="•"/>
      <w:lvlJc w:val="left"/>
      <w:pPr>
        <w:ind w:left="4842" w:hanging="601"/>
      </w:pPr>
      <w:rPr>
        <w:rFonts w:hint="default"/>
        <w:lang w:val="zh-CN" w:eastAsia="zh-CN" w:bidi="zh-CN"/>
      </w:rPr>
    </w:lvl>
    <w:lvl w:ilvl="5" w:tentative="0">
      <w:start w:val="0"/>
      <w:numFmt w:val="bullet"/>
      <w:lvlText w:val="•"/>
      <w:lvlJc w:val="left"/>
      <w:pPr>
        <w:ind w:left="5622" w:hanging="601"/>
      </w:pPr>
      <w:rPr>
        <w:rFonts w:hint="default"/>
        <w:lang w:val="zh-CN" w:eastAsia="zh-CN" w:bidi="zh-CN"/>
      </w:rPr>
    </w:lvl>
    <w:lvl w:ilvl="6" w:tentative="0">
      <w:start w:val="0"/>
      <w:numFmt w:val="bullet"/>
      <w:lvlText w:val="•"/>
      <w:lvlJc w:val="left"/>
      <w:pPr>
        <w:ind w:left="6403" w:hanging="601"/>
      </w:pPr>
      <w:rPr>
        <w:rFonts w:hint="default"/>
        <w:lang w:val="zh-CN" w:eastAsia="zh-CN" w:bidi="zh-CN"/>
      </w:rPr>
    </w:lvl>
    <w:lvl w:ilvl="7" w:tentative="0">
      <w:start w:val="0"/>
      <w:numFmt w:val="bullet"/>
      <w:lvlText w:val="•"/>
      <w:lvlJc w:val="left"/>
      <w:pPr>
        <w:ind w:left="7184" w:hanging="601"/>
      </w:pPr>
      <w:rPr>
        <w:rFonts w:hint="default"/>
        <w:lang w:val="zh-CN" w:eastAsia="zh-CN" w:bidi="zh-CN"/>
      </w:rPr>
    </w:lvl>
    <w:lvl w:ilvl="8" w:tentative="0">
      <w:start w:val="0"/>
      <w:numFmt w:val="bullet"/>
      <w:lvlText w:val="•"/>
      <w:lvlJc w:val="left"/>
      <w:pPr>
        <w:ind w:left="7964" w:hanging="601"/>
      </w:pPr>
      <w:rPr>
        <w:rFonts w:hint="default"/>
        <w:lang w:val="zh-CN" w:eastAsia="zh-CN" w:bidi="zh-CN"/>
      </w:rPr>
    </w:lvl>
  </w:abstractNum>
  <w:abstractNum w:abstractNumId="4">
    <w:nsid w:val="8461FADE"/>
    <w:multiLevelType w:val="multilevel"/>
    <w:tmpl w:val="8461FADE"/>
    <w:lvl w:ilvl="0" w:tentative="0">
      <w:start w:val="1"/>
      <w:numFmt w:val="decimal"/>
      <w:lvlText w:val="（%1）"/>
      <w:lvlJc w:val="left"/>
      <w:pPr>
        <w:ind w:left="12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24" w:hanging="601"/>
      </w:pPr>
      <w:rPr>
        <w:rFonts w:hint="default"/>
        <w:lang w:val="zh-CN" w:eastAsia="zh-CN" w:bidi="zh-CN"/>
      </w:rPr>
    </w:lvl>
    <w:lvl w:ilvl="2" w:tentative="0">
      <w:start w:val="0"/>
      <w:numFmt w:val="bullet"/>
      <w:lvlText w:val="•"/>
      <w:lvlJc w:val="left"/>
      <w:pPr>
        <w:ind w:left="2949" w:hanging="601"/>
      </w:pPr>
      <w:rPr>
        <w:rFonts w:hint="default"/>
        <w:lang w:val="zh-CN" w:eastAsia="zh-CN" w:bidi="zh-CN"/>
      </w:rPr>
    </w:lvl>
    <w:lvl w:ilvl="3" w:tentative="0">
      <w:start w:val="0"/>
      <w:numFmt w:val="bullet"/>
      <w:lvlText w:val="•"/>
      <w:lvlJc w:val="left"/>
      <w:pPr>
        <w:ind w:left="3773" w:hanging="601"/>
      </w:pPr>
      <w:rPr>
        <w:rFonts w:hint="default"/>
        <w:lang w:val="zh-CN" w:eastAsia="zh-CN" w:bidi="zh-CN"/>
      </w:rPr>
    </w:lvl>
    <w:lvl w:ilvl="4" w:tentative="0">
      <w:start w:val="0"/>
      <w:numFmt w:val="bullet"/>
      <w:lvlText w:val="•"/>
      <w:lvlJc w:val="left"/>
      <w:pPr>
        <w:ind w:left="4598" w:hanging="601"/>
      </w:pPr>
      <w:rPr>
        <w:rFonts w:hint="default"/>
        <w:lang w:val="zh-CN" w:eastAsia="zh-CN" w:bidi="zh-CN"/>
      </w:rPr>
    </w:lvl>
    <w:lvl w:ilvl="5" w:tentative="0">
      <w:start w:val="0"/>
      <w:numFmt w:val="bullet"/>
      <w:lvlText w:val="•"/>
      <w:lvlJc w:val="left"/>
      <w:pPr>
        <w:ind w:left="5423" w:hanging="601"/>
      </w:pPr>
      <w:rPr>
        <w:rFonts w:hint="default"/>
        <w:lang w:val="zh-CN" w:eastAsia="zh-CN" w:bidi="zh-CN"/>
      </w:rPr>
    </w:lvl>
    <w:lvl w:ilvl="6" w:tentative="0">
      <w:start w:val="0"/>
      <w:numFmt w:val="bullet"/>
      <w:lvlText w:val="•"/>
      <w:lvlJc w:val="left"/>
      <w:pPr>
        <w:ind w:left="6247" w:hanging="601"/>
      </w:pPr>
      <w:rPr>
        <w:rFonts w:hint="default"/>
        <w:lang w:val="zh-CN" w:eastAsia="zh-CN" w:bidi="zh-CN"/>
      </w:rPr>
    </w:lvl>
    <w:lvl w:ilvl="7" w:tentative="0">
      <w:start w:val="0"/>
      <w:numFmt w:val="bullet"/>
      <w:lvlText w:val="•"/>
      <w:lvlJc w:val="left"/>
      <w:pPr>
        <w:ind w:left="7072" w:hanging="601"/>
      </w:pPr>
      <w:rPr>
        <w:rFonts w:hint="default"/>
        <w:lang w:val="zh-CN" w:eastAsia="zh-CN" w:bidi="zh-CN"/>
      </w:rPr>
    </w:lvl>
    <w:lvl w:ilvl="8" w:tentative="0">
      <w:start w:val="0"/>
      <w:numFmt w:val="bullet"/>
      <w:lvlText w:val="•"/>
      <w:lvlJc w:val="left"/>
      <w:pPr>
        <w:ind w:left="7896" w:hanging="601"/>
      </w:pPr>
      <w:rPr>
        <w:rFonts w:hint="default"/>
        <w:lang w:val="zh-CN" w:eastAsia="zh-CN" w:bidi="zh-CN"/>
      </w:rPr>
    </w:lvl>
  </w:abstractNum>
  <w:abstractNum w:abstractNumId="5">
    <w:nsid w:val="883B3669"/>
    <w:multiLevelType w:val="multilevel"/>
    <w:tmpl w:val="883B3669"/>
    <w:lvl w:ilvl="0" w:tentative="0">
      <w:start w:val="2"/>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6">
    <w:nsid w:val="8CAEB125"/>
    <w:multiLevelType w:val="multilevel"/>
    <w:tmpl w:val="8CAEB125"/>
    <w:lvl w:ilvl="0" w:tentative="0">
      <w:start w:val="2"/>
      <w:numFmt w:val="decimal"/>
      <w:lvlText w:val="%1"/>
      <w:lvlJc w:val="left"/>
      <w:pPr>
        <w:ind w:left="1867" w:hanging="449"/>
        <w:jc w:val="left"/>
      </w:pPr>
      <w:rPr>
        <w:rFonts w:hint="default"/>
        <w:lang w:val="zh-CN" w:eastAsia="zh-CN" w:bidi="zh-CN"/>
      </w:rPr>
    </w:lvl>
    <w:lvl w:ilvl="1" w:tentative="0">
      <w:start w:val="5"/>
      <w:numFmt w:val="decimal"/>
      <w:lvlText w:val="%1.%2"/>
      <w:lvlJc w:val="left"/>
      <w:pPr>
        <w:ind w:left="1867" w:hanging="449"/>
        <w:jc w:val="righ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3）"/>
      <w:lvlJc w:val="left"/>
      <w:pPr>
        <w:ind w:left="2499" w:hanging="601"/>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4590" w:hanging="601"/>
      </w:pPr>
      <w:rPr>
        <w:rFonts w:hint="default"/>
        <w:lang w:val="zh-CN" w:eastAsia="zh-CN" w:bidi="zh-CN"/>
      </w:rPr>
    </w:lvl>
    <w:lvl w:ilvl="4" w:tentative="0">
      <w:start w:val="0"/>
      <w:numFmt w:val="bullet"/>
      <w:lvlText w:val="•"/>
      <w:lvlJc w:val="left"/>
      <w:pPr>
        <w:ind w:left="5635" w:hanging="601"/>
      </w:pPr>
      <w:rPr>
        <w:rFonts w:hint="default"/>
        <w:lang w:val="zh-CN" w:eastAsia="zh-CN" w:bidi="zh-CN"/>
      </w:rPr>
    </w:lvl>
    <w:lvl w:ilvl="5" w:tentative="0">
      <w:start w:val="0"/>
      <w:numFmt w:val="bullet"/>
      <w:lvlText w:val="•"/>
      <w:lvlJc w:val="left"/>
      <w:pPr>
        <w:ind w:left="6680" w:hanging="601"/>
      </w:pPr>
      <w:rPr>
        <w:rFonts w:hint="default"/>
        <w:lang w:val="zh-CN" w:eastAsia="zh-CN" w:bidi="zh-CN"/>
      </w:rPr>
    </w:lvl>
    <w:lvl w:ilvl="6" w:tentative="0">
      <w:start w:val="0"/>
      <w:numFmt w:val="bullet"/>
      <w:lvlText w:val="•"/>
      <w:lvlJc w:val="left"/>
      <w:pPr>
        <w:ind w:left="7725" w:hanging="601"/>
      </w:pPr>
      <w:rPr>
        <w:rFonts w:hint="default"/>
        <w:lang w:val="zh-CN" w:eastAsia="zh-CN" w:bidi="zh-CN"/>
      </w:rPr>
    </w:lvl>
    <w:lvl w:ilvl="7" w:tentative="0">
      <w:start w:val="0"/>
      <w:numFmt w:val="bullet"/>
      <w:lvlText w:val="•"/>
      <w:lvlJc w:val="left"/>
      <w:pPr>
        <w:ind w:left="8770" w:hanging="601"/>
      </w:pPr>
      <w:rPr>
        <w:rFonts w:hint="default"/>
        <w:lang w:val="zh-CN" w:eastAsia="zh-CN" w:bidi="zh-CN"/>
      </w:rPr>
    </w:lvl>
    <w:lvl w:ilvl="8" w:tentative="0">
      <w:start w:val="0"/>
      <w:numFmt w:val="bullet"/>
      <w:lvlText w:val="•"/>
      <w:lvlJc w:val="left"/>
      <w:pPr>
        <w:ind w:left="9815" w:hanging="601"/>
      </w:pPr>
      <w:rPr>
        <w:rFonts w:hint="default"/>
        <w:lang w:val="zh-CN" w:eastAsia="zh-CN" w:bidi="zh-CN"/>
      </w:rPr>
    </w:lvl>
  </w:abstractNum>
  <w:abstractNum w:abstractNumId="7">
    <w:nsid w:val="91995D4F"/>
    <w:multiLevelType w:val="multilevel"/>
    <w:tmpl w:val="91995D4F"/>
    <w:lvl w:ilvl="0" w:tentative="0">
      <w:start w:val="1"/>
      <w:numFmt w:val="decimal"/>
      <w:lvlText w:val="%1）"/>
      <w:lvlJc w:val="left"/>
      <w:pPr>
        <w:ind w:left="1059"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908" w:hanging="361"/>
      </w:pPr>
      <w:rPr>
        <w:rFonts w:hint="default"/>
        <w:lang w:val="zh-CN" w:eastAsia="zh-CN" w:bidi="zh-CN"/>
      </w:rPr>
    </w:lvl>
    <w:lvl w:ilvl="2" w:tentative="0">
      <w:start w:val="0"/>
      <w:numFmt w:val="bullet"/>
      <w:lvlText w:val="•"/>
      <w:lvlJc w:val="left"/>
      <w:pPr>
        <w:ind w:left="2757" w:hanging="361"/>
      </w:pPr>
      <w:rPr>
        <w:rFonts w:hint="default"/>
        <w:lang w:val="zh-CN" w:eastAsia="zh-CN" w:bidi="zh-CN"/>
      </w:rPr>
    </w:lvl>
    <w:lvl w:ilvl="3" w:tentative="0">
      <w:start w:val="0"/>
      <w:numFmt w:val="bullet"/>
      <w:lvlText w:val="•"/>
      <w:lvlJc w:val="left"/>
      <w:pPr>
        <w:ind w:left="3605" w:hanging="361"/>
      </w:pPr>
      <w:rPr>
        <w:rFonts w:hint="default"/>
        <w:lang w:val="zh-CN" w:eastAsia="zh-CN" w:bidi="zh-CN"/>
      </w:rPr>
    </w:lvl>
    <w:lvl w:ilvl="4" w:tentative="0">
      <w:start w:val="0"/>
      <w:numFmt w:val="bullet"/>
      <w:lvlText w:val="•"/>
      <w:lvlJc w:val="left"/>
      <w:pPr>
        <w:ind w:left="4454" w:hanging="361"/>
      </w:pPr>
      <w:rPr>
        <w:rFonts w:hint="default"/>
        <w:lang w:val="zh-CN" w:eastAsia="zh-CN" w:bidi="zh-CN"/>
      </w:rPr>
    </w:lvl>
    <w:lvl w:ilvl="5" w:tentative="0">
      <w:start w:val="0"/>
      <w:numFmt w:val="bullet"/>
      <w:lvlText w:val="•"/>
      <w:lvlJc w:val="left"/>
      <w:pPr>
        <w:ind w:left="5303" w:hanging="361"/>
      </w:pPr>
      <w:rPr>
        <w:rFonts w:hint="default"/>
        <w:lang w:val="zh-CN" w:eastAsia="zh-CN" w:bidi="zh-CN"/>
      </w:rPr>
    </w:lvl>
    <w:lvl w:ilvl="6" w:tentative="0">
      <w:start w:val="0"/>
      <w:numFmt w:val="bullet"/>
      <w:lvlText w:val="•"/>
      <w:lvlJc w:val="left"/>
      <w:pPr>
        <w:ind w:left="6151" w:hanging="361"/>
      </w:pPr>
      <w:rPr>
        <w:rFonts w:hint="default"/>
        <w:lang w:val="zh-CN" w:eastAsia="zh-CN" w:bidi="zh-CN"/>
      </w:rPr>
    </w:lvl>
    <w:lvl w:ilvl="7" w:tentative="0">
      <w:start w:val="0"/>
      <w:numFmt w:val="bullet"/>
      <w:lvlText w:val="•"/>
      <w:lvlJc w:val="left"/>
      <w:pPr>
        <w:ind w:left="7000" w:hanging="361"/>
      </w:pPr>
      <w:rPr>
        <w:rFonts w:hint="default"/>
        <w:lang w:val="zh-CN" w:eastAsia="zh-CN" w:bidi="zh-CN"/>
      </w:rPr>
    </w:lvl>
    <w:lvl w:ilvl="8" w:tentative="0">
      <w:start w:val="0"/>
      <w:numFmt w:val="bullet"/>
      <w:lvlText w:val="•"/>
      <w:lvlJc w:val="left"/>
      <w:pPr>
        <w:ind w:left="7848" w:hanging="361"/>
      </w:pPr>
      <w:rPr>
        <w:rFonts w:hint="default"/>
        <w:lang w:val="zh-CN" w:eastAsia="zh-CN" w:bidi="zh-CN"/>
      </w:rPr>
    </w:lvl>
  </w:abstractNum>
  <w:abstractNum w:abstractNumId="8">
    <w:nsid w:val="91B69C97"/>
    <w:multiLevelType w:val="multilevel"/>
    <w:tmpl w:val="91B69C97"/>
    <w:lvl w:ilvl="0" w:tentative="0">
      <w:start w:val="2"/>
      <w:numFmt w:val="decimal"/>
      <w:lvlText w:val="（%1）"/>
      <w:lvlJc w:val="left"/>
      <w:pPr>
        <w:ind w:left="1020" w:hanging="601"/>
        <w:jc w:val="left"/>
      </w:pPr>
      <w:rPr>
        <w:rFonts w:hint="default" w:ascii="宋体" w:hAnsi="宋体" w:eastAsia="宋体" w:cs="宋体"/>
        <w:spacing w:val="-41"/>
        <w:w w:val="100"/>
        <w:sz w:val="22"/>
        <w:szCs w:val="22"/>
        <w:lang w:val="zh-CN" w:eastAsia="zh-CN" w:bidi="zh-CN"/>
      </w:rPr>
    </w:lvl>
    <w:lvl w:ilvl="1" w:tentative="0">
      <w:start w:val="0"/>
      <w:numFmt w:val="bullet"/>
      <w:lvlText w:val="•"/>
      <w:lvlJc w:val="left"/>
      <w:pPr>
        <w:ind w:left="1898" w:hanging="601"/>
      </w:pPr>
      <w:rPr>
        <w:rFonts w:hint="default"/>
        <w:lang w:val="zh-CN" w:eastAsia="zh-CN" w:bidi="zh-CN"/>
      </w:rPr>
    </w:lvl>
    <w:lvl w:ilvl="2" w:tentative="0">
      <w:start w:val="0"/>
      <w:numFmt w:val="bullet"/>
      <w:lvlText w:val="•"/>
      <w:lvlJc w:val="left"/>
      <w:pPr>
        <w:ind w:left="2777" w:hanging="601"/>
      </w:pPr>
      <w:rPr>
        <w:rFonts w:hint="default"/>
        <w:lang w:val="zh-CN" w:eastAsia="zh-CN" w:bidi="zh-CN"/>
      </w:rPr>
    </w:lvl>
    <w:lvl w:ilvl="3" w:tentative="0">
      <w:start w:val="0"/>
      <w:numFmt w:val="bullet"/>
      <w:lvlText w:val="•"/>
      <w:lvlJc w:val="left"/>
      <w:pPr>
        <w:ind w:left="3655" w:hanging="601"/>
      </w:pPr>
      <w:rPr>
        <w:rFonts w:hint="default"/>
        <w:lang w:val="zh-CN" w:eastAsia="zh-CN" w:bidi="zh-CN"/>
      </w:rPr>
    </w:lvl>
    <w:lvl w:ilvl="4" w:tentative="0">
      <w:start w:val="0"/>
      <w:numFmt w:val="bullet"/>
      <w:lvlText w:val="•"/>
      <w:lvlJc w:val="left"/>
      <w:pPr>
        <w:ind w:left="4534" w:hanging="601"/>
      </w:pPr>
      <w:rPr>
        <w:rFonts w:hint="default"/>
        <w:lang w:val="zh-CN" w:eastAsia="zh-CN" w:bidi="zh-CN"/>
      </w:rPr>
    </w:lvl>
    <w:lvl w:ilvl="5" w:tentative="0">
      <w:start w:val="0"/>
      <w:numFmt w:val="bullet"/>
      <w:lvlText w:val="•"/>
      <w:lvlJc w:val="left"/>
      <w:pPr>
        <w:ind w:left="5413" w:hanging="601"/>
      </w:pPr>
      <w:rPr>
        <w:rFonts w:hint="default"/>
        <w:lang w:val="zh-CN" w:eastAsia="zh-CN" w:bidi="zh-CN"/>
      </w:rPr>
    </w:lvl>
    <w:lvl w:ilvl="6" w:tentative="0">
      <w:start w:val="0"/>
      <w:numFmt w:val="bullet"/>
      <w:lvlText w:val="•"/>
      <w:lvlJc w:val="left"/>
      <w:pPr>
        <w:ind w:left="6291" w:hanging="601"/>
      </w:pPr>
      <w:rPr>
        <w:rFonts w:hint="default"/>
        <w:lang w:val="zh-CN" w:eastAsia="zh-CN" w:bidi="zh-CN"/>
      </w:rPr>
    </w:lvl>
    <w:lvl w:ilvl="7" w:tentative="0">
      <w:start w:val="0"/>
      <w:numFmt w:val="bullet"/>
      <w:lvlText w:val="•"/>
      <w:lvlJc w:val="left"/>
      <w:pPr>
        <w:ind w:left="7170" w:hanging="601"/>
      </w:pPr>
      <w:rPr>
        <w:rFonts w:hint="default"/>
        <w:lang w:val="zh-CN" w:eastAsia="zh-CN" w:bidi="zh-CN"/>
      </w:rPr>
    </w:lvl>
    <w:lvl w:ilvl="8" w:tentative="0">
      <w:start w:val="0"/>
      <w:numFmt w:val="bullet"/>
      <w:lvlText w:val="•"/>
      <w:lvlJc w:val="left"/>
      <w:pPr>
        <w:ind w:left="8048" w:hanging="601"/>
      </w:pPr>
      <w:rPr>
        <w:rFonts w:hint="default"/>
        <w:lang w:val="zh-CN" w:eastAsia="zh-CN" w:bidi="zh-CN"/>
      </w:rPr>
    </w:lvl>
  </w:abstractNum>
  <w:abstractNum w:abstractNumId="9">
    <w:nsid w:val="9239341B"/>
    <w:multiLevelType w:val="multilevel"/>
    <w:tmpl w:val="9239341B"/>
    <w:lvl w:ilvl="0" w:tentative="0">
      <w:start w:val="1"/>
      <w:numFmt w:val="decimal"/>
      <w:lvlText w:val="（%1）"/>
      <w:lvlJc w:val="left"/>
      <w:pPr>
        <w:ind w:left="1299" w:hanging="601"/>
        <w:jc w:val="left"/>
      </w:pPr>
      <w:rPr>
        <w:rFonts w:hint="default" w:ascii="宋体" w:hAnsi="宋体" w:eastAsia="宋体" w:cs="宋体"/>
        <w:color w:val="FF0000"/>
        <w:spacing w:val="-1"/>
        <w:w w:val="100"/>
        <w:sz w:val="22"/>
        <w:szCs w:val="22"/>
        <w:lang w:val="zh-CN" w:eastAsia="zh-CN" w:bidi="zh-CN"/>
      </w:rPr>
    </w:lvl>
    <w:lvl w:ilvl="1" w:tentative="0">
      <w:start w:val="0"/>
      <w:numFmt w:val="bullet"/>
      <w:lvlText w:val="•"/>
      <w:lvlJc w:val="left"/>
      <w:pPr>
        <w:ind w:left="2124" w:hanging="601"/>
      </w:pPr>
      <w:rPr>
        <w:rFonts w:hint="default"/>
        <w:lang w:val="zh-CN" w:eastAsia="zh-CN" w:bidi="zh-CN"/>
      </w:rPr>
    </w:lvl>
    <w:lvl w:ilvl="2" w:tentative="0">
      <w:start w:val="0"/>
      <w:numFmt w:val="bullet"/>
      <w:lvlText w:val="•"/>
      <w:lvlJc w:val="left"/>
      <w:pPr>
        <w:ind w:left="2949" w:hanging="601"/>
      </w:pPr>
      <w:rPr>
        <w:rFonts w:hint="default"/>
        <w:lang w:val="zh-CN" w:eastAsia="zh-CN" w:bidi="zh-CN"/>
      </w:rPr>
    </w:lvl>
    <w:lvl w:ilvl="3" w:tentative="0">
      <w:start w:val="0"/>
      <w:numFmt w:val="bullet"/>
      <w:lvlText w:val="•"/>
      <w:lvlJc w:val="left"/>
      <w:pPr>
        <w:ind w:left="3773" w:hanging="601"/>
      </w:pPr>
      <w:rPr>
        <w:rFonts w:hint="default"/>
        <w:lang w:val="zh-CN" w:eastAsia="zh-CN" w:bidi="zh-CN"/>
      </w:rPr>
    </w:lvl>
    <w:lvl w:ilvl="4" w:tentative="0">
      <w:start w:val="0"/>
      <w:numFmt w:val="bullet"/>
      <w:lvlText w:val="•"/>
      <w:lvlJc w:val="left"/>
      <w:pPr>
        <w:ind w:left="4598" w:hanging="601"/>
      </w:pPr>
      <w:rPr>
        <w:rFonts w:hint="default"/>
        <w:lang w:val="zh-CN" w:eastAsia="zh-CN" w:bidi="zh-CN"/>
      </w:rPr>
    </w:lvl>
    <w:lvl w:ilvl="5" w:tentative="0">
      <w:start w:val="0"/>
      <w:numFmt w:val="bullet"/>
      <w:lvlText w:val="•"/>
      <w:lvlJc w:val="left"/>
      <w:pPr>
        <w:ind w:left="5423" w:hanging="601"/>
      </w:pPr>
      <w:rPr>
        <w:rFonts w:hint="default"/>
        <w:lang w:val="zh-CN" w:eastAsia="zh-CN" w:bidi="zh-CN"/>
      </w:rPr>
    </w:lvl>
    <w:lvl w:ilvl="6" w:tentative="0">
      <w:start w:val="0"/>
      <w:numFmt w:val="bullet"/>
      <w:lvlText w:val="•"/>
      <w:lvlJc w:val="left"/>
      <w:pPr>
        <w:ind w:left="6247" w:hanging="601"/>
      </w:pPr>
      <w:rPr>
        <w:rFonts w:hint="default"/>
        <w:lang w:val="zh-CN" w:eastAsia="zh-CN" w:bidi="zh-CN"/>
      </w:rPr>
    </w:lvl>
    <w:lvl w:ilvl="7" w:tentative="0">
      <w:start w:val="0"/>
      <w:numFmt w:val="bullet"/>
      <w:lvlText w:val="•"/>
      <w:lvlJc w:val="left"/>
      <w:pPr>
        <w:ind w:left="7072" w:hanging="601"/>
      </w:pPr>
      <w:rPr>
        <w:rFonts w:hint="default"/>
        <w:lang w:val="zh-CN" w:eastAsia="zh-CN" w:bidi="zh-CN"/>
      </w:rPr>
    </w:lvl>
    <w:lvl w:ilvl="8" w:tentative="0">
      <w:start w:val="0"/>
      <w:numFmt w:val="bullet"/>
      <w:lvlText w:val="•"/>
      <w:lvlJc w:val="left"/>
      <w:pPr>
        <w:ind w:left="7896" w:hanging="601"/>
      </w:pPr>
      <w:rPr>
        <w:rFonts w:hint="default"/>
        <w:lang w:val="zh-CN" w:eastAsia="zh-CN" w:bidi="zh-CN"/>
      </w:rPr>
    </w:lvl>
  </w:abstractNum>
  <w:abstractNum w:abstractNumId="10">
    <w:nsid w:val="9288B902"/>
    <w:multiLevelType w:val="multilevel"/>
    <w:tmpl w:val="9288B902"/>
    <w:lvl w:ilvl="0" w:tentative="0">
      <w:start w:val="1"/>
      <w:numFmt w:val="decimal"/>
      <w:lvlText w:val="（%1）"/>
      <w:lvlJc w:val="left"/>
      <w:pPr>
        <w:ind w:left="151" w:hanging="527"/>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810" w:hanging="527"/>
      </w:pPr>
      <w:rPr>
        <w:rFonts w:hint="default"/>
        <w:lang w:val="zh-CN" w:eastAsia="zh-CN" w:bidi="zh-CN"/>
      </w:rPr>
    </w:lvl>
    <w:lvl w:ilvl="2" w:tentative="0">
      <w:start w:val="0"/>
      <w:numFmt w:val="bullet"/>
      <w:lvlText w:val="•"/>
      <w:lvlJc w:val="left"/>
      <w:pPr>
        <w:ind w:left="1460" w:hanging="527"/>
      </w:pPr>
      <w:rPr>
        <w:rFonts w:hint="default"/>
        <w:lang w:val="zh-CN" w:eastAsia="zh-CN" w:bidi="zh-CN"/>
      </w:rPr>
    </w:lvl>
    <w:lvl w:ilvl="3" w:tentative="0">
      <w:start w:val="0"/>
      <w:numFmt w:val="bullet"/>
      <w:lvlText w:val="•"/>
      <w:lvlJc w:val="left"/>
      <w:pPr>
        <w:ind w:left="2110" w:hanging="527"/>
      </w:pPr>
      <w:rPr>
        <w:rFonts w:hint="default"/>
        <w:lang w:val="zh-CN" w:eastAsia="zh-CN" w:bidi="zh-CN"/>
      </w:rPr>
    </w:lvl>
    <w:lvl w:ilvl="4" w:tentative="0">
      <w:start w:val="0"/>
      <w:numFmt w:val="bullet"/>
      <w:lvlText w:val="•"/>
      <w:lvlJc w:val="left"/>
      <w:pPr>
        <w:ind w:left="2760" w:hanging="527"/>
      </w:pPr>
      <w:rPr>
        <w:rFonts w:hint="default"/>
        <w:lang w:val="zh-CN" w:eastAsia="zh-CN" w:bidi="zh-CN"/>
      </w:rPr>
    </w:lvl>
    <w:lvl w:ilvl="5" w:tentative="0">
      <w:start w:val="0"/>
      <w:numFmt w:val="bullet"/>
      <w:lvlText w:val="•"/>
      <w:lvlJc w:val="left"/>
      <w:pPr>
        <w:ind w:left="3410" w:hanging="527"/>
      </w:pPr>
      <w:rPr>
        <w:rFonts w:hint="default"/>
        <w:lang w:val="zh-CN" w:eastAsia="zh-CN" w:bidi="zh-CN"/>
      </w:rPr>
    </w:lvl>
    <w:lvl w:ilvl="6" w:tentative="0">
      <w:start w:val="0"/>
      <w:numFmt w:val="bullet"/>
      <w:lvlText w:val="•"/>
      <w:lvlJc w:val="left"/>
      <w:pPr>
        <w:ind w:left="4060" w:hanging="527"/>
      </w:pPr>
      <w:rPr>
        <w:rFonts w:hint="default"/>
        <w:lang w:val="zh-CN" w:eastAsia="zh-CN" w:bidi="zh-CN"/>
      </w:rPr>
    </w:lvl>
    <w:lvl w:ilvl="7" w:tentative="0">
      <w:start w:val="0"/>
      <w:numFmt w:val="bullet"/>
      <w:lvlText w:val="•"/>
      <w:lvlJc w:val="left"/>
      <w:pPr>
        <w:ind w:left="4710" w:hanging="527"/>
      </w:pPr>
      <w:rPr>
        <w:rFonts w:hint="default"/>
        <w:lang w:val="zh-CN" w:eastAsia="zh-CN" w:bidi="zh-CN"/>
      </w:rPr>
    </w:lvl>
    <w:lvl w:ilvl="8" w:tentative="0">
      <w:start w:val="0"/>
      <w:numFmt w:val="bullet"/>
      <w:lvlText w:val="•"/>
      <w:lvlJc w:val="left"/>
      <w:pPr>
        <w:ind w:left="5360" w:hanging="527"/>
      </w:pPr>
      <w:rPr>
        <w:rFonts w:hint="default"/>
        <w:lang w:val="zh-CN" w:eastAsia="zh-CN" w:bidi="zh-CN"/>
      </w:rPr>
    </w:lvl>
  </w:abstractNum>
  <w:abstractNum w:abstractNumId="11">
    <w:nsid w:val="9377BC45"/>
    <w:multiLevelType w:val="multilevel"/>
    <w:tmpl w:val="9377BC45"/>
    <w:lvl w:ilvl="0" w:tentative="0">
      <w:start w:val="13"/>
      <w:numFmt w:val="decimal"/>
      <w:lvlText w:val="%1"/>
      <w:lvlJc w:val="left"/>
      <w:pPr>
        <w:ind w:left="1200" w:hanging="600"/>
        <w:jc w:val="left"/>
      </w:pPr>
      <w:rPr>
        <w:rFonts w:hint="default"/>
        <w:lang w:val="zh-CN" w:eastAsia="zh-CN" w:bidi="zh-CN"/>
      </w:rPr>
    </w:lvl>
    <w:lvl w:ilvl="1" w:tentative="0">
      <w:start w:val="1"/>
      <w:numFmt w:val="decimal"/>
      <w:lvlText w:val="%1.%2"/>
      <w:lvlJc w:val="left"/>
      <w:pPr>
        <w:ind w:left="1200" w:hanging="600"/>
        <w:jc w:val="lef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3）"/>
      <w:lvlJc w:val="left"/>
      <w:pPr>
        <w:ind w:left="1621" w:hanging="601"/>
        <w:jc w:val="left"/>
      </w:pPr>
      <w:rPr>
        <w:rFonts w:hint="default" w:ascii="宋体" w:hAnsi="宋体" w:eastAsia="宋体" w:cs="宋体"/>
        <w:spacing w:val="-12"/>
        <w:w w:val="100"/>
        <w:sz w:val="22"/>
        <w:szCs w:val="22"/>
        <w:lang w:val="zh-CN" w:eastAsia="zh-CN" w:bidi="zh-CN"/>
      </w:rPr>
    </w:lvl>
    <w:lvl w:ilvl="3" w:tentative="0">
      <w:start w:val="0"/>
      <w:numFmt w:val="bullet"/>
      <w:lvlText w:val="•"/>
      <w:lvlJc w:val="left"/>
      <w:pPr>
        <w:ind w:left="3439" w:hanging="601"/>
      </w:pPr>
      <w:rPr>
        <w:rFonts w:hint="default"/>
        <w:lang w:val="zh-CN" w:eastAsia="zh-CN" w:bidi="zh-CN"/>
      </w:rPr>
    </w:lvl>
    <w:lvl w:ilvl="4" w:tentative="0">
      <w:start w:val="0"/>
      <w:numFmt w:val="bullet"/>
      <w:lvlText w:val="•"/>
      <w:lvlJc w:val="left"/>
      <w:pPr>
        <w:ind w:left="4348" w:hanging="601"/>
      </w:pPr>
      <w:rPr>
        <w:rFonts w:hint="default"/>
        <w:lang w:val="zh-CN" w:eastAsia="zh-CN" w:bidi="zh-CN"/>
      </w:rPr>
    </w:lvl>
    <w:lvl w:ilvl="5" w:tentative="0">
      <w:start w:val="0"/>
      <w:numFmt w:val="bullet"/>
      <w:lvlText w:val="•"/>
      <w:lvlJc w:val="left"/>
      <w:pPr>
        <w:ind w:left="5258" w:hanging="601"/>
      </w:pPr>
      <w:rPr>
        <w:rFonts w:hint="default"/>
        <w:lang w:val="zh-CN" w:eastAsia="zh-CN" w:bidi="zh-CN"/>
      </w:rPr>
    </w:lvl>
    <w:lvl w:ilvl="6" w:tentative="0">
      <w:start w:val="0"/>
      <w:numFmt w:val="bullet"/>
      <w:lvlText w:val="•"/>
      <w:lvlJc w:val="left"/>
      <w:pPr>
        <w:ind w:left="6167" w:hanging="601"/>
      </w:pPr>
      <w:rPr>
        <w:rFonts w:hint="default"/>
        <w:lang w:val="zh-CN" w:eastAsia="zh-CN" w:bidi="zh-CN"/>
      </w:rPr>
    </w:lvl>
    <w:lvl w:ilvl="7" w:tentative="0">
      <w:start w:val="0"/>
      <w:numFmt w:val="bullet"/>
      <w:lvlText w:val="•"/>
      <w:lvlJc w:val="left"/>
      <w:pPr>
        <w:ind w:left="7077" w:hanging="601"/>
      </w:pPr>
      <w:rPr>
        <w:rFonts w:hint="default"/>
        <w:lang w:val="zh-CN" w:eastAsia="zh-CN" w:bidi="zh-CN"/>
      </w:rPr>
    </w:lvl>
    <w:lvl w:ilvl="8" w:tentative="0">
      <w:start w:val="0"/>
      <w:numFmt w:val="bullet"/>
      <w:lvlText w:val="•"/>
      <w:lvlJc w:val="left"/>
      <w:pPr>
        <w:ind w:left="7986" w:hanging="601"/>
      </w:pPr>
      <w:rPr>
        <w:rFonts w:hint="default"/>
        <w:lang w:val="zh-CN" w:eastAsia="zh-CN" w:bidi="zh-CN"/>
      </w:rPr>
    </w:lvl>
  </w:abstractNum>
  <w:abstractNum w:abstractNumId="12">
    <w:nsid w:val="9ACF65A0"/>
    <w:multiLevelType w:val="multilevel"/>
    <w:tmpl w:val="9ACF65A0"/>
    <w:lvl w:ilvl="0" w:tentative="0">
      <w:start w:val="1"/>
      <w:numFmt w:val="decimal"/>
      <w:lvlText w:val="（%1）"/>
      <w:lvlJc w:val="left"/>
      <w:pPr>
        <w:ind w:left="24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3440" w:hanging="601"/>
      </w:pPr>
      <w:rPr>
        <w:rFonts w:hint="default"/>
        <w:lang w:val="zh-CN" w:eastAsia="zh-CN" w:bidi="zh-CN"/>
      </w:rPr>
    </w:lvl>
    <w:lvl w:ilvl="2" w:tentative="0">
      <w:start w:val="0"/>
      <w:numFmt w:val="bullet"/>
      <w:lvlText w:val="•"/>
      <w:lvlJc w:val="left"/>
      <w:pPr>
        <w:ind w:left="4381" w:hanging="601"/>
      </w:pPr>
      <w:rPr>
        <w:rFonts w:hint="default"/>
        <w:lang w:val="zh-CN" w:eastAsia="zh-CN" w:bidi="zh-CN"/>
      </w:rPr>
    </w:lvl>
    <w:lvl w:ilvl="3" w:tentative="0">
      <w:start w:val="0"/>
      <w:numFmt w:val="bullet"/>
      <w:lvlText w:val="•"/>
      <w:lvlJc w:val="left"/>
      <w:pPr>
        <w:ind w:left="5321" w:hanging="601"/>
      </w:pPr>
      <w:rPr>
        <w:rFonts w:hint="default"/>
        <w:lang w:val="zh-CN" w:eastAsia="zh-CN" w:bidi="zh-CN"/>
      </w:rPr>
    </w:lvl>
    <w:lvl w:ilvl="4" w:tentative="0">
      <w:start w:val="0"/>
      <w:numFmt w:val="bullet"/>
      <w:lvlText w:val="•"/>
      <w:lvlJc w:val="left"/>
      <w:pPr>
        <w:ind w:left="6262" w:hanging="601"/>
      </w:pPr>
      <w:rPr>
        <w:rFonts w:hint="default"/>
        <w:lang w:val="zh-CN" w:eastAsia="zh-CN" w:bidi="zh-CN"/>
      </w:rPr>
    </w:lvl>
    <w:lvl w:ilvl="5" w:tentative="0">
      <w:start w:val="0"/>
      <w:numFmt w:val="bullet"/>
      <w:lvlText w:val="•"/>
      <w:lvlJc w:val="left"/>
      <w:pPr>
        <w:ind w:left="7203" w:hanging="601"/>
      </w:pPr>
      <w:rPr>
        <w:rFonts w:hint="default"/>
        <w:lang w:val="zh-CN" w:eastAsia="zh-CN" w:bidi="zh-CN"/>
      </w:rPr>
    </w:lvl>
    <w:lvl w:ilvl="6" w:tentative="0">
      <w:start w:val="0"/>
      <w:numFmt w:val="bullet"/>
      <w:lvlText w:val="•"/>
      <w:lvlJc w:val="left"/>
      <w:pPr>
        <w:ind w:left="8143" w:hanging="601"/>
      </w:pPr>
      <w:rPr>
        <w:rFonts w:hint="default"/>
        <w:lang w:val="zh-CN" w:eastAsia="zh-CN" w:bidi="zh-CN"/>
      </w:rPr>
    </w:lvl>
    <w:lvl w:ilvl="7" w:tentative="0">
      <w:start w:val="0"/>
      <w:numFmt w:val="bullet"/>
      <w:lvlText w:val="•"/>
      <w:lvlJc w:val="left"/>
      <w:pPr>
        <w:ind w:left="9084" w:hanging="601"/>
      </w:pPr>
      <w:rPr>
        <w:rFonts w:hint="default"/>
        <w:lang w:val="zh-CN" w:eastAsia="zh-CN" w:bidi="zh-CN"/>
      </w:rPr>
    </w:lvl>
    <w:lvl w:ilvl="8" w:tentative="0">
      <w:start w:val="0"/>
      <w:numFmt w:val="bullet"/>
      <w:lvlText w:val="•"/>
      <w:lvlJc w:val="left"/>
      <w:pPr>
        <w:ind w:left="10024" w:hanging="601"/>
      </w:pPr>
      <w:rPr>
        <w:rFonts w:hint="default"/>
        <w:lang w:val="zh-CN" w:eastAsia="zh-CN" w:bidi="zh-CN"/>
      </w:rPr>
    </w:lvl>
  </w:abstractNum>
  <w:abstractNum w:abstractNumId="13">
    <w:nsid w:val="9C11E984"/>
    <w:multiLevelType w:val="multilevel"/>
    <w:tmpl w:val="9C11E984"/>
    <w:lvl w:ilvl="0" w:tentative="0">
      <w:start w:val="1"/>
      <w:numFmt w:val="decimal"/>
      <w:lvlText w:val="%1."/>
      <w:lvlJc w:val="left"/>
      <w:pPr>
        <w:ind w:left="271" w:hanging="159"/>
        <w:jc w:val="left"/>
      </w:pPr>
      <w:rPr>
        <w:rFonts w:hint="default" w:ascii="Times New Roman" w:hAnsi="Times New Roman" w:eastAsia="Times New Roman" w:cs="Times New Roman"/>
        <w:spacing w:val="0"/>
        <w:w w:val="99"/>
        <w:position w:val="2"/>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14">
    <w:nsid w:val="9C8AC8EF"/>
    <w:multiLevelType w:val="multilevel"/>
    <w:tmpl w:val="9C8AC8EF"/>
    <w:lvl w:ilvl="0" w:tentative="0">
      <w:start w:val="27"/>
      <w:numFmt w:val="decimal"/>
      <w:lvlText w:val="(%1)"/>
      <w:lvlJc w:val="left"/>
      <w:pPr>
        <w:ind w:left="1098" w:hanging="401"/>
        <w:jc w:val="left"/>
      </w:pPr>
      <w:rPr>
        <w:rFonts w:hint="default"/>
        <w:spacing w:val="-1"/>
        <w:w w:val="100"/>
        <w:lang w:val="zh-CN" w:eastAsia="zh-CN" w:bidi="zh-CN"/>
      </w:rPr>
    </w:lvl>
    <w:lvl w:ilvl="1" w:tentative="0">
      <w:start w:val="0"/>
      <w:numFmt w:val="bullet"/>
      <w:lvlText w:val="•"/>
      <w:lvlJc w:val="left"/>
      <w:pPr>
        <w:ind w:left="1944" w:hanging="401"/>
      </w:pPr>
      <w:rPr>
        <w:rFonts w:hint="default"/>
        <w:lang w:val="zh-CN" w:eastAsia="zh-CN" w:bidi="zh-CN"/>
      </w:rPr>
    </w:lvl>
    <w:lvl w:ilvl="2" w:tentative="0">
      <w:start w:val="0"/>
      <w:numFmt w:val="bullet"/>
      <w:lvlText w:val="•"/>
      <w:lvlJc w:val="left"/>
      <w:pPr>
        <w:ind w:left="2789" w:hanging="401"/>
      </w:pPr>
      <w:rPr>
        <w:rFonts w:hint="default"/>
        <w:lang w:val="zh-CN" w:eastAsia="zh-CN" w:bidi="zh-CN"/>
      </w:rPr>
    </w:lvl>
    <w:lvl w:ilvl="3" w:tentative="0">
      <w:start w:val="0"/>
      <w:numFmt w:val="bullet"/>
      <w:lvlText w:val="•"/>
      <w:lvlJc w:val="left"/>
      <w:pPr>
        <w:ind w:left="3633" w:hanging="401"/>
      </w:pPr>
      <w:rPr>
        <w:rFonts w:hint="default"/>
        <w:lang w:val="zh-CN" w:eastAsia="zh-CN" w:bidi="zh-CN"/>
      </w:rPr>
    </w:lvl>
    <w:lvl w:ilvl="4" w:tentative="0">
      <w:start w:val="0"/>
      <w:numFmt w:val="bullet"/>
      <w:lvlText w:val="•"/>
      <w:lvlJc w:val="left"/>
      <w:pPr>
        <w:ind w:left="4478" w:hanging="401"/>
      </w:pPr>
      <w:rPr>
        <w:rFonts w:hint="default"/>
        <w:lang w:val="zh-CN" w:eastAsia="zh-CN" w:bidi="zh-CN"/>
      </w:rPr>
    </w:lvl>
    <w:lvl w:ilvl="5" w:tentative="0">
      <w:start w:val="0"/>
      <w:numFmt w:val="bullet"/>
      <w:lvlText w:val="•"/>
      <w:lvlJc w:val="left"/>
      <w:pPr>
        <w:ind w:left="5323" w:hanging="401"/>
      </w:pPr>
      <w:rPr>
        <w:rFonts w:hint="default"/>
        <w:lang w:val="zh-CN" w:eastAsia="zh-CN" w:bidi="zh-CN"/>
      </w:rPr>
    </w:lvl>
    <w:lvl w:ilvl="6" w:tentative="0">
      <w:start w:val="0"/>
      <w:numFmt w:val="bullet"/>
      <w:lvlText w:val="•"/>
      <w:lvlJc w:val="left"/>
      <w:pPr>
        <w:ind w:left="6167" w:hanging="401"/>
      </w:pPr>
      <w:rPr>
        <w:rFonts w:hint="default"/>
        <w:lang w:val="zh-CN" w:eastAsia="zh-CN" w:bidi="zh-CN"/>
      </w:rPr>
    </w:lvl>
    <w:lvl w:ilvl="7" w:tentative="0">
      <w:start w:val="0"/>
      <w:numFmt w:val="bullet"/>
      <w:lvlText w:val="•"/>
      <w:lvlJc w:val="left"/>
      <w:pPr>
        <w:ind w:left="7012" w:hanging="401"/>
      </w:pPr>
      <w:rPr>
        <w:rFonts w:hint="default"/>
        <w:lang w:val="zh-CN" w:eastAsia="zh-CN" w:bidi="zh-CN"/>
      </w:rPr>
    </w:lvl>
    <w:lvl w:ilvl="8" w:tentative="0">
      <w:start w:val="0"/>
      <w:numFmt w:val="bullet"/>
      <w:lvlText w:val="•"/>
      <w:lvlJc w:val="left"/>
      <w:pPr>
        <w:ind w:left="7856" w:hanging="401"/>
      </w:pPr>
      <w:rPr>
        <w:rFonts w:hint="default"/>
        <w:lang w:val="zh-CN" w:eastAsia="zh-CN" w:bidi="zh-CN"/>
      </w:rPr>
    </w:lvl>
  </w:abstractNum>
  <w:abstractNum w:abstractNumId="15">
    <w:nsid w:val="9D5D7490"/>
    <w:multiLevelType w:val="multilevel"/>
    <w:tmpl w:val="9D5D7490"/>
    <w:lvl w:ilvl="0" w:tentative="0">
      <w:start w:val="13"/>
      <w:numFmt w:val="decimal"/>
      <w:lvlText w:val="%1"/>
      <w:lvlJc w:val="left"/>
      <w:pPr>
        <w:ind w:left="1370" w:hanging="771"/>
        <w:jc w:val="left"/>
      </w:pPr>
      <w:rPr>
        <w:rFonts w:hint="default"/>
        <w:lang w:val="zh-CN" w:eastAsia="zh-CN" w:bidi="zh-CN"/>
      </w:rPr>
    </w:lvl>
    <w:lvl w:ilvl="1" w:tentative="0">
      <w:start w:val="2"/>
      <w:numFmt w:val="decimal"/>
      <w:lvlText w:val="%1.%2"/>
      <w:lvlJc w:val="left"/>
      <w:pPr>
        <w:ind w:left="1370" w:hanging="771"/>
        <w:jc w:val="left"/>
      </w:pPr>
      <w:rPr>
        <w:rFonts w:hint="default"/>
        <w:lang w:val="zh-CN" w:eastAsia="zh-CN" w:bidi="zh-CN"/>
      </w:rPr>
    </w:lvl>
    <w:lvl w:ilvl="2" w:tentative="0">
      <w:start w:val="1"/>
      <w:numFmt w:val="decimal"/>
      <w:lvlText w:val="%1.%2.%3"/>
      <w:lvlJc w:val="left"/>
      <w:pPr>
        <w:ind w:left="1370" w:hanging="77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8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388" w:hanging="601"/>
      </w:pPr>
      <w:rPr>
        <w:rFonts w:hint="default"/>
        <w:lang w:val="zh-CN" w:eastAsia="zh-CN" w:bidi="zh-CN"/>
      </w:rPr>
    </w:lvl>
    <w:lvl w:ilvl="5" w:tentative="0">
      <w:start w:val="0"/>
      <w:numFmt w:val="bullet"/>
      <w:lvlText w:val="•"/>
      <w:lvlJc w:val="left"/>
      <w:pPr>
        <w:ind w:left="5291" w:hanging="601"/>
      </w:pPr>
      <w:rPr>
        <w:rFonts w:hint="default"/>
        <w:lang w:val="zh-CN" w:eastAsia="zh-CN" w:bidi="zh-CN"/>
      </w:rPr>
    </w:lvl>
    <w:lvl w:ilvl="6" w:tentative="0">
      <w:start w:val="0"/>
      <w:numFmt w:val="bullet"/>
      <w:lvlText w:val="•"/>
      <w:lvlJc w:val="left"/>
      <w:pPr>
        <w:ind w:left="6194" w:hanging="601"/>
      </w:pPr>
      <w:rPr>
        <w:rFonts w:hint="default"/>
        <w:lang w:val="zh-CN" w:eastAsia="zh-CN" w:bidi="zh-CN"/>
      </w:rPr>
    </w:lvl>
    <w:lvl w:ilvl="7" w:tentative="0">
      <w:start w:val="0"/>
      <w:numFmt w:val="bullet"/>
      <w:lvlText w:val="•"/>
      <w:lvlJc w:val="left"/>
      <w:pPr>
        <w:ind w:left="7097" w:hanging="601"/>
      </w:pPr>
      <w:rPr>
        <w:rFonts w:hint="default"/>
        <w:lang w:val="zh-CN" w:eastAsia="zh-CN" w:bidi="zh-CN"/>
      </w:rPr>
    </w:lvl>
    <w:lvl w:ilvl="8" w:tentative="0">
      <w:start w:val="0"/>
      <w:numFmt w:val="bullet"/>
      <w:lvlText w:val="•"/>
      <w:lvlJc w:val="left"/>
      <w:pPr>
        <w:ind w:left="8000" w:hanging="601"/>
      </w:pPr>
      <w:rPr>
        <w:rFonts w:hint="default"/>
        <w:lang w:val="zh-CN" w:eastAsia="zh-CN" w:bidi="zh-CN"/>
      </w:rPr>
    </w:lvl>
  </w:abstractNum>
  <w:abstractNum w:abstractNumId="16">
    <w:nsid w:val="9F81B9F9"/>
    <w:multiLevelType w:val="multilevel"/>
    <w:tmpl w:val="9F81B9F9"/>
    <w:lvl w:ilvl="0" w:tentative="0">
      <w:start w:val="1"/>
      <w:numFmt w:val="decimal"/>
      <w:lvlText w:val="（%1）"/>
      <w:lvlJc w:val="left"/>
      <w:pPr>
        <w:ind w:left="600" w:hanging="601"/>
        <w:jc w:val="left"/>
      </w:pPr>
      <w:rPr>
        <w:rFonts w:hint="default" w:ascii="宋体" w:hAnsi="宋体" w:eastAsia="宋体" w:cs="宋体"/>
        <w:spacing w:val="-24"/>
        <w:w w:val="100"/>
        <w:sz w:val="22"/>
        <w:szCs w:val="22"/>
        <w:lang w:val="zh-CN" w:eastAsia="zh-CN" w:bidi="zh-CN"/>
      </w:rPr>
    </w:lvl>
    <w:lvl w:ilvl="1" w:tentative="0">
      <w:start w:val="0"/>
      <w:numFmt w:val="bullet"/>
      <w:lvlText w:val="•"/>
      <w:lvlJc w:val="left"/>
      <w:pPr>
        <w:ind w:left="1520" w:hanging="601"/>
      </w:pPr>
      <w:rPr>
        <w:rFonts w:hint="default"/>
        <w:lang w:val="zh-CN" w:eastAsia="zh-CN" w:bidi="zh-CN"/>
      </w:rPr>
    </w:lvl>
    <w:lvl w:ilvl="2" w:tentative="0">
      <w:start w:val="0"/>
      <w:numFmt w:val="bullet"/>
      <w:lvlText w:val="•"/>
      <w:lvlJc w:val="left"/>
      <w:pPr>
        <w:ind w:left="2441" w:hanging="601"/>
      </w:pPr>
      <w:rPr>
        <w:rFonts w:hint="default"/>
        <w:lang w:val="zh-CN" w:eastAsia="zh-CN" w:bidi="zh-CN"/>
      </w:rPr>
    </w:lvl>
    <w:lvl w:ilvl="3" w:tentative="0">
      <w:start w:val="0"/>
      <w:numFmt w:val="bullet"/>
      <w:lvlText w:val="•"/>
      <w:lvlJc w:val="left"/>
      <w:pPr>
        <w:ind w:left="3361" w:hanging="601"/>
      </w:pPr>
      <w:rPr>
        <w:rFonts w:hint="default"/>
        <w:lang w:val="zh-CN" w:eastAsia="zh-CN" w:bidi="zh-CN"/>
      </w:rPr>
    </w:lvl>
    <w:lvl w:ilvl="4" w:tentative="0">
      <w:start w:val="0"/>
      <w:numFmt w:val="bullet"/>
      <w:lvlText w:val="•"/>
      <w:lvlJc w:val="left"/>
      <w:pPr>
        <w:ind w:left="4282" w:hanging="601"/>
      </w:pPr>
      <w:rPr>
        <w:rFonts w:hint="default"/>
        <w:lang w:val="zh-CN" w:eastAsia="zh-CN" w:bidi="zh-CN"/>
      </w:rPr>
    </w:lvl>
    <w:lvl w:ilvl="5" w:tentative="0">
      <w:start w:val="0"/>
      <w:numFmt w:val="bullet"/>
      <w:lvlText w:val="•"/>
      <w:lvlJc w:val="left"/>
      <w:pPr>
        <w:ind w:left="5203" w:hanging="601"/>
      </w:pPr>
      <w:rPr>
        <w:rFonts w:hint="default"/>
        <w:lang w:val="zh-CN" w:eastAsia="zh-CN" w:bidi="zh-CN"/>
      </w:rPr>
    </w:lvl>
    <w:lvl w:ilvl="6" w:tentative="0">
      <w:start w:val="0"/>
      <w:numFmt w:val="bullet"/>
      <w:lvlText w:val="•"/>
      <w:lvlJc w:val="left"/>
      <w:pPr>
        <w:ind w:left="6123" w:hanging="601"/>
      </w:pPr>
      <w:rPr>
        <w:rFonts w:hint="default"/>
        <w:lang w:val="zh-CN" w:eastAsia="zh-CN" w:bidi="zh-CN"/>
      </w:rPr>
    </w:lvl>
    <w:lvl w:ilvl="7" w:tentative="0">
      <w:start w:val="0"/>
      <w:numFmt w:val="bullet"/>
      <w:lvlText w:val="•"/>
      <w:lvlJc w:val="left"/>
      <w:pPr>
        <w:ind w:left="7044" w:hanging="601"/>
      </w:pPr>
      <w:rPr>
        <w:rFonts w:hint="default"/>
        <w:lang w:val="zh-CN" w:eastAsia="zh-CN" w:bidi="zh-CN"/>
      </w:rPr>
    </w:lvl>
    <w:lvl w:ilvl="8" w:tentative="0">
      <w:start w:val="0"/>
      <w:numFmt w:val="bullet"/>
      <w:lvlText w:val="•"/>
      <w:lvlJc w:val="left"/>
      <w:pPr>
        <w:ind w:left="7964" w:hanging="601"/>
      </w:pPr>
      <w:rPr>
        <w:rFonts w:hint="default"/>
        <w:lang w:val="zh-CN" w:eastAsia="zh-CN" w:bidi="zh-CN"/>
      </w:rPr>
    </w:lvl>
  </w:abstractNum>
  <w:abstractNum w:abstractNumId="17">
    <w:nsid w:val="A0C93552"/>
    <w:multiLevelType w:val="multilevel"/>
    <w:tmpl w:val="A0C93552"/>
    <w:lvl w:ilvl="0" w:tentative="0">
      <w:start w:val="10"/>
      <w:numFmt w:val="decimal"/>
      <w:lvlText w:val="%1"/>
      <w:lvlJc w:val="left"/>
      <w:pPr>
        <w:ind w:left="2092" w:hanging="675"/>
        <w:jc w:val="left"/>
      </w:pPr>
      <w:rPr>
        <w:rFonts w:hint="default"/>
        <w:lang w:val="zh-CN" w:eastAsia="zh-CN" w:bidi="zh-CN"/>
      </w:rPr>
    </w:lvl>
    <w:lvl w:ilvl="1" w:tentative="0">
      <w:start w:val="1"/>
      <w:numFmt w:val="decimal"/>
      <w:lvlText w:val="%1.%2"/>
      <w:lvlJc w:val="left"/>
      <w:pPr>
        <w:ind w:left="2092" w:hanging="675"/>
        <w:jc w:val="lef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3）"/>
      <w:lvlJc w:val="left"/>
      <w:pPr>
        <w:ind w:left="1418" w:hanging="601"/>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4279" w:hanging="601"/>
      </w:pPr>
      <w:rPr>
        <w:rFonts w:hint="default"/>
        <w:lang w:val="zh-CN" w:eastAsia="zh-CN" w:bidi="zh-CN"/>
      </w:rPr>
    </w:lvl>
    <w:lvl w:ilvl="4" w:tentative="0">
      <w:start w:val="0"/>
      <w:numFmt w:val="bullet"/>
      <w:lvlText w:val="•"/>
      <w:lvlJc w:val="left"/>
      <w:pPr>
        <w:ind w:left="5368" w:hanging="601"/>
      </w:pPr>
      <w:rPr>
        <w:rFonts w:hint="default"/>
        <w:lang w:val="zh-CN" w:eastAsia="zh-CN" w:bidi="zh-CN"/>
      </w:rPr>
    </w:lvl>
    <w:lvl w:ilvl="5" w:tentative="0">
      <w:start w:val="0"/>
      <w:numFmt w:val="bullet"/>
      <w:lvlText w:val="•"/>
      <w:lvlJc w:val="left"/>
      <w:pPr>
        <w:ind w:left="6458" w:hanging="601"/>
      </w:pPr>
      <w:rPr>
        <w:rFonts w:hint="default"/>
        <w:lang w:val="zh-CN" w:eastAsia="zh-CN" w:bidi="zh-CN"/>
      </w:rPr>
    </w:lvl>
    <w:lvl w:ilvl="6" w:tentative="0">
      <w:start w:val="0"/>
      <w:numFmt w:val="bullet"/>
      <w:lvlText w:val="•"/>
      <w:lvlJc w:val="left"/>
      <w:pPr>
        <w:ind w:left="7547" w:hanging="601"/>
      </w:pPr>
      <w:rPr>
        <w:rFonts w:hint="default"/>
        <w:lang w:val="zh-CN" w:eastAsia="zh-CN" w:bidi="zh-CN"/>
      </w:rPr>
    </w:lvl>
    <w:lvl w:ilvl="7" w:tentative="0">
      <w:start w:val="0"/>
      <w:numFmt w:val="bullet"/>
      <w:lvlText w:val="•"/>
      <w:lvlJc w:val="left"/>
      <w:pPr>
        <w:ind w:left="8637" w:hanging="601"/>
      </w:pPr>
      <w:rPr>
        <w:rFonts w:hint="default"/>
        <w:lang w:val="zh-CN" w:eastAsia="zh-CN" w:bidi="zh-CN"/>
      </w:rPr>
    </w:lvl>
    <w:lvl w:ilvl="8" w:tentative="0">
      <w:start w:val="0"/>
      <w:numFmt w:val="bullet"/>
      <w:lvlText w:val="•"/>
      <w:lvlJc w:val="left"/>
      <w:pPr>
        <w:ind w:left="9726" w:hanging="601"/>
      </w:pPr>
      <w:rPr>
        <w:rFonts w:hint="default"/>
        <w:lang w:val="zh-CN" w:eastAsia="zh-CN" w:bidi="zh-CN"/>
      </w:rPr>
    </w:lvl>
  </w:abstractNum>
  <w:abstractNum w:abstractNumId="18">
    <w:nsid w:val="A0F05207"/>
    <w:multiLevelType w:val="multilevel"/>
    <w:tmpl w:val="A0F05207"/>
    <w:lvl w:ilvl="0" w:tentative="0">
      <w:start w:val="7"/>
      <w:numFmt w:val="decimal"/>
      <w:lvlText w:val="%1"/>
      <w:lvlJc w:val="left"/>
      <w:pPr>
        <w:ind w:left="1867" w:hanging="449"/>
        <w:jc w:val="left"/>
      </w:pPr>
      <w:rPr>
        <w:rFonts w:hint="default"/>
        <w:lang w:val="zh-CN" w:eastAsia="zh-CN" w:bidi="zh-CN"/>
      </w:rPr>
    </w:lvl>
    <w:lvl w:ilvl="1" w:tentative="0">
      <w:start w:val="1"/>
      <w:numFmt w:val="decimal"/>
      <w:lvlText w:val="%1.%2"/>
      <w:lvlJc w:val="left"/>
      <w:pPr>
        <w:ind w:left="186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204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2499"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851" w:hanging="601"/>
      </w:pPr>
      <w:rPr>
        <w:rFonts w:hint="default"/>
        <w:lang w:val="zh-CN" w:eastAsia="zh-CN" w:bidi="zh-CN"/>
      </w:rPr>
    </w:lvl>
    <w:lvl w:ilvl="5" w:tentative="0">
      <w:start w:val="0"/>
      <w:numFmt w:val="bullet"/>
      <w:lvlText w:val="•"/>
      <w:lvlJc w:val="left"/>
      <w:pPr>
        <w:ind w:left="6027" w:hanging="601"/>
      </w:pPr>
      <w:rPr>
        <w:rFonts w:hint="default"/>
        <w:lang w:val="zh-CN" w:eastAsia="zh-CN" w:bidi="zh-CN"/>
      </w:rPr>
    </w:lvl>
    <w:lvl w:ilvl="6" w:tentative="0">
      <w:start w:val="0"/>
      <w:numFmt w:val="bullet"/>
      <w:lvlText w:val="•"/>
      <w:lvlJc w:val="left"/>
      <w:pPr>
        <w:ind w:left="7203" w:hanging="601"/>
      </w:pPr>
      <w:rPr>
        <w:rFonts w:hint="default"/>
        <w:lang w:val="zh-CN" w:eastAsia="zh-CN" w:bidi="zh-CN"/>
      </w:rPr>
    </w:lvl>
    <w:lvl w:ilvl="7" w:tentative="0">
      <w:start w:val="0"/>
      <w:numFmt w:val="bullet"/>
      <w:lvlText w:val="•"/>
      <w:lvlJc w:val="left"/>
      <w:pPr>
        <w:ind w:left="8378" w:hanging="601"/>
      </w:pPr>
      <w:rPr>
        <w:rFonts w:hint="default"/>
        <w:lang w:val="zh-CN" w:eastAsia="zh-CN" w:bidi="zh-CN"/>
      </w:rPr>
    </w:lvl>
    <w:lvl w:ilvl="8" w:tentative="0">
      <w:start w:val="0"/>
      <w:numFmt w:val="bullet"/>
      <w:lvlText w:val="•"/>
      <w:lvlJc w:val="left"/>
      <w:pPr>
        <w:ind w:left="9554" w:hanging="601"/>
      </w:pPr>
      <w:rPr>
        <w:rFonts w:hint="default"/>
        <w:lang w:val="zh-CN" w:eastAsia="zh-CN" w:bidi="zh-CN"/>
      </w:rPr>
    </w:lvl>
  </w:abstractNum>
  <w:abstractNum w:abstractNumId="19">
    <w:nsid w:val="A9AC3AA7"/>
    <w:multiLevelType w:val="multilevel"/>
    <w:tmpl w:val="A9AC3AA7"/>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20">
    <w:nsid w:val="AAF3F3FA"/>
    <w:multiLevelType w:val="multilevel"/>
    <w:tmpl w:val="AAF3F3FA"/>
    <w:lvl w:ilvl="0" w:tentative="0">
      <w:start w:val="1"/>
      <w:numFmt w:val="decimal"/>
      <w:lvlText w:val="（%1）"/>
      <w:lvlJc w:val="left"/>
      <w:pPr>
        <w:ind w:left="168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880" w:hanging="601"/>
      </w:pPr>
      <w:rPr>
        <w:rFonts w:hint="default"/>
        <w:lang w:val="zh-CN" w:eastAsia="zh-CN" w:bidi="zh-CN"/>
      </w:rPr>
    </w:lvl>
    <w:lvl w:ilvl="2" w:tentative="0">
      <w:start w:val="0"/>
      <w:numFmt w:val="bullet"/>
      <w:lvlText w:val="•"/>
      <w:lvlJc w:val="left"/>
      <w:pPr>
        <w:ind w:left="3649" w:hanging="601"/>
      </w:pPr>
      <w:rPr>
        <w:rFonts w:hint="default"/>
        <w:lang w:val="zh-CN" w:eastAsia="zh-CN" w:bidi="zh-CN"/>
      </w:rPr>
    </w:lvl>
    <w:lvl w:ilvl="3" w:tentative="0">
      <w:start w:val="0"/>
      <w:numFmt w:val="bullet"/>
      <w:lvlText w:val="•"/>
      <w:lvlJc w:val="left"/>
      <w:pPr>
        <w:ind w:left="4419" w:hanging="601"/>
      </w:pPr>
      <w:rPr>
        <w:rFonts w:hint="default"/>
        <w:lang w:val="zh-CN" w:eastAsia="zh-CN" w:bidi="zh-CN"/>
      </w:rPr>
    </w:lvl>
    <w:lvl w:ilvl="4" w:tentative="0">
      <w:start w:val="0"/>
      <w:numFmt w:val="bullet"/>
      <w:lvlText w:val="•"/>
      <w:lvlJc w:val="left"/>
      <w:pPr>
        <w:ind w:left="5188" w:hanging="601"/>
      </w:pPr>
      <w:rPr>
        <w:rFonts w:hint="default"/>
        <w:lang w:val="zh-CN" w:eastAsia="zh-CN" w:bidi="zh-CN"/>
      </w:rPr>
    </w:lvl>
    <w:lvl w:ilvl="5" w:tentative="0">
      <w:start w:val="0"/>
      <w:numFmt w:val="bullet"/>
      <w:lvlText w:val="•"/>
      <w:lvlJc w:val="left"/>
      <w:pPr>
        <w:ind w:left="5958" w:hanging="601"/>
      </w:pPr>
      <w:rPr>
        <w:rFonts w:hint="default"/>
        <w:lang w:val="zh-CN" w:eastAsia="zh-CN" w:bidi="zh-CN"/>
      </w:rPr>
    </w:lvl>
    <w:lvl w:ilvl="6" w:tentative="0">
      <w:start w:val="0"/>
      <w:numFmt w:val="bullet"/>
      <w:lvlText w:val="•"/>
      <w:lvlJc w:val="left"/>
      <w:pPr>
        <w:ind w:left="6727" w:hanging="601"/>
      </w:pPr>
      <w:rPr>
        <w:rFonts w:hint="default"/>
        <w:lang w:val="zh-CN" w:eastAsia="zh-CN" w:bidi="zh-CN"/>
      </w:rPr>
    </w:lvl>
    <w:lvl w:ilvl="7" w:tentative="0">
      <w:start w:val="0"/>
      <w:numFmt w:val="bullet"/>
      <w:lvlText w:val="•"/>
      <w:lvlJc w:val="left"/>
      <w:pPr>
        <w:ind w:left="7497" w:hanging="601"/>
      </w:pPr>
      <w:rPr>
        <w:rFonts w:hint="default"/>
        <w:lang w:val="zh-CN" w:eastAsia="zh-CN" w:bidi="zh-CN"/>
      </w:rPr>
    </w:lvl>
    <w:lvl w:ilvl="8" w:tentative="0">
      <w:start w:val="0"/>
      <w:numFmt w:val="bullet"/>
      <w:lvlText w:val="•"/>
      <w:lvlJc w:val="left"/>
      <w:pPr>
        <w:ind w:left="8266" w:hanging="601"/>
      </w:pPr>
      <w:rPr>
        <w:rFonts w:hint="default"/>
        <w:lang w:val="zh-CN" w:eastAsia="zh-CN" w:bidi="zh-CN"/>
      </w:rPr>
    </w:lvl>
  </w:abstractNum>
  <w:abstractNum w:abstractNumId="21">
    <w:nsid w:val="B0ED9BEA"/>
    <w:multiLevelType w:val="multilevel"/>
    <w:tmpl w:val="B0ED9BEA"/>
    <w:lvl w:ilvl="0" w:tentative="0">
      <w:start w:val="1"/>
      <w:numFmt w:val="decimal"/>
      <w:lvlText w:val="（%1）"/>
      <w:lvlJc w:val="left"/>
      <w:pPr>
        <w:ind w:left="60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520" w:hanging="601"/>
      </w:pPr>
      <w:rPr>
        <w:rFonts w:hint="default"/>
        <w:lang w:val="zh-CN" w:eastAsia="zh-CN" w:bidi="zh-CN"/>
      </w:rPr>
    </w:lvl>
    <w:lvl w:ilvl="2" w:tentative="0">
      <w:start w:val="0"/>
      <w:numFmt w:val="bullet"/>
      <w:lvlText w:val="•"/>
      <w:lvlJc w:val="left"/>
      <w:pPr>
        <w:ind w:left="2441" w:hanging="601"/>
      </w:pPr>
      <w:rPr>
        <w:rFonts w:hint="default"/>
        <w:lang w:val="zh-CN" w:eastAsia="zh-CN" w:bidi="zh-CN"/>
      </w:rPr>
    </w:lvl>
    <w:lvl w:ilvl="3" w:tentative="0">
      <w:start w:val="0"/>
      <w:numFmt w:val="bullet"/>
      <w:lvlText w:val="•"/>
      <w:lvlJc w:val="left"/>
      <w:pPr>
        <w:ind w:left="3361" w:hanging="601"/>
      </w:pPr>
      <w:rPr>
        <w:rFonts w:hint="default"/>
        <w:lang w:val="zh-CN" w:eastAsia="zh-CN" w:bidi="zh-CN"/>
      </w:rPr>
    </w:lvl>
    <w:lvl w:ilvl="4" w:tentative="0">
      <w:start w:val="0"/>
      <w:numFmt w:val="bullet"/>
      <w:lvlText w:val="•"/>
      <w:lvlJc w:val="left"/>
      <w:pPr>
        <w:ind w:left="4282" w:hanging="601"/>
      </w:pPr>
      <w:rPr>
        <w:rFonts w:hint="default"/>
        <w:lang w:val="zh-CN" w:eastAsia="zh-CN" w:bidi="zh-CN"/>
      </w:rPr>
    </w:lvl>
    <w:lvl w:ilvl="5" w:tentative="0">
      <w:start w:val="0"/>
      <w:numFmt w:val="bullet"/>
      <w:lvlText w:val="•"/>
      <w:lvlJc w:val="left"/>
      <w:pPr>
        <w:ind w:left="5203" w:hanging="601"/>
      </w:pPr>
      <w:rPr>
        <w:rFonts w:hint="default"/>
        <w:lang w:val="zh-CN" w:eastAsia="zh-CN" w:bidi="zh-CN"/>
      </w:rPr>
    </w:lvl>
    <w:lvl w:ilvl="6" w:tentative="0">
      <w:start w:val="0"/>
      <w:numFmt w:val="bullet"/>
      <w:lvlText w:val="•"/>
      <w:lvlJc w:val="left"/>
      <w:pPr>
        <w:ind w:left="6123" w:hanging="601"/>
      </w:pPr>
      <w:rPr>
        <w:rFonts w:hint="default"/>
        <w:lang w:val="zh-CN" w:eastAsia="zh-CN" w:bidi="zh-CN"/>
      </w:rPr>
    </w:lvl>
    <w:lvl w:ilvl="7" w:tentative="0">
      <w:start w:val="0"/>
      <w:numFmt w:val="bullet"/>
      <w:lvlText w:val="•"/>
      <w:lvlJc w:val="left"/>
      <w:pPr>
        <w:ind w:left="7044" w:hanging="601"/>
      </w:pPr>
      <w:rPr>
        <w:rFonts w:hint="default"/>
        <w:lang w:val="zh-CN" w:eastAsia="zh-CN" w:bidi="zh-CN"/>
      </w:rPr>
    </w:lvl>
    <w:lvl w:ilvl="8" w:tentative="0">
      <w:start w:val="0"/>
      <w:numFmt w:val="bullet"/>
      <w:lvlText w:val="•"/>
      <w:lvlJc w:val="left"/>
      <w:pPr>
        <w:ind w:left="7964" w:hanging="601"/>
      </w:pPr>
      <w:rPr>
        <w:rFonts w:hint="default"/>
        <w:lang w:val="zh-CN" w:eastAsia="zh-CN" w:bidi="zh-CN"/>
      </w:rPr>
    </w:lvl>
  </w:abstractNum>
  <w:abstractNum w:abstractNumId="22">
    <w:nsid w:val="B0F1ACD9"/>
    <w:multiLevelType w:val="multilevel"/>
    <w:tmpl w:val="B0F1ACD9"/>
    <w:lvl w:ilvl="0" w:tentative="0">
      <w:start w:val="4"/>
      <w:numFmt w:val="decimal"/>
      <w:lvlText w:val="(%1)"/>
      <w:lvlJc w:val="left"/>
      <w:pPr>
        <w:ind w:left="920" w:hanging="281"/>
        <w:jc w:val="left"/>
      </w:pPr>
      <w:rPr>
        <w:rFonts w:hint="default" w:ascii="Times New Roman" w:hAnsi="Times New Roman" w:eastAsia="Times New Roman" w:cs="Times New Roman"/>
        <w:spacing w:val="-1"/>
        <w:w w:val="100"/>
        <w:sz w:val="22"/>
        <w:szCs w:val="22"/>
        <w:lang w:val="zh-CN" w:eastAsia="zh-CN" w:bidi="zh-CN"/>
      </w:rPr>
    </w:lvl>
    <w:lvl w:ilvl="1" w:tentative="0">
      <w:start w:val="3"/>
      <w:numFmt w:val="decimal"/>
      <w:lvlText w:val="(%2)"/>
      <w:lvlJc w:val="left"/>
      <w:pPr>
        <w:ind w:left="2178" w:hanging="281"/>
        <w:jc w:val="left"/>
      </w:pPr>
      <w:rPr>
        <w:rFonts w:hint="default" w:ascii="Times New Roman" w:hAnsi="Times New Roman" w:eastAsia="Times New Roman" w:cs="Times New Roman"/>
        <w:spacing w:val="-1"/>
        <w:w w:val="100"/>
        <w:sz w:val="22"/>
        <w:szCs w:val="22"/>
        <w:lang w:val="zh-CN" w:eastAsia="zh-CN" w:bidi="zh-CN"/>
      </w:rPr>
    </w:lvl>
    <w:lvl w:ilvl="2" w:tentative="0">
      <w:start w:val="0"/>
      <w:numFmt w:val="bullet"/>
      <w:lvlText w:val="•"/>
      <w:lvlJc w:val="left"/>
      <w:pPr>
        <w:ind w:left="2173" w:hanging="281"/>
      </w:pPr>
      <w:rPr>
        <w:rFonts w:hint="default"/>
        <w:lang w:val="zh-CN" w:eastAsia="zh-CN" w:bidi="zh-CN"/>
      </w:rPr>
    </w:lvl>
    <w:lvl w:ilvl="3" w:tentative="0">
      <w:start w:val="0"/>
      <w:numFmt w:val="bullet"/>
      <w:lvlText w:val="•"/>
      <w:lvlJc w:val="left"/>
      <w:pPr>
        <w:ind w:left="2166" w:hanging="281"/>
      </w:pPr>
      <w:rPr>
        <w:rFonts w:hint="default"/>
        <w:lang w:val="zh-CN" w:eastAsia="zh-CN" w:bidi="zh-CN"/>
      </w:rPr>
    </w:lvl>
    <w:lvl w:ilvl="4" w:tentative="0">
      <w:start w:val="0"/>
      <w:numFmt w:val="bullet"/>
      <w:lvlText w:val="•"/>
      <w:lvlJc w:val="left"/>
      <w:pPr>
        <w:ind w:left="2159" w:hanging="281"/>
      </w:pPr>
      <w:rPr>
        <w:rFonts w:hint="default"/>
        <w:lang w:val="zh-CN" w:eastAsia="zh-CN" w:bidi="zh-CN"/>
      </w:rPr>
    </w:lvl>
    <w:lvl w:ilvl="5" w:tentative="0">
      <w:start w:val="0"/>
      <w:numFmt w:val="bullet"/>
      <w:lvlText w:val="•"/>
      <w:lvlJc w:val="left"/>
      <w:pPr>
        <w:ind w:left="2152" w:hanging="281"/>
      </w:pPr>
      <w:rPr>
        <w:rFonts w:hint="default"/>
        <w:lang w:val="zh-CN" w:eastAsia="zh-CN" w:bidi="zh-CN"/>
      </w:rPr>
    </w:lvl>
    <w:lvl w:ilvl="6" w:tentative="0">
      <w:start w:val="0"/>
      <w:numFmt w:val="bullet"/>
      <w:lvlText w:val="•"/>
      <w:lvlJc w:val="left"/>
      <w:pPr>
        <w:ind w:left="2146" w:hanging="281"/>
      </w:pPr>
      <w:rPr>
        <w:rFonts w:hint="default"/>
        <w:lang w:val="zh-CN" w:eastAsia="zh-CN" w:bidi="zh-CN"/>
      </w:rPr>
    </w:lvl>
    <w:lvl w:ilvl="7" w:tentative="0">
      <w:start w:val="0"/>
      <w:numFmt w:val="bullet"/>
      <w:lvlText w:val="•"/>
      <w:lvlJc w:val="left"/>
      <w:pPr>
        <w:ind w:left="2139" w:hanging="281"/>
      </w:pPr>
      <w:rPr>
        <w:rFonts w:hint="default"/>
        <w:lang w:val="zh-CN" w:eastAsia="zh-CN" w:bidi="zh-CN"/>
      </w:rPr>
    </w:lvl>
    <w:lvl w:ilvl="8" w:tentative="0">
      <w:start w:val="0"/>
      <w:numFmt w:val="bullet"/>
      <w:lvlText w:val="•"/>
      <w:lvlJc w:val="left"/>
      <w:pPr>
        <w:ind w:left="2132" w:hanging="281"/>
      </w:pPr>
      <w:rPr>
        <w:rFonts w:hint="default"/>
        <w:lang w:val="zh-CN" w:eastAsia="zh-CN" w:bidi="zh-CN"/>
      </w:rPr>
    </w:lvl>
  </w:abstractNum>
  <w:abstractNum w:abstractNumId="23">
    <w:nsid w:val="B23A94A9"/>
    <w:multiLevelType w:val="multilevel"/>
    <w:tmpl w:val="B23A94A9"/>
    <w:lvl w:ilvl="0" w:tentative="0">
      <w:start w:val="6"/>
      <w:numFmt w:val="decimal"/>
      <w:lvlText w:val="%1"/>
      <w:lvlJc w:val="left"/>
      <w:pPr>
        <w:ind w:left="1867" w:hanging="449"/>
        <w:jc w:val="left"/>
      </w:pPr>
      <w:rPr>
        <w:rFonts w:hint="default"/>
        <w:lang w:val="zh-CN" w:eastAsia="zh-CN" w:bidi="zh-CN"/>
      </w:rPr>
    </w:lvl>
    <w:lvl w:ilvl="1" w:tentative="0">
      <w:start w:val="1"/>
      <w:numFmt w:val="decimal"/>
      <w:lvlText w:val="%1.%2"/>
      <w:lvlJc w:val="left"/>
      <w:pPr>
        <w:ind w:left="1867" w:hanging="449"/>
        <w:jc w:val="left"/>
      </w:pPr>
      <w:rPr>
        <w:rFonts w:hint="default"/>
        <w:b/>
        <w:bCs/>
        <w:spacing w:val="-1"/>
        <w:w w:val="100"/>
        <w:lang w:val="zh-CN" w:eastAsia="zh-CN" w:bidi="zh-CN"/>
      </w:rPr>
    </w:lvl>
    <w:lvl w:ilvl="2" w:tentative="0">
      <w:start w:val="1"/>
      <w:numFmt w:val="decimal"/>
      <w:lvlText w:val="%1.%2.%3"/>
      <w:lvlJc w:val="left"/>
      <w:pPr>
        <w:ind w:left="204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213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4581" w:hanging="720"/>
      </w:pPr>
      <w:rPr>
        <w:rFonts w:hint="default"/>
        <w:lang w:val="zh-CN" w:eastAsia="zh-CN" w:bidi="zh-CN"/>
      </w:rPr>
    </w:lvl>
    <w:lvl w:ilvl="5" w:tentative="0">
      <w:start w:val="0"/>
      <w:numFmt w:val="bullet"/>
      <w:lvlText w:val="•"/>
      <w:lvlJc w:val="left"/>
      <w:pPr>
        <w:ind w:left="5802" w:hanging="720"/>
      </w:pPr>
      <w:rPr>
        <w:rFonts w:hint="default"/>
        <w:lang w:val="zh-CN" w:eastAsia="zh-CN" w:bidi="zh-CN"/>
      </w:rPr>
    </w:lvl>
    <w:lvl w:ilvl="6" w:tentative="0">
      <w:start w:val="0"/>
      <w:numFmt w:val="bullet"/>
      <w:lvlText w:val="•"/>
      <w:lvlJc w:val="left"/>
      <w:pPr>
        <w:ind w:left="7023" w:hanging="720"/>
      </w:pPr>
      <w:rPr>
        <w:rFonts w:hint="default"/>
        <w:lang w:val="zh-CN" w:eastAsia="zh-CN" w:bidi="zh-CN"/>
      </w:rPr>
    </w:lvl>
    <w:lvl w:ilvl="7" w:tentative="0">
      <w:start w:val="0"/>
      <w:numFmt w:val="bullet"/>
      <w:lvlText w:val="•"/>
      <w:lvlJc w:val="left"/>
      <w:pPr>
        <w:ind w:left="8243" w:hanging="720"/>
      </w:pPr>
      <w:rPr>
        <w:rFonts w:hint="default"/>
        <w:lang w:val="zh-CN" w:eastAsia="zh-CN" w:bidi="zh-CN"/>
      </w:rPr>
    </w:lvl>
    <w:lvl w:ilvl="8" w:tentative="0">
      <w:start w:val="0"/>
      <w:numFmt w:val="bullet"/>
      <w:lvlText w:val="•"/>
      <w:lvlJc w:val="left"/>
      <w:pPr>
        <w:ind w:left="9464" w:hanging="720"/>
      </w:pPr>
      <w:rPr>
        <w:rFonts w:hint="default"/>
        <w:lang w:val="zh-CN" w:eastAsia="zh-CN" w:bidi="zh-CN"/>
      </w:rPr>
    </w:lvl>
  </w:abstractNum>
  <w:abstractNum w:abstractNumId="24">
    <w:nsid w:val="B53F3350"/>
    <w:multiLevelType w:val="multilevel"/>
    <w:tmpl w:val="B53F3350"/>
    <w:lvl w:ilvl="0" w:tentative="0">
      <w:start w:val="5"/>
      <w:numFmt w:val="decimal"/>
      <w:lvlText w:val="%1"/>
      <w:lvlJc w:val="left"/>
      <w:pPr>
        <w:ind w:left="1867" w:hanging="449"/>
        <w:jc w:val="left"/>
      </w:pPr>
      <w:rPr>
        <w:rFonts w:hint="default"/>
        <w:lang w:val="zh-CN" w:eastAsia="zh-CN" w:bidi="zh-CN"/>
      </w:rPr>
    </w:lvl>
    <w:lvl w:ilvl="1" w:tentative="0">
      <w:start w:val="2"/>
      <w:numFmt w:val="decimal"/>
      <w:lvlText w:val="%1.%2"/>
      <w:lvlJc w:val="left"/>
      <w:pPr>
        <w:ind w:left="186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204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2439"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806" w:hanging="601"/>
      </w:pPr>
      <w:rPr>
        <w:rFonts w:hint="default"/>
        <w:lang w:val="zh-CN" w:eastAsia="zh-CN" w:bidi="zh-CN"/>
      </w:rPr>
    </w:lvl>
    <w:lvl w:ilvl="5" w:tentative="0">
      <w:start w:val="0"/>
      <w:numFmt w:val="bullet"/>
      <w:lvlText w:val="•"/>
      <w:lvlJc w:val="left"/>
      <w:pPr>
        <w:ind w:left="5989" w:hanging="601"/>
      </w:pPr>
      <w:rPr>
        <w:rFonts w:hint="default"/>
        <w:lang w:val="zh-CN" w:eastAsia="zh-CN" w:bidi="zh-CN"/>
      </w:rPr>
    </w:lvl>
    <w:lvl w:ilvl="6" w:tentative="0">
      <w:start w:val="0"/>
      <w:numFmt w:val="bullet"/>
      <w:lvlText w:val="•"/>
      <w:lvlJc w:val="left"/>
      <w:pPr>
        <w:ind w:left="7173" w:hanging="601"/>
      </w:pPr>
      <w:rPr>
        <w:rFonts w:hint="default"/>
        <w:lang w:val="zh-CN" w:eastAsia="zh-CN" w:bidi="zh-CN"/>
      </w:rPr>
    </w:lvl>
    <w:lvl w:ilvl="7" w:tentative="0">
      <w:start w:val="0"/>
      <w:numFmt w:val="bullet"/>
      <w:lvlText w:val="•"/>
      <w:lvlJc w:val="left"/>
      <w:pPr>
        <w:ind w:left="8356" w:hanging="601"/>
      </w:pPr>
      <w:rPr>
        <w:rFonts w:hint="default"/>
        <w:lang w:val="zh-CN" w:eastAsia="zh-CN" w:bidi="zh-CN"/>
      </w:rPr>
    </w:lvl>
    <w:lvl w:ilvl="8" w:tentative="0">
      <w:start w:val="0"/>
      <w:numFmt w:val="bullet"/>
      <w:lvlText w:val="•"/>
      <w:lvlJc w:val="left"/>
      <w:pPr>
        <w:ind w:left="9539" w:hanging="601"/>
      </w:pPr>
      <w:rPr>
        <w:rFonts w:hint="default"/>
        <w:lang w:val="zh-CN" w:eastAsia="zh-CN" w:bidi="zh-CN"/>
      </w:rPr>
    </w:lvl>
  </w:abstractNum>
  <w:abstractNum w:abstractNumId="25">
    <w:nsid w:val="B5E306ED"/>
    <w:multiLevelType w:val="multilevel"/>
    <w:tmpl w:val="B5E306ED"/>
    <w:lvl w:ilvl="0" w:tentative="0">
      <w:start w:val="16"/>
      <w:numFmt w:val="decimal"/>
      <w:lvlText w:val="%1"/>
      <w:lvlJc w:val="left"/>
      <w:pPr>
        <w:ind w:left="592" w:hanging="375"/>
        <w:jc w:val="left"/>
      </w:pPr>
      <w:rPr>
        <w:rFonts w:hint="default" w:ascii="Times New Roman" w:hAnsi="Times New Roman" w:eastAsia="Times New Roman" w:cs="Times New Roman"/>
        <w:b/>
        <w:bCs/>
        <w:spacing w:val="0"/>
        <w:w w:val="100"/>
        <w:sz w:val="30"/>
        <w:szCs w:val="30"/>
        <w:lang w:val="zh-CN" w:eastAsia="zh-CN" w:bidi="zh-CN"/>
      </w:rPr>
    </w:lvl>
    <w:lvl w:ilvl="1" w:tentative="0">
      <w:start w:val="1"/>
      <w:numFmt w:val="decimal"/>
      <w:lvlText w:val="%1.%2"/>
      <w:lvlJc w:val="left"/>
      <w:pPr>
        <w:ind w:left="1336" w:hanging="560"/>
        <w:jc w:val="left"/>
      </w:pPr>
      <w:rPr>
        <w:rFonts w:hint="default" w:ascii="Times New Roman" w:hAnsi="Times New Roman" w:eastAsia="Times New Roman" w:cs="Times New Roman"/>
        <w:spacing w:val="-2"/>
        <w:w w:val="100"/>
        <w:sz w:val="28"/>
        <w:szCs w:val="28"/>
        <w:lang w:val="zh-CN" w:eastAsia="zh-CN" w:bidi="zh-CN"/>
      </w:rPr>
    </w:lvl>
    <w:lvl w:ilvl="2" w:tentative="0">
      <w:start w:val="0"/>
      <w:numFmt w:val="bullet"/>
      <w:lvlText w:val="•"/>
      <w:lvlJc w:val="left"/>
      <w:pPr>
        <w:ind w:left="2251" w:hanging="560"/>
      </w:pPr>
      <w:rPr>
        <w:rFonts w:hint="default"/>
        <w:lang w:val="zh-CN" w:eastAsia="zh-CN" w:bidi="zh-CN"/>
      </w:rPr>
    </w:lvl>
    <w:lvl w:ilvl="3" w:tentative="0">
      <w:start w:val="0"/>
      <w:numFmt w:val="bullet"/>
      <w:lvlText w:val="•"/>
      <w:lvlJc w:val="left"/>
      <w:pPr>
        <w:ind w:left="3163" w:hanging="560"/>
      </w:pPr>
      <w:rPr>
        <w:rFonts w:hint="default"/>
        <w:lang w:val="zh-CN" w:eastAsia="zh-CN" w:bidi="zh-CN"/>
      </w:rPr>
    </w:lvl>
    <w:lvl w:ilvl="4" w:tentative="0">
      <w:start w:val="0"/>
      <w:numFmt w:val="bullet"/>
      <w:lvlText w:val="•"/>
      <w:lvlJc w:val="left"/>
      <w:pPr>
        <w:ind w:left="4075" w:hanging="560"/>
      </w:pPr>
      <w:rPr>
        <w:rFonts w:hint="default"/>
        <w:lang w:val="zh-CN" w:eastAsia="zh-CN" w:bidi="zh-CN"/>
      </w:rPr>
    </w:lvl>
    <w:lvl w:ilvl="5" w:tentative="0">
      <w:start w:val="0"/>
      <w:numFmt w:val="bullet"/>
      <w:lvlText w:val="•"/>
      <w:lvlJc w:val="left"/>
      <w:pPr>
        <w:ind w:left="4987" w:hanging="560"/>
      </w:pPr>
      <w:rPr>
        <w:rFonts w:hint="default"/>
        <w:lang w:val="zh-CN" w:eastAsia="zh-CN" w:bidi="zh-CN"/>
      </w:rPr>
    </w:lvl>
    <w:lvl w:ilvl="6" w:tentative="0">
      <w:start w:val="0"/>
      <w:numFmt w:val="bullet"/>
      <w:lvlText w:val="•"/>
      <w:lvlJc w:val="left"/>
      <w:pPr>
        <w:ind w:left="5898" w:hanging="560"/>
      </w:pPr>
      <w:rPr>
        <w:rFonts w:hint="default"/>
        <w:lang w:val="zh-CN" w:eastAsia="zh-CN" w:bidi="zh-CN"/>
      </w:rPr>
    </w:lvl>
    <w:lvl w:ilvl="7" w:tentative="0">
      <w:start w:val="0"/>
      <w:numFmt w:val="bullet"/>
      <w:lvlText w:val="•"/>
      <w:lvlJc w:val="left"/>
      <w:pPr>
        <w:ind w:left="6810" w:hanging="560"/>
      </w:pPr>
      <w:rPr>
        <w:rFonts w:hint="default"/>
        <w:lang w:val="zh-CN" w:eastAsia="zh-CN" w:bidi="zh-CN"/>
      </w:rPr>
    </w:lvl>
    <w:lvl w:ilvl="8" w:tentative="0">
      <w:start w:val="0"/>
      <w:numFmt w:val="bullet"/>
      <w:lvlText w:val="•"/>
      <w:lvlJc w:val="left"/>
      <w:pPr>
        <w:ind w:left="7722" w:hanging="560"/>
      </w:pPr>
      <w:rPr>
        <w:rFonts w:hint="default"/>
        <w:lang w:val="zh-CN" w:eastAsia="zh-CN" w:bidi="zh-CN"/>
      </w:rPr>
    </w:lvl>
  </w:abstractNum>
  <w:abstractNum w:abstractNumId="26">
    <w:nsid w:val="B88D21A8"/>
    <w:multiLevelType w:val="multilevel"/>
    <w:tmpl w:val="B88D21A8"/>
    <w:lvl w:ilvl="0" w:tentative="0">
      <w:start w:val="1"/>
      <w:numFmt w:val="decimal"/>
      <w:lvlText w:val="（%1）"/>
      <w:lvlJc w:val="left"/>
      <w:pPr>
        <w:ind w:left="24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3440" w:hanging="601"/>
      </w:pPr>
      <w:rPr>
        <w:rFonts w:hint="default"/>
        <w:lang w:val="zh-CN" w:eastAsia="zh-CN" w:bidi="zh-CN"/>
      </w:rPr>
    </w:lvl>
    <w:lvl w:ilvl="2" w:tentative="0">
      <w:start w:val="0"/>
      <w:numFmt w:val="bullet"/>
      <w:lvlText w:val="•"/>
      <w:lvlJc w:val="left"/>
      <w:pPr>
        <w:ind w:left="4381" w:hanging="601"/>
      </w:pPr>
      <w:rPr>
        <w:rFonts w:hint="default"/>
        <w:lang w:val="zh-CN" w:eastAsia="zh-CN" w:bidi="zh-CN"/>
      </w:rPr>
    </w:lvl>
    <w:lvl w:ilvl="3" w:tentative="0">
      <w:start w:val="0"/>
      <w:numFmt w:val="bullet"/>
      <w:lvlText w:val="•"/>
      <w:lvlJc w:val="left"/>
      <w:pPr>
        <w:ind w:left="5321" w:hanging="601"/>
      </w:pPr>
      <w:rPr>
        <w:rFonts w:hint="default"/>
        <w:lang w:val="zh-CN" w:eastAsia="zh-CN" w:bidi="zh-CN"/>
      </w:rPr>
    </w:lvl>
    <w:lvl w:ilvl="4" w:tentative="0">
      <w:start w:val="0"/>
      <w:numFmt w:val="bullet"/>
      <w:lvlText w:val="•"/>
      <w:lvlJc w:val="left"/>
      <w:pPr>
        <w:ind w:left="6262" w:hanging="601"/>
      </w:pPr>
      <w:rPr>
        <w:rFonts w:hint="default"/>
        <w:lang w:val="zh-CN" w:eastAsia="zh-CN" w:bidi="zh-CN"/>
      </w:rPr>
    </w:lvl>
    <w:lvl w:ilvl="5" w:tentative="0">
      <w:start w:val="0"/>
      <w:numFmt w:val="bullet"/>
      <w:lvlText w:val="•"/>
      <w:lvlJc w:val="left"/>
      <w:pPr>
        <w:ind w:left="7203" w:hanging="601"/>
      </w:pPr>
      <w:rPr>
        <w:rFonts w:hint="default"/>
        <w:lang w:val="zh-CN" w:eastAsia="zh-CN" w:bidi="zh-CN"/>
      </w:rPr>
    </w:lvl>
    <w:lvl w:ilvl="6" w:tentative="0">
      <w:start w:val="0"/>
      <w:numFmt w:val="bullet"/>
      <w:lvlText w:val="•"/>
      <w:lvlJc w:val="left"/>
      <w:pPr>
        <w:ind w:left="8143" w:hanging="601"/>
      </w:pPr>
      <w:rPr>
        <w:rFonts w:hint="default"/>
        <w:lang w:val="zh-CN" w:eastAsia="zh-CN" w:bidi="zh-CN"/>
      </w:rPr>
    </w:lvl>
    <w:lvl w:ilvl="7" w:tentative="0">
      <w:start w:val="0"/>
      <w:numFmt w:val="bullet"/>
      <w:lvlText w:val="•"/>
      <w:lvlJc w:val="left"/>
      <w:pPr>
        <w:ind w:left="9084" w:hanging="601"/>
      </w:pPr>
      <w:rPr>
        <w:rFonts w:hint="default"/>
        <w:lang w:val="zh-CN" w:eastAsia="zh-CN" w:bidi="zh-CN"/>
      </w:rPr>
    </w:lvl>
    <w:lvl w:ilvl="8" w:tentative="0">
      <w:start w:val="0"/>
      <w:numFmt w:val="bullet"/>
      <w:lvlText w:val="•"/>
      <w:lvlJc w:val="left"/>
      <w:pPr>
        <w:ind w:left="10024" w:hanging="601"/>
      </w:pPr>
      <w:rPr>
        <w:rFonts w:hint="default"/>
        <w:lang w:val="zh-CN" w:eastAsia="zh-CN" w:bidi="zh-CN"/>
      </w:rPr>
    </w:lvl>
  </w:abstractNum>
  <w:abstractNum w:abstractNumId="27">
    <w:nsid w:val="B8CEF35B"/>
    <w:multiLevelType w:val="multilevel"/>
    <w:tmpl w:val="B8CEF35B"/>
    <w:lvl w:ilvl="0" w:tentative="0">
      <w:start w:val="1"/>
      <w:numFmt w:val="decimal"/>
      <w:lvlText w:val="%1)"/>
      <w:lvlJc w:val="left"/>
      <w:pPr>
        <w:ind w:left="899" w:hanging="20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764" w:hanging="201"/>
      </w:pPr>
      <w:rPr>
        <w:rFonts w:hint="default"/>
        <w:lang w:val="zh-CN" w:eastAsia="zh-CN" w:bidi="zh-CN"/>
      </w:rPr>
    </w:lvl>
    <w:lvl w:ilvl="2" w:tentative="0">
      <w:start w:val="0"/>
      <w:numFmt w:val="bullet"/>
      <w:lvlText w:val="•"/>
      <w:lvlJc w:val="left"/>
      <w:pPr>
        <w:ind w:left="2629" w:hanging="201"/>
      </w:pPr>
      <w:rPr>
        <w:rFonts w:hint="default"/>
        <w:lang w:val="zh-CN" w:eastAsia="zh-CN" w:bidi="zh-CN"/>
      </w:rPr>
    </w:lvl>
    <w:lvl w:ilvl="3" w:tentative="0">
      <w:start w:val="0"/>
      <w:numFmt w:val="bullet"/>
      <w:lvlText w:val="•"/>
      <w:lvlJc w:val="left"/>
      <w:pPr>
        <w:ind w:left="3493" w:hanging="201"/>
      </w:pPr>
      <w:rPr>
        <w:rFonts w:hint="default"/>
        <w:lang w:val="zh-CN" w:eastAsia="zh-CN" w:bidi="zh-CN"/>
      </w:rPr>
    </w:lvl>
    <w:lvl w:ilvl="4" w:tentative="0">
      <w:start w:val="0"/>
      <w:numFmt w:val="bullet"/>
      <w:lvlText w:val="•"/>
      <w:lvlJc w:val="left"/>
      <w:pPr>
        <w:ind w:left="4358" w:hanging="201"/>
      </w:pPr>
      <w:rPr>
        <w:rFonts w:hint="default"/>
        <w:lang w:val="zh-CN" w:eastAsia="zh-CN" w:bidi="zh-CN"/>
      </w:rPr>
    </w:lvl>
    <w:lvl w:ilvl="5" w:tentative="0">
      <w:start w:val="0"/>
      <w:numFmt w:val="bullet"/>
      <w:lvlText w:val="•"/>
      <w:lvlJc w:val="left"/>
      <w:pPr>
        <w:ind w:left="5223" w:hanging="201"/>
      </w:pPr>
      <w:rPr>
        <w:rFonts w:hint="default"/>
        <w:lang w:val="zh-CN" w:eastAsia="zh-CN" w:bidi="zh-CN"/>
      </w:rPr>
    </w:lvl>
    <w:lvl w:ilvl="6" w:tentative="0">
      <w:start w:val="0"/>
      <w:numFmt w:val="bullet"/>
      <w:lvlText w:val="•"/>
      <w:lvlJc w:val="left"/>
      <w:pPr>
        <w:ind w:left="6087" w:hanging="201"/>
      </w:pPr>
      <w:rPr>
        <w:rFonts w:hint="default"/>
        <w:lang w:val="zh-CN" w:eastAsia="zh-CN" w:bidi="zh-CN"/>
      </w:rPr>
    </w:lvl>
    <w:lvl w:ilvl="7" w:tentative="0">
      <w:start w:val="0"/>
      <w:numFmt w:val="bullet"/>
      <w:lvlText w:val="•"/>
      <w:lvlJc w:val="left"/>
      <w:pPr>
        <w:ind w:left="6952" w:hanging="201"/>
      </w:pPr>
      <w:rPr>
        <w:rFonts w:hint="default"/>
        <w:lang w:val="zh-CN" w:eastAsia="zh-CN" w:bidi="zh-CN"/>
      </w:rPr>
    </w:lvl>
    <w:lvl w:ilvl="8" w:tentative="0">
      <w:start w:val="0"/>
      <w:numFmt w:val="bullet"/>
      <w:lvlText w:val="•"/>
      <w:lvlJc w:val="left"/>
      <w:pPr>
        <w:ind w:left="7816" w:hanging="201"/>
      </w:pPr>
      <w:rPr>
        <w:rFonts w:hint="default"/>
        <w:lang w:val="zh-CN" w:eastAsia="zh-CN" w:bidi="zh-CN"/>
      </w:rPr>
    </w:lvl>
  </w:abstractNum>
  <w:abstractNum w:abstractNumId="28">
    <w:nsid w:val="BB64CFA9"/>
    <w:multiLevelType w:val="multilevel"/>
    <w:tmpl w:val="BB64CFA9"/>
    <w:lvl w:ilvl="0" w:tentative="0">
      <w:start w:val="1"/>
      <w:numFmt w:val="decimal"/>
      <w:lvlText w:val="（%1）"/>
      <w:lvlJc w:val="left"/>
      <w:pPr>
        <w:ind w:left="12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24" w:hanging="601"/>
      </w:pPr>
      <w:rPr>
        <w:rFonts w:hint="default"/>
        <w:lang w:val="zh-CN" w:eastAsia="zh-CN" w:bidi="zh-CN"/>
      </w:rPr>
    </w:lvl>
    <w:lvl w:ilvl="2" w:tentative="0">
      <w:start w:val="0"/>
      <w:numFmt w:val="bullet"/>
      <w:lvlText w:val="•"/>
      <w:lvlJc w:val="left"/>
      <w:pPr>
        <w:ind w:left="2949" w:hanging="601"/>
      </w:pPr>
      <w:rPr>
        <w:rFonts w:hint="default"/>
        <w:lang w:val="zh-CN" w:eastAsia="zh-CN" w:bidi="zh-CN"/>
      </w:rPr>
    </w:lvl>
    <w:lvl w:ilvl="3" w:tentative="0">
      <w:start w:val="0"/>
      <w:numFmt w:val="bullet"/>
      <w:lvlText w:val="•"/>
      <w:lvlJc w:val="left"/>
      <w:pPr>
        <w:ind w:left="3773" w:hanging="601"/>
      </w:pPr>
      <w:rPr>
        <w:rFonts w:hint="default"/>
        <w:lang w:val="zh-CN" w:eastAsia="zh-CN" w:bidi="zh-CN"/>
      </w:rPr>
    </w:lvl>
    <w:lvl w:ilvl="4" w:tentative="0">
      <w:start w:val="0"/>
      <w:numFmt w:val="bullet"/>
      <w:lvlText w:val="•"/>
      <w:lvlJc w:val="left"/>
      <w:pPr>
        <w:ind w:left="4598" w:hanging="601"/>
      </w:pPr>
      <w:rPr>
        <w:rFonts w:hint="default"/>
        <w:lang w:val="zh-CN" w:eastAsia="zh-CN" w:bidi="zh-CN"/>
      </w:rPr>
    </w:lvl>
    <w:lvl w:ilvl="5" w:tentative="0">
      <w:start w:val="0"/>
      <w:numFmt w:val="bullet"/>
      <w:lvlText w:val="•"/>
      <w:lvlJc w:val="left"/>
      <w:pPr>
        <w:ind w:left="5423" w:hanging="601"/>
      </w:pPr>
      <w:rPr>
        <w:rFonts w:hint="default"/>
        <w:lang w:val="zh-CN" w:eastAsia="zh-CN" w:bidi="zh-CN"/>
      </w:rPr>
    </w:lvl>
    <w:lvl w:ilvl="6" w:tentative="0">
      <w:start w:val="0"/>
      <w:numFmt w:val="bullet"/>
      <w:lvlText w:val="•"/>
      <w:lvlJc w:val="left"/>
      <w:pPr>
        <w:ind w:left="6247" w:hanging="601"/>
      </w:pPr>
      <w:rPr>
        <w:rFonts w:hint="default"/>
        <w:lang w:val="zh-CN" w:eastAsia="zh-CN" w:bidi="zh-CN"/>
      </w:rPr>
    </w:lvl>
    <w:lvl w:ilvl="7" w:tentative="0">
      <w:start w:val="0"/>
      <w:numFmt w:val="bullet"/>
      <w:lvlText w:val="•"/>
      <w:lvlJc w:val="left"/>
      <w:pPr>
        <w:ind w:left="7072" w:hanging="601"/>
      </w:pPr>
      <w:rPr>
        <w:rFonts w:hint="default"/>
        <w:lang w:val="zh-CN" w:eastAsia="zh-CN" w:bidi="zh-CN"/>
      </w:rPr>
    </w:lvl>
    <w:lvl w:ilvl="8" w:tentative="0">
      <w:start w:val="0"/>
      <w:numFmt w:val="bullet"/>
      <w:lvlText w:val="•"/>
      <w:lvlJc w:val="left"/>
      <w:pPr>
        <w:ind w:left="7896" w:hanging="601"/>
      </w:pPr>
      <w:rPr>
        <w:rFonts w:hint="default"/>
        <w:lang w:val="zh-CN" w:eastAsia="zh-CN" w:bidi="zh-CN"/>
      </w:rPr>
    </w:lvl>
  </w:abstractNum>
  <w:abstractNum w:abstractNumId="29">
    <w:nsid w:val="BCECA0B4"/>
    <w:multiLevelType w:val="multilevel"/>
    <w:tmpl w:val="BCECA0B4"/>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30">
    <w:nsid w:val="BDA1395C"/>
    <w:multiLevelType w:val="multilevel"/>
    <w:tmpl w:val="BDA1395C"/>
    <w:lvl w:ilvl="0" w:tentative="0">
      <w:start w:val="1"/>
      <w:numFmt w:val="decimal"/>
      <w:lvlText w:val="（%1）"/>
      <w:lvlJc w:val="left"/>
      <w:pPr>
        <w:ind w:left="1418"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2468" w:hanging="601"/>
      </w:pPr>
      <w:rPr>
        <w:rFonts w:hint="default"/>
        <w:lang w:val="zh-CN" w:eastAsia="zh-CN" w:bidi="zh-CN"/>
      </w:rPr>
    </w:lvl>
    <w:lvl w:ilvl="2" w:tentative="0">
      <w:start w:val="0"/>
      <w:numFmt w:val="bullet"/>
      <w:lvlText w:val="•"/>
      <w:lvlJc w:val="left"/>
      <w:pPr>
        <w:ind w:left="3517" w:hanging="601"/>
      </w:pPr>
      <w:rPr>
        <w:rFonts w:hint="default"/>
        <w:lang w:val="zh-CN" w:eastAsia="zh-CN" w:bidi="zh-CN"/>
      </w:rPr>
    </w:lvl>
    <w:lvl w:ilvl="3" w:tentative="0">
      <w:start w:val="0"/>
      <w:numFmt w:val="bullet"/>
      <w:lvlText w:val="•"/>
      <w:lvlJc w:val="left"/>
      <w:pPr>
        <w:ind w:left="4565" w:hanging="601"/>
      </w:pPr>
      <w:rPr>
        <w:rFonts w:hint="default"/>
        <w:lang w:val="zh-CN" w:eastAsia="zh-CN" w:bidi="zh-CN"/>
      </w:rPr>
    </w:lvl>
    <w:lvl w:ilvl="4" w:tentative="0">
      <w:start w:val="0"/>
      <w:numFmt w:val="bullet"/>
      <w:lvlText w:val="•"/>
      <w:lvlJc w:val="left"/>
      <w:pPr>
        <w:ind w:left="5614" w:hanging="601"/>
      </w:pPr>
      <w:rPr>
        <w:rFonts w:hint="default"/>
        <w:lang w:val="zh-CN" w:eastAsia="zh-CN" w:bidi="zh-CN"/>
      </w:rPr>
    </w:lvl>
    <w:lvl w:ilvl="5" w:tentative="0">
      <w:start w:val="0"/>
      <w:numFmt w:val="bullet"/>
      <w:lvlText w:val="•"/>
      <w:lvlJc w:val="left"/>
      <w:pPr>
        <w:ind w:left="6663" w:hanging="601"/>
      </w:pPr>
      <w:rPr>
        <w:rFonts w:hint="default"/>
        <w:lang w:val="zh-CN" w:eastAsia="zh-CN" w:bidi="zh-CN"/>
      </w:rPr>
    </w:lvl>
    <w:lvl w:ilvl="6" w:tentative="0">
      <w:start w:val="0"/>
      <w:numFmt w:val="bullet"/>
      <w:lvlText w:val="•"/>
      <w:lvlJc w:val="left"/>
      <w:pPr>
        <w:ind w:left="7711" w:hanging="601"/>
      </w:pPr>
      <w:rPr>
        <w:rFonts w:hint="default"/>
        <w:lang w:val="zh-CN" w:eastAsia="zh-CN" w:bidi="zh-CN"/>
      </w:rPr>
    </w:lvl>
    <w:lvl w:ilvl="7" w:tentative="0">
      <w:start w:val="0"/>
      <w:numFmt w:val="bullet"/>
      <w:lvlText w:val="•"/>
      <w:lvlJc w:val="left"/>
      <w:pPr>
        <w:ind w:left="8760" w:hanging="601"/>
      </w:pPr>
      <w:rPr>
        <w:rFonts w:hint="default"/>
        <w:lang w:val="zh-CN" w:eastAsia="zh-CN" w:bidi="zh-CN"/>
      </w:rPr>
    </w:lvl>
    <w:lvl w:ilvl="8" w:tentative="0">
      <w:start w:val="0"/>
      <w:numFmt w:val="bullet"/>
      <w:lvlText w:val="•"/>
      <w:lvlJc w:val="left"/>
      <w:pPr>
        <w:ind w:left="9808" w:hanging="601"/>
      </w:pPr>
      <w:rPr>
        <w:rFonts w:hint="default"/>
        <w:lang w:val="zh-CN" w:eastAsia="zh-CN" w:bidi="zh-CN"/>
      </w:rPr>
    </w:lvl>
  </w:abstractNum>
  <w:abstractNum w:abstractNumId="31">
    <w:nsid w:val="BE8A4F4C"/>
    <w:multiLevelType w:val="multilevel"/>
    <w:tmpl w:val="BE8A4F4C"/>
    <w:lvl w:ilvl="0" w:tentative="0">
      <w:start w:val="1"/>
      <w:numFmt w:val="decimal"/>
      <w:lvlText w:val="%1."/>
      <w:lvlJc w:val="left"/>
      <w:pPr>
        <w:ind w:left="112"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638" w:hanging="159"/>
      </w:pPr>
      <w:rPr>
        <w:rFonts w:hint="default"/>
        <w:lang w:val="zh-CN" w:eastAsia="zh-CN" w:bidi="zh-CN"/>
      </w:rPr>
    </w:lvl>
    <w:lvl w:ilvl="2" w:tentative="0">
      <w:start w:val="0"/>
      <w:numFmt w:val="bullet"/>
      <w:lvlText w:val="•"/>
      <w:lvlJc w:val="left"/>
      <w:pPr>
        <w:ind w:left="1156" w:hanging="159"/>
      </w:pPr>
      <w:rPr>
        <w:rFonts w:hint="default"/>
        <w:lang w:val="zh-CN" w:eastAsia="zh-CN" w:bidi="zh-CN"/>
      </w:rPr>
    </w:lvl>
    <w:lvl w:ilvl="3" w:tentative="0">
      <w:start w:val="0"/>
      <w:numFmt w:val="bullet"/>
      <w:lvlText w:val="•"/>
      <w:lvlJc w:val="left"/>
      <w:pPr>
        <w:ind w:left="1675" w:hanging="159"/>
      </w:pPr>
      <w:rPr>
        <w:rFonts w:hint="default"/>
        <w:lang w:val="zh-CN" w:eastAsia="zh-CN" w:bidi="zh-CN"/>
      </w:rPr>
    </w:lvl>
    <w:lvl w:ilvl="4" w:tentative="0">
      <w:start w:val="0"/>
      <w:numFmt w:val="bullet"/>
      <w:lvlText w:val="•"/>
      <w:lvlJc w:val="left"/>
      <w:pPr>
        <w:ind w:left="2193" w:hanging="159"/>
      </w:pPr>
      <w:rPr>
        <w:rFonts w:hint="default"/>
        <w:lang w:val="zh-CN" w:eastAsia="zh-CN" w:bidi="zh-CN"/>
      </w:rPr>
    </w:lvl>
    <w:lvl w:ilvl="5" w:tentative="0">
      <w:start w:val="0"/>
      <w:numFmt w:val="bullet"/>
      <w:lvlText w:val="•"/>
      <w:lvlJc w:val="left"/>
      <w:pPr>
        <w:ind w:left="2712" w:hanging="159"/>
      </w:pPr>
      <w:rPr>
        <w:rFonts w:hint="default"/>
        <w:lang w:val="zh-CN" w:eastAsia="zh-CN" w:bidi="zh-CN"/>
      </w:rPr>
    </w:lvl>
    <w:lvl w:ilvl="6" w:tentative="0">
      <w:start w:val="0"/>
      <w:numFmt w:val="bullet"/>
      <w:lvlText w:val="•"/>
      <w:lvlJc w:val="left"/>
      <w:pPr>
        <w:ind w:left="3230" w:hanging="159"/>
      </w:pPr>
      <w:rPr>
        <w:rFonts w:hint="default"/>
        <w:lang w:val="zh-CN" w:eastAsia="zh-CN" w:bidi="zh-CN"/>
      </w:rPr>
    </w:lvl>
    <w:lvl w:ilvl="7" w:tentative="0">
      <w:start w:val="0"/>
      <w:numFmt w:val="bullet"/>
      <w:lvlText w:val="•"/>
      <w:lvlJc w:val="left"/>
      <w:pPr>
        <w:ind w:left="3748" w:hanging="159"/>
      </w:pPr>
      <w:rPr>
        <w:rFonts w:hint="default"/>
        <w:lang w:val="zh-CN" w:eastAsia="zh-CN" w:bidi="zh-CN"/>
      </w:rPr>
    </w:lvl>
    <w:lvl w:ilvl="8" w:tentative="0">
      <w:start w:val="0"/>
      <w:numFmt w:val="bullet"/>
      <w:lvlText w:val="•"/>
      <w:lvlJc w:val="left"/>
      <w:pPr>
        <w:ind w:left="4267" w:hanging="159"/>
      </w:pPr>
      <w:rPr>
        <w:rFonts w:hint="default"/>
        <w:lang w:val="zh-CN" w:eastAsia="zh-CN" w:bidi="zh-CN"/>
      </w:rPr>
    </w:lvl>
  </w:abstractNum>
  <w:abstractNum w:abstractNumId="32">
    <w:nsid w:val="BE923771"/>
    <w:multiLevelType w:val="multilevel"/>
    <w:tmpl w:val="BE923771"/>
    <w:lvl w:ilvl="0" w:tentative="0">
      <w:start w:val="2"/>
      <w:numFmt w:val="decimal"/>
      <w:lvlText w:val="%1"/>
      <w:lvlJc w:val="left"/>
      <w:pPr>
        <w:ind w:left="667" w:hanging="449"/>
        <w:jc w:val="left"/>
      </w:pPr>
      <w:rPr>
        <w:rFonts w:hint="default"/>
        <w:lang w:val="zh-CN" w:eastAsia="zh-CN" w:bidi="zh-CN"/>
      </w:rPr>
    </w:lvl>
    <w:lvl w:ilvl="1" w:tentative="0">
      <w:start w:val="1"/>
      <w:numFmt w:val="decimal"/>
      <w:lvlText w:val="%1.%2"/>
      <w:lvlJc w:val="left"/>
      <w:pPr>
        <w:ind w:left="66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847" w:hanging="629"/>
        <w:jc w:val="left"/>
      </w:pPr>
      <w:rPr>
        <w:rFonts w:hint="default"/>
        <w:b/>
        <w:bCs/>
        <w:spacing w:val="-2"/>
        <w:w w:val="100"/>
        <w:lang w:val="zh-CN" w:eastAsia="zh-CN" w:bidi="zh-CN"/>
      </w:rPr>
    </w:lvl>
    <w:lvl w:ilvl="3" w:tentative="0">
      <w:start w:val="1"/>
      <w:numFmt w:val="decimal"/>
      <w:lvlText w:val="（%4）"/>
      <w:lvlJc w:val="left"/>
      <w:pPr>
        <w:ind w:left="218" w:hanging="629"/>
        <w:jc w:val="left"/>
      </w:pPr>
      <w:rPr>
        <w:rFonts w:hint="default" w:ascii="宋体" w:hAnsi="宋体" w:eastAsia="宋体" w:cs="宋体"/>
        <w:spacing w:val="0"/>
        <w:w w:val="100"/>
        <w:sz w:val="22"/>
        <w:szCs w:val="22"/>
        <w:lang w:val="zh-CN" w:eastAsia="zh-CN" w:bidi="zh-CN"/>
      </w:rPr>
    </w:lvl>
    <w:lvl w:ilvl="4" w:tentative="0">
      <w:start w:val="0"/>
      <w:numFmt w:val="bullet"/>
      <w:lvlText w:val="•"/>
      <w:lvlJc w:val="left"/>
      <w:pPr>
        <w:ind w:left="1147" w:hanging="629"/>
      </w:pPr>
      <w:rPr>
        <w:rFonts w:hint="default"/>
        <w:lang w:val="zh-CN" w:eastAsia="zh-CN" w:bidi="zh-CN"/>
      </w:rPr>
    </w:lvl>
    <w:lvl w:ilvl="5" w:tentative="0">
      <w:start w:val="0"/>
      <w:numFmt w:val="bullet"/>
      <w:lvlText w:val="•"/>
      <w:lvlJc w:val="left"/>
      <w:pPr>
        <w:ind w:left="1374" w:hanging="629"/>
      </w:pPr>
      <w:rPr>
        <w:rFonts w:hint="default"/>
        <w:lang w:val="zh-CN" w:eastAsia="zh-CN" w:bidi="zh-CN"/>
      </w:rPr>
    </w:lvl>
    <w:lvl w:ilvl="6" w:tentative="0">
      <w:start w:val="0"/>
      <w:numFmt w:val="bullet"/>
      <w:lvlText w:val="•"/>
      <w:lvlJc w:val="left"/>
      <w:pPr>
        <w:ind w:left="1602" w:hanging="629"/>
      </w:pPr>
      <w:rPr>
        <w:rFonts w:hint="default"/>
        <w:lang w:val="zh-CN" w:eastAsia="zh-CN" w:bidi="zh-CN"/>
      </w:rPr>
    </w:lvl>
    <w:lvl w:ilvl="7" w:tentative="0">
      <w:start w:val="0"/>
      <w:numFmt w:val="bullet"/>
      <w:lvlText w:val="•"/>
      <w:lvlJc w:val="left"/>
      <w:pPr>
        <w:ind w:left="1829" w:hanging="629"/>
      </w:pPr>
      <w:rPr>
        <w:rFonts w:hint="default"/>
        <w:lang w:val="zh-CN" w:eastAsia="zh-CN" w:bidi="zh-CN"/>
      </w:rPr>
    </w:lvl>
    <w:lvl w:ilvl="8" w:tentative="0">
      <w:start w:val="0"/>
      <w:numFmt w:val="bullet"/>
      <w:lvlText w:val="•"/>
      <w:lvlJc w:val="left"/>
      <w:pPr>
        <w:ind w:left="2057" w:hanging="629"/>
      </w:pPr>
      <w:rPr>
        <w:rFonts w:hint="default"/>
        <w:lang w:val="zh-CN" w:eastAsia="zh-CN" w:bidi="zh-CN"/>
      </w:rPr>
    </w:lvl>
  </w:abstractNum>
  <w:abstractNum w:abstractNumId="33">
    <w:nsid w:val="BF205925"/>
    <w:multiLevelType w:val="multilevel"/>
    <w:tmpl w:val="BF205925"/>
    <w:lvl w:ilvl="0" w:tentative="0">
      <w:start w:val="9"/>
      <w:numFmt w:val="decimal"/>
      <w:lvlText w:val="%1"/>
      <w:lvlJc w:val="left"/>
      <w:pPr>
        <w:ind w:left="1267" w:hanging="490"/>
        <w:jc w:val="left"/>
      </w:pPr>
      <w:rPr>
        <w:rFonts w:hint="default"/>
        <w:lang w:val="zh-CN" w:eastAsia="zh-CN" w:bidi="zh-CN"/>
      </w:rPr>
    </w:lvl>
    <w:lvl w:ilvl="1" w:tentative="0">
      <w:start w:val="2"/>
      <w:numFmt w:val="decimal"/>
      <w:lvlText w:val="%1.%2"/>
      <w:lvlJc w:val="left"/>
      <w:pPr>
        <w:ind w:left="1267" w:hanging="490"/>
        <w:jc w:val="left"/>
      </w:pPr>
      <w:rPr>
        <w:rFonts w:hint="default" w:ascii="Times New Roman" w:hAnsi="Times New Roman" w:eastAsia="Times New Roman" w:cs="Times New Roman"/>
        <w:spacing w:val="-1"/>
        <w:w w:val="100"/>
        <w:sz w:val="28"/>
        <w:szCs w:val="28"/>
        <w:lang w:val="zh-CN" w:eastAsia="zh-CN" w:bidi="zh-CN"/>
      </w:rPr>
    </w:lvl>
    <w:lvl w:ilvl="2" w:tentative="0">
      <w:start w:val="0"/>
      <w:numFmt w:val="bullet"/>
      <w:lvlText w:val="•"/>
      <w:lvlJc w:val="left"/>
      <w:pPr>
        <w:ind w:left="2917" w:hanging="490"/>
      </w:pPr>
      <w:rPr>
        <w:rFonts w:hint="default"/>
        <w:lang w:val="zh-CN" w:eastAsia="zh-CN" w:bidi="zh-CN"/>
      </w:rPr>
    </w:lvl>
    <w:lvl w:ilvl="3" w:tentative="0">
      <w:start w:val="0"/>
      <w:numFmt w:val="bullet"/>
      <w:lvlText w:val="•"/>
      <w:lvlJc w:val="left"/>
      <w:pPr>
        <w:ind w:left="3745" w:hanging="490"/>
      </w:pPr>
      <w:rPr>
        <w:rFonts w:hint="default"/>
        <w:lang w:val="zh-CN" w:eastAsia="zh-CN" w:bidi="zh-CN"/>
      </w:rPr>
    </w:lvl>
    <w:lvl w:ilvl="4" w:tentative="0">
      <w:start w:val="0"/>
      <w:numFmt w:val="bullet"/>
      <w:lvlText w:val="•"/>
      <w:lvlJc w:val="left"/>
      <w:pPr>
        <w:ind w:left="4574" w:hanging="490"/>
      </w:pPr>
      <w:rPr>
        <w:rFonts w:hint="default"/>
        <w:lang w:val="zh-CN" w:eastAsia="zh-CN" w:bidi="zh-CN"/>
      </w:rPr>
    </w:lvl>
    <w:lvl w:ilvl="5" w:tentative="0">
      <w:start w:val="0"/>
      <w:numFmt w:val="bullet"/>
      <w:lvlText w:val="•"/>
      <w:lvlJc w:val="left"/>
      <w:pPr>
        <w:ind w:left="5403" w:hanging="490"/>
      </w:pPr>
      <w:rPr>
        <w:rFonts w:hint="default"/>
        <w:lang w:val="zh-CN" w:eastAsia="zh-CN" w:bidi="zh-CN"/>
      </w:rPr>
    </w:lvl>
    <w:lvl w:ilvl="6" w:tentative="0">
      <w:start w:val="0"/>
      <w:numFmt w:val="bullet"/>
      <w:lvlText w:val="•"/>
      <w:lvlJc w:val="left"/>
      <w:pPr>
        <w:ind w:left="6231" w:hanging="490"/>
      </w:pPr>
      <w:rPr>
        <w:rFonts w:hint="default"/>
        <w:lang w:val="zh-CN" w:eastAsia="zh-CN" w:bidi="zh-CN"/>
      </w:rPr>
    </w:lvl>
    <w:lvl w:ilvl="7" w:tentative="0">
      <w:start w:val="0"/>
      <w:numFmt w:val="bullet"/>
      <w:lvlText w:val="•"/>
      <w:lvlJc w:val="left"/>
      <w:pPr>
        <w:ind w:left="7060" w:hanging="490"/>
      </w:pPr>
      <w:rPr>
        <w:rFonts w:hint="default"/>
        <w:lang w:val="zh-CN" w:eastAsia="zh-CN" w:bidi="zh-CN"/>
      </w:rPr>
    </w:lvl>
    <w:lvl w:ilvl="8" w:tentative="0">
      <w:start w:val="0"/>
      <w:numFmt w:val="bullet"/>
      <w:lvlText w:val="•"/>
      <w:lvlJc w:val="left"/>
      <w:pPr>
        <w:ind w:left="7888" w:hanging="490"/>
      </w:pPr>
      <w:rPr>
        <w:rFonts w:hint="default"/>
        <w:lang w:val="zh-CN" w:eastAsia="zh-CN" w:bidi="zh-CN"/>
      </w:rPr>
    </w:lvl>
  </w:abstractNum>
  <w:abstractNum w:abstractNumId="34">
    <w:nsid w:val="BF50FE6B"/>
    <w:multiLevelType w:val="multilevel"/>
    <w:tmpl w:val="BF50FE6B"/>
    <w:lvl w:ilvl="0" w:tentative="0">
      <w:start w:val="1"/>
      <w:numFmt w:val="decimal"/>
      <w:lvlText w:val="（%1）"/>
      <w:lvlJc w:val="left"/>
      <w:pPr>
        <w:ind w:left="1706" w:hanging="627"/>
        <w:jc w:val="left"/>
      </w:pPr>
      <w:rPr>
        <w:rFonts w:hint="default" w:ascii="宋体" w:hAnsi="宋体" w:eastAsia="宋体" w:cs="宋体"/>
        <w:spacing w:val="7"/>
        <w:w w:val="100"/>
        <w:sz w:val="22"/>
        <w:szCs w:val="22"/>
        <w:lang w:val="zh-CN" w:eastAsia="zh-CN" w:bidi="zh-CN"/>
      </w:rPr>
    </w:lvl>
    <w:lvl w:ilvl="1" w:tentative="0">
      <w:start w:val="0"/>
      <w:numFmt w:val="bullet"/>
      <w:lvlText w:val="•"/>
      <w:lvlJc w:val="left"/>
      <w:pPr>
        <w:ind w:left="2510" w:hanging="627"/>
      </w:pPr>
      <w:rPr>
        <w:rFonts w:hint="default"/>
        <w:lang w:val="zh-CN" w:eastAsia="zh-CN" w:bidi="zh-CN"/>
      </w:rPr>
    </w:lvl>
    <w:lvl w:ilvl="2" w:tentative="0">
      <w:start w:val="0"/>
      <w:numFmt w:val="bullet"/>
      <w:lvlText w:val="•"/>
      <w:lvlJc w:val="left"/>
      <w:pPr>
        <w:ind w:left="3321" w:hanging="627"/>
      </w:pPr>
      <w:rPr>
        <w:rFonts w:hint="default"/>
        <w:lang w:val="zh-CN" w:eastAsia="zh-CN" w:bidi="zh-CN"/>
      </w:rPr>
    </w:lvl>
    <w:lvl w:ilvl="3" w:tentative="0">
      <w:start w:val="0"/>
      <w:numFmt w:val="bullet"/>
      <w:lvlText w:val="•"/>
      <w:lvlJc w:val="left"/>
      <w:pPr>
        <w:ind w:left="4131" w:hanging="627"/>
      </w:pPr>
      <w:rPr>
        <w:rFonts w:hint="default"/>
        <w:lang w:val="zh-CN" w:eastAsia="zh-CN" w:bidi="zh-CN"/>
      </w:rPr>
    </w:lvl>
    <w:lvl w:ilvl="4" w:tentative="0">
      <w:start w:val="0"/>
      <w:numFmt w:val="bullet"/>
      <w:lvlText w:val="•"/>
      <w:lvlJc w:val="left"/>
      <w:pPr>
        <w:ind w:left="4942" w:hanging="627"/>
      </w:pPr>
      <w:rPr>
        <w:rFonts w:hint="default"/>
        <w:lang w:val="zh-CN" w:eastAsia="zh-CN" w:bidi="zh-CN"/>
      </w:rPr>
    </w:lvl>
    <w:lvl w:ilvl="5" w:tentative="0">
      <w:start w:val="0"/>
      <w:numFmt w:val="bullet"/>
      <w:lvlText w:val="•"/>
      <w:lvlJc w:val="left"/>
      <w:pPr>
        <w:ind w:left="5753" w:hanging="627"/>
      </w:pPr>
      <w:rPr>
        <w:rFonts w:hint="default"/>
        <w:lang w:val="zh-CN" w:eastAsia="zh-CN" w:bidi="zh-CN"/>
      </w:rPr>
    </w:lvl>
    <w:lvl w:ilvl="6" w:tentative="0">
      <w:start w:val="0"/>
      <w:numFmt w:val="bullet"/>
      <w:lvlText w:val="•"/>
      <w:lvlJc w:val="left"/>
      <w:pPr>
        <w:ind w:left="6563" w:hanging="627"/>
      </w:pPr>
      <w:rPr>
        <w:rFonts w:hint="default"/>
        <w:lang w:val="zh-CN" w:eastAsia="zh-CN" w:bidi="zh-CN"/>
      </w:rPr>
    </w:lvl>
    <w:lvl w:ilvl="7" w:tentative="0">
      <w:start w:val="0"/>
      <w:numFmt w:val="bullet"/>
      <w:lvlText w:val="•"/>
      <w:lvlJc w:val="left"/>
      <w:pPr>
        <w:ind w:left="7374" w:hanging="627"/>
      </w:pPr>
      <w:rPr>
        <w:rFonts w:hint="default"/>
        <w:lang w:val="zh-CN" w:eastAsia="zh-CN" w:bidi="zh-CN"/>
      </w:rPr>
    </w:lvl>
    <w:lvl w:ilvl="8" w:tentative="0">
      <w:start w:val="0"/>
      <w:numFmt w:val="bullet"/>
      <w:lvlText w:val="•"/>
      <w:lvlJc w:val="left"/>
      <w:pPr>
        <w:ind w:left="8184" w:hanging="627"/>
      </w:pPr>
      <w:rPr>
        <w:rFonts w:hint="default"/>
        <w:lang w:val="zh-CN" w:eastAsia="zh-CN" w:bidi="zh-CN"/>
      </w:rPr>
    </w:lvl>
  </w:abstractNum>
  <w:abstractNum w:abstractNumId="35">
    <w:nsid w:val="C0915F4F"/>
    <w:multiLevelType w:val="multilevel"/>
    <w:tmpl w:val="C0915F4F"/>
    <w:lvl w:ilvl="0" w:tentative="0">
      <w:start w:val="1"/>
      <w:numFmt w:val="decimal"/>
      <w:lvlText w:val="（%1）"/>
      <w:lvlJc w:val="left"/>
      <w:pPr>
        <w:ind w:left="24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3440" w:hanging="601"/>
      </w:pPr>
      <w:rPr>
        <w:rFonts w:hint="default"/>
        <w:lang w:val="zh-CN" w:eastAsia="zh-CN" w:bidi="zh-CN"/>
      </w:rPr>
    </w:lvl>
    <w:lvl w:ilvl="2" w:tentative="0">
      <w:start w:val="0"/>
      <w:numFmt w:val="bullet"/>
      <w:lvlText w:val="•"/>
      <w:lvlJc w:val="left"/>
      <w:pPr>
        <w:ind w:left="4381" w:hanging="601"/>
      </w:pPr>
      <w:rPr>
        <w:rFonts w:hint="default"/>
        <w:lang w:val="zh-CN" w:eastAsia="zh-CN" w:bidi="zh-CN"/>
      </w:rPr>
    </w:lvl>
    <w:lvl w:ilvl="3" w:tentative="0">
      <w:start w:val="0"/>
      <w:numFmt w:val="bullet"/>
      <w:lvlText w:val="•"/>
      <w:lvlJc w:val="left"/>
      <w:pPr>
        <w:ind w:left="5321" w:hanging="601"/>
      </w:pPr>
      <w:rPr>
        <w:rFonts w:hint="default"/>
        <w:lang w:val="zh-CN" w:eastAsia="zh-CN" w:bidi="zh-CN"/>
      </w:rPr>
    </w:lvl>
    <w:lvl w:ilvl="4" w:tentative="0">
      <w:start w:val="0"/>
      <w:numFmt w:val="bullet"/>
      <w:lvlText w:val="•"/>
      <w:lvlJc w:val="left"/>
      <w:pPr>
        <w:ind w:left="6262" w:hanging="601"/>
      </w:pPr>
      <w:rPr>
        <w:rFonts w:hint="default"/>
        <w:lang w:val="zh-CN" w:eastAsia="zh-CN" w:bidi="zh-CN"/>
      </w:rPr>
    </w:lvl>
    <w:lvl w:ilvl="5" w:tentative="0">
      <w:start w:val="0"/>
      <w:numFmt w:val="bullet"/>
      <w:lvlText w:val="•"/>
      <w:lvlJc w:val="left"/>
      <w:pPr>
        <w:ind w:left="7203" w:hanging="601"/>
      </w:pPr>
      <w:rPr>
        <w:rFonts w:hint="default"/>
        <w:lang w:val="zh-CN" w:eastAsia="zh-CN" w:bidi="zh-CN"/>
      </w:rPr>
    </w:lvl>
    <w:lvl w:ilvl="6" w:tentative="0">
      <w:start w:val="0"/>
      <w:numFmt w:val="bullet"/>
      <w:lvlText w:val="•"/>
      <w:lvlJc w:val="left"/>
      <w:pPr>
        <w:ind w:left="8143" w:hanging="601"/>
      </w:pPr>
      <w:rPr>
        <w:rFonts w:hint="default"/>
        <w:lang w:val="zh-CN" w:eastAsia="zh-CN" w:bidi="zh-CN"/>
      </w:rPr>
    </w:lvl>
    <w:lvl w:ilvl="7" w:tentative="0">
      <w:start w:val="0"/>
      <w:numFmt w:val="bullet"/>
      <w:lvlText w:val="•"/>
      <w:lvlJc w:val="left"/>
      <w:pPr>
        <w:ind w:left="9084" w:hanging="601"/>
      </w:pPr>
      <w:rPr>
        <w:rFonts w:hint="default"/>
        <w:lang w:val="zh-CN" w:eastAsia="zh-CN" w:bidi="zh-CN"/>
      </w:rPr>
    </w:lvl>
    <w:lvl w:ilvl="8" w:tentative="0">
      <w:start w:val="0"/>
      <w:numFmt w:val="bullet"/>
      <w:lvlText w:val="•"/>
      <w:lvlJc w:val="left"/>
      <w:pPr>
        <w:ind w:left="10024" w:hanging="601"/>
      </w:pPr>
      <w:rPr>
        <w:rFonts w:hint="default"/>
        <w:lang w:val="zh-CN" w:eastAsia="zh-CN" w:bidi="zh-CN"/>
      </w:rPr>
    </w:lvl>
  </w:abstractNum>
  <w:abstractNum w:abstractNumId="36">
    <w:nsid w:val="C4E0D24A"/>
    <w:multiLevelType w:val="multilevel"/>
    <w:tmpl w:val="C4E0D24A"/>
    <w:lvl w:ilvl="0" w:tentative="0">
      <w:start w:val="1"/>
      <w:numFmt w:val="decimal"/>
      <w:lvlText w:val="（%1）"/>
      <w:lvlJc w:val="left"/>
      <w:pPr>
        <w:ind w:left="250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3440" w:hanging="601"/>
      </w:pPr>
      <w:rPr>
        <w:rFonts w:hint="default"/>
        <w:lang w:val="zh-CN" w:eastAsia="zh-CN" w:bidi="zh-CN"/>
      </w:rPr>
    </w:lvl>
    <w:lvl w:ilvl="2" w:tentative="0">
      <w:start w:val="0"/>
      <w:numFmt w:val="bullet"/>
      <w:lvlText w:val="•"/>
      <w:lvlJc w:val="left"/>
      <w:pPr>
        <w:ind w:left="4381" w:hanging="601"/>
      </w:pPr>
      <w:rPr>
        <w:rFonts w:hint="default"/>
        <w:lang w:val="zh-CN" w:eastAsia="zh-CN" w:bidi="zh-CN"/>
      </w:rPr>
    </w:lvl>
    <w:lvl w:ilvl="3" w:tentative="0">
      <w:start w:val="0"/>
      <w:numFmt w:val="bullet"/>
      <w:lvlText w:val="•"/>
      <w:lvlJc w:val="left"/>
      <w:pPr>
        <w:ind w:left="5321" w:hanging="601"/>
      </w:pPr>
      <w:rPr>
        <w:rFonts w:hint="default"/>
        <w:lang w:val="zh-CN" w:eastAsia="zh-CN" w:bidi="zh-CN"/>
      </w:rPr>
    </w:lvl>
    <w:lvl w:ilvl="4" w:tentative="0">
      <w:start w:val="0"/>
      <w:numFmt w:val="bullet"/>
      <w:lvlText w:val="•"/>
      <w:lvlJc w:val="left"/>
      <w:pPr>
        <w:ind w:left="6262" w:hanging="601"/>
      </w:pPr>
      <w:rPr>
        <w:rFonts w:hint="default"/>
        <w:lang w:val="zh-CN" w:eastAsia="zh-CN" w:bidi="zh-CN"/>
      </w:rPr>
    </w:lvl>
    <w:lvl w:ilvl="5" w:tentative="0">
      <w:start w:val="0"/>
      <w:numFmt w:val="bullet"/>
      <w:lvlText w:val="•"/>
      <w:lvlJc w:val="left"/>
      <w:pPr>
        <w:ind w:left="7203" w:hanging="601"/>
      </w:pPr>
      <w:rPr>
        <w:rFonts w:hint="default"/>
        <w:lang w:val="zh-CN" w:eastAsia="zh-CN" w:bidi="zh-CN"/>
      </w:rPr>
    </w:lvl>
    <w:lvl w:ilvl="6" w:tentative="0">
      <w:start w:val="0"/>
      <w:numFmt w:val="bullet"/>
      <w:lvlText w:val="•"/>
      <w:lvlJc w:val="left"/>
      <w:pPr>
        <w:ind w:left="8143" w:hanging="601"/>
      </w:pPr>
      <w:rPr>
        <w:rFonts w:hint="default"/>
        <w:lang w:val="zh-CN" w:eastAsia="zh-CN" w:bidi="zh-CN"/>
      </w:rPr>
    </w:lvl>
    <w:lvl w:ilvl="7" w:tentative="0">
      <w:start w:val="0"/>
      <w:numFmt w:val="bullet"/>
      <w:lvlText w:val="•"/>
      <w:lvlJc w:val="left"/>
      <w:pPr>
        <w:ind w:left="9084" w:hanging="601"/>
      </w:pPr>
      <w:rPr>
        <w:rFonts w:hint="default"/>
        <w:lang w:val="zh-CN" w:eastAsia="zh-CN" w:bidi="zh-CN"/>
      </w:rPr>
    </w:lvl>
    <w:lvl w:ilvl="8" w:tentative="0">
      <w:start w:val="0"/>
      <w:numFmt w:val="bullet"/>
      <w:lvlText w:val="•"/>
      <w:lvlJc w:val="left"/>
      <w:pPr>
        <w:ind w:left="10024" w:hanging="601"/>
      </w:pPr>
      <w:rPr>
        <w:rFonts w:hint="default"/>
        <w:lang w:val="zh-CN" w:eastAsia="zh-CN" w:bidi="zh-CN"/>
      </w:rPr>
    </w:lvl>
  </w:abstractNum>
  <w:abstractNum w:abstractNumId="37">
    <w:nsid w:val="C8879AEF"/>
    <w:multiLevelType w:val="multilevel"/>
    <w:tmpl w:val="C8879AEF"/>
    <w:lvl w:ilvl="0" w:tentative="0">
      <w:start w:val="1"/>
      <w:numFmt w:val="decimal"/>
      <w:lvlText w:val="（%1）"/>
      <w:lvlJc w:val="left"/>
      <w:pPr>
        <w:ind w:left="1299" w:hanging="601"/>
        <w:jc w:val="left"/>
      </w:pPr>
      <w:rPr>
        <w:rFonts w:hint="default" w:ascii="宋体" w:hAnsi="宋体" w:eastAsia="宋体" w:cs="宋体"/>
        <w:color w:val="FF0000"/>
        <w:w w:val="100"/>
        <w:sz w:val="22"/>
        <w:szCs w:val="22"/>
        <w:lang w:val="zh-CN" w:eastAsia="zh-CN" w:bidi="zh-CN"/>
      </w:rPr>
    </w:lvl>
    <w:lvl w:ilvl="1" w:tentative="0">
      <w:start w:val="0"/>
      <w:numFmt w:val="bullet"/>
      <w:lvlText w:val="•"/>
      <w:lvlJc w:val="left"/>
      <w:pPr>
        <w:ind w:left="2124" w:hanging="601"/>
      </w:pPr>
      <w:rPr>
        <w:rFonts w:hint="default"/>
        <w:lang w:val="zh-CN" w:eastAsia="zh-CN" w:bidi="zh-CN"/>
      </w:rPr>
    </w:lvl>
    <w:lvl w:ilvl="2" w:tentative="0">
      <w:start w:val="0"/>
      <w:numFmt w:val="bullet"/>
      <w:lvlText w:val="•"/>
      <w:lvlJc w:val="left"/>
      <w:pPr>
        <w:ind w:left="2949" w:hanging="601"/>
      </w:pPr>
      <w:rPr>
        <w:rFonts w:hint="default"/>
        <w:lang w:val="zh-CN" w:eastAsia="zh-CN" w:bidi="zh-CN"/>
      </w:rPr>
    </w:lvl>
    <w:lvl w:ilvl="3" w:tentative="0">
      <w:start w:val="0"/>
      <w:numFmt w:val="bullet"/>
      <w:lvlText w:val="•"/>
      <w:lvlJc w:val="left"/>
      <w:pPr>
        <w:ind w:left="3773" w:hanging="601"/>
      </w:pPr>
      <w:rPr>
        <w:rFonts w:hint="default"/>
        <w:lang w:val="zh-CN" w:eastAsia="zh-CN" w:bidi="zh-CN"/>
      </w:rPr>
    </w:lvl>
    <w:lvl w:ilvl="4" w:tentative="0">
      <w:start w:val="0"/>
      <w:numFmt w:val="bullet"/>
      <w:lvlText w:val="•"/>
      <w:lvlJc w:val="left"/>
      <w:pPr>
        <w:ind w:left="4598" w:hanging="601"/>
      </w:pPr>
      <w:rPr>
        <w:rFonts w:hint="default"/>
        <w:lang w:val="zh-CN" w:eastAsia="zh-CN" w:bidi="zh-CN"/>
      </w:rPr>
    </w:lvl>
    <w:lvl w:ilvl="5" w:tentative="0">
      <w:start w:val="0"/>
      <w:numFmt w:val="bullet"/>
      <w:lvlText w:val="•"/>
      <w:lvlJc w:val="left"/>
      <w:pPr>
        <w:ind w:left="5423" w:hanging="601"/>
      </w:pPr>
      <w:rPr>
        <w:rFonts w:hint="default"/>
        <w:lang w:val="zh-CN" w:eastAsia="zh-CN" w:bidi="zh-CN"/>
      </w:rPr>
    </w:lvl>
    <w:lvl w:ilvl="6" w:tentative="0">
      <w:start w:val="0"/>
      <w:numFmt w:val="bullet"/>
      <w:lvlText w:val="•"/>
      <w:lvlJc w:val="left"/>
      <w:pPr>
        <w:ind w:left="6247" w:hanging="601"/>
      </w:pPr>
      <w:rPr>
        <w:rFonts w:hint="default"/>
        <w:lang w:val="zh-CN" w:eastAsia="zh-CN" w:bidi="zh-CN"/>
      </w:rPr>
    </w:lvl>
    <w:lvl w:ilvl="7" w:tentative="0">
      <w:start w:val="0"/>
      <w:numFmt w:val="bullet"/>
      <w:lvlText w:val="•"/>
      <w:lvlJc w:val="left"/>
      <w:pPr>
        <w:ind w:left="7072" w:hanging="601"/>
      </w:pPr>
      <w:rPr>
        <w:rFonts w:hint="default"/>
        <w:lang w:val="zh-CN" w:eastAsia="zh-CN" w:bidi="zh-CN"/>
      </w:rPr>
    </w:lvl>
    <w:lvl w:ilvl="8" w:tentative="0">
      <w:start w:val="0"/>
      <w:numFmt w:val="bullet"/>
      <w:lvlText w:val="•"/>
      <w:lvlJc w:val="left"/>
      <w:pPr>
        <w:ind w:left="7896" w:hanging="601"/>
      </w:pPr>
      <w:rPr>
        <w:rFonts w:hint="default"/>
        <w:lang w:val="zh-CN" w:eastAsia="zh-CN" w:bidi="zh-CN"/>
      </w:rPr>
    </w:lvl>
  </w:abstractNum>
  <w:abstractNum w:abstractNumId="38">
    <w:nsid w:val="C90D1B09"/>
    <w:multiLevelType w:val="multilevel"/>
    <w:tmpl w:val="C90D1B09"/>
    <w:lvl w:ilvl="0" w:tentative="0">
      <w:start w:val="1"/>
      <w:numFmt w:val="decimal"/>
      <w:lvlText w:val="（%1）"/>
      <w:lvlJc w:val="left"/>
      <w:pPr>
        <w:ind w:left="60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520" w:hanging="601"/>
      </w:pPr>
      <w:rPr>
        <w:rFonts w:hint="default"/>
        <w:lang w:val="zh-CN" w:eastAsia="zh-CN" w:bidi="zh-CN"/>
      </w:rPr>
    </w:lvl>
    <w:lvl w:ilvl="2" w:tentative="0">
      <w:start w:val="0"/>
      <w:numFmt w:val="bullet"/>
      <w:lvlText w:val="•"/>
      <w:lvlJc w:val="left"/>
      <w:pPr>
        <w:ind w:left="2441" w:hanging="601"/>
      </w:pPr>
      <w:rPr>
        <w:rFonts w:hint="default"/>
        <w:lang w:val="zh-CN" w:eastAsia="zh-CN" w:bidi="zh-CN"/>
      </w:rPr>
    </w:lvl>
    <w:lvl w:ilvl="3" w:tentative="0">
      <w:start w:val="0"/>
      <w:numFmt w:val="bullet"/>
      <w:lvlText w:val="•"/>
      <w:lvlJc w:val="left"/>
      <w:pPr>
        <w:ind w:left="3361" w:hanging="601"/>
      </w:pPr>
      <w:rPr>
        <w:rFonts w:hint="default"/>
        <w:lang w:val="zh-CN" w:eastAsia="zh-CN" w:bidi="zh-CN"/>
      </w:rPr>
    </w:lvl>
    <w:lvl w:ilvl="4" w:tentative="0">
      <w:start w:val="0"/>
      <w:numFmt w:val="bullet"/>
      <w:lvlText w:val="•"/>
      <w:lvlJc w:val="left"/>
      <w:pPr>
        <w:ind w:left="4282" w:hanging="601"/>
      </w:pPr>
      <w:rPr>
        <w:rFonts w:hint="default"/>
        <w:lang w:val="zh-CN" w:eastAsia="zh-CN" w:bidi="zh-CN"/>
      </w:rPr>
    </w:lvl>
    <w:lvl w:ilvl="5" w:tentative="0">
      <w:start w:val="0"/>
      <w:numFmt w:val="bullet"/>
      <w:lvlText w:val="•"/>
      <w:lvlJc w:val="left"/>
      <w:pPr>
        <w:ind w:left="5203" w:hanging="601"/>
      </w:pPr>
      <w:rPr>
        <w:rFonts w:hint="default"/>
        <w:lang w:val="zh-CN" w:eastAsia="zh-CN" w:bidi="zh-CN"/>
      </w:rPr>
    </w:lvl>
    <w:lvl w:ilvl="6" w:tentative="0">
      <w:start w:val="0"/>
      <w:numFmt w:val="bullet"/>
      <w:lvlText w:val="•"/>
      <w:lvlJc w:val="left"/>
      <w:pPr>
        <w:ind w:left="6123" w:hanging="601"/>
      </w:pPr>
      <w:rPr>
        <w:rFonts w:hint="default"/>
        <w:lang w:val="zh-CN" w:eastAsia="zh-CN" w:bidi="zh-CN"/>
      </w:rPr>
    </w:lvl>
    <w:lvl w:ilvl="7" w:tentative="0">
      <w:start w:val="0"/>
      <w:numFmt w:val="bullet"/>
      <w:lvlText w:val="•"/>
      <w:lvlJc w:val="left"/>
      <w:pPr>
        <w:ind w:left="7044" w:hanging="601"/>
      </w:pPr>
      <w:rPr>
        <w:rFonts w:hint="default"/>
        <w:lang w:val="zh-CN" w:eastAsia="zh-CN" w:bidi="zh-CN"/>
      </w:rPr>
    </w:lvl>
    <w:lvl w:ilvl="8" w:tentative="0">
      <w:start w:val="0"/>
      <w:numFmt w:val="bullet"/>
      <w:lvlText w:val="•"/>
      <w:lvlJc w:val="left"/>
      <w:pPr>
        <w:ind w:left="7964" w:hanging="601"/>
      </w:pPr>
      <w:rPr>
        <w:rFonts w:hint="default"/>
        <w:lang w:val="zh-CN" w:eastAsia="zh-CN" w:bidi="zh-CN"/>
      </w:rPr>
    </w:lvl>
  </w:abstractNum>
  <w:abstractNum w:abstractNumId="39">
    <w:nsid w:val="CF092B84"/>
    <w:multiLevelType w:val="multilevel"/>
    <w:tmpl w:val="CF092B84"/>
    <w:lvl w:ilvl="0" w:tentative="0">
      <w:start w:val="2"/>
      <w:numFmt w:val="decimal"/>
      <w:lvlText w:val="%1."/>
      <w:lvlJc w:val="left"/>
      <w:pPr>
        <w:ind w:left="445" w:hanging="228"/>
        <w:jc w:val="left"/>
      </w:pPr>
      <w:rPr>
        <w:rFonts w:hint="default" w:ascii="Times New Roman" w:hAnsi="Times New Roman" w:eastAsia="Times New Roman" w:cs="Times New Roman"/>
        <w:b/>
        <w:bCs/>
        <w:spacing w:val="-1"/>
        <w:w w:val="100"/>
        <w:sz w:val="28"/>
        <w:szCs w:val="28"/>
        <w:lang w:val="zh-CN" w:eastAsia="zh-CN" w:bidi="zh-CN"/>
      </w:rPr>
    </w:lvl>
    <w:lvl w:ilvl="1" w:tentative="0">
      <w:start w:val="1"/>
      <w:numFmt w:val="decimal"/>
      <w:lvlText w:val="%1.%2"/>
      <w:lvlJc w:val="left"/>
      <w:pPr>
        <w:ind w:left="1197" w:hanging="420"/>
        <w:jc w:val="left"/>
      </w:pPr>
      <w:rPr>
        <w:rFonts w:hint="default" w:ascii="Times New Roman" w:hAnsi="Times New Roman" w:eastAsia="Times New Roman" w:cs="Times New Roman"/>
        <w:spacing w:val="-1"/>
        <w:w w:val="100"/>
        <w:sz w:val="28"/>
        <w:szCs w:val="28"/>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400" w:hanging="420"/>
      </w:pPr>
      <w:rPr>
        <w:rFonts w:hint="default"/>
        <w:lang w:val="zh-CN" w:eastAsia="zh-CN" w:bidi="zh-CN"/>
      </w:rPr>
    </w:lvl>
    <w:lvl w:ilvl="4" w:tentative="0">
      <w:start w:val="0"/>
      <w:numFmt w:val="bullet"/>
      <w:lvlText w:val="•"/>
      <w:lvlJc w:val="left"/>
      <w:pPr>
        <w:ind w:left="2563" w:hanging="420"/>
      </w:pPr>
      <w:rPr>
        <w:rFonts w:hint="default"/>
        <w:lang w:val="zh-CN" w:eastAsia="zh-CN" w:bidi="zh-CN"/>
      </w:rPr>
    </w:lvl>
    <w:lvl w:ilvl="5" w:tentative="0">
      <w:start w:val="0"/>
      <w:numFmt w:val="bullet"/>
      <w:lvlText w:val="•"/>
      <w:lvlJc w:val="left"/>
      <w:pPr>
        <w:ind w:left="3727" w:hanging="420"/>
      </w:pPr>
      <w:rPr>
        <w:rFonts w:hint="default"/>
        <w:lang w:val="zh-CN" w:eastAsia="zh-CN" w:bidi="zh-CN"/>
      </w:rPr>
    </w:lvl>
    <w:lvl w:ilvl="6" w:tentative="0">
      <w:start w:val="0"/>
      <w:numFmt w:val="bullet"/>
      <w:lvlText w:val="•"/>
      <w:lvlJc w:val="left"/>
      <w:pPr>
        <w:ind w:left="4891" w:hanging="420"/>
      </w:pPr>
      <w:rPr>
        <w:rFonts w:hint="default"/>
        <w:lang w:val="zh-CN" w:eastAsia="zh-CN" w:bidi="zh-CN"/>
      </w:rPr>
    </w:lvl>
    <w:lvl w:ilvl="7" w:tentative="0">
      <w:start w:val="0"/>
      <w:numFmt w:val="bullet"/>
      <w:lvlText w:val="•"/>
      <w:lvlJc w:val="left"/>
      <w:pPr>
        <w:ind w:left="6054" w:hanging="420"/>
      </w:pPr>
      <w:rPr>
        <w:rFonts w:hint="default"/>
        <w:lang w:val="zh-CN" w:eastAsia="zh-CN" w:bidi="zh-CN"/>
      </w:rPr>
    </w:lvl>
    <w:lvl w:ilvl="8" w:tentative="0">
      <w:start w:val="0"/>
      <w:numFmt w:val="bullet"/>
      <w:lvlText w:val="•"/>
      <w:lvlJc w:val="left"/>
      <w:pPr>
        <w:ind w:left="7218" w:hanging="420"/>
      </w:pPr>
      <w:rPr>
        <w:rFonts w:hint="default"/>
        <w:lang w:val="zh-CN" w:eastAsia="zh-CN" w:bidi="zh-CN"/>
      </w:rPr>
    </w:lvl>
  </w:abstractNum>
  <w:abstractNum w:abstractNumId="40">
    <w:nsid w:val="D1EB1714"/>
    <w:multiLevelType w:val="multilevel"/>
    <w:tmpl w:val="D1EB1714"/>
    <w:lvl w:ilvl="0" w:tentative="0">
      <w:start w:val="1"/>
      <w:numFmt w:val="decimal"/>
      <w:lvlText w:val="%1."/>
      <w:lvlJc w:val="left"/>
      <w:pPr>
        <w:ind w:left="112"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638" w:hanging="159"/>
      </w:pPr>
      <w:rPr>
        <w:rFonts w:hint="default"/>
        <w:lang w:val="zh-CN" w:eastAsia="zh-CN" w:bidi="zh-CN"/>
      </w:rPr>
    </w:lvl>
    <w:lvl w:ilvl="2" w:tentative="0">
      <w:start w:val="0"/>
      <w:numFmt w:val="bullet"/>
      <w:lvlText w:val="•"/>
      <w:lvlJc w:val="left"/>
      <w:pPr>
        <w:ind w:left="1156" w:hanging="159"/>
      </w:pPr>
      <w:rPr>
        <w:rFonts w:hint="default"/>
        <w:lang w:val="zh-CN" w:eastAsia="zh-CN" w:bidi="zh-CN"/>
      </w:rPr>
    </w:lvl>
    <w:lvl w:ilvl="3" w:tentative="0">
      <w:start w:val="0"/>
      <w:numFmt w:val="bullet"/>
      <w:lvlText w:val="•"/>
      <w:lvlJc w:val="left"/>
      <w:pPr>
        <w:ind w:left="1675" w:hanging="159"/>
      </w:pPr>
      <w:rPr>
        <w:rFonts w:hint="default"/>
        <w:lang w:val="zh-CN" w:eastAsia="zh-CN" w:bidi="zh-CN"/>
      </w:rPr>
    </w:lvl>
    <w:lvl w:ilvl="4" w:tentative="0">
      <w:start w:val="0"/>
      <w:numFmt w:val="bullet"/>
      <w:lvlText w:val="•"/>
      <w:lvlJc w:val="left"/>
      <w:pPr>
        <w:ind w:left="2193" w:hanging="159"/>
      </w:pPr>
      <w:rPr>
        <w:rFonts w:hint="default"/>
        <w:lang w:val="zh-CN" w:eastAsia="zh-CN" w:bidi="zh-CN"/>
      </w:rPr>
    </w:lvl>
    <w:lvl w:ilvl="5" w:tentative="0">
      <w:start w:val="0"/>
      <w:numFmt w:val="bullet"/>
      <w:lvlText w:val="•"/>
      <w:lvlJc w:val="left"/>
      <w:pPr>
        <w:ind w:left="2712" w:hanging="159"/>
      </w:pPr>
      <w:rPr>
        <w:rFonts w:hint="default"/>
        <w:lang w:val="zh-CN" w:eastAsia="zh-CN" w:bidi="zh-CN"/>
      </w:rPr>
    </w:lvl>
    <w:lvl w:ilvl="6" w:tentative="0">
      <w:start w:val="0"/>
      <w:numFmt w:val="bullet"/>
      <w:lvlText w:val="•"/>
      <w:lvlJc w:val="left"/>
      <w:pPr>
        <w:ind w:left="3230" w:hanging="159"/>
      </w:pPr>
      <w:rPr>
        <w:rFonts w:hint="default"/>
        <w:lang w:val="zh-CN" w:eastAsia="zh-CN" w:bidi="zh-CN"/>
      </w:rPr>
    </w:lvl>
    <w:lvl w:ilvl="7" w:tentative="0">
      <w:start w:val="0"/>
      <w:numFmt w:val="bullet"/>
      <w:lvlText w:val="•"/>
      <w:lvlJc w:val="left"/>
      <w:pPr>
        <w:ind w:left="3748" w:hanging="159"/>
      </w:pPr>
      <w:rPr>
        <w:rFonts w:hint="default"/>
        <w:lang w:val="zh-CN" w:eastAsia="zh-CN" w:bidi="zh-CN"/>
      </w:rPr>
    </w:lvl>
    <w:lvl w:ilvl="8" w:tentative="0">
      <w:start w:val="0"/>
      <w:numFmt w:val="bullet"/>
      <w:lvlText w:val="•"/>
      <w:lvlJc w:val="left"/>
      <w:pPr>
        <w:ind w:left="4267" w:hanging="159"/>
      </w:pPr>
      <w:rPr>
        <w:rFonts w:hint="default"/>
        <w:lang w:val="zh-CN" w:eastAsia="zh-CN" w:bidi="zh-CN"/>
      </w:rPr>
    </w:lvl>
  </w:abstractNum>
  <w:abstractNum w:abstractNumId="41">
    <w:nsid w:val="D7D140E4"/>
    <w:multiLevelType w:val="multilevel"/>
    <w:tmpl w:val="D7D140E4"/>
    <w:lvl w:ilvl="0" w:tentative="0">
      <w:start w:val="1"/>
      <w:numFmt w:val="decimal"/>
      <w:lvlText w:val="（%1）"/>
      <w:lvlJc w:val="left"/>
      <w:pPr>
        <w:ind w:left="2499" w:hanging="601"/>
        <w:jc w:val="left"/>
      </w:pPr>
      <w:rPr>
        <w:rFonts w:hint="default" w:ascii="宋体" w:hAnsi="宋体" w:eastAsia="宋体" w:cs="宋体"/>
        <w:spacing w:val="-27"/>
        <w:w w:val="100"/>
        <w:sz w:val="22"/>
        <w:szCs w:val="22"/>
        <w:lang w:val="zh-CN" w:eastAsia="zh-CN" w:bidi="zh-CN"/>
      </w:rPr>
    </w:lvl>
    <w:lvl w:ilvl="1" w:tentative="0">
      <w:start w:val="0"/>
      <w:numFmt w:val="bullet"/>
      <w:lvlText w:val="•"/>
      <w:lvlJc w:val="left"/>
      <w:pPr>
        <w:ind w:left="3440" w:hanging="601"/>
      </w:pPr>
      <w:rPr>
        <w:rFonts w:hint="default"/>
        <w:lang w:val="zh-CN" w:eastAsia="zh-CN" w:bidi="zh-CN"/>
      </w:rPr>
    </w:lvl>
    <w:lvl w:ilvl="2" w:tentative="0">
      <w:start w:val="0"/>
      <w:numFmt w:val="bullet"/>
      <w:lvlText w:val="•"/>
      <w:lvlJc w:val="left"/>
      <w:pPr>
        <w:ind w:left="4381" w:hanging="601"/>
      </w:pPr>
      <w:rPr>
        <w:rFonts w:hint="default"/>
        <w:lang w:val="zh-CN" w:eastAsia="zh-CN" w:bidi="zh-CN"/>
      </w:rPr>
    </w:lvl>
    <w:lvl w:ilvl="3" w:tentative="0">
      <w:start w:val="0"/>
      <w:numFmt w:val="bullet"/>
      <w:lvlText w:val="•"/>
      <w:lvlJc w:val="left"/>
      <w:pPr>
        <w:ind w:left="5321" w:hanging="601"/>
      </w:pPr>
      <w:rPr>
        <w:rFonts w:hint="default"/>
        <w:lang w:val="zh-CN" w:eastAsia="zh-CN" w:bidi="zh-CN"/>
      </w:rPr>
    </w:lvl>
    <w:lvl w:ilvl="4" w:tentative="0">
      <w:start w:val="0"/>
      <w:numFmt w:val="bullet"/>
      <w:lvlText w:val="•"/>
      <w:lvlJc w:val="left"/>
      <w:pPr>
        <w:ind w:left="6262" w:hanging="601"/>
      </w:pPr>
      <w:rPr>
        <w:rFonts w:hint="default"/>
        <w:lang w:val="zh-CN" w:eastAsia="zh-CN" w:bidi="zh-CN"/>
      </w:rPr>
    </w:lvl>
    <w:lvl w:ilvl="5" w:tentative="0">
      <w:start w:val="0"/>
      <w:numFmt w:val="bullet"/>
      <w:lvlText w:val="•"/>
      <w:lvlJc w:val="left"/>
      <w:pPr>
        <w:ind w:left="7203" w:hanging="601"/>
      </w:pPr>
      <w:rPr>
        <w:rFonts w:hint="default"/>
        <w:lang w:val="zh-CN" w:eastAsia="zh-CN" w:bidi="zh-CN"/>
      </w:rPr>
    </w:lvl>
    <w:lvl w:ilvl="6" w:tentative="0">
      <w:start w:val="0"/>
      <w:numFmt w:val="bullet"/>
      <w:lvlText w:val="•"/>
      <w:lvlJc w:val="left"/>
      <w:pPr>
        <w:ind w:left="8143" w:hanging="601"/>
      </w:pPr>
      <w:rPr>
        <w:rFonts w:hint="default"/>
        <w:lang w:val="zh-CN" w:eastAsia="zh-CN" w:bidi="zh-CN"/>
      </w:rPr>
    </w:lvl>
    <w:lvl w:ilvl="7" w:tentative="0">
      <w:start w:val="0"/>
      <w:numFmt w:val="bullet"/>
      <w:lvlText w:val="•"/>
      <w:lvlJc w:val="left"/>
      <w:pPr>
        <w:ind w:left="9084" w:hanging="601"/>
      </w:pPr>
      <w:rPr>
        <w:rFonts w:hint="default"/>
        <w:lang w:val="zh-CN" w:eastAsia="zh-CN" w:bidi="zh-CN"/>
      </w:rPr>
    </w:lvl>
    <w:lvl w:ilvl="8" w:tentative="0">
      <w:start w:val="0"/>
      <w:numFmt w:val="bullet"/>
      <w:lvlText w:val="•"/>
      <w:lvlJc w:val="left"/>
      <w:pPr>
        <w:ind w:left="10024" w:hanging="601"/>
      </w:pPr>
      <w:rPr>
        <w:rFonts w:hint="default"/>
        <w:lang w:val="zh-CN" w:eastAsia="zh-CN" w:bidi="zh-CN"/>
      </w:rPr>
    </w:lvl>
  </w:abstractNum>
  <w:abstractNum w:abstractNumId="42">
    <w:nsid w:val="D7F9FE59"/>
    <w:multiLevelType w:val="multilevel"/>
    <w:tmpl w:val="D7F9FE59"/>
    <w:lvl w:ilvl="0" w:tentative="0">
      <w:start w:val="18"/>
      <w:numFmt w:val="decimal"/>
      <w:lvlText w:val="(%1)"/>
      <w:lvlJc w:val="left"/>
      <w:pPr>
        <w:ind w:left="218" w:hanging="401"/>
        <w:jc w:val="left"/>
      </w:pPr>
      <w:rPr>
        <w:rFonts w:hint="default"/>
        <w:spacing w:val="-6"/>
        <w:w w:val="100"/>
        <w:lang w:val="zh-CN" w:eastAsia="zh-CN" w:bidi="zh-CN"/>
      </w:rPr>
    </w:lvl>
    <w:lvl w:ilvl="1" w:tentative="0">
      <w:start w:val="0"/>
      <w:numFmt w:val="bullet"/>
      <w:lvlText w:val="•"/>
      <w:lvlJc w:val="left"/>
      <w:pPr>
        <w:ind w:left="1152" w:hanging="401"/>
      </w:pPr>
      <w:rPr>
        <w:rFonts w:hint="default"/>
        <w:lang w:val="zh-CN" w:eastAsia="zh-CN" w:bidi="zh-CN"/>
      </w:rPr>
    </w:lvl>
    <w:lvl w:ilvl="2" w:tentative="0">
      <w:start w:val="0"/>
      <w:numFmt w:val="bullet"/>
      <w:lvlText w:val="•"/>
      <w:lvlJc w:val="left"/>
      <w:pPr>
        <w:ind w:left="2085" w:hanging="401"/>
      </w:pPr>
      <w:rPr>
        <w:rFonts w:hint="default"/>
        <w:lang w:val="zh-CN" w:eastAsia="zh-CN" w:bidi="zh-CN"/>
      </w:rPr>
    </w:lvl>
    <w:lvl w:ilvl="3" w:tentative="0">
      <w:start w:val="0"/>
      <w:numFmt w:val="bullet"/>
      <w:lvlText w:val="•"/>
      <w:lvlJc w:val="left"/>
      <w:pPr>
        <w:ind w:left="3017" w:hanging="401"/>
      </w:pPr>
      <w:rPr>
        <w:rFonts w:hint="default"/>
        <w:lang w:val="zh-CN" w:eastAsia="zh-CN" w:bidi="zh-CN"/>
      </w:rPr>
    </w:lvl>
    <w:lvl w:ilvl="4" w:tentative="0">
      <w:start w:val="0"/>
      <w:numFmt w:val="bullet"/>
      <w:lvlText w:val="•"/>
      <w:lvlJc w:val="left"/>
      <w:pPr>
        <w:ind w:left="3950" w:hanging="401"/>
      </w:pPr>
      <w:rPr>
        <w:rFonts w:hint="default"/>
        <w:lang w:val="zh-CN" w:eastAsia="zh-CN" w:bidi="zh-CN"/>
      </w:rPr>
    </w:lvl>
    <w:lvl w:ilvl="5" w:tentative="0">
      <w:start w:val="0"/>
      <w:numFmt w:val="bullet"/>
      <w:lvlText w:val="•"/>
      <w:lvlJc w:val="left"/>
      <w:pPr>
        <w:ind w:left="4883" w:hanging="401"/>
      </w:pPr>
      <w:rPr>
        <w:rFonts w:hint="default"/>
        <w:lang w:val="zh-CN" w:eastAsia="zh-CN" w:bidi="zh-CN"/>
      </w:rPr>
    </w:lvl>
    <w:lvl w:ilvl="6" w:tentative="0">
      <w:start w:val="0"/>
      <w:numFmt w:val="bullet"/>
      <w:lvlText w:val="•"/>
      <w:lvlJc w:val="left"/>
      <w:pPr>
        <w:ind w:left="5815" w:hanging="401"/>
      </w:pPr>
      <w:rPr>
        <w:rFonts w:hint="default"/>
        <w:lang w:val="zh-CN" w:eastAsia="zh-CN" w:bidi="zh-CN"/>
      </w:rPr>
    </w:lvl>
    <w:lvl w:ilvl="7" w:tentative="0">
      <w:start w:val="0"/>
      <w:numFmt w:val="bullet"/>
      <w:lvlText w:val="•"/>
      <w:lvlJc w:val="left"/>
      <w:pPr>
        <w:ind w:left="6748" w:hanging="401"/>
      </w:pPr>
      <w:rPr>
        <w:rFonts w:hint="default"/>
        <w:lang w:val="zh-CN" w:eastAsia="zh-CN" w:bidi="zh-CN"/>
      </w:rPr>
    </w:lvl>
    <w:lvl w:ilvl="8" w:tentative="0">
      <w:start w:val="0"/>
      <w:numFmt w:val="bullet"/>
      <w:lvlText w:val="•"/>
      <w:lvlJc w:val="left"/>
      <w:pPr>
        <w:ind w:left="7680" w:hanging="401"/>
      </w:pPr>
      <w:rPr>
        <w:rFonts w:hint="default"/>
        <w:lang w:val="zh-CN" w:eastAsia="zh-CN" w:bidi="zh-CN"/>
      </w:rPr>
    </w:lvl>
  </w:abstractNum>
  <w:abstractNum w:abstractNumId="43">
    <w:nsid w:val="DAD3A854"/>
    <w:multiLevelType w:val="multilevel"/>
    <w:tmpl w:val="DAD3A854"/>
    <w:lvl w:ilvl="0" w:tentative="0">
      <w:start w:val="11"/>
      <w:numFmt w:val="decimal"/>
      <w:lvlText w:val="%1"/>
      <w:lvlJc w:val="left"/>
      <w:pPr>
        <w:ind w:left="2076" w:hanging="658"/>
        <w:jc w:val="left"/>
      </w:pPr>
      <w:rPr>
        <w:rFonts w:hint="default"/>
        <w:lang w:val="zh-CN" w:eastAsia="zh-CN" w:bidi="zh-CN"/>
      </w:rPr>
    </w:lvl>
    <w:lvl w:ilvl="1" w:tentative="0">
      <w:start w:val="1"/>
      <w:numFmt w:val="decimal"/>
      <w:lvlText w:val="%1.%2"/>
      <w:lvlJc w:val="left"/>
      <w:pPr>
        <w:ind w:left="2076" w:hanging="658"/>
        <w:jc w:val="right"/>
      </w:pPr>
      <w:rPr>
        <w:rFonts w:hint="default" w:ascii="Times New Roman" w:hAnsi="Times New Roman" w:eastAsia="Times New Roman" w:cs="Times New Roman"/>
        <w:b/>
        <w:bCs/>
        <w:spacing w:val="-17"/>
        <w:w w:val="99"/>
        <w:sz w:val="30"/>
        <w:szCs w:val="30"/>
        <w:lang w:val="zh-CN" w:eastAsia="zh-CN" w:bidi="zh-CN"/>
      </w:rPr>
    </w:lvl>
    <w:lvl w:ilvl="2" w:tentative="0">
      <w:start w:val="1"/>
      <w:numFmt w:val="decimal"/>
      <w:lvlText w:val="%1.%2.%3"/>
      <w:lvlJc w:val="left"/>
      <w:pPr>
        <w:ind w:left="2241" w:hanging="824"/>
        <w:jc w:val="left"/>
      </w:pPr>
      <w:rPr>
        <w:rFonts w:hint="default" w:ascii="Times New Roman" w:hAnsi="Times New Roman" w:eastAsia="Times New Roman" w:cs="Times New Roman"/>
        <w:b/>
        <w:bCs/>
        <w:spacing w:val="-14"/>
        <w:w w:val="100"/>
        <w:sz w:val="28"/>
        <w:szCs w:val="28"/>
        <w:lang w:val="zh-CN" w:eastAsia="zh-CN" w:bidi="zh-CN"/>
      </w:rPr>
    </w:lvl>
    <w:lvl w:ilvl="3" w:tentative="0">
      <w:start w:val="0"/>
      <w:numFmt w:val="bullet"/>
      <w:lvlText w:val="•"/>
      <w:lvlJc w:val="left"/>
      <w:pPr>
        <w:ind w:left="2820" w:hanging="824"/>
      </w:pPr>
      <w:rPr>
        <w:rFonts w:hint="default"/>
        <w:lang w:val="zh-CN" w:eastAsia="zh-CN" w:bidi="zh-CN"/>
      </w:rPr>
    </w:lvl>
    <w:lvl w:ilvl="4" w:tentative="0">
      <w:start w:val="0"/>
      <w:numFmt w:val="bullet"/>
      <w:lvlText w:val="•"/>
      <w:lvlJc w:val="left"/>
      <w:pPr>
        <w:ind w:left="2885" w:hanging="824"/>
      </w:pPr>
      <w:rPr>
        <w:rFonts w:hint="default"/>
        <w:lang w:val="zh-CN" w:eastAsia="zh-CN" w:bidi="zh-CN"/>
      </w:rPr>
    </w:lvl>
    <w:lvl w:ilvl="5" w:tentative="0">
      <w:start w:val="0"/>
      <w:numFmt w:val="bullet"/>
      <w:lvlText w:val="•"/>
      <w:lvlJc w:val="left"/>
      <w:pPr>
        <w:ind w:left="2950" w:hanging="824"/>
      </w:pPr>
      <w:rPr>
        <w:rFonts w:hint="default"/>
        <w:lang w:val="zh-CN" w:eastAsia="zh-CN" w:bidi="zh-CN"/>
      </w:rPr>
    </w:lvl>
    <w:lvl w:ilvl="6" w:tentative="0">
      <w:start w:val="0"/>
      <w:numFmt w:val="bullet"/>
      <w:lvlText w:val="•"/>
      <w:lvlJc w:val="left"/>
      <w:pPr>
        <w:ind w:left="3016" w:hanging="824"/>
      </w:pPr>
      <w:rPr>
        <w:rFonts w:hint="default"/>
        <w:lang w:val="zh-CN" w:eastAsia="zh-CN" w:bidi="zh-CN"/>
      </w:rPr>
    </w:lvl>
    <w:lvl w:ilvl="7" w:tentative="0">
      <w:start w:val="0"/>
      <w:numFmt w:val="bullet"/>
      <w:lvlText w:val="•"/>
      <w:lvlJc w:val="left"/>
      <w:pPr>
        <w:ind w:left="3081" w:hanging="824"/>
      </w:pPr>
      <w:rPr>
        <w:rFonts w:hint="default"/>
        <w:lang w:val="zh-CN" w:eastAsia="zh-CN" w:bidi="zh-CN"/>
      </w:rPr>
    </w:lvl>
    <w:lvl w:ilvl="8" w:tentative="0">
      <w:start w:val="0"/>
      <w:numFmt w:val="bullet"/>
      <w:lvlText w:val="•"/>
      <w:lvlJc w:val="left"/>
      <w:pPr>
        <w:ind w:left="3147" w:hanging="824"/>
      </w:pPr>
      <w:rPr>
        <w:rFonts w:hint="default"/>
        <w:lang w:val="zh-CN" w:eastAsia="zh-CN" w:bidi="zh-CN"/>
      </w:rPr>
    </w:lvl>
  </w:abstractNum>
  <w:abstractNum w:abstractNumId="44">
    <w:nsid w:val="DCBA6B53"/>
    <w:multiLevelType w:val="multilevel"/>
    <w:tmpl w:val="DCBA6B53"/>
    <w:lvl w:ilvl="0" w:tentative="0">
      <w:start w:val="1"/>
      <w:numFmt w:val="decimal"/>
      <w:lvlText w:val="(%1)"/>
      <w:lvlJc w:val="left"/>
      <w:pPr>
        <w:ind w:left="218" w:hanging="281"/>
        <w:jc w:val="left"/>
      </w:pPr>
      <w:rPr>
        <w:rFonts w:hint="default" w:ascii="Times New Roman" w:hAnsi="Times New Roman" w:eastAsia="Times New Roman" w:cs="Times New Roman"/>
        <w:spacing w:val="-23"/>
        <w:w w:val="100"/>
        <w:sz w:val="22"/>
        <w:szCs w:val="22"/>
        <w:lang w:val="zh-CN" w:eastAsia="zh-CN" w:bidi="zh-CN"/>
      </w:rPr>
    </w:lvl>
    <w:lvl w:ilvl="1" w:tentative="0">
      <w:start w:val="0"/>
      <w:numFmt w:val="bullet"/>
      <w:lvlText w:val="•"/>
      <w:lvlJc w:val="left"/>
      <w:pPr>
        <w:ind w:left="1152" w:hanging="281"/>
      </w:pPr>
      <w:rPr>
        <w:rFonts w:hint="default"/>
        <w:lang w:val="zh-CN" w:eastAsia="zh-CN" w:bidi="zh-CN"/>
      </w:rPr>
    </w:lvl>
    <w:lvl w:ilvl="2" w:tentative="0">
      <w:start w:val="0"/>
      <w:numFmt w:val="bullet"/>
      <w:lvlText w:val="•"/>
      <w:lvlJc w:val="left"/>
      <w:pPr>
        <w:ind w:left="2085" w:hanging="281"/>
      </w:pPr>
      <w:rPr>
        <w:rFonts w:hint="default"/>
        <w:lang w:val="zh-CN" w:eastAsia="zh-CN" w:bidi="zh-CN"/>
      </w:rPr>
    </w:lvl>
    <w:lvl w:ilvl="3" w:tentative="0">
      <w:start w:val="0"/>
      <w:numFmt w:val="bullet"/>
      <w:lvlText w:val="•"/>
      <w:lvlJc w:val="left"/>
      <w:pPr>
        <w:ind w:left="3017" w:hanging="281"/>
      </w:pPr>
      <w:rPr>
        <w:rFonts w:hint="default"/>
        <w:lang w:val="zh-CN" w:eastAsia="zh-CN" w:bidi="zh-CN"/>
      </w:rPr>
    </w:lvl>
    <w:lvl w:ilvl="4" w:tentative="0">
      <w:start w:val="0"/>
      <w:numFmt w:val="bullet"/>
      <w:lvlText w:val="•"/>
      <w:lvlJc w:val="left"/>
      <w:pPr>
        <w:ind w:left="3950" w:hanging="281"/>
      </w:pPr>
      <w:rPr>
        <w:rFonts w:hint="default"/>
        <w:lang w:val="zh-CN" w:eastAsia="zh-CN" w:bidi="zh-CN"/>
      </w:rPr>
    </w:lvl>
    <w:lvl w:ilvl="5" w:tentative="0">
      <w:start w:val="0"/>
      <w:numFmt w:val="bullet"/>
      <w:lvlText w:val="•"/>
      <w:lvlJc w:val="left"/>
      <w:pPr>
        <w:ind w:left="4883" w:hanging="281"/>
      </w:pPr>
      <w:rPr>
        <w:rFonts w:hint="default"/>
        <w:lang w:val="zh-CN" w:eastAsia="zh-CN" w:bidi="zh-CN"/>
      </w:rPr>
    </w:lvl>
    <w:lvl w:ilvl="6" w:tentative="0">
      <w:start w:val="0"/>
      <w:numFmt w:val="bullet"/>
      <w:lvlText w:val="•"/>
      <w:lvlJc w:val="left"/>
      <w:pPr>
        <w:ind w:left="5815" w:hanging="281"/>
      </w:pPr>
      <w:rPr>
        <w:rFonts w:hint="default"/>
        <w:lang w:val="zh-CN" w:eastAsia="zh-CN" w:bidi="zh-CN"/>
      </w:rPr>
    </w:lvl>
    <w:lvl w:ilvl="7" w:tentative="0">
      <w:start w:val="0"/>
      <w:numFmt w:val="bullet"/>
      <w:lvlText w:val="•"/>
      <w:lvlJc w:val="left"/>
      <w:pPr>
        <w:ind w:left="6748" w:hanging="281"/>
      </w:pPr>
      <w:rPr>
        <w:rFonts w:hint="default"/>
        <w:lang w:val="zh-CN" w:eastAsia="zh-CN" w:bidi="zh-CN"/>
      </w:rPr>
    </w:lvl>
    <w:lvl w:ilvl="8" w:tentative="0">
      <w:start w:val="0"/>
      <w:numFmt w:val="bullet"/>
      <w:lvlText w:val="•"/>
      <w:lvlJc w:val="left"/>
      <w:pPr>
        <w:ind w:left="7680" w:hanging="281"/>
      </w:pPr>
      <w:rPr>
        <w:rFonts w:hint="default"/>
        <w:lang w:val="zh-CN" w:eastAsia="zh-CN" w:bidi="zh-CN"/>
      </w:rPr>
    </w:lvl>
  </w:abstractNum>
  <w:abstractNum w:abstractNumId="45">
    <w:nsid w:val="E0294EC7"/>
    <w:multiLevelType w:val="multilevel"/>
    <w:tmpl w:val="E0294EC7"/>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46">
    <w:nsid w:val="E093A4B0"/>
    <w:multiLevelType w:val="multilevel"/>
    <w:tmpl w:val="E093A4B0"/>
    <w:lvl w:ilvl="0" w:tentative="0">
      <w:start w:val="1"/>
      <w:numFmt w:val="decimal"/>
      <w:lvlText w:val="%1）"/>
      <w:lvlJc w:val="left"/>
      <w:pPr>
        <w:ind w:left="1061"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908" w:hanging="361"/>
      </w:pPr>
      <w:rPr>
        <w:rFonts w:hint="default"/>
        <w:lang w:val="zh-CN" w:eastAsia="zh-CN" w:bidi="zh-CN"/>
      </w:rPr>
    </w:lvl>
    <w:lvl w:ilvl="2" w:tentative="0">
      <w:start w:val="0"/>
      <w:numFmt w:val="bullet"/>
      <w:lvlText w:val="•"/>
      <w:lvlJc w:val="left"/>
      <w:pPr>
        <w:ind w:left="2757" w:hanging="361"/>
      </w:pPr>
      <w:rPr>
        <w:rFonts w:hint="default"/>
        <w:lang w:val="zh-CN" w:eastAsia="zh-CN" w:bidi="zh-CN"/>
      </w:rPr>
    </w:lvl>
    <w:lvl w:ilvl="3" w:tentative="0">
      <w:start w:val="0"/>
      <w:numFmt w:val="bullet"/>
      <w:lvlText w:val="•"/>
      <w:lvlJc w:val="left"/>
      <w:pPr>
        <w:ind w:left="3605" w:hanging="361"/>
      </w:pPr>
      <w:rPr>
        <w:rFonts w:hint="default"/>
        <w:lang w:val="zh-CN" w:eastAsia="zh-CN" w:bidi="zh-CN"/>
      </w:rPr>
    </w:lvl>
    <w:lvl w:ilvl="4" w:tentative="0">
      <w:start w:val="0"/>
      <w:numFmt w:val="bullet"/>
      <w:lvlText w:val="•"/>
      <w:lvlJc w:val="left"/>
      <w:pPr>
        <w:ind w:left="4454" w:hanging="361"/>
      </w:pPr>
      <w:rPr>
        <w:rFonts w:hint="default"/>
        <w:lang w:val="zh-CN" w:eastAsia="zh-CN" w:bidi="zh-CN"/>
      </w:rPr>
    </w:lvl>
    <w:lvl w:ilvl="5" w:tentative="0">
      <w:start w:val="0"/>
      <w:numFmt w:val="bullet"/>
      <w:lvlText w:val="•"/>
      <w:lvlJc w:val="left"/>
      <w:pPr>
        <w:ind w:left="5303" w:hanging="361"/>
      </w:pPr>
      <w:rPr>
        <w:rFonts w:hint="default"/>
        <w:lang w:val="zh-CN" w:eastAsia="zh-CN" w:bidi="zh-CN"/>
      </w:rPr>
    </w:lvl>
    <w:lvl w:ilvl="6" w:tentative="0">
      <w:start w:val="0"/>
      <w:numFmt w:val="bullet"/>
      <w:lvlText w:val="•"/>
      <w:lvlJc w:val="left"/>
      <w:pPr>
        <w:ind w:left="6151" w:hanging="361"/>
      </w:pPr>
      <w:rPr>
        <w:rFonts w:hint="default"/>
        <w:lang w:val="zh-CN" w:eastAsia="zh-CN" w:bidi="zh-CN"/>
      </w:rPr>
    </w:lvl>
    <w:lvl w:ilvl="7" w:tentative="0">
      <w:start w:val="0"/>
      <w:numFmt w:val="bullet"/>
      <w:lvlText w:val="•"/>
      <w:lvlJc w:val="left"/>
      <w:pPr>
        <w:ind w:left="7000" w:hanging="361"/>
      </w:pPr>
      <w:rPr>
        <w:rFonts w:hint="default"/>
        <w:lang w:val="zh-CN" w:eastAsia="zh-CN" w:bidi="zh-CN"/>
      </w:rPr>
    </w:lvl>
    <w:lvl w:ilvl="8" w:tentative="0">
      <w:start w:val="0"/>
      <w:numFmt w:val="bullet"/>
      <w:lvlText w:val="•"/>
      <w:lvlJc w:val="left"/>
      <w:pPr>
        <w:ind w:left="7848" w:hanging="361"/>
      </w:pPr>
      <w:rPr>
        <w:rFonts w:hint="default"/>
        <w:lang w:val="zh-CN" w:eastAsia="zh-CN" w:bidi="zh-CN"/>
      </w:rPr>
    </w:lvl>
  </w:abstractNum>
  <w:abstractNum w:abstractNumId="47">
    <w:nsid w:val="E504947C"/>
    <w:multiLevelType w:val="multilevel"/>
    <w:tmpl w:val="E504947C"/>
    <w:lvl w:ilvl="0" w:tentative="0">
      <w:start w:val="9"/>
      <w:numFmt w:val="decimal"/>
      <w:lvlText w:val="%1"/>
      <w:lvlJc w:val="left"/>
      <w:pPr>
        <w:ind w:left="1944" w:hanging="526"/>
        <w:jc w:val="left"/>
      </w:pPr>
      <w:rPr>
        <w:rFonts w:hint="default"/>
        <w:lang w:val="zh-CN" w:eastAsia="zh-CN" w:bidi="zh-CN"/>
      </w:rPr>
    </w:lvl>
    <w:lvl w:ilvl="1" w:tentative="0">
      <w:start w:val="1"/>
      <w:numFmt w:val="decimal"/>
      <w:lvlText w:val="%1.%2"/>
      <w:lvlJc w:val="left"/>
      <w:pPr>
        <w:ind w:left="1944" w:hanging="526"/>
        <w:jc w:val="lef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2116" w:hanging="69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213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2203" w:hanging="720"/>
      </w:pPr>
      <w:rPr>
        <w:rFonts w:hint="default"/>
        <w:lang w:val="zh-CN" w:eastAsia="zh-CN" w:bidi="zh-CN"/>
      </w:rPr>
    </w:lvl>
    <w:lvl w:ilvl="5" w:tentative="0">
      <w:start w:val="0"/>
      <w:numFmt w:val="bullet"/>
      <w:lvlText w:val="•"/>
      <w:lvlJc w:val="left"/>
      <w:pPr>
        <w:ind w:left="2266" w:hanging="720"/>
      </w:pPr>
      <w:rPr>
        <w:rFonts w:hint="default"/>
        <w:lang w:val="zh-CN" w:eastAsia="zh-CN" w:bidi="zh-CN"/>
      </w:rPr>
    </w:lvl>
    <w:lvl w:ilvl="6" w:tentative="0">
      <w:start w:val="0"/>
      <w:numFmt w:val="bullet"/>
      <w:lvlText w:val="•"/>
      <w:lvlJc w:val="left"/>
      <w:pPr>
        <w:ind w:left="2330" w:hanging="720"/>
      </w:pPr>
      <w:rPr>
        <w:rFonts w:hint="default"/>
        <w:lang w:val="zh-CN" w:eastAsia="zh-CN" w:bidi="zh-CN"/>
      </w:rPr>
    </w:lvl>
    <w:lvl w:ilvl="7" w:tentative="0">
      <w:start w:val="0"/>
      <w:numFmt w:val="bullet"/>
      <w:lvlText w:val="•"/>
      <w:lvlJc w:val="left"/>
      <w:pPr>
        <w:ind w:left="2393" w:hanging="720"/>
      </w:pPr>
      <w:rPr>
        <w:rFonts w:hint="default"/>
        <w:lang w:val="zh-CN" w:eastAsia="zh-CN" w:bidi="zh-CN"/>
      </w:rPr>
    </w:lvl>
    <w:lvl w:ilvl="8" w:tentative="0">
      <w:start w:val="0"/>
      <w:numFmt w:val="bullet"/>
      <w:lvlText w:val="•"/>
      <w:lvlJc w:val="left"/>
      <w:pPr>
        <w:ind w:left="2457" w:hanging="720"/>
      </w:pPr>
      <w:rPr>
        <w:rFonts w:hint="default"/>
        <w:lang w:val="zh-CN" w:eastAsia="zh-CN" w:bidi="zh-CN"/>
      </w:rPr>
    </w:lvl>
  </w:abstractNum>
  <w:abstractNum w:abstractNumId="48">
    <w:nsid w:val="E7B27C5B"/>
    <w:multiLevelType w:val="multilevel"/>
    <w:tmpl w:val="E7B27C5B"/>
    <w:lvl w:ilvl="0" w:tentative="0">
      <w:start w:val="1"/>
      <w:numFmt w:val="decimal"/>
      <w:lvlText w:val="（%1）"/>
      <w:lvlJc w:val="left"/>
      <w:pPr>
        <w:ind w:left="1418" w:hanging="605"/>
        <w:jc w:val="left"/>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2468" w:hanging="605"/>
      </w:pPr>
      <w:rPr>
        <w:rFonts w:hint="default"/>
        <w:lang w:val="zh-CN" w:eastAsia="zh-CN" w:bidi="zh-CN"/>
      </w:rPr>
    </w:lvl>
    <w:lvl w:ilvl="2" w:tentative="0">
      <w:start w:val="0"/>
      <w:numFmt w:val="bullet"/>
      <w:lvlText w:val="•"/>
      <w:lvlJc w:val="left"/>
      <w:pPr>
        <w:ind w:left="3517" w:hanging="605"/>
      </w:pPr>
      <w:rPr>
        <w:rFonts w:hint="default"/>
        <w:lang w:val="zh-CN" w:eastAsia="zh-CN" w:bidi="zh-CN"/>
      </w:rPr>
    </w:lvl>
    <w:lvl w:ilvl="3" w:tentative="0">
      <w:start w:val="0"/>
      <w:numFmt w:val="bullet"/>
      <w:lvlText w:val="•"/>
      <w:lvlJc w:val="left"/>
      <w:pPr>
        <w:ind w:left="4565" w:hanging="605"/>
      </w:pPr>
      <w:rPr>
        <w:rFonts w:hint="default"/>
        <w:lang w:val="zh-CN" w:eastAsia="zh-CN" w:bidi="zh-CN"/>
      </w:rPr>
    </w:lvl>
    <w:lvl w:ilvl="4" w:tentative="0">
      <w:start w:val="0"/>
      <w:numFmt w:val="bullet"/>
      <w:lvlText w:val="•"/>
      <w:lvlJc w:val="left"/>
      <w:pPr>
        <w:ind w:left="5614" w:hanging="605"/>
      </w:pPr>
      <w:rPr>
        <w:rFonts w:hint="default"/>
        <w:lang w:val="zh-CN" w:eastAsia="zh-CN" w:bidi="zh-CN"/>
      </w:rPr>
    </w:lvl>
    <w:lvl w:ilvl="5" w:tentative="0">
      <w:start w:val="0"/>
      <w:numFmt w:val="bullet"/>
      <w:lvlText w:val="•"/>
      <w:lvlJc w:val="left"/>
      <w:pPr>
        <w:ind w:left="6663" w:hanging="605"/>
      </w:pPr>
      <w:rPr>
        <w:rFonts w:hint="default"/>
        <w:lang w:val="zh-CN" w:eastAsia="zh-CN" w:bidi="zh-CN"/>
      </w:rPr>
    </w:lvl>
    <w:lvl w:ilvl="6" w:tentative="0">
      <w:start w:val="0"/>
      <w:numFmt w:val="bullet"/>
      <w:lvlText w:val="•"/>
      <w:lvlJc w:val="left"/>
      <w:pPr>
        <w:ind w:left="7711" w:hanging="605"/>
      </w:pPr>
      <w:rPr>
        <w:rFonts w:hint="default"/>
        <w:lang w:val="zh-CN" w:eastAsia="zh-CN" w:bidi="zh-CN"/>
      </w:rPr>
    </w:lvl>
    <w:lvl w:ilvl="7" w:tentative="0">
      <w:start w:val="0"/>
      <w:numFmt w:val="bullet"/>
      <w:lvlText w:val="•"/>
      <w:lvlJc w:val="left"/>
      <w:pPr>
        <w:ind w:left="8760" w:hanging="605"/>
      </w:pPr>
      <w:rPr>
        <w:rFonts w:hint="default"/>
        <w:lang w:val="zh-CN" w:eastAsia="zh-CN" w:bidi="zh-CN"/>
      </w:rPr>
    </w:lvl>
    <w:lvl w:ilvl="8" w:tentative="0">
      <w:start w:val="0"/>
      <w:numFmt w:val="bullet"/>
      <w:lvlText w:val="•"/>
      <w:lvlJc w:val="left"/>
      <w:pPr>
        <w:ind w:left="9808" w:hanging="605"/>
      </w:pPr>
      <w:rPr>
        <w:rFonts w:hint="default"/>
        <w:lang w:val="zh-CN" w:eastAsia="zh-CN" w:bidi="zh-CN"/>
      </w:rPr>
    </w:lvl>
  </w:abstractNum>
  <w:abstractNum w:abstractNumId="49">
    <w:nsid w:val="F0E89278"/>
    <w:multiLevelType w:val="multilevel"/>
    <w:tmpl w:val="F0E89278"/>
    <w:lvl w:ilvl="0" w:tentative="0">
      <w:start w:val="5"/>
      <w:numFmt w:val="decimal"/>
      <w:lvlText w:val="%1"/>
      <w:lvlJc w:val="left"/>
      <w:pPr>
        <w:ind w:left="1867" w:hanging="449"/>
        <w:jc w:val="left"/>
      </w:pPr>
      <w:rPr>
        <w:rFonts w:hint="default"/>
        <w:lang w:val="zh-CN" w:eastAsia="zh-CN" w:bidi="zh-CN"/>
      </w:rPr>
    </w:lvl>
    <w:lvl w:ilvl="1" w:tentative="0">
      <w:start w:val="1"/>
      <w:numFmt w:val="decimal"/>
      <w:lvlText w:val="%1.%2"/>
      <w:lvlJc w:val="left"/>
      <w:pPr>
        <w:ind w:left="186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204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2697"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4015" w:hanging="720"/>
      </w:pPr>
      <w:rPr>
        <w:rFonts w:hint="default"/>
        <w:lang w:val="zh-CN" w:eastAsia="zh-CN" w:bidi="zh-CN"/>
      </w:rPr>
    </w:lvl>
    <w:lvl w:ilvl="5" w:tentative="0">
      <w:start w:val="0"/>
      <w:numFmt w:val="bullet"/>
      <w:lvlText w:val="•"/>
      <w:lvlJc w:val="left"/>
      <w:pPr>
        <w:ind w:left="5330" w:hanging="720"/>
      </w:pPr>
      <w:rPr>
        <w:rFonts w:hint="default"/>
        <w:lang w:val="zh-CN" w:eastAsia="zh-CN" w:bidi="zh-CN"/>
      </w:rPr>
    </w:lvl>
    <w:lvl w:ilvl="6" w:tentative="0">
      <w:start w:val="0"/>
      <w:numFmt w:val="bullet"/>
      <w:lvlText w:val="•"/>
      <w:lvlJc w:val="left"/>
      <w:pPr>
        <w:ind w:left="6645" w:hanging="720"/>
      </w:pPr>
      <w:rPr>
        <w:rFonts w:hint="default"/>
        <w:lang w:val="zh-CN" w:eastAsia="zh-CN" w:bidi="zh-CN"/>
      </w:rPr>
    </w:lvl>
    <w:lvl w:ilvl="7" w:tentative="0">
      <w:start w:val="0"/>
      <w:numFmt w:val="bullet"/>
      <w:lvlText w:val="•"/>
      <w:lvlJc w:val="left"/>
      <w:pPr>
        <w:ind w:left="7960" w:hanging="720"/>
      </w:pPr>
      <w:rPr>
        <w:rFonts w:hint="default"/>
        <w:lang w:val="zh-CN" w:eastAsia="zh-CN" w:bidi="zh-CN"/>
      </w:rPr>
    </w:lvl>
    <w:lvl w:ilvl="8" w:tentative="0">
      <w:start w:val="0"/>
      <w:numFmt w:val="bullet"/>
      <w:lvlText w:val="•"/>
      <w:lvlJc w:val="left"/>
      <w:pPr>
        <w:ind w:left="9275" w:hanging="720"/>
      </w:pPr>
      <w:rPr>
        <w:rFonts w:hint="default"/>
        <w:lang w:val="zh-CN" w:eastAsia="zh-CN" w:bidi="zh-CN"/>
      </w:rPr>
    </w:lvl>
  </w:abstractNum>
  <w:abstractNum w:abstractNumId="50">
    <w:nsid w:val="F3A33954"/>
    <w:multiLevelType w:val="multilevel"/>
    <w:tmpl w:val="F3A33954"/>
    <w:lvl w:ilvl="0" w:tentative="0">
      <w:start w:val="1"/>
      <w:numFmt w:val="decimal"/>
      <w:lvlText w:val="(%1)"/>
      <w:lvlJc w:val="left"/>
      <w:pPr>
        <w:ind w:left="1360" w:hanging="28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2204" w:hanging="281"/>
      </w:pPr>
      <w:rPr>
        <w:rFonts w:hint="default"/>
        <w:lang w:val="zh-CN" w:eastAsia="zh-CN" w:bidi="zh-CN"/>
      </w:rPr>
    </w:lvl>
    <w:lvl w:ilvl="2" w:tentative="0">
      <w:start w:val="0"/>
      <w:numFmt w:val="bullet"/>
      <w:lvlText w:val="•"/>
      <w:lvlJc w:val="left"/>
      <w:pPr>
        <w:ind w:left="3049" w:hanging="281"/>
      </w:pPr>
      <w:rPr>
        <w:rFonts w:hint="default"/>
        <w:lang w:val="zh-CN" w:eastAsia="zh-CN" w:bidi="zh-CN"/>
      </w:rPr>
    </w:lvl>
    <w:lvl w:ilvl="3" w:tentative="0">
      <w:start w:val="0"/>
      <w:numFmt w:val="bullet"/>
      <w:lvlText w:val="•"/>
      <w:lvlJc w:val="left"/>
      <w:pPr>
        <w:ind w:left="3893" w:hanging="281"/>
      </w:pPr>
      <w:rPr>
        <w:rFonts w:hint="default"/>
        <w:lang w:val="zh-CN" w:eastAsia="zh-CN" w:bidi="zh-CN"/>
      </w:rPr>
    </w:lvl>
    <w:lvl w:ilvl="4" w:tentative="0">
      <w:start w:val="0"/>
      <w:numFmt w:val="bullet"/>
      <w:lvlText w:val="•"/>
      <w:lvlJc w:val="left"/>
      <w:pPr>
        <w:ind w:left="4738" w:hanging="281"/>
      </w:pPr>
      <w:rPr>
        <w:rFonts w:hint="default"/>
        <w:lang w:val="zh-CN" w:eastAsia="zh-CN" w:bidi="zh-CN"/>
      </w:rPr>
    </w:lvl>
    <w:lvl w:ilvl="5" w:tentative="0">
      <w:start w:val="0"/>
      <w:numFmt w:val="bullet"/>
      <w:lvlText w:val="•"/>
      <w:lvlJc w:val="left"/>
      <w:pPr>
        <w:ind w:left="5583" w:hanging="281"/>
      </w:pPr>
      <w:rPr>
        <w:rFonts w:hint="default"/>
        <w:lang w:val="zh-CN" w:eastAsia="zh-CN" w:bidi="zh-CN"/>
      </w:rPr>
    </w:lvl>
    <w:lvl w:ilvl="6" w:tentative="0">
      <w:start w:val="0"/>
      <w:numFmt w:val="bullet"/>
      <w:lvlText w:val="•"/>
      <w:lvlJc w:val="left"/>
      <w:pPr>
        <w:ind w:left="6427" w:hanging="281"/>
      </w:pPr>
      <w:rPr>
        <w:rFonts w:hint="default"/>
        <w:lang w:val="zh-CN" w:eastAsia="zh-CN" w:bidi="zh-CN"/>
      </w:rPr>
    </w:lvl>
    <w:lvl w:ilvl="7" w:tentative="0">
      <w:start w:val="0"/>
      <w:numFmt w:val="bullet"/>
      <w:lvlText w:val="•"/>
      <w:lvlJc w:val="left"/>
      <w:pPr>
        <w:ind w:left="7272" w:hanging="281"/>
      </w:pPr>
      <w:rPr>
        <w:rFonts w:hint="default"/>
        <w:lang w:val="zh-CN" w:eastAsia="zh-CN" w:bidi="zh-CN"/>
      </w:rPr>
    </w:lvl>
    <w:lvl w:ilvl="8" w:tentative="0">
      <w:start w:val="0"/>
      <w:numFmt w:val="bullet"/>
      <w:lvlText w:val="•"/>
      <w:lvlJc w:val="left"/>
      <w:pPr>
        <w:ind w:left="8116" w:hanging="281"/>
      </w:pPr>
      <w:rPr>
        <w:rFonts w:hint="default"/>
        <w:lang w:val="zh-CN" w:eastAsia="zh-CN" w:bidi="zh-CN"/>
      </w:rPr>
    </w:lvl>
  </w:abstractNum>
  <w:abstractNum w:abstractNumId="51">
    <w:nsid w:val="F4A942FE"/>
    <w:multiLevelType w:val="multilevel"/>
    <w:tmpl w:val="F4A942FE"/>
    <w:lvl w:ilvl="0" w:tentative="0">
      <w:start w:val="14"/>
      <w:numFmt w:val="decimal"/>
      <w:lvlText w:val="%1"/>
      <w:lvlJc w:val="left"/>
      <w:pPr>
        <w:ind w:left="1200" w:hanging="600"/>
        <w:jc w:val="left"/>
      </w:pPr>
      <w:rPr>
        <w:rFonts w:hint="default"/>
        <w:lang w:val="zh-CN" w:eastAsia="zh-CN" w:bidi="zh-CN"/>
      </w:rPr>
    </w:lvl>
    <w:lvl w:ilvl="1" w:tentative="0">
      <w:start w:val="1"/>
      <w:numFmt w:val="decimal"/>
      <w:lvlText w:val="%1.%2"/>
      <w:lvlJc w:val="left"/>
      <w:pPr>
        <w:ind w:left="1200" w:hanging="600"/>
        <w:jc w:val="lef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1.%2.%3"/>
      <w:lvlJc w:val="left"/>
      <w:pPr>
        <w:ind w:left="1370" w:hanging="77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8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711" w:hanging="601"/>
      </w:pPr>
      <w:rPr>
        <w:rFonts w:hint="default"/>
        <w:lang w:val="zh-CN" w:eastAsia="zh-CN" w:bidi="zh-CN"/>
      </w:rPr>
    </w:lvl>
    <w:lvl w:ilvl="5" w:tentative="0">
      <w:start w:val="0"/>
      <w:numFmt w:val="bullet"/>
      <w:lvlText w:val="•"/>
      <w:lvlJc w:val="left"/>
      <w:pPr>
        <w:ind w:left="4727" w:hanging="601"/>
      </w:pPr>
      <w:rPr>
        <w:rFonts w:hint="default"/>
        <w:lang w:val="zh-CN" w:eastAsia="zh-CN" w:bidi="zh-CN"/>
      </w:rPr>
    </w:lvl>
    <w:lvl w:ilvl="6" w:tentative="0">
      <w:start w:val="0"/>
      <w:numFmt w:val="bullet"/>
      <w:lvlText w:val="•"/>
      <w:lvlJc w:val="left"/>
      <w:pPr>
        <w:ind w:left="5743" w:hanging="601"/>
      </w:pPr>
      <w:rPr>
        <w:rFonts w:hint="default"/>
        <w:lang w:val="zh-CN" w:eastAsia="zh-CN" w:bidi="zh-CN"/>
      </w:rPr>
    </w:lvl>
    <w:lvl w:ilvl="7" w:tentative="0">
      <w:start w:val="0"/>
      <w:numFmt w:val="bullet"/>
      <w:lvlText w:val="•"/>
      <w:lvlJc w:val="left"/>
      <w:pPr>
        <w:ind w:left="6758" w:hanging="601"/>
      </w:pPr>
      <w:rPr>
        <w:rFonts w:hint="default"/>
        <w:lang w:val="zh-CN" w:eastAsia="zh-CN" w:bidi="zh-CN"/>
      </w:rPr>
    </w:lvl>
    <w:lvl w:ilvl="8" w:tentative="0">
      <w:start w:val="0"/>
      <w:numFmt w:val="bullet"/>
      <w:lvlText w:val="•"/>
      <w:lvlJc w:val="left"/>
      <w:pPr>
        <w:ind w:left="7774" w:hanging="601"/>
      </w:pPr>
      <w:rPr>
        <w:rFonts w:hint="default"/>
        <w:lang w:val="zh-CN" w:eastAsia="zh-CN" w:bidi="zh-CN"/>
      </w:rPr>
    </w:lvl>
  </w:abstractNum>
  <w:abstractNum w:abstractNumId="52">
    <w:nsid w:val="F4B5D9F5"/>
    <w:multiLevelType w:val="multilevel"/>
    <w:tmpl w:val="F4B5D9F5"/>
    <w:lvl w:ilvl="0" w:tentative="0">
      <w:start w:val="1"/>
      <w:numFmt w:val="decimal"/>
      <w:lvlText w:val="%1"/>
      <w:lvlJc w:val="left"/>
      <w:pPr>
        <w:ind w:left="667" w:hanging="449"/>
        <w:jc w:val="left"/>
      </w:pPr>
      <w:rPr>
        <w:rFonts w:hint="default"/>
        <w:lang w:val="zh-CN" w:eastAsia="zh-CN" w:bidi="zh-CN"/>
      </w:rPr>
    </w:lvl>
    <w:lvl w:ilvl="1" w:tentative="0">
      <w:start w:val="1"/>
      <w:numFmt w:val="decimal"/>
      <w:lvlText w:val="%1.%2"/>
      <w:lvlJc w:val="left"/>
      <w:pPr>
        <w:ind w:left="667" w:hanging="449"/>
        <w:jc w:val="left"/>
      </w:pPr>
      <w:rPr>
        <w:rFonts w:hint="default"/>
        <w:b/>
        <w:bCs/>
        <w:spacing w:val="-1"/>
        <w:w w:val="100"/>
        <w:lang w:val="zh-CN" w:eastAsia="zh-CN" w:bidi="zh-CN"/>
      </w:rPr>
    </w:lvl>
    <w:lvl w:ilvl="2" w:tentative="0">
      <w:start w:val="1"/>
      <w:numFmt w:val="decimal"/>
      <w:lvlText w:val="%1.%2.%3"/>
      <w:lvlJc w:val="left"/>
      <w:pPr>
        <w:ind w:left="847" w:hanging="629"/>
        <w:jc w:val="left"/>
      </w:pPr>
      <w:rPr>
        <w:rFonts w:hint="default"/>
        <w:b/>
        <w:bCs/>
        <w:spacing w:val="-2"/>
        <w:w w:val="100"/>
        <w:lang w:val="zh-CN" w:eastAsia="zh-CN" w:bidi="zh-CN"/>
      </w:rPr>
    </w:lvl>
    <w:lvl w:ilvl="3" w:tentative="0">
      <w:start w:val="1"/>
      <w:numFmt w:val="decimal"/>
      <w:lvlText w:val="（%4）"/>
      <w:lvlJc w:val="left"/>
      <w:pPr>
        <w:ind w:left="218" w:hanging="629"/>
        <w:jc w:val="left"/>
      </w:pPr>
      <w:rPr>
        <w:rFonts w:hint="default"/>
        <w:spacing w:val="0"/>
        <w:w w:val="100"/>
        <w:lang w:val="zh-CN" w:eastAsia="zh-CN" w:bidi="zh-CN"/>
      </w:rPr>
    </w:lvl>
    <w:lvl w:ilvl="4" w:tentative="0">
      <w:start w:val="0"/>
      <w:numFmt w:val="bullet"/>
      <w:lvlText w:val="•"/>
      <w:lvlJc w:val="left"/>
      <w:pPr>
        <w:ind w:left="3016" w:hanging="629"/>
      </w:pPr>
      <w:rPr>
        <w:rFonts w:hint="default"/>
        <w:lang w:val="zh-CN" w:eastAsia="zh-CN" w:bidi="zh-CN"/>
      </w:rPr>
    </w:lvl>
    <w:lvl w:ilvl="5" w:tentative="0">
      <w:start w:val="0"/>
      <w:numFmt w:val="bullet"/>
      <w:lvlText w:val="•"/>
      <w:lvlJc w:val="left"/>
      <w:pPr>
        <w:ind w:left="4104" w:hanging="629"/>
      </w:pPr>
      <w:rPr>
        <w:rFonts w:hint="default"/>
        <w:lang w:val="zh-CN" w:eastAsia="zh-CN" w:bidi="zh-CN"/>
      </w:rPr>
    </w:lvl>
    <w:lvl w:ilvl="6" w:tentative="0">
      <w:start w:val="0"/>
      <w:numFmt w:val="bullet"/>
      <w:lvlText w:val="•"/>
      <w:lvlJc w:val="left"/>
      <w:pPr>
        <w:ind w:left="5193" w:hanging="629"/>
      </w:pPr>
      <w:rPr>
        <w:rFonts w:hint="default"/>
        <w:lang w:val="zh-CN" w:eastAsia="zh-CN" w:bidi="zh-CN"/>
      </w:rPr>
    </w:lvl>
    <w:lvl w:ilvl="7" w:tentative="0">
      <w:start w:val="0"/>
      <w:numFmt w:val="bullet"/>
      <w:lvlText w:val="•"/>
      <w:lvlJc w:val="left"/>
      <w:pPr>
        <w:ind w:left="6281" w:hanging="629"/>
      </w:pPr>
      <w:rPr>
        <w:rFonts w:hint="default"/>
        <w:lang w:val="zh-CN" w:eastAsia="zh-CN" w:bidi="zh-CN"/>
      </w:rPr>
    </w:lvl>
    <w:lvl w:ilvl="8" w:tentative="0">
      <w:start w:val="0"/>
      <w:numFmt w:val="bullet"/>
      <w:lvlText w:val="•"/>
      <w:lvlJc w:val="left"/>
      <w:pPr>
        <w:ind w:left="7369" w:hanging="629"/>
      </w:pPr>
      <w:rPr>
        <w:rFonts w:hint="default"/>
        <w:lang w:val="zh-CN" w:eastAsia="zh-CN" w:bidi="zh-CN"/>
      </w:rPr>
    </w:lvl>
  </w:abstractNum>
  <w:abstractNum w:abstractNumId="53">
    <w:nsid w:val="F585BF25"/>
    <w:multiLevelType w:val="multilevel"/>
    <w:tmpl w:val="F585BF25"/>
    <w:lvl w:ilvl="0" w:tentative="0">
      <w:start w:val="1"/>
      <w:numFmt w:val="decimal"/>
      <w:lvlText w:val="%1."/>
      <w:lvlJc w:val="left"/>
      <w:pPr>
        <w:ind w:left="271" w:hanging="159"/>
        <w:jc w:val="left"/>
      </w:pPr>
      <w:rPr>
        <w:rFonts w:hint="default" w:ascii="Times New Roman" w:hAnsi="Times New Roman" w:eastAsia="Times New Roman" w:cs="Times New Roman"/>
        <w:spacing w:val="0"/>
        <w:w w:val="99"/>
        <w:position w:val="2"/>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54">
    <w:nsid w:val="F689643B"/>
    <w:multiLevelType w:val="multilevel"/>
    <w:tmpl w:val="F689643B"/>
    <w:lvl w:ilvl="0" w:tentative="0">
      <w:start w:val="1"/>
      <w:numFmt w:val="decimal"/>
      <w:lvlText w:val="（%1）"/>
      <w:lvlJc w:val="left"/>
      <w:pPr>
        <w:ind w:left="2441" w:hanging="601"/>
        <w:jc w:val="left"/>
      </w:pPr>
      <w:rPr>
        <w:rFonts w:hint="default" w:ascii="宋体" w:hAnsi="宋体" w:eastAsia="宋体" w:cs="宋体"/>
        <w:w w:val="100"/>
        <w:position w:val="2"/>
        <w:sz w:val="22"/>
        <w:szCs w:val="22"/>
        <w:lang w:val="zh-CN" w:eastAsia="zh-CN" w:bidi="zh-CN"/>
      </w:rPr>
    </w:lvl>
    <w:lvl w:ilvl="1" w:tentative="0">
      <w:start w:val="0"/>
      <w:numFmt w:val="bullet"/>
      <w:lvlText w:val="•"/>
      <w:lvlJc w:val="left"/>
      <w:pPr>
        <w:ind w:left="3386" w:hanging="601"/>
      </w:pPr>
      <w:rPr>
        <w:rFonts w:hint="default"/>
        <w:lang w:val="zh-CN" w:eastAsia="zh-CN" w:bidi="zh-CN"/>
      </w:rPr>
    </w:lvl>
    <w:lvl w:ilvl="2" w:tentative="0">
      <w:start w:val="0"/>
      <w:numFmt w:val="bullet"/>
      <w:lvlText w:val="•"/>
      <w:lvlJc w:val="left"/>
      <w:pPr>
        <w:ind w:left="4333" w:hanging="601"/>
      </w:pPr>
      <w:rPr>
        <w:rFonts w:hint="default"/>
        <w:lang w:val="zh-CN" w:eastAsia="zh-CN" w:bidi="zh-CN"/>
      </w:rPr>
    </w:lvl>
    <w:lvl w:ilvl="3" w:tentative="0">
      <w:start w:val="0"/>
      <w:numFmt w:val="bullet"/>
      <w:lvlText w:val="•"/>
      <w:lvlJc w:val="left"/>
      <w:pPr>
        <w:ind w:left="5279" w:hanging="601"/>
      </w:pPr>
      <w:rPr>
        <w:rFonts w:hint="default"/>
        <w:lang w:val="zh-CN" w:eastAsia="zh-CN" w:bidi="zh-CN"/>
      </w:rPr>
    </w:lvl>
    <w:lvl w:ilvl="4" w:tentative="0">
      <w:start w:val="0"/>
      <w:numFmt w:val="bullet"/>
      <w:lvlText w:val="•"/>
      <w:lvlJc w:val="left"/>
      <w:pPr>
        <w:ind w:left="6226" w:hanging="601"/>
      </w:pPr>
      <w:rPr>
        <w:rFonts w:hint="default"/>
        <w:lang w:val="zh-CN" w:eastAsia="zh-CN" w:bidi="zh-CN"/>
      </w:rPr>
    </w:lvl>
    <w:lvl w:ilvl="5" w:tentative="0">
      <w:start w:val="0"/>
      <w:numFmt w:val="bullet"/>
      <w:lvlText w:val="•"/>
      <w:lvlJc w:val="left"/>
      <w:pPr>
        <w:ind w:left="7173" w:hanging="601"/>
      </w:pPr>
      <w:rPr>
        <w:rFonts w:hint="default"/>
        <w:lang w:val="zh-CN" w:eastAsia="zh-CN" w:bidi="zh-CN"/>
      </w:rPr>
    </w:lvl>
    <w:lvl w:ilvl="6" w:tentative="0">
      <w:start w:val="0"/>
      <w:numFmt w:val="bullet"/>
      <w:lvlText w:val="•"/>
      <w:lvlJc w:val="left"/>
      <w:pPr>
        <w:ind w:left="8119" w:hanging="601"/>
      </w:pPr>
      <w:rPr>
        <w:rFonts w:hint="default"/>
        <w:lang w:val="zh-CN" w:eastAsia="zh-CN" w:bidi="zh-CN"/>
      </w:rPr>
    </w:lvl>
    <w:lvl w:ilvl="7" w:tentative="0">
      <w:start w:val="0"/>
      <w:numFmt w:val="bullet"/>
      <w:lvlText w:val="•"/>
      <w:lvlJc w:val="left"/>
      <w:pPr>
        <w:ind w:left="9066" w:hanging="601"/>
      </w:pPr>
      <w:rPr>
        <w:rFonts w:hint="default"/>
        <w:lang w:val="zh-CN" w:eastAsia="zh-CN" w:bidi="zh-CN"/>
      </w:rPr>
    </w:lvl>
    <w:lvl w:ilvl="8" w:tentative="0">
      <w:start w:val="0"/>
      <w:numFmt w:val="bullet"/>
      <w:lvlText w:val="•"/>
      <w:lvlJc w:val="left"/>
      <w:pPr>
        <w:ind w:left="10012" w:hanging="601"/>
      </w:pPr>
      <w:rPr>
        <w:rFonts w:hint="default"/>
        <w:lang w:val="zh-CN" w:eastAsia="zh-CN" w:bidi="zh-CN"/>
      </w:rPr>
    </w:lvl>
  </w:abstractNum>
  <w:abstractNum w:abstractNumId="55">
    <w:nsid w:val="F7735DC9"/>
    <w:multiLevelType w:val="multilevel"/>
    <w:tmpl w:val="F7735DC9"/>
    <w:lvl w:ilvl="0" w:tentative="0">
      <w:start w:val="2"/>
      <w:numFmt w:val="decimal"/>
      <w:lvlText w:val="%1"/>
      <w:lvlJc w:val="left"/>
      <w:pPr>
        <w:ind w:left="998" w:hanging="780"/>
        <w:jc w:val="left"/>
      </w:pPr>
      <w:rPr>
        <w:rFonts w:hint="default"/>
        <w:lang w:val="zh-CN" w:eastAsia="zh-CN" w:bidi="zh-CN"/>
      </w:rPr>
    </w:lvl>
    <w:lvl w:ilvl="1" w:tentative="0">
      <w:start w:val="3"/>
      <w:numFmt w:val="decimal"/>
      <w:lvlText w:val="%1.%2"/>
      <w:lvlJc w:val="left"/>
      <w:pPr>
        <w:ind w:left="998" w:hanging="780"/>
        <w:jc w:val="left"/>
      </w:pPr>
      <w:rPr>
        <w:rFonts w:hint="default"/>
        <w:lang w:val="zh-CN" w:eastAsia="zh-CN" w:bidi="zh-CN"/>
      </w:rPr>
    </w:lvl>
    <w:lvl w:ilvl="2" w:tentative="0">
      <w:start w:val="4"/>
      <w:numFmt w:val="decimal"/>
      <w:lvlText w:val="%1.%2.%3"/>
      <w:lvlJc w:val="left"/>
      <w:pPr>
        <w:ind w:left="998" w:hanging="780"/>
        <w:jc w:val="left"/>
      </w:pPr>
      <w:rPr>
        <w:rFonts w:hint="default"/>
        <w:lang w:val="zh-CN" w:eastAsia="zh-CN" w:bidi="zh-CN"/>
      </w:rPr>
    </w:lvl>
    <w:lvl w:ilvl="3" w:tentative="0">
      <w:start w:val="1"/>
      <w:numFmt w:val="decimal"/>
      <w:lvlText w:val="%1.%2.%3.%4"/>
      <w:lvlJc w:val="left"/>
      <w:pPr>
        <w:ind w:left="998" w:hanging="780"/>
        <w:jc w:val="lef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130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4964" w:hanging="601"/>
      </w:pPr>
      <w:rPr>
        <w:rFonts w:hint="default"/>
        <w:lang w:val="zh-CN" w:eastAsia="zh-CN" w:bidi="zh-CN"/>
      </w:rPr>
    </w:lvl>
    <w:lvl w:ilvl="6" w:tentative="0">
      <w:start w:val="0"/>
      <w:numFmt w:val="bullet"/>
      <w:lvlText w:val="•"/>
      <w:lvlJc w:val="left"/>
      <w:pPr>
        <w:ind w:left="5881" w:hanging="601"/>
      </w:pPr>
      <w:rPr>
        <w:rFonts w:hint="default"/>
        <w:lang w:val="zh-CN" w:eastAsia="zh-CN" w:bidi="zh-CN"/>
      </w:rPr>
    </w:lvl>
    <w:lvl w:ilvl="7" w:tentative="0">
      <w:start w:val="0"/>
      <w:numFmt w:val="bullet"/>
      <w:lvlText w:val="•"/>
      <w:lvlJc w:val="left"/>
      <w:pPr>
        <w:ind w:left="6797" w:hanging="601"/>
      </w:pPr>
      <w:rPr>
        <w:rFonts w:hint="default"/>
        <w:lang w:val="zh-CN" w:eastAsia="zh-CN" w:bidi="zh-CN"/>
      </w:rPr>
    </w:lvl>
    <w:lvl w:ilvl="8" w:tentative="0">
      <w:start w:val="0"/>
      <w:numFmt w:val="bullet"/>
      <w:lvlText w:val="•"/>
      <w:lvlJc w:val="left"/>
      <w:pPr>
        <w:ind w:left="7713" w:hanging="601"/>
      </w:pPr>
      <w:rPr>
        <w:rFonts w:hint="default"/>
        <w:lang w:val="zh-CN" w:eastAsia="zh-CN" w:bidi="zh-CN"/>
      </w:rPr>
    </w:lvl>
  </w:abstractNum>
  <w:abstractNum w:abstractNumId="56">
    <w:nsid w:val="FEC2EA36"/>
    <w:multiLevelType w:val="multilevel"/>
    <w:tmpl w:val="FEC2EA36"/>
    <w:lvl w:ilvl="0" w:tentative="0">
      <w:start w:val="8"/>
      <w:numFmt w:val="decimal"/>
      <w:lvlText w:val="%1"/>
      <w:lvlJc w:val="left"/>
      <w:pPr>
        <w:ind w:left="1867" w:hanging="449"/>
        <w:jc w:val="left"/>
      </w:pPr>
      <w:rPr>
        <w:rFonts w:hint="default"/>
        <w:lang w:val="zh-CN" w:eastAsia="zh-CN" w:bidi="zh-CN"/>
      </w:rPr>
    </w:lvl>
    <w:lvl w:ilvl="1" w:tentative="0">
      <w:start w:val="1"/>
      <w:numFmt w:val="decimal"/>
      <w:lvlText w:val="%1.%2"/>
      <w:lvlJc w:val="left"/>
      <w:pPr>
        <w:ind w:left="186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204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213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4581" w:hanging="720"/>
      </w:pPr>
      <w:rPr>
        <w:rFonts w:hint="default"/>
        <w:lang w:val="zh-CN" w:eastAsia="zh-CN" w:bidi="zh-CN"/>
      </w:rPr>
    </w:lvl>
    <w:lvl w:ilvl="5" w:tentative="0">
      <w:start w:val="0"/>
      <w:numFmt w:val="bullet"/>
      <w:lvlText w:val="•"/>
      <w:lvlJc w:val="left"/>
      <w:pPr>
        <w:ind w:left="5802" w:hanging="720"/>
      </w:pPr>
      <w:rPr>
        <w:rFonts w:hint="default"/>
        <w:lang w:val="zh-CN" w:eastAsia="zh-CN" w:bidi="zh-CN"/>
      </w:rPr>
    </w:lvl>
    <w:lvl w:ilvl="6" w:tentative="0">
      <w:start w:val="0"/>
      <w:numFmt w:val="bullet"/>
      <w:lvlText w:val="•"/>
      <w:lvlJc w:val="left"/>
      <w:pPr>
        <w:ind w:left="7023" w:hanging="720"/>
      </w:pPr>
      <w:rPr>
        <w:rFonts w:hint="default"/>
        <w:lang w:val="zh-CN" w:eastAsia="zh-CN" w:bidi="zh-CN"/>
      </w:rPr>
    </w:lvl>
    <w:lvl w:ilvl="7" w:tentative="0">
      <w:start w:val="0"/>
      <w:numFmt w:val="bullet"/>
      <w:lvlText w:val="•"/>
      <w:lvlJc w:val="left"/>
      <w:pPr>
        <w:ind w:left="8243" w:hanging="720"/>
      </w:pPr>
      <w:rPr>
        <w:rFonts w:hint="default"/>
        <w:lang w:val="zh-CN" w:eastAsia="zh-CN" w:bidi="zh-CN"/>
      </w:rPr>
    </w:lvl>
    <w:lvl w:ilvl="8" w:tentative="0">
      <w:start w:val="0"/>
      <w:numFmt w:val="bullet"/>
      <w:lvlText w:val="•"/>
      <w:lvlJc w:val="left"/>
      <w:pPr>
        <w:ind w:left="9464" w:hanging="720"/>
      </w:pPr>
      <w:rPr>
        <w:rFonts w:hint="default"/>
        <w:lang w:val="zh-CN" w:eastAsia="zh-CN" w:bidi="zh-CN"/>
      </w:rPr>
    </w:lvl>
  </w:abstractNum>
  <w:abstractNum w:abstractNumId="57">
    <w:nsid w:val="0053208E"/>
    <w:multiLevelType w:val="multilevel"/>
    <w:tmpl w:val="0053208E"/>
    <w:lvl w:ilvl="0" w:tentative="0">
      <w:start w:val="1"/>
      <w:numFmt w:val="decimal"/>
      <w:lvlText w:val="%1"/>
      <w:lvlJc w:val="left"/>
      <w:pPr>
        <w:ind w:left="1197" w:hanging="420"/>
        <w:jc w:val="left"/>
      </w:pPr>
      <w:rPr>
        <w:rFonts w:hint="default"/>
        <w:lang w:val="zh-CN" w:eastAsia="zh-CN" w:bidi="zh-CN"/>
      </w:rPr>
    </w:lvl>
    <w:lvl w:ilvl="1" w:tentative="0">
      <w:start w:val="1"/>
      <w:numFmt w:val="decimal"/>
      <w:lvlText w:val="%1.%2"/>
      <w:lvlJc w:val="left"/>
      <w:pPr>
        <w:ind w:left="1197" w:hanging="420"/>
        <w:jc w:val="left"/>
      </w:pPr>
      <w:rPr>
        <w:rFonts w:hint="default" w:ascii="Times New Roman" w:hAnsi="Times New Roman" w:eastAsia="Times New Roman" w:cs="Times New Roman"/>
        <w:spacing w:val="-1"/>
        <w:w w:val="100"/>
        <w:sz w:val="28"/>
        <w:szCs w:val="28"/>
        <w:lang w:val="zh-CN" w:eastAsia="zh-CN" w:bidi="zh-CN"/>
      </w:rPr>
    </w:lvl>
    <w:lvl w:ilvl="2" w:tentative="0">
      <w:start w:val="0"/>
      <w:numFmt w:val="bullet"/>
      <w:lvlText w:val="•"/>
      <w:lvlJc w:val="left"/>
      <w:pPr>
        <w:ind w:left="2869" w:hanging="420"/>
      </w:pPr>
      <w:rPr>
        <w:rFonts w:hint="default"/>
        <w:lang w:val="zh-CN" w:eastAsia="zh-CN" w:bidi="zh-CN"/>
      </w:rPr>
    </w:lvl>
    <w:lvl w:ilvl="3" w:tentative="0">
      <w:start w:val="0"/>
      <w:numFmt w:val="bullet"/>
      <w:lvlText w:val="•"/>
      <w:lvlJc w:val="left"/>
      <w:pPr>
        <w:ind w:left="3703" w:hanging="420"/>
      </w:pPr>
      <w:rPr>
        <w:rFonts w:hint="default"/>
        <w:lang w:val="zh-CN" w:eastAsia="zh-CN" w:bidi="zh-CN"/>
      </w:rPr>
    </w:lvl>
    <w:lvl w:ilvl="4" w:tentative="0">
      <w:start w:val="0"/>
      <w:numFmt w:val="bullet"/>
      <w:lvlText w:val="•"/>
      <w:lvlJc w:val="left"/>
      <w:pPr>
        <w:ind w:left="4538" w:hanging="420"/>
      </w:pPr>
      <w:rPr>
        <w:rFonts w:hint="default"/>
        <w:lang w:val="zh-CN" w:eastAsia="zh-CN" w:bidi="zh-CN"/>
      </w:rPr>
    </w:lvl>
    <w:lvl w:ilvl="5" w:tentative="0">
      <w:start w:val="0"/>
      <w:numFmt w:val="bullet"/>
      <w:lvlText w:val="•"/>
      <w:lvlJc w:val="left"/>
      <w:pPr>
        <w:ind w:left="5373" w:hanging="420"/>
      </w:pPr>
      <w:rPr>
        <w:rFonts w:hint="default"/>
        <w:lang w:val="zh-CN" w:eastAsia="zh-CN" w:bidi="zh-CN"/>
      </w:rPr>
    </w:lvl>
    <w:lvl w:ilvl="6" w:tentative="0">
      <w:start w:val="0"/>
      <w:numFmt w:val="bullet"/>
      <w:lvlText w:val="•"/>
      <w:lvlJc w:val="left"/>
      <w:pPr>
        <w:ind w:left="6207" w:hanging="420"/>
      </w:pPr>
      <w:rPr>
        <w:rFonts w:hint="default"/>
        <w:lang w:val="zh-CN" w:eastAsia="zh-CN" w:bidi="zh-CN"/>
      </w:rPr>
    </w:lvl>
    <w:lvl w:ilvl="7" w:tentative="0">
      <w:start w:val="0"/>
      <w:numFmt w:val="bullet"/>
      <w:lvlText w:val="•"/>
      <w:lvlJc w:val="left"/>
      <w:pPr>
        <w:ind w:left="7042" w:hanging="420"/>
      </w:pPr>
      <w:rPr>
        <w:rFonts w:hint="default"/>
        <w:lang w:val="zh-CN" w:eastAsia="zh-CN" w:bidi="zh-CN"/>
      </w:rPr>
    </w:lvl>
    <w:lvl w:ilvl="8" w:tentative="0">
      <w:start w:val="0"/>
      <w:numFmt w:val="bullet"/>
      <w:lvlText w:val="•"/>
      <w:lvlJc w:val="left"/>
      <w:pPr>
        <w:ind w:left="7876" w:hanging="420"/>
      </w:pPr>
      <w:rPr>
        <w:rFonts w:hint="default"/>
        <w:lang w:val="zh-CN" w:eastAsia="zh-CN" w:bidi="zh-CN"/>
      </w:rPr>
    </w:lvl>
  </w:abstractNum>
  <w:abstractNum w:abstractNumId="58">
    <w:nsid w:val="01836A6D"/>
    <w:multiLevelType w:val="multilevel"/>
    <w:tmpl w:val="01836A6D"/>
    <w:lvl w:ilvl="0" w:tentative="0">
      <w:start w:val="13"/>
      <w:numFmt w:val="decimal"/>
      <w:lvlText w:val="%1"/>
      <w:lvlJc w:val="left"/>
      <w:pPr>
        <w:ind w:left="1370" w:hanging="771"/>
        <w:jc w:val="left"/>
      </w:pPr>
      <w:rPr>
        <w:rFonts w:hint="default"/>
        <w:lang w:val="zh-CN" w:eastAsia="zh-CN" w:bidi="zh-CN"/>
      </w:rPr>
    </w:lvl>
    <w:lvl w:ilvl="1" w:tentative="0">
      <w:start w:val="5"/>
      <w:numFmt w:val="decimal"/>
      <w:lvlText w:val="%1.%2"/>
      <w:lvlJc w:val="left"/>
      <w:pPr>
        <w:ind w:left="1370" w:hanging="771"/>
        <w:jc w:val="left"/>
      </w:pPr>
      <w:rPr>
        <w:rFonts w:hint="default"/>
        <w:lang w:val="zh-CN" w:eastAsia="zh-CN" w:bidi="zh-CN"/>
      </w:rPr>
    </w:lvl>
    <w:lvl w:ilvl="2" w:tentative="0">
      <w:start w:val="1"/>
      <w:numFmt w:val="decimal"/>
      <w:lvlText w:val="%1.%2.%3"/>
      <w:lvlJc w:val="left"/>
      <w:pPr>
        <w:ind w:left="1370" w:hanging="77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8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388" w:hanging="601"/>
      </w:pPr>
      <w:rPr>
        <w:rFonts w:hint="default"/>
        <w:lang w:val="zh-CN" w:eastAsia="zh-CN" w:bidi="zh-CN"/>
      </w:rPr>
    </w:lvl>
    <w:lvl w:ilvl="5" w:tentative="0">
      <w:start w:val="0"/>
      <w:numFmt w:val="bullet"/>
      <w:lvlText w:val="•"/>
      <w:lvlJc w:val="left"/>
      <w:pPr>
        <w:ind w:left="5291" w:hanging="601"/>
      </w:pPr>
      <w:rPr>
        <w:rFonts w:hint="default"/>
        <w:lang w:val="zh-CN" w:eastAsia="zh-CN" w:bidi="zh-CN"/>
      </w:rPr>
    </w:lvl>
    <w:lvl w:ilvl="6" w:tentative="0">
      <w:start w:val="0"/>
      <w:numFmt w:val="bullet"/>
      <w:lvlText w:val="•"/>
      <w:lvlJc w:val="left"/>
      <w:pPr>
        <w:ind w:left="6194" w:hanging="601"/>
      </w:pPr>
      <w:rPr>
        <w:rFonts w:hint="default"/>
        <w:lang w:val="zh-CN" w:eastAsia="zh-CN" w:bidi="zh-CN"/>
      </w:rPr>
    </w:lvl>
    <w:lvl w:ilvl="7" w:tentative="0">
      <w:start w:val="0"/>
      <w:numFmt w:val="bullet"/>
      <w:lvlText w:val="•"/>
      <w:lvlJc w:val="left"/>
      <w:pPr>
        <w:ind w:left="7097" w:hanging="601"/>
      </w:pPr>
      <w:rPr>
        <w:rFonts w:hint="default"/>
        <w:lang w:val="zh-CN" w:eastAsia="zh-CN" w:bidi="zh-CN"/>
      </w:rPr>
    </w:lvl>
    <w:lvl w:ilvl="8" w:tentative="0">
      <w:start w:val="0"/>
      <w:numFmt w:val="bullet"/>
      <w:lvlText w:val="•"/>
      <w:lvlJc w:val="left"/>
      <w:pPr>
        <w:ind w:left="8000" w:hanging="601"/>
      </w:pPr>
      <w:rPr>
        <w:rFonts w:hint="default"/>
        <w:lang w:val="zh-CN" w:eastAsia="zh-CN" w:bidi="zh-CN"/>
      </w:rPr>
    </w:lvl>
  </w:abstractNum>
  <w:abstractNum w:abstractNumId="59">
    <w:nsid w:val="0248C179"/>
    <w:multiLevelType w:val="multilevel"/>
    <w:tmpl w:val="0248C179"/>
    <w:lvl w:ilvl="0" w:tentative="0">
      <w:start w:val="6"/>
      <w:numFmt w:val="decimal"/>
      <w:lvlText w:val="%1"/>
      <w:lvlJc w:val="left"/>
      <w:pPr>
        <w:ind w:left="667" w:hanging="449"/>
        <w:jc w:val="left"/>
      </w:pPr>
      <w:rPr>
        <w:rFonts w:hint="default"/>
        <w:lang w:val="zh-CN" w:eastAsia="zh-CN" w:bidi="zh-CN"/>
      </w:rPr>
    </w:lvl>
    <w:lvl w:ilvl="1" w:tentative="0">
      <w:start w:val="1"/>
      <w:numFmt w:val="decimal"/>
      <w:lvlText w:val="%1.%2"/>
      <w:lvlJc w:val="left"/>
      <w:pPr>
        <w:ind w:left="667" w:hanging="449"/>
        <w:jc w:val="left"/>
      </w:pPr>
      <w:rPr>
        <w:rFonts w:hint="default" w:ascii="Times New Roman" w:hAnsi="Times New Roman" w:eastAsia="Times New Roman" w:cs="Times New Roman"/>
        <w:b/>
        <w:bCs/>
        <w:color w:val="FF0000"/>
        <w:spacing w:val="-2"/>
        <w:w w:val="99"/>
        <w:sz w:val="30"/>
        <w:szCs w:val="30"/>
        <w:lang w:val="zh-CN" w:eastAsia="zh-CN" w:bidi="zh-CN"/>
      </w:rPr>
    </w:lvl>
    <w:lvl w:ilvl="2" w:tentative="0">
      <w:start w:val="1"/>
      <w:numFmt w:val="decimal"/>
      <w:lvlText w:val="%1.%2.%3"/>
      <w:lvlJc w:val="left"/>
      <w:pPr>
        <w:ind w:left="847" w:hanging="629"/>
        <w:jc w:val="left"/>
      </w:pPr>
      <w:rPr>
        <w:rFonts w:hint="default" w:ascii="Times New Roman" w:hAnsi="Times New Roman" w:eastAsia="Times New Roman" w:cs="Times New Roman"/>
        <w:b/>
        <w:bCs/>
        <w:color w:val="FF0000"/>
        <w:spacing w:val="-2"/>
        <w:w w:val="100"/>
        <w:sz w:val="28"/>
        <w:szCs w:val="28"/>
        <w:lang w:val="zh-CN" w:eastAsia="zh-CN" w:bidi="zh-CN"/>
      </w:rPr>
    </w:lvl>
    <w:lvl w:ilvl="3" w:tentative="0">
      <w:start w:val="1"/>
      <w:numFmt w:val="decimal"/>
      <w:lvlText w:val="（%4）"/>
      <w:lvlJc w:val="left"/>
      <w:pPr>
        <w:ind w:left="218" w:hanging="601"/>
        <w:jc w:val="left"/>
      </w:pPr>
      <w:rPr>
        <w:rFonts w:hint="default" w:ascii="宋体" w:hAnsi="宋体" w:eastAsia="宋体" w:cs="宋体"/>
        <w:color w:val="FF0000"/>
        <w:spacing w:val="-39"/>
        <w:w w:val="100"/>
        <w:sz w:val="22"/>
        <w:szCs w:val="22"/>
        <w:lang w:val="zh-CN" w:eastAsia="zh-CN" w:bidi="zh-CN"/>
      </w:rPr>
    </w:lvl>
    <w:lvl w:ilvl="4" w:tentative="0">
      <w:start w:val="0"/>
      <w:numFmt w:val="bullet"/>
      <w:lvlText w:val="•"/>
      <w:lvlJc w:val="left"/>
      <w:pPr>
        <w:ind w:left="2563" w:hanging="601"/>
      </w:pPr>
      <w:rPr>
        <w:rFonts w:hint="default"/>
        <w:lang w:val="zh-CN" w:eastAsia="zh-CN" w:bidi="zh-CN"/>
      </w:rPr>
    </w:lvl>
    <w:lvl w:ilvl="5" w:tentative="0">
      <w:start w:val="0"/>
      <w:numFmt w:val="bullet"/>
      <w:lvlText w:val="•"/>
      <w:lvlJc w:val="left"/>
      <w:pPr>
        <w:ind w:left="3727" w:hanging="601"/>
      </w:pPr>
      <w:rPr>
        <w:rFonts w:hint="default"/>
        <w:lang w:val="zh-CN" w:eastAsia="zh-CN" w:bidi="zh-CN"/>
      </w:rPr>
    </w:lvl>
    <w:lvl w:ilvl="6" w:tentative="0">
      <w:start w:val="0"/>
      <w:numFmt w:val="bullet"/>
      <w:lvlText w:val="•"/>
      <w:lvlJc w:val="left"/>
      <w:pPr>
        <w:ind w:left="4891" w:hanging="601"/>
      </w:pPr>
      <w:rPr>
        <w:rFonts w:hint="default"/>
        <w:lang w:val="zh-CN" w:eastAsia="zh-CN" w:bidi="zh-CN"/>
      </w:rPr>
    </w:lvl>
    <w:lvl w:ilvl="7" w:tentative="0">
      <w:start w:val="0"/>
      <w:numFmt w:val="bullet"/>
      <w:lvlText w:val="•"/>
      <w:lvlJc w:val="left"/>
      <w:pPr>
        <w:ind w:left="6054" w:hanging="601"/>
      </w:pPr>
      <w:rPr>
        <w:rFonts w:hint="default"/>
        <w:lang w:val="zh-CN" w:eastAsia="zh-CN" w:bidi="zh-CN"/>
      </w:rPr>
    </w:lvl>
    <w:lvl w:ilvl="8" w:tentative="0">
      <w:start w:val="0"/>
      <w:numFmt w:val="bullet"/>
      <w:lvlText w:val="•"/>
      <w:lvlJc w:val="left"/>
      <w:pPr>
        <w:ind w:left="7218" w:hanging="601"/>
      </w:pPr>
      <w:rPr>
        <w:rFonts w:hint="default"/>
        <w:lang w:val="zh-CN" w:eastAsia="zh-CN" w:bidi="zh-CN"/>
      </w:rPr>
    </w:lvl>
  </w:abstractNum>
  <w:abstractNum w:abstractNumId="60">
    <w:nsid w:val="03A63A41"/>
    <w:multiLevelType w:val="multilevel"/>
    <w:tmpl w:val="03A63A41"/>
    <w:lvl w:ilvl="0" w:tentative="0">
      <w:start w:val="1"/>
      <w:numFmt w:val="decimal"/>
      <w:lvlText w:val="（%1）"/>
      <w:lvlJc w:val="left"/>
      <w:pPr>
        <w:ind w:left="24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3440" w:hanging="601"/>
      </w:pPr>
      <w:rPr>
        <w:rFonts w:hint="default"/>
        <w:lang w:val="zh-CN" w:eastAsia="zh-CN" w:bidi="zh-CN"/>
      </w:rPr>
    </w:lvl>
    <w:lvl w:ilvl="2" w:tentative="0">
      <w:start w:val="0"/>
      <w:numFmt w:val="bullet"/>
      <w:lvlText w:val="•"/>
      <w:lvlJc w:val="left"/>
      <w:pPr>
        <w:ind w:left="4381" w:hanging="601"/>
      </w:pPr>
      <w:rPr>
        <w:rFonts w:hint="default"/>
        <w:lang w:val="zh-CN" w:eastAsia="zh-CN" w:bidi="zh-CN"/>
      </w:rPr>
    </w:lvl>
    <w:lvl w:ilvl="3" w:tentative="0">
      <w:start w:val="0"/>
      <w:numFmt w:val="bullet"/>
      <w:lvlText w:val="•"/>
      <w:lvlJc w:val="left"/>
      <w:pPr>
        <w:ind w:left="5321" w:hanging="601"/>
      </w:pPr>
      <w:rPr>
        <w:rFonts w:hint="default"/>
        <w:lang w:val="zh-CN" w:eastAsia="zh-CN" w:bidi="zh-CN"/>
      </w:rPr>
    </w:lvl>
    <w:lvl w:ilvl="4" w:tentative="0">
      <w:start w:val="0"/>
      <w:numFmt w:val="bullet"/>
      <w:lvlText w:val="•"/>
      <w:lvlJc w:val="left"/>
      <w:pPr>
        <w:ind w:left="6262" w:hanging="601"/>
      </w:pPr>
      <w:rPr>
        <w:rFonts w:hint="default"/>
        <w:lang w:val="zh-CN" w:eastAsia="zh-CN" w:bidi="zh-CN"/>
      </w:rPr>
    </w:lvl>
    <w:lvl w:ilvl="5" w:tentative="0">
      <w:start w:val="0"/>
      <w:numFmt w:val="bullet"/>
      <w:lvlText w:val="•"/>
      <w:lvlJc w:val="left"/>
      <w:pPr>
        <w:ind w:left="7203" w:hanging="601"/>
      </w:pPr>
      <w:rPr>
        <w:rFonts w:hint="default"/>
        <w:lang w:val="zh-CN" w:eastAsia="zh-CN" w:bidi="zh-CN"/>
      </w:rPr>
    </w:lvl>
    <w:lvl w:ilvl="6" w:tentative="0">
      <w:start w:val="0"/>
      <w:numFmt w:val="bullet"/>
      <w:lvlText w:val="•"/>
      <w:lvlJc w:val="left"/>
      <w:pPr>
        <w:ind w:left="8143" w:hanging="601"/>
      </w:pPr>
      <w:rPr>
        <w:rFonts w:hint="default"/>
        <w:lang w:val="zh-CN" w:eastAsia="zh-CN" w:bidi="zh-CN"/>
      </w:rPr>
    </w:lvl>
    <w:lvl w:ilvl="7" w:tentative="0">
      <w:start w:val="0"/>
      <w:numFmt w:val="bullet"/>
      <w:lvlText w:val="•"/>
      <w:lvlJc w:val="left"/>
      <w:pPr>
        <w:ind w:left="9084" w:hanging="601"/>
      </w:pPr>
      <w:rPr>
        <w:rFonts w:hint="default"/>
        <w:lang w:val="zh-CN" w:eastAsia="zh-CN" w:bidi="zh-CN"/>
      </w:rPr>
    </w:lvl>
    <w:lvl w:ilvl="8" w:tentative="0">
      <w:start w:val="0"/>
      <w:numFmt w:val="bullet"/>
      <w:lvlText w:val="•"/>
      <w:lvlJc w:val="left"/>
      <w:pPr>
        <w:ind w:left="10024" w:hanging="601"/>
      </w:pPr>
      <w:rPr>
        <w:rFonts w:hint="default"/>
        <w:lang w:val="zh-CN" w:eastAsia="zh-CN" w:bidi="zh-CN"/>
      </w:rPr>
    </w:lvl>
  </w:abstractNum>
  <w:abstractNum w:abstractNumId="61">
    <w:nsid w:val="03D62ECE"/>
    <w:multiLevelType w:val="multilevel"/>
    <w:tmpl w:val="03D62ECE"/>
    <w:lvl w:ilvl="0" w:tentative="0">
      <w:start w:val="17"/>
      <w:numFmt w:val="decimal"/>
      <w:lvlText w:val="%1."/>
      <w:lvlJc w:val="left"/>
      <w:pPr>
        <w:ind w:left="744" w:hanging="526"/>
        <w:jc w:val="left"/>
      </w:pPr>
      <w:rPr>
        <w:rFonts w:hint="default" w:ascii="Times New Roman" w:hAnsi="Times New Roman" w:eastAsia="Times New Roman" w:cs="Times New Roman"/>
        <w:b/>
        <w:bCs/>
        <w:spacing w:val="-2"/>
        <w:w w:val="99"/>
        <w:sz w:val="30"/>
        <w:szCs w:val="30"/>
        <w:lang w:val="zh-CN" w:eastAsia="zh-CN" w:bidi="zh-CN"/>
      </w:rPr>
    </w:lvl>
    <w:lvl w:ilvl="1" w:tentative="0">
      <w:start w:val="1"/>
      <w:numFmt w:val="decimal"/>
      <w:lvlText w:val="%1.%2"/>
      <w:lvlJc w:val="left"/>
      <w:pPr>
        <w:ind w:left="1408" w:hanging="632"/>
        <w:jc w:val="left"/>
      </w:pPr>
      <w:rPr>
        <w:rFonts w:hint="default" w:ascii="Times New Roman" w:hAnsi="Times New Roman" w:eastAsia="Times New Roman" w:cs="Times New Roman"/>
        <w:spacing w:val="-2"/>
        <w:w w:val="100"/>
        <w:sz w:val="28"/>
        <w:szCs w:val="28"/>
        <w:lang w:val="zh-CN" w:eastAsia="zh-CN" w:bidi="zh-CN"/>
      </w:rPr>
    </w:lvl>
    <w:lvl w:ilvl="2" w:tentative="0">
      <w:start w:val="0"/>
      <w:numFmt w:val="bullet"/>
      <w:lvlText w:val="•"/>
      <w:lvlJc w:val="left"/>
      <w:pPr>
        <w:ind w:left="2305" w:hanging="632"/>
      </w:pPr>
      <w:rPr>
        <w:rFonts w:hint="default"/>
        <w:lang w:val="zh-CN" w:eastAsia="zh-CN" w:bidi="zh-CN"/>
      </w:rPr>
    </w:lvl>
    <w:lvl w:ilvl="3" w:tentative="0">
      <w:start w:val="0"/>
      <w:numFmt w:val="bullet"/>
      <w:lvlText w:val="•"/>
      <w:lvlJc w:val="left"/>
      <w:pPr>
        <w:ind w:left="3210" w:hanging="632"/>
      </w:pPr>
      <w:rPr>
        <w:rFonts w:hint="default"/>
        <w:lang w:val="zh-CN" w:eastAsia="zh-CN" w:bidi="zh-CN"/>
      </w:rPr>
    </w:lvl>
    <w:lvl w:ilvl="4" w:tentative="0">
      <w:start w:val="0"/>
      <w:numFmt w:val="bullet"/>
      <w:lvlText w:val="•"/>
      <w:lvlJc w:val="left"/>
      <w:pPr>
        <w:ind w:left="4115" w:hanging="632"/>
      </w:pPr>
      <w:rPr>
        <w:rFonts w:hint="default"/>
        <w:lang w:val="zh-CN" w:eastAsia="zh-CN" w:bidi="zh-CN"/>
      </w:rPr>
    </w:lvl>
    <w:lvl w:ilvl="5" w:tentative="0">
      <w:start w:val="0"/>
      <w:numFmt w:val="bullet"/>
      <w:lvlText w:val="•"/>
      <w:lvlJc w:val="left"/>
      <w:pPr>
        <w:ind w:left="5020" w:hanging="632"/>
      </w:pPr>
      <w:rPr>
        <w:rFonts w:hint="default"/>
        <w:lang w:val="zh-CN" w:eastAsia="zh-CN" w:bidi="zh-CN"/>
      </w:rPr>
    </w:lvl>
    <w:lvl w:ilvl="6" w:tentative="0">
      <w:start w:val="0"/>
      <w:numFmt w:val="bullet"/>
      <w:lvlText w:val="•"/>
      <w:lvlJc w:val="left"/>
      <w:pPr>
        <w:ind w:left="5925" w:hanging="632"/>
      </w:pPr>
      <w:rPr>
        <w:rFonts w:hint="default"/>
        <w:lang w:val="zh-CN" w:eastAsia="zh-CN" w:bidi="zh-CN"/>
      </w:rPr>
    </w:lvl>
    <w:lvl w:ilvl="7" w:tentative="0">
      <w:start w:val="0"/>
      <w:numFmt w:val="bullet"/>
      <w:lvlText w:val="•"/>
      <w:lvlJc w:val="left"/>
      <w:pPr>
        <w:ind w:left="6830" w:hanging="632"/>
      </w:pPr>
      <w:rPr>
        <w:rFonts w:hint="default"/>
        <w:lang w:val="zh-CN" w:eastAsia="zh-CN" w:bidi="zh-CN"/>
      </w:rPr>
    </w:lvl>
    <w:lvl w:ilvl="8" w:tentative="0">
      <w:start w:val="0"/>
      <w:numFmt w:val="bullet"/>
      <w:lvlText w:val="•"/>
      <w:lvlJc w:val="left"/>
      <w:pPr>
        <w:ind w:left="7735" w:hanging="632"/>
      </w:pPr>
      <w:rPr>
        <w:rFonts w:hint="default"/>
        <w:lang w:val="zh-CN" w:eastAsia="zh-CN" w:bidi="zh-CN"/>
      </w:rPr>
    </w:lvl>
  </w:abstractNum>
  <w:abstractNum w:abstractNumId="62">
    <w:nsid w:val="0709FD3E"/>
    <w:multiLevelType w:val="multilevel"/>
    <w:tmpl w:val="0709FD3E"/>
    <w:lvl w:ilvl="0" w:tentative="0">
      <w:start w:val="4"/>
      <w:numFmt w:val="decimal"/>
      <w:lvlText w:val="%1"/>
      <w:lvlJc w:val="left"/>
      <w:pPr>
        <w:ind w:left="2047" w:hanging="629"/>
        <w:jc w:val="left"/>
      </w:pPr>
      <w:rPr>
        <w:rFonts w:hint="default"/>
        <w:lang w:val="zh-CN" w:eastAsia="zh-CN" w:bidi="zh-CN"/>
      </w:rPr>
    </w:lvl>
    <w:lvl w:ilvl="1" w:tentative="0">
      <w:start w:val="1"/>
      <w:numFmt w:val="decimal"/>
      <w:lvlText w:val="%1.%2"/>
      <w:lvlJc w:val="left"/>
      <w:pPr>
        <w:ind w:left="2047" w:hanging="629"/>
        <w:jc w:val="left"/>
      </w:pPr>
      <w:rPr>
        <w:rFonts w:hint="default"/>
        <w:lang w:val="zh-CN" w:eastAsia="zh-CN" w:bidi="zh-CN"/>
      </w:rPr>
    </w:lvl>
    <w:lvl w:ilvl="2" w:tentative="0">
      <w:start w:val="1"/>
      <w:numFmt w:val="decimal"/>
      <w:lvlText w:val="%1.%2.%3"/>
      <w:lvlJc w:val="left"/>
      <w:pPr>
        <w:ind w:left="2047" w:hanging="629"/>
        <w:jc w:val="right"/>
      </w:pPr>
      <w:rPr>
        <w:rFonts w:hint="default"/>
        <w:b/>
        <w:bCs/>
        <w:spacing w:val="-2"/>
        <w:w w:val="100"/>
        <w:lang w:val="zh-CN" w:eastAsia="zh-CN" w:bidi="zh-CN"/>
      </w:rPr>
    </w:lvl>
    <w:lvl w:ilvl="3" w:tentative="0">
      <w:start w:val="0"/>
      <w:numFmt w:val="bullet"/>
      <w:lvlText w:val="•"/>
      <w:lvlJc w:val="left"/>
      <w:pPr>
        <w:ind w:left="4999" w:hanging="629"/>
      </w:pPr>
      <w:rPr>
        <w:rFonts w:hint="default"/>
        <w:lang w:val="zh-CN" w:eastAsia="zh-CN" w:bidi="zh-CN"/>
      </w:rPr>
    </w:lvl>
    <w:lvl w:ilvl="4" w:tentative="0">
      <w:start w:val="0"/>
      <w:numFmt w:val="bullet"/>
      <w:lvlText w:val="•"/>
      <w:lvlJc w:val="left"/>
      <w:pPr>
        <w:ind w:left="5986" w:hanging="629"/>
      </w:pPr>
      <w:rPr>
        <w:rFonts w:hint="default"/>
        <w:lang w:val="zh-CN" w:eastAsia="zh-CN" w:bidi="zh-CN"/>
      </w:rPr>
    </w:lvl>
    <w:lvl w:ilvl="5" w:tentative="0">
      <w:start w:val="0"/>
      <w:numFmt w:val="bullet"/>
      <w:lvlText w:val="•"/>
      <w:lvlJc w:val="left"/>
      <w:pPr>
        <w:ind w:left="6973" w:hanging="629"/>
      </w:pPr>
      <w:rPr>
        <w:rFonts w:hint="default"/>
        <w:lang w:val="zh-CN" w:eastAsia="zh-CN" w:bidi="zh-CN"/>
      </w:rPr>
    </w:lvl>
    <w:lvl w:ilvl="6" w:tentative="0">
      <w:start w:val="0"/>
      <w:numFmt w:val="bullet"/>
      <w:lvlText w:val="•"/>
      <w:lvlJc w:val="left"/>
      <w:pPr>
        <w:ind w:left="7959" w:hanging="629"/>
      </w:pPr>
      <w:rPr>
        <w:rFonts w:hint="default"/>
        <w:lang w:val="zh-CN" w:eastAsia="zh-CN" w:bidi="zh-CN"/>
      </w:rPr>
    </w:lvl>
    <w:lvl w:ilvl="7" w:tentative="0">
      <w:start w:val="0"/>
      <w:numFmt w:val="bullet"/>
      <w:lvlText w:val="•"/>
      <w:lvlJc w:val="left"/>
      <w:pPr>
        <w:ind w:left="8946" w:hanging="629"/>
      </w:pPr>
      <w:rPr>
        <w:rFonts w:hint="default"/>
        <w:lang w:val="zh-CN" w:eastAsia="zh-CN" w:bidi="zh-CN"/>
      </w:rPr>
    </w:lvl>
    <w:lvl w:ilvl="8" w:tentative="0">
      <w:start w:val="0"/>
      <w:numFmt w:val="bullet"/>
      <w:lvlText w:val="•"/>
      <w:lvlJc w:val="left"/>
      <w:pPr>
        <w:ind w:left="9932" w:hanging="629"/>
      </w:pPr>
      <w:rPr>
        <w:rFonts w:hint="default"/>
        <w:lang w:val="zh-CN" w:eastAsia="zh-CN" w:bidi="zh-CN"/>
      </w:rPr>
    </w:lvl>
  </w:abstractNum>
  <w:abstractNum w:abstractNumId="63">
    <w:nsid w:val="0CEF100B"/>
    <w:multiLevelType w:val="multilevel"/>
    <w:tmpl w:val="0CEF100B"/>
    <w:lvl w:ilvl="0" w:tentative="0">
      <w:start w:val="4"/>
      <w:numFmt w:val="decimal"/>
      <w:lvlText w:val="%1"/>
      <w:lvlJc w:val="left"/>
      <w:pPr>
        <w:ind w:left="2143" w:hanging="526"/>
        <w:jc w:val="left"/>
      </w:pPr>
      <w:rPr>
        <w:rFonts w:hint="default"/>
        <w:lang w:val="zh-CN" w:eastAsia="zh-CN" w:bidi="zh-CN"/>
      </w:rPr>
    </w:lvl>
    <w:lvl w:ilvl="1" w:tentative="0">
      <w:start w:val="2"/>
      <w:numFmt w:val="decimal"/>
      <w:lvlText w:val="%1.%2"/>
      <w:lvlJc w:val="left"/>
      <w:pPr>
        <w:ind w:left="2143" w:hanging="526"/>
        <w:jc w:val="righ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2248" w:hanging="632"/>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2499"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5840" w:hanging="601"/>
      </w:pPr>
      <w:rPr>
        <w:rFonts w:hint="default"/>
        <w:lang w:val="zh-CN" w:eastAsia="zh-CN" w:bidi="zh-CN"/>
      </w:rPr>
    </w:lvl>
    <w:lvl w:ilvl="5" w:tentative="0">
      <w:start w:val="0"/>
      <w:numFmt w:val="bullet"/>
      <w:lvlText w:val="•"/>
      <w:lvlJc w:val="left"/>
      <w:pPr>
        <w:ind w:left="6200" w:hanging="601"/>
      </w:pPr>
      <w:rPr>
        <w:rFonts w:hint="default"/>
        <w:lang w:val="zh-CN" w:eastAsia="zh-CN" w:bidi="zh-CN"/>
      </w:rPr>
    </w:lvl>
    <w:lvl w:ilvl="6" w:tentative="0">
      <w:start w:val="0"/>
      <w:numFmt w:val="bullet"/>
      <w:lvlText w:val="•"/>
      <w:lvlJc w:val="left"/>
      <w:pPr>
        <w:ind w:left="7341" w:hanging="601"/>
      </w:pPr>
      <w:rPr>
        <w:rFonts w:hint="default"/>
        <w:lang w:val="zh-CN" w:eastAsia="zh-CN" w:bidi="zh-CN"/>
      </w:rPr>
    </w:lvl>
    <w:lvl w:ilvl="7" w:tentative="0">
      <w:start w:val="0"/>
      <w:numFmt w:val="bullet"/>
      <w:lvlText w:val="•"/>
      <w:lvlJc w:val="left"/>
      <w:pPr>
        <w:ind w:left="8482" w:hanging="601"/>
      </w:pPr>
      <w:rPr>
        <w:rFonts w:hint="default"/>
        <w:lang w:val="zh-CN" w:eastAsia="zh-CN" w:bidi="zh-CN"/>
      </w:rPr>
    </w:lvl>
    <w:lvl w:ilvl="8" w:tentative="0">
      <w:start w:val="0"/>
      <w:numFmt w:val="bullet"/>
      <w:lvlText w:val="•"/>
      <w:lvlJc w:val="left"/>
      <w:pPr>
        <w:ind w:left="9623" w:hanging="601"/>
      </w:pPr>
      <w:rPr>
        <w:rFonts w:hint="default"/>
        <w:lang w:val="zh-CN" w:eastAsia="zh-CN" w:bidi="zh-CN"/>
      </w:rPr>
    </w:lvl>
  </w:abstractNum>
  <w:abstractNum w:abstractNumId="64">
    <w:nsid w:val="0E640482"/>
    <w:multiLevelType w:val="multilevel"/>
    <w:tmpl w:val="0E640482"/>
    <w:lvl w:ilvl="0" w:tentative="0">
      <w:start w:val="1"/>
      <w:numFmt w:val="decimal"/>
      <w:lvlText w:val="（%1）"/>
      <w:lvlJc w:val="left"/>
      <w:pPr>
        <w:ind w:left="218" w:hanging="601"/>
        <w:jc w:val="left"/>
      </w:pPr>
      <w:rPr>
        <w:rFonts w:hint="default" w:ascii="宋体" w:hAnsi="宋体" w:eastAsia="宋体" w:cs="宋体"/>
        <w:color w:val="FF0000"/>
        <w:spacing w:val="-17"/>
        <w:w w:val="100"/>
        <w:sz w:val="22"/>
        <w:szCs w:val="22"/>
        <w:lang w:val="zh-CN" w:eastAsia="zh-CN" w:bidi="zh-CN"/>
      </w:rPr>
    </w:lvl>
    <w:lvl w:ilvl="1" w:tentative="0">
      <w:start w:val="0"/>
      <w:numFmt w:val="bullet"/>
      <w:lvlText w:val="•"/>
      <w:lvlJc w:val="left"/>
      <w:pPr>
        <w:ind w:left="1152" w:hanging="601"/>
      </w:pPr>
      <w:rPr>
        <w:rFonts w:hint="default"/>
        <w:lang w:val="zh-CN" w:eastAsia="zh-CN" w:bidi="zh-CN"/>
      </w:rPr>
    </w:lvl>
    <w:lvl w:ilvl="2" w:tentative="0">
      <w:start w:val="0"/>
      <w:numFmt w:val="bullet"/>
      <w:lvlText w:val="•"/>
      <w:lvlJc w:val="left"/>
      <w:pPr>
        <w:ind w:left="2085" w:hanging="601"/>
      </w:pPr>
      <w:rPr>
        <w:rFonts w:hint="default"/>
        <w:lang w:val="zh-CN" w:eastAsia="zh-CN" w:bidi="zh-CN"/>
      </w:rPr>
    </w:lvl>
    <w:lvl w:ilvl="3" w:tentative="0">
      <w:start w:val="0"/>
      <w:numFmt w:val="bullet"/>
      <w:lvlText w:val="•"/>
      <w:lvlJc w:val="left"/>
      <w:pPr>
        <w:ind w:left="3017" w:hanging="601"/>
      </w:pPr>
      <w:rPr>
        <w:rFonts w:hint="default"/>
        <w:lang w:val="zh-CN" w:eastAsia="zh-CN" w:bidi="zh-CN"/>
      </w:rPr>
    </w:lvl>
    <w:lvl w:ilvl="4" w:tentative="0">
      <w:start w:val="0"/>
      <w:numFmt w:val="bullet"/>
      <w:lvlText w:val="•"/>
      <w:lvlJc w:val="left"/>
      <w:pPr>
        <w:ind w:left="3950" w:hanging="601"/>
      </w:pPr>
      <w:rPr>
        <w:rFonts w:hint="default"/>
        <w:lang w:val="zh-CN" w:eastAsia="zh-CN" w:bidi="zh-CN"/>
      </w:rPr>
    </w:lvl>
    <w:lvl w:ilvl="5" w:tentative="0">
      <w:start w:val="0"/>
      <w:numFmt w:val="bullet"/>
      <w:lvlText w:val="•"/>
      <w:lvlJc w:val="left"/>
      <w:pPr>
        <w:ind w:left="4883" w:hanging="601"/>
      </w:pPr>
      <w:rPr>
        <w:rFonts w:hint="default"/>
        <w:lang w:val="zh-CN" w:eastAsia="zh-CN" w:bidi="zh-CN"/>
      </w:rPr>
    </w:lvl>
    <w:lvl w:ilvl="6" w:tentative="0">
      <w:start w:val="0"/>
      <w:numFmt w:val="bullet"/>
      <w:lvlText w:val="•"/>
      <w:lvlJc w:val="left"/>
      <w:pPr>
        <w:ind w:left="5815" w:hanging="601"/>
      </w:pPr>
      <w:rPr>
        <w:rFonts w:hint="default"/>
        <w:lang w:val="zh-CN" w:eastAsia="zh-CN" w:bidi="zh-CN"/>
      </w:rPr>
    </w:lvl>
    <w:lvl w:ilvl="7" w:tentative="0">
      <w:start w:val="0"/>
      <w:numFmt w:val="bullet"/>
      <w:lvlText w:val="•"/>
      <w:lvlJc w:val="left"/>
      <w:pPr>
        <w:ind w:left="6748" w:hanging="601"/>
      </w:pPr>
      <w:rPr>
        <w:rFonts w:hint="default"/>
        <w:lang w:val="zh-CN" w:eastAsia="zh-CN" w:bidi="zh-CN"/>
      </w:rPr>
    </w:lvl>
    <w:lvl w:ilvl="8" w:tentative="0">
      <w:start w:val="0"/>
      <w:numFmt w:val="bullet"/>
      <w:lvlText w:val="•"/>
      <w:lvlJc w:val="left"/>
      <w:pPr>
        <w:ind w:left="7680" w:hanging="601"/>
      </w:pPr>
      <w:rPr>
        <w:rFonts w:hint="default"/>
        <w:lang w:val="zh-CN" w:eastAsia="zh-CN" w:bidi="zh-CN"/>
      </w:rPr>
    </w:lvl>
  </w:abstractNum>
  <w:abstractNum w:abstractNumId="65">
    <w:nsid w:val="0F9F9CCA"/>
    <w:multiLevelType w:val="multilevel"/>
    <w:tmpl w:val="0F9F9CCA"/>
    <w:lvl w:ilvl="0" w:tentative="0">
      <w:start w:val="5"/>
      <w:numFmt w:val="decimal"/>
      <w:lvlText w:val="%1"/>
      <w:lvlJc w:val="left"/>
      <w:pPr>
        <w:ind w:left="2138" w:hanging="720"/>
        <w:jc w:val="left"/>
      </w:pPr>
      <w:rPr>
        <w:rFonts w:hint="default"/>
        <w:lang w:val="zh-CN" w:eastAsia="zh-CN" w:bidi="zh-CN"/>
      </w:rPr>
    </w:lvl>
    <w:lvl w:ilvl="1" w:tentative="0">
      <w:start w:val="3"/>
      <w:numFmt w:val="decimal"/>
      <w:lvlText w:val="%1.%2"/>
      <w:lvlJc w:val="left"/>
      <w:pPr>
        <w:ind w:left="2138" w:hanging="720"/>
        <w:jc w:val="left"/>
      </w:pPr>
      <w:rPr>
        <w:rFonts w:hint="default"/>
        <w:lang w:val="zh-CN" w:eastAsia="zh-CN" w:bidi="zh-CN"/>
      </w:rPr>
    </w:lvl>
    <w:lvl w:ilvl="2" w:tentative="0">
      <w:start w:val="2"/>
      <w:numFmt w:val="decimal"/>
      <w:lvlText w:val="%1.%2.%3"/>
      <w:lvlJc w:val="left"/>
      <w:pPr>
        <w:ind w:left="2138" w:hanging="720"/>
        <w:jc w:val="left"/>
      </w:pPr>
      <w:rPr>
        <w:rFonts w:hint="default"/>
        <w:lang w:val="zh-CN" w:eastAsia="zh-CN" w:bidi="zh-CN"/>
      </w:rPr>
    </w:lvl>
    <w:lvl w:ilvl="3" w:tentative="0">
      <w:start w:val="1"/>
      <w:numFmt w:val="decimal"/>
      <w:lvlText w:val="%1.%2.%3.%4"/>
      <w:lvlJc w:val="left"/>
      <w:pPr>
        <w:ind w:left="213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5635" w:hanging="720"/>
      </w:pPr>
      <w:rPr>
        <w:rFonts w:hint="default"/>
        <w:lang w:val="zh-CN" w:eastAsia="zh-CN" w:bidi="zh-CN"/>
      </w:rPr>
    </w:lvl>
    <w:lvl w:ilvl="5" w:tentative="0">
      <w:start w:val="0"/>
      <w:numFmt w:val="bullet"/>
      <w:lvlText w:val="•"/>
      <w:lvlJc w:val="left"/>
      <w:pPr>
        <w:ind w:left="6680" w:hanging="720"/>
      </w:pPr>
      <w:rPr>
        <w:rFonts w:hint="default"/>
        <w:lang w:val="zh-CN" w:eastAsia="zh-CN" w:bidi="zh-CN"/>
      </w:rPr>
    </w:lvl>
    <w:lvl w:ilvl="6" w:tentative="0">
      <w:start w:val="0"/>
      <w:numFmt w:val="bullet"/>
      <w:lvlText w:val="•"/>
      <w:lvlJc w:val="left"/>
      <w:pPr>
        <w:ind w:left="7725" w:hanging="720"/>
      </w:pPr>
      <w:rPr>
        <w:rFonts w:hint="default"/>
        <w:lang w:val="zh-CN" w:eastAsia="zh-CN" w:bidi="zh-CN"/>
      </w:rPr>
    </w:lvl>
    <w:lvl w:ilvl="7" w:tentative="0">
      <w:start w:val="0"/>
      <w:numFmt w:val="bullet"/>
      <w:lvlText w:val="•"/>
      <w:lvlJc w:val="left"/>
      <w:pPr>
        <w:ind w:left="8770" w:hanging="720"/>
      </w:pPr>
      <w:rPr>
        <w:rFonts w:hint="default"/>
        <w:lang w:val="zh-CN" w:eastAsia="zh-CN" w:bidi="zh-CN"/>
      </w:rPr>
    </w:lvl>
    <w:lvl w:ilvl="8" w:tentative="0">
      <w:start w:val="0"/>
      <w:numFmt w:val="bullet"/>
      <w:lvlText w:val="•"/>
      <w:lvlJc w:val="left"/>
      <w:pPr>
        <w:ind w:left="9815" w:hanging="720"/>
      </w:pPr>
      <w:rPr>
        <w:rFonts w:hint="default"/>
        <w:lang w:val="zh-CN" w:eastAsia="zh-CN" w:bidi="zh-CN"/>
      </w:rPr>
    </w:lvl>
  </w:abstractNum>
  <w:abstractNum w:abstractNumId="66">
    <w:nsid w:val="10D591E5"/>
    <w:multiLevelType w:val="multilevel"/>
    <w:tmpl w:val="10D591E5"/>
    <w:lvl w:ilvl="0" w:tentative="0">
      <w:start w:val="1"/>
      <w:numFmt w:val="decimal"/>
      <w:lvlText w:val="%1."/>
      <w:lvlJc w:val="left"/>
      <w:pPr>
        <w:ind w:left="271" w:hanging="159"/>
        <w:jc w:val="left"/>
      </w:pPr>
      <w:rPr>
        <w:rFonts w:hint="default" w:ascii="Times New Roman" w:hAnsi="Times New Roman" w:eastAsia="Times New Roman" w:cs="Times New Roman"/>
        <w:spacing w:val="0"/>
        <w:w w:val="99"/>
        <w:position w:val="2"/>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67">
    <w:nsid w:val="12EADF99"/>
    <w:multiLevelType w:val="multilevel"/>
    <w:tmpl w:val="12EADF99"/>
    <w:lvl w:ilvl="0" w:tentative="0">
      <w:start w:val="5"/>
      <w:numFmt w:val="decimal"/>
      <w:lvlText w:val="%1"/>
      <w:lvlJc w:val="left"/>
      <w:pPr>
        <w:ind w:left="2047" w:hanging="629"/>
        <w:jc w:val="left"/>
      </w:pPr>
      <w:rPr>
        <w:rFonts w:hint="default"/>
        <w:lang w:val="zh-CN" w:eastAsia="zh-CN" w:bidi="zh-CN"/>
      </w:rPr>
    </w:lvl>
    <w:lvl w:ilvl="1" w:tentative="0">
      <w:start w:val="5"/>
      <w:numFmt w:val="decimal"/>
      <w:lvlText w:val="%1.%2"/>
      <w:lvlJc w:val="left"/>
      <w:pPr>
        <w:ind w:left="2047" w:hanging="629"/>
        <w:jc w:val="left"/>
      </w:pPr>
      <w:rPr>
        <w:rFonts w:hint="default"/>
        <w:lang w:val="zh-CN" w:eastAsia="zh-CN" w:bidi="zh-CN"/>
      </w:rPr>
    </w:lvl>
    <w:lvl w:ilvl="2" w:tentative="0">
      <w:start w:val="4"/>
      <w:numFmt w:val="decimal"/>
      <w:lvlText w:val="%1.%2.%3"/>
      <w:lvlJc w:val="left"/>
      <w:pPr>
        <w:ind w:left="204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4999" w:hanging="629"/>
      </w:pPr>
      <w:rPr>
        <w:rFonts w:hint="default"/>
        <w:lang w:val="zh-CN" w:eastAsia="zh-CN" w:bidi="zh-CN"/>
      </w:rPr>
    </w:lvl>
    <w:lvl w:ilvl="4" w:tentative="0">
      <w:start w:val="0"/>
      <w:numFmt w:val="bullet"/>
      <w:lvlText w:val="•"/>
      <w:lvlJc w:val="left"/>
      <w:pPr>
        <w:ind w:left="5986" w:hanging="629"/>
      </w:pPr>
      <w:rPr>
        <w:rFonts w:hint="default"/>
        <w:lang w:val="zh-CN" w:eastAsia="zh-CN" w:bidi="zh-CN"/>
      </w:rPr>
    </w:lvl>
    <w:lvl w:ilvl="5" w:tentative="0">
      <w:start w:val="0"/>
      <w:numFmt w:val="bullet"/>
      <w:lvlText w:val="•"/>
      <w:lvlJc w:val="left"/>
      <w:pPr>
        <w:ind w:left="6973" w:hanging="629"/>
      </w:pPr>
      <w:rPr>
        <w:rFonts w:hint="default"/>
        <w:lang w:val="zh-CN" w:eastAsia="zh-CN" w:bidi="zh-CN"/>
      </w:rPr>
    </w:lvl>
    <w:lvl w:ilvl="6" w:tentative="0">
      <w:start w:val="0"/>
      <w:numFmt w:val="bullet"/>
      <w:lvlText w:val="•"/>
      <w:lvlJc w:val="left"/>
      <w:pPr>
        <w:ind w:left="7959" w:hanging="629"/>
      </w:pPr>
      <w:rPr>
        <w:rFonts w:hint="default"/>
        <w:lang w:val="zh-CN" w:eastAsia="zh-CN" w:bidi="zh-CN"/>
      </w:rPr>
    </w:lvl>
    <w:lvl w:ilvl="7" w:tentative="0">
      <w:start w:val="0"/>
      <w:numFmt w:val="bullet"/>
      <w:lvlText w:val="•"/>
      <w:lvlJc w:val="left"/>
      <w:pPr>
        <w:ind w:left="8946" w:hanging="629"/>
      </w:pPr>
      <w:rPr>
        <w:rFonts w:hint="default"/>
        <w:lang w:val="zh-CN" w:eastAsia="zh-CN" w:bidi="zh-CN"/>
      </w:rPr>
    </w:lvl>
    <w:lvl w:ilvl="8" w:tentative="0">
      <w:start w:val="0"/>
      <w:numFmt w:val="bullet"/>
      <w:lvlText w:val="•"/>
      <w:lvlJc w:val="left"/>
      <w:pPr>
        <w:ind w:left="9932" w:hanging="629"/>
      </w:pPr>
      <w:rPr>
        <w:rFonts w:hint="default"/>
        <w:lang w:val="zh-CN" w:eastAsia="zh-CN" w:bidi="zh-CN"/>
      </w:rPr>
    </w:lvl>
  </w:abstractNum>
  <w:abstractNum w:abstractNumId="68">
    <w:nsid w:val="1450273B"/>
    <w:multiLevelType w:val="multilevel"/>
    <w:tmpl w:val="1450273B"/>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69">
    <w:nsid w:val="18F74015"/>
    <w:multiLevelType w:val="multilevel"/>
    <w:tmpl w:val="18F74015"/>
    <w:lvl w:ilvl="0" w:tentative="0">
      <w:start w:val="8"/>
      <w:numFmt w:val="decimal"/>
      <w:lvlText w:val="%1"/>
      <w:lvlJc w:val="left"/>
      <w:pPr>
        <w:ind w:left="1838" w:hanging="420"/>
        <w:jc w:val="left"/>
      </w:pPr>
      <w:rPr>
        <w:rFonts w:hint="default"/>
        <w:lang w:val="zh-CN" w:eastAsia="zh-CN" w:bidi="zh-CN"/>
      </w:rPr>
    </w:lvl>
    <w:lvl w:ilvl="1" w:tentative="0">
      <w:start w:val="2"/>
      <w:numFmt w:val="decimal"/>
      <w:lvlText w:val="%1.%2"/>
      <w:lvlJc w:val="left"/>
      <w:pPr>
        <w:ind w:left="1838" w:hanging="420"/>
        <w:jc w:val="left"/>
      </w:pPr>
      <w:rPr>
        <w:rFonts w:hint="default"/>
        <w:b/>
        <w:bCs/>
        <w:spacing w:val="-1"/>
        <w:w w:val="100"/>
        <w:lang w:val="zh-CN" w:eastAsia="zh-CN" w:bidi="zh-CN"/>
      </w:rPr>
    </w:lvl>
    <w:lvl w:ilvl="2" w:tentative="0">
      <w:start w:val="1"/>
      <w:numFmt w:val="decimal"/>
      <w:lvlText w:val="%1.%2.%3"/>
      <w:lvlJc w:val="left"/>
      <w:pPr>
        <w:ind w:left="204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418" w:hanging="605"/>
        <w:jc w:val="left"/>
      </w:pPr>
      <w:rPr>
        <w:rFonts w:hint="default" w:ascii="宋体" w:hAnsi="宋体" w:eastAsia="宋体" w:cs="宋体"/>
        <w:spacing w:val="0"/>
        <w:w w:val="100"/>
        <w:sz w:val="22"/>
        <w:szCs w:val="22"/>
        <w:lang w:val="zh-CN" w:eastAsia="zh-CN" w:bidi="zh-CN"/>
      </w:rPr>
    </w:lvl>
    <w:lvl w:ilvl="4" w:tentative="0">
      <w:start w:val="0"/>
      <w:numFmt w:val="bullet"/>
      <w:lvlText w:val="•"/>
      <w:lvlJc w:val="left"/>
      <w:pPr>
        <w:ind w:left="2620" w:hanging="605"/>
      </w:pPr>
      <w:rPr>
        <w:rFonts w:hint="default"/>
        <w:lang w:val="zh-CN" w:eastAsia="zh-CN" w:bidi="zh-CN"/>
      </w:rPr>
    </w:lvl>
    <w:lvl w:ilvl="5" w:tentative="0">
      <w:start w:val="0"/>
      <w:numFmt w:val="bullet"/>
      <w:lvlText w:val="•"/>
      <w:lvlJc w:val="left"/>
      <w:pPr>
        <w:ind w:left="4167" w:hanging="605"/>
      </w:pPr>
      <w:rPr>
        <w:rFonts w:hint="default"/>
        <w:lang w:val="zh-CN" w:eastAsia="zh-CN" w:bidi="zh-CN"/>
      </w:rPr>
    </w:lvl>
    <w:lvl w:ilvl="6" w:tentative="0">
      <w:start w:val="0"/>
      <w:numFmt w:val="bullet"/>
      <w:lvlText w:val="•"/>
      <w:lvlJc w:val="left"/>
      <w:pPr>
        <w:ind w:left="5715" w:hanging="605"/>
      </w:pPr>
      <w:rPr>
        <w:rFonts w:hint="default"/>
        <w:lang w:val="zh-CN" w:eastAsia="zh-CN" w:bidi="zh-CN"/>
      </w:rPr>
    </w:lvl>
    <w:lvl w:ilvl="7" w:tentative="0">
      <w:start w:val="0"/>
      <w:numFmt w:val="bullet"/>
      <w:lvlText w:val="•"/>
      <w:lvlJc w:val="left"/>
      <w:pPr>
        <w:ind w:left="7263" w:hanging="605"/>
      </w:pPr>
      <w:rPr>
        <w:rFonts w:hint="default"/>
        <w:lang w:val="zh-CN" w:eastAsia="zh-CN" w:bidi="zh-CN"/>
      </w:rPr>
    </w:lvl>
    <w:lvl w:ilvl="8" w:tentative="0">
      <w:start w:val="0"/>
      <w:numFmt w:val="bullet"/>
      <w:lvlText w:val="•"/>
      <w:lvlJc w:val="left"/>
      <w:pPr>
        <w:ind w:left="8810" w:hanging="605"/>
      </w:pPr>
      <w:rPr>
        <w:rFonts w:hint="default"/>
        <w:lang w:val="zh-CN" w:eastAsia="zh-CN" w:bidi="zh-CN"/>
      </w:rPr>
    </w:lvl>
  </w:abstractNum>
  <w:abstractNum w:abstractNumId="70">
    <w:nsid w:val="1ACDE60F"/>
    <w:multiLevelType w:val="multilevel"/>
    <w:tmpl w:val="1ACDE60F"/>
    <w:lvl w:ilvl="0" w:tentative="0">
      <w:start w:val="1"/>
      <w:numFmt w:val="decimal"/>
      <w:lvlText w:val="（%1）"/>
      <w:lvlJc w:val="left"/>
      <w:pPr>
        <w:ind w:left="24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3440" w:hanging="601"/>
      </w:pPr>
      <w:rPr>
        <w:rFonts w:hint="default"/>
        <w:lang w:val="zh-CN" w:eastAsia="zh-CN" w:bidi="zh-CN"/>
      </w:rPr>
    </w:lvl>
    <w:lvl w:ilvl="2" w:tentative="0">
      <w:start w:val="0"/>
      <w:numFmt w:val="bullet"/>
      <w:lvlText w:val="•"/>
      <w:lvlJc w:val="left"/>
      <w:pPr>
        <w:ind w:left="4381" w:hanging="601"/>
      </w:pPr>
      <w:rPr>
        <w:rFonts w:hint="default"/>
        <w:lang w:val="zh-CN" w:eastAsia="zh-CN" w:bidi="zh-CN"/>
      </w:rPr>
    </w:lvl>
    <w:lvl w:ilvl="3" w:tentative="0">
      <w:start w:val="0"/>
      <w:numFmt w:val="bullet"/>
      <w:lvlText w:val="•"/>
      <w:lvlJc w:val="left"/>
      <w:pPr>
        <w:ind w:left="5321" w:hanging="601"/>
      </w:pPr>
      <w:rPr>
        <w:rFonts w:hint="default"/>
        <w:lang w:val="zh-CN" w:eastAsia="zh-CN" w:bidi="zh-CN"/>
      </w:rPr>
    </w:lvl>
    <w:lvl w:ilvl="4" w:tentative="0">
      <w:start w:val="0"/>
      <w:numFmt w:val="bullet"/>
      <w:lvlText w:val="•"/>
      <w:lvlJc w:val="left"/>
      <w:pPr>
        <w:ind w:left="6262" w:hanging="601"/>
      </w:pPr>
      <w:rPr>
        <w:rFonts w:hint="default"/>
        <w:lang w:val="zh-CN" w:eastAsia="zh-CN" w:bidi="zh-CN"/>
      </w:rPr>
    </w:lvl>
    <w:lvl w:ilvl="5" w:tentative="0">
      <w:start w:val="0"/>
      <w:numFmt w:val="bullet"/>
      <w:lvlText w:val="•"/>
      <w:lvlJc w:val="left"/>
      <w:pPr>
        <w:ind w:left="7203" w:hanging="601"/>
      </w:pPr>
      <w:rPr>
        <w:rFonts w:hint="default"/>
        <w:lang w:val="zh-CN" w:eastAsia="zh-CN" w:bidi="zh-CN"/>
      </w:rPr>
    </w:lvl>
    <w:lvl w:ilvl="6" w:tentative="0">
      <w:start w:val="0"/>
      <w:numFmt w:val="bullet"/>
      <w:lvlText w:val="•"/>
      <w:lvlJc w:val="left"/>
      <w:pPr>
        <w:ind w:left="8143" w:hanging="601"/>
      </w:pPr>
      <w:rPr>
        <w:rFonts w:hint="default"/>
        <w:lang w:val="zh-CN" w:eastAsia="zh-CN" w:bidi="zh-CN"/>
      </w:rPr>
    </w:lvl>
    <w:lvl w:ilvl="7" w:tentative="0">
      <w:start w:val="0"/>
      <w:numFmt w:val="bullet"/>
      <w:lvlText w:val="•"/>
      <w:lvlJc w:val="left"/>
      <w:pPr>
        <w:ind w:left="9084" w:hanging="601"/>
      </w:pPr>
      <w:rPr>
        <w:rFonts w:hint="default"/>
        <w:lang w:val="zh-CN" w:eastAsia="zh-CN" w:bidi="zh-CN"/>
      </w:rPr>
    </w:lvl>
    <w:lvl w:ilvl="8" w:tentative="0">
      <w:start w:val="0"/>
      <w:numFmt w:val="bullet"/>
      <w:lvlText w:val="•"/>
      <w:lvlJc w:val="left"/>
      <w:pPr>
        <w:ind w:left="10024" w:hanging="601"/>
      </w:pPr>
      <w:rPr>
        <w:rFonts w:hint="default"/>
        <w:lang w:val="zh-CN" w:eastAsia="zh-CN" w:bidi="zh-CN"/>
      </w:rPr>
    </w:lvl>
  </w:abstractNum>
  <w:abstractNum w:abstractNumId="71">
    <w:nsid w:val="1AD50295"/>
    <w:multiLevelType w:val="multilevel"/>
    <w:tmpl w:val="1AD50295"/>
    <w:lvl w:ilvl="0" w:tentative="0">
      <w:start w:val="1"/>
      <w:numFmt w:val="decimal"/>
      <w:lvlText w:val="%1."/>
      <w:lvlJc w:val="left"/>
      <w:pPr>
        <w:ind w:left="112" w:hanging="159"/>
        <w:jc w:val="left"/>
      </w:pPr>
      <w:rPr>
        <w:rFonts w:hint="default" w:ascii="Times New Roman" w:hAnsi="Times New Roman" w:eastAsia="Times New Roman" w:cs="Times New Roman"/>
        <w:spacing w:val="0"/>
        <w:w w:val="99"/>
        <w:position w:val="2"/>
        <w:sz w:val="19"/>
        <w:szCs w:val="19"/>
        <w:lang w:val="zh-CN" w:eastAsia="zh-CN" w:bidi="zh-CN"/>
      </w:rPr>
    </w:lvl>
    <w:lvl w:ilvl="1" w:tentative="0">
      <w:start w:val="0"/>
      <w:numFmt w:val="bullet"/>
      <w:lvlText w:val="•"/>
      <w:lvlJc w:val="left"/>
      <w:pPr>
        <w:ind w:left="638" w:hanging="159"/>
      </w:pPr>
      <w:rPr>
        <w:rFonts w:hint="default"/>
        <w:lang w:val="zh-CN" w:eastAsia="zh-CN" w:bidi="zh-CN"/>
      </w:rPr>
    </w:lvl>
    <w:lvl w:ilvl="2" w:tentative="0">
      <w:start w:val="0"/>
      <w:numFmt w:val="bullet"/>
      <w:lvlText w:val="•"/>
      <w:lvlJc w:val="left"/>
      <w:pPr>
        <w:ind w:left="1156" w:hanging="159"/>
      </w:pPr>
      <w:rPr>
        <w:rFonts w:hint="default"/>
        <w:lang w:val="zh-CN" w:eastAsia="zh-CN" w:bidi="zh-CN"/>
      </w:rPr>
    </w:lvl>
    <w:lvl w:ilvl="3" w:tentative="0">
      <w:start w:val="0"/>
      <w:numFmt w:val="bullet"/>
      <w:lvlText w:val="•"/>
      <w:lvlJc w:val="left"/>
      <w:pPr>
        <w:ind w:left="1675" w:hanging="159"/>
      </w:pPr>
      <w:rPr>
        <w:rFonts w:hint="default"/>
        <w:lang w:val="zh-CN" w:eastAsia="zh-CN" w:bidi="zh-CN"/>
      </w:rPr>
    </w:lvl>
    <w:lvl w:ilvl="4" w:tentative="0">
      <w:start w:val="0"/>
      <w:numFmt w:val="bullet"/>
      <w:lvlText w:val="•"/>
      <w:lvlJc w:val="left"/>
      <w:pPr>
        <w:ind w:left="2193" w:hanging="159"/>
      </w:pPr>
      <w:rPr>
        <w:rFonts w:hint="default"/>
        <w:lang w:val="zh-CN" w:eastAsia="zh-CN" w:bidi="zh-CN"/>
      </w:rPr>
    </w:lvl>
    <w:lvl w:ilvl="5" w:tentative="0">
      <w:start w:val="0"/>
      <w:numFmt w:val="bullet"/>
      <w:lvlText w:val="•"/>
      <w:lvlJc w:val="left"/>
      <w:pPr>
        <w:ind w:left="2712" w:hanging="159"/>
      </w:pPr>
      <w:rPr>
        <w:rFonts w:hint="default"/>
        <w:lang w:val="zh-CN" w:eastAsia="zh-CN" w:bidi="zh-CN"/>
      </w:rPr>
    </w:lvl>
    <w:lvl w:ilvl="6" w:tentative="0">
      <w:start w:val="0"/>
      <w:numFmt w:val="bullet"/>
      <w:lvlText w:val="•"/>
      <w:lvlJc w:val="left"/>
      <w:pPr>
        <w:ind w:left="3230" w:hanging="159"/>
      </w:pPr>
      <w:rPr>
        <w:rFonts w:hint="default"/>
        <w:lang w:val="zh-CN" w:eastAsia="zh-CN" w:bidi="zh-CN"/>
      </w:rPr>
    </w:lvl>
    <w:lvl w:ilvl="7" w:tentative="0">
      <w:start w:val="0"/>
      <w:numFmt w:val="bullet"/>
      <w:lvlText w:val="•"/>
      <w:lvlJc w:val="left"/>
      <w:pPr>
        <w:ind w:left="3748" w:hanging="159"/>
      </w:pPr>
      <w:rPr>
        <w:rFonts w:hint="default"/>
        <w:lang w:val="zh-CN" w:eastAsia="zh-CN" w:bidi="zh-CN"/>
      </w:rPr>
    </w:lvl>
    <w:lvl w:ilvl="8" w:tentative="0">
      <w:start w:val="0"/>
      <w:numFmt w:val="bullet"/>
      <w:lvlText w:val="•"/>
      <w:lvlJc w:val="left"/>
      <w:pPr>
        <w:ind w:left="4267" w:hanging="159"/>
      </w:pPr>
      <w:rPr>
        <w:rFonts w:hint="default"/>
        <w:lang w:val="zh-CN" w:eastAsia="zh-CN" w:bidi="zh-CN"/>
      </w:rPr>
    </w:lvl>
  </w:abstractNum>
  <w:abstractNum w:abstractNumId="72">
    <w:nsid w:val="1BCBBCF0"/>
    <w:multiLevelType w:val="multilevel"/>
    <w:tmpl w:val="1BCBBCF0"/>
    <w:lvl w:ilvl="0" w:tentative="0">
      <w:start w:val="1"/>
      <w:numFmt w:val="decimal"/>
      <w:lvlText w:val="（%1）"/>
      <w:lvlJc w:val="left"/>
      <w:pPr>
        <w:ind w:left="600" w:hanging="601"/>
        <w:jc w:val="left"/>
      </w:pPr>
      <w:rPr>
        <w:rFonts w:hint="default" w:ascii="宋体" w:hAnsi="宋体" w:eastAsia="宋体" w:cs="宋体"/>
        <w:spacing w:val="-15"/>
        <w:w w:val="100"/>
        <w:position w:val="2"/>
        <w:sz w:val="22"/>
        <w:szCs w:val="22"/>
        <w:lang w:val="zh-CN" w:eastAsia="zh-CN" w:bidi="zh-CN"/>
      </w:rPr>
    </w:lvl>
    <w:lvl w:ilvl="1" w:tentative="0">
      <w:start w:val="0"/>
      <w:numFmt w:val="bullet"/>
      <w:lvlText w:val="•"/>
      <w:lvlJc w:val="left"/>
      <w:pPr>
        <w:ind w:left="1520" w:hanging="601"/>
      </w:pPr>
      <w:rPr>
        <w:rFonts w:hint="default"/>
        <w:lang w:val="zh-CN" w:eastAsia="zh-CN" w:bidi="zh-CN"/>
      </w:rPr>
    </w:lvl>
    <w:lvl w:ilvl="2" w:tentative="0">
      <w:start w:val="0"/>
      <w:numFmt w:val="bullet"/>
      <w:lvlText w:val="•"/>
      <w:lvlJc w:val="left"/>
      <w:pPr>
        <w:ind w:left="2441" w:hanging="601"/>
      </w:pPr>
      <w:rPr>
        <w:rFonts w:hint="default"/>
        <w:lang w:val="zh-CN" w:eastAsia="zh-CN" w:bidi="zh-CN"/>
      </w:rPr>
    </w:lvl>
    <w:lvl w:ilvl="3" w:tentative="0">
      <w:start w:val="0"/>
      <w:numFmt w:val="bullet"/>
      <w:lvlText w:val="•"/>
      <w:lvlJc w:val="left"/>
      <w:pPr>
        <w:ind w:left="3361" w:hanging="601"/>
      </w:pPr>
      <w:rPr>
        <w:rFonts w:hint="default"/>
        <w:lang w:val="zh-CN" w:eastAsia="zh-CN" w:bidi="zh-CN"/>
      </w:rPr>
    </w:lvl>
    <w:lvl w:ilvl="4" w:tentative="0">
      <w:start w:val="0"/>
      <w:numFmt w:val="bullet"/>
      <w:lvlText w:val="•"/>
      <w:lvlJc w:val="left"/>
      <w:pPr>
        <w:ind w:left="4282" w:hanging="601"/>
      </w:pPr>
      <w:rPr>
        <w:rFonts w:hint="default"/>
        <w:lang w:val="zh-CN" w:eastAsia="zh-CN" w:bidi="zh-CN"/>
      </w:rPr>
    </w:lvl>
    <w:lvl w:ilvl="5" w:tentative="0">
      <w:start w:val="0"/>
      <w:numFmt w:val="bullet"/>
      <w:lvlText w:val="•"/>
      <w:lvlJc w:val="left"/>
      <w:pPr>
        <w:ind w:left="5203" w:hanging="601"/>
      </w:pPr>
      <w:rPr>
        <w:rFonts w:hint="default"/>
        <w:lang w:val="zh-CN" w:eastAsia="zh-CN" w:bidi="zh-CN"/>
      </w:rPr>
    </w:lvl>
    <w:lvl w:ilvl="6" w:tentative="0">
      <w:start w:val="0"/>
      <w:numFmt w:val="bullet"/>
      <w:lvlText w:val="•"/>
      <w:lvlJc w:val="left"/>
      <w:pPr>
        <w:ind w:left="6123" w:hanging="601"/>
      </w:pPr>
      <w:rPr>
        <w:rFonts w:hint="default"/>
        <w:lang w:val="zh-CN" w:eastAsia="zh-CN" w:bidi="zh-CN"/>
      </w:rPr>
    </w:lvl>
    <w:lvl w:ilvl="7" w:tentative="0">
      <w:start w:val="0"/>
      <w:numFmt w:val="bullet"/>
      <w:lvlText w:val="•"/>
      <w:lvlJc w:val="left"/>
      <w:pPr>
        <w:ind w:left="7044" w:hanging="601"/>
      </w:pPr>
      <w:rPr>
        <w:rFonts w:hint="default"/>
        <w:lang w:val="zh-CN" w:eastAsia="zh-CN" w:bidi="zh-CN"/>
      </w:rPr>
    </w:lvl>
    <w:lvl w:ilvl="8" w:tentative="0">
      <w:start w:val="0"/>
      <w:numFmt w:val="bullet"/>
      <w:lvlText w:val="•"/>
      <w:lvlJc w:val="left"/>
      <w:pPr>
        <w:ind w:left="7964" w:hanging="601"/>
      </w:pPr>
      <w:rPr>
        <w:rFonts w:hint="default"/>
        <w:lang w:val="zh-CN" w:eastAsia="zh-CN" w:bidi="zh-CN"/>
      </w:rPr>
    </w:lvl>
  </w:abstractNum>
  <w:abstractNum w:abstractNumId="73">
    <w:nsid w:val="1C257C7B"/>
    <w:multiLevelType w:val="multilevel"/>
    <w:tmpl w:val="1C257C7B"/>
    <w:lvl w:ilvl="0" w:tentative="0">
      <w:start w:val="1"/>
      <w:numFmt w:val="decimal"/>
      <w:lvlText w:val="（%1）"/>
      <w:lvlJc w:val="left"/>
      <w:pPr>
        <w:ind w:left="1418" w:hanging="605"/>
        <w:jc w:val="left"/>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2468" w:hanging="605"/>
      </w:pPr>
      <w:rPr>
        <w:rFonts w:hint="default"/>
        <w:lang w:val="zh-CN" w:eastAsia="zh-CN" w:bidi="zh-CN"/>
      </w:rPr>
    </w:lvl>
    <w:lvl w:ilvl="2" w:tentative="0">
      <w:start w:val="0"/>
      <w:numFmt w:val="bullet"/>
      <w:lvlText w:val="•"/>
      <w:lvlJc w:val="left"/>
      <w:pPr>
        <w:ind w:left="3517" w:hanging="605"/>
      </w:pPr>
      <w:rPr>
        <w:rFonts w:hint="default"/>
        <w:lang w:val="zh-CN" w:eastAsia="zh-CN" w:bidi="zh-CN"/>
      </w:rPr>
    </w:lvl>
    <w:lvl w:ilvl="3" w:tentative="0">
      <w:start w:val="0"/>
      <w:numFmt w:val="bullet"/>
      <w:lvlText w:val="•"/>
      <w:lvlJc w:val="left"/>
      <w:pPr>
        <w:ind w:left="4565" w:hanging="605"/>
      </w:pPr>
      <w:rPr>
        <w:rFonts w:hint="default"/>
        <w:lang w:val="zh-CN" w:eastAsia="zh-CN" w:bidi="zh-CN"/>
      </w:rPr>
    </w:lvl>
    <w:lvl w:ilvl="4" w:tentative="0">
      <w:start w:val="0"/>
      <w:numFmt w:val="bullet"/>
      <w:lvlText w:val="•"/>
      <w:lvlJc w:val="left"/>
      <w:pPr>
        <w:ind w:left="5614" w:hanging="605"/>
      </w:pPr>
      <w:rPr>
        <w:rFonts w:hint="default"/>
        <w:lang w:val="zh-CN" w:eastAsia="zh-CN" w:bidi="zh-CN"/>
      </w:rPr>
    </w:lvl>
    <w:lvl w:ilvl="5" w:tentative="0">
      <w:start w:val="0"/>
      <w:numFmt w:val="bullet"/>
      <w:lvlText w:val="•"/>
      <w:lvlJc w:val="left"/>
      <w:pPr>
        <w:ind w:left="6663" w:hanging="605"/>
      </w:pPr>
      <w:rPr>
        <w:rFonts w:hint="default"/>
        <w:lang w:val="zh-CN" w:eastAsia="zh-CN" w:bidi="zh-CN"/>
      </w:rPr>
    </w:lvl>
    <w:lvl w:ilvl="6" w:tentative="0">
      <w:start w:val="0"/>
      <w:numFmt w:val="bullet"/>
      <w:lvlText w:val="•"/>
      <w:lvlJc w:val="left"/>
      <w:pPr>
        <w:ind w:left="7711" w:hanging="605"/>
      </w:pPr>
      <w:rPr>
        <w:rFonts w:hint="default"/>
        <w:lang w:val="zh-CN" w:eastAsia="zh-CN" w:bidi="zh-CN"/>
      </w:rPr>
    </w:lvl>
    <w:lvl w:ilvl="7" w:tentative="0">
      <w:start w:val="0"/>
      <w:numFmt w:val="bullet"/>
      <w:lvlText w:val="•"/>
      <w:lvlJc w:val="left"/>
      <w:pPr>
        <w:ind w:left="8760" w:hanging="605"/>
      </w:pPr>
      <w:rPr>
        <w:rFonts w:hint="default"/>
        <w:lang w:val="zh-CN" w:eastAsia="zh-CN" w:bidi="zh-CN"/>
      </w:rPr>
    </w:lvl>
    <w:lvl w:ilvl="8" w:tentative="0">
      <w:start w:val="0"/>
      <w:numFmt w:val="bullet"/>
      <w:lvlText w:val="•"/>
      <w:lvlJc w:val="left"/>
      <w:pPr>
        <w:ind w:left="9808" w:hanging="605"/>
      </w:pPr>
      <w:rPr>
        <w:rFonts w:hint="default"/>
        <w:lang w:val="zh-CN" w:eastAsia="zh-CN" w:bidi="zh-CN"/>
      </w:rPr>
    </w:lvl>
  </w:abstractNum>
  <w:abstractNum w:abstractNumId="74">
    <w:nsid w:val="23E97754"/>
    <w:multiLevelType w:val="multilevel"/>
    <w:tmpl w:val="23E97754"/>
    <w:lvl w:ilvl="0" w:tentative="0">
      <w:start w:val="1"/>
      <w:numFmt w:val="decimal"/>
      <w:lvlText w:val="（%1）"/>
      <w:lvlJc w:val="left"/>
      <w:pPr>
        <w:ind w:left="1418" w:hanging="60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68" w:hanging="603"/>
      </w:pPr>
      <w:rPr>
        <w:rFonts w:hint="default"/>
        <w:lang w:val="zh-CN" w:eastAsia="zh-CN" w:bidi="zh-CN"/>
      </w:rPr>
    </w:lvl>
    <w:lvl w:ilvl="2" w:tentative="0">
      <w:start w:val="0"/>
      <w:numFmt w:val="bullet"/>
      <w:lvlText w:val="•"/>
      <w:lvlJc w:val="left"/>
      <w:pPr>
        <w:ind w:left="3517" w:hanging="603"/>
      </w:pPr>
      <w:rPr>
        <w:rFonts w:hint="default"/>
        <w:lang w:val="zh-CN" w:eastAsia="zh-CN" w:bidi="zh-CN"/>
      </w:rPr>
    </w:lvl>
    <w:lvl w:ilvl="3" w:tentative="0">
      <w:start w:val="0"/>
      <w:numFmt w:val="bullet"/>
      <w:lvlText w:val="•"/>
      <w:lvlJc w:val="left"/>
      <w:pPr>
        <w:ind w:left="4565" w:hanging="603"/>
      </w:pPr>
      <w:rPr>
        <w:rFonts w:hint="default"/>
        <w:lang w:val="zh-CN" w:eastAsia="zh-CN" w:bidi="zh-CN"/>
      </w:rPr>
    </w:lvl>
    <w:lvl w:ilvl="4" w:tentative="0">
      <w:start w:val="0"/>
      <w:numFmt w:val="bullet"/>
      <w:lvlText w:val="•"/>
      <w:lvlJc w:val="left"/>
      <w:pPr>
        <w:ind w:left="5614" w:hanging="603"/>
      </w:pPr>
      <w:rPr>
        <w:rFonts w:hint="default"/>
        <w:lang w:val="zh-CN" w:eastAsia="zh-CN" w:bidi="zh-CN"/>
      </w:rPr>
    </w:lvl>
    <w:lvl w:ilvl="5" w:tentative="0">
      <w:start w:val="0"/>
      <w:numFmt w:val="bullet"/>
      <w:lvlText w:val="•"/>
      <w:lvlJc w:val="left"/>
      <w:pPr>
        <w:ind w:left="6663" w:hanging="603"/>
      </w:pPr>
      <w:rPr>
        <w:rFonts w:hint="default"/>
        <w:lang w:val="zh-CN" w:eastAsia="zh-CN" w:bidi="zh-CN"/>
      </w:rPr>
    </w:lvl>
    <w:lvl w:ilvl="6" w:tentative="0">
      <w:start w:val="0"/>
      <w:numFmt w:val="bullet"/>
      <w:lvlText w:val="•"/>
      <w:lvlJc w:val="left"/>
      <w:pPr>
        <w:ind w:left="7711" w:hanging="603"/>
      </w:pPr>
      <w:rPr>
        <w:rFonts w:hint="default"/>
        <w:lang w:val="zh-CN" w:eastAsia="zh-CN" w:bidi="zh-CN"/>
      </w:rPr>
    </w:lvl>
    <w:lvl w:ilvl="7" w:tentative="0">
      <w:start w:val="0"/>
      <w:numFmt w:val="bullet"/>
      <w:lvlText w:val="•"/>
      <w:lvlJc w:val="left"/>
      <w:pPr>
        <w:ind w:left="8760" w:hanging="603"/>
      </w:pPr>
      <w:rPr>
        <w:rFonts w:hint="default"/>
        <w:lang w:val="zh-CN" w:eastAsia="zh-CN" w:bidi="zh-CN"/>
      </w:rPr>
    </w:lvl>
    <w:lvl w:ilvl="8" w:tentative="0">
      <w:start w:val="0"/>
      <w:numFmt w:val="bullet"/>
      <w:lvlText w:val="•"/>
      <w:lvlJc w:val="left"/>
      <w:pPr>
        <w:ind w:left="9808" w:hanging="603"/>
      </w:pPr>
      <w:rPr>
        <w:rFonts w:hint="default"/>
        <w:lang w:val="zh-CN" w:eastAsia="zh-CN" w:bidi="zh-CN"/>
      </w:rPr>
    </w:lvl>
  </w:abstractNum>
  <w:abstractNum w:abstractNumId="75">
    <w:nsid w:val="243FCF68"/>
    <w:multiLevelType w:val="multilevel"/>
    <w:tmpl w:val="243FCF68"/>
    <w:lvl w:ilvl="0" w:tentative="0">
      <w:start w:val="1"/>
      <w:numFmt w:val="decimal"/>
      <w:lvlText w:val="（%1）"/>
      <w:lvlJc w:val="left"/>
      <w:pPr>
        <w:ind w:left="1299" w:hanging="601"/>
        <w:jc w:val="left"/>
      </w:pPr>
      <w:rPr>
        <w:rFonts w:hint="default" w:ascii="宋体" w:hAnsi="宋体" w:eastAsia="宋体" w:cs="宋体"/>
        <w:color w:val="FF0000"/>
        <w:w w:val="100"/>
        <w:sz w:val="22"/>
        <w:szCs w:val="22"/>
        <w:lang w:val="zh-CN" w:eastAsia="zh-CN" w:bidi="zh-CN"/>
      </w:rPr>
    </w:lvl>
    <w:lvl w:ilvl="1" w:tentative="0">
      <w:start w:val="0"/>
      <w:numFmt w:val="bullet"/>
      <w:lvlText w:val="•"/>
      <w:lvlJc w:val="left"/>
      <w:pPr>
        <w:ind w:left="2124" w:hanging="601"/>
      </w:pPr>
      <w:rPr>
        <w:rFonts w:hint="default"/>
        <w:lang w:val="zh-CN" w:eastAsia="zh-CN" w:bidi="zh-CN"/>
      </w:rPr>
    </w:lvl>
    <w:lvl w:ilvl="2" w:tentative="0">
      <w:start w:val="0"/>
      <w:numFmt w:val="bullet"/>
      <w:lvlText w:val="•"/>
      <w:lvlJc w:val="left"/>
      <w:pPr>
        <w:ind w:left="2949" w:hanging="601"/>
      </w:pPr>
      <w:rPr>
        <w:rFonts w:hint="default"/>
        <w:lang w:val="zh-CN" w:eastAsia="zh-CN" w:bidi="zh-CN"/>
      </w:rPr>
    </w:lvl>
    <w:lvl w:ilvl="3" w:tentative="0">
      <w:start w:val="0"/>
      <w:numFmt w:val="bullet"/>
      <w:lvlText w:val="•"/>
      <w:lvlJc w:val="left"/>
      <w:pPr>
        <w:ind w:left="3773" w:hanging="601"/>
      </w:pPr>
      <w:rPr>
        <w:rFonts w:hint="default"/>
        <w:lang w:val="zh-CN" w:eastAsia="zh-CN" w:bidi="zh-CN"/>
      </w:rPr>
    </w:lvl>
    <w:lvl w:ilvl="4" w:tentative="0">
      <w:start w:val="0"/>
      <w:numFmt w:val="bullet"/>
      <w:lvlText w:val="•"/>
      <w:lvlJc w:val="left"/>
      <w:pPr>
        <w:ind w:left="4598" w:hanging="601"/>
      </w:pPr>
      <w:rPr>
        <w:rFonts w:hint="default"/>
        <w:lang w:val="zh-CN" w:eastAsia="zh-CN" w:bidi="zh-CN"/>
      </w:rPr>
    </w:lvl>
    <w:lvl w:ilvl="5" w:tentative="0">
      <w:start w:val="0"/>
      <w:numFmt w:val="bullet"/>
      <w:lvlText w:val="•"/>
      <w:lvlJc w:val="left"/>
      <w:pPr>
        <w:ind w:left="5423" w:hanging="601"/>
      </w:pPr>
      <w:rPr>
        <w:rFonts w:hint="default"/>
        <w:lang w:val="zh-CN" w:eastAsia="zh-CN" w:bidi="zh-CN"/>
      </w:rPr>
    </w:lvl>
    <w:lvl w:ilvl="6" w:tentative="0">
      <w:start w:val="0"/>
      <w:numFmt w:val="bullet"/>
      <w:lvlText w:val="•"/>
      <w:lvlJc w:val="left"/>
      <w:pPr>
        <w:ind w:left="6247" w:hanging="601"/>
      </w:pPr>
      <w:rPr>
        <w:rFonts w:hint="default"/>
        <w:lang w:val="zh-CN" w:eastAsia="zh-CN" w:bidi="zh-CN"/>
      </w:rPr>
    </w:lvl>
    <w:lvl w:ilvl="7" w:tentative="0">
      <w:start w:val="0"/>
      <w:numFmt w:val="bullet"/>
      <w:lvlText w:val="•"/>
      <w:lvlJc w:val="left"/>
      <w:pPr>
        <w:ind w:left="7072" w:hanging="601"/>
      </w:pPr>
      <w:rPr>
        <w:rFonts w:hint="default"/>
        <w:lang w:val="zh-CN" w:eastAsia="zh-CN" w:bidi="zh-CN"/>
      </w:rPr>
    </w:lvl>
    <w:lvl w:ilvl="8" w:tentative="0">
      <w:start w:val="0"/>
      <w:numFmt w:val="bullet"/>
      <w:lvlText w:val="•"/>
      <w:lvlJc w:val="left"/>
      <w:pPr>
        <w:ind w:left="7896" w:hanging="601"/>
      </w:pPr>
      <w:rPr>
        <w:rFonts w:hint="default"/>
        <w:lang w:val="zh-CN" w:eastAsia="zh-CN" w:bidi="zh-CN"/>
      </w:rPr>
    </w:lvl>
  </w:abstractNum>
  <w:abstractNum w:abstractNumId="76">
    <w:nsid w:val="2470EC97"/>
    <w:multiLevelType w:val="multilevel"/>
    <w:tmpl w:val="2470EC97"/>
    <w:lvl w:ilvl="0" w:tentative="0">
      <w:start w:val="1"/>
      <w:numFmt w:val="decimal"/>
      <w:lvlText w:val="（%1）"/>
      <w:lvlJc w:val="left"/>
      <w:pPr>
        <w:ind w:left="218" w:hanging="605"/>
        <w:jc w:val="left"/>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1152" w:hanging="605"/>
      </w:pPr>
      <w:rPr>
        <w:rFonts w:hint="default"/>
        <w:lang w:val="zh-CN" w:eastAsia="zh-CN" w:bidi="zh-CN"/>
      </w:rPr>
    </w:lvl>
    <w:lvl w:ilvl="2" w:tentative="0">
      <w:start w:val="0"/>
      <w:numFmt w:val="bullet"/>
      <w:lvlText w:val="•"/>
      <w:lvlJc w:val="left"/>
      <w:pPr>
        <w:ind w:left="2085" w:hanging="605"/>
      </w:pPr>
      <w:rPr>
        <w:rFonts w:hint="default"/>
        <w:lang w:val="zh-CN" w:eastAsia="zh-CN" w:bidi="zh-CN"/>
      </w:rPr>
    </w:lvl>
    <w:lvl w:ilvl="3" w:tentative="0">
      <w:start w:val="0"/>
      <w:numFmt w:val="bullet"/>
      <w:lvlText w:val="•"/>
      <w:lvlJc w:val="left"/>
      <w:pPr>
        <w:ind w:left="3017" w:hanging="605"/>
      </w:pPr>
      <w:rPr>
        <w:rFonts w:hint="default"/>
        <w:lang w:val="zh-CN" w:eastAsia="zh-CN" w:bidi="zh-CN"/>
      </w:rPr>
    </w:lvl>
    <w:lvl w:ilvl="4" w:tentative="0">
      <w:start w:val="0"/>
      <w:numFmt w:val="bullet"/>
      <w:lvlText w:val="•"/>
      <w:lvlJc w:val="left"/>
      <w:pPr>
        <w:ind w:left="3950" w:hanging="605"/>
      </w:pPr>
      <w:rPr>
        <w:rFonts w:hint="default"/>
        <w:lang w:val="zh-CN" w:eastAsia="zh-CN" w:bidi="zh-CN"/>
      </w:rPr>
    </w:lvl>
    <w:lvl w:ilvl="5" w:tentative="0">
      <w:start w:val="0"/>
      <w:numFmt w:val="bullet"/>
      <w:lvlText w:val="•"/>
      <w:lvlJc w:val="left"/>
      <w:pPr>
        <w:ind w:left="4883" w:hanging="605"/>
      </w:pPr>
      <w:rPr>
        <w:rFonts w:hint="default"/>
        <w:lang w:val="zh-CN" w:eastAsia="zh-CN" w:bidi="zh-CN"/>
      </w:rPr>
    </w:lvl>
    <w:lvl w:ilvl="6" w:tentative="0">
      <w:start w:val="0"/>
      <w:numFmt w:val="bullet"/>
      <w:lvlText w:val="•"/>
      <w:lvlJc w:val="left"/>
      <w:pPr>
        <w:ind w:left="5815" w:hanging="605"/>
      </w:pPr>
      <w:rPr>
        <w:rFonts w:hint="default"/>
        <w:lang w:val="zh-CN" w:eastAsia="zh-CN" w:bidi="zh-CN"/>
      </w:rPr>
    </w:lvl>
    <w:lvl w:ilvl="7" w:tentative="0">
      <w:start w:val="0"/>
      <w:numFmt w:val="bullet"/>
      <w:lvlText w:val="•"/>
      <w:lvlJc w:val="left"/>
      <w:pPr>
        <w:ind w:left="6748" w:hanging="605"/>
      </w:pPr>
      <w:rPr>
        <w:rFonts w:hint="default"/>
        <w:lang w:val="zh-CN" w:eastAsia="zh-CN" w:bidi="zh-CN"/>
      </w:rPr>
    </w:lvl>
    <w:lvl w:ilvl="8" w:tentative="0">
      <w:start w:val="0"/>
      <w:numFmt w:val="bullet"/>
      <w:lvlText w:val="•"/>
      <w:lvlJc w:val="left"/>
      <w:pPr>
        <w:ind w:left="7680" w:hanging="605"/>
      </w:pPr>
      <w:rPr>
        <w:rFonts w:hint="default"/>
        <w:lang w:val="zh-CN" w:eastAsia="zh-CN" w:bidi="zh-CN"/>
      </w:rPr>
    </w:lvl>
  </w:abstractNum>
  <w:abstractNum w:abstractNumId="77">
    <w:nsid w:val="25B654F3"/>
    <w:multiLevelType w:val="multilevel"/>
    <w:tmpl w:val="25B654F3"/>
    <w:lvl w:ilvl="0" w:tentative="0">
      <w:start w:val="1"/>
      <w:numFmt w:val="decimal"/>
      <w:lvlText w:val="（%1）"/>
      <w:lvlJc w:val="left"/>
      <w:pPr>
        <w:ind w:left="218" w:hanging="605"/>
        <w:jc w:val="left"/>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1152" w:hanging="605"/>
      </w:pPr>
      <w:rPr>
        <w:rFonts w:hint="default"/>
        <w:lang w:val="zh-CN" w:eastAsia="zh-CN" w:bidi="zh-CN"/>
      </w:rPr>
    </w:lvl>
    <w:lvl w:ilvl="2" w:tentative="0">
      <w:start w:val="0"/>
      <w:numFmt w:val="bullet"/>
      <w:lvlText w:val="•"/>
      <w:lvlJc w:val="left"/>
      <w:pPr>
        <w:ind w:left="2085" w:hanging="605"/>
      </w:pPr>
      <w:rPr>
        <w:rFonts w:hint="default"/>
        <w:lang w:val="zh-CN" w:eastAsia="zh-CN" w:bidi="zh-CN"/>
      </w:rPr>
    </w:lvl>
    <w:lvl w:ilvl="3" w:tentative="0">
      <w:start w:val="0"/>
      <w:numFmt w:val="bullet"/>
      <w:lvlText w:val="•"/>
      <w:lvlJc w:val="left"/>
      <w:pPr>
        <w:ind w:left="3017" w:hanging="605"/>
      </w:pPr>
      <w:rPr>
        <w:rFonts w:hint="default"/>
        <w:lang w:val="zh-CN" w:eastAsia="zh-CN" w:bidi="zh-CN"/>
      </w:rPr>
    </w:lvl>
    <w:lvl w:ilvl="4" w:tentative="0">
      <w:start w:val="0"/>
      <w:numFmt w:val="bullet"/>
      <w:lvlText w:val="•"/>
      <w:lvlJc w:val="left"/>
      <w:pPr>
        <w:ind w:left="3950" w:hanging="605"/>
      </w:pPr>
      <w:rPr>
        <w:rFonts w:hint="default"/>
        <w:lang w:val="zh-CN" w:eastAsia="zh-CN" w:bidi="zh-CN"/>
      </w:rPr>
    </w:lvl>
    <w:lvl w:ilvl="5" w:tentative="0">
      <w:start w:val="0"/>
      <w:numFmt w:val="bullet"/>
      <w:lvlText w:val="•"/>
      <w:lvlJc w:val="left"/>
      <w:pPr>
        <w:ind w:left="4883" w:hanging="605"/>
      </w:pPr>
      <w:rPr>
        <w:rFonts w:hint="default"/>
        <w:lang w:val="zh-CN" w:eastAsia="zh-CN" w:bidi="zh-CN"/>
      </w:rPr>
    </w:lvl>
    <w:lvl w:ilvl="6" w:tentative="0">
      <w:start w:val="0"/>
      <w:numFmt w:val="bullet"/>
      <w:lvlText w:val="•"/>
      <w:lvlJc w:val="left"/>
      <w:pPr>
        <w:ind w:left="5815" w:hanging="605"/>
      </w:pPr>
      <w:rPr>
        <w:rFonts w:hint="default"/>
        <w:lang w:val="zh-CN" w:eastAsia="zh-CN" w:bidi="zh-CN"/>
      </w:rPr>
    </w:lvl>
    <w:lvl w:ilvl="7" w:tentative="0">
      <w:start w:val="0"/>
      <w:numFmt w:val="bullet"/>
      <w:lvlText w:val="•"/>
      <w:lvlJc w:val="left"/>
      <w:pPr>
        <w:ind w:left="6748" w:hanging="605"/>
      </w:pPr>
      <w:rPr>
        <w:rFonts w:hint="default"/>
        <w:lang w:val="zh-CN" w:eastAsia="zh-CN" w:bidi="zh-CN"/>
      </w:rPr>
    </w:lvl>
    <w:lvl w:ilvl="8" w:tentative="0">
      <w:start w:val="0"/>
      <w:numFmt w:val="bullet"/>
      <w:lvlText w:val="•"/>
      <w:lvlJc w:val="left"/>
      <w:pPr>
        <w:ind w:left="7680" w:hanging="605"/>
      </w:pPr>
      <w:rPr>
        <w:rFonts w:hint="default"/>
        <w:lang w:val="zh-CN" w:eastAsia="zh-CN" w:bidi="zh-CN"/>
      </w:rPr>
    </w:lvl>
  </w:abstractNum>
  <w:abstractNum w:abstractNumId="78">
    <w:nsid w:val="2A8F537B"/>
    <w:multiLevelType w:val="multilevel"/>
    <w:tmpl w:val="2A8F537B"/>
    <w:lvl w:ilvl="0" w:tentative="0">
      <w:start w:val="1"/>
      <w:numFmt w:val="decimal"/>
      <w:lvlText w:val="（%1）"/>
      <w:lvlJc w:val="left"/>
      <w:pPr>
        <w:ind w:left="1299" w:hanging="601"/>
        <w:jc w:val="left"/>
      </w:pPr>
      <w:rPr>
        <w:rFonts w:hint="default" w:ascii="宋体" w:hAnsi="宋体" w:eastAsia="宋体" w:cs="宋体"/>
        <w:color w:val="FF0000"/>
        <w:w w:val="100"/>
        <w:sz w:val="22"/>
        <w:szCs w:val="22"/>
        <w:lang w:val="zh-CN" w:eastAsia="zh-CN" w:bidi="zh-CN"/>
      </w:rPr>
    </w:lvl>
    <w:lvl w:ilvl="1" w:tentative="0">
      <w:start w:val="0"/>
      <w:numFmt w:val="bullet"/>
      <w:lvlText w:val="•"/>
      <w:lvlJc w:val="left"/>
      <w:pPr>
        <w:ind w:left="2124" w:hanging="601"/>
      </w:pPr>
      <w:rPr>
        <w:rFonts w:hint="default"/>
        <w:lang w:val="zh-CN" w:eastAsia="zh-CN" w:bidi="zh-CN"/>
      </w:rPr>
    </w:lvl>
    <w:lvl w:ilvl="2" w:tentative="0">
      <w:start w:val="0"/>
      <w:numFmt w:val="bullet"/>
      <w:lvlText w:val="•"/>
      <w:lvlJc w:val="left"/>
      <w:pPr>
        <w:ind w:left="2949" w:hanging="601"/>
      </w:pPr>
      <w:rPr>
        <w:rFonts w:hint="default"/>
        <w:lang w:val="zh-CN" w:eastAsia="zh-CN" w:bidi="zh-CN"/>
      </w:rPr>
    </w:lvl>
    <w:lvl w:ilvl="3" w:tentative="0">
      <w:start w:val="0"/>
      <w:numFmt w:val="bullet"/>
      <w:lvlText w:val="•"/>
      <w:lvlJc w:val="left"/>
      <w:pPr>
        <w:ind w:left="3773" w:hanging="601"/>
      </w:pPr>
      <w:rPr>
        <w:rFonts w:hint="default"/>
        <w:lang w:val="zh-CN" w:eastAsia="zh-CN" w:bidi="zh-CN"/>
      </w:rPr>
    </w:lvl>
    <w:lvl w:ilvl="4" w:tentative="0">
      <w:start w:val="0"/>
      <w:numFmt w:val="bullet"/>
      <w:lvlText w:val="•"/>
      <w:lvlJc w:val="left"/>
      <w:pPr>
        <w:ind w:left="4598" w:hanging="601"/>
      </w:pPr>
      <w:rPr>
        <w:rFonts w:hint="default"/>
        <w:lang w:val="zh-CN" w:eastAsia="zh-CN" w:bidi="zh-CN"/>
      </w:rPr>
    </w:lvl>
    <w:lvl w:ilvl="5" w:tentative="0">
      <w:start w:val="0"/>
      <w:numFmt w:val="bullet"/>
      <w:lvlText w:val="•"/>
      <w:lvlJc w:val="left"/>
      <w:pPr>
        <w:ind w:left="5423" w:hanging="601"/>
      </w:pPr>
      <w:rPr>
        <w:rFonts w:hint="default"/>
        <w:lang w:val="zh-CN" w:eastAsia="zh-CN" w:bidi="zh-CN"/>
      </w:rPr>
    </w:lvl>
    <w:lvl w:ilvl="6" w:tentative="0">
      <w:start w:val="0"/>
      <w:numFmt w:val="bullet"/>
      <w:lvlText w:val="•"/>
      <w:lvlJc w:val="left"/>
      <w:pPr>
        <w:ind w:left="6247" w:hanging="601"/>
      </w:pPr>
      <w:rPr>
        <w:rFonts w:hint="default"/>
        <w:lang w:val="zh-CN" w:eastAsia="zh-CN" w:bidi="zh-CN"/>
      </w:rPr>
    </w:lvl>
    <w:lvl w:ilvl="7" w:tentative="0">
      <w:start w:val="0"/>
      <w:numFmt w:val="bullet"/>
      <w:lvlText w:val="•"/>
      <w:lvlJc w:val="left"/>
      <w:pPr>
        <w:ind w:left="7072" w:hanging="601"/>
      </w:pPr>
      <w:rPr>
        <w:rFonts w:hint="default"/>
        <w:lang w:val="zh-CN" w:eastAsia="zh-CN" w:bidi="zh-CN"/>
      </w:rPr>
    </w:lvl>
    <w:lvl w:ilvl="8" w:tentative="0">
      <w:start w:val="0"/>
      <w:numFmt w:val="bullet"/>
      <w:lvlText w:val="•"/>
      <w:lvlJc w:val="left"/>
      <w:pPr>
        <w:ind w:left="7896" w:hanging="601"/>
      </w:pPr>
      <w:rPr>
        <w:rFonts w:hint="default"/>
        <w:lang w:val="zh-CN" w:eastAsia="zh-CN" w:bidi="zh-CN"/>
      </w:rPr>
    </w:lvl>
  </w:abstractNum>
  <w:abstractNum w:abstractNumId="79">
    <w:nsid w:val="2F2D79CE"/>
    <w:multiLevelType w:val="multilevel"/>
    <w:tmpl w:val="2F2D79CE"/>
    <w:lvl w:ilvl="0" w:tentative="0">
      <w:start w:val="1"/>
      <w:numFmt w:val="decimal"/>
      <w:lvlText w:val="（%1）"/>
      <w:lvlJc w:val="left"/>
      <w:pPr>
        <w:ind w:left="2499" w:hanging="601"/>
        <w:jc w:val="left"/>
      </w:pPr>
      <w:rPr>
        <w:rFonts w:hint="default" w:ascii="宋体" w:hAnsi="宋体" w:eastAsia="宋体" w:cs="宋体"/>
        <w:spacing w:val="-61"/>
        <w:w w:val="100"/>
        <w:sz w:val="22"/>
        <w:szCs w:val="22"/>
        <w:lang w:val="zh-CN" w:eastAsia="zh-CN" w:bidi="zh-CN"/>
      </w:rPr>
    </w:lvl>
    <w:lvl w:ilvl="1" w:tentative="0">
      <w:start w:val="0"/>
      <w:numFmt w:val="bullet"/>
      <w:lvlText w:val="•"/>
      <w:lvlJc w:val="left"/>
      <w:pPr>
        <w:ind w:left="3440" w:hanging="601"/>
      </w:pPr>
      <w:rPr>
        <w:rFonts w:hint="default"/>
        <w:lang w:val="zh-CN" w:eastAsia="zh-CN" w:bidi="zh-CN"/>
      </w:rPr>
    </w:lvl>
    <w:lvl w:ilvl="2" w:tentative="0">
      <w:start w:val="0"/>
      <w:numFmt w:val="bullet"/>
      <w:lvlText w:val="•"/>
      <w:lvlJc w:val="left"/>
      <w:pPr>
        <w:ind w:left="4381" w:hanging="601"/>
      </w:pPr>
      <w:rPr>
        <w:rFonts w:hint="default"/>
        <w:lang w:val="zh-CN" w:eastAsia="zh-CN" w:bidi="zh-CN"/>
      </w:rPr>
    </w:lvl>
    <w:lvl w:ilvl="3" w:tentative="0">
      <w:start w:val="0"/>
      <w:numFmt w:val="bullet"/>
      <w:lvlText w:val="•"/>
      <w:lvlJc w:val="left"/>
      <w:pPr>
        <w:ind w:left="5321" w:hanging="601"/>
      </w:pPr>
      <w:rPr>
        <w:rFonts w:hint="default"/>
        <w:lang w:val="zh-CN" w:eastAsia="zh-CN" w:bidi="zh-CN"/>
      </w:rPr>
    </w:lvl>
    <w:lvl w:ilvl="4" w:tentative="0">
      <w:start w:val="0"/>
      <w:numFmt w:val="bullet"/>
      <w:lvlText w:val="•"/>
      <w:lvlJc w:val="left"/>
      <w:pPr>
        <w:ind w:left="6262" w:hanging="601"/>
      </w:pPr>
      <w:rPr>
        <w:rFonts w:hint="default"/>
        <w:lang w:val="zh-CN" w:eastAsia="zh-CN" w:bidi="zh-CN"/>
      </w:rPr>
    </w:lvl>
    <w:lvl w:ilvl="5" w:tentative="0">
      <w:start w:val="0"/>
      <w:numFmt w:val="bullet"/>
      <w:lvlText w:val="•"/>
      <w:lvlJc w:val="left"/>
      <w:pPr>
        <w:ind w:left="7203" w:hanging="601"/>
      </w:pPr>
      <w:rPr>
        <w:rFonts w:hint="default"/>
        <w:lang w:val="zh-CN" w:eastAsia="zh-CN" w:bidi="zh-CN"/>
      </w:rPr>
    </w:lvl>
    <w:lvl w:ilvl="6" w:tentative="0">
      <w:start w:val="0"/>
      <w:numFmt w:val="bullet"/>
      <w:lvlText w:val="•"/>
      <w:lvlJc w:val="left"/>
      <w:pPr>
        <w:ind w:left="8143" w:hanging="601"/>
      </w:pPr>
      <w:rPr>
        <w:rFonts w:hint="default"/>
        <w:lang w:val="zh-CN" w:eastAsia="zh-CN" w:bidi="zh-CN"/>
      </w:rPr>
    </w:lvl>
    <w:lvl w:ilvl="7" w:tentative="0">
      <w:start w:val="0"/>
      <w:numFmt w:val="bullet"/>
      <w:lvlText w:val="•"/>
      <w:lvlJc w:val="left"/>
      <w:pPr>
        <w:ind w:left="9084" w:hanging="601"/>
      </w:pPr>
      <w:rPr>
        <w:rFonts w:hint="default"/>
        <w:lang w:val="zh-CN" w:eastAsia="zh-CN" w:bidi="zh-CN"/>
      </w:rPr>
    </w:lvl>
    <w:lvl w:ilvl="8" w:tentative="0">
      <w:start w:val="0"/>
      <w:numFmt w:val="bullet"/>
      <w:lvlText w:val="•"/>
      <w:lvlJc w:val="left"/>
      <w:pPr>
        <w:ind w:left="10024" w:hanging="601"/>
      </w:pPr>
      <w:rPr>
        <w:rFonts w:hint="default"/>
        <w:lang w:val="zh-CN" w:eastAsia="zh-CN" w:bidi="zh-CN"/>
      </w:rPr>
    </w:lvl>
  </w:abstractNum>
  <w:abstractNum w:abstractNumId="80">
    <w:nsid w:val="30A0AC00"/>
    <w:multiLevelType w:val="multilevel"/>
    <w:tmpl w:val="30A0AC00"/>
    <w:lvl w:ilvl="0" w:tentative="0">
      <w:start w:val="1"/>
      <w:numFmt w:val="decimal"/>
      <w:lvlText w:val="（%1）"/>
      <w:lvlJc w:val="left"/>
      <w:pPr>
        <w:ind w:left="24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3440" w:hanging="601"/>
      </w:pPr>
      <w:rPr>
        <w:rFonts w:hint="default"/>
        <w:lang w:val="zh-CN" w:eastAsia="zh-CN" w:bidi="zh-CN"/>
      </w:rPr>
    </w:lvl>
    <w:lvl w:ilvl="2" w:tentative="0">
      <w:start w:val="0"/>
      <w:numFmt w:val="bullet"/>
      <w:lvlText w:val="•"/>
      <w:lvlJc w:val="left"/>
      <w:pPr>
        <w:ind w:left="4381" w:hanging="601"/>
      </w:pPr>
      <w:rPr>
        <w:rFonts w:hint="default"/>
        <w:lang w:val="zh-CN" w:eastAsia="zh-CN" w:bidi="zh-CN"/>
      </w:rPr>
    </w:lvl>
    <w:lvl w:ilvl="3" w:tentative="0">
      <w:start w:val="0"/>
      <w:numFmt w:val="bullet"/>
      <w:lvlText w:val="•"/>
      <w:lvlJc w:val="left"/>
      <w:pPr>
        <w:ind w:left="5321" w:hanging="601"/>
      </w:pPr>
      <w:rPr>
        <w:rFonts w:hint="default"/>
        <w:lang w:val="zh-CN" w:eastAsia="zh-CN" w:bidi="zh-CN"/>
      </w:rPr>
    </w:lvl>
    <w:lvl w:ilvl="4" w:tentative="0">
      <w:start w:val="0"/>
      <w:numFmt w:val="bullet"/>
      <w:lvlText w:val="•"/>
      <w:lvlJc w:val="left"/>
      <w:pPr>
        <w:ind w:left="6262" w:hanging="601"/>
      </w:pPr>
      <w:rPr>
        <w:rFonts w:hint="default"/>
        <w:lang w:val="zh-CN" w:eastAsia="zh-CN" w:bidi="zh-CN"/>
      </w:rPr>
    </w:lvl>
    <w:lvl w:ilvl="5" w:tentative="0">
      <w:start w:val="0"/>
      <w:numFmt w:val="bullet"/>
      <w:lvlText w:val="•"/>
      <w:lvlJc w:val="left"/>
      <w:pPr>
        <w:ind w:left="7203" w:hanging="601"/>
      </w:pPr>
      <w:rPr>
        <w:rFonts w:hint="default"/>
        <w:lang w:val="zh-CN" w:eastAsia="zh-CN" w:bidi="zh-CN"/>
      </w:rPr>
    </w:lvl>
    <w:lvl w:ilvl="6" w:tentative="0">
      <w:start w:val="0"/>
      <w:numFmt w:val="bullet"/>
      <w:lvlText w:val="•"/>
      <w:lvlJc w:val="left"/>
      <w:pPr>
        <w:ind w:left="8143" w:hanging="601"/>
      </w:pPr>
      <w:rPr>
        <w:rFonts w:hint="default"/>
        <w:lang w:val="zh-CN" w:eastAsia="zh-CN" w:bidi="zh-CN"/>
      </w:rPr>
    </w:lvl>
    <w:lvl w:ilvl="7" w:tentative="0">
      <w:start w:val="0"/>
      <w:numFmt w:val="bullet"/>
      <w:lvlText w:val="•"/>
      <w:lvlJc w:val="left"/>
      <w:pPr>
        <w:ind w:left="9084" w:hanging="601"/>
      </w:pPr>
      <w:rPr>
        <w:rFonts w:hint="default"/>
        <w:lang w:val="zh-CN" w:eastAsia="zh-CN" w:bidi="zh-CN"/>
      </w:rPr>
    </w:lvl>
    <w:lvl w:ilvl="8" w:tentative="0">
      <w:start w:val="0"/>
      <w:numFmt w:val="bullet"/>
      <w:lvlText w:val="•"/>
      <w:lvlJc w:val="left"/>
      <w:pPr>
        <w:ind w:left="10024" w:hanging="601"/>
      </w:pPr>
      <w:rPr>
        <w:rFonts w:hint="default"/>
        <w:lang w:val="zh-CN" w:eastAsia="zh-CN" w:bidi="zh-CN"/>
      </w:rPr>
    </w:lvl>
  </w:abstractNum>
  <w:abstractNum w:abstractNumId="81">
    <w:nsid w:val="30FC5B15"/>
    <w:multiLevelType w:val="multilevel"/>
    <w:tmpl w:val="30FC5B15"/>
    <w:lvl w:ilvl="0" w:tentative="0">
      <w:start w:val="1"/>
      <w:numFmt w:val="decimal"/>
      <w:lvlText w:val="（%1）"/>
      <w:lvlJc w:val="left"/>
      <w:pPr>
        <w:ind w:left="12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24" w:hanging="601"/>
      </w:pPr>
      <w:rPr>
        <w:rFonts w:hint="default"/>
        <w:lang w:val="zh-CN" w:eastAsia="zh-CN" w:bidi="zh-CN"/>
      </w:rPr>
    </w:lvl>
    <w:lvl w:ilvl="2" w:tentative="0">
      <w:start w:val="0"/>
      <w:numFmt w:val="bullet"/>
      <w:lvlText w:val="•"/>
      <w:lvlJc w:val="left"/>
      <w:pPr>
        <w:ind w:left="2949" w:hanging="601"/>
      </w:pPr>
      <w:rPr>
        <w:rFonts w:hint="default"/>
        <w:lang w:val="zh-CN" w:eastAsia="zh-CN" w:bidi="zh-CN"/>
      </w:rPr>
    </w:lvl>
    <w:lvl w:ilvl="3" w:tentative="0">
      <w:start w:val="0"/>
      <w:numFmt w:val="bullet"/>
      <w:lvlText w:val="•"/>
      <w:lvlJc w:val="left"/>
      <w:pPr>
        <w:ind w:left="3773" w:hanging="601"/>
      </w:pPr>
      <w:rPr>
        <w:rFonts w:hint="default"/>
        <w:lang w:val="zh-CN" w:eastAsia="zh-CN" w:bidi="zh-CN"/>
      </w:rPr>
    </w:lvl>
    <w:lvl w:ilvl="4" w:tentative="0">
      <w:start w:val="0"/>
      <w:numFmt w:val="bullet"/>
      <w:lvlText w:val="•"/>
      <w:lvlJc w:val="left"/>
      <w:pPr>
        <w:ind w:left="4598" w:hanging="601"/>
      </w:pPr>
      <w:rPr>
        <w:rFonts w:hint="default"/>
        <w:lang w:val="zh-CN" w:eastAsia="zh-CN" w:bidi="zh-CN"/>
      </w:rPr>
    </w:lvl>
    <w:lvl w:ilvl="5" w:tentative="0">
      <w:start w:val="0"/>
      <w:numFmt w:val="bullet"/>
      <w:lvlText w:val="•"/>
      <w:lvlJc w:val="left"/>
      <w:pPr>
        <w:ind w:left="5423" w:hanging="601"/>
      </w:pPr>
      <w:rPr>
        <w:rFonts w:hint="default"/>
        <w:lang w:val="zh-CN" w:eastAsia="zh-CN" w:bidi="zh-CN"/>
      </w:rPr>
    </w:lvl>
    <w:lvl w:ilvl="6" w:tentative="0">
      <w:start w:val="0"/>
      <w:numFmt w:val="bullet"/>
      <w:lvlText w:val="•"/>
      <w:lvlJc w:val="left"/>
      <w:pPr>
        <w:ind w:left="6247" w:hanging="601"/>
      </w:pPr>
      <w:rPr>
        <w:rFonts w:hint="default"/>
        <w:lang w:val="zh-CN" w:eastAsia="zh-CN" w:bidi="zh-CN"/>
      </w:rPr>
    </w:lvl>
    <w:lvl w:ilvl="7" w:tentative="0">
      <w:start w:val="0"/>
      <w:numFmt w:val="bullet"/>
      <w:lvlText w:val="•"/>
      <w:lvlJc w:val="left"/>
      <w:pPr>
        <w:ind w:left="7072" w:hanging="601"/>
      </w:pPr>
      <w:rPr>
        <w:rFonts w:hint="default"/>
        <w:lang w:val="zh-CN" w:eastAsia="zh-CN" w:bidi="zh-CN"/>
      </w:rPr>
    </w:lvl>
    <w:lvl w:ilvl="8" w:tentative="0">
      <w:start w:val="0"/>
      <w:numFmt w:val="bullet"/>
      <w:lvlText w:val="•"/>
      <w:lvlJc w:val="left"/>
      <w:pPr>
        <w:ind w:left="7896" w:hanging="601"/>
      </w:pPr>
      <w:rPr>
        <w:rFonts w:hint="default"/>
        <w:lang w:val="zh-CN" w:eastAsia="zh-CN" w:bidi="zh-CN"/>
      </w:rPr>
    </w:lvl>
  </w:abstractNum>
  <w:abstractNum w:abstractNumId="82">
    <w:nsid w:val="322D85CA"/>
    <w:multiLevelType w:val="multilevel"/>
    <w:tmpl w:val="322D85CA"/>
    <w:lvl w:ilvl="0" w:tentative="0">
      <w:start w:val="3"/>
      <w:numFmt w:val="decimal"/>
      <w:lvlText w:val="%1"/>
      <w:lvlJc w:val="left"/>
      <w:pPr>
        <w:ind w:left="1867" w:hanging="449"/>
        <w:jc w:val="left"/>
      </w:pPr>
      <w:rPr>
        <w:rFonts w:hint="default"/>
        <w:lang w:val="zh-CN" w:eastAsia="zh-CN" w:bidi="zh-CN"/>
      </w:rPr>
    </w:lvl>
    <w:lvl w:ilvl="1" w:tentative="0">
      <w:start w:val="1"/>
      <w:numFmt w:val="decimal"/>
      <w:lvlText w:val="%1.%2"/>
      <w:lvlJc w:val="left"/>
      <w:pPr>
        <w:ind w:left="186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2047" w:hanging="629"/>
        <w:jc w:val="left"/>
      </w:pPr>
      <w:rPr>
        <w:rFonts w:hint="default"/>
        <w:b/>
        <w:bCs/>
        <w:spacing w:val="-2"/>
        <w:w w:val="100"/>
        <w:lang w:val="zh-CN" w:eastAsia="zh-CN" w:bidi="zh-CN"/>
      </w:rPr>
    </w:lvl>
    <w:lvl w:ilvl="3" w:tentative="0">
      <w:start w:val="1"/>
      <w:numFmt w:val="decimal"/>
      <w:lvlText w:val="%1.%2.%3.%4"/>
      <w:lvlJc w:val="left"/>
      <w:pPr>
        <w:ind w:left="261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4941" w:hanging="720"/>
      </w:pPr>
      <w:rPr>
        <w:rFonts w:hint="default"/>
        <w:lang w:val="zh-CN" w:eastAsia="zh-CN" w:bidi="zh-CN"/>
      </w:rPr>
    </w:lvl>
    <w:lvl w:ilvl="5" w:tentative="0">
      <w:start w:val="0"/>
      <w:numFmt w:val="bullet"/>
      <w:lvlText w:val="•"/>
      <w:lvlJc w:val="left"/>
      <w:pPr>
        <w:ind w:left="6102" w:hanging="720"/>
      </w:pPr>
      <w:rPr>
        <w:rFonts w:hint="default"/>
        <w:lang w:val="zh-CN" w:eastAsia="zh-CN" w:bidi="zh-CN"/>
      </w:rPr>
    </w:lvl>
    <w:lvl w:ilvl="6" w:tentative="0">
      <w:start w:val="0"/>
      <w:numFmt w:val="bullet"/>
      <w:lvlText w:val="•"/>
      <w:lvlJc w:val="left"/>
      <w:pPr>
        <w:ind w:left="7263" w:hanging="720"/>
      </w:pPr>
      <w:rPr>
        <w:rFonts w:hint="default"/>
        <w:lang w:val="zh-CN" w:eastAsia="zh-CN" w:bidi="zh-CN"/>
      </w:rPr>
    </w:lvl>
    <w:lvl w:ilvl="7" w:tentative="0">
      <w:start w:val="0"/>
      <w:numFmt w:val="bullet"/>
      <w:lvlText w:val="•"/>
      <w:lvlJc w:val="left"/>
      <w:pPr>
        <w:ind w:left="8423" w:hanging="720"/>
      </w:pPr>
      <w:rPr>
        <w:rFonts w:hint="default"/>
        <w:lang w:val="zh-CN" w:eastAsia="zh-CN" w:bidi="zh-CN"/>
      </w:rPr>
    </w:lvl>
    <w:lvl w:ilvl="8" w:tentative="0">
      <w:start w:val="0"/>
      <w:numFmt w:val="bullet"/>
      <w:lvlText w:val="•"/>
      <w:lvlJc w:val="left"/>
      <w:pPr>
        <w:ind w:left="9584" w:hanging="720"/>
      </w:pPr>
      <w:rPr>
        <w:rFonts w:hint="default"/>
        <w:lang w:val="zh-CN" w:eastAsia="zh-CN" w:bidi="zh-CN"/>
      </w:rPr>
    </w:lvl>
  </w:abstractNum>
  <w:abstractNum w:abstractNumId="83">
    <w:nsid w:val="32A7AF2D"/>
    <w:multiLevelType w:val="multilevel"/>
    <w:tmpl w:val="32A7AF2D"/>
    <w:lvl w:ilvl="0" w:tentative="0">
      <w:start w:val="1"/>
      <w:numFmt w:val="decimal"/>
      <w:lvlText w:val="（%1）"/>
      <w:lvlJc w:val="left"/>
      <w:pPr>
        <w:ind w:left="248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3422" w:hanging="601"/>
      </w:pPr>
      <w:rPr>
        <w:rFonts w:hint="default"/>
        <w:lang w:val="zh-CN" w:eastAsia="zh-CN" w:bidi="zh-CN"/>
      </w:rPr>
    </w:lvl>
    <w:lvl w:ilvl="2" w:tentative="0">
      <w:start w:val="0"/>
      <w:numFmt w:val="bullet"/>
      <w:lvlText w:val="•"/>
      <w:lvlJc w:val="left"/>
      <w:pPr>
        <w:ind w:left="4365" w:hanging="601"/>
      </w:pPr>
      <w:rPr>
        <w:rFonts w:hint="default"/>
        <w:lang w:val="zh-CN" w:eastAsia="zh-CN" w:bidi="zh-CN"/>
      </w:rPr>
    </w:lvl>
    <w:lvl w:ilvl="3" w:tentative="0">
      <w:start w:val="0"/>
      <w:numFmt w:val="bullet"/>
      <w:lvlText w:val="•"/>
      <w:lvlJc w:val="left"/>
      <w:pPr>
        <w:ind w:left="5307" w:hanging="601"/>
      </w:pPr>
      <w:rPr>
        <w:rFonts w:hint="default"/>
        <w:lang w:val="zh-CN" w:eastAsia="zh-CN" w:bidi="zh-CN"/>
      </w:rPr>
    </w:lvl>
    <w:lvl w:ilvl="4" w:tentative="0">
      <w:start w:val="0"/>
      <w:numFmt w:val="bullet"/>
      <w:lvlText w:val="•"/>
      <w:lvlJc w:val="left"/>
      <w:pPr>
        <w:ind w:left="6250" w:hanging="601"/>
      </w:pPr>
      <w:rPr>
        <w:rFonts w:hint="default"/>
        <w:lang w:val="zh-CN" w:eastAsia="zh-CN" w:bidi="zh-CN"/>
      </w:rPr>
    </w:lvl>
    <w:lvl w:ilvl="5" w:tentative="0">
      <w:start w:val="0"/>
      <w:numFmt w:val="bullet"/>
      <w:lvlText w:val="•"/>
      <w:lvlJc w:val="left"/>
      <w:pPr>
        <w:ind w:left="7193" w:hanging="601"/>
      </w:pPr>
      <w:rPr>
        <w:rFonts w:hint="default"/>
        <w:lang w:val="zh-CN" w:eastAsia="zh-CN" w:bidi="zh-CN"/>
      </w:rPr>
    </w:lvl>
    <w:lvl w:ilvl="6" w:tentative="0">
      <w:start w:val="0"/>
      <w:numFmt w:val="bullet"/>
      <w:lvlText w:val="•"/>
      <w:lvlJc w:val="left"/>
      <w:pPr>
        <w:ind w:left="8135" w:hanging="601"/>
      </w:pPr>
      <w:rPr>
        <w:rFonts w:hint="default"/>
        <w:lang w:val="zh-CN" w:eastAsia="zh-CN" w:bidi="zh-CN"/>
      </w:rPr>
    </w:lvl>
    <w:lvl w:ilvl="7" w:tentative="0">
      <w:start w:val="0"/>
      <w:numFmt w:val="bullet"/>
      <w:lvlText w:val="•"/>
      <w:lvlJc w:val="left"/>
      <w:pPr>
        <w:ind w:left="9078" w:hanging="601"/>
      </w:pPr>
      <w:rPr>
        <w:rFonts w:hint="default"/>
        <w:lang w:val="zh-CN" w:eastAsia="zh-CN" w:bidi="zh-CN"/>
      </w:rPr>
    </w:lvl>
    <w:lvl w:ilvl="8" w:tentative="0">
      <w:start w:val="0"/>
      <w:numFmt w:val="bullet"/>
      <w:lvlText w:val="•"/>
      <w:lvlJc w:val="left"/>
      <w:pPr>
        <w:ind w:left="10020" w:hanging="601"/>
      </w:pPr>
      <w:rPr>
        <w:rFonts w:hint="default"/>
        <w:lang w:val="zh-CN" w:eastAsia="zh-CN" w:bidi="zh-CN"/>
      </w:rPr>
    </w:lvl>
  </w:abstractNum>
  <w:abstractNum w:abstractNumId="84">
    <w:nsid w:val="35E83B33"/>
    <w:multiLevelType w:val="multilevel"/>
    <w:tmpl w:val="35E83B33"/>
    <w:lvl w:ilvl="0" w:tentative="0">
      <w:start w:val="5"/>
      <w:numFmt w:val="decimal"/>
      <w:lvlText w:val="%1"/>
      <w:lvlJc w:val="left"/>
      <w:pPr>
        <w:ind w:left="1867" w:hanging="449"/>
        <w:jc w:val="left"/>
      </w:pPr>
      <w:rPr>
        <w:rFonts w:hint="default"/>
        <w:lang w:val="zh-CN" w:eastAsia="zh-CN" w:bidi="zh-CN"/>
      </w:rPr>
    </w:lvl>
    <w:lvl w:ilvl="1" w:tentative="0">
      <w:start w:val="4"/>
      <w:numFmt w:val="decimal"/>
      <w:lvlText w:val="%1.%2"/>
      <w:lvlJc w:val="left"/>
      <w:pPr>
        <w:ind w:left="186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2047" w:hanging="629"/>
        <w:jc w:val="left"/>
      </w:pPr>
      <w:rPr>
        <w:rFonts w:hint="default"/>
        <w:b/>
        <w:bCs/>
        <w:spacing w:val="-2"/>
        <w:w w:val="100"/>
        <w:lang w:val="zh-CN" w:eastAsia="zh-CN" w:bidi="zh-CN"/>
      </w:rPr>
    </w:lvl>
    <w:lvl w:ilvl="3" w:tentative="0">
      <w:start w:val="0"/>
      <w:numFmt w:val="bullet"/>
      <w:lvlText w:val="•"/>
      <w:lvlJc w:val="left"/>
      <w:pPr>
        <w:ind w:left="3623" w:hanging="629"/>
      </w:pPr>
      <w:rPr>
        <w:rFonts w:hint="default"/>
        <w:lang w:val="zh-CN" w:eastAsia="zh-CN" w:bidi="zh-CN"/>
      </w:rPr>
    </w:lvl>
    <w:lvl w:ilvl="4" w:tentative="0">
      <w:start w:val="0"/>
      <w:numFmt w:val="bullet"/>
      <w:lvlText w:val="•"/>
      <w:lvlJc w:val="left"/>
      <w:pPr>
        <w:ind w:left="4806" w:hanging="629"/>
      </w:pPr>
      <w:rPr>
        <w:rFonts w:hint="default"/>
        <w:lang w:val="zh-CN" w:eastAsia="zh-CN" w:bidi="zh-CN"/>
      </w:rPr>
    </w:lvl>
    <w:lvl w:ilvl="5" w:tentative="0">
      <w:start w:val="0"/>
      <w:numFmt w:val="bullet"/>
      <w:lvlText w:val="•"/>
      <w:lvlJc w:val="left"/>
      <w:pPr>
        <w:ind w:left="5989" w:hanging="629"/>
      </w:pPr>
      <w:rPr>
        <w:rFonts w:hint="default"/>
        <w:lang w:val="zh-CN" w:eastAsia="zh-CN" w:bidi="zh-CN"/>
      </w:rPr>
    </w:lvl>
    <w:lvl w:ilvl="6" w:tentative="0">
      <w:start w:val="0"/>
      <w:numFmt w:val="bullet"/>
      <w:lvlText w:val="•"/>
      <w:lvlJc w:val="left"/>
      <w:pPr>
        <w:ind w:left="7173" w:hanging="629"/>
      </w:pPr>
      <w:rPr>
        <w:rFonts w:hint="default"/>
        <w:lang w:val="zh-CN" w:eastAsia="zh-CN" w:bidi="zh-CN"/>
      </w:rPr>
    </w:lvl>
    <w:lvl w:ilvl="7" w:tentative="0">
      <w:start w:val="0"/>
      <w:numFmt w:val="bullet"/>
      <w:lvlText w:val="•"/>
      <w:lvlJc w:val="left"/>
      <w:pPr>
        <w:ind w:left="8356" w:hanging="629"/>
      </w:pPr>
      <w:rPr>
        <w:rFonts w:hint="default"/>
        <w:lang w:val="zh-CN" w:eastAsia="zh-CN" w:bidi="zh-CN"/>
      </w:rPr>
    </w:lvl>
    <w:lvl w:ilvl="8" w:tentative="0">
      <w:start w:val="0"/>
      <w:numFmt w:val="bullet"/>
      <w:lvlText w:val="•"/>
      <w:lvlJc w:val="left"/>
      <w:pPr>
        <w:ind w:left="9539" w:hanging="629"/>
      </w:pPr>
      <w:rPr>
        <w:rFonts w:hint="default"/>
        <w:lang w:val="zh-CN" w:eastAsia="zh-CN" w:bidi="zh-CN"/>
      </w:rPr>
    </w:lvl>
  </w:abstractNum>
  <w:abstractNum w:abstractNumId="85">
    <w:nsid w:val="39A0D9AC"/>
    <w:multiLevelType w:val="multilevel"/>
    <w:tmpl w:val="39A0D9AC"/>
    <w:lvl w:ilvl="0" w:tentative="0">
      <w:start w:val="2"/>
      <w:numFmt w:val="decimal"/>
      <w:lvlText w:val="%1"/>
      <w:lvlJc w:val="left"/>
      <w:pPr>
        <w:ind w:left="938" w:hanging="720"/>
        <w:jc w:val="left"/>
      </w:pPr>
      <w:rPr>
        <w:rFonts w:hint="default"/>
        <w:lang w:val="zh-CN" w:eastAsia="zh-CN" w:bidi="zh-CN"/>
      </w:rPr>
    </w:lvl>
    <w:lvl w:ilvl="1" w:tentative="0">
      <w:start w:val="2"/>
      <w:numFmt w:val="decimal"/>
      <w:lvlText w:val="%1.%2"/>
      <w:lvlJc w:val="left"/>
      <w:pPr>
        <w:ind w:left="938" w:hanging="720"/>
        <w:jc w:val="left"/>
      </w:pPr>
      <w:rPr>
        <w:rFonts w:hint="default"/>
        <w:lang w:val="zh-CN" w:eastAsia="zh-CN" w:bidi="zh-CN"/>
      </w:rPr>
    </w:lvl>
    <w:lvl w:ilvl="2" w:tentative="0">
      <w:start w:val="7"/>
      <w:numFmt w:val="decimal"/>
      <w:lvlText w:val="%1.%2.%3"/>
      <w:lvlJc w:val="left"/>
      <w:pPr>
        <w:ind w:left="938" w:hanging="720"/>
        <w:jc w:val="left"/>
      </w:pPr>
      <w:rPr>
        <w:rFonts w:hint="default"/>
        <w:lang w:val="zh-CN" w:eastAsia="zh-CN" w:bidi="zh-CN"/>
      </w:rPr>
    </w:lvl>
    <w:lvl w:ilvl="3" w:tentative="0">
      <w:start w:val="1"/>
      <w:numFmt w:val="decimal"/>
      <w:lvlText w:val="%1.%2.%3.%4"/>
      <w:lvlJc w:val="left"/>
      <w:pPr>
        <w:ind w:left="93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4382" w:hanging="720"/>
      </w:pPr>
      <w:rPr>
        <w:rFonts w:hint="default"/>
        <w:lang w:val="zh-CN" w:eastAsia="zh-CN" w:bidi="zh-CN"/>
      </w:rPr>
    </w:lvl>
    <w:lvl w:ilvl="5" w:tentative="0">
      <w:start w:val="0"/>
      <w:numFmt w:val="bullet"/>
      <w:lvlText w:val="•"/>
      <w:lvlJc w:val="left"/>
      <w:pPr>
        <w:ind w:left="5243" w:hanging="720"/>
      </w:pPr>
      <w:rPr>
        <w:rFonts w:hint="default"/>
        <w:lang w:val="zh-CN" w:eastAsia="zh-CN" w:bidi="zh-CN"/>
      </w:rPr>
    </w:lvl>
    <w:lvl w:ilvl="6" w:tentative="0">
      <w:start w:val="0"/>
      <w:numFmt w:val="bullet"/>
      <w:lvlText w:val="•"/>
      <w:lvlJc w:val="left"/>
      <w:pPr>
        <w:ind w:left="6103" w:hanging="720"/>
      </w:pPr>
      <w:rPr>
        <w:rFonts w:hint="default"/>
        <w:lang w:val="zh-CN" w:eastAsia="zh-CN" w:bidi="zh-CN"/>
      </w:rPr>
    </w:lvl>
    <w:lvl w:ilvl="7" w:tentative="0">
      <w:start w:val="0"/>
      <w:numFmt w:val="bullet"/>
      <w:lvlText w:val="•"/>
      <w:lvlJc w:val="left"/>
      <w:pPr>
        <w:ind w:left="6964" w:hanging="720"/>
      </w:pPr>
      <w:rPr>
        <w:rFonts w:hint="default"/>
        <w:lang w:val="zh-CN" w:eastAsia="zh-CN" w:bidi="zh-CN"/>
      </w:rPr>
    </w:lvl>
    <w:lvl w:ilvl="8" w:tentative="0">
      <w:start w:val="0"/>
      <w:numFmt w:val="bullet"/>
      <w:lvlText w:val="•"/>
      <w:lvlJc w:val="left"/>
      <w:pPr>
        <w:ind w:left="7824" w:hanging="720"/>
      </w:pPr>
      <w:rPr>
        <w:rFonts w:hint="default"/>
        <w:lang w:val="zh-CN" w:eastAsia="zh-CN" w:bidi="zh-CN"/>
      </w:rPr>
    </w:lvl>
  </w:abstractNum>
  <w:abstractNum w:abstractNumId="86">
    <w:nsid w:val="3B8127DF"/>
    <w:multiLevelType w:val="multilevel"/>
    <w:tmpl w:val="3B8127DF"/>
    <w:lvl w:ilvl="0" w:tentative="0">
      <w:start w:val="1"/>
      <w:numFmt w:val="decimal"/>
      <w:lvlText w:val="（%1）"/>
      <w:lvlJc w:val="left"/>
      <w:pPr>
        <w:ind w:left="24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3440" w:hanging="601"/>
      </w:pPr>
      <w:rPr>
        <w:rFonts w:hint="default"/>
        <w:lang w:val="zh-CN" w:eastAsia="zh-CN" w:bidi="zh-CN"/>
      </w:rPr>
    </w:lvl>
    <w:lvl w:ilvl="2" w:tentative="0">
      <w:start w:val="0"/>
      <w:numFmt w:val="bullet"/>
      <w:lvlText w:val="•"/>
      <w:lvlJc w:val="left"/>
      <w:pPr>
        <w:ind w:left="4381" w:hanging="601"/>
      </w:pPr>
      <w:rPr>
        <w:rFonts w:hint="default"/>
        <w:lang w:val="zh-CN" w:eastAsia="zh-CN" w:bidi="zh-CN"/>
      </w:rPr>
    </w:lvl>
    <w:lvl w:ilvl="3" w:tentative="0">
      <w:start w:val="0"/>
      <w:numFmt w:val="bullet"/>
      <w:lvlText w:val="•"/>
      <w:lvlJc w:val="left"/>
      <w:pPr>
        <w:ind w:left="5321" w:hanging="601"/>
      </w:pPr>
      <w:rPr>
        <w:rFonts w:hint="default"/>
        <w:lang w:val="zh-CN" w:eastAsia="zh-CN" w:bidi="zh-CN"/>
      </w:rPr>
    </w:lvl>
    <w:lvl w:ilvl="4" w:tentative="0">
      <w:start w:val="0"/>
      <w:numFmt w:val="bullet"/>
      <w:lvlText w:val="•"/>
      <w:lvlJc w:val="left"/>
      <w:pPr>
        <w:ind w:left="6262" w:hanging="601"/>
      </w:pPr>
      <w:rPr>
        <w:rFonts w:hint="default"/>
        <w:lang w:val="zh-CN" w:eastAsia="zh-CN" w:bidi="zh-CN"/>
      </w:rPr>
    </w:lvl>
    <w:lvl w:ilvl="5" w:tentative="0">
      <w:start w:val="0"/>
      <w:numFmt w:val="bullet"/>
      <w:lvlText w:val="•"/>
      <w:lvlJc w:val="left"/>
      <w:pPr>
        <w:ind w:left="7203" w:hanging="601"/>
      </w:pPr>
      <w:rPr>
        <w:rFonts w:hint="default"/>
        <w:lang w:val="zh-CN" w:eastAsia="zh-CN" w:bidi="zh-CN"/>
      </w:rPr>
    </w:lvl>
    <w:lvl w:ilvl="6" w:tentative="0">
      <w:start w:val="0"/>
      <w:numFmt w:val="bullet"/>
      <w:lvlText w:val="•"/>
      <w:lvlJc w:val="left"/>
      <w:pPr>
        <w:ind w:left="8143" w:hanging="601"/>
      </w:pPr>
      <w:rPr>
        <w:rFonts w:hint="default"/>
        <w:lang w:val="zh-CN" w:eastAsia="zh-CN" w:bidi="zh-CN"/>
      </w:rPr>
    </w:lvl>
    <w:lvl w:ilvl="7" w:tentative="0">
      <w:start w:val="0"/>
      <w:numFmt w:val="bullet"/>
      <w:lvlText w:val="•"/>
      <w:lvlJc w:val="left"/>
      <w:pPr>
        <w:ind w:left="9084" w:hanging="601"/>
      </w:pPr>
      <w:rPr>
        <w:rFonts w:hint="default"/>
        <w:lang w:val="zh-CN" w:eastAsia="zh-CN" w:bidi="zh-CN"/>
      </w:rPr>
    </w:lvl>
    <w:lvl w:ilvl="8" w:tentative="0">
      <w:start w:val="0"/>
      <w:numFmt w:val="bullet"/>
      <w:lvlText w:val="•"/>
      <w:lvlJc w:val="left"/>
      <w:pPr>
        <w:ind w:left="10024" w:hanging="601"/>
      </w:pPr>
      <w:rPr>
        <w:rFonts w:hint="default"/>
        <w:lang w:val="zh-CN" w:eastAsia="zh-CN" w:bidi="zh-CN"/>
      </w:rPr>
    </w:lvl>
  </w:abstractNum>
  <w:abstractNum w:abstractNumId="87">
    <w:nsid w:val="40B249F9"/>
    <w:multiLevelType w:val="multilevel"/>
    <w:tmpl w:val="40B249F9"/>
    <w:lvl w:ilvl="0" w:tentative="0">
      <w:start w:val="5"/>
      <w:numFmt w:val="decimal"/>
      <w:lvlText w:val="%1"/>
      <w:lvlJc w:val="left"/>
      <w:pPr>
        <w:ind w:left="2138" w:hanging="720"/>
        <w:jc w:val="left"/>
      </w:pPr>
      <w:rPr>
        <w:rFonts w:hint="default"/>
        <w:lang w:val="zh-CN" w:eastAsia="zh-CN" w:bidi="zh-CN"/>
      </w:rPr>
    </w:lvl>
    <w:lvl w:ilvl="1" w:tentative="0">
      <w:start w:val="3"/>
      <w:numFmt w:val="decimal"/>
      <w:lvlText w:val="%1.%2"/>
      <w:lvlJc w:val="left"/>
      <w:pPr>
        <w:ind w:left="2138" w:hanging="720"/>
        <w:jc w:val="left"/>
      </w:pPr>
      <w:rPr>
        <w:rFonts w:hint="default"/>
        <w:lang w:val="zh-CN" w:eastAsia="zh-CN" w:bidi="zh-CN"/>
      </w:rPr>
    </w:lvl>
    <w:lvl w:ilvl="2" w:tentative="0">
      <w:start w:val="1"/>
      <w:numFmt w:val="decimal"/>
      <w:lvlText w:val="%1.%2.%3"/>
      <w:lvlJc w:val="left"/>
      <w:pPr>
        <w:ind w:left="2138" w:hanging="720"/>
        <w:jc w:val="left"/>
      </w:pPr>
      <w:rPr>
        <w:rFonts w:hint="default"/>
        <w:lang w:val="zh-CN" w:eastAsia="zh-CN" w:bidi="zh-CN"/>
      </w:rPr>
    </w:lvl>
    <w:lvl w:ilvl="3" w:tentative="0">
      <w:start w:val="1"/>
      <w:numFmt w:val="decimal"/>
      <w:lvlText w:val="%1.%2.%3.%4"/>
      <w:lvlJc w:val="left"/>
      <w:pPr>
        <w:ind w:left="213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6046" w:hanging="720"/>
      </w:pPr>
      <w:rPr>
        <w:rFonts w:hint="default"/>
        <w:lang w:val="zh-CN" w:eastAsia="zh-CN" w:bidi="zh-CN"/>
      </w:rPr>
    </w:lvl>
    <w:lvl w:ilvl="5" w:tentative="0">
      <w:start w:val="0"/>
      <w:numFmt w:val="bullet"/>
      <w:lvlText w:val="•"/>
      <w:lvlJc w:val="left"/>
      <w:pPr>
        <w:ind w:left="7023" w:hanging="720"/>
      </w:pPr>
      <w:rPr>
        <w:rFonts w:hint="default"/>
        <w:lang w:val="zh-CN" w:eastAsia="zh-CN" w:bidi="zh-CN"/>
      </w:rPr>
    </w:lvl>
    <w:lvl w:ilvl="6" w:tentative="0">
      <w:start w:val="0"/>
      <w:numFmt w:val="bullet"/>
      <w:lvlText w:val="•"/>
      <w:lvlJc w:val="left"/>
      <w:pPr>
        <w:ind w:left="7999" w:hanging="720"/>
      </w:pPr>
      <w:rPr>
        <w:rFonts w:hint="default"/>
        <w:lang w:val="zh-CN" w:eastAsia="zh-CN" w:bidi="zh-CN"/>
      </w:rPr>
    </w:lvl>
    <w:lvl w:ilvl="7" w:tentative="0">
      <w:start w:val="0"/>
      <w:numFmt w:val="bullet"/>
      <w:lvlText w:val="•"/>
      <w:lvlJc w:val="left"/>
      <w:pPr>
        <w:ind w:left="8976" w:hanging="720"/>
      </w:pPr>
      <w:rPr>
        <w:rFonts w:hint="default"/>
        <w:lang w:val="zh-CN" w:eastAsia="zh-CN" w:bidi="zh-CN"/>
      </w:rPr>
    </w:lvl>
    <w:lvl w:ilvl="8" w:tentative="0">
      <w:start w:val="0"/>
      <w:numFmt w:val="bullet"/>
      <w:lvlText w:val="•"/>
      <w:lvlJc w:val="left"/>
      <w:pPr>
        <w:ind w:left="9952" w:hanging="720"/>
      </w:pPr>
      <w:rPr>
        <w:rFonts w:hint="default"/>
        <w:lang w:val="zh-CN" w:eastAsia="zh-CN" w:bidi="zh-CN"/>
      </w:rPr>
    </w:lvl>
  </w:abstractNum>
  <w:abstractNum w:abstractNumId="88">
    <w:nsid w:val="46A08BB8"/>
    <w:multiLevelType w:val="multilevel"/>
    <w:tmpl w:val="46A08BB8"/>
    <w:lvl w:ilvl="0" w:tentative="0">
      <w:start w:val="1"/>
      <w:numFmt w:val="decimal"/>
      <w:lvlText w:val="%1"/>
      <w:lvlJc w:val="left"/>
      <w:pPr>
        <w:ind w:left="667" w:hanging="449"/>
        <w:jc w:val="left"/>
      </w:pPr>
      <w:rPr>
        <w:rFonts w:hint="default"/>
        <w:lang w:val="zh-CN" w:eastAsia="zh-CN" w:bidi="zh-CN"/>
      </w:rPr>
    </w:lvl>
    <w:lvl w:ilvl="1" w:tentative="0">
      <w:start w:val="4"/>
      <w:numFmt w:val="decimal"/>
      <w:lvlText w:val="%1.%2"/>
      <w:lvlJc w:val="left"/>
      <w:pPr>
        <w:ind w:left="66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84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299" w:hanging="601"/>
        <w:jc w:val="left"/>
      </w:pPr>
      <w:rPr>
        <w:rFonts w:hint="default" w:ascii="宋体" w:hAnsi="宋体" w:eastAsia="宋体" w:cs="宋体"/>
        <w:w w:val="100"/>
        <w:position w:val="2"/>
        <w:sz w:val="22"/>
        <w:szCs w:val="22"/>
        <w:lang w:val="zh-CN" w:eastAsia="zh-CN" w:bidi="zh-CN"/>
      </w:rPr>
    </w:lvl>
    <w:lvl w:ilvl="4" w:tentative="0">
      <w:start w:val="0"/>
      <w:numFmt w:val="bullet"/>
      <w:lvlText w:val="•"/>
      <w:lvlJc w:val="left"/>
      <w:pPr>
        <w:ind w:left="3361" w:hanging="601"/>
      </w:pPr>
      <w:rPr>
        <w:rFonts w:hint="default"/>
        <w:lang w:val="zh-CN" w:eastAsia="zh-CN" w:bidi="zh-CN"/>
      </w:rPr>
    </w:lvl>
    <w:lvl w:ilvl="5" w:tentative="0">
      <w:start w:val="0"/>
      <w:numFmt w:val="bullet"/>
      <w:lvlText w:val="•"/>
      <w:lvlJc w:val="left"/>
      <w:pPr>
        <w:ind w:left="4392" w:hanging="601"/>
      </w:pPr>
      <w:rPr>
        <w:rFonts w:hint="default"/>
        <w:lang w:val="zh-CN" w:eastAsia="zh-CN" w:bidi="zh-CN"/>
      </w:rPr>
    </w:lvl>
    <w:lvl w:ilvl="6" w:tentative="0">
      <w:start w:val="0"/>
      <w:numFmt w:val="bullet"/>
      <w:lvlText w:val="•"/>
      <w:lvlJc w:val="left"/>
      <w:pPr>
        <w:ind w:left="5423" w:hanging="601"/>
      </w:pPr>
      <w:rPr>
        <w:rFonts w:hint="default"/>
        <w:lang w:val="zh-CN" w:eastAsia="zh-CN" w:bidi="zh-CN"/>
      </w:rPr>
    </w:lvl>
    <w:lvl w:ilvl="7" w:tentative="0">
      <w:start w:val="0"/>
      <w:numFmt w:val="bullet"/>
      <w:lvlText w:val="•"/>
      <w:lvlJc w:val="left"/>
      <w:pPr>
        <w:ind w:left="6453" w:hanging="601"/>
      </w:pPr>
      <w:rPr>
        <w:rFonts w:hint="default"/>
        <w:lang w:val="zh-CN" w:eastAsia="zh-CN" w:bidi="zh-CN"/>
      </w:rPr>
    </w:lvl>
    <w:lvl w:ilvl="8" w:tentative="0">
      <w:start w:val="0"/>
      <w:numFmt w:val="bullet"/>
      <w:lvlText w:val="•"/>
      <w:lvlJc w:val="left"/>
      <w:pPr>
        <w:ind w:left="7484" w:hanging="601"/>
      </w:pPr>
      <w:rPr>
        <w:rFonts w:hint="default"/>
        <w:lang w:val="zh-CN" w:eastAsia="zh-CN" w:bidi="zh-CN"/>
      </w:rPr>
    </w:lvl>
  </w:abstractNum>
  <w:abstractNum w:abstractNumId="89">
    <w:nsid w:val="4A51D704"/>
    <w:multiLevelType w:val="multilevel"/>
    <w:tmpl w:val="4A51D704"/>
    <w:lvl w:ilvl="0" w:tentative="0">
      <w:start w:val="1"/>
      <w:numFmt w:val="decimal"/>
      <w:lvlText w:val="%1."/>
      <w:lvlJc w:val="left"/>
      <w:pPr>
        <w:ind w:left="112" w:hanging="159"/>
        <w:jc w:val="left"/>
      </w:pPr>
      <w:rPr>
        <w:rFonts w:hint="default" w:ascii="Times New Roman" w:hAnsi="Times New Roman" w:eastAsia="Times New Roman" w:cs="Times New Roman"/>
        <w:spacing w:val="0"/>
        <w:w w:val="99"/>
        <w:position w:val="2"/>
        <w:sz w:val="19"/>
        <w:szCs w:val="19"/>
        <w:lang w:val="zh-CN" w:eastAsia="zh-CN" w:bidi="zh-CN"/>
      </w:rPr>
    </w:lvl>
    <w:lvl w:ilvl="1" w:tentative="0">
      <w:start w:val="0"/>
      <w:numFmt w:val="bullet"/>
      <w:lvlText w:val="•"/>
      <w:lvlJc w:val="left"/>
      <w:pPr>
        <w:ind w:left="638" w:hanging="159"/>
      </w:pPr>
      <w:rPr>
        <w:rFonts w:hint="default"/>
        <w:lang w:val="zh-CN" w:eastAsia="zh-CN" w:bidi="zh-CN"/>
      </w:rPr>
    </w:lvl>
    <w:lvl w:ilvl="2" w:tentative="0">
      <w:start w:val="0"/>
      <w:numFmt w:val="bullet"/>
      <w:lvlText w:val="•"/>
      <w:lvlJc w:val="left"/>
      <w:pPr>
        <w:ind w:left="1156" w:hanging="159"/>
      </w:pPr>
      <w:rPr>
        <w:rFonts w:hint="default"/>
        <w:lang w:val="zh-CN" w:eastAsia="zh-CN" w:bidi="zh-CN"/>
      </w:rPr>
    </w:lvl>
    <w:lvl w:ilvl="3" w:tentative="0">
      <w:start w:val="0"/>
      <w:numFmt w:val="bullet"/>
      <w:lvlText w:val="•"/>
      <w:lvlJc w:val="left"/>
      <w:pPr>
        <w:ind w:left="1675" w:hanging="159"/>
      </w:pPr>
      <w:rPr>
        <w:rFonts w:hint="default"/>
        <w:lang w:val="zh-CN" w:eastAsia="zh-CN" w:bidi="zh-CN"/>
      </w:rPr>
    </w:lvl>
    <w:lvl w:ilvl="4" w:tentative="0">
      <w:start w:val="0"/>
      <w:numFmt w:val="bullet"/>
      <w:lvlText w:val="•"/>
      <w:lvlJc w:val="left"/>
      <w:pPr>
        <w:ind w:left="2193" w:hanging="159"/>
      </w:pPr>
      <w:rPr>
        <w:rFonts w:hint="default"/>
        <w:lang w:val="zh-CN" w:eastAsia="zh-CN" w:bidi="zh-CN"/>
      </w:rPr>
    </w:lvl>
    <w:lvl w:ilvl="5" w:tentative="0">
      <w:start w:val="0"/>
      <w:numFmt w:val="bullet"/>
      <w:lvlText w:val="•"/>
      <w:lvlJc w:val="left"/>
      <w:pPr>
        <w:ind w:left="2712" w:hanging="159"/>
      </w:pPr>
      <w:rPr>
        <w:rFonts w:hint="default"/>
        <w:lang w:val="zh-CN" w:eastAsia="zh-CN" w:bidi="zh-CN"/>
      </w:rPr>
    </w:lvl>
    <w:lvl w:ilvl="6" w:tentative="0">
      <w:start w:val="0"/>
      <w:numFmt w:val="bullet"/>
      <w:lvlText w:val="•"/>
      <w:lvlJc w:val="left"/>
      <w:pPr>
        <w:ind w:left="3230" w:hanging="159"/>
      </w:pPr>
      <w:rPr>
        <w:rFonts w:hint="default"/>
        <w:lang w:val="zh-CN" w:eastAsia="zh-CN" w:bidi="zh-CN"/>
      </w:rPr>
    </w:lvl>
    <w:lvl w:ilvl="7" w:tentative="0">
      <w:start w:val="0"/>
      <w:numFmt w:val="bullet"/>
      <w:lvlText w:val="•"/>
      <w:lvlJc w:val="left"/>
      <w:pPr>
        <w:ind w:left="3748" w:hanging="159"/>
      </w:pPr>
      <w:rPr>
        <w:rFonts w:hint="default"/>
        <w:lang w:val="zh-CN" w:eastAsia="zh-CN" w:bidi="zh-CN"/>
      </w:rPr>
    </w:lvl>
    <w:lvl w:ilvl="8" w:tentative="0">
      <w:start w:val="0"/>
      <w:numFmt w:val="bullet"/>
      <w:lvlText w:val="•"/>
      <w:lvlJc w:val="left"/>
      <w:pPr>
        <w:ind w:left="4267" w:hanging="159"/>
      </w:pPr>
      <w:rPr>
        <w:rFonts w:hint="default"/>
        <w:lang w:val="zh-CN" w:eastAsia="zh-CN" w:bidi="zh-CN"/>
      </w:rPr>
    </w:lvl>
  </w:abstractNum>
  <w:abstractNum w:abstractNumId="90">
    <w:nsid w:val="4C1BAE26"/>
    <w:multiLevelType w:val="multilevel"/>
    <w:tmpl w:val="4C1BAE26"/>
    <w:lvl w:ilvl="0" w:tentative="0">
      <w:start w:val="39"/>
      <w:numFmt w:val="decimal"/>
      <w:lvlText w:val="(%1)"/>
      <w:lvlJc w:val="left"/>
      <w:pPr>
        <w:ind w:left="1098" w:hanging="401"/>
        <w:jc w:val="left"/>
      </w:pPr>
      <w:rPr>
        <w:rFonts w:hint="default" w:ascii="Times New Roman" w:hAnsi="Times New Roman" w:eastAsia="Times New Roman" w:cs="Times New Roman"/>
        <w:color w:val="FF0000"/>
        <w:spacing w:val="-1"/>
        <w:w w:val="100"/>
        <w:sz w:val="22"/>
        <w:szCs w:val="22"/>
        <w:lang w:val="zh-CN" w:eastAsia="zh-CN" w:bidi="zh-CN"/>
      </w:rPr>
    </w:lvl>
    <w:lvl w:ilvl="1" w:tentative="0">
      <w:start w:val="0"/>
      <w:numFmt w:val="bullet"/>
      <w:lvlText w:val="•"/>
      <w:lvlJc w:val="left"/>
      <w:pPr>
        <w:ind w:left="1944" w:hanging="401"/>
      </w:pPr>
      <w:rPr>
        <w:rFonts w:hint="default"/>
        <w:lang w:val="zh-CN" w:eastAsia="zh-CN" w:bidi="zh-CN"/>
      </w:rPr>
    </w:lvl>
    <w:lvl w:ilvl="2" w:tentative="0">
      <w:start w:val="0"/>
      <w:numFmt w:val="bullet"/>
      <w:lvlText w:val="•"/>
      <w:lvlJc w:val="left"/>
      <w:pPr>
        <w:ind w:left="2789" w:hanging="401"/>
      </w:pPr>
      <w:rPr>
        <w:rFonts w:hint="default"/>
        <w:lang w:val="zh-CN" w:eastAsia="zh-CN" w:bidi="zh-CN"/>
      </w:rPr>
    </w:lvl>
    <w:lvl w:ilvl="3" w:tentative="0">
      <w:start w:val="0"/>
      <w:numFmt w:val="bullet"/>
      <w:lvlText w:val="•"/>
      <w:lvlJc w:val="left"/>
      <w:pPr>
        <w:ind w:left="3633" w:hanging="401"/>
      </w:pPr>
      <w:rPr>
        <w:rFonts w:hint="default"/>
        <w:lang w:val="zh-CN" w:eastAsia="zh-CN" w:bidi="zh-CN"/>
      </w:rPr>
    </w:lvl>
    <w:lvl w:ilvl="4" w:tentative="0">
      <w:start w:val="0"/>
      <w:numFmt w:val="bullet"/>
      <w:lvlText w:val="•"/>
      <w:lvlJc w:val="left"/>
      <w:pPr>
        <w:ind w:left="4478" w:hanging="401"/>
      </w:pPr>
      <w:rPr>
        <w:rFonts w:hint="default"/>
        <w:lang w:val="zh-CN" w:eastAsia="zh-CN" w:bidi="zh-CN"/>
      </w:rPr>
    </w:lvl>
    <w:lvl w:ilvl="5" w:tentative="0">
      <w:start w:val="0"/>
      <w:numFmt w:val="bullet"/>
      <w:lvlText w:val="•"/>
      <w:lvlJc w:val="left"/>
      <w:pPr>
        <w:ind w:left="5323" w:hanging="401"/>
      </w:pPr>
      <w:rPr>
        <w:rFonts w:hint="default"/>
        <w:lang w:val="zh-CN" w:eastAsia="zh-CN" w:bidi="zh-CN"/>
      </w:rPr>
    </w:lvl>
    <w:lvl w:ilvl="6" w:tentative="0">
      <w:start w:val="0"/>
      <w:numFmt w:val="bullet"/>
      <w:lvlText w:val="•"/>
      <w:lvlJc w:val="left"/>
      <w:pPr>
        <w:ind w:left="6167" w:hanging="401"/>
      </w:pPr>
      <w:rPr>
        <w:rFonts w:hint="default"/>
        <w:lang w:val="zh-CN" w:eastAsia="zh-CN" w:bidi="zh-CN"/>
      </w:rPr>
    </w:lvl>
    <w:lvl w:ilvl="7" w:tentative="0">
      <w:start w:val="0"/>
      <w:numFmt w:val="bullet"/>
      <w:lvlText w:val="•"/>
      <w:lvlJc w:val="left"/>
      <w:pPr>
        <w:ind w:left="7012" w:hanging="401"/>
      </w:pPr>
      <w:rPr>
        <w:rFonts w:hint="default"/>
        <w:lang w:val="zh-CN" w:eastAsia="zh-CN" w:bidi="zh-CN"/>
      </w:rPr>
    </w:lvl>
    <w:lvl w:ilvl="8" w:tentative="0">
      <w:start w:val="0"/>
      <w:numFmt w:val="bullet"/>
      <w:lvlText w:val="•"/>
      <w:lvlJc w:val="left"/>
      <w:pPr>
        <w:ind w:left="7856" w:hanging="401"/>
      </w:pPr>
      <w:rPr>
        <w:rFonts w:hint="default"/>
        <w:lang w:val="zh-CN" w:eastAsia="zh-CN" w:bidi="zh-CN"/>
      </w:rPr>
    </w:lvl>
  </w:abstractNum>
  <w:abstractNum w:abstractNumId="91">
    <w:nsid w:val="4C3D7A74"/>
    <w:multiLevelType w:val="multilevel"/>
    <w:tmpl w:val="4C3D7A74"/>
    <w:lvl w:ilvl="0" w:tentative="0">
      <w:start w:val="2"/>
      <w:numFmt w:val="decimal"/>
      <w:lvlText w:val="%1"/>
      <w:lvlJc w:val="left"/>
      <w:pPr>
        <w:ind w:left="2527" w:hanging="629"/>
        <w:jc w:val="left"/>
      </w:pPr>
      <w:rPr>
        <w:rFonts w:hint="default"/>
        <w:lang w:val="zh-CN" w:eastAsia="zh-CN" w:bidi="zh-CN"/>
      </w:rPr>
    </w:lvl>
    <w:lvl w:ilvl="1" w:tentative="0">
      <w:start w:val="6"/>
      <w:numFmt w:val="decimal"/>
      <w:lvlText w:val="%1.%2"/>
      <w:lvlJc w:val="left"/>
      <w:pPr>
        <w:ind w:left="2527" w:hanging="629"/>
        <w:jc w:val="left"/>
      </w:pPr>
      <w:rPr>
        <w:rFonts w:hint="default"/>
        <w:lang w:val="zh-CN" w:eastAsia="zh-CN" w:bidi="zh-CN"/>
      </w:rPr>
    </w:lvl>
    <w:lvl w:ilvl="2" w:tentative="0">
      <w:start w:val="1"/>
      <w:numFmt w:val="decimal"/>
      <w:lvlText w:val="%1.%2.%3"/>
      <w:lvlJc w:val="left"/>
      <w:pPr>
        <w:ind w:left="252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5335" w:hanging="629"/>
      </w:pPr>
      <w:rPr>
        <w:rFonts w:hint="default"/>
        <w:lang w:val="zh-CN" w:eastAsia="zh-CN" w:bidi="zh-CN"/>
      </w:rPr>
    </w:lvl>
    <w:lvl w:ilvl="4" w:tentative="0">
      <w:start w:val="0"/>
      <w:numFmt w:val="bullet"/>
      <w:lvlText w:val="•"/>
      <w:lvlJc w:val="left"/>
      <w:pPr>
        <w:ind w:left="6274" w:hanging="629"/>
      </w:pPr>
      <w:rPr>
        <w:rFonts w:hint="default"/>
        <w:lang w:val="zh-CN" w:eastAsia="zh-CN" w:bidi="zh-CN"/>
      </w:rPr>
    </w:lvl>
    <w:lvl w:ilvl="5" w:tentative="0">
      <w:start w:val="0"/>
      <w:numFmt w:val="bullet"/>
      <w:lvlText w:val="•"/>
      <w:lvlJc w:val="left"/>
      <w:pPr>
        <w:ind w:left="7213" w:hanging="629"/>
      </w:pPr>
      <w:rPr>
        <w:rFonts w:hint="default"/>
        <w:lang w:val="zh-CN" w:eastAsia="zh-CN" w:bidi="zh-CN"/>
      </w:rPr>
    </w:lvl>
    <w:lvl w:ilvl="6" w:tentative="0">
      <w:start w:val="0"/>
      <w:numFmt w:val="bullet"/>
      <w:lvlText w:val="•"/>
      <w:lvlJc w:val="left"/>
      <w:pPr>
        <w:ind w:left="8151" w:hanging="629"/>
      </w:pPr>
      <w:rPr>
        <w:rFonts w:hint="default"/>
        <w:lang w:val="zh-CN" w:eastAsia="zh-CN" w:bidi="zh-CN"/>
      </w:rPr>
    </w:lvl>
    <w:lvl w:ilvl="7" w:tentative="0">
      <w:start w:val="0"/>
      <w:numFmt w:val="bullet"/>
      <w:lvlText w:val="•"/>
      <w:lvlJc w:val="left"/>
      <w:pPr>
        <w:ind w:left="9090" w:hanging="629"/>
      </w:pPr>
      <w:rPr>
        <w:rFonts w:hint="default"/>
        <w:lang w:val="zh-CN" w:eastAsia="zh-CN" w:bidi="zh-CN"/>
      </w:rPr>
    </w:lvl>
    <w:lvl w:ilvl="8" w:tentative="0">
      <w:start w:val="0"/>
      <w:numFmt w:val="bullet"/>
      <w:lvlText w:val="•"/>
      <w:lvlJc w:val="left"/>
      <w:pPr>
        <w:ind w:left="10028" w:hanging="629"/>
      </w:pPr>
      <w:rPr>
        <w:rFonts w:hint="default"/>
        <w:lang w:val="zh-CN" w:eastAsia="zh-CN" w:bidi="zh-CN"/>
      </w:rPr>
    </w:lvl>
  </w:abstractNum>
  <w:abstractNum w:abstractNumId="92">
    <w:nsid w:val="4CD1E351"/>
    <w:multiLevelType w:val="multilevel"/>
    <w:tmpl w:val="4CD1E351"/>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93">
    <w:nsid w:val="4D4DC07F"/>
    <w:multiLevelType w:val="multilevel"/>
    <w:tmpl w:val="4D4DC07F"/>
    <w:lvl w:ilvl="0" w:tentative="0">
      <w:start w:val="1"/>
      <w:numFmt w:val="decimal"/>
      <w:lvlText w:val="%1."/>
      <w:lvlJc w:val="left"/>
      <w:pPr>
        <w:ind w:left="4257" w:hanging="332"/>
        <w:jc w:val="right"/>
      </w:pPr>
      <w:rPr>
        <w:rFonts w:hint="default"/>
        <w:b/>
        <w:bCs/>
        <w:spacing w:val="0"/>
        <w:w w:val="99"/>
        <w:lang w:val="zh-CN" w:eastAsia="zh-CN" w:bidi="zh-CN"/>
      </w:rPr>
    </w:lvl>
    <w:lvl w:ilvl="1" w:tentative="0">
      <w:start w:val="4"/>
      <w:numFmt w:val="decimal"/>
      <w:lvlText w:val="%2."/>
      <w:lvlJc w:val="left"/>
      <w:pPr>
        <w:ind w:left="879" w:hanging="181"/>
        <w:jc w:val="left"/>
      </w:pPr>
      <w:rPr>
        <w:rFonts w:hint="default" w:ascii="Times New Roman" w:hAnsi="Times New Roman" w:eastAsia="Times New Roman" w:cs="Times New Roman"/>
        <w:w w:val="100"/>
        <w:sz w:val="22"/>
        <w:szCs w:val="22"/>
        <w:lang w:val="zh-CN" w:eastAsia="zh-CN" w:bidi="zh-CN"/>
      </w:rPr>
    </w:lvl>
    <w:lvl w:ilvl="2" w:tentative="0">
      <w:start w:val="3"/>
      <w:numFmt w:val="decimal"/>
      <w:lvlText w:val="%3."/>
      <w:lvlJc w:val="left"/>
      <w:pPr>
        <w:ind w:left="4284" w:hanging="272"/>
        <w:jc w:val="right"/>
      </w:pPr>
      <w:rPr>
        <w:rFonts w:hint="default"/>
        <w:b/>
        <w:bCs/>
        <w:w w:val="100"/>
        <w:lang w:val="zh-CN" w:eastAsia="zh-CN" w:bidi="zh-CN"/>
      </w:rPr>
    </w:lvl>
    <w:lvl w:ilvl="3" w:tentative="0">
      <w:start w:val="0"/>
      <w:numFmt w:val="bullet"/>
      <w:lvlText w:val="•"/>
      <w:lvlJc w:val="left"/>
      <w:pPr>
        <w:ind w:left="4938" w:hanging="272"/>
      </w:pPr>
      <w:rPr>
        <w:rFonts w:hint="default"/>
        <w:lang w:val="zh-CN" w:eastAsia="zh-CN" w:bidi="zh-CN"/>
      </w:rPr>
    </w:lvl>
    <w:lvl w:ilvl="4" w:tentative="0">
      <w:start w:val="0"/>
      <w:numFmt w:val="bullet"/>
      <w:lvlText w:val="•"/>
      <w:lvlJc w:val="left"/>
      <w:pPr>
        <w:ind w:left="5596" w:hanging="272"/>
      </w:pPr>
      <w:rPr>
        <w:rFonts w:hint="default"/>
        <w:lang w:val="zh-CN" w:eastAsia="zh-CN" w:bidi="zh-CN"/>
      </w:rPr>
    </w:lvl>
    <w:lvl w:ilvl="5" w:tentative="0">
      <w:start w:val="0"/>
      <w:numFmt w:val="bullet"/>
      <w:lvlText w:val="•"/>
      <w:lvlJc w:val="left"/>
      <w:pPr>
        <w:ind w:left="6254" w:hanging="272"/>
      </w:pPr>
      <w:rPr>
        <w:rFonts w:hint="default"/>
        <w:lang w:val="zh-CN" w:eastAsia="zh-CN" w:bidi="zh-CN"/>
      </w:rPr>
    </w:lvl>
    <w:lvl w:ilvl="6" w:tentative="0">
      <w:start w:val="0"/>
      <w:numFmt w:val="bullet"/>
      <w:lvlText w:val="•"/>
      <w:lvlJc w:val="left"/>
      <w:pPr>
        <w:ind w:left="6913" w:hanging="272"/>
      </w:pPr>
      <w:rPr>
        <w:rFonts w:hint="default"/>
        <w:lang w:val="zh-CN" w:eastAsia="zh-CN" w:bidi="zh-CN"/>
      </w:rPr>
    </w:lvl>
    <w:lvl w:ilvl="7" w:tentative="0">
      <w:start w:val="0"/>
      <w:numFmt w:val="bullet"/>
      <w:lvlText w:val="•"/>
      <w:lvlJc w:val="left"/>
      <w:pPr>
        <w:ind w:left="7571" w:hanging="272"/>
      </w:pPr>
      <w:rPr>
        <w:rFonts w:hint="default"/>
        <w:lang w:val="zh-CN" w:eastAsia="zh-CN" w:bidi="zh-CN"/>
      </w:rPr>
    </w:lvl>
    <w:lvl w:ilvl="8" w:tentative="0">
      <w:start w:val="0"/>
      <w:numFmt w:val="bullet"/>
      <w:lvlText w:val="•"/>
      <w:lvlJc w:val="left"/>
      <w:pPr>
        <w:ind w:left="8229" w:hanging="272"/>
      </w:pPr>
      <w:rPr>
        <w:rFonts w:hint="default"/>
        <w:lang w:val="zh-CN" w:eastAsia="zh-CN" w:bidi="zh-CN"/>
      </w:rPr>
    </w:lvl>
  </w:abstractNum>
  <w:abstractNum w:abstractNumId="94">
    <w:nsid w:val="4D94DA66"/>
    <w:multiLevelType w:val="multilevel"/>
    <w:tmpl w:val="4D94DA66"/>
    <w:lvl w:ilvl="0" w:tentative="0">
      <w:start w:val="2"/>
      <w:numFmt w:val="decimal"/>
      <w:lvlText w:val="%1"/>
      <w:lvlJc w:val="left"/>
      <w:pPr>
        <w:ind w:left="938" w:hanging="720"/>
        <w:jc w:val="left"/>
      </w:pPr>
      <w:rPr>
        <w:rFonts w:hint="default"/>
        <w:lang w:val="zh-CN" w:eastAsia="zh-CN" w:bidi="zh-CN"/>
      </w:rPr>
    </w:lvl>
    <w:lvl w:ilvl="1" w:tentative="0">
      <w:start w:val="3"/>
      <w:numFmt w:val="decimal"/>
      <w:lvlText w:val="%1.%2"/>
      <w:lvlJc w:val="left"/>
      <w:pPr>
        <w:ind w:left="938" w:hanging="720"/>
        <w:jc w:val="left"/>
      </w:pPr>
      <w:rPr>
        <w:rFonts w:hint="default"/>
        <w:lang w:val="zh-CN" w:eastAsia="zh-CN" w:bidi="zh-CN"/>
      </w:rPr>
    </w:lvl>
    <w:lvl w:ilvl="2" w:tentative="0">
      <w:start w:val="2"/>
      <w:numFmt w:val="decimal"/>
      <w:lvlText w:val="%1.%2.%3"/>
      <w:lvlJc w:val="left"/>
      <w:pPr>
        <w:ind w:left="938" w:hanging="720"/>
        <w:jc w:val="left"/>
      </w:pPr>
      <w:rPr>
        <w:rFonts w:hint="default"/>
        <w:lang w:val="zh-CN" w:eastAsia="zh-CN" w:bidi="zh-CN"/>
      </w:rPr>
    </w:lvl>
    <w:lvl w:ilvl="3" w:tentative="0">
      <w:start w:val="5"/>
      <w:numFmt w:val="decimal"/>
      <w:lvlText w:val="%1.%2.%3.%4"/>
      <w:lvlJc w:val="left"/>
      <w:pPr>
        <w:ind w:left="938" w:hanging="720"/>
        <w:jc w:val="lef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1387" w:hanging="651"/>
        <w:jc w:val="left"/>
      </w:pPr>
      <w:rPr>
        <w:rFonts w:hint="default" w:ascii="宋体" w:hAnsi="宋体" w:eastAsia="宋体" w:cs="宋体"/>
        <w:spacing w:val="-99"/>
        <w:w w:val="100"/>
        <w:sz w:val="24"/>
        <w:szCs w:val="24"/>
        <w:lang w:val="zh-CN" w:eastAsia="zh-CN" w:bidi="zh-CN"/>
      </w:rPr>
    </w:lvl>
    <w:lvl w:ilvl="5" w:tentative="0">
      <w:start w:val="0"/>
      <w:numFmt w:val="bullet"/>
      <w:lvlText w:val="•"/>
      <w:lvlJc w:val="left"/>
      <w:pPr>
        <w:ind w:left="5009" w:hanging="651"/>
      </w:pPr>
      <w:rPr>
        <w:rFonts w:hint="default"/>
        <w:lang w:val="zh-CN" w:eastAsia="zh-CN" w:bidi="zh-CN"/>
      </w:rPr>
    </w:lvl>
    <w:lvl w:ilvl="6" w:tentative="0">
      <w:start w:val="0"/>
      <w:numFmt w:val="bullet"/>
      <w:lvlText w:val="•"/>
      <w:lvlJc w:val="left"/>
      <w:pPr>
        <w:ind w:left="5916" w:hanging="651"/>
      </w:pPr>
      <w:rPr>
        <w:rFonts w:hint="default"/>
        <w:lang w:val="zh-CN" w:eastAsia="zh-CN" w:bidi="zh-CN"/>
      </w:rPr>
    </w:lvl>
    <w:lvl w:ilvl="7" w:tentative="0">
      <w:start w:val="0"/>
      <w:numFmt w:val="bullet"/>
      <w:lvlText w:val="•"/>
      <w:lvlJc w:val="left"/>
      <w:pPr>
        <w:ind w:left="6824" w:hanging="651"/>
      </w:pPr>
      <w:rPr>
        <w:rFonts w:hint="default"/>
        <w:lang w:val="zh-CN" w:eastAsia="zh-CN" w:bidi="zh-CN"/>
      </w:rPr>
    </w:lvl>
    <w:lvl w:ilvl="8" w:tentative="0">
      <w:start w:val="0"/>
      <w:numFmt w:val="bullet"/>
      <w:lvlText w:val="•"/>
      <w:lvlJc w:val="left"/>
      <w:pPr>
        <w:ind w:left="7731" w:hanging="651"/>
      </w:pPr>
      <w:rPr>
        <w:rFonts w:hint="default"/>
        <w:lang w:val="zh-CN" w:eastAsia="zh-CN" w:bidi="zh-CN"/>
      </w:rPr>
    </w:lvl>
  </w:abstractNum>
  <w:abstractNum w:abstractNumId="95">
    <w:nsid w:val="54701CA1"/>
    <w:multiLevelType w:val="multilevel"/>
    <w:tmpl w:val="54701CA1"/>
    <w:lvl w:ilvl="0" w:tentative="0">
      <w:start w:val="15"/>
      <w:numFmt w:val="decimal"/>
      <w:lvlText w:val="%1"/>
      <w:lvlJc w:val="left"/>
      <w:pPr>
        <w:ind w:left="1320" w:hanging="720"/>
        <w:jc w:val="left"/>
      </w:pPr>
      <w:rPr>
        <w:rFonts w:hint="default"/>
        <w:lang w:val="zh-CN" w:eastAsia="zh-CN" w:bidi="zh-CN"/>
      </w:rPr>
    </w:lvl>
    <w:lvl w:ilvl="1" w:tentative="0">
      <w:start w:val="1"/>
      <w:numFmt w:val="decimal"/>
      <w:lvlText w:val="%1.%2"/>
      <w:lvlJc w:val="left"/>
      <w:pPr>
        <w:ind w:left="1320" w:hanging="720"/>
        <w:jc w:val="left"/>
      </w:pPr>
      <w:rPr>
        <w:rFonts w:hint="default"/>
        <w:b/>
        <w:bCs/>
        <w:spacing w:val="-2"/>
        <w:w w:val="99"/>
        <w:lang w:val="zh-CN" w:eastAsia="zh-CN" w:bidi="zh-CN"/>
      </w:rPr>
    </w:lvl>
    <w:lvl w:ilvl="2" w:tentative="0">
      <w:start w:val="1"/>
      <w:numFmt w:val="decimal"/>
      <w:lvlText w:val="%1.%2.%3"/>
      <w:lvlJc w:val="left"/>
      <w:pPr>
        <w:ind w:left="1320" w:hanging="720"/>
        <w:jc w:val="left"/>
      </w:pPr>
      <w:rPr>
        <w:rFonts w:hint="default"/>
        <w:b/>
        <w:bCs/>
        <w:w w:val="99"/>
        <w:lang w:val="zh-CN" w:eastAsia="zh-CN" w:bidi="zh-CN"/>
      </w:rPr>
    </w:lvl>
    <w:lvl w:ilvl="3" w:tentative="0">
      <w:start w:val="1"/>
      <w:numFmt w:val="decimal"/>
      <w:lvlText w:val="（%4）"/>
      <w:lvlJc w:val="left"/>
      <w:pPr>
        <w:ind w:left="600" w:hanging="720"/>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2635" w:hanging="720"/>
      </w:pPr>
      <w:rPr>
        <w:rFonts w:hint="default"/>
        <w:lang w:val="zh-CN" w:eastAsia="zh-CN" w:bidi="zh-CN"/>
      </w:rPr>
    </w:lvl>
    <w:lvl w:ilvl="5" w:tentative="0">
      <w:start w:val="0"/>
      <w:numFmt w:val="bullet"/>
      <w:lvlText w:val="•"/>
      <w:lvlJc w:val="left"/>
      <w:pPr>
        <w:ind w:left="3830" w:hanging="720"/>
      </w:pPr>
      <w:rPr>
        <w:rFonts w:hint="default"/>
        <w:lang w:val="zh-CN" w:eastAsia="zh-CN" w:bidi="zh-CN"/>
      </w:rPr>
    </w:lvl>
    <w:lvl w:ilvl="6" w:tentative="0">
      <w:start w:val="0"/>
      <w:numFmt w:val="bullet"/>
      <w:lvlText w:val="•"/>
      <w:lvlJc w:val="left"/>
      <w:pPr>
        <w:ind w:left="5025" w:hanging="720"/>
      </w:pPr>
      <w:rPr>
        <w:rFonts w:hint="default"/>
        <w:lang w:val="zh-CN" w:eastAsia="zh-CN" w:bidi="zh-CN"/>
      </w:rPr>
    </w:lvl>
    <w:lvl w:ilvl="7" w:tentative="0">
      <w:start w:val="0"/>
      <w:numFmt w:val="bullet"/>
      <w:lvlText w:val="•"/>
      <w:lvlJc w:val="left"/>
      <w:pPr>
        <w:ind w:left="6220" w:hanging="720"/>
      </w:pPr>
      <w:rPr>
        <w:rFonts w:hint="default"/>
        <w:lang w:val="zh-CN" w:eastAsia="zh-CN" w:bidi="zh-CN"/>
      </w:rPr>
    </w:lvl>
    <w:lvl w:ilvl="8" w:tentative="0">
      <w:start w:val="0"/>
      <w:numFmt w:val="bullet"/>
      <w:lvlText w:val="•"/>
      <w:lvlJc w:val="left"/>
      <w:pPr>
        <w:ind w:left="7415" w:hanging="720"/>
      </w:pPr>
      <w:rPr>
        <w:rFonts w:hint="default"/>
        <w:lang w:val="zh-CN" w:eastAsia="zh-CN" w:bidi="zh-CN"/>
      </w:rPr>
    </w:lvl>
  </w:abstractNum>
  <w:abstractNum w:abstractNumId="96">
    <w:nsid w:val="58765686"/>
    <w:multiLevelType w:val="multilevel"/>
    <w:tmpl w:val="58765686"/>
    <w:lvl w:ilvl="0" w:tentative="0">
      <w:start w:val="2"/>
      <w:numFmt w:val="decimal"/>
      <w:lvlText w:val="%1"/>
      <w:lvlJc w:val="left"/>
      <w:pPr>
        <w:ind w:left="938" w:hanging="720"/>
        <w:jc w:val="left"/>
      </w:pPr>
      <w:rPr>
        <w:rFonts w:hint="default"/>
        <w:lang w:val="zh-CN" w:eastAsia="zh-CN" w:bidi="zh-CN"/>
      </w:rPr>
    </w:lvl>
    <w:lvl w:ilvl="1" w:tentative="0">
      <w:start w:val="3"/>
      <w:numFmt w:val="decimal"/>
      <w:lvlText w:val="%1.%2"/>
      <w:lvlJc w:val="left"/>
      <w:pPr>
        <w:ind w:left="938" w:hanging="720"/>
        <w:jc w:val="left"/>
      </w:pPr>
      <w:rPr>
        <w:rFonts w:hint="default"/>
        <w:lang w:val="zh-CN" w:eastAsia="zh-CN" w:bidi="zh-CN"/>
      </w:rPr>
    </w:lvl>
    <w:lvl w:ilvl="2" w:tentative="0">
      <w:start w:val="2"/>
      <w:numFmt w:val="decimal"/>
      <w:lvlText w:val="%1.%2.%3"/>
      <w:lvlJc w:val="left"/>
      <w:pPr>
        <w:ind w:left="938" w:hanging="720"/>
        <w:jc w:val="left"/>
      </w:pPr>
      <w:rPr>
        <w:rFonts w:hint="default"/>
        <w:lang w:val="zh-CN" w:eastAsia="zh-CN" w:bidi="zh-CN"/>
      </w:rPr>
    </w:lvl>
    <w:lvl w:ilvl="3" w:tentative="0">
      <w:start w:val="1"/>
      <w:numFmt w:val="decimal"/>
      <w:lvlText w:val="%1.%2.%3.%4"/>
      <w:lvlJc w:val="left"/>
      <w:pPr>
        <w:ind w:left="938" w:hanging="720"/>
        <w:jc w:val="lef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1299"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4964" w:hanging="601"/>
      </w:pPr>
      <w:rPr>
        <w:rFonts w:hint="default"/>
        <w:lang w:val="zh-CN" w:eastAsia="zh-CN" w:bidi="zh-CN"/>
      </w:rPr>
    </w:lvl>
    <w:lvl w:ilvl="6" w:tentative="0">
      <w:start w:val="0"/>
      <w:numFmt w:val="bullet"/>
      <w:lvlText w:val="•"/>
      <w:lvlJc w:val="left"/>
      <w:pPr>
        <w:ind w:left="5881" w:hanging="601"/>
      </w:pPr>
      <w:rPr>
        <w:rFonts w:hint="default"/>
        <w:lang w:val="zh-CN" w:eastAsia="zh-CN" w:bidi="zh-CN"/>
      </w:rPr>
    </w:lvl>
    <w:lvl w:ilvl="7" w:tentative="0">
      <w:start w:val="0"/>
      <w:numFmt w:val="bullet"/>
      <w:lvlText w:val="•"/>
      <w:lvlJc w:val="left"/>
      <w:pPr>
        <w:ind w:left="6797" w:hanging="601"/>
      </w:pPr>
      <w:rPr>
        <w:rFonts w:hint="default"/>
        <w:lang w:val="zh-CN" w:eastAsia="zh-CN" w:bidi="zh-CN"/>
      </w:rPr>
    </w:lvl>
    <w:lvl w:ilvl="8" w:tentative="0">
      <w:start w:val="0"/>
      <w:numFmt w:val="bullet"/>
      <w:lvlText w:val="•"/>
      <w:lvlJc w:val="left"/>
      <w:pPr>
        <w:ind w:left="7713" w:hanging="601"/>
      </w:pPr>
      <w:rPr>
        <w:rFonts w:hint="default"/>
        <w:lang w:val="zh-CN" w:eastAsia="zh-CN" w:bidi="zh-CN"/>
      </w:rPr>
    </w:lvl>
  </w:abstractNum>
  <w:abstractNum w:abstractNumId="97">
    <w:nsid w:val="59ADCABA"/>
    <w:multiLevelType w:val="multilevel"/>
    <w:tmpl w:val="59ADCABA"/>
    <w:lvl w:ilvl="0" w:tentative="0">
      <w:start w:val="4"/>
      <w:numFmt w:val="decimal"/>
      <w:lvlText w:val="%1"/>
      <w:lvlJc w:val="left"/>
      <w:pPr>
        <w:ind w:left="1267" w:hanging="490"/>
        <w:jc w:val="left"/>
      </w:pPr>
      <w:rPr>
        <w:rFonts w:hint="default"/>
        <w:lang w:val="zh-CN" w:eastAsia="zh-CN" w:bidi="zh-CN"/>
      </w:rPr>
    </w:lvl>
    <w:lvl w:ilvl="1" w:tentative="0">
      <w:start w:val="2"/>
      <w:numFmt w:val="decimal"/>
      <w:lvlText w:val="%1.%2"/>
      <w:lvlJc w:val="left"/>
      <w:pPr>
        <w:ind w:left="1267" w:hanging="490"/>
        <w:jc w:val="left"/>
      </w:pPr>
      <w:rPr>
        <w:rFonts w:hint="default" w:ascii="Times New Roman" w:hAnsi="Times New Roman" w:eastAsia="Times New Roman" w:cs="Times New Roman"/>
        <w:spacing w:val="-1"/>
        <w:w w:val="100"/>
        <w:sz w:val="28"/>
        <w:szCs w:val="28"/>
        <w:lang w:val="zh-CN" w:eastAsia="zh-CN" w:bidi="zh-CN"/>
      </w:rPr>
    </w:lvl>
    <w:lvl w:ilvl="2" w:tentative="0">
      <w:start w:val="0"/>
      <w:numFmt w:val="bullet"/>
      <w:lvlText w:val="•"/>
      <w:lvlJc w:val="left"/>
      <w:pPr>
        <w:ind w:left="2917" w:hanging="490"/>
      </w:pPr>
      <w:rPr>
        <w:rFonts w:hint="default"/>
        <w:lang w:val="zh-CN" w:eastAsia="zh-CN" w:bidi="zh-CN"/>
      </w:rPr>
    </w:lvl>
    <w:lvl w:ilvl="3" w:tentative="0">
      <w:start w:val="0"/>
      <w:numFmt w:val="bullet"/>
      <w:lvlText w:val="•"/>
      <w:lvlJc w:val="left"/>
      <w:pPr>
        <w:ind w:left="3745" w:hanging="490"/>
      </w:pPr>
      <w:rPr>
        <w:rFonts w:hint="default"/>
        <w:lang w:val="zh-CN" w:eastAsia="zh-CN" w:bidi="zh-CN"/>
      </w:rPr>
    </w:lvl>
    <w:lvl w:ilvl="4" w:tentative="0">
      <w:start w:val="0"/>
      <w:numFmt w:val="bullet"/>
      <w:lvlText w:val="•"/>
      <w:lvlJc w:val="left"/>
      <w:pPr>
        <w:ind w:left="4574" w:hanging="490"/>
      </w:pPr>
      <w:rPr>
        <w:rFonts w:hint="default"/>
        <w:lang w:val="zh-CN" w:eastAsia="zh-CN" w:bidi="zh-CN"/>
      </w:rPr>
    </w:lvl>
    <w:lvl w:ilvl="5" w:tentative="0">
      <w:start w:val="0"/>
      <w:numFmt w:val="bullet"/>
      <w:lvlText w:val="•"/>
      <w:lvlJc w:val="left"/>
      <w:pPr>
        <w:ind w:left="5403" w:hanging="490"/>
      </w:pPr>
      <w:rPr>
        <w:rFonts w:hint="default"/>
        <w:lang w:val="zh-CN" w:eastAsia="zh-CN" w:bidi="zh-CN"/>
      </w:rPr>
    </w:lvl>
    <w:lvl w:ilvl="6" w:tentative="0">
      <w:start w:val="0"/>
      <w:numFmt w:val="bullet"/>
      <w:lvlText w:val="•"/>
      <w:lvlJc w:val="left"/>
      <w:pPr>
        <w:ind w:left="6231" w:hanging="490"/>
      </w:pPr>
      <w:rPr>
        <w:rFonts w:hint="default"/>
        <w:lang w:val="zh-CN" w:eastAsia="zh-CN" w:bidi="zh-CN"/>
      </w:rPr>
    </w:lvl>
    <w:lvl w:ilvl="7" w:tentative="0">
      <w:start w:val="0"/>
      <w:numFmt w:val="bullet"/>
      <w:lvlText w:val="•"/>
      <w:lvlJc w:val="left"/>
      <w:pPr>
        <w:ind w:left="7060" w:hanging="490"/>
      </w:pPr>
      <w:rPr>
        <w:rFonts w:hint="default"/>
        <w:lang w:val="zh-CN" w:eastAsia="zh-CN" w:bidi="zh-CN"/>
      </w:rPr>
    </w:lvl>
    <w:lvl w:ilvl="8" w:tentative="0">
      <w:start w:val="0"/>
      <w:numFmt w:val="bullet"/>
      <w:lvlText w:val="•"/>
      <w:lvlJc w:val="left"/>
      <w:pPr>
        <w:ind w:left="7888" w:hanging="490"/>
      </w:pPr>
      <w:rPr>
        <w:rFonts w:hint="default"/>
        <w:lang w:val="zh-CN" w:eastAsia="zh-CN" w:bidi="zh-CN"/>
      </w:rPr>
    </w:lvl>
  </w:abstractNum>
  <w:abstractNum w:abstractNumId="98">
    <w:nsid w:val="59EEFD2A"/>
    <w:multiLevelType w:val="multilevel"/>
    <w:tmpl w:val="59EEFD2A"/>
    <w:lvl w:ilvl="0" w:tentative="0">
      <w:start w:val="12"/>
      <w:numFmt w:val="decimal"/>
      <w:lvlText w:val="%1"/>
      <w:lvlJc w:val="left"/>
      <w:pPr>
        <w:ind w:left="2018" w:hanging="600"/>
        <w:jc w:val="left"/>
      </w:pPr>
      <w:rPr>
        <w:rFonts w:hint="default"/>
        <w:lang w:val="zh-CN" w:eastAsia="zh-CN" w:bidi="zh-CN"/>
      </w:rPr>
    </w:lvl>
    <w:lvl w:ilvl="1" w:tentative="0">
      <w:start w:val="1"/>
      <w:numFmt w:val="decimal"/>
      <w:lvlText w:val="%1.%2"/>
      <w:lvlJc w:val="left"/>
      <w:pPr>
        <w:ind w:left="2018" w:hanging="600"/>
        <w:jc w:val="righ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1.%2.%3"/>
      <w:lvlJc w:val="left"/>
      <w:pPr>
        <w:ind w:left="2188" w:hanging="77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2499"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851" w:hanging="601"/>
      </w:pPr>
      <w:rPr>
        <w:rFonts w:hint="default"/>
        <w:lang w:val="zh-CN" w:eastAsia="zh-CN" w:bidi="zh-CN"/>
      </w:rPr>
    </w:lvl>
    <w:lvl w:ilvl="5" w:tentative="0">
      <w:start w:val="0"/>
      <w:numFmt w:val="bullet"/>
      <w:lvlText w:val="•"/>
      <w:lvlJc w:val="left"/>
      <w:pPr>
        <w:ind w:left="6027" w:hanging="601"/>
      </w:pPr>
      <w:rPr>
        <w:rFonts w:hint="default"/>
        <w:lang w:val="zh-CN" w:eastAsia="zh-CN" w:bidi="zh-CN"/>
      </w:rPr>
    </w:lvl>
    <w:lvl w:ilvl="6" w:tentative="0">
      <w:start w:val="0"/>
      <w:numFmt w:val="bullet"/>
      <w:lvlText w:val="•"/>
      <w:lvlJc w:val="left"/>
      <w:pPr>
        <w:ind w:left="7203" w:hanging="601"/>
      </w:pPr>
      <w:rPr>
        <w:rFonts w:hint="default"/>
        <w:lang w:val="zh-CN" w:eastAsia="zh-CN" w:bidi="zh-CN"/>
      </w:rPr>
    </w:lvl>
    <w:lvl w:ilvl="7" w:tentative="0">
      <w:start w:val="0"/>
      <w:numFmt w:val="bullet"/>
      <w:lvlText w:val="•"/>
      <w:lvlJc w:val="left"/>
      <w:pPr>
        <w:ind w:left="8378" w:hanging="601"/>
      </w:pPr>
      <w:rPr>
        <w:rFonts w:hint="default"/>
        <w:lang w:val="zh-CN" w:eastAsia="zh-CN" w:bidi="zh-CN"/>
      </w:rPr>
    </w:lvl>
    <w:lvl w:ilvl="8" w:tentative="0">
      <w:start w:val="0"/>
      <w:numFmt w:val="bullet"/>
      <w:lvlText w:val="•"/>
      <w:lvlJc w:val="left"/>
      <w:pPr>
        <w:ind w:left="9554" w:hanging="601"/>
      </w:pPr>
      <w:rPr>
        <w:rFonts w:hint="default"/>
        <w:lang w:val="zh-CN" w:eastAsia="zh-CN" w:bidi="zh-CN"/>
      </w:rPr>
    </w:lvl>
  </w:abstractNum>
  <w:abstractNum w:abstractNumId="99">
    <w:nsid w:val="5A241D34"/>
    <w:multiLevelType w:val="multilevel"/>
    <w:tmpl w:val="5A241D34"/>
    <w:lvl w:ilvl="0" w:tentative="0">
      <w:start w:val="1"/>
      <w:numFmt w:val="decimal"/>
      <w:lvlText w:val="（%1）"/>
      <w:lvlJc w:val="left"/>
      <w:pPr>
        <w:ind w:left="1299" w:hanging="601"/>
        <w:jc w:val="left"/>
      </w:pPr>
      <w:rPr>
        <w:rFonts w:hint="default" w:ascii="宋体" w:hAnsi="宋体" w:eastAsia="宋体" w:cs="宋体"/>
        <w:color w:val="FF0000"/>
        <w:w w:val="100"/>
        <w:sz w:val="22"/>
        <w:szCs w:val="22"/>
        <w:lang w:val="zh-CN" w:eastAsia="zh-CN" w:bidi="zh-CN"/>
      </w:rPr>
    </w:lvl>
    <w:lvl w:ilvl="1" w:tentative="0">
      <w:start w:val="0"/>
      <w:numFmt w:val="bullet"/>
      <w:lvlText w:val="•"/>
      <w:lvlJc w:val="left"/>
      <w:pPr>
        <w:ind w:left="2124" w:hanging="601"/>
      </w:pPr>
      <w:rPr>
        <w:rFonts w:hint="default"/>
        <w:lang w:val="zh-CN" w:eastAsia="zh-CN" w:bidi="zh-CN"/>
      </w:rPr>
    </w:lvl>
    <w:lvl w:ilvl="2" w:tentative="0">
      <w:start w:val="0"/>
      <w:numFmt w:val="bullet"/>
      <w:lvlText w:val="•"/>
      <w:lvlJc w:val="left"/>
      <w:pPr>
        <w:ind w:left="2949" w:hanging="601"/>
      </w:pPr>
      <w:rPr>
        <w:rFonts w:hint="default"/>
        <w:lang w:val="zh-CN" w:eastAsia="zh-CN" w:bidi="zh-CN"/>
      </w:rPr>
    </w:lvl>
    <w:lvl w:ilvl="3" w:tentative="0">
      <w:start w:val="0"/>
      <w:numFmt w:val="bullet"/>
      <w:lvlText w:val="•"/>
      <w:lvlJc w:val="left"/>
      <w:pPr>
        <w:ind w:left="3773" w:hanging="601"/>
      </w:pPr>
      <w:rPr>
        <w:rFonts w:hint="default"/>
        <w:lang w:val="zh-CN" w:eastAsia="zh-CN" w:bidi="zh-CN"/>
      </w:rPr>
    </w:lvl>
    <w:lvl w:ilvl="4" w:tentative="0">
      <w:start w:val="0"/>
      <w:numFmt w:val="bullet"/>
      <w:lvlText w:val="•"/>
      <w:lvlJc w:val="left"/>
      <w:pPr>
        <w:ind w:left="4598" w:hanging="601"/>
      </w:pPr>
      <w:rPr>
        <w:rFonts w:hint="default"/>
        <w:lang w:val="zh-CN" w:eastAsia="zh-CN" w:bidi="zh-CN"/>
      </w:rPr>
    </w:lvl>
    <w:lvl w:ilvl="5" w:tentative="0">
      <w:start w:val="0"/>
      <w:numFmt w:val="bullet"/>
      <w:lvlText w:val="•"/>
      <w:lvlJc w:val="left"/>
      <w:pPr>
        <w:ind w:left="5423" w:hanging="601"/>
      </w:pPr>
      <w:rPr>
        <w:rFonts w:hint="default"/>
        <w:lang w:val="zh-CN" w:eastAsia="zh-CN" w:bidi="zh-CN"/>
      </w:rPr>
    </w:lvl>
    <w:lvl w:ilvl="6" w:tentative="0">
      <w:start w:val="0"/>
      <w:numFmt w:val="bullet"/>
      <w:lvlText w:val="•"/>
      <w:lvlJc w:val="left"/>
      <w:pPr>
        <w:ind w:left="6247" w:hanging="601"/>
      </w:pPr>
      <w:rPr>
        <w:rFonts w:hint="default"/>
        <w:lang w:val="zh-CN" w:eastAsia="zh-CN" w:bidi="zh-CN"/>
      </w:rPr>
    </w:lvl>
    <w:lvl w:ilvl="7" w:tentative="0">
      <w:start w:val="0"/>
      <w:numFmt w:val="bullet"/>
      <w:lvlText w:val="•"/>
      <w:lvlJc w:val="left"/>
      <w:pPr>
        <w:ind w:left="7072" w:hanging="601"/>
      </w:pPr>
      <w:rPr>
        <w:rFonts w:hint="default"/>
        <w:lang w:val="zh-CN" w:eastAsia="zh-CN" w:bidi="zh-CN"/>
      </w:rPr>
    </w:lvl>
    <w:lvl w:ilvl="8" w:tentative="0">
      <w:start w:val="0"/>
      <w:numFmt w:val="bullet"/>
      <w:lvlText w:val="•"/>
      <w:lvlJc w:val="left"/>
      <w:pPr>
        <w:ind w:left="7896" w:hanging="601"/>
      </w:pPr>
      <w:rPr>
        <w:rFonts w:hint="default"/>
        <w:lang w:val="zh-CN" w:eastAsia="zh-CN" w:bidi="zh-CN"/>
      </w:rPr>
    </w:lvl>
  </w:abstractNum>
  <w:abstractNum w:abstractNumId="100">
    <w:nsid w:val="5E29AB5A"/>
    <w:multiLevelType w:val="multilevel"/>
    <w:tmpl w:val="5E29AB5A"/>
    <w:lvl w:ilvl="0" w:tentative="0">
      <w:start w:val="1"/>
      <w:numFmt w:val="decimal"/>
      <w:lvlText w:val="%1）"/>
      <w:lvlJc w:val="left"/>
      <w:pPr>
        <w:ind w:left="1059"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908" w:hanging="361"/>
      </w:pPr>
      <w:rPr>
        <w:rFonts w:hint="default"/>
        <w:lang w:val="zh-CN" w:eastAsia="zh-CN" w:bidi="zh-CN"/>
      </w:rPr>
    </w:lvl>
    <w:lvl w:ilvl="2" w:tentative="0">
      <w:start w:val="0"/>
      <w:numFmt w:val="bullet"/>
      <w:lvlText w:val="•"/>
      <w:lvlJc w:val="left"/>
      <w:pPr>
        <w:ind w:left="2757" w:hanging="361"/>
      </w:pPr>
      <w:rPr>
        <w:rFonts w:hint="default"/>
        <w:lang w:val="zh-CN" w:eastAsia="zh-CN" w:bidi="zh-CN"/>
      </w:rPr>
    </w:lvl>
    <w:lvl w:ilvl="3" w:tentative="0">
      <w:start w:val="0"/>
      <w:numFmt w:val="bullet"/>
      <w:lvlText w:val="•"/>
      <w:lvlJc w:val="left"/>
      <w:pPr>
        <w:ind w:left="3605" w:hanging="361"/>
      </w:pPr>
      <w:rPr>
        <w:rFonts w:hint="default"/>
        <w:lang w:val="zh-CN" w:eastAsia="zh-CN" w:bidi="zh-CN"/>
      </w:rPr>
    </w:lvl>
    <w:lvl w:ilvl="4" w:tentative="0">
      <w:start w:val="0"/>
      <w:numFmt w:val="bullet"/>
      <w:lvlText w:val="•"/>
      <w:lvlJc w:val="left"/>
      <w:pPr>
        <w:ind w:left="4454" w:hanging="361"/>
      </w:pPr>
      <w:rPr>
        <w:rFonts w:hint="default"/>
        <w:lang w:val="zh-CN" w:eastAsia="zh-CN" w:bidi="zh-CN"/>
      </w:rPr>
    </w:lvl>
    <w:lvl w:ilvl="5" w:tentative="0">
      <w:start w:val="0"/>
      <w:numFmt w:val="bullet"/>
      <w:lvlText w:val="•"/>
      <w:lvlJc w:val="left"/>
      <w:pPr>
        <w:ind w:left="5303" w:hanging="361"/>
      </w:pPr>
      <w:rPr>
        <w:rFonts w:hint="default"/>
        <w:lang w:val="zh-CN" w:eastAsia="zh-CN" w:bidi="zh-CN"/>
      </w:rPr>
    </w:lvl>
    <w:lvl w:ilvl="6" w:tentative="0">
      <w:start w:val="0"/>
      <w:numFmt w:val="bullet"/>
      <w:lvlText w:val="•"/>
      <w:lvlJc w:val="left"/>
      <w:pPr>
        <w:ind w:left="6151" w:hanging="361"/>
      </w:pPr>
      <w:rPr>
        <w:rFonts w:hint="default"/>
        <w:lang w:val="zh-CN" w:eastAsia="zh-CN" w:bidi="zh-CN"/>
      </w:rPr>
    </w:lvl>
    <w:lvl w:ilvl="7" w:tentative="0">
      <w:start w:val="0"/>
      <w:numFmt w:val="bullet"/>
      <w:lvlText w:val="•"/>
      <w:lvlJc w:val="left"/>
      <w:pPr>
        <w:ind w:left="7000" w:hanging="361"/>
      </w:pPr>
      <w:rPr>
        <w:rFonts w:hint="default"/>
        <w:lang w:val="zh-CN" w:eastAsia="zh-CN" w:bidi="zh-CN"/>
      </w:rPr>
    </w:lvl>
    <w:lvl w:ilvl="8" w:tentative="0">
      <w:start w:val="0"/>
      <w:numFmt w:val="bullet"/>
      <w:lvlText w:val="•"/>
      <w:lvlJc w:val="left"/>
      <w:pPr>
        <w:ind w:left="7848" w:hanging="361"/>
      </w:pPr>
      <w:rPr>
        <w:rFonts w:hint="default"/>
        <w:lang w:val="zh-CN" w:eastAsia="zh-CN" w:bidi="zh-CN"/>
      </w:rPr>
    </w:lvl>
  </w:abstractNum>
  <w:abstractNum w:abstractNumId="101">
    <w:nsid w:val="5FCE4367"/>
    <w:multiLevelType w:val="multilevel"/>
    <w:tmpl w:val="5FCE4367"/>
    <w:lvl w:ilvl="0" w:tentative="0">
      <w:start w:val="1"/>
      <w:numFmt w:val="decimal"/>
      <w:lvlText w:val="(%1)"/>
      <w:lvlJc w:val="left"/>
      <w:pPr>
        <w:ind w:left="1120" w:hanging="281"/>
        <w:jc w:val="righ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988" w:hanging="281"/>
      </w:pPr>
      <w:rPr>
        <w:rFonts w:hint="default"/>
        <w:lang w:val="zh-CN" w:eastAsia="zh-CN" w:bidi="zh-CN"/>
      </w:rPr>
    </w:lvl>
    <w:lvl w:ilvl="2" w:tentative="0">
      <w:start w:val="0"/>
      <w:numFmt w:val="bullet"/>
      <w:lvlText w:val="•"/>
      <w:lvlJc w:val="left"/>
      <w:pPr>
        <w:ind w:left="2857" w:hanging="281"/>
      </w:pPr>
      <w:rPr>
        <w:rFonts w:hint="default"/>
        <w:lang w:val="zh-CN" w:eastAsia="zh-CN" w:bidi="zh-CN"/>
      </w:rPr>
    </w:lvl>
    <w:lvl w:ilvl="3" w:tentative="0">
      <w:start w:val="0"/>
      <w:numFmt w:val="bullet"/>
      <w:lvlText w:val="•"/>
      <w:lvlJc w:val="left"/>
      <w:pPr>
        <w:ind w:left="3725" w:hanging="281"/>
      </w:pPr>
      <w:rPr>
        <w:rFonts w:hint="default"/>
        <w:lang w:val="zh-CN" w:eastAsia="zh-CN" w:bidi="zh-CN"/>
      </w:rPr>
    </w:lvl>
    <w:lvl w:ilvl="4" w:tentative="0">
      <w:start w:val="0"/>
      <w:numFmt w:val="bullet"/>
      <w:lvlText w:val="•"/>
      <w:lvlJc w:val="left"/>
      <w:pPr>
        <w:ind w:left="4594" w:hanging="281"/>
      </w:pPr>
      <w:rPr>
        <w:rFonts w:hint="default"/>
        <w:lang w:val="zh-CN" w:eastAsia="zh-CN" w:bidi="zh-CN"/>
      </w:rPr>
    </w:lvl>
    <w:lvl w:ilvl="5" w:tentative="0">
      <w:start w:val="0"/>
      <w:numFmt w:val="bullet"/>
      <w:lvlText w:val="•"/>
      <w:lvlJc w:val="left"/>
      <w:pPr>
        <w:ind w:left="5463" w:hanging="281"/>
      </w:pPr>
      <w:rPr>
        <w:rFonts w:hint="default"/>
        <w:lang w:val="zh-CN" w:eastAsia="zh-CN" w:bidi="zh-CN"/>
      </w:rPr>
    </w:lvl>
    <w:lvl w:ilvl="6" w:tentative="0">
      <w:start w:val="0"/>
      <w:numFmt w:val="bullet"/>
      <w:lvlText w:val="•"/>
      <w:lvlJc w:val="left"/>
      <w:pPr>
        <w:ind w:left="6331" w:hanging="281"/>
      </w:pPr>
      <w:rPr>
        <w:rFonts w:hint="default"/>
        <w:lang w:val="zh-CN" w:eastAsia="zh-CN" w:bidi="zh-CN"/>
      </w:rPr>
    </w:lvl>
    <w:lvl w:ilvl="7" w:tentative="0">
      <w:start w:val="0"/>
      <w:numFmt w:val="bullet"/>
      <w:lvlText w:val="•"/>
      <w:lvlJc w:val="left"/>
      <w:pPr>
        <w:ind w:left="7200" w:hanging="281"/>
      </w:pPr>
      <w:rPr>
        <w:rFonts w:hint="default"/>
        <w:lang w:val="zh-CN" w:eastAsia="zh-CN" w:bidi="zh-CN"/>
      </w:rPr>
    </w:lvl>
    <w:lvl w:ilvl="8" w:tentative="0">
      <w:start w:val="0"/>
      <w:numFmt w:val="bullet"/>
      <w:lvlText w:val="•"/>
      <w:lvlJc w:val="left"/>
      <w:pPr>
        <w:ind w:left="8068" w:hanging="281"/>
      </w:pPr>
      <w:rPr>
        <w:rFonts w:hint="default"/>
        <w:lang w:val="zh-CN" w:eastAsia="zh-CN" w:bidi="zh-CN"/>
      </w:rPr>
    </w:lvl>
  </w:abstractNum>
  <w:abstractNum w:abstractNumId="102">
    <w:nsid w:val="5FFFB1A7"/>
    <w:multiLevelType w:val="multilevel"/>
    <w:tmpl w:val="5FFFB1A7"/>
    <w:lvl w:ilvl="0" w:tentative="0">
      <w:start w:val="1"/>
      <w:numFmt w:val="decimal"/>
      <w:lvlText w:val="（%1）"/>
      <w:lvlJc w:val="left"/>
      <w:pPr>
        <w:ind w:left="24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3440" w:hanging="601"/>
      </w:pPr>
      <w:rPr>
        <w:rFonts w:hint="default"/>
        <w:lang w:val="zh-CN" w:eastAsia="zh-CN" w:bidi="zh-CN"/>
      </w:rPr>
    </w:lvl>
    <w:lvl w:ilvl="2" w:tentative="0">
      <w:start w:val="0"/>
      <w:numFmt w:val="bullet"/>
      <w:lvlText w:val="•"/>
      <w:lvlJc w:val="left"/>
      <w:pPr>
        <w:ind w:left="4381" w:hanging="601"/>
      </w:pPr>
      <w:rPr>
        <w:rFonts w:hint="default"/>
        <w:lang w:val="zh-CN" w:eastAsia="zh-CN" w:bidi="zh-CN"/>
      </w:rPr>
    </w:lvl>
    <w:lvl w:ilvl="3" w:tentative="0">
      <w:start w:val="0"/>
      <w:numFmt w:val="bullet"/>
      <w:lvlText w:val="•"/>
      <w:lvlJc w:val="left"/>
      <w:pPr>
        <w:ind w:left="5321" w:hanging="601"/>
      </w:pPr>
      <w:rPr>
        <w:rFonts w:hint="default"/>
        <w:lang w:val="zh-CN" w:eastAsia="zh-CN" w:bidi="zh-CN"/>
      </w:rPr>
    </w:lvl>
    <w:lvl w:ilvl="4" w:tentative="0">
      <w:start w:val="0"/>
      <w:numFmt w:val="bullet"/>
      <w:lvlText w:val="•"/>
      <w:lvlJc w:val="left"/>
      <w:pPr>
        <w:ind w:left="6262" w:hanging="601"/>
      </w:pPr>
      <w:rPr>
        <w:rFonts w:hint="default"/>
        <w:lang w:val="zh-CN" w:eastAsia="zh-CN" w:bidi="zh-CN"/>
      </w:rPr>
    </w:lvl>
    <w:lvl w:ilvl="5" w:tentative="0">
      <w:start w:val="0"/>
      <w:numFmt w:val="bullet"/>
      <w:lvlText w:val="•"/>
      <w:lvlJc w:val="left"/>
      <w:pPr>
        <w:ind w:left="7203" w:hanging="601"/>
      </w:pPr>
      <w:rPr>
        <w:rFonts w:hint="default"/>
        <w:lang w:val="zh-CN" w:eastAsia="zh-CN" w:bidi="zh-CN"/>
      </w:rPr>
    </w:lvl>
    <w:lvl w:ilvl="6" w:tentative="0">
      <w:start w:val="0"/>
      <w:numFmt w:val="bullet"/>
      <w:lvlText w:val="•"/>
      <w:lvlJc w:val="left"/>
      <w:pPr>
        <w:ind w:left="8143" w:hanging="601"/>
      </w:pPr>
      <w:rPr>
        <w:rFonts w:hint="default"/>
        <w:lang w:val="zh-CN" w:eastAsia="zh-CN" w:bidi="zh-CN"/>
      </w:rPr>
    </w:lvl>
    <w:lvl w:ilvl="7" w:tentative="0">
      <w:start w:val="0"/>
      <w:numFmt w:val="bullet"/>
      <w:lvlText w:val="•"/>
      <w:lvlJc w:val="left"/>
      <w:pPr>
        <w:ind w:left="9084" w:hanging="601"/>
      </w:pPr>
      <w:rPr>
        <w:rFonts w:hint="default"/>
        <w:lang w:val="zh-CN" w:eastAsia="zh-CN" w:bidi="zh-CN"/>
      </w:rPr>
    </w:lvl>
    <w:lvl w:ilvl="8" w:tentative="0">
      <w:start w:val="0"/>
      <w:numFmt w:val="bullet"/>
      <w:lvlText w:val="•"/>
      <w:lvlJc w:val="left"/>
      <w:pPr>
        <w:ind w:left="10024" w:hanging="601"/>
      </w:pPr>
      <w:rPr>
        <w:rFonts w:hint="default"/>
        <w:lang w:val="zh-CN" w:eastAsia="zh-CN" w:bidi="zh-CN"/>
      </w:rPr>
    </w:lvl>
  </w:abstractNum>
  <w:abstractNum w:abstractNumId="103">
    <w:nsid w:val="60382F6E"/>
    <w:multiLevelType w:val="multilevel"/>
    <w:tmpl w:val="60382F6E"/>
    <w:lvl w:ilvl="0" w:tentative="0">
      <w:start w:val="9"/>
      <w:numFmt w:val="decimal"/>
      <w:lvlText w:val="(%1)"/>
      <w:lvlJc w:val="left"/>
      <w:pPr>
        <w:ind w:left="978" w:hanging="28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836" w:hanging="281"/>
      </w:pPr>
      <w:rPr>
        <w:rFonts w:hint="default"/>
        <w:lang w:val="zh-CN" w:eastAsia="zh-CN" w:bidi="zh-CN"/>
      </w:rPr>
    </w:lvl>
    <w:lvl w:ilvl="2" w:tentative="0">
      <w:start w:val="0"/>
      <w:numFmt w:val="bullet"/>
      <w:lvlText w:val="•"/>
      <w:lvlJc w:val="left"/>
      <w:pPr>
        <w:ind w:left="2693" w:hanging="281"/>
      </w:pPr>
      <w:rPr>
        <w:rFonts w:hint="default"/>
        <w:lang w:val="zh-CN" w:eastAsia="zh-CN" w:bidi="zh-CN"/>
      </w:rPr>
    </w:lvl>
    <w:lvl w:ilvl="3" w:tentative="0">
      <w:start w:val="0"/>
      <w:numFmt w:val="bullet"/>
      <w:lvlText w:val="•"/>
      <w:lvlJc w:val="left"/>
      <w:pPr>
        <w:ind w:left="3549" w:hanging="281"/>
      </w:pPr>
      <w:rPr>
        <w:rFonts w:hint="default"/>
        <w:lang w:val="zh-CN" w:eastAsia="zh-CN" w:bidi="zh-CN"/>
      </w:rPr>
    </w:lvl>
    <w:lvl w:ilvl="4" w:tentative="0">
      <w:start w:val="0"/>
      <w:numFmt w:val="bullet"/>
      <w:lvlText w:val="•"/>
      <w:lvlJc w:val="left"/>
      <w:pPr>
        <w:ind w:left="4406" w:hanging="281"/>
      </w:pPr>
      <w:rPr>
        <w:rFonts w:hint="default"/>
        <w:lang w:val="zh-CN" w:eastAsia="zh-CN" w:bidi="zh-CN"/>
      </w:rPr>
    </w:lvl>
    <w:lvl w:ilvl="5" w:tentative="0">
      <w:start w:val="0"/>
      <w:numFmt w:val="bullet"/>
      <w:lvlText w:val="•"/>
      <w:lvlJc w:val="left"/>
      <w:pPr>
        <w:ind w:left="5263" w:hanging="281"/>
      </w:pPr>
      <w:rPr>
        <w:rFonts w:hint="default"/>
        <w:lang w:val="zh-CN" w:eastAsia="zh-CN" w:bidi="zh-CN"/>
      </w:rPr>
    </w:lvl>
    <w:lvl w:ilvl="6" w:tentative="0">
      <w:start w:val="0"/>
      <w:numFmt w:val="bullet"/>
      <w:lvlText w:val="•"/>
      <w:lvlJc w:val="left"/>
      <w:pPr>
        <w:ind w:left="6119" w:hanging="281"/>
      </w:pPr>
      <w:rPr>
        <w:rFonts w:hint="default"/>
        <w:lang w:val="zh-CN" w:eastAsia="zh-CN" w:bidi="zh-CN"/>
      </w:rPr>
    </w:lvl>
    <w:lvl w:ilvl="7" w:tentative="0">
      <w:start w:val="0"/>
      <w:numFmt w:val="bullet"/>
      <w:lvlText w:val="•"/>
      <w:lvlJc w:val="left"/>
      <w:pPr>
        <w:ind w:left="6976" w:hanging="281"/>
      </w:pPr>
      <w:rPr>
        <w:rFonts w:hint="default"/>
        <w:lang w:val="zh-CN" w:eastAsia="zh-CN" w:bidi="zh-CN"/>
      </w:rPr>
    </w:lvl>
    <w:lvl w:ilvl="8" w:tentative="0">
      <w:start w:val="0"/>
      <w:numFmt w:val="bullet"/>
      <w:lvlText w:val="•"/>
      <w:lvlJc w:val="left"/>
      <w:pPr>
        <w:ind w:left="7832" w:hanging="281"/>
      </w:pPr>
      <w:rPr>
        <w:rFonts w:hint="default"/>
        <w:lang w:val="zh-CN" w:eastAsia="zh-CN" w:bidi="zh-CN"/>
      </w:rPr>
    </w:lvl>
  </w:abstractNum>
  <w:abstractNum w:abstractNumId="104">
    <w:nsid w:val="610EFE5C"/>
    <w:multiLevelType w:val="multilevel"/>
    <w:tmpl w:val="610EFE5C"/>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105">
    <w:nsid w:val="629F7852"/>
    <w:multiLevelType w:val="multilevel"/>
    <w:tmpl w:val="629F7852"/>
    <w:lvl w:ilvl="0" w:tentative="0">
      <w:start w:val="2"/>
      <w:numFmt w:val="decimal"/>
      <w:lvlText w:val="%1"/>
      <w:lvlJc w:val="left"/>
      <w:pPr>
        <w:ind w:left="916" w:hanging="699"/>
        <w:jc w:val="left"/>
      </w:pPr>
      <w:rPr>
        <w:rFonts w:hint="default"/>
        <w:lang w:val="zh-CN" w:eastAsia="zh-CN" w:bidi="zh-CN"/>
      </w:rPr>
    </w:lvl>
    <w:lvl w:ilvl="1" w:tentative="0">
      <w:start w:val="2"/>
      <w:numFmt w:val="decimal"/>
      <w:lvlText w:val="%1.%2"/>
      <w:lvlJc w:val="left"/>
      <w:pPr>
        <w:ind w:left="916" w:hanging="699"/>
        <w:jc w:val="left"/>
      </w:pPr>
      <w:rPr>
        <w:rFonts w:hint="default"/>
        <w:lang w:val="zh-CN" w:eastAsia="zh-CN" w:bidi="zh-CN"/>
      </w:rPr>
    </w:lvl>
    <w:lvl w:ilvl="2" w:tentative="0">
      <w:start w:val="3"/>
      <w:numFmt w:val="decimal"/>
      <w:lvlText w:val="%1.%2.%3"/>
      <w:lvlJc w:val="left"/>
      <w:pPr>
        <w:ind w:left="916" w:hanging="69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879" w:hanging="181"/>
        <w:jc w:val="left"/>
      </w:pPr>
      <w:rPr>
        <w:rFonts w:hint="default" w:ascii="Times New Roman" w:hAnsi="Times New Roman" w:eastAsia="Times New Roman" w:cs="Times New Roman"/>
        <w:w w:val="100"/>
        <w:sz w:val="22"/>
        <w:szCs w:val="22"/>
        <w:lang w:val="zh-CN" w:eastAsia="zh-CN" w:bidi="zh-CN"/>
      </w:rPr>
    </w:lvl>
    <w:lvl w:ilvl="4" w:tentative="0">
      <w:start w:val="0"/>
      <w:numFmt w:val="bullet"/>
      <w:lvlText w:val="•"/>
      <w:lvlJc w:val="left"/>
      <w:pPr>
        <w:ind w:left="3795" w:hanging="181"/>
      </w:pPr>
      <w:rPr>
        <w:rFonts w:hint="default"/>
        <w:lang w:val="zh-CN" w:eastAsia="zh-CN" w:bidi="zh-CN"/>
      </w:rPr>
    </w:lvl>
    <w:lvl w:ilvl="5" w:tentative="0">
      <w:start w:val="0"/>
      <w:numFmt w:val="bullet"/>
      <w:lvlText w:val="•"/>
      <w:lvlJc w:val="left"/>
      <w:pPr>
        <w:ind w:left="4753" w:hanging="181"/>
      </w:pPr>
      <w:rPr>
        <w:rFonts w:hint="default"/>
        <w:lang w:val="zh-CN" w:eastAsia="zh-CN" w:bidi="zh-CN"/>
      </w:rPr>
    </w:lvl>
    <w:lvl w:ilvl="6" w:tentative="0">
      <w:start w:val="0"/>
      <w:numFmt w:val="bullet"/>
      <w:lvlText w:val="•"/>
      <w:lvlJc w:val="left"/>
      <w:pPr>
        <w:ind w:left="5712" w:hanging="181"/>
      </w:pPr>
      <w:rPr>
        <w:rFonts w:hint="default"/>
        <w:lang w:val="zh-CN" w:eastAsia="zh-CN" w:bidi="zh-CN"/>
      </w:rPr>
    </w:lvl>
    <w:lvl w:ilvl="7" w:tentative="0">
      <w:start w:val="0"/>
      <w:numFmt w:val="bullet"/>
      <w:lvlText w:val="•"/>
      <w:lvlJc w:val="left"/>
      <w:pPr>
        <w:ind w:left="6670" w:hanging="181"/>
      </w:pPr>
      <w:rPr>
        <w:rFonts w:hint="default"/>
        <w:lang w:val="zh-CN" w:eastAsia="zh-CN" w:bidi="zh-CN"/>
      </w:rPr>
    </w:lvl>
    <w:lvl w:ilvl="8" w:tentative="0">
      <w:start w:val="0"/>
      <w:numFmt w:val="bullet"/>
      <w:lvlText w:val="•"/>
      <w:lvlJc w:val="left"/>
      <w:pPr>
        <w:ind w:left="7629" w:hanging="181"/>
      </w:pPr>
      <w:rPr>
        <w:rFonts w:hint="default"/>
        <w:lang w:val="zh-CN" w:eastAsia="zh-CN" w:bidi="zh-CN"/>
      </w:rPr>
    </w:lvl>
  </w:abstractNum>
  <w:abstractNum w:abstractNumId="106">
    <w:nsid w:val="65CD0074"/>
    <w:multiLevelType w:val="multilevel"/>
    <w:tmpl w:val="65CD0074"/>
    <w:lvl w:ilvl="0" w:tentative="0">
      <w:start w:val="1"/>
      <w:numFmt w:val="decimal"/>
      <w:lvlText w:val="（%1）"/>
      <w:lvlJc w:val="left"/>
      <w:pPr>
        <w:ind w:left="1418" w:hanging="635"/>
        <w:jc w:val="left"/>
      </w:pPr>
      <w:rPr>
        <w:rFonts w:hint="default" w:ascii="宋体" w:hAnsi="宋体" w:eastAsia="宋体" w:cs="宋体"/>
        <w:spacing w:val="-99"/>
        <w:w w:val="100"/>
        <w:sz w:val="22"/>
        <w:szCs w:val="22"/>
        <w:lang w:val="zh-CN" w:eastAsia="zh-CN" w:bidi="zh-CN"/>
      </w:rPr>
    </w:lvl>
    <w:lvl w:ilvl="1" w:tentative="0">
      <w:start w:val="0"/>
      <w:numFmt w:val="bullet"/>
      <w:lvlText w:val="•"/>
      <w:lvlJc w:val="left"/>
      <w:pPr>
        <w:ind w:left="2468" w:hanging="635"/>
      </w:pPr>
      <w:rPr>
        <w:rFonts w:hint="default"/>
        <w:lang w:val="zh-CN" w:eastAsia="zh-CN" w:bidi="zh-CN"/>
      </w:rPr>
    </w:lvl>
    <w:lvl w:ilvl="2" w:tentative="0">
      <w:start w:val="0"/>
      <w:numFmt w:val="bullet"/>
      <w:lvlText w:val="•"/>
      <w:lvlJc w:val="left"/>
      <w:pPr>
        <w:ind w:left="3517" w:hanging="635"/>
      </w:pPr>
      <w:rPr>
        <w:rFonts w:hint="default"/>
        <w:lang w:val="zh-CN" w:eastAsia="zh-CN" w:bidi="zh-CN"/>
      </w:rPr>
    </w:lvl>
    <w:lvl w:ilvl="3" w:tentative="0">
      <w:start w:val="0"/>
      <w:numFmt w:val="bullet"/>
      <w:lvlText w:val="•"/>
      <w:lvlJc w:val="left"/>
      <w:pPr>
        <w:ind w:left="4565" w:hanging="635"/>
      </w:pPr>
      <w:rPr>
        <w:rFonts w:hint="default"/>
        <w:lang w:val="zh-CN" w:eastAsia="zh-CN" w:bidi="zh-CN"/>
      </w:rPr>
    </w:lvl>
    <w:lvl w:ilvl="4" w:tentative="0">
      <w:start w:val="0"/>
      <w:numFmt w:val="bullet"/>
      <w:lvlText w:val="•"/>
      <w:lvlJc w:val="left"/>
      <w:pPr>
        <w:ind w:left="5614" w:hanging="635"/>
      </w:pPr>
      <w:rPr>
        <w:rFonts w:hint="default"/>
        <w:lang w:val="zh-CN" w:eastAsia="zh-CN" w:bidi="zh-CN"/>
      </w:rPr>
    </w:lvl>
    <w:lvl w:ilvl="5" w:tentative="0">
      <w:start w:val="0"/>
      <w:numFmt w:val="bullet"/>
      <w:lvlText w:val="•"/>
      <w:lvlJc w:val="left"/>
      <w:pPr>
        <w:ind w:left="6663" w:hanging="635"/>
      </w:pPr>
      <w:rPr>
        <w:rFonts w:hint="default"/>
        <w:lang w:val="zh-CN" w:eastAsia="zh-CN" w:bidi="zh-CN"/>
      </w:rPr>
    </w:lvl>
    <w:lvl w:ilvl="6" w:tentative="0">
      <w:start w:val="0"/>
      <w:numFmt w:val="bullet"/>
      <w:lvlText w:val="•"/>
      <w:lvlJc w:val="left"/>
      <w:pPr>
        <w:ind w:left="7711" w:hanging="635"/>
      </w:pPr>
      <w:rPr>
        <w:rFonts w:hint="default"/>
        <w:lang w:val="zh-CN" w:eastAsia="zh-CN" w:bidi="zh-CN"/>
      </w:rPr>
    </w:lvl>
    <w:lvl w:ilvl="7" w:tentative="0">
      <w:start w:val="0"/>
      <w:numFmt w:val="bullet"/>
      <w:lvlText w:val="•"/>
      <w:lvlJc w:val="left"/>
      <w:pPr>
        <w:ind w:left="8760" w:hanging="635"/>
      </w:pPr>
      <w:rPr>
        <w:rFonts w:hint="default"/>
        <w:lang w:val="zh-CN" w:eastAsia="zh-CN" w:bidi="zh-CN"/>
      </w:rPr>
    </w:lvl>
    <w:lvl w:ilvl="8" w:tentative="0">
      <w:start w:val="0"/>
      <w:numFmt w:val="bullet"/>
      <w:lvlText w:val="•"/>
      <w:lvlJc w:val="left"/>
      <w:pPr>
        <w:ind w:left="9808" w:hanging="635"/>
      </w:pPr>
      <w:rPr>
        <w:rFonts w:hint="default"/>
        <w:lang w:val="zh-CN" w:eastAsia="zh-CN" w:bidi="zh-CN"/>
      </w:rPr>
    </w:lvl>
  </w:abstractNum>
  <w:abstractNum w:abstractNumId="107">
    <w:nsid w:val="68B298F7"/>
    <w:multiLevelType w:val="multilevel"/>
    <w:tmpl w:val="68B298F7"/>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108">
    <w:nsid w:val="700FDCEF"/>
    <w:multiLevelType w:val="multilevel"/>
    <w:tmpl w:val="700FDCEF"/>
    <w:lvl w:ilvl="0" w:tentative="0">
      <w:start w:val="1"/>
      <w:numFmt w:val="decimal"/>
      <w:lvlText w:val="（%1）"/>
      <w:lvlJc w:val="left"/>
      <w:pPr>
        <w:ind w:left="1418" w:hanging="605"/>
        <w:jc w:val="left"/>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2468" w:hanging="605"/>
      </w:pPr>
      <w:rPr>
        <w:rFonts w:hint="default"/>
        <w:lang w:val="zh-CN" w:eastAsia="zh-CN" w:bidi="zh-CN"/>
      </w:rPr>
    </w:lvl>
    <w:lvl w:ilvl="2" w:tentative="0">
      <w:start w:val="0"/>
      <w:numFmt w:val="bullet"/>
      <w:lvlText w:val="•"/>
      <w:lvlJc w:val="left"/>
      <w:pPr>
        <w:ind w:left="3517" w:hanging="605"/>
      </w:pPr>
      <w:rPr>
        <w:rFonts w:hint="default"/>
        <w:lang w:val="zh-CN" w:eastAsia="zh-CN" w:bidi="zh-CN"/>
      </w:rPr>
    </w:lvl>
    <w:lvl w:ilvl="3" w:tentative="0">
      <w:start w:val="0"/>
      <w:numFmt w:val="bullet"/>
      <w:lvlText w:val="•"/>
      <w:lvlJc w:val="left"/>
      <w:pPr>
        <w:ind w:left="4565" w:hanging="605"/>
      </w:pPr>
      <w:rPr>
        <w:rFonts w:hint="default"/>
        <w:lang w:val="zh-CN" w:eastAsia="zh-CN" w:bidi="zh-CN"/>
      </w:rPr>
    </w:lvl>
    <w:lvl w:ilvl="4" w:tentative="0">
      <w:start w:val="0"/>
      <w:numFmt w:val="bullet"/>
      <w:lvlText w:val="•"/>
      <w:lvlJc w:val="left"/>
      <w:pPr>
        <w:ind w:left="5614" w:hanging="605"/>
      </w:pPr>
      <w:rPr>
        <w:rFonts w:hint="default"/>
        <w:lang w:val="zh-CN" w:eastAsia="zh-CN" w:bidi="zh-CN"/>
      </w:rPr>
    </w:lvl>
    <w:lvl w:ilvl="5" w:tentative="0">
      <w:start w:val="0"/>
      <w:numFmt w:val="bullet"/>
      <w:lvlText w:val="•"/>
      <w:lvlJc w:val="left"/>
      <w:pPr>
        <w:ind w:left="6663" w:hanging="605"/>
      </w:pPr>
      <w:rPr>
        <w:rFonts w:hint="default"/>
        <w:lang w:val="zh-CN" w:eastAsia="zh-CN" w:bidi="zh-CN"/>
      </w:rPr>
    </w:lvl>
    <w:lvl w:ilvl="6" w:tentative="0">
      <w:start w:val="0"/>
      <w:numFmt w:val="bullet"/>
      <w:lvlText w:val="•"/>
      <w:lvlJc w:val="left"/>
      <w:pPr>
        <w:ind w:left="7711" w:hanging="605"/>
      </w:pPr>
      <w:rPr>
        <w:rFonts w:hint="default"/>
        <w:lang w:val="zh-CN" w:eastAsia="zh-CN" w:bidi="zh-CN"/>
      </w:rPr>
    </w:lvl>
    <w:lvl w:ilvl="7" w:tentative="0">
      <w:start w:val="0"/>
      <w:numFmt w:val="bullet"/>
      <w:lvlText w:val="•"/>
      <w:lvlJc w:val="left"/>
      <w:pPr>
        <w:ind w:left="8760" w:hanging="605"/>
      </w:pPr>
      <w:rPr>
        <w:rFonts w:hint="default"/>
        <w:lang w:val="zh-CN" w:eastAsia="zh-CN" w:bidi="zh-CN"/>
      </w:rPr>
    </w:lvl>
    <w:lvl w:ilvl="8" w:tentative="0">
      <w:start w:val="0"/>
      <w:numFmt w:val="bullet"/>
      <w:lvlText w:val="•"/>
      <w:lvlJc w:val="left"/>
      <w:pPr>
        <w:ind w:left="9808" w:hanging="605"/>
      </w:pPr>
      <w:rPr>
        <w:rFonts w:hint="default"/>
        <w:lang w:val="zh-CN" w:eastAsia="zh-CN" w:bidi="zh-CN"/>
      </w:rPr>
    </w:lvl>
  </w:abstractNum>
  <w:abstractNum w:abstractNumId="109">
    <w:nsid w:val="72183CF9"/>
    <w:multiLevelType w:val="multilevel"/>
    <w:tmpl w:val="72183CF9"/>
    <w:lvl w:ilvl="0" w:tentative="0">
      <w:start w:val="1"/>
      <w:numFmt w:val="decimal"/>
      <w:lvlText w:val="（%1）"/>
      <w:lvlJc w:val="left"/>
      <w:pPr>
        <w:ind w:left="1299" w:hanging="601"/>
        <w:jc w:val="left"/>
      </w:pPr>
      <w:rPr>
        <w:rFonts w:hint="default" w:ascii="宋体" w:hAnsi="宋体" w:eastAsia="宋体" w:cs="宋体"/>
        <w:color w:val="FF0000"/>
        <w:w w:val="100"/>
        <w:sz w:val="22"/>
        <w:szCs w:val="22"/>
        <w:lang w:val="zh-CN" w:eastAsia="zh-CN" w:bidi="zh-CN"/>
      </w:rPr>
    </w:lvl>
    <w:lvl w:ilvl="1" w:tentative="0">
      <w:start w:val="0"/>
      <w:numFmt w:val="bullet"/>
      <w:lvlText w:val="•"/>
      <w:lvlJc w:val="left"/>
      <w:pPr>
        <w:ind w:left="2124" w:hanging="601"/>
      </w:pPr>
      <w:rPr>
        <w:rFonts w:hint="default"/>
        <w:lang w:val="zh-CN" w:eastAsia="zh-CN" w:bidi="zh-CN"/>
      </w:rPr>
    </w:lvl>
    <w:lvl w:ilvl="2" w:tentative="0">
      <w:start w:val="0"/>
      <w:numFmt w:val="bullet"/>
      <w:lvlText w:val="•"/>
      <w:lvlJc w:val="left"/>
      <w:pPr>
        <w:ind w:left="2949" w:hanging="601"/>
      </w:pPr>
      <w:rPr>
        <w:rFonts w:hint="default"/>
        <w:lang w:val="zh-CN" w:eastAsia="zh-CN" w:bidi="zh-CN"/>
      </w:rPr>
    </w:lvl>
    <w:lvl w:ilvl="3" w:tentative="0">
      <w:start w:val="0"/>
      <w:numFmt w:val="bullet"/>
      <w:lvlText w:val="•"/>
      <w:lvlJc w:val="left"/>
      <w:pPr>
        <w:ind w:left="3773" w:hanging="601"/>
      </w:pPr>
      <w:rPr>
        <w:rFonts w:hint="default"/>
        <w:lang w:val="zh-CN" w:eastAsia="zh-CN" w:bidi="zh-CN"/>
      </w:rPr>
    </w:lvl>
    <w:lvl w:ilvl="4" w:tentative="0">
      <w:start w:val="0"/>
      <w:numFmt w:val="bullet"/>
      <w:lvlText w:val="•"/>
      <w:lvlJc w:val="left"/>
      <w:pPr>
        <w:ind w:left="4598" w:hanging="601"/>
      </w:pPr>
      <w:rPr>
        <w:rFonts w:hint="default"/>
        <w:lang w:val="zh-CN" w:eastAsia="zh-CN" w:bidi="zh-CN"/>
      </w:rPr>
    </w:lvl>
    <w:lvl w:ilvl="5" w:tentative="0">
      <w:start w:val="0"/>
      <w:numFmt w:val="bullet"/>
      <w:lvlText w:val="•"/>
      <w:lvlJc w:val="left"/>
      <w:pPr>
        <w:ind w:left="5423" w:hanging="601"/>
      </w:pPr>
      <w:rPr>
        <w:rFonts w:hint="default"/>
        <w:lang w:val="zh-CN" w:eastAsia="zh-CN" w:bidi="zh-CN"/>
      </w:rPr>
    </w:lvl>
    <w:lvl w:ilvl="6" w:tentative="0">
      <w:start w:val="0"/>
      <w:numFmt w:val="bullet"/>
      <w:lvlText w:val="•"/>
      <w:lvlJc w:val="left"/>
      <w:pPr>
        <w:ind w:left="6247" w:hanging="601"/>
      </w:pPr>
      <w:rPr>
        <w:rFonts w:hint="default"/>
        <w:lang w:val="zh-CN" w:eastAsia="zh-CN" w:bidi="zh-CN"/>
      </w:rPr>
    </w:lvl>
    <w:lvl w:ilvl="7" w:tentative="0">
      <w:start w:val="0"/>
      <w:numFmt w:val="bullet"/>
      <w:lvlText w:val="•"/>
      <w:lvlJc w:val="left"/>
      <w:pPr>
        <w:ind w:left="7072" w:hanging="601"/>
      </w:pPr>
      <w:rPr>
        <w:rFonts w:hint="default"/>
        <w:lang w:val="zh-CN" w:eastAsia="zh-CN" w:bidi="zh-CN"/>
      </w:rPr>
    </w:lvl>
    <w:lvl w:ilvl="8" w:tentative="0">
      <w:start w:val="0"/>
      <w:numFmt w:val="bullet"/>
      <w:lvlText w:val="•"/>
      <w:lvlJc w:val="left"/>
      <w:pPr>
        <w:ind w:left="7896" w:hanging="601"/>
      </w:pPr>
      <w:rPr>
        <w:rFonts w:hint="default"/>
        <w:lang w:val="zh-CN" w:eastAsia="zh-CN" w:bidi="zh-CN"/>
      </w:rPr>
    </w:lvl>
  </w:abstractNum>
  <w:abstractNum w:abstractNumId="110">
    <w:nsid w:val="74C28B35"/>
    <w:multiLevelType w:val="multilevel"/>
    <w:tmpl w:val="74C28B35"/>
    <w:lvl w:ilvl="0" w:tentative="0">
      <w:start w:val="1"/>
      <w:numFmt w:val="decimal"/>
      <w:lvlText w:val="（%1）"/>
      <w:lvlJc w:val="left"/>
      <w:pPr>
        <w:ind w:left="1418" w:hanging="605"/>
        <w:jc w:val="left"/>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2468" w:hanging="605"/>
      </w:pPr>
      <w:rPr>
        <w:rFonts w:hint="default"/>
        <w:lang w:val="zh-CN" w:eastAsia="zh-CN" w:bidi="zh-CN"/>
      </w:rPr>
    </w:lvl>
    <w:lvl w:ilvl="2" w:tentative="0">
      <w:start w:val="0"/>
      <w:numFmt w:val="bullet"/>
      <w:lvlText w:val="•"/>
      <w:lvlJc w:val="left"/>
      <w:pPr>
        <w:ind w:left="3517" w:hanging="605"/>
      </w:pPr>
      <w:rPr>
        <w:rFonts w:hint="default"/>
        <w:lang w:val="zh-CN" w:eastAsia="zh-CN" w:bidi="zh-CN"/>
      </w:rPr>
    </w:lvl>
    <w:lvl w:ilvl="3" w:tentative="0">
      <w:start w:val="0"/>
      <w:numFmt w:val="bullet"/>
      <w:lvlText w:val="•"/>
      <w:lvlJc w:val="left"/>
      <w:pPr>
        <w:ind w:left="4565" w:hanging="605"/>
      </w:pPr>
      <w:rPr>
        <w:rFonts w:hint="default"/>
        <w:lang w:val="zh-CN" w:eastAsia="zh-CN" w:bidi="zh-CN"/>
      </w:rPr>
    </w:lvl>
    <w:lvl w:ilvl="4" w:tentative="0">
      <w:start w:val="0"/>
      <w:numFmt w:val="bullet"/>
      <w:lvlText w:val="•"/>
      <w:lvlJc w:val="left"/>
      <w:pPr>
        <w:ind w:left="5614" w:hanging="605"/>
      </w:pPr>
      <w:rPr>
        <w:rFonts w:hint="default"/>
        <w:lang w:val="zh-CN" w:eastAsia="zh-CN" w:bidi="zh-CN"/>
      </w:rPr>
    </w:lvl>
    <w:lvl w:ilvl="5" w:tentative="0">
      <w:start w:val="0"/>
      <w:numFmt w:val="bullet"/>
      <w:lvlText w:val="•"/>
      <w:lvlJc w:val="left"/>
      <w:pPr>
        <w:ind w:left="6663" w:hanging="605"/>
      </w:pPr>
      <w:rPr>
        <w:rFonts w:hint="default"/>
        <w:lang w:val="zh-CN" w:eastAsia="zh-CN" w:bidi="zh-CN"/>
      </w:rPr>
    </w:lvl>
    <w:lvl w:ilvl="6" w:tentative="0">
      <w:start w:val="0"/>
      <w:numFmt w:val="bullet"/>
      <w:lvlText w:val="•"/>
      <w:lvlJc w:val="left"/>
      <w:pPr>
        <w:ind w:left="7711" w:hanging="605"/>
      </w:pPr>
      <w:rPr>
        <w:rFonts w:hint="default"/>
        <w:lang w:val="zh-CN" w:eastAsia="zh-CN" w:bidi="zh-CN"/>
      </w:rPr>
    </w:lvl>
    <w:lvl w:ilvl="7" w:tentative="0">
      <w:start w:val="0"/>
      <w:numFmt w:val="bullet"/>
      <w:lvlText w:val="•"/>
      <w:lvlJc w:val="left"/>
      <w:pPr>
        <w:ind w:left="8760" w:hanging="605"/>
      </w:pPr>
      <w:rPr>
        <w:rFonts w:hint="default"/>
        <w:lang w:val="zh-CN" w:eastAsia="zh-CN" w:bidi="zh-CN"/>
      </w:rPr>
    </w:lvl>
    <w:lvl w:ilvl="8" w:tentative="0">
      <w:start w:val="0"/>
      <w:numFmt w:val="bullet"/>
      <w:lvlText w:val="•"/>
      <w:lvlJc w:val="left"/>
      <w:pPr>
        <w:ind w:left="9808" w:hanging="605"/>
      </w:pPr>
      <w:rPr>
        <w:rFonts w:hint="default"/>
        <w:lang w:val="zh-CN" w:eastAsia="zh-CN" w:bidi="zh-CN"/>
      </w:rPr>
    </w:lvl>
  </w:abstractNum>
  <w:abstractNum w:abstractNumId="111">
    <w:nsid w:val="77633216"/>
    <w:multiLevelType w:val="multilevel"/>
    <w:tmpl w:val="77633216"/>
    <w:lvl w:ilvl="0" w:tentative="0">
      <w:start w:val="10"/>
      <w:numFmt w:val="decimal"/>
      <w:lvlText w:val="%1"/>
      <w:lvlJc w:val="left"/>
      <w:pPr>
        <w:ind w:left="2258" w:hanging="840"/>
        <w:jc w:val="left"/>
      </w:pPr>
      <w:rPr>
        <w:rFonts w:hint="default"/>
        <w:lang w:val="zh-CN" w:eastAsia="zh-CN" w:bidi="zh-CN"/>
      </w:rPr>
    </w:lvl>
    <w:lvl w:ilvl="1" w:tentative="0">
      <w:start w:val="3"/>
      <w:numFmt w:val="decimal"/>
      <w:lvlText w:val="%1.%2"/>
      <w:lvlJc w:val="left"/>
      <w:pPr>
        <w:ind w:left="2258" w:hanging="840"/>
        <w:jc w:val="left"/>
      </w:pPr>
      <w:rPr>
        <w:rFonts w:hint="default"/>
        <w:lang w:val="zh-CN" w:eastAsia="zh-CN" w:bidi="zh-CN"/>
      </w:rPr>
    </w:lvl>
    <w:lvl w:ilvl="2" w:tentative="0">
      <w:start w:val="1"/>
      <w:numFmt w:val="decimal"/>
      <w:lvlText w:val="%1.%2.%3"/>
      <w:lvlJc w:val="left"/>
      <w:pPr>
        <w:ind w:left="2258" w:hanging="840"/>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5153" w:hanging="840"/>
      </w:pPr>
      <w:rPr>
        <w:rFonts w:hint="default"/>
        <w:lang w:val="zh-CN" w:eastAsia="zh-CN" w:bidi="zh-CN"/>
      </w:rPr>
    </w:lvl>
    <w:lvl w:ilvl="4" w:tentative="0">
      <w:start w:val="0"/>
      <w:numFmt w:val="bullet"/>
      <w:lvlText w:val="•"/>
      <w:lvlJc w:val="left"/>
      <w:pPr>
        <w:ind w:left="6118" w:hanging="840"/>
      </w:pPr>
      <w:rPr>
        <w:rFonts w:hint="default"/>
        <w:lang w:val="zh-CN" w:eastAsia="zh-CN" w:bidi="zh-CN"/>
      </w:rPr>
    </w:lvl>
    <w:lvl w:ilvl="5" w:tentative="0">
      <w:start w:val="0"/>
      <w:numFmt w:val="bullet"/>
      <w:lvlText w:val="•"/>
      <w:lvlJc w:val="left"/>
      <w:pPr>
        <w:ind w:left="7083" w:hanging="840"/>
      </w:pPr>
      <w:rPr>
        <w:rFonts w:hint="default"/>
        <w:lang w:val="zh-CN" w:eastAsia="zh-CN" w:bidi="zh-CN"/>
      </w:rPr>
    </w:lvl>
    <w:lvl w:ilvl="6" w:tentative="0">
      <w:start w:val="0"/>
      <w:numFmt w:val="bullet"/>
      <w:lvlText w:val="•"/>
      <w:lvlJc w:val="left"/>
      <w:pPr>
        <w:ind w:left="8047" w:hanging="840"/>
      </w:pPr>
      <w:rPr>
        <w:rFonts w:hint="default"/>
        <w:lang w:val="zh-CN" w:eastAsia="zh-CN" w:bidi="zh-CN"/>
      </w:rPr>
    </w:lvl>
    <w:lvl w:ilvl="7" w:tentative="0">
      <w:start w:val="0"/>
      <w:numFmt w:val="bullet"/>
      <w:lvlText w:val="•"/>
      <w:lvlJc w:val="left"/>
      <w:pPr>
        <w:ind w:left="9012" w:hanging="840"/>
      </w:pPr>
      <w:rPr>
        <w:rFonts w:hint="default"/>
        <w:lang w:val="zh-CN" w:eastAsia="zh-CN" w:bidi="zh-CN"/>
      </w:rPr>
    </w:lvl>
    <w:lvl w:ilvl="8" w:tentative="0">
      <w:start w:val="0"/>
      <w:numFmt w:val="bullet"/>
      <w:lvlText w:val="•"/>
      <w:lvlJc w:val="left"/>
      <w:pPr>
        <w:ind w:left="9976" w:hanging="840"/>
      </w:pPr>
      <w:rPr>
        <w:rFonts w:hint="default"/>
        <w:lang w:val="zh-CN" w:eastAsia="zh-CN" w:bidi="zh-CN"/>
      </w:rPr>
    </w:lvl>
  </w:abstractNum>
  <w:abstractNum w:abstractNumId="112">
    <w:nsid w:val="77ECEA79"/>
    <w:multiLevelType w:val="multilevel"/>
    <w:tmpl w:val="77ECEA79"/>
    <w:lvl w:ilvl="0" w:tentative="0">
      <w:start w:val="1"/>
      <w:numFmt w:val="decimal"/>
      <w:lvlText w:val="%1"/>
      <w:lvlJc w:val="left"/>
      <w:pPr>
        <w:ind w:left="667" w:hanging="449"/>
        <w:jc w:val="left"/>
      </w:pPr>
      <w:rPr>
        <w:rFonts w:hint="default"/>
        <w:lang w:val="zh-CN" w:eastAsia="zh-CN" w:bidi="zh-CN"/>
      </w:rPr>
    </w:lvl>
    <w:lvl w:ilvl="1" w:tentative="0">
      <w:start w:val="5"/>
      <w:numFmt w:val="decimal"/>
      <w:lvlText w:val="%1.%2"/>
      <w:lvlJc w:val="left"/>
      <w:pPr>
        <w:ind w:left="66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84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2774" w:hanging="629"/>
      </w:pPr>
      <w:rPr>
        <w:rFonts w:hint="default"/>
        <w:lang w:val="zh-CN" w:eastAsia="zh-CN" w:bidi="zh-CN"/>
      </w:rPr>
    </w:lvl>
    <w:lvl w:ilvl="4" w:tentative="0">
      <w:start w:val="0"/>
      <w:numFmt w:val="bullet"/>
      <w:lvlText w:val="•"/>
      <w:lvlJc w:val="left"/>
      <w:pPr>
        <w:ind w:left="3742" w:hanging="629"/>
      </w:pPr>
      <w:rPr>
        <w:rFonts w:hint="default"/>
        <w:lang w:val="zh-CN" w:eastAsia="zh-CN" w:bidi="zh-CN"/>
      </w:rPr>
    </w:lvl>
    <w:lvl w:ilvl="5" w:tentative="0">
      <w:start w:val="0"/>
      <w:numFmt w:val="bullet"/>
      <w:lvlText w:val="•"/>
      <w:lvlJc w:val="left"/>
      <w:pPr>
        <w:ind w:left="4709" w:hanging="629"/>
      </w:pPr>
      <w:rPr>
        <w:rFonts w:hint="default"/>
        <w:lang w:val="zh-CN" w:eastAsia="zh-CN" w:bidi="zh-CN"/>
      </w:rPr>
    </w:lvl>
    <w:lvl w:ilvl="6" w:tentative="0">
      <w:start w:val="0"/>
      <w:numFmt w:val="bullet"/>
      <w:lvlText w:val="•"/>
      <w:lvlJc w:val="left"/>
      <w:pPr>
        <w:ind w:left="5676" w:hanging="629"/>
      </w:pPr>
      <w:rPr>
        <w:rFonts w:hint="default"/>
        <w:lang w:val="zh-CN" w:eastAsia="zh-CN" w:bidi="zh-CN"/>
      </w:rPr>
    </w:lvl>
    <w:lvl w:ilvl="7" w:tentative="0">
      <w:start w:val="0"/>
      <w:numFmt w:val="bullet"/>
      <w:lvlText w:val="•"/>
      <w:lvlJc w:val="left"/>
      <w:pPr>
        <w:ind w:left="6644" w:hanging="629"/>
      </w:pPr>
      <w:rPr>
        <w:rFonts w:hint="default"/>
        <w:lang w:val="zh-CN" w:eastAsia="zh-CN" w:bidi="zh-CN"/>
      </w:rPr>
    </w:lvl>
    <w:lvl w:ilvl="8" w:tentative="0">
      <w:start w:val="0"/>
      <w:numFmt w:val="bullet"/>
      <w:lvlText w:val="•"/>
      <w:lvlJc w:val="left"/>
      <w:pPr>
        <w:ind w:left="7611" w:hanging="629"/>
      </w:pPr>
      <w:rPr>
        <w:rFonts w:hint="default"/>
        <w:lang w:val="zh-CN" w:eastAsia="zh-CN" w:bidi="zh-CN"/>
      </w:rPr>
    </w:lvl>
  </w:abstractNum>
  <w:abstractNum w:abstractNumId="113">
    <w:nsid w:val="79AA4FA4"/>
    <w:multiLevelType w:val="multilevel"/>
    <w:tmpl w:val="79AA4FA4"/>
    <w:lvl w:ilvl="0" w:tentative="0">
      <w:start w:val="2"/>
      <w:numFmt w:val="decimal"/>
      <w:lvlText w:val="%1"/>
      <w:lvlJc w:val="left"/>
      <w:pPr>
        <w:ind w:left="744" w:hanging="526"/>
        <w:jc w:val="left"/>
      </w:pPr>
      <w:rPr>
        <w:rFonts w:hint="default"/>
        <w:lang w:val="zh-CN" w:eastAsia="zh-CN" w:bidi="zh-CN"/>
      </w:rPr>
    </w:lvl>
    <w:lvl w:ilvl="1" w:tentative="0">
      <w:start w:val="4"/>
      <w:numFmt w:val="decimal"/>
      <w:lvlText w:val="%1.%2"/>
      <w:lvlJc w:val="left"/>
      <w:pPr>
        <w:ind w:left="744" w:hanging="526"/>
        <w:jc w:val="lef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847" w:hanging="629"/>
        <w:jc w:val="righ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218" w:hanging="601"/>
        <w:jc w:val="left"/>
      </w:pPr>
      <w:rPr>
        <w:rFonts w:hint="default" w:ascii="宋体" w:hAnsi="宋体" w:eastAsia="宋体" w:cs="宋体"/>
        <w:spacing w:val="-27"/>
        <w:w w:val="100"/>
        <w:position w:val="2"/>
        <w:sz w:val="22"/>
        <w:szCs w:val="22"/>
        <w:lang w:val="zh-CN" w:eastAsia="zh-CN" w:bidi="zh-CN"/>
      </w:rPr>
    </w:lvl>
    <w:lvl w:ilvl="4" w:tentative="0">
      <w:start w:val="0"/>
      <w:numFmt w:val="bullet"/>
      <w:lvlText w:val="•"/>
      <w:lvlJc w:val="left"/>
      <w:pPr>
        <w:ind w:left="3016" w:hanging="601"/>
      </w:pPr>
      <w:rPr>
        <w:rFonts w:hint="default"/>
        <w:lang w:val="zh-CN" w:eastAsia="zh-CN" w:bidi="zh-CN"/>
      </w:rPr>
    </w:lvl>
    <w:lvl w:ilvl="5" w:tentative="0">
      <w:start w:val="0"/>
      <w:numFmt w:val="bullet"/>
      <w:lvlText w:val="•"/>
      <w:lvlJc w:val="left"/>
      <w:pPr>
        <w:ind w:left="4104" w:hanging="601"/>
      </w:pPr>
      <w:rPr>
        <w:rFonts w:hint="default"/>
        <w:lang w:val="zh-CN" w:eastAsia="zh-CN" w:bidi="zh-CN"/>
      </w:rPr>
    </w:lvl>
    <w:lvl w:ilvl="6" w:tentative="0">
      <w:start w:val="0"/>
      <w:numFmt w:val="bullet"/>
      <w:lvlText w:val="•"/>
      <w:lvlJc w:val="left"/>
      <w:pPr>
        <w:ind w:left="5193" w:hanging="601"/>
      </w:pPr>
      <w:rPr>
        <w:rFonts w:hint="default"/>
        <w:lang w:val="zh-CN" w:eastAsia="zh-CN" w:bidi="zh-CN"/>
      </w:rPr>
    </w:lvl>
    <w:lvl w:ilvl="7" w:tentative="0">
      <w:start w:val="0"/>
      <w:numFmt w:val="bullet"/>
      <w:lvlText w:val="•"/>
      <w:lvlJc w:val="left"/>
      <w:pPr>
        <w:ind w:left="6281" w:hanging="601"/>
      </w:pPr>
      <w:rPr>
        <w:rFonts w:hint="default"/>
        <w:lang w:val="zh-CN" w:eastAsia="zh-CN" w:bidi="zh-CN"/>
      </w:rPr>
    </w:lvl>
    <w:lvl w:ilvl="8" w:tentative="0">
      <w:start w:val="0"/>
      <w:numFmt w:val="bullet"/>
      <w:lvlText w:val="•"/>
      <w:lvlJc w:val="left"/>
      <w:pPr>
        <w:ind w:left="7369" w:hanging="601"/>
      </w:pPr>
      <w:rPr>
        <w:rFonts w:hint="default"/>
        <w:lang w:val="zh-CN" w:eastAsia="zh-CN" w:bidi="zh-CN"/>
      </w:rPr>
    </w:lvl>
  </w:abstractNum>
  <w:abstractNum w:abstractNumId="114">
    <w:nsid w:val="7C246926"/>
    <w:multiLevelType w:val="multilevel"/>
    <w:tmpl w:val="7C246926"/>
    <w:lvl w:ilvl="0" w:tentative="0">
      <w:start w:val="1"/>
      <w:numFmt w:val="decimal"/>
      <w:lvlText w:val="%1"/>
      <w:lvlJc w:val="left"/>
      <w:pPr>
        <w:ind w:left="847" w:hanging="629"/>
        <w:jc w:val="left"/>
      </w:pPr>
      <w:rPr>
        <w:rFonts w:hint="default"/>
        <w:lang w:val="zh-CN" w:eastAsia="zh-CN" w:bidi="zh-CN"/>
      </w:rPr>
    </w:lvl>
    <w:lvl w:ilvl="1" w:tentative="0">
      <w:start w:val="4"/>
      <w:numFmt w:val="decimal"/>
      <w:lvlText w:val="%1.%2"/>
      <w:lvlJc w:val="left"/>
      <w:pPr>
        <w:ind w:left="847" w:hanging="629"/>
        <w:jc w:val="left"/>
      </w:pPr>
      <w:rPr>
        <w:rFonts w:hint="default"/>
        <w:lang w:val="zh-CN" w:eastAsia="zh-CN" w:bidi="zh-CN"/>
      </w:rPr>
    </w:lvl>
    <w:lvl w:ilvl="2" w:tentative="0">
      <w:start w:val="4"/>
      <w:numFmt w:val="decimal"/>
      <w:lvlText w:val="%1.%2.%3"/>
      <w:lvlJc w:val="left"/>
      <w:pPr>
        <w:ind w:left="84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93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3808" w:hanging="720"/>
      </w:pPr>
      <w:rPr>
        <w:rFonts w:hint="default"/>
        <w:lang w:val="zh-CN" w:eastAsia="zh-CN" w:bidi="zh-CN"/>
      </w:rPr>
    </w:lvl>
    <w:lvl w:ilvl="5" w:tentative="0">
      <w:start w:val="0"/>
      <w:numFmt w:val="bullet"/>
      <w:lvlText w:val="•"/>
      <w:lvlJc w:val="left"/>
      <w:pPr>
        <w:ind w:left="4764" w:hanging="720"/>
      </w:pPr>
      <w:rPr>
        <w:rFonts w:hint="default"/>
        <w:lang w:val="zh-CN" w:eastAsia="zh-CN" w:bidi="zh-CN"/>
      </w:rPr>
    </w:lvl>
    <w:lvl w:ilvl="6" w:tentative="0">
      <w:start w:val="0"/>
      <w:numFmt w:val="bullet"/>
      <w:lvlText w:val="•"/>
      <w:lvlJc w:val="left"/>
      <w:pPr>
        <w:ind w:left="5721" w:hanging="720"/>
      </w:pPr>
      <w:rPr>
        <w:rFonts w:hint="default"/>
        <w:lang w:val="zh-CN" w:eastAsia="zh-CN" w:bidi="zh-CN"/>
      </w:rPr>
    </w:lvl>
    <w:lvl w:ilvl="7" w:tentative="0">
      <w:start w:val="0"/>
      <w:numFmt w:val="bullet"/>
      <w:lvlText w:val="•"/>
      <w:lvlJc w:val="left"/>
      <w:pPr>
        <w:ind w:left="6677" w:hanging="720"/>
      </w:pPr>
      <w:rPr>
        <w:rFonts w:hint="default"/>
        <w:lang w:val="zh-CN" w:eastAsia="zh-CN" w:bidi="zh-CN"/>
      </w:rPr>
    </w:lvl>
    <w:lvl w:ilvl="8" w:tentative="0">
      <w:start w:val="0"/>
      <w:numFmt w:val="bullet"/>
      <w:lvlText w:val="•"/>
      <w:lvlJc w:val="left"/>
      <w:pPr>
        <w:ind w:left="7633" w:hanging="720"/>
      </w:pPr>
      <w:rPr>
        <w:rFonts w:hint="default"/>
        <w:lang w:val="zh-CN" w:eastAsia="zh-CN" w:bidi="zh-CN"/>
      </w:rPr>
    </w:lvl>
  </w:abstractNum>
  <w:abstractNum w:abstractNumId="115">
    <w:nsid w:val="7DEC2089"/>
    <w:multiLevelType w:val="multilevel"/>
    <w:tmpl w:val="7DEC2089"/>
    <w:lvl w:ilvl="0" w:tentative="0">
      <w:start w:val="1"/>
      <w:numFmt w:val="decimal"/>
      <w:lvlText w:val="（%1）"/>
      <w:lvlJc w:val="left"/>
      <w:pPr>
        <w:ind w:left="218" w:hanging="60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152" w:hanging="603"/>
      </w:pPr>
      <w:rPr>
        <w:rFonts w:hint="default"/>
        <w:lang w:val="zh-CN" w:eastAsia="zh-CN" w:bidi="zh-CN"/>
      </w:rPr>
    </w:lvl>
    <w:lvl w:ilvl="2" w:tentative="0">
      <w:start w:val="0"/>
      <w:numFmt w:val="bullet"/>
      <w:lvlText w:val="•"/>
      <w:lvlJc w:val="left"/>
      <w:pPr>
        <w:ind w:left="2085" w:hanging="603"/>
      </w:pPr>
      <w:rPr>
        <w:rFonts w:hint="default"/>
        <w:lang w:val="zh-CN" w:eastAsia="zh-CN" w:bidi="zh-CN"/>
      </w:rPr>
    </w:lvl>
    <w:lvl w:ilvl="3" w:tentative="0">
      <w:start w:val="0"/>
      <w:numFmt w:val="bullet"/>
      <w:lvlText w:val="•"/>
      <w:lvlJc w:val="left"/>
      <w:pPr>
        <w:ind w:left="3017" w:hanging="603"/>
      </w:pPr>
      <w:rPr>
        <w:rFonts w:hint="default"/>
        <w:lang w:val="zh-CN" w:eastAsia="zh-CN" w:bidi="zh-CN"/>
      </w:rPr>
    </w:lvl>
    <w:lvl w:ilvl="4" w:tentative="0">
      <w:start w:val="0"/>
      <w:numFmt w:val="bullet"/>
      <w:lvlText w:val="•"/>
      <w:lvlJc w:val="left"/>
      <w:pPr>
        <w:ind w:left="3950" w:hanging="603"/>
      </w:pPr>
      <w:rPr>
        <w:rFonts w:hint="default"/>
        <w:lang w:val="zh-CN" w:eastAsia="zh-CN" w:bidi="zh-CN"/>
      </w:rPr>
    </w:lvl>
    <w:lvl w:ilvl="5" w:tentative="0">
      <w:start w:val="0"/>
      <w:numFmt w:val="bullet"/>
      <w:lvlText w:val="•"/>
      <w:lvlJc w:val="left"/>
      <w:pPr>
        <w:ind w:left="4883" w:hanging="603"/>
      </w:pPr>
      <w:rPr>
        <w:rFonts w:hint="default"/>
        <w:lang w:val="zh-CN" w:eastAsia="zh-CN" w:bidi="zh-CN"/>
      </w:rPr>
    </w:lvl>
    <w:lvl w:ilvl="6" w:tentative="0">
      <w:start w:val="0"/>
      <w:numFmt w:val="bullet"/>
      <w:lvlText w:val="•"/>
      <w:lvlJc w:val="left"/>
      <w:pPr>
        <w:ind w:left="5815" w:hanging="603"/>
      </w:pPr>
      <w:rPr>
        <w:rFonts w:hint="default"/>
        <w:lang w:val="zh-CN" w:eastAsia="zh-CN" w:bidi="zh-CN"/>
      </w:rPr>
    </w:lvl>
    <w:lvl w:ilvl="7" w:tentative="0">
      <w:start w:val="0"/>
      <w:numFmt w:val="bullet"/>
      <w:lvlText w:val="•"/>
      <w:lvlJc w:val="left"/>
      <w:pPr>
        <w:ind w:left="6748" w:hanging="603"/>
      </w:pPr>
      <w:rPr>
        <w:rFonts w:hint="default"/>
        <w:lang w:val="zh-CN" w:eastAsia="zh-CN" w:bidi="zh-CN"/>
      </w:rPr>
    </w:lvl>
    <w:lvl w:ilvl="8" w:tentative="0">
      <w:start w:val="0"/>
      <w:numFmt w:val="bullet"/>
      <w:lvlText w:val="•"/>
      <w:lvlJc w:val="left"/>
      <w:pPr>
        <w:ind w:left="7680" w:hanging="603"/>
      </w:pPr>
      <w:rPr>
        <w:rFonts w:hint="default"/>
        <w:lang w:val="zh-CN" w:eastAsia="zh-CN" w:bidi="zh-CN"/>
      </w:rPr>
    </w:lvl>
  </w:abstractNum>
  <w:num w:numId="1">
    <w:abstractNumId w:val="57"/>
  </w:num>
  <w:num w:numId="2">
    <w:abstractNumId w:val="39"/>
  </w:num>
  <w:num w:numId="3">
    <w:abstractNumId w:val="97"/>
  </w:num>
  <w:num w:numId="4">
    <w:abstractNumId w:val="33"/>
  </w:num>
  <w:num w:numId="5">
    <w:abstractNumId w:val="25"/>
  </w:num>
  <w:num w:numId="6">
    <w:abstractNumId w:val="61"/>
  </w:num>
  <w:num w:numId="7">
    <w:abstractNumId w:val="77"/>
  </w:num>
  <w:num w:numId="8">
    <w:abstractNumId w:val="109"/>
  </w:num>
  <w:num w:numId="9">
    <w:abstractNumId w:val="59"/>
  </w:num>
  <w:num w:numId="10">
    <w:abstractNumId w:val="9"/>
  </w:num>
  <w:num w:numId="11">
    <w:abstractNumId w:val="78"/>
  </w:num>
  <w:num w:numId="12">
    <w:abstractNumId w:val="99"/>
  </w:num>
  <w:num w:numId="13">
    <w:abstractNumId w:val="37"/>
  </w:num>
  <w:num w:numId="14">
    <w:abstractNumId w:val="93"/>
  </w:num>
  <w:num w:numId="15">
    <w:abstractNumId w:val="52"/>
  </w:num>
  <w:num w:numId="16">
    <w:abstractNumId w:val="76"/>
  </w:num>
  <w:num w:numId="17">
    <w:abstractNumId w:val="44"/>
  </w:num>
  <w:num w:numId="18">
    <w:abstractNumId w:val="42"/>
  </w:num>
  <w:num w:numId="19">
    <w:abstractNumId w:val="14"/>
  </w:num>
  <w:num w:numId="20">
    <w:abstractNumId w:val="90"/>
  </w:num>
  <w:num w:numId="21">
    <w:abstractNumId w:val="103"/>
  </w:num>
  <w:num w:numId="22">
    <w:abstractNumId w:val="64"/>
  </w:num>
  <w:num w:numId="23">
    <w:abstractNumId w:val="88"/>
  </w:num>
  <w:num w:numId="24">
    <w:abstractNumId w:val="22"/>
  </w:num>
  <w:num w:numId="25">
    <w:abstractNumId w:val="114"/>
  </w:num>
  <w:num w:numId="26">
    <w:abstractNumId w:val="112"/>
  </w:num>
  <w:num w:numId="27">
    <w:abstractNumId w:val="32"/>
  </w:num>
  <w:num w:numId="28">
    <w:abstractNumId w:val="105"/>
  </w:num>
  <w:num w:numId="29">
    <w:abstractNumId w:val="10"/>
  </w:num>
  <w:num w:numId="30">
    <w:abstractNumId w:val="85"/>
  </w:num>
  <w:num w:numId="31">
    <w:abstractNumId w:val="4"/>
  </w:num>
  <w:num w:numId="32">
    <w:abstractNumId w:val="96"/>
  </w:num>
  <w:num w:numId="33">
    <w:abstractNumId w:val="115"/>
  </w:num>
  <w:num w:numId="34">
    <w:abstractNumId w:val="1"/>
  </w:num>
  <w:num w:numId="35">
    <w:abstractNumId w:val="75"/>
  </w:num>
  <w:num w:numId="36">
    <w:abstractNumId w:val="94"/>
  </w:num>
  <w:num w:numId="37">
    <w:abstractNumId w:val="55"/>
  </w:num>
  <w:num w:numId="38">
    <w:abstractNumId w:val="46"/>
  </w:num>
  <w:num w:numId="39">
    <w:abstractNumId w:val="81"/>
  </w:num>
  <w:num w:numId="40">
    <w:abstractNumId w:val="113"/>
  </w:num>
  <w:num w:numId="41">
    <w:abstractNumId w:val="28"/>
  </w:num>
  <w:num w:numId="42">
    <w:abstractNumId w:val="7"/>
  </w:num>
  <w:num w:numId="43">
    <w:abstractNumId w:val="27"/>
  </w:num>
  <w:num w:numId="44">
    <w:abstractNumId w:val="100"/>
  </w:num>
  <w:num w:numId="45">
    <w:abstractNumId w:val="3"/>
  </w:num>
  <w:num w:numId="46">
    <w:abstractNumId w:val="70"/>
  </w:num>
  <w:num w:numId="47">
    <w:abstractNumId w:val="6"/>
  </w:num>
  <w:num w:numId="48">
    <w:abstractNumId w:val="102"/>
  </w:num>
  <w:num w:numId="49">
    <w:abstractNumId w:val="110"/>
  </w:num>
  <w:num w:numId="50">
    <w:abstractNumId w:val="91"/>
  </w:num>
  <w:num w:numId="51">
    <w:abstractNumId w:val="82"/>
  </w:num>
  <w:num w:numId="52">
    <w:abstractNumId w:val="106"/>
  </w:num>
  <w:num w:numId="53">
    <w:abstractNumId w:val="62"/>
  </w:num>
  <w:num w:numId="54">
    <w:abstractNumId w:val="63"/>
  </w:num>
  <w:num w:numId="55">
    <w:abstractNumId w:val="41"/>
  </w:num>
  <w:num w:numId="56">
    <w:abstractNumId w:val="83"/>
  </w:num>
  <w:num w:numId="57">
    <w:abstractNumId w:val="73"/>
  </w:num>
  <w:num w:numId="58">
    <w:abstractNumId w:val="49"/>
  </w:num>
  <w:num w:numId="59">
    <w:abstractNumId w:val="74"/>
  </w:num>
  <w:num w:numId="60">
    <w:abstractNumId w:val="24"/>
  </w:num>
  <w:num w:numId="61">
    <w:abstractNumId w:val="87"/>
  </w:num>
  <w:num w:numId="62">
    <w:abstractNumId w:val="65"/>
  </w:num>
  <w:num w:numId="63">
    <w:abstractNumId w:val="84"/>
  </w:num>
  <w:num w:numId="64">
    <w:abstractNumId w:val="60"/>
  </w:num>
  <w:num w:numId="65">
    <w:abstractNumId w:val="35"/>
  </w:num>
  <w:num w:numId="66">
    <w:abstractNumId w:val="67"/>
  </w:num>
  <w:num w:numId="67">
    <w:abstractNumId w:val="23"/>
  </w:num>
  <w:num w:numId="68">
    <w:abstractNumId w:val="86"/>
  </w:num>
  <w:num w:numId="69">
    <w:abstractNumId w:val="18"/>
  </w:num>
  <w:num w:numId="70">
    <w:abstractNumId w:val="54"/>
  </w:num>
  <w:num w:numId="71">
    <w:abstractNumId w:val="80"/>
  </w:num>
  <w:num w:numId="72">
    <w:abstractNumId w:val="56"/>
  </w:num>
  <w:num w:numId="73">
    <w:abstractNumId w:val="69"/>
  </w:num>
  <w:num w:numId="74">
    <w:abstractNumId w:val="108"/>
  </w:num>
  <w:num w:numId="75">
    <w:abstractNumId w:val="47"/>
  </w:num>
  <w:num w:numId="76">
    <w:abstractNumId w:val="36"/>
  </w:num>
  <w:num w:numId="77">
    <w:abstractNumId w:val="17"/>
  </w:num>
  <w:num w:numId="78">
    <w:abstractNumId w:val="111"/>
  </w:num>
  <w:num w:numId="79">
    <w:abstractNumId w:val="43"/>
  </w:num>
  <w:num w:numId="80">
    <w:abstractNumId w:val="26"/>
  </w:num>
  <w:num w:numId="81">
    <w:abstractNumId w:val="79"/>
  </w:num>
  <w:num w:numId="82">
    <w:abstractNumId w:val="48"/>
  </w:num>
  <w:num w:numId="83">
    <w:abstractNumId w:val="12"/>
  </w:num>
  <w:num w:numId="84">
    <w:abstractNumId w:val="98"/>
  </w:num>
  <w:num w:numId="85">
    <w:abstractNumId w:val="30"/>
  </w:num>
  <w:num w:numId="86">
    <w:abstractNumId w:val="21"/>
  </w:num>
  <w:num w:numId="87">
    <w:abstractNumId w:val="11"/>
  </w:num>
  <w:num w:numId="88">
    <w:abstractNumId w:val="15"/>
  </w:num>
  <w:num w:numId="89">
    <w:abstractNumId w:val="20"/>
  </w:num>
  <w:num w:numId="90">
    <w:abstractNumId w:val="8"/>
  </w:num>
  <w:num w:numId="91">
    <w:abstractNumId w:val="72"/>
  </w:num>
  <w:num w:numId="92">
    <w:abstractNumId w:val="31"/>
  </w:num>
  <w:num w:numId="93">
    <w:abstractNumId w:val="68"/>
  </w:num>
  <w:num w:numId="94">
    <w:abstractNumId w:val="40"/>
  </w:num>
  <w:num w:numId="95">
    <w:abstractNumId w:val="107"/>
  </w:num>
  <w:num w:numId="96">
    <w:abstractNumId w:val="0"/>
  </w:num>
  <w:num w:numId="97">
    <w:abstractNumId w:val="29"/>
  </w:num>
  <w:num w:numId="98">
    <w:abstractNumId w:val="53"/>
  </w:num>
  <w:num w:numId="99">
    <w:abstractNumId w:val="92"/>
  </w:num>
  <w:num w:numId="100">
    <w:abstractNumId w:val="66"/>
  </w:num>
  <w:num w:numId="101">
    <w:abstractNumId w:val="13"/>
  </w:num>
  <w:num w:numId="102">
    <w:abstractNumId w:val="45"/>
  </w:num>
  <w:num w:numId="103">
    <w:abstractNumId w:val="71"/>
  </w:num>
  <w:num w:numId="104">
    <w:abstractNumId w:val="89"/>
  </w:num>
  <w:num w:numId="105">
    <w:abstractNumId w:val="19"/>
  </w:num>
  <w:num w:numId="106">
    <w:abstractNumId w:val="104"/>
  </w:num>
  <w:num w:numId="107">
    <w:abstractNumId w:val="2"/>
  </w:num>
  <w:num w:numId="108">
    <w:abstractNumId w:val="5"/>
  </w:num>
  <w:num w:numId="109">
    <w:abstractNumId w:val="58"/>
  </w:num>
  <w:num w:numId="110">
    <w:abstractNumId w:val="16"/>
  </w:num>
  <w:num w:numId="111">
    <w:abstractNumId w:val="34"/>
  </w:num>
  <w:num w:numId="112">
    <w:abstractNumId w:val="38"/>
  </w:num>
  <w:num w:numId="113">
    <w:abstractNumId w:val="51"/>
  </w:num>
  <w:num w:numId="114">
    <w:abstractNumId w:val="101"/>
  </w:num>
  <w:num w:numId="115">
    <w:abstractNumId w:val="50"/>
  </w:num>
  <w:num w:numId="116">
    <w:abstractNumId w:val="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6A70AF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23"/>
      <w:ind w:left="293" w:hanging="4258"/>
      <w:outlineLvl w:val="1"/>
    </w:pPr>
    <w:rPr>
      <w:rFonts w:ascii="宋体" w:hAnsi="宋体" w:eastAsia="宋体" w:cs="宋体"/>
      <w:b/>
      <w:bCs/>
      <w:sz w:val="44"/>
      <w:szCs w:val="44"/>
      <w:lang w:val="zh-CN" w:eastAsia="zh-CN" w:bidi="zh-CN"/>
    </w:rPr>
  </w:style>
  <w:style w:type="paragraph" w:styleId="3">
    <w:name w:val="heading 2"/>
    <w:basedOn w:val="1"/>
    <w:next w:val="1"/>
    <w:qFormat/>
    <w:uiPriority w:val="1"/>
    <w:pPr>
      <w:spacing w:before="61"/>
      <w:ind w:left="4464" w:hanging="632"/>
      <w:outlineLvl w:val="2"/>
    </w:pPr>
    <w:rPr>
      <w:rFonts w:ascii="宋体" w:hAnsi="宋体" w:eastAsia="宋体" w:cs="宋体"/>
      <w:b/>
      <w:bCs/>
      <w:sz w:val="36"/>
      <w:szCs w:val="36"/>
      <w:lang w:val="zh-CN" w:eastAsia="zh-CN" w:bidi="zh-CN"/>
    </w:rPr>
  </w:style>
  <w:style w:type="paragraph" w:styleId="4">
    <w:name w:val="heading 3"/>
    <w:basedOn w:val="1"/>
    <w:next w:val="1"/>
    <w:qFormat/>
    <w:uiPriority w:val="1"/>
    <w:pPr>
      <w:ind w:left="1320" w:hanging="720"/>
      <w:outlineLvl w:val="3"/>
    </w:pPr>
    <w:rPr>
      <w:rFonts w:ascii="宋体" w:hAnsi="宋体" w:eastAsia="宋体" w:cs="宋体"/>
      <w:b/>
      <w:bCs/>
      <w:sz w:val="32"/>
      <w:szCs w:val="32"/>
      <w:lang w:val="zh-CN" w:eastAsia="zh-CN" w:bidi="zh-CN"/>
    </w:rPr>
  </w:style>
  <w:style w:type="paragraph" w:styleId="5">
    <w:name w:val="heading 4"/>
    <w:basedOn w:val="1"/>
    <w:next w:val="1"/>
    <w:qFormat/>
    <w:uiPriority w:val="1"/>
    <w:pPr>
      <w:ind w:left="1867" w:hanging="450"/>
      <w:outlineLvl w:val="4"/>
    </w:pPr>
    <w:rPr>
      <w:rFonts w:ascii="宋体" w:hAnsi="宋体" w:eastAsia="宋体" w:cs="宋体"/>
      <w:b/>
      <w:bCs/>
      <w:sz w:val="30"/>
      <w:szCs w:val="30"/>
      <w:lang w:val="zh-CN" w:eastAsia="zh-CN" w:bidi="zh-CN"/>
    </w:rPr>
  </w:style>
  <w:style w:type="paragraph" w:styleId="6">
    <w:name w:val="heading 5"/>
    <w:basedOn w:val="1"/>
    <w:next w:val="1"/>
    <w:qFormat/>
    <w:uiPriority w:val="1"/>
    <w:pPr>
      <w:ind w:left="2047" w:hanging="630"/>
      <w:outlineLvl w:val="5"/>
    </w:pPr>
    <w:rPr>
      <w:rFonts w:ascii="宋体" w:hAnsi="宋体" w:eastAsia="宋体" w:cs="宋体"/>
      <w:b/>
      <w:bCs/>
      <w:sz w:val="28"/>
      <w:szCs w:val="28"/>
      <w:lang w:val="zh-CN" w:eastAsia="zh-CN" w:bidi="zh-CN"/>
    </w:rPr>
  </w:style>
  <w:style w:type="paragraph" w:styleId="7">
    <w:name w:val="heading 6"/>
    <w:basedOn w:val="1"/>
    <w:next w:val="1"/>
    <w:qFormat/>
    <w:uiPriority w:val="1"/>
    <w:pPr>
      <w:spacing w:before="45"/>
      <w:ind w:left="2203" w:hanging="651"/>
      <w:jc w:val="both"/>
      <w:outlineLvl w:val="6"/>
    </w:pPr>
    <w:rPr>
      <w:rFonts w:ascii="宋体" w:hAnsi="宋体" w:eastAsia="宋体" w:cs="宋体"/>
      <w:b/>
      <w:bCs/>
      <w:sz w:val="26"/>
      <w:szCs w:val="26"/>
      <w:lang w:val="zh-CN" w:eastAsia="zh-CN" w:bidi="zh-CN"/>
    </w:rPr>
  </w:style>
  <w:style w:type="paragraph" w:styleId="8">
    <w:name w:val="heading 7"/>
    <w:basedOn w:val="1"/>
    <w:next w:val="1"/>
    <w:qFormat/>
    <w:uiPriority w:val="1"/>
    <w:pPr>
      <w:ind w:left="2138" w:hanging="721"/>
      <w:outlineLvl w:val="7"/>
    </w:pPr>
    <w:rPr>
      <w:rFonts w:ascii="宋体" w:hAnsi="宋体" w:eastAsia="宋体" w:cs="宋体"/>
      <w:b/>
      <w:bCs/>
      <w:sz w:val="24"/>
      <w:szCs w:val="24"/>
      <w:lang w:val="zh-CN" w:eastAsia="zh-CN" w:bidi="zh-CN"/>
    </w:rPr>
  </w:style>
  <w:style w:type="character" w:default="1" w:styleId="16">
    <w:name w:val="Default Paragraph Font"/>
    <w:semiHidden/>
    <w:unhideWhenUsed/>
    <w:uiPriority w:val="1"/>
  </w:style>
  <w:style w:type="table" w:default="1" w:styleId="15">
    <w:name w:val="Normal Table"/>
    <w:semiHidden/>
    <w:qFormat/>
    <w:uiPriority w:val="0"/>
    <w:tblPr>
      <w:tblCellMar>
        <w:top w:w="0" w:type="dxa"/>
        <w:left w:w="108" w:type="dxa"/>
        <w:bottom w:w="0" w:type="dxa"/>
        <w:right w:w="108" w:type="dxa"/>
      </w:tblCellMar>
    </w:tblPr>
  </w:style>
  <w:style w:type="paragraph" w:styleId="9">
    <w:name w:val="Body Text"/>
    <w:basedOn w:val="1"/>
    <w:qFormat/>
    <w:uiPriority w:val="1"/>
    <w:rPr>
      <w:rFonts w:ascii="宋体" w:hAnsi="宋体" w:eastAsia="宋体" w:cs="宋体"/>
      <w:sz w:val="24"/>
      <w:szCs w:val="24"/>
      <w:lang w:val="zh-CN" w:eastAsia="zh-CN" w:bidi="zh-CN"/>
    </w:rPr>
  </w:style>
  <w:style w:type="paragraph" w:styleId="10">
    <w:name w:val="toc 5"/>
    <w:basedOn w:val="1"/>
    <w:next w:val="1"/>
    <w:qFormat/>
    <w:uiPriority w:val="1"/>
    <w:pPr>
      <w:spacing w:before="141"/>
      <w:ind w:left="777"/>
    </w:pPr>
    <w:rPr>
      <w:rFonts w:ascii="宋体" w:hAnsi="宋体" w:eastAsia="宋体" w:cs="宋体"/>
      <w:sz w:val="28"/>
      <w:szCs w:val="28"/>
      <w:lang w:val="zh-CN" w:eastAsia="zh-CN" w:bidi="zh-CN"/>
    </w:rPr>
  </w:style>
  <w:style w:type="paragraph" w:styleId="11">
    <w:name w:val="toc 3"/>
    <w:basedOn w:val="1"/>
    <w:next w:val="1"/>
    <w:qFormat/>
    <w:uiPriority w:val="1"/>
    <w:pPr>
      <w:spacing w:before="140"/>
      <w:ind w:left="1336" w:right="255" w:hanging="1337"/>
      <w:jc w:val="right"/>
    </w:pPr>
    <w:rPr>
      <w:rFonts w:ascii="宋体" w:hAnsi="宋体" w:eastAsia="宋体" w:cs="宋体"/>
      <w:b/>
      <w:bCs/>
      <w:i/>
      <w:lang w:val="zh-CN" w:eastAsia="zh-CN" w:bidi="zh-CN"/>
    </w:rPr>
  </w:style>
  <w:style w:type="paragraph" w:styleId="12">
    <w:name w:val="toc 1"/>
    <w:basedOn w:val="1"/>
    <w:next w:val="1"/>
    <w:qFormat/>
    <w:uiPriority w:val="1"/>
    <w:pPr>
      <w:spacing w:before="22"/>
      <w:ind w:left="445" w:right="257" w:hanging="446"/>
      <w:jc w:val="right"/>
    </w:pPr>
    <w:rPr>
      <w:rFonts w:ascii="宋体" w:hAnsi="宋体" w:eastAsia="宋体" w:cs="宋体"/>
      <w:b/>
      <w:bCs/>
      <w:sz w:val="30"/>
      <w:szCs w:val="30"/>
      <w:lang w:val="zh-CN" w:eastAsia="zh-CN" w:bidi="zh-CN"/>
    </w:rPr>
  </w:style>
  <w:style w:type="paragraph" w:styleId="13">
    <w:name w:val="toc 4"/>
    <w:basedOn w:val="1"/>
    <w:next w:val="1"/>
    <w:qFormat/>
    <w:uiPriority w:val="1"/>
    <w:pPr>
      <w:spacing w:before="24"/>
      <w:ind w:left="744" w:hanging="526"/>
    </w:pPr>
    <w:rPr>
      <w:rFonts w:ascii="宋体" w:hAnsi="宋体" w:eastAsia="宋体" w:cs="宋体"/>
      <w:b/>
      <w:bCs/>
      <w:sz w:val="30"/>
      <w:szCs w:val="30"/>
      <w:lang w:val="zh-CN" w:eastAsia="zh-CN" w:bidi="zh-CN"/>
    </w:rPr>
  </w:style>
  <w:style w:type="paragraph" w:styleId="14">
    <w:name w:val="toc 2"/>
    <w:basedOn w:val="1"/>
    <w:next w:val="1"/>
    <w:qFormat/>
    <w:uiPriority w:val="1"/>
    <w:pPr>
      <w:spacing w:before="140"/>
      <w:ind w:left="1197" w:right="255" w:hanging="1198"/>
      <w:jc w:val="right"/>
    </w:pPr>
    <w:rPr>
      <w:rFonts w:ascii="宋体" w:hAnsi="宋体" w:eastAsia="宋体" w:cs="宋体"/>
      <w:sz w:val="28"/>
      <w:szCs w:val="28"/>
      <w:lang w:val="zh-CN" w:eastAsia="zh-CN" w:bidi="zh-CN"/>
    </w:rPr>
  </w:style>
  <w:style w:type="table" w:customStyle="1" w:styleId="17">
    <w:name w:val="Table Normal"/>
    <w:semiHidden/>
    <w:unhideWhenUsed/>
    <w:qFormat/>
    <w:uiPriority w:val="2"/>
    <w:tblPr>
      <w:tblCellMar>
        <w:top w:w="0" w:type="dxa"/>
        <w:left w:w="0" w:type="dxa"/>
        <w:bottom w:w="0" w:type="dxa"/>
        <w:right w:w="0" w:type="dxa"/>
      </w:tblCellMar>
    </w:tblPr>
  </w:style>
  <w:style w:type="paragraph" w:styleId="18">
    <w:name w:val="List Paragraph"/>
    <w:basedOn w:val="1"/>
    <w:qFormat/>
    <w:uiPriority w:val="1"/>
    <w:pPr>
      <w:ind w:left="2499" w:hanging="602"/>
    </w:pPr>
    <w:rPr>
      <w:rFonts w:ascii="宋体" w:hAnsi="宋体" w:eastAsia="宋体" w:cs="宋体"/>
      <w:lang w:val="zh-CN" w:eastAsia="zh-CN" w:bidi="zh-CN"/>
    </w:rPr>
  </w:style>
  <w:style w:type="paragraph" w:customStyle="1" w:styleId="19">
    <w:name w:val="Table Paragraph"/>
    <w:basedOn w:val="1"/>
    <w:qFormat/>
    <w:uiPriority w:val="1"/>
    <w:pPr>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39.jpeg"/><Relationship Id="rId71" Type="http://schemas.openxmlformats.org/officeDocument/2006/relationships/image" Target="media/image38.jpeg"/><Relationship Id="rId70" Type="http://schemas.openxmlformats.org/officeDocument/2006/relationships/image" Target="media/image37.png"/><Relationship Id="rId7" Type="http://schemas.openxmlformats.org/officeDocument/2006/relationships/footer" Target="footer5.xml"/><Relationship Id="rId69" Type="http://schemas.openxmlformats.org/officeDocument/2006/relationships/image" Target="media/image36.png"/><Relationship Id="rId68" Type="http://schemas.openxmlformats.org/officeDocument/2006/relationships/image" Target="media/image35.png"/><Relationship Id="rId67" Type="http://schemas.openxmlformats.org/officeDocument/2006/relationships/image" Target="media/image34.png"/><Relationship Id="rId66" Type="http://schemas.openxmlformats.org/officeDocument/2006/relationships/image" Target="media/image33.png"/><Relationship Id="rId65" Type="http://schemas.openxmlformats.org/officeDocument/2006/relationships/image" Target="media/image32.png"/><Relationship Id="rId64" Type="http://schemas.openxmlformats.org/officeDocument/2006/relationships/image" Target="media/image31.png"/><Relationship Id="rId63" Type="http://schemas.openxmlformats.org/officeDocument/2006/relationships/image" Target="media/image30.png"/><Relationship Id="rId62" Type="http://schemas.openxmlformats.org/officeDocument/2006/relationships/image" Target="media/image29.png"/><Relationship Id="rId61" Type="http://schemas.openxmlformats.org/officeDocument/2006/relationships/image" Target="media/image28.jpeg"/><Relationship Id="rId60" Type="http://schemas.openxmlformats.org/officeDocument/2006/relationships/image" Target="media/image27.jpeg"/><Relationship Id="rId6" Type="http://schemas.openxmlformats.org/officeDocument/2006/relationships/footer" Target="footer4.xml"/><Relationship Id="rId59" Type="http://schemas.openxmlformats.org/officeDocument/2006/relationships/image" Target="media/image26.png"/><Relationship Id="rId58" Type="http://schemas.openxmlformats.org/officeDocument/2006/relationships/image" Target="media/image25.png"/><Relationship Id="rId57" Type="http://schemas.openxmlformats.org/officeDocument/2006/relationships/image" Target="media/image24.jpeg"/><Relationship Id="rId56" Type="http://schemas.openxmlformats.org/officeDocument/2006/relationships/image" Target="media/image23.jpeg"/><Relationship Id="rId55" Type="http://schemas.openxmlformats.org/officeDocument/2006/relationships/image" Target="media/image22.jpeg"/><Relationship Id="rId54" Type="http://schemas.openxmlformats.org/officeDocument/2006/relationships/image" Target="media/image21.jpeg"/><Relationship Id="rId53" Type="http://schemas.openxmlformats.org/officeDocument/2006/relationships/image" Target="media/image20.jpeg"/><Relationship Id="rId52" Type="http://schemas.openxmlformats.org/officeDocument/2006/relationships/image" Target="media/image19.jpeg"/><Relationship Id="rId51" Type="http://schemas.openxmlformats.org/officeDocument/2006/relationships/image" Target="media/image18.png"/><Relationship Id="rId50" Type="http://schemas.openxmlformats.org/officeDocument/2006/relationships/image" Target="media/image17.jpeg"/><Relationship Id="rId5" Type="http://schemas.openxmlformats.org/officeDocument/2006/relationships/footer" Target="footer3.xml"/><Relationship Id="rId49" Type="http://schemas.openxmlformats.org/officeDocument/2006/relationships/image" Target="media/image16.jpeg"/><Relationship Id="rId48" Type="http://schemas.openxmlformats.org/officeDocument/2006/relationships/image" Target="media/image15.jpeg"/><Relationship Id="rId47" Type="http://schemas.openxmlformats.org/officeDocument/2006/relationships/image" Target="media/image14.jpeg"/><Relationship Id="rId46" Type="http://schemas.openxmlformats.org/officeDocument/2006/relationships/image" Target="media/image13.jpeg"/><Relationship Id="rId45" Type="http://schemas.openxmlformats.org/officeDocument/2006/relationships/image" Target="media/image12.jpeg"/><Relationship Id="rId44" Type="http://schemas.openxmlformats.org/officeDocument/2006/relationships/image" Target="media/image11.jpeg"/><Relationship Id="rId43" Type="http://schemas.openxmlformats.org/officeDocument/2006/relationships/image" Target="media/image10.jpeg"/><Relationship Id="rId42" Type="http://schemas.openxmlformats.org/officeDocument/2006/relationships/image" Target="media/image9.jpeg"/><Relationship Id="rId41" Type="http://schemas.openxmlformats.org/officeDocument/2006/relationships/image" Target="media/image8.jpeg"/><Relationship Id="rId40" Type="http://schemas.openxmlformats.org/officeDocument/2006/relationships/image" Target="media/image7.jpeg"/><Relationship Id="rId4" Type="http://schemas.openxmlformats.org/officeDocument/2006/relationships/footer" Target="footer2.xml"/><Relationship Id="rId39" Type="http://schemas.openxmlformats.org/officeDocument/2006/relationships/image" Target="media/image6.jpeg"/><Relationship Id="rId38" Type="http://schemas.openxmlformats.org/officeDocument/2006/relationships/image" Target="media/image5.png"/><Relationship Id="rId37" Type="http://schemas.openxmlformats.org/officeDocument/2006/relationships/image" Target="media/image4.png"/><Relationship Id="rId36" Type="http://schemas.openxmlformats.org/officeDocument/2006/relationships/image" Target="media/image3.png"/><Relationship Id="rId35" Type="http://schemas.openxmlformats.org/officeDocument/2006/relationships/image" Target="media/image2.png"/><Relationship Id="rId34" Type="http://schemas.openxmlformats.org/officeDocument/2006/relationships/image" Target="media/image1.jpeg"/><Relationship Id="rId33" Type="http://schemas.openxmlformats.org/officeDocument/2006/relationships/theme" Target="theme/theme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7"/>
    <customShpInfo spid="_x0000_s1108"/>
    <customShpInfo spid="_x0000_s1109"/>
    <customShpInfo spid="_x0000_s1110"/>
    <customShpInfo spid="_x0000_s1163"/>
    <customShpInfo spid="_x0000_s1164"/>
    <customShpInfo spid="_x0000_s1165"/>
    <customShpInfo spid="_x0000_s1168"/>
    <customShpInfo spid="_x0000_s1169"/>
    <customShpInfo spid="_x0000_s1170"/>
    <customShpInfo spid="_x0000_s117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2020-10-31T23:51:00Z</dcterms:created>
  <dc:creator>wxdrad</dc:creator>
  <cp:lastModifiedBy>常雷</cp:lastModifiedBy>
  <dcterms:modified xsi:type="dcterms:W3CDTF">2020-10-31T23:52:08Z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WPS 文字</vt:lpwstr>
  </property>
  <property fmtid="{D5CDD505-2E9C-101B-9397-08002B2CF9AE}" pid="4" name="LastSaved">
    <vt:filetime>2020-10-31T00:00:00Z</vt:filetime>
  </property>
  <property fmtid="{D5CDD505-2E9C-101B-9397-08002B2CF9AE}" pid="5" name="KSOProductBuildVer">
    <vt:lpwstr>2052-11.1.0.9999</vt:lpwstr>
  </property>
</Properties>
</file>